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124A7" w14:textId="77777777" w:rsidR="00355C1E" w:rsidRDefault="00355C1E" w:rsidP="00355C1E">
      <w:pPr>
        <w:spacing w:after="200" w:line="240" w:lineRule="auto"/>
        <w:jc w:val="center"/>
        <w:rPr>
          <w:rFonts w:ascii="Times New Roman" w:hAnsi="Times New Roman" w:cs="Arial"/>
          <w:sz w:val="20"/>
          <w:szCs w:val="20"/>
          <w:lang w:val="es-ES_tradnl"/>
        </w:rPr>
      </w:pPr>
    </w:p>
    <w:p w14:paraId="486277BC" w14:textId="77777777" w:rsidR="00355C1E" w:rsidRDefault="00355C1E" w:rsidP="00355C1E">
      <w:pPr>
        <w:spacing w:after="200" w:line="240" w:lineRule="auto"/>
        <w:jc w:val="center"/>
        <w:rPr>
          <w:rFonts w:ascii="Times New Roman" w:hAnsi="Times New Roman" w:cs="Arial"/>
          <w:sz w:val="20"/>
          <w:szCs w:val="20"/>
          <w:lang w:val="es-ES_tradnl"/>
        </w:rPr>
      </w:pPr>
    </w:p>
    <w:p w14:paraId="62F31739" w14:textId="77777777" w:rsidR="00355C1E" w:rsidRDefault="00355C1E" w:rsidP="00355C1E">
      <w:pPr>
        <w:spacing w:after="200" w:line="240" w:lineRule="auto"/>
        <w:jc w:val="center"/>
        <w:rPr>
          <w:rFonts w:ascii="Times New Roman" w:hAnsi="Times New Roman" w:cs="Arial"/>
          <w:sz w:val="20"/>
          <w:szCs w:val="20"/>
          <w:lang w:val="es-ES_tradnl"/>
        </w:rPr>
      </w:pPr>
    </w:p>
    <w:p w14:paraId="75799746" w14:textId="77777777" w:rsidR="00355C1E" w:rsidRDefault="00355C1E" w:rsidP="00355C1E">
      <w:pPr>
        <w:spacing w:after="200" w:line="240" w:lineRule="auto"/>
        <w:jc w:val="center"/>
        <w:rPr>
          <w:rFonts w:ascii="Times New Roman" w:hAnsi="Times New Roman" w:cs="Arial"/>
          <w:sz w:val="20"/>
          <w:szCs w:val="20"/>
          <w:lang w:val="es-ES_tradnl"/>
        </w:rPr>
      </w:pPr>
    </w:p>
    <w:p w14:paraId="14ECA18A" w14:textId="77777777" w:rsidR="00355C1E" w:rsidRDefault="00355C1E" w:rsidP="00355C1E">
      <w:pPr>
        <w:spacing w:after="200" w:line="240" w:lineRule="auto"/>
        <w:jc w:val="center"/>
        <w:rPr>
          <w:rFonts w:ascii="Times New Roman" w:hAnsi="Times New Roman" w:cs="Arial"/>
          <w:sz w:val="20"/>
          <w:szCs w:val="20"/>
          <w:lang w:val="es-ES_tradnl"/>
        </w:rPr>
      </w:pPr>
    </w:p>
    <w:p w14:paraId="2E59C9EB" w14:textId="77777777" w:rsidR="00355C1E" w:rsidRDefault="00355C1E" w:rsidP="00355C1E">
      <w:pPr>
        <w:spacing w:after="200" w:line="240" w:lineRule="auto"/>
        <w:jc w:val="center"/>
        <w:rPr>
          <w:rFonts w:ascii="Times New Roman" w:hAnsi="Times New Roman" w:cs="Arial"/>
          <w:sz w:val="20"/>
          <w:szCs w:val="20"/>
          <w:lang w:val="es-ES_tradnl"/>
        </w:rPr>
      </w:pPr>
    </w:p>
    <w:p w14:paraId="3FA4ED71" w14:textId="77777777" w:rsidR="00355C1E" w:rsidRDefault="00355C1E" w:rsidP="00355C1E">
      <w:pPr>
        <w:spacing w:after="200" w:line="240" w:lineRule="auto"/>
        <w:jc w:val="center"/>
        <w:rPr>
          <w:rFonts w:ascii="Times New Roman" w:hAnsi="Times New Roman" w:cs="Arial"/>
          <w:sz w:val="20"/>
          <w:szCs w:val="20"/>
          <w:lang w:val="es-ES_tradnl"/>
        </w:rPr>
      </w:pPr>
    </w:p>
    <w:p w14:paraId="6D4D6ED6" w14:textId="77777777" w:rsidR="00355C1E" w:rsidRDefault="00355C1E" w:rsidP="00355C1E">
      <w:pPr>
        <w:spacing w:after="200" w:line="240" w:lineRule="auto"/>
        <w:jc w:val="center"/>
        <w:rPr>
          <w:rFonts w:ascii="Times New Roman" w:hAnsi="Times New Roman" w:cs="Arial"/>
          <w:sz w:val="20"/>
          <w:szCs w:val="20"/>
          <w:lang w:val="es-ES_tradnl"/>
        </w:rPr>
      </w:pPr>
    </w:p>
    <w:p w14:paraId="37711399" w14:textId="77777777" w:rsidR="00355C1E" w:rsidRDefault="00355C1E" w:rsidP="00355C1E">
      <w:pPr>
        <w:spacing w:after="200" w:line="240" w:lineRule="auto"/>
        <w:jc w:val="center"/>
        <w:rPr>
          <w:rFonts w:ascii="Times New Roman" w:hAnsi="Times New Roman" w:cs="Arial"/>
          <w:sz w:val="20"/>
          <w:szCs w:val="20"/>
          <w:lang w:val="es-ES_tradnl"/>
        </w:rPr>
      </w:pPr>
    </w:p>
    <w:p w14:paraId="75306584" w14:textId="77777777" w:rsidR="00355C1E" w:rsidRDefault="00355C1E" w:rsidP="00355C1E">
      <w:pPr>
        <w:spacing w:after="200" w:line="240" w:lineRule="auto"/>
        <w:jc w:val="center"/>
        <w:rPr>
          <w:rFonts w:ascii="Times New Roman" w:hAnsi="Times New Roman" w:cs="Arial"/>
          <w:sz w:val="20"/>
          <w:szCs w:val="20"/>
          <w:lang w:val="es-ES_tradnl"/>
        </w:rPr>
      </w:pPr>
    </w:p>
    <w:p w14:paraId="6CF69CCB" w14:textId="77777777" w:rsidR="00355C1E" w:rsidRDefault="00355C1E" w:rsidP="00355C1E">
      <w:pPr>
        <w:spacing w:after="0" w:line="240" w:lineRule="auto"/>
        <w:jc w:val="center"/>
        <w:rPr>
          <w:rFonts w:ascii="Times New Roman" w:hAnsi="Times New Roman" w:cs="Arial"/>
          <w:sz w:val="20"/>
          <w:szCs w:val="20"/>
          <w:lang w:val="es-ES_tradnl"/>
        </w:rPr>
      </w:pPr>
      <w:r>
        <w:rPr>
          <w:rFonts w:ascii="Times New Roman" w:hAnsi="Times New Roman" w:cs="Arial"/>
          <w:sz w:val="20"/>
          <w:szCs w:val="20"/>
          <w:lang w:val="es-ES_tradnl"/>
        </w:rPr>
        <w:t xml:space="preserve">Informes periódicos 6° y 7° de la República Bolivariana de Venezuela </w:t>
      </w:r>
    </w:p>
    <w:p w14:paraId="44BC07E2" w14:textId="5CB37E06" w:rsidR="00405820" w:rsidRDefault="00355C1E" w:rsidP="00355C1E">
      <w:pPr>
        <w:spacing w:after="0" w:line="240" w:lineRule="auto"/>
        <w:jc w:val="center"/>
        <w:rPr>
          <w:rFonts w:ascii="Times New Roman" w:eastAsia="Times New Roman" w:hAnsi="Times New Roman" w:cs="Times New Roman"/>
          <w:b/>
          <w:sz w:val="20"/>
          <w:szCs w:val="20"/>
          <w:lang w:val="es-ES"/>
        </w:rPr>
        <w:sectPr w:rsidR="00405820">
          <w:footerReference w:type="default" r:id="rId8"/>
          <w:pgSz w:w="12240" w:h="15840"/>
          <w:pgMar w:top="1417" w:right="1701" w:bottom="1417" w:left="1701" w:header="0" w:footer="0" w:gutter="0"/>
          <w:cols w:space="720"/>
          <w:formProt w:val="0"/>
          <w:docGrid w:linePitch="360" w:charSpace="4096"/>
        </w:sectPr>
      </w:pPr>
      <w:r>
        <w:rPr>
          <w:rFonts w:ascii="Times New Roman" w:hAnsi="Times New Roman" w:cs="Arial"/>
          <w:sz w:val="20"/>
          <w:szCs w:val="20"/>
          <w:lang w:val="es-ES_tradnl"/>
        </w:rPr>
        <w:t>sobre la implementación de la CSDN</w:t>
      </w:r>
    </w:p>
    <w:p w14:paraId="0039369F" w14:textId="77777777" w:rsidR="00405820" w:rsidRDefault="002F4028">
      <w:pPr>
        <w:rPr>
          <w:rFonts w:ascii="Times New Roman" w:hAnsi="Times New Roman" w:cs="Times New Roman"/>
          <w:b/>
          <w:sz w:val="20"/>
          <w:szCs w:val="20"/>
        </w:rPr>
      </w:pPr>
      <w:r>
        <w:rPr>
          <w:rFonts w:ascii="Times New Roman" w:hAnsi="Times New Roman" w:cs="Times New Roman"/>
          <w:b/>
          <w:sz w:val="20"/>
          <w:szCs w:val="20"/>
        </w:rPr>
        <w:lastRenderedPageBreak/>
        <w:t>I. INTRODUCCIÓN</w:t>
      </w:r>
    </w:p>
    <w:p w14:paraId="2DF10F49" w14:textId="77777777" w:rsidR="00405820" w:rsidRDefault="002F4028">
      <w:pPr>
        <w:numPr>
          <w:ilvl w:val="0"/>
          <w:numId w:val="1"/>
        </w:numPr>
        <w:spacing w:after="0" w:line="240" w:lineRule="auto"/>
        <w:ind w:left="0" w:firstLine="0"/>
        <w:jc w:val="both"/>
      </w:pPr>
      <w:r>
        <w:rPr>
          <w:rFonts w:ascii="Times New Roman" w:hAnsi="Times New Roman" w:cs="Arial"/>
          <w:sz w:val="20"/>
          <w:szCs w:val="20"/>
          <w:lang w:val="es-ES_tradnl"/>
        </w:rPr>
        <w:t xml:space="preserve">La República Bolivariana de Venezuela (RBV), en cumplimiento de la obligación que emana de su condición de Estado Parte de la Convención Sobre los Derechos del Niño (en adelante la Convención), y en concordancia con su artículo 44, presenta el siguiente documento que contiene el Informe Periódico sexto y séptimo combinados. El presente Informe ha sido elaborado tomando en consideración las Observaciones Finales sobre los informes periódicos 3°, 4° y 5° de la República Bolivariana de Venezuela, aprobadas por el Comité en su 1903ª y 1904ª período de sesiones. </w:t>
      </w:r>
    </w:p>
    <w:p w14:paraId="13E42CBB" w14:textId="77777777" w:rsidR="00405820" w:rsidRDefault="00405820">
      <w:pPr>
        <w:spacing w:after="0" w:line="240" w:lineRule="auto"/>
        <w:ind w:left="720"/>
        <w:jc w:val="both"/>
        <w:rPr>
          <w:rFonts w:ascii="Times New Roman" w:hAnsi="Times New Roman" w:cs="Arial"/>
          <w:sz w:val="20"/>
          <w:szCs w:val="20"/>
          <w:lang w:val="es-ES_tradnl"/>
        </w:rPr>
      </w:pPr>
    </w:p>
    <w:p w14:paraId="3394AF31" w14:textId="77777777" w:rsidR="00405820" w:rsidRDefault="002F4028">
      <w:pPr>
        <w:numPr>
          <w:ilvl w:val="0"/>
          <w:numId w:val="1"/>
        </w:numPr>
        <w:spacing w:after="0" w:line="240" w:lineRule="auto"/>
        <w:ind w:left="0" w:firstLine="0"/>
        <w:jc w:val="both"/>
      </w:pPr>
      <w:r>
        <w:rPr>
          <w:rFonts w:ascii="Times New Roman" w:hAnsi="Times New Roman" w:cs="Arial"/>
          <w:sz w:val="20"/>
          <w:szCs w:val="20"/>
          <w:lang w:val="es-ES_tradnl"/>
        </w:rPr>
        <w:t xml:space="preserve">Este informe contiene una descripción de las políticas y medidas desarrolladas por el Estado venezolano durante los años 2013 al 2025, orientadas a cumplir con las directrices y lineamientos de la Convención, para la protección integral de los niños, niñas y adolescentes, con equidad de género, justicia social, igualdad y sin discriminación. Asimismo, se señalan los logros, esfuerzos y los desafíos en la protección y garantía de los derechos humanos de los niños, niñas y adolescentes (NNA). </w:t>
      </w:r>
    </w:p>
    <w:p w14:paraId="6A11B98C" w14:textId="77777777" w:rsidR="00405820" w:rsidRDefault="00405820">
      <w:pPr>
        <w:spacing w:after="0" w:line="240" w:lineRule="auto"/>
        <w:ind w:left="720"/>
        <w:jc w:val="both"/>
        <w:rPr>
          <w:rFonts w:ascii="Times New Roman" w:hAnsi="Times New Roman" w:cs="Arial"/>
          <w:sz w:val="20"/>
          <w:szCs w:val="20"/>
          <w:lang w:val="es-ES_tradnl"/>
        </w:rPr>
      </w:pPr>
    </w:p>
    <w:p w14:paraId="45082C64" w14:textId="58594D33" w:rsidR="00405820" w:rsidRDefault="002F4028">
      <w:pPr>
        <w:numPr>
          <w:ilvl w:val="0"/>
          <w:numId w:val="1"/>
        </w:numPr>
        <w:spacing w:after="0" w:line="240" w:lineRule="auto"/>
        <w:ind w:left="0" w:firstLine="0"/>
        <w:jc w:val="both"/>
      </w:pPr>
      <w:r>
        <w:rPr>
          <w:rFonts w:ascii="Times New Roman" w:eastAsia="Malgun Gothic" w:hAnsi="Times New Roman" w:cs="Arial"/>
          <w:sz w:val="20"/>
          <w:szCs w:val="20"/>
        </w:rPr>
        <w:t xml:space="preserve">De igual modo, muestra los avances de las políticas, programas, proyectos y misiones sociales, demostrando cómo la </w:t>
      </w:r>
      <w:r w:rsidR="00BF7379">
        <w:rPr>
          <w:rFonts w:ascii="Times New Roman" w:eastAsia="Malgun Gothic" w:hAnsi="Times New Roman" w:cs="Arial"/>
          <w:sz w:val="20"/>
          <w:szCs w:val="20"/>
        </w:rPr>
        <w:t>RBV</w:t>
      </w:r>
      <w:r>
        <w:rPr>
          <w:rFonts w:ascii="Times New Roman" w:eastAsia="Malgun Gothic" w:hAnsi="Times New Roman" w:cs="Arial"/>
          <w:sz w:val="20"/>
          <w:szCs w:val="20"/>
        </w:rPr>
        <w:t xml:space="preserve"> sigue cumpliendo con los Objetivos de Desarrollo Sostenible. Los logros </w:t>
      </w:r>
      <w:r w:rsidR="00E2449D">
        <w:rPr>
          <w:rFonts w:ascii="Times New Roman" w:eastAsia="Malgun Gothic" w:hAnsi="Times New Roman" w:cs="Arial"/>
          <w:sz w:val="20"/>
          <w:szCs w:val="20"/>
        </w:rPr>
        <w:t>señalados</w:t>
      </w:r>
      <w:r>
        <w:rPr>
          <w:rFonts w:ascii="Times New Roman" w:eastAsia="Malgun Gothic" w:hAnsi="Times New Roman" w:cs="Arial"/>
          <w:sz w:val="20"/>
          <w:szCs w:val="20"/>
        </w:rPr>
        <w:t xml:space="preserve">, se han alcanzado gracias a la instrumentación de una serie de iniciativas institucionales que ratifica la obligación del Estado de garantizar a todos los niños, niñas y adolescentes de la </w:t>
      </w:r>
      <w:r w:rsidR="006D5B5D">
        <w:rPr>
          <w:rFonts w:ascii="Times New Roman" w:eastAsia="Malgun Gothic" w:hAnsi="Times New Roman" w:cs="Arial"/>
          <w:sz w:val="20"/>
          <w:szCs w:val="20"/>
        </w:rPr>
        <w:t>RBV</w:t>
      </w:r>
      <w:r>
        <w:rPr>
          <w:rFonts w:ascii="Times New Roman" w:eastAsia="Malgun Gothic" w:hAnsi="Times New Roman" w:cs="Arial"/>
          <w:sz w:val="20"/>
          <w:szCs w:val="20"/>
        </w:rPr>
        <w:t xml:space="preserve"> los derechos humanos relativos a salud, alimentación, educación, participación, cultura, deporte, recreación, trabajo, seguridad social, ciencia y tecnología</w:t>
      </w:r>
      <w:r>
        <w:rPr>
          <w:rFonts w:ascii="Arial" w:eastAsia="Malgun Gothic" w:hAnsi="Arial" w:cs="Arial"/>
          <w:sz w:val="20"/>
          <w:szCs w:val="20"/>
        </w:rPr>
        <w:t>.</w:t>
      </w:r>
    </w:p>
    <w:p w14:paraId="659BCDD2" w14:textId="77777777" w:rsidR="00405820" w:rsidRDefault="00405820">
      <w:pPr>
        <w:spacing w:after="0" w:line="240" w:lineRule="auto"/>
        <w:ind w:left="720"/>
        <w:jc w:val="both"/>
        <w:rPr>
          <w:rFonts w:ascii="Arial" w:eastAsia="Malgun Gothic" w:hAnsi="Arial" w:cs="Arial"/>
          <w:sz w:val="20"/>
          <w:szCs w:val="20"/>
        </w:rPr>
      </w:pPr>
    </w:p>
    <w:p w14:paraId="2533D4CC" w14:textId="77777777" w:rsidR="00405820" w:rsidRDefault="002F4028">
      <w:pPr>
        <w:spacing w:after="240" w:line="360" w:lineRule="auto"/>
        <w:ind w:left="720"/>
        <w:jc w:val="both"/>
      </w:pPr>
      <w:r>
        <w:rPr>
          <w:rFonts w:ascii="Times New Roman" w:hAnsi="Times New Roman" w:cs="Times New Roman"/>
          <w:b/>
          <w:sz w:val="20"/>
          <w:szCs w:val="20"/>
        </w:rPr>
        <w:t>II. CONTEXTO</w:t>
      </w:r>
    </w:p>
    <w:p w14:paraId="507751FA" w14:textId="77777777" w:rsidR="00405820" w:rsidRDefault="002F4028">
      <w:pPr>
        <w:numPr>
          <w:ilvl w:val="0"/>
          <w:numId w:val="1"/>
        </w:numPr>
        <w:spacing w:after="200" w:line="240" w:lineRule="auto"/>
        <w:ind w:left="0" w:firstLine="0"/>
        <w:jc w:val="both"/>
      </w:pPr>
      <w:r>
        <w:rPr>
          <w:rFonts w:ascii="Times New Roman" w:eastAsia="Times New Roman" w:hAnsi="Times New Roman" w:cs="Times New Roman"/>
          <w:sz w:val="20"/>
          <w:szCs w:val="20"/>
          <w:lang w:val="es-ES"/>
        </w:rPr>
        <w:t>En el período a que se refiere este informe, la RBV ha sido sujeto de una agresión multiforme por parte del gobierno de los Estados Unidos de América que genera consecuencias negativas en el disfrute de los derechos humanos de la población venezolana.</w:t>
      </w:r>
      <w:r>
        <w:rPr>
          <w:rStyle w:val="Ancladenotaalpie"/>
          <w:rFonts w:ascii="Times New Roman" w:eastAsia="Times New Roman" w:hAnsi="Times New Roman" w:cs="Times New Roman"/>
          <w:sz w:val="20"/>
          <w:szCs w:val="20"/>
          <w:lang w:val="es-ES"/>
        </w:rPr>
        <w:footnoteReference w:id="1"/>
      </w:r>
    </w:p>
    <w:p w14:paraId="0C90C2AF" w14:textId="77777777" w:rsidR="00405820" w:rsidRDefault="002F4028">
      <w:pPr>
        <w:numPr>
          <w:ilvl w:val="0"/>
          <w:numId w:val="1"/>
        </w:numPr>
        <w:spacing w:after="200" w:line="240" w:lineRule="auto"/>
        <w:ind w:left="0" w:firstLine="0"/>
        <w:jc w:val="both"/>
      </w:pPr>
      <w:r>
        <w:rPr>
          <w:rFonts w:ascii="Times New Roman" w:eastAsia="Times New Roman" w:hAnsi="Times New Roman" w:cs="Times New Roman"/>
          <w:sz w:val="20"/>
          <w:szCs w:val="20"/>
          <w:lang w:val="es-ES"/>
        </w:rPr>
        <w:t>La modalidad de la agresión contra Venezuela incluye la adopción de un conjunto de medidas coercitivas unilaterales</w:t>
      </w:r>
      <w:r>
        <w:rPr>
          <w:rStyle w:val="Ancladenotaalpie"/>
          <w:rFonts w:ascii="Times New Roman" w:eastAsia="Times New Roman" w:hAnsi="Times New Roman" w:cs="Times New Roman"/>
          <w:sz w:val="20"/>
          <w:szCs w:val="20"/>
          <w:lang w:val="es-ES"/>
        </w:rPr>
        <w:footnoteReference w:id="2"/>
      </w:r>
      <w:r>
        <w:rPr>
          <w:rFonts w:ascii="Times New Roman" w:eastAsia="Times New Roman" w:hAnsi="Times New Roman" w:cs="Times New Roman"/>
          <w:sz w:val="20"/>
          <w:szCs w:val="20"/>
          <w:lang w:val="es-ES"/>
        </w:rPr>
        <w:t>, cuyo impacto ha sido documentado por el CDH</w:t>
      </w:r>
      <w:r>
        <w:rPr>
          <w:rStyle w:val="Ancladenotaalpie"/>
          <w:rFonts w:ascii="Times New Roman" w:eastAsia="Times New Roman" w:hAnsi="Times New Roman" w:cs="Times New Roman"/>
          <w:sz w:val="20"/>
          <w:szCs w:val="20"/>
          <w:lang w:val="es-ES"/>
        </w:rPr>
        <w:footnoteReference w:id="3"/>
      </w:r>
      <w:r>
        <w:rPr>
          <w:rFonts w:ascii="Times New Roman" w:eastAsia="Times New Roman" w:hAnsi="Times New Roman" w:cs="Times New Roman"/>
          <w:sz w:val="20"/>
          <w:szCs w:val="20"/>
          <w:lang w:val="es-ES"/>
        </w:rPr>
        <w:t>, el Relator Especial sobre repercusiones negativas de las medidas coercitivas unilaterales en el disfrute de los derechos humanos</w:t>
      </w:r>
      <w:r>
        <w:rPr>
          <w:rStyle w:val="Ancladenotaalpie"/>
          <w:rFonts w:ascii="Times New Roman" w:eastAsia="Times New Roman" w:hAnsi="Times New Roman" w:cs="Times New Roman"/>
          <w:sz w:val="20"/>
          <w:szCs w:val="20"/>
          <w:lang w:val="es-ES"/>
        </w:rPr>
        <w:footnoteReference w:id="4"/>
      </w:r>
      <w:r>
        <w:rPr>
          <w:rFonts w:ascii="Times New Roman" w:eastAsia="Times New Roman" w:hAnsi="Times New Roman" w:cs="Times New Roman"/>
          <w:sz w:val="20"/>
          <w:szCs w:val="20"/>
          <w:lang w:val="es-ES"/>
        </w:rPr>
        <w:t>, el Experto Independiente sobre la promoción de un orden internacional democrático y equitativo</w:t>
      </w:r>
      <w:r>
        <w:rPr>
          <w:rStyle w:val="Ancladenotaalpie"/>
          <w:rFonts w:ascii="Times New Roman" w:eastAsia="Times New Roman" w:hAnsi="Times New Roman" w:cs="Times New Roman"/>
          <w:sz w:val="20"/>
          <w:szCs w:val="20"/>
          <w:lang w:val="es-ES"/>
        </w:rPr>
        <w:footnoteReference w:id="5"/>
      </w:r>
      <w:r>
        <w:rPr>
          <w:rFonts w:ascii="Times New Roman" w:eastAsia="Times New Roman" w:hAnsi="Times New Roman" w:cs="Times New Roman"/>
          <w:sz w:val="20"/>
          <w:szCs w:val="20"/>
          <w:lang w:val="es-ES"/>
        </w:rPr>
        <w:t xml:space="preserve"> y la Alta Comisionada de Naciones Unidas para los Derechos Humanos</w:t>
      </w:r>
      <w:r>
        <w:rPr>
          <w:rStyle w:val="Ancladenotaalpie"/>
          <w:rFonts w:ascii="Times New Roman" w:eastAsia="Times New Roman" w:hAnsi="Times New Roman" w:cs="Times New Roman"/>
          <w:sz w:val="20"/>
          <w:szCs w:val="20"/>
          <w:lang w:val="es-ES"/>
        </w:rPr>
        <w:footnoteReference w:id="6"/>
      </w:r>
      <w:r>
        <w:rPr>
          <w:rFonts w:ascii="Times New Roman" w:eastAsia="Times New Roman" w:hAnsi="Times New Roman" w:cs="Times New Roman"/>
          <w:sz w:val="20"/>
          <w:szCs w:val="20"/>
          <w:lang w:val="es-ES"/>
        </w:rPr>
        <w:t xml:space="preserve">. </w:t>
      </w:r>
    </w:p>
    <w:p w14:paraId="28896567" w14:textId="77777777" w:rsidR="00405820" w:rsidRDefault="002F4028">
      <w:pPr>
        <w:numPr>
          <w:ilvl w:val="0"/>
          <w:numId w:val="1"/>
        </w:numPr>
        <w:spacing w:after="200" w:line="240" w:lineRule="auto"/>
        <w:ind w:left="0" w:firstLine="0"/>
        <w:jc w:val="both"/>
        <w:rPr>
          <w:rFonts w:ascii="Times New Roman" w:eastAsia="Times New Roman" w:hAnsi="Times New Roman" w:cs="Times New Roman"/>
          <w:sz w:val="20"/>
          <w:szCs w:val="20"/>
          <w:lang w:val="es-ES"/>
        </w:rPr>
      </w:pPr>
      <w:r>
        <w:rPr>
          <w:rFonts w:ascii="Times New Roman" w:eastAsia="Times New Roman" w:hAnsi="Times New Roman" w:cs="Times New Roman"/>
          <w:sz w:val="20"/>
          <w:szCs w:val="20"/>
          <w:lang w:val="es-ES"/>
        </w:rPr>
        <w:t>Esta agresión ha reducido las capacidades del Estado para obtener recursos financieros, bienes y servicios requeridos para cubrir y satisfacer plenamente las principales necesidades de sus habitantes, así como para asegurar el funcionamiento adecuado de las instituciones encargadas de garantizar los derechos reconocidos en los distintos Tratados suscritos por la República.</w:t>
      </w:r>
      <w:r>
        <w:rPr>
          <w:rStyle w:val="Ancladenotaalpie"/>
          <w:rFonts w:ascii="Times New Roman" w:eastAsia="Times New Roman" w:hAnsi="Times New Roman" w:cs="Times New Roman"/>
          <w:sz w:val="20"/>
          <w:szCs w:val="20"/>
          <w:lang w:val="es-ES"/>
        </w:rPr>
        <w:footnoteReference w:id="7"/>
      </w:r>
      <w:r>
        <w:rPr>
          <w:rFonts w:ascii="Times New Roman" w:eastAsia="Times New Roman" w:hAnsi="Times New Roman" w:cs="Times New Roman"/>
          <w:sz w:val="20"/>
          <w:szCs w:val="20"/>
          <w:lang w:val="es-ES"/>
        </w:rPr>
        <w:t xml:space="preserve">   </w:t>
      </w:r>
    </w:p>
    <w:p w14:paraId="3A03F23E" w14:textId="77777777" w:rsidR="00405820" w:rsidRDefault="002F4028">
      <w:pPr>
        <w:numPr>
          <w:ilvl w:val="0"/>
          <w:numId w:val="1"/>
        </w:numPr>
        <w:spacing w:after="200" w:line="240" w:lineRule="auto"/>
        <w:ind w:left="0" w:firstLine="0"/>
        <w:jc w:val="both"/>
        <w:rPr>
          <w:rFonts w:ascii="Times New Roman" w:eastAsia="Times New Roman" w:hAnsi="Times New Roman" w:cs="Times New Roman"/>
          <w:sz w:val="20"/>
          <w:szCs w:val="20"/>
          <w:lang w:val="es-ES"/>
        </w:rPr>
      </w:pPr>
      <w:r>
        <w:rPr>
          <w:rFonts w:ascii="Times New Roman" w:eastAsia="Times New Roman" w:hAnsi="Times New Roman" w:cs="Times New Roman"/>
          <w:sz w:val="20"/>
          <w:szCs w:val="20"/>
          <w:lang w:val="es-ES"/>
        </w:rPr>
        <w:t xml:space="preserve">Como resultado de esta agresión, el ingreso nacional ha disminuido en un 99%. Para mayo de 2019 existían USD 5.470.030.645,29 pertenecientes a la RBV ilegalmente retenidos en el sistema financiero internacional. Adicionalmente, se ha despojado a la RBV de activos ubicados en el extranjero valorados en más de 30 mil millones de USD. </w:t>
      </w:r>
    </w:p>
    <w:p w14:paraId="4470F57C" w14:textId="77777777" w:rsidR="00405820" w:rsidRDefault="002F4028">
      <w:pPr>
        <w:numPr>
          <w:ilvl w:val="0"/>
          <w:numId w:val="1"/>
        </w:numPr>
        <w:spacing w:after="200" w:line="240" w:lineRule="auto"/>
        <w:ind w:left="0" w:firstLine="0"/>
        <w:jc w:val="both"/>
      </w:pPr>
      <w:r>
        <w:rPr>
          <w:rFonts w:ascii="Times New Roman" w:eastAsia="Times New Roman" w:hAnsi="Times New Roman" w:cs="Times New Roman"/>
          <w:sz w:val="20"/>
          <w:szCs w:val="20"/>
          <w:lang w:val="es-ES"/>
        </w:rPr>
        <w:t xml:space="preserve">Además de este conjunto de agresiones externas que generan graves impactos en los derechos humanos de la población y especialmente de los niños, niñas y adolescentes, la RBV ha debido enfrentar una serie de desafíos internos planteados por un sector violento de la oposición que ha decidido impulsar en estos últimos años una serie de agendas insurreccionales para socavar el orden constitucional. </w:t>
      </w:r>
    </w:p>
    <w:p w14:paraId="3C868265" w14:textId="77777777" w:rsidR="00405820" w:rsidRDefault="002F4028">
      <w:pPr>
        <w:numPr>
          <w:ilvl w:val="0"/>
          <w:numId w:val="1"/>
        </w:numPr>
        <w:spacing w:after="200" w:line="240" w:lineRule="auto"/>
        <w:ind w:left="0" w:firstLine="0"/>
        <w:jc w:val="both"/>
      </w:pPr>
      <w:r>
        <w:rPr>
          <w:rFonts w:ascii="Times New Roman" w:eastAsia="Times New Roman" w:hAnsi="Times New Roman" w:cs="Times New Roman"/>
          <w:sz w:val="20"/>
          <w:szCs w:val="20"/>
          <w:lang w:val="es-ES"/>
        </w:rPr>
        <w:t>En medio de este escenario convulso, de grandes impactos en la calidad de vida de la población, la RBV ha hecho ingentes esfuerzos para garantizar las libertades y derechos fundamentales de los venezolanos y las venezolanas, los cuales se han visto lesionados por los efectos negativos diferenciados que tienen sobre los niños, niñas y adolescentes las lesivas medidas coercitivas unilaterales que afectan masivamente los derechos humanos.</w:t>
      </w:r>
    </w:p>
    <w:p w14:paraId="0F452932" w14:textId="77777777" w:rsidR="00405820" w:rsidRDefault="002F4028">
      <w:pPr>
        <w:numPr>
          <w:ilvl w:val="0"/>
          <w:numId w:val="1"/>
        </w:numPr>
        <w:spacing w:after="200" w:line="240" w:lineRule="auto"/>
        <w:ind w:left="0" w:firstLine="0"/>
        <w:jc w:val="both"/>
      </w:pPr>
      <w:r>
        <w:rPr>
          <w:rFonts w:ascii="Times New Roman" w:eastAsia="Times New Roman" w:hAnsi="Times New Roman" w:cs="Times New Roman"/>
          <w:sz w:val="20"/>
          <w:szCs w:val="20"/>
          <w:lang w:val="es-ES"/>
        </w:rPr>
        <w:t>El Estado venezolano ha innovado para sostener la protección del pueblo, desarrollando métodos que han permitido continuar avanzando en las condiciones más difíciles, es así como la plataforma patria se asignaron 59 bonos de protección social, beneficiando a 13.100.000 personas mensualmente en todo el país, con una inversión total de 131.671,7 millones. El carnet de la patria desde diciembre 2017 ha venido incrementando un peso en el complemento del ingreso de los venezolanos, siendo hoy, junto a los CLAP aspectos estructurales del ingreso diario, entre otras políticas de subsidio que han sido centrales El impacto de la gran Misión Vivienda Venezuela, los costos de servicios como agua, electricidad y telefonía fija son parte indirecta del presupuesto familiar. El nivel de vida y el acceso económico a estos servicios depende de estas políticas para los sectores sociales medios y bajos de ingreso. Sin ello sería la indigencia que se observa en otros países.</w:t>
      </w:r>
      <w:r>
        <w:rPr>
          <w:rStyle w:val="Ancladenotaalpie"/>
          <w:rFonts w:ascii="Times New Roman" w:eastAsia="Times New Roman" w:hAnsi="Times New Roman" w:cs="Times New Roman"/>
          <w:sz w:val="20"/>
          <w:szCs w:val="20"/>
          <w:lang w:val="es-ES"/>
        </w:rPr>
        <w:footnoteReference w:id="8"/>
      </w:r>
    </w:p>
    <w:p w14:paraId="6B4A2819" w14:textId="77777777" w:rsidR="00405820" w:rsidRDefault="002F4028">
      <w:pPr>
        <w:numPr>
          <w:ilvl w:val="0"/>
          <w:numId w:val="1"/>
        </w:numPr>
        <w:spacing w:after="200" w:line="240" w:lineRule="auto"/>
        <w:ind w:left="0" w:firstLine="0"/>
        <w:jc w:val="both"/>
      </w:pPr>
      <w:r>
        <w:rPr>
          <w:rFonts w:ascii="Times New Roman" w:hAnsi="Times New Roman" w:cs="Times New Roman"/>
          <w:sz w:val="20"/>
          <w:szCs w:val="20"/>
          <w:lang w:val="es-ES"/>
        </w:rPr>
        <w:t>Otra estrategia desarrollada por el gobierno de la RBV es la denominada 3R.NETs y construcción del Buen Gobierno. Desde el 1x10 del Buen Gobierno, se han registrado 2.875.813 denuncias y solicitudes, de los cuales se han resuelto 1.796.563, que representan el 62,47% de efectividad. Por sectores, la efectividad en la atención de estas denuncias o casos, es la siguiente: Agua, 7047%; electricidad 70,12% telecomunicaciones 69,05%, educación 61,15%, gas 56,27, salud 38,37% y transporte 14,59%.</w:t>
      </w:r>
    </w:p>
    <w:p w14:paraId="16F1251F" w14:textId="77777777" w:rsidR="00405820" w:rsidRDefault="002F4028">
      <w:pPr>
        <w:spacing w:after="200" w:line="240" w:lineRule="auto"/>
        <w:jc w:val="both"/>
        <w:rPr>
          <w:rFonts w:ascii="Times New Roman" w:eastAsia="Times New Roman" w:hAnsi="Times New Roman" w:cs="Times New Roman"/>
          <w:b/>
          <w:sz w:val="20"/>
          <w:szCs w:val="20"/>
          <w:lang w:val="es-ES"/>
        </w:rPr>
      </w:pPr>
      <w:r>
        <w:rPr>
          <w:rFonts w:ascii="Times New Roman" w:eastAsia="Times New Roman" w:hAnsi="Times New Roman" w:cs="Times New Roman"/>
          <w:b/>
          <w:sz w:val="20"/>
          <w:szCs w:val="20"/>
          <w:lang w:val="es-ES"/>
        </w:rPr>
        <w:t xml:space="preserve">III. </w:t>
      </w:r>
      <w:r>
        <w:rPr>
          <w:rStyle w:val="y2iqfc"/>
          <w:rFonts w:ascii="Times New Roman" w:hAnsi="Times New Roman" w:cs="Times New Roman"/>
          <w:b/>
          <w:sz w:val="20"/>
          <w:szCs w:val="20"/>
          <w:lang w:val="es-ES"/>
        </w:rPr>
        <w:t>PROCESO DE ELABORACIÓN DEL INFORME</w:t>
      </w:r>
      <w:bookmarkStart w:id="0" w:name="_Hlk61850005"/>
      <w:bookmarkEnd w:id="0"/>
    </w:p>
    <w:p w14:paraId="3C29C83D" w14:textId="77777777" w:rsidR="00405820" w:rsidRDefault="002F4028">
      <w:pPr>
        <w:numPr>
          <w:ilvl w:val="0"/>
          <w:numId w:val="1"/>
        </w:numPr>
        <w:spacing w:after="240" w:line="240" w:lineRule="auto"/>
        <w:ind w:left="0" w:firstLine="0"/>
        <w:jc w:val="both"/>
        <w:rPr>
          <w:rFonts w:ascii="Times New Roman" w:hAnsi="Times New Roman"/>
        </w:rPr>
      </w:pPr>
      <w:r>
        <w:rPr>
          <w:rFonts w:ascii="Times New Roman" w:hAnsi="Times New Roman" w:cs="Arial"/>
          <w:sz w:val="20"/>
          <w:szCs w:val="20"/>
        </w:rPr>
        <w:t>Las fuentes de datos que se han utilizado para la elaboración del presente Informe están contenidas en censos nacionales, documentos oficiales y de órganos gubernamentales encargados de la vigilancia y validación de las políticas públicas aplicadas por el Estado venezolano. Ha sido de gran relevancia para la elaboración de este informe los aportes utilizados para la redacción del Examen Periódico Universal preparado por la República Bolivariana de Venezuela, como también los informes presentados por el país ante distintos órganos de tratados de los derechos humanos de la Organizaciones de Naciones Unidas.</w:t>
      </w:r>
    </w:p>
    <w:p w14:paraId="29F3ABEC" w14:textId="77777777" w:rsidR="00405820" w:rsidRDefault="002F4028">
      <w:pPr>
        <w:numPr>
          <w:ilvl w:val="0"/>
          <w:numId w:val="1"/>
        </w:numPr>
        <w:spacing w:after="240" w:line="240" w:lineRule="auto"/>
        <w:ind w:left="0" w:firstLine="0"/>
        <w:jc w:val="both"/>
        <w:rPr>
          <w:rFonts w:ascii="Times New Roman" w:hAnsi="Times New Roman"/>
        </w:rPr>
      </w:pPr>
      <w:r>
        <w:rPr>
          <w:rFonts w:ascii="Times New Roman" w:hAnsi="Times New Roman" w:cs="Arial"/>
          <w:sz w:val="20"/>
          <w:szCs w:val="20"/>
        </w:rPr>
        <w:t>La información aquí presentada sigue las pautas de la Compilación de Directrices relativas a la forma y el contenido de los informes que deben presentar los Estados partes en los tratados internacionales de derechos humanos (HRI/GEN/2/Rev.6) y el informe sobre los métodos de trabajo de los órganos de tratados de derechos humanos relativos al proceso de presentación de informes por los Estados partes (HRI/ICM/2010/2), ambos de la ONU.</w:t>
      </w:r>
    </w:p>
    <w:p w14:paraId="04173576" w14:textId="25C95B78" w:rsidR="00405820" w:rsidRDefault="002F4028">
      <w:pPr>
        <w:numPr>
          <w:ilvl w:val="0"/>
          <w:numId w:val="1"/>
        </w:numPr>
        <w:spacing w:after="200" w:line="240" w:lineRule="auto"/>
        <w:ind w:left="0" w:firstLine="0"/>
        <w:jc w:val="both"/>
      </w:pPr>
      <w:r>
        <w:rPr>
          <w:rFonts w:ascii="Times New Roman" w:hAnsi="Times New Roman" w:cs="Times New Roman"/>
          <w:sz w:val="20"/>
          <w:szCs w:val="20"/>
        </w:rPr>
        <w:t xml:space="preserve">Participaron en la elaboración de este informe distintas instancias del Poder Público Nacional: por el Poder Ejecutivo: Los Ministerios del Poder Popular para las Comunas y Movimientos Sociales (MPPCMS), Salud (MPPS), Relaciones Exteriores (MPPRE), Educación (MPPE), Educación Universitaria (MPPEU), Servicios Penitenciarios (MPPSP), Despacho de la Presidencia y Seguimiento a la Gestión del Gobierno (MPPDPSGG), Planificación (MPPP), Comunicación e </w:t>
      </w:r>
      <w:proofErr w:type="spellStart"/>
      <w:r>
        <w:rPr>
          <w:rFonts w:ascii="Times New Roman" w:hAnsi="Times New Roman" w:cs="Times New Roman"/>
          <w:sz w:val="20"/>
          <w:szCs w:val="20"/>
        </w:rPr>
        <w:t>Informaciónm</w:t>
      </w:r>
      <w:proofErr w:type="spellEnd"/>
      <w:r>
        <w:rPr>
          <w:rFonts w:ascii="Times New Roman" w:hAnsi="Times New Roman" w:cs="Times New Roman"/>
          <w:sz w:val="20"/>
          <w:szCs w:val="20"/>
        </w:rPr>
        <w:t xml:space="preserve"> (MPPCI), Economía y Finanzas (MPPEF), Mujer y la Igualdad de Género (MPPMIG), Ciencia y Tecnología (MPPCT), Defensa (MPPD), Proceso Social del Trabajo (MPPPST); el</w:t>
      </w:r>
      <w:r w:rsidR="00882A5E">
        <w:rPr>
          <w:rFonts w:ascii="Times New Roman" w:hAnsi="Times New Roman" w:cs="Times New Roman"/>
          <w:sz w:val="20"/>
          <w:szCs w:val="20"/>
        </w:rPr>
        <w:t xml:space="preserve"> Sistema Rector Nacional para la Protección Integral de Niños, Niñas y Adolescentes (SRNPINNA), el </w:t>
      </w:r>
      <w:r>
        <w:rPr>
          <w:rFonts w:ascii="Times New Roman" w:hAnsi="Times New Roman" w:cs="Times New Roman"/>
          <w:sz w:val="20"/>
          <w:szCs w:val="20"/>
        </w:rPr>
        <w:t xml:space="preserve"> Instituto Nacional de Estadística (INE) y el Instituto Autónomo Consejo Nacional de Derechos de Niños, Niñas y Adolescentes (IDENNA); Por el Poder Ciudadano: el Ministerio Público (MP)y la Defensoría del Pueblo (</w:t>
      </w:r>
      <w:proofErr w:type="spellStart"/>
      <w:r>
        <w:rPr>
          <w:rFonts w:ascii="Times New Roman" w:hAnsi="Times New Roman" w:cs="Times New Roman"/>
          <w:sz w:val="20"/>
          <w:szCs w:val="20"/>
        </w:rPr>
        <w:t>DdP</w:t>
      </w:r>
      <w:proofErr w:type="spellEnd"/>
      <w:r>
        <w:rPr>
          <w:rFonts w:ascii="Times New Roman" w:hAnsi="Times New Roman" w:cs="Times New Roman"/>
          <w:sz w:val="20"/>
          <w:szCs w:val="20"/>
        </w:rPr>
        <w:t>). Por el Poder Judicial: el Tribunal Supremo de Justicia (TSJ), sus distintas Salas, tribunales civiles especializados en materia de protección de niños, niñas y adolescentes y los tribunales penales especializados en materia de responsabilidad penal de los y las adolescentes; el Servicio Autónomo de la Defensa Pública (DP). Por los Poderes Públicos Municipales de las 335 alcaldías: Consejos Municipales de Derechos de Niños, Niñas y Adolescentes (CMDNNA), Consejos de Protección de Niños, Niñas y Adolescentes (CPNNA)y Defensorías de Niños, Niñas y Adolescentes (DNNA).</w:t>
      </w:r>
    </w:p>
    <w:p w14:paraId="096A903D" w14:textId="77777777" w:rsidR="00405820" w:rsidRDefault="002F4028">
      <w:pPr>
        <w:numPr>
          <w:ilvl w:val="0"/>
          <w:numId w:val="1"/>
        </w:numPr>
        <w:spacing w:after="200" w:line="240" w:lineRule="auto"/>
        <w:ind w:left="0" w:firstLine="0"/>
        <w:jc w:val="both"/>
      </w:pPr>
      <w:r>
        <w:rPr>
          <w:rFonts w:ascii="Times New Roman" w:hAnsi="Times New Roman" w:cs="Times New Roman"/>
          <w:sz w:val="20"/>
          <w:szCs w:val="20"/>
        </w:rPr>
        <w:t>El Informe incorpora un análisis cualitativo y cuantitativo de las distintas políticas públicas, con enfoque transversal en derechos humanos, igualdad y equidad de género y la doctrina de la protección integral de los NNA, puestas en marcha por el Estado venezolano en los últimos siete años y que guardan una relación directa con la aplicación de los derechos consagrados en la Convención y los demás instrumentos jurídicos nacionales e internacionales, suscritos y ratificados por la RBV.</w:t>
      </w:r>
    </w:p>
    <w:p w14:paraId="582C399E" w14:textId="77777777" w:rsidR="00405820" w:rsidRDefault="002F4028">
      <w:pPr>
        <w:numPr>
          <w:ilvl w:val="0"/>
          <w:numId w:val="1"/>
        </w:numPr>
        <w:spacing w:after="200" w:line="240" w:lineRule="auto"/>
        <w:ind w:left="0" w:firstLine="0"/>
        <w:jc w:val="both"/>
      </w:pPr>
      <w:r>
        <w:rPr>
          <w:rFonts w:ascii="Times New Roman" w:hAnsi="Times New Roman" w:cs="Times New Roman"/>
          <w:sz w:val="20"/>
          <w:szCs w:val="20"/>
        </w:rPr>
        <w:t xml:space="preserve">Finalmente, es clave informar que su contenido también abarca los resultados de un amplio proceso de consulta con </w:t>
      </w:r>
      <w:proofErr w:type="spellStart"/>
      <w:r>
        <w:rPr>
          <w:rFonts w:ascii="Times New Roman" w:hAnsi="Times New Roman" w:cs="Times New Roman"/>
          <w:sz w:val="20"/>
          <w:szCs w:val="20"/>
        </w:rPr>
        <w:t>niños,niñas</w:t>
      </w:r>
      <w:proofErr w:type="spellEnd"/>
      <w:r>
        <w:rPr>
          <w:rFonts w:ascii="Times New Roman" w:hAnsi="Times New Roman" w:cs="Times New Roman"/>
          <w:sz w:val="20"/>
          <w:szCs w:val="20"/>
        </w:rPr>
        <w:t xml:space="preserve"> y adolescentes (NNA), con movimientos y organizaciones sociales, organizaciones no gubernamentales, académicos y expertos que históricamente han trabajado en para lograr una protección integral de los NNA, a través de distintas metodologías y en jornadas de trabajo realizadas a nivel nacional, las cuales se describen a continuación. </w:t>
      </w:r>
    </w:p>
    <w:p w14:paraId="33AB4AD9" w14:textId="77777777" w:rsidR="00405820" w:rsidRDefault="002F4028">
      <w:pPr>
        <w:numPr>
          <w:ilvl w:val="0"/>
          <w:numId w:val="1"/>
        </w:numPr>
        <w:spacing w:after="200" w:line="240" w:lineRule="auto"/>
        <w:ind w:left="0" w:firstLine="0"/>
        <w:jc w:val="both"/>
      </w:pPr>
      <w:r>
        <w:rPr>
          <w:rFonts w:ascii="Times New Roman" w:hAnsi="Times New Roman" w:cs="Times New Roman"/>
          <w:sz w:val="20"/>
          <w:szCs w:val="20"/>
        </w:rPr>
        <w:t>En el marco de las recomendaciones 35 y 47 del Comité, el Estado venezolano llevó a cabo un amplio proceso de Consulta Pública para la elaboración de este Informe, que tuvo como finalidad identificar los avances y los desafíos del Estado venezolano en el cumplimiento de la Convención durante el período comprendido entre el año 2013 al 2025. Este proceso se desarrolló durante dos meses de manera continua, en todo el territorio nacional, con diversas modalidades para la participación, incluyendo actividades presenciales a pesar de las dificultades derivadas de la pandemia del Covid-19 que imponían complejas precauciones sanitarias. Es importante informar que para el diseño, desarrollo y evaluación de la Consulta Pública se contó con la cooperación técnica de UNICEF.</w:t>
      </w:r>
    </w:p>
    <w:p w14:paraId="4D63489D" w14:textId="77777777" w:rsidR="00405820" w:rsidRDefault="002F4028">
      <w:pPr>
        <w:numPr>
          <w:ilvl w:val="0"/>
          <w:numId w:val="1"/>
        </w:numPr>
        <w:spacing w:after="200" w:line="240" w:lineRule="auto"/>
        <w:ind w:left="0" w:firstLine="0"/>
        <w:jc w:val="both"/>
      </w:pPr>
      <w:r>
        <w:rPr>
          <w:rFonts w:ascii="Times New Roman" w:hAnsi="Times New Roman" w:cs="Times New Roman"/>
          <w:sz w:val="20"/>
          <w:szCs w:val="20"/>
        </w:rPr>
        <w:t xml:space="preserve">En la Consulta Pública participaron los NNA organizados, incluyendo a quienes participan en la Federación Venezolana de Estudiantes de Educación Media (FVEEM) (organización nacional de participación en el Subsistema de Educación Básica), movimientos culturales, de recreación al aire libre y deportivos; así como los y las que se encuentran en situaciones que requieren protección especial, porque tienen alta permanencia en calle, trabajan en el sector informal o en actividades agrícolas, se encuentran en entidades de atención y están bajo una medida de colocación familiar u otros cuidados alternativos. </w:t>
      </w:r>
    </w:p>
    <w:p w14:paraId="74E58A72" w14:textId="77777777" w:rsidR="00405820" w:rsidRDefault="002F4028">
      <w:pPr>
        <w:numPr>
          <w:ilvl w:val="0"/>
          <w:numId w:val="1"/>
        </w:numPr>
        <w:spacing w:after="200" w:line="240" w:lineRule="auto"/>
        <w:ind w:left="0" w:firstLine="0"/>
        <w:jc w:val="both"/>
        <w:rPr>
          <w:rFonts w:ascii="Times New Roman" w:eastAsia="Times New Roman" w:hAnsi="Times New Roman" w:cs="Times New Roman"/>
          <w:sz w:val="20"/>
          <w:szCs w:val="20"/>
          <w:lang w:val="es-ES"/>
        </w:rPr>
      </w:pPr>
      <w:r>
        <w:rPr>
          <w:rFonts w:ascii="Times New Roman" w:hAnsi="Times New Roman" w:cs="Times New Roman"/>
          <w:sz w:val="20"/>
          <w:szCs w:val="20"/>
        </w:rPr>
        <w:t>También se garantizó la participación de las organizaciones de la sociedad civil y movimientos sociales con mandatos en la protección integral de la infancia y adolescencia; expertos en materia de protección integral a la infancia y adolescencia y responsabilidad penal adolescente. Entre ellas, organizaciones no gubernamentales nacionales e internacionales que desarrollan programas de: entidades de atención para NNA; cuidados alternativos para NNA separados temporalmente de sus familias; atención psicológica; fortalecimiento de los vínculos familiares; prevención, atención y erradicación de diversos tipos de violencia como maltrato y abuso sexual; atención de NNA que trabajan; abordaje de NNA en con alta permanencia en calle; rehabilitación de NNA con adicciones; defensorías de NNA de la sociedad civil; recreación al aire libre; cultura como teatro, danza, canto y expresiones folklóricas; deporte; y, acompañamiento a la educación formal.</w:t>
      </w:r>
    </w:p>
    <w:p w14:paraId="24FD2855" w14:textId="77777777" w:rsidR="00405820" w:rsidRDefault="002F4028">
      <w:pPr>
        <w:numPr>
          <w:ilvl w:val="0"/>
          <w:numId w:val="1"/>
        </w:numPr>
        <w:spacing w:after="200" w:line="240" w:lineRule="auto"/>
        <w:ind w:left="0" w:firstLine="0"/>
        <w:jc w:val="both"/>
        <w:rPr>
          <w:rFonts w:ascii="Times New Roman" w:eastAsia="Times New Roman" w:hAnsi="Times New Roman" w:cs="Times New Roman"/>
          <w:sz w:val="20"/>
          <w:szCs w:val="20"/>
          <w:lang w:val="es-ES"/>
        </w:rPr>
      </w:pPr>
      <w:r>
        <w:rPr>
          <w:rFonts w:ascii="Times New Roman" w:hAnsi="Times New Roman" w:cs="Times New Roman"/>
          <w:sz w:val="20"/>
          <w:szCs w:val="20"/>
        </w:rPr>
        <w:t>Adicionalmente, se consultó a universidades, centros de investigación académica, docentes del Subsistema de Educación Básica y docentes e investigadores universitarios del Subsistema de Educación Universitaria, para conocer las opiniones y propuestas del sector académico en la elaboración de este Informe.</w:t>
      </w:r>
    </w:p>
    <w:p w14:paraId="1F011488" w14:textId="77777777" w:rsidR="00405820" w:rsidRDefault="002F4028">
      <w:pPr>
        <w:numPr>
          <w:ilvl w:val="0"/>
          <w:numId w:val="1"/>
        </w:numPr>
        <w:spacing w:after="200" w:line="240" w:lineRule="auto"/>
        <w:ind w:left="0" w:firstLine="0"/>
        <w:jc w:val="both"/>
        <w:rPr>
          <w:rFonts w:ascii="Times New Roman" w:eastAsia="Times New Roman" w:hAnsi="Times New Roman" w:cs="Times New Roman"/>
          <w:sz w:val="20"/>
          <w:szCs w:val="20"/>
          <w:lang w:val="es-ES"/>
        </w:rPr>
      </w:pPr>
      <w:r>
        <w:rPr>
          <w:rFonts w:ascii="Times New Roman" w:hAnsi="Times New Roman" w:cs="Times New Roman"/>
          <w:sz w:val="20"/>
          <w:szCs w:val="20"/>
        </w:rPr>
        <w:t>Finalmente, la consulta también creó espacios de participación para la sociedad en general, entendiendo por ello a las personas que participaron a título individual, sin encontrarse organizadas o asociadas, como también las instituciones públicas servidores públicos y servidoras públicas, tanto en el ámbito nacional, estadal y municipal, con competencia en materia de garantía de los derechos humanos de la infancia y adolescencia, especialmente a los integrantes del Sistema Rector Nacional para la Protección Integral de los Niños, Niñas y Adolescentes y el Sistema de Responsabilidad Penal de los y las Adolescentes (SRNPINNA).</w:t>
      </w:r>
    </w:p>
    <w:p w14:paraId="077D5C1C" w14:textId="77777777" w:rsidR="00405820" w:rsidRDefault="002F4028">
      <w:pPr>
        <w:numPr>
          <w:ilvl w:val="0"/>
          <w:numId w:val="1"/>
        </w:numPr>
        <w:spacing w:after="200" w:line="240" w:lineRule="auto"/>
        <w:ind w:left="0" w:firstLine="0"/>
        <w:jc w:val="both"/>
      </w:pPr>
      <w:r>
        <w:rPr>
          <w:rFonts w:ascii="Times New Roman" w:hAnsi="Times New Roman" w:cs="Times New Roman"/>
          <w:sz w:val="20"/>
          <w:szCs w:val="20"/>
        </w:rPr>
        <w:t>En general, en la metodología se emplearon dos preguntas generadoras dirigidas a sistematizar los avances más importantes en la protección integral de los derechos humanos de los NNA como también los desafíos más importantes en nuestro país para la protección integral de este sector. La participación de todos estos actores fue registrada, sistematizada y estudiada, como un insumo fundamental para la elaboración del presente informe, particularmente para identificar los avances y desafíos en torno a la aplicación de la Convención en la República Bolivariana de Venezuela.</w:t>
      </w:r>
    </w:p>
    <w:p w14:paraId="6F434236" w14:textId="77777777" w:rsidR="00405820" w:rsidRDefault="002F4028">
      <w:pPr>
        <w:numPr>
          <w:ilvl w:val="0"/>
          <w:numId w:val="1"/>
        </w:numPr>
        <w:spacing w:after="200" w:line="240" w:lineRule="auto"/>
        <w:ind w:left="0" w:firstLine="0"/>
        <w:jc w:val="both"/>
      </w:pPr>
      <w:r>
        <w:rPr>
          <w:rFonts w:ascii="Times New Roman" w:hAnsi="Times New Roman" w:cs="Times New Roman"/>
          <w:sz w:val="20"/>
          <w:szCs w:val="20"/>
        </w:rPr>
        <w:t>La Consulta Pública se desarrolló mediante el despliegue de distintas metodologías que combinaban estrategias diversas para asegurar el alcance deseado. Entre otras alternativas se incluyeron:</w:t>
      </w:r>
    </w:p>
    <w:p w14:paraId="024FF99F" w14:textId="77777777" w:rsidR="00405820" w:rsidRDefault="002F4028">
      <w:pPr>
        <w:pStyle w:val="ListParagraph"/>
        <w:numPr>
          <w:ilvl w:val="0"/>
          <w:numId w:val="2"/>
        </w:numPr>
        <w:spacing w:after="200" w:line="240" w:lineRule="auto"/>
        <w:jc w:val="both"/>
      </w:pPr>
      <w:r>
        <w:rPr>
          <w:rFonts w:cs="Times New Roman"/>
          <w:sz w:val="20"/>
          <w:szCs w:val="20"/>
        </w:rPr>
        <w:t>La convocatoria pública y la promoción de la participación ciudadana realizada desde las más altas autoridades públicas competentes en la materia</w:t>
      </w:r>
      <w:r>
        <w:rPr>
          <w:rFonts w:eastAsia="Times New Roman" w:cs="Times New Roman"/>
          <w:sz w:val="20"/>
          <w:szCs w:val="20"/>
          <w:lang w:val="es-ES"/>
        </w:rPr>
        <w:t>.</w:t>
      </w:r>
    </w:p>
    <w:p w14:paraId="512800BC" w14:textId="77777777" w:rsidR="00405820" w:rsidRDefault="00405820">
      <w:pPr>
        <w:pStyle w:val="ListParagraph"/>
        <w:spacing w:after="200" w:line="240" w:lineRule="auto"/>
        <w:ind w:left="2148"/>
        <w:jc w:val="both"/>
        <w:rPr>
          <w:rFonts w:eastAsia="Times New Roman" w:cs="Times New Roman"/>
          <w:sz w:val="20"/>
          <w:szCs w:val="20"/>
          <w:lang w:val="es-ES"/>
        </w:rPr>
      </w:pPr>
    </w:p>
    <w:p w14:paraId="06B0FA14" w14:textId="77777777" w:rsidR="00405820" w:rsidRDefault="002F4028">
      <w:pPr>
        <w:pStyle w:val="ListParagraph"/>
        <w:numPr>
          <w:ilvl w:val="0"/>
          <w:numId w:val="2"/>
        </w:numPr>
        <w:spacing w:after="200" w:line="240" w:lineRule="auto"/>
        <w:jc w:val="both"/>
      </w:pPr>
      <w:r>
        <w:rPr>
          <w:rFonts w:cs="Times New Roman"/>
          <w:sz w:val="20"/>
          <w:szCs w:val="20"/>
        </w:rPr>
        <w:t xml:space="preserve">Una encuesta en línea disponible en el portal de internet del Consejo Nacional de Derechos Humanos (CNDDHH) </w:t>
      </w:r>
      <w:hyperlink r:id="rId9">
        <w:r>
          <w:rPr>
            <w:rStyle w:val="EnlacedeInternet"/>
            <w:rFonts w:cs="Times New Roman"/>
            <w:sz w:val="20"/>
            <w:szCs w:val="20"/>
          </w:rPr>
          <w:t>http://consejoderechoshumanos.gob.ve/</w:t>
        </w:r>
      </w:hyperlink>
      <w:r>
        <w:rPr>
          <w:rFonts w:cs="Times New Roman"/>
          <w:sz w:val="20"/>
          <w:szCs w:val="20"/>
        </w:rPr>
        <w:t>.</w:t>
      </w:r>
    </w:p>
    <w:p w14:paraId="4E768A36" w14:textId="77777777" w:rsidR="00405820" w:rsidRDefault="00405820">
      <w:pPr>
        <w:pStyle w:val="ListParagraph"/>
        <w:spacing w:after="200" w:line="240" w:lineRule="auto"/>
        <w:ind w:left="1428"/>
        <w:jc w:val="both"/>
        <w:rPr>
          <w:rFonts w:eastAsia="Times New Roman" w:cs="Times New Roman"/>
          <w:sz w:val="20"/>
          <w:szCs w:val="20"/>
          <w:lang w:val="es-ES"/>
        </w:rPr>
      </w:pPr>
    </w:p>
    <w:p w14:paraId="34A11541" w14:textId="77777777" w:rsidR="00405820" w:rsidRDefault="002F4028">
      <w:pPr>
        <w:pStyle w:val="ListParagraph"/>
        <w:numPr>
          <w:ilvl w:val="0"/>
          <w:numId w:val="2"/>
        </w:numPr>
        <w:spacing w:after="200" w:line="240" w:lineRule="auto"/>
        <w:jc w:val="both"/>
      </w:pPr>
      <w:r>
        <w:rPr>
          <w:rFonts w:cs="Times New Roman"/>
          <w:sz w:val="20"/>
          <w:szCs w:val="20"/>
        </w:rPr>
        <w:t>Consultas de carácter virtual con actores claves de la sociedad civil y el Estado venezolano relacionados con el cumplimiento de la Convención, incluyendo NNA organizados</w:t>
      </w:r>
      <w:r>
        <w:rPr>
          <w:rStyle w:val="Ancladenotaalpie"/>
          <w:rFonts w:cs="Times New Roman"/>
          <w:sz w:val="20"/>
          <w:szCs w:val="20"/>
        </w:rPr>
        <w:footnoteReference w:id="9"/>
      </w:r>
      <w:r>
        <w:rPr>
          <w:rFonts w:cs="Times New Roman"/>
          <w:sz w:val="20"/>
          <w:szCs w:val="20"/>
        </w:rPr>
        <w:t>. Es importante indicar que la plataforma virtual facilitó la participación de actores de diferentes regiones, estados y localidades del territorio nacional.</w:t>
      </w:r>
    </w:p>
    <w:p w14:paraId="22B93E13" w14:textId="77777777" w:rsidR="00405820" w:rsidRDefault="00405820">
      <w:pPr>
        <w:pStyle w:val="ListParagraph"/>
        <w:rPr>
          <w:rFonts w:cs="Times New Roman"/>
          <w:sz w:val="20"/>
          <w:szCs w:val="20"/>
        </w:rPr>
      </w:pPr>
    </w:p>
    <w:p w14:paraId="378F221D" w14:textId="77777777" w:rsidR="00405820" w:rsidRDefault="002F4028">
      <w:pPr>
        <w:pStyle w:val="ListParagraph"/>
        <w:numPr>
          <w:ilvl w:val="0"/>
          <w:numId w:val="2"/>
        </w:numPr>
        <w:spacing w:after="200" w:line="240" w:lineRule="auto"/>
        <w:jc w:val="both"/>
      </w:pPr>
      <w:r>
        <w:rPr>
          <w:rFonts w:cs="Times New Roman"/>
          <w:sz w:val="20"/>
          <w:szCs w:val="20"/>
        </w:rPr>
        <w:t>Eventos de consulta pública presencial en siete estados del país, que representan las grandes regiones geográficas del territorio nacional con actores claves de la sociedad civil y el Estado venezolano relacionados con el cumplimiento de la Convención  incluyendo NNA organizados</w:t>
      </w:r>
      <w:r>
        <w:rPr>
          <w:rStyle w:val="Ancladenotaalpie"/>
          <w:rFonts w:cs="Times New Roman"/>
          <w:sz w:val="20"/>
          <w:szCs w:val="20"/>
        </w:rPr>
        <w:footnoteReference w:id="10"/>
      </w:r>
      <w:r>
        <w:rPr>
          <w:rFonts w:cs="Times New Roman"/>
          <w:sz w:val="20"/>
          <w:szCs w:val="20"/>
        </w:rPr>
        <w:t xml:space="preserve">. </w:t>
      </w:r>
    </w:p>
    <w:p w14:paraId="091C89C1" w14:textId="77777777" w:rsidR="00405820" w:rsidRDefault="002F4028">
      <w:pPr>
        <w:numPr>
          <w:ilvl w:val="0"/>
          <w:numId w:val="1"/>
        </w:numPr>
        <w:spacing w:after="200" w:line="240" w:lineRule="auto"/>
        <w:ind w:left="0" w:firstLine="0"/>
        <w:jc w:val="both"/>
      </w:pPr>
      <w:r>
        <w:rPr>
          <w:rFonts w:ascii="Times New Roman" w:hAnsi="Times New Roman" w:cs="Times New Roman"/>
          <w:sz w:val="20"/>
          <w:szCs w:val="20"/>
        </w:rPr>
        <w:t>Además, se convocó y recibieron aportaciones mediante documentos escritos a través de un correo electrónico especialmente creado para recibir la participación de la sociedad civil y de personas individuales sobre los temas de su interés relacionados con el cumplimiento de la Convención durante el período comprendido entre el año 2013 al 2024.</w:t>
      </w:r>
    </w:p>
    <w:p w14:paraId="26DD7513" w14:textId="77777777" w:rsidR="00405820" w:rsidRDefault="002F4028">
      <w:pPr>
        <w:numPr>
          <w:ilvl w:val="0"/>
          <w:numId w:val="1"/>
        </w:numPr>
        <w:spacing w:after="200" w:line="240" w:lineRule="auto"/>
        <w:ind w:left="0" w:firstLine="0"/>
        <w:jc w:val="both"/>
        <w:rPr>
          <w:rFonts w:ascii="Times New Roman" w:eastAsia="Times New Roman" w:hAnsi="Times New Roman" w:cs="Times New Roman"/>
          <w:sz w:val="20"/>
          <w:szCs w:val="20"/>
          <w:lang w:val="es-ES"/>
        </w:rPr>
      </w:pPr>
      <w:r>
        <w:rPr>
          <w:rFonts w:ascii="Times New Roman" w:hAnsi="Times New Roman" w:cs="Times New Roman"/>
          <w:sz w:val="20"/>
          <w:szCs w:val="20"/>
        </w:rPr>
        <w:t>En el proceso de Consulta Pública participaron 17.784 personas distribuidas de la siguiente manera según el tipo de metodología empleada:</w:t>
      </w:r>
    </w:p>
    <w:p w14:paraId="18E12A14" w14:textId="77777777" w:rsidR="00405820" w:rsidRDefault="002F4028">
      <w:pPr>
        <w:pStyle w:val="Ttulo11"/>
        <w:spacing w:before="0" w:after="0" w:line="240" w:lineRule="auto"/>
        <w:jc w:val="center"/>
        <w:rPr>
          <w:rFonts w:ascii="Times New Roman" w:hAnsi="Times New Roman"/>
          <w:sz w:val="20"/>
          <w:szCs w:val="20"/>
          <w:lang w:val="es-ES_tradnl"/>
        </w:rPr>
      </w:pPr>
      <w:r>
        <w:rPr>
          <w:rFonts w:ascii="Times New Roman" w:hAnsi="Times New Roman"/>
          <w:sz w:val="20"/>
          <w:szCs w:val="20"/>
          <w:lang w:val="es-ES_tradnl"/>
        </w:rPr>
        <w:t>Tabla I</w:t>
      </w:r>
    </w:p>
    <w:p w14:paraId="11180262" w14:textId="77777777" w:rsidR="00405820" w:rsidRDefault="002F4028">
      <w:pPr>
        <w:pStyle w:val="SingleTxtG"/>
        <w:spacing w:after="0" w:line="240" w:lineRule="auto"/>
        <w:ind w:left="0" w:right="0"/>
        <w:jc w:val="center"/>
        <w:rPr>
          <w:b/>
          <w:lang w:val="es-ES_tradnl"/>
        </w:rPr>
      </w:pPr>
      <w:r>
        <w:rPr>
          <w:b/>
          <w:lang w:val="es-ES_tradnl"/>
        </w:rPr>
        <w:t>Personas consultadas</w:t>
      </w:r>
    </w:p>
    <w:p w14:paraId="61201728" w14:textId="77777777" w:rsidR="00405820" w:rsidRDefault="00405820">
      <w:pPr>
        <w:pStyle w:val="SingleTxtG"/>
        <w:spacing w:after="0" w:line="240" w:lineRule="auto"/>
        <w:ind w:left="0" w:right="0"/>
        <w:jc w:val="center"/>
        <w:rPr>
          <w:b/>
          <w:lang w:val="es-ES_tradnl"/>
        </w:rPr>
      </w:pPr>
    </w:p>
    <w:tbl>
      <w:tblPr>
        <w:tblStyle w:val="TableGrid"/>
        <w:tblW w:w="5562" w:type="dxa"/>
        <w:tblInd w:w="1807" w:type="dxa"/>
        <w:tblCellMar>
          <w:left w:w="0" w:type="dxa"/>
          <w:right w:w="0" w:type="dxa"/>
        </w:tblCellMar>
        <w:tblLook w:val="04A0" w:firstRow="1" w:lastRow="0" w:firstColumn="1" w:lastColumn="0" w:noHBand="0" w:noVBand="1"/>
      </w:tblPr>
      <w:tblGrid>
        <w:gridCol w:w="2754"/>
        <w:gridCol w:w="2808"/>
      </w:tblGrid>
      <w:tr w:rsidR="00405820" w14:paraId="3574ACF9" w14:textId="77777777">
        <w:trPr>
          <w:trHeight w:val="240"/>
          <w:tblHeader/>
        </w:trPr>
        <w:tc>
          <w:tcPr>
            <w:tcW w:w="2754" w:type="dxa"/>
            <w:tcBorders>
              <w:left w:val="nil"/>
              <w:bottom w:val="single" w:sz="12" w:space="0" w:color="000000"/>
              <w:right w:val="nil"/>
            </w:tcBorders>
            <w:vAlign w:val="bottom"/>
          </w:tcPr>
          <w:p w14:paraId="27254428" w14:textId="77777777" w:rsidR="00405820" w:rsidRDefault="002F4028">
            <w:pPr>
              <w:spacing w:before="80" w:after="80" w:line="200" w:lineRule="exact"/>
              <w:rPr>
                <w:b/>
                <w:bCs/>
              </w:rPr>
            </w:pPr>
            <w:r>
              <w:rPr>
                <w:b/>
                <w:bCs/>
                <w:i/>
                <w:sz w:val="20"/>
                <w:lang w:val="es-ES_tradnl"/>
              </w:rPr>
              <w:t>Metodología</w:t>
            </w:r>
          </w:p>
        </w:tc>
        <w:tc>
          <w:tcPr>
            <w:tcW w:w="2807" w:type="dxa"/>
            <w:tcBorders>
              <w:left w:val="nil"/>
              <w:bottom w:val="single" w:sz="12" w:space="0" w:color="000000"/>
              <w:right w:val="nil"/>
            </w:tcBorders>
            <w:vAlign w:val="bottom"/>
          </w:tcPr>
          <w:p w14:paraId="5BB47837" w14:textId="77777777" w:rsidR="00405820" w:rsidRDefault="002F4028">
            <w:pPr>
              <w:spacing w:before="80" w:after="80" w:line="200" w:lineRule="exact"/>
              <w:ind w:left="-57"/>
              <w:jc w:val="center"/>
              <w:rPr>
                <w:b/>
                <w:bCs/>
              </w:rPr>
            </w:pPr>
            <w:r>
              <w:rPr>
                <w:b/>
                <w:bCs/>
                <w:i/>
                <w:sz w:val="20"/>
                <w:lang w:val="es-ES_tradnl"/>
              </w:rPr>
              <w:t xml:space="preserve">                  Número de personas</w:t>
            </w:r>
          </w:p>
        </w:tc>
      </w:tr>
      <w:tr w:rsidR="00405820" w14:paraId="4F92D2FF" w14:textId="77777777">
        <w:trPr>
          <w:trHeight w:val="240"/>
        </w:trPr>
        <w:tc>
          <w:tcPr>
            <w:tcW w:w="2754" w:type="dxa"/>
            <w:tcBorders>
              <w:top w:val="single" w:sz="12" w:space="0" w:color="000000"/>
              <w:left w:val="nil"/>
              <w:bottom w:val="nil"/>
              <w:right w:val="nil"/>
            </w:tcBorders>
          </w:tcPr>
          <w:p w14:paraId="581CA1E0" w14:textId="77777777" w:rsidR="00405820" w:rsidRPr="00B23088" w:rsidRDefault="002F4028">
            <w:pPr>
              <w:spacing w:before="40" w:after="40" w:line="220" w:lineRule="exact"/>
              <w:rPr>
                <w:rFonts w:ascii="Times New Roman" w:hAnsi="Times New Roman" w:cs="Times New Roman"/>
                <w:sz w:val="16"/>
                <w:szCs w:val="16"/>
                <w:lang w:val="es-VE"/>
              </w:rPr>
            </w:pPr>
            <w:r w:rsidRPr="00B23088">
              <w:rPr>
                <w:rFonts w:ascii="Times New Roman" w:hAnsi="Times New Roman" w:cs="Times New Roman"/>
                <w:sz w:val="16"/>
                <w:szCs w:val="16"/>
                <w:lang w:val="es-VE"/>
              </w:rPr>
              <w:t>Encuesta en el portal de internet.</w:t>
            </w:r>
          </w:p>
        </w:tc>
        <w:tc>
          <w:tcPr>
            <w:tcW w:w="2807" w:type="dxa"/>
            <w:tcBorders>
              <w:top w:val="single" w:sz="12" w:space="0" w:color="000000"/>
              <w:left w:val="nil"/>
              <w:bottom w:val="nil"/>
              <w:right w:val="nil"/>
            </w:tcBorders>
            <w:vAlign w:val="bottom"/>
          </w:tcPr>
          <w:p w14:paraId="5D7AEAE9" w14:textId="77777777" w:rsidR="00405820" w:rsidRDefault="002F4028">
            <w:pPr>
              <w:spacing w:before="40" w:after="40" w:line="220" w:lineRule="exact"/>
              <w:ind w:left="113"/>
              <w:jc w:val="right"/>
              <w:rPr>
                <w:rFonts w:ascii="Times New Roman" w:hAnsi="Times New Roman" w:cs="Times New Roman"/>
                <w:sz w:val="16"/>
                <w:szCs w:val="16"/>
                <w:lang w:val="es-ES_tradnl"/>
              </w:rPr>
            </w:pPr>
            <w:r>
              <w:rPr>
                <w:rFonts w:ascii="Times New Roman" w:hAnsi="Times New Roman" w:cs="Times New Roman"/>
                <w:sz w:val="16"/>
                <w:szCs w:val="16"/>
              </w:rPr>
              <w:t>15.995</w:t>
            </w:r>
          </w:p>
        </w:tc>
      </w:tr>
      <w:tr w:rsidR="00405820" w14:paraId="1E184DE3" w14:textId="77777777">
        <w:trPr>
          <w:trHeight w:val="240"/>
        </w:trPr>
        <w:tc>
          <w:tcPr>
            <w:tcW w:w="2754" w:type="dxa"/>
            <w:tcBorders>
              <w:top w:val="nil"/>
              <w:left w:val="nil"/>
              <w:bottom w:val="nil"/>
              <w:right w:val="nil"/>
            </w:tcBorders>
          </w:tcPr>
          <w:p w14:paraId="4EB55F1F" w14:textId="77777777" w:rsidR="00405820" w:rsidRDefault="002F4028">
            <w:pPr>
              <w:spacing w:before="40" w:after="40" w:line="220" w:lineRule="exact"/>
              <w:rPr>
                <w:rFonts w:ascii="Times New Roman" w:hAnsi="Times New Roman" w:cs="Times New Roman"/>
                <w:sz w:val="16"/>
                <w:szCs w:val="16"/>
                <w:lang w:val="es-ES_tradnl"/>
              </w:rPr>
            </w:pPr>
            <w:proofErr w:type="spellStart"/>
            <w:r>
              <w:rPr>
                <w:rFonts w:ascii="Times New Roman" w:hAnsi="Times New Roman" w:cs="Times New Roman"/>
                <w:sz w:val="16"/>
                <w:szCs w:val="16"/>
              </w:rPr>
              <w:t>Reuniones</w:t>
            </w:r>
            <w:proofErr w:type="spellEnd"/>
            <w:r>
              <w:rPr>
                <w:rFonts w:ascii="Times New Roman" w:hAnsi="Times New Roman" w:cs="Times New Roman"/>
                <w:sz w:val="16"/>
                <w:szCs w:val="16"/>
              </w:rPr>
              <w:t xml:space="preserve"> de </w:t>
            </w:r>
            <w:proofErr w:type="spellStart"/>
            <w:r>
              <w:rPr>
                <w:rFonts w:ascii="Times New Roman" w:hAnsi="Times New Roman" w:cs="Times New Roman"/>
                <w:sz w:val="16"/>
                <w:szCs w:val="16"/>
              </w:rPr>
              <w:t>carácter</w:t>
            </w:r>
            <w:proofErr w:type="spellEnd"/>
            <w:r>
              <w:rPr>
                <w:rFonts w:ascii="Times New Roman" w:hAnsi="Times New Roman" w:cs="Times New Roman"/>
                <w:sz w:val="16"/>
                <w:szCs w:val="16"/>
              </w:rPr>
              <w:t xml:space="preserve"> virtual.</w:t>
            </w:r>
          </w:p>
        </w:tc>
        <w:tc>
          <w:tcPr>
            <w:tcW w:w="2807" w:type="dxa"/>
            <w:tcBorders>
              <w:top w:val="nil"/>
              <w:left w:val="nil"/>
              <w:bottom w:val="nil"/>
              <w:right w:val="nil"/>
            </w:tcBorders>
            <w:vAlign w:val="bottom"/>
          </w:tcPr>
          <w:p w14:paraId="1F0F03FA" w14:textId="77777777" w:rsidR="00405820" w:rsidRDefault="002F4028">
            <w:pPr>
              <w:spacing w:before="40" w:after="40" w:line="220" w:lineRule="exact"/>
              <w:ind w:left="113"/>
              <w:jc w:val="right"/>
              <w:rPr>
                <w:rFonts w:ascii="Times New Roman" w:hAnsi="Times New Roman" w:cs="Times New Roman"/>
                <w:sz w:val="16"/>
                <w:szCs w:val="16"/>
                <w:lang w:val="es-ES_tradnl"/>
              </w:rPr>
            </w:pPr>
            <w:r>
              <w:rPr>
                <w:rFonts w:ascii="Times New Roman" w:hAnsi="Times New Roman" w:cs="Times New Roman"/>
                <w:sz w:val="16"/>
                <w:szCs w:val="16"/>
              </w:rPr>
              <w:t>1035</w:t>
            </w:r>
          </w:p>
        </w:tc>
      </w:tr>
      <w:tr w:rsidR="00405820" w14:paraId="6B628426" w14:textId="77777777">
        <w:trPr>
          <w:trHeight w:val="240"/>
        </w:trPr>
        <w:tc>
          <w:tcPr>
            <w:tcW w:w="2754" w:type="dxa"/>
            <w:tcBorders>
              <w:top w:val="nil"/>
              <w:left w:val="nil"/>
              <w:bottom w:val="nil"/>
              <w:right w:val="nil"/>
            </w:tcBorders>
          </w:tcPr>
          <w:p w14:paraId="2570BC8E" w14:textId="77777777" w:rsidR="00405820" w:rsidRDefault="002F4028">
            <w:pPr>
              <w:spacing w:before="40" w:after="40" w:line="220" w:lineRule="exact"/>
              <w:rPr>
                <w:rFonts w:ascii="Times New Roman" w:hAnsi="Times New Roman" w:cs="Times New Roman"/>
                <w:sz w:val="16"/>
                <w:szCs w:val="16"/>
                <w:lang w:val="es-ES_tradnl"/>
              </w:rPr>
            </w:pPr>
            <w:proofErr w:type="spellStart"/>
            <w:r>
              <w:rPr>
                <w:rFonts w:ascii="Times New Roman" w:hAnsi="Times New Roman" w:cs="Times New Roman"/>
                <w:sz w:val="16"/>
                <w:szCs w:val="16"/>
              </w:rPr>
              <w:t>Eventos</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presenciales</w:t>
            </w:r>
            <w:proofErr w:type="spellEnd"/>
            <w:r>
              <w:rPr>
                <w:rFonts w:ascii="Times New Roman" w:hAnsi="Times New Roman" w:cs="Times New Roman"/>
                <w:sz w:val="16"/>
                <w:szCs w:val="16"/>
              </w:rPr>
              <w:t>.</w:t>
            </w:r>
          </w:p>
        </w:tc>
        <w:tc>
          <w:tcPr>
            <w:tcW w:w="2807" w:type="dxa"/>
            <w:tcBorders>
              <w:top w:val="nil"/>
              <w:left w:val="nil"/>
              <w:bottom w:val="nil"/>
              <w:right w:val="nil"/>
            </w:tcBorders>
            <w:vAlign w:val="bottom"/>
          </w:tcPr>
          <w:p w14:paraId="70FE6B2D" w14:textId="77777777" w:rsidR="00405820" w:rsidRDefault="002F4028">
            <w:pPr>
              <w:spacing w:before="40" w:after="40" w:line="220" w:lineRule="exact"/>
              <w:ind w:left="113"/>
              <w:jc w:val="right"/>
              <w:rPr>
                <w:rFonts w:ascii="Times New Roman" w:hAnsi="Times New Roman" w:cs="Times New Roman"/>
                <w:sz w:val="16"/>
                <w:szCs w:val="16"/>
                <w:lang w:val="es-ES_tradnl"/>
              </w:rPr>
            </w:pPr>
            <w:r>
              <w:rPr>
                <w:rFonts w:ascii="Times New Roman" w:hAnsi="Times New Roman" w:cs="Times New Roman"/>
                <w:sz w:val="16"/>
                <w:szCs w:val="16"/>
              </w:rPr>
              <w:t>754</w:t>
            </w:r>
          </w:p>
        </w:tc>
      </w:tr>
      <w:tr w:rsidR="00405820" w14:paraId="135C227D" w14:textId="77777777">
        <w:trPr>
          <w:trHeight w:val="240"/>
        </w:trPr>
        <w:tc>
          <w:tcPr>
            <w:tcW w:w="2754" w:type="dxa"/>
            <w:tcBorders>
              <w:left w:val="nil"/>
              <w:bottom w:val="single" w:sz="12" w:space="0" w:color="000000"/>
              <w:right w:val="nil"/>
            </w:tcBorders>
          </w:tcPr>
          <w:p w14:paraId="3D7487BD" w14:textId="77777777" w:rsidR="00405820" w:rsidRDefault="002F4028">
            <w:pPr>
              <w:spacing w:before="80" w:after="80" w:line="220" w:lineRule="exact"/>
              <w:ind w:left="283"/>
              <w:rPr>
                <w:rFonts w:ascii="Times New Roman" w:hAnsi="Times New Roman" w:cs="Times New Roman"/>
                <w:b/>
                <w:sz w:val="16"/>
                <w:szCs w:val="16"/>
                <w:lang w:val="es-ES_tradnl"/>
              </w:rPr>
            </w:pPr>
            <w:r>
              <w:rPr>
                <w:rFonts w:ascii="Times New Roman" w:hAnsi="Times New Roman" w:cs="Times New Roman"/>
                <w:b/>
                <w:sz w:val="16"/>
                <w:szCs w:val="16"/>
                <w:lang w:val="es-ES_tradnl"/>
              </w:rPr>
              <w:t>Total</w:t>
            </w:r>
          </w:p>
        </w:tc>
        <w:tc>
          <w:tcPr>
            <w:tcW w:w="2807" w:type="dxa"/>
            <w:tcBorders>
              <w:left w:val="nil"/>
              <w:bottom w:val="single" w:sz="12" w:space="0" w:color="000000"/>
              <w:right w:val="nil"/>
            </w:tcBorders>
            <w:vAlign w:val="bottom"/>
          </w:tcPr>
          <w:p w14:paraId="3A8820B9" w14:textId="77777777" w:rsidR="00405820" w:rsidRDefault="002F4028">
            <w:pPr>
              <w:spacing w:before="80" w:after="80" w:line="220" w:lineRule="exact"/>
              <w:jc w:val="right"/>
              <w:rPr>
                <w:rFonts w:ascii="Times New Roman" w:hAnsi="Times New Roman" w:cs="Times New Roman"/>
                <w:b/>
                <w:sz w:val="16"/>
                <w:szCs w:val="16"/>
                <w:lang w:val="es-ES_tradnl"/>
              </w:rPr>
            </w:pPr>
            <w:r>
              <w:rPr>
                <w:rFonts w:ascii="Times New Roman" w:hAnsi="Times New Roman" w:cs="Times New Roman"/>
                <w:b/>
                <w:sz w:val="16"/>
                <w:szCs w:val="16"/>
              </w:rPr>
              <w:t>17.784</w:t>
            </w:r>
          </w:p>
        </w:tc>
      </w:tr>
    </w:tbl>
    <w:p w14:paraId="50A3E19D" w14:textId="77777777" w:rsidR="00405820" w:rsidRDefault="00405820">
      <w:pPr>
        <w:spacing w:after="200" w:line="240" w:lineRule="auto"/>
        <w:jc w:val="both"/>
        <w:rPr>
          <w:rFonts w:ascii="Times New Roman" w:eastAsia="Times New Roman" w:hAnsi="Times New Roman" w:cs="Times New Roman"/>
          <w:sz w:val="20"/>
          <w:szCs w:val="20"/>
          <w:lang w:val="es-ES"/>
        </w:rPr>
      </w:pPr>
    </w:p>
    <w:p w14:paraId="3A131376" w14:textId="77777777" w:rsidR="00405820" w:rsidRDefault="002F4028">
      <w:pPr>
        <w:numPr>
          <w:ilvl w:val="0"/>
          <w:numId w:val="1"/>
        </w:numPr>
        <w:spacing w:after="200" w:line="240" w:lineRule="auto"/>
        <w:ind w:left="0" w:firstLine="0"/>
        <w:jc w:val="both"/>
      </w:pPr>
      <w:r>
        <w:rPr>
          <w:rFonts w:ascii="Times New Roman" w:hAnsi="Times New Roman" w:cs="Times New Roman"/>
          <w:sz w:val="20"/>
          <w:szCs w:val="20"/>
        </w:rPr>
        <w:t>Asimismo, participaron 87 organizaciones de la sociedad civil y de movimientos sociales nacionales e internacionales que tienen trabajo en materia de protección de los derechos de los NNA. Es importante destacar que los eventos de consulta presenciales y virtuales facilitaron la participación de organizaciones no gubernamentales de todo el territorio nacional.</w:t>
      </w:r>
    </w:p>
    <w:p w14:paraId="08DE5E07" w14:textId="77777777" w:rsidR="00405820" w:rsidRDefault="002F4028">
      <w:pPr>
        <w:spacing w:after="200" w:line="240" w:lineRule="auto"/>
        <w:jc w:val="both"/>
        <w:rPr>
          <w:rStyle w:val="y2iqfc"/>
          <w:rFonts w:ascii="Times New Roman" w:eastAsia="Times New Roman" w:hAnsi="Times New Roman" w:cs="Times New Roman"/>
          <w:sz w:val="20"/>
          <w:szCs w:val="20"/>
          <w:lang w:val="es-ES"/>
        </w:rPr>
      </w:pPr>
      <w:r>
        <w:rPr>
          <w:rFonts w:ascii="Times New Roman" w:hAnsi="Times New Roman" w:cs="Times New Roman"/>
          <w:sz w:val="20"/>
          <w:szCs w:val="20"/>
        </w:rPr>
        <w:t>I</w:t>
      </w:r>
      <w:r>
        <w:rPr>
          <w:rStyle w:val="y2iqfc"/>
          <w:rFonts w:ascii="Times New Roman" w:hAnsi="Times New Roman" w:cs="Times New Roman"/>
          <w:b/>
          <w:sz w:val="20"/>
          <w:szCs w:val="20"/>
          <w:lang w:val="es-ES"/>
        </w:rPr>
        <w:t>V. IMPLEMENTACIÓN DE LA CONVENCIÓN</w:t>
      </w:r>
    </w:p>
    <w:p w14:paraId="55C9E2F2" w14:textId="77777777" w:rsidR="00405820" w:rsidRDefault="00405820">
      <w:pPr>
        <w:spacing w:after="0" w:line="240" w:lineRule="auto"/>
        <w:jc w:val="both"/>
        <w:rPr>
          <w:rFonts w:ascii="Times New Roman" w:eastAsia="Times New Roman" w:hAnsi="Times New Roman" w:cs="Times New Roman"/>
          <w:sz w:val="20"/>
          <w:szCs w:val="20"/>
        </w:rPr>
      </w:pPr>
    </w:p>
    <w:p w14:paraId="3D1444CB" w14:textId="77777777" w:rsidR="00405820" w:rsidRDefault="002F4028">
      <w:pPr>
        <w:spacing w:after="0" w:line="240" w:lineRule="auto"/>
        <w:jc w:val="both"/>
      </w:pPr>
      <w:r>
        <w:rPr>
          <w:rFonts w:ascii="Times New Roman" w:hAnsi="Times New Roman" w:cs="Times New Roman"/>
          <w:b/>
          <w:bCs/>
          <w:sz w:val="20"/>
          <w:szCs w:val="20"/>
        </w:rPr>
        <w:t xml:space="preserve">1. Medidas generales de aplicación </w:t>
      </w:r>
    </w:p>
    <w:p w14:paraId="4D9FE248" w14:textId="77777777" w:rsidR="00405820" w:rsidRDefault="00405820">
      <w:pPr>
        <w:pStyle w:val="ListParagraph"/>
        <w:rPr>
          <w:rFonts w:cs="Times New Roman"/>
          <w:b/>
          <w:bCs/>
          <w:sz w:val="20"/>
          <w:szCs w:val="20"/>
        </w:rPr>
      </w:pPr>
    </w:p>
    <w:p w14:paraId="09B8C963" w14:textId="77777777" w:rsidR="00405820" w:rsidRDefault="002F4028">
      <w:pPr>
        <w:spacing w:after="0" w:line="240" w:lineRule="auto"/>
        <w:jc w:val="both"/>
      </w:pPr>
      <w:r>
        <w:rPr>
          <w:rFonts w:ascii="Times New Roman" w:hAnsi="Times New Roman" w:cs="Times New Roman"/>
          <w:b/>
          <w:bCs/>
          <w:sz w:val="20"/>
          <w:szCs w:val="20"/>
        </w:rPr>
        <w:t xml:space="preserve">a) Medidas adoptadas para armonizar plenamente la legislación y la práctica nacional con los principios y disposiciones de la Convención </w:t>
      </w:r>
    </w:p>
    <w:p w14:paraId="11129DA7" w14:textId="77777777" w:rsidR="00405820" w:rsidRDefault="00405820">
      <w:pPr>
        <w:pStyle w:val="ListParagraph"/>
        <w:rPr>
          <w:rFonts w:cs="Times New Roman"/>
          <w:sz w:val="20"/>
          <w:szCs w:val="20"/>
        </w:rPr>
      </w:pPr>
    </w:p>
    <w:p w14:paraId="1236DC79"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Las disposiciones de la Convención han sido incorporadas al derecho interno en la Constitución de la RBV y a través de distintas leyes que regulan los derechos de los niños, niñas y adolescentes. </w:t>
      </w:r>
    </w:p>
    <w:p w14:paraId="5DB4C866" w14:textId="77777777" w:rsidR="00405820" w:rsidRDefault="00405820">
      <w:pPr>
        <w:pStyle w:val="ListParagraph"/>
        <w:rPr>
          <w:rFonts w:cs="Times New Roman"/>
          <w:sz w:val="20"/>
          <w:szCs w:val="20"/>
        </w:rPr>
      </w:pPr>
    </w:p>
    <w:p w14:paraId="7B78E4F7" w14:textId="50A0C679" w:rsidR="00405820" w:rsidRDefault="002F4028">
      <w:pPr>
        <w:numPr>
          <w:ilvl w:val="0"/>
          <w:numId w:val="1"/>
        </w:numPr>
        <w:spacing w:after="0" w:line="240" w:lineRule="auto"/>
        <w:ind w:left="0" w:firstLine="0"/>
        <w:jc w:val="both"/>
      </w:pPr>
      <w:r>
        <w:rPr>
          <w:rFonts w:ascii="Times New Roman" w:hAnsi="Times New Roman" w:cs="Times New Roman"/>
          <w:sz w:val="20"/>
          <w:szCs w:val="20"/>
        </w:rPr>
        <w:t>El artículo 78 de la CRBV reconoce a los NNA como sujetos plenos de derecho, incluyendo su capacidad jurídica progresiva para el ejercicio de los mismos; establece los principios fundamentales de la Convención, como el interés superior, la prioridad absoluta, la universalidad de la protección integral (jurídica y social); la las obligaciones generales del Estado, las familias y la sociedad en la garantía de sus derechos; y, establece la creación del Sistema Rector Nacional de Protección Integral de Niños, Niñas y Adolescentes.</w:t>
      </w:r>
      <w:r>
        <w:rPr>
          <w:rFonts w:ascii="Times New Roman" w:eastAsia="Times New Roman" w:hAnsi="Times New Roman" w:cs="Times New Roman"/>
          <w:sz w:val="20"/>
          <w:szCs w:val="20"/>
        </w:rPr>
        <w:t>(SRNPINNA)</w:t>
      </w:r>
    </w:p>
    <w:p w14:paraId="67F4D7DB" w14:textId="77777777" w:rsidR="00405820" w:rsidRDefault="00405820">
      <w:pPr>
        <w:pStyle w:val="ListParagraph"/>
        <w:rPr>
          <w:rFonts w:cs="Times New Roman"/>
          <w:sz w:val="20"/>
          <w:szCs w:val="20"/>
        </w:rPr>
      </w:pPr>
    </w:p>
    <w:p w14:paraId="3709DDC7" w14:textId="51283AFB"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La Ley Orgánica para la Protección de Niños, Niñas y Adolescentes (LOPNNA), reformada por última vez en 2015, fue la primera </w:t>
      </w:r>
      <w:r w:rsidR="00242768">
        <w:rPr>
          <w:rFonts w:ascii="Times New Roman" w:hAnsi="Times New Roman" w:cs="Times New Roman"/>
          <w:sz w:val="20"/>
          <w:szCs w:val="20"/>
        </w:rPr>
        <w:t>L</w:t>
      </w:r>
      <w:r>
        <w:rPr>
          <w:rFonts w:ascii="Times New Roman" w:hAnsi="Times New Roman" w:cs="Times New Roman"/>
          <w:sz w:val="20"/>
          <w:szCs w:val="20"/>
        </w:rPr>
        <w:t>ey que garantizó la aplicación de la Doctrina de Protección Integral en el ordenamiento jurídico venezolano</w:t>
      </w:r>
      <w:r w:rsidR="007F5AB2">
        <w:rPr>
          <w:rFonts w:ascii="Times New Roman" w:hAnsi="Times New Roman" w:cs="Times New Roman"/>
          <w:sz w:val="20"/>
          <w:szCs w:val="20"/>
        </w:rPr>
        <w:t>.</w:t>
      </w:r>
    </w:p>
    <w:p w14:paraId="108DE061" w14:textId="77777777" w:rsidR="00405820" w:rsidRDefault="00405820">
      <w:pPr>
        <w:pStyle w:val="ListParagraph"/>
        <w:rPr>
          <w:rFonts w:cs="Times New Roman"/>
          <w:sz w:val="20"/>
          <w:szCs w:val="20"/>
        </w:rPr>
      </w:pPr>
    </w:p>
    <w:p w14:paraId="2DE5AED9" w14:textId="35181D5D" w:rsidR="00405820" w:rsidRDefault="002F4028">
      <w:pPr>
        <w:numPr>
          <w:ilvl w:val="0"/>
          <w:numId w:val="1"/>
        </w:numPr>
        <w:spacing w:after="0" w:line="240" w:lineRule="auto"/>
        <w:ind w:left="0" w:firstLine="0"/>
        <w:jc w:val="both"/>
      </w:pPr>
      <w:r>
        <w:rPr>
          <w:rFonts w:ascii="Times New Roman" w:hAnsi="Times New Roman" w:cs="Times New Roman"/>
          <w:sz w:val="20"/>
          <w:szCs w:val="20"/>
        </w:rPr>
        <w:t>La LOPNNA, en su artículo 133, establece que el órgano regente de dicho SRNPINNA es el ministerio del poder popular con competencia en materia de protección integral de infancia y adolescencia, que teniendo en cuenta la Recomendación 12 del Comité, continúa siendo el Ministerio del Poder Popular del Despacho de la Presidencia y Seguimiento de la Gestión de Gobierno</w:t>
      </w:r>
      <w:r w:rsidR="004232B4">
        <w:rPr>
          <w:rFonts w:ascii="Times New Roman" w:hAnsi="Times New Roman" w:cs="Times New Roman"/>
          <w:sz w:val="20"/>
          <w:szCs w:val="20"/>
        </w:rPr>
        <w:t>.</w:t>
      </w:r>
      <w:r>
        <w:rPr>
          <w:rFonts w:ascii="Times New Roman" w:hAnsi="Times New Roman" w:cs="Times New Roman"/>
          <w:sz w:val="20"/>
          <w:szCs w:val="20"/>
        </w:rPr>
        <w:t xml:space="preserve"> </w:t>
      </w:r>
    </w:p>
    <w:p w14:paraId="5F718ADB" w14:textId="77777777" w:rsidR="00405820" w:rsidRDefault="00405820">
      <w:pPr>
        <w:pStyle w:val="ListParagraph"/>
        <w:rPr>
          <w:rFonts w:cs="Times New Roman"/>
          <w:sz w:val="20"/>
          <w:szCs w:val="20"/>
        </w:rPr>
      </w:pPr>
    </w:p>
    <w:p w14:paraId="21E8CD1A"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La gestión y seguimiento de las políticas públicas y programas en materia de infancia y adolescencia se realizan a través del IDENNA, y de sus direcciones regionales en todo el país. Sus atribuciones están establecidas fundamentalmente en el artículo 137 de la LOPNNA.</w:t>
      </w:r>
    </w:p>
    <w:p w14:paraId="7B11143E" w14:textId="77777777" w:rsidR="00405820" w:rsidRDefault="00405820">
      <w:pPr>
        <w:pStyle w:val="ListParagraph"/>
        <w:rPr>
          <w:rFonts w:cs="Times New Roman"/>
          <w:sz w:val="20"/>
          <w:szCs w:val="20"/>
        </w:rPr>
      </w:pPr>
    </w:p>
    <w:p w14:paraId="59427865" w14:textId="2BCC0317" w:rsidR="00405820" w:rsidRDefault="002F4028">
      <w:pPr>
        <w:numPr>
          <w:ilvl w:val="0"/>
          <w:numId w:val="1"/>
        </w:numPr>
        <w:spacing w:after="0" w:line="240" w:lineRule="auto"/>
        <w:ind w:left="0" w:firstLine="0"/>
        <w:jc w:val="both"/>
      </w:pPr>
      <w:r>
        <w:rPr>
          <w:rFonts w:ascii="Times New Roman" w:hAnsi="Times New Roman" w:cs="Times New Roman"/>
          <w:sz w:val="20"/>
          <w:szCs w:val="20"/>
        </w:rPr>
        <w:t>De acuerdo a la Recomendación 20 del Comité sobre los Derechos de los Niños, el Sistema Único de Información Estadística de Niños, Niñas y Adolescentes (SIENNA) presenta boletines anuales que dan cuenta de la atención prestada por los Tribunales de Protección de los NNA en distintas área</w:t>
      </w:r>
      <w:r w:rsidR="006119A5">
        <w:rPr>
          <w:rFonts w:ascii="Times New Roman" w:hAnsi="Times New Roman" w:cs="Times New Roman"/>
          <w:sz w:val="20"/>
          <w:szCs w:val="20"/>
        </w:rPr>
        <w:t>s.</w:t>
      </w:r>
    </w:p>
    <w:p w14:paraId="6611ADDB" w14:textId="77777777" w:rsidR="00405820" w:rsidRDefault="00405820">
      <w:pPr>
        <w:spacing w:after="0" w:line="240" w:lineRule="auto"/>
        <w:jc w:val="both"/>
      </w:pPr>
    </w:p>
    <w:p w14:paraId="4F478B5E" w14:textId="792B36E6" w:rsidR="00405820" w:rsidRDefault="002F4028">
      <w:pPr>
        <w:numPr>
          <w:ilvl w:val="0"/>
          <w:numId w:val="1"/>
        </w:numPr>
        <w:spacing w:after="0" w:line="240" w:lineRule="auto"/>
        <w:ind w:left="0" w:firstLine="0"/>
        <w:jc w:val="both"/>
      </w:pPr>
      <w:r>
        <w:rPr>
          <w:rFonts w:ascii="Times New Roman" w:hAnsi="Times New Roman" w:cs="Arial"/>
          <w:sz w:val="20"/>
          <w:szCs w:val="20"/>
          <w:lang w:val="es-MX"/>
        </w:rPr>
        <w:t>E</w:t>
      </w:r>
      <w:r w:rsidR="00C35B38">
        <w:rPr>
          <w:rFonts w:ascii="Times New Roman" w:hAnsi="Times New Roman" w:cs="Arial"/>
          <w:sz w:val="20"/>
          <w:szCs w:val="20"/>
          <w:lang w:val="es-MX"/>
        </w:rPr>
        <w:t xml:space="preserve">l </w:t>
      </w:r>
      <w:r>
        <w:rPr>
          <w:rFonts w:ascii="Times New Roman" w:hAnsi="Times New Roman" w:cs="Arial"/>
          <w:sz w:val="20"/>
          <w:szCs w:val="20"/>
          <w:lang w:val="es-MX"/>
        </w:rPr>
        <w:t>IDENNA cuenta con veintidós (22) Centros Comunales de Protección Integral (CCPI) en catorce (14) estados del país a saber:  Amazonas, Anzoátegui, Bolívar, Carabobo, Distrito Capital, Falcón, La Guaira, Lara, Mérida, Miranda, Monagas, Sucre, Táchira, Zulia, este  programa preventivo fue  creado desde el año 2013  con el propósito de brindar protección integral a niños, niñas y adolescentes con la participación activa de las comunidades.</w:t>
      </w:r>
    </w:p>
    <w:p w14:paraId="06BA62B4" w14:textId="77777777" w:rsidR="00405820" w:rsidRDefault="00405820">
      <w:pPr>
        <w:spacing w:after="0" w:line="240" w:lineRule="auto"/>
        <w:jc w:val="both"/>
        <w:rPr>
          <w:rFonts w:ascii="Times New Roman" w:hAnsi="Times New Roman" w:cs="Times New Roman"/>
          <w:sz w:val="20"/>
          <w:szCs w:val="20"/>
        </w:rPr>
      </w:pPr>
    </w:p>
    <w:p w14:paraId="376946CB" w14:textId="3E7B34B6" w:rsidR="00405820" w:rsidRDefault="002F4028">
      <w:pPr>
        <w:numPr>
          <w:ilvl w:val="0"/>
          <w:numId w:val="1"/>
        </w:numPr>
        <w:spacing w:after="0" w:line="240" w:lineRule="auto"/>
        <w:ind w:left="0" w:firstLine="0"/>
        <w:jc w:val="both"/>
      </w:pPr>
      <w:r>
        <w:rPr>
          <w:rFonts w:ascii="Times New Roman" w:hAnsi="Times New Roman" w:cs="Arial"/>
          <w:sz w:val="20"/>
          <w:szCs w:val="20"/>
          <w:lang w:val="es-MX"/>
        </w:rPr>
        <w:t xml:space="preserve"> El IDENNA</w:t>
      </w:r>
      <w:r w:rsidR="00C35B38">
        <w:rPr>
          <w:rFonts w:ascii="Times New Roman" w:hAnsi="Times New Roman" w:cs="Arial"/>
          <w:sz w:val="20"/>
          <w:szCs w:val="20"/>
          <w:lang w:val="es-MX"/>
        </w:rPr>
        <w:t xml:space="preserve"> </w:t>
      </w:r>
      <w:r>
        <w:rPr>
          <w:rFonts w:ascii="Times New Roman" w:hAnsi="Times New Roman" w:cs="Arial"/>
          <w:sz w:val="20"/>
          <w:szCs w:val="20"/>
          <w:lang w:val="es-MX"/>
        </w:rPr>
        <w:t>durante el año 2023 elaboró el protocolo de atención a niñas, niños y adolescentes familiares de víctimas de femicidio en coordinación con el circulo de mujeres de la Universidad Bolivariana de Venezuela (UBV)</w:t>
      </w:r>
      <w:r w:rsidR="00BE7314">
        <w:rPr>
          <w:rFonts w:ascii="Times New Roman" w:hAnsi="Times New Roman" w:cs="Arial"/>
          <w:sz w:val="20"/>
          <w:szCs w:val="20"/>
          <w:lang w:val="es-MX"/>
        </w:rPr>
        <w:t xml:space="preserve"> y </w:t>
      </w:r>
      <w:r>
        <w:rPr>
          <w:rFonts w:ascii="Times New Roman" w:hAnsi="Times New Roman" w:cs="Arial"/>
          <w:sz w:val="20"/>
          <w:szCs w:val="20"/>
          <w:lang w:val="es-MX"/>
        </w:rPr>
        <w:t>realiz</w:t>
      </w:r>
      <w:r w:rsidR="00BE7314">
        <w:rPr>
          <w:rFonts w:ascii="Times New Roman" w:hAnsi="Times New Roman" w:cs="Arial"/>
          <w:sz w:val="20"/>
          <w:szCs w:val="20"/>
          <w:lang w:val="es-MX"/>
        </w:rPr>
        <w:t>ó</w:t>
      </w:r>
      <w:r>
        <w:rPr>
          <w:rFonts w:ascii="Times New Roman" w:hAnsi="Times New Roman" w:cs="Arial"/>
          <w:sz w:val="20"/>
          <w:szCs w:val="20"/>
          <w:lang w:val="es-MX"/>
        </w:rPr>
        <w:t xml:space="preserve"> consulta</w:t>
      </w:r>
      <w:r w:rsidR="00BE7314">
        <w:rPr>
          <w:rFonts w:ascii="Times New Roman" w:hAnsi="Times New Roman" w:cs="Arial"/>
          <w:sz w:val="20"/>
          <w:szCs w:val="20"/>
          <w:lang w:val="es-MX"/>
        </w:rPr>
        <w:t>s</w:t>
      </w:r>
      <w:r>
        <w:rPr>
          <w:rFonts w:ascii="Times New Roman" w:hAnsi="Times New Roman" w:cs="Arial"/>
          <w:sz w:val="20"/>
          <w:szCs w:val="20"/>
          <w:lang w:val="es-MX"/>
        </w:rPr>
        <w:t xml:space="preserve"> con la finalidad </w:t>
      </w:r>
      <w:r w:rsidR="00F91303">
        <w:rPr>
          <w:rFonts w:ascii="Times New Roman" w:hAnsi="Times New Roman" w:cs="Arial"/>
          <w:sz w:val="20"/>
          <w:szCs w:val="20"/>
          <w:lang w:val="es-MX"/>
        </w:rPr>
        <w:t>de revisar</w:t>
      </w:r>
      <w:r>
        <w:rPr>
          <w:rFonts w:ascii="Times New Roman" w:hAnsi="Times New Roman" w:cs="Arial"/>
          <w:sz w:val="20"/>
          <w:szCs w:val="20"/>
          <w:lang w:val="es-MX"/>
        </w:rPr>
        <w:t xml:space="preserve"> las rutas para una atención  integral a víctimas de femicidio.</w:t>
      </w:r>
    </w:p>
    <w:p w14:paraId="70EEA679" w14:textId="77777777" w:rsidR="00405820" w:rsidRDefault="00405820">
      <w:pPr>
        <w:spacing w:after="0" w:line="240" w:lineRule="auto"/>
        <w:ind w:left="720"/>
        <w:jc w:val="both"/>
        <w:rPr>
          <w:rFonts w:ascii="Times New Roman" w:hAnsi="Times New Roman" w:cs="Times New Roman"/>
          <w:sz w:val="20"/>
          <w:szCs w:val="20"/>
        </w:rPr>
      </w:pPr>
    </w:p>
    <w:p w14:paraId="0E7560A7" w14:textId="1AD2A850" w:rsidR="00405820" w:rsidRDefault="002F4028">
      <w:pPr>
        <w:numPr>
          <w:ilvl w:val="0"/>
          <w:numId w:val="1"/>
        </w:numPr>
        <w:spacing w:after="0" w:line="240" w:lineRule="auto"/>
        <w:ind w:left="0" w:firstLine="0"/>
        <w:jc w:val="both"/>
      </w:pPr>
      <w:r>
        <w:rPr>
          <w:rFonts w:ascii="Times New Roman" w:hAnsi="Times New Roman" w:cs="Arial"/>
          <w:sz w:val="20"/>
          <w:szCs w:val="20"/>
          <w:lang w:val="es-MX"/>
        </w:rPr>
        <w:t xml:space="preserve">El IDENNA creó y desarrolla en el año 2025, un Sistema Automatizado para el Registro Nacional de Entidades de Atención e Inscripción de Programas y Proyectos en coordinación con los  Consejos Municipales de Derechos de Niños, Niñas y Adolescentes, a los fines de facilitar </w:t>
      </w:r>
      <w:r w:rsidR="00150C3E">
        <w:rPr>
          <w:rFonts w:ascii="Times New Roman" w:hAnsi="Times New Roman" w:cs="Arial"/>
          <w:sz w:val="20"/>
          <w:szCs w:val="20"/>
          <w:lang w:val="es-MX"/>
        </w:rPr>
        <w:t>el</w:t>
      </w:r>
      <w:r>
        <w:rPr>
          <w:rFonts w:ascii="Times New Roman" w:hAnsi="Times New Roman" w:cs="Arial"/>
          <w:sz w:val="20"/>
          <w:szCs w:val="20"/>
          <w:lang w:val="es-MX"/>
        </w:rPr>
        <w:t xml:space="preserve"> seguimiento y supervisión en los procesos de atención y protección a los niños, niñas y adolescentes separados temporalmente de su medio familiar, en el marco del Plan de Trabajo IDENNA-UNICEF 2023- 2025</w:t>
      </w:r>
      <w:r w:rsidR="005B6D73">
        <w:rPr>
          <w:rFonts w:ascii="Times New Roman" w:hAnsi="Times New Roman" w:cs="Arial"/>
          <w:sz w:val="20"/>
          <w:szCs w:val="20"/>
          <w:lang w:val="es-MX"/>
        </w:rPr>
        <w:t>.</w:t>
      </w:r>
    </w:p>
    <w:p w14:paraId="4809A156" w14:textId="77777777" w:rsidR="00405820" w:rsidRDefault="00405820">
      <w:pPr>
        <w:spacing w:after="0" w:line="240" w:lineRule="auto"/>
        <w:ind w:left="720"/>
        <w:jc w:val="both"/>
        <w:rPr>
          <w:rFonts w:ascii="Times New Roman" w:hAnsi="Times New Roman" w:cs="Arial"/>
          <w:sz w:val="20"/>
          <w:szCs w:val="20"/>
          <w:lang w:val="es-MX"/>
        </w:rPr>
      </w:pPr>
    </w:p>
    <w:p w14:paraId="347F42B3" w14:textId="7DCD6732" w:rsidR="00405820" w:rsidRDefault="002F4028">
      <w:pPr>
        <w:numPr>
          <w:ilvl w:val="0"/>
          <w:numId w:val="1"/>
        </w:numPr>
        <w:spacing w:after="0" w:line="240" w:lineRule="auto"/>
        <w:ind w:left="0" w:firstLine="0"/>
        <w:jc w:val="both"/>
      </w:pPr>
      <w:r>
        <w:rPr>
          <w:rFonts w:ascii="Times New Roman" w:hAnsi="Times New Roman" w:cs="Arial"/>
          <w:sz w:val="20"/>
          <w:szCs w:val="20"/>
          <w:lang w:val="es-MX"/>
        </w:rPr>
        <w:t>El IDENNA reinauguró en el primer trimestre del año 2025 el Centro de Orientación Familiar (COF) Rober Serra, en el estado Miranda, a los fines de fortalecer a las familias de niños, niñas y adolescentes bajo cuidado alternativo</w:t>
      </w:r>
      <w:r w:rsidR="003F5823">
        <w:rPr>
          <w:rFonts w:ascii="Times New Roman" w:hAnsi="Times New Roman" w:cs="Arial"/>
          <w:sz w:val="20"/>
          <w:szCs w:val="20"/>
          <w:lang w:val="es-MX"/>
        </w:rPr>
        <w:t>.</w:t>
      </w:r>
    </w:p>
    <w:p w14:paraId="0AD9FA29" w14:textId="77777777" w:rsidR="00405820" w:rsidRDefault="00405820" w:rsidP="00B34210">
      <w:pPr>
        <w:spacing w:after="0" w:line="240" w:lineRule="auto"/>
        <w:jc w:val="both"/>
        <w:rPr>
          <w:rFonts w:ascii="Times New Roman" w:hAnsi="Times New Roman" w:cs="Arial"/>
          <w:sz w:val="20"/>
          <w:szCs w:val="20"/>
          <w:lang w:val="es-MX"/>
        </w:rPr>
      </w:pPr>
    </w:p>
    <w:p w14:paraId="44F210ED" w14:textId="21891914" w:rsidR="00405820" w:rsidRDefault="002F4028" w:rsidP="00E43F58">
      <w:pPr>
        <w:numPr>
          <w:ilvl w:val="0"/>
          <w:numId w:val="1"/>
        </w:numPr>
        <w:spacing w:after="0" w:line="240" w:lineRule="auto"/>
        <w:ind w:left="0" w:firstLine="0"/>
        <w:jc w:val="both"/>
      </w:pPr>
      <w:r>
        <w:rPr>
          <w:rFonts w:ascii="Times New Roman" w:hAnsi="Times New Roman" w:cs="Arial"/>
          <w:sz w:val="20"/>
          <w:szCs w:val="20"/>
          <w:lang w:val="es-MX"/>
        </w:rPr>
        <w:t xml:space="preserve">En el año 2025 el IDENNA promueve la </w:t>
      </w:r>
      <w:proofErr w:type="spellStart"/>
      <w:r>
        <w:rPr>
          <w:rFonts w:ascii="Times New Roman" w:hAnsi="Times New Roman" w:cs="Arial"/>
          <w:sz w:val="20"/>
          <w:szCs w:val="20"/>
          <w:lang w:val="es-MX"/>
        </w:rPr>
        <w:t>Comunalización</w:t>
      </w:r>
      <w:proofErr w:type="spellEnd"/>
      <w:r>
        <w:rPr>
          <w:rStyle w:val="Ancladenotaalpie"/>
          <w:rFonts w:ascii="Times New Roman" w:hAnsi="Times New Roman" w:cs="Arial"/>
          <w:sz w:val="20"/>
          <w:szCs w:val="20"/>
          <w:lang w:val="es-MX"/>
        </w:rPr>
        <w:footnoteReference w:id="11"/>
      </w:r>
      <w:r>
        <w:rPr>
          <w:rFonts w:ascii="Times New Roman" w:hAnsi="Times New Roman" w:cs="Arial"/>
          <w:sz w:val="20"/>
          <w:szCs w:val="20"/>
          <w:lang w:val="es-MX"/>
        </w:rPr>
        <w:t xml:space="preserve"> del Sistema Rector Nacional para la Protección Integral de niños niñas y adolescentes, como un proceso dinamizador para la promoción y defensa de los derechos de la niñez y adolescencia, </w:t>
      </w:r>
      <w:r w:rsidR="00E43F58">
        <w:rPr>
          <w:rFonts w:ascii="Times New Roman" w:hAnsi="Times New Roman" w:cs="Arial"/>
          <w:sz w:val="20"/>
          <w:szCs w:val="20"/>
          <w:lang w:val="es-MX"/>
        </w:rPr>
        <w:t xml:space="preserve">desde </w:t>
      </w:r>
      <w:r>
        <w:rPr>
          <w:rFonts w:ascii="Times New Roman" w:hAnsi="Times New Roman" w:cs="Arial"/>
          <w:sz w:val="20"/>
          <w:szCs w:val="20"/>
          <w:lang w:val="es-MX"/>
        </w:rPr>
        <w:t>los consejos comunales. Se ha logrado la participación y formación de más 6.193 voceros y voceras de los Consejos Comunales</w:t>
      </w:r>
      <w:r w:rsidR="00E43F58">
        <w:rPr>
          <w:rFonts w:ascii="Times New Roman" w:hAnsi="Times New Roman" w:cs="Arial"/>
          <w:sz w:val="20"/>
          <w:szCs w:val="20"/>
          <w:lang w:val="es-MX"/>
        </w:rPr>
        <w:t xml:space="preserve"> y </w:t>
      </w:r>
      <w:r w:rsidRPr="00E43F58">
        <w:rPr>
          <w:rFonts w:ascii="Times New Roman" w:hAnsi="Times New Roman" w:cs="Arial"/>
          <w:sz w:val="20"/>
          <w:szCs w:val="20"/>
          <w:lang w:val="es-MX"/>
        </w:rPr>
        <w:t>se han  incorporado 6.193 personas de los consejos comunales en procesos formativos</w:t>
      </w:r>
      <w:r w:rsidR="00E43F58">
        <w:rPr>
          <w:rFonts w:ascii="Times New Roman" w:hAnsi="Times New Roman" w:cs="Arial"/>
          <w:sz w:val="20"/>
          <w:szCs w:val="20"/>
          <w:lang w:val="es-MX"/>
        </w:rPr>
        <w:t>.</w:t>
      </w:r>
    </w:p>
    <w:p w14:paraId="15802194" w14:textId="77777777" w:rsidR="00405820" w:rsidRDefault="00405820">
      <w:pPr>
        <w:spacing w:after="0" w:line="240" w:lineRule="auto"/>
        <w:jc w:val="both"/>
        <w:rPr>
          <w:rFonts w:ascii="Times New Roman" w:hAnsi="Times New Roman" w:cs="Arial"/>
          <w:sz w:val="20"/>
          <w:szCs w:val="20"/>
          <w:lang w:val="es-MX"/>
        </w:rPr>
      </w:pPr>
    </w:p>
    <w:p w14:paraId="6F94D732" w14:textId="79EF6344" w:rsidR="00405820" w:rsidRDefault="002F4028">
      <w:pPr>
        <w:numPr>
          <w:ilvl w:val="0"/>
          <w:numId w:val="1"/>
        </w:numPr>
        <w:spacing w:after="0" w:line="240" w:lineRule="auto"/>
        <w:ind w:left="0" w:firstLine="0"/>
        <w:jc w:val="both"/>
      </w:pPr>
      <w:r>
        <w:rPr>
          <w:rFonts w:ascii="Times New Roman" w:hAnsi="Times New Roman" w:cs="Arial"/>
          <w:sz w:val="20"/>
          <w:szCs w:val="20"/>
          <w:lang w:val="es-MX"/>
        </w:rPr>
        <w:t>En el año 2025 el IDENNA promovió la realización de encuentros estadales en todos los estados del país con la participación de 2.500 integrantes del Sistema de Protección de Niños, Niñas y Adolescentes en el ámbito Municipal, en especial de las voceras y voceros de los Comités de Protección Social de Niños, Niñas y Adolescentes de los Consejos Comunales</w:t>
      </w:r>
      <w:r w:rsidR="007852DE">
        <w:rPr>
          <w:rFonts w:ascii="Times New Roman" w:hAnsi="Times New Roman" w:cs="Arial"/>
          <w:sz w:val="20"/>
          <w:szCs w:val="20"/>
          <w:lang w:val="es-MX"/>
        </w:rPr>
        <w:t>.</w:t>
      </w:r>
    </w:p>
    <w:p w14:paraId="3C108E5A" w14:textId="77777777" w:rsidR="00405820" w:rsidRDefault="00405820">
      <w:pPr>
        <w:spacing w:after="0" w:line="240" w:lineRule="auto"/>
        <w:ind w:left="720"/>
        <w:jc w:val="both"/>
        <w:rPr>
          <w:rFonts w:ascii="Arial" w:hAnsi="Arial" w:cs="Arial"/>
          <w:sz w:val="24"/>
          <w:szCs w:val="24"/>
          <w:lang w:val="es-MX"/>
        </w:rPr>
      </w:pPr>
    </w:p>
    <w:p w14:paraId="6231EFD4" w14:textId="0A09716E" w:rsidR="00405820" w:rsidRDefault="002F4028">
      <w:pPr>
        <w:numPr>
          <w:ilvl w:val="0"/>
          <w:numId w:val="1"/>
        </w:numPr>
        <w:spacing w:after="0" w:line="240" w:lineRule="auto"/>
        <w:ind w:left="0" w:firstLine="0"/>
        <w:jc w:val="both"/>
      </w:pPr>
      <w:r>
        <w:rPr>
          <w:rFonts w:ascii="Times New Roman" w:hAnsi="Times New Roman" w:cs="Arial"/>
          <w:sz w:val="20"/>
          <w:szCs w:val="20"/>
          <w:lang w:val="es-MX"/>
        </w:rPr>
        <w:t xml:space="preserve">En el año 2025 se activó el Centro Comunal de Protección Integral (CCPI) Hijos e Hijas de </w:t>
      </w:r>
      <w:proofErr w:type="spellStart"/>
      <w:r>
        <w:rPr>
          <w:rFonts w:ascii="Times New Roman" w:hAnsi="Times New Roman" w:cs="Arial"/>
          <w:sz w:val="20"/>
          <w:szCs w:val="20"/>
          <w:lang w:val="es-MX"/>
        </w:rPr>
        <w:t>Naza</w:t>
      </w:r>
      <w:proofErr w:type="spellEnd"/>
      <w:r>
        <w:rPr>
          <w:rFonts w:ascii="Times New Roman" w:hAnsi="Times New Roman" w:cs="Arial"/>
          <w:sz w:val="20"/>
          <w:szCs w:val="20"/>
          <w:lang w:val="es-MX"/>
        </w:rPr>
        <w:t>, en el Distrito Capital</w:t>
      </w:r>
      <w:r w:rsidR="004D4039">
        <w:rPr>
          <w:rFonts w:ascii="Times New Roman" w:hAnsi="Times New Roman" w:cs="Arial"/>
          <w:sz w:val="20"/>
          <w:szCs w:val="20"/>
          <w:lang w:val="es-MX"/>
        </w:rPr>
        <w:t>, s</w:t>
      </w:r>
      <w:r w:rsidR="002A63A8">
        <w:rPr>
          <w:rFonts w:ascii="Times New Roman" w:hAnsi="Times New Roman" w:cs="Arial"/>
          <w:sz w:val="20"/>
          <w:szCs w:val="20"/>
          <w:lang w:val="es-MX"/>
        </w:rPr>
        <w:t>e</w:t>
      </w:r>
      <w:r>
        <w:rPr>
          <w:rFonts w:ascii="Times New Roman" w:hAnsi="Times New Roman" w:cs="Arial"/>
          <w:sz w:val="20"/>
          <w:szCs w:val="20"/>
          <w:lang w:val="es-MX"/>
        </w:rPr>
        <w:t xml:space="preserve"> reinaugur</w:t>
      </w:r>
      <w:r w:rsidR="002A63A8">
        <w:rPr>
          <w:rFonts w:ascii="Times New Roman" w:hAnsi="Times New Roman" w:cs="Arial"/>
          <w:sz w:val="20"/>
          <w:szCs w:val="20"/>
          <w:lang w:val="es-MX"/>
        </w:rPr>
        <w:t>ó</w:t>
      </w:r>
      <w:r>
        <w:rPr>
          <w:rFonts w:ascii="Times New Roman" w:hAnsi="Times New Roman" w:cs="Arial"/>
          <w:sz w:val="20"/>
          <w:szCs w:val="20"/>
          <w:lang w:val="es-MX"/>
        </w:rPr>
        <w:t xml:space="preserve"> los Centros Comunales de Protección Integral (CCPI) </w:t>
      </w:r>
      <w:proofErr w:type="spellStart"/>
      <w:r>
        <w:rPr>
          <w:rFonts w:ascii="Times New Roman" w:hAnsi="Times New Roman" w:cs="Arial"/>
          <w:sz w:val="20"/>
          <w:szCs w:val="20"/>
          <w:lang w:val="es-MX"/>
        </w:rPr>
        <w:t>Tianawas</w:t>
      </w:r>
      <w:proofErr w:type="spellEnd"/>
      <w:r>
        <w:rPr>
          <w:rFonts w:ascii="Times New Roman" w:hAnsi="Times New Roman" w:cs="Arial"/>
          <w:sz w:val="20"/>
          <w:szCs w:val="20"/>
          <w:lang w:val="es-MX"/>
        </w:rPr>
        <w:t xml:space="preserve"> en el estado  Amazonas y </w:t>
      </w:r>
      <w:proofErr w:type="spellStart"/>
      <w:r>
        <w:rPr>
          <w:rFonts w:ascii="Times New Roman" w:hAnsi="Times New Roman" w:cs="Arial"/>
          <w:sz w:val="20"/>
          <w:szCs w:val="20"/>
          <w:lang w:val="es-MX"/>
        </w:rPr>
        <w:t>Tigui</w:t>
      </w:r>
      <w:proofErr w:type="spellEnd"/>
      <w:r>
        <w:rPr>
          <w:rFonts w:ascii="Times New Roman" w:hAnsi="Times New Roman" w:cs="Arial"/>
          <w:sz w:val="20"/>
          <w:szCs w:val="20"/>
          <w:lang w:val="es-MX"/>
        </w:rPr>
        <w:t xml:space="preserve"> </w:t>
      </w:r>
      <w:proofErr w:type="spellStart"/>
      <w:r>
        <w:rPr>
          <w:rFonts w:ascii="Times New Roman" w:hAnsi="Times New Roman" w:cs="Arial"/>
          <w:sz w:val="20"/>
          <w:szCs w:val="20"/>
          <w:lang w:val="es-MX"/>
        </w:rPr>
        <w:t>Tiguito</w:t>
      </w:r>
      <w:proofErr w:type="spellEnd"/>
      <w:r>
        <w:rPr>
          <w:rFonts w:ascii="Times New Roman" w:hAnsi="Times New Roman" w:cs="Arial"/>
          <w:sz w:val="20"/>
          <w:szCs w:val="20"/>
          <w:lang w:val="es-MX"/>
        </w:rPr>
        <w:t xml:space="preserve"> en el estado Miranda</w:t>
      </w:r>
      <w:r w:rsidR="004D4039">
        <w:rPr>
          <w:rFonts w:ascii="Times New Roman" w:hAnsi="Times New Roman" w:cs="Arial"/>
          <w:sz w:val="20"/>
          <w:szCs w:val="20"/>
          <w:lang w:val="es-MX"/>
        </w:rPr>
        <w:t xml:space="preserve"> y s</w:t>
      </w:r>
      <w:r>
        <w:rPr>
          <w:rFonts w:ascii="Times New Roman" w:hAnsi="Times New Roman" w:cs="Arial"/>
          <w:sz w:val="20"/>
          <w:szCs w:val="20"/>
          <w:lang w:val="es-MX"/>
        </w:rPr>
        <w:t>e acompañ</w:t>
      </w:r>
      <w:r w:rsidR="001C3E09">
        <w:rPr>
          <w:rFonts w:ascii="Times New Roman" w:hAnsi="Times New Roman" w:cs="Arial"/>
          <w:sz w:val="20"/>
          <w:szCs w:val="20"/>
          <w:lang w:val="es-MX"/>
        </w:rPr>
        <w:t>ó</w:t>
      </w:r>
      <w:r>
        <w:rPr>
          <w:rFonts w:ascii="Times New Roman" w:hAnsi="Times New Roman" w:cs="Arial"/>
          <w:sz w:val="20"/>
          <w:szCs w:val="20"/>
          <w:lang w:val="es-MX"/>
        </w:rPr>
        <w:t xml:space="preserve"> y apoy</w:t>
      </w:r>
      <w:r w:rsidR="001C3E09">
        <w:rPr>
          <w:rFonts w:ascii="Times New Roman" w:hAnsi="Times New Roman" w:cs="Arial"/>
          <w:sz w:val="20"/>
          <w:szCs w:val="20"/>
          <w:lang w:val="es-MX"/>
        </w:rPr>
        <w:t>ó</w:t>
      </w:r>
      <w:r>
        <w:rPr>
          <w:rFonts w:ascii="Times New Roman" w:hAnsi="Times New Roman" w:cs="Arial"/>
          <w:sz w:val="20"/>
          <w:szCs w:val="20"/>
          <w:lang w:val="es-MX"/>
        </w:rPr>
        <w:t xml:space="preserve"> al (CCPI) 12 de octubre en el estado Lara.</w:t>
      </w:r>
    </w:p>
    <w:p w14:paraId="30CA8FC1" w14:textId="77777777" w:rsidR="00405820" w:rsidRDefault="00405820">
      <w:pPr>
        <w:spacing w:after="0" w:line="240" w:lineRule="auto"/>
        <w:jc w:val="both"/>
      </w:pPr>
    </w:p>
    <w:p w14:paraId="65F99CA1" w14:textId="77777777" w:rsidR="00405820" w:rsidRDefault="002F4028">
      <w:pPr>
        <w:numPr>
          <w:ilvl w:val="0"/>
          <w:numId w:val="1"/>
        </w:numPr>
        <w:spacing w:after="0" w:line="240" w:lineRule="auto"/>
        <w:ind w:left="0" w:firstLine="0"/>
        <w:jc w:val="both"/>
      </w:pPr>
      <w:r>
        <w:rPr>
          <w:rFonts w:ascii="Times New Roman" w:hAnsi="Times New Roman" w:cs="Arial"/>
          <w:sz w:val="20"/>
          <w:szCs w:val="20"/>
          <w:lang w:val="es-MX"/>
        </w:rPr>
        <w:t xml:space="preserve"> Se realizó un encuentro regional con más de doscientos (200) niños y niñas  de la región capital, en el marco de las actividades conmemorativas de los veinticinco (25) años de la entrada en vigencia de la Convención de los Derechos del Niño. </w:t>
      </w:r>
    </w:p>
    <w:p w14:paraId="6EFA0BB8" w14:textId="77777777" w:rsidR="00405820" w:rsidRDefault="00405820" w:rsidP="00CE6DA2">
      <w:pPr>
        <w:spacing w:after="0" w:line="240" w:lineRule="auto"/>
        <w:jc w:val="both"/>
        <w:rPr>
          <w:rFonts w:ascii="Times New Roman" w:hAnsi="Times New Roman" w:cs="Arial"/>
          <w:sz w:val="20"/>
          <w:szCs w:val="20"/>
          <w:lang w:val="es-MX"/>
        </w:rPr>
      </w:pPr>
    </w:p>
    <w:p w14:paraId="09A0786D" w14:textId="5867879A" w:rsidR="00405820" w:rsidRDefault="002F4028">
      <w:pPr>
        <w:numPr>
          <w:ilvl w:val="0"/>
          <w:numId w:val="1"/>
        </w:numPr>
        <w:spacing w:after="0" w:line="252" w:lineRule="auto"/>
        <w:ind w:left="0" w:firstLine="0"/>
        <w:jc w:val="both"/>
      </w:pPr>
      <w:r>
        <w:rPr>
          <w:rFonts w:ascii="Times New Roman" w:eastAsia="Times New Roman" w:hAnsi="Times New Roman" w:cs="Arial"/>
          <w:sz w:val="20"/>
          <w:szCs w:val="20"/>
          <w:lang w:val="es-MX"/>
        </w:rPr>
        <w:t>Para el año 2025, el Fondo Nacional para la Protección de Niños, Niñas y Adolescentes financió dos proyectos relacionados con la formación de brigadas comunicacionales y derechos de adolescentes trabajadores, en apoyo a la CORENATS Lara</w:t>
      </w:r>
      <w:r w:rsidR="0055135C">
        <w:rPr>
          <w:rFonts w:ascii="Times New Roman" w:eastAsia="Times New Roman" w:hAnsi="Times New Roman" w:cs="Arial"/>
          <w:sz w:val="20"/>
          <w:szCs w:val="20"/>
          <w:lang w:val="es-MX"/>
        </w:rPr>
        <w:t>,</w:t>
      </w:r>
      <w:r>
        <w:rPr>
          <w:rFonts w:ascii="Times New Roman" w:eastAsia="Times New Roman" w:hAnsi="Times New Roman" w:cs="Arial"/>
          <w:sz w:val="20"/>
          <w:szCs w:val="20"/>
          <w:lang w:val="es-MX"/>
        </w:rPr>
        <w:t xml:space="preserve"> y apoyo en la creación de Defensorías en Miranda</w:t>
      </w:r>
      <w:r w:rsidR="00310B50">
        <w:rPr>
          <w:rFonts w:ascii="Times New Roman" w:eastAsia="Times New Roman" w:hAnsi="Times New Roman" w:cs="Arial"/>
          <w:sz w:val="20"/>
          <w:szCs w:val="20"/>
          <w:lang w:val="es-MX"/>
        </w:rPr>
        <w:t>.</w:t>
      </w:r>
    </w:p>
    <w:p w14:paraId="6C389455" w14:textId="77777777" w:rsidR="00405820" w:rsidRDefault="00405820">
      <w:pPr>
        <w:spacing w:after="0" w:line="240" w:lineRule="auto"/>
        <w:jc w:val="both"/>
        <w:rPr>
          <w:rFonts w:cs="Times New Roman"/>
          <w:sz w:val="20"/>
          <w:szCs w:val="20"/>
        </w:rPr>
      </w:pPr>
    </w:p>
    <w:p w14:paraId="519F7D8F" w14:textId="38EB4C7F" w:rsidR="00405820" w:rsidRPr="003C2273" w:rsidRDefault="002F4028">
      <w:pPr>
        <w:numPr>
          <w:ilvl w:val="0"/>
          <w:numId w:val="1"/>
        </w:numPr>
        <w:spacing w:after="0" w:line="240" w:lineRule="auto"/>
        <w:ind w:left="0" w:firstLine="0"/>
        <w:jc w:val="both"/>
      </w:pPr>
      <w:r>
        <w:rPr>
          <w:rFonts w:ascii="Times New Roman" w:hAnsi="Times New Roman" w:cs="Times New Roman"/>
          <w:sz w:val="20"/>
          <w:szCs w:val="20"/>
        </w:rPr>
        <w:t>El país cuenta con una legislación amplia e integral que abarca la protección de los NNA; destacan: Ley Orgánica de Identificación</w:t>
      </w:r>
      <w:r>
        <w:rPr>
          <w:rStyle w:val="Ancladenotaalpie"/>
          <w:rFonts w:ascii="Times New Roman" w:hAnsi="Times New Roman" w:cs="Times New Roman"/>
          <w:sz w:val="20"/>
          <w:szCs w:val="20"/>
        </w:rPr>
        <w:footnoteReference w:id="12"/>
      </w:r>
      <w:r>
        <w:rPr>
          <w:rFonts w:ascii="Times New Roman" w:hAnsi="Times New Roman" w:cs="Times New Roman"/>
          <w:sz w:val="20"/>
          <w:szCs w:val="20"/>
        </w:rPr>
        <w:t xml:space="preserve">, Ley de Protección de Niños, Niñas y Adolescentes en Salas de Uso de Internet, Videojuegos y otros </w:t>
      </w:r>
      <w:proofErr w:type="spellStart"/>
      <w:r>
        <w:rPr>
          <w:rFonts w:ascii="Times New Roman" w:hAnsi="Times New Roman" w:cs="Times New Roman"/>
          <w:sz w:val="20"/>
          <w:szCs w:val="20"/>
        </w:rPr>
        <w:t>Multimedias</w:t>
      </w:r>
      <w:proofErr w:type="spellEnd"/>
      <w:r>
        <w:rPr>
          <w:rStyle w:val="Ancladenotaalpie"/>
          <w:rFonts w:ascii="Times New Roman" w:hAnsi="Times New Roman" w:cs="Times New Roman"/>
          <w:sz w:val="20"/>
          <w:szCs w:val="20"/>
        </w:rPr>
        <w:footnoteReference w:id="13"/>
      </w:r>
      <w:r>
        <w:rPr>
          <w:rFonts w:ascii="Times New Roman" w:hAnsi="Times New Roman" w:cs="Times New Roman"/>
          <w:sz w:val="20"/>
          <w:szCs w:val="20"/>
        </w:rPr>
        <w:t>, Ley de Protección de Víctimas, Testigos y demás Sujetos Procesales</w:t>
      </w:r>
      <w:r>
        <w:rPr>
          <w:rStyle w:val="Ancladenotaalpie"/>
          <w:rFonts w:ascii="Times New Roman" w:hAnsi="Times New Roman" w:cs="Times New Roman"/>
          <w:sz w:val="20"/>
          <w:szCs w:val="20"/>
        </w:rPr>
        <w:footnoteReference w:id="14"/>
      </w:r>
      <w:r>
        <w:rPr>
          <w:rFonts w:ascii="Times New Roman" w:hAnsi="Times New Roman" w:cs="Times New Roman"/>
          <w:sz w:val="20"/>
          <w:szCs w:val="20"/>
        </w:rPr>
        <w:t>, Ley de Promoción y Protección de la Lactancia Materna</w:t>
      </w:r>
      <w:r>
        <w:rPr>
          <w:rStyle w:val="Ancladenotaalpie"/>
          <w:rFonts w:ascii="Times New Roman" w:hAnsi="Times New Roman" w:cs="Times New Roman"/>
          <w:sz w:val="20"/>
          <w:szCs w:val="20"/>
        </w:rPr>
        <w:footnoteReference w:id="15"/>
      </w:r>
      <w:r>
        <w:rPr>
          <w:rFonts w:ascii="Times New Roman" w:hAnsi="Times New Roman" w:cs="Times New Roman"/>
          <w:sz w:val="20"/>
          <w:szCs w:val="20"/>
        </w:rPr>
        <w:t>, Ley para la Prohibición de Videojuegos Bélicos y Juguetes Bélicos</w:t>
      </w:r>
      <w:r>
        <w:rPr>
          <w:rStyle w:val="Ancladenotaalpie"/>
          <w:rFonts w:ascii="Times New Roman" w:hAnsi="Times New Roman" w:cs="Times New Roman"/>
          <w:sz w:val="20"/>
          <w:szCs w:val="20"/>
        </w:rPr>
        <w:footnoteReference w:id="16"/>
      </w:r>
      <w:r>
        <w:rPr>
          <w:rFonts w:ascii="Times New Roman" w:hAnsi="Times New Roman" w:cs="Times New Roman"/>
          <w:sz w:val="20"/>
          <w:szCs w:val="20"/>
        </w:rPr>
        <w:t>, Ley Orgánica de Educación</w:t>
      </w:r>
      <w:r>
        <w:rPr>
          <w:rStyle w:val="Ancladenotaalpie"/>
          <w:rFonts w:ascii="Times New Roman" w:hAnsi="Times New Roman" w:cs="Times New Roman"/>
          <w:sz w:val="20"/>
          <w:szCs w:val="20"/>
        </w:rPr>
        <w:footnoteReference w:id="17"/>
      </w:r>
      <w:r>
        <w:rPr>
          <w:rFonts w:ascii="Times New Roman" w:hAnsi="Times New Roman" w:cs="Times New Roman"/>
          <w:sz w:val="20"/>
          <w:szCs w:val="20"/>
        </w:rPr>
        <w:t>, Ley Orgánica de Registro Civil</w:t>
      </w:r>
      <w:r>
        <w:rPr>
          <w:rStyle w:val="Ancladenotaalpie"/>
          <w:rFonts w:ascii="Times New Roman" w:hAnsi="Times New Roman" w:cs="Times New Roman"/>
          <w:sz w:val="20"/>
          <w:szCs w:val="20"/>
        </w:rPr>
        <w:footnoteReference w:id="18"/>
      </w:r>
      <w:r>
        <w:rPr>
          <w:rFonts w:ascii="Times New Roman" w:hAnsi="Times New Roman" w:cs="Times New Roman"/>
          <w:sz w:val="20"/>
          <w:szCs w:val="20"/>
        </w:rPr>
        <w:t>, Ley para el Poder Popular de la Juventud</w:t>
      </w:r>
      <w:r>
        <w:rPr>
          <w:rStyle w:val="Ancladenotaalpie"/>
          <w:rFonts w:ascii="Times New Roman" w:hAnsi="Times New Roman" w:cs="Times New Roman"/>
          <w:sz w:val="20"/>
          <w:szCs w:val="20"/>
        </w:rPr>
        <w:footnoteReference w:id="19"/>
      </w:r>
      <w:r>
        <w:rPr>
          <w:rFonts w:ascii="Times New Roman" w:hAnsi="Times New Roman" w:cs="Times New Roman"/>
          <w:sz w:val="20"/>
          <w:szCs w:val="20"/>
        </w:rPr>
        <w:t>, Ley Orgánica de Drogas</w:t>
      </w:r>
      <w:r>
        <w:rPr>
          <w:rStyle w:val="Ancladenotaalpie"/>
          <w:rFonts w:ascii="Times New Roman" w:hAnsi="Times New Roman" w:cs="Times New Roman"/>
          <w:sz w:val="20"/>
          <w:szCs w:val="20"/>
        </w:rPr>
        <w:footnoteReference w:id="20"/>
      </w:r>
      <w:r>
        <w:rPr>
          <w:rFonts w:ascii="Times New Roman" w:hAnsi="Times New Roman" w:cs="Times New Roman"/>
          <w:sz w:val="20"/>
          <w:szCs w:val="20"/>
        </w:rPr>
        <w:t>, Decreto con rango, valor y fuerza de Ley Especial de Refugios Dignos para Proteger a la Población en Caso de Emergencias o Desastres Naturales</w:t>
      </w:r>
      <w:r>
        <w:rPr>
          <w:rStyle w:val="Ancladenotaalpie"/>
          <w:rFonts w:ascii="Times New Roman" w:hAnsi="Times New Roman" w:cs="Times New Roman"/>
          <w:sz w:val="20"/>
          <w:szCs w:val="20"/>
        </w:rPr>
        <w:footnoteReference w:id="21"/>
      </w:r>
      <w:r>
        <w:rPr>
          <w:rFonts w:ascii="Times New Roman" w:hAnsi="Times New Roman" w:cs="Times New Roman"/>
          <w:sz w:val="20"/>
          <w:szCs w:val="20"/>
        </w:rPr>
        <w:t>, Ley de Responsabilidad Social en Radio, Televisión y Otros Medios Electrónicos</w:t>
      </w:r>
      <w:r>
        <w:rPr>
          <w:rStyle w:val="Ancladenotaalpie"/>
          <w:rFonts w:ascii="Times New Roman" w:hAnsi="Times New Roman" w:cs="Times New Roman"/>
          <w:sz w:val="20"/>
          <w:szCs w:val="20"/>
        </w:rPr>
        <w:footnoteReference w:id="22"/>
      </w:r>
      <w:r>
        <w:rPr>
          <w:rFonts w:ascii="Times New Roman" w:hAnsi="Times New Roman" w:cs="Times New Roman"/>
          <w:sz w:val="20"/>
          <w:szCs w:val="20"/>
        </w:rPr>
        <w:t>, Ley Orgánica de Deporte, Actividad Física y Educación Física</w:t>
      </w:r>
      <w:r>
        <w:rPr>
          <w:rStyle w:val="Ancladenotaalpie"/>
          <w:rFonts w:ascii="Times New Roman" w:hAnsi="Times New Roman" w:cs="Times New Roman"/>
          <w:sz w:val="20"/>
          <w:szCs w:val="20"/>
        </w:rPr>
        <w:footnoteReference w:id="23"/>
      </w:r>
      <w:r>
        <w:rPr>
          <w:rFonts w:ascii="Times New Roman" w:hAnsi="Times New Roman" w:cs="Times New Roman"/>
          <w:sz w:val="20"/>
          <w:szCs w:val="20"/>
        </w:rPr>
        <w:t xml:space="preserve"> y Ley Orgánica del Trabajo, los Trabajadores y las Trabajadoras</w:t>
      </w:r>
      <w:r>
        <w:rPr>
          <w:rStyle w:val="Ancladenotaalpie"/>
          <w:rFonts w:ascii="Times New Roman" w:hAnsi="Times New Roman" w:cs="Times New Roman"/>
          <w:sz w:val="20"/>
          <w:szCs w:val="20"/>
        </w:rPr>
        <w:footnoteReference w:id="24"/>
      </w:r>
      <w:r>
        <w:rPr>
          <w:rFonts w:ascii="Times New Roman" w:hAnsi="Times New Roman" w:cs="Times New Roman"/>
          <w:sz w:val="20"/>
          <w:szCs w:val="20"/>
        </w:rPr>
        <w:t>, Ley para la Promoción y Protección del Derecho a la Igualdad de las Personas con VIH o SIDA y sus Familiares</w:t>
      </w:r>
      <w:r>
        <w:rPr>
          <w:rStyle w:val="Ancladenotaalpie"/>
          <w:rFonts w:ascii="Times New Roman" w:hAnsi="Times New Roman" w:cs="Times New Roman"/>
          <w:sz w:val="20"/>
          <w:szCs w:val="20"/>
        </w:rPr>
        <w:footnoteReference w:id="25"/>
      </w:r>
      <w:r>
        <w:rPr>
          <w:rFonts w:ascii="Times New Roman" w:hAnsi="Times New Roman" w:cs="Times New Roman"/>
          <w:sz w:val="20"/>
          <w:szCs w:val="20"/>
        </w:rPr>
        <w:t xml:space="preserve">. </w:t>
      </w:r>
      <w:r>
        <w:rPr>
          <w:rFonts w:ascii="Times New Roman" w:hAnsi="Times New Roman" w:cs="Arial"/>
          <w:sz w:val="20"/>
          <w:szCs w:val="20"/>
        </w:rPr>
        <w:t>Ley para la Prevención y Erradicación del Abuso Sexual Contra Niñas, Niños Y Adolescentes</w:t>
      </w:r>
      <w:r>
        <w:rPr>
          <w:rStyle w:val="Ancladenotaalpie"/>
          <w:rFonts w:ascii="Times New Roman" w:hAnsi="Times New Roman" w:cs="Arial"/>
          <w:sz w:val="20"/>
          <w:szCs w:val="20"/>
        </w:rPr>
        <w:footnoteReference w:id="26"/>
      </w:r>
      <w:r>
        <w:rPr>
          <w:rFonts w:ascii="Times New Roman" w:hAnsi="Times New Roman" w:cs="Arial"/>
          <w:sz w:val="20"/>
          <w:szCs w:val="20"/>
        </w:rPr>
        <w:t>,</w:t>
      </w:r>
      <w:r>
        <w:rPr>
          <w:rFonts w:ascii="Times New Roman" w:hAnsi="Times New Roman" w:cs="Arial"/>
          <w:sz w:val="20"/>
          <w:szCs w:val="20"/>
          <w:lang w:val="es-MX"/>
        </w:rPr>
        <w:t xml:space="preserve"> Ley para la Promoción del Ciclismo Urbano</w:t>
      </w:r>
      <w:r>
        <w:rPr>
          <w:rStyle w:val="Ancladenotaalpie"/>
          <w:rFonts w:ascii="Times New Roman" w:hAnsi="Times New Roman" w:cs="Arial"/>
          <w:sz w:val="20"/>
          <w:szCs w:val="20"/>
          <w:lang w:val="es-MX"/>
        </w:rPr>
        <w:footnoteReference w:id="27"/>
      </w:r>
      <w:r>
        <w:rPr>
          <w:rFonts w:ascii="Times New Roman" w:hAnsi="Times New Roman" w:cs="Arial"/>
          <w:sz w:val="20"/>
          <w:szCs w:val="20"/>
          <w:lang w:val="es-MX"/>
        </w:rPr>
        <w:t>,Ley para los Derechos Humanos en el Ejercicio de la Función Pública</w:t>
      </w:r>
      <w:r>
        <w:rPr>
          <w:rStyle w:val="Ancladenotaalpie"/>
          <w:rFonts w:ascii="Times New Roman" w:hAnsi="Times New Roman" w:cs="Arial"/>
          <w:sz w:val="20"/>
          <w:szCs w:val="20"/>
          <w:lang w:val="es-MX"/>
        </w:rPr>
        <w:footnoteReference w:id="28"/>
      </w:r>
      <w:r>
        <w:rPr>
          <w:rFonts w:ascii="Times New Roman" w:hAnsi="Times New Roman" w:cs="Arial"/>
          <w:sz w:val="20"/>
          <w:szCs w:val="20"/>
          <w:lang w:val="es-MX"/>
        </w:rPr>
        <w:t>,Ley de la Gran Misión Chamba Juvenil</w:t>
      </w:r>
      <w:r>
        <w:rPr>
          <w:rStyle w:val="Ancladenotaalpie"/>
          <w:rFonts w:ascii="Times New Roman" w:hAnsi="Times New Roman" w:cs="Arial"/>
          <w:sz w:val="20"/>
          <w:szCs w:val="20"/>
          <w:lang w:val="es-MX"/>
        </w:rPr>
        <w:footnoteReference w:id="29"/>
      </w:r>
      <w:r>
        <w:rPr>
          <w:rFonts w:ascii="Times New Roman" w:hAnsi="Times New Roman" w:cs="Arial"/>
          <w:sz w:val="20"/>
          <w:szCs w:val="20"/>
          <w:lang w:val="es-MX"/>
        </w:rPr>
        <w:t>, Ley para La Promoción y uso del Lenguaje con</w:t>
      </w:r>
      <w:r>
        <w:rPr>
          <w:rFonts w:ascii="Arial" w:hAnsi="Arial" w:cs="Arial"/>
          <w:sz w:val="24"/>
          <w:szCs w:val="24"/>
          <w:lang w:val="es-MX"/>
        </w:rPr>
        <w:t xml:space="preserve"> </w:t>
      </w:r>
      <w:r>
        <w:rPr>
          <w:rFonts w:ascii="Times New Roman" w:hAnsi="Times New Roman" w:cs="Arial"/>
          <w:sz w:val="20"/>
          <w:szCs w:val="20"/>
          <w:lang w:val="es-MX"/>
        </w:rPr>
        <w:t>Enfoque de Género</w:t>
      </w:r>
      <w:r>
        <w:rPr>
          <w:rStyle w:val="Ancladenotaalpie"/>
          <w:rFonts w:ascii="Times New Roman" w:hAnsi="Times New Roman" w:cs="Arial"/>
          <w:sz w:val="20"/>
          <w:szCs w:val="20"/>
          <w:lang w:val="es-MX"/>
        </w:rPr>
        <w:footnoteReference w:id="30"/>
      </w:r>
      <w:r>
        <w:rPr>
          <w:rFonts w:ascii="Times New Roman" w:hAnsi="Times New Roman" w:cs="Arial"/>
          <w:sz w:val="20"/>
          <w:szCs w:val="20"/>
          <w:lang w:val="es-MX"/>
        </w:rPr>
        <w:t>, Ley de la Comisión para la Garantía de Justicia y Reparación de las Víctimas de Delitos Contra los Derechos</w:t>
      </w:r>
      <w:r>
        <w:rPr>
          <w:rFonts w:ascii="Arial" w:hAnsi="Arial" w:cs="Arial"/>
          <w:sz w:val="24"/>
          <w:szCs w:val="24"/>
          <w:lang w:val="es-MX"/>
        </w:rPr>
        <w:t xml:space="preserve"> </w:t>
      </w:r>
      <w:r>
        <w:rPr>
          <w:rFonts w:ascii="Times New Roman" w:hAnsi="Times New Roman" w:cs="Arial"/>
          <w:sz w:val="20"/>
          <w:szCs w:val="20"/>
          <w:lang w:val="es-MX"/>
        </w:rPr>
        <w:t>Humanos</w:t>
      </w:r>
      <w:r>
        <w:rPr>
          <w:rStyle w:val="Ancladenotaalpie"/>
          <w:rFonts w:ascii="Times New Roman" w:hAnsi="Times New Roman" w:cs="Arial"/>
          <w:sz w:val="20"/>
          <w:szCs w:val="20"/>
          <w:lang w:val="es-MX"/>
        </w:rPr>
        <w:footnoteReference w:id="31"/>
      </w:r>
      <w:r>
        <w:rPr>
          <w:rFonts w:ascii="Times New Roman" w:hAnsi="Times New Roman" w:cs="Arial"/>
          <w:sz w:val="20"/>
          <w:szCs w:val="20"/>
          <w:lang w:val="es-MX"/>
        </w:rPr>
        <w:t>, Ley Orgánica para la Inclusión</w:t>
      </w:r>
      <w:r>
        <w:rPr>
          <w:rFonts w:ascii="Arial" w:hAnsi="Arial" w:cs="Arial"/>
          <w:sz w:val="24"/>
          <w:szCs w:val="24"/>
          <w:lang w:val="es-MX"/>
        </w:rPr>
        <w:t xml:space="preserve">, </w:t>
      </w:r>
      <w:r>
        <w:rPr>
          <w:rFonts w:ascii="Times New Roman" w:hAnsi="Times New Roman" w:cs="Arial"/>
          <w:sz w:val="20"/>
          <w:szCs w:val="20"/>
          <w:lang w:val="es-MX"/>
        </w:rPr>
        <w:t>Igualdad y Desarrollo Integral de las Personas con</w:t>
      </w:r>
      <w:r>
        <w:rPr>
          <w:rFonts w:ascii="Arial" w:hAnsi="Arial" w:cs="Arial"/>
          <w:sz w:val="24"/>
          <w:szCs w:val="24"/>
          <w:lang w:val="es-MX"/>
        </w:rPr>
        <w:t xml:space="preserve"> </w:t>
      </w:r>
      <w:r>
        <w:rPr>
          <w:rFonts w:ascii="Times New Roman" w:hAnsi="Times New Roman" w:cs="Arial"/>
          <w:sz w:val="20"/>
          <w:szCs w:val="20"/>
          <w:lang w:val="es-MX"/>
        </w:rPr>
        <w:t>Discapacidad</w:t>
      </w:r>
      <w:r>
        <w:rPr>
          <w:rStyle w:val="Ancladenotaalpie"/>
          <w:rFonts w:ascii="Times New Roman" w:hAnsi="Times New Roman" w:cs="Arial"/>
          <w:sz w:val="20"/>
          <w:szCs w:val="20"/>
          <w:lang w:val="es-MX"/>
        </w:rPr>
        <w:footnoteReference w:id="32"/>
      </w:r>
      <w:r>
        <w:rPr>
          <w:rFonts w:ascii="Times New Roman" w:hAnsi="Times New Roman" w:cs="Arial"/>
          <w:sz w:val="20"/>
          <w:szCs w:val="20"/>
          <w:lang w:val="es-MX"/>
        </w:rPr>
        <w:t xml:space="preserve"> , Ley Orgánica del Plan de la Patria de las 7 Grandes Transformaciones 2025 – 2031</w:t>
      </w:r>
      <w:r>
        <w:rPr>
          <w:rStyle w:val="Ancladenotaalpie"/>
          <w:rFonts w:ascii="Times New Roman" w:hAnsi="Times New Roman" w:cs="Arial"/>
          <w:sz w:val="20"/>
          <w:szCs w:val="20"/>
          <w:lang w:val="es-MX"/>
        </w:rPr>
        <w:footnoteReference w:id="33"/>
      </w:r>
      <w:r>
        <w:rPr>
          <w:rFonts w:ascii="Times New Roman" w:hAnsi="Times New Roman" w:cs="Arial"/>
          <w:sz w:val="20"/>
          <w:szCs w:val="20"/>
          <w:lang w:val="es-MX"/>
        </w:rPr>
        <w:t xml:space="preserve">. </w:t>
      </w:r>
      <w:r>
        <w:rPr>
          <w:rFonts w:ascii="Times New Roman" w:hAnsi="Times New Roman" w:cs="Times New Roman"/>
          <w:sz w:val="20"/>
          <w:szCs w:val="20"/>
        </w:rPr>
        <w:t>Durante el período que cubre este informe combinado se ha reformado la Ley Orgánica de Protección de Niños, Niñas y Adolescentes</w:t>
      </w:r>
      <w:r>
        <w:rPr>
          <w:rStyle w:val="Ancladenotaalpie"/>
          <w:rFonts w:ascii="Times New Roman" w:hAnsi="Times New Roman" w:cs="Times New Roman"/>
          <w:sz w:val="20"/>
          <w:szCs w:val="20"/>
        </w:rPr>
        <w:footnoteReference w:id="34"/>
      </w:r>
      <w:r>
        <w:rPr>
          <w:rFonts w:ascii="Times New Roman" w:hAnsi="Times New Roman" w:cs="Times New Roman"/>
          <w:sz w:val="20"/>
          <w:szCs w:val="20"/>
        </w:rPr>
        <w:t>, La Ley Constitucional Contra el Odio, por la Convivencia Pacífica y la Tolerancia</w:t>
      </w:r>
      <w:r>
        <w:rPr>
          <w:rStyle w:val="Ancladenotaalpie"/>
          <w:rFonts w:ascii="Times New Roman" w:hAnsi="Times New Roman" w:cs="Times New Roman"/>
          <w:sz w:val="20"/>
          <w:szCs w:val="20"/>
        </w:rPr>
        <w:footnoteReference w:id="35"/>
      </w:r>
      <w:r>
        <w:rPr>
          <w:rFonts w:ascii="Times New Roman" w:hAnsi="Times New Roman" w:cs="Times New Roman"/>
          <w:sz w:val="20"/>
          <w:szCs w:val="20"/>
        </w:rPr>
        <w:t xml:space="preserve"> y aprobado el Decreto Constituyente para la Promoción y Protección del Parto y Nacimiento Humanizado,</w:t>
      </w:r>
      <w:r>
        <w:rPr>
          <w:rStyle w:val="Ancladenotaalpie"/>
          <w:rFonts w:ascii="Times New Roman" w:hAnsi="Times New Roman" w:cs="Times New Roman"/>
          <w:sz w:val="20"/>
          <w:szCs w:val="20"/>
        </w:rPr>
        <w:footnoteReference w:id="36"/>
      </w:r>
      <w:r>
        <w:rPr>
          <w:rFonts w:ascii="Times New Roman" w:hAnsi="Times New Roman" w:cs="Times New Roman"/>
          <w:sz w:val="20"/>
          <w:szCs w:val="20"/>
        </w:rPr>
        <w:t xml:space="preserve"> Ley de Participación Estudiantil en el Subsistema de Educación Básica,</w:t>
      </w:r>
      <w:r>
        <w:rPr>
          <w:rStyle w:val="Ancladenotaalpie"/>
          <w:rFonts w:ascii="Times New Roman" w:hAnsi="Times New Roman" w:cs="Times New Roman"/>
          <w:sz w:val="20"/>
          <w:szCs w:val="20"/>
        </w:rPr>
        <w:footnoteReference w:id="37"/>
      </w:r>
      <w:r>
        <w:rPr>
          <w:rFonts w:ascii="Times New Roman" w:hAnsi="Times New Roman" w:cs="Times New Roman"/>
          <w:sz w:val="20"/>
          <w:szCs w:val="20"/>
        </w:rPr>
        <w:t xml:space="preserve"> Ley Orgánica para la Inclusión, Igualdad y Desarrollo Integral de las Personas con Discapacidad,</w:t>
      </w:r>
      <w:r>
        <w:rPr>
          <w:rStyle w:val="Ancladenotaalpie"/>
          <w:rFonts w:ascii="Times New Roman" w:hAnsi="Times New Roman" w:cs="Times New Roman"/>
          <w:sz w:val="20"/>
          <w:szCs w:val="20"/>
        </w:rPr>
        <w:footnoteReference w:id="38"/>
      </w:r>
      <w:r>
        <w:rPr>
          <w:rFonts w:ascii="Times New Roman" w:hAnsi="Times New Roman" w:cs="Times New Roman"/>
          <w:sz w:val="20"/>
          <w:szCs w:val="20"/>
        </w:rPr>
        <w:t>Ley para la Atención Integral a las Personas con Trastorno del Espectro Autista.</w:t>
      </w:r>
      <w:r>
        <w:rPr>
          <w:rStyle w:val="Ancladenotaalpie"/>
          <w:rFonts w:ascii="Times New Roman" w:hAnsi="Times New Roman" w:cs="Times New Roman"/>
          <w:sz w:val="20"/>
          <w:szCs w:val="20"/>
        </w:rPr>
        <w:footnoteReference w:id="39"/>
      </w:r>
      <w:r>
        <w:rPr>
          <w:rFonts w:ascii="Times New Roman" w:hAnsi="Times New Roman" w:cs="Times New Roman"/>
          <w:sz w:val="20"/>
          <w:szCs w:val="20"/>
        </w:rPr>
        <w:t>,</w:t>
      </w:r>
      <w:r>
        <w:rPr>
          <w:rFonts w:ascii="Arial" w:hAnsi="Arial" w:cs="Arial"/>
          <w:sz w:val="24"/>
          <w:szCs w:val="24"/>
        </w:rPr>
        <w:t xml:space="preserve"> </w:t>
      </w:r>
      <w:r>
        <w:rPr>
          <w:rFonts w:ascii="Times New Roman" w:hAnsi="Times New Roman" w:cs="Arial"/>
          <w:sz w:val="20"/>
          <w:szCs w:val="20"/>
        </w:rPr>
        <w:t>Ley Orgánica sobre el Derecho de las Mujeres a una Vida Libre de Violencia</w:t>
      </w:r>
      <w:r>
        <w:rPr>
          <w:rStyle w:val="Ancladenotaalpie"/>
          <w:rFonts w:ascii="Times New Roman" w:hAnsi="Times New Roman" w:cs="Arial"/>
          <w:sz w:val="20"/>
          <w:szCs w:val="20"/>
        </w:rPr>
        <w:footnoteReference w:id="40"/>
      </w:r>
      <w:r>
        <w:rPr>
          <w:rFonts w:ascii="Times New Roman" w:hAnsi="Times New Roman" w:cs="Arial"/>
          <w:sz w:val="20"/>
          <w:szCs w:val="20"/>
        </w:rPr>
        <w:t>, Ley para la Protección a las Familias, la Maternidad y la Paternidad</w:t>
      </w:r>
      <w:r>
        <w:rPr>
          <w:rStyle w:val="Ancladenotaalpie"/>
          <w:rFonts w:ascii="Times New Roman" w:hAnsi="Times New Roman" w:cs="Arial"/>
          <w:sz w:val="20"/>
          <w:szCs w:val="20"/>
        </w:rPr>
        <w:footnoteReference w:id="41"/>
      </w:r>
      <w:r>
        <w:rPr>
          <w:rFonts w:ascii="Times New Roman" w:hAnsi="Times New Roman" w:cs="Arial"/>
          <w:sz w:val="20"/>
          <w:szCs w:val="20"/>
        </w:rPr>
        <w:t>,</w:t>
      </w:r>
      <w:r>
        <w:rPr>
          <w:rFonts w:ascii="Times New Roman" w:hAnsi="Times New Roman" w:cs="Arial"/>
          <w:sz w:val="20"/>
          <w:szCs w:val="20"/>
          <w:lang w:val="es-MX"/>
        </w:rPr>
        <w:t xml:space="preserve"> Ley Orgánica de Recreación</w:t>
      </w:r>
      <w:r>
        <w:rPr>
          <w:rStyle w:val="Ancladenotaalpie"/>
          <w:rFonts w:ascii="Times New Roman" w:hAnsi="Times New Roman" w:cs="Arial"/>
          <w:sz w:val="20"/>
          <w:szCs w:val="20"/>
          <w:lang w:val="es-MX"/>
        </w:rPr>
        <w:footnoteReference w:id="42"/>
      </w:r>
      <w:r>
        <w:rPr>
          <w:rFonts w:ascii="Times New Roman" w:hAnsi="Times New Roman" w:cs="Arial"/>
          <w:sz w:val="20"/>
          <w:szCs w:val="20"/>
          <w:lang w:val="es-MX"/>
        </w:rPr>
        <w:t>, Ley Orgánica de Misiones, Grandes Misiones y Micromisiones</w:t>
      </w:r>
      <w:r>
        <w:rPr>
          <w:rStyle w:val="Ancladenotaalpie"/>
          <w:rFonts w:ascii="Times New Roman" w:hAnsi="Times New Roman" w:cs="Arial"/>
          <w:sz w:val="20"/>
          <w:szCs w:val="20"/>
          <w:lang w:val="es-MX"/>
        </w:rPr>
        <w:footnoteReference w:id="43"/>
      </w:r>
      <w:r>
        <w:rPr>
          <w:rFonts w:ascii="Times New Roman" w:hAnsi="Times New Roman" w:cs="Arial"/>
          <w:sz w:val="20"/>
          <w:szCs w:val="20"/>
          <w:lang w:val="es-MX"/>
        </w:rPr>
        <w:t>, Ley Orgánica contra la Discriminación Racial.</w:t>
      </w:r>
      <w:r>
        <w:rPr>
          <w:rStyle w:val="Ancladenotaalpie"/>
          <w:rFonts w:ascii="Times New Roman" w:hAnsi="Times New Roman" w:cs="Arial"/>
          <w:sz w:val="20"/>
          <w:szCs w:val="20"/>
          <w:lang w:val="es-MX"/>
        </w:rPr>
        <w:footnoteReference w:id="44"/>
      </w:r>
    </w:p>
    <w:p w14:paraId="35E26C12" w14:textId="77777777" w:rsidR="003C2273" w:rsidRPr="003C2273" w:rsidRDefault="003C2273" w:rsidP="003C2273">
      <w:pPr>
        <w:spacing w:after="0" w:line="240" w:lineRule="auto"/>
        <w:jc w:val="both"/>
      </w:pPr>
    </w:p>
    <w:p w14:paraId="5CE2BB5B" w14:textId="7CED0D6D" w:rsidR="003C2273" w:rsidRDefault="003C2273" w:rsidP="003C2273">
      <w:pPr>
        <w:numPr>
          <w:ilvl w:val="0"/>
          <w:numId w:val="1"/>
        </w:numPr>
        <w:spacing w:after="0" w:line="240" w:lineRule="auto"/>
        <w:ind w:left="0" w:firstLine="0"/>
        <w:jc w:val="both"/>
      </w:pPr>
      <w:r>
        <w:rPr>
          <w:rFonts w:ascii="Times New Roman" w:eastAsia="Times New Roman" w:hAnsi="Times New Roman" w:cs="Arial"/>
          <w:sz w:val="20"/>
          <w:szCs w:val="20"/>
          <w:lang w:val="es-MX"/>
        </w:rPr>
        <w:t xml:space="preserve">IDENNA durante el año 2025 creó cuatro (04) Unidades Especializadas para la Atención de niño, niñas, adolescentes en los estados Cojedes, Lara, Zulia y Carabobo, integradas por diferentes fuerzas de orden público para garantizar un abordaje más integral frente a las situaciones que amenacen y violen derechos de esta población. </w:t>
      </w:r>
    </w:p>
    <w:p w14:paraId="271AF681" w14:textId="77777777" w:rsidR="00405820" w:rsidRDefault="00405820">
      <w:pPr>
        <w:spacing w:after="0" w:line="240" w:lineRule="auto"/>
        <w:jc w:val="both"/>
        <w:rPr>
          <w:rFonts w:ascii="Times New Roman" w:eastAsia="Times New Roman" w:hAnsi="Times New Roman" w:cs="Times New Roman"/>
          <w:sz w:val="20"/>
          <w:szCs w:val="20"/>
        </w:rPr>
      </w:pPr>
    </w:p>
    <w:p w14:paraId="506F6FA1"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b) Planes Nacionales de Acción</w:t>
      </w:r>
    </w:p>
    <w:p w14:paraId="5E1A593D" w14:textId="77777777" w:rsidR="00405820" w:rsidRDefault="00405820">
      <w:pPr>
        <w:spacing w:after="0" w:line="240" w:lineRule="auto"/>
        <w:jc w:val="both"/>
        <w:rPr>
          <w:rFonts w:ascii="Times New Roman" w:eastAsia="Times New Roman" w:hAnsi="Times New Roman" w:cs="Times New Roman"/>
          <w:sz w:val="20"/>
          <w:szCs w:val="20"/>
        </w:rPr>
      </w:pPr>
    </w:p>
    <w:p w14:paraId="33DE6CA0" w14:textId="77777777" w:rsidR="00405820" w:rsidRDefault="002F4028">
      <w:pPr>
        <w:numPr>
          <w:ilvl w:val="0"/>
          <w:numId w:val="1"/>
        </w:numPr>
        <w:spacing w:after="0" w:line="240" w:lineRule="auto"/>
        <w:ind w:left="0" w:firstLine="0"/>
        <w:jc w:val="both"/>
      </w:pPr>
      <w:r>
        <w:rPr>
          <w:rFonts w:ascii="Times New Roman" w:hAnsi="Times New Roman" w:cs="Times New Roman"/>
          <w:bCs/>
          <w:sz w:val="20"/>
          <w:szCs w:val="20"/>
        </w:rPr>
        <w:t xml:space="preserve">Durante este período se dicta el </w:t>
      </w:r>
      <w:r>
        <w:rPr>
          <w:rFonts w:ascii="Times New Roman" w:hAnsi="Times New Roman" w:cs="Times New Roman"/>
          <w:sz w:val="20"/>
          <w:szCs w:val="20"/>
        </w:rPr>
        <w:t>Segundo Plan Socialista de Desarrollo Económico y Social de la Nación 2013-2019</w:t>
      </w:r>
      <w:r>
        <w:rPr>
          <w:rFonts w:ascii="Times New Roman" w:hAnsi="Times New Roman" w:cs="Times New Roman"/>
          <w:bCs/>
          <w:sz w:val="20"/>
          <w:szCs w:val="20"/>
        </w:rPr>
        <w:t>, conocido como Plan de la Patria</w:t>
      </w:r>
      <w:r>
        <w:rPr>
          <w:rStyle w:val="Ancladenotaalpie"/>
          <w:rFonts w:ascii="Times New Roman" w:hAnsi="Times New Roman" w:cs="Times New Roman"/>
          <w:b/>
          <w:sz w:val="20"/>
          <w:szCs w:val="20"/>
        </w:rPr>
        <w:footnoteReference w:id="45"/>
      </w:r>
      <w:r>
        <w:rPr>
          <w:rFonts w:ascii="Times New Roman" w:hAnsi="Times New Roman" w:cs="Times New Roman"/>
          <w:b/>
          <w:sz w:val="20"/>
          <w:szCs w:val="20"/>
        </w:rPr>
        <w:t xml:space="preserve"> </w:t>
      </w:r>
      <w:r>
        <w:rPr>
          <w:rFonts w:ascii="Times New Roman" w:hAnsi="Times New Roman" w:cs="Times New Roman"/>
          <w:bCs/>
          <w:sz w:val="20"/>
          <w:szCs w:val="20"/>
        </w:rPr>
        <w:t>mediante el cual se establecen metas muy precisas para la protección integral de los NNA en lo que respecta a la salud, alimentación, educación y el desarrollo integral de esta población etaria</w:t>
      </w:r>
      <w:r>
        <w:rPr>
          <w:rStyle w:val="Ancladenotaalpie"/>
          <w:rFonts w:ascii="Times New Roman" w:hAnsi="Times New Roman" w:cs="Times New Roman"/>
          <w:bCs/>
          <w:sz w:val="20"/>
          <w:szCs w:val="20"/>
        </w:rPr>
        <w:footnoteReference w:id="46"/>
      </w:r>
      <w:r>
        <w:rPr>
          <w:rFonts w:ascii="Times New Roman" w:hAnsi="Times New Roman" w:cs="Times New Roman"/>
          <w:bCs/>
          <w:sz w:val="20"/>
          <w:szCs w:val="20"/>
        </w:rPr>
        <w:t xml:space="preserve">. Asimismo, se adopta el </w:t>
      </w:r>
      <w:r>
        <w:rPr>
          <w:rFonts w:ascii="Times New Roman" w:hAnsi="Times New Roman" w:cs="Times New Roman"/>
          <w:sz w:val="20"/>
          <w:szCs w:val="20"/>
        </w:rPr>
        <w:t>Tercer Plan Socialista de Desarrollo Económico y Social de la Nación 2019-2025</w:t>
      </w:r>
      <w:r>
        <w:rPr>
          <w:rFonts w:ascii="Times New Roman" w:hAnsi="Times New Roman" w:cs="Times New Roman"/>
          <w:bCs/>
          <w:sz w:val="20"/>
          <w:szCs w:val="20"/>
        </w:rPr>
        <w:t xml:space="preserve">, que mantiene la misma orientación en materia de protección integral de la infancia y adolescencia. Ambos planes fueron aprobados mediante Ley, por lo que tiene efectos imperativos para el Estado y la sociedad. </w:t>
      </w:r>
    </w:p>
    <w:p w14:paraId="76FA0C70" w14:textId="77777777" w:rsidR="00405820" w:rsidRDefault="00405820">
      <w:pPr>
        <w:spacing w:after="0" w:line="240" w:lineRule="auto"/>
        <w:ind w:left="720"/>
        <w:jc w:val="both"/>
        <w:rPr>
          <w:rFonts w:ascii="Times New Roman" w:eastAsia="Times New Roman" w:hAnsi="Times New Roman" w:cs="Times New Roman"/>
          <w:bCs/>
          <w:sz w:val="20"/>
          <w:szCs w:val="20"/>
        </w:rPr>
      </w:pPr>
    </w:p>
    <w:p w14:paraId="71BC2E7A"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eastAsia="Arial" w:hAnsi="Times New Roman" w:cs="Times New Roman"/>
          <w:sz w:val="20"/>
          <w:szCs w:val="20"/>
        </w:rPr>
        <w:t>Un hecho de gran relevancia durante este período fue en el año 2015, cuando el Estado presenta el Plan Nacional de Derechos Humanos 2016-2019 (primer plan de derechos humanos del país), un instrumento de planificación estratégica que tiene como objetivo orientar la política del Estado venezolano para consolidar los logros alcanzados en el área de derechos humanos durante los últimos 17 años, y para continuar avanzando hasta superar los desafíos pendientes en esta materia.</w:t>
      </w:r>
      <w:r>
        <w:rPr>
          <w:rFonts w:ascii="Times New Roman" w:hAnsi="Times New Roman" w:cs="Times New Roman"/>
          <w:sz w:val="20"/>
          <w:szCs w:val="20"/>
        </w:rPr>
        <w:t xml:space="preserve"> </w:t>
      </w:r>
    </w:p>
    <w:p w14:paraId="5B500005" w14:textId="77777777" w:rsidR="00405820" w:rsidRDefault="00405820">
      <w:pPr>
        <w:spacing w:after="0" w:line="240" w:lineRule="auto"/>
        <w:jc w:val="both"/>
        <w:rPr>
          <w:rFonts w:ascii="Times New Roman" w:eastAsia="Times New Roman" w:hAnsi="Times New Roman" w:cs="Times New Roman"/>
          <w:sz w:val="20"/>
          <w:szCs w:val="20"/>
        </w:rPr>
      </w:pPr>
    </w:p>
    <w:p w14:paraId="271DA9D7"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Este Plan fue presentado a una amplia consulta pública con la cooperación técnica de diversas agencias de Naciones Unidas, incluyendo UNICEF, se llevó a cabo a través de asambleas populares, encuentros con grupos de especial protección y reuniones con actores claves en los 23 estados del país y el Distrito Capital. Adicionalmente, se creó una página web y un correo electrónico para que todas las personas interesadas pudieran presentar sus aportes a esta iniciativa. En el marco de su consulta se celebró la más numerosa, amplia e inclusiva asamblea de organizaciones y movimientos de derechos humanos que se haya efectuado en la historia de nuestro país, reconociendo así el importante aporte que este sector de la sociedad puede brindar en la construcción de una política pública en esta área.</w:t>
      </w:r>
    </w:p>
    <w:p w14:paraId="380977C5" w14:textId="77777777" w:rsidR="00405820" w:rsidRDefault="00405820">
      <w:pPr>
        <w:pStyle w:val="ListParagraph"/>
        <w:rPr>
          <w:rFonts w:cs="Times New Roman"/>
          <w:sz w:val="20"/>
          <w:szCs w:val="20"/>
        </w:rPr>
      </w:pPr>
    </w:p>
    <w:p w14:paraId="5907108E" w14:textId="60425BB1" w:rsidR="00405820" w:rsidRPr="00BF76A3" w:rsidRDefault="002F4028" w:rsidP="00BF76A3">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Como resultado de este intenso debate nacional en el que participaron 258.096 personas a través de las diversas estrategias y modalidades de consulta previstas, se obtuvo el respaldo de nuestra sociedad a esta propuesta de Plan, pero además se enriquecieron las acciones contempladas, y se incorporaron nuevas medidas que nacieron de la agenda de reivindicaciones y luchas sociales de los diferentes sectores participantes. Este Plan fue luego aprobado por el Presidente de la República mediante Decreto, otorgando al mismo carácter imperativo para el Estado</w:t>
      </w:r>
      <w:r>
        <w:rPr>
          <w:rStyle w:val="Ancladenotaalpie"/>
          <w:rFonts w:ascii="Times New Roman" w:eastAsia="Arial" w:hAnsi="Times New Roman" w:cs="Times New Roman"/>
          <w:sz w:val="20"/>
          <w:szCs w:val="20"/>
        </w:rPr>
        <w:footnoteReference w:id="47"/>
      </w:r>
      <w:r>
        <w:rPr>
          <w:rFonts w:ascii="Times New Roman" w:hAnsi="Times New Roman" w:cs="Times New Roman"/>
          <w:sz w:val="20"/>
          <w:szCs w:val="20"/>
        </w:rPr>
        <w:t>.</w:t>
      </w:r>
      <w:r w:rsidR="00BF76A3">
        <w:rPr>
          <w:rFonts w:ascii="Times New Roman" w:eastAsia="Times New Roman" w:hAnsi="Times New Roman" w:cs="Times New Roman"/>
          <w:sz w:val="20"/>
          <w:szCs w:val="20"/>
        </w:rPr>
        <w:t xml:space="preserve"> </w:t>
      </w:r>
      <w:r w:rsidRPr="00BF76A3">
        <w:rPr>
          <w:rFonts w:ascii="Times New Roman" w:hAnsi="Times New Roman" w:cs="Times New Roman"/>
          <w:sz w:val="20"/>
          <w:szCs w:val="20"/>
        </w:rPr>
        <w:t xml:space="preserve">El Plan de Derechos Humanos, que desarrolla el Plan de la Patria, precisa aún más las políticas públicas, programas y medidas que debe adoptar el Estado venezolano para garantizar los derechos humanos de los NNA. </w:t>
      </w:r>
    </w:p>
    <w:p w14:paraId="7F130953" w14:textId="77777777" w:rsidR="00405820" w:rsidRDefault="00405820">
      <w:pPr>
        <w:pStyle w:val="ListParagraph"/>
        <w:rPr>
          <w:rFonts w:cs="Times New Roman"/>
          <w:sz w:val="20"/>
          <w:szCs w:val="20"/>
        </w:rPr>
      </w:pPr>
    </w:p>
    <w:p w14:paraId="1859AB04"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El Consejo Nacional de Derechos Humanos junto al Fondo de las Naciones Unidas para la Infancia (UNICEF), en 2017 presentaron una publicación del </w:t>
      </w:r>
      <w:r>
        <w:rPr>
          <w:rFonts w:ascii="Times New Roman" w:hAnsi="Times New Roman" w:cs="Times New Roman"/>
          <w:bCs/>
          <w:sz w:val="20"/>
          <w:szCs w:val="20"/>
        </w:rPr>
        <w:t>Plan Nacional de Derechos Humanos explicada para niños y niñas</w:t>
      </w:r>
      <w:r>
        <w:rPr>
          <w:rFonts w:ascii="Times New Roman" w:hAnsi="Times New Roman" w:cs="Times New Roman"/>
          <w:sz w:val="20"/>
          <w:szCs w:val="20"/>
        </w:rPr>
        <w:t xml:space="preserve"> a través del cuento “Karina tiene un Plan” donde se relata la aventura de una joven inquieta, apasionada y llena de sueños que junto a sus amigos Pancho, </w:t>
      </w:r>
      <w:proofErr w:type="spellStart"/>
      <w:r>
        <w:rPr>
          <w:rFonts w:ascii="Times New Roman" w:hAnsi="Times New Roman" w:cs="Times New Roman"/>
          <w:sz w:val="20"/>
          <w:szCs w:val="20"/>
        </w:rPr>
        <w:t>Yhoena</w:t>
      </w:r>
      <w:proofErr w:type="spellEnd"/>
      <w:r>
        <w:rPr>
          <w:rFonts w:ascii="Times New Roman" w:hAnsi="Times New Roman" w:cs="Times New Roman"/>
          <w:sz w:val="20"/>
          <w:szCs w:val="20"/>
        </w:rPr>
        <w:t xml:space="preserve"> y Carlitos dan a conocer este Plan a niños y niñas.</w:t>
      </w:r>
    </w:p>
    <w:p w14:paraId="430287A7" w14:textId="77777777" w:rsidR="00405820" w:rsidRDefault="00405820">
      <w:pPr>
        <w:pStyle w:val="ListParagraph"/>
        <w:rPr>
          <w:rFonts w:cs="Times New Roman"/>
          <w:sz w:val="20"/>
          <w:szCs w:val="20"/>
        </w:rPr>
      </w:pPr>
    </w:p>
    <w:p w14:paraId="531AEB48"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Igualmente, desde el Consejo Nacional de Derechos Humanos, con el apoyo de UNICEF, se difundió y distribuyó en todo el país la Convención Sobre los Derechos del Niño adaptada en mesas técnicas con los pueblos indígenas y revisada por el Instituto de Idiomas Indígenas a los idiomas </w:t>
      </w:r>
      <w:proofErr w:type="spellStart"/>
      <w:r>
        <w:rPr>
          <w:rFonts w:ascii="Times New Roman" w:hAnsi="Times New Roman" w:cs="Times New Roman"/>
          <w:sz w:val="20"/>
          <w:szCs w:val="20"/>
        </w:rPr>
        <w:t>Wayú</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Wuarao</w:t>
      </w:r>
      <w:proofErr w:type="spellEnd"/>
      <w:r>
        <w:rPr>
          <w:rFonts w:ascii="Times New Roman" w:hAnsi="Times New Roman" w:cs="Times New Roman"/>
          <w:sz w:val="20"/>
          <w:szCs w:val="20"/>
        </w:rPr>
        <w:t xml:space="preserve"> y </w:t>
      </w:r>
      <w:proofErr w:type="spellStart"/>
      <w:r>
        <w:rPr>
          <w:rFonts w:ascii="Times New Roman" w:hAnsi="Times New Roman" w:cs="Times New Roman"/>
          <w:sz w:val="20"/>
          <w:szCs w:val="20"/>
        </w:rPr>
        <w:t>Kariña</w:t>
      </w:r>
      <w:proofErr w:type="spellEnd"/>
      <w:r>
        <w:rPr>
          <w:rFonts w:ascii="Times New Roman" w:hAnsi="Times New Roman" w:cs="Times New Roman"/>
          <w:sz w:val="20"/>
          <w:szCs w:val="20"/>
        </w:rPr>
        <w:t xml:space="preserve">. </w:t>
      </w:r>
    </w:p>
    <w:p w14:paraId="4AC10C49" w14:textId="77777777" w:rsidR="00405820" w:rsidRDefault="00405820">
      <w:pPr>
        <w:pStyle w:val="ListParagraph"/>
        <w:rPr>
          <w:rFonts w:cs="Times New Roman"/>
          <w:sz w:val="20"/>
          <w:szCs w:val="20"/>
        </w:rPr>
      </w:pPr>
    </w:p>
    <w:p w14:paraId="6B013245"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Es importante mencionar el </w:t>
      </w:r>
      <w:r>
        <w:rPr>
          <w:rFonts w:ascii="Times New Roman" w:hAnsi="Times New Roman" w:cs="Times New Roman"/>
          <w:bCs/>
          <w:sz w:val="20"/>
          <w:szCs w:val="20"/>
        </w:rPr>
        <w:t>Primer Plan Nacional para la Protección de los Derechos Sexuales y los Derechos Reproductivos de las Mujeres (2014-2019)</w:t>
      </w:r>
      <w:r>
        <w:rPr>
          <w:rFonts w:ascii="Times New Roman" w:hAnsi="Times New Roman" w:cs="Times New Roman"/>
          <w:sz w:val="20"/>
          <w:szCs w:val="20"/>
        </w:rPr>
        <w:t>, tiene como propósito garantizar los derechos humanos fundamentales de todas las mujeres, sin ninguna discriminación, basado en el principio de acción afirmativa contemplado en la CRBV. Contempla acciones específicas para aquellas mujeres que, por diversas razones, siguen estando vulneradas y excluidas socialmente de las políticas públicas que rigen la materia, fomentando el acceso a los servicios de atención y prevención en salud, educación y justicia, considerando sus especificidades y necesidades, y desarrollando las acciones necesarias para alcanzar el pleno ejercicio de sus derechos sexuales y derechos reproductivos, a fin de que logren la autonomía sobre sus cuerpos, su sexualidad y su reproducción.</w:t>
      </w:r>
    </w:p>
    <w:p w14:paraId="27F27488" w14:textId="77777777" w:rsidR="00405820" w:rsidRDefault="00405820">
      <w:pPr>
        <w:pStyle w:val="ListParagraph"/>
        <w:rPr>
          <w:rFonts w:cs="Times New Roman"/>
          <w:sz w:val="20"/>
          <w:szCs w:val="20"/>
        </w:rPr>
      </w:pPr>
    </w:p>
    <w:p w14:paraId="1B6D5BCD"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Cada año se desarrolla en el período de receso escolar el </w:t>
      </w:r>
      <w:r>
        <w:rPr>
          <w:rFonts w:ascii="Times New Roman" w:hAnsi="Times New Roman" w:cs="Times New Roman"/>
          <w:bCs/>
          <w:sz w:val="20"/>
          <w:szCs w:val="20"/>
        </w:rPr>
        <w:t>Plan Vacacional Comunitario</w:t>
      </w:r>
      <w:r>
        <w:rPr>
          <w:rFonts w:ascii="Times New Roman" w:hAnsi="Times New Roman" w:cs="Times New Roman"/>
          <w:sz w:val="20"/>
          <w:szCs w:val="20"/>
        </w:rPr>
        <w:t xml:space="preserve"> desarrollándose en 2019 la XI edición de este plan. Está dirigido a brindar acceso universal y gratuito a todos los niños, niñas y adolescentes que deseen participar, en cada estado del país. Se trata de actividades de recreación al aire libre, deportivas y culturales que atiende de forma masiva a millones de NNA en todo el territorio nacional durante el receso escolar. Esta diseñado como una estrategia de prevención y protección de los derechos de los NNA que sustituye a la Escuela durante el tiempo de vacaciones escolares.</w:t>
      </w:r>
    </w:p>
    <w:p w14:paraId="4D678B82" w14:textId="77777777" w:rsidR="00405820" w:rsidRDefault="00405820">
      <w:pPr>
        <w:pStyle w:val="ListParagraph"/>
        <w:rPr>
          <w:rFonts w:cs="Times New Roman"/>
          <w:sz w:val="20"/>
          <w:szCs w:val="20"/>
        </w:rPr>
      </w:pPr>
    </w:p>
    <w:p w14:paraId="185FD15F"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Las misiones sociales como política pública del Estado se han orientado a garantizar los derechos fundamentales de la población, con énfasis en los sectores más excluidos; mediante ellas las familias se han fortalecido al lograr superar niveles históricos de pobreza, mejorando su poder adquisitivo y por ende la calidad de atención que los progenitores le pueden brindar a sus hijos. El Sistema de Misiones abarca múltiples grandes misiones, misiones y micro misiones, que atienden a la educación, salud, protección social, vivienda, entre otros.</w:t>
      </w:r>
    </w:p>
    <w:p w14:paraId="2EEFE681" w14:textId="77777777" w:rsidR="00405820" w:rsidRDefault="00405820">
      <w:pPr>
        <w:spacing w:after="0" w:line="240" w:lineRule="auto"/>
        <w:ind w:left="720"/>
        <w:jc w:val="both"/>
        <w:rPr>
          <w:rFonts w:ascii="Times New Roman" w:hAnsi="Times New Roman" w:cs="Times New Roman"/>
          <w:sz w:val="20"/>
          <w:szCs w:val="20"/>
        </w:rPr>
      </w:pPr>
    </w:p>
    <w:p w14:paraId="446AB728" w14:textId="3FA81EF4"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Se crea en 2011 la </w:t>
      </w:r>
      <w:r>
        <w:rPr>
          <w:rFonts w:ascii="Times New Roman" w:hAnsi="Times New Roman" w:cs="Times New Roman"/>
          <w:bCs/>
          <w:sz w:val="20"/>
          <w:szCs w:val="20"/>
        </w:rPr>
        <w:t>Gran Misión Hijas e Hijos</w:t>
      </w:r>
      <w:r>
        <w:rPr>
          <w:rFonts w:ascii="Times New Roman" w:hAnsi="Times New Roman" w:cs="Times New Roman"/>
          <w:sz w:val="20"/>
          <w:szCs w:val="20"/>
        </w:rPr>
        <w:t xml:space="preserve"> </w:t>
      </w:r>
      <w:r>
        <w:rPr>
          <w:rFonts w:ascii="Times New Roman" w:hAnsi="Times New Roman" w:cs="Times New Roman"/>
          <w:bCs/>
          <w:sz w:val="20"/>
          <w:szCs w:val="20"/>
        </w:rPr>
        <w:t>de Venezuela</w:t>
      </w:r>
      <w:r>
        <w:rPr>
          <w:rFonts w:ascii="Times New Roman" w:hAnsi="Times New Roman" w:cs="Times New Roman"/>
          <w:sz w:val="20"/>
          <w:szCs w:val="20"/>
        </w:rPr>
        <w:t xml:space="preserve"> que consiste en una ayuda económica por hijo e hija para aquellas madres cuyos ingresos mensuales sean menores al de un salario mínimo. Además, las familias al registrarse en la Misión se integran a actividades educativas y productivas, así como se les garantiza la atención médica. El programa está dirigido a las adolescentes </w:t>
      </w:r>
      <w:r w:rsidR="00F72BE8">
        <w:rPr>
          <w:rFonts w:ascii="Times New Roman" w:hAnsi="Times New Roman" w:cs="Times New Roman"/>
          <w:sz w:val="20"/>
          <w:szCs w:val="20"/>
        </w:rPr>
        <w:t>y muj</w:t>
      </w:r>
      <w:r w:rsidR="00AD796B">
        <w:rPr>
          <w:rFonts w:ascii="Times New Roman" w:hAnsi="Times New Roman" w:cs="Times New Roman"/>
          <w:sz w:val="20"/>
          <w:szCs w:val="20"/>
        </w:rPr>
        <w:t>e</w:t>
      </w:r>
      <w:r w:rsidR="00F72BE8">
        <w:rPr>
          <w:rFonts w:ascii="Times New Roman" w:hAnsi="Times New Roman" w:cs="Times New Roman"/>
          <w:sz w:val="20"/>
          <w:szCs w:val="20"/>
        </w:rPr>
        <w:t xml:space="preserve">res </w:t>
      </w:r>
      <w:r>
        <w:rPr>
          <w:rFonts w:ascii="Times New Roman" w:hAnsi="Times New Roman" w:cs="Times New Roman"/>
          <w:sz w:val="20"/>
          <w:szCs w:val="20"/>
        </w:rPr>
        <w:t>embarazadas</w:t>
      </w:r>
      <w:r w:rsidR="00F72BE8">
        <w:rPr>
          <w:rFonts w:ascii="Times New Roman" w:hAnsi="Times New Roman" w:cs="Times New Roman"/>
          <w:sz w:val="20"/>
          <w:szCs w:val="20"/>
        </w:rPr>
        <w:t xml:space="preserve"> </w:t>
      </w:r>
      <w:r>
        <w:rPr>
          <w:rFonts w:ascii="Times New Roman" w:hAnsi="Times New Roman" w:cs="Times New Roman"/>
          <w:sz w:val="20"/>
          <w:szCs w:val="20"/>
        </w:rPr>
        <w:t>en situación de pobreza, hijos e hijas menores de 17 años que estén en situación de pobreza, y personas con discapacidad sin límite de edad; quienes cuidan a personas con necesidades especiales</w:t>
      </w:r>
    </w:p>
    <w:p w14:paraId="4D0160A2" w14:textId="77777777" w:rsidR="00405820" w:rsidRDefault="00405820">
      <w:pPr>
        <w:pStyle w:val="ListParagraph"/>
        <w:rPr>
          <w:rFonts w:cs="Times New Roman"/>
          <w:sz w:val="20"/>
          <w:szCs w:val="20"/>
        </w:rPr>
      </w:pPr>
    </w:p>
    <w:p w14:paraId="48E4FE4B" w14:textId="08D92776"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Se crea en 2011 la </w:t>
      </w:r>
      <w:r>
        <w:rPr>
          <w:rFonts w:ascii="Times New Roman" w:hAnsi="Times New Roman" w:cs="Times New Roman"/>
          <w:bCs/>
          <w:sz w:val="20"/>
          <w:szCs w:val="20"/>
        </w:rPr>
        <w:t>Gran Misión Vivienda Venezuela</w:t>
      </w:r>
      <w:r>
        <w:rPr>
          <w:rFonts w:ascii="Times New Roman" w:hAnsi="Times New Roman" w:cs="Times New Roman"/>
          <w:b/>
          <w:bCs/>
          <w:sz w:val="20"/>
          <w:szCs w:val="20"/>
        </w:rPr>
        <w:t xml:space="preserve"> </w:t>
      </w:r>
      <w:r>
        <w:rPr>
          <w:rFonts w:ascii="Times New Roman" w:hAnsi="Times New Roman" w:cs="Times New Roman"/>
          <w:sz w:val="20"/>
          <w:szCs w:val="20"/>
        </w:rPr>
        <w:t xml:space="preserve">que consiste en garantizar una vivienda a las familias venezolanas, en especial a las familias de los sectores sociales más desfavorecidos. La Misión se sustenta en un plan fundamental de construcción que ha entregado hasta julio de </w:t>
      </w:r>
      <w:r w:rsidRPr="0021408C">
        <w:rPr>
          <w:rFonts w:ascii="Times New Roman" w:hAnsi="Times New Roman" w:cs="Times New Roman"/>
          <w:sz w:val="20"/>
          <w:szCs w:val="20"/>
        </w:rPr>
        <w:t>202</w:t>
      </w:r>
      <w:r w:rsidR="0021408C" w:rsidRPr="0021408C">
        <w:rPr>
          <w:rFonts w:ascii="Times New Roman" w:hAnsi="Times New Roman" w:cs="Times New Roman"/>
          <w:sz w:val="20"/>
          <w:szCs w:val="20"/>
        </w:rPr>
        <w:t>5</w:t>
      </w:r>
      <w:r w:rsidRPr="0021408C">
        <w:rPr>
          <w:rFonts w:ascii="Times New Roman" w:hAnsi="Times New Roman" w:cs="Times New Roman"/>
          <w:sz w:val="20"/>
          <w:szCs w:val="20"/>
        </w:rPr>
        <w:t>:</w:t>
      </w:r>
      <w:r w:rsidR="0021408C">
        <w:rPr>
          <w:rFonts w:ascii="Times New Roman" w:hAnsi="Times New Roman" w:cs="Times New Roman"/>
          <w:sz w:val="20"/>
          <w:szCs w:val="20"/>
        </w:rPr>
        <w:t xml:space="preserve"> 5.258.000</w:t>
      </w:r>
      <w:r>
        <w:rPr>
          <w:rFonts w:ascii="Times New Roman" w:hAnsi="Times New Roman" w:cs="Times New Roman"/>
          <w:sz w:val="20"/>
          <w:szCs w:val="20"/>
        </w:rPr>
        <w:t xml:space="preserve"> viviendas</w:t>
      </w:r>
      <w:r w:rsidR="005D2FB2">
        <w:rPr>
          <w:rStyle w:val="FootnoteReference"/>
          <w:rFonts w:ascii="Times New Roman" w:hAnsi="Times New Roman" w:cs="Times New Roman"/>
          <w:sz w:val="20"/>
          <w:szCs w:val="20"/>
        </w:rPr>
        <w:footnoteReference w:id="48"/>
      </w:r>
      <w:r>
        <w:rPr>
          <w:rFonts w:ascii="Times New Roman" w:hAnsi="Times New Roman" w:cs="Times New Roman"/>
          <w:sz w:val="20"/>
          <w:szCs w:val="20"/>
        </w:rPr>
        <w:t xml:space="preserve">, apuntando a una disminución del déficit estructural de hogares en Venezuela. </w:t>
      </w:r>
    </w:p>
    <w:p w14:paraId="13FC5C1D" w14:textId="77777777" w:rsidR="00405820" w:rsidRDefault="00405820">
      <w:pPr>
        <w:spacing w:after="0" w:line="240" w:lineRule="auto"/>
        <w:ind w:left="720"/>
        <w:jc w:val="both"/>
        <w:rPr>
          <w:rFonts w:ascii="Times New Roman" w:hAnsi="Times New Roman" w:cs="Times New Roman"/>
          <w:sz w:val="20"/>
          <w:szCs w:val="20"/>
        </w:rPr>
      </w:pPr>
    </w:p>
    <w:p w14:paraId="53668858" w14:textId="301739CF" w:rsidR="00405820" w:rsidRDefault="002F4028">
      <w:pPr>
        <w:numPr>
          <w:ilvl w:val="0"/>
          <w:numId w:val="1"/>
        </w:numPr>
        <w:spacing w:after="0" w:line="240" w:lineRule="auto"/>
        <w:ind w:left="0" w:firstLine="0"/>
        <w:jc w:val="both"/>
      </w:pPr>
      <w:r>
        <w:rPr>
          <w:rFonts w:ascii="Times New Roman" w:eastAsia="Times New Roman" w:hAnsi="Times New Roman" w:cs="Times New Roman"/>
          <w:sz w:val="20"/>
          <w:szCs w:val="20"/>
        </w:rPr>
        <w:t xml:space="preserve">En 2014 se crea la </w:t>
      </w:r>
      <w:r>
        <w:rPr>
          <w:rFonts w:ascii="Times New Roman" w:eastAsia="Times New Roman" w:hAnsi="Times New Roman" w:cs="Times New Roman"/>
          <w:bCs/>
          <w:sz w:val="20"/>
          <w:szCs w:val="20"/>
        </w:rPr>
        <w:t>Gran Misión Hogares de la Patria</w:t>
      </w:r>
      <w:r>
        <w:rPr>
          <w:rFonts w:ascii="Times New Roman" w:eastAsia="Times New Roman" w:hAnsi="Times New Roman" w:cs="Times New Roman"/>
          <w:sz w:val="20"/>
          <w:szCs w:val="20"/>
        </w:rPr>
        <w:t xml:space="preserve"> para proteger a las familias venezolanas a través de asignaciones económicas otorgadas a través del Sistema la Patria y su instrumento de identificación Carn</w:t>
      </w:r>
      <w:r w:rsidR="00274692">
        <w:rPr>
          <w:rFonts w:ascii="Times New Roman" w:eastAsia="Times New Roman" w:hAnsi="Times New Roman" w:cs="Times New Roman"/>
          <w:sz w:val="20"/>
          <w:szCs w:val="20"/>
        </w:rPr>
        <w:t xml:space="preserve">et </w:t>
      </w:r>
      <w:r>
        <w:rPr>
          <w:rFonts w:ascii="Times New Roman" w:eastAsia="Times New Roman" w:hAnsi="Times New Roman" w:cs="Times New Roman"/>
          <w:sz w:val="20"/>
          <w:szCs w:val="20"/>
        </w:rPr>
        <w:t>de la Patria, herramienta articuladora de las políticas sociales del Estado. Esta Gran Misión a mediados de 2020 ha registrado la atención a 6 millones 200 mil hogares. Estas asignaciones económicas se ajustan en función del número de integrantes y de NNA en los hogares, así como en función de otras condiciones como la discapacidad, la gestación o la lactancia. Así mismo, esta herramienta brinda asignaciones económicas para promover el ingreso y permanencia de los NNA en la escolaridad.</w:t>
      </w:r>
    </w:p>
    <w:p w14:paraId="1F898092" w14:textId="77777777" w:rsidR="00405820" w:rsidRDefault="00405820">
      <w:pPr>
        <w:pStyle w:val="ListParagraph"/>
        <w:rPr>
          <w:rFonts w:cs="Times New Roman"/>
          <w:sz w:val="20"/>
          <w:szCs w:val="20"/>
        </w:rPr>
      </w:pPr>
    </w:p>
    <w:p w14:paraId="79162A64"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2017 se crea la</w:t>
      </w:r>
      <w:r>
        <w:rPr>
          <w:rFonts w:ascii="Times New Roman" w:hAnsi="Times New Roman" w:cs="Times New Roman"/>
          <w:b/>
          <w:bCs/>
          <w:sz w:val="20"/>
          <w:szCs w:val="20"/>
        </w:rPr>
        <w:t xml:space="preserve"> </w:t>
      </w:r>
      <w:r>
        <w:rPr>
          <w:rFonts w:ascii="Times New Roman" w:hAnsi="Times New Roman" w:cs="Times New Roman"/>
          <w:bCs/>
          <w:sz w:val="20"/>
          <w:szCs w:val="20"/>
        </w:rPr>
        <w:t>Misión Parto Humanizado</w:t>
      </w:r>
      <w:r>
        <w:rPr>
          <w:rFonts w:ascii="Times New Roman" w:hAnsi="Times New Roman" w:cs="Times New Roman"/>
          <w:b/>
          <w:bCs/>
          <w:sz w:val="20"/>
          <w:szCs w:val="20"/>
        </w:rPr>
        <w:t xml:space="preserve"> </w:t>
      </w:r>
      <w:r>
        <w:rPr>
          <w:rFonts w:ascii="Times New Roman" w:hAnsi="Times New Roman" w:cs="Times New Roman"/>
          <w:sz w:val="20"/>
          <w:szCs w:val="20"/>
        </w:rPr>
        <w:t xml:space="preserve">la cual está dirigida a mujeres embarazadas, garantizándoles condiciones idóneas durante su gestación, parto, postparto y lactancia materna, así como el respeto de sus derechos sexuales y reproductivos. Las mujeres reciben un acompañamiento integral donde se les proporciona información que va desde la comprensión de su proceso de gestación, parto, lactancia materna hasta el cuidado del bebé; adicionalmente las mujeres gestantes y en período de lactancia materna reciben una asignación económica a través del Sistema Patria. </w:t>
      </w:r>
    </w:p>
    <w:p w14:paraId="626537DC" w14:textId="77777777" w:rsidR="00405820" w:rsidRDefault="00405820">
      <w:pPr>
        <w:pStyle w:val="ListParagraph"/>
        <w:rPr>
          <w:rFonts w:cs="Times New Roman"/>
          <w:sz w:val="20"/>
          <w:szCs w:val="20"/>
        </w:rPr>
      </w:pPr>
    </w:p>
    <w:p w14:paraId="601CE4BC"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Se impulsa en 2017 el </w:t>
      </w:r>
      <w:r>
        <w:rPr>
          <w:rFonts w:ascii="Times New Roman" w:hAnsi="Times New Roman" w:cs="Times New Roman"/>
          <w:bCs/>
          <w:sz w:val="20"/>
          <w:szCs w:val="20"/>
        </w:rPr>
        <w:t>Plan Nacional de Prevención y Reducción del Embarazo a Temprana Edad y en la Adolescencia en Venezuela (Plan PRETA)</w:t>
      </w:r>
      <w:r>
        <w:rPr>
          <w:rFonts w:ascii="Times New Roman" w:hAnsi="Times New Roman" w:cs="Times New Roman"/>
          <w:sz w:val="20"/>
          <w:szCs w:val="20"/>
        </w:rPr>
        <w:t xml:space="preserve"> el cual contempla líneas estratégicas de acción para el abordaje de esta problemática, el mismo se compone por:</w:t>
      </w:r>
      <w:r>
        <w:rPr>
          <w:rFonts w:ascii="Times New Roman" w:eastAsia="Times New Roman" w:hAnsi="Times New Roman" w:cs="Times New Roman"/>
          <w:sz w:val="20"/>
          <w:szCs w:val="20"/>
          <w:lang w:eastAsia="es-VE"/>
        </w:rPr>
        <w:t xml:space="preserve"> educación integral de la sexualidad, atención integral a adolescentes en servicios diferenciados, fortalecimiento del sistema de protección para la prevención, empoderamiento de adolescentes y jóvenes en Derechos Sexuales y Derechos Reproductivos y participación comunitaria. Para la fecha el Plan Preta ha logrado la capacitación de 4.000 docentes a nivel nacional en </w:t>
      </w:r>
      <w:r>
        <w:rPr>
          <w:rFonts w:ascii="Times New Roman" w:hAnsi="Times New Roman" w:cs="Times New Roman"/>
          <w:sz w:val="20"/>
          <w:szCs w:val="20"/>
          <w:shd w:val="clear" w:color="auto" w:fill="FFFFFF"/>
        </w:rPr>
        <w:t>Educación Integral de la Sexualidad, incluyendo la instalación de varios diplomados sobre el tema en el país, asimismo, ha realizado un seguimiento para la implementación de consultas de salud diferenciadas contabilizando 75 centros de consulta en todo el país, donde los y las adolescentes pueden asistir y ser atendidos.</w:t>
      </w:r>
    </w:p>
    <w:p w14:paraId="4F7FFD20" w14:textId="77777777" w:rsidR="00405820" w:rsidRDefault="00405820">
      <w:pPr>
        <w:pStyle w:val="ListParagraph"/>
        <w:rPr>
          <w:rFonts w:cs="Times New Roman"/>
          <w:sz w:val="20"/>
          <w:szCs w:val="20"/>
        </w:rPr>
      </w:pPr>
    </w:p>
    <w:p w14:paraId="7C1EA5FD"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Entre 1998 y 2019 gracias a todas las políticas implementadas se disminuyó en 10,24</w:t>
      </w:r>
      <w:r>
        <w:rPr>
          <w:rFonts w:ascii="Times New Roman" w:hAnsi="Times New Roman" w:cs="Times New Roman"/>
          <w:i/>
          <w:iCs/>
          <w:sz w:val="20"/>
          <w:szCs w:val="20"/>
        </w:rPr>
        <w:t xml:space="preserve"> </w:t>
      </w:r>
      <w:r>
        <w:rPr>
          <w:rFonts w:ascii="Times New Roman" w:hAnsi="Times New Roman" w:cs="Times New Roman"/>
          <w:sz w:val="20"/>
          <w:szCs w:val="20"/>
        </w:rPr>
        <w:t xml:space="preserve">puntos porcentuales los hogares con hacinamiento y en el mismo período se disminuyó en 3,4 puntos porcentuales las viviendas inadecuadas.  </w:t>
      </w:r>
    </w:p>
    <w:p w14:paraId="3ED2D44B" w14:textId="77777777" w:rsidR="00405820" w:rsidRDefault="00405820">
      <w:pPr>
        <w:pStyle w:val="ListParagraph"/>
        <w:rPr>
          <w:rFonts w:cs="Times New Roman"/>
          <w:sz w:val="20"/>
          <w:szCs w:val="20"/>
        </w:rPr>
      </w:pPr>
    </w:p>
    <w:p w14:paraId="392724FA"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2017 se crea el </w:t>
      </w:r>
      <w:r>
        <w:rPr>
          <w:rFonts w:ascii="Times New Roman" w:hAnsi="Times New Roman" w:cs="Times New Roman"/>
          <w:bCs/>
          <w:sz w:val="20"/>
          <w:szCs w:val="20"/>
        </w:rPr>
        <w:t>Plan Chamba Juvenil</w:t>
      </w:r>
      <w:r>
        <w:rPr>
          <w:rFonts w:ascii="Times New Roman" w:hAnsi="Times New Roman" w:cs="Times New Roman"/>
          <w:sz w:val="20"/>
          <w:szCs w:val="20"/>
        </w:rPr>
        <w:t xml:space="preserve"> cuyo objetivo está dirigido a jóvenes a entre 15 y 35 años puedan desempeñar un primer trabajo productivo devengando un ingreso el cual corresponde al salario mínimo. Se trata de una Misión Social que incluye la formación para el trabajo, la prestación de servicios bajo una remuneración con la protección y supervisión del Estado. La palabra Chamba en nuestro país es sinónimo de trabajo. Esta iniciativa atiende fundamentalmente personas adultas jóvenes, pero también beneficia a adolescentes a partir de los 15 años de edad. En junio de 2018, el Presidente de la República, lo transforma en una Gran Misión Socialista con el objetivo de avanzar en la atención de la juventud venezolana y crea el Banco Digital de Criptomonedas de la Juventud o Petro Joven. En 2021 se aprueba la Ley de la Gran Misión Chamba Juvenil.</w:t>
      </w:r>
    </w:p>
    <w:p w14:paraId="2DC25B98" w14:textId="77777777" w:rsidR="00405820" w:rsidRDefault="00405820">
      <w:pPr>
        <w:pStyle w:val="ListParagraph"/>
        <w:rPr>
          <w:rFonts w:cs="Times New Roman"/>
          <w:sz w:val="20"/>
          <w:szCs w:val="20"/>
        </w:rPr>
      </w:pPr>
    </w:p>
    <w:p w14:paraId="1440A8B8" w14:textId="1C2AEACD"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En el marco de este Plan hasta mediados de 2020, más de 1.800.000 jóvenes se han inscrito en la plataforma de la Gran Misión y un total de 361 locales </w:t>
      </w:r>
      <w:proofErr w:type="spellStart"/>
      <w:r>
        <w:rPr>
          <w:rFonts w:ascii="Times New Roman" w:hAnsi="Times New Roman" w:cs="Times New Roman"/>
          <w:sz w:val="20"/>
          <w:szCs w:val="20"/>
        </w:rPr>
        <w:t>socioproductivos</w:t>
      </w:r>
      <w:proofErr w:type="spellEnd"/>
      <w:r>
        <w:rPr>
          <w:rFonts w:ascii="Times New Roman" w:hAnsi="Times New Roman" w:cs="Times New Roman"/>
          <w:sz w:val="20"/>
          <w:szCs w:val="20"/>
        </w:rPr>
        <w:t xml:space="preserve"> han sido entregados a la juventud que produce y trabaja</w:t>
      </w:r>
      <w:r>
        <w:rPr>
          <w:rStyle w:val="Ancladenotaalpie"/>
          <w:rFonts w:ascii="Times New Roman" w:hAnsi="Times New Roman" w:cs="Times New Roman"/>
          <w:sz w:val="20"/>
          <w:szCs w:val="20"/>
        </w:rPr>
        <w:footnoteReference w:id="49"/>
      </w:r>
      <w:r>
        <w:rPr>
          <w:rFonts w:ascii="Times New Roman" w:hAnsi="Times New Roman" w:cs="Times New Roman"/>
          <w:sz w:val="20"/>
          <w:szCs w:val="20"/>
        </w:rPr>
        <w:t>.</w:t>
      </w:r>
    </w:p>
    <w:p w14:paraId="0F954DCC" w14:textId="77777777" w:rsidR="00405820" w:rsidRDefault="00405820">
      <w:pPr>
        <w:spacing w:after="0" w:line="240" w:lineRule="auto"/>
        <w:ind w:left="720"/>
        <w:jc w:val="both"/>
        <w:rPr>
          <w:rFonts w:ascii="Times New Roman" w:hAnsi="Times New Roman" w:cs="Times New Roman"/>
          <w:sz w:val="20"/>
          <w:szCs w:val="20"/>
        </w:rPr>
      </w:pPr>
    </w:p>
    <w:p w14:paraId="6DD6525D" w14:textId="7899A410" w:rsidR="00405820" w:rsidRDefault="002F4028">
      <w:pPr>
        <w:numPr>
          <w:ilvl w:val="0"/>
          <w:numId w:val="1"/>
        </w:numPr>
        <w:spacing w:after="0" w:line="240" w:lineRule="auto"/>
        <w:ind w:left="0" w:firstLine="0"/>
        <w:jc w:val="both"/>
        <w:rPr>
          <w14:ligatures w14:val="standardContextual"/>
        </w:rPr>
      </w:pPr>
      <w:r>
        <w:rPr>
          <w:rFonts w:ascii="Times New Roman" w:hAnsi="Times New Roman" w:cs="Arial"/>
          <w:sz w:val="20"/>
          <w:szCs w:val="20"/>
          <w:lang w:val="es-MX"/>
          <w14:ligatures w14:val="standardContextual"/>
        </w:rPr>
        <w:t>Para el período comprendido entre 2014-2021, se ejecutó el “</w:t>
      </w:r>
      <w:bookmarkStart w:id="1" w:name="_Hlk67129121"/>
      <w:r>
        <w:rPr>
          <w:rFonts w:ascii="Times New Roman" w:hAnsi="Times New Roman" w:cs="Arial"/>
          <w:sz w:val="20"/>
          <w:szCs w:val="20"/>
          <w:lang w:val="es-MX"/>
          <w14:ligatures w14:val="standardContextual"/>
        </w:rPr>
        <w:t xml:space="preserve">Plan de Acción Nacional para la Intervención Integral de los Niños, Niñas y Adolescentes en Situación de </w:t>
      </w:r>
      <w:r>
        <w:rPr>
          <w:rFonts w:ascii="Times New Roman" w:hAnsi="Times New Roman" w:cs="Arial"/>
          <w:bCs/>
          <w:sz w:val="20"/>
          <w:szCs w:val="20"/>
          <w14:ligatures w14:val="standardContextual"/>
        </w:rPr>
        <w:t xml:space="preserve">Riesgo Social </w:t>
      </w:r>
      <w:bookmarkEnd w:id="1"/>
      <w:r>
        <w:rPr>
          <w:rFonts w:ascii="Times New Roman" w:hAnsi="Times New Roman" w:cs="Arial"/>
          <w:bCs/>
          <w:sz w:val="20"/>
          <w:szCs w:val="20"/>
          <w14:ligatures w14:val="standardContextual"/>
        </w:rPr>
        <w:t xml:space="preserve">en todo el territorio nacional, en el año 2019 se atendieron a través de estas jornadas de abordaje y captación </w:t>
      </w:r>
      <w:r w:rsidR="00923AF9">
        <w:rPr>
          <w:rFonts w:ascii="Times New Roman" w:hAnsi="Times New Roman" w:cs="Arial"/>
          <w:bCs/>
          <w:sz w:val="20"/>
          <w:szCs w:val="20"/>
          <w14:ligatures w14:val="standardContextual"/>
        </w:rPr>
        <w:t xml:space="preserve">de </w:t>
      </w:r>
      <w:r>
        <w:rPr>
          <w:rFonts w:ascii="Times New Roman" w:hAnsi="Times New Roman" w:cs="Arial"/>
          <w:bCs/>
          <w:sz w:val="20"/>
          <w:szCs w:val="20"/>
          <w14:ligatures w14:val="standardContextual"/>
        </w:rPr>
        <w:t>619 niños, niñas y adolescentes, realizándose a nivel nacional  655 acompañamientos con los integrantes del Sistema de Protección.</w:t>
      </w:r>
    </w:p>
    <w:p w14:paraId="5222B005" w14:textId="77777777" w:rsidR="00405820" w:rsidRDefault="00405820">
      <w:pPr>
        <w:spacing w:after="0" w:line="240" w:lineRule="auto"/>
        <w:jc w:val="both"/>
        <w:rPr>
          <w14:ligatures w14:val="standardContextual"/>
        </w:rPr>
      </w:pPr>
    </w:p>
    <w:p w14:paraId="17C7A1EF" w14:textId="15D2F216" w:rsidR="00405820" w:rsidRDefault="002F4028">
      <w:pPr>
        <w:numPr>
          <w:ilvl w:val="0"/>
          <w:numId w:val="1"/>
        </w:numPr>
        <w:spacing w:after="0" w:line="240" w:lineRule="auto"/>
        <w:ind w:left="0" w:firstLine="0"/>
        <w:jc w:val="both"/>
      </w:pPr>
      <w:r>
        <w:rPr>
          <w:rFonts w:ascii="Times New Roman" w:hAnsi="Times New Roman" w:cs="Arial"/>
          <w:sz w:val="20"/>
          <w:szCs w:val="20"/>
          <w:lang w:val="es-MX"/>
        </w:rPr>
        <w:t>El Estado ha implementación del Plan de Amor en Acción para las Víctimas de la Guerra Económica (2019-2024) a fin de garantizar entornos familiares seguros y libres de violencia para el desarrollo de los</w:t>
      </w:r>
      <w:r w:rsidR="008E1459">
        <w:rPr>
          <w:rFonts w:ascii="Times New Roman" w:hAnsi="Times New Roman" w:cs="Arial"/>
          <w:sz w:val="20"/>
          <w:szCs w:val="20"/>
          <w:lang w:val="es-MX"/>
        </w:rPr>
        <w:t xml:space="preserve"> n</w:t>
      </w:r>
      <w:r>
        <w:rPr>
          <w:rFonts w:ascii="Times New Roman" w:hAnsi="Times New Roman" w:cs="Arial"/>
          <w:sz w:val="20"/>
          <w:szCs w:val="20"/>
          <w:lang w:val="es-MX"/>
        </w:rPr>
        <w:t xml:space="preserve">iños, niñas y adolescentes. En el año 2024 </w:t>
      </w:r>
      <w:r>
        <w:rPr>
          <w:rFonts w:ascii="Times New Roman" w:hAnsi="Times New Roman" w:cs="Arial"/>
          <w:bCs/>
          <w:sz w:val="20"/>
          <w:szCs w:val="20"/>
        </w:rPr>
        <w:t>se realizaron 343 actividades coordinadas con la Vicepresidencia del Área Social e Integrantes del S</w:t>
      </w:r>
      <w:r w:rsidR="00522F5E">
        <w:rPr>
          <w:rFonts w:ascii="Times New Roman" w:hAnsi="Times New Roman" w:cs="Arial"/>
          <w:bCs/>
          <w:sz w:val="20"/>
          <w:szCs w:val="20"/>
        </w:rPr>
        <w:t>RNPINNA</w:t>
      </w:r>
      <w:r>
        <w:rPr>
          <w:rFonts w:ascii="Times New Roman" w:hAnsi="Times New Roman" w:cs="Arial"/>
          <w:bCs/>
          <w:sz w:val="20"/>
          <w:szCs w:val="20"/>
        </w:rPr>
        <w:t>, en las comunidades más vulnerables, atendiendo a 32.199 niños, niñas y adolescentes y 47.435 familias, a través de jornadas y los abordajes casa, casa, cara a cara y caso a caso en diferentes comunidades.</w:t>
      </w:r>
    </w:p>
    <w:p w14:paraId="609C19CD" w14:textId="77777777" w:rsidR="00405820" w:rsidRDefault="00405820">
      <w:pPr>
        <w:spacing w:after="0" w:line="240" w:lineRule="auto"/>
        <w:jc w:val="both"/>
        <w:rPr>
          <w:rFonts w:ascii="Arial" w:eastAsia="Times New Roman" w:hAnsi="Arial" w:cs="Arial"/>
          <w:sz w:val="24"/>
          <w:szCs w:val="24"/>
          <w:lang w:val="es-MX"/>
        </w:rPr>
      </w:pPr>
    </w:p>
    <w:p w14:paraId="5F96AE5A" w14:textId="6B56E875" w:rsidR="00405820" w:rsidRDefault="002F4028">
      <w:pPr>
        <w:numPr>
          <w:ilvl w:val="0"/>
          <w:numId w:val="1"/>
        </w:numPr>
        <w:spacing w:after="0" w:line="240" w:lineRule="auto"/>
        <w:ind w:left="0" w:firstLine="0"/>
        <w:jc w:val="both"/>
      </w:pPr>
      <w:r>
        <w:rPr>
          <w:rFonts w:ascii="Times New Roman" w:hAnsi="Times New Roman" w:cs="Arial"/>
          <w:sz w:val="20"/>
          <w:szCs w:val="20"/>
          <w:lang w:val="es-MX"/>
        </w:rPr>
        <w:t xml:space="preserve">Siguiendo los objetivos orientadores del Tercer Plan Socialista de Desarrollo Económico y Social de la Patria 2019-2025, se ponen en marcha el Plan Nacional para la Protección Integral de Niños, Niñas y Adolescentes 2021-2025, diseñado por </w:t>
      </w:r>
      <w:r w:rsidR="001052D7">
        <w:rPr>
          <w:rFonts w:ascii="Times New Roman" w:hAnsi="Times New Roman" w:cs="Arial"/>
          <w:sz w:val="20"/>
          <w:szCs w:val="20"/>
          <w:lang w:val="es-MX"/>
        </w:rPr>
        <w:t xml:space="preserve">el </w:t>
      </w:r>
      <w:r>
        <w:rPr>
          <w:rFonts w:ascii="Times New Roman" w:hAnsi="Times New Roman" w:cs="Arial"/>
          <w:sz w:val="20"/>
          <w:szCs w:val="20"/>
          <w:lang w:val="es-MX"/>
        </w:rPr>
        <w:t>IDENNA, el Plan se presentó en distintos escenarios a los integrantes del S</w:t>
      </w:r>
      <w:r w:rsidR="00416320">
        <w:rPr>
          <w:rFonts w:ascii="Times New Roman" w:hAnsi="Times New Roman" w:cs="Arial"/>
          <w:sz w:val="20"/>
          <w:szCs w:val="20"/>
          <w:lang w:val="es-MX"/>
        </w:rPr>
        <w:t>RNPINNA</w:t>
      </w:r>
      <w:r>
        <w:rPr>
          <w:rFonts w:ascii="Times New Roman" w:hAnsi="Times New Roman" w:cs="Arial"/>
          <w:sz w:val="20"/>
          <w:szCs w:val="20"/>
          <w:lang w:val="es-MX"/>
        </w:rPr>
        <w:t xml:space="preserve"> en los diferentes municipios del país, asimismo, se efectuaron</w:t>
      </w:r>
      <w:r w:rsidR="00DC05E1">
        <w:rPr>
          <w:rFonts w:ascii="Times New Roman" w:hAnsi="Times New Roman" w:cs="Arial"/>
          <w:sz w:val="20"/>
          <w:szCs w:val="20"/>
          <w:lang w:val="es-MX"/>
        </w:rPr>
        <w:t xml:space="preserve"> </w:t>
      </w:r>
      <w:r>
        <w:rPr>
          <w:rFonts w:ascii="Times New Roman" w:hAnsi="Times New Roman" w:cs="Arial"/>
          <w:sz w:val="20"/>
          <w:szCs w:val="20"/>
          <w:lang w:val="es-MX"/>
        </w:rPr>
        <w:t>03</w:t>
      </w:r>
      <w:r w:rsidR="00DC05E1">
        <w:rPr>
          <w:rFonts w:ascii="Times New Roman" w:hAnsi="Times New Roman" w:cs="Arial"/>
          <w:sz w:val="20"/>
          <w:szCs w:val="20"/>
          <w:lang w:val="es-MX"/>
        </w:rPr>
        <w:t xml:space="preserve"> </w:t>
      </w:r>
      <w:r>
        <w:rPr>
          <w:rFonts w:ascii="Times New Roman" w:hAnsi="Times New Roman" w:cs="Arial"/>
          <w:sz w:val="20"/>
          <w:szCs w:val="20"/>
          <w:lang w:val="es-MX"/>
        </w:rPr>
        <w:t>encuentros nacionales, con Consejos Municipales de Derechos de Niños, Niñas y Adolescentes (CMDNNA) y demás integrantes del S</w:t>
      </w:r>
      <w:r w:rsidR="00DC05E1">
        <w:rPr>
          <w:rFonts w:ascii="Times New Roman" w:hAnsi="Times New Roman" w:cs="Arial"/>
          <w:sz w:val="20"/>
          <w:szCs w:val="20"/>
          <w:lang w:val="es-MX"/>
        </w:rPr>
        <w:t>RNPINNA.</w:t>
      </w:r>
    </w:p>
    <w:p w14:paraId="32ABAD94" w14:textId="77777777" w:rsidR="00405820" w:rsidRDefault="00405820">
      <w:pPr>
        <w:pStyle w:val="ListParagraph"/>
        <w:rPr>
          <w:rFonts w:cs="Arial"/>
          <w:sz w:val="20"/>
          <w:szCs w:val="20"/>
          <w:lang w:val="es-MX"/>
        </w:rPr>
      </w:pPr>
    </w:p>
    <w:p w14:paraId="7F2EDC68" w14:textId="77777777" w:rsidR="00405820" w:rsidRDefault="002F4028">
      <w:pPr>
        <w:numPr>
          <w:ilvl w:val="0"/>
          <w:numId w:val="1"/>
        </w:numPr>
        <w:spacing w:after="0" w:line="240" w:lineRule="auto"/>
        <w:ind w:left="0" w:firstLine="0"/>
        <w:jc w:val="both"/>
      </w:pPr>
      <w:r>
        <w:rPr>
          <w:rFonts w:ascii="Times New Roman" w:hAnsi="Times New Roman" w:cs="Arial"/>
          <w:sz w:val="20"/>
          <w:szCs w:val="20"/>
          <w:lang w:val="es-MX"/>
        </w:rPr>
        <w:t xml:space="preserve">En coordinación con UNICEF, se llevó a cabo la presentación del Plan Nacional para la Protección vía remota y presencial, a los fines de promover la formulación de planes municipales de protección ajustados al Plan Nacional e intercambiar experiencias y lecciones aprendidas con el Instituto Colombiano de Bienestar Familiar (ICBF), referida a las políticas públicas dirigidas a la promoción y garantía de los derechos a niños, niñas y adolescentes, mostrándose los avances en la protección a la infancia por parte del Estado venezolano. </w:t>
      </w:r>
    </w:p>
    <w:p w14:paraId="43CA7339" w14:textId="77777777" w:rsidR="00405820" w:rsidRDefault="00405820">
      <w:pPr>
        <w:spacing w:after="0" w:line="240" w:lineRule="auto"/>
        <w:ind w:left="720"/>
        <w:jc w:val="both"/>
        <w:rPr>
          <w:rFonts w:ascii="Arial" w:hAnsi="Arial" w:cs="Arial"/>
          <w:sz w:val="24"/>
          <w:szCs w:val="24"/>
          <w:lang w:val="es-MX"/>
        </w:rPr>
      </w:pPr>
    </w:p>
    <w:p w14:paraId="2435C15C" w14:textId="70A18DA4" w:rsidR="00405820" w:rsidRDefault="002F4028" w:rsidP="00E16D0D">
      <w:pPr>
        <w:numPr>
          <w:ilvl w:val="0"/>
          <w:numId w:val="1"/>
        </w:numPr>
        <w:spacing w:after="0" w:line="240" w:lineRule="auto"/>
        <w:ind w:left="0" w:firstLine="0"/>
        <w:jc w:val="both"/>
      </w:pPr>
      <w:r>
        <w:rPr>
          <w:rFonts w:ascii="Times New Roman" w:hAnsi="Times New Roman" w:cs="Arial"/>
          <w:sz w:val="20"/>
          <w:szCs w:val="20"/>
          <w:lang w:val="es-MX"/>
        </w:rPr>
        <w:t>El referido Plan Nacional para la Protección Integral de Niños, Niñas y Adolescentes está integrado por nueve Ejes para la Acción Transformadora, con resultados asociados  al fortalecimiento del Sistema Rector Nacional para la Protección de Niños, Niñas y Adolescentes en los 335 municipios, con  la participación de más de 3.000.000 de niños, niñas, adolescentes,  familias   y comunidades en jornadas  y  programas preventivos, recreativos, formativos, de defensa,  divulgación de derechos  y de protección  integral a nivel nacional</w:t>
      </w:r>
      <w:r w:rsidR="005C568E">
        <w:rPr>
          <w:rFonts w:ascii="Times New Roman" w:hAnsi="Times New Roman" w:cs="Arial"/>
          <w:sz w:val="20"/>
          <w:szCs w:val="20"/>
          <w:lang w:val="es-MX"/>
        </w:rPr>
        <w:t>.</w:t>
      </w:r>
    </w:p>
    <w:p w14:paraId="05F7213E" w14:textId="77777777" w:rsidR="00405820" w:rsidRDefault="00405820">
      <w:pPr>
        <w:spacing w:after="0" w:line="240" w:lineRule="auto"/>
        <w:jc w:val="both"/>
        <w:rPr>
          <w:rFonts w:ascii="Arial" w:hAnsi="Arial" w:cs="Arial"/>
          <w:sz w:val="24"/>
          <w:szCs w:val="24"/>
          <w:lang w:val="es-MX"/>
        </w:rPr>
      </w:pPr>
    </w:p>
    <w:p w14:paraId="74C30989" w14:textId="7728DCEA" w:rsidR="00405820" w:rsidRDefault="00900531">
      <w:pPr>
        <w:numPr>
          <w:ilvl w:val="0"/>
          <w:numId w:val="1"/>
        </w:numPr>
        <w:spacing w:after="0" w:line="240" w:lineRule="auto"/>
        <w:ind w:left="0" w:firstLine="0"/>
        <w:jc w:val="both"/>
      </w:pPr>
      <w:r>
        <w:rPr>
          <w:rFonts w:ascii="Times New Roman" w:hAnsi="Times New Roman" w:cs="Arial"/>
          <w:sz w:val="20"/>
          <w:szCs w:val="20"/>
          <w:lang w:val="es-MX"/>
        </w:rPr>
        <w:t>E</w:t>
      </w:r>
      <w:r w:rsidR="002F4028">
        <w:rPr>
          <w:rFonts w:ascii="Times New Roman" w:hAnsi="Times New Roman" w:cs="Arial"/>
          <w:sz w:val="20"/>
          <w:szCs w:val="20"/>
          <w:lang w:val="es-MX"/>
        </w:rPr>
        <w:t>l IDENNA</w:t>
      </w:r>
      <w:r w:rsidR="00430D1D">
        <w:rPr>
          <w:rFonts w:ascii="Times New Roman" w:hAnsi="Times New Roman" w:cs="Arial"/>
          <w:sz w:val="20"/>
          <w:szCs w:val="20"/>
          <w:lang w:val="es-MX"/>
        </w:rPr>
        <w:t xml:space="preserve"> durante los años 2022-2024 ha realizado m</w:t>
      </w:r>
      <w:r w:rsidR="002F4028">
        <w:rPr>
          <w:rFonts w:ascii="Times New Roman" w:hAnsi="Times New Roman" w:cs="Arial"/>
          <w:sz w:val="20"/>
          <w:szCs w:val="20"/>
          <w:lang w:val="es-MX"/>
        </w:rPr>
        <w:t>ás de</w:t>
      </w:r>
      <w:r w:rsidR="00430D1D">
        <w:rPr>
          <w:rFonts w:ascii="Times New Roman" w:hAnsi="Times New Roman" w:cs="Arial"/>
          <w:sz w:val="20"/>
          <w:szCs w:val="20"/>
          <w:lang w:val="es-MX"/>
        </w:rPr>
        <w:t xml:space="preserve"> </w:t>
      </w:r>
      <w:r w:rsidR="002F4028">
        <w:rPr>
          <w:rFonts w:ascii="Times New Roman" w:hAnsi="Times New Roman" w:cs="Arial"/>
          <w:sz w:val="20"/>
          <w:szCs w:val="20"/>
          <w:lang w:val="es-MX"/>
        </w:rPr>
        <w:t>2.731 actividades</w:t>
      </w:r>
      <w:r w:rsidR="00430D1D">
        <w:rPr>
          <w:rFonts w:ascii="Times New Roman" w:hAnsi="Times New Roman" w:cs="Arial"/>
          <w:sz w:val="20"/>
          <w:szCs w:val="20"/>
          <w:lang w:val="es-MX"/>
        </w:rPr>
        <w:t xml:space="preserve"> en el cual se </w:t>
      </w:r>
      <w:r w:rsidR="002F4028">
        <w:rPr>
          <w:rFonts w:ascii="Times New Roman" w:hAnsi="Times New Roman" w:cs="Arial"/>
          <w:sz w:val="20"/>
          <w:szCs w:val="20"/>
          <w:lang w:val="es-MX"/>
        </w:rPr>
        <w:t>han atendiendo  a más de 44.382</w:t>
      </w:r>
      <w:r w:rsidR="00430D1D">
        <w:rPr>
          <w:rFonts w:ascii="Times New Roman" w:hAnsi="Times New Roman" w:cs="Arial"/>
          <w:sz w:val="20"/>
          <w:szCs w:val="20"/>
          <w:lang w:val="es-MX"/>
        </w:rPr>
        <w:t xml:space="preserve"> </w:t>
      </w:r>
      <w:r w:rsidR="002F4028">
        <w:rPr>
          <w:rFonts w:ascii="Times New Roman" w:hAnsi="Times New Roman" w:cs="Arial"/>
          <w:sz w:val="20"/>
          <w:szCs w:val="20"/>
          <w:lang w:val="es-MX"/>
        </w:rPr>
        <w:t>NNA y  26.475 familias para prevenir el Embarazo a edad temprana y en adolescentes.</w:t>
      </w:r>
    </w:p>
    <w:p w14:paraId="0392E522" w14:textId="77777777" w:rsidR="00405820" w:rsidRDefault="00405820" w:rsidP="002523ED">
      <w:pPr>
        <w:spacing w:after="0" w:line="240" w:lineRule="auto"/>
        <w:jc w:val="both"/>
        <w:rPr>
          <w:rFonts w:eastAsia="Times New Roman" w:cs="Arial"/>
          <w:sz w:val="20"/>
          <w:szCs w:val="20"/>
          <w:lang w:val="es-MX"/>
        </w:rPr>
      </w:pPr>
    </w:p>
    <w:p w14:paraId="356CF58F" w14:textId="3793904A" w:rsidR="00405820" w:rsidRDefault="002F4028">
      <w:pPr>
        <w:numPr>
          <w:ilvl w:val="0"/>
          <w:numId w:val="1"/>
        </w:numPr>
        <w:spacing w:after="0" w:line="240" w:lineRule="auto"/>
        <w:ind w:left="0" w:firstLine="0"/>
        <w:jc w:val="both"/>
      </w:pPr>
      <w:r>
        <w:rPr>
          <w:rFonts w:ascii="Times New Roman" w:eastAsia="Times New Roman" w:hAnsi="Times New Roman" w:cs="Arial"/>
          <w:sz w:val="20"/>
          <w:szCs w:val="20"/>
          <w:lang w:val="es-MX"/>
        </w:rPr>
        <w:t>El IDENNA tiene presencia activa en las mesas de trabajo de coordinación para operativizar el Plan Nacional Contra la Trata de Personas 2021-2025, ejecutado por el MPPRIJP.</w:t>
      </w:r>
    </w:p>
    <w:p w14:paraId="30154F3C" w14:textId="77777777" w:rsidR="00405820" w:rsidRDefault="00405820">
      <w:pPr>
        <w:pStyle w:val="ListParagraph"/>
        <w:rPr>
          <w:rFonts w:cs="Times New Roman"/>
          <w:b/>
          <w:bCs/>
          <w:sz w:val="20"/>
          <w:szCs w:val="20"/>
          <w:lang w:val="es-ES"/>
        </w:rPr>
      </w:pPr>
    </w:p>
    <w:p w14:paraId="3C8D73EF"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lang w:val="es-ES"/>
        </w:rPr>
        <w:t>c) Instituciones nacionales de derechos humanos: supervisión de la aplicación</w:t>
      </w:r>
    </w:p>
    <w:p w14:paraId="19A56813" w14:textId="77777777" w:rsidR="00405820" w:rsidRDefault="00405820">
      <w:pPr>
        <w:pStyle w:val="ListParagraph"/>
        <w:rPr>
          <w:rFonts w:cs="Times New Roman"/>
          <w:sz w:val="20"/>
          <w:szCs w:val="20"/>
          <w:lang w:val="es-ES"/>
        </w:rPr>
      </w:pPr>
    </w:p>
    <w:p w14:paraId="799668FB" w14:textId="27E6CA4C"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La Defensoría del Pueblo fue creada con la Constitución de 1999, como una institución nacional independiente para la promoción, defensa y vigilancia de los derechos humanos</w:t>
      </w:r>
      <w:r w:rsidR="001F79C4">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Dentro de su estructura existen defensorías delegadas especiales con competencia nacional, en la que destaca la defensoría delegada especial en materia de niños, niñas y adolescentes, como órgano asesor especializado, a las distintas dependencias de la Defensoría del Pueblo. </w:t>
      </w:r>
    </w:p>
    <w:p w14:paraId="1A465B59" w14:textId="77777777" w:rsidR="00405820" w:rsidRDefault="00405820">
      <w:pPr>
        <w:pStyle w:val="ListParagraph"/>
        <w:rPr>
          <w:rFonts w:cs="Times New Roman"/>
          <w:sz w:val="20"/>
          <w:szCs w:val="20"/>
          <w:lang w:val="es-ES"/>
        </w:rPr>
      </w:pPr>
    </w:p>
    <w:p w14:paraId="182B2A0B" w14:textId="0FC520F6" w:rsidR="00405820" w:rsidRDefault="002F4028">
      <w:pPr>
        <w:numPr>
          <w:ilvl w:val="0"/>
          <w:numId w:val="1"/>
        </w:numPr>
        <w:spacing w:after="0" w:line="240" w:lineRule="auto"/>
        <w:ind w:left="0" w:firstLine="0"/>
        <w:jc w:val="both"/>
      </w:pPr>
      <w:r>
        <w:rPr>
          <w:rFonts w:ascii="Times New Roman" w:hAnsi="Times New Roman" w:cs="Times New Roman"/>
          <w:sz w:val="20"/>
          <w:szCs w:val="20"/>
          <w:lang w:val="es-ES"/>
        </w:rPr>
        <w:t>De conformidad con la LOPNNA, es la Defensoría del Pueblo el órgano que tiene la competencia para supervisar, inspeccionar y evaluar el funcionamiento los integrantes del Sistema Rector Nacional para la Protección Integral de los Niños, Niñas y Adolescentes y del Sistema Penal de Responsabilidad de los y las Adolescentes. En este sentido, debe destacarse la cooperación técnica que ha brindado UNICEF a este órgano para el ejercicio de estas funciones medulares de supervisión.</w:t>
      </w:r>
    </w:p>
    <w:p w14:paraId="4AF8B120" w14:textId="77777777" w:rsidR="00405820" w:rsidRDefault="00405820">
      <w:pPr>
        <w:spacing w:after="0" w:line="240" w:lineRule="auto"/>
        <w:jc w:val="both"/>
        <w:rPr>
          <w:rFonts w:ascii="Times New Roman" w:eastAsia="Times New Roman" w:hAnsi="Times New Roman" w:cs="Times New Roman"/>
          <w:sz w:val="20"/>
          <w:szCs w:val="20"/>
        </w:rPr>
      </w:pPr>
    </w:p>
    <w:p w14:paraId="786047FB" w14:textId="7FB9D049" w:rsidR="00405820" w:rsidRPr="0079470F" w:rsidRDefault="002F4028" w:rsidP="0079470F">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Resalta en este período la creación en 2014, por parte del Presidente de la República, del Consejo Nacional de Derechos Humanos</w:t>
      </w:r>
      <w:r w:rsidR="0079470F">
        <w:rPr>
          <w:rFonts w:ascii="Times New Roman" w:hAnsi="Times New Roman" w:cs="Times New Roman"/>
          <w:sz w:val="20"/>
          <w:szCs w:val="20"/>
          <w:lang w:val="es-ES"/>
        </w:rPr>
        <w:t>,</w:t>
      </w:r>
      <w:r>
        <w:rPr>
          <w:rStyle w:val="Ancladenotaalpie"/>
          <w:rFonts w:ascii="Times New Roman" w:hAnsi="Times New Roman" w:cs="Times New Roman"/>
          <w:sz w:val="20"/>
          <w:szCs w:val="20"/>
          <w:lang w:val="es-ES"/>
        </w:rPr>
        <w:footnoteReference w:id="50"/>
      </w:r>
      <w:r w:rsidR="0079470F">
        <w:rPr>
          <w:rFonts w:ascii="Times New Roman" w:hAnsi="Times New Roman" w:cs="Times New Roman"/>
          <w:sz w:val="20"/>
          <w:szCs w:val="20"/>
          <w:lang w:val="es-ES"/>
        </w:rPr>
        <w:t>c</w:t>
      </w:r>
      <w:r w:rsidRPr="0079470F">
        <w:rPr>
          <w:rFonts w:ascii="Times New Roman" w:hAnsi="Times New Roman" w:cs="Times New Roman"/>
          <w:sz w:val="20"/>
          <w:szCs w:val="20"/>
          <w:lang w:val="es-ES"/>
        </w:rPr>
        <w:t>on la creación de esta instancia, el Estado venezolano se dota de una estructura orgánica al más alto nivel, dedicada a articular y coordinar el desarrollo de una política pública integral sobre la protección de los Derechos Humanos, sistematizar los avances, hacer seguimiento al cumplimiento de los compromisos adquiridos nacional e internacionalmente, detectar con prontitud los desafíos e impulsar las acciones necesarias para fortalecer sus acciones en materia de derechos humanos.</w:t>
      </w:r>
    </w:p>
    <w:p w14:paraId="20B673B4" w14:textId="77777777" w:rsidR="00405820" w:rsidRDefault="00405820">
      <w:pPr>
        <w:spacing w:after="0" w:line="240" w:lineRule="auto"/>
        <w:jc w:val="both"/>
        <w:rPr>
          <w:rFonts w:cs="Times New Roman"/>
          <w:b/>
          <w:bCs/>
          <w:sz w:val="20"/>
          <w:szCs w:val="20"/>
          <w:lang w:val="es-ES"/>
        </w:rPr>
      </w:pPr>
    </w:p>
    <w:p w14:paraId="12817C43" w14:textId="77777777" w:rsidR="00405820" w:rsidRDefault="002F4028">
      <w:pPr>
        <w:spacing w:after="0" w:line="240" w:lineRule="auto"/>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d) Presupuesto </w:t>
      </w:r>
    </w:p>
    <w:p w14:paraId="0C88CED7" w14:textId="77777777" w:rsidR="00405820" w:rsidRDefault="00405820">
      <w:pPr>
        <w:spacing w:after="0" w:line="240" w:lineRule="auto"/>
        <w:jc w:val="both"/>
        <w:rPr>
          <w:rFonts w:ascii="Times New Roman" w:eastAsia="Times New Roman" w:hAnsi="Times New Roman" w:cs="Times New Roman"/>
          <w:sz w:val="20"/>
          <w:szCs w:val="20"/>
        </w:rPr>
      </w:pPr>
    </w:p>
    <w:p w14:paraId="7773BFEE" w14:textId="40DA3A2B"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 xml:space="preserve">El Estado venezolano para garantizar la protección social del pueblo y coordinar el desarrollo de una política pública integral sobre la protección de los </w:t>
      </w:r>
      <w:r w:rsidR="00093B51">
        <w:rPr>
          <w:rFonts w:ascii="Times New Roman" w:hAnsi="Times New Roman" w:cs="Times New Roman"/>
          <w:sz w:val="20"/>
          <w:szCs w:val="20"/>
          <w:lang w:val="es-ES"/>
        </w:rPr>
        <w:t>d</w:t>
      </w:r>
      <w:r>
        <w:rPr>
          <w:rFonts w:ascii="Times New Roman" w:hAnsi="Times New Roman" w:cs="Times New Roman"/>
          <w:sz w:val="20"/>
          <w:szCs w:val="20"/>
          <w:lang w:val="es-ES"/>
        </w:rPr>
        <w:t xml:space="preserve">erechos </w:t>
      </w:r>
      <w:r w:rsidR="00093B51">
        <w:rPr>
          <w:rFonts w:ascii="Times New Roman" w:hAnsi="Times New Roman" w:cs="Times New Roman"/>
          <w:sz w:val="20"/>
          <w:szCs w:val="20"/>
          <w:lang w:val="es-ES"/>
        </w:rPr>
        <w:t>h</w:t>
      </w:r>
      <w:r>
        <w:rPr>
          <w:rFonts w:ascii="Times New Roman" w:hAnsi="Times New Roman" w:cs="Times New Roman"/>
          <w:sz w:val="20"/>
          <w:szCs w:val="20"/>
          <w:lang w:val="es-ES"/>
        </w:rPr>
        <w:t>umanos de la población y en especial de la niñez y adolescencia, ha realizado una significativa inversión el área social en el año 2024</w:t>
      </w:r>
      <w:r>
        <w:rPr>
          <w:rStyle w:val="Ancladenotaalpie"/>
          <w:rFonts w:ascii="Times New Roman" w:hAnsi="Times New Roman" w:cs="Times New Roman"/>
          <w:sz w:val="20"/>
          <w:szCs w:val="20"/>
          <w:lang w:val="es-ES"/>
        </w:rPr>
        <w:footnoteReference w:id="51"/>
      </w:r>
      <w:r>
        <w:rPr>
          <w:rFonts w:ascii="Times New Roman" w:hAnsi="Times New Roman" w:cs="Times New Roman"/>
          <w:sz w:val="20"/>
          <w:szCs w:val="20"/>
          <w:lang w:val="es-ES"/>
        </w:rPr>
        <w:t>:</w:t>
      </w:r>
    </w:p>
    <w:p w14:paraId="2E9705A6" w14:textId="77777777" w:rsidR="00405820" w:rsidRDefault="00405820">
      <w:pPr>
        <w:spacing w:after="0" w:line="240" w:lineRule="auto"/>
        <w:jc w:val="both"/>
        <w:rPr>
          <w:rFonts w:ascii="Times New Roman" w:eastAsia="Times New Roman" w:hAnsi="Times New Roman" w:cs="Times New Roman"/>
          <w:sz w:val="20"/>
          <w:szCs w:val="20"/>
        </w:rPr>
      </w:pPr>
    </w:p>
    <w:p w14:paraId="72C07244" w14:textId="77777777" w:rsidR="00405820" w:rsidRDefault="00405820">
      <w:pPr>
        <w:spacing w:after="0" w:line="240" w:lineRule="auto"/>
        <w:jc w:val="both"/>
        <w:rPr>
          <w:rFonts w:ascii="Times New Roman" w:eastAsia="Times New Roman" w:hAnsi="Times New Roman" w:cs="Times New Roman"/>
          <w:sz w:val="20"/>
          <w:szCs w:val="20"/>
        </w:rPr>
      </w:pPr>
    </w:p>
    <w:p w14:paraId="5BEC870C" w14:textId="77777777" w:rsidR="00405820" w:rsidRDefault="002F4028">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Tabla II</w:t>
      </w:r>
    </w:p>
    <w:p w14:paraId="1C05CA60" w14:textId="77777777" w:rsidR="00405820" w:rsidRDefault="002F4028">
      <w:pPr>
        <w:jc w:val="center"/>
      </w:pPr>
      <w:r>
        <w:rPr>
          <w:rFonts w:ascii="Times New Roman" w:hAnsi="Times New Roman" w:cs="Times New Roman"/>
          <w:b/>
          <w:bCs/>
          <w:sz w:val="20"/>
          <w:szCs w:val="20"/>
          <w:lang w:val="es-ES"/>
        </w:rPr>
        <w:t>Inversión social por sector, 2024</w:t>
      </w:r>
      <w:r>
        <w:rPr>
          <w:rStyle w:val="Ancladenotaalpie"/>
          <w:rFonts w:ascii="Times New Roman" w:hAnsi="Times New Roman" w:cs="Times New Roman"/>
          <w:b/>
          <w:bCs/>
          <w:sz w:val="20"/>
          <w:szCs w:val="20"/>
          <w:lang w:val="es-ES"/>
        </w:rPr>
        <w:footnoteReference w:id="52"/>
      </w:r>
    </w:p>
    <w:tbl>
      <w:tblPr>
        <w:tblStyle w:val="TableGrid"/>
        <w:tblW w:w="4996" w:type="dxa"/>
        <w:jc w:val="center"/>
        <w:tblCellMar>
          <w:left w:w="0" w:type="dxa"/>
          <w:right w:w="0" w:type="dxa"/>
        </w:tblCellMar>
        <w:tblLook w:val="04A0" w:firstRow="1" w:lastRow="0" w:firstColumn="1" w:lastColumn="0" w:noHBand="0" w:noVBand="1"/>
      </w:tblPr>
      <w:tblGrid>
        <w:gridCol w:w="3681"/>
        <w:gridCol w:w="1315"/>
      </w:tblGrid>
      <w:tr w:rsidR="00405820" w14:paraId="19EBCDBA" w14:textId="77777777">
        <w:trPr>
          <w:trHeight w:val="240"/>
          <w:tblHeader/>
          <w:jc w:val="center"/>
        </w:trPr>
        <w:tc>
          <w:tcPr>
            <w:tcW w:w="3680" w:type="dxa"/>
            <w:tcBorders>
              <w:left w:val="nil"/>
              <w:bottom w:val="single" w:sz="12" w:space="0" w:color="000000"/>
              <w:right w:val="nil"/>
            </w:tcBorders>
            <w:vAlign w:val="bottom"/>
          </w:tcPr>
          <w:p w14:paraId="253197BF" w14:textId="77777777" w:rsidR="00405820" w:rsidRDefault="002F4028">
            <w:pPr>
              <w:spacing w:before="80" w:after="80" w:line="200" w:lineRule="exact"/>
              <w:rPr>
                <w:b/>
                <w:bCs/>
              </w:rPr>
            </w:pPr>
            <w:r>
              <w:rPr>
                <w:b/>
                <w:bCs/>
                <w:i/>
                <w:sz w:val="20"/>
                <w:lang w:val="es-ES_tradnl"/>
              </w:rPr>
              <w:t>Sector</w:t>
            </w:r>
          </w:p>
        </w:tc>
        <w:tc>
          <w:tcPr>
            <w:tcW w:w="1315" w:type="dxa"/>
            <w:tcBorders>
              <w:left w:val="nil"/>
              <w:bottom w:val="single" w:sz="12" w:space="0" w:color="000000"/>
              <w:right w:val="nil"/>
            </w:tcBorders>
            <w:vAlign w:val="bottom"/>
          </w:tcPr>
          <w:p w14:paraId="7A97502D" w14:textId="77777777" w:rsidR="00405820" w:rsidRDefault="002F4028">
            <w:pPr>
              <w:spacing w:before="80" w:after="80" w:line="200" w:lineRule="exact"/>
              <w:ind w:left="-57"/>
              <w:jc w:val="right"/>
              <w:rPr>
                <w:b/>
                <w:bCs/>
              </w:rPr>
            </w:pPr>
            <w:r>
              <w:rPr>
                <w:b/>
                <w:bCs/>
                <w:i/>
                <w:sz w:val="20"/>
                <w:lang w:val="es-ES_tradnl"/>
              </w:rPr>
              <w:t xml:space="preserve">     </w:t>
            </w:r>
            <w:r>
              <w:rPr>
                <w:rFonts w:cs="Times New Roman"/>
                <w:b/>
                <w:bCs/>
                <w:i/>
                <w:sz w:val="20"/>
                <w:lang w:val="es-ES"/>
              </w:rPr>
              <w:t>Inversión social %</w:t>
            </w:r>
          </w:p>
        </w:tc>
      </w:tr>
      <w:tr w:rsidR="00405820" w14:paraId="4715FA20" w14:textId="77777777">
        <w:trPr>
          <w:trHeight w:val="240"/>
          <w:jc w:val="center"/>
        </w:trPr>
        <w:tc>
          <w:tcPr>
            <w:tcW w:w="3680" w:type="dxa"/>
            <w:tcBorders>
              <w:top w:val="single" w:sz="12" w:space="0" w:color="000000"/>
              <w:left w:val="nil"/>
              <w:bottom w:val="nil"/>
              <w:right w:val="nil"/>
            </w:tcBorders>
          </w:tcPr>
          <w:p w14:paraId="06402A52" w14:textId="77777777" w:rsidR="00405820" w:rsidRDefault="002F4028">
            <w:pPr>
              <w:spacing w:before="40" w:after="40" w:line="220" w:lineRule="exact"/>
              <w:rPr>
                <w:rFonts w:ascii="Times New Roman" w:hAnsi="Times New Roman"/>
                <w:sz w:val="16"/>
                <w:szCs w:val="16"/>
              </w:rPr>
            </w:pPr>
            <w:r>
              <w:rPr>
                <w:rFonts w:ascii="Times New Roman" w:hAnsi="Times New Roman" w:cs="Times New Roman"/>
                <w:sz w:val="16"/>
                <w:szCs w:val="16"/>
                <w:lang w:val="es-ES"/>
              </w:rPr>
              <w:t>Desarrollo social y participación</w:t>
            </w:r>
          </w:p>
        </w:tc>
        <w:tc>
          <w:tcPr>
            <w:tcW w:w="1315" w:type="dxa"/>
            <w:tcBorders>
              <w:top w:val="single" w:sz="12" w:space="0" w:color="000000"/>
              <w:left w:val="nil"/>
              <w:bottom w:val="nil"/>
              <w:right w:val="nil"/>
            </w:tcBorders>
            <w:vAlign w:val="bottom"/>
          </w:tcPr>
          <w:p w14:paraId="66A445C8"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29,3</w:t>
            </w:r>
          </w:p>
        </w:tc>
      </w:tr>
      <w:tr w:rsidR="00405820" w14:paraId="2D098251" w14:textId="77777777">
        <w:trPr>
          <w:trHeight w:val="240"/>
          <w:jc w:val="center"/>
        </w:trPr>
        <w:tc>
          <w:tcPr>
            <w:tcW w:w="3680" w:type="dxa"/>
            <w:tcBorders>
              <w:top w:val="nil"/>
              <w:left w:val="nil"/>
              <w:bottom w:val="nil"/>
              <w:right w:val="nil"/>
            </w:tcBorders>
          </w:tcPr>
          <w:p w14:paraId="312969C1" w14:textId="77777777" w:rsidR="00405820" w:rsidRDefault="002F4028">
            <w:pPr>
              <w:spacing w:before="40" w:after="40" w:line="220" w:lineRule="exact"/>
              <w:rPr>
                <w:rFonts w:ascii="Times New Roman" w:hAnsi="Times New Roman"/>
                <w:sz w:val="16"/>
                <w:szCs w:val="16"/>
              </w:rPr>
            </w:pPr>
            <w:r>
              <w:rPr>
                <w:rFonts w:ascii="Times New Roman" w:hAnsi="Times New Roman" w:cs="Times New Roman"/>
                <w:sz w:val="16"/>
                <w:szCs w:val="16"/>
                <w:lang w:val="es-ES"/>
              </w:rPr>
              <w:t>Seguridad y servicios internos</w:t>
            </w:r>
          </w:p>
        </w:tc>
        <w:tc>
          <w:tcPr>
            <w:tcW w:w="1315" w:type="dxa"/>
            <w:tcBorders>
              <w:top w:val="nil"/>
              <w:left w:val="nil"/>
              <w:bottom w:val="nil"/>
              <w:right w:val="nil"/>
            </w:tcBorders>
            <w:vAlign w:val="bottom"/>
          </w:tcPr>
          <w:p w14:paraId="1CCAD992"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12,</w:t>
            </w:r>
            <w:r>
              <w:rPr>
                <w:rFonts w:ascii="Times New Roman" w:hAnsi="Times New Roman" w:cs="Times New Roman"/>
                <w:sz w:val="16"/>
                <w:szCs w:val="16"/>
              </w:rPr>
              <w:t>5</w:t>
            </w:r>
          </w:p>
        </w:tc>
      </w:tr>
      <w:tr w:rsidR="00405820" w14:paraId="7D431E4A" w14:textId="77777777">
        <w:trPr>
          <w:trHeight w:val="240"/>
          <w:jc w:val="center"/>
        </w:trPr>
        <w:tc>
          <w:tcPr>
            <w:tcW w:w="3680" w:type="dxa"/>
            <w:tcBorders>
              <w:top w:val="nil"/>
              <w:left w:val="nil"/>
              <w:bottom w:val="nil"/>
              <w:right w:val="nil"/>
            </w:tcBorders>
          </w:tcPr>
          <w:p w14:paraId="60D933D1" w14:textId="77777777" w:rsidR="00405820" w:rsidRDefault="002F4028">
            <w:pPr>
              <w:spacing w:before="40" w:after="40" w:line="220" w:lineRule="exact"/>
              <w:rPr>
                <w:rFonts w:ascii="Times New Roman" w:hAnsi="Times New Roman"/>
                <w:sz w:val="16"/>
                <w:szCs w:val="16"/>
              </w:rPr>
            </w:pPr>
            <w:r>
              <w:rPr>
                <w:rFonts w:ascii="Times New Roman" w:hAnsi="Times New Roman" w:cs="Times New Roman"/>
                <w:sz w:val="16"/>
                <w:szCs w:val="16"/>
              </w:rPr>
              <w:t>E</w:t>
            </w:r>
            <w:proofErr w:type="spellStart"/>
            <w:r>
              <w:rPr>
                <w:rFonts w:ascii="Times New Roman" w:hAnsi="Times New Roman" w:cs="Times New Roman"/>
                <w:sz w:val="16"/>
                <w:szCs w:val="16"/>
                <w:lang w:val="es-ES"/>
              </w:rPr>
              <w:t>ducación</w:t>
            </w:r>
            <w:proofErr w:type="spellEnd"/>
          </w:p>
        </w:tc>
        <w:tc>
          <w:tcPr>
            <w:tcW w:w="1315" w:type="dxa"/>
            <w:tcBorders>
              <w:top w:val="nil"/>
              <w:left w:val="nil"/>
              <w:bottom w:val="nil"/>
              <w:right w:val="nil"/>
            </w:tcBorders>
            <w:vAlign w:val="bottom"/>
          </w:tcPr>
          <w:p w14:paraId="07A5C354"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11,1</w:t>
            </w:r>
          </w:p>
        </w:tc>
      </w:tr>
      <w:tr w:rsidR="00405820" w14:paraId="5CE7C900" w14:textId="77777777">
        <w:trPr>
          <w:trHeight w:val="240"/>
          <w:jc w:val="center"/>
        </w:trPr>
        <w:tc>
          <w:tcPr>
            <w:tcW w:w="3680" w:type="dxa"/>
            <w:tcBorders>
              <w:top w:val="nil"/>
              <w:left w:val="nil"/>
              <w:bottom w:val="nil"/>
              <w:right w:val="nil"/>
            </w:tcBorders>
          </w:tcPr>
          <w:p w14:paraId="12EE069B" w14:textId="77777777" w:rsidR="00405820" w:rsidRPr="00B23088" w:rsidRDefault="002F4028">
            <w:pPr>
              <w:spacing w:before="40" w:after="40" w:line="220" w:lineRule="exact"/>
              <w:rPr>
                <w:rFonts w:ascii="Times New Roman" w:hAnsi="Times New Roman"/>
                <w:sz w:val="16"/>
                <w:szCs w:val="16"/>
                <w:lang w:val="es-VE"/>
              </w:rPr>
            </w:pPr>
            <w:r>
              <w:rPr>
                <w:rFonts w:ascii="Times New Roman" w:hAnsi="Times New Roman" w:cs="Times New Roman"/>
                <w:sz w:val="16"/>
                <w:szCs w:val="16"/>
                <w:lang w:val="es-ES"/>
              </w:rPr>
              <w:t>Infraestructura productiva y obras públicas</w:t>
            </w:r>
          </w:p>
        </w:tc>
        <w:tc>
          <w:tcPr>
            <w:tcW w:w="1315" w:type="dxa"/>
            <w:tcBorders>
              <w:top w:val="nil"/>
              <w:left w:val="nil"/>
              <w:bottom w:val="nil"/>
              <w:right w:val="nil"/>
            </w:tcBorders>
            <w:vAlign w:val="bottom"/>
          </w:tcPr>
          <w:p w14:paraId="50801664"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4,8</w:t>
            </w:r>
            <w:r>
              <w:rPr>
                <w:rFonts w:ascii="Times New Roman" w:hAnsi="Times New Roman"/>
                <w:sz w:val="16"/>
                <w:szCs w:val="16"/>
              </w:rPr>
              <w:t>1</w:t>
            </w:r>
          </w:p>
        </w:tc>
      </w:tr>
      <w:tr w:rsidR="00405820" w14:paraId="3C7C4A3A" w14:textId="77777777">
        <w:trPr>
          <w:trHeight w:val="240"/>
          <w:jc w:val="center"/>
        </w:trPr>
        <w:tc>
          <w:tcPr>
            <w:tcW w:w="3680" w:type="dxa"/>
            <w:tcBorders>
              <w:top w:val="nil"/>
              <w:left w:val="nil"/>
              <w:bottom w:val="nil"/>
              <w:right w:val="nil"/>
            </w:tcBorders>
          </w:tcPr>
          <w:p w14:paraId="4316FA90" w14:textId="77777777" w:rsidR="00405820" w:rsidRDefault="002F4028">
            <w:pPr>
              <w:spacing w:before="40" w:after="40" w:line="220" w:lineRule="exact"/>
              <w:rPr>
                <w:rFonts w:ascii="Times New Roman" w:hAnsi="Times New Roman"/>
                <w:sz w:val="16"/>
                <w:szCs w:val="16"/>
              </w:rPr>
            </w:pPr>
            <w:r>
              <w:rPr>
                <w:rFonts w:ascii="Times New Roman" w:hAnsi="Times New Roman" w:cs="Times New Roman"/>
                <w:sz w:val="16"/>
                <w:szCs w:val="16"/>
                <w:lang w:val="es-ES"/>
              </w:rPr>
              <w:t>Seguridad social</w:t>
            </w:r>
          </w:p>
        </w:tc>
        <w:tc>
          <w:tcPr>
            <w:tcW w:w="1315" w:type="dxa"/>
            <w:tcBorders>
              <w:top w:val="nil"/>
              <w:left w:val="nil"/>
              <w:bottom w:val="nil"/>
              <w:right w:val="nil"/>
            </w:tcBorders>
            <w:vAlign w:val="bottom"/>
          </w:tcPr>
          <w:p w14:paraId="63973FED"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4,7</w:t>
            </w:r>
            <w:r>
              <w:rPr>
                <w:rFonts w:ascii="Times New Roman" w:hAnsi="Times New Roman"/>
                <w:sz w:val="16"/>
                <w:szCs w:val="16"/>
              </w:rPr>
              <w:t>1</w:t>
            </w:r>
          </w:p>
        </w:tc>
      </w:tr>
      <w:tr w:rsidR="00405820" w14:paraId="761CD96D" w14:textId="77777777">
        <w:trPr>
          <w:trHeight w:val="240"/>
          <w:jc w:val="center"/>
        </w:trPr>
        <w:tc>
          <w:tcPr>
            <w:tcW w:w="3680" w:type="dxa"/>
            <w:tcBorders>
              <w:top w:val="nil"/>
              <w:left w:val="nil"/>
              <w:bottom w:val="nil"/>
              <w:right w:val="nil"/>
            </w:tcBorders>
          </w:tcPr>
          <w:p w14:paraId="073878D4" w14:textId="77777777" w:rsidR="00405820" w:rsidRDefault="002F4028">
            <w:pPr>
              <w:spacing w:before="40" w:after="40" w:line="220" w:lineRule="exact"/>
              <w:rPr>
                <w:rFonts w:ascii="Times New Roman" w:hAnsi="Times New Roman"/>
                <w:sz w:val="16"/>
                <w:szCs w:val="16"/>
              </w:rPr>
            </w:pPr>
            <w:proofErr w:type="spellStart"/>
            <w:r>
              <w:rPr>
                <w:rFonts w:ascii="Times New Roman" w:hAnsi="Times New Roman"/>
                <w:sz w:val="16"/>
                <w:szCs w:val="16"/>
              </w:rPr>
              <w:t>Situado</w:t>
            </w:r>
            <w:proofErr w:type="spellEnd"/>
            <w:r>
              <w:rPr>
                <w:rFonts w:ascii="Times New Roman" w:hAnsi="Times New Roman"/>
                <w:sz w:val="16"/>
                <w:szCs w:val="16"/>
              </w:rPr>
              <w:t xml:space="preserve"> </w:t>
            </w:r>
            <w:proofErr w:type="spellStart"/>
            <w:r>
              <w:rPr>
                <w:rFonts w:ascii="Times New Roman" w:hAnsi="Times New Roman"/>
                <w:sz w:val="16"/>
                <w:szCs w:val="16"/>
              </w:rPr>
              <w:t>constitucional</w:t>
            </w:r>
            <w:proofErr w:type="spellEnd"/>
          </w:p>
        </w:tc>
        <w:tc>
          <w:tcPr>
            <w:tcW w:w="1315" w:type="dxa"/>
            <w:tcBorders>
              <w:top w:val="nil"/>
              <w:left w:val="nil"/>
              <w:bottom w:val="nil"/>
              <w:right w:val="nil"/>
            </w:tcBorders>
            <w:vAlign w:val="bottom"/>
          </w:tcPr>
          <w:p w14:paraId="1C8003C2"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4,2</w:t>
            </w:r>
            <w:r>
              <w:rPr>
                <w:rFonts w:ascii="Times New Roman" w:hAnsi="Times New Roman"/>
                <w:sz w:val="16"/>
                <w:szCs w:val="16"/>
              </w:rPr>
              <w:t>1</w:t>
            </w:r>
          </w:p>
        </w:tc>
      </w:tr>
      <w:tr w:rsidR="00405820" w14:paraId="237852B5" w14:textId="77777777">
        <w:trPr>
          <w:trHeight w:val="240"/>
          <w:jc w:val="center"/>
        </w:trPr>
        <w:tc>
          <w:tcPr>
            <w:tcW w:w="3680" w:type="dxa"/>
            <w:tcBorders>
              <w:top w:val="nil"/>
              <w:left w:val="nil"/>
              <w:bottom w:val="nil"/>
              <w:right w:val="nil"/>
            </w:tcBorders>
          </w:tcPr>
          <w:p w14:paraId="4BCE3464" w14:textId="77777777" w:rsidR="00405820" w:rsidRDefault="002F4028">
            <w:pPr>
              <w:spacing w:before="40" w:after="40" w:line="220" w:lineRule="exact"/>
              <w:rPr>
                <w:rFonts w:ascii="Times New Roman" w:hAnsi="Times New Roman"/>
                <w:sz w:val="16"/>
                <w:szCs w:val="16"/>
              </w:rPr>
            </w:pPr>
            <w:r>
              <w:rPr>
                <w:rFonts w:ascii="Times New Roman" w:hAnsi="Times New Roman" w:cs="Times New Roman"/>
                <w:sz w:val="16"/>
                <w:szCs w:val="16"/>
                <w:lang w:val="es-ES"/>
              </w:rPr>
              <w:t>Salud</w:t>
            </w:r>
          </w:p>
        </w:tc>
        <w:tc>
          <w:tcPr>
            <w:tcW w:w="1315" w:type="dxa"/>
            <w:tcBorders>
              <w:top w:val="nil"/>
              <w:left w:val="nil"/>
              <w:bottom w:val="nil"/>
              <w:right w:val="nil"/>
            </w:tcBorders>
            <w:vAlign w:val="bottom"/>
          </w:tcPr>
          <w:p w14:paraId="40BCBBAA"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3,9</w:t>
            </w:r>
            <w:r>
              <w:rPr>
                <w:rFonts w:ascii="Times New Roman" w:hAnsi="Times New Roman"/>
                <w:sz w:val="16"/>
                <w:szCs w:val="16"/>
              </w:rPr>
              <w:t>1</w:t>
            </w:r>
          </w:p>
        </w:tc>
      </w:tr>
      <w:tr w:rsidR="00405820" w14:paraId="50C06C2F" w14:textId="77777777">
        <w:trPr>
          <w:trHeight w:val="240"/>
          <w:jc w:val="center"/>
        </w:trPr>
        <w:tc>
          <w:tcPr>
            <w:tcW w:w="3680" w:type="dxa"/>
            <w:tcBorders>
              <w:top w:val="nil"/>
              <w:left w:val="nil"/>
              <w:bottom w:val="nil"/>
              <w:right w:val="nil"/>
            </w:tcBorders>
          </w:tcPr>
          <w:p w14:paraId="5A09BD73" w14:textId="77777777" w:rsidR="00405820" w:rsidRPr="00B23088" w:rsidRDefault="002F4028">
            <w:pPr>
              <w:spacing w:before="40" w:after="40" w:line="220" w:lineRule="exact"/>
              <w:rPr>
                <w:rFonts w:ascii="Times New Roman" w:hAnsi="Times New Roman"/>
                <w:sz w:val="16"/>
                <w:szCs w:val="16"/>
                <w:lang w:val="es-VE"/>
              </w:rPr>
            </w:pPr>
            <w:r>
              <w:rPr>
                <w:rFonts w:ascii="Times New Roman" w:hAnsi="Times New Roman" w:cs="Times New Roman"/>
                <w:sz w:val="16"/>
                <w:szCs w:val="16"/>
                <w:lang w:val="es-ES"/>
              </w:rPr>
              <w:t>Vivienda, desarrollo urbano y servicios conexos</w:t>
            </w:r>
          </w:p>
        </w:tc>
        <w:tc>
          <w:tcPr>
            <w:tcW w:w="1315" w:type="dxa"/>
            <w:tcBorders>
              <w:top w:val="nil"/>
              <w:left w:val="nil"/>
              <w:bottom w:val="nil"/>
              <w:right w:val="nil"/>
            </w:tcBorders>
            <w:vAlign w:val="bottom"/>
          </w:tcPr>
          <w:p w14:paraId="42B5BA7F"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2,7</w:t>
            </w:r>
            <w:r>
              <w:rPr>
                <w:rFonts w:ascii="Times New Roman" w:hAnsi="Times New Roman"/>
                <w:sz w:val="16"/>
                <w:szCs w:val="16"/>
              </w:rPr>
              <w:t>1</w:t>
            </w:r>
          </w:p>
        </w:tc>
      </w:tr>
      <w:tr w:rsidR="00405820" w14:paraId="3C983A66" w14:textId="77777777">
        <w:trPr>
          <w:trHeight w:val="240"/>
          <w:jc w:val="center"/>
        </w:trPr>
        <w:tc>
          <w:tcPr>
            <w:tcW w:w="3680" w:type="dxa"/>
            <w:tcBorders>
              <w:top w:val="nil"/>
              <w:left w:val="nil"/>
              <w:bottom w:val="nil"/>
              <w:right w:val="nil"/>
            </w:tcBorders>
          </w:tcPr>
          <w:p w14:paraId="01031CF2" w14:textId="77777777" w:rsidR="00405820" w:rsidRDefault="002F4028">
            <w:pPr>
              <w:spacing w:before="40" w:after="40" w:line="220" w:lineRule="exact"/>
              <w:rPr>
                <w:rFonts w:ascii="Times New Roman" w:hAnsi="Times New Roman"/>
                <w:sz w:val="16"/>
                <w:szCs w:val="16"/>
              </w:rPr>
            </w:pPr>
            <w:r>
              <w:rPr>
                <w:rFonts w:ascii="Times New Roman" w:hAnsi="Times New Roman" w:cs="Times New Roman"/>
                <w:sz w:val="16"/>
                <w:szCs w:val="16"/>
                <w:lang w:val="es-ES"/>
              </w:rPr>
              <w:t>Fondo de compensación interterritorial</w:t>
            </w:r>
          </w:p>
        </w:tc>
        <w:tc>
          <w:tcPr>
            <w:tcW w:w="1315" w:type="dxa"/>
            <w:tcBorders>
              <w:top w:val="nil"/>
              <w:left w:val="nil"/>
              <w:bottom w:val="nil"/>
              <w:right w:val="nil"/>
            </w:tcBorders>
            <w:vAlign w:val="bottom"/>
          </w:tcPr>
          <w:p w14:paraId="6F7A2988"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2,3</w:t>
            </w:r>
            <w:r>
              <w:rPr>
                <w:rFonts w:ascii="Times New Roman" w:hAnsi="Times New Roman"/>
                <w:sz w:val="16"/>
                <w:szCs w:val="16"/>
              </w:rPr>
              <w:t>1</w:t>
            </w:r>
          </w:p>
        </w:tc>
      </w:tr>
      <w:tr w:rsidR="00405820" w14:paraId="3BA91EC2" w14:textId="77777777">
        <w:trPr>
          <w:trHeight w:val="240"/>
          <w:jc w:val="center"/>
        </w:trPr>
        <w:tc>
          <w:tcPr>
            <w:tcW w:w="3680" w:type="dxa"/>
            <w:tcBorders>
              <w:top w:val="nil"/>
              <w:left w:val="nil"/>
              <w:bottom w:val="nil"/>
              <w:right w:val="nil"/>
            </w:tcBorders>
          </w:tcPr>
          <w:p w14:paraId="370520F7" w14:textId="77777777" w:rsidR="00405820" w:rsidRDefault="002F4028">
            <w:pPr>
              <w:spacing w:before="40" w:after="40" w:line="220" w:lineRule="exact"/>
              <w:rPr>
                <w:rFonts w:ascii="Times New Roman" w:hAnsi="Times New Roman"/>
                <w:sz w:val="16"/>
                <w:szCs w:val="16"/>
              </w:rPr>
            </w:pPr>
            <w:r>
              <w:rPr>
                <w:rFonts w:ascii="Times New Roman" w:hAnsi="Times New Roman" w:cs="Times New Roman"/>
                <w:sz w:val="16"/>
                <w:szCs w:val="16"/>
                <w:lang w:val="es-ES"/>
              </w:rPr>
              <w:t>Cultura y comunicación social</w:t>
            </w:r>
          </w:p>
        </w:tc>
        <w:tc>
          <w:tcPr>
            <w:tcW w:w="1315" w:type="dxa"/>
            <w:tcBorders>
              <w:top w:val="nil"/>
              <w:left w:val="nil"/>
              <w:bottom w:val="nil"/>
              <w:right w:val="nil"/>
            </w:tcBorders>
            <w:vAlign w:val="bottom"/>
          </w:tcPr>
          <w:p w14:paraId="5ACE6943"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1,1</w:t>
            </w:r>
            <w:r>
              <w:rPr>
                <w:rFonts w:ascii="Times New Roman" w:hAnsi="Times New Roman"/>
                <w:sz w:val="16"/>
                <w:szCs w:val="16"/>
              </w:rPr>
              <w:t>1</w:t>
            </w:r>
          </w:p>
        </w:tc>
      </w:tr>
      <w:tr w:rsidR="00405820" w14:paraId="7E6A93E4" w14:textId="77777777">
        <w:trPr>
          <w:trHeight w:val="240"/>
          <w:jc w:val="center"/>
        </w:trPr>
        <w:tc>
          <w:tcPr>
            <w:tcW w:w="3680" w:type="dxa"/>
            <w:tcBorders>
              <w:top w:val="nil"/>
              <w:left w:val="nil"/>
              <w:bottom w:val="nil"/>
              <w:right w:val="nil"/>
            </w:tcBorders>
          </w:tcPr>
          <w:p w14:paraId="620DD623" w14:textId="77777777" w:rsidR="00405820" w:rsidRDefault="002F4028">
            <w:pPr>
              <w:spacing w:before="40" w:after="40" w:line="220" w:lineRule="exact"/>
              <w:rPr>
                <w:rFonts w:ascii="Times New Roman" w:hAnsi="Times New Roman"/>
                <w:sz w:val="16"/>
                <w:szCs w:val="16"/>
              </w:rPr>
            </w:pPr>
            <w:r>
              <w:rPr>
                <w:rFonts w:ascii="Times New Roman" w:hAnsi="Times New Roman"/>
                <w:sz w:val="16"/>
                <w:szCs w:val="16"/>
              </w:rPr>
              <w:t xml:space="preserve">Ciencia y </w:t>
            </w:r>
            <w:proofErr w:type="spellStart"/>
            <w:r>
              <w:rPr>
                <w:rFonts w:ascii="Times New Roman" w:hAnsi="Times New Roman"/>
                <w:sz w:val="16"/>
                <w:szCs w:val="16"/>
              </w:rPr>
              <w:t>tecnología</w:t>
            </w:r>
            <w:proofErr w:type="spellEnd"/>
          </w:p>
        </w:tc>
        <w:tc>
          <w:tcPr>
            <w:tcW w:w="1315" w:type="dxa"/>
            <w:tcBorders>
              <w:top w:val="nil"/>
              <w:left w:val="nil"/>
              <w:bottom w:val="nil"/>
              <w:right w:val="nil"/>
            </w:tcBorders>
            <w:vAlign w:val="bottom"/>
          </w:tcPr>
          <w:p w14:paraId="47DCD880"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sz w:val="16"/>
                <w:szCs w:val="16"/>
              </w:rPr>
              <w:t>0,81</w:t>
            </w:r>
          </w:p>
        </w:tc>
      </w:tr>
      <w:tr w:rsidR="00405820" w14:paraId="3B0B5A18" w14:textId="77777777">
        <w:trPr>
          <w:trHeight w:val="240"/>
          <w:jc w:val="center"/>
        </w:trPr>
        <w:tc>
          <w:tcPr>
            <w:tcW w:w="3680" w:type="dxa"/>
            <w:tcBorders>
              <w:left w:val="nil"/>
              <w:bottom w:val="single" w:sz="12" w:space="0" w:color="000000"/>
              <w:right w:val="nil"/>
            </w:tcBorders>
          </w:tcPr>
          <w:p w14:paraId="59B89986" w14:textId="77777777" w:rsidR="00405820" w:rsidRDefault="002F4028">
            <w:pPr>
              <w:spacing w:before="80" w:after="80" w:line="220" w:lineRule="exact"/>
              <w:ind w:left="283"/>
            </w:pPr>
            <w:r>
              <w:rPr>
                <w:b/>
                <w:sz w:val="20"/>
                <w:lang w:val="es-ES_tradnl"/>
              </w:rPr>
              <w:t>Total</w:t>
            </w:r>
          </w:p>
        </w:tc>
        <w:tc>
          <w:tcPr>
            <w:tcW w:w="1315" w:type="dxa"/>
            <w:tcBorders>
              <w:left w:val="nil"/>
              <w:bottom w:val="single" w:sz="12" w:space="0" w:color="000000"/>
              <w:right w:val="nil"/>
            </w:tcBorders>
            <w:vAlign w:val="bottom"/>
          </w:tcPr>
          <w:p w14:paraId="19E681B9" w14:textId="77777777" w:rsidR="00405820" w:rsidRDefault="002F4028">
            <w:pPr>
              <w:spacing w:before="80" w:after="80" w:line="220" w:lineRule="exact"/>
              <w:jc w:val="right"/>
            </w:pPr>
            <w:r>
              <w:rPr>
                <w:rFonts w:ascii="Times New Roman" w:hAnsi="Times New Roman" w:cs="Times New Roman"/>
                <w:b/>
                <w:bCs/>
                <w:sz w:val="20"/>
                <w:lang w:val="es-ES"/>
              </w:rPr>
              <w:t>77,4%</w:t>
            </w:r>
          </w:p>
        </w:tc>
      </w:tr>
    </w:tbl>
    <w:p w14:paraId="3D8C13ED" w14:textId="77777777" w:rsidR="00405820" w:rsidRDefault="00405820">
      <w:pPr>
        <w:spacing w:after="0" w:line="240" w:lineRule="auto"/>
        <w:jc w:val="both"/>
        <w:rPr>
          <w:rFonts w:ascii="Times New Roman" w:hAnsi="Times New Roman" w:cs="Times New Roman"/>
          <w:sz w:val="20"/>
          <w:szCs w:val="20"/>
          <w:lang w:val="es-ES"/>
        </w:rPr>
      </w:pPr>
    </w:p>
    <w:p w14:paraId="41E53055" w14:textId="208144EF" w:rsidR="00405820" w:rsidRDefault="002F4028">
      <w:pPr>
        <w:numPr>
          <w:ilvl w:val="0"/>
          <w:numId w:val="1"/>
        </w:numPr>
        <w:spacing w:after="0" w:line="240" w:lineRule="auto"/>
        <w:ind w:left="0" w:firstLine="0"/>
        <w:jc w:val="both"/>
      </w:pPr>
      <w:r>
        <w:rPr>
          <w:rFonts w:ascii="Times New Roman" w:hAnsi="Times New Roman" w:cs="Times New Roman"/>
          <w:sz w:val="20"/>
          <w:szCs w:val="20"/>
          <w:lang w:val="es-ES"/>
        </w:rPr>
        <w:t xml:space="preserve">Se ha sostenido y sobrepasado la inversión social, a pesar de la guerra económica, se alcanzó un máximo histórico en la inversión social planificada con un 77,4% del presupuesto previsto para el ejercicio fiscal 2024. </w:t>
      </w:r>
    </w:p>
    <w:p w14:paraId="107C006D" w14:textId="77777777" w:rsidR="00405820" w:rsidRDefault="00405820">
      <w:pPr>
        <w:spacing w:after="0" w:line="240" w:lineRule="auto"/>
        <w:ind w:left="720"/>
        <w:jc w:val="both"/>
        <w:rPr>
          <w:rFonts w:ascii="Times New Roman" w:hAnsi="Times New Roman" w:cs="Times New Roman"/>
          <w:sz w:val="20"/>
          <w:szCs w:val="20"/>
          <w:lang w:val="es-ES"/>
        </w:rPr>
      </w:pPr>
    </w:p>
    <w:p w14:paraId="00291D62"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En el año 2014 se instalan las Bases de Misiones Socialistas, como instancias destinadas a gestionar, de manera unificada, los programas sociales de salud, cultura, deporte, alimentación y protección, trabajando de manera coordinada con las misiones Barrio Adentro Deportivo, Barrio Adentro de Salud, Misión Ribas, Misión Robinson, Misión Cultura Corazón Adentro, Gran Misión Hogares de la Patria, Gran Misión Barrio Nuevo-Barrio Tricolor.</w:t>
      </w:r>
    </w:p>
    <w:p w14:paraId="4458EC87" w14:textId="77777777" w:rsidR="00405820" w:rsidRDefault="00405820">
      <w:pPr>
        <w:spacing w:after="0" w:line="240" w:lineRule="auto"/>
        <w:jc w:val="both"/>
        <w:rPr>
          <w:rFonts w:ascii="Times New Roman" w:eastAsia="Times New Roman" w:hAnsi="Times New Roman" w:cs="Times New Roman"/>
          <w:sz w:val="20"/>
          <w:szCs w:val="20"/>
        </w:rPr>
      </w:pPr>
    </w:p>
    <w:p w14:paraId="2276CC2A" w14:textId="7806B09A"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Asimismo, para dar cumplimiento a los derechos de la niñez y adolescencia, el Consejo Nacional de Derechos Humanos, en coordinación con el MPPP</w:t>
      </w:r>
      <w:r w:rsidR="00897132">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el MPPRE, la Oficina Nacional de Presupuesto y la Vicepresidencia de la República para el área Social, con la cooperación de UNICEF, instalaron en el año 2016 una mesa técnica interinstitucional con el fin de generar un mecanismo nacional que permitiera la </w:t>
      </w:r>
      <w:proofErr w:type="spellStart"/>
      <w:r>
        <w:rPr>
          <w:rFonts w:ascii="Times New Roman" w:hAnsi="Times New Roman" w:cs="Times New Roman"/>
          <w:sz w:val="20"/>
          <w:szCs w:val="20"/>
          <w:lang w:val="es-ES"/>
        </w:rPr>
        <w:t>visibilización</w:t>
      </w:r>
      <w:proofErr w:type="spellEnd"/>
      <w:r>
        <w:rPr>
          <w:rFonts w:ascii="Times New Roman" w:hAnsi="Times New Roman" w:cs="Times New Roman"/>
          <w:sz w:val="20"/>
          <w:szCs w:val="20"/>
          <w:lang w:val="es-ES"/>
        </w:rPr>
        <w:t xml:space="preserve"> y el seguimiento a la inversión pública nacional dirigida hacia la niñez y adolescencia del país, en cumplimiento de las observaciones recibidas en la presentación del último informe ante el Comité de Derechos del Niño.</w:t>
      </w:r>
    </w:p>
    <w:p w14:paraId="4283364F" w14:textId="77777777" w:rsidR="00405820" w:rsidRDefault="00405820">
      <w:pPr>
        <w:pStyle w:val="ListParagraph"/>
        <w:rPr>
          <w:rFonts w:cs="Times New Roman"/>
          <w:sz w:val="20"/>
          <w:szCs w:val="20"/>
          <w:lang w:val="es-ES"/>
        </w:rPr>
      </w:pPr>
    </w:p>
    <w:p w14:paraId="3EC74061" w14:textId="2DA6CAFB"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 xml:space="preserve">De hecho, esta recomendación fue incorporada expresamente en el Plan Nacional de Derechos Humanos 2016-2019, que incluye como una acción programática “Establecer un mecanismo para visibilizar la inversión pública en la niñez y la adolescencia”. </w:t>
      </w:r>
    </w:p>
    <w:p w14:paraId="7CFD8E3E" w14:textId="77777777" w:rsidR="00405820" w:rsidRDefault="00405820">
      <w:pPr>
        <w:pStyle w:val="ListParagraph"/>
        <w:rPr>
          <w:rFonts w:cs="Times New Roman"/>
          <w:sz w:val="20"/>
          <w:szCs w:val="20"/>
          <w:lang w:val="es-ES"/>
        </w:rPr>
      </w:pPr>
    </w:p>
    <w:p w14:paraId="2646EBE4" w14:textId="158E3606"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 xml:space="preserve">El Estado en cumplimiento de las directrices trazadas en el </w:t>
      </w:r>
      <w:r w:rsidR="009B1E71">
        <w:rPr>
          <w:rFonts w:ascii="Times New Roman" w:hAnsi="Times New Roman" w:cs="Times New Roman"/>
          <w:sz w:val="20"/>
          <w:szCs w:val="20"/>
          <w:lang w:val="es-ES"/>
        </w:rPr>
        <w:t xml:space="preserve">Segundo </w:t>
      </w:r>
      <w:r>
        <w:rPr>
          <w:rFonts w:ascii="Times New Roman" w:hAnsi="Times New Roman" w:cs="Times New Roman"/>
          <w:sz w:val="20"/>
          <w:szCs w:val="20"/>
          <w:lang w:val="es-ES"/>
        </w:rPr>
        <w:t>Plan de la Patria de Desarrollo Económico y Social de la Nación 2013- 2019 y 2019-2025 respectivamente, realizó una inversión en niños, niñas y adolescentes que ascendió a un monto total de Bolívares 1,619.4 mil millones. De este monto, Bs.874.8 mil millones se invirtieron de forma directa en la niñez y adolescencia (54%) y Bs.744.5mil millones se invirtieron de forma indirecta (46%)</w:t>
      </w:r>
      <w:r>
        <w:rPr>
          <w:rStyle w:val="Ancladenotaalpie"/>
          <w:rFonts w:ascii="Times New Roman" w:hAnsi="Times New Roman" w:cs="Times New Roman"/>
          <w:sz w:val="20"/>
          <w:szCs w:val="20"/>
          <w:lang w:val="es-ES"/>
        </w:rPr>
        <w:footnoteReference w:id="53"/>
      </w:r>
      <w:r>
        <w:rPr>
          <w:rFonts w:ascii="Times New Roman" w:hAnsi="Times New Roman" w:cs="Times New Roman"/>
          <w:sz w:val="20"/>
          <w:szCs w:val="20"/>
          <w:lang w:val="es-ES"/>
        </w:rPr>
        <w:t>. La inversión en infancia y adolescencia representó cerca del 30% del total del presupuesto público y el 54% del presupuesto público en materia de protección social.</w:t>
      </w:r>
    </w:p>
    <w:p w14:paraId="09D45DFA" w14:textId="77777777" w:rsidR="00405820" w:rsidRDefault="00405820">
      <w:pPr>
        <w:pStyle w:val="ListParagraph"/>
        <w:rPr>
          <w:rFonts w:cs="Times New Roman"/>
          <w:sz w:val="20"/>
          <w:szCs w:val="20"/>
          <w:lang w:val="es-ES"/>
        </w:rPr>
      </w:pPr>
    </w:p>
    <w:p w14:paraId="3325F29F"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lang w:val="es-ES"/>
        </w:rPr>
        <w:t>La inversión directa se destinó prioritariamente a la primera infancia (de 0 a 5 años); en segundo lugar a la niñez (de 6 a 12 años), y en tercer lugar a la adolescencia (de 13 a 17 años). Del total de la inversión el 49.6% fueron en beneficio del género femenino y el 50.4% fueron realizados a favor del masculino.</w:t>
      </w:r>
    </w:p>
    <w:p w14:paraId="51D99D72" w14:textId="77777777" w:rsidR="00405820" w:rsidRDefault="00405820">
      <w:pPr>
        <w:spacing w:after="0" w:line="240" w:lineRule="auto"/>
        <w:ind w:left="720"/>
        <w:jc w:val="both"/>
        <w:rPr>
          <w:rFonts w:ascii="Times New Roman" w:hAnsi="Times New Roman" w:cs="Times New Roman"/>
          <w:sz w:val="20"/>
          <w:szCs w:val="20"/>
          <w:lang w:val="es-ES"/>
        </w:rPr>
      </w:pPr>
    </w:p>
    <w:p w14:paraId="2479F688" w14:textId="5DEEA902" w:rsidR="00405820" w:rsidRDefault="002F4028">
      <w:pPr>
        <w:numPr>
          <w:ilvl w:val="0"/>
          <w:numId w:val="1"/>
        </w:numPr>
        <w:spacing w:after="0" w:line="240" w:lineRule="auto"/>
        <w:ind w:left="0" w:firstLine="0"/>
        <w:jc w:val="both"/>
      </w:pPr>
      <w:r>
        <w:rPr>
          <w:rFonts w:ascii="Times New Roman" w:hAnsi="Times New Roman" w:cs="Arial"/>
          <w:sz w:val="20"/>
          <w:szCs w:val="20"/>
          <w:lang w:val="es-MX"/>
        </w:rPr>
        <w:t>Para el año 2023 el presupuesto del I</w:t>
      </w:r>
      <w:r w:rsidR="00B61166">
        <w:rPr>
          <w:rFonts w:ascii="Times New Roman" w:hAnsi="Times New Roman" w:cs="Arial"/>
          <w:sz w:val="20"/>
          <w:szCs w:val="20"/>
          <w:lang w:val="es-MX"/>
        </w:rPr>
        <w:t>DENNA</w:t>
      </w:r>
      <w:r>
        <w:rPr>
          <w:rFonts w:ascii="Times New Roman" w:hAnsi="Times New Roman" w:cs="Arial"/>
          <w:sz w:val="20"/>
          <w:szCs w:val="20"/>
          <w:lang w:val="es-MX"/>
        </w:rPr>
        <w:t xml:space="preserve"> fue de Bs. 76.519.705, para el año 2024 se asignó Bs. 154.932.978</w:t>
      </w:r>
      <w:r w:rsidR="00334866">
        <w:rPr>
          <w:rFonts w:ascii="Times New Roman" w:hAnsi="Times New Roman" w:cs="Arial"/>
          <w:sz w:val="20"/>
          <w:szCs w:val="20"/>
          <w:lang w:val="es-MX"/>
        </w:rPr>
        <w:t xml:space="preserve"> </w:t>
      </w:r>
      <w:r>
        <w:rPr>
          <w:rFonts w:ascii="Times New Roman" w:hAnsi="Times New Roman" w:cs="Arial"/>
          <w:sz w:val="20"/>
          <w:szCs w:val="20"/>
          <w:lang w:val="es-MX"/>
        </w:rPr>
        <w:t xml:space="preserve">y en el año 2025 es de Bs. 226.448.554. </w:t>
      </w:r>
    </w:p>
    <w:p w14:paraId="75F38A42" w14:textId="77777777" w:rsidR="00405820" w:rsidRDefault="00405820">
      <w:pPr>
        <w:spacing w:after="0" w:line="240" w:lineRule="auto"/>
        <w:ind w:left="720"/>
        <w:jc w:val="both"/>
        <w:rPr>
          <w:rFonts w:ascii="Times New Roman" w:hAnsi="Times New Roman" w:cs="Arial"/>
          <w:sz w:val="20"/>
          <w:szCs w:val="20"/>
          <w:lang w:val="es-MX"/>
        </w:rPr>
      </w:pPr>
    </w:p>
    <w:p w14:paraId="1B0BF16D" w14:textId="1C03F3DB" w:rsidR="00405820" w:rsidRDefault="002F4028">
      <w:pPr>
        <w:numPr>
          <w:ilvl w:val="0"/>
          <w:numId w:val="1"/>
        </w:numPr>
        <w:spacing w:after="0" w:line="240" w:lineRule="auto"/>
        <w:ind w:left="0" w:firstLine="0"/>
        <w:jc w:val="both"/>
      </w:pPr>
      <w:r>
        <w:rPr>
          <w:rFonts w:ascii="Times New Roman" w:hAnsi="Times New Roman" w:cs="Arial"/>
          <w:sz w:val="20"/>
          <w:szCs w:val="20"/>
          <w:lang w:val="es-MX"/>
        </w:rPr>
        <w:t xml:space="preserve">La red primaria de protección de los derechos de niños, niñas y adolescentes del país está conformada por los 335 municipios con presupuestos desconcentrados que contribuyen a garantizar 5.410 operadores en todo el ámbito nacional, que responden a los presupuestos asignados a las 335 Alcaldías. </w:t>
      </w:r>
    </w:p>
    <w:p w14:paraId="3439A85B" w14:textId="77777777" w:rsidR="00405820" w:rsidRDefault="00405820">
      <w:pPr>
        <w:pStyle w:val="ListParagraph"/>
        <w:rPr>
          <w:rFonts w:cs="Times New Roman"/>
          <w:b/>
          <w:bCs/>
          <w:sz w:val="20"/>
          <w:szCs w:val="20"/>
          <w:lang w:val="es-ES"/>
        </w:rPr>
      </w:pPr>
    </w:p>
    <w:p w14:paraId="22FC8905"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lang w:val="es-ES"/>
        </w:rPr>
        <w:t>e) Difusión y promoción de la Convención sobre los Derechos del Niño</w:t>
      </w:r>
    </w:p>
    <w:p w14:paraId="4D21561D" w14:textId="77777777" w:rsidR="00405820" w:rsidRDefault="00405820">
      <w:pPr>
        <w:spacing w:after="0" w:line="240" w:lineRule="auto"/>
        <w:jc w:val="both"/>
        <w:rPr>
          <w:rFonts w:ascii="Times New Roman" w:eastAsia="Times New Roman" w:hAnsi="Times New Roman" w:cs="Times New Roman"/>
          <w:sz w:val="20"/>
          <w:szCs w:val="20"/>
        </w:rPr>
      </w:pPr>
    </w:p>
    <w:p w14:paraId="12F17373"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Durante este período la divulgación y promoción de la Convención, los derechos de NNA y la Doctrina de la Protección Integral ha sido incorporado dentro del currículo del Sistema de Educación Media, como eje transversal que se aborda en la formación de los NNA desde el nivel de maternal hasta el bachillerato. En este sentido, se incluyó la celebración o conmemoración de una serie de efemérides en el calendario escolar directamente relacionadas con esta materia, incluyendo el 20 de noviembre como día de aprobación de la Convención en ONU</w:t>
      </w:r>
      <w:bookmarkStart w:id="2" w:name="_Hlk77112639"/>
      <w:bookmarkEnd w:id="2"/>
      <w:r>
        <w:rPr>
          <w:rStyle w:val="Ancladenotaalpie"/>
          <w:rFonts w:ascii="Times New Roman" w:hAnsi="Times New Roman" w:cs="Times New Roman"/>
          <w:sz w:val="20"/>
          <w:szCs w:val="20"/>
          <w:lang w:val="es-ES"/>
        </w:rPr>
        <w:footnoteReference w:id="54"/>
      </w:r>
    </w:p>
    <w:p w14:paraId="53E6BF3E" w14:textId="77777777" w:rsidR="00405820" w:rsidRDefault="00405820">
      <w:pPr>
        <w:spacing w:after="0" w:line="240" w:lineRule="auto"/>
        <w:jc w:val="both"/>
        <w:rPr>
          <w:rFonts w:ascii="Times New Roman" w:eastAsia="Times New Roman" w:hAnsi="Times New Roman" w:cs="Times New Roman"/>
          <w:sz w:val="20"/>
          <w:szCs w:val="20"/>
        </w:rPr>
      </w:pPr>
    </w:p>
    <w:p w14:paraId="56439DC4" w14:textId="0E584FE5"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Para garantizar la calidad en la divulgación y formación sobre estas materias se incorporaron en la Micro Misión Simón Rodríguez estudios de cuarto nivel dirigidos a todos los y las docentes del Subsistema de Educación Básica, con la cooperación técnica de U</w:t>
      </w:r>
      <w:r w:rsidR="00831285">
        <w:rPr>
          <w:rFonts w:ascii="Times New Roman" w:hAnsi="Times New Roman" w:cs="Times New Roman"/>
          <w:sz w:val="20"/>
          <w:szCs w:val="20"/>
          <w:lang w:val="es-ES"/>
        </w:rPr>
        <w:t>NICEF</w:t>
      </w:r>
      <w:r>
        <w:rPr>
          <w:rFonts w:ascii="Times New Roman" w:hAnsi="Times New Roman" w:cs="Times New Roman"/>
          <w:sz w:val="20"/>
          <w:szCs w:val="20"/>
          <w:lang w:val="es-ES"/>
        </w:rPr>
        <w:t>. Esta micromisión está dirigida a brindar estudios gratuitos de tercer y cuarto nivel a todos los y las docentes de nuestro país para mejorar la calidad educativa, bajo la rectoría del M</w:t>
      </w:r>
      <w:r w:rsidR="009317C9">
        <w:rPr>
          <w:rFonts w:ascii="Times New Roman" w:hAnsi="Times New Roman" w:cs="Times New Roman"/>
          <w:sz w:val="20"/>
          <w:szCs w:val="20"/>
          <w:lang w:val="es-ES"/>
        </w:rPr>
        <w:t>PPE</w:t>
      </w:r>
      <w:r>
        <w:rPr>
          <w:rFonts w:ascii="Times New Roman" w:hAnsi="Times New Roman" w:cs="Times New Roman"/>
          <w:sz w:val="20"/>
          <w:szCs w:val="20"/>
          <w:lang w:val="es-ES"/>
        </w:rPr>
        <w:t>. Hasta 2019 habían participado en este proceso de formación de cuarto nivel más de 70.000 docentes de las escuelas públicas.</w:t>
      </w:r>
    </w:p>
    <w:p w14:paraId="7B0845C9" w14:textId="77777777" w:rsidR="00405820" w:rsidRDefault="00405820">
      <w:pPr>
        <w:pStyle w:val="ListParagraph"/>
        <w:rPr>
          <w:rFonts w:cs="Times New Roman"/>
          <w:sz w:val="20"/>
          <w:szCs w:val="20"/>
          <w:lang w:val="es-ES"/>
        </w:rPr>
      </w:pPr>
    </w:p>
    <w:p w14:paraId="076A2B35" w14:textId="5EDFEDDB"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 xml:space="preserve">La promoción y divulgación de la Convención también ha sido </w:t>
      </w:r>
      <w:r w:rsidR="00B74B88">
        <w:rPr>
          <w:rFonts w:ascii="Times New Roman" w:hAnsi="Times New Roman" w:cs="Times New Roman"/>
          <w:sz w:val="20"/>
          <w:szCs w:val="20"/>
          <w:lang w:val="es-ES"/>
        </w:rPr>
        <w:t>incluida</w:t>
      </w:r>
      <w:r>
        <w:rPr>
          <w:rFonts w:ascii="Times New Roman" w:hAnsi="Times New Roman" w:cs="Times New Roman"/>
          <w:sz w:val="20"/>
          <w:szCs w:val="20"/>
          <w:lang w:val="es-ES"/>
        </w:rPr>
        <w:t xml:space="preserve"> en los programas de formación</w:t>
      </w:r>
      <w:r w:rsidR="00F068C5" w:rsidRPr="00F068C5">
        <w:rPr>
          <w:rFonts w:ascii="Times New Roman" w:hAnsi="Times New Roman" w:cs="Times New Roman"/>
          <w:sz w:val="20"/>
          <w:szCs w:val="20"/>
          <w:lang w:val="es-ES"/>
        </w:rPr>
        <w:t xml:space="preserve"> </w:t>
      </w:r>
      <w:r w:rsidR="00F068C5">
        <w:rPr>
          <w:rFonts w:ascii="Times New Roman" w:hAnsi="Times New Roman" w:cs="Times New Roman"/>
          <w:sz w:val="20"/>
          <w:szCs w:val="20"/>
          <w:lang w:val="es-ES"/>
        </w:rPr>
        <w:t xml:space="preserve">continua </w:t>
      </w:r>
      <w:r w:rsidR="00B74B88">
        <w:rPr>
          <w:rFonts w:ascii="Times New Roman" w:hAnsi="Times New Roman" w:cs="Times New Roman"/>
          <w:sz w:val="20"/>
          <w:szCs w:val="20"/>
          <w:lang w:val="es-ES"/>
        </w:rPr>
        <w:t>o de</w:t>
      </w:r>
      <w:r w:rsidR="00F068C5">
        <w:rPr>
          <w:rFonts w:ascii="Times New Roman" w:hAnsi="Times New Roman" w:cs="Times New Roman"/>
          <w:sz w:val="20"/>
          <w:szCs w:val="20"/>
          <w:lang w:val="es-ES"/>
        </w:rPr>
        <w:t xml:space="preserve"> cuarto nivel</w:t>
      </w:r>
      <w:r>
        <w:rPr>
          <w:rFonts w:ascii="Times New Roman" w:hAnsi="Times New Roman" w:cs="Times New Roman"/>
          <w:sz w:val="20"/>
          <w:szCs w:val="20"/>
          <w:lang w:val="es-ES"/>
        </w:rPr>
        <w:t xml:space="preserve"> </w:t>
      </w:r>
      <w:r w:rsidR="00F068C5">
        <w:rPr>
          <w:rFonts w:ascii="Times New Roman" w:hAnsi="Times New Roman" w:cs="Times New Roman"/>
          <w:sz w:val="20"/>
          <w:szCs w:val="20"/>
          <w:lang w:val="es-ES"/>
        </w:rPr>
        <w:t>en</w:t>
      </w:r>
      <w:r>
        <w:rPr>
          <w:rFonts w:ascii="Times New Roman" w:hAnsi="Times New Roman" w:cs="Times New Roman"/>
          <w:sz w:val="20"/>
          <w:szCs w:val="20"/>
          <w:lang w:val="es-ES"/>
        </w:rPr>
        <w:t xml:space="preserve"> la Escuela Nacional de la Magistratura, la Escuela Nacional de Fiscales,</w:t>
      </w:r>
      <w:r w:rsidR="00F068C5">
        <w:rPr>
          <w:rFonts w:ascii="Times New Roman" w:hAnsi="Times New Roman" w:cs="Times New Roman"/>
          <w:sz w:val="20"/>
          <w:szCs w:val="20"/>
          <w:lang w:val="es-ES"/>
        </w:rPr>
        <w:t xml:space="preserve"> </w:t>
      </w:r>
      <w:r>
        <w:rPr>
          <w:rFonts w:ascii="Times New Roman" w:hAnsi="Times New Roman" w:cs="Times New Roman"/>
          <w:sz w:val="20"/>
          <w:szCs w:val="20"/>
          <w:lang w:val="es-ES"/>
        </w:rPr>
        <w:t>la Escuela Nacional de la Defensa Pública</w:t>
      </w:r>
      <w:r w:rsidR="009D23E6">
        <w:rPr>
          <w:rFonts w:ascii="Times New Roman" w:hAnsi="Times New Roman" w:cs="Times New Roman"/>
          <w:sz w:val="20"/>
          <w:szCs w:val="20"/>
          <w:lang w:val="es-ES"/>
        </w:rPr>
        <w:t xml:space="preserve"> </w:t>
      </w:r>
      <w:r w:rsidR="00C61F6D">
        <w:rPr>
          <w:rFonts w:ascii="Times New Roman" w:hAnsi="Times New Roman" w:cs="Times New Roman"/>
          <w:sz w:val="20"/>
          <w:szCs w:val="20"/>
          <w:lang w:val="es-ES"/>
        </w:rPr>
        <w:t>y la</w:t>
      </w:r>
      <w:r>
        <w:rPr>
          <w:rFonts w:ascii="Times New Roman" w:hAnsi="Times New Roman" w:cs="Times New Roman"/>
          <w:sz w:val="20"/>
          <w:szCs w:val="20"/>
          <w:lang w:val="es-ES"/>
        </w:rPr>
        <w:t xml:space="preserve"> Escuela Nacional de Derechos Humanos. Aproximadamente 80.000 personas, en su mayoría servidores públicos y servidoras públicas del Estado, participan anualmente en estas actividades de promoción y difusión de la Convención desarrolladas por estos centros de formación especializada.</w:t>
      </w:r>
    </w:p>
    <w:p w14:paraId="0F08350C" w14:textId="77777777" w:rsidR="00405820" w:rsidRDefault="00405820">
      <w:pPr>
        <w:pStyle w:val="ListParagraph"/>
        <w:rPr>
          <w:rFonts w:cs="Times New Roman"/>
          <w:sz w:val="20"/>
          <w:szCs w:val="20"/>
          <w:lang w:val="es-ES"/>
        </w:rPr>
      </w:pPr>
    </w:p>
    <w:p w14:paraId="48E7C7F4"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lang w:val="es-ES"/>
        </w:rPr>
        <w:t>En atención a las recomendaciones del Comité, el IDENNA desarrolló un plan de formación que contribuyó a la prevención, atención y protección integral de niños, niñas y adolescentes donde participan de manera protagónica las familias, escuelas, comunidades, consejos comunales e instituciones del Sistema Rector para la Protección Integral de los Niños, Niñas y Adolescentes. La formación atendió desde dos dimensiones: la formación a los servidores públicos y servidoras públicas de las instituciones de Poder Público Nacional, Estadal y Municipal, en especial, aquellos que forman parte de las instituciones que integran este Sistema, incluyendo a las organizaciones de la sociedad civil. Adicionalmente, se desarrollaron estrategias de formación a los niños, niñas y adolescentes y familias en situación de vulnerabilidad social. Aproximadamente 150.000 personas, en su mayoría integrantes de comunidades populares, participan anualmente en estas actividades de promoción y difusión de la Convención desarrolladas por estos centros de formación especializada.</w:t>
      </w:r>
    </w:p>
    <w:p w14:paraId="7EEEB720" w14:textId="77777777" w:rsidR="00405820" w:rsidRDefault="00405820">
      <w:pPr>
        <w:pStyle w:val="ListParagraph"/>
        <w:rPr>
          <w:rFonts w:cs="Times New Roman"/>
          <w:sz w:val="20"/>
          <w:szCs w:val="20"/>
          <w:lang w:val="es-ES"/>
        </w:rPr>
      </w:pPr>
    </w:p>
    <w:p w14:paraId="26F43E83" w14:textId="6ECA83A1"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En coordinación y en desarrollo de las políticas nacional en materia de promoción y divulgación de la Convención, los Consejos Municipales de Derechos de Niños, Niñas y Adolescentes, que existen como instituciones locales en cada uno de los 335 municipios de nuestro país, han desarrollado estrategias de divulgación, la mayoría de las veces ajustadas a la multietnicidad y pluriculturalidad de nuestra sociedad. Aproximadamente 1.300.000 personas, en mayoría NNA, participan anualmente en estas actividades de promoción y difusión de la Convención desarrolladas por estas unidades locales.</w:t>
      </w:r>
    </w:p>
    <w:p w14:paraId="030EF30C" w14:textId="77777777" w:rsidR="00405820" w:rsidRDefault="00405820">
      <w:pPr>
        <w:pStyle w:val="ListParagraph"/>
        <w:rPr>
          <w:rFonts w:cs="Times New Roman"/>
          <w:sz w:val="20"/>
          <w:szCs w:val="20"/>
          <w:lang w:val="es-ES"/>
        </w:rPr>
      </w:pPr>
    </w:p>
    <w:p w14:paraId="6F8EC376" w14:textId="3B685E6C" w:rsidR="00405820" w:rsidRDefault="002F4028">
      <w:pPr>
        <w:numPr>
          <w:ilvl w:val="0"/>
          <w:numId w:val="1"/>
        </w:numPr>
        <w:spacing w:after="0" w:line="240" w:lineRule="auto"/>
        <w:ind w:left="0" w:firstLine="0"/>
        <w:jc w:val="both"/>
      </w:pPr>
      <w:r>
        <w:rPr>
          <w:rFonts w:ascii="Times New Roman" w:hAnsi="Times New Roman" w:cs="Times New Roman"/>
          <w:sz w:val="20"/>
          <w:szCs w:val="20"/>
          <w:lang w:val="es-ES"/>
        </w:rPr>
        <w:t>Adicionalmente, en el Plan Nacional de Recreación, que incluye actividades recreativas y deportivas dirigidos a los niños niñas y adolescentes durante el período de vacaciones escolares de julio, agosto y septiembre del Subsistema de Educación Básica, se ha incluido como eje transversal la promoción de los derechos de los NNA. Para ello, se emplean estrategias alternativas a la educación formal, que se fundamentan en lo lúdico. Este Plan alcanza anualmente a aproximadamente 5.000.000 de NNA, situación que ha variado sustancialmente durante la pandemia de la Covid-19. Es importante informar que este Plan se desarrolla con la participación voluntaria del Movimiento Nacional de Recreadores y Recreadoras, que es una organización social que tiene apoyo del Estado e integrada por más de 100.000 jóvenes, incluyendo muchos y muchas adolescentes mayores de quince (15) años de edad. Estas personas reciben formación básica de la Convención como parte de su capacitación para realizar las actividades recreativas del Plan.</w:t>
      </w:r>
    </w:p>
    <w:p w14:paraId="52ED773C" w14:textId="77777777" w:rsidR="00405820" w:rsidRDefault="00405820">
      <w:pPr>
        <w:pStyle w:val="ListParagraph"/>
        <w:rPr>
          <w:rFonts w:cs="Times New Roman"/>
          <w:sz w:val="20"/>
          <w:szCs w:val="20"/>
          <w:lang w:val="es-ES"/>
        </w:rPr>
      </w:pPr>
    </w:p>
    <w:p w14:paraId="7B0422D1"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 xml:space="preserve">En respuesta a las Recomendaciones </w:t>
      </w:r>
      <w:proofErr w:type="spellStart"/>
      <w:r>
        <w:rPr>
          <w:rFonts w:ascii="Times New Roman" w:hAnsi="Times New Roman" w:cs="Times New Roman"/>
          <w:sz w:val="20"/>
          <w:szCs w:val="20"/>
          <w:lang w:val="es-ES"/>
        </w:rPr>
        <w:t>N°</w:t>
      </w:r>
      <w:proofErr w:type="spellEnd"/>
      <w:r>
        <w:rPr>
          <w:rFonts w:ascii="Times New Roman" w:hAnsi="Times New Roman" w:cs="Times New Roman"/>
          <w:sz w:val="20"/>
          <w:szCs w:val="20"/>
          <w:lang w:val="es-ES"/>
        </w:rPr>
        <w:t xml:space="preserve"> 21 y 22 del Comité también se desarrollaron diversas actividades que incluyen: encuentros de niñas, niños y adolescentes, divulgación de publicaciones, como, por ejemplo: el Plan Nacional de Derechos Humanos explicado para niños y niñas; distribución de materiales educativos; presentación de resultados de encuestas; elaboración de murales, foros, y exposiciones. </w:t>
      </w:r>
    </w:p>
    <w:p w14:paraId="68B8ACF3" w14:textId="77777777" w:rsidR="00405820" w:rsidRDefault="00405820">
      <w:pPr>
        <w:pStyle w:val="ListParagraph"/>
        <w:rPr>
          <w:rFonts w:cs="Times New Roman"/>
          <w:sz w:val="20"/>
          <w:szCs w:val="20"/>
          <w:lang w:val="es-ES"/>
        </w:rPr>
      </w:pPr>
    </w:p>
    <w:p w14:paraId="0FCFDE64" w14:textId="7EF42ABD" w:rsidR="00405820" w:rsidRDefault="002F4028">
      <w:pPr>
        <w:numPr>
          <w:ilvl w:val="0"/>
          <w:numId w:val="1"/>
        </w:numPr>
        <w:spacing w:after="0" w:line="240" w:lineRule="auto"/>
        <w:ind w:left="0" w:firstLine="0"/>
        <w:jc w:val="both"/>
      </w:pPr>
      <w:r>
        <w:rPr>
          <w:rFonts w:ascii="Times New Roman" w:hAnsi="Times New Roman" w:cs="Times New Roman"/>
          <w:sz w:val="20"/>
          <w:szCs w:val="20"/>
          <w:lang w:val="es-ES"/>
        </w:rPr>
        <w:t>En el marco de la culminación del año escolar 2019-2020 frente a la pandemia causada por la Covid-19, el presidente de la República, informó que el canal público de televisión Vive TV se gestionará a través del M</w:t>
      </w:r>
      <w:r w:rsidR="0010440A">
        <w:rPr>
          <w:rFonts w:ascii="Times New Roman" w:hAnsi="Times New Roman" w:cs="Times New Roman"/>
          <w:sz w:val="20"/>
          <w:szCs w:val="20"/>
          <w:lang w:val="es-ES"/>
        </w:rPr>
        <w:t xml:space="preserve">PPE </w:t>
      </w:r>
      <w:r>
        <w:rPr>
          <w:rFonts w:ascii="Times New Roman" w:hAnsi="Times New Roman" w:cs="Times New Roman"/>
          <w:sz w:val="20"/>
          <w:szCs w:val="20"/>
          <w:lang w:val="es-ES"/>
        </w:rPr>
        <w:t>para convertirse en la televisora nacional educativa, para todos los niveles educativos: preescolar, primaria, media, técnica y universitaria y para las misiones sociales, apoyando la divulgación y promoción de los derechos de los NNA.</w:t>
      </w:r>
    </w:p>
    <w:p w14:paraId="1449A642" w14:textId="63519DC9" w:rsidR="00405820" w:rsidRDefault="00405820" w:rsidP="0010440A">
      <w:pPr>
        <w:spacing w:after="0" w:line="240" w:lineRule="auto"/>
        <w:jc w:val="both"/>
      </w:pPr>
    </w:p>
    <w:p w14:paraId="63E80389" w14:textId="77777777" w:rsidR="00405820" w:rsidRDefault="00405820">
      <w:pPr>
        <w:widowControl w:val="0"/>
        <w:suppressAutoHyphens/>
        <w:spacing w:after="0" w:line="240" w:lineRule="auto"/>
        <w:jc w:val="both"/>
        <w:textAlignment w:val="baseline"/>
        <w:rPr>
          <w:rFonts w:cs="Times New Roman"/>
          <w:b/>
          <w:bCs/>
          <w:sz w:val="20"/>
          <w:szCs w:val="20"/>
        </w:rPr>
      </w:pPr>
    </w:p>
    <w:p w14:paraId="56DC8A24"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2. Definición jurídica del niño y la niña</w:t>
      </w:r>
    </w:p>
    <w:p w14:paraId="65AC6C14" w14:textId="77777777" w:rsidR="00405820" w:rsidRDefault="00405820">
      <w:pPr>
        <w:pStyle w:val="ListParagraph"/>
        <w:rPr>
          <w:rFonts w:cs="Times New Roman"/>
          <w:sz w:val="20"/>
          <w:szCs w:val="20"/>
        </w:rPr>
      </w:pPr>
    </w:p>
    <w:p w14:paraId="22BB35C7" w14:textId="46CCAC41"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La CRBV establece en su artículo 78 que los niños, niñas y adolescentes como sujetos plenos de derecho y regula que estarán protegidos por la legislación, órganos y tribunales especializados que se encuentran encargados de garantizará y desarrollar los contenidos de esta Constitución, la Convención y demás tratados internacionales que en esta materia haya suscrito y ratificado la República. Igualmente señala que el Estado, las familias y la sociedad asegurarán con prioridad absoluta la protección integral, para lo cual se tomará en cuenta su interés superior en las decisiones y acciones que les conciernan. El Estado promoverá su incorporación progresiva a la ciudadanía activa, y creará un sistema rector nacional para la protección integral de los niños, niñas y adolescentes. </w:t>
      </w:r>
    </w:p>
    <w:p w14:paraId="030AC619" w14:textId="77777777" w:rsidR="00405820" w:rsidRDefault="00405820">
      <w:pPr>
        <w:spacing w:after="0" w:line="240" w:lineRule="auto"/>
        <w:jc w:val="both"/>
        <w:rPr>
          <w:rFonts w:ascii="Times New Roman" w:eastAsia="Times New Roman" w:hAnsi="Times New Roman" w:cs="Times New Roman"/>
          <w:sz w:val="20"/>
          <w:szCs w:val="20"/>
        </w:rPr>
      </w:pPr>
    </w:p>
    <w:p w14:paraId="4F5E6667"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Por su parte, el artículo 2 de la LOPNNA establece expresamente la definición de NNA y establece que se entiende por niño y niña toda persona con menos de doce años de edad y por adolescente toda persona con doce años o más y menos de dieciocho años de edad. Igualmente, en caso de duda acerca de si una persona es niño, niña o adolescente se le presumirá niño o niña hasta prueba en contrario. En igual sentido, si existieren dudas acerca de sí una persona es adolescente o mayor de dieciocho años, se le presumirá adolescente, hasta prueba en contrario. Estas presunciones persiguen garantizar en caso de dudas la mayor protección a los NNA y constituyen un desarrollo de la interpretación pro </w:t>
      </w:r>
      <w:proofErr w:type="spellStart"/>
      <w:r>
        <w:rPr>
          <w:rFonts w:ascii="Times New Roman" w:hAnsi="Times New Roman" w:cs="Times New Roman"/>
          <w:sz w:val="20"/>
          <w:szCs w:val="20"/>
        </w:rPr>
        <w:t>humanitas</w:t>
      </w:r>
      <w:proofErr w:type="spellEnd"/>
      <w:r>
        <w:rPr>
          <w:rFonts w:ascii="Times New Roman" w:hAnsi="Times New Roman" w:cs="Times New Roman"/>
          <w:sz w:val="20"/>
          <w:szCs w:val="20"/>
        </w:rPr>
        <w:t>.</w:t>
      </w:r>
    </w:p>
    <w:p w14:paraId="738B5588" w14:textId="77777777" w:rsidR="00405820" w:rsidRDefault="00405820">
      <w:pPr>
        <w:pStyle w:val="ListParagraph"/>
        <w:rPr>
          <w:rFonts w:cs="Times New Roman"/>
          <w:sz w:val="20"/>
          <w:szCs w:val="20"/>
        </w:rPr>
      </w:pPr>
    </w:p>
    <w:p w14:paraId="435D4AA0"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función a la Recomendación 21 del Comité, mediante sentencia </w:t>
      </w:r>
      <w:proofErr w:type="spellStart"/>
      <w:r>
        <w:rPr>
          <w:rFonts w:ascii="Times New Roman" w:hAnsi="Times New Roman" w:cs="Times New Roman"/>
          <w:sz w:val="20"/>
          <w:szCs w:val="20"/>
        </w:rPr>
        <w:t>N°</w:t>
      </w:r>
      <w:proofErr w:type="spellEnd"/>
      <w:r>
        <w:rPr>
          <w:rFonts w:ascii="Times New Roman" w:hAnsi="Times New Roman" w:cs="Times New Roman"/>
          <w:sz w:val="20"/>
          <w:szCs w:val="20"/>
        </w:rPr>
        <w:t xml:space="preserve"> 1.353 del 16 de octubre de 2014 el Tribunal Supremo de Justicia (TSJ), anuló parcialmente los artículos 46 y 62 del Código Civil y otras disposiciones de esta Ley, que permitían el matrimonio a partir de los 12 años de edad para las mujeres y 14 años de edad para los hombres e, inclusive, de quienes fuesen menores de 12 años de edad en caso de gestación o alumbramiento de un hijo o hija. Estas normas fueron reinterpretadas para garantizar la igualdad de género e incrementar la edad para el matrimonio de hombres y mujeres a partir de los 16 años de edad. Adicionalmente, la sentencia exhortó a la Asamblea Nacional a considerar una reforma legal para que la edad mínima de matrimonio sea elevada a los 18 años. </w:t>
      </w:r>
    </w:p>
    <w:p w14:paraId="6D04BEA7" w14:textId="77777777" w:rsidR="00405820" w:rsidRDefault="00405820">
      <w:pPr>
        <w:pStyle w:val="ListParagraph"/>
        <w:rPr>
          <w:rFonts w:cs="Times New Roman"/>
          <w:b/>
          <w:bCs/>
          <w:sz w:val="20"/>
          <w:szCs w:val="20"/>
        </w:rPr>
      </w:pPr>
    </w:p>
    <w:p w14:paraId="6A130766"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3. Principios generales (arts. 2, 3, 6 y 12)</w:t>
      </w:r>
    </w:p>
    <w:p w14:paraId="770FC245" w14:textId="77777777" w:rsidR="00405820" w:rsidRDefault="00405820">
      <w:pPr>
        <w:pStyle w:val="ListParagraph"/>
        <w:rPr>
          <w:rFonts w:cs="Times New Roman"/>
          <w:b/>
          <w:bCs/>
          <w:sz w:val="20"/>
          <w:szCs w:val="20"/>
        </w:rPr>
      </w:pPr>
    </w:p>
    <w:p w14:paraId="329CD8B0"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a) No Discriminación</w:t>
      </w:r>
    </w:p>
    <w:p w14:paraId="4631A916" w14:textId="77777777" w:rsidR="00405820" w:rsidRDefault="00405820">
      <w:pPr>
        <w:pStyle w:val="ListParagraph"/>
        <w:rPr>
          <w:rFonts w:cs="Times New Roman"/>
          <w:sz w:val="20"/>
          <w:szCs w:val="20"/>
        </w:rPr>
      </w:pPr>
    </w:p>
    <w:p w14:paraId="7A307FF7"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El principio de igualdad y no discriminación es un derecho fundamental reconocido en el artículo 21 de la CRBV y en particular en el artículo 3 de la LOPNNA. La disposición constitucional reconoce la igualdad formal o ante la Ley, al tiempo que obliga al Estado a garantizar la igualdad material o sustantiva, inclusive mediante la adoptación de medidas y acciones positivas a favor de los grupos en condición de discriminación o vulnerabilidad. </w:t>
      </w:r>
    </w:p>
    <w:p w14:paraId="31AA11CE" w14:textId="77777777" w:rsidR="00405820" w:rsidRDefault="00405820">
      <w:pPr>
        <w:spacing w:after="0" w:line="240" w:lineRule="auto"/>
        <w:jc w:val="both"/>
        <w:rPr>
          <w:rFonts w:ascii="Times New Roman" w:eastAsia="Times New Roman" w:hAnsi="Times New Roman" w:cs="Times New Roman"/>
          <w:sz w:val="20"/>
          <w:szCs w:val="20"/>
        </w:rPr>
      </w:pPr>
    </w:p>
    <w:p w14:paraId="6479D50A"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Este derecho implica la obligación del Estado de hacer cumplir, respetar y garantizar los derechos reconocidos por el ordenamiento jurídico de no discriminación alguna fundada en motivos de raza, color, sexo, orientación sexual, identidad de género, expresión de género, edad, idioma, pensamiento, conciencia, religión, creencias, cultura, opinión política o de otra índole, posición económica, origen social, étnico o nacional, discapacidad, enfermedad, nacimiento o cualquier otra condición de los niños, niñas o adolescentes, de su padre, madre, representante o responsable, o de sus familiares.</w:t>
      </w:r>
    </w:p>
    <w:p w14:paraId="30EECC3B" w14:textId="77777777" w:rsidR="00405820" w:rsidRDefault="00405820">
      <w:pPr>
        <w:pStyle w:val="ListParagraph"/>
        <w:rPr>
          <w:rFonts w:cs="Times New Roman"/>
          <w:sz w:val="20"/>
          <w:szCs w:val="20"/>
        </w:rPr>
      </w:pPr>
    </w:p>
    <w:p w14:paraId="541DC6FA" w14:textId="4D331E37" w:rsidR="00405820" w:rsidRDefault="002F4028">
      <w:pPr>
        <w:numPr>
          <w:ilvl w:val="0"/>
          <w:numId w:val="1"/>
        </w:numPr>
        <w:spacing w:after="0" w:line="240" w:lineRule="auto"/>
        <w:ind w:left="0" w:firstLine="0"/>
        <w:jc w:val="both"/>
      </w:pPr>
      <w:r>
        <w:rPr>
          <w:rFonts w:ascii="Times New Roman" w:hAnsi="Times New Roman" w:cs="Times New Roman"/>
          <w:sz w:val="20"/>
          <w:szCs w:val="20"/>
        </w:rPr>
        <w:t>En 2011 entró en vigencia la Ley Orgánica contra la Discriminación Racial, que establece mecanismos para prevenir, atender, erradicar y sancionar la discriminación racial como hecho punible y crea el Instituto Nacional Contra la Discriminación Racial (I</w:t>
      </w:r>
      <w:r w:rsidR="003F7AF7">
        <w:rPr>
          <w:rFonts w:ascii="Times New Roman" w:hAnsi="Times New Roman" w:cs="Times New Roman"/>
          <w:sz w:val="20"/>
          <w:szCs w:val="20"/>
        </w:rPr>
        <w:t>NCODIR</w:t>
      </w:r>
      <w:r>
        <w:rPr>
          <w:rFonts w:ascii="Times New Roman" w:hAnsi="Times New Roman" w:cs="Times New Roman"/>
          <w:sz w:val="20"/>
          <w:szCs w:val="20"/>
        </w:rPr>
        <w:t xml:space="preserve">), que tiene como objetivo establecer mecanismos para prevenir, atender, sancionar y erradicar la discriminación racial por parte de cualquier persona, grupo de personas, autoridades públicas, instituciones nacionales públicas y privadas e instituciones y organizaciones regionales y locales de carácter civil, político, económico, social y cultural. </w:t>
      </w:r>
    </w:p>
    <w:p w14:paraId="156752F8" w14:textId="77777777" w:rsidR="00405820" w:rsidRDefault="00405820">
      <w:pPr>
        <w:pStyle w:val="ListParagraph"/>
        <w:rPr>
          <w:rFonts w:cs="Times New Roman"/>
          <w:sz w:val="20"/>
          <w:szCs w:val="20"/>
        </w:rPr>
      </w:pPr>
    </w:p>
    <w:p w14:paraId="37E6A805" w14:textId="44EC7EFC"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El INCODIR realiza asesorías en materias relacionadas con la Ley orgánica contra la discriminación racial o étnica, </w:t>
      </w:r>
      <w:r w:rsidR="00196A7F">
        <w:rPr>
          <w:rFonts w:ascii="Times New Roman" w:hAnsi="Times New Roman" w:cs="Times New Roman"/>
          <w:sz w:val="20"/>
          <w:szCs w:val="20"/>
        </w:rPr>
        <w:t xml:space="preserve">y </w:t>
      </w:r>
      <w:r>
        <w:rPr>
          <w:rFonts w:ascii="Times New Roman" w:hAnsi="Times New Roman" w:cs="Times New Roman"/>
          <w:sz w:val="20"/>
          <w:szCs w:val="20"/>
        </w:rPr>
        <w:t>supervisión de locales comerciales públicos y privados para la verificación de las obligaciones contenidas en la Ley, y de acuerdo a la Recomendación 28 del Comité.</w:t>
      </w:r>
    </w:p>
    <w:p w14:paraId="26C89CF0" w14:textId="77777777" w:rsidR="00405820" w:rsidRDefault="00405820">
      <w:pPr>
        <w:pStyle w:val="ListParagraph"/>
        <w:rPr>
          <w:rFonts w:cs="Times New Roman"/>
          <w:sz w:val="20"/>
          <w:szCs w:val="20"/>
        </w:rPr>
      </w:pPr>
    </w:p>
    <w:p w14:paraId="793963D9"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A través de la Ley de Responsabilidad Social en Radio, Televisión y Medios Electrónicos se garantiza la igualdad y el derecho a la no discriminación regulando la prohibición de la difusión de mensajes que inciten o promuevan el odio y la intolerancia por razones religiosas, políticas, por diferencia de género, por racismo o xenofobia y establece sanciones por la emisión de mensajes discriminatorios, con multas que van del 3% al 4% de los ingresos brutos anuales del medio de comunicación. Igualmente, fija multas de hasta 10% de los ingresos anuales brutos, y/o suspensión hasta por 72 horas continuas de sus transmisiones cuando difundan mensajes que inciten o promuevan el odio a la intolerancia por razones religiosas, políticas, por diferencia de género, por racismo o xenofobia.</w:t>
      </w:r>
    </w:p>
    <w:p w14:paraId="29B872AC" w14:textId="77777777" w:rsidR="00405820" w:rsidRDefault="00405820">
      <w:pPr>
        <w:pStyle w:val="ListParagraph"/>
        <w:rPr>
          <w:rFonts w:cs="Times New Roman"/>
          <w:sz w:val="20"/>
          <w:szCs w:val="20"/>
        </w:rPr>
      </w:pPr>
    </w:p>
    <w:p w14:paraId="2413E742"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el marco de la progresividad de los derechos humanos y en lo que respecta al principio de no discriminación, en 2012, se crea del Consejo Nacional de Comunidades Afrodescendientes (</w:t>
      </w:r>
      <w:proofErr w:type="spellStart"/>
      <w:r>
        <w:rPr>
          <w:rFonts w:ascii="Times New Roman" w:hAnsi="Times New Roman" w:cs="Times New Roman"/>
          <w:sz w:val="20"/>
          <w:szCs w:val="20"/>
        </w:rPr>
        <w:t>Conadecafro</w:t>
      </w:r>
      <w:proofErr w:type="spellEnd"/>
      <w:r>
        <w:rPr>
          <w:rFonts w:ascii="Times New Roman" w:hAnsi="Times New Roman" w:cs="Times New Roman"/>
          <w:sz w:val="20"/>
          <w:szCs w:val="20"/>
        </w:rPr>
        <w:t xml:space="preserve">), con el objetivo de promover nacional e internacional los derechos humanos a la no discriminación, la inclusión, la justicia, la igualdad, la equidad y la plena integración social que garantice el desarrollo integral de las comunidades afrovenezolanas.  </w:t>
      </w:r>
    </w:p>
    <w:p w14:paraId="2A9BA05A" w14:textId="77777777" w:rsidR="00405820" w:rsidRDefault="00405820">
      <w:pPr>
        <w:pStyle w:val="ListParagraph"/>
        <w:rPr>
          <w:rFonts w:cs="Times New Roman"/>
          <w:sz w:val="20"/>
          <w:szCs w:val="20"/>
        </w:rPr>
      </w:pPr>
    </w:p>
    <w:p w14:paraId="2F635A36" w14:textId="2E989435"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También se crea el Instituto Nacional de Idiomas Indígenas adscrito al</w:t>
      </w:r>
      <w:r w:rsidR="00F62310">
        <w:rPr>
          <w:rFonts w:ascii="Times New Roman" w:hAnsi="Times New Roman" w:cs="Times New Roman"/>
          <w:sz w:val="20"/>
          <w:szCs w:val="20"/>
        </w:rPr>
        <w:t xml:space="preserve"> MPPE</w:t>
      </w:r>
      <w:r>
        <w:rPr>
          <w:rFonts w:ascii="Times New Roman" w:hAnsi="Times New Roman" w:cs="Times New Roman"/>
          <w:sz w:val="20"/>
          <w:szCs w:val="20"/>
        </w:rPr>
        <w:t>, como ente descentralizado de carácter académico, con personalidad jurídica y patrimonio propio, que tiene como objetivo la ejecución de políticas y actividades destinadas a la protección, defensa, promoción, preservación, fomento, estudio, investigación y difusión, así como velar por el uso adecuado de los idiomas indígenas</w:t>
      </w:r>
      <w:r>
        <w:rPr>
          <w:rStyle w:val="Ancladenotaalpie"/>
          <w:rFonts w:ascii="Times New Roman" w:hAnsi="Times New Roman" w:cs="Times New Roman"/>
          <w:sz w:val="20"/>
          <w:szCs w:val="20"/>
        </w:rPr>
        <w:footnoteReference w:id="55"/>
      </w:r>
      <w:r>
        <w:rPr>
          <w:rFonts w:ascii="Times New Roman" w:hAnsi="Times New Roman" w:cs="Times New Roman"/>
          <w:sz w:val="20"/>
          <w:szCs w:val="20"/>
        </w:rPr>
        <w:t>.</w:t>
      </w:r>
    </w:p>
    <w:p w14:paraId="1188A854" w14:textId="77777777" w:rsidR="00405820" w:rsidRDefault="00405820">
      <w:pPr>
        <w:pStyle w:val="ListParagraph"/>
        <w:rPr>
          <w:rFonts w:cs="Times New Roman"/>
          <w:sz w:val="20"/>
          <w:szCs w:val="20"/>
        </w:rPr>
      </w:pPr>
    </w:p>
    <w:p w14:paraId="42AE68C5" w14:textId="7BC46BC8"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2017 se promulgó el Decreto 2654</w:t>
      </w:r>
      <w:r>
        <w:rPr>
          <w:rStyle w:val="Ancladenotaalpie"/>
          <w:rFonts w:ascii="Times New Roman" w:hAnsi="Times New Roman" w:cs="Times New Roman"/>
          <w:sz w:val="20"/>
          <w:szCs w:val="20"/>
        </w:rPr>
        <w:footnoteReference w:id="56"/>
      </w:r>
      <w:r>
        <w:rPr>
          <w:rFonts w:ascii="Times New Roman" w:hAnsi="Times New Roman" w:cs="Times New Roman"/>
          <w:sz w:val="20"/>
          <w:szCs w:val="20"/>
        </w:rPr>
        <w:t xml:space="preserve"> contentivo de las Normas Básicas de Actuación de los Servidores y Servidoras Públicas en Materia de Derechos Humanos, el cual contempla en su artículo 3, que las servidoras y servidores públicos deben abstenerse de realizar cualquier acto o actuación de discriminación </w:t>
      </w:r>
      <w:r>
        <w:rPr>
          <w:rFonts w:ascii="Times New Roman" w:hAnsi="Times New Roman" w:cs="Times New Roman"/>
          <w:sz w:val="20"/>
          <w:szCs w:val="20"/>
          <w:shd w:val="clear" w:color="auto" w:fill="FFFFFF"/>
        </w:rPr>
        <w:t>que tenga por objeto o resultado anular o menoscabar el reconocimiento, goce o ejercicio de los derechos humanos</w:t>
      </w:r>
      <w:r>
        <w:rPr>
          <w:rFonts w:ascii="Times New Roman" w:hAnsi="Times New Roman" w:cs="Times New Roman"/>
          <w:sz w:val="20"/>
          <w:szCs w:val="20"/>
        </w:rPr>
        <w:t xml:space="preserve"> y establece la responsabilidad penal, civil, administrativa y disciplinaria conforme con la ley. Adicionalmente existen una extensa lista de normas jurídicas que reconocen y protegen el principio, derecho y garantía a la igualdad de las personas, incluyendo los NNA, entre ellas: la Ley de Igualdad de Personas con VIH/SIDA y sus familiares, Ley Orgánica sobre el Derecho a las Mujeres a una Vida</w:t>
      </w:r>
      <w:bookmarkStart w:id="3" w:name="_Hlk77114042"/>
      <w:bookmarkEnd w:id="3"/>
      <w:r>
        <w:rPr>
          <w:rFonts w:ascii="Times New Roman" w:hAnsi="Times New Roman" w:cs="Times New Roman"/>
          <w:sz w:val="20"/>
          <w:szCs w:val="20"/>
        </w:rPr>
        <w:t xml:space="preserve"> Libre de Violencia, Ley Orgánica del Poder Popular, Ley Orgánica de las Comunas, Ley Orgánica de los Consejos Comunales.</w:t>
      </w:r>
    </w:p>
    <w:p w14:paraId="37F627A2" w14:textId="77777777" w:rsidR="00405820" w:rsidRDefault="00405820">
      <w:pPr>
        <w:spacing w:after="0" w:line="240" w:lineRule="auto"/>
        <w:jc w:val="both"/>
        <w:rPr>
          <w:rFonts w:ascii="Times New Roman" w:eastAsia="Times New Roman" w:hAnsi="Times New Roman" w:cs="Times New Roman"/>
          <w:sz w:val="20"/>
          <w:szCs w:val="20"/>
        </w:rPr>
      </w:pPr>
    </w:p>
    <w:p w14:paraId="795B3210"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La Asamblea Nacional Constituyente de 2017, aprobó la Ley Constitucional contra el Odio, por la Convivencia Pacífica y la Tolerancia</w:t>
      </w:r>
      <w:r>
        <w:rPr>
          <w:rStyle w:val="Ancladenotaalpie"/>
          <w:rFonts w:ascii="Times New Roman" w:hAnsi="Times New Roman" w:cs="Times New Roman"/>
          <w:sz w:val="20"/>
          <w:szCs w:val="20"/>
        </w:rPr>
        <w:footnoteReference w:id="57"/>
      </w:r>
      <w:r>
        <w:rPr>
          <w:rFonts w:ascii="Times New Roman" w:hAnsi="Times New Roman" w:cs="Times New Roman"/>
          <w:sz w:val="20"/>
          <w:szCs w:val="20"/>
        </w:rPr>
        <w:t>, que es un instrumento jurídico de rango constitucional, que prohíbe expresamente cualquier tipo de acto que promueva, aliente, fomente o que constituya un acto de discriminación y establece severas sanciones a quienes incurran en dichos actos generando odio racial.</w:t>
      </w:r>
    </w:p>
    <w:p w14:paraId="3A9C8334" w14:textId="77777777" w:rsidR="00405820" w:rsidRDefault="00405820">
      <w:pPr>
        <w:pStyle w:val="ListParagraph"/>
        <w:rPr>
          <w:rFonts w:cs="Times New Roman"/>
          <w:sz w:val="20"/>
          <w:szCs w:val="20"/>
        </w:rPr>
      </w:pPr>
    </w:p>
    <w:p w14:paraId="2162313E"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Como parte de los avances jurídicos más significativos, en 2016 la sentencia </w:t>
      </w:r>
      <w:proofErr w:type="spellStart"/>
      <w:r>
        <w:rPr>
          <w:rFonts w:ascii="Times New Roman" w:hAnsi="Times New Roman" w:cs="Times New Roman"/>
          <w:sz w:val="20"/>
          <w:szCs w:val="20"/>
        </w:rPr>
        <w:t>Nº</w:t>
      </w:r>
      <w:proofErr w:type="spellEnd"/>
      <w:r>
        <w:rPr>
          <w:rFonts w:ascii="Times New Roman" w:hAnsi="Times New Roman" w:cs="Times New Roman"/>
          <w:sz w:val="20"/>
          <w:szCs w:val="20"/>
        </w:rPr>
        <w:t xml:space="preserve"> 1187 de la Sala Constitucional del TSJ declaró el reconocimiento de la familia homoparental, interpretando el artículo 75 de la Constitución de la RBV en el sentido de que la jefatura de las familias pueden ejercerlas las familias homoparentales, y los niños, niñas y adolescentes nacidos en estas familias tienen la protección del Estado al igual que cualquier otro niño que haya nacido dentro de una familia tradicional. </w:t>
      </w:r>
    </w:p>
    <w:p w14:paraId="4F07D8B6" w14:textId="77777777" w:rsidR="00405820" w:rsidRDefault="00405820">
      <w:pPr>
        <w:pStyle w:val="ListParagraph"/>
        <w:rPr>
          <w:rFonts w:cs="Times New Roman"/>
          <w:sz w:val="20"/>
          <w:szCs w:val="20"/>
        </w:rPr>
      </w:pPr>
    </w:p>
    <w:p w14:paraId="7B119900"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Finalmente, en el ámbito de las jurisdicciones regionales, el Gobierno del Distrito Capital aprobó el decreto número 006 del 17 de mayo de 2016, mediante el cual se prohíbe de cualquier acto de discriminación por orientación sexual real o percibida, para luchar contra la homofobia en la ciudad de Caracas. En cumplimiento de este decreto, el Ministerio del Poder Popular para la Cultura y la Defensa Pública iniciaron la colocación de carteles informativos en sus instalaciones en los cuales se indica que se prohíbe la discriminación contra personas de la comunidad LGBTI. En 2018, la Alcaldía del Municipio Libertador (Caracas) creó la Oficina para la Diversidad Sexual, que lleva a cabo acciones de acompañamiento jurídico, planes formativos y atención social. Adicionalmente, los concejos legislativos de los estados Bolívar y Carabobo han dictado actos de rechazo hacia todo tipo de discriminación que vulnere la identidad de las personas LGBTI, en los municipios y comunidades de su territorio y también diversos concejos municipales han dictado actos específicamente dirigidos a luchar contra la discriminación de las personas LGBTI.</w:t>
      </w:r>
    </w:p>
    <w:p w14:paraId="6D27A1DD" w14:textId="77777777" w:rsidR="00405820" w:rsidRDefault="00405820">
      <w:pPr>
        <w:spacing w:after="0" w:line="240" w:lineRule="auto"/>
        <w:jc w:val="both"/>
        <w:rPr>
          <w:rFonts w:ascii="Times New Roman" w:eastAsia="Times New Roman" w:hAnsi="Times New Roman" w:cs="Times New Roman"/>
          <w:sz w:val="20"/>
          <w:szCs w:val="20"/>
        </w:rPr>
      </w:pPr>
    </w:p>
    <w:p w14:paraId="247987B5"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b) Interés superior de los niños, niñas y adolescentes</w:t>
      </w:r>
    </w:p>
    <w:p w14:paraId="6557FE4C" w14:textId="77777777" w:rsidR="00405820" w:rsidRDefault="00405820">
      <w:pPr>
        <w:pStyle w:val="ListParagraph"/>
        <w:rPr>
          <w:rFonts w:cs="Times New Roman"/>
          <w:sz w:val="20"/>
          <w:szCs w:val="20"/>
        </w:rPr>
      </w:pPr>
    </w:p>
    <w:p w14:paraId="7BC397C0"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Venezuela ha incorporado el principio del interés superior de los niños, niñas y adolescentes el artículo 78 de la CRBV, lo ha desarrollado ampliamente en su legislación y ha establecido directrices que deben seguir todos los Poderes Públicos del Estado, la sociedad y familias, para que pueda ser entendida su aplicación en la práctica. Es importante subrayar que por mandato constitucional y del artículo 8 de la </w:t>
      </w:r>
      <w:proofErr w:type="spellStart"/>
      <w:r>
        <w:rPr>
          <w:rFonts w:ascii="Times New Roman" w:hAnsi="Times New Roman" w:cs="Times New Roman"/>
          <w:sz w:val="20"/>
          <w:szCs w:val="20"/>
        </w:rPr>
        <w:t>Lopnna</w:t>
      </w:r>
      <w:proofErr w:type="spellEnd"/>
      <w:r>
        <w:rPr>
          <w:rFonts w:ascii="Times New Roman" w:hAnsi="Times New Roman" w:cs="Times New Roman"/>
          <w:sz w:val="20"/>
          <w:szCs w:val="20"/>
        </w:rPr>
        <w:t xml:space="preserve">, el Interés Superior se aplica a todas las decisiones que se relacionan con los NNA, ya sea de forma directa o indirecta, que se adopten en el Estado, las familias y la sociedad. </w:t>
      </w:r>
    </w:p>
    <w:p w14:paraId="19A1A168" w14:textId="77777777" w:rsidR="00405820" w:rsidRDefault="00405820">
      <w:pPr>
        <w:spacing w:after="0" w:line="240" w:lineRule="auto"/>
        <w:jc w:val="both"/>
        <w:rPr>
          <w:rFonts w:ascii="Times New Roman" w:eastAsia="Times New Roman" w:hAnsi="Times New Roman" w:cs="Times New Roman"/>
          <w:sz w:val="20"/>
          <w:szCs w:val="20"/>
        </w:rPr>
      </w:pPr>
    </w:p>
    <w:p w14:paraId="68B9C19C"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El TSJ ha emitido diversas decisiones donde se reafirma, desarrolla y precisa el alcance del interés superior de los niños, niñas y adolescentes e impone a los tribunales el deber de actuar con precaución al momento de tomar cualquier decisión que pueda afectar los intereses de los niños, niñas y adolescentes. El TSJ señala que los jueces en sus sentencias deben apreciar y valorar lo dispuesto en el artículo 8 de la </w:t>
      </w:r>
      <w:proofErr w:type="spellStart"/>
      <w:r>
        <w:rPr>
          <w:rFonts w:ascii="Times New Roman" w:hAnsi="Times New Roman" w:cs="Times New Roman"/>
          <w:sz w:val="20"/>
          <w:szCs w:val="20"/>
        </w:rPr>
        <w:t>Lopnna</w:t>
      </w:r>
      <w:proofErr w:type="spellEnd"/>
      <w:r>
        <w:rPr>
          <w:rFonts w:ascii="Times New Roman" w:hAnsi="Times New Roman" w:cs="Times New Roman"/>
          <w:sz w:val="20"/>
          <w:szCs w:val="20"/>
        </w:rPr>
        <w:t>, recordando que los jueces y juezas deben decidir sus causas ajustándolas a la prudencia, responsabilidad, razonabilidad, gran ponderación y dominio impecable de las instituciones familiares. Estas sentencias se extienden al Sistema Rector Nacional para la Protección Integral de los Niños, Niñas y Adolescentes, al Sistema de Penal de Responsabilidad de los y las Adolescentes, así como a todos los y las integrantes del Sistema de Justicia, incluyendo los y las profesionales del Derecho, los servicios auxiliares de Justicia y los servicios de ciencias forenses. Adicionalmente, la regla general es que todas las decisiones judiciales se fundamentan en este principio, inclusive es frecuente registrar la impugnación por vulneración del Interés Superior de decisiones judiciales de primera instancia, algunas de las cuales alcanzan al conocimiento del Tribunal Supremo de Justicia, por lo que se evidencia que su uso común y cotidiano.</w:t>
      </w:r>
      <w:r>
        <w:rPr>
          <w:rStyle w:val="Ancladenotaalpie"/>
          <w:rFonts w:ascii="Times New Roman" w:hAnsi="Times New Roman" w:cs="Times New Roman"/>
          <w:sz w:val="20"/>
          <w:szCs w:val="20"/>
        </w:rPr>
        <w:footnoteReference w:id="58"/>
      </w:r>
    </w:p>
    <w:p w14:paraId="39456BAB" w14:textId="77777777" w:rsidR="00405820" w:rsidRDefault="00405820">
      <w:pPr>
        <w:spacing w:after="0" w:line="240" w:lineRule="auto"/>
        <w:jc w:val="both"/>
        <w:rPr>
          <w:rFonts w:ascii="Times New Roman" w:eastAsia="Times New Roman" w:hAnsi="Times New Roman" w:cs="Times New Roman"/>
          <w:sz w:val="20"/>
          <w:szCs w:val="20"/>
        </w:rPr>
      </w:pPr>
    </w:p>
    <w:p w14:paraId="37404B79"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Cabe destacar que el Tribunal Supremo de Justicia ha declarado en sus sentencias que el Interés Superior de niños, niñas y adolescentes es una garantía constitucional, por tanto se encuentra protegido por todos las regulaciones sustantivas y procesales que resguardan la integridad del ordenamiento jurídico constitucional. Entre ellos, que tiene una jerarquía superior a todas las leyes, por lo que incumplimiento o vulneración vicia de nulidad absoluta los actos normativos de rango legal y </w:t>
      </w:r>
      <w:proofErr w:type="spellStart"/>
      <w:r>
        <w:rPr>
          <w:rFonts w:ascii="Times New Roman" w:hAnsi="Times New Roman" w:cs="Times New Roman"/>
          <w:sz w:val="20"/>
          <w:szCs w:val="20"/>
        </w:rPr>
        <w:t>sublegal</w:t>
      </w:r>
      <w:proofErr w:type="spellEnd"/>
      <w:r>
        <w:rPr>
          <w:rFonts w:ascii="Times New Roman" w:hAnsi="Times New Roman" w:cs="Times New Roman"/>
          <w:sz w:val="20"/>
          <w:szCs w:val="20"/>
        </w:rPr>
        <w:t xml:space="preserve">, así como los actos y actuaciones del Estado; que puede ser protegido mediante el amparo constitucional; y, que su contravención genera responsabilidad civil, disciplinaria, administrativa y penal. Adicionalmente, ha señalado que se trata del principio constitucional por excelencia para la interpretación y aplicación de las normas referidas a los niños, niñas y adolescentes, que debe ser debidamente ponderado para cada caso en particular en base al desarrollo de este principio de conformidad con la CRBV, la Convención y el artículo 8 de la </w:t>
      </w:r>
      <w:proofErr w:type="spellStart"/>
      <w:r>
        <w:rPr>
          <w:rFonts w:ascii="Times New Roman" w:hAnsi="Times New Roman" w:cs="Times New Roman"/>
          <w:sz w:val="20"/>
          <w:szCs w:val="20"/>
        </w:rPr>
        <w:t>Lopnna</w:t>
      </w:r>
      <w:proofErr w:type="spellEnd"/>
      <w:r>
        <w:rPr>
          <w:rFonts w:ascii="Times New Roman" w:hAnsi="Times New Roman" w:cs="Times New Roman"/>
          <w:sz w:val="20"/>
          <w:szCs w:val="20"/>
        </w:rPr>
        <w:t xml:space="preserve">. En consecuencia, como principio y garantía constitucional es guía de toda la legislación y demás actos normativos de rango </w:t>
      </w:r>
      <w:proofErr w:type="spellStart"/>
      <w:r>
        <w:rPr>
          <w:rFonts w:ascii="Times New Roman" w:hAnsi="Times New Roman" w:cs="Times New Roman"/>
          <w:sz w:val="20"/>
          <w:szCs w:val="20"/>
        </w:rPr>
        <w:t>sublegal</w:t>
      </w:r>
      <w:proofErr w:type="spellEnd"/>
      <w:r>
        <w:rPr>
          <w:rFonts w:ascii="Times New Roman" w:hAnsi="Times New Roman" w:cs="Times New Roman"/>
          <w:sz w:val="20"/>
          <w:szCs w:val="20"/>
        </w:rPr>
        <w:t>, al que se hace referencia expresa en diferentes leyes, reglamentos y resoluciones. En este sentido, guía las decisiones de fondo que se expresan en estos instrumentos jurídicos.</w:t>
      </w:r>
      <w:r>
        <w:rPr>
          <w:rStyle w:val="Ancladenotaalpie"/>
          <w:rFonts w:ascii="Times New Roman" w:hAnsi="Times New Roman" w:cs="Times New Roman"/>
          <w:sz w:val="20"/>
          <w:szCs w:val="20"/>
        </w:rPr>
        <w:footnoteReference w:id="59"/>
      </w:r>
    </w:p>
    <w:p w14:paraId="389C3E52" w14:textId="77777777" w:rsidR="00405820" w:rsidRDefault="00405820">
      <w:pPr>
        <w:spacing w:after="0" w:line="240" w:lineRule="auto"/>
        <w:jc w:val="both"/>
        <w:rPr>
          <w:rFonts w:ascii="Times New Roman" w:eastAsia="Times New Roman" w:hAnsi="Times New Roman" w:cs="Times New Roman"/>
          <w:sz w:val="20"/>
          <w:szCs w:val="20"/>
        </w:rPr>
      </w:pPr>
    </w:p>
    <w:p w14:paraId="4A8FED96" w14:textId="59AA2243" w:rsidR="00405820" w:rsidRDefault="002F4028" w:rsidP="00873506">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El TSJ emitió las “Orientaciones sobre la garantía del derecho humano de los niños y adolescentes a opinar y a ser oídos en los procedimientos judiciales ante los tribunales de protección”, brindando criterios, pautas y buenas prácticas dirigidas a los jueces y juezas de protección, así como a todos los funcionarios judiciales que tengan un trato directo con los niños, niñas y adolescentes, entre ellos, los equipos multidisciplinarios de estos órganos jurisdiccionales. Estas orientaciones de carácter obligatorio, aprobadas en la Sala Plena del máximo tribunal, incluyen un desarrollo específico del Interés Superior de niños, niñas y adolescentes, particularmente en la obligatoriedad de oír y ponderar su opinión para poder determinar en los casos concretos cuál debe ser su interés superior al momento de emitir sentencia. </w:t>
      </w:r>
    </w:p>
    <w:p w14:paraId="6EF13D94" w14:textId="77777777" w:rsidR="00873506" w:rsidRPr="00873506" w:rsidRDefault="00873506" w:rsidP="00873506">
      <w:pPr>
        <w:spacing w:after="0" w:line="240" w:lineRule="auto"/>
        <w:jc w:val="both"/>
        <w:rPr>
          <w:rFonts w:ascii="Times New Roman" w:eastAsia="Times New Roman" w:hAnsi="Times New Roman" w:cs="Times New Roman"/>
          <w:sz w:val="20"/>
          <w:szCs w:val="20"/>
        </w:rPr>
      </w:pPr>
    </w:p>
    <w:p w14:paraId="0E9A7C78"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4. Derechos civiles</w:t>
      </w:r>
    </w:p>
    <w:p w14:paraId="57A5CD6D" w14:textId="77777777" w:rsidR="00405820" w:rsidRDefault="00405820">
      <w:pPr>
        <w:spacing w:after="0" w:line="240" w:lineRule="auto"/>
        <w:jc w:val="both"/>
        <w:rPr>
          <w:rFonts w:ascii="Times New Roman" w:eastAsia="Times New Roman" w:hAnsi="Times New Roman" w:cs="Times New Roman"/>
          <w:sz w:val="20"/>
          <w:szCs w:val="20"/>
        </w:rPr>
      </w:pPr>
    </w:p>
    <w:p w14:paraId="0EC6B388"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 xml:space="preserve">a) Inscripción de nacimientos, el nombre y la nacionalidad </w:t>
      </w:r>
    </w:p>
    <w:p w14:paraId="77E20F37" w14:textId="77777777" w:rsidR="00405820" w:rsidRDefault="00405820">
      <w:pPr>
        <w:pStyle w:val="ListParagraph"/>
        <w:rPr>
          <w:rFonts w:eastAsia="Arial" w:cs="Times New Roman"/>
          <w:sz w:val="20"/>
          <w:szCs w:val="20"/>
        </w:rPr>
      </w:pPr>
    </w:p>
    <w:p w14:paraId="366EB4A1" w14:textId="77777777" w:rsidR="00405820" w:rsidRDefault="002F4028">
      <w:pPr>
        <w:numPr>
          <w:ilvl w:val="0"/>
          <w:numId w:val="1"/>
        </w:numPr>
        <w:spacing w:after="0" w:line="240" w:lineRule="auto"/>
        <w:ind w:left="0" w:firstLine="0"/>
        <w:jc w:val="both"/>
      </w:pPr>
      <w:r>
        <w:rPr>
          <w:rFonts w:ascii="Times New Roman" w:eastAsia="Arial" w:hAnsi="Times New Roman" w:cs="Times New Roman"/>
          <w:sz w:val="20"/>
          <w:szCs w:val="20"/>
        </w:rPr>
        <w:t xml:space="preserve">En cuanto a la Recomendación </w:t>
      </w:r>
      <w:proofErr w:type="spellStart"/>
      <w:r>
        <w:rPr>
          <w:rFonts w:ascii="Times New Roman" w:eastAsia="Arial" w:hAnsi="Times New Roman" w:cs="Times New Roman"/>
          <w:sz w:val="20"/>
          <w:szCs w:val="20"/>
        </w:rPr>
        <w:t>N°</w:t>
      </w:r>
      <w:proofErr w:type="spellEnd"/>
      <w:r>
        <w:rPr>
          <w:rFonts w:ascii="Times New Roman" w:eastAsia="Arial" w:hAnsi="Times New Roman" w:cs="Times New Roman"/>
          <w:sz w:val="20"/>
          <w:szCs w:val="20"/>
        </w:rPr>
        <w:t xml:space="preserve"> 37 del Comité, debemos informar que se mantiene un registro unificado de los nacimientos en el país y entre 2012 y 2020 se han registrado 5.348.131 nacimientos dando una cobertura universal a este derecho, de acuerdo a la descripción que se realiza en la siguiente tabla:</w:t>
      </w:r>
    </w:p>
    <w:p w14:paraId="501463DF" w14:textId="77777777" w:rsidR="00405820" w:rsidRDefault="002F4028">
      <w:pPr>
        <w:pStyle w:val="Ttulo11"/>
        <w:jc w:val="center"/>
        <w:rPr>
          <w:rFonts w:ascii="Times New Roman" w:hAnsi="Times New Roman"/>
        </w:rPr>
      </w:pPr>
      <w:r>
        <w:rPr>
          <w:rFonts w:ascii="Times New Roman" w:hAnsi="Times New Roman"/>
          <w:sz w:val="20"/>
          <w:szCs w:val="20"/>
          <w:lang w:val="es-ES_tradnl"/>
        </w:rPr>
        <w:t>Tabla III</w:t>
      </w:r>
    </w:p>
    <w:p w14:paraId="3948449E" w14:textId="77777777" w:rsidR="00405820" w:rsidRDefault="002F4028">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Total de registros en los libros de nacimientos</w:t>
      </w:r>
    </w:p>
    <w:p w14:paraId="247D3CBD" w14:textId="77777777" w:rsidR="00405820" w:rsidRDefault="002F4028">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Año 2012-2020</w:t>
      </w:r>
    </w:p>
    <w:p w14:paraId="738FE23E" w14:textId="77777777" w:rsidR="00405820" w:rsidRDefault="00405820">
      <w:pPr>
        <w:pStyle w:val="SingleTxtG"/>
        <w:jc w:val="center"/>
        <w:rPr>
          <w:b/>
          <w:lang w:val="es-ES_tradnl"/>
        </w:rPr>
      </w:pPr>
    </w:p>
    <w:tbl>
      <w:tblPr>
        <w:tblStyle w:val="TableGrid"/>
        <w:tblW w:w="2936" w:type="dxa"/>
        <w:jc w:val="center"/>
        <w:tblCellMar>
          <w:left w:w="0" w:type="dxa"/>
          <w:right w:w="0" w:type="dxa"/>
        </w:tblCellMar>
        <w:tblLook w:val="04A0" w:firstRow="1" w:lastRow="0" w:firstColumn="1" w:lastColumn="0" w:noHBand="0" w:noVBand="1"/>
      </w:tblPr>
      <w:tblGrid>
        <w:gridCol w:w="950"/>
        <w:gridCol w:w="1986"/>
      </w:tblGrid>
      <w:tr w:rsidR="00405820" w14:paraId="101AE9D4" w14:textId="77777777">
        <w:trPr>
          <w:trHeight w:val="240"/>
          <w:tblHeader/>
          <w:jc w:val="center"/>
        </w:trPr>
        <w:tc>
          <w:tcPr>
            <w:tcW w:w="950" w:type="dxa"/>
            <w:tcBorders>
              <w:left w:val="nil"/>
              <w:bottom w:val="single" w:sz="12" w:space="0" w:color="000000"/>
              <w:right w:val="nil"/>
            </w:tcBorders>
            <w:vAlign w:val="bottom"/>
          </w:tcPr>
          <w:p w14:paraId="71E75E94" w14:textId="77777777" w:rsidR="00405820" w:rsidRDefault="002F4028">
            <w:pPr>
              <w:spacing w:before="80" w:after="80" w:line="200" w:lineRule="exact"/>
              <w:rPr>
                <w:i/>
                <w:sz w:val="20"/>
                <w:lang w:val="es-ES_tradnl"/>
              </w:rPr>
            </w:pPr>
            <w:r>
              <w:rPr>
                <w:b/>
                <w:bCs/>
                <w:i/>
                <w:sz w:val="20"/>
                <w:lang w:val="es-ES_tradnl"/>
              </w:rPr>
              <w:t>Año</w:t>
            </w:r>
          </w:p>
        </w:tc>
        <w:tc>
          <w:tcPr>
            <w:tcW w:w="1985" w:type="dxa"/>
            <w:tcBorders>
              <w:left w:val="nil"/>
              <w:bottom w:val="single" w:sz="12" w:space="0" w:color="000000"/>
              <w:right w:val="nil"/>
            </w:tcBorders>
            <w:vAlign w:val="bottom"/>
          </w:tcPr>
          <w:p w14:paraId="54244FEC" w14:textId="77777777" w:rsidR="00405820" w:rsidRDefault="002F4028">
            <w:pPr>
              <w:spacing w:before="80" w:after="80" w:line="200" w:lineRule="exact"/>
              <w:ind w:left="-57"/>
              <w:jc w:val="right"/>
              <w:rPr>
                <w:i/>
                <w:sz w:val="20"/>
                <w:lang w:val="es-ES_tradnl"/>
              </w:rPr>
            </w:pPr>
            <w:r>
              <w:rPr>
                <w:b/>
                <w:bCs/>
                <w:i/>
                <w:sz w:val="20"/>
                <w:lang w:val="es-ES_tradnl"/>
              </w:rPr>
              <w:t xml:space="preserve">         </w:t>
            </w:r>
            <w:proofErr w:type="spellStart"/>
            <w:r>
              <w:rPr>
                <w:b/>
                <w:bCs/>
                <w:i/>
                <w:sz w:val="20"/>
                <w:lang w:val="es-ES_tradnl"/>
              </w:rPr>
              <w:t>N°</w:t>
            </w:r>
            <w:proofErr w:type="spellEnd"/>
            <w:r>
              <w:rPr>
                <w:b/>
                <w:bCs/>
                <w:i/>
                <w:sz w:val="20"/>
                <w:lang w:val="es-ES_tradnl"/>
              </w:rPr>
              <w:t xml:space="preserve"> de inscritos</w:t>
            </w:r>
          </w:p>
        </w:tc>
      </w:tr>
      <w:tr w:rsidR="00405820" w14:paraId="48248685" w14:textId="77777777">
        <w:trPr>
          <w:trHeight w:val="240"/>
          <w:jc w:val="center"/>
        </w:trPr>
        <w:tc>
          <w:tcPr>
            <w:tcW w:w="950" w:type="dxa"/>
            <w:tcBorders>
              <w:top w:val="single" w:sz="12" w:space="0" w:color="000000"/>
              <w:left w:val="nil"/>
              <w:bottom w:val="nil"/>
              <w:right w:val="nil"/>
            </w:tcBorders>
            <w:vAlign w:val="center"/>
          </w:tcPr>
          <w:p w14:paraId="73891C5D" w14:textId="77777777" w:rsidR="00405820" w:rsidRDefault="002F4028">
            <w:pPr>
              <w:spacing w:line="36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2012</w:t>
            </w:r>
          </w:p>
        </w:tc>
        <w:tc>
          <w:tcPr>
            <w:tcW w:w="1985" w:type="dxa"/>
            <w:tcBorders>
              <w:top w:val="single" w:sz="12" w:space="0" w:color="000000"/>
              <w:left w:val="nil"/>
              <w:bottom w:val="nil"/>
              <w:right w:val="nil"/>
            </w:tcBorders>
            <w:vAlign w:val="center"/>
          </w:tcPr>
          <w:p w14:paraId="6E121E62"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519.233</w:t>
            </w:r>
          </w:p>
        </w:tc>
      </w:tr>
      <w:tr w:rsidR="00405820" w14:paraId="422D9926" w14:textId="77777777">
        <w:trPr>
          <w:trHeight w:val="240"/>
          <w:jc w:val="center"/>
        </w:trPr>
        <w:tc>
          <w:tcPr>
            <w:tcW w:w="950" w:type="dxa"/>
            <w:tcBorders>
              <w:top w:val="nil"/>
              <w:left w:val="nil"/>
              <w:bottom w:val="nil"/>
              <w:right w:val="nil"/>
            </w:tcBorders>
            <w:vAlign w:val="center"/>
          </w:tcPr>
          <w:p w14:paraId="3C496BF7" w14:textId="77777777" w:rsidR="00405820" w:rsidRDefault="002F4028">
            <w:pPr>
              <w:spacing w:line="36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2013</w:t>
            </w:r>
          </w:p>
        </w:tc>
        <w:tc>
          <w:tcPr>
            <w:tcW w:w="1985" w:type="dxa"/>
            <w:tcBorders>
              <w:top w:val="nil"/>
              <w:left w:val="nil"/>
              <w:bottom w:val="nil"/>
              <w:right w:val="nil"/>
            </w:tcBorders>
            <w:vAlign w:val="center"/>
          </w:tcPr>
          <w:p w14:paraId="67BFBFCA"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529.279</w:t>
            </w:r>
          </w:p>
        </w:tc>
      </w:tr>
      <w:tr w:rsidR="00405820" w14:paraId="21002CC3" w14:textId="77777777">
        <w:trPr>
          <w:trHeight w:val="240"/>
          <w:jc w:val="center"/>
        </w:trPr>
        <w:tc>
          <w:tcPr>
            <w:tcW w:w="950" w:type="dxa"/>
            <w:tcBorders>
              <w:top w:val="nil"/>
              <w:left w:val="nil"/>
              <w:bottom w:val="nil"/>
              <w:right w:val="nil"/>
            </w:tcBorders>
            <w:vAlign w:val="center"/>
          </w:tcPr>
          <w:p w14:paraId="6A592ECE" w14:textId="77777777" w:rsidR="00405820" w:rsidRDefault="002F4028">
            <w:pPr>
              <w:spacing w:line="36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2014</w:t>
            </w:r>
          </w:p>
        </w:tc>
        <w:tc>
          <w:tcPr>
            <w:tcW w:w="1985" w:type="dxa"/>
            <w:tcBorders>
              <w:top w:val="nil"/>
              <w:left w:val="nil"/>
              <w:bottom w:val="nil"/>
              <w:right w:val="nil"/>
            </w:tcBorders>
            <w:vAlign w:val="center"/>
          </w:tcPr>
          <w:p w14:paraId="7A65732B"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607.296</w:t>
            </w:r>
          </w:p>
        </w:tc>
      </w:tr>
      <w:tr w:rsidR="00405820" w14:paraId="2B0A92DC" w14:textId="77777777">
        <w:trPr>
          <w:trHeight w:val="240"/>
          <w:jc w:val="center"/>
        </w:trPr>
        <w:tc>
          <w:tcPr>
            <w:tcW w:w="950" w:type="dxa"/>
            <w:tcBorders>
              <w:top w:val="nil"/>
              <w:left w:val="nil"/>
              <w:bottom w:val="nil"/>
              <w:right w:val="nil"/>
            </w:tcBorders>
            <w:vAlign w:val="center"/>
          </w:tcPr>
          <w:p w14:paraId="1EC1FD4C" w14:textId="77777777" w:rsidR="00405820" w:rsidRDefault="002F4028">
            <w:pPr>
              <w:spacing w:line="36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2015</w:t>
            </w:r>
          </w:p>
        </w:tc>
        <w:tc>
          <w:tcPr>
            <w:tcW w:w="1985" w:type="dxa"/>
            <w:tcBorders>
              <w:top w:val="nil"/>
              <w:left w:val="nil"/>
              <w:bottom w:val="nil"/>
              <w:right w:val="nil"/>
            </w:tcBorders>
            <w:vAlign w:val="center"/>
          </w:tcPr>
          <w:p w14:paraId="131F18E4"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616.206</w:t>
            </w:r>
          </w:p>
        </w:tc>
      </w:tr>
      <w:tr w:rsidR="00405820" w14:paraId="6562B1CB" w14:textId="77777777">
        <w:trPr>
          <w:trHeight w:val="240"/>
          <w:jc w:val="center"/>
        </w:trPr>
        <w:tc>
          <w:tcPr>
            <w:tcW w:w="950" w:type="dxa"/>
            <w:tcBorders>
              <w:top w:val="nil"/>
              <w:left w:val="nil"/>
              <w:bottom w:val="nil"/>
              <w:right w:val="nil"/>
            </w:tcBorders>
            <w:vAlign w:val="center"/>
          </w:tcPr>
          <w:p w14:paraId="4FB0C5F5" w14:textId="77777777" w:rsidR="00405820" w:rsidRDefault="002F4028">
            <w:pPr>
              <w:spacing w:line="36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2016</w:t>
            </w:r>
          </w:p>
        </w:tc>
        <w:tc>
          <w:tcPr>
            <w:tcW w:w="1985" w:type="dxa"/>
            <w:tcBorders>
              <w:top w:val="nil"/>
              <w:left w:val="nil"/>
              <w:bottom w:val="nil"/>
              <w:right w:val="nil"/>
            </w:tcBorders>
            <w:vAlign w:val="center"/>
          </w:tcPr>
          <w:p w14:paraId="4BA71F25"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617.058</w:t>
            </w:r>
          </w:p>
        </w:tc>
      </w:tr>
      <w:tr w:rsidR="00405820" w14:paraId="1AC68EC3" w14:textId="77777777">
        <w:trPr>
          <w:trHeight w:val="240"/>
          <w:jc w:val="center"/>
        </w:trPr>
        <w:tc>
          <w:tcPr>
            <w:tcW w:w="950" w:type="dxa"/>
            <w:tcBorders>
              <w:top w:val="nil"/>
              <w:left w:val="nil"/>
              <w:bottom w:val="nil"/>
              <w:right w:val="nil"/>
            </w:tcBorders>
            <w:vAlign w:val="center"/>
          </w:tcPr>
          <w:p w14:paraId="164BB368" w14:textId="77777777" w:rsidR="00405820" w:rsidRDefault="002F4028">
            <w:pPr>
              <w:spacing w:line="36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2017</w:t>
            </w:r>
          </w:p>
        </w:tc>
        <w:tc>
          <w:tcPr>
            <w:tcW w:w="1985" w:type="dxa"/>
            <w:tcBorders>
              <w:top w:val="nil"/>
              <w:left w:val="nil"/>
              <w:bottom w:val="nil"/>
              <w:right w:val="nil"/>
            </w:tcBorders>
            <w:vAlign w:val="center"/>
          </w:tcPr>
          <w:p w14:paraId="712E5D84"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617.961</w:t>
            </w:r>
          </w:p>
        </w:tc>
      </w:tr>
      <w:tr w:rsidR="00405820" w14:paraId="0629B4CA" w14:textId="77777777">
        <w:trPr>
          <w:trHeight w:val="240"/>
          <w:jc w:val="center"/>
        </w:trPr>
        <w:tc>
          <w:tcPr>
            <w:tcW w:w="950" w:type="dxa"/>
            <w:tcBorders>
              <w:top w:val="nil"/>
              <w:left w:val="nil"/>
              <w:bottom w:val="nil"/>
              <w:right w:val="nil"/>
            </w:tcBorders>
            <w:vAlign w:val="center"/>
          </w:tcPr>
          <w:p w14:paraId="4E5F816A" w14:textId="77777777" w:rsidR="00405820" w:rsidRDefault="002F4028">
            <w:pPr>
              <w:spacing w:line="36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2018</w:t>
            </w:r>
          </w:p>
        </w:tc>
        <w:tc>
          <w:tcPr>
            <w:tcW w:w="1985" w:type="dxa"/>
            <w:tcBorders>
              <w:top w:val="nil"/>
              <w:left w:val="nil"/>
              <w:bottom w:val="nil"/>
              <w:right w:val="nil"/>
            </w:tcBorders>
            <w:vAlign w:val="center"/>
          </w:tcPr>
          <w:p w14:paraId="40F4B0A6"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637.483</w:t>
            </w:r>
          </w:p>
        </w:tc>
      </w:tr>
      <w:tr w:rsidR="00405820" w14:paraId="4EBDF31D" w14:textId="77777777">
        <w:trPr>
          <w:trHeight w:val="240"/>
          <w:jc w:val="center"/>
        </w:trPr>
        <w:tc>
          <w:tcPr>
            <w:tcW w:w="950" w:type="dxa"/>
            <w:tcBorders>
              <w:top w:val="nil"/>
              <w:left w:val="nil"/>
              <w:bottom w:val="nil"/>
              <w:right w:val="nil"/>
            </w:tcBorders>
            <w:vAlign w:val="center"/>
          </w:tcPr>
          <w:p w14:paraId="09094CC1" w14:textId="77777777" w:rsidR="00405820" w:rsidRDefault="002F4028">
            <w:pPr>
              <w:spacing w:line="36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2019</w:t>
            </w:r>
          </w:p>
        </w:tc>
        <w:tc>
          <w:tcPr>
            <w:tcW w:w="1985" w:type="dxa"/>
            <w:tcBorders>
              <w:top w:val="nil"/>
              <w:left w:val="nil"/>
              <w:bottom w:val="nil"/>
              <w:right w:val="nil"/>
            </w:tcBorders>
            <w:vAlign w:val="center"/>
          </w:tcPr>
          <w:p w14:paraId="44D23166"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651.856</w:t>
            </w:r>
          </w:p>
        </w:tc>
      </w:tr>
      <w:tr w:rsidR="00405820" w14:paraId="46DE4BCB" w14:textId="77777777">
        <w:trPr>
          <w:trHeight w:val="240"/>
          <w:jc w:val="center"/>
        </w:trPr>
        <w:tc>
          <w:tcPr>
            <w:tcW w:w="950" w:type="dxa"/>
            <w:tcBorders>
              <w:top w:val="nil"/>
              <w:left w:val="nil"/>
              <w:bottom w:val="nil"/>
              <w:right w:val="nil"/>
            </w:tcBorders>
            <w:vAlign w:val="center"/>
          </w:tcPr>
          <w:p w14:paraId="6824904D" w14:textId="77777777" w:rsidR="00405820" w:rsidRDefault="002F4028">
            <w:pPr>
              <w:spacing w:line="36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2020</w:t>
            </w:r>
          </w:p>
        </w:tc>
        <w:tc>
          <w:tcPr>
            <w:tcW w:w="1985" w:type="dxa"/>
            <w:tcBorders>
              <w:top w:val="nil"/>
              <w:left w:val="nil"/>
              <w:bottom w:val="nil"/>
              <w:right w:val="nil"/>
            </w:tcBorders>
            <w:vAlign w:val="center"/>
          </w:tcPr>
          <w:p w14:paraId="5DC0C1F9"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551.759</w:t>
            </w:r>
          </w:p>
        </w:tc>
      </w:tr>
      <w:tr w:rsidR="00405820" w14:paraId="79BECC3F" w14:textId="77777777">
        <w:trPr>
          <w:trHeight w:val="240"/>
          <w:jc w:val="center"/>
        </w:trPr>
        <w:tc>
          <w:tcPr>
            <w:tcW w:w="950" w:type="dxa"/>
            <w:tcBorders>
              <w:left w:val="nil"/>
              <w:bottom w:val="single" w:sz="12" w:space="0" w:color="000000"/>
              <w:right w:val="nil"/>
            </w:tcBorders>
          </w:tcPr>
          <w:p w14:paraId="590E7885" w14:textId="77777777" w:rsidR="00405820" w:rsidRDefault="002F4028">
            <w:pPr>
              <w:spacing w:before="80" w:after="80" w:line="220" w:lineRule="exact"/>
              <w:rPr>
                <w:b/>
                <w:sz w:val="20"/>
                <w:lang w:val="es-ES_tradnl"/>
              </w:rPr>
            </w:pPr>
            <w:r>
              <w:rPr>
                <w:b/>
                <w:sz w:val="20"/>
                <w:lang w:val="es-ES_tradnl"/>
              </w:rPr>
              <w:t>Total</w:t>
            </w:r>
          </w:p>
        </w:tc>
        <w:tc>
          <w:tcPr>
            <w:tcW w:w="1985" w:type="dxa"/>
            <w:tcBorders>
              <w:left w:val="nil"/>
              <w:bottom w:val="single" w:sz="12" w:space="0" w:color="000000"/>
              <w:right w:val="nil"/>
            </w:tcBorders>
            <w:vAlign w:val="bottom"/>
          </w:tcPr>
          <w:p w14:paraId="1B3274FD" w14:textId="77777777" w:rsidR="00405820" w:rsidRDefault="002F4028">
            <w:pPr>
              <w:spacing w:before="80" w:after="80" w:line="220" w:lineRule="exact"/>
              <w:jc w:val="right"/>
              <w:rPr>
                <w:b/>
                <w:sz w:val="20"/>
                <w:lang w:val="es-ES_tradnl"/>
              </w:rPr>
            </w:pPr>
            <w:r>
              <w:rPr>
                <w:rFonts w:ascii="Times New Roman" w:eastAsia="Times New Roman" w:hAnsi="Times New Roman" w:cs="Times New Roman"/>
                <w:b/>
                <w:bCs/>
                <w:sz w:val="20"/>
                <w:lang w:eastAsia="es-VE"/>
              </w:rPr>
              <w:t>5.348.131</w:t>
            </w:r>
          </w:p>
        </w:tc>
      </w:tr>
    </w:tbl>
    <w:p w14:paraId="27AE91E3" w14:textId="77777777" w:rsidR="00405820" w:rsidRDefault="00405820">
      <w:pPr>
        <w:spacing w:after="0" w:line="240" w:lineRule="auto"/>
        <w:jc w:val="both"/>
        <w:rPr>
          <w:rFonts w:ascii="Times New Roman" w:eastAsia="Arial" w:hAnsi="Times New Roman" w:cs="Times New Roman"/>
          <w:sz w:val="20"/>
          <w:szCs w:val="20"/>
        </w:rPr>
      </w:pPr>
    </w:p>
    <w:p w14:paraId="6F1F74D3" w14:textId="77777777" w:rsidR="00405820" w:rsidRDefault="00405820">
      <w:pPr>
        <w:spacing w:after="0" w:line="240" w:lineRule="auto"/>
        <w:jc w:val="both"/>
        <w:rPr>
          <w:rFonts w:ascii="Times New Roman" w:eastAsia="Times New Roman" w:hAnsi="Times New Roman" w:cs="Times New Roman"/>
          <w:sz w:val="20"/>
          <w:szCs w:val="20"/>
        </w:rPr>
      </w:pPr>
    </w:p>
    <w:p w14:paraId="24D1A7CF"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eastAsia="Arial" w:hAnsi="Times New Roman" w:cs="Times New Roman"/>
          <w:sz w:val="20"/>
          <w:szCs w:val="20"/>
        </w:rPr>
        <w:t xml:space="preserve">En respuesta a la Recomendación </w:t>
      </w:r>
      <w:proofErr w:type="spellStart"/>
      <w:r>
        <w:rPr>
          <w:rFonts w:ascii="Times New Roman" w:eastAsia="Arial" w:hAnsi="Times New Roman" w:cs="Times New Roman"/>
          <w:sz w:val="20"/>
          <w:szCs w:val="20"/>
        </w:rPr>
        <w:t>N°</w:t>
      </w:r>
      <w:proofErr w:type="spellEnd"/>
      <w:r>
        <w:rPr>
          <w:rFonts w:ascii="Times New Roman" w:eastAsia="Arial" w:hAnsi="Times New Roman" w:cs="Times New Roman"/>
          <w:sz w:val="20"/>
          <w:szCs w:val="20"/>
        </w:rPr>
        <w:t xml:space="preserve"> 36 del Comité, es preciso informar que la Cédula de Identidad es el documento oficial de identificación de personas que viven en Venezuela, y el Servicio Administrativo de identificación, Migración y Extranjería (SAIME) es el encargado de su emisión.</w:t>
      </w:r>
    </w:p>
    <w:p w14:paraId="1A1F6C12" w14:textId="77777777" w:rsidR="00405820" w:rsidRDefault="00405820">
      <w:pPr>
        <w:spacing w:after="0" w:line="240" w:lineRule="auto"/>
        <w:jc w:val="both"/>
        <w:rPr>
          <w:rFonts w:ascii="Times New Roman" w:eastAsia="Times New Roman" w:hAnsi="Times New Roman" w:cs="Times New Roman"/>
          <w:sz w:val="20"/>
          <w:szCs w:val="20"/>
        </w:rPr>
      </w:pPr>
    </w:p>
    <w:p w14:paraId="4281A709"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eastAsia="Arial" w:hAnsi="Times New Roman" w:cs="Times New Roman"/>
          <w:sz w:val="20"/>
          <w:szCs w:val="20"/>
        </w:rPr>
        <w:t>Además de los servicios públicos tradicionales brindados para emitir este documento de identidad en las oficinas del SAIME, en 2003 se crea la Misión Identidad mediante la cual se realizan acciones en todo el territorio nacional para la emisión de Cédulas de Identidad a toda la población venezolana y la extranjera. En el marco de esta Misión, se realizan acciones permanentes en las cuales se trasladan estos servicios de identificación a las comunidades donde habitan los niños, niñas y adolescentes para facilitar su acceso y simplificar los trámites administrativos. Asimismo, se trasladan estos servicios a las escuelas públicas del Subsistema de Educación Básica, para simplificar aún más la tramitación de este documento de identificación y garantiza el acceso universal al mismo, bajo un programa llamado “SAIME va a la Escuela”. Es importante destacar que estas acciones benefician tanto a la población venezolana como extranjera, en condiciones de igualdad y sin discriminación alguna, en todo el territorio nacional.</w:t>
      </w:r>
    </w:p>
    <w:p w14:paraId="02F1DC77" w14:textId="77777777" w:rsidR="00405820" w:rsidRDefault="00405820">
      <w:pPr>
        <w:pStyle w:val="ListParagraph"/>
        <w:rPr>
          <w:rFonts w:eastAsia="Arial" w:cs="Times New Roman"/>
          <w:sz w:val="20"/>
          <w:szCs w:val="20"/>
        </w:rPr>
      </w:pPr>
    </w:p>
    <w:p w14:paraId="13A36CB1" w14:textId="133997AF" w:rsidR="00405820" w:rsidRDefault="002F4028">
      <w:pPr>
        <w:numPr>
          <w:ilvl w:val="0"/>
          <w:numId w:val="1"/>
        </w:numPr>
        <w:spacing w:after="0" w:line="240" w:lineRule="auto"/>
        <w:ind w:left="0" w:firstLine="0"/>
        <w:jc w:val="both"/>
      </w:pPr>
      <w:r>
        <w:rPr>
          <w:rFonts w:ascii="Times New Roman" w:eastAsia="Arial" w:hAnsi="Times New Roman" w:cs="Times New Roman"/>
          <w:sz w:val="20"/>
          <w:szCs w:val="20"/>
        </w:rPr>
        <w:t>En el marco de la Misión Identidad se informa que e</w:t>
      </w:r>
      <w:r>
        <w:rPr>
          <w:rFonts w:ascii="Times New Roman" w:hAnsi="Times New Roman" w:cs="Times New Roman"/>
          <w:sz w:val="20"/>
          <w:szCs w:val="20"/>
        </w:rPr>
        <w:t xml:space="preserve">ntre 2012 y 2020 se emitieron Cédulas de Identidad por primera vez a 2.793.841 niños y niñas; entre los cuales doce mil, ciento sesenta y siete (12.167) NNA son de pueblos indígenas. Los operativos realizados en lo que se denomina la Ruta Escolar “SAIME va a la Escuela” se han cedulado  doscientos cuarenta y siete mil, ciento ochenta y siete (247.187) NNA, </w:t>
      </w:r>
      <w:r>
        <w:rPr>
          <w:rFonts w:ascii="Times New Roman" w:eastAsia="Arial" w:hAnsi="Times New Roman" w:cs="Times New Roman"/>
          <w:sz w:val="20"/>
          <w:szCs w:val="20"/>
        </w:rPr>
        <w:t>dando una cubertura plena y amplia a este derecho</w:t>
      </w:r>
      <w:r>
        <w:rPr>
          <w:rFonts w:ascii="Times New Roman" w:hAnsi="Times New Roman" w:cs="Times New Roman"/>
          <w:sz w:val="20"/>
          <w:szCs w:val="20"/>
        </w:rPr>
        <w:t>.</w:t>
      </w:r>
    </w:p>
    <w:p w14:paraId="7F8D8343" w14:textId="77777777" w:rsidR="00405820" w:rsidRDefault="00405820">
      <w:pPr>
        <w:pStyle w:val="ListParagraph"/>
        <w:rPr>
          <w:rFonts w:cs="Times New Roman"/>
          <w:b/>
          <w:bCs/>
          <w:sz w:val="20"/>
          <w:szCs w:val="20"/>
        </w:rPr>
      </w:pPr>
    </w:p>
    <w:p w14:paraId="72F1A4B0"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 xml:space="preserve">b) Acceso a información adecuada </w:t>
      </w:r>
    </w:p>
    <w:p w14:paraId="3B47DDD0" w14:textId="77777777" w:rsidR="00405820" w:rsidRDefault="00405820">
      <w:pPr>
        <w:pStyle w:val="ListParagraph"/>
        <w:rPr>
          <w:rFonts w:cs="Times New Roman"/>
          <w:sz w:val="20"/>
          <w:szCs w:val="20"/>
        </w:rPr>
      </w:pPr>
    </w:p>
    <w:p w14:paraId="4F15415D"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La República Bolivariana de Venezuela vigila de modo permanente la calidad de los programas de televisión y radio, de modo que sean compatibles con los derechos de los niños, niñas y adolescentes. Para asegurar que esta vigilancia sea efectiva se ha adoptado una serie de medidas enmarcadas en la Ley de Responsabilidad Social en Radio, Televisión y otros Medios Electrónicos.</w:t>
      </w:r>
    </w:p>
    <w:p w14:paraId="7D796D97" w14:textId="77777777" w:rsidR="00405820" w:rsidRDefault="00405820">
      <w:pPr>
        <w:spacing w:after="0" w:line="240" w:lineRule="auto"/>
        <w:jc w:val="both"/>
        <w:rPr>
          <w:rFonts w:ascii="Times New Roman" w:eastAsia="Times New Roman" w:hAnsi="Times New Roman" w:cs="Times New Roman"/>
          <w:sz w:val="20"/>
          <w:szCs w:val="20"/>
        </w:rPr>
      </w:pPr>
    </w:p>
    <w:p w14:paraId="366E2DC5"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La Comisión Nacional de Telecomunicaciones (CONATEL), desde su creación ha puesto a disposición de los usuarios y usuarias herramientas formativas, como también talleres de formación en Tecnologías de la Información y Comunicación (TIC), en particular dirigidos a niños, niñas y adolescentes. Asimismo, organizó en temporadas de receso escolar diferentes actividades formativas para impulsar el aprendizaje de niños, niñas y adolescentes en Producción y Locución Radiofónica y actividades formativa dirigida a jóvenes cuyos intereses estén ligados al mundo de la informática. </w:t>
      </w:r>
    </w:p>
    <w:p w14:paraId="3BDEB868" w14:textId="77777777" w:rsidR="00405820" w:rsidRDefault="00405820">
      <w:pPr>
        <w:pStyle w:val="ListParagraph"/>
        <w:rPr>
          <w:rFonts w:cs="Times New Roman"/>
          <w:sz w:val="20"/>
          <w:szCs w:val="20"/>
        </w:rPr>
      </w:pPr>
    </w:p>
    <w:p w14:paraId="6A553F73"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cuanto a la programación existente compatible con los niños, niñas y adolescentes, el Sistema Nacional de Medios Públicos, cuenta con una gama de programas dirigidos a los niños, niñas y adolescentes, donde se fomenta el respeto por la diversidad cultural, en especial la cultura afrodescendiente e indígena. Se trata de una programación especializada, de tipo cultural, educativa, deportiva y lúdica, que promueve los derechos humanos, la convivencia solidaria y la paz. </w:t>
      </w:r>
    </w:p>
    <w:p w14:paraId="63701E87" w14:textId="77777777" w:rsidR="00405820" w:rsidRDefault="00405820">
      <w:pPr>
        <w:pStyle w:val="ListParagraph"/>
        <w:rPr>
          <w:rFonts w:cs="Times New Roman"/>
          <w:sz w:val="20"/>
          <w:szCs w:val="20"/>
        </w:rPr>
      </w:pPr>
    </w:p>
    <w:p w14:paraId="5F5015A1"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El Observatorio de Medios Carmen Clemente Travieso, adscrito a </w:t>
      </w:r>
      <w:proofErr w:type="spellStart"/>
      <w:r>
        <w:rPr>
          <w:rFonts w:ascii="Times New Roman" w:hAnsi="Times New Roman" w:cs="Times New Roman"/>
          <w:sz w:val="20"/>
          <w:szCs w:val="20"/>
        </w:rPr>
        <w:t>MinMujer</w:t>
      </w:r>
      <w:proofErr w:type="spellEnd"/>
      <w:r>
        <w:rPr>
          <w:rFonts w:ascii="Times New Roman" w:hAnsi="Times New Roman" w:cs="Times New Roman"/>
          <w:sz w:val="20"/>
          <w:szCs w:val="20"/>
        </w:rPr>
        <w:t xml:space="preserve">, publicó en junio de 2014, el “Manual para la Elaboración de Contenidos Libres de Sexismo”, cuyo principal objetivo es la orientación para un ejercicio más inclusivo de la comunicación y la sensibilización a periodistas para prevenir prácticas discriminatorias. </w:t>
      </w:r>
    </w:p>
    <w:p w14:paraId="1E5AB39B" w14:textId="77777777" w:rsidR="00405820" w:rsidRDefault="00405820">
      <w:pPr>
        <w:pStyle w:val="ListParagraph"/>
        <w:rPr>
          <w:rFonts w:cs="Times New Roman"/>
          <w:sz w:val="20"/>
          <w:szCs w:val="20"/>
        </w:rPr>
      </w:pPr>
    </w:p>
    <w:p w14:paraId="18A90D4A"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Igualmente, en las medidas adoptadas para combatir los estereotipos sexistas, destacan las sentencias </w:t>
      </w:r>
      <w:proofErr w:type="spellStart"/>
      <w:r>
        <w:rPr>
          <w:rFonts w:ascii="Times New Roman" w:hAnsi="Times New Roman" w:cs="Times New Roman"/>
          <w:sz w:val="20"/>
          <w:szCs w:val="20"/>
        </w:rPr>
        <w:t>N°</w:t>
      </w:r>
      <w:proofErr w:type="spellEnd"/>
      <w:r>
        <w:rPr>
          <w:rFonts w:ascii="Times New Roman" w:hAnsi="Times New Roman" w:cs="Times New Roman"/>
          <w:sz w:val="20"/>
          <w:szCs w:val="20"/>
        </w:rPr>
        <w:t xml:space="preserve"> 359 de 2014 y </w:t>
      </w:r>
      <w:proofErr w:type="spellStart"/>
      <w:r>
        <w:rPr>
          <w:rFonts w:ascii="Times New Roman" w:hAnsi="Times New Roman" w:cs="Times New Roman"/>
          <w:sz w:val="20"/>
          <w:szCs w:val="20"/>
        </w:rPr>
        <w:t>Nº</w:t>
      </w:r>
      <w:proofErr w:type="spellEnd"/>
      <w:r>
        <w:rPr>
          <w:rFonts w:ascii="Times New Roman" w:hAnsi="Times New Roman" w:cs="Times New Roman"/>
          <w:sz w:val="20"/>
          <w:szCs w:val="20"/>
        </w:rPr>
        <w:t xml:space="preserve"> 884 de 2017 del TSJ, a través de las cuales se prohíbe publicar imágenes que contengan carga o contenido sexual explícito o implícito, que promuevan prostitución o consumo de pornografía, bien sea mediante imágenes, fotos o anuncios publicitarios y remitan a direcciones electrónicas que puedan ser consultadas libremente por niñas, niños y adolescentes. </w:t>
      </w:r>
    </w:p>
    <w:p w14:paraId="286F8A67" w14:textId="77777777" w:rsidR="00405820" w:rsidRDefault="00405820">
      <w:pPr>
        <w:spacing w:after="0" w:line="240" w:lineRule="auto"/>
        <w:ind w:left="720"/>
        <w:jc w:val="both"/>
        <w:rPr>
          <w:rFonts w:ascii="Times New Roman" w:hAnsi="Times New Roman" w:cs="Times New Roman"/>
          <w:sz w:val="20"/>
          <w:szCs w:val="20"/>
        </w:rPr>
      </w:pPr>
    </w:p>
    <w:p w14:paraId="5A1D65F0" w14:textId="77777777" w:rsidR="00405820" w:rsidRDefault="002F4028">
      <w:pPr>
        <w:numPr>
          <w:ilvl w:val="0"/>
          <w:numId w:val="1"/>
        </w:numPr>
        <w:spacing w:after="0" w:line="240" w:lineRule="auto"/>
        <w:ind w:left="0" w:firstLine="0"/>
        <w:jc w:val="both"/>
      </w:pPr>
      <w:r>
        <w:rPr>
          <w:rFonts w:ascii="Times New Roman" w:eastAsia="Times New Roman" w:hAnsi="Times New Roman" w:cs="Arial"/>
          <w:sz w:val="20"/>
          <w:szCs w:val="20"/>
          <w:lang w:val="es-MX"/>
        </w:rPr>
        <w:t>El IDENNA en el año 2017 puso en marcha el programa preventivo: Brigadas de Comunicación Popular de Niños, Niñas y Adolescentes (BRICOM), con este programa, niños, niñas y adolescentes se han formado y capacitado como comunicadores populares.</w:t>
      </w:r>
    </w:p>
    <w:p w14:paraId="34DC7DD5" w14:textId="77777777" w:rsidR="00405820" w:rsidRDefault="00405820">
      <w:pPr>
        <w:spacing w:after="0" w:line="240" w:lineRule="auto"/>
        <w:jc w:val="both"/>
        <w:rPr>
          <w:rFonts w:ascii="Times New Roman" w:eastAsia="Times New Roman" w:hAnsi="Times New Roman" w:cs="Arial"/>
          <w:sz w:val="20"/>
          <w:szCs w:val="20"/>
          <w:lang w:val="es-MX"/>
        </w:rPr>
      </w:pPr>
    </w:p>
    <w:p w14:paraId="09D41F76" w14:textId="46C877BA" w:rsidR="00405820" w:rsidRDefault="002F4028">
      <w:pPr>
        <w:numPr>
          <w:ilvl w:val="0"/>
          <w:numId w:val="1"/>
        </w:numPr>
        <w:spacing w:after="0" w:line="240" w:lineRule="auto"/>
        <w:ind w:left="0" w:firstLine="0"/>
        <w:jc w:val="both"/>
      </w:pPr>
      <w:r>
        <w:rPr>
          <w:rFonts w:ascii="Times New Roman" w:eastAsia="Times New Roman" w:hAnsi="Times New Roman" w:cs="Arial"/>
          <w:sz w:val="20"/>
          <w:szCs w:val="20"/>
          <w:lang w:val="es-MX"/>
        </w:rPr>
        <w:t>Para el período 2017-2023 se han realizado 657</w:t>
      </w:r>
      <w:r w:rsidR="00E93421">
        <w:rPr>
          <w:rFonts w:ascii="Times New Roman" w:eastAsia="Times New Roman" w:hAnsi="Times New Roman" w:cs="Arial"/>
          <w:sz w:val="20"/>
          <w:szCs w:val="20"/>
          <w:lang w:val="es-MX"/>
        </w:rPr>
        <w:t xml:space="preserve"> </w:t>
      </w:r>
      <w:r>
        <w:rPr>
          <w:rFonts w:ascii="Times New Roman" w:eastAsia="Times New Roman" w:hAnsi="Times New Roman" w:cs="Arial"/>
          <w:sz w:val="20"/>
          <w:szCs w:val="20"/>
          <w:lang w:val="es-MX"/>
        </w:rPr>
        <w:t>actividades para la promoción y fortalecimiento de las Brigadas de Comunicación Popular de Niños, Niñas y adolescentes (BRICOM)</w:t>
      </w:r>
      <w:r w:rsidR="00E93421">
        <w:rPr>
          <w:rFonts w:ascii="Times New Roman" w:eastAsia="Times New Roman" w:hAnsi="Times New Roman" w:cs="Arial"/>
          <w:sz w:val="20"/>
          <w:szCs w:val="20"/>
          <w:lang w:val="es-MX"/>
        </w:rPr>
        <w:t>.</w:t>
      </w:r>
      <w:r>
        <w:rPr>
          <w:rFonts w:ascii="Times New Roman" w:eastAsia="Times New Roman" w:hAnsi="Times New Roman" w:cs="Arial"/>
          <w:sz w:val="20"/>
          <w:szCs w:val="20"/>
          <w:lang w:val="es-MX"/>
        </w:rPr>
        <w:t xml:space="preserve"> Estas Brigadas en el año 2024 realizaron 189 actividades formativas con 3.409 niños, niñas y adolescentes en todo el país.</w:t>
      </w:r>
    </w:p>
    <w:p w14:paraId="29C7A57F" w14:textId="77777777" w:rsidR="00405820" w:rsidRDefault="00405820">
      <w:pPr>
        <w:spacing w:after="0" w:line="240" w:lineRule="auto"/>
        <w:ind w:left="720"/>
        <w:jc w:val="both"/>
        <w:rPr>
          <w:rFonts w:ascii="Times New Roman" w:hAnsi="Times New Roman" w:cs="Times New Roman"/>
          <w:sz w:val="20"/>
          <w:szCs w:val="20"/>
        </w:rPr>
      </w:pPr>
    </w:p>
    <w:p w14:paraId="6B24B261" w14:textId="33BE777F" w:rsidR="00405820" w:rsidRDefault="002F4028">
      <w:pPr>
        <w:numPr>
          <w:ilvl w:val="0"/>
          <w:numId w:val="1"/>
        </w:numPr>
        <w:spacing w:after="0" w:line="240" w:lineRule="auto"/>
        <w:ind w:left="0" w:firstLine="0"/>
        <w:jc w:val="both"/>
      </w:pPr>
      <w:r>
        <w:rPr>
          <w:rFonts w:ascii="Times New Roman" w:hAnsi="Times New Roman" w:cs="Arial"/>
          <w:sz w:val="20"/>
          <w:szCs w:val="20"/>
          <w:lang w:val="es-MX"/>
        </w:rPr>
        <w:t>Durante el periodo 2022 -2024 se han desarrollado desde el IDENNA campañas de sensibilización para la prevención de la violencia</w:t>
      </w:r>
      <w:r w:rsidR="008A4994">
        <w:rPr>
          <w:rFonts w:ascii="Times New Roman" w:hAnsi="Times New Roman" w:cs="Arial"/>
          <w:sz w:val="20"/>
          <w:szCs w:val="20"/>
          <w:lang w:val="es-MX"/>
        </w:rPr>
        <w:t xml:space="preserve"> contra NNA</w:t>
      </w:r>
      <w:r>
        <w:rPr>
          <w:rFonts w:ascii="Times New Roman" w:hAnsi="Times New Roman" w:cs="Arial"/>
          <w:sz w:val="20"/>
          <w:szCs w:val="20"/>
          <w:lang w:val="es-MX"/>
        </w:rPr>
        <w:t>, con estas campañas se llegó a más de cuatro millones y medio de personas, familias y niños, niñas y adolescentes en el territorio nacional.</w:t>
      </w:r>
    </w:p>
    <w:p w14:paraId="79DC2ABF" w14:textId="77777777" w:rsidR="00405820" w:rsidRDefault="00405820">
      <w:pPr>
        <w:spacing w:after="0" w:line="240" w:lineRule="auto"/>
        <w:jc w:val="both"/>
        <w:rPr>
          <w:rFonts w:ascii="Arial" w:hAnsi="Arial" w:cs="Arial"/>
          <w:sz w:val="24"/>
          <w:szCs w:val="24"/>
          <w:lang w:val="es-MX"/>
        </w:rPr>
      </w:pPr>
    </w:p>
    <w:p w14:paraId="0E60D6CD" w14:textId="2CFB03A7" w:rsidR="00405820" w:rsidRDefault="002F4028">
      <w:pPr>
        <w:numPr>
          <w:ilvl w:val="0"/>
          <w:numId w:val="1"/>
        </w:numPr>
        <w:spacing w:after="0" w:line="240" w:lineRule="auto"/>
        <w:ind w:left="0" w:firstLine="0"/>
        <w:jc w:val="both"/>
      </w:pPr>
      <w:r>
        <w:rPr>
          <w:rFonts w:ascii="Times New Roman" w:eastAsia="Times New Roman" w:hAnsi="Times New Roman" w:cs="Arial"/>
          <w:sz w:val="20"/>
          <w:szCs w:val="20"/>
          <w:lang w:val="es-MX"/>
        </w:rPr>
        <w:t xml:space="preserve">El IDENNA se pronunció ante la Sala Constitucional del TSJ contra la red social </w:t>
      </w:r>
      <w:proofErr w:type="spellStart"/>
      <w:r>
        <w:rPr>
          <w:rFonts w:ascii="Times New Roman" w:eastAsia="Times New Roman" w:hAnsi="Times New Roman" w:cs="Arial"/>
          <w:sz w:val="20"/>
          <w:szCs w:val="20"/>
          <w:lang w:val="es-MX"/>
        </w:rPr>
        <w:t>Tik</w:t>
      </w:r>
      <w:proofErr w:type="spellEnd"/>
      <w:r>
        <w:rPr>
          <w:rFonts w:ascii="Times New Roman" w:eastAsia="Times New Roman" w:hAnsi="Times New Roman" w:cs="Arial"/>
          <w:sz w:val="20"/>
          <w:szCs w:val="20"/>
          <w:lang w:val="es-MX"/>
        </w:rPr>
        <w:t xml:space="preserve"> </w:t>
      </w:r>
      <w:proofErr w:type="spellStart"/>
      <w:r>
        <w:rPr>
          <w:rFonts w:ascii="Times New Roman" w:eastAsia="Times New Roman" w:hAnsi="Times New Roman" w:cs="Arial"/>
          <w:sz w:val="20"/>
          <w:szCs w:val="20"/>
          <w:lang w:val="es-MX"/>
        </w:rPr>
        <w:t>Tok</w:t>
      </w:r>
      <w:proofErr w:type="spellEnd"/>
      <w:r>
        <w:rPr>
          <w:rFonts w:ascii="Times New Roman" w:eastAsia="Times New Roman" w:hAnsi="Times New Roman" w:cs="Arial"/>
          <w:sz w:val="20"/>
          <w:szCs w:val="20"/>
          <w:lang w:val="es-MX"/>
        </w:rPr>
        <w:t xml:space="preserve">, en fecha cinco de enero del año 2025. Esta red social conocida como </w:t>
      </w:r>
      <w:proofErr w:type="spellStart"/>
      <w:r>
        <w:rPr>
          <w:rFonts w:ascii="Times New Roman" w:eastAsia="Times New Roman" w:hAnsi="Times New Roman" w:cs="Arial"/>
          <w:sz w:val="20"/>
          <w:szCs w:val="20"/>
          <w:lang w:val="es-MX"/>
        </w:rPr>
        <w:t>Tik</w:t>
      </w:r>
      <w:proofErr w:type="spellEnd"/>
      <w:r>
        <w:rPr>
          <w:rFonts w:ascii="Times New Roman" w:eastAsia="Times New Roman" w:hAnsi="Times New Roman" w:cs="Arial"/>
          <w:sz w:val="20"/>
          <w:szCs w:val="20"/>
          <w:lang w:val="es-MX"/>
        </w:rPr>
        <w:t xml:space="preserve"> </w:t>
      </w:r>
      <w:proofErr w:type="spellStart"/>
      <w:r>
        <w:rPr>
          <w:rFonts w:ascii="Times New Roman" w:eastAsia="Times New Roman" w:hAnsi="Times New Roman" w:cs="Arial"/>
          <w:sz w:val="20"/>
          <w:szCs w:val="20"/>
          <w:lang w:val="es-MX"/>
        </w:rPr>
        <w:t>Tok</w:t>
      </w:r>
      <w:proofErr w:type="spellEnd"/>
      <w:r>
        <w:rPr>
          <w:rFonts w:ascii="Times New Roman" w:eastAsia="Times New Roman" w:hAnsi="Times New Roman" w:cs="Arial"/>
          <w:sz w:val="20"/>
          <w:szCs w:val="20"/>
          <w:lang w:val="es-MX"/>
        </w:rPr>
        <w:t xml:space="preserve">  ejecuta retos virales que ponen en riesgo la integridad física, emocional y mental de los niños, niñas y adolescentes venezolanos y venezolanas. El TSJ impuso una multa de diez 10 millones de dólares a </w:t>
      </w:r>
      <w:proofErr w:type="spellStart"/>
      <w:r>
        <w:rPr>
          <w:rFonts w:ascii="Times New Roman" w:eastAsia="Times New Roman" w:hAnsi="Times New Roman" w:cs="Arial"/>
          <w:sz w:val="20"/>
          <w:szCs w:val="20"/>
          <w:lang w:val="es-MX"/>
        </w:rPr>
        <w:t>Tik</w:t>
      </w:r>
      <w:proofErr w:type="spellEnd"/>
      <w:r>
        <w:rPr>
          <w:rFonts w:ascii="Times New Roman" w:eastAsia="Times New Roman" w:hAnsi="Times New Roman" w:cs="Arial"/>
          <w:sz w:val="20"/>
          <w:szCs w:val="20"/>
          <w:lang w:val="es-MX"/>
        </w:rPr>
        <w:t xml:space="preserve"> </w:t>
      </w:r>
      <w:proofErr w:type="spellStart"/>
      <w:r>
        <w:rPr>
          <w:rFonts w:ascii="Times New Roman" w:eastAsia="Times New Roman" w:hAnsi="Times New Roman" w:cs="Arial"/>
          <w:sz w:val="20"/>
          <w:szCs w:val="20"/>
          <w:lang w:val="es-MX"/>
        </w:rPr>
        <w:t>Tok</w:t>
      </w:r>
      <w:proofErr w:type="spellEnd"/>
      <w:r>
        <w:rPr>
          <w:rFonts w:ascii="Times New Roman" w:eastAsia="Times New Roman" w:hAnsi="Times New Roman" w:cs="Arial"/>
          <w:sz w:val="20"/>
          <w:szCs w:val="20"/>
          <w:lang w:val="es-MX"/>
        </w:rPr>
        <w:t xml:space="preserve">, por no implementar medidas para evitar la difusión de retos virales que causaron la muerte  de 3 niños  en el país. La sanción fue impuesta por la Sala Constitucional en su sentencia n.º 1.443.  </w:t>
      </w:r>
    </w:p>
    <w:p w14:paraId="341D423A" w14:textId="77777777" w:rsidR="00405820" w:rsidRDefault="00405820">
      <w:pPr>
        <w:spacing w:after="0" w:line="240" w:lineRule="auto"/>
        <w:ind w:left="720"/>
        <w:jc w:val="both"/>
        <w:rPr>
          <w:rFonts w:cs="Times New Roman"/>
          <w:b/>
          <w:bCs/>
          <w:sz w:val="20"/>
          <w:szCs w:val="20"/>
        </w:rPr>
      </w:pPr>
    </w:p>
    <w:p w14:paraId="6182770C"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c) Respeto a la opinión de los niños, niñas y adolescentes</w:t>
      </w:r>
    </w:p>
    <w:p w14:paraId="651DE83D" w14:textId="77777777" w:rsidR="00405820" w:rsidRDefault="00405820">
      <w:pPr>
        <w:pStyle w:val="ListParagraph"/>
        <w:rPr>
          <w:rFonts w:cs="Times New Roman"/>
          <w:sz w:val="20"/>
          <w:szCs w:val="20"/>
        </w:rPr>
      </w:pPr>
    </w:p>
    <w:p w14:paraId="4763670B"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El artículo 80 de la LOPNNA reconoce y desarrolla el derecho a opinar y ser oídos de los niños, niñas y adolescentes, estableciendo expresamente que debe ser respetado por el Estado, las familias y la sociedad en todas las decisiones y asuntos que tengan una relación directa o indirecta con los NNA. Este derecho se ha desarrollado ampliamente en la legislación nacional, especialmente en los procesos judiciales y administrativos, donde se regula como un acto que debe realizarse de la manera más acorde a las necesidades y derechos de los NNA, con participación directa de los jueces, juezas o autoridades decisorias, con el apoyo de equipos multidisciplinarios de ser requeridos y, sobre todo, como un elemento clave para adoptar la decisión correspondiente y determinar su interés superior.</w:t>
      </w:r>
    </w:p>
    <w:p w14:paraId="4B74E6A4" w14:textId="77777777" w:rsidR="00405820" w:rsidRDefault="00405820">
      <w:pPr>
        <w:spacing w:after="0" w:line="240" w:lineRule="auto"/>
        <w:jc w:val="both"/>
        <w:rPr>
          <w:rFonts w:ascii="Times New Roman" w:eastAsia="Times New Roman" w:hAnsi="Times New Roman" w:cs="Times New Roman"/>
          <w:sz w:val="20"/>
          <w:szCs w:val="20"/>
        </w:rPr>
      </w:pPr>
    </w:p>
    <w:p w14:paraId="5EC0ECA8" w14:textId="77777777" w:rsidR="00405820" w:rsidRPr="007F2D11"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este sentido, el TSJ ha establecido de forma reiterada que la omisión del acto en el cual se solicita la opinión del NNA en los procesos o la ausencia de su valoración en la decisión, constituye un vicio grave, que vulnera los derechos humanos y es inconstitucional, por lo que acarrea la nulidad del proceso o decisión. Inclusive, el TSJ ha adoptado acuerdos e instructivos desarrollando estos criterios jurídicos</w:t>
      </w:r>
      <w:r>
        <w:rPr>
          <w:rStyle w:val="Ancladenotaalpie"/>
          <w:rFonts w:ascii="Times New Roman" w:hAnsi="Times New Roman" w:cs="Times New Roman"/>
          <w:sz w:val="20"/>
          <w:szCs w:val="20"/>
        </w:rPr>
        <w:footnoteReference w:id="60"/>
      </w:r>
      <w:r>
        <w:rPr>
          <w:rFonts w:ascii="Times New Roman" w:hAnsi="Times New Roman" w:cs="Times New Roman"/>
          <w:sz w:val="20"/>
          <w:szCs w:val="20"/>
        </w:rPr>
        <w:t>.</w:t>
      </w:r>
    </w:p>
    <w:p w14:paraId="0D8AD4D5" w14:textId="77777777" w:rsidR="007F2D11" w:rsidRDefault="007F2D11" w:rsidP="007F2D11">
      <w:pPr>
        <w:pStyle w:val="ListParagraph"/>
        <w:rPr>
          <w:rFonts w:eastAsia="Times New Roman" w:cs="Times New Roman"/>
          <w:sz w:val="20"/>
          <w:szCs w:val="20"/>
        </w:rPr>
      </w:pPr>
    </w:p>
    <w:p w14:paraId="48B61D32" w14:textId="27903343" w:rsidR="007F2D11" w:rsidRDefault="007F2D11">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Sala de Casación Social del TSJ recientemente reafirmó en sentencia Nro. 001 del 13.2.2025 la obligación de los jueces de la República de escuchar la opinión de NNA en procesos judiciales que afecten sus intereses. Esa decisión ha sido tomada en un recurso de control de legalidad con base a lo consagrado en la LOPNNA y la Convención sobre los Derechos del Niño.</w:t>
      </w:r>
    </w:p>
    <w:p w14:paraId="2A43C306" w14:textId="77777777" w:rsidR="00405820" w:rsidRDefault="00405820">
      <w:pPr>
        <w:pStyle w:val="ListParagraph"/>
        <w:rPr>
          <w:rFonts w:cs="Times New Roman"/>
          <w:sz w:val="20"/>
          <w:szCs w:val="20"/>
        </w:rPr>
      </w:pPr>
    </w:p>
    <w:p w14:paraId="049D766E"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Es importante destacar que de forma permanente las instituciones de educación del Sistema de Justicia incluyen este tema dentro de sus procesos de formación dirigidos a servidores públicos y servidoras públicas de los distintos órganos que lo conforman, incluyendo el Ministerio Público, la Defensa Pública, la Defensoría del Pueblo, el Poder Judicial y los cuerpos policiales.</w:t>
      </w:r>
    </w:p>
    <w:p w14:paraId="27D504BF" w14:textId="77777777" w:rsidR="00405820" w:rsidRDefault="00405820">
      <w:pPr>
        <w:pStyle w:val="ListParagraph"/>
        <w:rPr>
          <w:rFonts w:cs="Times New Roman"/>
          <w:b/>
          <w:bCs/>
          <w:sz w:val="20"/>
          <w:szCs w:val="20"/>
        </w:rPr>
      </w:pPr>
    </w:p>
    <w:p w14:paraId="3223E25D"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 xml:space="preserve">d) Derecho a no ser sometido a torturas ni a otros tratos o penas crueles, inhumanos o degradantes, incluidos los castigos corporales </w:t>
      </w:r>
    </w:p>
    <w:p w14:paraId="25AFCE7F" w14:textId="77777777" w:rsidR="00405820" w:rsidRDefault="00405820">
      <w:pPr>
        <w:pStyle w:val="ListParagraph"/>
        <w:rPr>
          <w:rFonts w:cs="Times New Roman"/>
          <w:sz w:val="20"/>
          <w:szCs w:val="20"/>
        </w:rPr>
      </w:pPr>
    </w:p>
    <w:p w14:paraId="6491A744" w14:textId="602FE945"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Los niños, niñas y adolescentes en Venezuela, están protegidos por todos los organismos que integran el</w:t>
      </w:r>
      <w:r w:rsidR="00D7089B">
        <w:rPr>
          <w:rFonts w:ascii="Times New Roman" w:hAnsi="Times New Roman" w:cs="Times New Roman"/>
          <w:sz w:val="20"/>
          <w:szCs w:val="20"/>
        </w:rPr>
        <w:t xml:space="preserve"> SRPINNA</w:t>
      </w:r>
      <w:r>
        <w:rPr>
          <w:rFonts w:ascii="Times New Roman" w:hAnsi="Times New Roman" w:cs="Times New Roman"/>
          <w:sz w:val="20"/>
          <w:szCs w:val="20"/>
        </w:rPr>
        <w:t xml:space="preserve">, para que sus derechos fundamentales no sean vulnerados. En relación a estas categorías de derechos, la </w:t>
      </w:r>
      <w:proofErr w:type="spellStart"/>
      <w:r>
        <w:rPr>
          <w:rFonts w:ascii="Times New Roman" w:hAnsi="Times New Roman" w:cs="Times New Roman"/>
          <w:sz w:val="20"/>
          <w:szCs w:val="20"/>
        </w:rPr>
        <w:t>D</w:t>
      </w:r>
      <w:r w:rsidR="00E47D04">
        <w:rPr>
          <w:rFonts w:ascii="Times New Roman" w:hAnsi="Times New Roman" w:cs="Times New Roman"/>
          <w:sz w:val="20"/>
          <w:szCs w:val="20"/>
        </w:rPr>
        <w:t>dP</w:t>
      </w:r>
      <w:proofErr w:type="spellEnd"/>
      <w:r>
        <w:rPr>
          <w:rFonts w:ascii="Times New Roman" w:hAnsi="Times New Roman" w:cs="Times New Roman"/>
          <w:sz w:val="20"/>
          <w:szCs w:val="20"/>
        </w:rPr>
        <w:t xml:space="preserve"> y el M</w:t>
      </w:r>
      <w:r w:rsidR="00E47D04">
        <w:rPr>
          <w:rFonts w:ascii="Times New Roman" w:hAnsi="Times New Roman" w:cs="Times New Roman"/>
          <w:sz w:val="20"/>
          <w:szCs w:val="20"/>
        </w:rPr>
        <w:t>P</w:t>
      </w:r>
      <w:r>
        <w:rPr>
          <w:rFonts w:ascii="Times New Roman" w:hAnsi="Times New Roman" w:cs="Times New Roman"/>
          <w:sz w:val="20"/>
          <w:szCs w:val="20"/>
        </w:rPr>
        <w:t xml:space="preserve"> tienen facultades específicas para actuar, desde las competencias propias de cada institución, cuando la integridad personal de los niños y adolescentes sea amenazada o vulnerada. </w:t>
      </w:r>
    </w:p>
    <w:p w14:paraId="42CAC055" w14:textId="77777777" w:rsidR="00405820" w:rsidRDefault="00405820">
      <w:pPr>
        <w:spacing w:after="0" w:line="240" w:lineRule="auto"/>
        <w:jc w:val="both"/>
        <w:rPr>
          <w:rFonts w:ascii="Times New Roman" w:eastAsia="Times New Roman" w:hAnsi="Times New Roman" w:cs="Times New Roman"/>
          <w:sz w:val="20"/>
          <w:szCs w:val="20"/>
        </w:rPr>
      </w:pPr>
    </w:p>
    <w:p w14:paraId="7741548B"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e) Violencia contra los niños, niñas y adolescentes.</w:t>
      </w:r>
    </w:p>
    <w:p w14:paraId="241381FE" w14:textId="77777777" w:rsidR="00314482" w:rsidRPr="00314482" w:rsidRDefault="00314482" w:rsidP="00314482">
      <w:pPr>
        <w:spacing w:after="0" w:line="240" w:lineRule="auto"/>
        <w:jc w:val="both"/>
      </w:pPr>
    </w:p>
    <w:p w14:paraId="2DFB8B67"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Entre 2012 y 2020 el Ministerio Público ha registrado los siguientes datos con relación a los casos donde se registraron a NNA como víctimas de algún delito.</w:t>
      </w:r>
    </w:p>
    <w:p w14:paraId="261FBB12" w14:textId="77777777" w:rsidR="00405820" w:rsidRDefault="00405820">
      <w:pPr>
        <w:spacing w:after="0" w:line="240" w:lineRule="auto"/>
        <w:jc w:val="both"/>
        <w:rPr>
          <w:rFonts w:ascii="Times New Roman" w:eastAsia="Times New Roman" w:hAnsi="Times New Roman" w:cs="Times New Roman"/>
          <w:sz w:val="20"/>
          <w:szCs w:val="20"/>
        </w:rPr>
      </w:pPr>
    </w:p>
    <w:p w14:paraId="2A587469" w14:textId="77777777" w:rsidR="00405820" w:rsidRDefault="002F4028">
      <w:pPr>
        <w:pStyle w:val="Ttulo11"/>
        <w:spacing w:before="0" w:after="0" w:line="240" w:lineRule="auto"/>
        <w:jc w:val="center"/>
      </w:pPr>
      <w:r>
        <w:rPr>
          <w:rFonts w:ascii="Times New Roman" w:hAnsi="Times New Roman" w:cstheme="minorBidi"/>
          <w:sz w:val="20"/>
          <w:szCs w:val="20"/>
          <w:lang w:val="es-ES_tradnl"/>
        </w:rPr>
        <w:t>Tabla</w:t>
      </w:r>
      <w:r>
        <w:rPr>
          <w:rFonts w:ascii="Times New Roman" w:hAnsi="Times New Roman"/>
          <w:sz w:val="20"/>
          <w:szCs w:val="20"/>
          <w:lang w:val="es-ES_tradnl"/>
        </w:rPr>
        <w:t xml:space="preserve"> IV</w:t>
      </w:r>
    </w:p>
    <w:p w14:paraId="1E76B5F1" w14:textId="77777777" w:rsidR="00405820" w:rsidRDefault="002F4028">
      <w:pPr>
        <w:pStyle w:val="ListParagraph"/>
        <w:spacing w:line="240" w:lineRule="auto"/>
        <w:ind w:left="0"/>
        <w:jc w:val="center"/>
        <w:rPr>
          <w:rFonts w:cs="Times New Roman"/>
          <w:b/>
          <w:bCs/>
          <w:sz w:val="20"/>
          <w:szCs w:val="20"/>
        </w:rPr>
      </w:pPr>
      <w:r>
        <w:rPr>
          <w:rFonts w:cs="Times New Roman"/>
          <w:b/>
          <w:bCs/>
          <w:sz w:val="20"/>
          <w:szCs w:val="20"/>
        </w:rPr>
        <w:t>Número de casos y víctimas por delito</w:t>
      </w:r>
    </w:p>
    <w:p w14:paraId="4B2E9134" w14:textId="77777777" w:rsidR="00405820" w:rsidRDefault="00405820">
      <w:pPr>
        <w:pStyle w:val="ListParagraph"/>
        <w:spacing w:line="240" w:lineRule="auto"/>
        <w:ind w:left="0"/>
        <w:jc w:val="center"/>
        <w:rPr>
          <w:rFonts w:cs="Times New Roman"/>
          <w:b/>
          <w:bCs/>
          <w:sz w:val="20"/>
          <w:szCs w:val="20"/>
        </w:rPr>
      </w:pPr>
    </w:p>
    <w:tbl>
      <w:tblPr>
        <w:tblStyle w:val="TableGrid"/>
        <w:tblW w:w="6111" w:type="dxa"/>
        <w:jc w:val="center"/>
        <w:tblCellMar>
          <w:left w:w="0" w:type="dxa"/>
          <w:right w:w="0" w:type="dxa"/>
        </w:tblCellMar>
        <w:tblLook w:val="04A0" w:firstRow="1" w:lastRow="0" w:firstColumn="1" w:lastColumn="0" w:noHBand="0" w:noVBand="1"/>
      </w:tblPr>
      <w:tblGrid>
        <w:gridCol w:w="2548"/>
        <w:gridCol w:w="1979"/>
        <w:gridCol w:w="1584"/>
      </w:tblGrid>
      <w:tr w:rsidR="00405820" w14:paraId="6191165A" w14:textId="77777777">
        <w:trPr>
          <w:trHeight w:val="240"/>
          <w:tblHeader/>
          <w:jc w:val="center"/>
        </w:trPr>
        <w:tc>
          <w:tcPr>
            <w:tcW w:w="2548" w:type="dxa"/>
            <w:tcBorders>
              <w:left w:val="nil"/>
              <w:bottom w:val="single" w:sz="12" w:space="0" w:color="000000"/>
              <w:right w:val="nil"/>
            </w:tcBorders>
            <w:vAlign w:val="bottom"/>
          </w:tcPr>
          <w:p w14:paraId="548549A3" w14:textId="77777777" w:rsidR="00405820" w:rsidRDefault="002F4028">
            <w:pPr>
              <w:spacing w:before="80" w:after="80" w:line="200" w:lineRule="exact"/>
              <w:rPr>
                <w:rFonts w:ascii="Times New Roman" w:hAnsi="Times New Roman" w:cs="Times New Roman"/>
                <w:b/>
                <w:i/>
                <w:sz w:val="20"/>
                <w:lang w:val="es-ES_tradnl"/>
              </w:rPr>
            </w:pPr>
            <w:r>
              <w:rPr>
                <w:rFonts w:ascii="Times New Roman" w:hAnsi="Times New Roman" w:cs="Times New Roman"/>
                <w:b/>
                <w:i/>
                <w:sz w:val="20"/>
                <w:lang w:val="es-ES_tradnl"/>
              </w:rPr>
              <w:t>Delito</w:t>
            </w:r>
          </w:p>
        </w:tc>
        <w:tc>
          <w:tcPr>
            <w:tcW w:w="1979" w:type="dxa"/>
            <w:tcBorders>
              <w:left w:val="nil"/>
              <w:bottom w:val="single" w:sz="12" w:space="0" w:color="000000"/>
              <w:right w:val="nil"/>
            </w:tcBorders>
          </w:tcPr>
          <w:p w14:paraId="1866D293" w14:textId="77777777" w:rsidR="00405820" w:rsidRDefault="002F4028">
            <w:pPr>
              <w:spacing w:before="80" w:after="80" w:line="200" w:lineRule="exact"/>
              <w:ind w:left="-57"/>
              <w:jc w:val="right"/>
              <w:rPr>
                <w:rFonts w:ascii="Times New Roman" w:hAnsi="Times New Roman" w:cs="Times New Roman"/>
                <w:b/>
                <w:i/>
                <w:sz w:val="20"/>
                <w:lang w:val="es-ES_tradnl"/>
              </w:rPr>
            </w:pPr>
            <w:r>
              <w:rPr>
                <w:rFonts w:ascii="Times New Roman" w:hAnsi="Times New Roman" w:cs="Times New Roman"/>
                <w:b/>
                <w:bCs/>
                <w:i/>
                <w:sz w:val="20"/>
              </w:rPr>
              <w:t>N° de Casos</w:t>
            </w:r>
          </w:p>
        </w:tc>
        <w:tc>
          <w:tcPr>
            <w:tcW w:w="1584" w:type="dxa"/>
            <w:tcBorders>
              <w:left w:val="nil"/>
              <w:bottom w:val="single" w:sz="12" w:space="0" w:color="000000"/>
              <w:right w:val="nil"/>
            </w:tcBorders>
            <w:vAlign w:val="bottom"/>
          </w:tcPr>
          <w:p w14:paraId="3BA91B82" w14:textId="77777777" w:rsidR="00405820" w:rsidRDefault="002F4028">
            <w:pPr>
              <w:spacing w:before="80" w:after="80" w:line="200" w:lineRule="exact"/>
              <w:ind w:left="-57"/>
              <w:jc w:val="right"/>
              <w:rPr>
                <w:rFonts w:ascii="Times New Roman" w:hAnsi="Times New Roman" w:cs="Times New Roman"/>
                <w:b/>
                <w:i/>
                <w:sz w:val="20"/>
                <w:lang w:val="es-ES_tradnl"/>
              </w:rPr>
            </w:pPr>
            <w:r>
              <w:rPr>
                <w:rFonts w:ascii="Times New Roman" w:hAnsi="Times New Roman" w:cs="Times New Roman"/>
                <w:b/>
                <w:bCs/>
                <w:i/>
                <w:sz w:val="20"/>
              </w:rPr>
              <w:t xml:space="preserve">N° de </w:t>
            </w:r>
            <w:proofErr w:type="spellStart"/>
            <w:r>
              <w:rPr>
                <w:rFonts w:ascii="Times New Roman" w:hAnsi="Times New Roman" w:cs="Times New Roman"/>
                <w:b/>
                <w:bCs/>
                <w:i/>
                <w:sz w:val="20"/>
              </w:rPr>
              <w:t>víctimas</w:t>
            </w:r>
            <w:proofErr w:type="spellEnd"/>
            <w:r>
              <w:rPr>
                <w:rFonts w:ascii="Times New Roman" w:hAnsi="Times New Roman" w:cs="Times New Roman"/>
                <w:b/>
                <w:i/>
                <w:sz w:val="20"/>
                <w:lang w:val="es-ES_tradnl"/>
              </w:rPr>
              <w:t xml:space="preserve">         </w:t>
            </w:r>
          </w:p>
        </w:tc>
      </w:tr>
      <w:tr w:rsidR="00405820" w14:paraId="12FBA30E" w14:textId="77777777">
        <w:trPr>
          <w:trHeight w:val="240"/>
          <w:jc w:val="center"/>
        </w:trPr>
        <w:tc>
          <w:tcPr>
            <w:tcW w:w="2548" w:type="dxa"/>
            <w:tcBorders>
              <w:top w:val="single" w:sz="12" w:space="0" w:color="000000"/>
              <w:left w:val="nil"/>
              <w:bottom w:val="nil"/>
              <w:right w:val="nil"/>
            </w:tcBorders>
          </w:tcPr>
          <w:p w14:paraId="16136984" w14:textId="77777777" w:rsidR="00405820" w:rsidRDefault="002F4028">
            <w:pPr>
              <w:spacing w:line="360" w:lineRule="auto"/>
              <w:rPr>
                <w:rFonts w:ascii="Times New Roman" w:hAnsi="Times New Roman" w:cs="Times New Roman"/>
                <w:sz w:val="16"/>
                <w:szCs w:val="16"/>
              </w:rPr>
            </w:pPr>
            <w:proofErr w:type="spellStart"/>
            <w:r>
              <w:rPr>
                <w:rFonts w:ascii="Times New Roman" w:hAnsi="Times New Roman" w:cs="Times New Roman"/>
                <w:sz w:val="16"/>
                <w:szCs w:val="16"/>
              </w:rPr>
              <w:t>Trato</w:t>
            </w:r>
            <w:proofErr w:type="spellEnd"/>
            <w:r>
              <w:rPr>
                <w:rFonts w:ascii="Times New Roman" w:hAnsi="Times New Roman" w:cs="Times New Roman"/>
                <w:sz w:val="16"/>
                <w:szCs w:val="16"/>
              </w:rPr>
              <w:t xml:space="preserve"> cruel: Art. 254 LOPNNA</w:t>
            </w:r>
          </w:p>
        </w:tc>
        <w:tc>
          <w:tcPr>
            <w:tcW w:w="1979" w:type="dxa"/>
            <w:tcBorders>
              <w:top w:val="single" w:sz="12" w:space="0" w:color="000000"/>
              <w:left w:val="nil"/>
              <w:bottom w:val="nil"/>
              <w:right w:val="nil"/>
            </w:tcBorders>
          </w:tcPr>
          <w:p w14:paraId="01C3B93C"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33.543</w:t>
            </w:r>
          </w:p>
        </w:tc>
        <w:tc>
          <w:tcPr>
            <w:tcW w:w="1584" w:type="dxa"/>
            <w:tcBorders>
              <w:top w:val="single" w:sz="12" w:space="0" w:color="000000"/>
              <w:left w:val="nil"/>
              <w:bottom w:val="nil"/>
              <w:right w:val="nil"/>
            </w:tcBorders>
          </w:tcPr>
          <w:p w14:paraId="4CA5E2D3"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43.039</w:t>
            </w:r>
          </w:p>
        </w:tc>
      </w:tr>
      <w:tr w:rsidR="00405820" w14:paraId="63C5B45C" w14:textId="77777777">
        <w:trPr>
          <w:trHeight w:val="240"/>
          <w:jc w:val="center"/>
        </w:trPr>
        <w:tc>
          <w:tcPr>
            <w:tcW w:w="2548" w:type="dxa"/>
            <w:tcBorders>
              <w:top w:val="nil"/>
              <w:left w:val="nil"/>
              <w:bottom w:val="nil"/>
              <w:right w:val="nil"/>
            </w:tcBorders>
          </w:tcPr>
          <w:p w14:paraId="5AAB17DE" w14:textId="77777777" w:rsidR="00405820" w:rsidRPr="00B23088" w:rsidRDefault="002F4028">
            <w:pPr>
              <w:spacing w:line="360" w:lineRule="auto"/>
              <w:rPr>
                <w:rFonts w:ascii="Times New Roman" w:hAnsi="Times New Roman" w:cs="Times New Roman"/>
                <w:b/>
                <w:bCs/>
                <w:sz w:val="16"/>
                <w:szCs w:val="16"/>
                <w:lang w:val="es-VE"/>
              </w:rPr>
            </w:pPr>
            <w:r w:rsidRPr="00B23088">
              <w:rPr>
                <w:rFonts w:ascii="Times New Roman" w:hAnsi="Times New Roman" w:cs="Times New Roman"/>
                <w:sz w:val="16"/>
                <w:szCs w:val="16"/>
                <w:lang w:val="es-VE"/>
              </w:rPr>
              <w:t>Trato cruel: Art. 18 Ley Especial</w:t>
            </w:r>
            <w:r>
              <w:rPr>
                <w:rStyle w:val="Ancladenotaalpie"/>
                <w:rFonts w:ascii="Times New Roman" w:hAnsi="Times New Roman" w:cs="Times New Roman"/>
                <w:sz w:val="16"/>
                <w:szCs w:val="16"/>
              </w:rPr>
              <w:footnoteReference w:id="61"/>
            </w:r>
            <w:r w:rsidRPr="00B23088">
              <w:rPr>
                <w:rFonts w:ascii="Times New Roman" w:hAnsi="Times New Roman" w:cs="Times New Roman"/>
                <w:sz w:val="16"/>
                <w:szCs w:val="16"/>
                <w:lang w:val="es-VE"/>
              </w:rPr>
              <w:t xml:space="preserve"> </w:t>
            </w:r>
          </w:p>
        </w:tc>
        <w:tc>
          <w:tcPr>
            <w:tcW w:w="1979" w:type="dxa"/>
            <w:tcBorders>
              <w:top w:val="nil"/>
              <w:left w:val="nil"/>
              <w:bottom w:val="nil"/>
              <w:right w:val="nil"/>
            </w:tcBorders>
          </w:tcPr>
          <w:p w14:paraId="70BF79EF"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487</w:t>
            </w:r>
          </w:p>
        </w:tc>
        <w:tc>
          <w:tcPr>
            <w:tcW w:w="1584" w:type="dxa"/>
            <w:tcBorders>
              <w:top w:val="nil"/>
              <w:left w:val="nil"/>
              <w:bottom w:val="nil"/>
              <w:right w:val="nil"/>
            </w:tcBorders>
          </w:tcPr>
          <w:p w14:paraId="7CB5C14D"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720</w:t>
            </w:r>
          </w:p>
        </w:tc>
      </w:tr>
      <w:tr w:rsidR="00405820" w14:paraId="60F54695" w14:textId="77777777">
        <w:trPr>
          <w:trHeight w:val="240"/>
          <w:jc w:val="center"/>
        </w:trPr>
        <w:tc>
          <w:tcPr>
            <w:tcW w:w="2548" w:type="dxa"/>
            <w:tcBorders>
              <w:top w:val="nil"/>
              <w:left w:val="nil"/>
              <w:bottom w:val="nil"/>
              <w:right w:val="nil"/>
            </w:tcBorders>
          </w:tcPr>
          <w:p w14:paraId="32A52456" w14:textId="77777777" w:rsidR="00405820" w:rsidRDefault="002F4028">
            <w:pPr>
              <w:spacing w:line="360" w:lineRule="auto"/>
              <w:rPr>
                <w:rFonts w:ascii="Times New Roman" w:hAnsi="Times New Roman" w:cs="Times New Roman"/>
                <w:sz w:val="16"/>
                <w:szCs w:val="16"/>
              </w:rPr>
            </w:pPr>
            <w:proofErr w:type="spellStart"/>
            <w:r>
              <w:rPr>
                <w:rFonts w:ascii="Times New Roman" w:hAnsi="Times New Roman" w:cs="Times New Roman"/>
                <w:sz w:val="16"/>
                <w:szCs w:val="16"/>
              </w:rPr>
              <w:t>Tortura</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Artículo</w:t>
            </w:r>
            <w:proofErr w:type="spellEnd"/>
            <w:r>
              <w:rPr>
                <w:rFonts w:ascii="Times New Roman" w:hAnsi="Times New Roman" w:cs="Times New Roman"/>
                <w:sz w:val="16"/>
                <w:szCs w:val="16"/>
              </w:rPr>
              <w:t xml:space="preserve"> 253 LOPNNA </w:t>
            </w:r>
          </w:p>
        </w:tc>
        <w:tc>
          <w:tcPr>
            <w:tcW w:w="1979" w:type="dxa"/>
            <w:tcBorders>
              <w:top w:val="nil"/>
              <w:left w:val="nil"/>
              <w:bottom w:val="nil"/>
              <w:right w:val="nil"/>
            </w:tcBorders>
          </w:tcPr>
          <w:p w14:paraId="046FB4D6"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65</w:t>
            </w:r>
          </w:p>
        </w:tc>
        <w:tc>
          <w:tcPr>
            <w:tcW w:w="1584" w:type="dxa"/>
            <w:tcBorders>
              <w:top w:val="nil"/>
              <w:left w:val="nil"/>
              <w:bottom w:val="nil"/>
              <w:right w:val="nil"/>
            </w:tcBorders>
          </w:tcPr>
          <w:p w14:paraId="4C79350E"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86</w:t>
            </w:r>
          </w:p>
        </w:tc>
      </w:tr>
      <w:tr w:rsidR="00405820" w14:paraId="0EF98912" w14:textId="77777777">
        <w:trPr>
          <w:trHeight w:val="625"/>
          <w:jc w:val="center"/>
        </w:trPr>
        <w:tc>
          <w:tcPr>
            <w:tcW w:w="2548" w:type="dxa"/>
            <w:tcBorders>
              <w:top w:val="nil"/>
              <w:left w:val="nil"/>
              <w:bottom w:val="nil"/>
              <w:right w:val="nil"/>
            </w:tcBorders>
          </w:tcPr>
          <w:p w14:paraId="3CA19C91" w14:textId="77777777" w:rsidR="00405820" w:rsidRPr="00B23088" w:rsidRDefault="002F4028">
            <w:pPr>
              <w:spacing w:line="360" w:lineRule="auto"/>
              <w:rPr>
                <w:rFonts w:ascii="Times New Roman" w:hAnsi="Times New Roman" w:cs="Times New Roman"/>
                <w:sz w:val="16"/>
                <w:szCs w:val="16"/>
                <w:lang w:val="es-VE"/>
              </w:rPr>
            </w:pPr>
            <w:r w:rsidRPr="00B23088">
              <w:rPr>
                <w:rFonts w:ascii="Times New Roman" w:hAnsi="Times New Roman" w:cs="Times New Roman"/>
                <w:sz w:val="16"/>
                <w:szCs w:val="16"/>
                <w:lang w:val="es-VE"/>
              </w:rPr>
              <w:t>Trata de niños, niñas y adolescentes: Art. 41 LOPNNA</w:t>
            </w:r>
          </w:p>
        </w:tc>
        <w:tc>
          <w:tcPr>
            <w:tcW w:w="1979" w:type="dxa"/>
            <w:tcBorders>
              <w:top w:val="nil"/>
              <w:left w:val="nil"/>
              <w:bottom w:val="nil"/>
              <w:right w:val="nil"/>
            </w:tcBorders>
          </w:tcPr>
          <w:p w14:paraId="1F0049BC"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32</w:t>
            </w:r>
          </w:p>
        </w:tc>
        <w:tc>
          <w:tcPr>
            <w:tcW w:w="1584" w:type="dxa"/>
            <w:tcBorders>
              <w:top w:val="nil"/>
              <w:left w:val="nil"/>
              <w:bottom w:val="nil"/>
              <w:right w:val="nil"/>
            </w:tcBorders>
          </w:tcPr>
          <w:p w14:paraId="691969B7"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53</w:t>
            </w:r>
          </w:p>
        </w:tc>
      </w:tr>
      <w:tr w:rsidR="00405820" w14:paraId="3ED0E836" w14:textId="77777777">
        <w:trPr>
          <w:trHeight w:val="240"/>
          <w:jc w:val="center"/>
        </w:trPr>
        <w:tc>
          <w:tcPr>
            <w:tcW w:w="2548" w:type="dxa"/>
            <w:tcBorders>
              <w:top w:val="nil"/>
              <w:left w:val="nil"/>
              <w:bottom w:val="nil"/>
              <w:right w:val="nil"/>
            </w:tcBorders>
          </w:tcPr>
          <w:p w14:paraId="160C271F" w14:textId="77777777" w:rsidR="00405820" w:rsidRPr="00B23088" w:rsidRDefault="002F4028">
            <w:pPr>
              <w:spacing w:line="360" w:lineRule="auto"/>
              <w:rPr>
                <w:rFonts w:ascii="Times New Roman" w:hAnsi="Times New Roman" w:cs="Times New Roman"/>
                <w:sz w:val="16"/>
                <w:szCs w:val="16"/>
                <w:lang w:val="es-VE"/>
              </w:rPr>
            </w:pPr>
            <w:r w:rsidRPr="00B23088">
              <w:rPr>
                <w:rFonts w:ascii="Times New Roman" w:hAnsi="Times New Roman" w:cs="Times New Roman"/>
                <w:sz w:val="16"/>
                <w:szCs w:val="16"/>
                <w:lang w:val="es-VE"/>
              </w:rPr>
              <w:t>Trata de niñas y adolescentes: artículo 56LOSDMVLV</w:t>
            </w:r>
          </w:p>
        </w:tc>
        <w:tc>
          <w:tcPr>
            <w:tcW w:w="1979" w:type="dxa"/>
            <w:tcBorders>
              <w:top w:val="nil"/>
              <w:left w:val="nil"/>
              <w:bottom w:val="nil"/>
              <w:right w:val="nil"/>
            </w:tcBorders>
          </w:tcPr>
          <w:p w14:paraId="6B4590D9"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43</w:t>
            </w:r>
          </w:p>
        </w:tc>
        <w:tc>
          <w:tcPr>
            <w:tcW w:w="1584" w:type="dxa"/>
            <w:tcBorders>
              <w:top w:val="nil"/>
              <w:left w:val="nil"/>
              <w:bottom w:val="nil"/>
              <w:right w:val="nil"/>
            </w:tcBorders>
          </w:tcPr>
          <w:p w14:paraId="66D2C4B3"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66</w:t>
            </w:r>
          </w:p>
        </w:tc>
      </w:tr>
      <w:tr w:rsidR="00405820" w14:paraId="57AA87F9" w14:textId="77777777">
        <w:trPr>
          <w:trHeight w:val="240"/>
          <w:jc w:val="center"/>
        </w:trPr>
        <w:tc>
          <w:tcPr>
            <w:tcW w:w="2548" w:type="dxa"/>
            <w:tcBorders>
              <w:top w:val="nil"/>
              <w:left w:val="nil"/>
              <w:bottom w:val="nil"/>
              <w:right w:val="nil"/>
            </w:tcBorders>
          </w:tcPr>
          <w:p w14:paraId="6F6929A5" w14:textId="77777777" w:rsidR="00405820" w:rsidRPr="00B23088" w:rsidRDefault="002F4028">
            <w:pPr>
              <w:spacing w:line="360" w:lineRule="auto"/>
              <w:rPr>
                <w:rFonts w:ascii="Times New Roman" w:hAnsi="Times New Roman" w:cs="Times New Roman"/>
                <w:sz w:val="16"/>
                <w:szCs w:val="16"/>
                <w:lang w:val="es-VE"/>
              </w:rPr>
            </w:pPr>
            <w:r w:rsidRPr="00B23088">
              <w:rPr>
                <w:rFonts w:ascii="Times New Roman" w:hAnsi="Times New Roman" w:cs="Times New Roman"/>
                <w:sz w:val="16"/>
                <w:szCs w:val="16"/>
                <w:lang w:val="es-VE"/>
              </w:rPr>
              <w:t xml:space="preserve">Tráfico ilícito de niñas y adolescentes: Art. 55 LOSDMVLV </w:t>
            </w:r>
          </w:p>
        </w:tc>
        <w:tc>
          <w:tcPr>
            <w:tcW w:w="1979" w:type="dxa"/>
            <w:tcBorders>
              <w:top w:val="nil"/>
              <w:left w:val="nil"/>
              <w:bottom w:val="nil"/>
              <w:right w:val="nil"/>
            </w:tcBorders>
          </w:tcPr>
          <w:p w14:paraId="306F8A77"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4</w:t>
            </w:r>
          </w:p>
        </w:tc>
        <w:tc>
          <w:tcPr>
            <w:tcW w:w="1584" w:type="dxa"/>
            <w:tcBorders>
              <w:top w:val="nil"/>
              <w:left w:val="nil"/>
              <w:bottom w:val="nil"/>
              <w:right w:val="nil"/>
            </w:tcBorders>
          </w:tcPr>
          <w:p w14:paraId="421FC3E2"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6</w:t>
            </w:r>
          </w:p>
        </w:tc>
      </w:tr>
      <w:tr w:rsidR="00405820" w14:paraId="5847BB22" w14:textId="77777777">
        <w:trPr>
          <w:trHeight w:val="240"/>
          <w:jc w:val="center"/>
        </w:trPr>
        <w:tc>
          <w:tcPr>
            <w:tcW w:w="2548" w:type="dxa"/>
            <w:tcBorders>
              <w:top w:val="nil"/>
              <w:left w:val="nil"/>
              <w:bottom w:val="nil"/>
              <w:right w:val="nil"/>
            </w:tcBorders>
          </w:tcPr>
          <w:p w14:paraId="442F3140" w14:textId="77777777" w:rsidR="00405820" w:rsidRPr="00B23088" w:rsidRDefault="002F4028">
            <w:pPr>
              <w:spacing w:line="360" w:lineRule="auto"/>
              <w:rPr>
                <w:rFonts w:ascii="Times New Roman" w:hAnsi="Times New Roman" w:cs="Times New Roman"/>
                <w:sz w:val="16"/>
                <w:szCs w:val="16"/>
                <w:lang w:val="es-VE"/>
              </w:rPr>
            </w:pPr>
            <w:r w:rsidRPr="00B23088">
              <w:rPr>
                <w:rFonts w:ascii="Times New Roman" w:hAnsi="Times New Roman" w:cs="Times New Roman"/>
                <w:sz w:val="16"/>
                <w:szCs w:val="16"/>
                <w:lang w:val="es-VE"/>
              </w:rPr>
              <w:t>Tráfico ilícito de niños, niñas y adolescentes: Art. 266 LOPNNA</w:t>
            </w:r>
          </w:p>
        </w:tc>
        <w:tc>
          <w:tcPr>
            <w:tcW w:w="1979" w:type="dxa"/>
            <w:tcBorders>
              <w:top w:val="nil"/>
              <w:left w:val="nil"/>
              <w:bottom w:val="nil"/>
              <w:right w:val="nil"/>
            </w:tcBorders>
          </w:tcPr>
          <w:p w14:paraId="61813D43"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28</w:t>
            </w:r>
          </w:p>
        </w:tc>
        <w:tc>
          <w:tcPr>
            <w:tcW w:w="1584" w:type="dxa"/>
            <w:tcBorders>
              <w:top w:val="nil"/>
              <w:left w:val="nil"/>
              <w:bottom w:val="nil"/>
              <w:right w:val="nil"/>
            </w:tcBorders>
          </w:tcPr>
          <w:p w14:paraId="36182B73" w14:textId="77777777" w:rsidR="00405820" w:rsidRDefault="002F4028">
            <w:pPr>
              <w:spacing w:line="360" w:lineRule="auto"/>
              <w:jc w:val="right"/>
              <w:rPr>
                <w:rFonts w:ascii="Times New Roman" w:hAnsi="Times New Roman" w:cs="Times New Roman"/>
                <w:sz w:val="16"/>
                <w:szCs w:val="16"/>
              </w:rPr>
            </w:pPr>
            <w:r>
              <w:rPr>
                <w:rFonts w:ascii="Times New Roman" w:hAnsi="Times New Roman" w:cs="Times New Roman"/>
                <w:sz w:val="16"/>
                <w:szCs w:val="16"/>
              </w:rPr>
              <w:t>39</w:t>
            </w:r>
          </w:p>
        </w:tc>
      </w:tr>
      <w:tr w:rsidR="00405820" w14:paraId="7FF386CA" w14:textId="77777777">
        <w:trPr>
          <w:trHeight w:val="240"/>
          <w:jc w:val="center"/>
        </w:trPr>
        <w:tc>
          <w:tcPr>
            <w:tcW w:w="2548" w:type="dxa"/>
            <w:tcBorders>
              <w:left w:val="nil"/>
              <w:bottom w:val="single" w:sz="12" w:space="0" w:color="000000"/>
              <w:right w:val="nil"/>
            </w:tcBorders>
          </w:tcPr>
          <w:p w14:paraId="52E2F7D1" w14:textId="77777777" w:rsidR="00405820" w:rsidRDefault="00405820">
            <w:pPr>
              <w:spacing w:before="80" w:after="80" w:line="220" w:lineRule="exact"/>
              <w:rPr>
                <w:b/>
                <w:sz w:val="20"/>
                <w:lang w:val="es-ES_tradnl"/>
              </w:rPr>
            </w:pPr>
          </w:p>
        </w:tc>
        <w:tc>
          <w:tcPr>
            <w:tcW w:w="1979" w:type="dxa"/>
            <w:tcBorders>
              <w:left w:val="nil"/>
              <w:bottom w:val="single" w:sz="12" w:space="0" w:color="000000"/>
              <w:right w:val="nil"/>
            </w:tcBorders>
          </w:tcPr>
          <w:p w14:paraId="6849FF6A" w14:textId="77777777" w:rsidR="00405820" w:rsidRDefault="00405820">
            <w:pPr>
              <w:spacing w:before="80" w:after="80" w:line="220" w:lineRule="exact"/>
              <w:jc w:val="right"/>
              <w:rPr>
                <w:rFonts w:ascii="Times New Roman" w:eastAsia="Times New Roman" w:hAnsi="Times New Roman" w:cs="Times New Roman"/>
                <w:b/>
                <w:bCs/>
                <w:sz w:val="20"/>
                <w:lang w:eastAsia="es-VE"/>
              </w:rPr>
            </w:pPr>
          </w:p>
        </w:tc>
        <w:tc>
          <w:tcPr>
            <w:tcW w:w="1584" w:type="dxa"/>
            <w:tcBorders>
              <w:left w:val="nil"/>
              <w:bottom w:val="single" w:sz="12" w:space="0" w:color="000000"/>
              <w:right w:val="nil"/>
            </w:tcBorders>
            <w:vAlign w:val="bottom"/>
          </w:tcPr>
          <w:p w14:paraId="79D87453" w14:textId="77777777" w:rsidR="00405820" w:rsidRDefault="00405820">
            <w:pPr>
              <w:spacing w:before="80" w:after="80" w:line="220" w:lineRule="exact"/>
              <w:jc w:val="right"/>
              <w:rPr>
                <w:b/>
                <w:sz w:val="20"/>
                <w:lang w:val="es-ES_tradnl"/>
              </w:rPr>
            </w:pPr>
          </w:p>
        </w:tc>
      </w:tr>
    </w:tbl>
    <w:p w14:paraId="3C86F04A" w14:textId="77777777" w:rsidR="00405820" w:rsidRDefault="00405820">
      <w:pPr>
        <w:rPr>
          <w:rFonts w:ascii="Times New Roman" w:hAnsi="Times New Roman" w:cs="Times New Roman"/>
          <w:sz w:val="20"/>
          <w:szCs w:val="20"/>
        </w:rPr>
      </w:pPr>
    </w:p>
    <w:p w14:paraId="1FBD18EE"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Es importante aclarar que los delitos de trato cruel se refieren fundamentalmente a los casos de maltratos cuya responsabilidad recae fundamentalmente sobre personas y familiares de los NNA.</w:t>
      </w:r>
    </w:p>
    <w:p w14:paraId="34723854" w14:textId="77777777" w:rsidR="00405820" w:rsidRDefault="00405820">
      <w:pPr>
        <w:spacing w:after="0" w:line="240" w:lineRule="auto"/>
        <w:jc w:val="both"/>
        <w:rPr>
          <w:rFonts w:ascii="Times New Roman" w:eastAsia="Times New Roman" w:hAnsi="Times New Roman" w:cs="Times New Roman"/>
          <w:sz w:val="20"/>
          <w:szCs w:val="20"/>
        </w:rPr>
      </w:pPr>
    </w:p>
    <w:p w14:paraId="1CE7CE80" w14:textId="77777777" w:rsidR="00405820" w:rsidRDefault="00405820">
      <w:pPr>
        <w:spacing w:after="0" w:line="240" w:lineRule="auto"/>
        <w:jc w:val="both"/>
        <w:rPr>
          <w:rFonts w:ascii="Times New Roman" w:eastAsia="Times New Roman" w:hAnsi="Times New Roman" w:cs="Times New Roman"/>
          <w:sz w:val="20"/>
          <w:szCs w:val="20"/>
        </w:rPr>
      </w:pPr>
    </w:p>
    <w:p w14:paraId="03E9D221"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El Tribunal Supremo de Justicia, a través del Sistema de Información Estadístico del Poder Judicial (SIEPJ) registró entre 2012 al 2020, 1199 condenas donde se encontraban involucrados 2.738 niñas, niñas y adolescentes como víctimas.</w:t>
      </w:r>
    </w:p>
    <w:p w14:paraId="3C2EF65C" w14:textId="77777777" w:rsidR="00405820" w:rsidRDefault="00405820">
      <w:pPr>
        <w:pStyle w:val="ListParagraph"/>
        <w:jc w:val="center"/>
        <w:rPr>
          <w:rFonts w:cs="Times New Roman"/>
          <w:b/>
          <w:bCs/>
          <w:sz w:val="20"/>
          <w:szCs w:val="20"/>
        </w:rPr>
      </w:pPr>
    </w:p>
    <w:p w14:paraId="70ADEE00" w14:textId="77777777" w:rsidR="00405820" w:rsidRDefault="002F4028">
      <w:pPr>
        <w:pStyle w:val="Ttulo11"/>
        <w:spacing w:before="0" w:after="0" w:line="240" w:lineRule="auto"/>
        <w:jc w:val="center"/>
        <w:rPr>
          <w:rFonts w:ascii="Times New Roman" w:hAnsi="Times New Roman"/>
        </w:rPr>
      </w:pPr>
      <w:r>
        <w:rPr>
          <w:rFonts w:ascii="Times New Roman" w:hAnsi="Times New Roman"/>
          <w:sz w:val="20"/>
          <w:szCs w:val="20"/>
          <w:lang w:val="es-ES_tradnl"/>
        </w:rPr>
        <w:t>Tabla V</w:t>
      </w:r>
    </w:p>
    <w:p w14:paraId="5B907A3F" w14:textId="77777777" w:rsidR="00405820" w:rsidRDefault="002F4028">
      <w:pPr>
        <w:pStyle w:val="ListParagraph"/>
        <w:spacing w:line="240" w:lineRule="auto"/>
        <w:ind w:left="0"/>
        <w:jc w:val="center"/>
        <w:rPr>
          <w:rFonts w:cs="Times New Roman"/>
          <w:b/>
          <w:bCs/>
          <w:sz w:val="20"/>
          <w:szCs w:val="20"/>
        </w:rPr>
      </w:pPr>
      <w:r>
        <w:rPr>
          <w:rFonts w:cs="Times New Roman"/>
          <w:b/>
          <w:bCs/>
          <w:sz w:val="20"/>
          <w:szCs w:val="20"/>
        </w:rPr>
        <w:t>Sentencias dictadas y víctimas</w:t>
      </w:r>
    </w:p>
    <w:p w14:paraId="50AEB3A7" w14:textId="77777777" w:rsidR="00405820" w:rsidRDefault="00405820">
      <w:pPr>
        <w:pStyle w:val="ListParagraph"/>
        <w:spacing w:line="240" w:lineRule="auto"/>
        <w:rPr>
          <w:rFonts w:cs="Times New Roman"/>
          <w:b/>
          <w:bCs/>
          <w:sz w:val="20"/>
          <w:szCs w:val="20"/>
        </w:rPr>
      </w:pPr>
    </w:p>
    <w:tbl>
      <w:tblPr>
        <w:tblStyle w:val="TableGrid"/>
        <w:tblW w:w="6048" w:type="dxa"/>
        <w:jc w:val="center"/>
        <w:tblCellMar>
          <w:left w:w="0" w:type="dxa"/>
          <w:right w:w="0" w:type="dxa"/>
        </w:tblCellMar>
        <w:tblLook w:val="04A0" w:firstRow="1" w:lastRow="0" w:firstColumn="1" w:lastColumn="0" w:noHBand="0" w:noVBand="1"/>
      </w:tblPr>
      <w:tblGrid>
        <w:gridCol w:w="1065"/>
        <w:gridCol w:w="1271"/>
        <w:gridCol w:w="20"/>
        <w:gridCol w:w="1243"/>
        <w:gridCol w:w="1070"/>
        <w:gridCol w:w="1379"/>
      </w:tblGrid>
      <w:tr w:rsidR="00405820" w14:paraId="5F743AC8" w14:textId="77777777">
        <w:trPr>
          <w:trHeight w:val="240"/>
          <w:tblHeader/>
          <w:jc w:val="center"/>
        </w:trPr>
        <w:tc>
          <w:tcPr>
            <w:tcW w:w="1065" w:type="dxa"/>
            <w:tcBorders>
              <w:left w:val="nil"/>
              <w:bottom w:val="single" w:sz="12" w:space="0" w:color="000000"/>
              <w:right w:val="nil"/>
            </w:tcBorders>
          </w:tcPr>
          <w:p w14:paraId="592EF5AB" w14:textId="77777777" w:rsidR="00405820" w:rsidRDefault="002F4028">
            <w:pPr>
              <w:spacing w:before="80" w:after="80" w:line="200" w:lineRule="exact"/>
              <w:ind w:left="-57"/>
              <w:jc w:val="right"/>
              <w:rPr>
                <w:rFonts w:ascii="Times New Roman" w:hAnsi="Times New Roman" w:cs="Times New Roman"/>
                <w:b/>
                <w:i/>
                <w:sz w:val="20"/>
                <w:lang w:val="es-ES_tradnl"/>
              </w:rPr>
            </w:pPr>
            <w:r>
              <w:rPr>
                <w:rFonts w:ascii="Times New Roman" w:hAnsi="Times New Roman" w:cs="Times New Roman"/>
                <w:b/>
                <w:i/>
                <w:sz w:val="20"/>
                <w:lang w:val="es-ES_tradnl"/>
              </w:rPr>
              <w:t>Periodo</w:t>
            </w:r>
          </w:p>
        </w:tc>
        <w:tc>
          <w:tcPr>
            <w:tcW w:w="1271" w:type="dxa"/>
            <w:tcBorders>
              <w:left w:val="nil"/>
              <w:bottom w:val="single" w:sz="12" w:space="0" w:color="000000"/>
              <w:right w:val="nil"/>
            </w:tcBorders>
          </w:tcPr>
          <w:p w14:paraId="79937F74" w14:textId="77777777" w:rsidR="00405820" w:rsidRDefault="002F4028">
            <w:pPr>
              <w:spacing w:before="80" w:after="80" w:line="200" w:lineRule="exact"/>
              <w:ind w:left="-57"/>
              <w:jc w:val="center"/>
              <w:rPr>
                <w:rFonts w:ascii="Times New Roman" w:hAnsi="Times New Roman" w:cs="Times New Roman"/>
                <w:b/>
                <w:i/>
                <w:sz w:val="20"/>
                <w:lang w:val="es-ES_tradnl"/>
              </w:rPr>
            </w:pPr>
            <w:r>
              <w:rPr>
                <w:rFonts w:ascii="Times New Roman" w:hAnsi="Times New Roman" w:cs="Times New Roman"/>
                <w:b/>
                <w:i/>
                <w:sz w:val="20"/>
                <w:lang w:val="es-ES_tradnl"/>
              </w:rPr>
              <w:t>Delito</w:t>
            </w:r>
          </w:p>
        </w:tc>
        <w:tc>
          <w:tcPr>
            <w:tcW w:w="1263" w:type="dxa"/>
            <w:gridSpan w:val="2"/>
            <w:tcBorders>
              <w:left w:val="nil"/>
              <w:bottom w:val="single" w:sz="12" w:space="0" w:color="000000"/>
              <w:right w:val="nil"/>
            </w:tcBorders>
            <w:vAlign w:val="bottom"/>
          </w:tcPr>
          <w:p w14:paraId="2A8D7948" w14:textId="77777777" w:rsidR="00405820" w:rsidRDefault="002F4028">
            <w:pPr>
              <w:spacing w:before="80" w:after="80" w:line="200" w:lineRule="exact"/>
              <w:ind w:left="-57"/>
              <w:jc w:val="right"/>
              <w:rPr>
                <w:rFonts w:ascii="Times New Roman" w:hAnsi="Times New Roman" w:cs="Times New Roman"/>
                <w:b/>
                <w:i/>
                <w:sz w:val="20"/>
                <w:lang w:val="es-ES_tradnl"/>
              </w:rPr>
            </w:pPr>
            <w:r>
              <w:rPr>
                <w:rFonts w:ascii="Times New Roman" w:hAnsi="Times New Roman" w:cs="Times New Roman"/>
                <w:b/>
                <w:i/>
                <w:sz w:val="20"/>
                <w:lang w:val="es-ES_tradnl"/>
              </w:rPr>
              <w:t>Víctimas</w:t>
            </w:r>
          </w:p>
          <w:p w14:paraId="1072879D" w14:textId="77777777" w:rsidR="00405820" w:rsidRDefault="002F4028">
            <w:pPr>
              <w:spacing w:before="80" w:after="80" w:line="200" w:lineRule="exact"/>
              <w:ind w:left="-57"/>
              <w:jc w:val="right"/>
              <w:rPr>
                <w:rFonts w:ascii="Times New Roman" w:hAnsi="Times New Roman" w:cs="Times New Roman"/>
                <w:b/>
                <w:i/>
                <w:sz w:val="20"/>
                <w:lang w:val="es-ES_tradnl"/>
              </w:rPr>
            </w:pPr>
            <w:r>
              <w:rPr>
                <w:rFonts w:ascii="Times New Roman" w:hAnsi="Times New Roman" w:cs="Times New Roman"/>
                <w:b/>
                <w:i/>
                <w:sz w:val="20"/>
                <w:lang w:val="es-ES_tradnl"/>
              </w:rPr>
              <w:t xml:space="preserve">Femeninas          </w:t>
            </w:r>
          </w:p>
        </w:tc>
        <w:tc>
          <w:tcPr>
            <w:tcW w:w="1070" w:type="dxa"/>
            <w:tcBorders>
              <w:left w:val="nil"/>
              <w:bottom w:val="single" w:sz="12" w:space="0" w:color="000000"/>
              <w:right w:val="nil"/>
            </w:tcBorders>
          </w:tcPr>
          <w:p w14:paraId="14C95E51" w14:textId="77777777" w:rsidR="00405820" w:rsidRDefault="002F4028">
            <w:pPr>
              <w:spacing w:before="80" w:after="80" w:line="200" w:lineRule="exact"/>
              <w:ind w:left="-57"/>
              <w:jc w:val="right"/>
              <w:rPr>
                <w:rFonts w:ascii="Times New Roman" w:hAnsi="Times New Roman" w:cs="Times New Roman"/>
                <w:b/>
                <w:i/>
                <w:sz w:val="20"/>
                <w:lang w:val="es-ES_tradnl"/>
              </w:rPr>
            </w:pPr>
            <w:r>
              <w:rPr>
                <w:rFonts w:ascii="Times New Roman" w:hAnsi="Times New Roman" w:cs="Times New Roman"/>
                <w:b/>
                <w:i/>
                <w:sz w:val="20"/>
                <w:lang w:val="es-ES_tradnl"/>
              </w:rPr>
              <w:t>Víctimas</w:t>
            </w:r>
          </w:p>
          <w:p w14:paraId="0C33F975" w14:textId="77777777" w:rsidR="00405820" w:rsidRDefault="002F4028">
            <w:pPr>
              <w:spacing w:before="80" w:after="80" w:line="200" w:lineRule="exact"/>
              <w:ind w:left="-57"/>
              <w:jc w:val="right"/>
              <w:rPr>
                <w:rFonts w:ascii="Times New Roman" w:hAnsi="Times New Roman" w:cs="Times New Roman"/>
                <w:b/>
                <w:i/>
                <w:sz w:val="20"/>
                <w:lang w:val="es-ES_tradnl"/>
              </w:rPr>
            </w:pPr>
            <w:r>
              <w:rPr>
                <w:rFonts w:ascii="Times New Roman" w:hAnsi="Times New Roman" w:cs="Times New Roman"/>
                <w:b/>
                <w:i/>
                <w:sz w:val="20"/>
                <w:lang w:val="es-ES_tradnl"/>
              </w:rPr>
              <w:t>Masculinos</w:t>
            </w:r>
          </w:p>
        </w:tc>
        <w:tc>
          <w:tcPr>
            <w:tcW w:w="1379" w:type="dxa"/>
            <w:tcBorders>
              <w:left w:val="nil"/>
              <w:bottom w:val="single" w:sz="12" w:space="0" w:color="000000"/>
              <w:right w:val="nil"/>
            </w:tcBorders>
          </w:tcPr>
          <w:p w14:paraId="40F5C18A" w14:textId="77777777" w:rsidR="00405820" w:rsidRDefault="002F4028">
            <w:pPr>
              <w:spacing w:before="80" w:after="80" w:line="200" w:lineRule="exact"/>
              <w:ind w:left="-57"/>
              <w:jc w:val="right"/>
              <w:rPr>
                <w:rFonts w:ascii="Times New Roman" w:hAnsi="Times New Roman" w:cs="Times New Roman"/>
                <w:b/>
                <w:i/>
                <w:sz w:val="20"/>
                <w:lang w:val="es-ES_tradnl"/>
              </w:rPr>
            </w:pPr>
            <w:r>
              <w:rPr>
                <w:rFonts w:ascii="Times New Roman" w:hAnsi="Times New Roman" w:cs="Times New Roman"/>
                <w:b/>
                <w:i/>
                <w:sz w:val="20"/>
                <w:lang w:val="es-ES_tradnl"/>
              </w:rPr>
              <w:t xml:space="preserve">Sentencias </w:t>
            </w:r>
          </w:p>
          <w:p w14:paraId="2F0EA247" w14:textId="77777777" w:rsidR="00405820" w:rsidRDefault="002F4028">
            <w:pPr>
              <w:spacing w:before="80" w:after="80" w:line="200" w:lineRule="exact"/>
              <w:ind w:left="-57"/>
              <w:jc w:val="right"/>
              <w:rPr>
                <w:rFonts w:ascii="Times New Roman" w:hAnsi="Times New Roman" w:cs="Times New Roman"/>
                <w:b/>
                <w:i/>
                <w:sz w:val="20"/>
                <w:lang w:val="es-ES_tradnl"/>
              </w:rPr>
            </w:pPr>
            <w:r>
              <w:rPr>
                <w:rFonts w:ascii="Times New Roman" w:hAnsi="Times New Roman" w:cs="Times New Roman"/>
                <w:b/>
                <w:i/>
                <w:sz w:val="20"/>
                <w:lang w:val="es-ES_tradnl"/>
              </w:rPr>
              <w:t>condenatorias</w:t>
            </w:r>
          </w:p>
        </w:tc>
      </w:tr>
      <w:tr w:rsidR="00405820" w14:paraId="0A5DFB58" w14:textId="77777777">
        <w:trPr>
          <w:trHeight w:val="240"/>
          <w:jc w:val="center"/>
        </w:trPr>
        <w:tc>
          <w:tcPr>
            <w:tcW w:w="1065" w:type="dxa"/>
            <w:tcBorders>
              <w:top w:val="single" w:sz="12" w:space="0" w:color="000000"/>
              <w:left w:val="nil"/>
              <w:bottom w:val="nil"/>
              <w:right w:val="nil"/>
            </w:tcBorders>
          </w:tcPr>
          <w:p w14:paraId="09000551" w14:textId="77777777" w:rsidR="00405820" w:rsidRDefault="002F4028">
            <w:pPr>
              <w:spacing w:line="360" w:lineRule="auto"/>
              <w:jc w:val="center"/>
              <w:rPr>
                <w:rFonts w:ascii="Times New Roman" w:eastAsia="Times New Roman" w:hAnsi="Times New Roman" w:cs="Times New Roman"/>
                <w:sz w:val="18"/>
                <w:szCs w:val="18"/>
                <w:lang w:eastAsia="es-VE"/>
              </w:rPr>
            </w:pPr>
            <w:r>
              <w:rPr>
                <w:rFonts w:ascii="Times New Roman" w:hAnsi="Times New Roman" w:cs="Times New Roman"/>
                <w:sz w:val="18"/>
                <w:szCs w:val="18"/>
              </w:rPr>
              <w:t>2012-2020</w:t>
            </w:r>
          </w:p>
        </w:tc>
        <w:tc>
          <w:tcPr>
            <w:tcW w:w="1271" w:type="dxa"/>
            <w:tcBorders>
              <w:top w:val="single" w:sz="12" w:space="0" w:color="000000"/>
              <w:left w:val="nil"/>
              <w:bottom w:val="nil"/>
              <w:right w:val="nil"/>
            </w:tcBorders>
          </w:tcPr>
          <w:p w14:paraId="60D8B52A" w14:textId="77777777" w:rsidR="00405820" w:rsidRDefault="002F4028">
            <w:pPr>
              <w:spacing w:line="360" w:lineRule="auto"/>
              <w:jc w:val="center"/>
              <w:rPr>
                <w:rFonts w:ascii="Times New Roman" w:eastAsia="Times New Roman" w:hAnsi="Times New Roman" w:cs="Times New Roman"/>
                <w:sz w:val="18"/>
                <w:szCs w:val="18"/>
                <w:lang w:eastAsia="es-VE"/>
              </w:rPr>
            </w:pPr>
            <w:proofErr w:type="spellStart"/>
            <w:r>
              <w:rPr>
                <w:rFonts w:ascii="Times New Roman" w:hAnsi="Times New Roman" w:cs="Times New Roman"/>
                <w:sz w:val="18"/>
                <w:szCs w:val="18"/>
              </w:rPr>
              <w:t>Trata</w:t>
            </w:r>
            <w:proofErr w:type="spellEnd"/>
            <w:r>
              <w:rPr>
                <w:rFonts w:ascii="Times New Roman" w:hAnsi="Times New Roman" w:cs="Times New Roman"/>
                <w:sz w:val="18"/>
                <w:szCs w:val="18"/>
              </w:rPr>
              <w:t xml:space="preserve"> de personas</w:t>
            </w:r>
          </w:p>
        </w:tc>
        <w:tc>
          <w:tcPr>
            <w:tcW w:w="1263" w:type="dxa"/>
            <w:gridSpan w:val="2"/>
            <w:tcBorders>
              <w:top w:val="single" w:sz="12" w:space="0" w:color="000000"/>
              <w:left w:val="nil"/>
              <w:bottom w:val="nil"/>
              <w:right w:val="nil"/>
            </w:tcBorders>
            <w:vAlign w:val="center"/>
          </w:tcPr>
          <w:p w14:paraId="74AAE3B2" w14:textId="77777777" w:rsidR="00405820" w:rsidRDefault="002F4028">
            <w:pPr>
              <w:spacing w:line="360" w:lineRule="auto"/>
              <w:jc w:val="right"/>
              <w:rPr>
                <w:rFonts w:ascii="Times New Roman" w:eastAsia="Times New Roman" w:hAnsi="Times New Roman" w:cs="Times New Roman"/>
                <w:sz w:val="18"/>
                <w:szCs w:val="18"/>
                <w:lang w:eastAsia="es-VE"/>
              </w:rPr>
            </w:pPr>
            <w:r>
              <w:rPr>
                <w:rFonts w:ascii="Times New Roman" w:hAnsi="Times New Roman" w:cs="Times New Roman"/>
                <w:sz w:val="18"/>
                <w:szCs w:val="18"/>
              </w:rPr>
              <w:t>114</w:t>
            </w:r>
          </w:p>
        </w:tc>
        <w:tc>
          <w:tcPr>
            <w:tcW w:w="1070" w:type="dxa"/>
            <w:tcBorders>
              <w:top w:val="single" w:sz="12" w:space="0" w:color="000000"/>
              <w:left w:val="nil"/>
              <w:bottom w:val="nil"/>
              <w:right w:val="nil"/>
            </w:tcBorders>
          </w:tcPr>
          <w:p w14:paraId="5AEE22E4" w14:textId="77777777" w:rsidR="00405820" w:rsidRDefault="002F4028">
            <w:pPr>
              <w:spacing w:line="360" w:lineRule="auto"/>
              <w:jc w:val="right"/>
              <w:rPr>
                <w:rFonts w:ascii="Times New Roman" w:eastAsia="Times New Roman" w:hAnsi="Times New Roman" w:cs="Times New Roman"/>
                <w:sz w:val="18"/>
                <w:szCs w:val="18"/>
                <w:lang w:eastAsia="es-VE"/>
              </w:rPr>
            </w:pPr>
            <w:r>
              <w:rPr>
                <w:rFonts w:ascii="Times New Roman" w:eastAsia="Times New Roman" w:hAnsi="Times New Roman" w:cs="Times New Roman"/>
                <w:sz w:val="18"/>
                <w:szCs w:val="18"/>
                <w:lang w:eastAsia="es-VE"/>
              </w:rPr>
              <w:t>100</w:t>
            </w:r>
          </w:p>
        </w:tc>
        <w:tc>
          <w:tcPr>
            <w:tcW w:w="1379" w:type="dxa"/>
            <w:tcBorders>
              <w:top w:val="single" w:sz="12" w:space="0" w:color="000000"/>
              <w:left w:val="nil"/>
              <w:bottom w:val="nil"/>
              <w:right w:val="nil"/>
            </w:tcBorders>
          </w:tcPr>
          <w:p w14:paraId="7CBD6F26" w14:textId="77777777" w:rsidR="00405820" w:rsidRDefault="002F4028">
            <w:pPr>
              <w:spacing w:line="360" w:lineRule="auto"/>
              <w:jc w:val="right"/>
              <w:rPr>
                <w:rFonts w:ascii="Times New Roman" w:eastAsia="Times New Roman" w:hAnsi="Times New Roman" w:cs="Times New Roman"/>
                <w:sz w:val="18"/>
                <w:szCs w:val="18"/>
                <w:lang w:eastAsia="es-VE"/>
              </w:rPr>
            </w:pPr>
            <w:r>
              <w:rPr>
                <w:rFonts w:ascii="Times New Roman" w:eastAsia="Times New Roman" w:hAnsi="Times New Roman" w:cs="Times New Roman"/>
                <w:sz w:val="18"/>
                <w:szCs w:val="18"/>
                <w:lang w:eastAsia="es-VE"/>
              </w:rPr>
              <w:t>308</w:t>
            </w:r>
          </w:p>
        </w:tc>
      </w:tr>
      <w:tr w:rsidR="00405820" w14:paraId="5074D767" w14:textId="77777777">
        <w:trPr>
          <w:trHeight w:val="240"/>
          <w:jc w:val="center"/>
        </w:trPr>
        <w:tc>
          <w:tcPr>
            <w:tcW w:w="1065" w:type="dxa"/>
            <w:tcBorders>
              <w:top w:val="single" w:sz="12" w:space="0" w:color="000000"/>
              <w:left w:val="nil"/>
              <w:bottom w:val="nil"/>
              <w:right w:val="nil"/>
            </w:tcBorders>
          </w:tcPr>
          <w:p w14:paraId="5280203B" w14:textId="77777777" w:rsidR="00405820" w:rsidRDefault="002F4028">
            <w:pPr>
              <w:spacing w:line="360" w:lineRule="auto"/>
              <w:jc w:val="center"/>
              <w:rPr>
                <w:rFonts w:ascii="Times New Roman" w:hAnsi="Times New Roman" w:cs="Times New Roman"/>
                <w:sz w:val="18"/>
                <w:szCs w:val="18"/>
              </w:rPr>
            </w:pPr>
            <w:r>
              <w:rPr>
                <w:rFonts w:ascii="Times New Roman" w:hAnsi="Times New Roman" w:cs="Times New Roman"/>
                <w:sz w:val="18"/>
                <w:szCs w:val="18"/>
              </w:rPr>
              <w:t>2012-2020</w:t>
            </w:r>
          </w:p>
        </w:tc>
        <w:tc>
          <w:tcPr>
            <w:tcW w:w="1271" w:type="dxa"/>
            <w:tcBorders>
              <w:top w:val="single" w:sz="12" w:space="0" w:color="000000"/>
              <w:left w:val="nil"/>
              <w:bottom w:val="nil"/>
              <w:right w:val="nil"/>
            </w:tcBorders>
          </w:tcPr>
          <w:p w14:paraId="1861594B" w14:textId="77777777" w:rsidR="00405820" w:rsidRDefault="002F4028">
            <w:pPr>
              <w:spacing w:line="360" w:lineRule="auto"/>
              <w:jc w:val="center"/>
              <w:rPr>
                <w:rFonts w:ascii="Times New Roman" w:hAnsi="Times New Roman" w:cs="Times New Roman"/>
                <w:sz w:val="18"/>
                <w:szCs w:val="18"/>
              </w:rPr>
            </w:pPr>
            <w:proofErr w:type="spellStart"/>
            <w:r>
              <w:rPr>
                <w:rFonts w:ascii="Times New Roman" w:hAnsi="Times New Roman" w:cs="Times New Roman"/>
                <w:sz w:val="18"/>
                <w:szCs w:val="18"/>
              </w:rPr>
              <w:t>Explotación</w:t>
            </w:r>
            <w:proofErr w:type="spellEnd"/>
            <w:r>
              <w:rPr>
                <w:rFonts w:ascii="Times New Roman" w:hAnsi="Times New Roman" w:cs="Times New Roman"/>
                <w:sz w:val="18"/>
                <w:szCs w:val="18"/>
              </w:rPr>
              <w:t xml:space="preserve"> y </w:t>
            </w:r>
            <w:proofErr w:type="spellStart"/>
            <w:r>
              <w:rPr>
                <w:rFonts w:ascii="Times New Roman" w:hAnsi="Times New Roman" w:cs="Times New Roman"/>
                <w:sz w:val="18"/>
                <w:szCs w:val="18"/>
              </w:rPr>
              <w:t>abuso</w:t>
            </w:r>
            <w:proofErr w:type="spellEnd"/>
            <w:r>
              <w:rPr>
                <w:rFonts w:ascii="Times New Roman" w:hAnsi="Times New Roman" w:cs="Times New Roman"/>
                <w:sz w:val="18"/>
                <w:szCs w:val="18"/>
              </w:rPr>
              <w:t xml:space="preserve"> sexual</w:t>
            </w:r>
          </w:p>
        </w:tc>
        <w:tc>
          <w:tcPr>
            <w:tcW w:w="1263" w:type="dxa"/>
            <w:gridSpan w:val="2"/>
            <w:tcBorders>
              <w:top w:val="single" w:sz="12" w:space="0" w:color="000000"/>
              <w:left w:val="nil"/>
              <w:bottom w:val="nil"/>
              <w:right w:val="nil"/>
            </w:tcBorders>
            <w:vAlign w:val="center"/>
          </w:tcPr>
          <w:p w14:paraId="69AB4E43" w14:textId="77777777" w:rsidR="00405820" w:rsidRDefault="002F4028">
            <w:pPr>
              <w:spacing w:line="360" w:lineRule="auto"/>
              <w:jc w:val="right"/>
              <w:rPr>
                <w:rFonts w:ascii="Times New Roman" w:hAnsi="Times New Roman" w:cs="Times New Roman"/>
                <w:sz w:val="18"/>
                <w:szCs w:val="18"/>
              </w:rPr>
            </w:pPr>
            <w:r>
              <w:rPr>
                <w:rFonts w:ascii="Times New Roman" w:hAnsi="Times New Roman" w:cs="Times New Roman"/>
                <w:sz w:val="18"/>
                <w:szCs w:val="18"/>
              </w:rPr>
              <w:t>3.474</w:t>
            </w:r>
          </w:p>
        </w:tc>
        <w:tc>
          <w:tcPr>
            <w:tcW w:w="1070" w:type="dxa"/>
            <w:tcBorders>
              <w:top w:val="single" w:sz="12" w:space="0" w:color="000000"/>
              <w:left w:val="nil"/>
              <w:bottom w:val="nil"/>
              <w:right w:val="nil"/>
            </w:tcBorders>
          </w:tcPr>
          <w:p w14:paraId="6BE64D22" w14:textId="77777777" w:rsidR="00405820" w:rsidRDefault="002F4028">
            <w:pPr>
              <w:spacing w:line="360" w:lineRule="auto"/>
              <w:jc w:val="right"/>
              <w:rPr>
                <w:rFonts w:ascii="Times New Roman" w:eastAsia="Times New Roman" w:hAnsi="Times New Roman" w:cs="Times New Roman"/>
                <w:sz w:val="18"/>
                <w:szCs w:val="18"/>
                <w:lang w:eastAsia="es-VE"/>
              </w:rPr>
            </w:pPr>
            <w:r>
              <w:rPr>
                <w:rFonts w:ascii="Times New Roman" w:eastAsia="Times New Roman" w:hAnsi="Times New Roman" w:cs="Times New Roman"/>
                <w:sz w:val="18"/>
                <w:szCs w:val="18"/>
                <w:lang w:eastAsia="es-VE"/>
              </w:rPr>
              <w:t>1.474</w:t>
            </w:r>
          </w:p>
        </w:tc>
        <w:tc>
          <w:tcPr>
            <w:tcW w:w="1379" w:type="dxa"/>
            <w:tcBorders>
              <w:top w:val="single" w:sz="12" w:space="0" w:color="000000"/>
              <w:left w:val="nil"/>
              <w:bottom w:val="nil"/>
              <w:right w:val="nil"/>
            </w:tcBorders>
          </w:tcPr>
          <w:p w14:paraId="7D2A07A9" w14:textId="77777777" w:rsidR="00405820" w:rsidRDefault="002F4028">
            <w:pPr>
              <w:spacing w:line="360" w:lineRule="auto"/>
              <w:jc w:val="right"/>
              <w:rPr>
                <w:rFonts w:ascii="Times New Roman" w:eastAsia="Times New Roman" w:hAnsi="Times New Roman" w:cs="Times New Roman"/>
                <w:sz w:val="18"/>
                <w:szCs w:val="18"/>
                <w:lang w:eastAsia="es-VE"/>
              </w:rPr>
            </w:pPr>
            <w:r>
              <w:rPr>
                <w:rFonts w:ascii="Times New Roman" w:eastAsia="Times New Roman" w:hAnsi="Times New Roman" w:cs="Times New Roman"/>
                <w:sz w:val="18"/>
                <w:szCs w:val="18"/>
                <w:lang w:eastAsia="es-VE"/>
              </w:rPr>
              <w:t>4.518</w:t>
            </w:r>
          </w:p>
        </w:tc>
      </w:tr>
      <w:tr w:rsidR="00405820" w14:paraId="2FED8574" w14:textId="77777777">
        <w:trPr>
          <w:trHeight w:val="240"/>
          <w:jc w:val="center"/>
        </w:trPr>
        <w:tc>
          <w:tcPr>
            <w:tcW w:w="1065" w:type="dxa"/>
            <w:tcBorders>
              <w:left w:val="nil"/>
              <w:bottom w:val="single" w:sz="12" w:space="0" w:color="000000"/>
              <w:right w:val="nil"/>
            </w:tcBorders>
          </w:tcPr>
          <w:p w14:paraId="2D7871BF" w14:textId="77777777" w:rsidR="00405820" w:rsidRDefault="00405820">
            <w:pPr>
              <w:spacing w:before="80" w:after="80" w:line="220" w:lineRule="exact"/>
              <w:jc w:val="right"/>
              <w:rPr>
                <w:rFonts w:ascii="Times New Roman" w:eastAsia="Times New Roman" w:hAnsi="Times New Roman" w:cs="Times New Roman"/>
                <w:b/>
                <w:bCs/>
                <w:sz w:val="20"/>
                <w:lang w:eastAsia="es-VE"/>
              </w:rPr>
            </w:pPr>
          </w:p>
        </w:tc>
        <w:tc>
          <w:tcPr>
            <w:tcW w:w="1291" w:type="dxa"/>
            <w:gridSpan w:val="2"/>
            <w:tcBorders>
              <w:left w:val="nil"/>
              <w:bottom w:val="single" w:sz="12" w:space="0" w:color="000000"/>
              <w:right w:val="nil"/>
            </w:tcBorders>
          </w:tcPr>
          <w:p w14:paraId="00B07260" w14:textId="77777777" w:rsidR="00405820" w:rsidRDefault="00405820">
            <w:pPr>
              <w:spacing w:before="80" w:after="80" w:line="220" w:lineRule="exact"/>
              <w:jc w:val="right"/>
              <w:rPr>
                <w:rFonts w:ascii="Times New Roman" w:eastAsia="Times New Roman" w:hAnsi="Times New Roman" w:cs="Times New Roman"/>
                <w:b/>
                <w:bCs/>
                <w:sz w:val="20"/>
                <w:lang w:eastAsia="es-VE"/>
              </w:rPr>
            </w:pPr>
          </w:p>
        </w:tc>
        <w:tc>
          <w:tcPr>
            <w:tcW w:w="1243" w:type="dxa"/>
            <w:tcBorders>
              <w:left w:val="nil"/>
              <w:bottom w:val="single" w:sz="12" w:space="0" w:color="000000"/>
              <w:right w:val="nil"/>
            </w:tcBorders>
            <w:vAlign w:val="bottom"/>
          </w:tcPr>
          <w:p w14:paraId="0C207304" w14:textId="77777777" w:rsidR="00405820" w:rsidRDefault="00405820">
            <w:pPr>
              <w:spacing w:before="80" w:after="80" w:line="220" w:lineRule="exact"/>
              <w:jc w:val="right"/>
              <w:rPr>
                <w:b/>
                <w:sz w:val="20"/>
                <w:lang w:val="es-ES_tradnl"/>
              </w:rPr>
            </w:pPr>
          </w:p>
        </w:tc>
        <w:tc>
          <w:tcPr>
            <w:tcW w:w="1070" w:type="dxa"/>
            <w:tcBorders>
              <w:left w:val="nil"/>
              <w:bottom w:val="single" w:sz="12" w:space="0" w:color="000000"/>
              <w:right w:val="nil"/>
            </w:tcBorders>
          </w:tcPr>
          <w:p w14:paraId="53E92563" w14:textId="77777777" w:rsidR="00405820" w:rsidRDefault="00405820">
            <w:pPr>
              <w:spacing w:before="80" w:after="80" w:line="220" w:lineRule="exact"/>
              <w:jc w:val="right"/>
              <w:rPr>
                <w:rFonts w:ascii="Times New Roman" w:eastAsia="Times New Roman" w:hAnsi="Times New Roman" w:cs="Times New Roman"/>
                <w:b/>
                <w:bCs/>
                <w:sz w:val="20"/>
                <w:lang w:eastAsia="es-VE"/>
              </w:rPr>
            </w:pPr>
          </w:p>
        </w:tc>
        <w:tc>
          <w:tcPr>
            <w:tcW w:w="1379" w:type="dxa"/>
            <w:tcBorders>
              <w:left w:val="nil"/>
              <w:bottom w:val="single" w:sz="12" w:space="0" w:color="000000"/>
              <w:right w:val="nil"/>
            </w:tcBorders>
          </w:tcPr>
          <w:p w14:paraId="324C3081" w14:textId="77777777" w:rsidR="00405820" w:rsidRDefault="00405820">
            <w:pPr>
              <w:spacing w:before="80" w:after="80" w:line="220" w:lineRule="exact"/>
              <w:jc w:val="right"/>
              <w:rPr>
                <w:rFonts w:ascii="Times New Roman" w:eastAsia="Times New Roman" w:hAnsi="Times New Roman" w:cs="Times New Roman"/>
                <w:b/>
                <w:bCs/>
                <w:sz w:val="20"/>
                <w:lang w:eastAsia="es-VE"/>
              </w:rPr>
            </w:pPr>
          </w:p>
        </w:tc>
      </w:tr>
    </w:tbl>
    <w:p w14:paraId="46257CA5" w14:textId="77777777" w:rsidR="00405820" w:rsidRDefault="00405820">
      <w:pPr>
        <w:rPr>
          <w:rFonts w:ascii="Times New Roman" w:hAnsi="Times New Roman" w:cs="Times New Roman"/>
          <w:sz w:val="20"/>
          <w:szCs w:val="20"/>
        </w:rPr>
      </w:pPr>
    </w:p>
    <w:p w14:paraId="009DFE2E" w14:textId="07C55E7B" w:rsidR="00405820" w:rsidRDefault="002F4028" w:rsidP="00F26F54">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cuanto al delito de trata de personas, en especial de niños, niñas y adolescentes el MPPRIJP, a través de la Oficina Nacional contra la Delincuencia Organizada y Financiamiento al Terrorismo (ONCDOFT) realizó entre 2014 y 2019 cuatro estudios diagnósticos orientados a lograr la caracterización de la trata de personas en los principales puntos fronterizos del país</w:t>
      </w:r>
      <w:r>
        <w:rPr>
          <w:rStyle w:val="Ancladenotaalpie"/>
          <w:rFonts w:ascii="Times New Roman" w:hAnsi="Times New Roman" w:cs="Times New Roman"/>
          <w:sz w:val="20"/>
          <w:szCs w:val="20"/>
        </w:rPr>
        <w:footnoteReference w:id="62"/>
      </w:r>
      <w:r>
        <w:rPr>
          <w:rFonts w:ascii="Times New Roman" w:hAnsi="Times New Roman" w:cs="Times New Roman"/>
          <w:sz w:val="20"/>
          <w:szCs w:val="20"/>
        </w:rPr>
        <w:t>. Como resultado, se evidenció que un 10% del total de las víctimas de trata a nivel nacional son niños, niñas y adolescentes, la mayoría de los cuales se constituyen en víctimas de explotación sexual en países de destino o tránsito como Colombia y Ecuador.</w:t>
      </w:r>
    </w:p>
    <w:p w14:paraId="39C65460" w14:textId="77777777" w:rsidR="00F26F54" w:rsidRPr="00F26F54" w:rsidRDefault="00F26F54" w:rsidP="00F26F54">
      <w:pPr>
        <w:spacing w:after="0" w:line="240" w:lineRule="auto"/>
        <w:jc w:val="both"/>
        <w:rPr>
          <w:rFonts w:ascii="Times New Roman" w:eastAsia="Times New Roman" w:hAnsi="Times New Roman" w:cs="Times New Roman"/>
          <w:sz w:val="20"/>
          <w:szCs w:val="20"/>
        </w:rPr>
      </w:pPr>
    </w:p>
    <w:p w14:paraId="482CD3C5"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La Sala Constitucional del TSJ, en su sentencia </w:t>
      </w:r>
      <w:proofErr w:type="spellStart"/>
      <w:r>
        <w:rPr>
          <w:rFonts w:ascii="Times New Roman" w:hAnsi="Times New Roman" w:cs="Times New Roman"/>
          <w:sz w:val="20"/>
          <w:szCs w:val="20"/>
        </w:rPr>
        <w:t>Nº</w:t>
      </w:r>
      <w:proofErr w:type="spellEnd"/>
      <w:r>
        <w:rPr>
          <w:rFonts w:ascii="Times New Roman" w:hAnsi="Times New Roman" w:cs="Times New Roman"/>
          <w:sz w:val="20"/>
          <w:szCs w:val="20"/>
        </w:rPr>
        <w:t xml:space="preserve"> 1378 de 7 de marzo de 2014, determinó que los jueces y juezas especializados en delitos de violencia contra la mujer conocerán del delito de trata de personas, tipificado en el artículo 41 de la LOCDOFT cuando las víctimas del delito sean mujeres, niñas, niños y adolescentes (ambos sexos), pluralmente o concurriendo ambos sexos. En cambio, cuando la víctima del delito sea solamente varones adultos conocerán del delito de trata de personas los jueces y juezas con competencia en materia penal ordinaria. </w:t>
      </w:r>
    </w:p>
    <w:p w14:paraId="7AC51B15" w14:textId="77777777" w:rsidR="00405820" w:rsidRDefault="00405820">
      <w:pPr>
        <w:pStyle w:val="ListParagraph"/>
        <w:rPr>
          <w:rFonts w:eastAsia="Times New Roman" w:cs="Times New Roman"/>
          <w:sz w:val="20"/>
          <w:szCs w:val="20"/>
        </w:rPr>
      </w:pPr>
    </w:p>
    <w:p w14:paraId="76ACFD38" w14:textId="158BCF5A"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Desde </w:t>
      </w:r>
      <w:r w:rsidR="002C61C3">
        <w:rPr>
          <w:rFonts w:ascii="Times New Roman" w:hAnsi="Times New Roman" w:cs="Times New Roman"/>
          <w:sz w:val="20"/>
          <w:szCs w:val="20"/>
        </w:rPr>
        <w:t xml:space="preserve">el </w:t>
      </w:r>
      <w:r>
        <w:rPr>
          <w:rFonts w:ascii="Times New Roman" w:hAnsi="Times New Roman" w:cs="Times New Roman"/>
          <w:sz w:val="20"/>
          <w:szCs w:val="20"/>
        </w:rPr>
        <w:t>M</w:t>
      </w:r>
      <w:r w:rsidR="002C61C3">
        <w:rPr>
          <w:rFonts w:ascii="Times New Roman" w:hAnsi="Times New Roman" w:cs="Times New Roman"/>
          <w:sz w:val="20"/>
          <w:szCs w:val="20"/>
        </w:rPr>
        <w:t xml:space="preserve">inisterio </w:t>
      </w:r>
      <w:r>
        <w:rPr>
          <w:rFonts w:ascii="Times New Roman" w:hAnsi="Times New Roman" w:cs="Times New Roman"/>
          <w:sz w:val="20"/>
          <w:szCs w:val="20"/>
        </w:rPr>
        <w:t>P</w:t>
      </w:r>
      <w:r w:rsidR="002C61C3">
        <w:rPr>
          <w:rFonts w:ascii="Times New Roman" w:hAnsi="Times New Roman" w:cs="Times New Roman"/>
          <w:sz w:val="20"/>
          <w:szCs w:val="20"/>
        </w:rPr>
        <w:t>úblico (MP)</w:t>
      </w:r>
      <w:r>
        <w:rPr>
          <w:rFonts w:ascii="Times New Roman" w:hAnsi="Times New Roman" w:cs="Times New Roman"/>
          <w:sz w:val="20"/>
          <w:szCs w:val="20"/>
        </w:rPr>
        <w:t>, M</w:t>
      </w:r>
      <w:r w:rsidR="002C61C3">
        <w:rPr>
          <w:rFonts w:ascii="Times New Roman" w:hAnsi="Times New Roman" w:cs="Times New Roman"/>
          <w:sz w:val="20"/>
          <w:szCs w:val="20"/>
        </w:rPr>
        <w:t>inisterio del Poder Popular para Relaciones Interiores Justicia y Paz (MPPRIJP)</w:t>
      </w:r>
      <w:r>
        <w:rPr>
          <w:rFonts w:ascii="Times New Roman" w:hAnsi="Times New Roman" w:cs="Times New Roman"/>
          <w:sz w:val="20"/>
          <w:szCs w:val="20"/>
        </w:rPr>
        <w:t xml:space="preserve"> y la D</w:t>
      </w:r>
      <w:r w:rsidR="002C61C3">
        <w:rPr>
          <w:rFonts w:ascii="Times New Roman" w:hAnsi="Times New Roman" w:cs="Times New Roman"/>
          <w:sz w:val="20"/>
          <w:szCs w:val="20"/>
        </w:rPr>
        <w:t xml:space="preserve">efensoría </w:t>
      </w:r>
      <w:r>
        <w:rPr>
          <w:rFonts w:ascii="Times New Roman" w:hAnsi="Times New Roman" w:cs="Times New Roman"/>
          <w:sz w:val="20"/>
          <w:szCs w:val="20"/>
        </w:rPr>
        <w:t>d</w:t>
      </w:r>
      <w:r w:rsidR="002C61C3">
        <w:rPr>
          <w:rFonts w:ascii="Times New Roman" w:hAnsi="Times New Roman" w:cs="Times New Roman"/>
          <w:sz w:val="20"/>
          <w:szCs w:val="20"/>
        </w:rPr>
        <w:t xml:space="preserve">el </w:t>
      </w:r>
      <w:r>
        <w:rPr>
          <w:rFonts w:ascii="Times New Roman" w:hAnsi="Times New Roman" w:cs="Times New Roman"/>
          <w:sz w:val="20"/>
          <w:szCs w:val="20"/>
        </w:rPr>
        <w:t>P</w:t>
      </w:r>
      <w:r w:rsidR="002C61C3">
        <w:rPr>
          <w:rFonts w:ascii="Times New Roman" w:hAnsi="Times New Roman" w:cs="Times New Roman"/>
          <w:sz w:val="20"/>
          <w:szCs w:val="20"/>
        </w:rPr>
        <w:t>ueblo(</w:t>
      </w:r>
      <w:proofErr w:type="spellStart"/>
      <w:r w:rsidR="002C61C3">
        <w:rPr>
          <w:rFonts w:ascii="Times New Roman" w:hAnsi="Times New Roman" w:cs="Times New Roman"/>
          <w:sz w:val="20"/>
          <w:szCs w:val="20"/>
        </w:rPr>
        <w:t>DdP</w:t>
      </w:r>
      <w:proofErr w:type="spellEnd"/>
      <w:r w:rsidR="002C61C3">
        <w:rPr>
          <w:rFonts w:ascii="Times New Roman" w:hAnsi="Times New Roman" w:cs="Times New Roman"/>
          <w:sz w:val="20"/>
          <w:szCs w:val="20"/>
        </w:rPr>
        <w:t>),</w:t>
      </w:r>
      <w:r>
        <w:rPr>
          <w:rFonts w:ascii="Times New Roman" w:hAnsi="Times New Roman" w:cs="Times New Roman"/>
          <w:sz w:val="20"/>
          <w:szCs w:val="20"/>
        </w:rPr>
        <w:t xml:space="preserve"> se ejecutaron diversos talleres para fortalecer la prevención, atención integral y la investigación penal del delito de trata de personas, dirigidos a funcionarias y funcionarios de los organismos de seguridad, fiscales del MP, jueces y juezas del Poder Judicial y consejeros y consejeras de protección de niños, niñas y adolescentes. Desde el 2014 hasta 2019 se capacitaron a 1.405 servidoras y servidores públicos en la materia de trata de personas y tráfico ilícito de migrantes.</w:t>
      </w:r>
    </w:p>
    <w:p w14:paraId="657B52A4" w14:textId="77777777" w:rsidR="00405820" w:rsidRDefault="00405820">
      <w:pPr>
        <w:pStyle w:val="ListParagraph"/>
        <w:rPr>
          <w:rFonts w:cs="Times New Roman"/>
          <w:sz w:val="20"/>
          <w:szCs w:val="20"/>
        </w:rPr>
      </w:pPr>
    </w:p>
    <w:p w14:paraId="471E3CD0"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el marco del convenio entre </w:t>
      </w:r>
      <w:proofErr w:type="spellStart"/>
      <w:r>
        <w:rPr>
          <w:rFonts w:ascii="Times New Roman" w:hAnsi="Times New Roman" w:cs="Times New Roman"/>
          <w:sz w:val="20"/>
          <w:szCs w:val="20"/>
        </w:rPr>
        <w:t>DdP</w:t>
      </w:r>
      <w:proofErr w:type="spellEnd"/>
      <w:r>
        <w:rPr>
          <w:rFonts w:ascii="Times New Roman" w:hAnsi="Times New Roman" w:cs="Times New Roman"/>
          <w:sz w:val="20"/>
          <w:szCs w:val="20"/>
        </w:rPr>
        <w:t xml:space="preserve"> y ACNUR se distribuyeron nueve mil (9.000) materiales divulgativos en materia de prevención de la trata de personas, orientados a evitar la captación y engaño a través de las redes sociales, así como a alertar ante posibles ofertas engañosas a las personas que deciden migrar. </w:t>
      </w:r>
    </w:p>
    <w:p w14:paraId="6E0FCC3B" w14:textId="77777777" w:rsidR="00405820" w:rsidRDefault="00405820">
      <w:pPr>
        <w:pStyle w:val="ListParagraph"/>
        <w:rPr>
          <w:rFonts w:cs="Times New Roman"/>
          <w:sz w:val="20"/>
          <w:szCs w:val="20"/>
        </w:rPr>
      </w:pPr>
    </w:p>
    <w:p w14:paraId="6F1AD703"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2020 la </w:t>
      </w:r>
      <w:proofErr w:type="spellStart"/>
      <w:r>
        <w:rPr>
          <w:rFonts w:ascii="Times New Roman" w:hAnsi="Times New Roman" w:cs="Times New Roman"/>
          <w:sz w:val="20"/>
          <w:szCs w:val="20"/>
        </w:rPr>
        <w:t>DdP</w:t>
      </w:r>
      <w:proofErr w:type="spellEnd"/>
      <w:r>
        <w:rPr>
          <w:rFonts w:ascii="Times New Roman" w:hAnsi="Times New Roman" w:cs="Times New Roman"/>
          <w:sz w:val="20"/>
          <w:szCs w:val="20"/>
        </w:rPr>
        <w:t xml:space="preserve"> creó la Defensoría Delegada Especial con competencia a nivel nacional para la Protección de las personas migrantes, refugiadas y víctimas de trata de personas.</w:t>
      </w:r>
      <w:r>
        <w:rPr>
          <w:rStyle w:val="Ancladenotaalpie"/>
          <w:rFonts w:ascii="Times New Roman" w:hAnsi="Times New Roman" w:cs="Times New Roman"/>
          <w:sz w:val="20"/>
          <w:szCs w:val="20"/>
        </w:rPr>
        <w:footnoteReference w:id="63"/>
      </w:r>
      <w:r>
        <w:rPr>
          <w:rFonts w:ascii="Times New Roman" w:hAnsi="Times New Roman" w:cs="Times New Roman"/>
          <w:sz w:val="20"/>
          <w:szCs w:val="20"/>
        </w:rPr>
        <w:t xml:space="preserve">  Entre 2019 y 2020, la RBV adoptó las siguientes acciones adicionales para prevenir y combatir la trata de mujeres, niñas y adolescentes: </w:t>
      </w:r>
    </w:p>
    <w:p w14:paraId="73B7775C" w14:textId="77777777" w:rsidR="00405820" w:rsidRDefault="00405820">
      <w:pPr>
        <w:spacing w:after="0" w:line="240" w:lineRule="auto"/>
        <w:jc w:val="both"/>
        <w:rPr>
          <w:rFonts w:ascii="Times New Roman" w:eastAsia="Times New Roman" w:hAnsi="Times New Roman" w:cs="Times New Roman"/>
          <w:sz w:val="20"/>
          <w:szCs w:val="20"/>
        </w:rPr>
      </w:pPr>
    </w:p>
    <w:p w14:paraId="606B0C91" w14:textId="77777777" w:rsidR="00405820" w:rsidRDefault="002F4028">
      <w:pPr>
        <w:pStyle w:val="ListParagraph"/>
        <w:numPr>
          <w:ilvl w:val="0"/>
          <w:numId w:val="3"/>
        </w:numPr>
        <w:spacing w:line="240" w:lineRule="auto"/>
        <w:jc w:val="both"/>
        <w:rPr>
          <w:rFonts w:eastAsia="Times New Roman" w:cs="Times New Roman"/>
          <w:sz w:val="20"/>
          <w:szCs w:val="20"/>
        </w:rPr>
      </w:pPr>
      <w:r>
        <w:rPr>
          <w:rFonts w:cs="Times New Roman"/>
          <w:sz w:val="20"/>
          <w:szCs w:val="20"/>
        </w:rPr>
        <w:t>Creación del Consejo Nacional contra la Trata de Personas, que integra y coordina esfuerzos nacionales para la prevención, atención, investigación y sanción del delito.</w:t>
      </w:r>
    </w:p>
    <w:p w14:paraId="05CDF22B" w14:textId="77777777" w:rsidR="00405820" w:rsidRDefault="002F4028">
      <w:pPr>
        <w:pStyle w:val="ListParagraph"/>
        <w:numPr>
          <w:ilvl w:val="0"/>
          <w:numId w:val="3"/>
        </w:numPr>
        <w:spacing w:line="240" w:lineRule="auto"/>
        <w:jc w:val="both"/>
        <w:rPr>
          <w:rFonts w:eastAsia="Times New Roman" w:cs="Times New Roman"/>
          <w:sz w:val="20"/>
          <w:szCs w:val="20"/>
        </w:rPr>
      </w:pPr>
      <w:r>
        <w:rPr>
          <w:rFonts w:cs="Times New Roman"/>
          <w:sz w:val="20"/>
          <w:szCs w:val="20"/>
        </w:rPr>
        <w:t xml:space="preserve">Campaña </w:t>
      </w:r>
      <w:r>
        <w:rPr>
          <w:rFonts w:cs="Times New Roman"/>
          <w:i/>
          <w:sz w:val="20"/>
          <w:szCs w:val="20"/>
        </w:rPr>
        <w:t>“Hablemos de Personas, no de mercancía, con la Trata no se negocia”.</w:t>
      </w:r>
    </w:p>
    <w:p w14:paraId="48D006C8" w14:textId="77777777" w:rsidR="00405820" w:rsidRDefault="002F4028">
      <w:pPr>
        <w:pStyle w:val="ListParagraph"/>
        <w:numPr>
          <w:ilvl w:val="0"/>
          <w:numId w:val="3"/>
        </w:numPr>
        <w:spacing w:line="240" w:lineRule="auto"/>
        <w:jc w:val="both"/>
        <w:rPr>
          <w:rFonts w:eastAsia="Times New Roman" w:cs="Times New Roman"/>
          <w:sz w:val="20"/>
          <w:szCs w:val="20"/>
        </w:rPr>
      </w:pPr>
      <w:r>
        <w:rPr>
          <w:rFonts w:cs="Times New Roman"/>
          <w:sz w:val="20"/>
          <w:szCs w:val="20"/>
        </w:rPr>
        <w:t>Mesa de trabajo interinstitucional para la generación de protocolo de atención a mujeres y niñas víctimas de trata de personas.</w:t>
      </w:r>
    </w:p>
    <w:p w14:paraId="6FA0F21B" w14:textId="77777777" w:rsidR="00405820" w:rsidRDefault="002F4028">
      <w:pPr>
        <w:pStyle w:val="ListParagraph"/>
        <w:numPr>
          <w:ilvl w:val="0"/>
          <w:numId w:val="3"/>
        </w:numPr>
        <w:spacing w:line="240" w:lineRule="auto"/>
        <w:jc w:val="both"/>
        <w:rPr>
          <w:rFonts w:eastAsia="Times New Roman" w:cs="Times New Roman"/>
          <w:sz w:val="20"/>
          <w:szCs w:val="20"/>
        </w:rPr>
      </w:pPr>
      <w:r>
        <w:rPr>
          <w:rFonts w:cs="Times New Roman"/>
          <w:sz w:val="20"/>
          <w:szCs w:val="20"/>
        </w:rPr>
        <w:t xml:space="preserve">Comisión Interinstitucional contra la Trata de Personas, en coordinación con la </w:t>
      </w:r>
      <w:proofErr w:type="spellStart"/>
      <w:r>
        <w:rPr>
          <w:rFonts w:cs="Times New Roman"/>
          <w:sz w:val="20"/>
          <w:szCs w:val="20"/>
        </w:rPr>
        <w:t>DdP</w:t>
      </w:r>
      <w:proofErr w:type="spellEnd"/>
      <w:r>
        <w:rPr>
          <w:rFonts w:cs="Times New Roman"/>
          <w:sz w:val="20"/>
          <w:szCs w:val="20"/>
        </w:rPr>
        <w:t xml:space="preserve">, ONAIVV y los Ministerios del Poder Popular para el Trabajo y para Relaciones Exteriores. </w:t>
      </w:r>
    </w:p>
    <w:p w14:paraId="0C74F2A5" w14:textId="77777777" w:rsidR="00405820" w:rsidRDefault="00405820">
      <w:pPr>
        <w:pStyle w:val="ListParagraph"/>
        <w:spacing w:line="240" w:lineRule="auto"/>
        <w:jc w:val="both"/>
        <w:rPr>
          <w:rFonts w:eastAsia="Times New Roman" w:cs="Times New Roman"/>
          <w:sz w:val="20"/>
          <w:szCs w:val="20"/>
        </w:rPr>
      </w:pPr>
    </w:p>
    <w:p w14:paraId="7D8D48BA" w14:textId="30699EE0"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los casos de trata externa, el Ministerio del Poder Popular para Relaciones Exteriores (MPPRE) procesa ante la autoridad competente</w:t>
      </w:r>
      <w:r w:rsidR="0073782D">
        <w:rPr>
          <w:rFonts w:ascii="Times New Roman" w:hAnsi="Times New Roman" w:cs="Times New Roman"/>
          <w:sz w:val="20"/>
          <w:szCs w:val="20"/>
        </w:rPr>
        <w:t>,</w:t>
      </w:r>
      <w:r>
        <w:rPr>
          <w:rFonts w:ascii="Times New Roman" w:hAnsi="Times New Roman" w:cs="Times New Roman"/>
          <w:sz w:val="20"/>
          <w:szCs w:val="20"/>
        </w:rPr>
        <w:t xml:space="preserve"> las solicitudes y reportes realizados por las Misiones Diplomáticas y Oficinas Consulares, referidas a los casos de personas venezolanas víctimas de</w:t>
      </w:r>
      <w:r w:rsidR="0073782D">
        <w:rPr>
          <w:rFonts w:ascii="Times New Roman" w:hAnsi="Times New Roman" w:cs="Times New Roman"/>
          <w:sz w:val="20"/>
          <w:szCs w:val="20"/>
        </w:rPr>
        <w:t>l</w:t>
      </w:r>
      <w:r>
        <w:rPr>
          <w:rFonts w:ascii="Times New Roman" w:hAnsi="Times New Roman" w:cs="Times New Roman"/>
          <w:sz w:val="20"/>
          <w:szCs w:val="20"/>
        </w:rPr>
        <w:t xml:space="preserve"> delito</w:t>
      </w:r>
      <w:r w:rsidR="0073782D">
        <w:rPr>
          <w:rFonts w:ascii="Times New Roman" w:hAnsi="Times New Roman" w:cs="Times New Roman"/>
          <w:sz w:val="20"/>
          <w:szCs w:val="20"/>
        </w:rPr>
        <w:t xml:space="preserve"> de trata</w:t>
      </w:r>
      <w:r>
        <w:rPr>
          <w:rFonts w:ascii="Times New Roman" w:hAnsi="Times New Roman" w:cs="Times New Roman"/>
          <w:sz w:val="20"/>
          <w:szCs w:val="20"/>
        </w:rPr>
        <w:t xml:space="preserve">. Desde el mes de marzo de 2017 hasta junio de 2019 se registraron un total de 11 casos. En cinco casos se realizó la repatriación efectiva de las víctimas desde Panamá, Italia, Guinea Ecuatorial y Brasil hacia Venezuela. </w:t>
      </w:r>
    </w:p>
    <w:p w14:paraId="302C0EE4" w14:textId="77777777" w:rsidR="00405820" w:rsidRDefault="00405820">
      <w:pPr>
        <w:spacing w:after="0" w:line="240" w:lineRule="auto"/>
        <w:jc w:val="both"/>
        <w:rPr>
          <w:rFonts w:ascii="Times New Roman" w:eastAsia="Times New Roman" w:hAnsi="Times New Roman" w:cs="Times New Roman"/>
          <w:sz w:val="20"/>
          <w:szCs w:val="20"/>
        </w:rPr>
      </w:pPr>
    </w:p>
    <w:p w14:paraId="25441C78"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2015 la Defensoría del Pueblo realizó un diagnóstico sobre la Trata de Personas en Venezuela y participó en la elaboración de la Estrategia Defensorial Andina para la Protección integral de las Víctimas Sobrevivientes de Trata de Personas en Bolivia, Colombia, Ecuador, Perú y Venezuela, coordinado por la Federación Iberoamericana de Ombudsman, a través de la cual se crean espacios de coordinación regional en la materia. </w:t>
      </w:r>
    </w:p>
    <w:p w14:paraId="4104E0B0" w14:textId="77777777" w:rsidR="00405820" w:rsidRDefault="00405820">
      <w:pPr>
        <w:pStyle w:val="ListParagraph"/>
        <w:rPr>
          <w:rFonts w:cs="Times New Roman"/>
          <w:sz w:val="20"/>
          <w:szCs w:val="20"/>
        </w:rPr>
      </w:pPr>
    </w:p>
    <w:p w14:paraId="732CA982"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Por su parte, el CICPC desde el año 2016 trabaja con el protocolo de atención de los casos de menores de 18 años en materia de trata y tráfico de niños, niñas y adolescentes y en 2020 abrió la Oficina de Medicatura y Ciencias Forenses en los espacios de la División de Investigaciones de Delitos contra la Mujer, Niño, Niña y Adolescente, para coadyuvar de forma eficiente y eficaz en el proceso de investigación, (abuso sexual y tratos crueles) y proporcionar a las víctimas y familiares un servicio integral conformado por un equipo de profesionales interdisciplinarios.</w:t>
      </w:r>
    </w:p>
    <w:p w14:paraId="136FDDCF" w14:textId="77777777" w:rsidR="00405820" w:rsidRDefault="00405820">
      <w:pPr>
        <w:pStyle w:val="ListParagraph"/>
        <w:rPr>
          <w:rFonts w:cs="Times New Roman"/>
          <w:sz w:val="20"/>
          <w:szCs w:val="20"/>
        </w:rPr>
      </w:pPr>
    </w:p>
    <w:p w14:paraId="459D1229"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cuanto a la explotación y abuso sexual, la Dirección General de Prevención del Delito del MPPRIJP ejecutó entre el período 2012-2020 un total de 1.815 acciones formativas a nivel nacional sobre explotación y abuso sexual, en las cuales fueron beneficiados 168.433 niños, niñas y adolescentes, las cuales abarcaron temas de salud, educación, cultura, deporte, alimentación y recreación.</w:t>
      </w:r>
    </w:p>
    <w:p w14:paraId="35CE7F12" w14:textId="77777777" w:rsidR="00405820" w:rsidRDefault="00405820">
      <w:pPr>
        <w:pStyle w:val="ListParagraph"/>
        <w:rPr>
          <w:rFonts w:cs="Times New Roman"/>
          <w:sz w:val="20"/>
          <w:szCs w:val="20"/>
        </w:rPr>
      </w:pPr>
    </w:p>
    <w:p w14:paraId="4DED96A7"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La Defensoría del Pueblo y el Ministerio del Poder Popular para la Salud (MPPS), en colaboración con las oficinas del UNFPA, la OMS y UNICEF, han desarrollado diversos mecanismos para la atención de casos de violencia sexual contra las mujeres, niñas y adolescentes, destacando: a) la Ruta de atención institucional del abuso sexual de niños, niñas y adolescentes (2016) y b) el Protocolo para la atención de casos de violencia sexual.</w:t>
      </w:r>
    </w:p>
    <w:p w14:paraId="2EB95897" w14:textId="77777777" w:rsidR="00405820" w:rsidRDefault="00405820">
      <w:pPr>
        <w:pStyle w:val="ListParagraph"/>
        <w:rPr>
          <w:rFonts w:cs="Times New Roman"/>
          <w:sz w:val="20"/>
          <w:szCs w:val="20"/>
        </w:rPr>
      </w:pPr>
    </w:p>
    <w:p w14:paraId="17885D1E" w14:textId="396B06BD"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En el período 2014–2020, el MPPRIJP desarrolló </w:t>
      </w:r>
      <w:r w:rsidR="0086562B">
        <w:rPr>
          <w:rFonts w:ascii="Times New Roman" w:hAnsi="Times New Roman" w:cs="Times New Roman"/>
          <w:sz w:val="20"/>
          <w:szCs w:val="20"/>
        </w:rPr>
        <w:t>8</w:t>
      </w:r>
      <w:r>
        <w:rPr>
          <w:rFonts w:ascii="Times New Roman" w:hAnsi="Times New Roman" w:cs="Times New Roman"/>
          <w:sz w:val="20"/>
          <w:szCs w:val="20"/>
        </w:rPr>
        <w:t xml:space="preserve"> programas de formación dirigidos a cuerpos policiales en materia de violencia contra las mujeres y niñas, alcanzando</w:t>
      </w:r>
      <w:r w:rsidR="0086562B">
        <w:rPr>
          <w:rFonts w:ascii="Times New Roman" w:hAnsi="Times New Roman" w:cs="Times New Roman"/>
          <w:sz w:val="20"/>
          <w:szCs w:val="20"/>
        </w:rPr>
        <w:t xml:space="preserve"> </w:t>
      </w:r>
      <w:r>
        <w:rPr>
          <w:rFonts w:ascii="Times New Roman" w:hAnsi="Times New Roman" w:cs="Times New Roman"/>
          <w:sz w:val="20"/>
          <w:szCs w:val="20"/>
        </w:rPr>
        <w:t>49.777 funcionarios y funcionarias formadas. Igualmente, se realizaron 21 investigaciones o estudios en materia de violencia contra las mujeres y niñas, junto a 22</w:t>
      </w:r>
      <w:r w:rsidR="0086562B">
        <w:rPr>
          <w:rFonts w:ascii="Times New Roman" w:hAnsi="Times New Roman" w:cs="Times New Roman"/>
          <w:sz w:val="20"/>
          <w:szCs w:val="20"/>
        </w:rPr>
        <w:t xml:space="preserve"> </w:t>
      </w:r>
      <w:r>
        <w:rPr>
          <w:rFonts w:ascii="Times New Roman" w:hAnsi="Times New Roman" w:cs="Times New Roman"/>
          <w:sz w:val="20"/>
          <w:szCs w:val="20"/>
        </w:rPr>
        <w:t xml:space="preserve">campañas de sensibilización en materia de prevención y atención de la violencia contra mujeres, niñas y adolescentes. En el mismo período, se implementaron diferentes estrategias formativas </w:t>
      </w:r>
      <w:r w:rsidR="00E92B15">
        <w:rPr>
          <w:rFonts w:ascii="Times New Roman" w:hAnsi="Times New Roman" w:cs="Times New Roman"/>
          <w:sz w:val="20"/>
          <w:szCs w:val="20"/>
        </w:rPr>
        <w:t xml:space="preserve">que </w:t>
      </w:r>
      <w:r>
        <w:rPr>
          <w:rFonts w:ascii="Times New Roman" w:hAnsi="Times New Roman" w:cs="Times New Roman"/>
          <w:sz w:val="20"/>
          <w:szCs w:val="20"/>
        </w:rPr>
        <w:t>abarca</w:t>
      </w:r>
      <w:r w:rsidR="00E92B15">
        <w:rPr>
          <w:rFonts w:ascii="Times New Roman" w:hAnsi="Times New Roman" w:cs="Times New Roman"/>
          <w:sz w:val="20"/>
          <w:szCs w:val="20"/>
        </w:rPr>
        <w:t>ron</w:t>
      </w:r>
      <w:r>
        <w:rPr>
          <w:rFonts w:ascii="Times New Roman" w:hAnsi="Times New Roman" w:cs="Times New Roman"/>
          <w:sz w:val="20"/>
          <w:szCs w:val="20"/>
        </w:rPr>
        <w:t xml:space="preserve"> a  485.000</w:t>
      </w:r>
      <w:r w:rsidR="0086562B">
        <w:rPr>
          <w:rFonts w:ascii="Times New Roman" w:hAnsi="Times New Roman" w:cs="Times New Roman"/>
          <w:sz w:val="20"/>
          <w:szCs w:val="20"/>
        </w:rPr>
        <w:t xml:space="preserve"> </w:t>
      </w:r>
      <w:r>
        <w:rPr>
          <w:rFonts w:ascii="Times New Roman" w:hAnsi="Times New Roman" w:cs="Times New Roman"/>
          <w:sz w:val="20"/>
          <w:szCs w:val="20"/>
        </w:rPr>
        <w:t xml:space="preserve"> personas.</w:t>
      </w:r>
    </w:p>
    <w:p w14:paraId="65690D94" w14:textId="77777777" w:rsidR="00405820" w:rsidRDefault="00405820">
      <w:pPr>
        <w:pStyle w:val="ListParagraph"/>
        <w:rPr>
          <w:rFonts w:cs="Times New Roman"/>
          <w:sz w:val="20"/>
          <w:szCs w:val="20"/>
        </w:rPr>
      </w:pPr>
    </w:p>
    <w:p w14:paraId="0A3AE420" w14:textId="4740A99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el período 2014-2019 la ONCDOFT participó en 12 actividades de cooperación con otros estados, entre ellos, Argentina, Bolivia, Colombia, Ecuador, Perú y Uruguay, en las cuales se desarrolló un intercambio de buenas prácticas y experiencias para prevenir y reprimir el delito de trata de niños, niñas y adolescentes, específicamente su explotación sexual y la pornografía infantil.</w:t>
      </w:r>
    </w:p>
    <w:p w14:paraId="104E4EAF" w14:textId="77777777" w:rsidR="00405820" w:rsidRDefault="00405820">
      <w:pPr>
        <w:pStyle w:val="ListParagraph"/>
        <w:rPr>
          <w:rFonts w:cs="Times New Roman"/>
          <w:sz w:val="20"/>
          <w:szCs w:val="20"/>
        </w:rPr>
      </w:pPr>
    </w:p>
    <w:p w14:paraId="272D45C0" w14:textId="3FDD7493" w:rsidR="00405820" w:rsidRDefault="002F4028">
      <w:pPr>
        <w:numPr>
          <w:ilvl w:val="0"/>
          <w:numId w:val="1"/>
        </w:numPr>
        <w:spacing w:after="0" w:line="240" w:lineRule="auto"/>
        <w:ind w:left="0" w:firstLine="0"/>
        <w:jc w:val="both"/>
      </w:pPr>
      <w:r>
        <w:rPr>
          <w:rFonts w:ascii="Times New Roman" w:hAnsi="Times New Roman" w:cs="Times New Roman"/>
          <w:sz w:val="20"/>
          <w:szCs w:val="20"/>
        </w:rPr>
        <w:t>En cuanto a la Recomendación 7 a) durante el período 2014-2019, la ONCDOFT realizó diferentes actividades en materia de capacitación de funcionarios para la prevención de la trata de personas, que incluyen un Plan de trabajo con el Alto Comisionado de las Naciones Unidas para los Refugiados (ACNUR), con un total de 1.453 funcionarios capacitados en los estados Apure, Distrito Capital, Táchira y Zulia. Igualmente, se realizó una capacitación especializada en materia del delito de trata de personas en todas sus manifestaciones, con especial atención a los delitos de explotación sexual, laboral</w:t>
      </w:r>
      <w:r w:rsidR="00022156">
        <w:rPr>
          <w:rFonts w:ascii="Times New Roman" w:hAnsi="Times New Roman" w:cs="Times New Roman"/>
          <w:sz w:val="20"/>
          <w:szCs w:val="20"/>
        </w:rPr>
        <w:t xml:space="preserve"> y </w:t>
      </w:r>
      <w:r>
        <w:rPr>
          <w:rFonts w:ascii="Times New Roman" w:hAnsi="Times New Roman" w:cs="Times New Roman"/>
          <w:sz w:val="20"/>
          <w:szCs w:val="20"/>
        </w:rPr>
        <w:t>esclavitud</w:t>
      </w:r>
      <w:r w:rsidR="00022156">
        <w:rPr>
          <w:rFonts w:ascii="Times New Roman" w:hAnsi="Times New Roman" w:cs="Times New Roman"/>
          <w:sz w:val="20"/>
          <w:szCs w:val="20"/>
        </w:rPr>
        <w:t>.</w:t>
      </w:r>
    </w:p>
    <w:p w14:paraId="0ED996BE" w14:textId="77777777" w:rsidR="00405820" w:rsidRDefault="00405820">
      <w:pPr>
        <w:pStyle w:val="ListParagraph"/>
        <w:rPr>
          <w:rFonts w:cs="Times New Roman"/>
          <w:sz w:val="20"/>
          <w:szCs w:val="20"/>
        </w:rPr>
      </w:pPr>
    </w:p>
    <w:p w14:paraId="4C78AF25" w14:textId="63A3E658" w:rsidR="00405820" w:rsidRDefault="002F4028">
      <w:pPr>
        <w:numPr>
          <w:ilvl w:val="0"/>
          <w:numId w:val="1"/>
        </w:numPr>
        <w:spacing w:after="0" w:line="240" w:lineRule="auto"/>
        <w:ind w:left="0" w:firstLine="0"/>
        <w:jc w:val="both"/>
      </w:pPr>
      <w:r>
        <w:rPr>
          <w:rFonts w:ascii="Times New Roman" w:hAnsi="Times New Roman" w:cs="Times New Roman"/>
          <w:sz w:val="20"/>
          <w:szCs w:val="20"/>
        </w:rPr>
        <w:t>Entre 2014 y 2015 se capacitaron</w:t>
      </w:r>
      <w:r w:rsidR="00D46394">
        <w:rPr>
          <w:rFonts w:ascii="Times New Roman" w:hAnsi="Times New Roman" w:cs="Times New Roman"/>
          <w:sz w:val="20"/>
          <w:szCs w:val="20"/>
        </w:rPr>
        <w:t xml:space="preserve"> </w:t>
      </w:r>
      <w:r>
        <w:rPr>
          <w:rFonts w:ascii="Times New Roman" w:hAnsi="Times New Roman" w:cs="Times New Roman"/>
          <w:sz w:val="20"/>
          <w:szCs w:val="20"/>
        </w:rPr>
        <w:t>1.833</w:t>
      </w:r>
      <w:r w:rsidR="00D46394">
        <w:rPr>
          <w:rFonts w:ascii="Times New Roman" w:hAnsi="Times New Roman" w:cs="Times New Roman"/>
          <w:sz w:val="20"/>
          <w:szCs w:val="20"/>
        </w:rPr>
        <w:t xml:space="preserve"> </w:t>
      </w:r>
      <w:r>
        <w:rPr>
          <w:rFonts w:ascii="Times New Roman" w:hAnsi="Times New Roman" w:cs="Times New Roman"/>
          <w:sz w:val="20"/>
          <w:szCs w:val="20"/>
        </w:rPr>
        <w:t>funcionarios del CPNB, policías estatales y municipales, el CICPC, Protección Civil, Cuerpo de Bomberos, la Fuerza Armada Nacional Bolivariana, Control Migratorio de Puertos, Aeropuertos y Puestos Fronterizos, Ministerio Público, Poder Judicial, y defensores de niños, niñas y adolescentes. Entre 2016 y 2017, se dictaron talleres de formación a 1.227 funcionarios y funcionarias de las mismas instituciones, mientras que para el período 2018-2019,  1.938</w:t>
      </w:r>
      <w:r w:rsidR="00932237">
        <w:rPr>
          <w:rFonts w:ascii="Times New Roman" w:hAnsi="Times New Roman" w:cs="Times New Roman"/>
          <w:sz w:val="20"/>
          <w:szCs w:val="20"/>
        </w:rPr>
        <w:t xml:space="preserve"> </w:t>
      </w:r>
      <w:r>
        <w:rPr>
          <w:rFonts w:ascii="Times New Roman" w:hAnsi="Times New Roman" w:cs="Times New Roman"/>
          <w:sz w:val="20"/>
          <w:szCs w:val="20"/>
        </w:rPr>
        <w:t>funcionarios y funcionarias.</w:t>
      </w:r>
    </w:p>
    <w:p w14:paraId="4CE3FA27" w14:textId="77777777" w:rsidR="00405820" w:rsidRDefault="00405820">
      <w:pPr>
        <w:spacing w:after="0" w:line="240" w:lineRule="auto"/>
        <w:ind w:left="720"/>
        <w:jc w:val="both"/>
        <w:rPr>
          <w:rFonts w:ascii="Times New Roman" w:hAnsi="Times New Roman" w:cs="Times New Roman"/>
          <w:sz w:val="20"/>
          <w:szCs w:val="20"/>
        </w:rPr>
      </w:pPr>
    </w:p>
    <w:p w14:paraId="61009098" w14:textId="77777777" w:rsidR="00405820" w:rsidRDefault="002F4028">
      <w:pPr>
        <w:numPr>
          <w:ilvl w:val="0"/>
          <w:numId w:val="1"/>
        </w:numPr>
        <w:spacing w:after="0" w:line="240" w:lineRule="auto"/>
        <w:ind w:left="0" w:firstLine="0"/>
        <w:jc w:val="both"/>
      </w:pPr>
      <w:r>
        <w:rPr>
          <w:rFonts w:ascii="Times New Roman" w:eastAsia="Times New Roman" w:hAnsi="Times New Roman" w:cs="Arial"/>
          <w:sz w:val="20"/>
          <w:szCs w:val="20"/>
          <w:lang w:val="es-MX"/>
        </w:rPr>
        <w:t>El IDENNA durante el año 2021 promovió la consulta y divulgación de los contenidos de la Ley para la Prevención y Erradicación del Abuso Sexual contra Niños, Niñas y Adolescentes y logró sensibilizar durante los años 2022-2024 a más de 200.000 personas.</w:t>
      </w:r>
    </w:p>
    <w:p w14:paraId="6DB7FCAB" w14:textId="77777777" w:rsidR="00405820" w:rsidRDefault="00405820">
      <w:pPr>
        <w:spacing w:after="0" w:line="240" w:lineRule="auto"/>
        <w:ind w:left="720"/>
        <w:jc w:val="both"/>
        <w:rPr>
          <w:rFonts w:ascii="Arial" w:eastAsia="Times New Roman" w:hAnsi="Arial" w:cs="Arial"/>
          <w:sz w:val="24"/>
          <w:szCs w:val="24"/>
          <w:lang w:val="es-MX"/>
        </w:rPr>
      </w:pPr>
    </w:p>
    <w:p w14:paraId="46652A13" w14:textId="77777777" w:rsidR="00405820" w:rsidRDefault="002F4028">
      <w:pPr>
        <w:numPr>
          <w:ilvl w:val="0"/>
          <w:numId w:val="1"/>
        </w:numPr>
        <w:spacing w:after="0" w:line="240" w:lineRule="auto"/>
        <w:ind w:left="0" w:firstLine="0"/>
        <w:jc w:val="both"/>
      </w:pPr>
      <w:r>
        <w:rPr>
          <w:rFonts w:ascii="Times New Roman" w:hAnsi="Times New Roman" w:cs="Arial"/>
          <w:sz w:val="20"/>
          <w:szCs w:val="20"/>
          <w:lang w:val="es-MX"/>
        </w:rPr>
        <w:t xml:space="preserve">Con la promulgación de la Ley para la Prevención y Erradicación del Abuso Sexual Contra Niñas, Niños y Adolescente en el año 2021, se </w:t>
      </w:r>
      <w:proofErr w:type="spellStart"/>
      <w:r>
        <w:rPr>
          <w:rFonts w:ascii="Times New Roman" w:hAnsi="Times New Roman" w:cs="Arial"/>
          <w:sz w:val="20"/>
          <w:szCs w:val="20"/>
          <w:lang w:val="es-MX"/>
        </w:rPr>
        <w:t>creo</w:t>
      </w:r>
      <w:proofErr w:type="spellEnd"/>
      <w:r>
        <w:rPr>
          <w:rFonts w:ascii="Times New Roman" w:hAnsi="Times New Roman" w:cs="Arial"/>
          <w:sz w:val="20"/>
          <w:szCs w:val="20"/>
          <w:lang w:val="es-MX"/>
        </w:rPr>
        <w:t xml:space="preserve">  la Comisión Nacional para la Prevención y Erradicación del Abuso Sexual contra Niños, Niñas y Adolescentes .</w:t>
      </w:r>
    </w:p>
    <w:p w14:paraId="320C01C8" w14:textId="77777777" w:rsidR="00405820" w:rsidRDefault="00405820">
      <w:pPr>
        <w:spacing w:after="0" w:line="240" w:lineRule="auto"/>
        <w:jc w:val="both"/>
        <w:rPr>
          <w:rFonts w:ascii="Times New Roman" w:hAnsi="Times New Roman" w:cs="Arial"/>
          <w:sz w:val="20"/>
          <w:szCs w:val="20"/>
          <w:highlight w:val="yellow"/>
          <w:lang w:val="es-MX"/>
        </w:rPr>
      </w:pPr>
    </w:p>
    <w:p w14:paraId="11AD1832" w14:textId="79A839C3" w:rsidR="00405820" w:rsidRDefault="002F4028">
      <w:pPr>
        <w:numPr>
          <w:ilvl w:val="0"/>
          <w:numId w:val="1"/>
        </w:numPr>
        <w:spacing w:after="0" w:line="240" w:lineRule="auto"/>
        <w:ind w:left="0" w:firstLine="0"/>
        <w:jc w:val="both"/>
      </w:pPr>
      <w:r>
        <w:rPr>
          <w:rFonts w:ascii="Times New Roman" w:eastAsia="Times New Roman" w:hAnsi="Times New Roman" w:cs="Arial"/>
          <w:sz w:val="20"/>
          <w:szCs w:val="20"/>
          <w:lang w:val="es-MX"/>
        </w:rPr>
        <w:t xml:space="preserve">El IDENNA cuenta para el año 2025 con </w:t>
      </w:r>
      <w:r w:rsidR="00932237">
        <w:rPr>
          <w:rFonts w:ascii="Times New Roman" w:eastAsia="Times New Roman" w:hAnsi="Times New Roman" w:cs="Arial"/>
          <w:sz w:val="20"/>
          <w:szCs w:val="20"/>
          <w:lang w:val="es-MX"/>
        </w:rPr>
        <w:t>un</w:t>
      </w:r>
      <w:r>
        <w:rPr>
          <w:rFonts w:ascii="Times New Roman" w:eastAsia="Times New Roman" w:hAnsi="Times New Roman" w:cs="Arial"/>
          <w:sz w:val="20"/>
          <w:szCs w:val="20"/>
          <w:lang w:val="es-MX"/>
        </w:rPr>
        <w:t xml:space="preserve"> programa de atención integral a las víctimas de abuso sexual  en el estado Trujillo que fue creado en el año 2022, a fin de brindar atención psico-social a los niños, niñas y adolescentes que han sido víctimas de violencia sexual y orientar a sus familias.</w:t>
      </w:r>
    </w:p>
    <w:p w14:paraId="3885F508" w14:textId="77777777" w:rsidR="00405820" w:rsidRDefault="00405820">
      <w:pPr>
        <w:spacing w:after="0" w:line="240" w:lineRule="auto"/>
        <w:jc w:val="both"/>
        <w:rPr>
          <w:rFonts w:ascii="Times New Roman" w:eastAsia="Times New Roman" w:hAnsi="Times New Roman" w:cs="Arial"/>
          <w:sz w:val="20"/>
          <w:szCs w:val="20"/>
          <w:lang w:val="es-MX"/>
        </w:rPr>
      </w:pPr>
    </w:p>
    <w:p w14:paraId="0615F699" w14:textId="77777777" w:rsidR="00405820" w:rsidRDefault="002F4028">
      <w:pPr>
        <w:numPr>
          <w:ilvl w:val="0"/>
          <w:numId w:val="1"/>
        </w:numPr>
        <w:spacing w:after="0" w:line="240" w:lineRule="auto"/>
        <w:ind w:left="0" w:firstLine="0"/>
        <w:jc w:val="both"/>
      </w:pPr>
      <w:r>
        <w:rPr>
          <w:rFonts w:ascii="Times New Roman" w:hAnsi="Times New Roman" w:cs="Arial"/>
          <w:sz w:val="20"/>
          <w:szCs w:val="20"/>
          <w:lang w:val="es-MX"/>
        </w:rPr>
        <w:t xml:space="preserve"> Durante los años 2016-2024, el IDENNA desarrolló a través de sus distintos programas, 23.823 actividades para promover los derechos de los NNA, 5.023 actividades de prevención del maltrato, 2.873 actividades para la prevención del abuso sexual y el </w:t>
      </w:r>
      <w:proofErr w:type="spellStart"/>
      <w:r>
        <w:rPr>
          <w:rFonts w:ascii="Times New Roman" w:hAnsi="Times New Roman" w:cs="Arial"/>
          <w:sz w:val="20"/>
          <w:szCs w:val="20"/>
          <w:lang w:val="es-MX"/>
        </w:rPr>
        <w:t>cyber</w:t>
      </w:r>
      <w:proofErr w:type="spellEnd"/>
      <w:r>
        <w:rPr>
          <w:rFonts w:ascii="Times New Roman" w:hAnsi="Times New Roman" w:cs="Arial"/>
          <w:sz w:val="20"/>
          <w:szCs w:val="20"/>
          <w:lang w:val="es-MX"/>
        </w:rPr>
        <w:t xml:space="preserve"> acoso. </w:t>
      </w:r>
      <w:r>
        <w:rPr>
          <w:rFonts w:ascii="Times New Roman" w:hAnsi="Times New Roman" w:cs="Arial"/>
          <w:sz w:val="20"/>
          <w:szCs w:val="20"/>
          <w:highlight w:val="yellow"/>
          <w:lang w:val="es-MX"/>
        </w:rPr>
        <w:t xml:space="preserve"> </w:t>
      </w:r>
    </w:p>
    <w:p w14:paraId="13A1F206" w14:textId="77777777" w:rsidR="00405820" w:rsidRDefault="00405820">
      <w:pPr>
        <w:pStyle w:val="ListParagraph"/>
        <w:rPr>
          <w:rFonts w:cs="Times New Roman"/>
          <w:b/>
          <w:bCs/>
          <w:sz w:val="20"/>
          <w:szCs w:val="20"/>
        </w:rPr>
      </w:pPr>
    </w:p>
    <w:p w14:paraId="46CE8AA0"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f) Adopción nacional e internacional</w:t>
      </w:r>
      <w:bookmarkStart w:id="4" w:name="_Hlk62214687"/>
    </w:p>
    <w:p w14:paraId="7CA8E9AC" w14:textId="77777777" w:rsidR="00405820" w:rsidRDefault="00405820">
      <w:pPr>
        <w:pStyle w:val="ListParagraph"/>
        <w:rPr>
          <w:rFonts w:cs="Times New Roman"/>
          <w:sz w:val="20"/>
          <w:szCs w:val="20"/>
        </w:rPr>
      </w:pPr>
    </w:p>
    <w:p w14:paraId="77196B9C"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En cuanto a la adopción de NNA el TSJ registró entre 2016 y 2020, tres mil quinientos uno (3.501) adopciones en el marco del programa nacional de adopción. Estas adopciones incluyen las adopciones del hijo o hija del conyugue. En cuanto al programa de adopciones internacionales se contabilizaron en el mismo período cuatrocientos catorce (414) adopciones. Del total de adopciones mil seiscientos treinta (1.630) son del sexo femenino y mil ochocientos setenta y uno (1.871) del sexo masculino. </w:t>
      </w:r>
      <w:bookmarkEnd w:id="4"/>
    </w:p>
    <w:p w14:paraId="74C762B7" w14:textId="77777777" w:rsidR="00405820" w:rsidRDefault="00405820">
      <w:pPr>
        <w:spacing w:after="0" w:line="240" w:lineRule="auto"/>
        <w:jc w:val="both"/>
        <w:rPr>
          <w:rFonts w:ascii="Times New Roman" w:eastAsia="Times New Roman" w:hAnsi="Times New Roman" w:cs="Times New Roman"/>
          <w:sz w:val="20"/>
          <w:szCs w:val="20"/>
        </w:rPr>
      </w:pPr>
    </w:p>
    <w:p w14:paraId="2022FD3E"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 xml:space="preserve">5) Discapacidad, salud básica y bienestar </w:t>
      </w:r>
    </w:p>
    <w:p w14:paraId="795A099D" w14:textId="77777777" w:rsidR="00405820" w:rsidRDefault="00405820">
      <w:pPr>
        <w:spacing w:after="0" w:line="240" w:lineRule="auto"/>
        <w:jc w:val="both"/>
        <w:rPr>
          <w:rFonts w:ascii="Times New Roman" w:eastAsia="Times New Roman" w:hAnsi="Times New Roman" w:cs="Times New Roman"/>
          <w:sz w:val="20"/>
          <w:szCs w:val="20"/>
        </w:rPr>
      </w:pPr>
    </w:p>
    <w:p w14:paraId="0E2FC0ED"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a) Niñas, niños o adolescentes con discapacidad</w:t>
      </w:r>
    </w:p>
    <w:p w14:paraId="5909055C" w14:textId="77777777" w:rsidR="00405820" w:rsidRDefault="00405820">
      <w:pPr>
        <w:pStyle w:val="ListParagraph"/>
        <w:rPr>
          <w:rFonts w:cs="Times New Roman"/>
          <w:sz w:val="20"/>
          <w:szCs w:val="20"/>
        </w:rPr>
      </w:pPr>
    </w:p>
    <w:p w14:paraId="4A1F7C47"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Para garantizar la protección de la integridad física y mental de las personas con discapacidad sobre tratamientos médicos, la CRBV dispone en el artículo 46, numeral 3 lo siguiente: “Toda persona tiene derecho a que se respete su integridad física, psíquica y moral; en consecuencia: </w:t>
      </w:r>
      <w:proofErr w:type="spellStart"/>
      <w:r>
        <w:rPr>
          <w:rFonts w:ascii="Times New Roman" w:hAnsi="Times New Roman" w:cs="Times New Roman"/>
          <w:sz w:val="20"/>
          <w:szCs w:val="20"/>
        </w:rPr>
        <w:t>Omissis</w:t>
      </w:r>
      <w:proofErr w:type="spellEnd"/>
      <w:r>
        <w:rPr>
          <w:rFonts w:ascii="Times New Roman" w:hAnsi="Times New Roman" w:cs="Times New Roman"/>
          <w:sz w:val="20"/>
          <w:szCs w:val="20"/>
        </w:rPr>
        <w:t xml:space="preserve">… 3. Ninguna persona será sometida sin su libre consentimiento a experimentos científicos, o a exámenes médicos o de laboratorio, excepto cuando se encontrare en peligro su vida o por otras circunstancias que determine la ley”. </w:t>
      </w:r>
    </w:p>
    <w:p w14:paraId="34EF922D" w14:textId="77777777" w:rsidR="00405820" w:rsidRDefault="00405820">
      <w:pPr>
        <w:spacing w:after="0" w:line="240" w:lineRule="auto"/>
        <w:jc w:val="both"/>
        <w:rPr>
          <w:rFonts w:ascii="Times New Roman" w:eastAsia="Times New Roman" w:hAnsi="Times New Roman" w:cs="Times New Roman"/>
          <w:sz w:val="20"/>
          <w:szCs w:val="20"/>
        </w:rPr>
      </w:pPr>
    </w:p>
    <w:p w14:paraId="65C78EC7"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tal sentido, en la RBV ninguna persona con discapacidad es sometida a tratamientos médicos sin estar informado por parte de los profesionales, sobre el estado de salud, los riesgos y consecuencias, el tratamiento aplicable y todo lo que conlleve un procedimiento que ponga en riesgo su vida, en particular cuando se trata de niños, niñas y adolescentes y en casos de discapacidad cognitiva y mental. </w:t>
      </w:r>
    </w:p>
    <w:p w14:paraId="33BD5E9B" w14:textId="77777777" w:rsidR="00405820" w:rsidRDefault="00405820">
      <w:pPr>
        <w:pStyle w:val="ListParagraph"/>
        <w:rPr>
          <w:rFonts w:cs="Times New Roman"/>
          <w:sz w:val="20"/>
          <w:szCs w:val="20"/>
        </w:rPr>
      </w:pPr>
    </w:p>
    <w:p w14:paraId="02E332E2" w14:textId="216B3562"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De acuerdo a la Recomendación </w:t>
      </w:r>
      <w:proofErr w:type="spellStart"/>
      <w:r>
        <w:rPr>
          <w:rFonts w:ascii="Times New Roman" w:hAnsi="Times New Roman" w:cs="Times New Roman"/>
          <w:sz w:val="20"/>
          <w:szCs w:val="20"/>
        </w:rPr>
        <w:t>N°</w:t>
      </w:r>
      <w:proofErr w:type="spellEnd"/>
      <w:r>
        <w:rPr>
          <w:rFonts w:ascii="Times New Roman" w:hAnsi="Times New Roman" w:cs="Times New Roman"/>
          <w:sz w:val="20"/>
          <w:szCs w:val="20"/>
        </w:rPr>
        <w:t xml:space="preserve"> 50 del Comité que hasta octubre de 2019 el Consejo Nacional para las Personas con Discapacidad (CONAPDIS), a través de un sistema automatizado para el otorgamiento del Certificado de Discapacidad se registran y certifican un total de 629.661 personas con discapacidad, de las cuales 66.795 son niñas, niños y adolescente 24.701 son del sexo femenino y 42.094 del sexo masculino, lo que representa un 10,6% del total, de acuerdo al siguiente desglose: </w:t>
      </w:r>
    </w:p>
    <w:p w14:paraId="6123C205" w14:textId="77777777" w:rsidR="00405820" w:rsidRDefault="002F4028">
      <w:pPr>
        <w:pStyle w:val="Ttulo11"/>
        <w:spacing w:before="0" w:after="0" w:line="240" w:lineRule="auto"/>
        <w:jc w:val="center"/>
      </w:pPr>
      <w:r>
        <w:rPr>
          <w:rFonts w:ascii="Times New Roman" w:hAnsi="Times New Roman"/>
          <w:sz w:val="20"/>
          <w:szCs w:val="20"/>
          <w:lang w:val="es-ES_tradnl"/>
        </w:rPr>
        <w:t>Tabla VI</w:t>
      </w:r>
    </w:p>
    <w:p w14:paraId="33D72352" w14:textId="77777777" w:rsidR="00405820" w:rsidRDefault="002F4028">
      <w:pPr>
        <w:pStyle w:val="SingleTxtG"/>
        <w:spacing w:after="0" w:line="240" w:lineRule="auto"/>
        <w:ind w:left="0" w:right="0"/>
        <w:jc w:val="center"/>
        <w:rPr>
          <w:b/>
          <w:bCs/>
        </w:rPr>
      </w:pPr>
      <w:r>
        <w:rPr>
          <w:b/>
          <w:bCs/>
        </w:rPr>
        <w:t>Tipos de discapacidad en NNA</w:t>
      </w:r>
    </w:p>
    <w:p w14:paraId="5F72C1AD" w14:textId="77777777" w:rsidR="00405820" w:rsidRDefault="00405820">
      <w:pPr>
        <w:pStyle w:val="SingleTxtG"/>
        <w:spacing w:after="0" w:line="240" w:lineRule="auto"/>
        <w:ind w:left="0" w:right="0"/>
        <w:jc w:val="center"/>
        <w:rPr>
          <w:b/>
          <w:lang w:val="es-ES_tradnl"/>
        </w:rPr>
      </w:pPr>
    </w:p>
    <w:tbl>
      <w:tblPr>
        <w:tblStyle w:val="TableGrid"/>
        <w:tblW w:w="4094" w:type="dxa"/>
        <w:jc w:val="center"/>
        <w:tblCellMar>
          <w:left w:w="0" w:type="dxa"/>
          <w:right w:w="0" w:type="dxa"/>
        </w:tblCellMar>
        <w:tblLook w:val="04A0" w:firstRow="1" w:lastRow="0" w:firstColumn="1" w:lastColumn="0" w:noHBand="0" w:noVBand="1"/>
      </w:tblPr>
      <w:tblGrid>
        <w:gridCol w:w="2373"/>
        <w:gridCol w:w="1721"/>
      </w:tblGrid>
      <w:tr w:rsidR="00405820" w14:paraId="62A7F539" w14:textId="77777777">
        <w:trPr>
          <w:trHeight w:val="240"/>
          <w:tblHeader/>
          <w:jc w:val="center"/>
        </w:trPr>
        <w:tc>
          <w:tcPr>
            <w:tcW w:w="2372" w:type="dxa"/>
            <w:tcBorders>
              <w:left w:val="nil"/>
              <w:bottom w:val="single" w:sz="12" w:space="0" w:color="000000"/>
              <w:right w:val="nil"/>
            </w:tcBorders>
            <w:vAlign w:val="bottom"/>
          </w:tcPr>
          <w:p w14:paraId="507CEF3A" w14:textId="77777777" w:rsidR="00405820" w:rsidRDefault="002F4028">
            <w:pPr>
              <w:spacing w:before="80" w:after="80" w:line="200" w:lineRule="exact"/>
              <w:rPr>
                <w:i/>
                <w:sz w:val="20"/>
                <w:lang w:val="es-ES_tradnl"/>
              </w:rPr>
            </w:pPr>
            <w:r>
              <w:rPr>
                <w:b/>
                <w:bCs/>
                <w:i/>
                <w:sz w:val="20"/>
                <w:lang w:val="es-ES_tradnl"/>
              </w:rPr>
              <w:t>Discapacidad</w:t>
            </w:r>
          </w:p>
        </w:tc>
        <w:tc>
          <w:tcPr>
            <w:tcW w:w="1721" w:type="dxa"/>
            <w:tcBorders>
              <w:left w:val="nil"/>
              <w:bottom w:val="single" w:sz="12" w:space="0" w:color="000000"/>
              <w:right w:val="nil"/>
            </w:tcBorders>
            <w:vAlign w:val="bottom"/>
          </w:tcPr>
          <w:p w14:paraId="63F254B1" w14:textId="77777777" w:rsidR="00405820" w:rsidRDefault="002F4028">
            <w:pPr>
              <w:spacing w:before="80" w:after="80" w:line="200" w:lineRule="exact"/>
              <w:ind w:left="-57"/>
              <w:jc w:val="right"/>
              <w:rPr>
                <w:i/>
                <w:sz w:val="20"/>
                <w:lang w:val="es-ES_tradnl"/>
              </w:rPr>
            </w:pPr>
            <w:r>
              <w:rPr>
                <w:b/>
                <w:bCs/>
                <w:i/>
                <w:sz w:val="20"/>
                <w:lang w:val="es-ES_tradnl"/>
              </w:rPr>
              <w:t xml:space="preserve">         Certificados</w:t>
            </w:r>
          </w:p>
        </w:tc>
      </w:tr>
      <w:tr w:rsidR="00405820" w14:paraId="17543E89" w14:textId="77777777">
        <w:trPr>
          <w:trHeight w:val="240"/>
          <w:jc w:val="center"/>
        </w:trPr>
        <w:tc>
          <w:tcPr>
            <w:tcW w:w="2372" w:type="dxa"/>
            <w:tcBorders>
              <w:top w:val="single" w:sz="12" w:space="0" w:color="000000"/>
              <w:left w:val="nil"/>
              <w:bottom w:val="nil"/>
              <w:right w:val="nil"/>
            </w:tcBorders>
            <w:vAlign w:val="center"/>
          </w:tcPr>
          <w:p w14:paraId="60776D43" w14:textId="77777777" w:rsidR="00405820" w:rsidRDefault="002F4028">
            <w:pPr>
              <w:spacing w:line="360" w:lineRule="auto"/>
              <w:rPr>
                <w:rFonts w:ascii="Times New Roman" w:eastAsia="Times New Roman" w:hAnsi="Times New Roman" w:cs="Times New Roman"/>
                <w:sz w:val="16"/>
                <w:szCs w:val="16"/>
              </w:rPr>
            </w:pPr>
            <w:proofErr w:type="spellStart"/>
            <w:r>
              <w:rPr>
                <w:rFonts w:ascii="Times New Roman" w:eastAsia="Times New Roman" w:hAnsi="Times New Roman" w:cs="Times New Roman"/>
                <w:color w:val="000000"/>
                <w:sz w:val="16"/>
                <w:szCs w:val="16"/>
                <w:lang w:eastAsia="es-VE"/>
              </w:rPr>
              <w:t>Acondroplasia</w:t>
            </w:r>
            <w:proofErr w:type="spellEnd"/>
          </w:p>
        </w:tc>
        <w:tc>
          <w:tcPr>
            <w:tcW w:w="1721" w:type="dxa"/>
            <w:tcBorders>
              <w:top w:val="single" w:sz="12" w:space="0" w:color="000000"/>
              <w:left w:val="nil"/>
              <w:bottom w:val="nil"/>
              <w:right w:val="nil"/>
            </w:tcBorders>
            <w:vAlign w:val="center"/>
          </w:tcPr>
          <w:p w14:paraId="60A79035"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color w:val="000000"/>
                <w:sz w:val="16"/>
                <w:szCs w:val="16"/>
                <w:lang w:eastAsia="es-VE"/>
              </w:rPr>
              <w:t>60</w:t>
            </w:r>
          </w:p>
        </w:tc>
      </w:tr>
      <w:tr w:rsidR="00405820" w14:paraId="0CC4B2FB" w14:textId="77777777">
        <w:trPr>
          <w:trHeight w:val="240"/>
          <w:jc w:val="center"/>
        </w:trPr>
        <w:tc>
          <w:tcPr>
            <w:tcW w:w="2372" w:type="dxa"/>
            <w:tcBorders>
              <w:top w:val="nil"/>
              <w:left w:val="nil"/>
              <w:bottom w:val="nil"/>
              <w:right w:val="nil"/>
            </w:tcBorders>
            <w:vAlign w:val="center"/>
          </w:tcPr>
          <w:p w14:paraId="15EFDC39" w14:textId="77777777" w:rsidR="00405820" w:rsidRDefault="002F4028">
            <w:pPr>
              <w:spacing w:line="360" w:lineRule="auto"/>
              <w:rPr>
                <w:rFonts w:ascii="Times New Roman" w:eastAsia="Times New Roman" w:hAnsi="Times New Roman" w:cs="Times New Roman"/>
                <w:sz w:val="16"/>
                <w:szCs w:val="16"/>
              </w:rPr>
            </w:pPr>
            <w:proofErr w:type="spellStart"/>
            <w:r>
              <w:rPr>
                <w:rFonts w:ascii="Times New Roman" w:eastAsia="Times New Roman" w:hAnsi="Times New Roman" w:cs="Times New Roman"/>
                <w:color w:val="000000"/>
                <w:sz w:val="16"/>
                <w:szCs w:val="16"/>
                <w:lang w:eastAsia="es-VE"/>
              </w:rPr>
              <w:t>Auditiva</w:t>
            </w:r>
            <w:proofErr w:type="spellEnd"/>
          </w:p>
        </w:tc>
        <w:tc>
          <w:tcPr>
            <w:tcW w:w="1721" w:type="dxa"/>
            <w:tcBorders>
              <w:top w:val="nil"/>
              <w:left w:val="nil"/>
              <w:bottom w:val="nil"/>
              <w:right w:val="nil"/>
            </w:tcBorders>
            <w:vAlign w:val="center"/>
          </w:tcPr>
          <w:p w14:paraId="2DE03101"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color w:val="000000"/>
                <w:sz w:val="16"/>
                <w:szCs w:val="16"/>
                <w:lang w:eastAsia="es-VE"/>
              </w:rPr>
              <w:t>1.560</w:t>
            </w:r>
          </w:p>
        </w:tc>
      </w:tr>
      <w:tr w:rsidR="00405820" w14:paraId="65DC36B8" w14:textId="77777777">
        <w:trPr>
          <w:trHeight w:val="240"/>
          <w:jc w:val="center"/>
        </w:trPr>
        <w:tc>
          <w:tcPr>
            <w:tcW w:w="2372" w:type="dxa"/>
            <w:tcBorders>
              <w:top w:val="nil"/>
              <w:left w:val="nil"/>
              <w:bottom w:val="nil"/>
              <w:right w:val="nil"/>
            </w:tcBorders>
            <w:vAlign w:val="center"/>
          </w:tcPr>
          <w:p w14:paraId="711302D3" w14:textId="77777777" w:rsidR="00405820" w:rsidRDefault="002F4028">
            <w:pPr>
              <w:spacing w:line="360" w:lineRule="auto"/>
              <w:rPr>
                <w:rFonts w:ascii="Times New Roman" w:eastAsia="Times New Roman" w:hAnsi="Times New Roman" w:cs="Times New Roman"/>
                <w:sz w:val="16"/>
                <w:szCs w:val="16"/>
              </w:rPr>
            </w:pPr>
            <w:r>
              <w:rPr>
                <w:rFonts w:ascii="Times New Roman" w:eastAsia="Times New Roman" w:hAnsi="Times New Roman" w:cs="Times New Roman"/>
                <w:color w:val="000000"/>
                <w:sz w:val="16"/>
                <w:szCs w:val="16"/>
                <w:lang w:eastAsia="es-VE"/>
              </w:rPr>
              <w:t>Cardiovascular</w:t>
            </w:r>
          </w:p>
        </w:tc>
        <w:tc>
          <w:tcPr>
            <w:tcW w:w="1721" w:type="dxa"/>
            <w:tcBorders>
              <w:top w:val="nil"/>
              <w:left w:val="nil"/>
              <w:bottom w:val="nil"/>
              <w:right w:val="nil"/>
            </w:tcBorders>
            <w:vAlign w:val="center"/>
          </w:tcPr>
          <w:p w14:paraId="016048F9"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color w:val="000000"/>
                <w:sz w:val="16"/>
                <w:szCs w:val="16"/>
                <w:lang w:eastAsia="es-VE"/>
              </w:rPr>
              <w:t xml:space="preserve">                                 370</w:t>
            </w:r>
          </w:p>
        </w:tc>
      </w:tr>
      <w:tr w:rsidR="00405820" w14:paraId="1C6EB8AF" w14:textId="77777777">
        <w:trPr>
          <w:trHeight w:val="240"/>
          <w:jc w:val="center"/>
        </w:trPr>
        <w:tc>
          <w:tcPr>
            <w:tcW w:w="2372" w:type="dxa"/>
            <w:tcBorders>
              <w:top w:val="nil"/>
              <w:left w:val="nil"/>
              <w:bottom w:val="nil"/>
              <w:right w:val="nil"/>
            </w:tcBorders>
            <w:vAlign w:val="center"/>
          </w:tcPr>
          <w:p w14:paraId="4C2C2EE0" w14:textId="77777777" w:rsidR="00405820" w:rsidRDefault="002F4028">
            <w:pPr>
              <w:spacing w:line="360" w:lineRule="auto"/>
              <w:rPr>
                <w:rFonts w:ascii="Times New Roman" w:eastAsia="Times New Roman" w:hAnsi="Times New Roman" w:cs="Times New Roman"/>
                <w:sz w:val="16"/>
                <w:szCs w:val="16"/>
              </w:rPr>
            </w:pPr>
            <w:proofErr w:type="spellStart"/>
            <w:r>
              <w:rPr>
                <w:rFonts w:ascii="Times New Roman" w:eastAsia="Times New Roman" w:hAnsi="Times New Roman" w:cs="Times New Roman"/>
                <w:color w:val="000000"/>
                <w:sz w:val="16"/>
                <w:szCs w:val="16"/>
                <w:lang w:eastAsia="es-VE"/>
              </w:rPr>
              <w:t>Disfunción</w:t>
            </w:r>
            <w:proofErr w:type="spellEnd"/>
            <w:r>
              <w:rPr>
                <w:rFonts w:ascii="Times New Roman" w:eastAsia="Times New Roman" w:hAnsi="Times New Roman" w:cs="Times New Roman"/>
                <w:color w:val="000000"/>
                <w:sz w:val="16"/>
                <w:szCs w:val="16"/>
                <w:lang w:eastAsia="es-VE"/>
              </w:rPr>
              <w:t xml:space="preserve"> de la </w:t>
            </w:r>
            <w:proofErr w:type="spellStart"/>
            <w:r>
              <w:rPr>
                <w:rFonts w:ascii="Times New Roman" w:eastAsia="Times New Roman" w:hAnsi="Times New Roman" w:cs="Times New Roman"/>
                <w:color w:val="000000"/>
                <w:sz w:val="16"/>
                <w:szCs w:val="16"/>
                <w:lang w:eastAsia="es-VE"/>
              </w:rPr>
              <w:t>piel</w:t>
            </w:r>
            <w:proofErr w:type="spellEnd"/>
          </w:p>
        </w:tc>
        <w:tc>
          <w:tcPr>
            <w:tcW w:w="1721" w:type="dxa"/>
            <w:tcBorders>
              <w:top w:val="nil"/>
              <w:left w:val="nil"/>
              <w:bottom w:val="nil"/>
              <w:right w:val="nil"/>
            </w:tcBorders>
            <w:vAlign w:val="center"/>
          </w:tcPr>
          <w:p w14:paraId="560F1A3F"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color w:val="000000"/>
                <w:sz w:val="16"/>
                <w:szCs w:val="16"/>
                <w:lang w:eastAsia="es-VE"/>
              </w:rPr>
              <w:t>30</w:t>
            </w:r>
          </w:p>
        </w:tc>
      </w:tr>
      <w:tr w:rsidR="00405820" w14:paraId="7AFD5048" w14:textId="77777777">
        <w:trPr>
          <w:trHeight w:val="240"/>
          <w:jc w:val="center"/>
        </w:trPr>
        <w:tc>
          <w:tcPr>
            <w:tcW w:w="2372" w:type="dxa"/>
            <w:tcBorders>
              <w:top w:val="nil"/>
              <w:left w:val="nil"/>
              <w:bottom w:val="nil"/>
              <w:right w:val="nil"/>
            </w:tcBorders>
            <w:vAlign w:val="center"/>
          </w:tcPr>
          <w:p w14:paraId="5EAFC439" w14:textId="77777777" w:rsidR="00405820" w:rsidRDefault="002F4028">
            <w:pPr>
              <w:spacing w:line="360" w:lineRule="auto"/>
              <w:rPr>
                <w:rFonts w:ascii="Times New Roman" w:eastAsia="Times New Roman" w:hAnsi="Times New Roman" w:cs="Times New Roman"/>
                <w:sz w:val="16"/>
                <w:szCs w:val="16"/>
              </w:rPr>
            </w:pPr>
            <w:proofErr w:type="spellStart"/>
            <w:r>
              <w:rPr>
                <w:rFonts w:ascii="Times New Roman" w:eastAsia="Times New Roman" w:hAnsi="Times New Roman" w:cs="Times New Roman"/>
                <w:color w:val="000000"/>
                <w:sz w:val="16"/>
                <w:szCs w:val="16"/>
                <w:lang w:eastAsia="es-VE"/>
              </w:rPr>
              <w:t>Displasia</w:t>
            </w:r>
            <w:proofErr w:type="spellEnd"/>
            <w:r>
              <w:rPr>
                <w:rFonts w:ascii="Times New Roman" w:eastAsia="Times New Roman" w:hAnsi="Times New Roman" w:cs="Times New Roman"/>
                <w:color w:val="000000"/>
                <w:sz w:val="16"/>
                <w:szCs w:val="16"/>
                <w:lang w:eastAsia="es-VE"/>
              </w:rPr>
              <w:t xml:space="preserve"> </w:t>
            </w:r>
            <w:proofErr w:type="spellStart"/>
            <w:r>
              <w:rPr>
                <w:rFonts w:ascii="Times New Roman" w:eastAsia="Times New Roman" w:hAnsi="Times New Roman" w:cs="Times New Roman"/>
                <w:color w:val="000000"/>
                <w:sz w:val="16"/>
                <w:szCs w:val="16"/>
                <w:lang w:eastAsia="es-VE"/>
              </w:rPr>
              <w:t>Ectodérmica</w:t>
            </w:r>
            <w:proofErr w:type="spellEnd"/>
          </w:p>
        </w:tc>
        <w:tc>
          <w:tcPr>
            <w:tcW w:w="1721" w:type="dxa"/>
            <w:tcBorders>
              <w:top w:val="nil"/>
              <w:left w:val="nil"/>
              <w:bottom w:val="nil"/>
              <w:right w:val="nil"/>
            </w:tcBorders>
            <w:vAlign w:val="center"/>
          </w:tcPr>
          <w:p w14:paraId="1807B6D2"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7</w:t>
            </w:r>
          </w:p>
        </w:tc>
      </w:tr>
      <w:tr w:rsidR="00405820" w14:paraId="3A3EEDF1" w14:textId="77777777">
        <w:trPr>
          <w:trHeight w:val="240"/>
          <w:jc w:val="center"/>
        </w:trPr>
        <w:tc>
          <w:tcPr>
            <w:tcW w:w="2372" w:type="dxa"/>
            <w:tcBorders>
              <w:top w:val="nil"/>
              <w:left w:val="nil"/>
              <w:bottom w:val="nil"/>
              <w:right w:val="nil"/>
            </w:tcBorders>
            <w:vAlign w:val="center"/>
          </w:tcPr>
          <w:p w14:paraId="62FDCA9F" w14:textId="77777777" w:rsidR="00405820" w:rsidRPr="00B23088" w:rsidRDefault="002F4028">
            <w:pPr>
              <w:spacing w:line="360" w:lineRule="auto"/>
              <w:rPr>
                <w:rFonts w:ascii="Times New Roman" w:eastAsia="Times New Roman" w:hAnsi="Times New Roman" w:cs="Times New Roman"/>
                <w:color w:val="000000"/>
                <w:sz w:val="16"/>
                <w:szCs w:val="16"/>
                <w:lang w:val="es-VE" w:eastAsia="es-VE"/>
              </w:rPr>
            </w:pPr>
            <w:r w:rsidRPr="00B23088">
              <w:rPr>
                <w:rFonts w:ascii="Times New Roman" w:eastAsia="Times New Roman" w:hAnsi="Times New Roman" w:cs="Times New Roman"/>
                <w:color w:val="000000"/>
                <w:sz w:val="16"/>
                <w:szCs w:val="16"/>
                <w:lang w:val="es-VE" w:eastAsia="es-VE"/>
              </w:rPr>
              <w:t xml:space="preserve">Genitales y de la reproducción </w:t>
            </w:r>
          </w:p>
        </w:tc>
        <w:tc>
          <w:tcPr>
            <w:tcW w:w="1721" w:type="dxa"/>
            <w:tcBorders>
              <w:top w:val="nil"/>
              <w:left w:val="nil"/>
              <w:bottom w:val="nil"/>
              <w:right w:val="nil"/>
            </w:tcBorders>
            <w:vAlign w:val="center"/>
          </w:tcPr>
          <w:p w14:paraId="3D532854" w14:textId="77777777" w:rsidR="00405820" w:rsidRDefault="002F4028">
            <w:pPr>
              <w:spacing w:line="360" w:lineRule="auto"/>
              <w:jc w:val="right"/>
              <w:rPr>
                <w:rFonts w:ascii="Times New Roman" w:eastAsia="Times New Roman" w:hAnsi="Times New Roman" w:cs="Times New Roman"/>
                <w:sz w:val="16"/>
                <w:szCs w:val="16"/>
                <w:lang w:eastAsia="es-VE"/>
              </w:rPr>
            </w:pPr>
            <w:r w:rsidRPr="00B23088">
              <w:rPr>
                <w:rFonts w:ascii="Times New Roman" w:eastAsia="Times New Roman" w:hAnsi="Times New Roman" w:cs="Times New Roman"/>
                <w:sz w:val="16"/>
                <w:szCs w:val="16"/>
                <w:lang w:val="es-VE" w:eastAsia="es-VE"/>
              </w:rPr>
              <w:t xml:space="preserve"> </w:t>
            </w:r>
            <w:r>
              <w:rPr>
                <w:rFonts w:ascii="Times New Roman" w:eastAsia="Times New Roman" w:hAnsi="Times New Roman" w:cs="Times New Roman"/>
                <w:sz w:val="16"/>
                <w:szCs w:val="16"/>
                <w:lang w:eastAsia="es-VE"/>
              </w:rPr>
              <w:t>11</w:t>
            </w:r>
          </w:p>
        </w:tc>
      </w:tr>
      <w:tr w:rsidR="00405820" w14:paraId="5800A131" w14:textId="77777777">
        <w:trPr>
          <w:trHeight w:val="240"/>
          <w:jc w:val="center"/>
        </w:trPr>
        <w:tc>
          <w:tcPr>
            <w:tcW w:w="2372" w:type="dxa"/>
            <w:tcBorders>
              <w:top w:val="nil"/>
              <w:left w:val="nil"/>
              <w:bottom w:val="nil"/>
              <w:right w:val="nil"/>
            </w:tcBorders>
            <w:vAlign w:val="center"/>
          </w:tcPr>
          <w:p w14:paraId="1B3AFEB6" w14:textId="77777777" w:rsidR="00405820" w:rsidRDefault="002F4028">
            <w:pPr>
              <w:spacing w:line="360" w:lineRule="auto"/>
              <w:rPr>
                <w:rFonts w:ascii="Times New Roman" w:eastAsia="Times New Roman" w:hAnsi="Times New Roman" w:cs="Times New Roman"/>
                <w:color w:val="000000"/>
                <w:sz w:val="16"/>
                <w:szCs w:val="16"/>
                <w:lang w:eastAsia="es-VE"/>
              </w:rPr>
            </w:pPr>
            <w:proofErr w:type="spellStart"/>
            <w:r>
              <w:rPr>
                <w:rFonts w:ascii="Times New Roman" w:eastAsia="Times New Roman" w:hAnsi="Times New Roman" w:cs="Times New Roman"/>
                <w:color w:val="000000"/>
                <w:sz w:val="16"/>
                <w:szCs w:val="16"/>
                <w:lang w:eastAsia="es-VE"/>
              </w:rPr>
              <w:t>Hematológica</w:t>
            </w:r>
            <w:proofErr w:type="spellEnd"/>
            <w:r>
              <w:rPr>
                <w:rFonts w:ascii="Times New Roman" w:eastAsia="Times New Roman" w:hAnsi="Times New Roman" w:cs="Times New Roman"/>
                <w:color w:val="000000"/>
                <w:sz w:val="16"/>
                <w:szCs w:val="16"/>
                <w:lang w:eastAsia="es-VE"/>
              </w:rPr>
              <w:t xml:space="preserve"> </w:t>
            </w:r>
          </w:p>
        </w:tc>
        <w:tc>
          <w:tcPr>
            <w:tcW w:w="1721" w:type="dxa"/>
            <w:tcBorders>
              <w:top w:val="nil"/>
              <w:left w:val="nil"/>
              <w:bottom w:val="nil"/>
              <w:right w:val="nil"/>
            </w:tcBorders>
            <w:vAlign w:val="center"/>
          </w:tcPr>
          <w:p w14:paraId="414A3C85"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30</w:t>
            </w:r>
          </w:p>
        </w:tc>
      </w:tr>
      <w:tr w:rsidR="00405820" w14:paraId="3CC5E3AA" w14:textId="77777777">
        <w:trPr>
          <w:trHeight w:val="240"/>
          <w:jc w:val="center"/>
        </w:trPr>
        <w:tc>
          <w:tcPr>
            <w:tcW w:w="2372" w:type="dxa"/>
            <w:tcBorders>
              <w:top w:val="nil"/>
              <w:left w:val="nil"/>
              <w:bottom w:val="nil"/>
              <w:right w:val="nil"/>
            </w:tcBorders>
            <w:vAlign w:val="center"/>
          </w:tcPr>
          <w:p w14:paraId="2B34BDB4" w14:textId="77777777" w:rsidR="00405820" w:rsidRDefault="002F4028">
            <w:pPr>
              <w:spacing w:line="360" w:lineRule="auto"/>
              <w:rPr>
                <w:rFonts w:ascii="Times New Roman" w:eastAsia="Times New Roman" w:hAnsi="Times New Roman" w:cs="Times New Roman"/>
                <w:color w:val="000000"/>
                <w:sz w:val="16"/>
                <w:szCs w:val="16"/>
                <w:lang w:eastAsia="es-VE"/>
              </w:rPr>
            </w:pPr>
            <w:proofErr w:type="spellStart"/>
            <w:r>
              <w:rPr>
                <w:rFonts w:ascii="Times New Roman" w:eastAsia="Times New Roman" w:hAnsi="Times New Roman" w:cs="Times New Roman"/>
                <w:color w:val="000000"/>
                <w:sz w:val="16"/>
                <w:szCs w:val="16"/>
                <w:lang w:eastAsia="es-VE"/>
              </w:rPr>
              <w:t>Inmunológica</w:t>
            </w:r>
            <w:proofErr w:type="spellEnd"/>
            <w:r>
              <w:rPr>
                <w:rFonts w:ascii="Times New Roman" w:eastAsia="Times New Roman" w:hAnsi="Times New Roman" w:cs="Times New Roman"/>
                <w:color w:val="000000"/>
                <w:sz w:val="16"/>
                <w:szCs w:val="16"/>
                <w:lang w:eastAsia="es-VE"/>
              </w:rPr>
              <w:t xml:space="preserve"> </w:t>
            </w:r>
          </w:p>
        </w:tc>
        <w:tc>
          <w:tcPr>
            <w:tcW w:w="1721" w:type="dxa"/>
            <w:tcBorders>
              <w:top w:val="nil"/>
              <w:left w:val="nil"/>
              <w:bottom w:val="nil"/>
              <w:right w:val="nil"/>
            </w:tcBorders>
            <w:vAlign w:val="center"/>
          </w:tcPr>
          <w:p w14:paraId="215E6142"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17</w:t>
            </w:r>
          </w:p>
        </w:tc>
      </w:tr>
      <w:tr w:rsidR="00405820" w14:paraId="3D249B07" w14:textId="77777777">
        <w:trPr>
          <w:trHeight w:val="240"/>
          <w:jc w:val="center"/>
        </w:trPr>
        <w:tc>
          <w:tcPr>
            <w:tcW w:w="2372" w:type="dxa"/>
            <w:tcBorders>
              <w:top w:val="nil"/>
              <w:left w:val="nil"/>
              <w:bottom w:val="nil"/>
              <w:right w:val="nil"/>
            </w:tcBorders>
            <w:vAlign w:val="center"/>
          </w:tcPr>
          <w:p w14:paraId="0EBBBD90" w14:textId="77777777" w:rsidR="00405820" w:rsidRDefault="002F4028">
            <w:pPr>
              <w:spacing w:line="360" w:lineRule="auto"/>
              <w:rPr>
                <w:rFonts w:ascii="Times New Roman" w:eastAsia="Times New Roman" w:hAnsi="Times New Roman" w:cs="Times New Roman"/>
                <w:color w:val="000000"/>
                <w:sz w:val="16"/>
                <w:szCs w:val="16"/>
                <w:lang w:eastAsia="es-VE"/>
              </w:rPr>
            </w:pPr>
            <w:r>
              <w:rPr>
                <w:rFonts w:ascii="Times New Roman" w:eastAsia="Times New Roman" w:hAnsi="Times New Roman" w:cs="Times New Roman"/>
                <w:color w:val="000000"/>
                <w:sz w:val="16"/>
                <w:szCs w:val="16"/>
                <w:lang w:eastAsia="es-VE"/>
              </w:rPr>
              <w:t xml:space="preserve">Mental - </w:t>
            </w:r>
            <w:proofErr w:type="spellStart"/>
            <w:r>
              <w:rPr>
                <w:rFonts w:ascii="Times New Roman" w:eastAsia="Times New Roman" w:hAnsi="Times New Roman" w:cs="Times New Roman"/>
                <w:color w:val="000000"/>
                <w:sz w:val="16"/>
                <w:szCs w:val="16"/>
                <w:lang w:eastAsia="es-VE"/>
              </w:rPr>
              <w:t>Intelectual</w:t>
            </w:r>
            <w:proofErr w:type="spellEnd"/>
            <w:r>
              <w:rPr>
                <w:rFonts w:ascii="Times New Roman" w:eastAsia="Times New Roman" w:hAnsi="Times New Roman" w:cs="Times New Roman"/>
                <w:color w:val="000000"/>
                <w:sz w:val="16"/>
                <w:szCs w:val="16"/>
                <w:lang w:eastAsia="es-VE"/>
              </w:rPr>
              <w:t xml:space="preserve"> </w:t>
            </w:r>
          </w:p>
        </w:tc>
        <w:tc>
          <w:tcPr>
            <w:tcW w:w="1721" w:type="dxa"/>
            <w:tcBorders>
              <w:top w:val="nil"/>
              <w:left w:val="nil"/>
              <w:bottom w:val="nil"/>
              <w:right w:val="nil"/>
            </w:tcBorders>
            <w:vAlign w:val="center"/>
          </w:tcPr>
          <w:p w14:paraId="5363F7C1"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11.196</w:t>
            </w:r>
          </w:p>
        </w:tc>
      </w:tr>
      <w:tr w:rsidR="00405820" w14:paraId="417B66EE" w14:textId="77777777">
        <w:trPr>
          <w:trHeight w:val="240"/>
          <w:jc w:val="center"/>
        </w:trPr>
        <w:tc>
          <w:tcPr>
            <w:tcW w:w="2372" w:type="dxa"/>
            <w:tcBorders>
              <w:top w:val="nil"/>
              <w:left w:val="nil"/>
              <w:bottom w:val="nil"/>
              <w:right w:val="nil"/>
            </w:tcBorders>
            <w:vAlign w:val="center"/>
          </w:tcPr>
          <w:p w14:paraId="405C354F" w14:textId="77777777" w:rsidR="00405820" w:rsidRDefault="002F4028">
            <w:pPr>
              <w:spacing w:line="360" w:lineRule="auto"/>
              <w:rPr>
                <w:rFonts w:ascii="Times New Roman" w:eastAsia="Times New Roman" w:hAnsi="Times New Roman" w:cs="Times New Roman"/>
                <w:color w:val="000000"/>
                <w:sz w:val="16"/>
                <w:szCs w:val="16"/>
                <w:lang w:eastAsia="es-VE"/>
              </w:rPr>
            </w:pPr>
            <w:r>
              <w:rPr>
                <w:rFonts w:ascii="Times New Roman" w:eastAsia="Times New Roman" w:hAnsi="Times New Roman" w:cs="Times New Roman"/>
                <w:color w:val="000000"/>
                <w:sz w:val="16"/>
                <w:szCs w:val="16"/>
                <w:lang w:eastAsia="es-VE"/>
              </w:rPr>
              <w:t xml:space="preserve">Mental - </w:t>
            </w:r>
            <w:proofErr w:type="spellStart"/>
            <w:r>
              <w:rPr>
                <w:rFonts w:ascii="Times New Roman" w:eastAsia="Times New Roman" w:hAnsi="Times New Roman" w:cs="Times New Roman"/>
                <w:color w:val="000000"/>
                <w:sz w:val="16"/>
                <w:szCs w:val="16"/>
                <w:lang w:eastAsia="es-VE"/>
              </w:rPr>
              <w:t>Psicosocial</w:t>
            </w:r>
            <w:proofErr w:type="spellEnd"/>
          </w:p>
        </w:tc>
        <w:tc>
          <w:tcPr>
            <w:tcW w:w="1721" w:type="dxa"/>
            <w:tcBorders>
              <w:top w:val="nil"/>
              <w:left w:val="nil"/>
              <w:bottom w:val="nil"/>
              <w:right w:val="nil"/>
            </w:tcBorders>
            <w:vAlign w:val="center"/>
          </w:tcPr>
          <w:p w14:paraId="2C75E267"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2.187</w:t>
            </w:r>
          </w:p>
        </w:tc>
      </w:tr>
      <w:tr w:rsidR="00405820" w14:paraId="0C2315D4" w14:textId="77777777">
        <w:trPr>
          <w:trHeight w:val="240"/>
          <w:jc w:val="center"/>
        </w:trPr>
        <w:tc>
          <w:tcPr>
            <w:tcW w:w="2372" w:type="dxa"/>
            <w:tcBorders>
              <w:top w:val="nil"/>
              <w:left w:val="nil"/>
              <w:bottom w:val="nil"/>
              <w:right w:val="nil"/>
            </w:tcBorders>
          </w:tcPr>
          <w:p w14:paraId="36288650" w14:textId="77777777" w:rsidR="00405820" w:rsidRDefault="002F4028">
            <w:pPr>
              <w:spacing w:line="240" w:lineRule="atLeast"/>
              <w:rPr>
                <w:sz w:val="16"/>
                <w:szCs w:val="16"/>
              </w:rPr>
            </w:pPr>
            <w:proofErr w:type="spellStart"/>
            <w:r>
              <w:rPr>
                <w:rFonts w:ascii="Times New Roman" w:eastAsia="Times New Roman" w:hAnsi="Times New Roman" w:cs="Times New Roman"/>
                <w:color w:val="000000"/>
                <w:sz w:val="16"/>
                <w:szCs w:val="16"/>
                <w:lang w:eastAsia="es-VE"/>
              </w:rPr>
              <w:t>Metabólico</w:t>
            </w:r>
            <w:proofErr w:type="spellEnd"/>
            <w:r>
              <w:rPr>
                <w:rFonts w:ascii="Times New Roman" w:eastAsia="Times New Roman" w:hAnsi="Times New Roman" w:cs="Times New Roman"/>
                <w:color w:val="000000"/>
                <w:sz w:val="16"/>
                <w:szCs w:val="16"/>
                <w:lang w:eastAsia="es-VE"/>
              </w:rPr>
              <w:t>/</w:t>
            </w:r>
            <w:proofErr w:type="spellStart"/>
            <w:r>
              <w:rPr>
                <w:rFonts w:ascii="Times New Roman" w:eastAsia="Times New Roman" w:hAnsi="Times New Roman" w:cs="Times New Roman"/>
                <w:color w:val="000000"/>
                <w:sz w:val="16"/>
                <w:szCs w:val="16"/>
                <w:lang w:eastAsia="es-VE"/>
              </w:rPr>
              <w:t>endocrino</w:t>
            </w:r>
            <w:proofErr w:type="spellEnd"/>
            <w:r>
              <w:rPr>
                <w:rFonts w:ascii="Times New Roman" w:eastAsia="Times New Roman" w:hAnsi="Times New Roman" w:cs="Times New Roman"/>
                <w:color w:val="000000"/>
                <w:sz w:val="16"/>
                <w:szCs w:val="16"/>
                <w:lang w:eastAsia="es-VE"/>
              </w:rPr>
              <w:t xml:space="preserve"> </w:t>
            </w:r>
          </w:p>
        </w:tc>
        <w:tc>
          <w:tcPr>
            <w:tcW w:w="1721" w:type="dxa"/>
            <w:tcBorders>
              <w:top w:val="nil"/>
              <w:left w:val="nil"/>
              <w:bottom w:val="nil"/>
              <w:right w:val="nil"/>
            </w:tcBorders>
          </w:tcPr>
          <w:p w14:paraId="4BB57A56" w14:textId="77777777" w:rsidR="00405820" w:rsidRDefault="002F4028">
            <w:pPr>
              <w:spacing w:line="240" w:lineRule="atLeast"/>
              <w:jc w:val="right"/>
              <w:rPr>
                <w:sz w:val="16"/>
                <w:szCs w:val="16"/>
              </w:rPr>
            </w:pPr>
            <w:r>
              <w:rPr>
                <w:rFonts w:ascii="Times New Roman" w:eastAsia="Times New Roman" w:hAnsi="Times New Roman" w:cs="Times New Roman"/>
                <w:color w:val="000000"/>
                <w:sz w:val="16"/>
                <w:szCs w:val="16"/>
                <w:lang w:eastAsia="es-VE"/>
              </w:rPr>
              <w:t xml:space="preserve"> 63</w:t>
            </w:r>
          </w:p>
        </w:tc>
      </w:tr>
      <w:tr w:rsidR="00405820" w14:paraId="09C82143" w14:textId="77777777">
        <w:trPr>
          <w:trHeight w:val="240"/>
          <w:jc w:val="center"/>
        </w:trPr>
        <w:tc>
          <w:tcPr>
            <w:tcW w:w="2372" w:type="dxa"/>
            <w:tcBorders>
              <w:top w:val="nil"/>
              <w:left w:val="nil"/>
              <w:bottom w:val="nil"/>
              <w:right w:val="nil"/>
            </w:tcBorders>
            <w:vAlign w:val="center"/>
          </w:tcPr>
          <w:p w14:paraId="39091EAA" w14:textId="77777777" w:rsidR="00405820" w:rsidRDefault="002F4028">
            <w:pPr>
              <w:spacing w:line="360" w:lineRule="auto"/>
              <w:rPr>
                <w:rFonts w:ascii="Times New Roman" w:eastAsia="Times New Roman" w:hAnsi="Times New Roman" w:cs="Times New Roman"/>
                <w:color w:val="000000"/>
                <w:sz w:val="16"/>
                <w:szCs w:val="16"/>
                <w:lang w:eastAsia="es-VE"/>
              </w:rPr>
            </w:pPr>
            <w:proofErr w:type="spellStart"/>
            <w:r>
              <w:rPr>
                <w:rFonts w:ascii="Times New Roman" w:eastAsia="Times New Roman" w:hAnsi="Times New Roman" w:cs="Times New Roman"/>
                <w:color w:val="000000"/>
                <w:sz w:val="16"/>
                <w:szCs w:val="16"/>
                <w:lang w:eastAsia="es-VE"/>
              </w:rPr>
              <w:t>Múltiple</w:t>
            </w:r>
            <w:proofErr w:type="spellEnd"/>
            <w:r>
              <w:rPr>
                <w:rFonts w:ascii="Times New Roman" w:eastAsia="Times New Roman" w:hAnsi="Times New Roman" w:cs="Times New Roman"/>
                <w:color w:val="000000"/>
                <w:sz w:val="16"/>
                <w:szCs w:val="16"/>
                <w:lang w:eastAsia="es-VE"/>
              </w:rPr>
              <w:t xml:space="preserve"> </w:t>
            </w:r>
          </w:p>
        </w:tc>
        <w:tc>
          <w:tcPr>
            <w:tcW w:w="1721" w:type="dxa"/>
            <w:tcBorders>
              <w:top w:val="nil"/>
              <w:left w:val="nil"/>
              <w:bottom w:val="nil"/>
              <w:right w:val="nil"/>
            </w:tcBorders>
            <w:vAlign w:val="center"/>
          </w:tcPr>
          <w:p w14:paraId="2DEA1F86"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40.200</w:t>
            </w:r>
          </w:p>
        </w:tc>
      </w:tr>
      <w:tr w:rsidR="00405820" w14:paraId="2EB51F33" w14:textId="77777777">
        <w:trPr>
          <w:trHeight w:val="240"/>
          <w:jc w:val="center"/>
        </w:trPr>
        <w:tc>
          <w:tcPr>
            <w:tcW w:w="2372" w:type="dxa"/>
            <w:tcBorders>
              <w:top w:val="nil"/>
              <w:left w:val="nil"/>
              <w:bottom w:val="nil"/>
              <w:right w:val="nil"/>
            </w:tcBorders>
            <w:vAlign w:val="center"/>
          </w:tcPr>
          <w:p w14:paraId="5DB0C90D" w14:textId="77777777" w:rsidR="00405820" w:rsidRDefault="002F4028">
            <w:pPr>
              <w:spacing w:line="360" w:lineRule="auto"/>
              <w:rPr>
                <w:rFonts w:ascii="Times New Roman" w:eastAsia="Times New Roman" w:hAnsi="Times New Roman" w:cs="Times New Roman"/>
                <w:color w:val="000000"/>
                <w:sz w:val="16"/>
                <w:szCs w:val="16"/>
                <w:lang w:eastAsia="es-VE"/>
              </w:rPr>
            </w:pPr>
            <w:proofErr w:type="spellStart"/>
            <w:r>
              <w:rPr>
                <w:rFonts w:ascii="Times New Roman" w:eastAsia="Times New Roman" w:hAnsi="Times New Roman" w:cs="Times New Roman"/>
                <w:color w:val="000000"/>
                <w:sz w:val="16"/>
                <w:szCs w:val="16"/>
                <w:lang w:eastAsia="es-VE"/>
              </w:rPr>
              <w:t>Neuromúsculo</w:t>
            </w:r>
            <w:proofErr w:type="spellEnd"/>
            <w:r>
              <w:rPr>
                <w:rFonts w:ascii="Times New Roman" w:eastAsia="Times New Roman" w:hAnsi="Times New Roman" w:cs="Times New Roman"/>
                <w:color w:val="000000"/>
                <w:sz w:val="16"/>
                <w:szCs w:val="16"/>
                <w:lang w:eastAsia="es-VE"/>
              </w:rPr>
              <w:t xml:space="preserve"> - </w:t>
            </w:r>
            <w:proofErr w:type="spellStart"/>
            <w:r>
              <w:rPr>
                <w:rFonts w:ascii="Times New Roman" w:eastAsia="Times New Roman" w:hAnsi="Times New Roman" w:cs="Times New Roman"/>
                <w:color w:val="000000"/>
                <w:sz w:val="16"/>
                <w:szCs w:val="16"/>
                <w:lang w:eastAsia="es-VE"/>
              </w:rPr>
              <w:t>Esquelética</w:t>
            </w:r>
            <w:proofErr w:type="spellEnd"/>
            <w:r>
              <w:rPr>
                <w:rFonts w:ascii="Times New Roman" w:eastAsia="Times New Roman" w:hAnsi="Times New Roman" w:cs="Times New Roman"/>
                <w:color w:val="000000"/>
                <w:sz w:val="16"/>
                <w:szCs w:val="16"/>
                <w:lang w:eastAsia="es-VE"/>
              </w:rPr>
              <w:t xml:space="preserve"> </w:t>
            </w:r>
          </w:p>
        </w:tc>
        <w:tc>
          <w:tcPr>
            <w:tcW w:w="1721" w:type="dxa"/>
            <w:tcBorders>
              <w:top w:val="nil"/>
              <w:left w:val="nil"/>
              <w:bottom w:val="nil"/>
              <w:right w:val="nil"/>
            </w:tcBorders>
            <w:vAlign w:val="center"/>
          </w:tcPr>
          <w:p w14:paraId="621DDD06"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7.928</w:t>
            </w:r>
          </w:p>
        </w:tc>
      </w:tr>
      <w:tr w:rsidR="00405820" w14:paraId="2A1E0CCB" w14:textId="77777777">
        <w:trPr>
          <w:trHeight w:val="240"/>
          <w:jc w:val="center"/>
        </w:trPr>
        <w:tc>
          <w:tcPr>
            <w:tcW w:w="2372" w:type="dxa"/>
            <w:tcBorders>
              <w:top w:val="nil"/>
              <w:left w:val="nil"/>
              <w:bottom w:val="nil"/>
              <w:right w:val="nil"/>
            </w:tcBorders>
            <w:vAlign w:val="center"/>
          </w:tcPr>
          <w:p w14:paraId="757AB034" w14:textId="77777777" w:rsidR="00405820" w:rsidRDefault="002F4028">
            <w:pPr>
              <w:spacing w:line="360" w:lineRule="auto"/>
              <w:rPr>
                <w:rFonts w:ascii="Times New Roman" w:eastAsia="Times New Roman" w:hAnsi="Times New Roman" w:cs="Times New Roman"/>
                <w:color w:val="000000"/>
                <w:sz w:val="16"/>
                <w:szCs w:val="16"/>
                <w:lang w:eastAsia="es-VE"/>
              </w:rPr>
            </w:pPr>
            <w:r>
              <w:rPr>
                <w:rFonts w:ascii="Times New Roman" w:eastAsia="Times New Roman" w:hAnsi="Times New Roman" w:cs="Times New Roman"/>
                <w:color w:val="000000"/>
                <w:sz w:val="16"/>
                <w:szCs w:val="16"/>
                <w:lang w:eastAsia="es-VE"/>
              </w:rPr>
              <w:t xml:space="preserve">Renal y </w:t>
            </w:r>
            <w:proofErr w:type="spellStart"/>
            <w:r>
              <w:rPr>
                <w:rFonts w:ascii="Times New Roman" w:eastAsia="Times New Roman" w:hAnsi="Times New Roman" w:cs="Times New Roman"/>
                <w:color w:val="000000"/>
                <w:sz w:val="16"/>
                <w:szCs w:val="16"/>
                <w:lang w:eastAsia="es-VE"/>
              </w:rPr>
              <w:t>urinaria</w:t>
            </w:r>
            <w:proofErr w:type="spellEnd"/>
            <w:r>
              <w:rPr>
                <w:rFonts w:ascii="Times New Roman" w:eastAsia="Times New Roman" w:hAnsi="Times New Roman" w:cs="Times New Roman"/>
                <w:color w:val="000000"/>
                <w:sz w:val="16"/>
                <w:szCs w:val="16"/>
                <w:lang w:eastAsia="es-VE"/>
              </w:rPr>
              <w:t xml:space="preserve"> </w:t>
            </w:r>
          </w:p>
        </w:tc>
        <w:tc>
          <w:tcPr>
            <w:tcW w:w="1721" w:type="dxa"/>
            <w:tcBorders>
              <w:top w:val="nil"/>
              <w:left w:val="nil"/>
              <w:bottom w:val="nil"/>
              <w:right w:val="nil"/>
            </w:tcBorders>
            <w:vAlign w:val="center"/>
          </w:tcPr>
          <w:p w14:paraId="7EC6C26F"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247</w:t>
            </w:r>
          </w:p>
        </w:tc>
      </w:tr>
      <w:tr w:rsidR="00405820" w14:paraId="3FFEE18C" w14:textId="77777777">
        <w:trPr>
          <w:trHeight w:val="240"/>
          <w:jc w:val="center"/>
        </w:trPr>
        <w:tc>
          <w:tcPr>
            <w:tcW w:w="2372" w:type="dxa"/>
            <w:tcBorders>
              <w:top w:val="nil"/>
              <w:left w:val="nil"/>
              <w:bottom w:val="nil"/>
              <w:right w:val="nil"/>
            </w:tcBorders>
            <w:vAlign w:val="center"/>
          </w:tcPr>
          <w:p w14:paraId="5DDD93F2" w14:textId="77777777" w:rsidR="00405820" w:rsidRDefault="002F4028">
            <w:pPr>
              <w:spacing w:line="360" w:lineRule="auto"/>
              <w:rPr>
                <w:rFonts w:ascii="Times New Roman" w:eastAsia="Times New Roman" w:hAnsi="Times New Roman" w:cs="Times New Roman"/>
                <w:color w:val="000000"/>
                <w:sz w:val="16"/>
                <w:szCs w:val="16"/>
                <w:lang w:eastAsia="es-VE"/>
              </w:rPr>
            </w:pPr>
            <w:r>
              <w:rPr>
                <w:rFonts w:ascii="Times New Roman" w:eastAsia="Times New Roman" w:hAnsi="Times New Roman" w:cs="Times New Roman"/>
                <w:color w:val="000000"/>
                <w:sz w:val="16"/>
                <w:szCs w:val="16"/>
                <w:lang w:eastAsia="es-VE"/>
              </w:rPr>
              <w:t>Respiratoria</w:t>
            </w:r>
          </w:p>
        </w:tc>
        <w:tc>
          <w:tcPr>
            <w:tcW w:w="1721" w:type="dxa"/>
            <w:tcBorders>
              <w:top w:val="nil"/>
              <w:left w:val="nil"/>
              <w:bottom w:val="nil"/>
              <w:right w:val="nil"/>
            </w:tcBorders>
            <w:vAlign w:val="center"/>
          </w:tcPr>
          <w:p w14:paraId="1881A0B4"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120</w:t>
            </w:r>
          </w:p>
        </w:tc>
      </w:tr>
      <w:tr w:rsidR="00405820" w14:paraId="777523E6" w14:textId="77777777">
        <w:trPr>
          <w:trHeight w:val="240"/>
          <w:jc w:val="center"/>
        </w:trPr>
        <w:tc>
          <w:tcPr>
            <w:tcW w:w="2372" w:type="dxa"/>
            <w:tcBorders>
              <w:top w:val="nil"/>
              <w:left w:val="nil"/>
              <w:bottom w:val="nil"/>
              <w:right w:val="nil"/>
            </w:tcBorders>
            <w:vAlign w:val="center"/>
          </w:tcPr>
          <w:p w14:paraId="301F8EA1" w14:textId="77777777" w:rsidR="00405820" w:rsidRDefault="002F4028">
            <w:pPr>
              <w:spacing w:line="360" w:lineRule="auto"/>
              <w:rPr>
                <w:rFonts w:ascii="Times New Roman" w:eastAsia="Times New Roman" w:hAnsi="Times New Roman" w:cs="Times New Roman"/>
                <w:color w:val="000000"/>
                <w:sz w:val="16"/>
                <w:szCs w:val="16"/>
                <w:lang w:eastAsia="es-VE"/>
              </w:rPr>
            </w:pPr>
            <w:proofErr w:type="spellStart"/>
            <w:r>
              <w:rPr>
                <w:rFonts w:ascii="Times New Roman" w:eastAsia="Times New Roman" w:hAnsi="Times New Roman" w:cs="Times New Roman"/>
                <w:color w:val="000000"/>
                <w:sz w:val="16"/>
                <w:szCs w:val="16"/>
                <w:lang w:eastAsia="es-VE"/>
              </w:rPr>
              <w:t>Sensitiva</w:t>
            </w:r>
            <w:proofErr w:type="spellEnd"/>
            <w:r>
              <w:rPr>
                <w:rFonts w:ascii="Times New Roman" w:eastAsia="Times New Roman" w:hAnsi="Times New Roman" w:cs="Times New Roman"/>
                <w:color w:val="000000"/>
                <w:sz w:val="16"/>
                <w:szCs w:val="16"/>
                <w:lang w:eastAsia="es-VE"/>
              </w:rPr>
              <w:t xml:space="preserve"> </w:t>
            </w:r>
          </w:p>
        </w:tc>
        <w:tc>
          <w:tcPr>
            <w:tcW w:w="1721" w:type="dxa"/>
            <w:tcBorders>
              <w:top w:val="nil"/>
              <w:left w:val="nil"/>
              <w:bottom w:val="nil"/>
              <w:right w:val="nil"/>
            </w:tcBorders>
            <w:vAlign w:val="center"/>
          </w:tcPr>
          <w:p w14:paraId="45AF7700"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17</w:t>
            </w:r>
          </w:p>
        </w:tc>
      </w:tr>
      <w:tr w:rsidR="00405820" w14:paraId="7BE1746C" w14:textId="77777777">
        <w:trPr>
          <w:trHeight w:val="240"/>
          <w:jc w:val="center"/>
        </w:trPr>
        <w:tc>
          <w:tcPr>
            <w:tcW w:w="2372" w:type="dxa"/>
            <w:tcBorders>
              <w:top w:val="nil"/>
              <w:left w:val="nil"/>
              <w:bottom w:val="nil"/>
              <w:right w:val="nil"/>
            </w:tcBorders>
            <w:vAlign w:val="center"/>
          </w:tcPr>
          <w:p w14:paraId="63EF13C8" w14:textId="77777777" w:rsidR="00405820" w:rsidRDefault="002F4028">
            <w:pPr>
              <w:spacing w:line="360" w:lineRule="auto"/>
              <w:rPr>
                <w:rFonts w:ascii="Times New Roman" w:eastAsia="Times New Roman" w:hAnsi="Times New Roman" w:cs="Times New Roman"/>
                <w:color w:val="000000"/>
                <w:sz w:val="16"/>
                <w:szCs w:val="16"/>
                <w:lang w:eastAsia="es-VE"/>
              </w:rPr>
            </w:pPr>
            <w:r>
              <w:rPr>
                <w:rFonts w:ascii="Times New Roman" w:eastAsia="Times New Roman" w:hAnsi="Times New Roman" w:cs="Times New Roman"/>
                <w:color w:val="000000"/>
                <w:sz w:val="16"/>
                <w:szCs w:val="16"/>
                <w:lang w:eastAsia="es-VE"/>
              </w:rPr>
              <w:t xml:space="preserve">Sistema </w:t>
            </w:r>
            <w:proofErr w:type="spellStart"/>
            <w:r>
              <w:rPr>
                <w:rFonts w:ascii="Times New Roman" w:eastAsia="Times New Roman" w:hAnsi="Times New Roman" w:cs="Times New Roman"/>
                <w:color w:val="000000"/>
                <w:sz w:val="16"/>
                <w:szCs w:val="16"/>
                <w:lang w:eastAsia="es-VE"/>
              </w:rPr>
              <w:t>Digestivo</w:t>
            </w:r>
            <w:proofErr w:type="spellEnd"/>
            <w:r>
              <w:rPr>
                <w:rFonts w:ascii="Times New Roman" w:eastAsia="Times New Roman" w:hAnsi="Times New Roman" w:cs="Times New Roman"/>
                <w:color w:val="000000"/>
                <w:sz w:val="16"/>
                <w:szCs w:val="16"/>
                <w:lang w:eastAsia="es-VE"/>
              </w:rPr>
              <w:t xml:space="preserve"> </w:t>
            </w:r>
          </w:p>
        </w:tc>
        <w:tc>
          <w:tcPr>
            <w:tcW w:w="1721" w:type="dxa"/>
            <w:tcBorders>
              <w:top w:val="nil"/>
              <w:left w:val="nil"/>
              <w:bottom w:val="nil"/>
              <w:right w:val="nil"/>
            </w:tcBorders>
            <w:vAlign w:val="center"/>
          </w:tcPr>
          <w:p w14:paraId="65D6C8C7"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24</w:t>
            </w:r>
          </w:p>
        </w:tc>
      </w:tr>
      <w:tr w:rsidR="00405820" w14:paraId="48D25787" w14:textId="77777777">
        <w:trPr>
          <w:trHeight w:val="240"/>
          <w:jc w:val="center"/>
        </w:trPr>
        <w:tc>
          <w:tcPr>
            <w:tcW w:w="2372" w:type="dxa"/>
            <w:tcBorders>
              <w:top w:val="nil"/>
              <w:left w:val="nil"/>
              <w:bottom w:val="nil"/>
              <w:right w:val="nil"/>
            </w:tcBorders>
            <w:vAlign w:val="center"/>
          </w:tcPr>
          <w:p w14:paraId="133C5649" w14:textId="77777777" w:rsidR="00405820" w:rsidRDefault="002F4028">
            <w:pPr>
              <w:spacing w:line="360" w:lineRule="auto"/>
              <w:rPr>
                <w:rFonts w:ascii="Times New Roman" w:eastAsia="Times New Roman" w:hAnsi="Times New Roman" w:cs="Times New Roman"/>
                <w:color w:val="000000"/>
                <w:sz w:val="16"/>
                <w:szCs w:val="16"/>
                <w:lang w:eastAsia="es-VE"/>
              </w:rPr>
            </w:pPr>
            <w:proofErr w:type="spellStart"/>
            <w:r>
              <w:rPr>
                <w:rFonts w:ascii="Times New Roman" w:eastAsia="Times New Roman" w:hAnsi="Times New Roman" w:cs="Times New Roman"/>
                <w:color w:val="000000"/>
                <w:sz w:val="16"/>
                <w:szCs w:val="16"/>
                <w:lang w:eastAsia="es-VE"/>
              </w:rPr>
              <w:t>Sordoceguera</w:t>
            </w:r>
            <w:proofErr w:type="spellEnd"/>
          </w:p>
        </w:tc>
        <w:tc>
          <w:tcPr>
            <w:tcW w:w="1721" w:type="dxa"/>
            <w:tcBorders>
              <w:top w:val="nil"/>
              <w:left w:val="nil"/>
              <w:bottom w:val="nil"/>
              <w:right w:val="nil"/>
            </w:tcBorders>
            <w:vAlign w:val="center"/>
          </w:tcPr>
          <w:p w14:paraId="0CC6FC86"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9</w:t>
            </w:r>
          </w:p>
        </w:tc>
      </w:tr>
      <w:tr w:rsidR="00405820" w14:paraId="656A3981" w14:textId="77777777">
        <w:trPr>
          <w:trHeight w:val="240"/>
          <w:jc w:val="center"/>
        </w:trPr>
        <w:tc>
          <w:tcPr>
            <w:tcW w:w="2372" w:type="dxa"/>
            <w:tcBorders>
              <w:top w:val="nil"/>
              <w:left w:val="nil"/>
              <w:bottom w:val="nil"/>
              <w:right w:val="nil"/>
            </w:tcBorders>
            <w:vAlign w:val="center"/>
          </w:tcPr>
          <w:p w14:paraId="4874AE62" w14:textId="77777777" w:rsidR="00405820" w:rsidRDefault="002F4028">
            <w:pPr>
              <w:spacing w:line="360" w:lineRule="auto"/>
              <w:rPr>
                <w:rFonts w:ascii="Times New Roman" w:eastAsia="Times New Roman" w:hAnsi="Times New Roman" w:cs="Times New Roman"/>
                <w:color w:val="000000"/>
                <w:sz w:val="16"/>
                <w:szCs w:val="16"/>
                <w:lang w:eastAsia="es-VE"/>
              </w:rPr>
            </w:pPr>
            <w:r>
              <w:rPr>
                <w:rFonts w:ascii="Times New Roman" w:eastAsia="Times New Roman" w:hAnsi="Times New Roman" w:cs="Times New Roman"/>
                <w:color w:val="000000"/>
                <w:sz w:val="16"/>
                <w:szCs w:val="16"/>
                <w:lang w:eastAsia="es-VE"/>
              </w:rPr>
              <w:t>Visual</w:t>
            </w:r>
          </w:p>
        </w:tc>
        <w:tc>
          <w:tcPr>
            <w:tcW w:w="1721" w:type="dxa"/>
            <w:tcBorders>
              <w:top w:val="nil"/>
              <w:left w:val="nil"/>
              <w:bottom w:val="nil"/>
              <w:right w:val="nil"/>
            </w:tcBorders>
            <w:vAlign w:val="center"/>
          </w:tcPr>
          <w:p w14:paraId="3F52C55C"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2.298</w:t>
            </w:r>
          </w:p>
        </w:tc>
      </w:tr>
      <w:tr w:rsidR="00405820" w14:paraId="682B871A" w14:textId="77777777">
        <w:trPr>
          <w:trHeight w:val="555"/>
          <w:jc w:val="center"/>
        </w:trPr>
        <w:tc>
          <w:tcPr>
            <w:tcW w:w="2372" w:type="dxa"/>
            <w:tcBorders>
              <w:top w:val="nil"/>
              <w:left w:val="nil"/>
              <w:bottom w:val="nil"/>
              <w:right w:val="nil"/>
            </w:tcBorders>
            <w:vAlign w:val="center"/>
          </w:tcPr>
          <w:p w14:paraId="372CF6F6" w14:textId="77777777" w:rsidR="00405820" w:rsidRDefault="002F4028">
            <w:pPr>
              <w:spacing w:line="360" w:lineRule="auto"/>
              <w:rPr>
                <w:rFonts w:ascii="Times New Roman" w:eastAsia="Times New Roman" w:hAnsi="Times New Roman" w:cs="Times New Roman"/>
                <w:color w:val="000000"/>
                <w:sz w:val="16"/>
                <w:szCs w:val="16"/>
                <w:lang w:eastAsia="es-VE"/>
              </w:rPr>
            </w:pPr>
            <w:r>
              <w:rPr>
                <w:rFonts w:ascii="Times New Roman" w:eastAsia="Times New Roman" w:hAnsi="Times New Roman" w:cs="Times New Roman"/>
                <w:color w:val="000000"/>
                <w:sz w:val="16"/>
                <w:szCs w:val="16"/>
                <w:lang w:eastAsia="es-VE"/>
              </w:rPr>
              <w:t xml:space="preserve">Voz y </w:t>
            </w:r>
            <w:proofErr w:type="spellStart"/>
            <w:r>
              <w:rPr>
                <w:rFonts w:ascii="Times New Roman" w:eastAsia="Times New Roman" w:hAnsi="Times New Roman" w:cs="Times New Roman"/>
                <w:color w:val="000000"/>
                <w:sz w:val="16"/>
                <w:szCs w:val="16"/>
                <w:lang w:eastAsia="es-VE"/>
              </w:rPr>
              <w:t>habla</w:t>
            </w:r>
            <w:proofErr w:type="spellEnd"/>
          </w:p>
        </w:tc>
        <w:tc>
          <w:tcPr>
            <w:tcW w:w="1721" w:type="dxa"/>
            <w:tcBorders>
              <w:top w:val="nil"/>
              <w:left w:val="nil"/>
              <w:bottom w:val="nil"/>
              <w:right w:val="nil"/>
            </w:tcBorders>
            <w:vAlign w:val="center"/>
          </w:tcPr>
          <w:p w14:paraId="530B00D3" w14:textId="77777777" w:rsidR="00405820" w:rsidRDefault="002F4028">
            <w:pPr>
              <w:spacing w:line="360" w:lineRule="auto"/>
              <w:jc w:val="right"/>
              <w:rPr>
                <w:rFonts w:ascii="Times New Roman" w:eastAsia="Times New Roman" w:hAnsi="Times New Roman" w:cs="Times New Roman"/>
                <w:sz w:val="16"/>
                <w:szCs w:val="16"/>
                <w:lang w:eastAsia="es-VE"/>
              </w:rPr>
            </w:pPr>
            <w:r>
              <w:rPr>
                <w:rFonts w:ascii="Times New Roman" w:eastAsia="Times New Roman" w:hAnsi="Times New Roman" w:cs="Times New Roman"/>
                <w:sz w:val="16"/>
                <w:szCs w:val="16"/>
                <w:lang w:eastAsia="es-VE"/>
              </w:rPr>
              <w:t>421</w:t>
            </w:r>
          </w:p>
        </w:tc>
      </w:tr>
      <w:tr w:rsidR="00405820" w14:paraId="10241D9B" w14:textId="77777777">
        <w:trPr>
          <w:trHeight w:val="240"/>
          <w:jc w:val="center"/>
        </w:trPr>
        <w:tc>
          <w:tcPr>
            <w:tcW w:w="2372" w:type="dxa"/>
            <w:tcBorders>
              <w:left w:val="nil"/>
              <w:bottom w:val="single" w:sz="12" w:space="0" w:color="000000"/>
              <w:right w:val="nil"/>
            </w:tcBorders>
            <w:vAlign w:val="center"/>
          </w:tcPr>
          <w:p w14:paraId="68EAD239" w14:textId="77777777" w:rsidR="00405820" w:rsidRDefault="002F4028">
            <w:pPr>
              <w:spacing w:line="360" w:lineRule="auto"/>
              <w:rPr>
                <w:rFonts w:ascii="Times New Roman" w:eastAsia="Times New Roman" w:hAnsi="Times New Roman" w:cs="Times New Roman"/>
                <w:b/>
                <w:color w:val="000000"/>
                <w:sz w:val="20"/>
                <w:lang w:eastAsia="es-VE"/>
              </w:rPr>
            </w:pPr>
            <w:r>
              <w:rPr>
                <w:rFonts w:ascii="Times New Roman" w:eastAsia="Times New Roman" w:hAnsi="Times New Roman" w:cs="Times New Roman"/>
                <w:b/>
                <w:color w:val="000000"/>
                <w:sz w:val="20"/>
                <w:lang w:eastAsia="es-VE"/>
              </w:rPr>
              <w:t>Total</w:t>
            </w:r>
          </w:p>
        </w:tc>
        <w:tc>
          <w:tcPr>
            <w:tcW w:w="1721" w:type="dxa"/>
            <w:tcBorders>
              <w:left w:val="nil"/>
              <w:bottom w:val="single" w:sz="12" w:space="0" w:color="000000"/>
              <w:right w:val="nil"/>
            </w:tcBorders>
            <w:vAlign w:val="bottom"/>
          </w:tcPr>
          <w:p w14:paraId="138FD67C" w14:textId="77777777" w:rsidR="00405820" w:rsidRDefault="002F4028">
            <w:pPr>
              <w:spacing w:before="80" w:after="80" w:line="220" w:lineRule="exact"/>
              <w:jc w:val="right"/>
              <w:rPr>
                <w:rFonts w:ascii="Times New Roman" w:eastAsia="Times New Roman" w:hAnsi="Times New Roman" w:cs="Times New Roman"/>
                <w:b/>
                <w:bCs/>
                <w:sz w:val="20"/>
                <w:lang w:eastAsia="es-VE"/>
              </w:rPr>
            </w:pPr>
            <w:r>
              <w:rPr>
                <w:rFonts w:ascii="Times New Roman" w:eastAsia="Times New Roman" w:hAnsi="Times New Roman" w:cs="Times New Roman"/>
                <w:b/>
                <w:bCs/>
                <w:sz w:val="20"/>
                <w:lang w:eastAsia="es-VE"/>
              </w:rPr>
              <w:t>66.795</w:t>
            </w:r>
          </w:p>
        </w:tc>
      </w:tr>
    </w:tbl>
    <w:p w14:paraId="54906C85" w14:textId="77777777" w:rsidR="00405820" w:rsidRDefault="00405820">
      <w:pPr>
        <w:spacing w:line="360" w:lineRule="auto"/>
        <w:rPr>
          <w:rFonts w:ascii="Times New Roman" w:hAnsi="Times New Roman" w:cs="Times New Roman"/>
          <w:b/>
          <w:bCs/>
          <w:sz w:val="20"/>
          <w:szCs w:val="20"/>
        </w:rPr>
      </w:pPr>
    </w:p>
    <w:p w14:paraId="43A00069"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En materia de educativa, en 2014 el Estado venezolano realizó una Consulta Nacional por la Calidad Educativa en 2014, obteniendo como una de sus principales conclusiones la importancia de la inclusión como política educativa. Se realizó la consulta específica de la Modalidad Educación Especial, en la cual participaron 11.033 personas entre estudiantes, docentes, familia en los 24 estados del país. Esta consulta, arrojó resultados contundentes, resaltando la necesidad de profundizar la política de educación especial y la ampliación de la cobertura para población con necesidades educativas especiales y/o con discapacidad.</w:t>
      </w:r>
    </w:p>
    <w:p w14:paraId="6C3C8AAB" w14:textId="77777777" w:rsidR="00405820" w:rsidRDefault="00405820">
      <w:pPr>
        <w:spacing w:after="0" w:line="240" w:lineRule="auto"/>
        <w:jc w:val="both"/>
        <w:rPr>
          <w:rFonts w:ascii="Times New Roman" w:hAnsi="Times New Roman" w:cs="Times New Roman"/>
          <w:sz w:val="20"/>
          <w:szCs w:val="20"/>
        </w:rPr>
      </w:pPr>
    </w:p>
    <w:p w14:paraId="69A0A9BF"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La Defensoría del Pueblo desde el 2014 viene ejecutando programas de formación para el fortalecimiento de la docencia para niños, niñas y adolescentes con discapacidad desde el 2014, y en 2020 se crea el Diplomado en Lengua de Señas Venezolanas, el Diplomado sobre Atención Comunitaria para las Personas con Discapacidad y el Diplomado en Braille.</w:t>
      </w:r>
    </w:p>
    <w:p w14:paraId="539CE651" w14:textId="77777777" w:rsidR="00405820" w:rsidRDefault="00405820">
      <w:pPr>
        <w:spacing w:after="0" w:line="240" w:lineRule="auto"/>
        <w:jc w:val="both"/>
        <w:rPr>
          <w:rFonts w:ascii="Times New Roman" w:hAnsi="Times New Roman" w:cs="Times New Roman"/>
          <w:sz w:val="20"/>
          <w:szCs w:val="20"/>
        </w:rPr>
      </w:pPr>
    </w:p>
    <w:p w14:paraId="453C9AC6" w14:textId="77777777" w:rsidR="00405820" w:rsidRDefault="002F4028">
      <w:pPr>
        <w:spacing w:after="0" w:line="240" w:lineRule="auto"/>
        <w:jc w:val="both"/>
      </w:pPr>
      <w:r>
        <w:rPr>
          <w:rFonts w:ascii="Times New Roman" w:hAnsi="Times New Roman" w:cs="Arial"/>
          <w:sz w:val="20"/>
          <w:szCs w:val="20"/>
          <w:lang w:val="es-MX"/>
        </w:rPr>
        <w:t>En materia de protección a niños, niñas y adolescentes con discapacidad, el  IDENNA cuenta con dos programas de atención ambulatoria: Centros de Neurodesarrollo (CND) en el Distrito Capital y los estados Apure, Monagas y Lara y el Centro Diagnóstico y Tratamiento para las Interferencias del Aprendizaje (CDA)  en el Distrito Capital y el estado Lara. Asimismo, el IDENNA cuenta con el programa de Unidades de Protección para NNA con Discapacidad (UPIED) en los estados Distrito Capital, Carabobo, Falcón y Zulia.</w:t>
      </w:r>
    </w:p>
    <w:p w14:paraId="410A869B" w14:textId="77777777" w:rsidR="00405820" w:rsidRDefault="00405820">
      <w:pPr>
        <w:spacing w:after="0" w:line="240" w:lineRule="auto"/>
        <w:ind w:left="720"/>
        <w:jc w:val="both"/>
        <w:rPr>
          <w:rFonts w:cs="Arial"/>
          <w:lang w:val="es-MX"/>
        </w:rPr>
      </w:pPr>
    </w:p>
    <w:p w14:paraId="4BDAB8A2" w14:textId="77777777" w:rsidR="00405820" w:rsidRDefault="002F4028">
      <w:pPr>
        <w:numPr>
          <w:ilvl w:val="0"/>
          <w:numId w:val="1"/>
        </w:numPr>
        <w:spacing w:after="0" w:line="240" w:lineRule="auto"/>
        <w:ind w:left="0" w:firstLine="0"/>
        <w:jc w:val="both"/>
      </w:pPr>
      <w:r>
        <w:rPr>
          <w:rFonts w:ascii="Times New Roman" w:eastAsia="Times New Roman" w:hAnsi="Times New Roman" w:cs="Arial"/>
          <w:sz w:val="20"/>
          <w:szCs w:val="20"/>
          <w:lang w:val="es-MX"/>
        </w:rPr>
        <w:t>El IDENNA en el año 2025 ha participado en  tres mesas de trabajo coordinadas por  CONAPDIS y con distintas instituciones que atienden a niños, niñas y adolescentes con discapacidad, en el marco del Plan de Trabajo con UNICEF, cuyo fin es el fortalecimiento de los programas  de atención para la inclusión  y protección de los NNA con discapacidad, considerando la importancia del reconocimiento de la UNESCO de que Venezuela fue electa a la presidencia del grupo de amigos de las personas con discapacidad.</w:t>
      </w:r>
    </w:p>
    <w:p w14:paraId="20E9EDE7" w14:textId="77777777" w:rsidR="00405820" w:rsidRDefault="00405820">
      <w:pPr>
        <w:spacing w:after="0" w:line="240" w:lineRule="auto"/>
        <w:jc w:val="both"/>
        <w:rPr>
          <w:rFonts w:cs="Times New Roman"/>
          <w:b/>
          <w:bCs/>
          <w:sz w:val="20"/>
          <w:szCs w:val="20"/>
        </w:rPr>
      </w:pPr>
    </w:p>
    <w:p w14:paraId="49588298"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6) Salud</w:t>
      </w:r>
    </w:p>
    <w:p w14:paraId="6396EC97" w14:textId="77777777" w:rsidR="00405820" w:rsidRDefault="00405820">
      <w:pPr>
        <w:pStyle w:val="ListParagraph"/>
        <w:rPr>
          <w:rFonts w:cs="Times New Roman"/>
          <w:sz w:val="20"/>
          <w:szCs w:val="20"/>
        </w:rPr>
      </w:pPr>
    </w:p>
    <w:p w14:paraId="2FFF41DC" w14:textId="4CEFDF55"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atención a la Recomendación 53 del Comité, se informa que el</w:t>
      </w:r>
      <w:r w:rsidR="009A6948">
        <w:rPr>
          <w:rFonts w:ascii="Times New Roman" w:hAnsi="Times New Roman" w:cs="Times New Roman"/>
          <w:sz w:val="20"/>
          <w:szCs w:val="20"/>
        </w:rPr>
        <w:t xml:space="preserve"> </w:t>
      </w:r>
      <w:r>
        <w:rPr>
          <w:rFonts w:ascii="Times New Roman" w:hAnsi="Times New Roman" w:cs="Times New Roman"/>
          <w:sz w:val="20"/>
          <w:szCs w:val="20"/>
        </w:rPr>
        <w:t>MPPS, aborda la población entre 0 a 19 años de edad, a través del Programa de Salud de Niñas, Niños y Adolescentes</w:t>
      </w:r>
      <w:r w:rsidR="00AF4424">
        <w:rPr>
          <w:rFonts w:ascii="Times New Roman" w:hAnsi="Times New Roman" w:cs="Times New Roman"/>
          <w:sz w:val="20"/>
          <w:szCs w:val="20"/>
        </w:rPr>
        <w:t xml:space="preserve"> </w:t>
      </w:r>
      <w:r>
        <w:rPr>
          <w:rFonts w:ascii="Times New Roman" w:hAnsi="Times New Roman" w:cs="Times New Roman"/>
          <w:sz w:val="20"/>
          <w:szCs w:val="20"/>
        </w:rPr>
        <w:t xml:space="preserve">da respuesta, continua, integral, articulada, diferenciada y apegada al principio constitucional al derecho a la salud. </w:t>
      </w:r>
    </w:p>
    <w:p w14:paraId="6E8E6910" w14:textId="77777777" w:rsidR="00405820" w:rsidRDefault="00405820">
      <w:pPr>
        <w:spacing w:after="0" w:line="240" w:lineRule="auto"/>
        <w:jc w:val="both"/>
        <w:rPr>
          <w:rFonts w:ascii="Times New Roman" w:eastAsia="Times New Roman" w:hAnsi="Times New Roman" w:cs="Times New Roman"/>
          <w:sz w:val="20"/>
          <w:szCs w:val="20"/>
        </w:rPr>
      </w:pPr>
    </w:p>
    <w:p w14:paraId="17DA14A3" w14:textId="524A7034" w:rsidR="00405820" w:rsidRDefault="002F4028" w:rsidP="005D1193">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 xml:space="preserve">La atención de la salud ha implicado un nuevo paradigma con Barrio Adentro. No solo se ha tratado de la territorialización, sino, adicionalmente, del incremento de médicos y personal de la salud. El programa de Médicos Integrales Comunitarios (MIC) </w:t>
      </w:r>
      <w:proofErr w:type="spellStart"/>
      <w:r>
        <w:rPr>
          <w:rFonts w:ascii="Times New Roman" w:hAnsi="Times New Roman" w:cs="Times New Roman"/>
          <w:sz w:val="20"/>
          <w:szCs w:val="20"/>
          <w:lang w:val="es-ES"/>
        </w:rPr>
        <w:t>esta</w:t>
      </w:r>
      <w:proofErr w:type="spellEnd"/>
      <w:r>
        <w:rPr>
          <w:rFonts w:ascii="Times New Roman" w:hAnsi="Times New Roman" w:cs="Times New Roman"/>
          <w:sz w:val="20"/>
          <w:szCs w:val="20"/>
          <w:lang w:val="es-ES"/>
        </w:rPr>
        <w:t xml:space="preserve"> duplicando en 10 años, el total de médicos existentes en el país</w:t>
      </w:r>
      <w:r w:rsidR="00884E47">
        <w:rPr>
          <w:rFonts w:ascii="Times New Roman" w:hAnsi="Times New Roman" w:cs="Times New Roman"/>
          <w:sz w:val="20"/>
          <w:szCs w:val="20"/>
          <w:lang w:val="es-ES"/>
        </w:rPr>
        <w:t>.</w:t>
      </w:r>
    </w:p>
    <w:p w14:paraId="0CBF65AB" w14:textId="77777777" w:rsidR="005D1193" w:rsidRPr="005D1193" w:rsidRDefault="005D1193" w:rsidP="005D1193">
      <w:pPr>
        <w:spacing w:after="0" w:line="240" w:lineRule="auto"/>
        <w:jc w:val="both"/>
        <w:rPr>
          <w:rFonts w:ascii="Times New Roman" w:eastAsia="Times New Roman" w:hAnsi="Times New Roman" w:cs="Times New Roman"/>
          <w:sz w:val="20"/>
          <w:szCs w:val="20"/>
        </w:rPr>
      </w:pPr>
    </w:p>
    <w:p w14:paraId="24568284"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 xml:space="preserve">Venezuela ha venido reduciendo las cifras de mortalidad infantil. Estas se habían reducido en más de 10 puntos en la trayectoria que llevaba nuestro país desde inicios del siglo 21. </w:t>
      </w:r>
    </w:p>
    <w:p w14:paraId="25D9B881" w14:textId="77777777" w:rsidR="00405820" w:rsidRDefault="00405820">
      <w:pPr>
        <w:pStyle w:val="ListParagraph"/>
        <w:rPr>
          <w:rFonts w:cs="Times New Roman"/>
          <w:sz w:val="20"/>
          <w:szCs w:val="20"/>
          <w:lang w:val="es-ES"/>
        </w:rPr>
      </w:pPr>
    </w:p>
    <w:p w14:paraId="2C87E955" w14:textId="3B2C3CB8"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 xml:space="preserve">En el año 2024 se realizaron 6 campañas nacionales en las cuales se administraron 12.914.159 dosis a través del esquema nacional de vacunación que protegen a nuestros niños y niñas contra 11 enfermedades: hepatitis, tuberculosis, meningitis, polio, sarampión, rubeola, parotiditis, tétanos, difteria, fiebre amarilla, neumonía por </w:t>
      </w:r>
      <w:proofErr w:type="spellStart"/>
      <w:r>
        <w:rPr>
          <w:rFonts w:ascii="Times New Roman" w:hAnsi="Times New Roman" w:cs="Times New Roman"/>
          <w:sz w:val="20"/>
          <w:szCs w:val="20"/>
          <w:lang w:val="es-ES"/>
        </w:rPr>
        <w:t>haemophilus</w:t>
      </w:r>
      <w:proofErr w:type="spellEnd"/>
      <w:r>
        <w:rPr>
          <w:rFonts w:ascii="Times New Roman" w:hAnsi="Times New Roman" w:cs="Times New Roman"/>
          <w:sz w:val="20"/>
          <w:szCs w:val="20"/>
          <w:lang w:val="es-ES"/>
        </w:rPr>
        <w:t>, con la cooperación técnica de Unicef y OPS. Se realizaron 78.201.099 consultas médicas. Reducción del 25% de casos de malaria</w:t>
      </w:r>
      <w:r>
        <w:rPr>
          <w:rFonts w:ascii="Times New Roman" w:eastAsia="Times New Roman" w:hAnsi="Times New Roman" w:cs="Times New Roman"/>
          <w:sz w:val="20"/>
          <w:szCs w:val="20"/>
        </w:rPr>
        <w:t xml:space="preserve">. </w:t>
      </w:r>
      <w:r>
        <w:rPr>
          <w:rFonts w:ascii="Times New Roman" w:hAnsi="Times New Roman" w:cs="Times New Roman"/>
          <w:sz w:val="20"/>
          <w:szCs w:val="20"/>
          <w:lang w:val="es-ES"/>
        </w:rPr>
        <w:t>Reducción del 48% de la mortalidad por malaria</w:t>
      </w:r>
      <w:r>
        <w:rPr>
          <w:rFonts w:ascii="Times New Roman" w:eastAsia="Times New Roman" w:hAnsi="Times New Roman" w:cs="Times New Roman"/>
          <w:sz w:val="20"/>
          <w:szCs w:val="20"/>
        </w:rPr>
        <w:t xml:space="preserve">. </w:t>
      </w:r>
      <w:r>
        <w:rPr>
          <w:rFonts w:ascii="Times New Roman" w:hAnsi="Times New Roman" w:cs="Times New Roman"/>
          <w:sz w:val="20"/>
          <w:szCs w:val="20"/>
          <w:lang w:val="es-ES"/>
        </w:rPr>
        <w:t xml:space="preserve">Se mantiene controladas el sarampión y difteria. </w:t>
      </w:r>
    </w:p>
    <w:p w14:paraId="750F2BC1" w14:textId="77777777" w:rsidR="00405820" w:rsidRDefault="00405820">
      <w:pPr>
        <w:spacing w:after="0" w:line="240" w:lineRule="auto"/>
        <w:jc w:val="both"/>
        <w:rPr>
          <w:rFonts w:ascii="Times New Roman" w:eastAsia="Times New Roman" w:hAnsi="Times New Roman" w:cs="Times New Roman"/>
          <w:sz w:val="20"/>
          <w:szCs w:val="20"/>
        </w:rPr>
      </w:pPr>
    </w:p>
    <w:p w14:paraId="620E8F0F"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cuanto a las enfermedades causantes de defunciones en niños, niñas y adolescentes menores de 18 años se puede mencionar los siguientes datos de acuerdo a las afecciones: </w:t>
      </w:r>
    </w:p>
    <w:p w14:paraId="63932DB4" w14:textId="77777777" w:rsidR="00405820" w:rsidRDefault="00405820">
      <w:pPr>
        <w:pStyle w:val="ListParagraph"/>
        <w:rPr>
          <w:rFonts w:cs="Times New Roman"/>
          <w:sz w:val="20"/>
          <w:szCs w:val="20"/>
        </w:rPr>
      </w:pPr>
    </w:p>
    <w:p w14:paraId="204D4AE1" w14:textId="77777777" w:rsidR="00405820" w:rsidRDefault="002F4028">
      <w:pPr>
        <w:pStyle w:val="ListParagraph"/>
        <w:numPr>
          <w:ilvl w:val="0"/>
          <w:numId w:val="4"/>
        </w:numPr>
        <w:spacing w:line="240" w:lineRule="auto"/>
        <w:jc w:val="both"/>
        <w:rPr>
          <w:rFonts w:eastAsia="Times New Roman" w:cs="Times New Roman"/>
          <w:sz w:val="20"/>
          <w:szCs w:val="20"/>
        </w:rPr>
      </w:pPr>
      <w:r>
        <w:rPr>
          <w:rFonts w:cs="Times New Roman"/>
          <w:sz w:val="20"/>
          <w:szCs w:val="20"/>
        </w:rPr>
        <w:t>Virus de la Inmunodeficiencia humana (VIH): para el período 2012-2019, se observa un total de 940 muertes.</w:t>
      </w:r>
    </w:p>
    <w:p w14:paraId="503E5036" w14:textId="77777777" w:rsidR="00405820" w:rsidRDefault="002F4028">
      <w:pPr>
        <w:pStyle w:val="ListParagraph"/>
        <w:numPr>
          <w:ilvl w:val="0"/>
          <w:numId w:val="4"/>
        </w:numPr>
        <w:spacing w:line="240" w:lineRule="auto"/>
        <w:jc w:val="both"/>
        <w:rPr>
          <w:rFonts w:eastAsia="Times New Roman" w:cs="Times New Roman"/>
          <w:sz w:val="20"/>
          <w:szCs w:val="20"/>
        </w:rPr>
      </w:pPr>
      <w:r>
        <w:rPr>
          <w:rFonts w:cs="Times New Roman"/>
          <w:sz w:val="20"/>
          <w:szCs w:val="20"/>
        </w:rPr>
        <w:t>Malaria: para el período 2012-2019, se registran 274 muertes.</w:t>
      </w:r>
    </w:p>
    <w:p w14:paraId="0198037C" w14:textId="77777777" w:rsidR="00405820" w:rsidRDefault="002F4028">
      <w:pPr>
        <w:pStyle w:val="ListParagraph"/>
        <w:numPr>
          <w:ilvl w:val="0"/>
          <w:numId w:val="4"/>
        </w:numPr>
        <w:spacing w:line="240" w:lineRule="auto"/>
        <w:jc w:val="both"/>
        <w:rPr>
          <w:rFonts w:eastAsia="Times New Roman" w:cs="Times New Roman"/>
          <w:sz w:val="20"/>
          <w:szCs w:val="20"/>
        </w:rPr>
      </w:pPr>
      <w:r>
        <w:rPr>
          <w:rFonts w:cs="Times New Roman"/>
          <w:sz w:val="20"/>
          <w:szCs w:val="20"/>
        </w:rPr>
        <w:t>Tuberculosis: para el período 2012-2020, se constatan 660 muertes.</w:t>
      </w:r>
    </w:p>
    <w:p w14:paraId="3FCA53AF" w14:textId="77777777" w:rsidR="00405820" w:rsidRDefault="002F4028">
      <w:pPr>
        <w:pStyle w:val="ListParagraph"/>
        <w:numPr>
          <w:ilvl w:val="0"/>
          <w:numId w:val="4"/>
        </w:numPr>
        <w:spacing w:line="240" w:lineRule="auto"/>
        <w:jc w:val="both"/>
        <w:rPr>
          <w:rFonts w:eastAsia="Times New Roman" w:cs="Times New Roman"/>
          <w:sz w:val="20"/>
          <w:szCs w:val="20"/>
        </w:rPr>
      </w:pPr>
      <w:r>
        <w:rPr>
          <w:rFonts w:cs="Times New Roman"/>
          <w:sz w:val="20"/>
          <w:szCs w:val="20"/>
        </w:rPr>
        <w:t>Hepatitis viral: para el período 2012-2020 un registro de 61 muertes.</w:t>
      </w:r>
    </w:p>
    <w:p w14:paraId="4FF93DC9" w14:textId="77777777" w:rsidR="00405820" w:rsidRDefault="002F4028">
      <w:pPr>
        <w:pStyle w:val="ListParagraph"/>
        <w:numPr>
          <w:ilvl w:val="0"/>
          <w:numId w:val="4"/>
        </w:numPr>
        <w:spacing w:line="240" w:lineRule="auto"/>
        <w:jc w:val="both"/>
        <w:rPr>
          <w:rFonts w:eastAsia="Times New Roman" w:cs="Times New Roman"/>
          <w:sz w:val="20"/>
          <w:szCs w:val="20"/>
        </w:rPr>
      </w:pPr>
      <w:r>
        <w:rPr>
          <w:rFonts w:cs="Times New Roman"/>
          <w:sz w:val="20"/>
          <w:szCs w:val="20"/>
        </w:rPr>
        <w:t>Infecciones respiratorias agudas: para el período 2012-2020, se observa un total de 769 muertes.</w:t>
      </w:r>
    </w:p>
    <w:p w14:paraId="27C42BD3" w14:textId="77777777" w:rsidR="00405820" w:rsidRDefault="00405820">
      <w:pPr>
        <w:pStyle w:val="ListParagraph"/>
        <w:rPr>
          <w:rFonts w:cs="Times New Roman"/>
          <w:sz w:val="20"/>
          <w:szCs w:val="20"/>
        </w:rPr>
      </w:pPr>
    </w:p>
    <w:p w14:paraId="2BD21565"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Venezuela ha venido reduciendo las cifras de mortalidad infantil. Estas se habían reducido en más de 10 puntos, en la trayectoria que llevaba nuestro país desde inicios del siglo 21. La guerra económica cobró víctimas en la mortalidad infantil, demandado de esfuerzos excepcionales para reconducir estos indicadores en los últimos años, pese a mantenerse y arreciar la agresión. Los valores que venían  de 26 muertes por cada mil nacidos habían llegado a 14 puntos, retrocediendo a 20 puntos en medio de la agresión del Gobierno de los Estados Unidos.</w:t>
      </w:r>
    </w:p>
    <w:p w14:paraId="358B9211" w14:textId="77777777" w:rsidR="00405820" w:rsidRDefault="00405820">
      <w:pPr>
        <w:spacing w:after="0" w:line="240" w:lineRule="auto"/>
        <w:jc w:val="both"/>
        <w:rPr>
          <w:rFonts w:ascii="Times New Roman" w:eastAsia="Times New Roman" w:hAnsi="Times New Roman" w:cs="Times New Roman"/>
          <w:sz w:val="20"/>
          <w:szCs w:val="20"/>
        </w:rPr>
      </w:pPr>
    </w:p>
    <w:p w14:paraId="466F6FDD"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Como consecuencia del bloqueo económico que sufre nuestro país desde 2014, el Estado venezolano en alianza con Fondo Rotatorio para la Compra de Vacunas de la Organización Panamericana de la Salud (OPS), fortaleció los mecanismos de cooperación solidaria para la compra de vacunas, jeringas y suministros afines. En los últimos 6 años, el MPPS ha realizado adquisiciones a través de este mecanismo por un monto total de 170.103.384,35 dólares, lo que representa en promedio cerca de 28 millones de dólares por año. Es importante indicar que sin este mecanismo, las medidas coercitivas unilaterales del gobierno norteamericano hubieran impedido cualquier compra medicinas e insumos para la salud. Muestra de ello fue el caso de la compra de más de 6.000.000 de vacunas para la COVID-19 que fueron adquiridas por el Estado venezolano a través del COVAX durante el primer semestre de 2021, cuyos pagos fueron realizados y posteriormente bloqueados por la aplicación de estas medidas en el sistema financiero internacional. Esto imposibilitó la entrega oportuna de las vacunas para la protección de la vida y salud, a pesar que ya habían sido pagadas en su totalidad con recursos públicos.</w:t>
      </w:r>
    </w:p>
    <w:p w14:paraId="4290EB46" w14:textId="77777777" w:rsidR="00405820" w:rsidRPr="00297009" w:rsidRDefault="00405820" w:rsidP="00297009">
      <w:pPr>
        <w:rPr>
          <w:rFonts w:cs="Times New Roman"/>
          <w:sz w:val="20"/>
          <w:szCs w:val="20"/>
        </w:rPr>
      </w:pPr>
    </w:p>
    <w:p w14:paraId="4C9EAF3A"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cuanto a la mortalidad las curvas registradas en niños y niñas y adolescentes, en todos los grupos etarios presentan para el período 2012 al 2020, tendencia a la estabilidad en los primeros años de este lapso de tiempo para luego comenzar su ascenso progresivo, observándose un pico importante, en la mayoría de los grupos a partir del año 2015. Asimismo, se observa al sexo masculino con mayor afectación en los diferentes grupos a excepción del grupo de 1 a 4 años, donde obtuvo mayor número el sexo femenino. Estos picos coinciden con la agudización de medidas coercitivas unilaterales dictadas en contra de nuestra nación, de hecho, el incremento de la mortalidad fue incluida como un hecho relevante en la Remisión que presentó el Estado venezolano ante la Corte Penal Internacional contra las altas autoridades del gobierno norteamericano por la comisión de crímenes de lesa humanidad en razón del bloqueo económico impuesto a nuestro país.</w:t>
      </w:r>
    </w:p>
    <w:p w14:paraId="7EB512E4" w14:textId="77777777" w:rsidR="00405820" w:rsidRDefault="00405820">
      <w:pPr>
        <w:pStyle w:val="ListParagraph"/>
        <w:rPr>
          <w:rFonts w:cs="Times New Roman"/>
          <w:sz w:val="20"/>
          <w:szCs w:val="20"/>
        </w:rPr>
      </w:pPr>
    </w:p>
    <w:p w14:paraId="03A2B855"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La formación y capacitación del talento humano forma parte de la Estrategia Concertada para la Reducción de la Mortalidad Materna y Neonatal, actualmente en ejecución, atendiendo el enfoque de curso de vida: salud de la mujer, niñez y adolescencia. De manera especial, se ha avanzado en la formación de los equipos que laboran en las denominadas </w:t>
      </w:r>
      <w:r>
        <w:rPr>
          <w:rFonts w:ascii="Times New Roman" w:hAnsi="Times New Roman" w:cs="Times New Roman"/>
          <w:i/>
          <w:sz w:val="20"/>
          <w:szCs w:val="20"/>
        </w:rPr>
        <w:t>“salas de parto para la atención de embarazos de bajo riesgo”</w:t>
      </w:r>
      <w:r>
        <w:rPr>
          <w:rFonts w:ascii="Times New Roman" w:hAnsi="Times New Roman" w:cs="Times New Roman"/>
          <w:sz w:val="20"/>
          <w:szCs w:val="20"/>
        </w:rPr>
        <w:t xml:space="preserve">. </w:t>
      </w:r>
    </w:p>
    <w:p w14:paraId="14863FF7" w14:textId="77777777" w:rsidR="00405820" w:rsidRDefault="00405820">
      <w:pPr>
        <w:pStyle w:val="ListParagraph"/>
        <w:rPr>
          <w:rFonts w:eastAsia="Times New Roman" w:cs="Times New Roman"/>
          <w:sz w:val="20"/>
          <w:szCs w:val="20"/>
        </w:rPr>
      </w:pPr>
    </w:p>
    <w:p w14:paraId="7D50AB36"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De la misma manera, entre 2018 y 2019, se desarrollaron talleres en temas como: lactancia materna, signos de alarma del embarazo y puerperio, derechos sexuales y reproductivos, importancia del control prenatal, prevención de infecciones de trasmisión sexual y VIH, y nutrición; los cuales fueron impartidos a 184.413 liderazgos comunitarios, promotoras de parto humanizado, comités de salud, entre otros.</w:t>
      </w:r>
    </w:p>
    <w:p w14:paraId="1AC53792" w14:textId="77777777" w:rsidR="00405820" w:rsidRDefault="00405820">
      <w:pPr>
        <w:pStyle w:val="ListParagraph"/>
        <w:rPr>
          <w:rFonts w:eastAsia="Times New Roman" w:cs="Times New Roman"/>
          <w:sz w:val="20"/>
          <w:szCs w:val="20"/>
        </w:rPr>
      </w:pPr>
    </w:p>
    <w:p w14:paraId="1AF1A6BF"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el año 2020, con el fin de dar continuidad a la Estrategia Concertada tomando en cuenta los avances realizados, se inició la ejecución de la estrategia </w:t>
      </w:r>
      <w:r>
        <w:rPr>
          <w:rFonts w:ascii="Times New Roman" w:hAnsi="Times New Roman" w:cs="Times New Roman"/>
          <w:i/>
          <w:sz w:val="20"/>
          <w:szCs w:val="20"/>
        </w:rPr>
        <w:t>“Salud Mujer, niñez y adolescencia 2020”</w:t>
      </w:r>
      <w:r>
        <w:rPr>
          <w:rFonts w:ascii="Times New Roman" w:hAnsi="Times New Roman" w:cs="Times New Roman"/>
          <w:sz w:val="20"/>
          <w:szCs w:val="20"/>
        </w:rPr>
        <w:t xml:space="preserve"> hacia la reducción de la morbilidad materna grave, mortalidad materna y neonatal, cuyo desarrollo se ha visto limitado por situación de la pandemia de COVID-19.</w:t>
      </w:r>
    </w:p>
    <w:p w14:paraId="4396A489" w14:textId="77777777" w:rsidR="00405820" w:rsidRDefault="00405820">
      <w:pPr>
        <w:pStyle w:val="ListParagraph"/>
        <w:rPr>
          <w:rFonts w:cs="Times New Roman"/>
          <w:sz w:val="20"/>
          <w:szCs w:val="20"/>
        </w:rPr>
      </w:pPr>
    </w:p>
    <w:p w14:paraId="0532E9A0"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Entre las medidas adoptadas, destaca la creación en 2018 del Comité de Vigilancia, Análisis y Respuesta para la prevención y control de la Morbilidad grave, Mortalidad Materna y Mortalidad Neonatal, que instruye a los estados el impulso de los comités institucionales (hospitales y maternidades), regionales (autoridades del estado) y locales, que permite la vigilancia de las mujeres gestantes graves y de alto riesgo,  así como el análisis de los casos para el desarrollo de estrategias y recomendaciones oportunas. En 2018 se adoptó la Resolución </w:t>
      </w:r>
      <w:proofErr w:type="spellStart"/>
      <w:r>
        <w:rPr>
          <w:rFonts w:ascii="Times New Roman" w:hAnsi="Times New Roman" w:cs="Times New Roman"/>
          <w:sz w:val="20"/>
          <w:szCs w:val="20"/>
        </w:rPr>
        <w:t>N°</w:t>
      </w:r>
      <w:proofErr w:type="spellEnd"/>
      <w:r>
        <w:rPr>
          <w:rFonts w:ascii="Times New Roman" w:hAnsi="Times New Roman" w:cs="Times New Roman"/>
          <w:sz w:val="20"/>
          <w:szCs w:val="20"/>
        </w:rPr>
        <w:t xml:space="preserve"> 007</w:t>
      </w:r>
      <w:r>
        <w:rPr>
          <w:rStyle w:val="Ancladenotaalpie"/>
          <w:rFonts w:ascii="Times New Roman" w:hAnsi="Times New Roman" w:cs="Times New Roman"/>
          <w:sz w:val="20"/>
          <w:szCs w:val="20"/>
        </w:rPr>
        <w:footnoteReference w:id="64"/>
      </w:r>
      <w:r>
        <w:rPr>
          <w:rFonts w:ascii="Times New Roman" w:hAnsi="Times New Roman" w:cs="Times New Roman"/>
          <w:sz w:val="20"/>
          <w:szCs w:val="20"/>
        </w:rPr>
        <w:t xml:space="preserve"> que ordena la organización, articulación y georreferencia de las redes de atención materna e infantil de cada estado y la Resolución </w:t>
      </w:r>
      <w:proofErr w:type="spellStart"/>
      <w:r>
        <w:rPr>
          <w:rFonts w:ascii="Times New Roman" w:hAnsi="Times New Roman" w:cs="Times New Roman"/>
          <w:sz w:val="20"/>
          <w:szCs w:val="20"/>
        </w:rPr>
        <w:t>N°</w:t>
      </w:r>
      <w:proofErr w:type="spellEnd"/>
      <w:r>
        <w:rPr>
          <w:rFonts w:ascii="Times New Roman" w:hAnsi="Times New Roman" w:cs="Times New Roman"/>
          <w:sz w:val="20"/>
          <w:szCs w:val="20"/>
        </w:rPr>
        <w:t xml:space="preserve"> 041</w:t>
      </w:r>
      <w:r>
        <w:rPr>
          <w:rStyle w:val="Ancladenotaalpie"/>
          <w:rFonts w:ascii="Times New Roman" w:hAnsi="Times New Roman" w:cs="Times New Roman"/>
          <w:sz w:val="20"/>
          <w:szCs w:val="20"/>
        </w:rPr>
        <w:footnoteReference w:id="65"/>
      </w:r>
      <w:r>
        <w:rPr>
          <w:rFonts w:ascii="Times New Roman" w:hAnsi="Times New Roman" w:cs="Times New Roman"/>
          <w:sz w:val="20"/>
          <w:szCs w:val="20"/>
        </w:rPr>
        <w:t xml:space="preserve"> que instruye a los establecimientos públicos y privados la obligatoriedad de atención, evaluación y referencia segura a toda mujer gestante o recién nacido, niña o niño cuando solicite atención, para fortalecer la estrategia de Ruta Materna como sistema de coordinación, articulación y gestión para optimizar la atención materna e infantil.</w:t>
      </w:r>
    </w:p>
    <w:p w14:paraId="66061578" w14:textId="77777777" w:rsidR="00405820" w:rsidRDefault="00405820" w:rsidP="00BB14CD">
      <w:pPr>
        <w:spacing w:after="0" w:line="240" w:lineRule="auto"/>
        <w:jc w:val="both"/>
        <w:rPr>
          <w:rFonts w:ascii="Times New Roman" w:hAnsi="Times New Roman" w:cs="Arial"/>
          <w:sz w:val="20"/>
          <w:szCs w:val="20"/>
          <w:lang w:val="es-MX"/>
        </w:rPr>
      </w:pPr>
    </w:p>
    <w:p w14:paraId="12728BA4" w14:textId="33F71B86" w:rsidR="00405820" w:rsidRDefault="002F4028">
      <w:pPr>
        <w:numPr>
          <w:ilvl w:val="0"/>
          <w:numId w:val="1"/>
        </w:numPr>
        <w:spacing w:after="0" w:line="252" w:lineRule="auto"/>
        <w:ind w:left="0" w:firstLine="0"/>
        <w:jc w:val="both"/>
      </w:pPr>
      <w:r>
        <w:rPr>
          <w:rFonts w:ascii="Times New Roman" w:eastAsia="Times New Roman" w:hAnsi="Times New Roman" w:cs="Arial"/>
          <w:sz w:val="20"/>
          <w:szCs w:val="20"/>
          <w:lang w:val="es-MX"/>
        </w:rPr>
        <w:t>El IDENNA en alianza con la Cruz Roja acordó formación de formadores en primeros auxilios psicológicos, dirigido al personal de los programas y entidades de atención del IDENNA, específicamente en los estados del país que reciben población de repatriados o retornados</w:t>
      </w:r>
      <w:r w:rsidR="00BB14CD">
        <w:rPr>
          <w:rFonts w:ascii="Times New Roman" w:eastAsia="Times New Roman" w:hAnsi="Times New Roman" w:cs="Arial"/>
          <w:sz w:val="20"/>
          <w:szCs w:val="20"/>
          <w:lang w:val="es-MX"/>
        </w:rPr>
        <w:t>.</w:t>
      </w:r>
    </w:p>
    <w:p w14:paraId="4F63CD65" w14:textId="77777777" w:rsidR="00405820" w:rsidRDefault="00405820">
      <w:pPr>
        <w:pStyle w:val="ListParagraph"/>
        <w:rPr>
          <w:rFonts w:cs="Times New Roman"/>
          <w:b/>
          <w:bCs/>
          <w:sz w:val="20"/>
          <w:szCs w:val="20"/>
        </w:rPr>
      </w:pPr>
    </w:p>
    <w:p w14:paraId="42CB8C16"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7) Promoción a la lactancia materna:</w:t>
      </w:r>
    </w:p>
    <w:p w14:paraId="15C9ED27" w14:textId="77777777" w:rsidR="00405820" w:rsidRDefault="00405820">
      <w:pPr>
        <w:pStyle w:val="ListParagraph"/>
        <w:rPr>
          <w:rFonts w:cs="Times New Roman"/>
          <w:sz w:val="20"/>
          <w:szCs w:val="20"/>
        </w:rPr>
      </w:pPr>
    </w:p>
    <w:p w14:paraId="7E9BBDBE"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Venezuela cuenta con un marco jurídico que promueve y protege la lactancia materna, consolidándose en 2007 con la aprobación de la Ley de Promoción y Protección de la Lactancia Materna. En el ordenamiento jurídico de nuestro país se garantizan diversos permisos remunerados para promover y proteger la lactancia materna exclusiva hasta los 6 meses y complementarias hasta los dos años y más. Inclusive, existen sentencias del TSJ que reconocen la obligatoriedad y amplían estos permisos, para asegurar su plena efectividad</w:t>
      </w:r>
      <w:r>
        <w:rPr>
          <w:rStyle w:val="Ancladenotaalpie"/>
          <w:rFonts w:ascii="Times New Roman" w:hAnsi="Times New Roman" w:cs="Times New Roman"/>
          <w:sz w:val="20"/>
          <w:szCs w:val="20"/>
        </w:rPr>
        <w:footnoteReference w:id="66"/>
      </w:r>
      <w:r>
        <w:rPr>
          <w:rFonts w:ascii="Times New Roman" w:hAnsi="Times New Roman" w:cs="Times New Roman"/>
          <w:sz w:val="20"/>
          <w:szCs w:val="20"/>
        </w:rPr>
        <w:t>.</w:t>
      </w:r>
    </w:p>
    <w:p w14:paraId="37CB144A" w14:textId="77777777" w:rsidR="00405820" w:rsidRDefault="00405820">
      <w:pPr>
        <w:spacing w:after="0" w:line="240" w:lineRule="auto"/>
        <w:jc w:val="both"/>
        <w:rPr>
          <w:rFonts w:ascii="Times New Roman" w:eastAsia="Times New Roman" w:hAnsi="Times New Roman" w:cs="Times New Roman"/>
          <w:sz w:val="20"/>
          <w:szCs w:val="20"/>
        </w:rPr>
      </w:pPr>
    </w:p>
    <w:p w14:paraId="04D634E0"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Los artículos 343 y 344 de la Ley Orgánica del Trabajo, las Trabajadoras y los Trabajadores (LOTTT) establecen la obligación de mantener en cada entidad de trabajo un Centro de Educación Inicial que cuente con una Sala de Lactancia o el pago de la matrícula y mensualidades en un centro de educación inicial para la educación de las hijas e hijos de las trabajadoras y los trabajadores desde tres meses hasta los seis años de edad. En el periodo 2015 a 2020, el 12 % de las entidades de trabajo cumplieron con el requisito de la Ley. El 17 % tiene Centros de Educación Inicial propios, el 10 % contrató con Centros de Educación Inicial para atender a las hijas e hijos de sus trabajadoras y trabajadores y el 73 % otorgó este beneficio a través de pagos de las facturas correspondientes a los Centros de Educación Inicial donde las niñas y niños están recibiendo atención.</w:t>
      </w:r>
    </w:p>
    <w:p w14:paraId="28B72E9F" w14:textId="77777777" w:rsidR="00405820" w:rsidRDefault="00405820">
      <w:pPr>
        <w:pStyle w:val="ListParagraph"/>
        <w:rPr>
          <w:rFonts w:cs="Times New Roman"/>
          <w:sz w:val="20"/>
          <w:szCs w:val="20"/>
        </w:rPr>
      </w:pPr>
    </w:p>
    <w:p w14:paraId="16845AE9"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Desde el año 2017 a agosto de 2020, se formaron un total de 18.101 Promotoras Comunales de Parto Humanizado que acompañan a las gestantes y madres en proceso de lactancia en 54 % de las parroquias y en 77 % de los municipios del territorio nacional. Asimismo, se crearon los </w:t>
      </w:r>
      <w:r>
        <w:rPr>
          <w:rFonts w:ascii="Times New Roman" w:hAnsi="Times New Roman" w:cs="Times New Roman"/>
          <w:i/>
          <w:sz w:val="20"/>
          <w:szCs w:val="20"/>
        </w:rPr>
        <w:t>“Círculos de apoyo gestacional y lactancia materna”</w:t>
      </w:r>
      <w:r>
        <w:rPr>
          <w:rFonts w:ascii="Times New Roman" w:hAnsi="Times New Roman" w:cs="Times New Roman"/>
          <w:sz w:val="20"/>
          <w:szCs w:val="20"/>
        </w:rPr>
        <w:t xml:space="preserve"> donde la Promotora Comunal de Parto Humanizado actúa como educadora popular, acompañando a las gestantes y facilitando procesos de aprendizaje en lo relativo a una maternidad sana, responsable y una crianza respetuosa.</w:t>
      </w:r>
    </w:p>
    <w:p w14:paraId="6EA06B9E" w14:textId="77777777" w:rsidR="00405820" w:rsidRDefault="00405820">
      <w:pPr>
        <w:pStyle w:val="ListParagraph"/>
        <w:rPr>
          <w:rFonts w:cs="Times New Roman"/>
          <w:sz w:val="20"/>
          <w:szCs w:val="20"/>
        </w:rPr>
      </w:pPr>
    </w:p>
    <w:p w14:paraId="1B4D7779"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Como parte del Plan Nacional de Parto Humanizado se ha entregado a 10.848 Promotoras activas del país, la siguiente dotación:</w:t>
      </w:r>
    </w:p>
    <w:p w14:paraId="05ED262A" w14:textId="77777777" w:rsidR="00405820" w:rsidRDefault="00405820">
      <w:pPr>
        <w:pStyle w:val="ListParagraph"/>
        <w:rPr>
          <w:rFonts w:cs="Times New Roman"/>
          <w:sz w:val="20"/>
          <w:szCs w:val="20"/>
        </w:rPr>
      </w:pPr>
    </w:p>
    <w:p w14:paraId="75DDDE7D" w14:textId="77777777" w:rsidR="00405820" w:rsidRDefault="002F4028">
      <w:pPr>
        <w:pStyle w:val="ListParagraph"/>
        <w:numPr>
          <w:ilvl w:val="0"/>
          <w:numId w:val="5"/>
        </w:numPr>
        <w:spacing w:line="240" w:lineRule="auto"/>
        <w:jc w:val="both"/>
        <w:rPr>
          <w:rFonts w:eastAsia="Times New Roman" w:cs="Times New Roman"/>
          <w:sz w:val="20"/>
          <w:szCs w:val="20"/>
        </w:rPr>
      </w:pPr>
      <w:r>
        <w:rPr>
          <w:rFonts w:cs="Times New Roman"/>
          <w:sz w:val="20"/>
          <w:szCs w:val="20"/>
        </w:rPr>
        <w:t>Set de materiales bibliográficos contentivos de: “</w:t>
      </w:r>
      <w:r>
        <w:rPr>
          <w:rFonts w:cs="Times New Roman"/>
          <w:i/>
          <w:sz w:val="20"/>
          <w:szCs w:val="20"/>
        </w:rPr>
        <w:t>Bitácora de la Promotora Comunal de Parto Humanizado”</w:t>
      </w:r>
      <w:r>
        <w:rPr>
          <w:rFonts w:cs="Times New Roman"/>
          <w:sz w:val="20"/>
          <w:szCs w:val="20"/>
        </w:rPr>
        <w:t>, “</w:t>
      </w:r>
      <w:r>
        <w:rPr>
          <w:rFonts w:cs="Times New Roman"/>
          <w:i/>
          <w:sz w:val="20"/>
          <w:szCs w:val="20"/>
        </w:rPr>
        <w:t>ABC de la Promotora”</w:t>
      </w:r>
      <w:r>
        <w:rPr>
          <w:rFonts w:cs="Times New Roman"/>
          <w:sz w:val="20"/>
          <w:szCs w:val="20"/>
        </w:rPr>
        <w:t xml:space="preserve"> y guías con el contenido programático del Plan Nacional de Parto Humanizado para su formación. </w:t>
      </w:r>
    </w:p>
    <w:p w14:paraId="5BAD5B51" w14:textId="77777777" w:rsidR="00405820" w:rsidRDefault="002F4028">
      <w:pPr>
        <w:pStyle w:val="ListParagraph"/>
        <w:numPr>
          <w:ilvl w:val="0"/>
          <w:numId w:val="5"/>
        </w:numPr>
        <w:spacing w:line="240" w:lineRule="auto"/>
        <w:jc w:val="both"/>
        <w:rPr>
          <w:rFonts w:eastAsia="Times New Roman" w:cs="Times New Roman"/>
          <w:sz w:val="20"/>
          <w:szCs w:val="20"/>
        </w:rPr>
      </w:pPr>
      <w:r>
        <w:rPr>
          <w:rFonts w:cs="Times New Roman"/>
          <w:sz w:val="20"/>
          <w:szCs w:val="20"/>
        </w:rPr>
        <w:t>Tabletas electrónicas, como un instrumento que facilitará la elaboración del reporte y rendición por parte de las Promotoras del proceso de acompañamiento de las gestantes y madres en proceso de lactancia atendidas en sus comunidades.</w:t>
      </w:r>
    </w:p>
    <w:p w14:paraId="249520A6" w14:textId="77777777" w:rsidR="00405820" w:rsidRDefault="00405820">
      <w:pPr>
        <w:pStyle w:val="ListParagraph"/>
        <w:rPr>
          <w:rFonts w:cs="Times New Roman"/>
          <w:sz w:val="20"/>
          <w:szCs w:val="20"/>
        </w:rPr>
      </w:pPr>
    </w:p>
    <w:p w14:paraId="08123B34"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el año 2019 se crea el Órgano Superior del Plan Nacional del Parto Humanizado y Lactancia Materna, como instancia para la coordinación y articulación de las políticas públicas de atención integral y protección a las mujeres gestantes, en proceso de lactancia y puerperio para garantizar sus derechos humanos.</w:t>
      </w:r>
    </w:p>
    <w:p w14:paraId="0B578295" w14:textId="77777777" w:rsidR="00405820" w:rsidRDefault="00405820">
      <w:pPr>
        <w:spacing w:after="0" w:line="240" w:lineRule="auto"/>
        <w:jc w:val="both"/>
        <w:rPr>
          <w:rFonts w:ascii="Times New Roman" w:eastAsia="Times New Roman" w:hAnsi="Times New Roman" w:cs="Times New Roman"/>
          <w:sz w:val="20"/>
          <w:szCs w:val="20"/>
        </w:rPr>
      </w:pPr>
    </w:p>
    <w:p w14:paraId="37395683" w14:textId="77777777" w:rsidR="00405820" w:rsidRDefault="002F4028">
      <w:pPr>
        <w:numPr>
          <w:ilvl w:val="0"/>
          <w:numId w:val="1"/>
        </w:numPr>
        <w:spacing w:after="0" w:line="240" w:lineRule="auto"/>
        <w:ind w:left="0" w:firstLine="0"/>
        <w:jc w:val="both"/>
      </w:pPr>
      <w:r>
        <w:rPr>
          <w:rFonts w:ascii="Times New Roman" w:eastAsia="Times New Roman" w:hAnsi="Times New Roman" w:cs="Times New Roman"/>
          <w:sz w:val="20"/>
          <w:szCs w:val="20"/>
        </w:rPr>
        <w:t>En relación a la atención de los niños, niñas y adolescentes con cardiopatía congénitas podemos observar los siguientes datos:</w:t>
      </w:r>
    </w:p>
    <w:p w14:paraId="2DB8A4E6" w14:textId="77777777" w:rsidR="00405820" w:rsidRDefault="002F4028">
      <w:pPr>
        <w:pStyle w:val="Ttulo11"/>
        <w:spacing w:before="0" w:after="0" w:line="240" w:lineRule="auto"/>
        <w:jc w:val="center"/>
        <w:rPr>
          <w:rFonts w:ascii="Times New Roman" w:hAnsi="Times New Roman"/>
        </w:rPr>
      </w:pPr>
      <w:r>
        <w:rPr>
          <w:rFonts w:ascii="Times New Roman" w:hAnsi="Times New Roman"/>
          <w:sz w:val="20"/>
          <w:szCs w:val="20"/>
          <w:lang w:val="es-ES_tradnl"/>
        </w:rPr>
        <w:t xml:space="preserve">Tabla VII </w:t>
      </w:r>
    </w:p>
    <w:p w14:paraId="1F9AE612" w14:textId="77777777" w:rsidR="00405820" w:rsidRDefault="002F4028">
      <w:pPr>
        <w:pStyle w:val="ListParagraph"/>
        <w:spacing w:line="240" w:lineRule="auto"/>
        <w:ind w:left="0"/>
        <w:jc w:val="center"/>
        <w:rPr>
          <w:rFonts w:cs="Times New Roman"/>
          <w:b/>
          <w:bCs/>
          <w:sz w:val="20"/>
          <w:szCs w:val="20"/>
          <w:lang w:val="es-ES"/>
        </w:rPr>
      </w:pPr>
      <w:r>
        <w:rPr>
          <w:rFonts w:cs="Times New Roman"/>
          <w:b/>
          <w:bCs/>
          <w:sz w:val="20"/>
          <w:szCs w:val="20"/>
          <w:lang w:val="es-ES"/>
        </w:rPr>
        <w:t>Hospital cardiológico infantil latinoamericano</w:t>
      </w:r>
    </w:p>
    <w:p w14:paraId="14790434" w14:textId="77777777" w:rsidR="00405820" w:rsidRDefault="002F4028">
      <w:pPr>
        <w:pStyle w:val="ListParagraph"/>
        <w:spacing w:line="240" w:lineRule="auto"/>
        <w:ind w:left="0"/>
        <w:jc w:val="center"/>
        <w:rPr>
          <w:rFonts w:cs="Times New Roman"/>
          <w:b/>
          <w:bCs/>
          <w:sz w:val="20"/>
          <w:szCs w:val="20"/>
          <w:lang w:val="es-ES"/>
        </w:rPr>
      </w:pPr>
      <w:r>
        <w:rPr>
          <w:rFonts w:cs="Times New Roman"/>
          <w:b/>
          <w:bCs/>
          <w:sz w:val="20"/>
          <w:szCs w:val="20"/>
          <w:lang w:val="es-ES"/>
        </w:rPr>
        <w:t>Desde 01 de enero al 30 de noviembre del 2021</w:t>
      </w:r>
      <w:r>
        <w:rPr>
          <w:rStyle w:val="Ancladenotaalpie"/>
          <w:rFonts w:cs="Times New Roman"/>
          <w:b/>
          <w:bCs/>
          <w:sz w:val="20"/>
          <w:szCs w:val="20"/>
          <w:lang w:val="es-ES"/>
        </w:rPr>
        <w:footnoteReference w:id="67"/>
      </w:r>
    </w:p>
    <w:p w14:paraId="01A2F332" w14:textId="77777777" w:rsidR="00405820" w:rsidRDefault="00405820">
      <w:pPr>
        <w:pStyle w:val="ListParagraph"/>
        <w:spacing w:line="240" w:lineRule="auto"/>
        <w:jc w:val="center"/>
        <w:rPr>
          <w:rFonts w:cs="Times New Roman"/>
          <w:b/>
          <w:bCs/>
          <w:sz w:val="20"/>
          <w:szCs w:val="20"/>
          <w:lang w:val="es-ES"/>
        </w:rPr>
      </w:pPr>
    </w:p>
    <w:tbl>
      <w:tblPr>
        <w:tblStyle w:val="TableGrid"/>
        <w:tblW w:w="6588" w:type="dxa"/>
        <w:tblInd w:w="849" w:type="dxa"/>
        <w:tblCellMar>
          <w:left w:w="0" w:type="dxa"/>
          <w:right w:w="0" w:type="dxa"/>
        </w:tblCellMar>
        <w:tblLook w:val="04A0" w:firstRow="1" w:lastRow="0" w:firstColumn="1" w:lastColumn="0" w:noHBand="0" w:noVBand="1"/>
      </w:tblPr>
      <w:tblGrid>
        <w:gridCol w:w="1960"/>
        <w:gridCol w:w="1129"/>
        <w:gridCol w:w="1124"/>
        <w:gridCol w:w="1048"/>
        <w:gridCol w:w="1327"/>
      </w:tblGrid>
      <w:tr w:rsidR="00405820" w14:paraId="202CA09F" w14:textId="77777777">
        <w:trPr>
          <w:trHeight w:val="240"/>
          <w:tblHeader/>
        </w:trPr>
        <w:tc>
          <w:tcPr>
            <w:tcW w:w="1960" w:type="dxa"/>
            <w:tcBorders>
              <w:left w:val="nil"/>
              <w:bottom w:val="single" w:sz="12" w:space="0" w:color="000000"/>
              <w:right w:val="nil"/>
            </w:tcBorders>
          </w:tcPr>
          <w:p w14:paraId="63587065" w14:textId="77777777" w:rsidR="00405820" w:rsidRDefault="002F4028">
            <w:pPr>
              <w:spacing w:before="80" w:after="80" w:line="240" w:lineRule="auto"/>
              <w:ind w:left="-57"/>
              <w:rPr>
                <w:rFonts w:ascii="Times New Roman" w:hAnsi="Times New Roman" w:cs="Times New Roman"/>
                <w:b/>
                <w:i/>
                <w:sz w:val="20"/>
                <w:lang w:val="es-ES_tradnl"/>
              </w:rPr>
            </w:pPr>
            <w:r>
              <w:rPr>
                <w:rFonts w:ascii="Times New Roman" w:hAnsi="Times New Roman" w:cs="Times New Roman"/>
                <w:b/>
                <w:i/>
                <w:sz w:val="20"/>
                <w:lang w:val="es-ES_tradnl"/>
              </w:rPr>
              <w:t xml:space="preserve">  Indicadores</w:t>
            </w:r>
          </w:p>
        </w:tc>
        <w:tc>
          <w:tcPr>
            <w:tcW w:w="1129" w:type="dxa"/>
            <w:tcBorders>
              <w:left w:val="nil"/>
              <w:bottom w:val="single" w:sz="12" w:space="0" w:color="000000"/>
              <w:right w:val="nil"/>
            </w:tcBorders>
          </w:tcPr>
          <w:p w14:paraId="52DCCB7A" w14:textId="77777777" w:rsidR="00405820" w:rsidRDefault="002F4028">
            <w:pPr>
              <w:spacing w:before="80" w:after="80" w:line="240" w:lineRule="auto"/>
              <w:ind w:left="-57"/>
              <w:rPr>
                <w:rFonts w:ascii="Times New Roman" w:hAnsi="Times New Roman" w:cs="Times New Roman"/>
                <w:b/>
                <w:i/>
                <w:sz w:val="20"/>
                <w:lang w:val="es-ES_tradnl"/>
              </w:rPr>
            </w:pPr>
            <w:r>
              <w:rPr>
                <w:rFonts w:ascii="Times New Roman" w:hAnsi="Times New Roman" w:cs="Times New Roman"/>
                <w:b/>
                <w:i/>
                <w:sz w:val="20"/>
                <w:lang w:val="es-ES_tradnl"/>
              </w:rPr>
              <w:t xml:space="preserve">     2020</w:t>
            </w:r>
          </w:p>
        </w:tc>
        <w:tc>
          <w:tcPr>
            <w:tcW w:w="1124" w:type="dxa"/>
            <w:tcBorders>
              <w:left w:val="nil"/>
              <w:bottom w:val="single" w:sz="12" w:space="0" w:color="000000"/>
              <w:right w:val="nil"/>
            </w:tcBorders>
          </w:tcPr>
          <w:p w14:paraId="7B76E521" w14:textId="77777777" w:rsidR="00405820" w:rsidRDefault="002F4028">
            <w:pPr>
              <w:spacing w:before="80" w:after="80" w:line="240" w:lineRule="auto"/>
              <w:ind w:left="-57"/>
            </w:pPr>
            <w:r>
              <w:rPr>
                <w:rFonts w:ascii="Times New Roman" w:hAnsi="Times New Roman" w:cs="Times New Roman"/>
                <w:b/>
                <w:i/>
                <w:sz w:val="20"/>
                <w:lang w:val="es-ES_tradnl"/>
              </w:rPr>
              <w:t xml:space="preserve">          2021</w:t>
            </w:r>
          </w:p>
        </w:tc>
        <w:tc>
          <w:tcPr>
            <w:tcW w:w="1048" w:type="dxa"/>
            <w:tcBorders>
              <w:left w:val="nil"/>
              <w:bottom w:val="single" w:sz="12" w:space="0" w:color="000000"/>
              <w:right w:val="nil"/>
            </w:tcBorders>
          </w:tcPr>
          <w:p w14:paraId="1B410CB7" w14:textId="77777777" w:rsidR="00405820" w:rsidRDefault="002F4028">
            <w:pPr>
              <w:spacing w:before="80" w:after="80" w:line="240" w:lineRule="auto"/>
              <w:rPr>
                <w:rFonts w:ascii="Times New Roman" w:hAnsi="Times New Roman" w:cs="Times New Roman"/>
                <w:b/>
                <w:i/>
                <w:sz w:val="20"/>
                <w:lang w:val="es-ES_tradnl"/>
              </w:rPr>
            </w:pPr>
            <w:r>
              <w:rPr>
                <w:rFonts w:ascii="Times New Roman" w:hAnsi="Times New Roman" w:cs="Times New Roman"/>
                <w:b/>
                <w:i/>
                <w:sz w:val="20"/>
                <w:lang w:val="es-ES_tradnl"/>
              </w:rPr>
              <w:t>Acumulado</w:t>
            </w:r>
          </w:p>
        </w:tc>
        <w:tc>
          <w:tcPr>
            <w:tcW w:w="1327" w:type="dxa"/>
            <w:tcBorders>
              <w:left w:val="nil"/>
              <w:bottom w:val="single" w:sz="12" w:space="0" w:color="000000"/>
              <w:right w:val="nil"/>
            </w:tcBorders>
          </w:tcPr>
          <w:p w14:paraId="29918759" w14:textId="77777777" w:rsidR="00405820" w:rsidRDefault="002F4028">
            <w:pPr>
              <w:spacing w:before="80" w:after="80" w:line="240" w:lineRule="auto"/>
              <w:ind w:left="-57"/>
              <w:rPr>
                <w:rFonts w:ascii="Times New Roman" w:hAnsi="Times New Roman" w:cs="Times New Roman"/>
                <w:b/>
                <w:i/>
                <w:sz w:val="20"/>
                <w:lang w:val="es-ES_tradnl"/>
              </w:rPr>
            </w:pPr>
            <w:r>
              <w:rPr>
                <w:rFonts w:ascii="Times New Roman" w:hAnsi="Times New Roman" w:cs="Times New Roman"/>
                <w:b/>
                <w:i/>
                <w:sz w:val="20"/>
                <w:lang w:val="es-ES_tradnl"/>
              </w:rPr>
              <w:t xml:space="preserve">     Variación %</w:t>
            </w:r>
          </w:p>
          <w:p w14:paraId="4F022405" w14:textId="77777777" w:rsidR="00405820" w:rsidRDefault="002F4028">
            <w:pPr>
              <w:spacing w:before="80" w:after="80" w:line="240" w:lineRule="auto"/>
              <w:ind w:left="-57"/>
              <w:rPr>
                <w:rFonts w:ascii="Times New Roman" w:hAnsi="Times New Roman" w:cs="Times New Roman"/>
                <w:b/>
                <w:i/>
                <w:sz w:val="20"/>
                <w:lang w:val="es-ES_tradnl"/>
              </w:rPr>
            </w:pPr>
            <w:r>
              <w:rPr>
                <w:rFonts w:ascii="Times New Roman" w:hAnsi="Times New Roman" w:cs="Times New Roman"/>
                <w:b/>
                <w:i/>
                <w:sz w:val="20"/>
                <w:lang w:val="es-ES_tradnl"/>
              </w:rPr>
              <w:t xml:space="preserve">     2020-2021</w:t>
            </w:r>
          </w:p>
        </w:tc>
      </w:tr>
      <w:tr w:rsidR="00405820" w14:paraId="7F089CDE" w14:textId="77777777">
        <w:trPr>
          <w:trHeight w:val="240"/>
        </w:trPr>
        <w:tc>
          <w:tcPr>
            <w:tcW w:w="1960" w:type="dxa"/>
            <w:tcBorders>
              <w:top w:val="single" w:sz="12" w:space="0" w:color="000000"/>
              <w:left w:val="nil"/>
              <w:bottom w:val="nil"/>
              <w:right w:val="nil"/>
            </w:tcBorders>
          </w:tcPr>
          <w:p w14:paraId="6B1AAE34" w14:textId="77777777" w:rsidR="00405820" w:rsidRDefault="002F4028">
            <w:pPr>
              <w:spacing w:line="360" w:lineRule="auto"/>
              <w:rPr>
                <w:rFonts w:ascii="Times New Roman" w:eastAsia="Times New Roman" w:hAnsi="Times New Roman" w:cs="Times New Roman"/>
                <w:szCs w:val="18"/>
                <w:lang w:eastAsia="es-VE"/>
              </w:rPr>
            </w:pPr>
            <w:r>
              <w:rPr>
                <w:rFonts w:ascii="Times New Roman" w:hAnsi="Times New Roman" w:cs="Times New Roman"/>
                <w:b/>
                <w:bCs/>
                <w:sz w:val="16"/>
                <w:szCs w:val="16"/>
                <w:lang w:val="es-ES"/>
              </w:rPr>
              <w:t>Intervenciones realizadas</w:t>
            </w:r>
          </w:p>
        </w:tc>
        <w:tc>
          <w:tcPr>
            <w:tcW w:w="1129" w:type="dxa"/>
            <w:tcBorders>
              <w:top w:val="single" w:sz="12" w:space="0" w:color="000000"/>
              <w:left w:val="nil"/>
              <w:bottom w:val="nil"/>
              <w:right w:val="nil"/>
            </w:tcBorders>
          </w:tcPr>
          <w:p w14:paraId="7999F4CD"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b/>
                <w:bCs/>
                <w:sz w:val="16"/>
                <w:szCs w:val="16"/>
                <w:lang w:val="es-ES"/>
              </w:rPr>
              <w:t>163</w:t>
            </w:r>
          </w:p>
        </w:tc>
        <w:tc>
          <w:tcPr>
            <w:tcW w:w="1124" w:type="dxa"/>
            <w:tcBorders>
              <w:top w:val="single" w:sz="12" w:space="0" w:color="000000"/>
              <w:left w:val="nil"/>
              <w:bottom w:val="nil"/>
              <w:right w:val="nil"/>
            </w:tcBorders>
          </w:tcPr>
          <w:p w14:paraId="22515CAD"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b/>
                <w:bCs/>
                <w:sz w:val="16"/>
                <w:szCs w:val="16"/>
                <w:lang w:val="es-ES"/>
              </w:rPr>
              <w:t>467</w:t>
            </w:r>
          </w:p>
        </w:tc>
        <w:tc>
          <w:tcPr>
            <w:tcW w:w="1048" w:type="dxa"/>
            <w:tcBorders>
              <w:top w:val="single" w:sz="12" w:space="0" w:color="000000"/>
              <w:left w:val="nil"/>
              <w:bottom w:val="nil"/>
              <w:right w:val="nil"/>
            </w:tcBorders>
          </w:tcPr>
          <w:p w14:paraId="265D2A99"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b/>
                <w:bCs/>
                <w:sz w:val="16"/>
                <w:szCs w:val="16"/>
                <w:lang w:val="es-ES"/>
              </w:rPr>
              <w:t>12.178</w:t>
            </w:r>
          </w:p>
        </w:tc>
        <w:tc>
          <w:tcPr>
            <w:tcW w:w="1327" w:type="dxa"/>
            <w:tcBorders>
              <w:top w:val="single" w:sz="12" w:space="0" w:color="000000"/>
              <w:left w:val="nil"/>
              <w:bottom w:val="nil"/>
              <w:right w:val="nil"/>
            </w:tcBorders>
          </w:tcPr>
          <w:p w14:paraId="5F37E993" w14:textId="77777777" w:rsidR="00405820" w:rsidRDefault="002F4028">
            <w:pPr>
              <w:spacing w:line="360" w:lineRule="auto"/>
              <w:jc w:val="right"/>
              <w:rPr>
                <w:rFonts w:ascii="Times New Roman" w:eastAsia="Times New Roman" w:hAnsi="Times New Roman" w:cs="Times New Roman"/>
                <w:szCs w:val="18"/>
                <w:lang w:eastAsia="es-VE"/>
              </w:rPr>
            </w:pPr>
            <w:r>
              <w:rPr>
                <w:rFonts w:ascii="Times New Roman" w:hAnsi="Times New Roman" w:cs="Times New Roman"/>
                <w:b/>
                <w:bCs/>
                <w:sz w:val="16"/>
                <w:szCs w:val="16"/>
                <w:lang w:val="es-ES"/>
              </w:rPr>
              <w:t xml:space="preserve">            187%</w:t>
            </w:r>
          </w:p>
        </w:tc>
      </w:tr>
      <w:tr w:rsidR="00405820" w14:paraId="596E12D1" w14:textId="77777777">
        <w:trPr>
          <w:trHeight w:val="240"/>
        </w:trPr>
        <w:tc>
          <w:tcPr>
            <w:tcW w:w="1960" w:type="dxa"/>
            <w:tcBorders>
              <w:top w:val="single" w:sz="12" w:space="0" w:color="000000"/>
              <w:left w:val="nil"/>
              <w:bottom w:val="nil"/>
              <w:right w:val="nil"/>
            </w:tcBorders>
          </w:tcPr>
          <w:p w14:paraId="0876E325" w14:textId="77777777" w:rsidR="00405820" w:rsidRDefault="002F4028">
            <w:pPr>
              <w:spacing w:line="360" w:lineRule="auto"/>
              <w:rPr>
                <w:rFonts w:ascii="Times New Roman" w:eastAsia="Times New Roman" w:hAnsi="Times New Roman" w:cs="Times New Roman"/>
                <w:szCs w:val="18"/>
                <w:lang w:eastAsia="es-VE"/>
              </w:rPr>
            </w:pPr>
            <w:r>
              <w:rPr>
                <w:rFonts w:ascii="Times New Roman" w:hAnsi="Times New Roman" w:cs="Times New Roman"/>
                <w:sz w:val="16"/>
                <w:szCs w:val="16"/>
                <w:lang w:val="es-ES"/>
              </w:rPr>
              <w:t>Por cirugía</w:t>
            </w:r>
          </w:p>
        </w:tc>
        <w:tc>
          <w:tcPr>
            <w:tcW w:w="1129" w:type="dxa"/>
            <w:tcBorders>
              <w:top w:val="single" w:sz="12" w:space="0" w:color="000000"/>
              <w:left w:val="nil"/>
              <w:bottom w:val="nil"/>
              <w:right w:val="nil"/>
            </w:tcBorders>
          </w:tcPr>
          <w:p w14:paraId="53F4A488"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142</w:t>
            </w:r>
          </w:p>
        </w:tc>
        <w:tc>
          <w:tcPr>
            <w:tcW w:w="1124" w:type="dxa"/>
            <w:tcBorders>
              <w:top w:val="single" w:sz="12" w:space="0" w:color="000000"/>
              <w:left w:val="nil"/>
              <w:bottom w:val="nil"/>
              <w:right w:val="nil"/>
            </w:tcBorders>
          </w:tcPr>
          <w:p w14:paraId="6B58E80B"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338</w:t>
            </w:r>
          </w:p>
        </w:tc>
        <w:tc>
          <w:tcPr>
            <w:tcW w:w="1048" w:type="dxa"/>
            <w:tcBorders>
              <w:top w:val="single" w:sz="12" w:space="0" w:color="000000"/>
              <w:left w:val="nil"/>
              <w:bottom w:val="nil"/>
              <w:right w:val="nil"/>
            </w:tcBorders>
          </w:tcPr>
          <w:p w14:paraId="4CCAEAC0"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6.591</w:t>
            </w:r>
          </w:p>
        </w:tc>
        <w:tc>
          <w:tcPr>
            <w:tcW w:w="1327" w:type="dxa"/>
            <w:tcBorders>
              <w:top w:val="single" w:sz="12" w:space="0" w:color="000000"/>
              <w:left w:val="nil"/>
              <w:bottom w:val="nil"/>
              <w:right w:val="nil"/>
            </w:tcBorders>
          </w:tcPr>
          <w:p w14:paraId="1F9CB23A" w14:textId="77777777" w:rsidR="00405820" w:rsidRDefault="002F4028">
            <w:pPr>
              <w:spacing w:line="360" w:lineRule="auto"/>
              <w:jc w:val="right"/>
              <w:rPr>
                <w:rFonts w:ascii="Times New Roman" w:eastAsia="Times New Roman" w:hAnsi="Times New Roman" w:cs="Times New Roman"/>
                <w:szCs w:val="18"/>
                <w:lang w:eastAsia="es-VE"/>
              </w:rPr>
            </w:pPr>
            <w:r>
              <w:rPr>
                <w:rFonts w:ascii="Times New Roman" w:hAnsi="Times New Roman" w:cs="Times New Roman"/>
                <w:sz w:val="16"/>
                <w:szCs w:val="16"/>
                <w:lang w:val="es-ES"/>
              </w:rPr>
              <w:t xml:space="preserve">            138%</w:t>
            </w:r>
          </w:p>
        </w:tc>
      </w:tr>
      <w:tr w:rsidR="00405820" w14:paraId="4E9E0704" w14:textId="77777777">
        <w:trPr>
          <w:trHeight w:val="240"/>
        </w:trPr>
        <w:tc>
          <w:tcPr>
            <w:tcW w:w="1960" w:type="dxa"/>
            <w:tcBorders>
              <w:top w:val="single" w:sz="12" w:space="0" w:color="000000"/>
              <w:left w:val="nil"/>
              <w:bottom w:val="nil"/>
              <w:right w:val="nil"/>
            </w:tcBorders>
          </w:tcPr>
          <w:p w14:paraId="6ED4BB28" w14:textId="77777777" w:rsidR="00405820" w:rsidRDefault="002F4028">
            <w:pPr>
              <w:spacing w:line="360" w:lineRule="auto"/>
              <w:rPr>
                <w:rFonts w:ascii="Times New Roman" w:eastAsia="Times New Roman" w:hAnsi="Times New Roman" w:cs="Times New Roman"/>
                <w:szCs w:val="18"/>
                <w:lang w:eastAsia="es-VE"/>
              </w:rPr>
            </w:pPr>
            <w:proofErr w:type="spellStart"/>
            <w:r>
              <w:rPr>
                <w:rFonts w:ascii="Times New Roman" w:hAnsi="Times New Roman" w:cs="Times New Roman"/>
                <w:sz w:val="16"/>
                <w:szCs w:val="16"/>
                <w:lang w:val="es-ES"/>
              </w:rPr>
              <w:t>Hemodinámia</w:t>
            </w:r>
            <w:proofErr w:type="spellEnd"/>
          </w:p>
        </w:tc>
        <w:tc>
          <w:tcPr>
            <w:tcW w:w="1129" w:type="dxa"/>
            <w:tcBorders>
              <w:top w:val="single" w:sz="12" w:space="0" w:color="000000"/>
              <w:left w:val="nil"/>
              <w:bottom w:val="nil"/>
              <w:right w:val="nil"/>
            </w:tcBorders>
          </w:tcPr>
          <w:p w14:paraId="721CE890"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7</w:t>
            </w:r>
          </w:p>
        </w:tc>
        <w:tc>
          <w:tcPr>
            <w:tcW w:w="1124" w:type="dxa"/>
            <w:tcBorders>
              <w:top w:val="single" w:sz="12" w:space="0" w:color="000000"/>
              <w:left w:val="nil"/>
              <w:bottom w:val="nil"/>
              <w:right w:val="nil"/>
            </w:tcBorders>
          </w:tcPr>
          <w:p w14:paraId="5A12C00A"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24</w:t>
            </w:r>
          </w:p>
        </w:tc>
        <w:tc>
          <w:tcPr>
            <w:tcW w:w="1048" w:type="dxa"/>
            <w:tcBorders>
              <w:top w:val="single" w:sz="12" w:space="0" w:color="000000"/>
              <w:left w:val="nil"/>
              <w:bottom w:val="nil"/>
              <w:right w:val="nil"/>
            </w:tcBorders>
          </w:tcPr>
          <w:p w14:paraId="1C5E36D9"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4.416</w:t>
            </w:r>
          </w:p>
        </w:tc>
        <w:tc>
          <w:tcPr>
            <w:tcW w:w="1327" w:type="dxa"/>
            <w:tcBorders>
              <w:top w:val="single" w:sz="12" w:space="0" w:color="000000"/>
              <w:left w:val="nil"/>
              <w:bottom w:val="nil"/>
              <w:right w:val="nil"/>
            </w:tcBorders>
          </w:tcPr>
          <w:p w14:paraId="656AD5EE" w14:textId="77777777" w:rsidR="00405820" w:rsidRDefault="002F4028">
            <w:pPr>
              <w:spacing w:line="360" w:lineRule="auto"/>
              <w:jc w:val="right"/>
              <w:rPr>
                <w:rFonts w:ascii="Times New Roman" w:eastAsia="Times New Roman" w:hAnsi="Times New Roman" w:cs="Times New Roman"/>
                <w:szCs w:val="18"/>
                <w:lang w:eastAsia="es-VE"/>
              </w:rPr>
            </w:pPr>
            <w:r>
              <w:rPr>
                <w:rFonts w:ascii="Times New Roman" w:hAnsi="Times New Roman" w:cs="Times New Roman"/>
                <w:sz w:val="16"/>
                <w:szCs w:val="16"/>
                <w:lang w:val="es-ES"/>
              </w:rPr>
              <w:t xml:space="preserve">            243%</w:t>
            </w:r>
          </w:p>
        </w:tc>
      </w:tr>
      <w:tr w:rsidR="00405820" w14:paraId="7B07C244" w14:textId="77777777">
        <w:trPr>
          <w:trHeight w:val="240"/>
        </w:trPr>
        <w:tc>
          <w:tcPr>
            <w:tcW w:w="1960" w:type="dxa"/>
            <w:tcBorders>
              <w:top w:val="single" w:sz="12" w:space="0" w:color="000000"/>
              <w:left w:val="nil"/>
              <w:bottom w:val="nil"/>
              <w:right w:val="nil"/>
            </w:tcBorders>
          </w:tcPr>
          <w:p w14:paraId="1F801273" w14:textId="77777777" w:rsidR="00405820" w:rsidRDefault="002F4028">
            <w:pPr>
              <w:spacing w:line="360" w:lineRule="auto"/>
              <w:rPr>
                <w:rFonts w:ascii="Times New Roman" w:eastAsia="Times New Roman" w:hAnsi="Times New Roman" w:cs="Times New Roman"/>
                <w:szCs w:val="18"/>
                <w:lang w:eastAsia="es-VE"/>
              </w:rPr>
            </w:pPr>
            <w:r>
              <w:rPr>
                <w:rFonts w:ascii="Times New Roman" w:hAnsi="Times New Roman" w:cs="Times New Roman"/>
                <w:sz w:val="16"/>
                <w:szCs w:val="16"/>
                <w:lang w:val="es-ES"/>
              </w:rPr>
              <w:t>Electrofisiología</w:t>
            </w:r>
          </w:p>
        </w:tc>
        <w:tc>
          <w:tcPr>
            <w:tcW w:w="1129" w:type="dxa"/>
            <w:tcBorders>
              <w:top w:val="single" w:sz="12" w:space="0" w:color="000000"/>
              <w:left w:val="nil"/>
              <w:bottom w:val="nil"/>
              <w:right w:val="nil"/>
            </w:tcBorders>
          </w:tcPr>
          <w:p w14:paraId="0F509222"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4</w:t>
            </w:r>
          </w:p>
        </w:tc>
        <w:tc>
          <w:tcPr>
            <w:tcW w:w="1124" w:type="dxa"/>
            <w:tcBorders>
              <w:top w:val="single" w:sz="12" w:space="0" w:color="000000"/>
              <w:left w:val="nil"/>
              <w:bottom w:val="nil"/>
              <w:right w:val="nil"/>
            </w:tcBorders>
          </w:tcPr>
          <w:p w14:paraId="2102D95A"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4</w:t>
            </w:r>
          </w:p>
        </w:tc>
        <w:tc>
          <w:tcPr>
            <w:tcW w:w="1048" w:type="dxa"/>
            <w:tcBorders>
              <w:top w:val="single" w:sz="12" w:space="0" w:color="000000"/>
              <w:left w:val="nil"/>
              <w:bottom w:val="nil"/>
              <w:right w:val="nil"/>
            </w:tcBorders>
          </w:tcPr>
          <w:p w14:paraId="0559119D"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745</w:t>
            </w:r>
          </w:p>
        </w:tc>
        <w:tc>
          <w:tcPr>
            <w:tcW w:w="1327" w:type="dxa"/>
            <w:tcBorders>
              <w:top w:val="single" w:sz="12" w:space="0" w:color="000000"/>
              <w:left w:val="nil"/>
              <w:bottom w:val="nil"/>
              <w:right w:val="nil"/>
            </w:tcBorders>
          </w:tcPr>
          <w:p w14:paraId="45056530" w14:textId="77777777" w:rsidR="00405820" w:rsidRDefault="002F4028">
            <w:pPr>
              <w:spacing w:line="360" w:lineRule="auto"/>
              <w:jc w:val="right"/>
              <w:rPr>
                <w:rFonts w:ascii="Times New Roman" w:eastAsia="Times New Roman" w:hAnsi="Times New Roman" w:cs="Times New Roman"/>
                <w:szCs w:val="18"/>
                <w:lang w:eastAsia="es-VE"/>
              </w:rPr>
            </w:pPr>
            <w:r>
              <w:rPr>
                <w:rFonts w:ascii="Times New Roman" w:hAnsi="Times New Roman" w:cs="Times New Roman"/>
                <w:sz w:val="16"/>
                <w:szCs w:val="16"/>
                <w:lang w:val="es-ES"/>
              </w:rPr>
              <w:t xml:space="preserve">               -</w:t>
            </w:r>
          </w:p>
        </w:tc>
      </w:tr>
      <w:tr w:rsidR="00405820" w14:paraId="52C19084" w14:textId="77777777">
        <w:trPr>
          <w:trHeight w:val="240"/>
        </w:trPr>
        <w:tc>
          <w:tcPr>
            <w:tcW w:w="1960" w:type="dxa"/>
            <w:tcBorders>
              <w:top w:val="single" w:sz="12" w:space="0" w:color="000000"/>
              <w:left w:val="nil"/>
              <w:bottom w:val="nil"/>
              <w:right w:val="nil"/>
            </w:tcBorders>
          </w:tcPr>
          <w:p w14:paraId="73B4B71E" w14:textId="77777777" w:rsidR="00405820" w:rsidRDefault="002F4028">
            <w:pPr>
              <w:spacing w:line="360" w:lineRule="auto"/>
              <w:rPr>
                <w:rFonts w:ascii="Times New Roman" w:eastAsia="Times New Roman" w:hAnsi="Times New Roman" w:cs="Times New Roman"/>
                <w:szCs w:val="18"/>
                <w:lang w:eastAsia="es-VE"/>
              </w:rPr>
            </w:pPr>
            <w:r>
              <w:rPr>
                <w:rFonts w:ascii="Times New Roman" w:hAnsi="Times New Roman" w:cs="Times New Roman"/>
                <w:b/>
                <w:bCs/>
                <w:sz w:val="16"/>
                <w:szCs w:val="16"/>
                <w:lang w:val="es-ES"/>
              </w:rPr>
              <w:t>Intervenciones no cardiovasculares</w:t>
            </w:r>
          </w:p>
        </w:tc>
        <w:tc>
          <w:tcPr>
            <w:tcW w:w="1129" w:type="dxa"/>
            <w:tcBorders>
              <w:top w:val="single" w:sz="12" w:space="0" w:color="000000"/>
              <w:left w:val="nil"/>
              <w:bottom w:val="nil"/>
              <w:right w:val="nil"/>
            </w:tcBorders>
          </w:tcPr>
          <w:p w14:paraId="76E1E305"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b/>
                <w:bCs/>
                <w:sz w:val="16"/>
                <w:szCs w:val="16"/>
                <w:lang w:val="es-ES"/>
              </w:rPr>
              <w:t>10</w:t>
            </w:r>
          </w:p>
        </w:tc>
        <w:tc>
          <w:tcPr>
            <w:tcW w:w="1124" w:type="dxa"/>
            <w:tcBorders>
              <w:top w:val="single" w:sz="12" w:space="0" w:color="000000"/>
              <w:left w:val="nil"/>
              <w:bottom w:val="nil"/>
              <w:right w:val="nil"/>
            </w:tcBorders>
          </w:tcPr>
          <w:p w14:paraId="52CF3106"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b/>
                <w:bCs/>
                <w:sz w:val="16"/>
                <w:szCs w:val="16"/>
                <w:lang w:val="es-ES"/>
              </w:rPr>
              <w:t>101</w:t>
            </w:r>
          </w:p>
        </w:tc>
        <w:tc>
          <w:tcPr>
            <w:tcW w:w="1048" w:type="dxa"/>
            <w:tcBorders>
              <w:top w:val="single" w:sz="12" w:space="0" w:color="000000"/>
              <w:left w:val="nil"/>
              <w:bottom w:val="nil"/>
              <w:right w:val="nil"/>
            </w:tcBorders>
          </w:tcPr>
          <w:p w14:paraId="719896E8"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b/>
                <w:bCs/>
                <w:sz w:val="16"/>
                <w:szCs w:val="16"/>
                <w:lang w:val="es-ES"/>
              </w:rPr>
              <w:t>426</w:t>
            </w:r>
          </w:p>
        </w:tc>
        <w:tc>
          <w:tcPr>
            <w:tcW w:w="1327" w:type="dxa"/>
            <w:tcBorders>
              <w:top w:val="single" w:sz="12" w:space="0" w:color="000000"/>
              <w:left w:val="nil"/>
              <w:bottom w:val="nil"/>
              <w:right w:val="nil"/>
            </w:tcBorders>
          </w:tcPr>
          <w:p w14:paraId="05E2396C" w14:textId="77777777" w:rsidR="00405820" w:rsidRDefault="002F4028">
            <w:pPr>
              <w:spacing w:line="360" w:lineRule="auto"/>
              <w:jc w:val="right"/>
              <w:rPr>
                <w:rFonts w:ascii="Times New Roman" w:eastAsia="Times New Roman" w:hAnsi="Times New Roman" w:cs="Times New Roman"/>
                <w:szCs w:val="18"/>
                <w:lang w:eastAsia="es-VE"/>
              </w:rPr>
            </w:pPr>
            <w:r>
              <w:rPr>
                <w:rFonts w:ascii="Times New Roman" w:hAnsi="Times New Roman" w:cs="Times New Roman"/>
                <w:b/>
                <w:bCs/>
                <w:sz w:val="16"/>
                <w:szCs w:val="16"/>
                <w:lang w:val="es-ES"/>
              </w:rPr>
              <w:t xml:space="preserve">       910%</w:t>
            </w:r>
          </w:p>
        </w:tc>
      </w:tr>
      <w:tr w:rsidR="00405820" w14:paraId="3DC4AA57" w14:textId="77777777">
        <w:trPr>
          <w:trHeight w:val="240"/>
        </w:trPr>
        <w:tc>
          <w:tcPr>
            <w:tcW w:w="1960" w:type="dxa"/>
            <w:tcBorders>
              <w:top w:val="single" w:sz="12" w:space="0" w:color="000000"/>
              <w:left w:val="nil"/>
              <w:bottom w:val="nil"/>
              <w:right w:val="nil"/>
            </w:tcBorders>
          </w:tcPr>
          <w:p w14:paraId="66D1FF34" w14:textId="77777777" w:rsidR="00405820" w:rsidRDefault="002F4028">
            <w:pPr>
              <w:spacing w:line="360" w:lineRule="auto"/>
              <w:rPr>
                <w:rFonts w:ascii="Times New Roman" w:eastAsia="Times New Roman" w:hAnsi="Times New Roman" w:cs="Times New Roman"/>
                <w:szCs w:val="18"/>
                <w:lang w:eastAsia="es-VE"/>
              </w:rPr>
            </w:pPr>
            <w:r>
              <w:rPr>
                <w:rFonts w:ascii="Times New Roman" w:hAnsi="Times New Roman" w:cs="Times New Roman"/>
                <w:sz w:val="16"/>
                <w:szCs w:val="16"/>
                <w:lang w:val="es-ES"/>
              </w:rPr>
              <w:t>Diagnóstico por imagen</w:t>
            </w:r>
          </w:p>
        </w:tc>
        <w:tc>
          <w:tcPr>
            <w:tcW w:w="1129" w:type="dxa"/>
            <w:tcBorders>
              <w:top w:val="single" w:sz="12" w:space="0" w:color="000000"/>
              <w:left w:val="nil"/>
              <w:bottom w:val="nil"/>
              <w:right w:val="nil"/>
            </w:tcBorders>
          </w:tcPr>
          <w:p w14:paraId="21385345"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706</w:t>
            </w:r>
          </w:p>
        </w:tc>
        <w:tc>
          <w:tcPr>
            <w:tcW w:w="1124" w:type="dxa"/>
            <w:tcBorders>
              <w:top w:val="single" w:sz="12" w:space="0" w:color="000000"/>
              <w:left w:val="nil"/>
              <w:bottom w:val="nil"/>
              <w:right w:val="nil"/>
            </w:tcBorders>
          </w:tcPr>
          <w:p w14:paraId="08DF4EB1"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1.265</w:t>
            </w:r>
          </w:p>
        </w:tc>
        <w:tc>
          <w:tcPr>
            <w:tcW w:w="1048" w:type="dxa"/>
            <w:tcBorders>
              <w:top w:val="single" w:sz="12" w:space="0" w:color="000000"/>
              <w:left w:val="nil"/>
              <w:bottom w:val="nil"/>
              <w:right w:val="nil"/>
            </w:tcBorders>
          </w:tcPr>
          <w:p w14:paraId="79DAA0DB"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89.278</w:t>
            </w:r>
          </w:p>
        </w:tc>
        <w:tc>
          <w:tcPr>
            <w:tcW w:w="1327" w:type="dxa"/>
            <w:tcBorders>
              <w:top w:val="single" w:sz="12" w:space="0" w:color="000000"/>
              <w:left w:val="nil"/>
              <w:bottom w:val="nil"/>
              <w:right w:val="nil"/>
            </w:tcBorders>
          </w:tcPr>
          <w:p w14:paraId="5359F97A" w14:textId="77777777" w:rsidR="00405820" w:rsidRDefault="002F4028">
            <w:pPr>
              <w:spacing w:line="360" w:lineRule="auto"/>
              <w:jc w:val="right"/>
              <w:rPr>
                <w:rFonts w:ascii="Times New Roman" w:eastAsia="Times New Roman" w:hAnsi="Times New Roman" w:cs="Times New Roman"/>
                <w:szCs w:val="18"/>
                <w:lang w:eastAsia="es-VE"/>
              </w:rPr>
            </w:pPr>
            <w:r>
              <w:rPr>
                <w:rFonts w:ascii="Times New Roman" w:hAnsi="Times New Roman" w:cs="Times New Roman"/>
                <w:sz w:val="16"/>
                <w:szCs w:val="16"/>
                <w:lang w:val="es-ES"/>
              </w:rPr>
              <w:t xml:space="preserve">       79%</w:t>
            </w:r>
          </w:p>
        </w:tc>
      </w:tr>
      <w:tr w:rsidR="00405820" w14:paraId="37E722A9" w14:textId="77777777">
        <w:trPr>
          <w:trHeight w:val="240"/>
        </w:trPr>
        <w:tc>
          <w:tcPr>
            <w:tcW w:w="1960" w:type="dxa"/>
            <w:tcBorders>
              <w:top w:val="single" w:sz="12" w:space="0" w:color="000000"/>
              <w:left w:val="nil"/>
              <w:bottom w:val="nil"/>
              <w:right w:val="nil"/>
            </w:tcBorders>
          </w:tcPr>
          <w:p w14:paraId="3CC7B076" w14:textId="77777777" w:rsidR="00405820" w:rsidRDefault="002F4028">
            <w:pPr>
              <w:spacing w:line="360" w:lineRule="auto"/>
              <w:rPr>
                <w:rFonts w:ascii="Times New Roman" w:eastAsia="Times New Roman" w:hAnsi="Times New Roman" w:cs="Times New Roman"/>
                <w:szCs w:val="18"/>
                <w:lang w:eastAsia="es-VE"/>
              </w:rPr>
            </w:pPr>
            <w:r>
              <w:rPr>
                <w:rFonts w:ascii="Times New Roman" w:hAnsi="Times New Roman" w:cs="Times New Roman"/>
                <w:sz w:val="16"/>
                <w:szCs w:val="16"/>
                <w:lang w:val="es-ES"/>
              </w:rPr>
              <w:t>Ecocardiogramas</w:t>
            </w:r>
          </w:p>
        </w:tc>
        <w:tc>
          <w:tcPr>
            <w:tcW w:w="1129" w:type="dxa"/>
            <w:tcBorders>
              <w:top w:val="single" w:sz="12" w:space="0" w:color="000000"/>
              <w:left w:val="nil"/>
              <w:bottom w:val="nil"/>
              <w:right w:val="nil"/>
            </w:tcBorders>
          </w:tcPr>
          <w:p w14:paraId="53C96513"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721</w:t>
            </w:r>
          </w:p>
        </w:tc>
        <w:tc>
          <w:tcPr>
            <w:tcW w:w="1124" w:type="dxa"/>
            <w:tcBorders>
              <w:top w:val="single" w:sz="12" w:space="0" w:color="000000"/>
              <w:left w:val="nil"/>
              <w:bottom w:val="nil"/>
              <w:right w:val="nil"/>
            </w:tcBorders>
          </w:tcPr>
          <w:p w14:paraId="70376B4E"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1.252</w:t>
            </w:r>
          </w:p>
        </w:tc>
        <w:tc>
          <w:tcPr>
            <w:tcW w:w="1048" w:type="dxa"/>
            <w:tcBorders>
              <w:top w:val="single" w:sz="12" w:space="0" w:color="000000"/>
              <w:left w:val="nil"/>
              <w:bottom w:val="nil"/>
              <w:right w:val="nil"/>
            </w:tcBorders>
          </w:tcPr>
          <w:p w14:paraId="191C94A3"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40.424</w:t>
            </w:r>
          </w:p>
        </w:tc>
        <w:tc>
          <w:tcPr>
            <w:tcW w:w="1327" w:type="dxa"/>
            <w:tcBorders>
              <w:top w:val="single" w:sz="12" w:space="0" w:color="000000"/>
              <w:left w:val="nil"/>
              <w:bottom w:val="nil"/>
              <w:right w:val="nil"/>
            </w:tcBorders>
          </w:tcPr>
          <w:p w14:paraId="787EEA15" w14:textId="77777777" w:rsidR="00405820" w:rsidRDefault="002F4028">
            <w:pPr>
              <w:spacing w:line="360" w:lineRule="auto"/>
              <w:jc w:val="right"/>
              <w:rPr>
                <w:rFonts w:ascii="Times New Roman" w:eastAsia="Times New Roman" w:hAnsi="Times New Roman" w:cs="Times New Roman"/>
                <w:szCs w:val="18"/>
                <w:lang w:eastAsia="es-VE"/>
              </w:rPr>
            </w:pPr>
            <w:r>
              <w:rPr>
                <w:rFonts w:ascii="Times New Roman" w:hAnsi="Times New Roman" w:cs="Times New Roman"/>
                <w:sz w:val="16"/>
                <w:szCs w:val="16"/>
                <w:lang w:val="es-ES"/>
              </w:rPr>
              <w:t xml:space="preserve">       74%</w:t>
            </w:r>
          </w:p>
        </w:tc>
      </w:tr>
      <w:tr w:rsidR="00405820" w14:paraId="43A0B734" w14:textId="77777777">
        <w:trPr>
          <w:trHeight w:val="240"/>
        </w:trPr>
        <w:tc>
          <w:tcPr>
            <w:tcW w:w="1960" w:type="dxa"/>
            <w:tcBorders>
              <w:top w:val="single" w:sz="12" w:space="0" w:color="000000"/>
              <w:left w:val="nil"/>
              <w:bottom w:val="nil"/>
              <w:right w:val="nil"/>
            </w:tcBorders>
          </w:tcPr>
          <w:p w14:paraId="39299120" w14:textId="77777777" w:rsidR="00405820" w:rsidRDefault="002F4028">
            <w:pPr>
              <w:spacing w:line="360" w:lineRule="auto"/>
              <w:rPr>
                <w:rFonts w:ascii="Times New Roman" w:eastAsia="Times New Roman" w:hAnsi="Times New Roman" w:cs="Times New Roman"/>
                <w:szCs w:val="18"/>
                <w:lang w:eastAsia="es-VE"/>
              </w:rPr>
            </w:pPr>
            <w:r>
              <w:rPr>
                <w:rFonts w:ascii="Times New Roman" w:hAnsi="Times New Roman" w:cs="Times New Roman"/>
                <w:sz w:val="16"/>
                <w:szCs w:val="16"/>
                <w:lang w:val="es-ES"/>
              </w:rPr>
              <w:t>Exámenes de laboratorio</w:t>
            </w:r>
          </w:p>
        </w:tc>
        <w:tc>
          <w:tcPr>
            <w:tcW w:w="1129" w:type="dxa"/>
            <w:tcBorders>
              <w:top w:val="single" w:sz="12" w:space="0" w:color="000000"/>
              <w:left w:val="nil"/>
              <w:bottom w:val="nil"/>
              <w:right w:val="nil"/>
            </w:tcBorders>
          </w:tcPr>
          <w:p w14:paraId="0AB14967"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8.720</w:t>
            </w:r>
          </w:p>
        </w:tc>
        <w:tc>
          <w:tcPr>
            <w:tcW w:w="1124" w:type="dxa"/>
            <w:tcBorders>
              <w:top w:val="single" w:sz="12" w:space="0" w:color="000000"/>
              <w:left w:val="nil"/>
              <w:bottom w:val="nil"/>
              <w:right w:val="nil"/>
            </w:tcBorders>
          </w:tcPr>
          <w:p w14:paraId="4E59A08D"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30.039</w:t>
            </w:r>
          </w:p>
        </w:tc>
        <w:tc>
          <w:tcPr>
            <w:tcW w:w="1048" w:type="dxa"/>
            <w:tcBorders>
              <w:top w:val="single" w:sz="12" w:space="0" w:color="000000"/>
              <w:left w:val="nil"/>
              <w:bottom w:val="nil"/>
              <w:right w:val="nil"/>
            </w:tcBorders>
          </w:tcPr>
          <w:p w14:paraId="5F711A89" w14:textId="77777777" w:rsidR="00405820" w:rsidRDefault="002F4028">
            <w:pPr>
              <w:spacing w:line="360" w:lineRule="auto"/>
              <w:jc w:val="center"/>
              <w:rPr>
                <w:rFonts w:ascii="Times New Roman" w:eastAsia="Times New Roman" w:hAnsi="Times New Roman" w:cs="Times New Roman"/>
                <w:szCs w:val="18"/>
                <w:lang w:eastAsia="es-VE"/>
              </w:rPr>
            </w:pPr>
            <w:r>
              <w:rPr>
                <w:rFonts w:ascii="Times New Roman" w:hAnsi="Times New Roman" w:cs="Times New Roman"/>
                <w:sz w:val="16"/>
                <w:szCs w:val="16"/>
                <w:lang w:val="es-ES"/>
              </w:rPr>
              <w:t>1.149.918</w:t>
            </w:r>
          </w:p>
        </w:tc>
        <w:tc>
          <w:tcPr>
            <w:tcW w:w="1327" w:type="dxa"/>
            <w:tcBorders>
              <w:top w:val="single" w:sz="12" w:space="0" w:color="000000"/>
              <w:left w:val="nil"/>
              <w:bottom w:val="nil"/>
              <w:right w:val="nil"/>
            </w:tcBorders>
          </w:tcPr>
          <w:p w14:paraId="1113E765" w14:textId="77777777" w:rsidR="00405820" w:rsidRDefault="002F4028">
            <w:pPr>
              <w:spacing w:line="360" w:lineRule="auto"/>
              <w:jc w:val="right"/>
              <w:rPr>
                <w:rFonts w:ascii="Times New Roman" w:eastAsia="Times New Roman" w:hAnsi="Times New Roman" w:cs="Times New Roman"/>
                <w:szCs w:val="18"/>
                <w:lang w:eastAsia="es-VE"/>
              </w:rPr>
            </w:pPr>
            <w:r>
              <w:rPr>
                <w:rFonts w:ascii="Times New Roman" w:hAnsi="Times New Roman" w:cs="Times New Roman"/>
                <w:sz w:val="16"/>
                <w:szCs w:val="16"/>
                <w:lang w:val="es-ES"/>
              </w:rPr>
              <w:t xml:space="preserve">       244%</w:t>
            </w:r>
          </w:p>
        </w:tc>
      </w:tr>
      <w:tr w:rsidR="00405820" w14:paraId="110800E8" w14:textId="77777777">
        <w:trPr>
          <w:trHeight w:val="240"/>
        </w:trPr>
        <w:tc>
          <w:tcPr>
            <w:tcW w:w="1960" w:type="dxa"/>
            <w:tcBorders>
              <w:top w:val="single" w:sz="12" w:space="0" w:color="000000"/>
              <w:left w:val="nil"/>
              <w:bottom w:val="single" w:sz="12" w:space="0" w:color="000000"/>
              <w:right w:val="nil"/>
            </w:tcBorders>
            <w:tcMar>
              <w:top w:w="55" w:type="dxa"/>
              <w:left w:w="55" w:type="dxa"/>
              <w:bottom w:w="55" w:type="dxa"/>
              <w:right w:w="55" w:type="dxa"/>
            </w:tcMar>
          </w:tcPr>
          <w:p w14:paraId="07A1117F" w14:textId="77777777" w:rsidR="00405820" w:rsidRDefault="002F4028">
            <w:pPr>
              <w:spacing w:line="360" w:lineRule="auto"/>
              <w:rPr>
                <w:rFonts w:ascii="Times New Roman" w:eastAsia="Times New Roman" w:hAnsi="Times New Roman" w:cs="Times New Roman"/>
                <w:sz w:val="18"/>
                <w:szCs w:val="18"/>
                <w:lang w:eastAsia="es-VE"/>
              </w:rPr>
            </w:pPr>
            <w:r>
              <w:rPr>
                <w:rFonts w:ascii="Times New Roman" w:hAnsi="Times New Roman" w:cs="Times New Roman"/>
                <w:sz w:val="20"/>
                <w:lang w:val="es-ES"/>
              </w:rPr>
              <w:t>Donantes de sangre</w:t>
            </w:r>
          </w:p>
        </w:tc>
        <w:tc>
          <w:tcPr>
            <w:tcW w:w="1129" w:type="dxa"/>
            <w:tcBorders>
              <w:top w:val="single" w:sz="12" w:space="0" w:color="000000"/>
              <w:left w:val="nil"/>
              <w:bottom w:val="single" w:sz="12" w:space="0" w:color="000000"/>
              <w:right w:val="nil"/>
            </w:tcBorders>
            <w:tcMar>
              <w:top w:w="55" w:type="dxa"/>
              <w:left w:w="55" w:type="dxa"/>
              <w:bottom w:w="55" w:type="dxa"/>
              <w:right w:w="55" w:type="dxa"/>
            </w:tcMar>
          </w:tcPr>
          <w:p w14:paraId="4928F32D" w14:textId="77777777" w:rsidR="00405820" w:rsidRDefault="002F4028">
            <w:pPr>
              <w:spacing w:line="360" w:lineRule="auto"/>
              <w:jc w:val="center"/>
              <w:rPr>
                <w:rFonts w:ascii="Times New Roman" w:eastAsia="Times New Roman" w:hAnsi="Times New Roman" w:cs="Times New Roman"/>
                <w:sz w:val="18"/>
                <w:szCs w:val="18"/>
                <w:lang w:eastAsia="es-VE"/>
              </w:rPr>
            </w:pPr>
            <w:r>
              <w:rPr>
                <w:rFonts w:ascii="Times New Roman" w:hAnsi="Times New Roman" w:cs="Times New Roman"/>
                <w:sz w:val="20"/>
                <w:lang w:val="es-ES"/>
              </w:rPr>
              <w:t>489</w:t>
            </w:r>
          </w:p>
        </w:tc>
        <w:tc>
          <w:tcPr>
            <w:tcW w:w="1124" w:type="dxa"/>
            <w:tcBorders>
              <w:top w:val="single" w:sz="12" w:space="0" w:color="000000"/>
              <w:left w:val="nil"/>
              <w:bottom w:val="single" w:sz="12" w:space="0" w:color="000000"/>
              <w:right w:val="nil"/>
            </w:tcBorders>
            <w:tcMar>
              <w:top w:w="55" w:type="dxa"/>
              <w:left w:w="55" w:type="dxa"/>
              <w:bottom w:w="55" w:type="dxa"/>
              <w:right w:w="55" w:type="dxa"/>
            </w:tcMar>
          </w:tcPr>
          <w:p w14:paraId="4305EE79" w14:textId="77777777" w:rsidR="00405820" w:rsidRDefault="002F4028">
            <w:pPr>
              <w:spacing w:line="360" w:lineRule="auto"/>
              <w:jc w:val="center"/>
              <w:rPr>
                <w:rFonts w:ascii="Times New Roman" w:eastAsia="Times New Roman" w:hAnsi="Times New Roman" w:cs="Times New Roman"/>
                <w:sz w:val="18"/>
                <w:szCs w:val="18"/>
                <w:lang w:eastAsia="es-VE"/>
              </w:rPr>
            </w:pPr>
            <w:r>
              <w:rPr>
                <w:rFonts w:ascii="Times New Roman" w:hAnsi="Times New Roman" w:cs="Times New Roman"/>
                <w:sz w:val="20"/>
                <w:lang w:val="es-ES"/>
              </w:rPr>
              <w:t>1.124</w:t>
            </w:r>
          </w:p>
        </w:tc>
        <w:tc>
          <w:tcPr>
            <w:tcW w:w="1048" w:type="dxa"/>
            <w:tcBorders>
              <w:top w:val="single" w:sz="12" w:space="0" w:color="000000"/>
              <w:left w:val="nil"/>
              <w:bottom w:val="single" w:sz="12" w:space="0" w:color="000000"/>
              <w:right w:val="nil"/>
            </w:tcBorders>
            <w:tcMar>
              <w:top w:w="55" w:type="dxa"/>
              <w:left w:w="55" w:type="dxa"/>
              <w:bottom w:w="55" w:type="dxa"/>
              <w:right w:w="55" w:type="dxa"/>
            </w:tcMar>
          </w:tcPr>
          <w:p w14:paraId="559A6BBA" w14:textId="77777777" w:rsidR="00405820" w:rsidRDefault="002F4028">
            <w:pPr>
              <w:spacing w:line="360" w:lineRule="auto"/>
              <w:jc w:val="center"/>
              <w:rPr>
                <w:rFonts w:ascii="Times New Roman" w:eastAsia="Times New Roman" w:hAnsi="Times New Roman" w:cs="Times New Roman"/>
                <w:sz w:val="18"/>
                <w:szCs w:val="18"/>
                <w:lang w:eastAsia="es-VE"/>
              </w:rPr>
            </w:pPr>
            <w:r>
              <w:rPr>
                <w:rFonts w:ascii="Times New Roman" w:hAnsi="Times New Roman" w:cs="Times New Roman"/>
                <w:sz w:val="20"/>
                <w:lang w:val="es-ES"/>
              </w:rPr>
              <w:t>22.984</w:t>
            </w:r>
          </w:p>
        </w:tc>
        <w:tc>
          <w:tcPr>
            <w:tcW w:w="1327" w:type="dxa"/>
            <w:tcBorders>
              <w:top w:val="single" w:sz="12" w:space="0" w:color="000000"/>
              <w:left w:val="nil"/>
              <w:bottom w:val="single" w:sz="12" w:space="0" w:color="000000"/>
              <w:right w:val="nil"/>
            </w:tcBorders>
            <w:tcMar>
              <w:top w:w="55" w:type="dxa"/>
              <w:left w:w="55" w:type="dxa"/>
              <w:bottom w:w="55" w:type="dxa"/>
              <w:right w:w="55" w:type="dxa"/>
            </w:tcMar>
          </w:tcPr>
          <w:p w14:paraId="20239B42" w14:textId="77777777" w:rsidR="00405820" w:rsidRDefault="002F4028">
            <w:pPr>
              <w:spacing w:line="360" w:lineRule="auto"/>
              <w:rPr>
                <w:rFonts w:ascii="Times New Roman" w:eastAsia="Times New Roman" w:hAnsi="Times New Roman" w:cs="Times New Roman"/>
                <w:sz w:val="18"/>
                <w:szCs w:val="18"/>
                <w:lang w:eastAsia="es-VE"/>
              </w:rPr>
            </w:pPr>
            <w:r>
              <w:rPr>
                <w:rFonts w:ascii="Times New Roman" w:hAnsi="Times New Roman" w:cs="Times New Roman"/>
                <w:sz w:val="20"/>
                <w:lang w:val="es-ES"/>
              </w:rPr>
              <w:t xml:space="preserve">       130%</w:t>
            </w:r>
          </w:p>
        </w:tc>
      </w:tr>
    </w:tbl>
    <w:p w14:paraId="7B177428" w14:textId="77777777" w:rsidR="00405820" w:rsidRDefault="00405820">
      <w:pPr>
        <w:rPr>
          <w:rFonts w:cs="Times New Roman"/>
          <w:b/>
          <w:bCs/>
          <w:sz w:val="20"/>
          <w:szCs w:val="20"/>
        </w:rPr>
      </w:pPr>
    </w:p>
    <w:p w14:paraId="4DD0255B"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 xml:space="preserve">8) Uso indebido de sustancias psicotrópicas </w:t>
      </w:r>
    </w:p>
    <w:p w14:paraId="4535F398" w14:textId="77777777" w:rsidR="00405820" w:rsidRDefault="00405820">
      <w:pPr>
        <w:pStyle w:val="ListParagraph"/>
        <w:rPr>
          <w:rFonts w:cs="Times New Roman"/>
          <w:sz w:val="20"/>
          <w:szCs w:val="20"/>
        </w:rPr>
      </w:pPr>
    </w:p>
    <w:p w14:paraId="41CED866"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Según los reportes de la Oficina Nacional Antidrogas, el Sistema Público Nacional para la Atención y Tratamiento de las Adicciones, atendió entre los años 2012 a 2020 a 5.201 personas menores de 17 años mediante tratamiento, asistencia y ayuda para su recuperación.</w:t>
      </w:r>
    </w:p>
    <w:p w14:paraId="37509427" w14:textId="77777777" w:rsidR="00405820" w:rsidRDefault="00405820">
      <w:pPr>
        <w:spacing w:after="0" w:line="240" w:lineRule="auto"/>
        <w:ind w:left="720"/>
        <w:jc w:val="both"/>
        <w:rPr>
          <w:rFonts w:ascii="Times New Roman" w:hAnsi="Times New Roman" w:cs="Times New Roman"/>
          <w:sz w:val="20"/>
          <w:szCs w:val="20"/>
        </w:rPr>
      </w:pPr>
    </w:p>
    <w:p w14:paraId="29506081" w14:textId="6BF2DFBF" w:rsidR="00405820" w:rsidRDefault="002F4028">
      <w:pPr>
        <w:numPr>
          <w:ilvl w:val="0"/>
          <w:numId w:val="1"/>
        </w:numPr>
        <w:spacing w:after="0" w:line="240" w:lineRule="auto"/>
        <w:ind w:left="0" w:firstLine="0"/>
        <w:jc w:val="both"/>
      </w:pPr>
      <w:r>
        <w:rPr>
          <w:rFonts w:ascii="Times New Roman" w:hAnsi="Times New Roman" w:cs="Arial"/>
          <w:sz w:val="20"/>
          <w:szCs w:val="20"/>
          <w:lang w:val="es-MX"/>
        </w:rPr>
        <w:t xml:space="preserve">El </w:t>
      </w:r>
      <w:r w:rsidR="0071476D">
        <w:rPr>
          <w:rFonts w:ascii="Times New Roman" w:hAnsi="Times New Roman" w:cs="Arial"/>
          <w:sz w:val="20"/>
          <w:szCs w:val="20"/>
          <w:lang w:val="es-MX"/>
        </w:rPr>
        <w:t>IDENNA</w:t>
      </w:r>
      <w:r>
        <w:rPr>
          <w:rFonts w:ascii="Times New Roman" w:hAnsi="Times New Roman" w:cs="Arial"/>
          <w:sz w:val="20"/>
          <w:szCs w:val="20"/>
          <w:lang w:val="es-MX"/>
        </w:rPr>
        <w:t xml:space="preserve"> en el año 2025 atiende a niños, niñas y adolescentes con adicciones en programas de protección integral, a través de los Centros Especializado de Prevención y Atención Integral (CEPAI) en Distrito Capital y el estado Lara, así como </w:t>
      </w:r>
      <w:r>
        <w:rPr>
          <w:rFonts w:ascii="Times New Roman" w:eastAsia="Times New Roman" w:hAnsi="Times New Roman" w:cs="Arial"/>
          <w:sz w:val="20"/>
          <w:szCs w:val="20"/>
          <w:lang w:val="es-MX"/>
        </w:rPr>
        <w:t>en el programa de Orientación familiar (COF) en los estados Distrito Capital, Miranda, Amazonas, Apure, Monagas y Lara.</w:t>
      </w:r>
    </w:p>
    <w:p w14:paraId="0B930185" w14:textId="77777777" w:rsidR="00405820" w:rsidRDefault="00405820">
      <w:pPr>
        <w:spacing w:after="0" w:line="240" w:lineRule="auto"/>
        <w:ind w:left="720"/>
        <w:jc w:val="both"/>
        <w:rPr>
          <w:rFonts w:ascii="Times New Roman" w:eastAsia="Times New Roman" w:hAnsi="Times New Roman" w:cs="Arial"/>
          <w:sz w:val="20"/>
          <w:szCs w:val="20"/>
          <w:highlight w:val="yellow"/>
          <w:lang w:val="es-MX"/>
        </w:rPr>
      </w:pPr>
    </w:p>
    <w:p w14:paraId="21ADF7D3" w14:textId="16E469DD" w:rsidR="00405820" w:rsidRDefault="002F4028">
      <w:pPr>
        <w:numPr>
          <w:ilvl w:val="0"/>
          <w:numId w:val="1"/>
        </w:numPr>
        <w:spacing w:after="0" w:line="240" w:lineRule="auto"/>
        <w:ind w:left="0" w:firstLine="0"/>
        <w:jc w:val="both"/>
      </w:pPr>
      <w:r>
        <w:rPr>
          <w:rFonts w:ascii="Times New Roman" w:eastAsia="Times New Roman" w:hAnsi="Times New Roman" w:cs="Arial"/>
          <w:sz w:val="20"/>
          <w:szCs w:val="20"/>
          <w:lang w:val="es-MX"/>
        </w:rPr>
        <w:t>Para el año 2024 desde el IDENNA, se efectuaron 180 jornadas con niños, niñas y adolescentes y sus familias, para la prevención de las adicciones y sobre el uso de sustancias psicoactivas y sus consecuencias. Igualmente, con la puesta en marcha del laboratorio especializado para la evaluación física de niños, niñas y adolescentes con alta y baja permanencia en calle, se realizan evaluaciones tempranas en adicciones de la población vulnerable que permitan realizar y ejecutar programas de prevención.</w:t>
      </w:r>
    </w:p>
    <w:p w14:paraId="2A092F72" w14:textId="77777777" w:rsidR="00405820" w:rsidRDefault="00405820">
      <w:pPr>
        <w:spacing w:after="0" w:line="240" w:lineRule="auto"/>
        <w:jc w:val="both"/>
        <w:rPr>
          <w:rFonts w:ascii="Times New Roman" w:eastAsia="Times New Roman" w:hAnsi="Times New Roman" w:cs="Times New Roman"/>
          <w:sz w:val="20"/>
          <w:szCs w:val="20"/>
          <w:highlight w:val="yellow"/>
        </w:rPr>
      </w:pPr>
    </w:p>
    <w:p w14:paraId="3D6E016E"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9) Educación, esparcimiento y actividades culturales</w:t>
      </w:r>
    </w:p>
    <w:p w14:paraId="3E619CA4" w14:textId="77777777" w:rsidR="00405820" w:rsidRDefault="00405820">
      <w:pPr>
        <w:spacing w:after="0" w:line="240" w:lineRule="auto"/>
        <w:jc w:val="both"/>
        <w:rPr>
          <w:rFonts w:ascii="Times New Roman" w:eastAsia="Times New Roman" w:hAnsi="Times New Roman" w:cs="Times New Roman"/>
          <w:sz w:val="20"/>
          <w:szCs w:val="20"/>
        </w:rPr>
      </w:pPr>
    </w:p>
    <w:p w14:paraId="3A6C19CD" w14:textId="6026A211" w:rsidR="005B7F2C" w:rsidRPr="005B7F2C" w:rsidRDefault="002F4028" w:rsidP="005B7F2C">
      <w:pPr>
        <w:numPr>
          <w:ilvl w:val="0"/>
          <w:numId w:val="1"/>
        </w:numPr>
        <w:spacing w:after="0" w:line="240" w:lineRule="auto"/>
        <w:ind w:left="0" w:firstLine="0"/>
        <w:jc w:val="both"/>
      </w:pPr>
      <w:r>
        <w:rPr>
          <w:rFonts w:ascii="Times New Roman" w:hAnsi="Times New Roman" w:cs="Times New Roman"/>
          <w:color w:val="00000A"/>
          <w:sz w:val="20"/>
          <w:szCs w:val="20"/>
        </w:rPr>
        <w:t xml:space="preserve">Para el período 2023/2024 se cuenta con 28.798 planteles educativos que atienden a una matrícula estudiantil  de </w:t>
      </w:r>
      <w:r>
        <w:rPr>
          <w:rFonts w:ascii="Times New Roman" w:hAnsi="Times New Roman" w:cs="Times New Roman"/>
          <w:sz w:val="20"/>
          <w:szCs w:val="20"/>
          <w:lang w:val="es-ES"/>
        </w:rPr>
        <w:t xml:space="preserve"> 8.824.512 estudiantes. El 84%,3 de las instituciones educativas del país son públicas. De todas las instituciones públicas el 93% cuentan con el programa de alimentación escolar. Para el 2024 se cuenta con 427.841 docentes en el sistema educativo. Se ha incrementado el número de los docentes en 126%.  Es importante destacar, que para el año 2022 se realizaron 381.000 reclasificaciones a docentes.</w:t>
      </w:r>
    </w:p>
    <w:p w14:paraId="452442CA" w14:textId="77777777" w:rsidR="005B7F2C" w:rsidRDefault="005B7F2C" w:rsidP="005B7F2C">
      <w:pPr>
        <w:spacing w:after="0" w:line="240" w:lineRule="auto"/>
        <w:jc w:val="both"/>
      </w:pPr>
    </w:p>
    <w:p w14:paraId="29C84DDD" w14:textId="66ECCEEF" w:rsidR="00405820" w:rsidRDefault="002F4028" w:rsidP="00581A69">
      <w:pPr>
        <w:numPr>
          <w:ilvl w:val="0"/>
          <w:numId w:val="1"/>
        </w:numPr>
        <w:spacing w:after="0" w:line="240" w:lineRule="auto"/>
        <w:ind w:left="0" w:firstLine="0"/>
        <w:jc w:val="both"/>
      </w:pPr>
      <w:r w:rsidRPr="005B7F2C">
        <w:rPr>
          <w:rFonts w:ascii="Times New Roman" w:hAnsi="Times New Roman" w:cs="Times New Roman"/>
          <w:sz w:val="20"/>
          <w:szCs w:val="20"/>
          <w:lang w:val="es-ES"/>
        </w:rPr>
        <w:t xml:space="preserve"> Las metas de los ODS han debido acelerarse de forma de tener a los niños en las escuelas y  garantizar</w:t>
      </w:r>
      <w:r w:rsidR="00487852">
        <w:rPr>
          <w:rFonts w:ascii="Times New Roman" w:hAnsi="Times New Roman" w:cs="Times New Roman"/>
          <w:sz w:val="20"/>
          <w:szCs w:val="20"/>
          <w:lang w:val="es-ES"/>
        </w:rPr>
        <w:t>les</w:t>
      </w:r>
      <w:r w:rsidRPr="005B7F2C">
        <w:rPr>
          <w:rFonts w:ascii="Times New Roman" w:hAnsi="Times New Roman" w:cs="Times New Roman"/>
          <w:sz w:val="20"/>
          <w:szCs w:val="20"/>
          <w:lang w:val="es-ES"/>
        </w:rPr>
        <w:t xml:space="preserve"> acceso a</w:t>
      </w:r>
      <w:r w:rsidR="00487852">
        <w:rPr>
          <w:rFonts w:ascii="Times New Roman" w:hAnsi="Times New Roman" w:cs="Times New Roman"/>
          <w:sz w:val="20"/>
          <w:szCs w:val="20"/>
          <w:lang w:val="es-ES"/>
        </w:rPr>
        <w:t xml:space="preserve">l </w:t>
      </w:r>
      <w:r w:rsidRPr="005B7F2C">
        <w:rPr>
          <w:rFonts w:ascii="Times New Roman" w:hAnsi="Times New Roman" w:cs="Times New Roman"/>
          <w:sz w:val="20"/>
          <w:szCs w:val="20"/>
          <w:lang w:val="es-ES"/>
        </w:rPr>
        <w:t xml:space="preserve">programa de alimentación escolar, gratuidad plena en útiles y soporte a los uniformes escolares. Para el 2023-2024 se registró una </w:t>
      </w:r>
      <w:proofErr w:type="spellStart"/>
      <w:r w:rsidRPr="005B7F2C">
        <w:rPr>
          <w:rFonts w:ascii="Times New Roman" w:hAnsi="Times New Roman" w:cs="Times New Roman"/>
          <w:sz w:val="20"/>
          <w:szCs w:val="20"/>
          <w:lang w:val="es-ES"/>
        </w:rPr>
        <w:t>matricula</w:t>
      </w:r>
      <w:proofErr w:type="spellEnd"/>
      <w:r w:rsidRPr="005B7F2C">
        <w:rPr>
          <w:rFonts w:ascii="Times New Roman" w:hAnsi="Times New Roman" w:cs="Times New Roman"/>
          <w:sz w:val="20"/>
          <w:szCs w:val="20"/>
          <w:lang w:val="es-ES"/>
        </w:rPr>
        <w:t xml:space="preserve"> de educación básica de 8.824.512 estudiantes.</w:t>
      </w:r>
      <w:r w:rsidR="00563B46">
        <w:rPr>
          <w:rFonts w:ascii="Times New Roman" w:hAnsi="Times New Roman" w:cs="Times New Roman"/>
          <w:sz w:val="20"/>
          <w:szCs w:val="20"/>
          <w:lang w:val="es-ES"/>
        </w:rPr>
        <w:t xml:space="preserve"> Más </w:t>
      </w:r>
      <w:r w:rsidRPr="005B7F2C">
        <w:rPr>
          <w:rFonts w:ascii="Times New Roman" w:hAnsi="Times New Roman" w:cs="Times New Roman"/>
          <w:sz w:val="20"/>
          <w:szCs w:val="20"/>
          <w:lang w:val="es-ES"/>
        </w:rPr>
        <w:t>de 4,9 millones de trabajadores del país t</w:t>
      </w:r>
      <w:r w:rsidR="00563B46">
        <w:rPr>
          <w:rFonts w:ascii="Times New Roman" w:hAnsi="Times New Roman" w:cs="Times New Roman"/>
          <w:sz w:val="20"/>
          <w:szCs w:val="20"/>
          <w:lang w:val="es-ES"/>
        </w:rPr>
        <w:t>ienen</w:t>
      </w:r>
      <w:r w:rsidRPr="005B7F2C">
        <w:rPr>
          <w:rFonts w:ascii="Times New Roman" w:hAnsi="Times New Roman" w:cs="Times New Roman"/>
          <w:sz w:val="20"/>
          <w:szCs w:val="20"/>
          <w:lang w:val="es-ES"/>
        </w:rPr>
        <w:t xml:space="preserve"> título de técnico superior o universitario. </w:t>
      </w:r>
    </w:p>
    <w:p w14:paraId="3BEBBEF8" w14:textId="77777777" w:rsidR="00581A69" w:rsidRPr="00581A69" w:rsidRDefault="00581A69" w:rsidP="00581A69">
      <w:pPr>
        <w:spacing w:after="0" w:line="240" w:lineRule="auto"/>
        <w:jc w:val="both"/>
      </w:pPr>
    </w:p>
    <w:p w14:paraId="045FDEC5" w14:textId="27B557F1"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 xml:space="preserve">Para el 2024 en el país, 84,3% de las escuelas son públicas, gratuitas y de calidad. La </w:t>
      </w:r>
      <w:proofErr w:type="spellStart"/>
      <w:r>
        <w:rPr>
          <w:rFonts w:ascii="Times New Roman" w:hAnsi="Times New Roman" w:cs="Times New Roman"/>
          <w:sz w:val="20"/>
          <w:szCs w:val="20"/>
          <w:lang w:val="es-ES"/>
        </w:rPr>
        <w:t>matricula</w:t>
      </w:r>
      <w:proofErr w:type="spellEnd"/>
      <w:r>
        <w:rPr>
          <w:rFonts w:ascii="Times New Roman" w:hAnsi="Times New Roman" w:cs="Times New Roman"/>
          <w:sz w:val="20"/>
          <w:szCs w:val="20"/>
          <w:lang w:val="es-ES"/>
        </w:rPr>
        <w:t xml:space="preserve"> pública educativa se ha mantenido gratuita en el año 2024, lo que sumado al incremento del precio de escuelas privadas llevó a subir la cobertura del sistema educativo público a cerca de 84,3% del total para el 2023. Se ha incrementado en 126% el número de docentes del sistema educativo, pasando de poco más de 189 mil docentes a 400 mil. </w:t>
      </w:r>
    </w:p>
    <w:p w14:paraId="6CF1E9FB" w14:textId="77777777" w:rsidR="00405820" w:rsidRDefault="00405820">
      <w:pPr>
        <w:rPr>
          <w:rFonts w:eastAsia="Times New Roman" w:cs="Times New Roman"/>
          <w:sz w:val="20"/>
          <w:szCs w:val="20"/>
        </w:rPr>
      </w:pPr>
    </w:p>
    <w:p w14:paraId="17AA27CA" w14:textId="77777777" w:rsidR="00405820" w:rsidRDefault="002F4028">
      <w:pPr>
        <w:pStyle w:val="Ttulo11"/>
        <w:spacing w:before="0" w:after="0" w:line="240" w:lineRule="auto"/>
        <w:jc w:val="center"/>
      </w:pPr>
      <w:r>
        <w:rPr>
          <w:rFonts w:ascii="Times New Roman" w:hAnsi="Times New Roman" w:cstheme="minorBidi"/>
          <w:sz w:val="20"/>
          <w:szCs w:val="20"/>
          <w:lang w:val="es-ES_tradnl"/>
        </w:rPr>
        <w:t>Tabla</w:t>
      </w:r>
      <w:r>
        <w:rPr>
          <w:rFonts w:ascii="Times New Roman" w:hAnsi="Times New Roman"/>
          <w:sz w:val="20"/>
          <w:szCs w:val="20"/>
          <w:lang w:val="es-ES_tradnl"/>
        </w:rPr>
        <w:t xml:space="preserve"> VIII</w:t>
      </w:r>
    </w:p>
    <w:p w14:paraId="75C52F8B" w14:textId="77777777" w:rsidR="00405820" w:rsidRDefault="002F4028">
      <w:pPr>
        <w:pStyle w:val="Standard"/>
        <w:jc w:val="center"/>
        <w:rPr>
          <w:rFonts w:ascii="Times New Roman" w:hAnsi="Times New Roman" w:cs="Times New Roman"/>
          <w:b/>
          <w:bCs/>
          <w:sz w:val="20"/>
          <w:szCs w:val="20"/>
        </w:rPr>
      </w:pPr>
      <w:r>
        <w:rPr>
          <w:rFonts w:ascii="Times New Roman" w:hAnsi="Times New Roman" w:cs="Times New Roman"/>
          <w:b/>
          <w:bCs/>
          <w:sz w:val="20"/>
          <w:szCs w:val="20"/>
        </w:rPr>
        <w:t xml:space="preserve">Matrícula estudiantil por niveles y modalidades. </w:t>
      </w:r>
    </w:p>
    <w:p w14:paraId="28BDEC6C" w14:textId="77777777" w:rsidR="00405820" w:rsidRDefault="002F4028">
      <w:pPr>
        <w:pStyle w:val="Standard"/>
        <w:jc w:val="center"/>
      </w:pPr>
      <w:r>
        <w:rPr>
          <w:rFonts w:ascii="Times New Roman" w:hAnsi="Times New Roman" w:cs="Times New Roman"/>
          <w:b/>
          <w:bCs/>
          <w:sz w:val="20"/>
          <w:szCs w:val="20"/>
        </w:rPr>
        <w:t>Período 2020-2021</w:t>
      </w:r>
      <w:r>
        <w:rPr>
          <w:rStyle w:val="Ancladenotaalpie"/>
          <w:rFonts w:ascii="Times New Roman" w:hAnsi="Times New Roman" w:cs="Times New Roman"/>
          <w:b/>
          <w:bCs/>
          <w:sz w:val="20"/>
          <w:szCs w:val="20"/>
        </w:rPr>
        <w:footnoteReference w:id="68"/>
      </w:r>
    </w:p>
    <w:p w14:paraId="1923A7B4" w14:textId="77777777" w:rsidR="00405820" w:rsidRDefault="00405820">
      <w:pPr>
        <w:pStyle w:val="Standard"/>
        <w:jc w:val="center"/>
        <w:rPr>
          <w:rFonts w:ascii="Times New Roman" w:hAnsi="Times New Roman" w:cs="Times New Roman"/>
          <w:b/>
          <w:bCs/>
          <w:sz w:val="20"/>
          <w:szCs w:val="20"/>
        </w:rPr>
      </w:pPr>
    </w:p>
    <w:tbl>
      <w:tblPr>
        <w:tblStyle w:val="TableGrid"/>
        <w:tblW w:w="6910" w:type="dxa"/>
        <w:tblInd w:w="976" w:type="dxa"/>
        <w:tblCellMar>
          <w:left w:w="0" w:type="dxa"/>
          <w:right w:w="0" w:type="dxa"/>
        </w:tblCellMar>
        <w:tblLook w:val="04A0" w:firstRow="1" w:lastRow="0" w:firstColumn="1" w:lastColumn="0" w:noHBand="0" w:noVBand="1"/>
      </w:tblPr>
      <w:tblGrid>
        <w:gridCol w:w="3691"/>
        <w:gridCol w:w="1499"/>
        <w:gridCol w:w="1720"/>
      </w:tblGrid>
      <w:tr w:rsidR="00405820" w14:paraId="58690F90" w14:textId="77777777">
        <w:trPr>
          <w:trHeight w:val="240"/>
          <w:tblHeader/>
        </w:trPr>
        <w:tc>
          <w:tcPr>
            <w:tcW w:w="3691" w:type="dxa"/>
            <w:tcBorders>
              <w:left w:val="nil"/>
              <w:bottom w:val="single" w:sz="12" w:space="0" w:color="000000"/>
              <w:right w:val="nil"/>
            </w:tcBorders>
            <w:vAlign w:val="bottom"/>
          </w:tcPr>
          <w:p w14:paraId="07E56E46" w14:textId="77777777" w:rsidR="00405820" w:rsidRDefault="002F4028">
            <w:pPr>
              <w:spacing w:before="80" w:after="80" w:line="200" w:lineRule="exact"/>
              <w:rPr>
                <w:b/>
                <w:bCs/>
                <w:sz w:val="20"/>
              </w:rPr>
            </w:pPr>
            <w:r>
              <w:rPr>
                <w:b/>
                <w:bCs/>
                <w:i/>
                <w:sz w:val="20"/>
                <w:lang w:val="es-ES_tradnl"/>
              </w:rPr>
              <w:t>Nivel</w:t>
            </w:r>
          </w:p>
        </w:tc>
        <w:tc>
          <w:tcPr>
            <w:tcW w:w="1499" w:type="dxa"/>
            <w:tcBorders>
              <w:left w:val="nil"/>
              <w:bottom w:val="single" w:sz="12" w:space="0" w:color="000000"/>
              <w:right w:val="nil"/>
            </w:tcBorders>
            <w:vAlign w:val="bottom"/>
          </w:tcPr>
          <w:p w14:paraId="07C42AA8" w14:textId="77777777" w:rsidR="00405820" w:rsidRDefault="002F4028">
            <w:pPr>
              <w:spacing w:before="80" w:after="80" w:line="200" w:lineRule="exact"/>
              <w:jc w:val="right"/>
              <w:rPr>
                <w:b/>
                <w:bCs/>
                <w:sz w:val="20"/>
              </w:rPr>
            </w:pPr>
            <w:r>
              <w:rPr>
                <w:b/>
                <w:bCs/>
                <w:i/>
                <w:sz w:val="20"/>
                <w:lang w:val="es-ES_tradnl"/>
              </w:rPr>
              <w:t xml:space="preserve">2020-2021 </w:t>
            </w:r>
          </w:p>
        </w:tc>
        <w:tc>
          <w:tcPr>
            <w:tcW w:w="1720" w:type="dxa"/>
            <w:tcBorders>
              <w:left w:val="nil"/>
              <w:bottom w:val="single" w:sz="12" w:space="0" w:color="000000"/>
              <w:right w:val="nil"/>
            </w:tcBorders>
          </w:tcPr>
          <w:p w14:paraId="0BA51D7E" w14:textId="77777777" w:rsidR="00405820" w:rsidRDefault="002F4028">
            <w:pPr>
              <w:spacing w:before="80" w:after="80" w:line="200" w:lineRule="exact"/>
              <w:jc w:val="right"/>
              <w:rPr>
                <w:b/>
                <w:bCs/>
                <w:sz w:val="20"/>
              </w:rPr>
            </w:pPr>
            <w:r>
              <w:rPr>
                <w:b/>
                <w:bCs/>
                <w:i/>
                <w:sz w:val="20"/>
                <w:lang w:val="es-ES_tradnl"/>
              </w:rPr>
              <w:t xml:space="preserve">2023-2024              </w:t>
            </w:r>
          </w:p>
        </w:tc>
      </w:tr>
      <w:tr w:rsidR="00405820" w14:paraId="6E2CDC9F" w14:textId="77777777">
        <w:trPr>
          <w:trHeight w:val="240"/>
        </w:trPr>
        <w:tc>
          <w:tcPr>
            <w:tcW w:w="3691" w:type="dxa"/>
            <w:tcBorders>
              <w:top w:val="single" w:sz="12" w:space="0" w:color="000000"/>
              <w:left w:val="nil"/>
              <w:bottom w:val="nil"/>
              <w:right w:val="nil"/>
            </w:tcBorders>
          </w:tcPr>
          <w:p w14:paraId="5186E845" w14:textId="77777777" w:rsidR="00405820" w:rsidRDefault="002F4028">
            <w:pPr>
              <w:spacing w:line="360" w:lineRule="auto"/>
              <w:rPr>
                <w:rFonts w:ascii="Times New Roman" w:hAnsi="Times New Roman"/>
                <w:sz w:val="16"/>
                <w:szCs w:val="16"/>
              </w:rPr>
            </w:pPr>
            <w:proofErr w:type="spellStart"/>
            <w:r>
              <w:rPr>
                <w:rFonts w:ascii="Times New Roman" w:hAnsi="Times New Roman" w:cs="Times New Roman"/>
                <w:sz w:val="16"/>
                <w:szCs w:val="16"/>
              </w:rPr>
              <w:t>Inicial</w:t>
            </w:r>
            <w:proofErr w:type="spellEnd"/>
          </w:p>
        </w:tc>
        <w:tc>
          <w:tcPr>
            <w:tcW w:w="1499" w:type="dxa"/>
            <w:tcBorders>
              <w:top w:val="single" w:sz="12" w:space="0" w:color="000000"/>
              <w:left w:val="nil"/>
              <w:bottom w:val="nil"/>
              <w:right w:val="nil"/>
            </w:tcBorders>
            <w:vAlign w:val="bottom"/>
          </w:tcPr>
          <w:p w14:paraId="3F897A8E" w14:textId="77777777" w:rsidR="00405820" w:rsidRDefault="002F4028">
            <w:pPr>
              <w:spacing w:before="40" w:after="40" w:line="220" w:lineRule="exact"/>
              <w:jc w:val="right"/>
              <w:rPr>
                <w:rFonts w:ascii="Times New Roman" w:hAnsi="Times New Roman"/>
                <w:sz w:val="16"/>
                <w:szCs w:val="16"/>
              </w:rPr>
            </w:pPr>
            <w:r>
              <w:rPr>
                <w:rFonts w:ascii="Times New Roman" w:hAnsi="Times New Roman"/>
                <w:sz w:val="16"/>
                <w:szCs w:val="16"/>
                <w:lang w:val="es-ES_tradnl"/>
              </w:rPr>
              <w:t>1.896.243</w:t>
            </w:r>
          </w:p>
        </w:tc>
        <w:tc>
          <w:tcPr>
            <w:tcW w:w="1720" w:type="dxa"/>
            <w:tcBorders>
              <w:top w:val="single" w:sz="12" w:space="0" w:color="000000"/>
              <w:left w:val="nil"/>
              <w:bottom w:val="nil"/>
              <w:right w:val="nil"/>
            </w:tcBorders>
          </w:tcPr>
          <w:p w14:paraId="182F6B1C"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1.908.415</w:t>
            </w:r>
            <w:r>
              <w:rPr>
                <w:rFonts w:ascii="Times New Roman" w:hAnsi="Times New Roman"/>
                <w:sz w:val="16"/>
                <w:szCs w:val="16"/>
                <w:lang w:val="es-ES_tradnl"/>
              </w:rPr>
              <w:t xml:space="preserve">  </w:t>
            </w:r>
          </w:p>
        </w:tc>
      </w:tr>
      <w:tr w:rsidR="00405820" w14:paraId="3359AE15" w14:textId="77777777">
        <w:trPr>
          <w:trHeight w:val="240"/>
        </w:trPr>
        <w:tc>
          <w:tcPr>
            <w:tcW w:w="3691" w:type="dxa"/>
            <w:tcBorders>
              <w:top w:val="nil"/>
              <w:left w:val="nil"/>
              <w:bottom w:val="nil"/>
              <w:right w:val="nil"/>
            </w:tcBorders>
          </w:tcPr>
          <w:p w14:paraId="4A18BC98" w14:textId="77777777" w:rsidR="00405820" w:rsidRDefault="002F4028">
            <w:pPr>
              <w:spacing w:line="360" w:lineRule="auto"/>
              <w:rPr>
                <w:rFonts w:ascii="Times New Roman" w:hAnsi="Times New Roman"/>
                <w:sz w:val="16"/>
                <w:szCs w:val="16"/>
              </w:rPr>
            </w:pPr>
            <w:r>
              <w:rPr>
                <w:rFonts w:ascii="Times New Roman" w:hAnsi="Times New Roman" w:cs="Times New Roman"/>
                <w:sz w:val="16"/>
                <w:szCs w:val="16"/>
                <w:lang w:val="es-ES"/>
              </w:rPr>
              <w:t>Primaria</w:t>
            </w:r>
          </w:p>
        </w:tc>
        <w:tc>
          <w:tcPr>
            <w:tcW w:w="1499" w:type="dxa"/>
            <w:tcBorders>
              <w:top w:val="nil"/>
              <w:left w:val="nil"/>
              <w:bottom w:val="nil"/>
              <w:right w:val="nil"/>
            </w:tcBorders>
            <w:vAlign w:val="bottom"/>
          </w:tcPr>
          <w:p w14:paraId="3207DE5F" w14:textId="77777777" w:rsidR="00405820" w:rsidRDefault="002F4028">
            <w:pPr>
              <w:spacing w:before="40" w:after="40" w:line="220" w:lineRule="exact"/>
              <w:jc w:val="right"/>
              <w:rPr>
                <w:rFonts w:ascii="Times New Roman" w:hAnsi="Times New Roman"/>
                <w:sz w:val="16"/>
                <w:szCs w:val="16"/>
              </w:rPr>
            </w:pPr>
            <w:r>
              <w:rPr>
                <w:rFonts w:ascii="Times New Roman" w:hAnsi="Times New Roman"/>
                <w:sz w:val="16"/>
                <w:szCs w:val="16"/>
                <w:lang w:val="es-ES_tradnl"/>
              </w:rPr>
              <w:t>3.528.466</w:t>
            </w:r>
          </w:p>
        </w:tc>
        <w:tc>
          <w:tcPr>
            <w:tcW w:w="1720" w:type="dxa"/>
            <w:tcBorders>
              <w:top w:val="nil"/>
              <w:left w:val="nil"/>
              <w:bottom w:val="nil"/>
              <w:right w:val="nil"/>
            </w:tcBorders>
          </w:tcPr>
          <w:p w14:paraId="72EAC377"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sz w:val="16"/>
                <w:szCs w:val="16"/>
                <w:lang w:val="es-ES_tradnl"/>
              </w:rPr>
              <w:t xml:space="preserve">                 </w:t>
            </w:r>
            <w:r>
              <w:rPr>
                <w:rFonts w:ascii="Times New Roman" w:hAnsi="Times New Roman" w:cs="Times New Roman"/>
                <w:sz w:val="16"/>
                <w:szCs w:val="16"/>
                <w:lang w:val="es-ES"/>
              </w:rPr>
              <w:t>3.542.824</w:t>
            </w:r>
            <w:r>
              <w:rPr>
                <w:rFonts w:ascii="Times New Roman" w:hAnsi="Times New Roman"/>
                <w:sz w:val="16"/>
                <w:szCs w:val="16"/>
                <w:lang w:val="es-ES_tradnl"/>
              </w:rPr>
              <w:t xml:space="preserve">    </w:t>
            </w:r>
          </w:p>
        </w:tc>
      </w:tr>
      <w:tr w:rsidR="00405820" w14:paraId="636990A3" w14:textId="77777777">
        <w:trPr>
          <w:trHeight w:val="240"/>
        </w:trPr>
        <w:tc>
          <w:tcPr>
            <w:tcW w:w="3691" w:type="dxa"/>
            <w:tcBorders>
              <w:top w:val="nil"/>
              <w:left w:val="nil"/>
              <w:bottom w:val="nil"/>
              <w:right w:val="nil"/>
            </w:tcBorders>
          </w:tcPr>
          <w:p w14:paraId="12782D3B" w14:textId="77777777" w:rsidR="00405820" w:rsidRDefault="002F4028">
            <w:pPr>
              <w:spacing w:line="360" w:lineRule="auto"/>
              <w:rPr>
                <w:rFonts w:ascii="Times New Roman" w:hAnsi="Times New Roman"/>
                <w:sz w:val="16"/>
                <w:szCs w:val="16"/>
              </w:rPr>
            </w:pPr>
            <w:r>
              <w:rPr>
                <w:rFonts w:ascii="Times New Roman" w:hAnsi="Times New Roman" w:cs="Times New Roman"/>
                <w:sz w:val="16"/>
                <w:szCs w:val="16"/>
                <w:lang w:val="es-ES"/>
              </w:rPr>
              <w:t xml:space="preserve">Media general </w:t>
            </w:r>
          </w:p>
        </w:tc>
        <w:tc>
          <w:tcPr>
            <w:tcW w:w="1499" w:type="dxa"/>
            <w:tcBorders>
              <w:top w:val="nil"/>
              <w:left w:val="nil"/>
              <w:bottom w:val="nil"/>
              <w:right w:val="nil"/>
            </w:tcBorders>
            <w:vAlign w:val="bottom"/>
          </w:tcPr>
          <w:p w14:paraId="276BDC7E"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sz w:val="16"/>
                <w:szCs w:val="16"/>
                <w:lang w:val="es-ES_tradnl"/>
              </w:rPr>
              <w:t>2.394.024</w:t>
            </w:r>
          </w:p>
        </w:tc>
        <w:tc>
          <w:tcPr>
            <w:tcW w:w="1720" w:type="dxa"/>
            <w:tcBorders>
              <w:top w:val="nil"/>
              <w:left w:val="nil"/>
              <w:bottom w:val="nil"/>
              <w:right w:val="nil"/>
            </w:tcBorders>
          </w:tcPr>
          <w:p w14:paraId="6FF6A01E"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2.401.622</w:t>
            </w:r>
          </w:p>
        </w:tc>
      </w:tr>
      <w:tr w:rsidR="00405820" w14:paraId="3028EB31" w14:textId="77777777">
        <w:trPr>
          <w:trHeight w:val="240"/>
        </w:trPr>
        <w:tc>
          <w:tcPr>
            <w:tcW w:w="3691" w:type="dxa"/>
            <w:tcBorders>
              <w:top w:val="nil"/>
              <w:left w:val="nil"/>
              <w:bottom w:val="nil"/>
              <w:right w:val="nil"/>
            </w:tcBorders>
          </w:tcPr>
          <w:p w14:paraId="63DEB33A" w14:textId="77777777" w:rsidR="00405820" w:rsidRDefault="002F4028">
            <w:pPr>
              <w:spacing w:line="360" w:lineRule="auto"/>
              <w:rPr>
                <w:rFonts w:ascii="Times New Roman" w:hAnsi="Times New Roman"/>
                <w:sz w:val="16"/>
                <w:szCs w:val="16"/>
              </w:rPr>
            </w:pPr>
            <w:r>
              <w:rPr>
                <w:rFonts w:ascii="Times New Roman" w:hAnsi="Times New Roman" w:cs="Times New Roman"/>
                <w:sz w:val="16"/>
                <w:szCs w:val="16"/>
                <w:lang w:val="es-ES"/>
              </w:rPr>
              <w:t>Media técnica</w:t>
            </w:r>
          </w:p>
        </w:tc>
        <w:tc>
          <w:tcPr>
            <w:tcW w:w="1499" w:type="dxa"/>
            <w:tcBorders>
              <w:top w:val="nil"/>
              <w:left w:val="nil"/>
              <w:bottom w:val="nil"/>
              <w:right w:val="nil"/>
            </w:tcBorders>
            <w:vAlign w:val="bottom"/>
          </w:tcPr>
          <w:p w14:paraId="718E9521"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sz w:val="16"/>
                <w:szCs w:val="16"/>
                <w:lang w:val="es-ES_tradnl"/>
              </w:rPr>
              <w:t>290.778</w:t>
            </w:r>
          </w:p>
        </w:tc>
        <w:tc>
          <w:tcPr>
            <w:tcW w:w="1720" w:type="dxa"/>
            <w:tcBorders>
              <w:top w:val="nil"/>
              <w:left w:val="nil"/>
              <w:bottom w:val="nil"/>
              <w:right w:val="nil"/>
            </w:tcBorders>
          </w:tcPr>
          <w:p w14:paraId="05FC03C2"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297.211</w:t>
            </w:r>
          </w:p>
        </w:tc>
      </w:tr>
      <w:tr w:rsidR="00405820" w14:paraId="53315B1E" w14:textId="77777777">
        <w:trPr>
          <w:trHeight w:val="439"/>
        </w:trPr>
        <w:tc>
          <w:tcPr>
            <w:tcW w:w="3691" w:type="dxa"/>
            <w:tcBorders>
              <w:top w:val="nil"/>
              <w:left w:val="nil"/>
              <w:bottom w:val="nil"/>
              <w:right w:val="nil"/>
            </w:tcBorders>
          </w:tcPr>
          <w:p w14:paraId="2CD375BE" w14:textId="77777777" w:rsidR="00405820" w:rsidRPr="00B23088" w:rsidRDefault="002F4028">
            <w:pPr>
              <w:spacing w:line="360" w:lineRule="auto"/>
              <w:rPr>
                <w:rFonts w:ascii="Times New Roman" w:hAnsi="Times New Roman"/>
                <w:sz w:val="16"/>
                <w:szCs w:val="16"/>
                <w:lang w:val="es-VE"/>
              </w:rPr>
            </w:pPr>
            <w:r w:rsidRPr="00B23088">
              <w:rPr>
                <w:rFonts w:ascii="Times New Roman" w:hAnsi="Times New Roman"/>
                <w:sz w:val="16"/>
                <w:szCs w:val="16"/>
                <w:lang w:val="es-VE"/>
              </w:rPr>
              <w:t xml:space="preserve">Educación a jóvenes, adultas, adultos, Misión Robinsón, Rivas, </w:t>
            </w:r>
            <w:proofErr w:type="spellStart"/>
            <w:r w:rsidRPr="00B23088">
              <w:rPr>
                <w:rFonts w:ascii="Times New Roman" w:hAnsi="Times New Roman"/>
                <w:sz w:val="16"/>
                <w:szCs w:val="16"/>
                <w:lang w:val="es-VE"/>
              </w:rPr>
              <w:t>Inces</w:t>
            </w:r>
            <w:proofErr w:type="spellEnd"/>
          </w:p>
        </w:tc>
        <w:tc>
          <w:tcPr>
            <w:tcW w:w="1499" w:type="dxa"/>
            <w:tcBorders>
              <w:top w:val="nil"/>
              <w:left w:val="nil"/>
              <w:bottom w:val="nil"/>
              <w:right w:val="nil"/>
            </w:tcBorders>
            <w:vAlign w:val="bottom"/>
          </w:tcPr>
          <w:p w14:paraId="4758C3AE" w14:textId="77777777" w:rsidR="00405820" w:rsidRDefault="002F4028">
            <w:pPr>
              <w:spacing w:before="40" w:after="40" w:line="220" w:lineRule="exact"/>
              <w:jc w:val="right"/>
              <w:rPr>
                <w:rFonts w:ascii="Times New Roman" w:hAnsi="Times New Roman"/>
                <w:sz w:val="16"/>
                <w:szCs w:val="16"/>
              </w:rPr>
            </w:pPr>
            <w:r>
              <w:rPr>
                <w:rFonts w:ascii="Times New Roman" w:hAnsi="Times New Roman"/>
                <w:sz w:val="16"/>
                <w:szCs w:val="16"/>
                <w:lang w:val="es-ES_tradnl"/>
              </w:rPr>
              <w:t>427.614</w:t>
            </w:r>
          </w:p>
        </w:tc>
        <w:tc>
          <w:tcPr>
            <w:tcW w:w="1720" w:type="dxa"/>
            <w:tcBorders>
              <w:top w:val="nil"/>
              <w:left w:val="nil"/>
              <w:bottom w:val="nil"/>
              <w:right w:val="nil"/>
            </w:tcBorders>
          </w:tcPr>
          <w:p w14:paraId="3357B2E4" w14:textId="77777777" w:rsidR="00405820" w:rsidRDefault="00405820">
            <w:pPr>
              <w:spacing w:before="40" w:after="40" w:line="220" w:lineRule="exact"/>
              <w:ind w:left="113"/>
              <w:jc w:val="right"/>
              <w:rPr>
                <w:rFonts w:cs="Times New Roman"/>
                <w:lang w:val="es-ES"/>
              </w:rPr>
            </w:pPr>
          </w:p>
          <w:p w14:paraId="4676B603"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cs="Times New Roman"/>
                <w:sz w:val="16"/>
                <w:szCs w:val="16"/>
                <w:lang w:val="es-ES"/>
              </w:rPr>
              <w:t>610.038</w:t>
            </w:r>
          </w:p>
        </w:tc>
      </w:tr>
      <w:tr w:rsidR="00405820" w14:paraId="1BE0DA26" w14:textId="77777777">
        <w:trPr>
          <w:trHeight w:val="439"/>
        </w:trPr>
        <w:tc>
          <w:tcPr>
            <w:tcW w:w="3691" w:type="dxa"/>
            <w:tcBorders>
              <w:top w:val="nil"/>
              <w:left w:val="nil"/>
              <w:right w:val="nil"/>
            </w:tcBorders>
          </w:tcPr>
          <w:p w14:paraId="2781796C" w14:textId="77777777" w:rsidR="00405820" w:rsidRDefault="002F4028">
            <w:pPr>
              <w:spacing w:line="360" w:lineRule="auto"/>
              <w:rPr>
                <w:rFonts w:ascii="Times New Roman" w:hAnsi="Times New Roman"/>
                <w:sz w:val="16"/>
                <w:szCs w:val="16"/>
              </w:rPr>
            </w:pPr>
            <w:proofErr w:type="spellStart"/>
            <w:r>
              <w:rPr>
                <w:rFonts w:ascii="Times New Roman" w:hAnsi="Times New Roman"/>
                <w:sz w:val="16"/>
                <w:szCs w:val="16"/>
              </w:rPr>
              <w:t>Educación</w:t>
            </w:r>
            <w:proofErr w:type="spellEnd"/>
            <w:r>
              <w:rPr>
                <w:rFonts w:ascii="Times New Roman" w:hAnsi="Times New Roman"/>
                <w:sz w:val="16"/>
                <w:szCs w:val="16"/>
              </w:rPr>
              <w:t xml:space="preserve"> Especial </w:t>
            </w:r>
          </w:p>
        </w:tc>
        <w:tc>
          <w:tcPr>
            <w:tcW w:w="1499" w:type="dxa"/>
            <w:tcBorders>
              <w:top w:val="nil"/>
              <w:left w:val="nil"/>
              <w:right w:val="nil"/>
            </w:tcBorders>
            <w:vAlign w:val="bottom"/>
          </w:tcPr>
          <w:p w14:paraId="2D1BF0D0" w14:textId="77777777" w:rsidR="00405820" w:rsidRDefault="002F4028">
            <w:pPr>
              <w:spacing w:before="40" w:after="40" w:line="220" w:lineRule="exact"/>
              <w:jc w:val="right"/>
              <w:rPr>
                <w:rFonts w:ascii="Times New Roman" w:hAnsi="Times New Roman"/>
                <w:sz w:val="16"/>
                <w:szCs w:val="16"/>
              </w:rPr>
            </w:pPr>
            <w:r>
              <w:rPr>
                <w:rFonts w:ascii="Times New Roman" w:hAnsi="Times New Roman"/>
                <w:sz w:val="16"/>
                <w:szCs w:val="16"/>
              </w:rPr>
              <w:t>59.047</w:t>
            </w:r>
          </w:p>
        </w:tc>
        <w:tc>
          <w:tcPr>
            <w:tcW w:w="1720" w:type="dxa"/>
            <w:tcBorders>
              <w:top w:val="nil"/>
              <w:left w:val="nil"/>
              <w:right w:val="nil"/>
            </w:tcBorders>
          </w:tcPr>
          <w:p w14:paraId="23F22778" w14:textId="77777777" w:rsidR="00405820" w:rsidRDefault="002F4028">
            <w:pPr>
              <w:spacing w:before="40" w:after="40" w:line="220" w:lineRule="exact"/>
              <w:ind w:left="113"/>
              <w:jc w:val="right"/>
              <w:rPr>
                <w:rFonts w:ascii="Times New Roman" w:hAnsi="Times New Roman"/>
                <w:sz w:val="16"/>
                <w:szCs w:val="16"/>
              </w:rPr>
            </w:pPr>
            <w:r>
              <w:rPr>
                <w:rFonts w:ascii="Times New Roman" w:hAnsi="Times New Roman"/>
                <w:sz w:val="16"/>
                <w:szCs w:val="16"/>
              </w:rPr>
              <w:t>64.402</w:t>
            </w:r>
          </w:p>
        </w:tc>
      </w:tr>
      <w:tr w:rsidR="00405820" w14:paraId="5C846CC3" w14:textId="77777777">
        <w:trPr>
          <w:trHeight w:val="439"/>
        </w:trPr>
        <w:tc>
          <w:tcPr>
            <w:tcW w:w="3691" w:type="dxa"/>
            <w:tcBorders>
              <w:left w:val="nil"/>
              <w:right w:val="nil"/>
            </w:tcBorders>
          </w:tcPr>
          <w:p w14:paraId="1C1D9616" w14:textId="77777777" w:rsidR="00405820" w:rsidRDefault="00405820">
            <w:pPr>
              <w:spacing w:line="360" w:lineRule="auto"/>
              <w:rPr>
                <w:rFonts w:ascii="Times New Roman" w:hAnsi="Times New Roman"/>
                <w:sz w:val="16"/>
                <w:szCs w:val="16"/>
              </w:rPr>
            </w:pPr>
          </w:p>
        </w:tc>
        <w:tc>
          <w:tcPr>
            <w:tcW w:w="1499" w:type="dxa"/>
            <w:tcBorders>
              <w:left w:val="nil"/>
              <w:right w:val="nil"/>
            </w:tcBorders>
            <w:vAlign w:val="bottom"/>
          </w:tcPr>
          <w:p w14:paraId="361378E6" w14:textId="77777777" w:rsidR="00405820" w:rsidRDefault="00405820">
            <w:pPr>
              <w:spacing w:before="40" w:after="40" w:line="220" w:lineRule="exact"/>
              <w:jc w:val="right"/>
              <w:rPr>
                <w:rFonts w:ascii="Times New Roman" w:hAnsi="Times New Roman"/>
                <w:sz w:val="16"/>
                <w:szCs w:val="16"/>
              </w:rPr>
            </w:pPr>
          </w:p>
        </w:tc>
        <w:tc>
          <w:tcPr>
            <w:tcW w:w="1720" w:type="dxa"/>
            <w:tcBorders>
              <w:left w:val="nil"/>
              <w:right w:val="nil"/>
            </w:tcBorders>
          </w:tcPr>
          <w:p w14:paraId="2411DE28" w14:textId="77777777" w:rsidR="00405820" w:rsidRDefault="00405820">
            <w:pPr>
              <w:spacing w:before="40" w:after="40" w:line="220" w:lineRule="exact"/>
              <w:ind w:left="113"/>
              <w:jc w:val="right"/>
              <w:rPr>
                <w:rFonts w:ascii="Times New Roman" w:hAnsi="Times New Roman"/>
                <w:sz w:val="16"/>
                <w:szCs w:val="16"/>
              </w:rPr>
            </w:pPr>
          </w:p>
        </w:tc>
      </w:tr>
      <w:tr w:rsidR="00405820" w14:paraId="4511FF8B" w14:textId="77777777">
        <w:trPr>
          <w:trHeight w:val="439"/>
        </w:trPr>
        <w:tc>
          <w:tcPr>
            <w:tcW w:w="3691" w:type="dxa"/>
            <w:tcBorders>
              <w:left w:val="nil"/>
              <w:bottom w:val="nil"/>
              <w:right w:val="nil"/>
            </w:tcBorders>
          </w:tcPr>
          <w:p w14:paraId="5F4D5293" w14:textId="77777777" w:rsidR="00405820" w:rsidRDefault="00405820">
            <w:pPr>
              <w:spacing w:line="360" w:lineRule="auto"/>
              <w:rPr>
                <w:rFonts w:ascii="Times New Roman" w:hAnsi="Times New Roman"/>
                <w:sz w:val="16"/>
                <w:szCs w:val="16"/>
              </w:rPr>
            </w:pPr>
          </w:p>
        </w:tc>
        <w:tc>
          <w:tcPr>
            <w:tcW w:w="1499" w:type="dxa"/>
            <w:tcBorders>
              <w:left w:val="nil"/>
              <w:bottom w:val="nil"/>
              <w:right w:val="nil"/>
            </w:tcBorders>
            <w:vAlign w:val="bottom"/>
          </w:tcPr>
          <w:p w14:paraId="3465B429" w14:textId="77777777" w:rsidR="00405820" w:rsidRDefault="00405820">
            <w:pPr>
              <w:spacing w:before="40" w:after="40" w:line="220" w:lineRule="exact"/>
              <w:jc w:val="right"/>
              <w:rPr>
                <w:rFonts w:ascii="Times New Roman" w:hAnsi="Times New Roman"/>
                <w:sz w:val="16"/>
                <w:szCs w:val="16"/>
              </w:rPr>
            </w:pPr>
          </w:p>
        </w:tc>
        <w:tc>
          <w:tcPr>
            <w:tcW w:w="1720" w:type="dxa"/>
            <w:tcBorders>
              <w:left w:val="nil"/>
              <w:bottom w:val="nil"/>
              <w:right w:val="nil"/>
            </w:tcBorders>
          </w:tcPr>
          <w:p w14:paraId="3CBD4BCE" w14:textId="77777777" w:rsidR="00405820" w:rsidRDefault="00405820">
            <w:pPr>
              <w:spacing w:before="40" w:after="40" w:line="220" w:lineRule="exact"/>
              <w:ind w:left="113"/>
              <w:jc w:val="right"/>
              <w:rPr>
                <w:rFonts w:ascii="Times New Roman" w:hAnsi="Times New Roman"/>
                <w:sz w:val="16"/>
                <w:szCs w:val="16"/>
              </w:rPr>
            </w:pPr>
          </w:p>
        </w:tc>
      </w:tr>
    </w:tbl>
    <w:p w14:paraId="5E854BF0" w14:textId="5E0DB47A"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El M</w:t>
      </w:r>
      <w:r w:rsidR="00AF40B1">
        <w:rPr>
          <w:rFonts w:ascii="Times New Roman" w:hAnsi="Times New Roman" w:cs="Times New Roman"/>
          <w:sz w:val="20"/>
          <w:szCs w:val="20"/>
        </w:rPr>
        <w:t>PPE</w:t>
      </w:r>
      <w:r>
        <w:rPr>
          <w:rFonts w:ascii="Times New Roman" w:hAnsi="Times New Roman" w:cs="Times New Roman"/>
          <w:sz w:val="20"/>
          <w:szCs w:val="20"/>
        </w:rPr>
        <w:t>, durante el período 2012-2019 ha realizado la entrega de 4.286.034 computadoras portátiles denominadas “Canaima educativas”, 120.000 textos escolares de la Colección Bicentenaria y se realizó la entrega de 7.070 Centros de Recursos para el Aprendizaje en 29.376 instituciones educativas.</w:t>
      </w:r>
    </w:p>
    <w:p w14:paraId="3ABF2B3A" w14:textId="77777777" w:rsidR="00405820" w:rsidRDefault="00405820">
      <w:pPr>
        <w:spacing w:after="0" w:line="240" w:lineRule="auto"/>
        <w:jc w:val="both"/>
        <w:rPr>
          <w:rFonts w:ascii="Times New Roman" w:eastAsia="Times New Roman" w:hAnsi="Times New Roman" w:cs="Times New Roman"/>
          <w:sz w:val="20"/>
          <w:szCs w:val="20"/>
        </w:rPr>
      </w:pPr>
    </w:p>
    <w:p w14:paraId="52EA1F45" w14:textId="362A9254"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el año 2024 el M</w:t>
      </w:r>
      <w:r w:rsidR="00BF17B9">
        <w:rPr>
          <w:rFonts w:ascii="Times New Roman" w:hAnsi="Times New Roman" w:cs="Times New Roman"/>
          <w:sz w:val="20"/>
          <w:szCs w:val="20"/>
        </w:rPr>
        <w:t>PPE</w:t>
      </w:r>
      <w:r>
        <w:rPr>
          <w:rFonts w:ascii="Times New Roman" w:hAnsi="Times New Roman" w:cs="Times New Roman"/>
          <w:sz w:val="20"/>
          <w:szCs w:val="20"/>
        </w:rPr>
        <w:t xml:space="preserve"> a pesar de la imposición de las medidas coercitivas y unilaterales realizó la entrega de </w:t>
      </w:r>
      <w:r>
        <w:rPr>
          <w:rFonts w:ascii="Times New Roman" w:hAnsi="Times New Roman" w:cs="Times New Roman"/>
          <w:sz w:val="20"/>
          <w:szCs w:val="20"/>
          <w:lang w:val="es-ES"/>
        </w:rPr>
        <w:t>1.298.450 Tabletas y 5.274.613 Laptop, total de equipos entregados 6.573.192</w:t>
      </w:r>
    </w:p>
    <w:p w14:paraId="7ABE73AD" w14:textId="77777777" w:rsidR="00405820" w:rsidRDefault="00405820">
      <w:pPr>
        <w:spacing w:after="0" w:line="240" w:lineRule="auto"/>
        <w:jc w:val="both"/>
        <w:rPr>
          <w:rFonts w:ascii="Times New Roman" w:eastAsia="Times New Roman" w:hAnsi="Times New Roman" w:cs="Times New Roman"/>
          <w:sz w:val="20"/>
          <w:szCs w:val="20"/>
        </w:rPr>
      </w:pPr>
    </w:p>
    <w:p w14:paraId="7768BD57"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cuanto a los hogares en los cuales al menos un niño en edad escolar (7 a 12 años) no asiste a la escuela podemos mencionar que entre 998 y 2019 este indicador disminuyó </w:t>
      </w:r>
      <w:r>
        <w:rPr>
          <w:rFonts w:ascii="Times New Roman" w:hAnsi="Times New Roman" w:cs="Times New Roman"/>
          <w:i/>
          <w:iCs/>
          <w:sz w:val="20"/>
          <w:szCs w:val="20"/>
        </w:rPr>
        <w:t xml:space="preserve">1,27 </w:t>
      </w:r>
      <w:r>
        <w:rPr>
          <w:rFonts w:ascii="Times New Roman" w:hAnsi="Times New Roman" w:cs="Times New Roman"/>
          <w:sz w:val="20"/>
          <w:szCs w:val="20"/>
        </w:rPr>
        <w:t xml:space="preserve">puntos porcentuales, y en 2012 estaba en 0,74 llegando en 2019 a 0,55. </w:t>
      </w:r>
    </w:p>
    <w:p w14:paraId="08349870" w14:textId="77777777" w:rsidR="00405820" w:rsidRDefault="00405820">
      <w:pPr>
        <w:pStyle w:val="ListParagraph"/>
        <w:rPr>
          <w:rFonts w:cs="Times New Roman"/>
          <w:sz w:val="20"/>
          <w:szCs w:val="20"/>
        </w:rPr>
      </w:pPr>
    </w:p>
    <w:p w14:paraId="16CFC104" w14:textId="24BC70D1" w:rsidR="00405820" w:rsidRDefault="002F4028" w:rsidP="00563C42">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cuanto a la Recomendación </w:t>
      </w:r>
      <w:proofErr w:type="spellStart"/>
      <w:r>
        <w:rPr>
          <w:rFonts w:ascii="Times New Roman" w:hAnsi="Times New Roman" w:cs="Times New Roman"/>
          <w:sz w:val="20"/>
          <w:szCs w:val="20"/>
        </w:rPr>
        <w:t>N°</w:t>
      </w:r>
      <w:proofErr w:type="spellEnd"/>
      <w:r>
        <w:rPr>
          <w:rFonts w:ascii="Times New Roman" w:hAnsi="Times New Roman" w:cs="Times New Roman"/>
          <w:sz w:val="20"/>
          <w:szCs w:val="20"/>
        </w:rPr>
        <w:t xml:space="preserve"> 40 del Comité aunado a la reformulación de las estrategias educativas en el marco de la pandemia causada por la Covid-19, el MPPRE fortaleció la formación tecnológica de las maestras y maestros del subsistema de educación básica, a través de distintos espacios formativos.  Para la atención integral de los estudiantes con necesidades especiales se realizan a través de los planteles educativos y servicios de apoyo. En las instituciones educativas se dan 2 variantes para la atención de la población fija que, por sus características individuales, posibilidades, condición y potencialidades asisten a estos planteles: Institutos de Educación Especial y Unidades Educativas de Educación Especial.</w:t>
      </w:r>
    </w:p>
    <w:p w14:paraId="6C40C3C9" w14:textId="77777777" w:rsidR="00563C42" w:rsidRPr="00563C42" w:rsidRDefault="00563C42" w:rsidP="00563C42">
      <w:pPr>
        <w:spacing w:after="0" w:line="240" w:lineRule="auto"/>
        <w:jc w:val="both"/>
        <w:rPr>
          <w:rFonts w:ascii="Times New Roman" w:eastAsia="Times New Roman" w:hAnsi="Times New Roman" w:cs="Times New Roman"/>
          <w:sz w:val="20"/>
          <w:szCs w:val="20"/>
        </w:rPr>
      </w:pPr>
    </w:p>
    <w:p w14:paraId="3B2C71F2" w14:textId="4891A3BC"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lang w:val="es-ES"/>
        </w:rPr>
        <w:t xml:space="preserve">Los CLAP, el PAE, las Casa de Alimentación son respuestas para la protección social del Pueblo. Más de 7 millones de hogares mensuales reciben el complemento del CLAP, a lo que se suman 4,5 millones de niños y niñas en las escuelas, así como el impacto de más de 3 mil casas de alimentación. </w:t>
      </w:r>
    </w:p>
    <w:p w14:paraId="08DCC2F3" w14:textId="77777777" w:rsidR="00405820" w:rsidRDefault="00405820">
      <w:pPr>
        <w:spacing w:after="0" w:line="240" w:lineRule="auto"/>
        <w:jc w:val="both"/>
        <w:rPr>
          <w:rFonts w:ascii="Times New Roman" w:eastAsia="Times New Roman" w:hAnsi="Times New Roman" w:cs="Times New Roman"/>
          <w:sz w:val="20"/>
          <w:szCs w:val="20"/>
        </w:rPr>
      </w:pPr>
    </w:p>
    <w:p w14:paraId="182F907D" w14:textId="77777777" w:rsidR="00405820" w:rsidRDefault="002F4028">
      <w:pPr>
        <w:numPr>
          <w:ilvl w:val="0"/>
          <w:numId w:val="1"/>
        </w:numPr>
        <w:spacing w:after="0" w:line="240" w:lineRule="auto"/>
        <w:ind w:left="0" w:firstLine="0"/>
        <w:jc w:val="both"/>
      </w:pPr>
      <w:r>
        <w:rPr>
          <w:rFonts w:ascii="Times New Roman" w:eastAsia="Times New Roman" w:hAnsi="Times New Roman" w:cs="Times New Roman"/>
          <w:sz w:val="20"/>
          <w:szCs w:val="20"/>
        </w:rPr>
        <w:t xml:space="preserve">Para el año 2023 la distribución del Programa de Alimentación Escolar </w:t>
      </w:r>
      <w:r>
        <w:rPr>
          <w:rFonts w:ascii="Times New Roman" w:eastAsia="Times New Roman" w:hAnsi="Times New Roman" w:cs="Times New Roman"/>
          <w:sz w:val="20"/>
          <w:szCs w:val="20"/>
          <w:lang w:val="es-ES"/>
        </w:rPr>
        <w:t xml:space="preserve">muestran crecimientos importantes de cobertura, </w:t>
      </w:r>
      <w:r>
        <w:rPr>
          <w:rFonts w:ascii="Times New Roman" w:eastAsia="Times New Roman" w:hAnsi="Times New Roman" w:cs="Times New Roman"/>
          <w:sz w:val="20"/>
          <w:szCs w:val="20"/>
        </w:rPr>
        <w:t xml:space="preserve">alcanzó a </w:t>
      </w:r>
      <w:r>
        <w:rPr>
          <w:rFonts w:ascii="Times New Roman" w:hAnsi="Times New Roman" w:cs="Times New Roman"/>
          <w:sz w:val="20"/>
          <w:szCs w:val="20"/>
          <w:lang w:val="es-ES"/>
        </w:rPr>
        <w:t>4.556.155 estudiantes de 20.341 planteles educativos.</w:t>
      </w:r>
    </w:p>
    <w:p w14:paraId="73C6C554" w14:textId="77777777" w:rsidR="00405820" w:rsidRDefault="00405820">
      <w:pPr>
        <w:spacing w:after="0" w:line="240" w:lineRule="auto"/>
        <w:jc w:val="both"/>
        <w:rPr>
          <w:rFonts w:ascii="Times New Roman" w:eastAsia="Times New Roman" w:hAnsi="Times New Roman" w:cs="Times New Roman"/>
          <w:sz w:val="20"/>
          <w:szCs w:val="20"/>
        </w:rPr>
      </w:pPr>
    </w:p>
    <w:p w14:paraId="2B8D1104" w14:textId="77777777" w:rsidR="00405820" w:rsidRDefault="002F4028">
      <w:pPr>
        <w:tabs>
          <w:tab w:val="left" w:pos="1220"/>
        </w:tabs>
        <w:spacing w:after="0" w:line="240" w:lineRule="auto"/>
        <w:jc w:val="center"/>
      </w:pPr>
      <w:r>
        <w:rPr>
          <w:rFonts w:ascii="Times New Roman" w:hAnsi="Times New Roman" w:cs="Times New Roman"/>
          <w:b/>
          <w:bCs/>
          <w:sz w:val="20"/>
          <w:szCs w:val="20"/>
          <w:lang w:val="es-ES"/>
        </w:rPr>
        <w:t>Tabla IX</w:t>
      </w:r>
    </w:p>
    <w:p w14:paraId="5DD296B3" w14:textId="77777777" w:rsidR="00405820" w:rsidRDefault="002F4028">
      <w:pPr>
        <w:tabs>
          <w:tab w:val="left" w:pos="1220"/>
        </w:tabs>
        <w:spacing w:after="0" w:line="240" w:lineRule="auto"/>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Distribución del PAE en planteles y cobertura de matrícula</w:t>
      </w:r>
    </w:p>
    <w:p w14:paraId="72EC3F78" w14:textId="77777777" w:rsidR="00405820" w:rsidRDefault="002F4028">
      <w:pPr>
        <w:tabs>
          <w:tab w:val="left" w:pos="1220"/>
        </w:tabs>
        <w:spacing w:after="0" w:line="240" w:lineRule="auto"/>
        <w:jc w:val="center"/>
      </w:pPr>
      <w:r>
        <w:rPr>
          <w:rFonts w:ascii="Times New Roman" w:hAnsi="Times New Roman" w:cs="Times New Roman"/>
          <w:b/>
          <w:bCs/>
          <w:sz w:val="20"/>
          <w:szCs w:val="20"/>
          <w:lang w:val="es-ES"/>
        </w:rPr>
        <w:t xml:space="preserve"> año 2023 </w:t>
      </w:r>
      <w:r>
        <w:rPr>
          <w:rStyle w:val="Ancladenotaalpie"/>
          <w:rFonts w:ascii="Times New Roman" w:hAnsi="Times New Roman" w:cs="Times New Roman"/>
          <w:b/>
          <w:bCs/>
          <w:sz w:val="20"/>
          <w:szCs w:val="20"/>
          <w:lang w:val="es-ES"/>
        </w:rPr>
        <w:footnoteReference w:id="69"/>
      </w:r>
    </w:p>
    <w:p w14:paraId="6C4BD4C1" w14:textId="77777777" w:rsidR="00405820" w:rsidRDefault="00405820">
      <w:pPr>
        <w:tabs>
          <w:tab w:val="left" w:pos="1220"/>
        </w:tabs>
        <w:spacing w:after="0" w:line="240" w:lineRule="auto"/>
        <w:jc w:val="center"/>
        <w:rPr>
          <w:rFonts w:ascii="Times New Roman" w:hAnsi="Times New Roman" w:cs="Times New Roman"/>
          <w:b/>
          <w:bCs/>
          <w:sz w:val="20"/>
          <w:szCs w:val="20"/>
          <w:lang w:val="es-ES"/>
        </w:rPr>
      </w:pPr>
    </w:p>
    <w:tbl>
      <w:tblPr>
        <w:tblStyle w:val="TableGrid"/>
        <w:tblW w:w="5670" w:type="dxa"/>
        <w:jc w:val="center"/>
        <w:tblCellMar>
          <w:left w:w="0" w:type="dxa"/>
          <w:right w:w="0" w:type="dxa"/>
        </w:tblCellMar>
        <w:tblLook w:val="04A0" w:firstRow="1" w:lastRow="0" w:firstColumn="1" w:lastColumn="0" w:noHBand="0" w:noVBand="1"/>
      </w:tblPr>
      <w:tblGrid>
        <w:gridCol w:w="2268"/>
        <w:gridCol w:w="1489"/>
        <w:gridCol w:w="1913"/>
      </w:tblGrid>
      <w:tr w:rsidR="00405820" w14:paraId="69CB45E4" w14:textId="77777777">
        <w:trPr>
          <w:trHeight w:val="240"/>
          <w:tblHeader/>
          <w:jc w:val="center"/>
        </w:trPr>
        <w:tc>
          <w:tcPr>
            <w:tcW w:w="2268" w:type="dxa"/>
            <w:tcBorders>
              <w:left w:val="nil"/>
              <w:bottom w:val="single" w:sz="12" w:space="0" w:color="000000"/>
              <w:right w:val="nil"/>
            </w:tcBorders>
            <w:vAlign w:val="bottom"/>
          </w:tcPr>
          <w:p w14:paraId="342DDB30" w14:textId="77777777" w:rsidR="00405820" w:rsidRDefault="002F4028">
            <w:pPr>
              <w:spacing w:before="80" w:after="80" w:line="200" w:lineRule="exact"/>
              <w:rPr>
                <w:b/>
                <w:bCs/>
                <w:sz w:val="20"/>
              </w:rPr>
            </w:pPr>
            <w:r>
              <w:rPr>
                <w:b/>
                <w:bCs/>
                <w:i/>
                <w:sz w:val="20"/>
                <w:lang w:val="es-ES_tradnl"/>
              </w:rPr>
              <w:t>Entidad</w:t>
            </w:r>
          </w:p>
        </w:tc>
        <w:tc>
          <w:tcPr>
            <w:tcW w:w="1489" w:type="dxa"/>
            <w:tcBorders>
              <w:left w:val="nil"/>
              <w:bottom w:val="single" w:sz="12" w:space="0" w:color="000000"/>
              <w:right w:val="nil"/>
            </w:tcBorders>
            <w:vAlign w:val="bottom"/>
          </w:tcPr>
          <w:p w14:paraId="5E3E89A4" w14:textId="77777777" w:rsidR="00405820" w:rsidRDefault="002F4028">
            <w:pPr>
              <w:spacing w:before="80" w:after="80" w:line="200" w:lineRule="exact"/>
              <w:rPr>
                <w:b/>
                <w:bCs/>
                <w:sz w:val="20"/>
              </w:rPr>
            </w:pPr>
            <w:r>
              <w:rPr>
                <w:b/>
                <w:bCs/>
                <w:i/>
                <w:sz w:val="20"/>
                <w:lang w:val="es-ES_tradnl"/>
              </w:rPr>
              <w:t xml:space="preserve">Nro. de planteles  </w:t>
            </w:r>
          </w:p>
        </w:tc>
        <w:tc>
          <w:tcPr>
            <w:tcW w:w="1913" w:type="dxa"/>
            <w:tcBorders>
              <w:left w:val="nil"/>
              <w:bottom w:val="single" w:sz="12" w:space="0" w:color="000000"/>
              <w:right w:val="nil"/>
            </w:tcBorders>
          </w:tcPr>
          <w:p w14:paraId="2033442D" w14:textId="77777777" w:rsidR="00405820" w:rsidRDefault="002F4028">
            <w:pPr>
              <w:spacing w:before="80" w:after="80" w:line="200" w:lineRule="exact"/>
              <w:jc w:val="right"/>
              <w:rPr>
                <w:b/>
                <w:bCs/>
                <w:sz w:val="20"/>
              </w:rPr>
            </w:pPr>
            <w:r>
              <w:rPr>
                <w:b/>
                <w:bCs/>
                <w:i/>
                <w:sz w:val="20"/>
                <w:lang w:val="es-ES_tradnl"/>
              </w:rPr>
              <w:t xml:space="preserve"> % matricula atendida              </w:t>
            </w:r>
          </w:p>
        </w:tc>
      </w:tr>
      <w:tr w:rsidR="00405820" w14:paraId="3C2E26E4" w14:textId="77777777">
        <w:trPr>
          <w:trHeight w:val="240"/>
          <w:jc w:val="center"/>
        </w:trPr>
        <w:tc>
          <w:tcPr>
            <w:tcW w:w="2268" w:type="dxa"/>
            <w:tcBorders>
              <w:top w:val="single" w:sz="12" w:space="0" w:color="000000"/>
              <w:left w:val="nil"/>
              <w:bottom w:val="nil"/>
              <w:right w:val="nil"/>
            </w:tcBorders>
          </w:tcPr>
          <w:p w14:paraId="364529F9" w14:textId="77777777" w:rsidR="00405820" w:rsidRDefault="002F4028">
            <w:pPr>
              <w:spacing w:line="360" w:lineRule="auto"/>
              <w:rPr>
                <w:rFonts w:ascii="Times New Roman" w:hAnsi="Times New Roman"/>
                <w:sz w:val="16"/>
                <w:szCs w:val="16"/>
              </w:rPr>
            </w:pPr>
            <w:r>
              <w:rPr>
                <w:rFonts w:ascii="Times New Roman" w:hAnsi="Times New Roman" w:cs="Times New Roman"/>
                <w:sz w:val="16"/>
                <w:szCs w:val="16"/>
              </w:rPr>
              <w:t>Amazonas</w:t>
            </w:r>
          </w:p>
        </w:tc>
        <w:tc>
          <w:tcPr>
            <w:tcW w:w="1489" w:type="dxa"/>
            <w:tcBorders>
              <w:top w:val="single" w:sz="12" w:space="0" w:color="000000"/>
              <w:left w:val="nil"/>
              <w:bottom w:val="nil"/>
              <w:right w:val="nil"/>
            </w:tcBorders>
            <w:vAlign w:val="bottom"/>
          </w:tcPr>
          <w:p w14:paraId="16680FC0"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295</w:t>
            </w:r>
          </w:p>
        </w:tc>
        <w:tc>
          <w:tcPr>
            <w:tcW w:w="1913" w:type="dxa"/>
            <w:tcBorders>
              <w:top w:val="single" w:sz="12" w:space="0" w:color="000000"/>
              <w:left w:val="nil"/>
              <w:bottom w:val="nil"/>
              <w:right w:val="nil"/>
            </w:tcBorders>
          </w:tcPr>
          <w:p w14:paraId="3130E782"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1,03%</w:t>
            </w:r>
          </w:p>
        </w:tc>
      </w:tr>
      <w:tr w:rsidR="00405820" w14:paraId="4D62C798" w14:textId="77777777">
        <w:trPr>
          <w:trHeight w:val="240"/>
          <w:jc w:val="center"/>
        </w:trPr>
        <w:tc>
          <w:tcPr>
            <w:tcW w:w="2268" w:type="dxa"/>
            <w:tcBorders>
              <w:top w:val="nil"/>
              <w:left w:val="nil"/>
              <w:bottom w:val="nil"/>
              <w:right w:val="nil"/>
            </w:tcBorders>
          </w:tcPr>
          <w:p w14:paraId="5196C94D" w14:textId="77777777" w:rsidR="00405820" w:rsidRDefault="002F4028">
            <w:pPr>
              <w:spacing w:line="360" w:lineRule="auto"/>
              <w:rPr>
                <w:rFonts w:ascii="Times New Roman" w:hAnsi="Times New Roman"/>
                <w:sz w:val="16"/>
                <w:szCs w:val="16"/>
              </w:rPr>
            </w:pPr>
            <w:r>
              <w:rPr>
                <w:rFonts w:ascii="Times New Roman" w:hAnsi="Times New Roman" w:cs="Times New Roman"/>
                <w:sz w:val="16"/>
                <w:szCs w:val="16"/>
                <w:lang w:val="es-ES"/>
              </w:rPr>
              <w:t>Anzoátegui</w:t>
            </w:r>
          </w:p>
        </w:tc>
        <w:tc>
          <w:tcPr>
            <w:tcW w:w="1489" w:type="dxa"/>
            <w:tcBorders>
              <w:top w:val="nil"/>
              <w:left w:val="nil"/>
              <w:bottom w:val="nil"/>
              <w:right w:val="nil"/>
            </w:tcBorders>
            <w:vAlign w:val="bottom"/>
          </w:tcPr>
          <w:p w14:paraId="20B56BF6"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939</w:t>
            </w:r>
          </w:p>
        </w:tc>
        <w:tc>
          <w:tcPr>
            <w:tcW w:w="1913" w:type="dxa"/>
            <w:tcBorders>
              <w:top w:val="nil"/>
              <w:left w:val="nil"/>
              <w:bottom w:val="nil"/>
              <w:right w:val="nil"/>
            </w:tcBorders>
          </w:tcPr>
          <w:p w14:paraId="6AFB7FCD"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6,60%</w:t>
            </w:r>
          </w:p>
        </w:tc>
      </w:tr>
      <w:tr w:rsidR="00405820" w14:paraId="2B771B40" w14:textId="77777777">
        <w:trPr>
          <w:trHeight w:val="240"/>
          <w:jc w:val="center"/>
        </w:trPr>
        <w:tc>
          <w:tcPr>
            <w:tcW w:w="2268" w:type="dxa"/>
            <w:tcBorders>
              <w:top w:val="nil"/>
              <w:left w:val="nil"/>
              <w:bottom w:val="nil"/>
              <w:right w:val="nil"/>
            </w:tcBorders>
          </w:tcPr>
          <w:p w14:paraId="618FF041"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Apure</w:t>
            </w:r>
          </w:p>
        </w:tc>
        <w:tc>
          <w:tcPr>
            <w:tcW w:w="1489" w:type="dxa"/>
            <w:tcBorders>
              <w:top w:val="nil"/>
              <w:left w:val="nil"/>
              <w:bottom w:val="nil"/>
              <w:right w:val="nil"/>
            </w:tcBorders>
            <w:vAlign w:val="bottom"/>
          </w:tcPr>
          <w:p w14:paraId="6A00C5E0"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985</w:t>
            </w:r>
          </w:p>
        </w:tc>
        <w:tc>
          <w:tcPr>
            <w:tcW w:w="1913" w:type="dxa"/>
            <w:tcBorders>
              <w:top w:val="nil"/>
              <w:left w:val="nil"/>
              <w:bottom w:val="nil"/>
              <w:right w:val="nil"/>
            </w:tcBorders>
          </w:tcPr>
          <w:p w14:paraId="3AB42187"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2,84%</w:t>
            </w:r>
          </w:p>
        </w:tc>
      </w:tr>
      <w:tr w:rsidR="00405820" w14:paraId="1E84FF68" w14:textId="77777777">
        <w:trPr>
          <w:trHeight w:val="240"/>
          <w:jc w:val="center"/>
        </w:trPr>
        <w:tc>
          <w:tcPr>
            <w:tcW w:w="2268" w:type="dxa"/>
            <w:tcBorders>
              <w:top w:val="nil"/>
              <w:left w:val="nil"/>
              <w:bottom w:val="nil"/>
              <w:right w:val="nil"/>
            </w:tcBorders>
          </w:tcPr>
          <w:p w14:paraId="135D2C9C"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Aragua</w:t>
            </w:r>
          </w:p>
        </w:tc>
        <w:tc>
          <w:tcPr>
            <w:tcW w:w="1489" w:type="dxa"/>
            <w:tcBorders>
              <w:top w:val="nil"/>
              <w:left w:val="nil"/>
              <w:bottom w:val="nil"/>
              <w:right w:val="nil"/>
            </w:tcBorders>
            <w:vAlign w:val="bottom"/>
          </w:tcPr>
          <w:p w14:paraId="788525A6"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858</w:t>
            </w:r>
          </w:p>
        </w:tc>
        <w:tc>
          <w:tcPr>
            <w:tcW w:w="1913" w:type="dxa"/>
            <w:tcBorders>
              <w:top w:val="nil"/>
              <w:left w:val="nil"/>
              <w:bottom w:val="nil"/>
              <w:right w:val="nil"/>
            </w:tcBorders>
          </w:tcPr>
          <w:p w14:paraId="27024E5D"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5,91%</w:t>
            </w:r>
          </w:p>
        </w:tc>
      </w:tr>
      <w:tr w:rsidR="00405820" w14:paraId="3C959F87" w14:textId="77777777">
        <w:trPr>
          <w:trHeight w:val="240"/>
          <w:jc w:val="center"/>
        </w:trPr>
        <w:tc>
          <w:tcPr>
            <w:tcW w:w="2268" w:type="dxa"/>
            <w:tcBorders>
              <w:top w:val="nil"/>
              <w:left w:val="nil"/>
              <w:bottom w:val="nil"/>
              <w:right w:val="nil"/>
            </w:tcBorders>
          </w:tcPr>
          <w:p w14:paraId="6F470668"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Barinas</w:t>
            </w:r>
          </w:p>
        </w:tc>
        <w:tc>
          <w:tcPr>
            <w:tcW w:w="1489" w:type="dxa"/>
            <w:tcBorders>
              <w:top w:val="nil"/>
              <w:left w:val="nil"/>
              <w:bottom w:val="nil"/>
              <w:right w:val="nil"/>
            </w:tcBorders>
            <w:vAlign w:val="bottom"/>
          </w:tcPr>
          <w:p w14:paraId="12CDA484"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915</w:t>
            </w:r>
          </w:p>
        </w:tc>
        <w:tc>
          <w:tcPr>
            <w:tcW w:w="1913" w:type="dxa"/>
            <w:tcBorders>
              <w:top w:val="nil"/>
              <w:left w:val="nil"/>
              <w:bottom w:val="nil"/>
              <w:right w:val="nil"/>
            </w:tcBorders>
          </w:tcPr>
          <w:p w14:paraId="762D229C"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3,77%</w:t>
            </w:r>
          </w:p>
        </w:tc>
      </w:tr>
      <w:tr w:rsidR="00405820" w14:paraId="34078E4C" w14:textId="77777777">
        <w:trPr>
          <w:trHeight w:val="240"/>
          <w:jc w:val="center"/>
        </w:trPr>
        <w:tc>
          <w:tcPr>
            <w:tcW w:w="2268" w:type="dxa"/>
            <w:tcBorders>
              <w:top w:val="nil"/>
              <w:left w:val="nil"/>
              <w:bottom w:val="nil"/>
              <w:right w:val="nil"/>
            </w:tcBorders>
          </w:tcPr>
          <w:p w14:paraId="5315C466"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Bolívar</w:t>
            </w:r>
          </w:p>
        </w:tc>
        <w:tc>
          <w:tcPr>
            <w:tcW w:w="1489" w:type="dxa"/>
            <w:tcBorders>
              <w:top w:val="nil"/>
              <w:left w:val="nil"/>
              <w:bottom w:val="nil"/>
              <w:right w:val="nil"/>
            </w:tcBorders>
            <w:vAlign w:val="bottom"/>
          </w:tcPr>
          <w:p w14:paraId="051C6C67"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984</w:t>
            </w:r>
          </w:p>
        </w:tc>
        <w:tc>
          <w:tcPr>
            <w:tcW w:w="1913" w:type="dxa"/>
            <w:tcBorders>
              <w:top w:val="nil"/>
              <w:left w:val="nil"/>
              <w:bottom w:val="nil"/>
              <w:right w:val="nil"/>
            </w:tcBorders>
          </w:tcPr>
          <w:p w14:paraId="2E775BC0"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6,55%</w:t>
            </w:r>
          </w:p>
        </w:tc>
      </w:tr>
      <w:tr w:rsidR="00405820" w14:paraId="4F6E00F0" w14:textId="77777777">
        <w:trPr>
          <w:trHeight w:val="240"/>
          <w:jc w:val="center"/>
        </w:trPr>
        <w:tc>
          <w:tcPr>
            <w:tcW w:w="2268" w:type="dxa"/>
            <w:tcBorders>
              <w:top w:val="nil"/>
              <w:left w:val="nil"/>
              <w:bottom w:val="nil"/>
              <w:right w:val="nil"/>
            </w:tcBorders>
          </w:tcPr>
          <w:p w14:paraId="20EAC045"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Carabobo</w:t>
            </w:r>
          </w:p>
        </w:tc>
        <w:tc>
          <w:tcPr>
            <w:tcW w:w="1489" w:type="dxa"/>
            <w:tcBorders>
              <w:top w:val="nil"/>
              <w:left w:val="nil"/>
              <w:bottom w:val="nil"/>
              <w:right w:val="nil"/>
            </w:tcBorders>
            <w:vAlign w:val="bottom"/>
          </w:tcPr>
          <w:p w14:paraId="68DED58E"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981</w:t>
            </w:r>
          </w:p>
        </w:tc>
        <w:tc>
          <w:tcPr>
            <w:tcW w:w="1913" w:type="dxa"/>
            <w:tcBorders>
              <w:top w:val="nil"/>
              <w:left w:val="nil"/>
              <w:bottom w:val="nil"/>
              <w:right w:val="nil"/>
            </w:tcBorders>
          </w:tcPr>
          <w:p w14:paraId="47B39528"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7,06%</w:t>
            </w:r>
          </w:p>
        </w:tc>
      </w:tr>
      <w:tr w:rsidR="00405820" w14:paraId="19471687" w14:textId="77777777">
        <w:trPr>
          <w:trHeight w:val="240"/>
          <w:jc w:val="center"/>
        </w:trPr>
        <w:tc>
          <w:tcPr>
            <w:tcW w:w="2268" w:type="dxa"/>
            <w:tcBorders>
              <w:top w:val="nil"/>
              <w:left w:val="nil"/>
              <w:bottom w:val="nil"/>
              <w:right w:val="nil"/>
            </w:tcBorders>
          </w:tcPr>
          <w:p w14:paraId="4A26D61F"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Cojedes</w:t>
            </w:r>
          </w:p>
        </w:tc>
        <w:tc>
          <w:tcPr>
            <w:tcW w:w="1489" w:type="dxa"/>
            <w:tcBorders>
              <w:top w:val="nil"/>
              <w:left w:val="nil"/>
              <w:bottom w:val="nil"/>
              <w:right w:val="nil"/>
            </w:tcBorders>
            <w:vAlign w:val="bottom"/>
          </w:tcPr>
          <w:p w14:paraId="4EF1426C"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581</w:t>
            </w:r>
          </w:p>
        </w:tc>
        <w:tc>
          <w:tcPr>
            <w:tcW w:w="1913" w:type="dxa"/>
            <w:tcBorders>
              <w:top w:val="nil"/>
              <w:left w:val="nil"/>
              <w:bottom w:val="nil"/>
              <w:right w:val="nil"/>
            </w:tcBorders>
          </w:tcPr>
          <w:p w14:paraId="188DF6F0"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1,76%</w:t>
            </w:r>
          </w:p>
        </w:tc>
      </w:tr>
      <w:tr w:rsidR="00405820" w14:paraId="7C4A6ABF" w14:textId="77777777">
        <w:trPr>
          <w:trHeight w:val="240"/>
          <w:jc w:val="center"/>
        </w:trPr>
        <w:tc>
          <w:tcPr>
            <w:tcW w:w="2268" w:type="dxa"/>
            <w:tcBorders>
              <w:top w:val="nil"/>
              <w:left w:val="nil"/>
              <w:bottom w:val="nil"/>
              <w:right w:val="nil"/>
            </w:tcBorders>
          </w:tcPr>
          <w:p w14:paraId="5737FB81"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Delta Amacuro</w:t>
            </w:r>
          </w:p>
        </w:tc>
        <w:tc>
          <w:tcPr>
            <w:tcW w:w="1489" w:type="dxa"/>
            <w:tcBorders>
              <w:top w:val="nil"/>
              <w:left w:val="nil"/>
              <w:bottom w:val="nil"/>
              <w:right w:val="nil"/>
            </w:tcBorders>
            <w:vAlign w:val="bottom"/>
          </w:tcPr>
          <w:p w14:paraId="19B86220"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256</w:t>
            </w:r>
          </w:p>
        </w:tc>
        <w:tc>
          <w:tcPr>
            <w:tcW w:w="1913" w:type="dxa"/>
            <w:tcBorders>
              <w:top w:val="nil"/>
              <w:left w:val="nil"/>
              <w:bottom w:val="nil"/>
              <w:right w:val="nil"/>
            </w:tcBorders>
          </w:tcPr>
          <w:p w14:paraId="51992C6E"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1,24%</w:t>
            </w:r>
          </w:p>
        </w:tc>
      </w:tr>
      <w:tr w:rsidR="00405820" w14:paraId="658921D3" w14:textId="77777777">
        <w:trPr>
          <w:trHeight w:val="240"/>
          <w:jc w:val="center"/>
        </w:trPr>
        <w:tc>
          <w:tcPr>
            <w:tcW w:w="2268" w:type="dxa"/>
            <w:tcBorders>
              <w:top w:val="nil"/>
              <w:left w:val="nil"/>
              <w:bottom w:val="nil"/>
              <w:right w:val="nil"/>
            </w:tcBorders>
          </w:tcPr>
          <w:p w14:paraId="4DEE2C14"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Distrito Capital</w:t>
            </w:r>
          </w:p>
        </w:tc>
        <w:tc>
          <w:tcPr>
            <w:tcW w:w="1489" w:type="dxa"/>
            <w:tcBorders>
              <w:top w:val="nil"/>
              <w:left w:val="nil"/>
              <w:bottom w:val="nil"/>
              <w:right w:val="nil"/>
            </w:tcBorders>
            <w:vAlign w:val="bottom"/>
          </w:tcPr>
          <w:p w14:paraId="451DDD7F"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548</w:t>
            </w:r>
          </w:p>
        </w:tc>
        <w:tc>
          <w:tcPr>
            <w:tcW w:w="1913" w:type="dxa"/>
            <w:tcBorders>
              <w:top w:val="nil"/>
              <w:left w:val="nil"/>
              <w:bottom w:val="nil"/>
              <w:right w:val="nil"/>
            </w:tcBorders>
          </w:tcPr>
          <w:p w14:paraId="25C72FFF"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4,58%</w:t>
            </w:r>
          </w:p>
        </w:tc>
      </w:tr>
      <w:tr w:rsidR="00405820" w14:paraId="3CFDD92F" w14:textId="77777777">
        <w:trPr>
          <w:trHeight w:val="240"/>
          <w:jc w:val="center"/>
        </w:trPr>
        <w:tc>
          <w:tcPr>
            <w:tcW w:w="2268" w:type="dxa"/>
            <w:tcBorders>
              <w:top w:val="nil"/>
              <w:left w:val="nil"/>
              <w:bottom w:val="nil"/>
              <w:right w:val="nil"/>
            </w:tcBorders>
          </w:tcPr>
          <w:p w14:paraId="58E393D6"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Falcón</w:t>
            </w:r>
          </w:p>
        </w:tc>
        <w:tc>
          <w:tcPr>
            <w:tcW w:w="1489" w:type="dxa"/>
            <w:tcBorders>
              <w:top w:val="nil"/>
              <w:left w:val="nil"/>
              <w:bottom w:val="nil"/>
              <w:right w:val="nil"/>
            </w:tcBorders>
            <w:vAlign w:val="bottom"/>
          </w:tcPr>
          <w:p w14:paraId="2DAB6012"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1.161</w:t>
            </w:r>
          </w:p>
        </w:tc>
        <w:tc>
          <w:tcPr>
            <w:tcW w:w="1913" w:type="dxa"/>
            <w:tcBorders>
              <w:top w:val="nil"/>
              <w:left w:val="nil"/>
              <w:bottom w:val="nil"/>
              <w:right w:val="nil"/>
            </w:tcBorders>
          </w:tcPr>
          <w:p w14:paraId="22915886"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4,39%</w:t>
            </w:r>
          </w:p>
        </w:tc>
      </w:tr>
      <w:tr w:rsidR="00405820" w14:paraId="02AA2479" w14:textId="77777777">
        <w:trPr>
          <w:trHeight w:val="240"/>
          <w:jc w:val="center"/>
        </w:trPr>
        <w:tc>
          <w:tcPr>
            <w:tcW w:w="2268" w:type="dxa"/>
            <w:tcBorders>
              <w:top w:val="nil"/>
              <w:left w:val="nil"/>
              <w:bottom w:val="nil"/>
              <w:right w:val="nil"/>
            </w:tcBorders>
          </w:tcPr>
          <w:p w14:paraId="7181A501"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Guárico</w:t>
            </w:r>
          </w:p>
        </w:tc>
        <w:tc>
          <w:tcPr>
            <w:tcW w:w="1489" w:type="dxa"/>
            <w:tcBorders>
              <w:top w:val="nil"/>
              <w:left w:val="nil"/>
              <w:bottom w:val="nil"/>
              <w:right w:val="nil"/>
            </w:tcBorders>
            <w:vAlign w:val="bottom"/>
          </w:tcPr>
          <w:p w14:paraId="15A41BC4"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955</w:t>
            </w:r>
          </w:p>
        </w:tc>
        <w:tc>
          <w:tcPr>
            <w:tcW w:w="1913" w:type="dxa"/>
            <w:tcBorders>
              <w:top w:val="nil"/>
              <w:left w:val="nil"/>
              <w:bottom w:val="nil"/>
              <w:right w:val="nil"/>
            </w:tcBorders>
          </w:tcPr>
          <w:p w14:paraId="53C9E02E"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3,78%</w:t>
            </w:r>
          </w:p>
        </w:tc>
      </w:tr>
      <w:tr w:rsidR="00405820" w14:paraId="1EB6E943" w14:textId="77777777">
        <w:trPr>
          <w:trHeight w:val="240"/>
          <w:jc w:val="center"/>
        </w:trPr>
        <w:tc>
          <w:tcPr>
            <w:tcW w:w="2268" w:type="dxa"/>
            <w:tcBorders>
              <w:top w:val="nil"/>
              <w:left w:val="nil"/>
              <w:bottom w:val="nil"/>
              <w:right w:val="nil"/>
            </w:tcBorders>
          </w:tcPr>
          <w:p w14:paraId="5445EEAD"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La Guaira</w:t>
            </w:r>
          </w:p>
        </w:tc>
        <w:tc>
          <w:tcPr>
            <w:tcW w:w="1489" w:type="dxa"/>
            <w:tcBorders>
              <w:top w:val="nil"/>
              <w:left w:val="nil"/>
              <w:bottom w:val="nil"/>
              <w:right w:val="nil"/>
            </w:tcBorders>
            <w:vAlign w:val="bottom"/>
          </w:tcPr>
          <w:p w14:paraId="19E24FF3"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189</w:t>
            </w:r>
          </w:p>
        </w:tc>
        <w:tc>
          <w:tcPr>
            <w:tcW w:w="1913" w:type="dxa"/>
            <w:tcBorders>
              <w:top w:val="nil"/>
              <w:left w:val="nil"/>
              <w:bottom w:val="nil"/>
              <w:right w:val="nil"/>
            </w:tcBorders>
          </w:tcPr>
          <w:p w14:paraId="1A21D361"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1,14%</w:t>
            </w:r>
          </w:p>
        </w:tc>
      </w:tr>
      <w:tr w:rsidR="00405820" w14:paraId="2E211968" w14:textId="77777777">
        <w:trPr>
          <w:trHeight w:val="240"/>
          <w:jc w:val="center"/>
        </w:trPr>
        <w:tc>
          <w:tcPr>
            <w:tcW w:w="2268" w:type="dxa"/>
            <w:tcBorders>
              <w:top w:val="nil"/>
              <w:left w:val="nil"/>
              <w:bottom w:val="nil"/>
              <w:right w:val="nil"/>
            </w:tcBorders>
          </w:tcPr>
          <w:p w14:paraId="6A1F6B94"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Lara</w:t>
            </w:r>
          </w:p>
        </w:tc>
        <w:tc>
          <w:tcPr>
            <w:tcW w:w="1489" w:type="dxa"/>
            <w:tcBorders>
              <w:top w:val="nil"/>
              <w:left w:val="nil"/>
              <w:bottom w:val="nil"/>
              <w:right w:val="nil"/>
            </w:tcBorders>
            <w:vAlign w:val="bottom"/>
          </w:tcPr>
          <w:p w14:paraId="526F0E77"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1.451</w:t>
            </w:r>
          </w:p>
        </w:tc>
        <w:tc>
          <w:tcPr>
            <w:tcW w:w="1913" w:type="dxa"/>
            <w:tcBorders>
              <w:top w:val="nil"/>
              <w:left w:val="nil"/>
              <w:bottom w:val="nil"/>
              <w:right w:val="nil"/>
            </w:tcBorders>
          </w:tcPr>
          <w:p w14:paraId="098AD52F"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7,82%</w:t>
            </w:r>
          </w:p>
        </w:tc>
      </w:tr>
      <w:tr w:rsidR="00405820" w14:paraId="6DABCFB3" w14:textId="77777777">
        <w:trPr>
          <w:trHeight w:val="240"/>
          <w:jc w:val="center"/>
        </w:trPr>
        <w:tc>
          <w:tcPr>
            <w:tcW w:w="2268" w:type="dxa"/>
            <w:tcBorders>
              <w:top w:val="nil"/>
              <w:left w:val="nil"/>
              <w:bottom w:val="nil"/>
              <w:right w:val="nil"/>
            </w:tcBorders>
          </w:tcPr>
          <w:p w14:paraId="46D88080"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Mérida</w:t>
            </w:r>
          </w:p>
        </w:tc>
        <w:tc>
          <w:tcPr>
            <w:tcW w:w="1489" w:type="dxa"/>
            <w:tcBorders>
              <w:top w:val="nil"/>
              <w:left w:val="nil"/>
              <w:bottom w:val="nil"/>
              <w:right w:val="nil"/>
            </w:tcBorders>
            <w:vAlign w:val="bottom"/>
          </w:tcPr>
          <w:p w14:paraId="7AC6808B"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986</w:t>
            </w:r>
          </w:p>
        </w:tc>
        <w:tc>
          <w:tcPr>
            <w:tcW w:w="1913" w:type="dxa"/>
            <w:tcBorders>
              <w:top w:val="nil"/>
              <w:left w:val="nil"/>
              <w:bottom w:val="nil"/>
              <w:right w:val="nil"/>
            </w:tcBorders>
          </w:tcPr>
          <w:p w14:paraId="2C3E50BB"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2,74%</w:t>
            </w:r>
          </w:p>
        </w:tc>
      </w:tr>
      <w:tr w:rsidR="00405820" w14:paraId="0A935B12" w14:textId="77777777">
        <w:trPr>
          <w:trHeight w:val="240"/>
          <w:jc w:val="center"/>
        </w:trPr>
        <w:tc>
          <w:tcPr>
            <w:tcW w:w="2268" w:type="dxa"/>
            <w:tcBorders>
              <w:top w:val="nil"/>
              <w:left w:val="nil"/>
              <w:bottom w:val="nil"/>
              <w:right w:val="nil"/>
            </w:tcBorders>
          </w:tcPr>
          <w:p w14:paraId="734C07F3"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Miranda</w:t>
            </w:r>
          </w:p>
        </w:tc>
        <w:tc>
          <w:tcPr>
            <w:tcW w:w="1489" w:type="dxa"/>
            <w:tcBorders>
              <w:top w:val="nil"/>
              <w:left w:val="nil"/>
              <w:bottom w:val="nil"/>
              <w:right w:val="nil"/>
            </w:tcBorders>
            <w:vAlign w:val="bottom"/>
          </w:tcPr>
          <w:p w14:paraId="46D9F448"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706</w:t>
            </w:r>
          </w:p>
        </w:tc>
        <w:tc>
          <w:tcPr>
            <w:tcW w:w="1913" w:type="dxa"/>
            <w:tcBorders>
              <w:top w:val="nil"/>
              <w:left w:val="nil"/>
              <w:bottom w:val="nil"/>
              <w:right w:val="nil"/>
            </w:tcBorders>
          </w:tcPr>
          <w:p w14:paraId="327D4380"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5,42%</w:t>
            </w:r>
          </w:p>
        </w:tc>
      </w:tr>
      <w:tr w:rsidR="00405820" w14:paraId="529131B1" w14:textId="77777777">
        <w:trPr>
          <w:trHeight w:val="240"/>
          <w:jc w:val="center"/>
        </w:trPr>
        <w:tc>
          <w:tcPr>
            <w:tcW w:w="2268" w:type="dxa"/>
            <w:tcBorders>
              <w:top w:val="nil"/>
              <w:left w:val="nil"/>
              <w:bottom w:val="nil"/>
              <w:right w:val="nil"/>
            </w:tcBorders>
          </w:tcPr>
          <w:p w14:paraId="521985A6"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Monagas</w:t>
            </w:r>
          </w:p>
        </w:tc>
        <w:tc>
          <w:tcPr>
            <w:tcW w:w="1489" w:type="dxa"/>
            <w:tcBorders>
              <w:top w:val="nil"/>
              <w:left w:val="nil"/>
              <w:bottom w:val="nil"/>
              <w:right w:val="nil"/>
            </w:tcBorders>
            <w:vAlign w:val="bottom"/>
          </w:tcPr>
          <w:p w14:paraId="38290F6A"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818</w:t>
            </w:r>
          </w:p>
        </w:tc>
        <w:tc>
          <w:tcPr>
            <w:tcW w:w="1913" w:type="dxa"/>
            <w:tcBorders>
              <w:top w:val="nil"/>
              <w:left w:val="nil"/>
              <w:bottom w:val="nil"/>
              <w:right w:val="nil"/>
            </w:tcBorders>
          </w:tcPr>
          <w:p w14:paraId="1A4134BF"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4,48%</w:t>
            </w:r>
          </w:p>
        </w:tc>
      </w:tr>
      <w:tr w:rsidR="00405820" w14:paraId="2EBAF7AA" w14:textId="77777777">
        <w:trPr>
          <w:trHeight w:val="240"/>
          <w:jc w:val="center"/>
        </w:trPr>
        <w:tc>
          <w:tcPr>
            <w:tcW w:w="2268" w:type="dxa"/>
            <w:tcBorders>
              <w:top w:val="nil"/>
              <w:left w:val="nil"/>
              <w:bottom w:val="nil"/>
              <w:right w:val="nil"/>
            </w:tcBorders>
          </w:tcPr>
          <w:p w14:paraId="272C36E2"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Nueva Esparta</w:t>
            </w:r>
          </w:p>
        </w:tc>
        <w:tc>
          <w:tcPr>
            <w:tcW w:w="1489" w:type="dxa"/>
            <w:tcBorders>
              <w:top w:val="nil"/>
              <w:left w:val="nil"/>
              <w:bottom w:val="nil"/>
              <w:right w:val="nil"/>
            </w:tcBorders>
            <w:vAlign w:val="bottom"/>
          </w:tcPr>
          <w:p w14:paraId="66423EF0"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215</w:t>
            </w:r>
          </w:p>
        </w:tc>
        <w:tc>
          <w:tcPr>
            <w:tcW w:w="1913" w:type="dxa"/>
            <w:tcBorders>
              <w:top w:val="nil"/>
              <w:left w:val="nil"/>
              <w:bottom w:val="nil"/>
              <w:right w:val="nil"/>
            </w:tcBorders>
          </w:tcPr>
          <w:p w14:paraId="167557EE"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1,78%</w:t>
            </w:r>
          </w:p>
        </w:tc>
      </w:tr>
      <w:tr w:rsidR="00405820" w14:paraId="2673CD5D" w14:textId="77777777">
        <w:trPr>
          <w:trHeight w:val="240"/>
          <w:jc w:val="center"/>
        </w:trPr>
        <w:tc>
          <w:tcPr>
            <w:tcW w:w="2268" w:type="dxa"/>
            <w:tcBorders>
              <w:top w:val="nil"/>
              <w:left w:val="nil"/>
              <w:bottom w:val="nil"/>
              <w:right w:val="nil"/>
            </w:tcBorders>
          </w:tcPr>
          <w:p w14:paraId="55BC030F"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Portuguesa</w:t>
            </w:r>
          </w:p>
        </w:tc>
        <w:tc>
          <w:tcPr>
            <w:tcW w:w="1489" w:type="dxa"/>
            <w:tcBorders>
              <w:top w:val="nil"/>
              <w:left w:val="nil"/>
              <w:bottom w:val="nil"/>
              <w:right w:val="nil"/>
            </w:tcBorders>
            <w:vAlign w:val="bottom"/>
          </w:tcPr>
          <w:p w14:paraId="28CE292C"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1.173</w:t>
            </w:r>
          </w:p>
        </w:tc>
        <w:tc>
          <w:tcPr>
            <w:tcW w:w="1913" w:type="dxa"/>
            <w:tcBorders>
              <w:top w:val="nil"/>
              <w:left w:val="nil"/>
              <w:bottom w:val="nil"/>
              <w:right w:val="nil"/>
            </w:tcBorders>
          </w:tcPr>
          <w:p w14:paraId="080E44D8"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4,26%</w:t>
            </w:r>
          </w:p>
        </w:tc>
      </w:tr>
      <w:tr w:rsidR="00405820" w14:paraId="10F090CD" w14:textId="77777777">
        <w:trPr>
          <w:trHeight w:val="240"/>
          <w:jc w:val="center"/>
        </w:trPr>
        <w:tc>
          <w:tcPr>
            <w:tcW w:w="2268" w:type="dxa"/>
            <w:tcBorders>
              <w:top w:val="nil"/>
              <w:left w:val="nil"/>
              <w:bottom w:val="nil"/>
              <w:right w:val="nil"/>
            </w:tcBorders>
          </w:tcPr>
          <w:p w14:paraId="439A39C8"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Sucre</w:t>
            </w:r>
          </w:p>
        </w:tc>
        <w:tc>
          <w:tcPr>
            <w:tcW w:w="1489" w:type="dxa"/>
            <w:tcBorders>
              <w:top w:val="nil"/>
              <w:left w:val="nil"/>
              <w:bottom w:val="nil"/>
              <w:right w:val="nil"/>
            </w:tcBorders>
            <w:vAlign w:val="bottom"/>
          </w:tcPr>
          <w:p w14:paraId="0EA79510"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1.083</w:t>
            </w:r>
          </w:p>
        </w:tc>
        <w:tc>
          <w:tcPr>
            <w:tcW w:w="1913" w:type="dxa"/>
            <w:tcBorders>
              <w:top w:val="nil"/>
              <w:left w:val="nil"/>
              <w:bottom w:val="nil"/>
              <w:right w:val="nil"/>
            </w:tcBorders>
          </w:tcPr>
          <w:p w14:paraId="4E0E2D66"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5,20%</w:t>
            </w:r>
          </w:p>
        </w:tc>
      </w:tr>
      <w:tr w:rsidR="00405820" w14:paraId="56ED4F9B" w14:textId="77777777">
        <w:trPr>
          <w:trHeight w:val="240"/>
          <w:jc w:val="center"/>
        </w:trPr>
        <w:tc>
          <w:tcPr>
            <w:tcW w:w="2268" w:type="dxa"/>
            <w:tcBorders>
              <w:top w:val="nil"/>
              <w:left w:val="nil"/>
              <w:bottom w:val="nil"/>
              <w:right w:val="nil"/>
            </w:tcBorders>
          </w:tcPr>
          <w:p w14:paraId="77EFCDC7"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Táchira</w:t>
            </w:r>
          </w:p>
        </w:tc>
        <w:tc>
          <w:tcPr>
            <w:tcW w:w="1489" w:type="dxa"/>
            <w:tcBorders>
              <w:top w:val="nil"/>
              <w:left w:val="nil"/>
              <w:bottom w:val="nil"/>
              <w:right w:val="nil"/>
            </w:tcBorders>
            <w:vAlign w:val="bottom"/>
          </w:tcPr>
          <w:p w14:paraId="45B64C2B"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1.184</w:t>
            </w:r>
          </w:p>
        </w:tc>
        <w:tc>
          <w:tcPr>
            <w:tcW w:w="1913" w:type="dxa"/>
            <w:tcBorders>
              <w:top w:val="nil"/>
              <w:left w:val="nil"/>
              <w:bottom w:val="nil"/>
              <w:right w:val="nil"/>
            </w:tcBorders>
          </w:tcPr>
          <w:p w14:paraId="7D94F7A4"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3,37%</w:t>
            </w:r>
          </w:p>
        </w:tc>
      </w:tr>
      <w:tr w:rsidR="00405820" w14:paraId="5F45F971" w14:textId="77777777">
        <w:trPr>
          <w:trHeight w:val="240"/>
          <w:jc w:val="center"/>
        </w:trPr>
        <w:tc>
          <w:tcPr>
            <w:tcW w:w="2268" w:type="dxa"/>
            <w:tcBorders>
              <w:top w:val="nil"/>
              <w:left w:val="nil"/>
              <w:bottom w:val="nil"/>
              <w:right w:val="nil"/>
            </w:tcBorders>
          </w:tcPr>
          <w:p w14:paraId="6913BF0E"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Trujillo</w:t>
            </w:r>
          </w:p>
        </w:tc>
        <w:tc>
          <w:tcPr>
            <w:tcW w:w="1489" w:type="dxa"/>
            <w:tcBorders>
              <w:top w:val="nil"/>
              <w:left w:val="nil"/>
              <w:bottom w:val="nil"/>
              <w:right w:val="nil"/>
            </w:tcBorders>
            <w:vAlign w:val="bottom"/>
          </w:tcPr>
          <w:p w14:paraId="35955C72"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669</w:t>
            </w:r>
          </w:p>
        </w:tc>
        <w:tc>
          <w:tcPr>
            <w:tcW w:w="1913" w:type="dxa"/>
            <w:tcBorders>
              <w:top w:val="nil"/>
              <w:left w:val="nil"/>
              <w:bottom w:val="nil"/>
              <w:right w:val="nil"/>
            </w:tcBorders>
          </w:tcPr>
          <w:p w14:paraId="3E084B85"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2,65%</w:t>
            </w:r>
          </w:p>
        </w:tc>
      </w:tr>
      <w:tr w:rsidR="00405820" w14:paraId="116749D5" w14:textId="77777777">
        <w:trPr>
          <w:trHeight w:val="240"/>
          <w:jc w:val="center"/>
        </w:trPr>
        <w:tc>
          <w:tcPr>
            <w:tcW w:w="2268" w:type="dxa"/>
            <w:tcBorders>
              <w:top w:val="nil"/>
              <w:left w:val="nil"/>
              <w:bottom w:val="nil"/>
              <w:right w:val="nil"/>
            </w:tcBorders>
          </w:tcPr>
          <w:p w14:paraId="1A7F52DF"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Yaracuy</w:t>
            </w:r>
          </w:p>
        </w:tc>
        <w:tc>
          <w:tcPr>
            <w:tcW w:w="1489" w:type="dxa"/>
            <w:tcBorders>
              <w:top w:val="nil"/>
              <w:left w:val="nil"/>
              <w:bottom w:val="nil"/>
              <w:right w:val="nil"/>
            </w:tcBorders>
            <w:vAlign w:val="bottom"/>
          </w:tcPr>
          <w:p w14:paraId="219B014A"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593</w:t>
            </w:r>
          </w:p>
        </w:tc>
        <w:tc>
          <w:tcPr>
            <w:tcW w:w="1913" w:type="dxa"/>
            <w:tcBorders>
              <w:top w:val="nil"/>
              <w:left w:val="nil"/>
              <w:bottom w:val="nil"/>
              <w:right w:val="nil"/>
            </w:tcBorders>
          </w:tcPr>
          <w:p w14:paraId="528D4A46"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2,63%</w:t>
            </w:r>
          </w:p>
        </w:tc>
      </w:tr>
      <w:tr w:rsidR="00405820" w14:paraId="599EBFA7" w14:textId="77777777">
        <w:trPr>
          <w:trHeight w:val="240"/>
          <w:jc w:val="center"/>
        </w:trPr>
        <w:tc>
          <w:tcPr>
            <w:tcW w:w="2268" w:type="dxa"/>
            <w:tcBorders>
              <w:top w:val="nil"/>
              <w:left w:val="nil"/>
              <w:right w:val="nil"/>
            </w:tcBorders>
          </w:tcPr>
          <w:p w14:paraId="42882128" w14:textId="77777777" w:rsidR="00405820" w:rsidRDefault="002F4028">
            <w:pPr>
              <w:tabs>
                <w:tab w:val="left" w:pos="1220"/>
              </w:tabs>
              <w:spacing w:line="240" w:lineRule="auto"/>
              <w:jc w:val="both"/>
              <w:rPr>
                <w:sz w:val="16"/>
                <w:szCs w:val="16"/>
              </w:rPr>
            </w:pPr>
            <w:r>
              <w:rPr>
                <w:rFonts w:ascii="Times New Roman" w:hAnsi="Times New Roman" w:cs="Times New Roman"/>
                <w:sz w:val="16"/>
                <w:szCs w:val="16"/>
                <w:lang w:val="es-ES"/>
              </w:rPr>
              <w:t>Zulia</w:t>
            </w:r>
          </w:p>
        </w:tc>
        <w:tc>
          <w:tcPr>
            <w:tcW w:w="1489" w:type="dxa"/>
            <w:tcBorders>
              <w:top w:val="nil"/>
              <w:left w:val="nil"/>
              <w:right w:val="nil"/>
            </w:tcBorders>
            <w:vAlign w:val="bottom"/>
          </w:tcPr>
          <w:p w14:paraId="7B6CDEE2" w14:textId="77777777" w:rsidR="00405820" w:rsidRDefault="002F4028">
            <w:pPr>
              <w:tabs>
                <w:tab w:val="left" w:pos="1220"/>
              </w:tabs>
              <w:spacing w:line="240" w:lineRule="auto"/>
              <w:jc w:val="center"/>
              <w:rPr>
                <w:sz w:val="16"/>
                <w:szCs w:val="16"/>
              </w:rPr>
            </w:pPr>
            <w:r>
              <w:rPr>
                <w:rFonts w:ascii="Times New Roman" w:hAnsi="Times New Roman" w:cs="Times New Roman"/>
                <w:sz w:val="16"/>
                <w:szCs w:val="16"/>
                <w:lang w:val="es-ES"/>
              </w:rPr>
              <w:t>1.816</w:t>
            </w:r>
          </w:p>
        </w:tc>
        <w:tc>
          <w:tcPr>
            <w:tcW w:w="1913" w:type="dxa"/>
            <w:tcBorders>
              <w:top w:val="nil"/>
              <w:left w:val="nil"/>
              <w:right w:val="nil"/>
            </w:tcBorders>
          </w:tcPr>
          <w:p w14:paraId="1AAF7EC3" w14:textId="77777777" w:rsidR="00405820" w:rsidRDefault="002F4028">
            <w:pPr>
              <w:tabs>
                <w:tab w:val="left" w:pos="1220"/>
              </w:tabs>
              <w:spacing w:line="240" w:lineRule="auto"/>
              <w:jc w:val="right"/>
              <w:rPr>
                <w:sz w:val="16"/>
                <w:szCs w:val="16"/>
              </w:rPr>
            </w:pPr>
            <w:r>
              <w:rPr>
                <w:rFonts w:ascii="Times New Roman" w:hAnsi="Times New Roman" w:cs="Times New Roman"/>
                <w:sz w:val="16"/>
                <w:szCs w:val="16"/>
                <w:lang w:val="es-ES"/>
              </w:rPr>
              <w:t>9,03%</w:t>
            </w:r>
          </w:p>
        </w:tc>
      </w:tr>
      <w:tr w:rsidR="00405820" w14:paraId="4B183982" w14:textId="77777777">
        <w:trPr>
          <w:trHeight w:val="240"/>
          <w:jc w:val="center"/>
        </w:trPr>
        <w:tc>
          <w:tcPr>
            <w:tcW w:w="2268" w:type="dxa"/>
            <w:tcBorders>
              <w:left w:val="nil"/>
              <w:right w:val="nil"/>
            </w:tcBorders>
          </w:tcPr>
          <w:p w14:paraId="3A2B4814" w14:textId="77777777" w:rsidR="00405820" w:rsidRDefault="002F4028">
            <w:pPr>
              <w:tabs>
                <w:tab w:val="left" w:pos="1220"/>
              </w:tabs>
              <w:spacing w:line="240" w:lineRule="auto"/>
              <w:jc w:val="both"/>
            </w:pPr>
            <w:r>
              <w:rPr>
                <w:rFonts w:ascii="Times New Roman" w:hAnsi="Times New Roman" w:cs="Times New Roman"/>
                <w:b/>
                <w:bCs/>
                <w:sz w:val="20"/>
                <w:lang w:val="es-ES"/>
              </w:rPr>
              <w:t xml:space="preserve">Total, general </w:t>
            </w:r>
          </w:p>
        </w:tc>
        <w:tc>
          <w:tcPr>
            <w:tcW w:w="1489" w:type="dxa"/>
            <w:tcBorders>
              <w:left w:val="nil"/>
              <w:right w:val="nil"/>
            </w:tcBorders>
            <w:vAlign w:val="bottom"/>
          </w:tcPr>
          <w:p w14:paraId="2978FC03" w14:textId="77777777" w:rsidR="00405820" w:rsidRDefault="002F4028">
            <w:pPr>
              <w:tabs>
                <w:tab w:val="left" w:pos="1220"/>
              </w:tabs>
              <w:spacing w:line="240" w:lineRule="auto"/>
              <w:jc w:val="center"/>
            </w:pPr>
            <w:r>
              <w:rPr>
                <w:rFonts w:ascii="Times New Roman" w:hAnsi="Times New Roman" w:cs="Times New Roman"/>
                <w:b/>
                <w:bCs/>
                <w:sz w:val="20"/>
                <w:lang w:val="es-ES"/>
              </w:rPr>
              <w:t>20.341</w:t>
            </w:r>
          </w:p>
        </w:tc>
        <w:tc>
          <w:tcPr>
            <w:tcW w:w="1913" w:type="dxa"/>
            <w:tcBorders>
              <w:left w:val="nil"/>
              <w:right w:val="nil"/>
            </w:tcBorders>
          </w:tcPr>
          <w:p w14:paraId="2168C347" w14:textId="77777777" w:rsidR="00405820" w:rsidRDefault="002F4028">
            <w:pPr>
              <w:tabs>
                <w:tab w:val="left" w:pos="1220"/>
              </w:tabs>
              <w:spacing w:line="240" w:lineRule="auto"/>
              <w:jc w:val="center"/>
            </w:pPr>
            <w:r>
              <w:rPr>
                <w:rFonts w:ascii="Times New Roman" w:hAnsi="Times New Roman" w:cs="Times New Roman"/>
                <w:b/>
                <w:bCs/>
                <w:sz w:val="20"/>
                <w:lang w:val="es-ES"/>
              </w:rPr>
              <w:t>100,00%</w:t>
            </w:r>
          </w:p>
        </w:tc>
      </w:tr>
    </w:tbl>
    <w:p w14:paraId="7B630B56" w14:textId="77777777" w:rsidR="00405820" w:rsidRDefault="00405820">
      <w:pPr>
        <w:rPr>
          <w:rFonts w:cs="Times New Roman"/>
          <w:sz w:val="20"/>
          <w:szCs w:val="20"/>
          <w:lang w:val="es-ES"/>
        </w:rPr>
      </w:pPr>
    </w:p>
    <w:p w14:paraId="21B6DDA7" w14:textId="77777777" w:rsidR="00405820" w:rsidRDefault="002F4028">
      <w:pPr>
        <w:spacing w:after="0" w:line="240" w:lineRule="auto"/>
        <w:jc w:val="center"/>
      </w:pPr>
      <w:r>
        <w:rPr>
          <w:rFonts w:ascii="Times New Roman" w:hAnsi="Times New Roman" w:cs="Times New Roman"/>
          <w:b/>
          <w:bCs/>
          <w:sz w:val="20"/>
          <w:szCs w:val="20"/>
          <w:lang w:val="es-ES"/>
        </w:rPr>
        <w:t>Tabla X</w:t>
      </w:r>
    </w:p>
    <w:p w14:paraId="7F62096F" w14:textId="77777777" w:rsidR="00405820" w:rsidRDefault="002F4028">
      <w:pPr>
        <w:spacing w:after="0" w:line="240" w:lineRule="auto"/>
        <w:jc w:val="center"/>
      </w:pPr>
      <w:r>
        <w:rPr>
          <w:rFonts w:ascii="Times New Roman" w:hAnsi="Times New Roman" w:cs="Times New Roman"/>
          <w:b/>
          <w:bCs/>
          <w:sz w:val="20"/>
          <w:szCs w:val="20"/>
          <w:lang w:val="es-ES"/>
        </w:rPr>
        <w:t>Avances en la contención y disminución del déficit nutricional</w:t>
      </w:r>
    </w:p>
    <w:p w14:paraId="6F10E93F" w14:textId="77777777" w:rsidR="00405820" w:rsidRDefault="002F4028">
      <w:pPr>
        <w:spacing w:after="0" w:line="240" w:lineRule="auto"/>
        <w:jc w:val="center"/>
      </w:pPr>
      <w:r>
        <w:rPr>
          <w:rFonts w:ascii="Times New Roman" w:hAnsi="Times New Roman" w:cs="Times New Roman"/>
          <w:b/>
          <w:bCs/>
          <w:sz w:val="20"/>
          <w:szCs w:val="20"/>
          <w:lang w:val="es-ES"/>
        </w:rPr>
        <w:t xml:space="preserve">Ámbito nacional, años 2017-2023 (%) </w:t>
      </w:r>
      <w:r>
        <w:rPr>
          <w:rStyle w:val="Ancladenotaalpie"/>
          <w:rFonts w:ascii="Times New Roman" w:hAnsi="Times New Roman" w:cs="Times New Roman"/>
          <w:b/>
          <w:bCs/>
          <w:sz w:val="20"/>
          <w:szCs w:val="20"/>
          <w:lang w:val="es-ES"/>
        </w:rPr>
        <w:footnoteReference w:id="70"/>
      </w:r>
    </w:p>
    <w:p w14:paraId="76D114E3" w14:textId="77777777" w:rsidR="00405820" w:rsidRDefault="00405820">
      <w:pPr>
        <w:spacing w:after="0" w:line="240" w:lineRule="auto"/>
        <w:jc w:val="center"/>
        <w:rPr>
          <w:rFonts w:ascii="Times New Roman" w:hAnsi="Times New Roman" w:cs="Times New Roman"/>
          <w:sz w:val="20"/>
          <w:szCs w:val="20"/>
          <w:lang w:val="es-ES"/>
        </w:rPr>
      </w:pPr>
    </w:p>
    <w:p w14:paraId="4E1B442C" w14:textId="77777777" w:rsidR="00405820" w:rsidRDefault="00405820">
      <w:pPr>
        <w:spacing w:after="0" w:line="240" w:lineRule="auto"/>
        <w:jc w:val="center"/>
        <w:rPr>
          <w:rFonts w:ascii="Times New Roman" w:hAnsi="Times New Roman" w:cs="Times New Roman"/>
          <w:sz w:val="20"/>
          <w:szCs w:val="20"/>
          <w:lang w:val="es-ES"/>
        </w:rPr>
      </w:pPr>
    </w:p>
    <w:tbl>
      <w:tblPr>
        <w:tblStyle w:val="TableGrid"/>
        <w:tblW w:w="3588" w:type="dxa"/>
        <w:jc w:val="center"/>
        <w:tblCellMar>
          <w:left w:w="0" w:type="dxa"/>
          <w:right w:w="0" w:type="dxa"/>
        </w:tblCellMar>
        <w:tblLook w:val="04A0" w:firstRow="1" w:lastRow="0" w:firstColumn="1" w:lastColumn="0" w:noHBand="0" w:noVBand="1"/>
      </w:tblPr>
      <w:tblGrid>
        <w:gridCol w:w="1481"/>
        <w:gridCol w:w="2107"/>
      </w:tblGrid>
      <w:tr w:rsidR="00405820" w14:paraId="3ECFDCAA" w14:textId="77777777">
        <w:trPr>
          <w:trHeight w:val="240"/>
          <w:tblHeader/>
          <w:jc w:val="center"/>
        </w:trPr>
        <w:tc>
          <w:tcPr>
            <w:tcW w:w="1481" w:type="dxa"/>
            <w:tcBorders>
              <w:left w:val="nil"/>
              <w:bottom w:val="single" w:sz="12" w:space="0" w:color="000000"/>
              <w:right w:val="nil"/>
            </w:tcBorders>
            <w:vAlign w:val="bottom"/>
          </w:tcPr>
          <w:p w14:paraId="071321A2" w14:textId="77777777" w:rsidR="00405820" w:rsidRDefault="002F4028">
            <w:pPr>
              <w:spacing w:before="80" w:after="80" w:line="200" w:lineRule="exact"/>
              <w:rPr>
                <w:b/>
                <w:bCs/>
              </w:rPr>
            </w:pPr>
            <w:r>
              <w:rPr>
                <w:b/>
                <w:bCs/>
                <w:i/>
                <w:sz w:val="20"/>
                <w:lang w:val="es-ES_tradnl"/>
              </w:rPr>
              <w:t>Años</w:t>
            </w:r>
          </w:p>
        </w:tc>
        <w:tc>
          <w:tcPr>
            <w:tcW w:w="2106" w:type="dxa"/>
            <w:tcBorders>
              <w:left w:val="nil"/>
              <w:bottom w:val="single" w:sz="12" w:space="0" w:color="000000"/>
              <w:right w:val="nil"/>
            </w:tcBorders>
            <w:vAlign w:val="bottom"/>
          </w:tcPr>
          <w:p w14:paraId="03FDE892" w14:textId="77777777" w:rsidR="00405820" w:rsidRDefault="002F4028">
            <w:pPr>
              <w:spacing w:before="80" w:after="80" w:line="200" w:lineRule="exact"/>
              <w:ind w:left="-57"/>
              <w:jc w:val="right"/>
              <w:rPr>
                <w:b/>
                <w:bCs/>
              </w:rPr>
            </w:pPr>
            <w:r>
              <w:rPr>
                <w:b/>
                <w:bCs/>
                <w:i/>
                <w:sz w:val="20"/>
                <w:lang w:val="es-ES_tradnl"/>
              </w:rPr>
              <w:t xml:space="preserve">        </w:t>
            </w:r>
            <w:r>
              <w:rPr>
                <w:rFonts w:ascii="Times New Roman" w:hAnsi="Times New Roman" w:cs="Times New Roman"/>
                <w:b/>
                <w:bCs/>
                <w:i/>
                <w:sz w:val="20"/>
                <w:lang w:val="es-ES"/>
              </w:rPr>
              <w:t>Déficit nutricional</w:t>
            </w:r>
          </w:p>
        </w:tc>
      </w:tr>
      <w:tr w:rsidR="00405820" w14:paraId="6BE84A95" w14:textId="77777777">
        <w:trPr>
          <w:trHeight w:val="240"/>
          <w:jc w:val="center"/>
        </w:trPr>
        <w:tc>
          <w:tcPr>
            <w:tcW w:w="1481" w:type="dxa"/>
            <w:tcBorders>
              <w:top w:val="single" w:sz="12" w:space="0" w:color="000000"/>
              <w:left w:val="nil"/>
              <w:bottom w:val="nil"/>
              <w:right w:val="nil"/>
            </w:tcBorders>
            <w:vAlign w:val="center"/>
          </w:tcPr>
          <w:p w14:paraId="4751455E" w14:textId="77777777" w:rsidR="00405820" w:rsidRDefault="002F4028">
            <w:pPr>
              <w:spacing w:line="240" w:lineRule="auto"/>
            </w:pPr>
            <w:r>
              <w:rPr>
                <w:rFonts w:ascii="Times New Roman" w:hAnsi="Times New Roman" w:cs="Times New Roman"/>
                <w:sz w:val="20"/>
                <w:lang w:val="es-ES"/>
              </w:rPr>
              <w:t>2017</w:t>
            </w:r>
          </w:p>
        </w:tc>
        <w:tc>
          <w:tcPr>
            <w:tcW w:w="2106" w:type="dxa"/>
            <w:tcBorders>
              <w:top w:val="single" w:sz="12" w:space="0" w:color="000000"/>
              <w:left w:val="nil"/>
              <w:bottom w:val="nil"/>
              <w:right w:val="nil"/>
            </w:tcBorders>
            <w:vAlign w:val="center"/>
          </w:tcPr>
          <w:p w14:paraId="13DEF84C" w14:textId="77777777" w:rsidR="00405820" w:rsidRDefault="002F4028">
            <w:pPr>
              <w:spacing w:line="240" w:lineRule="auto"/>
              <w:jc w:val="right"/>
            </w:pPr>
            <w:r>
              <w:rPr>
                <w:rFonts w:ascii="Times New Roman" w:hAnsi="Times New Roman" w:cs="Times New Roman"/>
                <w:sz w:val="20"/>
                <w:lang w:val="es-ES"/>
              </w:rPr>
              <w:t>35,6 %</w:t>
            </w:r>
          </w:p>
        </w:tc>
      </w:tr>
      <w:tr w:rsidR="00405820" w14:paraId="680B3150" w14:textId="77777777">
        <w:trPr>
          <w:trHeight w:val="240"/>
          <w:jc w:val="center"/>
        </w:trPr>
        <w:tc>
          <w:tcPr>
            <w:tcW w:w="1481" w:type="dxa"/>
            <w:tcBorders>
              <w:top w:val="nil"/>
              <w:left w:val="nil"/>
              <w:bottom w:val="nil"/>
              <w:right w:val="nil"/>
            </w:tcBorders>
            <w:vAlign w:val="center"/>
          </w:tcPr>
          <w:p w14:paraId="49822134" w14:textId="77777777" w:rsidR="00405820" w:rsidRDefault="002F4028">
            <w:pPr>
              <w:spacing w:line="240" w:lineRule="auto"/>
            </w:pPr>
            <w:r>
              <w:rPr>
                <w:rFonts w:ascii="Times New Roman" w:hAnsi="Times New Roman" w:cs="Times New Roman"/>
                <w:sz w:val="20"/>
                <w:lang w:val="es-ES"/>
              </w:rPr>
              <w:t>2018</w:t>
            </w:r>
          </w:p>
        </w:tc>
        <w:tc>
          <w:tcPr>
            <w:tcW w:w="2106" w:type="dxa"/>
            <w:tcBorders>
              <w:top w:val="nil"/>
              <w:left w:val="nil"/>
              <w:bottom w:val="nil"/>
              <w:right w:val="nil"/>
            </w:tcBorders>
            <w:vAlign w:val="center"/>
          </w:tcPr>
          <w:p w14:paraId="20409119" w14:textId="77777777" w:rsidR="00405820" w:rsidRDefault="002F4028">
            <w:pPr>
              <w:spacing w:line="240" w:lineRule="auto"/>
              <w:jc w:val="right"/>
            </w:pPr>
            <w:r>
              <w:rPr>
                <w:rFonts w:ascii="Times New Roman" w:hAnsi="Times New Roman" w:cs="Times New Roman"/>
                <w:sz w:val="20"/>
                <w:lang w:val="es-ES"/>
              </w:rPr>
              <w:t>32,4%</w:t>
            </w:r>
          </w:p>
        </w:tc>
      </w:tr>
      <w:tr w:rsidR="00405820" w14:paraId="538FD173" w14:textId="77777777">
        <w:trPr>
          <w:trHeight w:val="240"/>
          <w:jc w:val="center"/>
        </w:trPr>
        <w:tc>
          <w:tcPr>
            <w:tcW w:w="1481" w:type="dxa"/>
            <w:tcBorders>
              <w:top w:val="nil"/>
              <w:left w:val="nil"/>
              <w:bottom w:val="nil"/>
              <w:right w:val="nil"/>
            </w:tcBorders>
            <w:vAlign w:val="center"/>
          </w:tcPr>
          <w:p w14:paraId="106FC3F9" w14:textId="77777777" w:rsidR="00405820" w:rsidRDefault="002F4028">
            <w:pPr>
              <w:spacing w:line="240" w:lineRule="auto"/>
            </w:pPr>
            <w:r>
              <w:rPr>
                <w:rFonts w:ascii="Times New Roman" w:hAnsi="Times New Roman" w:cs="Times New Roman"/>
                <w:sz w:val="20"/>
                <w:lang w:val="es-ES"/>
              </w:rPr>
              <w:t>2019</w:t>
            </w:r>
          </w:p>
        </w:tc>
        <w:tc>
          <w:tcPr>
            <w:tcW w:w="2106" w:type="dxa"/>
            <w:tcBorders>
              <w:top w:val="nil"/>
              <w:left w:val="nil"/>
              <w:bottom w:val="nil"/>
              <w:right w:val="nil"/>
            </w:tcBorders>
            <w:vAlign w:val="center"/>
          </w:tcPr>
          <w:p w14:paraId="2ABDEF3D" w14:textId="77777777" w:rsidR="00405820" w:rsidRDefault="002F4028">
            <w:pPr>
              <w:spacing w:line="240" w:lineRule="auto"/>
              <w:jc w:val="right"/>
            </w:pPr>
            <w:r>
              <w:rPr>
                <w:rFonts w:ascii="Times New Roman" w:hAnsi="Times New Roman" w:cs="Times New Roman"/>
                <w:sz w:val="20"/>
                <w:lang w:val="es-ES"/>
              </w:rPr>
              <w:t>29,1%</w:t>
            </w:r>
          </w:p>
        </w:tc>
      </w:tr>
      <w:tr w:rsidR="00405820" w14:paraId="2A0E31D2" w14:textId="77777777">
        <w:trPr>
          <w:trHeight w:val="240"/>
          <w:jc w:val="center"/>
        </w:trPr>
        <w:tc>
          <w:tcPr>
            <w:tcW w:w="1481" w:type="dxa"/>
            <w:tcBorders>
              <w:top w:val="nil"/>
              <w:left w:val="nil"/>
              <w:bottom w:val="nil"/>
              <w:right w:val="nil"/>
            </w:tcBorders>
            <w:vAlign w:val="center"/>
          </w:tcPr>
          <w:p w14:paraId="4F62FDE5" w14:textId="77777777" w:rsidR="00405820" w:rsidRDefault="002F4028">
            <w:pPr>
              <w:spacing w:line="240" w:lineRule="auto"/>
            </w:pPr>
            <w:r>
              <w:rPr>
                <w:rFonts w:ascii="Times New Roman" w:hAnsi="Times New Roman" w:cs="Times New Roman"/>
                <w:sz w:val="20"/>
                <w:lang w:val="es-ES"/>
              </w:rPr>
              <w:t>2020</w:t>
            </w:r>
          </w:p>
        </w:tc>
        <w:tc>
          <w:tcPr>
            <w:tcW w:w="2106" w:type="dxa"/>
            <w:tcBorders>
              <w:top w:val="nil"/>
              <w:left w:val="nil"/>
              <w:bottom w:val="nil"/>
              <w:right w:val="nil"/>
            </w:tcBorders>
            <w:vAlign w:val="center"/>
          </w:tcPr>
          <w:p w14:paraId="23B32138" w14:textId="77777777" w:rsidR="00405820" w:rsidRDefault="002F4028">
            <w:pPr>
              <w:spacing w:line="240" w:lineRule="auto"/>
              <w:jc w:val="right"/>
            </w:pPr>
            <w:r>
              <w:rPr>
                <w:rFonts w:ascii="Times New Roman" w:hAnsi="Times New Roman" w:cs="Times New Roman"/>
                <w:sz w:val="20"/>
                <w:lang w:val="es-ES"/>
              </w:rPr>
              <w:t>23,0%</w:t>
            </w:r>
          </w:p>
        </w:tc>
      </w:tr>
      <w:tr w:rsidR="00405820" w14:paraId="262AF22D" w14:textId="77777777">
        <w:trPr>
          <w:trHeight w:val="240"/>
          <w:jc w:val="center"/>
        </w:trPr>
        <w:tc>
          <w:tcPr>
            <w:tcW w:w="1481" w:type="dxa"/>
            <w:tcBorders>
              <w:top w:val="nil"/>
              <w:left w:val="nil"/>
              <w:bottom w:val="nil"/>
              <w:right w:val="nil"/>
            </w:tcBorders>
            <w:vAlign w:val="center"/>
          </w:tcPr>
          <w:p w14:paraId="7D99FBE9" w14:textId="77777777" w:rsidR="00405820" w:rsidRDefault="002F4028">
            <w:pPr>
              <w:spacing w:line="240" w:lineRule="auto"/>
            </w:pPr>
            <w:r>
              <w:rPr>
                <w:rFonts w:ascii="Times New Roman" w:hAnsi="Times New Roman" w:cs="Times New Roman"/>
                <w:sz w:val="20"/>
                <w:lang w:val="es-ES"/>
              </w:rPr>
              <w:t>2021</w:t>
            </w:r>
          </w:p>
        </w:tc>
        <w:tc>
          <w:tcPr>
            <w:tcW w:w="2106" w:type="dxa"/>
            <w:tcBorders>
              <w:top w:val="nil"/>
              <w:left w:val="nil"/>
              <w:bottom w:val="nil"/>
              <w:right w:val="nil"/>
            </w:tcBorders>
            <w:vAlign w:val="center"/>
          </w:tcPr>
          <w:p w14:paraId="17620372" w14:textId="77777777" w:rsidR="00405820" w:rsidRDefault="002F4028">
            <w:pPr>
              <w:spacing w:line="240" w:lineRule="auto"/>
              <w:jc w:val="right"/>
            </w:pPr>
            <w:r>
              <w:rPr>
                <w:rFonts w:ascii="Times New Roman" w:hAnsi="Times New Roman" w:cs="Times New Roman"/>
                <w:sz w:val="20"/>
                <w:lang w:val="es-ES"/>
              </w:rPr>
              <w:t>11,5%</w:t>
            </w:r>
          </w:p>
        </w:tc>
      </w:tr>
      <w:tr w:rsidR="00405820" w14:paraId="71962C87" w14:textId="77777777">
        <w:trPr>
          <w:trHeight w:val="240"/>
          <w:jc w:val="center"/>
        </w:trPr>
        <w:tc>
          <w:tcPr>
            <w:tcW w:w="1481" w:type="dxa"/>
            <w:tcBorders>
              <w:top w:val="nil"/>
              <w:left w:val="nil"/>
              <w:bottom w:val="nil"/>
              <w:right w:val="nil"/>
            </w:tcBorders>
            <w:vAlign w:val="center"/>
          </w:tcPr>
          <w:p w14:paraId="58995FF1" w14:textId="77777777" w:rsidR="00405820" w:rsidRDefault="002F4028">
            <w:pPr>
              <w:spacing w:line="240" w:lineRule="auto"/>
            </w:pPr>
            <w:r>
              <w:rPr>
                <w:rFonts w:ascii="Times New Roman" w:hAnsi="Times New Roman" w:cs="Times New Roman"/>
                <w:sz w:val="20"/>
                <w:lang w:val="es-ES"/>
              </w:rPr>
              <w:t>2022</w:t>
            </w:r>
          </w:p>
        </w:tc>
        <w:tc>
          <w:tcPr>
            <w:tcW w:w="2106" w:type="dxa"/>
            <w:tcBorders>
              <w:top w:val="nil"/>
              <w:left w:val="nil"/>
              <w:bottom w:val="nil"/>
              <w:right w:val="nil"/>
            </w:tcBorders>
            <w:vAlign w:val="center"/>
          </w:tcPr>
          <w:p w14:paraId="0F029837" w14:textId="77777777" w:rsidR="00405820" w:rsidRDefault="002F4028">
            <w:pPr>
              <w:spacing w:line="240" w:lineRule="auto"/>
              <w:jc w:val="right"/>
            </w:pPr>
            <w:r>
              <w:rPr>
                <w:rFonts w:ascii="Times New Roman" w:hAnsi="Times New Roman" w:cs="Times New Roman"/>
                <w:sz w:val="20"/>
                <w:lang w:val="es-ES"/>
              </w:rPr>
              <w:t>7,7%</w:t>
            </w:r>
          </w:p>
        </w:tc>
      </w:tr>
      <w:tr w:rsidR="00405820" w14:paraId="0D2A2B13" w14:textId="77777777">
        <w:trPr>
          <w:trHeight w:val="240"/>
          <w:jc w:val="center"/>
        </w:trPr>
        <w:tc>
          <w:tcPr>
            <w:tcW w:w="1481" w:type="dxa"/>
            <w:tcBorders>
              <w:top w:val="nil"/>
              <w:left w:val="nil"/>
              <w:right w:val="nil"/>
            </w:tcBorders>
            <w:vAlign w:val="center"/>
          </w:tcPr>
          <w:p w14:paraId="293719E0" w14:textId="77777777" w:rsidR="00405820" w:rsidRDefault="002F4028">
            <w:pPr>
              <w:spacing w:line="240" w:lineRule="auto"/>
            </w:pPr>
            <w:r>
              <w:rPr>
                <w:rFonts w:ascii="Times New Roman" w:hAnsi="Times New Roman" w:cs="Times New Roman"/>
                <w:sz w:val="20"/>
                <w:lang w:val="es-ES"/>
              </w:rPr>
              <w:t>2023</w:t>
            </w:r>
          </w:p>
        </w:tc>
        <w:tc>
          <w:tcPr>
            <w:tcW w:w="2106" w:type="dxa"/>
            <w:tcBorders>
              <w:top w:val="nil"/>
              <w:left w:val="nil"/>
              <w:right w:val="nil"/>
            </w:tcBorders>
            <w:vAlign w:val="center"/>
          </w:tcPr>
          <w:p w14:paraId="41E87054" w14:textId="77777777" w:rsidR="00405820" w:rsidRDefault="002F4028">
            <w:pPr>
              <w:spacing w:line="240" w:lineRule="auto"/>
              <w:jc w:val="right"/>
            </w:pPr>
            <w:r>
              <w:rPr>
                <w:rFonts w:ascii="Times New Roman" w:hAnsi="Times New Roman" w:cs="Times New Roman"/>
                <w:sz w:val="20"/>
                <w:lang w:val="es-ES"/>
              </w:rPr>
              <w:t>6,5%</w:t>
            </w:r>
          </w:p>
        </w:tc>
      </w:tr>
      <w:tr w:rsidR="00405820" w14:paraId="47E8C25F" w14:textId="77777777">
        <w:trPr>
          <w:trHeight w:val="240"/>
          <w:jc w:val="center"/>
        </w:trPr>
        <w:tc>
          <w:tcPr>
            <w:tcW w:w="1481" w:type="dxa"/>
            <w:tcBorders>
              <w:left w:val="nil"/>
              <w:right w:val="nil"/>
            </w:tcBorders>
            <w:vAlign w:val="center"/>
          </w:tcPr>
          <w:p w14:paraId="25C3223D" w14:textId="77777777" w:rsidR="00405820" w:rsidRDefault="00405820">
            <w:pPr>
              <w:spacing w:line="240" w:lineRule="auto"/>
              <w:jc w:val="center"/>
              <w:rPr>
                <w:rFonts w:ascii="Times New Roman" w:hAnsi="Times New Roman" w:cs="Times New Roman"/>
                <w:sz w:val="20"/>
                <w:lang w:val="es-ES"/>
              </w:rPr>
            </w:pPr>
          </w:p>
        </w:tc>
        <w:tc>
          <w:tcPr>
            <w:tcW w:w="2106" w:type="dxa"/>
            <w:tcBorders>
              <w:left w:val="nil"/>
              <w:right w:val="nil"/>
            </w:tcBorders>
            <w:vAlign w:val="center"/>
          </w:tcPr>
          <w:p w14:paraId="4A0549B0" w14:textId="77777777" w:rsidR="00405820" w:rsidRDefault="00405820">
            <w:pPr>
              <w:spacing w:line="240" w:lineRule="auto"/>
              <w:jc w:val="center"/>
              <w:rPr>
                <w:rFonts w:ascii="Times New Roman" w:hAnsi="Times New Roman" w:cs="Times New Roman"/>
                <w:sz w:val="20"/>
                <w:lang w:val="es-ES"/>
              </w:rPr>
            </w:pPr>
          </w:p>
        </w:tc>
      </w:tr>
    </w:tbl>
    <w:p w14:paraId="4775A3C2" w14:textId="77777777" w:rsidR="00405820" w:rsidRDefault="00405820">
      <w:pPr>
        <w:jc w:val="both"/>
      </w:pPr>
    </w:p>
    <w:p w14:paraId="07181CE0"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los planteles y servicios, la interdisciplinariedad de los equipos de trabajo es fundamental para garantizar la atención educativa integral de las y los estudiantes. Los Servicios de apoyo son: Centro de Desarrollo Infantil, Centro de Rehabilitación del Lenguaje, Equipo de Integración Social, Centro de Parálisis Cerebral, Centro de Atención Integral para Personas con Sordoceguera, Centro de Atención Integral para personas con Deficiencias Visuales, Centro de Atención Integral para personas con Autismo, Centro de Atención Integral para Personas con Dificultades para el Aprendizaje, Unidad Psicoeducativa, Aula Integrada, Aula Hospitalaria y Talleres de Educación Laboral.</w:t>
      </w:r>
    </w:p>
    <w:p w14:paraId="43187738" w14:textId="77777777" w:rsidR="00405820" w:rsidRDefault="00405820">
      <w:pPr>
        <w:pStyle w:val="ListParagraph"/>
        <w:rPr>
          <w:rFonts w:cs="Times New Roman"/>
          <w:sz w:val="20"/>
          <w:szCs w:val="20"/>
        </w:rPr>
      </w:pPr>
    </w:p>
    <w:p w14:paraId="1CA281E0"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El programa “Salud va a la escuela” brinda la atención integral de la salud con jornadas de vacunación, odontología, psicología, oftalmológica, orientación y “el Plan Nacional de Salud Escolar” que se desarrolla a través de los Centros de Protección Estudiantil (CEPRODE) y se encuentran distribuidos a nivel nacional. En el ámbito escolar se viene desarrollando el Plan Nacional de Prevención de Reducción del embarazo en las y los adolescentes (PRETA) y la atención alimentaria a través del programa de alimentación escolar (PAE).</w:t>
      </w:r>
    </w:p>
    <w:p w14:paraId="215D42BF" w14:textId="77777777" w:rsidR="00405820" w:rsidRDefault="00405820">
      <w:pPr>
        <w:pStyle w:val="ListParagraph"/>
        <w:rPr>
          <w:rFonts w:cs="Times New Roman"/>
          <w:sz w:val="20"/>
          <w:szCs w:val="20"/>
        </w:rPr>
      </w:pPr>
    </w:p>
    <w:p w14:paraId="11D66119"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La Educación Especial para el período escolar 2020-2021, tiene una población estudiantil de 60.949, distribuidos de la siguiente manera: </w:t>
      </w:r>
    </w:p>
    <w:p w14:paraId="6857A909" w14:textId="77777777" w:rsidR="00405820" w:rsidRDefault="00405820">
      <w:pPr>
        <w:spacing w:after="0" w:line="240" w:lineRule="auto"/>
        <w:jc w:val="both"/>
        <w:rPr>
          <w:rFonts w:ascii="Times New Roman" w:eastAsia="Times New Roman" w:hAnsi="Times New Roman" w:cs="Times New Roman"/>
          <w:sz w:val="20"/>
          <w:szCs w:val="20"/>
        </w:rPr>
      </w:pPr>
    </w:p>
    <w:p w14:paraId="05FCBDE0" w14:textId="77777777" w:rsidR="00405820" w:rsidRDefault="002F4028">
      <w:pPr>
        <w:pStyle w:val="Ttulo11"/>
        <w:spacing w:before="0" w:after="0" w:line="240" w:lineRule="auto"/>
        <w:jc w:val="center"/>
      </w:pPr>
      <w:r>
        <w:rPr>
          <w:rFonts w:ascii="Times New Roman" w:hAnsi="Times New Roman" w:cstheme="minorBidi"/>
          <w:sz w:val="20"/>
          <w:szCs w:val="20"/>
          <w:lang w:val="es-ES_tradnl"/>
        </w:rPr>
        <w:t xml:space="preserve">Tabla  </w:t>
      </w:r>
      <w:r>
        <w:rPr>
          <w:rFonts w:ascii="Times New Roman" w:hAnsi="Times New Roman"/>
          <w:sz w:val="20"/>
          <w:szCs w:val="20"/>
          <w:lang w:val="es-ES_tradnl"/>
        </w:rPr>
        <w:t xml:space="preserve"> XI</w:t>
      </w:r>
    </w:p>
    <w:p w14:paraId="4C0CFAAA" w14:textId="77777777" w:rsidR="00405820" w:rsidRDefault="002F4028">
      <w:pPr>
        <w:spacing w:after="0" w:line="240" w:lineRule="auto"/>
        <w:jc w:val="center"/>
        <w:rPr>
          <w:rFonts w:ascii="Times New Roman" w:hAnsi="Times New Roman" w:cs="Times New Roman"/>
          <w:b/>
          <w:bCs/>
          <w:sz w:val="20"/>
          <w:szCs w:val="20"/>
          <w:lang w:val="es-ES_tradnl"/>
        </w:rPr>
      </w:pPr>
      <w:r>
        <w:rPr>
          <w:rFonts w:ascii="Times New Roman" w:hAnsi="Times New Roman" w:cs="Times New Roman"/>
          <w:b/>
          <w:bCs/>
          <w:sz w:val="20"/>
          <w:szCs w:val="20"/>
          <w:lang w:val="es-ES_tradnl"/>
        </w:rPr>
        <w:t>Cantidad de niños, niñas y adolescentes con discapacidad en centro educativos</w:t>
      </w:r>
    </w:p>
    <w:p w14:paraId="28F91FC1" w14:textId="77777777" w:rsidR="00405820" w:rsidRDefault="00405820">
      <w:pPr>
        <w:spacing w:after="0" w:line="240" w:lineRule="auto"/>
        <w:jc w:val="center"/>
      </w:pPr>
    </w:p>
    <w:tbl>
      <w:tblPr>
        <w:tblStyle w:val="TableGrid"/>
        <w:tblW w:w="5880" w:type="dxa"/>
        <w:jc w:val="center"/>
        <w:tblCellMar>
          <w:left w:w="0" w:type="dxa"/>
          <w:right w:w="0" w:type="dxa"/>
        </w:tblCellMar>
        <w:tblLook w:val="04A0" w:firstRow="1" w:lastRow="0" w:firstColumn="1" w:lastColumn="0" w:noHBand="0" w:noVBand="1"/>
      </w:tblPr>
      <w:tblGrid>
        <w:gridCol w:w="142"/>
        <w:gridCol w:w="2836"/>
        <w:gridCol w:w="14"/>
        <w:gridCol w:w="1483"/>
        <w:gridCol w:w="1405"/>
      </w:tblGrid>
      <w:tr w:rsidR="00405820" w14:paraId="09BC26FE" w14:textId="77777777">
        <w:trPr>
          <w:trHeight w:val="240"/>
          <w:tblHeader/>
          <w:jc w:val="center"/>
        </w:trPr>
        <w:tc>
          <w:tcPr>
            <w:tcW w:w="141" w:type="dxa"/>
            <w:tcBorders>
              <w:top w:val="nil"/>
              <w:left w:val="nil"/>
              <w:bottom w:val="nil"/>
              <w:right w:val="nil"/>
            </w:tcBorders>
          </w:tcPr>
          <w:p w14:paraId="7843FA57" w14:textId="77777777" w:rsidR="00405820" w:rsidRPr="00B23088" w:rsidRDefault="00405820">
            <w:pPr>
              <w:spacing w:after="0" w:line="240" w:lineRule="auto"/>
              <w:jc w:val="center"/>
              <w:rPr>
                <w:lang w:val="es-VE"/>
              </w:rPr>
            </w:pPr>
          </w:p>
        </w:tc>
        <w:tc>
          <w:tcPr>
            <w:tcW w:w="2836" w:type="dxa"/>
            <w:tcBorders>
              <w:left w:val="nil"/>
              <w:bottom w:val="single" w:sz="12" w:space="0" w:color="000000"/>
              <w:right w:val="nil"/>
            </w:tcBorders>
            <w:vAlign w:val="bottom"/>
          </w:tcPr>
          <w:p w14:paraId="62E7C387" w14:textId="77777777" w:rsidR="00405820" w:rsidRDefault="002F4028">
            <w:pPr>
              <w:spacing w:before="80" w:after="80" w:line="200" w:lineRule="exact"/>
            </w:pPr>
            <w:r>
              <w:rPr>
                <w:b/>
                <w:bCs/>
                <w:i/>
                <w:sz w:val="20"/>
                <w:lang w:val="es-ES_tradnl"/>
              </w:rPr>
              <w:t xml:space="preserve">Áreas de atención </w:t>
            </w:r>
          </w:p>
        </w:tc>
        <w:tc>
          <w:tcPr>
            <w:tcW w:w="1497" w:type="dxa"/>
            <w:gridSpan w:val="2"/>
            <w:tcBorders>
              <w:left w:val="nil"/>
              <w:bottom w:val="single" w:sz="12" w:space="0" w:color="000000"/>
              <w:right w:val="nil"/>
            </w:tcBorders>
            <w:vAlign w:val="bottom"/>
          </w:tcPr>
          <w:p w14:paraId="70450FD8" w14:textId="77777777" w:rsidR="00405820" w:rsidRDefault="002F4028">
            <w:pPr>
              <w:spacing w:before="80" w:after="80" w:line="200" w:lineRule="exact"/>
              <w:jc w:val="right"/>
            </w:pPr>
            <w:r>
              <w:rPr>
                <w:b/>
                <w:bCs/>
                <w:i/>
                <w:sz w:val="20"/>
                <w:lang w:val="es-ES_tradnl"/>
              </w:rPr>
              <w:t xml:space="preserve">     Nro. Estudiantes </w:t>
            </w:r>
          </w:p>
        </w:tc>
        <w:tc>
          <w:tcPr>
            <w:tcW w:w="1405" w:type="dxa"/>
            <w:tcBorders>
              <w:left w:val="nil"/>
              <w:bottom w:val="single" w:sz="12" w:space="0" w:color="000000"/>
              <w:right w:val="nil"/>
            </w:tcBorders>
          </w:tcPr>
          <w:p w14:paraId="247DD0B3" w14:textId="77777777" w:rsidR="00405820" w:rsidRDefault="002F4028">
            <w:pPr>
              <w:spacing w:before="80" w:after="80" w:line="200" w:lineRule="exact"/>
              <w:jc w:val="right"/>
            </w:pPr>
            <w:r>
              <w:rPr>
                <w:b/>
                <w:bCs/>
                <w:i/>
                <w:sz w:val="20"/>
                <w:lang w:val="es-ES_tradnl"/>
              </w:rPr>
              <w:t xml:space="preserve">%              </w:t>
            </w:r>
          </w:p>
        </w:tc>
      </w:tr>
      <w:tr w:rsidR="00405820" w14:paraId="459305D9" w14:textId="77777777">
        <w:trPr>
          <w:trHeight w:val="240"/>
          <w:jc w:val="center"/>
        </w:trPr>
        <w:tc>
          <w:tcPr>
            <w:tcW w:w="141" w:type="dxa"/>
            <w:tcBorders>
              <w:top w:val="nil"/>
              <w:left w:val="nil"/>
              <w:bottom w:val="nil"/>
              <w:right w:val="nil"/>
            </w:tcBorders>
          </w:tcPr>
          <w:p w14:paraId="12308816" w14:textId="77777777" w:rsidR="00405820" w:rsidRDefault="00405820">
            <w:pPr>
              <w:spacing w:line="240" w:lineRule="atLeast"/>
            </w:pPr>
          </w:p>
        </w:tc>
        <w:tc>
          <w:tcPr>
            <w:tcW w:w="2836" w:type="dxa"/>
            <w:tcBorders>
              <w:top w:val="single" w:sz="12" w:space="0" w:color="000000"/>
              <w:left w:val="nil"/>
              <w:bottom w:val="nil"/>
              <w:right w:val="nil"/>
            </w:tcBorders>
          </w:tcPr>
          <w:p w14:paraId="6AE1751A" w14:textId="77777777" w:rsidR="00405820" w:rsidRDefault="002F4028">
            <w:pPr>
              <w:spacing w:line="360" w:lineRule="auto"/>
              <w:rPr>
                <w:rFonts w:ascii="Times New Roman" w:hAnsi="Times New Roman" w:cs="Times New Roman"/>
                <w:sz w:val="18"/>
                <w:szCs w:val="18"/>
              </w:rPr>
            </w:pPr>
            <w:proofErr w:type="spellStart"/>
            <w:r>
              <w:rPr>
                <w:rFonts w:ascii="Times New Roman" w:hAnsi="Times New Roman" w:cs="Times New Roman"/>
                <w:sz w:val="18"/>
                <w:szCs w:val="18"/>
              </w:rPr>
              <w:t>Retardo</w:t>
            </w:r>
            <w:proofErr w:type="spellEnd"/>
            <w:r>
              <w:rPr>
                <w:rFonts w:ascii="Times New Roman" w:hAnsi="Times New Roman" w:cs="Times New Roman"/>
                <w:sz w:val="18"/>
                <w:szCs w:val="18"/>
              </w:rPr>
              <w:t xml:space="preserve"> Mental</w:t>
            </w:r>
          </w:p>
        </w:tc>
        <w:tc>
          <w:tcPr>
            <w:tcW w:w="1497" w:type="dxa"/>
            <w:gridSpan w:val="2"/>
            <w:tcBorders>
              <w:top w:val="single" w:sz="12" w:space="0" w:color="000000"/>
              <w:left w:val="nil"/>
              <w:bottom w:val="nil"/>
              <w:right w:val="nil"/>
            </w:tcBorders>
            <w:vAlign w:val="bottom"/>
          </w:tcPr>
          <w:p w14:paraId="665660BA"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3.056</w:t>
            </w:r>
          </w:p>
        </w:tc>
        <w:tc>
          <w:tcPr>
            <w:tcW w:w="1405" w:type="dxa"/>
            <w:tcBorders>
              <w:top w:val="single" w:sz="12" w:space="0" w:color="000000"/>
              <w:left w:val="nil"/>
              <w:bottom w:val="nil"/>
              <w:right w:val="nil"/>
            </w:tcBorders>
          </w:tcPr>
          <w:p w14:paraId="1AC9AA32"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 xml:space="preserve">5,01  </w:t>
            </w:r>
          </w:p>
        </w:tc>
      </w:tr>
      <w:tr w:rsidR="00405820" w14:paraId="27DD761A" w14:textId="77777777">
        <w:trPr>
          <w:trHeight w:val="240"/>
          <w:jc w:val="center"/>
        </w:trPr>
        <w:tc>
          <w:tcPr>
            <w:tcW w:w="141" w:type="dxa"/>
            <w:tcBorders>
              <w:top w:val="nil"/>
              <w:left w:val="nil"/>
              <w:bottom w:val="nil"/>
              <w:right w:val="nil"/>
            </w:tcBorders>
          </w:tcPr>
          <w:p w14:paraId="34542CD3" w14:textId="77777777" w:rsidR="00405820" w:rsidRDefault="00405820">
            <w:pPr>
              <w:spacing w:line="240" w:lineRule="atLeast"/>
            </w:pPr>
          </w:p>
        </w:tc>
        <w:tc>
          <w:tcPr>
            <w:tcW w:w="2836" w:type="dxa"/>
            <w:tcBorders>
              <w:top w:val="nil"/>
              <w:left w:val="nil"/>
              <w:bottom w:val="nil"/>
              <w:right w:val="nil"/>
            </w:tcBorders>
          </w:tcPr>
          <w:p w14:paraId="1C487013" w14:textId="77777777" w:rsidR="00405820" w:rsidRDefault="002F4028">
            <w:pPr>
              <w:spacing w:line="360" w:lineRule="auto"/>
              <w:rPr>
                <w:rFonts w:ascii="Times New Roman" w:hAnsi="Times New Roman" w:cs="Times New Roman"/>
                <w:sz w:val="18"/>
                <w:szCs w:val="18"/>
              </w:rPr>
            </w:pPr>
            <w:proofErr w:type="spellStart"/>
            <w:r>
              <w:rPr>
                <w:rFonts w:ascii="Times New Roman" w:hAnsi="Times New Roman" w:cs="Times New Roman"/>
                <w:sz w:val="18"/>
                <w:szCs w:val="18"/>
              </w:rPr>
              <w:t>Autismo</w:t>
            </w:r>
            <w:proofErr w:type="spellEnd"/>
          </w:p>
        </w:tc>
        <w:tc>
          <w:tcPr>
            <w:tcW w:w="1497" w:type="dxa"/>
            <w:gridSpan w:val="2"/>
            <w:tcBorders>
              <w:top w:val="nil"/>
              <w:left w:val="nil"/>
              <w:bottom w:val="nil"/>
              <w:right w:val="nil"/>
            </w:tcBorders>
            <w:vAlign w:val="bottom"/>
          </w:tcPr>
          <w:p w14:paraId="22003F14"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4.145</w:t>
            </w:r>
          </w:p>
        </w:tc>
        <w:tc>
          <w:tcPr>
            <w:tcW w:w="1405" w:type="dxa"/>
            <w:tcBorders>
              <w:top w:val="nil"/>
              <w:left w:val="nil"/>
              <w:bottom w:val="nil"/>
              <w:right w:val="nil"/>
            </w:tcBorders>
          </w:tcPr>
          <w:p w14:paraId="7E80A240"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 xml:space="preserve">                  6,80   </w:t>
            </w:r>
          </w:p>
        </w:tc>
      </w:tr>
      <w:tr w:rsidR="00405820" w14:paraId="04EC38F8" w14:textId="77777777">
        <w:trPr>
          <w:trHeight w:val="240"/>
          <w:jc w:val="center"/>
        </w:trPr>
        <w:tc>
          <w:tcPr>
            <w:tcW w:w="141" w:type="dxa"/>
            <w:tcBorders>
              <w:top w:val="nil"/>
              <w:left w:val="nil"/>
              <w:bottom w:val="nil"/>
              <w:right w:val="nil"/>
            </w:tcBorders>
          </w:tcPr>
          <w:p w14:paraId="760878DE" w14:textId="77777777" w:rsidR="00405820" w:rsidRDefault="00405820">
            <w:pPr>
              <w:spacing w:line="240" w:lineRule="atLeast"/>
            </w:pPr>
          </w:p>
        </w:tc>
        <w:tc>
          <w:tcPr>
            <w:tcW w:w="2836" w:type="dxa"/>
            <w:tcBorders>
              <w:top w:val="nil"/>
              <w:left w:val="nil"/>
              <w:bottom w:val="nil"/>
              <w:right w:val="nil"/>
            </w:tcBorders>
          </w:tcPr>
          <w:p w14:paraId="3E11CA0B" w14:textId="77777777" w:rsidR="00405820" w:rsidRDefault="002F4028">
            <w:pPr>
              <w:spacing w:line="360" w:lineRule="auto"/>
              <w:rPr>
                <w:rFonts w:ascii="Times New Roman" w:hAnsi="Times New Roman" w:cs="Times New Roman"/>
                <w:sz w:val="18"/>
                <w:szCs w:val="18"/>
              </w:rPr>
            </w:pPr>
            <w:proofErr w:type="spellStart"/>
            <w:r>
              <w:rPr>
                <w:rFonts w:ascii="Times New Roman" w:hAnsi="Times New Roman" w:cs="Times New Roman"/>
                <w:sz w:val="18"/>
                <w:szCs w:val="18"/>
              </w:rPr>
              <w:t>Impedimento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Físico</w:t>
            </w:r>
            <w:proofErr w:type="spellEnd"/>
          </w:p>
        </w:tc>
        <w:tc>
          <w:tcPr>
            <w:tcW w:w="1497" w:type="dxa"/>
            <w:gridSpan w:val="2"/>
            <w:tcBorders>
              <w:top w:val="nil"/>
              <w:left w:val="nil"/>
              <w:bottom w:val="nil"/>
              <w:right w:val="nil"/>
            </w:tcBorders>
            <w:vAlign w:val="bottom"/>
          </w:tcPr>
          <w:p w14:paraId="4B80E954"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1.636</w:t>
            </w:r>
          </w:p>
        </w:tc>
        <w:tc>
          <w:tcPr>
            <w:tcW w:w="1405" w:type="dxa"/>
            <w:tcBorders>
              <w:top w:val="nil"/>
              <w:left w:val="nil"/>
              <w:bottom w:val="nil"/>
              <w:right w:val="nil"/>
            </w:tcBorders>
          </w:tcPr>
          <w:p w14:paraId="2B84137C"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2,68</w:t>
            </w:r>
          </w:p>
        </w:tc>
      </w:tr>
      <w:tr w:rsidR="00405820" w14:paraId="429C9408" w14:textId="77777777">
        <w:trPr>
          <w:trHeight w:val="240"/>
          <w:jc w:val="center"/>
        </w:trPr>
        <w:tc>
          <w:tcPr>
            <w:tcW w:w="141" w:type="dxa"/>
            <w:tcBorders>
              <w:top w:val="nil"/>
              <w:left w:val="nil"/>
              <w:bottom w:val="nil"/>
              <w:right w:val="nil"/>
            </w:tcBorders>
          </w:tcPr>
          <w:p w14:paraId="7552290E" w14:textId="77777777" w:rsidR="00405820" w:rsidRDefault="00405820">
            <w:pPr>
              <w:spacing w:line="240" w:lineRule="atLeast"/>
            </w:pPr>
          </w:p>
        </w:tc>
        <w:tc>
          <w:tcPr>
            <w:tcW w:w="2836" w:type="dxa"/>
            <w:tcBorders>
              <w:top w:val="nil"/>
              <w:left w:val="nil"/>
              <w:bottom w:val="nil"/>
              <w:right w:val="nil"/>
            </w:tcBorders>
          </w:tcPr>
          <w:p w14:paraId="6BFDE94E" w14:textId="77777777" w:rsidR="00405820" w:rsidRDefault="002F4028">
            <w:pPr>
              <w:spacing w:line="360" w:lineRule="auto"/>
              <w:rPr>
                <w:rFonts w:ascii="Times New Roman" w:hAnsi="Times New Roman" w:cs="Times New Roman"/>
                <w:sz w:val="18"/>
                <w:szCs w:val="18"/>
              </w:rPr>
            </w:pPr>
            <w:proofErr w:type="spellStart"/>
            <w:r>
              <w:rPr>
                <w:rFonts w:ascii="Times New Roman" w:hAnsi="Times New Roman" w:cs="Times New Roman"/>
                <w:sz w:val="18"/>
                <w:szCs w:val="18"/>
              </w:rPr>
              <w:t>Deficiencia</w:t>
            </w:r>
            <w:proofErr w:type="spellEnd"/>
            <w:r>
              <w:rPr>
                <w:rFonts w:ascii="Times New Roman" w:hAnsi="Times New Roman" w:cs="Times New Roman"/>
                <w:sz w:val="18"/>
                <w:szCs w:val="18"/>
              </w:rPr>
              <w:t xml:space="preserve"> Visual</w:t>
            </w:r>
          </w:p>
        </w:tc>
        <w:tc>
          <w:tcPr>
            <w:tcW w:w="1497" w:type="dxa"/>
            <w:gridSpan w:val="2"/>
            <w:tcBorders>
              <w:top w:val="nil"/>
              <w:left w:val="nil"/>
              <w:bottom w:val="nil"/>
              <w:right w:val="nil"/>
            </w:tcBorders>
            <w:vAlign w:val="bottom"/>
          </w:tcPr>
          <w:p w14:paraId="06EC52D8"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1.401</w:t>
            </w:r>
          </w:p>
        </w:tc>
        <w:tc>
          <w:tcPr>
            <w:tcW w:w="1405" w:type="dxa"/>
            <w:tcBorders>
              <w:top w:val="nil"/>
              <w:left w:val="nil"/>
              <w:bottom w:val="nil"/>
              <w:right w:val="nil"/>
            </w:tcBorders>
          </w:tcPr>
          <w:p w14:paraId="3332E589"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2,30</w:t>
            </w:r>
          </w:p>
        </w:tc>
      </w:tr>
      <w:tr w:rsidR="00405820" w14:paraId="259936A7" w14:textId="77777777">
        <w:trPr>
          <w:trHeight w:val="240"/>
          <w:jc w:val="center"/>
        </w:trPr>
        <w:tc>
          <w:tcPr>
            <w:tcW w:w="141" w:type="dxa"/>
            <w:tcBorders>
              <w:top w:val="nil"/>
              <w:left w:val="nil"/>
              <w:bottom w:val="nil"/>
              <w:right w:val="nil"/>
            </w:tcBorders>
          </w:tcPr>
          <w:p w14:paraId="0BE7D9E4" w14:textId="77777777" w:rsidR="00405820" w:rsidRDefault="00405820">
            <w:pPr>
              <w:spacing w:line="240" w:lineRule="atLeast"/>
            </w:pPr>
          </w:p>
        </w:tc>
        <w:tc>
          <w:tcPr>
            <w:tcW w:w="2836" w:type="dxa"/>
            <w:tcBorders>
              <w:top w:val="nil"/>
              <w:left w:val="nil"/>
              <w:bottom w:val="nil"/>
              <w:right w:val="nil"/>
            </w:tcBorders>
          </w:tcPr>
          <w:p w14:paraId="589EB148" w14:textId="77777777" w:rsidR="00405820" w:rsidRDefault="002F4028">
            <w:pPr>
              <w:spacing w:line="360" w:lineRule="auto"/>
              <w:rPr>
                <w:rFonts w:ascii="Times New Roman" w:hAnsi="Times New Roman" w:cs="Times New Roman"/>
                <w:sz w:val="18"/>
                <w:szCs w:val="18"/>
              </w:rPr>
            </w:pPr>
            <w:proofErr w:type="spellStart"/>
            <w:r>
              <w:rPr>
                <w:rFonts w:ascii="Times New Roman" w:hAnsi="Times New Roman" w:cs="Times New Roman"/>
                <w:sz w:val="18"/>
                <w:szCs w:val="18"/>
              </w:rPr>
              <w:t>Deficiencia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Auditiva</w:t>
            </w:r>
            <w:proofErr w:type="spellEnd"/>
          </w:p>
        </w:tc>
        <w:tc>
          <w:tcPr>
            <w:tcW w:w="1497" w:type="dxa"/>
            <w:gridSpan w:val="2"/>
            <w:tcBorders>
              <w:top w:val="nil"/>
              <w:left w:val="nil"/>
              <w:bottom w:val="nil"/>
              <w:right w:val="nil"/>
            </w:tcBorders>
            <w:vAlign w:val="bottom"/>
          </w:tcPr>
          <w:p w14:paraId="5B03EC80"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871</w:t>
            </w:r>
          </w:p>
        </w:tc>
        <w:tc>
          <w:tcPr>
            <w:tcW w:w="1405" w:type="dxa"/>
            <w:tcBorders>
              <w:top w:val="nil"/>
              <w:left w:val="nil"/>
              <w:bottom w:val="nil"/>
              <w:right w:val="nil"/>
            </w:tcBorders>
          </w:tcPr>
          <w:p w14:paraId="4094C012"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1,43</w:t>
            </w:r>
          </w:p>
        </w:tc>
      </w:tr>
      <w:tr w:rsidR="00405820" w14:paraId="4AEA741B" w14:textId="77777777">
        <w:trPr>
          <w:trHeight w:val="240"/>
          <w:jc w:val="center"/>
        </w:trPr>
        <w:tc>
          <w:tcPr>
            <w:tcW w:w="141" w:type="dxa"/>
            <w:tcBorders>
              <w:top w:val="nil"/>
              <w:left w:val="nil"/>
              <w:bottom w:val="nil"/>
              <w:right w:val="nil"/>
            </w:tcBorders>
          </w:tcPr>
          <w:p w14:paraId="01D25C6B" w14:textId="77777777" w:rsidR="00405820" w:rsidRDefault="00405820">
            <w:pPr>
              <w:spacing w:line="240" w:lineRule="atLeast"/>
            </w:pPr>
          </w:p>
        </w:tc>
        <w:tc>
          <w:tcPr>
            <w:tcW w:w="2836" w:type="dxa"/>
            <w:tcBorders>
              <w:top w:val="nil"/>
              <w:left w:val="nil"/>
              <w:bottom w:val="nil"/>
              <w:right w:val="nil"/>
            </w:tcBorders>
          </w:tcPr>
          <w:p w14:paraId="7E302DBD" w14:textId="77777777" w:rsidR="00405820" w:rsidRDefault="002F4028">
            <w:pPr>
              <w:spacing w:line="360" w:lineRule="auto"/>
              <w:rPr>
                <w:rFonts w:ascii="Times New Roman" w:hAnsi="Times New Roman" w:cs="Times New Roman"/>
                <w:sz w:val="18"/>
                <w:szCs w:val="18"/>
              </w:rPr>
            </w:pPr>
            <w:r>
              <w:rPr>
                <w:rFonts w:ascii="Times New Roman" w:hAnsi="Times New Roman" w:cs="Times New Roman"/>
                <w:sz w:val="18"/>
                <w:szCs w:val="18"/>
              </w:rPr>
              <w:t>Talento</w:t>
            </w:r>
          </w:p>
        </w:tc>
        <w:tc>
          <w:tcPr>
            <w:tcW w:w="1497" w:type="dxa"/>
            <w:gridSpan w:val="2"/>
            <w:tcBorders>
              <w:top w:val="nil"/>
              <w:left w:val="nil"/>
              <w:bottom w:val="nil"/>
              <w:right w:val="nil"/>
            </w:tcBorders>
            <w:vAlign w:val="bottom"/>
          </w:tcPr>
          <w:p w14:paraId="1957A6B3"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568</w:t>
            </w:r>
          </w:p>
        </w:tc>
        <w:tc>
          <w:tcPr>
            <w:tcW w:w="1405" w:type="dxa"/>
            <w:tcBorders>
              <w:top w:val="nil"/>
              <w:left w:val="nil"/>
              <w:bottom w:val="nil"/>
              <w:right w:val="nil"/>
            </w:tcBorders>
          </w:tcPr>
          <w:p w14:paraId="52A2CEF5"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0,93</w:t>
            </w:r>
          </w:p>
        </w:tc>
      </w:tr>
      <w:tr w:rsidR="00405820" w14:paraId="29680D6A" w14:textId="77777777">
        <w:trPr>
          <w:trHeight w:val="240"/>
          <w:jc w:val="center"/>
        </w:trPr>
        <w:tc>
          <w:tcPr>
            <w:tcW w:w="141" w:type="dxa"/>
            <w:tcBorders>
              <w:top w:val="nil"/>
              <w:left w:val="nil"/>
              <w:bottom w:val="nil"/>
              <w:right w:val="nil"/>
            </w:tcBorders>
          </w:tcPr>
          <w:p w14:paraId="1F750741" w14:textId="77777777" w:rsidR="00405820" w:rsidRDefault="00405820">
            <w:pPr>
              <w:spacing w:line="240" w:lineRule="atLeast"/>
            </w:pPr>
          </w:p>
        </w:tc>
        <w:tc>
          <w:tcPr>
            <w:tcW w:w="2836" w:type="dxa"/>
            <w:tcBorders>
              <w:top w:val="nil"/>
              <w:left w:val="nil"/>
              <w:bottom w:val="nil"/>
              <w:right w:val="nil"/>
            </w:tcBorders>
          </w:tcPr>
          <w:p w14:paraId="67A3FB1D" w14:textId="77777777" w:rsidR="00405820" w:rsidRDefault="002F4028">
            <w:pPr>
              <w:spacing w:line="360" w:lineRule="auto"/>
              <w:rPr>
                <w:rFonts w:ascii="Times New Roman" w:hAnsi="Times New Roman" w:cs="Times New Roman"/>
                <w:sz w:val="18"/>
                <w:szCs w:val="18"/>
              </w:rPr>
            </w:pPr>
            <w:proofErr w:type="spellStart"/>
            <w:r>
              <w:rPr>
                <w:rFonts w:ascii="Times New Roman" w:hAnsi="Times New Roman" w:cs="Times New Roman"/>
                <w:sz w:val="18"/>
                <w:szCs w:val="18"/>
              </w:rPr>
              <w:t>Dificultades</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aprendizaje</w:t>
            </w:r>
            <w:proofErr w:type="spellEnd"/>
          </w:p>
        </w:tc>
        <w:tc>
          <w:tcPr>
            <w:tcW w:w="1497" w:type="dxa"/>
            <w:gridSpan w:val="2"/>
            <w:tcBorders>
              <w:top w:val="nil"/>
              <w:left w:val="nil"/>
              <w:bottom w:val="nil"/>
              <w:right w:val="nil"/>
            </w:tcBorders>
            <w:vAlign w:val="bottom"/>
          </w:tcPr>
          <w:p w14:paraId="18E571B6"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49.180</w:t>
            </w:r>
          </w:p>
        </w:tc>
        <w:tc>
          <w:tcPr>
            <w:tcW w:w="1405" w:type="dxa"/>
            <w:tcBorders>
              <w:top w:val="nil"/>
              <w:left w:val="nil"/>
              <w:bottom w:val="nil"/>
              <w:right w:val="nil"/>
            </w:tcBorders>
          </w:tcPr>
          <w:p w14:paraId="3548155B"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80,69</w:t>
            </w:r>
          </w:p>
        </w:tc>
      </w:tr>
      <w:tr w:rsidR="00405820" w14:paraId="29270B85" w14:textId="77777777">
        <w:trPr>
          <w:trHeight w:val="240"/>
          <w:jc w:val="center"/>
        </w:trPr>
        <w:tc>
          <w:tcPr>
            <w:tcW w:w="141" w:type="dxa"/>
            <w:tcBorders>
              <w:top w:val="nil"/>
              <w:left w:val="nil"/>
              <w:bottom w:val="nil"/>
              <w:right w:val="nil"/>
            </w:tcBorders>
          </w:tcPr>
          <w:p w14:paraId="17D76EAE" w14:textId="77777777" w:rsidR="00405820" w:rsidRDefault="00405820">
            <w:pPr>
              <w:spacing w:line="240" w:lineRule="atLeast"/>
            </w:pPr>
          </w:p>
        </w:tc>
        <w:tc>
          <w:tcPr>
            <w:tcW w:w="2836" w:type="dxa"/>
            <w:tcBorders>
              <w:top w:val="nil"/>
              <w:left w:val="nil"/>
              <w:bottom w:val="nil"/>
              <w:right w:val="nil"/>
            </w:tcBorders>
          </w:tcPr>
          <w:p w14:paraId="3EBDD484" w14:textId="77777777" w:rsidR="00405820" w:rsidRDefault="002F4028">
            <w:pPr>
              <w:spacing w:line="360" w:lineRule="auto"/>
              <w:rPr>
                <w:rFonts w:ascii="Times New Roman" w:hAnsi="Times New Roman" w:cs="Times New Roman"/>
                <w:sz w:val="18"/>
                <w:szCs w:val="18"/>
              </w:rPr>
            </w:pPr>
            <w:r>
              <w:rPr>
                <w:rFonts w:ascii="Times New Roman" w:hAnsi="Times New Roman" w:cs="Times New Roman"/>
                <w:sz w:val="18"/>
                <w:szCs w:val="18"/>
              </w:rPr>
              <w:t xml:space="preserve">Sordo </w:t>
            </w:r>
            <w:proofErr w:type="spellStart"/>
            <w:r>
              <w:rPr>
                <w:rFonts w:ascii="Times New Roman" w:hAnsi="Times New Roman" w:cs="Times New Roman"/>
                <w:sz w:val="18"/>
                <w:szCs w:val="18"/>
              </w:rPr>
              <w:t>ceguera</w:t>
            </w:r>
            <w:proofErr w:type="spellEnd"/>
          </w:p>
        </w:tc>
        <w:tc>
          <w:tcPr>
            <w:tcW w:w="1497" w:type="dxa"/>
            <w:gridSpan w:val="2"/>
            <w:tcBorders>
              <w:top w:val="nil"/>
              <w:left w:val="nil"/>
              <w:bottom w:val="nil"/>
              <w:right w:val="nil"/>
            </w:tcBorders>
            <w:vAlign w:val="bottom"/>
          </w:tcPr>
          <w:p w14:paraId="138E947D"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62</w:t>
            </w:r>
          </w:p>
        </w:tc>
        <w:tc>
          <w:tcPr>
            <w:tcW w:w="1405" w:type="dxa"/>
            <w:tcBorders>
              <w:top w:val="nil"/>
              <w:left w:val="nil"/>
              <w:bottom w:val="nil"/>
              <w:right w:val="nil"/>
            </w:tcBorders>
          </w:tcPr>
          <w:p w14:paraId="5FE32C4A"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0,15</w:t>
            </w:r>
          </w:p>
        </w:tc>
      </w:tr>
      <w:tr w:rsidR="00405820" w14:paraId="5233C564" w14:textId="77777777">
        <w:trPr>
          <w:trHeight w:val="240"/>
          <w:jc w:val="center"/>
        </w:trPr>
        <w:tc>
          <w:tcPr>
            <w:tcW w:w="2991" w:type="dxa"/>
            <w:gridSpan w:val="3"/>
            <w:tcBorders>
              <w:left w:val="nil"/>
              <w:bottom w:val="single" w:sz="12" w:space="0" w:color="000000"/>
              <w:right w:val="nil"/>
            </w:tcBorders>
          </w:tcPr>
          <w:p w14:paraId="59F1B1BA" w14:textId="77777777" w:rsidR="00405820" w:rsidRDefault="002F4028">
            <w:pPr>
              <w:spacing w:before="80" w:after="80" w:line="220" w:lineRule="exact"/>
              <w:ind w:left="283"/>
              <w:jc w:val="center"/>
            </w:pPr>
            <w:r>
              <w:rPr>
                <w:rFonts w:ascii="Times New Roman" w:hAnsi="Times New Roman"/>
                <w:b/>
                <w:sz w:val="20"/>
                <w:lang w:val="es-ES_tradnl"/>
              </w:rPr>
              <w:t>TOTAL, GENERAL</w:t>
            </w:r>
          </w:p>
        </w:tc>
        <w:tc>
          <w:tcPr>
            <w:tcW w:w="1483" w:type="dxa"/>
            <w:tcBorders>
              <w:left w:val="nil"/>
              <w:bottom w:val="single" w:sz="12" w:space="0" w:color="000000"/>
              <w:right w:val="nil"/>
            </w:tcBorders>
            <w:vAlign w:val="bottom"/>
          </w:tcPr>
          <w:p w14:paraId="283C0031" w14:textId="77777777" w:rsidR="00405820" w:rsidRDefault="002F4028">
            <w:pPr>
              <w:spacing w:before="80" w:after="80" w:line="220" w:lineRule="exact"/>
              <w:jc w:val="right"/>
            </w:pPr>
            <w:r>
              <w:rPr>
                <w:b/>
                <w:sz w:val="20"/>
                <w:lang w:val="es-ES_tradnl"/>
              </w:rPr>
              <w:t>60.949</w:t>
            </w:r>
          </w:p>
        </w:tc>
        <w:tc>
          <w:tcPr>
            <w:tcW w:w="1405" w:type="dxa"/>
            <w:tcBorders>
              <w:left w:val="nil"/>
              <w:bottom w:val="single" w:sz="12" w:space="0" w:color="000000"/>
              <w:right w:val="nil"/>
            </w:tcBorders>
          </w:tcPr>
          <w:p w14:paraId="20E0268D" w14:textId="77777777" w:rsidR="00405820" w:rsidRDefault="002F4028">
            <w:pPr>
              <w:spacing w:before="80" w:after="80" w:line="220" w:lineRule="exact"/>
              <w:jc w:val="right"/>
            </w:pPr>
            <w:r>
              <w:rPr>
                <w:b/>
                <w:sz w:val="20"/>
                <w:lang w:val="es-ES_tradnl"/>
              </w:rPr>
              <w:t>100</w:t>
            </w:r>
          </w:p>
        </w:tc>
      </w:tr>
    </w:tbl>
    <w:p w14:paraId="272862D3" w14:textId="77777777" w:rsidR="00405820" w:rsidRDefault="00405820">
      <w:pPr>
        <w:spacing w:line="360" w:lineRule="auto"/>
        <w:jc w:val="both"/>
        <w:rPr>
          <w:rFonts w:cs="Times New Roman"/>
          <w:bCs/>
          <w:sz w:val="20"/>
          <w:szCs w:val="20"/>
        </w:rPr>
      </w:pPr>
    </w:p>
    <w:p w14:paraId="5363F5CB" w14:textId="77777777" w:rsidR="00405820" w:rsidRDefault="002F4028">
      <w:pPr>
        <w:numPr>
          <w:ilvl w:val="0"/>
          <w:numId w:val="1"/>
        </w:numPr>
        <w:spacing w:after="0" w:line="240" w:lineRule="auto"/>
        <w:ind w:left="0" w:firstLine="0"/>
        <w:jc w:val="both"/>
      </w:pPr>
      <w:r>
        <w:rPr>
          <w:rFonts w:ascii="Times New Roman" w:hAnsi="Times New Roman" w:cs="Times New Roman"/>
          <w:bCs/>
          <w:sz w:val="20"/>
          <w:szCs w:val="20"/>
        </w:rPr>
        <w:t xml:space="preserve">En lo que respecta a la población fija de estudiantes atendida en los Institutos de Educación Especial y Unidades Educativas de Educación Especial, ascienden a la cantidad de 29.549. Desglosados por áreas de atención. </w:t>
      </w:r>
    </w:p>
    <w:p w14:paraId="3CD94EFA" w14:textId="77777777" w:rsidR="00405820" w:rsidRDefault="002F4028">
      <w:pPr>
        <w:pStyle w:val="Ttulo11"/>
        <w:spacing w:before="0" w:after="0" w:line="240" w:lineRule="auto"/>
        <w:jc w:val="center"/>
      </w:pPr>
      <w:r>
        <w:rPr>
          <w:rFonts w:ascii="Times New Roman" w:hAnsi="Times New Roman"/>
          <w:sz w:val="20"/>
          <w:szCs w:val="20"/>
          <w:lang w:val="es-ES_tradnl"/>
        </w:rPr>
        <w:t>Tabla XII</w:t>
      </w:r>
    </w:p>
    <w:p w14:paraId="77B7ABAD" w14:textId="77777777" w:rsidR="00405820" w:rsidRDefault="002F4028">
      <w:pPr>
        <w:spacing w:after="0" w:line="240" w:lineRule="auto"/>
        <w:jc w:val="center"/>
        <w:rPr>
          <w:rFonts w:ascii="Times New Roman" w:hAnsi="Times New Roman" w:cs="Times New Roman"/>
          <w:b/>
          <w:bCs/>
          <w:sz w:val="20"/>
          <w:szCs w:val="20"/>
          <w:lang w:val="es-ES_tradnl"/>
        </w:rPr>
      </w:pPr>
      <w:r>
        <w:rPr>
          <w:rFonts w:ascii="Times New Roman" w:hAnsi="Times New Roman" w:cs="Times New Roman"/>
          <w:b/>
          <w:bCs/>
          <w:sz w:val="20"/>
          <w:szCs w:val="20"/>
          <w:lang w:val="es-ES_tradnl"/>
        </w:rPr>
        <w:t>Niños, niñas y adolescentes atendidos por áreas</w:t>
      </w:r>
    </w:p>
    <w:p w14:paraId="5C420A66" w14:textId="77777777" w:rsidR="00405820" w:rsidRDefault="00405820">
      <w:pPr>
        <w:spacing w:after="0" w:line="240" w:lineRule="auto"/>
        <w:jc w:val="center"/>
      </w:pPr>
    </w:p>
    <w:tbl>
      <w:tblPr>
        <w:tblStyle w:val="TableGrid"/>
        <w:tblW w:w="5880" w:type="dxa"/>
        <w:tblInd w:w="1701" w:type="dxa"/>
        <w:tblCellMar>
          <w:left w:w="0" w:type="dxa"/>
          <w:right w:w="0" w:type="dxa"/>
        </w:tblCellMar>
        <w:tblLook w:val="04A0" w:firstRow="1" w:lastRow="0" w:firstColumn="1" w:lastColumn="0" w:noHBand="0" w:noVBand="1"/>
      </w:tblPr>
      <w:tblGrid>
        <w:gridCol w:w="2971"/>
        <w:gridCol w:w="14"/>
        <w:gridCol w:w="1482"/>
        <w:gridCol w:w="1413"/>
      </w:tblGrid>
      <w:tr w:rsidR="00405820" w14:paraId="36B32E66" w14:textId="77777777">
        <w:trPr>
          <w:trHeight w:val="240"/>
          <w:tblHeader/>
        </w:trPr>
        <w:tc>
          <w:tcPr>
            <w:tcW w:w="2971" w:type="dxa"/>
            <w:tcBorders>
              <w:left w:val="nil"/>
              <w:bottom w:val="single" w:sz="12" w:space="0" w:color="000000"/>
              <w:right w:val="nil"/>
            </w:tcBorders>
            <w:vAlign w:val="bottom"/>
          </w:tcPr>
          <w:p w14:paraId="6C95E350" w14:textId="77777777" w:rsidR="00405820" w:rsidRDefault="002F4028">
            <w:pPr>
              <w:spacing w:before="80" w:after="80" w:line="200" w:lineRule="exact"/>
              <w:rPr>
                <w:b/>
                <w:bCs/>
              </w:rPr>
            </w:pPr>
            <w:r>
              <w:rPr>
                <w:rFonts w:ascii="Times New Roman" w:hAnsi="Times New Roman"/>
                <w:b/>
                <w:bCs/>
                <w:i/>
                <w:sz w:val="20"/>
                <w:lang w:val="es-ES_tradnl"/>
              </w:rPr>
              <w:t xml:space="preserve">Áreas de atención </w:t>
            </w:r>
          </w:p>
        </w:tc>
        <w:tc>
          <w:tcPr>
            <w:tcW w:w="1496" w:type="dxa"/>
            <w:gridSpan w:val="2"/>
            <w:tcBorders>
              <w:left w:val="nil"/>
              <w:bottom w:val="single" w:sz="12" w:space="0" w:color="000000"/>
              <w:right w:val="nil"/>
            </w:tcBorders>
            <w:vAlign w:val="bottom"/>
          </w:tcPr>
          <w:p w14:paraId="4D3E625B" w14:textId="77777777" w:rsidR="00405820" w:rsidRDefault="002F4028">
            <w:pPr>
              <w:spacing w:before="80" w:after="80" w:line="200" w:lineRule="exact"/>
              <w:jc w:val="right"/>
              <w:rPr>
                <w:b/>
                <w:bCs/>
                <w:i/>
                <w:sz w:val="20"/>
                <w:lang w:val="es-ES_tradnl"/>
              </w:rPr>
            </w:pPr>
            <w:r>
              <w:rPr>
                <w:b/>
                <w:bCs/>
                <w:i/>
                <w:sz w:val="20"/>
                <w:lang w:val="es-ES_tradnl"/>
              </w:rPr>
              <w:t>NNA</w:t>
            </w:r>
          </w:p>
        </w:tc>
        <w:tc>
          <w:tcPr>
            <w:tcW w:w="1413" w:type="dxa"/>
            <w:tcBorders>
              <w:left w:val="nil"/>
              <w:bottom w:val="single" w:sz="12" w:space="0" w:color="000000"/>
              <w:right w:val="nil"/>
            </w:tcBorders>
          </w:tcPr>
          <w:p w14:paraId="6D502548" w14:textId="77777777" w:rsidR="00405820" w:rsidRDefault="002F4028">
            <w:pPr>
              <w:spacing w:before="80" w:after="80" w:line="200" w:lineRule="exact"/>
              <w:jc w:val="right"/>
              <w:rPr>
                <w:b/>
                <w:bCs/>
              </w:rPr>
            </w:pPr>
            <w:r>
              <w:rPr>
                <w:b/>
                <w:bCs/>
                <w:i/>
                <w:sz w:val="20"/>
                <w:lang w:val="es-ES_tradnl"/>
              </w:rPr>
              <w:t xml:space="preserve">%              </w:t>
            </w:r>
          </w:p>
        </w:tc>
      </w:tr>
      <w:tr w:rsidR="00405820" w14:paraId="2AF0DE61" w14:textId="77777777">
        <w:trPr>
          <w:trHeight w:val="240"/>
        </w:trPr>
        <w:tc>
          <w:tcPr>
            <w:tcW w:w="2971" w:type="dxa"/>
            <w:tcBorders>
              <w:top w:val="single" w:sz="12" w:space="0" w:color="000000"/>
              <w:left w:val="nil"/>
              <w:bottom w:val="nil"/>
              <w:right w:val="nil"/>
            </w:tcBorders>
          </w:tcPr>
          <w:p w14:paraId="1307C09F" w14:textId="77777777" w:rsidR="00405820" w:rsidRDefault="002F4028">
            <w:pPr>
              <w:spacing w:before="40" w:after="40" w:line="220" w:lineRule="exact"/>
              <w:rPr>
                <w:rFonts w:ascii="Times New Roman" w:hAnsi="Times New Roman" w:cs="Times New Roman"/>
                <w:sz w:val="18"/>
                <w:szCs w:val="18"/>
              </w:rPr>
            </w:pPr>
            <w:r>
              <w:rPr>
                <w:rFonts w:ascii="Times New Roman" w:hAnsi="Times New Roman" w:cs="Times New Roman"/>
                <w:sz w:val="18"/>
                <w:szCs w:val="18"/>
                <w:lang w:val="es-ES_tradnl"/>
              </w:rPr>
              <w:t>Retardo mental</w:t>
            </w:r>
          </w:p>
        </w:tc>
        <w:tc>
          <w:tcPr>
            <w:tcW w:w="1496" w:type="dxa"/>
            <w:gridSpan w:val="2"/>
            <w:tcBorders>
              <w:top w:val="single" w:sz="12" w:space="0" w:color="000000"/>
              <w:left w:val="nil"/>
              <w:bottom w:val="nil"/>
              <w:right w:val="nil"/>
            </w:tcBorders>
            <w:vAlign w:val="bottom"/>
          </w:tcPr>
          <w:p w14:paraId="2B7544C4"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22.260</w:t>
            </w:r>
          </w:p>
        </w:tc>
        <w:tc>
          <w:tcPr>
            <w:tcW w:w="1413" w:type="dxa"/>
            <w:tcBorders>
              <w:top w:val="single" w:sz="12" w:space="0" w:color="000000"/>
              <w:left w:val="nil"/>
              <w:bottom w:val="nil"/>
              <w:right w:val="nil"/>
            </w:tcBorders>
          </w:tcPr>
          <w:p w14:paraId="4CDBE519"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75,33</w:t>
            </w:r>
          </w:p>
        </w:tc>
      </w:tr>
      <w:tr w:rsidR="00405820" w14:paraId="753287D8" w14:textId="77777777">
        <w:trPr>
          <w:trHeight w:val="240"/>
        </w:trPr>
        <w:tc>
          <w:tcPr>
            <w:tcW w:w="2971" w:type="dxa"/>
            <w:tcBorders>
              <w:top w:val="nil"/>
              <w:left w:val="nil"/>
              <w:bottom w:val="nil"/>
              <w:right w:val="nil"/>
            </w:tcBorders>
          </w:tcPr>
          <w:p w14:paraId="758FF119" w14:textId="77777777" w:rsidR="00405820" w:rsidRDefault="002F4028">
            <w:pPr>
              <w:spacing w:before="40" w:after="40" w:line="220" w:lineRule="exact"/>
              <w:rPr>
                <w:rFonts w:ascii="Times New Roman" w:hAnsi="Times New Roman" w:cs="Times New Roman"/>
                <w:sz w:val="18"/>
                <w:szCs w:val="18"/>
              </w:rPr>
            </w:pPr>
            <w:r>
              <w:rPr>
                <w:rFonts w:ascii="Times New Roman" w:hAnsi="Times New Roman" w:cs="Times New Roman"/>
                <w:sz w:val="18"/>
                <w:szCs w:val="18"/>
                <w:lang w:val="es-ES_tradnl"/>
              </w:rPr>
              <w:t>Autismo</w:t>
            </w:r>
          </w:p>
        </w:tc>
        <w:tc>
          <w:tcPr>
            <w:tcW w:w="1496" w:type="dxa"/>
            <w:gridSpan w:val="2"/>
            <w:tcBorders>
              <w:top w:val="nil"/>
              <w:left w:val="nil"/>
              <w:bottom w:val="nil"/>
              <w:right w:val="nil"/>
            </w:tcBorders>
            <w:vAlign w:val="bottom"/>
          </w:tcPr>
          <w:p w14:paraId="2E213F53"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3.933</w:t>
            </w:r>
          </w:p>
        </w:tc>
        <w:tc>
          <w:tcPr>
            <w:tcW w:w="1413" w:type="dxa"/>
            <w:tcBorders>
              <w:top w:val="nil"/>
              <w:left w:val="nil"/>
              <w:bottom w:val="nil"/>
              <w:right w:val="nil"/>
            </w:tcBorders>
          </w:tcPr>
          <w:p w14:paraId="4C8714B7"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 xml:space="preserve">               13,31           </w:t>
            </w:r>
          </w:p>
        </w:tc>
      </w:tr>
      <w:tr w:rsidR="00405820" w14:paraId="5B08E05B" w14:textId="77777777">
        <w:trPr>
          <w:trHeight w:val="240"/>
        </w:trPr>
        <w:tc>
          <w:tcPr>
            <w:tcW w:w="2971" w:type="dxa"/>
            <w:tcBorders>
              <w:top w:val="nil"/>
              <w:left w:val="nil"/>
              <w:bottom w:val="nil"/>
              <w:right w:val="nil"/>
            </w:tcBorders>
          </w:tcPr>
          <w:p w14:paraId="2E9261BB" w14:textId="77777777" w:rsidR="00405820" w:rsidRDefault="002F4028">
            <w:pPr>
              <w:spacing w:before="40" w:after="40" w:line="220" w:lineRule="exact"/>
              <w:rPr>
                <w:rFonts w:ascii="Times New Roman" w:hAnsi="Times New Roman" w:cs="Times New Roman"/>
                <w:sz w:val="18"/>
                <w:szCs w:val="18"/>
              </w:rPr>
            </w:pPr>
            <w:r>
              <w:rPr>
                <w:rFonts w:ascii="Times New Roman" w:hAnsi="Times New Roman" w:cs="Times New Roman"/>
                <w:sz w:val="18"/>
                <w:szCs w:val="18"/>
                <w:lang w:val="es-ES_tradnl"/>
              </w:rPr>
              <w:t>Impedimento físico</w:t>
            </w:r>
          </w:p>
        </w:tc>
        <w:tc>
          <w:tcPr>
            <w:tcW w:w="1496" w:type="dxa"/>
            <w:gridSpan w:val="2"/>
            <w:tcBorders>
              <w:top w:val="nil"/>
              <w:left w:val="nil"/>
              <w:bottom w:val="nil"/>
              <w:right w:val="nil"/>
            </w:tcBorders>
            <w:vAlign w:val="bottom"/>
          </w:tcPr>
          <w:p w14:paraId="40BC0AF1"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1.751</w:t>
            </w:r>
          </w:p>
        </w:tc>
        <w:tc>
          <w:tcPr>
            <w:tcW w:w="1413" w:type="dxa"/>
            <w:tcBorders>
              <w:top w:val="nil"/>
              <w:left w:val="nil"/>
              <w:bottom w:val="nil"/>
              <w:right w:val="nil"/>
            </w:tcBorders>
          </w:tcPr>
          <w:p w14:paraId="08FC8863"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5,93</w:t>
            </w:r>
          </w:p>
        </w:tc>
      </w:tr>
      <w:tr w:rsidR="00405820" w14:paraId="2328F2B2" w14:textId="77777777">
        <w:trPr>
          <w:trHeight w:val="240"/>
        </w:trPr>
        <w:tc>
          <w:tcPr>
            <w:tcW w:w="2971" w:type="dxa"/>
            <w:tcBorders>
              <w:top w:val="nil"/>
              <w:left w:val="nil"/>
              <w:bottom w:val="nil"/>
              <w:right w:val="nil"/>
            </w:tcBorders>
          </w:tcPr>
          <w:p w14:paraId="7E93EB35" w14:textId="77777777" w:rsidR="00405820" w:rsidRDefault="002F4028">
            <w:pPr>
              <w:spacing w:before="40" w:after="40" w:line="220" w:lineRule="exact"/>
              <w:rPr>
                <w:rFonts w:ascii="Times New Roman" w:hAnsi="Times New Roman" w:cs="Times New Roman"/>
                <w:sz w:val="18"/>
                <w:szCs w:val="18"/>
              </w:rPr>
            </w:pPr>
            <w:r>
              <w:rPr>
                <w:rFonts w:ascii="Times New Roman" w:hAnsi="Times New Roman" w:cs="Times New Roman"/>
                <w:sz w:val="18"/>
                <w:szCs w:val="18"/>
                <w:lang w:val="es-ES_tradnl"/>
              </w:rPr>
              <w:t>Deficiencia visual</w:t>
            </w:r>
          </w:p>
        </w:tc>
        <w:tc>
          <w:tcPr>
            <w:tcW w:w="1496" w:type="dxa"/>
            <w:gridSpan w:val="2"/>
            <w:tcBorders>
              <w:top w:val="nil"/>
              <w:left w:val="nil"/>
              <w:bottom w:val="nil"/>
              <w:right w:val="nil"/>
            </w:tcBorders>
            <w:vAlign w:val="bottom"/>
          </w:tcPr>
          <w:p w14:paraId="0BB33C87"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1.083</w:t>
            </w:r>
          </w:p>
        </w:tc>
        <w:tc>
          <w:tcPr>
            <w:tcW w:w="1413" w:type="dxa"/>
            <w:tcBorders>
              <w:top w:val="nil"/>
              <w:left w:val="nil"/>
              <w:bottom w:val="nil"/>
              <w:right w:val="nil"/>
            </w:tcBorders>
          </w:tcPr>
          <w:p w14:paraId="7625CCA6"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3,67</w:t>
            </w:r>
          </w:p>
        </w:tc>
      </w:tr>
      <w:tr w:rsidR="00405820" w14:paraId="6F5A4D3B" w14:textId="77777777">
        <w:trPr>
          <w:trHeight w:val="240"/>
        </w:trPr>
        <w:tc>
          <w:tcPr>
            <w:tcW w:w="2971" w:type="dxa"/>
            <w:tcBorders>
              <w:top w:val="nil"/>
              <w:left w:val="nil"/>
              <w:bottom w:val="nil"/>
              <w:right w:val="nil"/>
            </w:tcBorders>
          </w:tcPr>
          <w:p w14:paraId="74F349D6" w14:textId="77777777" w:rsidR="00405820" w:rsidRDefault="002F4028">
            <w:pPr>
              <w:spacing w:before="40" w:after="40" w:line="220" w:lineRule="exact"/>
              <w:rPr>
                <w:rFonts w:ascii="Times New Roman" w:hAnsi="Times New Roman" w:cs="Times New Roman"/>
                <w:sz w:val="18"/>
                <w:szCs w:val="18"/>
              </w:rPr>
            </w:pPr>
            <w:r>
              <w:rPr>
                <w:rFonts w:ascii="Times New Roman" w:hAnsi="Times New Roman" w:cs="Times New Roman"/>
                <w:sz w:val="18"/>
                <w:szCs w:val="18"/>
                <w:lang w:val="es-ES_tradnl"/>
              </w:rPr>
              <w:t>Deficiencia auditiva</w:t>
            </w:r>
          </w:p>
        </w:tc>
        <w:tc>
          <w:tcPr>
            <w:tcW w:w="1496" w:type="dxa"/>
            <w:gridSpan w:val="2"/>
            <w:tcBorders>
              <w:top w:val="nil"/>
              <w:left w:val="nil"/>
              <w:bottom w:val="nil"/>
              <w:right w:val="nil"/>
            </w:tcBorders>
            <w:vAlign w:val="bottom"/>
          </w:tcPr>
          <w:p w14:paraId="34649945"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522</w:t>
            </w:r>
          </w:p>
        </w:tc>
        <w:tc>
          <w:tcPr>
            <w:tcW w:w="1413" w:type="dxa"/>
            <w:tcBorders>
              <w:top w:val="nil"/>
              <w:left w:val="nil"/>
              <w:bottom w:val="nil"/>
              <w:right w:val="nil"/>
            </w:tcBorders>
          </w:tcPr>
          <w:p w14:paraId="1258AFBB" w14:textId="77777777" w:rsidR="00405820" w:rsidRDefault="002F4028">
            <w:pPr>
              <w:spacing w:before="40" w:after="40" w:line="220" w:lineRule="exact"/>
              <w:ind w:left="113"/>
              <w:jc w:val="right"/>
              <w:rPr>
                <w:rFonts w:ascii="Times New Roman" w:hAnsi="Times New Roman" w:cs="Times New Roman"/>
                <w:sz w:val="18"/>
                <w:szCs w:val="18"/>
              </w:rPr>
            </w:pPr>
            <w:r>
              <w:rPr>
                <w:rFonts w:ascii="Times New Roman" w:hAnsi="Times New Roman" w:cs="Times New Roman"/>
                <w:sz w:val="18"/>
                <w:szCs w:val="18"/>
                <w:lang w:val="es-ES_tradnl"/>
              </w:rPr>
              <w:t>1,77</w:t>
            </w:r>
          </w:p>
        </w:tc>
      </w:tr>
      <w:tr w:rsidR="00405820" w14:paraId="2E9D7A3E" w14:textId="77777777">
        <w:trPr>
          <w:trHeight w:val="240"/>
        </w:trPr>
        <w:tc>
          <w:tcPr>
            <w:tcW w:w="2985" w:type="dxa"/>
            <w:gridSpan w:val="2"/>
            <w:tcBorders>
              <w:left w:val="nil"/>
              <w:bottom w:val="single" w:sz="12" w:space="0" w:color="000000"/>
              <w:right w:val="nil"/>
            </w:tcBorders>
          </w:tcPr>
          <w:p w14:paraId="7651C864" w14:textId="77777777" w:rsidR="00405820" w:rsidRDefault="002F4028">
            <w:pPr>
              <w:spacing w:before="80" w:after="80" w:line="220" w:lineRule="exact"/>
              <w:ind w:left="283"/>
              <w:jc w:val="center"/>
            </w:pPr>
            <w:r>
              <w:rPr>
                <w:b/>
                <w:sz w:val="20"/>
                <w:lang w:val="es-ES_tradnl"/>
              </w:rPr>
              <w:t>TOTAL</w:t>
            </w:r>
          </w:p>
        </w:tc>
        <w:tc>
          <w:tcPr>
            <w:tcW w:w="1482" w:type="dxa"/>
            <w:tcBorders>
              <w:left w:val="nil"/>
              <w:bottom w:val="single" w:sz="12" w:space="0" w:color="000000"/>
              <w:right w:val="nil"/>
            </w:tcBorders>
            <w:vAlign w:val="bottom"/>
          </w:tcPr>
          <w:p w14:paraId="3A819D30" w14:textId="77777777" w:rsidR="00405820" w:rsidRDefault="002F4028">
            <w:pPr>
              <w:spacing w:before="80" w:after="80" w:line="220" w:lineRule="exact"/>
              <w:jc w:val="right"/>
            </w:pPr>
            <w:r>
              <w:rPr>
                <w:b/>
                <w:sz w:val="20"/>
                <w:lang w:val="es-ES_tradnl"/>
              </w:rPr>
              <w:t>29.549</w:t>
            </w:r>
          </w:p>
        </w:tc>
        <w:tc>
          <w:tcPr>
            <w:tcW w:w="1413" w:type="dxa"/>
            <w:tcBorders>
              <w:left w:val="nil"/>
              <w:bottom w:val="single" w:sz="12" w:space="0" w:color="000000"/>
              <w:right w:val="nil"/>
            </w:tcBorders>
          </w:tcPr>
          <w:p w14:paraId="197813D4" w14:textId="77777777" w:rsidR="00405820" w:rsidRDefault="002F4028">
            <w:pPr>
              <w:spacing w:before="80" w:after="80" w:line="220" w:lineRule="exact"/>
              <w:jc w:val="right"/>
            </w:pPr>
            <w:r>
              <w:rPr>
                <w:b/>
                <w:sz w:val="20"/>
                <w:lang w:val="es-ES_tradnl"/>
              </w:rPr>
              <w:t xml:space="preserve">                     100</w:t>
            </w:r>
          </w:p>
        </w:tc>
      </w:tr>
    </w:tbl>
    <w:p w14:paraId="6A676846" w14:textId="77777777" w:rsidR="00405820" w:rsidRDefault="00405820">
      <w:pPr>
        <w:spacing w:after="0" w:line="240" w:lineRule="auto"/>
        <w:jc w:val="both"/>
        <w:rPr>
          <w:rFonts w:ascii="Times New Roman" w:eastAsia="Times New Roman" w:hAnsi="Times New Roman" w:cs="Times New Roman"/>
          <w:sz w:val="20"/>
          <w:szCs w:val="20"/>
        </w:rPr>
      </w:pPr>
    </w:p>
    <w:p w14:paraId="1C1837C6"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lo que respecta a la educación inicial la matrícula estudiantil por entidad federal de educación preescolar para el período escolar 2020-2021 alcanza a 1.394.046 estudiantes.</w:t>
      </w:r>
    </w:p>
    <w:p w14:paraId="68206172" w14:textId="77777777" w:rsidR="00405820" w:rsidRDefault="00405820">
      <w:pPr>
        <w:spacing w:after="0" w:line="240" w:lineRule="auto"/>
        <w:jc w:val="both"/>
        <w:rPr>
          <w:rFonts w:ascii="Times New Roman" w:eastAsia="Times New Roman" w:hAnsi="Times New Roman" w:cs="Times New Roman"/>
          <w:sz w:val="20"/>
          <w:szCs w:val="20"/>
        </w:rPr>
      </w:pPr>
    </w:p>
    <w:p w14:paraId="3D474D4C" w14:textId="4552FFD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Para la atención de la población estudiantil a nivel nacional el MPPE tiene a su cargo 828 Defensores y Defensoras Educativas formados y acreditados por los Consejos Municipales de </w:t>
      </w:r>
      <w:r w:rsidR="00F9182B">
        <w:rPr>
          <w:rFonts w:ascii="Times New Roman" w:hAnsi="Times New Roman" w:cs="Times New Roman"/>
          <w:sz w:val="20"/>
          <w:szCs w:val="20"/>
        </w:rPr>
        <w:t>D</w:t>
      </w:r>
      <w:r>
        <w:rPr>
          <w:rFonts w:ascii="Times New Roman" w:hAnsi="Times New Roman" w:cs="Times New Roman"/>
          <w:sz w:val="20"/>
          <w:szCs w:val="20"/>
        </w:rPr>
        <w:t xml:space="preserve">erechos de Niños, Niñas y Adolescentes, quienes son los responsables de activar el protocolo de protección, promoción y difusión a los niños, niñas y adolescentes, realizan un acompañamiento y seguimiento en cada proceso, conjuntamente con la familia, la escuela y la comunidad organizada. </w:t>
      </w:r>
    </w:p>
    <w:p w14:paraId="572D0A70" w14:textId="77777777" w:rsidR="00405820" w:rsidRDefault="00405820">
      <w:pPr>
        <w:pStyle w:val="ListParagraph"/>
        <w:rPr>
          <w:rFonts w:cs="Times New Roman"/>
          <w:sz w:val="20"/>
          <w:szCs w:val="20"/>
        </w:rPr>
      </w:pPr>
    </w:p>
    <w:p w14:paraId="75F6583B"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el marco del programa nacional de Defensorías Educativas durante el período 2016-2019, se han creado 29.186 brigadas estudiantiles de derechos humanos, que forman parte del Consejo Estudiantil de cada institución educativa. En ellas participan los NNA de manera voluntaria y son promotores de una cultura de paz, fomentando el dialogo, la paz y la cultura de la no violencia entre la comunidad estudiantil.</w:t>
      </w:r>
    </w:p>
    <w:p w14:paraId="06A3BEB5" w14:textId="77777777" w:rsidR="00405820" w:rsidRDefault="00405820">
      <w:pPr>
        <w:pStyle w:val="ListParagraph"/>
        <w:rPr>
          <w:rFonts w:cs="Times New Roman"/>
          <w:bCs/>
          <w:sz w:val="20"/>
          <w:szCs w:val="20"/>
        </w:rPr>
      </w:pPr>
    </w:p>
    <w:p w14:paraId="52D7CF30"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bCs/>
          <w:sz w:val="20"/>
          <w:szCs w:val="20"/>
        </w:rPr>
        <w:t>Durante el período 2017-2019 se han ejecutados en las instituciones educativas y comunidades 763.515 actividades de prevención promoción y difusión sobre los deberes y derechos de los niños, niñas y adolescentes</w:t>
      </w:r>
      <w:r>
        <w:rPr>
          <w:rFonts w:ascii="Times New Roman" w:hAnsi="Times New Roman" w:cs="Times New Roman"/>
          <w:b/>
          <w:sz w:val="20"/>
          <w:szCs w:val="20"/>
        </w:rPr>
        <w:t>.</w:t>
      </w:r>
    </w:p>
    <w:p w14:paraId="3C344F70" w14:textId="77777777" w:rsidR="00405820" w:rsidRDefault="00405820">
      <w:pPr>
        <w:pStyle w:val="ListParagraph"/>
        <w:rPr>
          <w:rFonts w:cs="Times New Roman"/>
          <w:b/>
          <w:sz w:val="20"/>
          <w:szCs w:val="20"/>
        </w:rPr>
      </w:pPr>
    </w:p>
    <w:p w14:paraId="3DD83DDA" w14:textId="77777777" w:rsidR="00405820" w:rsidRDefault="002F4028">
      <w:pPr>
        <w:pStyle w:val="Ttulo11"/>
        <w:spacing w:before="0" w:after="0" w:line="240" w:lineRule="auto"/>
        <w:jc w:val="center"/>
      </w:pPr>
      <w:r>
        <w:rPr>
          <w:rFonts w:ascii="Times New Roman" w:hAnsi="Times New Roman"/>
          <w:sz w:val="20"/>
          <w:szCs w:val="20"/>
          <w:lang w:val="es-ES_tradnl"/>
        </w:rPr>
        <w:t>Tabla XIII</w:t>
      </w:r>
    </w:p>
    <w:p w14:paraId="2BC99695" w14:textId="77777777" w:rsidR="00405820" w:rsidRDefault="002F4028">
      <w:pPr>
        <w:pStyle w:val="Standard"/>
        <w:jc w:val="center"/>
      </w:pPr>
      <w:r>
        <w:rPr>
          <w:rFonts w:ascii="Times New Roman" w:hAnsi="Times New Roman" w:cs="Times New Roman"/>
          <w:b/>
          <w:bCs/>
          <w:sz w:val="20"/>
          <w:szCs w:val="20"/>
        </w:rPr>
        <w:t>Actividades de prevención, promoción y difusión período 2017-2019</w:t>
      </w:r>
    </w:p>
    <w:p w14:paraId="6FA2A96B" w14:textId="77777777" w:rsidR="00405820" w:rsidRDefault="00405820">
      <w:pPr>
        <w:pStyle w:val="Standard"/>
        <w:spacing w:line="360" w:lineRule="auto"/>
        <w:jc w:val="center"/>
        <w:rPr>
          <w:rFonts w:ascii="Times New Roman" w:hAnsi="Times New Roman" w:cs="Times New Roman"/>
          <w:b/>
          <w:bCs/>
          <w:sz w:val="20"/>
          <w:szCs w:val="20"/>
        </w:rPr>
      </w:pPr>
    </w:p>
    <w:tbl>
      <w:tblPr>
        <w:tblStyle w:val="TableGrid"/>
        <w:tblW w:w="8774" w:type="dxa"/>
        <w:jc w:val="center"/>
        <w:tblCellMar>
          <w:left w:w="0" w:type="dxa"/>
          <w:right w:w="0" w:type="dxa"/>
        </w:tblCellMar>
        <w:tblLook w:val="04A0" w:firstRow="1" w:lastRow="0" w:firstColumn="1" w:lastColumn="0" w:noHBand="0" w:noVBand="1"/>
      </w:tblPr>
      <w:tblGrid>
        <w:gridCol w:w="1336"/>
        <w:gridCol w:w="1618"/>
        <w:gridCol w:w="1668"/>
        <w:gridCol w:w="2076"/>
        <w:gridCol w:w="2076"/>
      </w:tblGrid>
      <w:tr w:rsidR="00405820" w14:paraId="5D85CE36" w14:textId="77777777">
        <w:trPr>
          <w:trHeight w:val="240"/>
          <w:tblHeader/>
          <w:jc w:val="center"/>
        </w:trPr>
        <w:tc>
          <w:tcPr>
            <w:tcW w:w="1336" w:type="dxa"/>
            <w:tcBorders>
              <w:left w:val="nil"/>
              <w:bottom w:val="single" w:sz="12" w:space="0" w:color="000000"/>
              <w:right w:val="nil"/>
            </w:tcBorders>
          </w:tcPr>
          <w:p w14:paraId="4E4A5F2A" w14:textId="77777777" w:rsidR="00405820" w:rsidRDefault="002F4028">
            <w:pPr>
              <w:spacing w:before="80" w:after="80" w:line="200" w:lineRule="exact"/>
            </w:pPr>
            <w:r>
              <w:rPr>
                <w:b/>
                <w:i/>
                <w:sz w:val="20"/>
                <w:lang w:val="es-ES_tradnl"/>
              </w:rPr>
              <w:t>Años</w:t>
            </w:r>
          </w:p>
        </w:tc>
        <w:tc>
          <w:tcPr>
            <w:tcW w:w="1618" w:type="dxa"/>
            <w:tcBorders>
              <w:left w:val="nil"/>
              <w:bottom w:val="single" w:sz="12" w:space="0" w:color="000000"/>
              <w:right w:val="nil"/>
            </w:tcBorders>
            <w:vAlign w:val="bottom"/>
          </w:tcPr>
          <w:p w14:paraId="16319A50" w14:textId="77777777" w:rsidR="00405820" w:rsidRDefault="002F4028">
            <w:pPr>
              <w:spacing w:before="80" w:after="80" w:line="200" w:lineRule="exact"/>
            </w:pPr>
            <w:r>
              <w:rPr>
                <w:b/>
                <w:i/>
                <w:sz w:val="20"/>
                <w:lang w:val="es-ES_tradnl"/>
              </w:rPr>
              <w:t>Estrategias</w:t>
            </w:r>
          </w:p>
        </w:tc>
        <w:tc>
          <w:tcPr>
            <w:tcW w:w="1668" w:type="dxa"/>
            <w:tcBorders>
              <w:left w:val="nil"/>
              <w:bottom w:val="single" w:sz="12" w:space="0" w:color="000000"/>
              <w:right w:val="nil"/>
            </w:tcBorders>
            <w:vAlign w:val="bottom"/>
          </w:tcPr>
          <w:p w14:paraId="07F9B08E" w14:textId="77777777" w:rsidR="00405820" w:rsidRDefault="002F4028">
            <w:pPr>
              <w:spacing w:before="80" w:after="80" w:line="200" w:lineRule="exact"/>
              <w:ind w:left="113"/>
              <w:jc w:val="right"/>
            </w:pPr>
            <w:proofErr w:type="spellStart"/>
            <w:r>
              <w:rPr>
                <w:b/>
                <w:i/>
                <w:sz w:val="20"/>
                <w:lang w:val="es-ES_tradnl"/>
              </w:rPr>
              <w:t>Nª</w:t>
            </w:r>
            <w:proofErr w:type="spellEnd"/>
            <w:r>
              <w:rPr>
                <w:b/>
                <w:i/>
                <w:sz w:val="20"/>
                <w:lang w:val="es-ES_tradnl"/>
              </w:rPr>
              <w:t xml:space="preserve"> de estudiantes</w:t>
            </w:r>
          </w:p>
        </w:tc>
        <w:tc>
          <w:tcPr>
            <w:tcW w:w="2076" w:type="dxa"/>
            <w:tcBorders>
              <w:left w:val="nil"/>
              <w:bottom w:val="single" w:sz="12" w:space="0" w:color="000000"/>
              <w:right w:val="nil"/>
            </w:tcBorders>
          </w:tcPr>
          <w:p w14:paraId="10F6E1A0" w14:textId="77777777" w:rsidR="00405820" w:rsidRDefault="002F4028">
            <w:pPr>
              <w:spacing w:before="80" w:after="80" w:line="200" w:lineRule="exact"/>
              <w:jc w:val="right"/>
            </w:pPr>
            <w:r>
              <w:rPr>
                <w:b/>
                <w:i/>
                <w:sz w:val="20"/>
                <w:lang w:val="es-ES_tradnl"/>
              </w:rPr>
              <w:t xml:space="preserve">                   Comunidad</w:t>
            </w:r>
          </w:p>
        </w:tc>
        <w:tc>
          <w:tcPr>
            <w:tcW w:w="2076" w:type="dxa"/>
            <w:tcBorders>
              <w:left w:val="nil"/>
              <w:bottom w:val="single" w:sz="12" w:space="0" w:color="000000"/>
              <w:right w:val="nil"/>
            </w:tcBorders>
          </w:tcPr>
          <w:p w14:paraId="6A3A66C7" w14:textId="77777777" w:rsidR="00405820" w:rsidRDefault="002F4028">
            <w:pPr>
              <w:spacing w:before="80" w:after="80" w:line="200" w:lineRule="exact"/>
              <w:jc w:val="right"/>
            </w:pPr>
            <w:r>
              <w:rPr>
                <w:b/>
                <w:i/>
                <w:sz w:val="20"/>
                <w:lang w:val="es-ES_tradnl"/>
              </w:rPr>
              <w:t xml:space="preserve">                          Totales</w:t>
            </w:r>
          </w:p>
        </w:tc>
      </w:tr>
      <w:tr w:rsidR="00405820" w14:paraId="0C13B90F" w14:textId="77777777">
        <w:trPr>
          <w:trHeight w:val="240"/>
          <w:jc w:val="center"/>
        </w:trPr>
        <w:tc>
          <w:tcPr>
            <w:tcW w:w="1336" w:type="dxa"/>
            <w:tcBorders>
              <w:top w:val="single" w:sz="12" w:space="0" w:color="000000"/>
              <w:left w:val="nil"/>
              <w:bottom w:val="nil"/>
              <w:right w:val="nil"/>
            </w:tcBorders>
          </w:tcPr>
          <w:p w14:paraId="7144D95D" w14:textId="77777777" w:rsidR="00405820" w:rsidRDefault="002F4028">
            <w:pPr>
              <w:spacing w:before="40" w:after="40" w:line="220" w:lineRule="exact"/>
            </w:pPr>
            <w:r>
              <w:rPr>
                <w:rFonts w:ascii="Times New Roman" w:hAnsi="Times New Roman"/>
                <w:b/>
                <w:sz w:val="16"/>
                <w:szCs w:val="16"/>
                <w:lang w:val="es-ES_tradnl"/>
              </w:rPr>
              <w:t>2017</w:t>
            </w:r>
          </w:p>
        </w:tc>
        <w:tc>
          <w:tcPr>
            <w:tcW w:w="1618" w:type="dxa"/>
            <w:tcBorders>
              <w:top w:val="single" w:sz="12" w:space="0" w:color="000000"/>
              <w:left w:val="nil"/>
              <w:bottom w:val="nil"/>
              <w:right w:val="nil"/>
            </w:tcBorders>
          </w:tcPr>
          <w:p w14:paraId="7953A644" w14:textId="77777777" w:rsidR="00405820" w:rsidRDefault="002F4028">
            <w:pPr>
              <w:spacing w:before="40" w:after="40" w:line="220" w:lineRule="exact"/>
            </w:pPr>
            <w:r>
              <w:rPr>
                <w:rFonts w:ascii="Times New Roman" w:hAnsi="Times New Roman"/>
                <w:sz w:val="16"/>
                <w:szCs w:val="16"/>
                <w:lang w:val="es-ES_tradnl"/>
              </w:rPr>
              <w:t>Talleres formativos</w:t>
            </w:r>
          </w:p>
        </w:tc>
        <w:tc>
          <w:tcPr>
            <w:tcW w:w="1668" w:type="dxa"/>
            <w:tcBorders>
              <w:top w:val="single" w:sz="12" w:space="0" w:color="000000"/>
              <w:left w:val="nil"/>
              <w:bottom w:val="nil"/>
              <w:right w:val="nil"/>
            </w:tcBorders>
            <w:vAlign w:val="bottom"/>
          </w:tcPr>
          <w:p w14:paraId="191E64AF" w14:textId="77777777" w:rsidR="00405820" w:rsidRDefault="002F4028">
            <w:pPr>
              <w:spacing w:before="40" w:after="40" w:line="220" w:lineRule="exact"/>
              <w:jc w:val="right"/>
            </w:pPr>
            <w:r>
              <w:rPr>
                <w:rFonts w:ascii="Times New Roman" w:hAnsi="Times New Roman"/>
                <w:sz w:val="16"/>
                <w:szCs w:val="16"/>
                <w:lang w:val="es-ES_tradnl"/>
              </w:rPr>
              <w:t xml:space="preserve">              20.325                                                                </w:t>
            </w:r>
          </w:p>
        </w:tc>
        <w:tc>
          <w:tcPr>
            <w:tcW w:w="2076" w:type="dxa"/>
            <w:tcBorders>
              <w:top w:val="single" w:sz="12" w:space="0" w:color="000000"/>
              <w:left w:val="nil"/>
              <w:bottom w:val="nil"/>
              <w:right w:val="nil"/>
            </w:tcBorders>
          </w:tcPr>
          <w:p w14:paraId="3E09494B" w14:textId="77777777" w:rsidR="00405820" w:rsidRDefault="002F4028">
            <w:pPr>
              <w:spacing w:before="40" w:after="40" w:line="220" w:lineRule="exact"/>
              <w:jc w:val="right"/>
            </w:pPr>
            <w:r>
              <w:rPr>
                <w:rFonts w:ascii="Times New Roman" w:hAnsi="Times New Roman"/>
                <w:sz w:val="16"/>
                <w:szCs w:val="16"/>
                <w:lang w:val="es-ES_tradnl"/>
              </w:rPr>
              <w:t xml:space="preserve">                            909</w:t>
            </w:r>
          </w:p>
        </w:tc>
        <w:tc>
          <w:tcPr>
            <w:tcW w:w="2076" w:type="dxa"/>
            <w:tcBorders>
              <w:top w:val="single" w:sz="12" w:space="0" w:color="000000"/>
              <w:left w:val="nil"/>
              <w:bottom w:val="nil"/>
              <w:right w:val="nil"/>
            </w:tcBorders>
          </w:tcPr>
          <w:p w14:paraId="054D932C" w14:textId="77777777" w:rsidR="00405820" w:rsidRDefault="002F4028">
            <w:pPr>
              <w:spacing w:before="40" w:after="40" w:line="220" w:lineRule="exact"/>
              <w:ind w:left="113"/>
              <w:jc w:val="right"/>
            </w:pPr>
            <w:r>
              <w:rPr>
                <w:rFonts w:ascii="Times New Roman" w:hAnsi="Times New Roman"/>
                <w:sz w:val="16"/>
                <w:szCs w:val="16"/>
                <w:lang w:val="es-ES_tradnl"/>
              </w:rPr>
              <w:t>21.234</w:t>
            </w:r>
          </w:p>
        </w:tc>
      </w:tr>
      <w:tr w:rsidR="00405820" w14:paraId="6C7BB390" w14:textId="77777777">
        <w:trPr>
          <w:trHeight w:val="240"/>
          <w:jc w:val="center"/>
        </w:trPr>
        <w:tc>
          <w:tcPr>
            <w:tcW w:w="1336" w:type="dxa"/>
            <w:tcBorders>
              <w:top w:val="nil"/>
              <w:left w:val="nil"/>
              <w:bottom w:val="nil"/>
              <w:right w:val="nil"/>
            </w:tcBorders>
          </w:tcPr>
          <w:p w14:paraId="6BAF1F28" w14:textId="77777777" w:rsidR="00405820" w:rsidRDefault="00405820">
            <w:pPr>
              <w:spacing w:before="40" w:after="40" w:line="220" w:lineRule="exact"/>
              <w:rPr>
                <w:rFonts w:ascii="Times New Roman" w:hAnsi="Times New Roman"/>
                <w:sz w:val="16"/>
                <w:szCs w:val="16"/>
                <w:lang w:val="es-ES_tradnl"/>
              </w:rPr>
            </w:pPr>
          </w:p>
        </w:tc>
        <w:tc>
          <w:tcPr>
            <w:tcW w:w="1618" w:type="dxa"/>
            <w:tcBorders>
              <w:top w:val="nil"/>
              <w:left w:val="nil"/>
              <w:bottom w:val="nil"/>
              <w:right w:val="nil"/>
            </w:tcBorders>
          </w:tcPr>
          <w:p w14:paraId="384B2FE7" w14:textId="77777777" w:rsidR="00405820" w:rsidRDefault="002F4028">
            <w:pPr>
              <w:spacing w:before="40" w:after="40" w:line="220" w:lineRule="exact"/>
            </w:pPr>
            <w:r>
              <w:rPr>
                <w:rFonts w:ascii="Times New Roman" w:hAnsi="Times New Roman"/>
                <w:sz w:val="16"/>
                <w:szCs w:val="16"/>
                <w:lang w:val="es-ES_tradnl"/>
              </w:rPr>
              <w:t>Cine foro</w:t>
            </w:r>
          </w:p>
        </w:tc>
        <w:tc>
          <w:tcPr>
            <w:tcW w:w="1668" w:type="dxa"/>
            <w:tcBorders>
              <w:top w:val="nil"/>
              <w:left w:val="nil"/>
              <w:bottom w:val="nil"/>
              <w:right w:val="nil"/>
            </w:tcBorders>
            <w:vAlign w:val="bottom"/>
          </w:tcPr>
          <w:p w14:paraId="377979D3" w14:textId="77777777" w:rsidR="00405820" w:rsidRDefault="002F4028">
            <w:pPr>
              <w:spacing w:before="40" w:after="40" w:line="220" w:lineRule="exact"/>
              <w:ind w:left="113"/>
              <w:jc w:val="right"/>
            </w:pPr>
            <w:r>
              <w:rPr>
                <w:rFonts w:ascii="Times New Roman" w:hAnsi="Times New Roman"/>
                <w:sz w:val="16"/>
                <w:szCs w:val="16"/>
                <w:lang w:val="es-ES_tradnl"/>
              </w:rPr>
              <w:t xml:space="preserve">             4.562</w:t>
            </w:r>
          </w:p>
        </w:tc>
        <w:tc>
          <w:tcPr>
            <w:tcW w:w="2076" w:type="dxa"/>
            <w:tcBorders>
              <w:top w:val="nil"/>
              <w:left w:val="nil"/>
              <w:bottom w:val="nil"/>
              <w:right w:val="nil"/>
            </w:tcBorders>
          </w:tcPr>
          <w:p w14:paraId="4A436360" w14:textId="77777777" w:rsidR="00405820" w:rsidRDefault="002F4028">
            <w:pPr>
              <w:spacing w:before="40" w:after="40" w:line="220" w:lineRule="exact"/>
              <w:ind w:left="113"/>
              <w:jc w:val="right"/>
            </w:pPr>
            <w:r>
              <w:rPr>
                <w:rFonts w:ascii="Times New Roman" w:hAnsi="Times New Roman"/>
                <w:sz w:val="16"/>
                <w:szCs w:val="16"/>
                <w:lang w:val="es-ES_tradnl"/>
              </w:rPr>
              <w:t xml:space="preserve">                  94                                 </w:t>
            </w:r>
          </w:p>
        </w:tc>
        <w:tc>
          <w:tcPr>
            <w:tcW w:w="2076" w:type="dxa"/>
            <w:tcBorders>
              <w:top w:val="nil"/>
              <w:left w:val="nil"/>
              <w:bottom w:val="nil"/>
              <w:right w:val="nil"/>
            </w:tcBorders>
          </w:tcPr>
          <w:p w14:paraId="16483DE8" w14:textId="77777777" w:rsidR="00405820" w:rsidRDefault="002F4028">
            <w:pPr>
              <w:spacing w:before="40" w:after="40" w:line="220" w:lineRule="exact"/>
              <w:ind w:left="113"/>
              <w:jc w:val="right"/>
            </w:pPr>
            <w:r>
              <w:rPr>
                <w:rFonts w:ascii="Times New Roman" w:hAnsi="Times New Roman"/>
                <w:sz w:val="16"/>
                <w:szCs w:val="16"/>
                <w:lang w:val="es-ES_tradnl"/>
              </w:rPr>
              <w:t xml:space="preserve">                             4.656</w:t>
            </w:r>
          </w:p>
        </w:tc>
      </w:tr>
      <w:tr w:rsidR="00405820" w14:paraId="07469955" w14:textId="77777777">
        <w:trPr>
          <w:trHeight w:val="240"/>
          <w:jc w:val="center"/>
        </w:trPr>
        <w:tc>
          <w:tcPr>
            <w:tcW w:w="1336" w:type="dxa"/>
            <w:tcBorders>
              <w:top w:val="nil"/>
              <w:left w:val="nil"/>
              <w:bottom w:val="nil"/>
              <w:right w:val="nil"/>
            </w:tcBorders>
          </w:tcPr>
          <w:p w14:paraId="60A483B0" w14:textId="77777777" w:rsidR="00405820" w:rsidRDefault="00405820">
            <w:pPr>
              <w:spacing w:before="40" w:after="40" w:line="220" w:lineRule="exact"/>
              <w:rPr>
                <w:rFonts w:ascii="Times New Roman" w:hAnsi="Times New Roman"/>
                <w:sz w:val="16"/>
                <w:szCs w:val="16"/>
                <w:lang w:val="es-ES_tradnl"/>
              </w:rPr>
            </w:pPr>
          </w:p>
        </w:tc>
        <w:tc>
          <w:tcPr>
            <w:tcW w:w="1618" w:type="dxa"/>
            <w:tcBorders>
              <w:top w:val="nil"/>
              <w:left w:val="nil"/>
              <w:bottom w:val="nil"/>
              <w:right w:val="nil"/>
            </w:tcBorders>
          </w:tcPr>
          <w:p w14:paraId="225CD1D4" w14:textId="77777777" w:rsidR="00405820" w:rsidRDefault="002F4028">
            <w:pPr>
              <w:spacing w:before="40" w:after="40" w:line="220" w:lineRule="exact"/>
            </w:pPr>
            <w:r>
              <w:rPr>
                <w:rFonts w:ascii="Times New Roman" w:hAnsi="Times New Roman"/>
                <w:sz w:val="16"/>
                <w:szCs w:val="16"/>
                <w:lang w:val="es-ES_tradnl"/>
              </w:rPr>
              <w:t>Conversatorios</w:t>
            </w:r>
          </w:p>
        </w:tc>
        <w:tc>
          <w:tcPr>
            <w:tcW w:w="1668" w:type="dxa"/>
            <w:tcBorders>
              <w:top w:val="nil"/>
              <w:left w:val="nil"/>
              <w:bottom w:val="nil"/>
              <w:right w:val="nil"/>
            </w:tcBorders>
            <w:vAlign w:val="bottom"/>
          </w:tcPr>
          <w:p w14:paraId="5DEA7227" w14:textId="77777777" w:rsidR="00405820" w:rsidRDefault="002F4028">
            <w:pPr>
              <w:spacing w:before="40" w:after="40" w:line="220" w:lineRule="exact"/>
              <w:ind w:left="113"/>
              <w:jc w:val="right"/>
            </w:pPr>
            <w:r>
              <w:rPr>
                <w:rFonts w:ascii="Times New Roman" w:hAnsi="Times New Roman"/>
                <w:sz w:val="16"/>
                <w:szCs w:val="16"/>
                <w:lang w:val="es-ES_tradnl"/>
              </w:rPr>
              <w:t xml:space="preserve">            29.865</w:t>
            </w:r>
          </w:p>
        </w:tc>
        <w:tc>
          <w:tcPr>
            <w:tcW w:w="2076" w:type="dxa"/>
            <w:tcBorders>
              <w:top w:val="nil"/>
              <w:left w:val="nil"/>
              <w:bottom w:val="nil"/>
              <w:right w:val="nil"/>
            </w:tcBorders>
          </w:tcPr>
          <w:p w14:paraId="062A2E98" w14:textId="77777777" w:rsidR="00405820" w:rsidRDefault="002F4028">
            <w:pPr>
              <w:spacing w:before="40" w:after="40" w:line="220" w:lineRule="exact"/>
              <w:ind w:left="113"/>
              <w:jc w:val="right"/>
            </w:pPr>
            <w:r>
              <w:rPr>
                <w:rFonts w:ascii="Times New Roman" w:hAnsi="Times New Roman"/>
                <w:sz w:val="16"/>
                <w:szCs w:val="16"/>
                <w:lang w:val="es-ES_tradnl"/>
              </w:rPr>
              <w:t xml:space="preserve">              1.935</w:t>
            </w:r>
          </w:p>
        </w:tc>
        <w:tc>
          <w:tcPr>
            <w:tcW w:w="2076" w:type="dxa"/>
            <w:tcBorders>
              <w:top w:val="nil"/>
              <w:left w:val="nil"/>
              <w:bottom w:val="nil"/>
              <w:right w:val="nil"/>
            </w:tcBorders>
          </w:tcPr>
          <w:p w14:paraId="1B4A2A54" w14:textId="77777777" w:rsidR="00405820" w:rsidRDefault="002F4028">
            <w:pPr>
              <w:spacing w:before="40" w:after="40" w:line="220" w:lineRule="exact"/>
              <w:ind w:left="113"/>
              <w:jc w:val="right"/>
            </w:pPr>
            <w:r>
              <w:rPr>
                <w:rFonts w:ascii="Times New Roman" w:hAnsi="Times New Roman"/>
                <w:sz w:val="16"/>
                <w:szCs w:val="16"/>
                <w:lang w:val="es-ES_tradnl"/>
              </w:rPr>
              <w:t xml:space="preserve">                           31.800</w:t>
            </w:r>
          </w:p>
        </w:tc>
      </w:tr>
      <w:tr w:rsidR="00405820" w14:paraId="6AD8AF8B" w14:textId="77777777">
        <w:trPr>
          <w:trHeight w:val="240"/>
          <w:jc w:val="center"/>
        </w:trPr>
        <w:tc>
          <w:tcPr>
            <w:tcW w:w="1336" w:type="dxa"/>
            <w:tcBorders>
              <w:top w:val="nil"/>
              <w:left w:val="nil"/>
              <w:right w:val="nil"/>
            </w:tcBorders>
            <w:shd w:val="clear" w:color="auto" w:fill="FFFFFF" w:themeFill="background1"/>
          </w:tcPr>
          <w:p w14:paraId="3A7509ED" w14:textId="77777777" w:rsidR="00405820" w:rsidRDefault="00405820">
            <w:pPr>
              <w:spacing w:before="40" w:after="40" w:line="220" w:lineRule="exact"/>
              <w:rPr>
                <w:rFonts w:ascii="Times New Roman" w:hAnsi="Times New Roman"/>
                <w:sz w:val="16"/>
                <w:szCs w:val="16"/>
                <w:lang w:val="es-ES_tradnl"/>
              </w:rPr>
            </w:pPr>
          </w:p>
        </w:tc>
        <w:tc>
          <w:tcPr>
            <w:tcW w:w="1618" w:type="dxa"/>
            <w:tcBorders>
              <w:top w:val="nil"/>
              <w:left w:val="nil"/>
              <w:right w:val="nil"/>
            </w:tcBorders>
            <w:shd w:val="clear" w:color="auto" w:fill="FFFFFF" w:themeFill="background1"/>
          </w:tcPr>
          <w:p w14:paraId="370A9DD8" w14:textId="77777777" w:rsidR="00405820" w:rsidRDefault="002F4028">
            <w:pPr>
              <w:spacing w:before="40" w:after="40" w:line="220" w:lineRule="exact"/>
            </w:pPr>
            <w:proofErr w:type="spellStart"/>
            <w:r>
              <w:rPr>
                <w:rFonts w:ascii="Times New Roman" w:hAnsi="Times New Roman"/>
                <w:b/>
                <w:sz w:val="16"/>
                <w:szCs w:val="16"/>
                <w:lang w:val="es-ES_tradnl"/>
              </w:rPr>
              <w:t>Sub-total</w:t>
            </w:r>
            <w:proofErr w:type="spellEnd"/>
          </w:p>
        </w:tc>
        <w:tc>
          <w:tcPr>
            <w:tcW w:w="1668" w:type="dxa"/>
            <w:tcBorders>
              <w:top w:val="nil"/>
              <w:left w:val="nil"/>
              <w:right w:val="nil"/>
            </w:tcBorders>
            <w:shd w:val="clear" w:color="auto" w:fill="FFFFFF" w:themeFill="background1"/>
            <w:vAlign w:val="bottom"/>
          </w:tcPr>
          <w:p w14:paraId="2D562BA8" w14:textId="77777777" w:rsidR="00405820" w:rsidRDefault="002F4028">
            <w:pPr>
              <w:spacing w:before="40" w:after="40" w:line="220" w:lineRule="exact"/>
              <w:ind w:left="113"/>
              <w:jc w:val="right"/>
            </w:pPr>
            <w:r>
              <w:rPr>
                <w:rFonts w:ascii="Times New Roman" w:hAnsi="Times New Roman"/>
                <w:sz w:val="16"/>
                <w:szCs w:val="16"/>
                <w:lang w:val="es-ES_tradnl"/>
              </w:rPr>
              <w:t xml:space="preserve">            </w:t>
            </w:r>
            <w:r>
              <w:rPr>
                <w:rFonts w:ascii="Times New Roman" w:hAnsi="Times New Roman"/>
                <w:b/>
                <w:sz w:val="16"/>
                <w:szCs w:val="16"/>
                <w:lang w:val="es-ES_tradnl"/>
              </w:rPr>
              <w:t>54.752</w:t>
            </w:r>
          </w:p>
        </w:tc>
        <w:tc>
          <w:tcPr>
            <w:tcW w:w="2076" w:type="dxa"/>
            <w:tcBorders>
              <w:top w:val="nil"/>
              <w:left w:val="nil"/>
              <w:right w:val="nil"/>
            </w:tcBorders>
            <w:shd w:val="clear" w:color="auto" w:fill="FFFFFF" w:themeFill="background1"/>
          </w:tcPr>
          <w:p w14:paraId="5DD58ABF" w14:textId="77777777" w:rsidR="00405820" w:rsidRDefault="002F4028">
            <w:pPr>
              <w:spacing w:before="40" w:after="40" w:line="220" w:lineRule="exact"/>
              <w:ind w:left="113"/>
              <w:jc w:val="right"/>
            </w:pPr>
            <w:r>
              <w:rPr>
                <w:rFonts w:ascii="Times New Roman" w:hAnsi="Times New Roman"/>
                <w:b/>
                <w:sz w:val="16"/>
                <w:szCs w:val="16"/>
                <w:lang w:val="es-ES_tradnl"/>
              </w:rPr>
              <w:t xml:space="preserve">              2.938</w:t>
            </w:r>
          </w:p>
        </w:tc>
        <w:tc>
          <w:tcPr>
            <w:tcW w:w="2076" w:type="dxa"/>
            <w:tcBorders>
              <w:top w:val="nil"/>
              <w:left w:val="nil"/>
              <w:right w:val="nil"/>
            </w:tcBorders>
            <w:shd w:val="clear" w:color="auto" w:fill="FFFFFF" w:themeFill="background1"/>
          </w:tcPr>
          <w:p w14:paraId="64389C7F" w14:textId="77777777" w:rsidR="00405820" w:rsidRDefault="002F4028">
            <w:pPr>
              <w:spacing w:before="40" w:after="40" w:line="220" w:lineRule="exact"/>
              <w:jc w:val="right"/>
            </w:pPr>
            <w:r>
              <w:rPr>
                <w:rFonts w:ascii="Times New Roman" w:hAnsi="Times New Roman"/>
                <w:sz w:val="16"/>
                <w:szCs w:val="16"/>
                <w:lang w:val="es-ES_tradnl"/>
              </w:rPr>
              <w:t xml:space="preserve">                             </w:t>
            </w:r>
            <w:r>
              <w:rPr>
                <w:rFonts w:ascii="Times New Roman" w:hAnsi="Times New Roman"/>
                <w:b/>
                <w:sz w:val="16"/>
                <w:szCs w:val="16"/>
                <w:lang w:val="es-ES_tradnl"/>
              </w:rPr>
              <w:t>57.690</w:t>
            </w:r>
          </w:p>
        </w:tc>
      </w:tr>
      <w:tr w:rsidR="00405820" w14:paraId="7AC7F997" w14:textId="77777777">
        <w:trPr>
          <w:trHeight w:val="240"/>
          <w:jc w:val="center"/>
        </w:trPr>
        <w:tc>
          <w:tcPr>
            <w:tcW w:w="1336" w:type="dxa"/>
            <w:tcBorders>
              <w:left w:val="nil"/>
              <w:bottom w:val="nil"/>
              <w:right w:val="nil"/>
            </w:tcBorders>
          </w:tcPr>
          <w:p w14:paraId="15D3478F" w14:textId="77777777" w:rsidR="00405820" w:rsidRDefault="002F4028">
            <w:pPr>
              <w:spacing w:before="40" w:after="40" w:line="220" w:lineRule="exact"/>
            </w:pPr>
            <w:r>
              <w:rPr>
                <w:rFonts w:ascii="Times New Roman" w:hAnsi="Times New Roman"/>
                <w:b/>
                <w:sz w:val="16"/>
                <w:szCs w:val="16"/>
                <w:lang w:val="es-ES_tradnl"/>
              </w:rPr>
              <w:t>2018</w:t>
            </w:r>
          </w:p>
        </w:tc>
        <w:tc>
          <w:tcPr>
            <w:tcW w:w="1618" w:type="dxa"/>
            <w:tcBorders>
              <w:left w:val="nil"/>
              <w:bottom w:val="nil"/>
              <w:right w:val="nil"/>
            </w:tcBorders>
          </w:tcPr>
          <w:p w14:paraId="656CE754" w14:textId="77777777" w:rsidR="00405820" w:rsidRDefault="002F4028">
            <w:pPr>
              <w:spacing w:before="40" w:after="40" w:line="220" w:lineRule="exact"/>
            </w:pPr>
            <w:r>
              <w:rPr>
                <w:rFonts w:ascii="Times New Roman" w:hAnsi="Times New Roman"/>
                <w:sz w:val="16"/>
                <w:szCs w:val="16"/>
                <w:lang w:val="es-ES_tradnl"/>
              </w:rPr>
              <w:t>Talleres formativos</w:t>
            </w:r>
          </w:p>
        </w:tc>
        <w:tc>
          <w:tcPr>
            <w:tcW w:w="1668" w:type="dxa"/>
            <w:tcBorders>
              <w:left w:val="nil"/>
              <w:bottom w:val="nil"/>
              <w:right w:val="nil"/>
            </w:tcBorders>
            <w:vAlign w:val="bottom"/>
          </w:tcPr>
          <w:p w14:paraId="1DF36C11" w14:textId="77777777" w:rsidR="00405820" w:rsidRDefault="002F4028">
            <w:pPr>
              <w:spacing w:before="40" w:after="40" w:line="220" w:lineRule="exact"/>
              <w:ind w:left="113"/>
              <w:jc w:val="right"/>
            </w:pPr>
            <w:r>
              <w:rPr>
                <w:rFonts w:ascii="Times New Roman" w:hAnsi="Times New Roman"/>
                <w:sz w:val="16"/>
                <w:szCs w:val="16"/>
                <w:lang w:val="es-ES_tradnl"/>
              </w:rPr>
              <w:t xml:space="preserve">  63.958</w:t>
            </w:r>
          </w:p>
        </w:tc>
        <w:tc>
          <w:tcPr>
            <w:tcW w:w="2076" w:type="dxa"/>
            <w:tcBorders>
              <w:left w:val="nil"/>
              <w:bottom w:val="nil"/>
              <w:right w:val="nil"/>
            </w:tcBorders>
          </w:tcPr>
          <w:p w14:paraId="1E8586E5" w14:textId="77777777" w:rsidR="00405820" w:rsidRDefault="002F4028">
            <w:pPr>
              <w:spacing w:before="40" w:after="40" w:line="220" w:lineRule="exact"/>
              <w:ind w:left="113"/>
              <w:jc w:val="right"/>
            </w:pPr>
            <w:r>
              <w:rPr>
                <w:rFonts w:ascii="Times New Roman" w:hAnsi="Times New Roman"/>
                <w:sz w:val="16"/>
                <w:szCs w:val="16"/>
                <w:lang w:val="es-ES_tradnl"/>
              </w:rPr>
              <w:t xml:space="preserve">             3.524      </w:t>
            </w:r>
          </w:p>
        </w:tc>
        <w:tc>
          <w:tcPr>
            <w:tcW w:w="2076" w:type="dxa"/>
            <w:tcBorders>
              <w:left w:val="nil"/>
              <w:bottom w:val="nil"/>
              <w:right w:val="nil"/>
            </w:tcBorders>
          </w:tcPr>
          <w:p w14:paraId="0394B3F2" w14:textId="77777777" w:rsidR="00405820" w:rsidRDefault="002F4028">
            <w:pPr>
              <w:spacing w:before="40" w:after="40" w:line="220" w:lineRule="exact"/>
              <w:ind w:left="113"/>
              <w:jc w:val="right"/>
            </w:pPr>
            <w:r>
              <w:rPr>
                <w:rFonts w:ascii="Times New Roman" w:hAnsi="Times New Roman"/>
                <w:sz w:val="16"/>
                <w:szCs w:val="16"/>
                <w:lang w:val="es-ES_tradnl"/>
              </w:rPr>
              <w:t xml:space="preserve">                          67.482</w:t>
            </w:r>
          </w:p>
        </w:tc>
      </w:tr>
      <w:tr w:rsidR="00405820" w14:paraId="4A11C4DD" w14:textId="77777777">
        <w:trPr>
          <w:trHeight w:val="240"/>
          <w:jc w:val="center"/>
        </w:trPr>
        <w:tc>
          <w:tcPr>
            <w:tcW w:w="1336" w:type="dxa"/>
            <w:tcBorders>
              <w:top w:val="nil"/>
              <w:left w:val="nil"/>
              <w:bottom w:val="nil"/>
              <w:right w:val="nil"/>
            </w:tcBorders>
          </w:tcPr>
          <w:p w14:paraId="64BF1C46" w14:textId="77777777" w:rsidR="00405820" w:rsidRDefault="00405820">
            <w:pPr>
              <w:spacing w:before="40" w:after="40" w:line="220" w:lineRule="exact"/>
              <w:rPr>
                <w:rFonts w:ascii="Times New Roman" w:hAnsi="Times New Roman"/>
                <w:sz w:val="16"/>
                <w:szCs w:val="16"/>
                <w:lang w:val="es-ES_tradnl"/>
              </w:rPr>
            </w:pPr>
          </w:p>
        </w:tc>
        <w:tc>
          <w:tcPr>
            <w:tcW w:w="1618" w:type="dxa"/>
            <w:tcBorders>
              <w:top w:val="nil"/>
              <w:left w:val="nil"/>
              <w:bottom w:val="nil"/>
              <w:right w:val="nil"/>
            </w:tcBorders>
          </w:tcPr>
          <w:p w14:paraId="12ACA48A" w14:textId="77777777" w:rsidR="00405820" w:rsidRDefault="002F4028">
            <w:pPr>
              <w:spacing w:before="40" w:after="40" w:line="220" w:lineRule="exact"/>
            </w:pPr>
            <w:r>
              <w:rPr>
                <w:rFonts w:ascii="Times New Roman" w:hAnsi="Times New Roman"/>
                <w:sz w:val="16"/>
                <w:szCs w:val="16"/>
                <w:lang w:val="es-ES_tradnl"/>
              </w:rPr>
              <w:t>Cine foro</w:t>
            </w:r>
          </w:p>
        </w:tc>
        <w:tc>
          <w:tcPr>
            <w:tcW w:w="1668" w:type="dxa"/>
            <w:tcBorders>
              <w:top w:val="nil"/>
              <w:left w:val="nil"/>
              <w:bottom w:val="nil"/>
              <w:right w:val="nil"/>
            </w:tcBorders>
            <w:vAlign w:val="bottom"/>
          </w:tcPr>
          <w:p w14:paraId="04310652" w14:textId="77777777" w:rsidR="00405820" w:rsidRDefault="002F4028">
            <w:pPr>
              <w:spacing w:before="40" w:after="40" w:line="220" w:lineRule="exact"/>
              <w:ind w:left="113"/>
              <w:jc w:val="right"/>
            </w:pPr>
            <w:r>
              <w:rPr>
                <w:rFonts w:ascii="Times New Roman" w:hAnsi="Times New Roman"/>
                <w:sz w:val="16"/>
                <w:szCs w:val="16"/>
                <w:lang w:val="es-ES_tradnl"/>
              </w:rPr>
              <w:t xml:space="preserve">  27.325</w:t>
            </w:r>
          </w:p>
        </w:tc>
        <w:tc>
          <w:tcPr>
            <w:tcW w:w="2076" w:type="dxa"/>
            <w:tcBorders>
              <w:top w:val="nil"/>
              <w:left w:val="nil"/>
              <w:bottom w:val="nil"/>
              <w:right w:val="nil"/>
            </w:tcBorders>
          </w:tcPr>
          <w:p w14:paraId="67CC3680" w14:textId="77777777" w:rsidR="00405820" w:rsidRDefault="002F4028">
            <w:pPr>
              <w:spacing w:before="40" w:after="40" w:line="220" w:lineRule="exact"/>
              <w:ind w:left="113"/>
              <w:jc w:val="right"/>
            </w:pPr>
            <w:r>
              <w:rPr>
                <w:rFonts w:ascii="Times New Roman" w:hAnsi="Times New Roman"/>
                <w:sz w:val="16"/>
                <w:szCs w:val="16"/>
                <w:lang w:val="es-ES_tradnl"/>
              </w:rPr>
              <w:t xml:space="preserve">             1.511</w:t>
            </w:r>
          </w:p>
        </w:tc>
        <w:tc>
          <w:tcPr>
            <w:tcW w:w="2076" w:type="dxa"/>
            <w:tcBorders>
              <w:top w:val="nil"/>
              <w:left w:val="nil"/>
              <w:bottom w:val="nil"/>
              <w:right w:val="nil"/>
            </w:tcBorders>
          </w:tcPr>
          <w:p w14:paraId="2053CDFA" w14:textId="77777777" w:rsidR="00405820" w:rsidRDefault="002F4028">
            <w:pPr>
              <w:spacing w:before="40" w:after="40" w:line="220" w:lineRule="exact"/>
              <w:ind w:left="113"/>
              <w:jc w:val="right"/>
            </w:pPr>
            <w:r>
              <w:rPr>
                <w:rFonts w:ascii="Times New Roman" w:hAnsi="Times New Roman"/>
                <w:sz w:val="16"/>
                <w:szCs w:val="16"/>
                <w:lang w:val="es-ES_tradnl"/>
              </w:rPr>
              <w:t>28.836</w:t>
            </w:r>
          </w:p>
        </w:tc>
      </w:tr>
      <w:tr w:rsidR="00405820" w14:paraId="0708DFD0" w14:textId="77777777">
        <w:trPr>
          <w:trHeight w:val="240"/>
          <w:jc w:val="center"/>
        </w:trPr>
        <w:tc>
          <w:tcPr>
            <w:tcW w:w="1336" w:type="dxa"/>
            <w:tcBorders>
              <w:top w:val="nil"/>
              <w:left w:val="nil"/>
              <w:bottom w:val="nil"/>
              <w:right w:val="nil"/>
            </w:tcBorders>
          </w:tcPr>
          <w:p w14:paraId="26BA3258" w14:textId="77777777" w:rsidR="00405820" w:rsidRDefault="00405820">
            <w:pPr>
              <w:spacing w:before="40" w:after="40" w:line="220" w:lineRule="exact"/>
              <w:rPr>
                <w:rFonts w:ascii="Times New Roman" w:hAnsi="Times New Roman"/>
                <w:sz w:val="16"/>
                <w:szCs w:val="16"/>
                <w:lang w:val="es-ES_tradnl"/>
              </w:rPr>
            </w:pPr>
          </w:p>
        </w:tc>
        <w:tc>
          <w:tcPr>
            <w:tcW w:w="1618" w:type="dxa"/>
            <w:tcBorders>
              <w:top w:val="nil"/>
              <w:left w:val="nil"/>
              <w:bottom w:val="nil"/>
              <w:right w:val="nil"/>
            </w:tcBorders>
          </w:tcPr>
          <w:p w14:paraId="502A2E90" w14:textId="77777777" w:rsidR="00405820" w:rsidRDefault="002F4028">
            <w:pPr>
              <w:spacing w:before="40" w:after="40" w:line="220" w:lineRule="exact"/>
            </w:pPr>
            <w:r>
              <w:rPr>
                <w:rFonts w:ascii="Times New Roman" w:hAnsi="Times New Roman"/>
                <w:sz w:val="16"/>
                <w:szCs w:val="16"/>
                <w:lang w:val="es-ES_tradnl"/>
              </w:rPr>
              <w:t>Conversatorios</w:t>
            </w:r>
          </w:p>
        </w:tc>
        <w:tc>
          <w:tcPr>
            <w:tcW w:w="1668" w:type="dxa"/>
            <w:tcBorders>
              <w:top w:val="nil"/>
              <w:left w:val="nil"/>
              <w:bottom w:val="nil"/>
              <w:right w:val="nil"/>
            </w:tcBorders>
            <w:vAlign w:val="bottom"/>
          </w:tcPr>
          <w:p w14:paraId="7D4926EC" w14:textId="77777777" w:rsidR="00405820" w:rsidRDefault="002F4028">
            <w:pPr>
              <w:spacing w:before="40" w:after="40" w:line="220" w:lineRule="exact"/>
              <w:ind w:left="113"/>
              <w:jc w:val="right"/>
            </w:pPr>
            <w:r>
              <w:rPr>
                <w:rFonts w:ascii="Times New Roman" w:hAnsi="Times New Roman"/>
                <w:sz w:val="16"/>
                <w:szCs w:val="16"/>
                <w:lang w:val="es-ES_tradnl"/>
              </w:rPr>
              <w:t>176.059</w:t>
            </w:r>
          </w:p>
        </w:tc>
        <w:tc>
          <w:tcPr>
            <w:tcW w:w="2076" w:type="dxa"/>
            <w:tcBorders>
              <w:top w:val="nil"/>
              <w:left w:val="nil"/>
              <w:bottom w:val="nil"/>
              <w:right w:val="nil"/>
            </w:tcBorders>
          </w:tcPr>
          <w:p w14:paraId="7A67190D" w14:textId="77777777" w:rsidR="00405820" w:rsidRDefault="002F4028">
            <w:pPr>
              <w:spacing w:before="40" w:after="40" w:line="220" w:lineRule="exact"/>
              <w:ind w:left="113"/>
              <w:jc w:val="right"/>
            </w:pPr>
            <w:r>
              <w:rPr>
                <w:rFonts w:ascii="Times New Roman" w:hAnsi="Times New Roman"/>
                <w:sz w:val="16"/>
                <w:szCs w:val="16"/>
                <w:lang w:val="es-ES_tradnl"/>
              </w:rPr>
              <w:t xml:space="preserve">             25.955</w:t>
            </w:r>
          </w:p>
        </w:tc>
        <w:tc>
          <w:tcPr>
            <w:tcW w:w="2076" w:type="dxa"/>
            <w:tcBorders>
              <w:top w:val="nil"/>
              <w:left w:val="nil"/>
              <w:bottom w:val="nil"/>
              <w:right w:val="nil"/>
            </w:tcBorders>
          </w:tcPr>
          <w:p w14:paraId="60390886" w14:textId="77777777" w:rsidR="00405820" w:rsidRDefault="002F4028">
            <w:pPr>
              <w:spacing w:before="40" w:after="40" w:line="220" w:lineRule="exact"/>
              <w:ind w:left="113"/>
              <w:jc w:val="right"/>
            </w:pPr>
            <w:r>
              <w:rPr>
                <w:rFonts w:ascii="Times New Roman" w:hAnsi="Times New Roman"/>
                <w:sz w:val="16"/>
                <w:szCs w:val="16"/>
                <w:lang w:val="es-ES_tradnl"/>
              </w:rPr>
              <w:t>202.014</w:t>
            </w:r>
          </w:p>
        </w:tc>
      </w:tr>
      <w:tr w:rsidR="00405820" w14:paraId="08B4D87C" w14:textId="77777777">
        <w:trPr>
          <w:trHeight w:val="240"/>
          <w:jc w:val="center"/>
        </w:trPr>
        <w:tc>
          <w:tcPr>
            <w:tcW w:w="1336" w:type="dxa"/>
            <w:tcBorders>
              <w:top w:val="nil"/>
              <w:left w:val="nil"/>
              <w:right w:val="nil"/>
            </w:tcBorders>
            <w:shd w:val="clear" w:color="auto" w:fill="FFFFFF" w:themeFill="background1"/>
          </w:tcPr>
          <w:p w14:paraId="7A7EEDF3" w14:textId="77777777" w:rsidR="00405820" w:rsidRDefault="00405820">
            <w:pPr>
              <w:spacing w:before="40" w:after="40" w:line="220" w:lineRule="exact"/>
              <w:rPr>
                <w:rFonts w:ascii="Times New Roman" w:hAnsi="Times New Roman"/>
                <w:b/>
                <w:sz w:val="16"/>
                <w:szCs w:val="16"/>
                <w:lang w:val="es-ES_tradnl"/>
              </w:rPr>
            </w:pPr>
          </w:p>
        </w:tc>
        <w:tc>
          <w:tcPr>
            <w:tcW w:w="1618" w:type="dxa"/>
            <w:tcBorders>
              <w:top w:val="nil"/>
              <w:left w:val="nil"/>
              <w:right w:val="nil"/>
            </w:tcBorders>
            <w:shd w:val="clear" w:color="auto" w:fill="FFFFFF" w:themeFill="background1"/>
          </w:tcPr>
          <w:p w14:paraId="727B76BD" w14:textId="77777777" w:rsidR="00405820" w:rsidRDefault="002F4028">
            <w:pPr>
              <w:spacing w:before="40" w:after="40" w:line="220" w:lineRule="exact"/>
            </w:pPr>
            <w:proofErr w:type="spellStart"/>
            <w:r>
              <w:rPr>
                <w:rFonts w:ascii="Times New Roman" w:hAnsi="Times New Roman"/>
                <w:b/>
                <w:sz w:val="16"/>
                <w:szCs w:val="16"/>
                <w:lang w:val="es-ES_tradnl"/>
              </w:rPr>
              <w:t>Sub-total</w:t>
            </w:r>
            <w:proofErr w:type="spellEnd"/>
          </w:p>
        </w:tc>
        <w:tc>
          <w:tcPr>
            <w:tcW w:w="1668" w:type="dxa"/>
            <w:tcBorders>
              <w:top w:val="nil"/>
              <w:left w:val="nil"/>
              <w:right w:val="nil"/>
            </w:tcBorders>
            <w:shd w:val="clear" w:color="auto" w:fill="FFFFFF" w:themeFill="background1"/>
            <w:vAlign w:val="bottom"/>
          </w:tcPr>
          <w:p w14:paraId="05872D6B" w14:textId="77777777" w:rsidR="00405820" w:rsidRDefault="002F4028">
            <w:pPr>
              <w:spacing w:before="40" w:after="40" w:line="220" w:lineRule="exact"/>
              <w:ind w:left="113"/>
              <w:jc w:val="right"/>
            </w:pPr>
            <w:r>
              <w:rPr>
                <w:rFonts w:ascii="Times New Roman" w:hAnsi="Times New Roman"/>
                <w:b/>
                <w:sz w:val="16"/>
                <w:szCs w:val="16"/>
                <w:lang w:val="es-ES_tradnl"/>
              </w:rPr>
              <w:t>267.342</w:t>
            </w:r>
          </w:p>
        </w:tc>
        <w:tc>
          <w:tcPr>
            <w:tcW w:w="2076" w:type="dxa"/>
            <w:tcBorders>
              <w:top w:val="nil"/>
              <w:left w:val="nil"/>
              <w:right w:val="nil"/>
            </w:tcBorders>
            <w:shd w:val="clear" w:color="auto" w:fill="FFFFFF" w:themeFill="background1"/>
          </w:tcPr>
          <w:p w14:paraId="2DE625FB" w14:textId="77777777" w:rsidR="00405820" w:rsidRDefault="002F4028">
            <w:pPr>
              <w:spacing w:before="40" w:after="40" w:line="220" w:lineRule="exact"/>
              <w:ind w:left="113"/>
              <w:jc w:val="right"/>
            </w:pPr>
            <w:r>
              <w:rPr>
                <w:rFonts w:ascii="Times New Roman" w:hAnsi="Times New Roman"/>
                <w:b/>
                <w:sz w:val="16"/>
                <w:szCs w:val="16"/>
                <w:lang w:val="es-ES_tradnl"/>
              </w:rPr>
              <w:t xml:space="preserve">             30.990</w:t>
            </w:r>
          </w:p>
        </w:tc>
        <w:tc>
          <w:tcPr>
            <w:tcW w:w="2076" w:type="dxa"/>
            <w:tcBorders>
              <w:top w:val="nil"/>
              <w:left w:val="nil"/>
              <w:right w:val="nil"/>
            </w:tcBorders>
            <w:shd w:val="clear" w:color="auto" w:fill="FFFFFF" w:themeFill="background1"/>
          </w:tcPr>
          <w:p w14:paraId="714BEC4A" w14:textId="77777777" w:rsidR="00405820" w:rsidRDefault="002F4028">
            <w:pPr>
              <w:spacing w:before="40" w:after="40" w:line="220" w:lineRule="exact"/>
              <w:ind w:left="113"/>
              <w:jc w:val="right"/>
            </w:pPr>
            <w:r>
              <w:rPr>
                <w:rFonts w:ascii="Times New Roman" w:hAnsi="Times New Roman"/>
                <w:b/>
                <w:sz w:val="16"/>
                <w:szCs w:val="16"/>
                <w:lang w:val="es-ES_tradnl"/>
              </w:rPr>
              <w:t>298.332</w:t>
            </w:r>
          </w:p>
        </w:tc>
      </w:tr>
      <w:tr w:rsidR="00405820" w14:paraId="09A7D36D" w14:textId="77777777">
        <w:trPr>
          <w:trHeight w:val="240"/>
          <w:jc w:val="center"/>
        </w:trPr>
        <w:tc>
          <w:tcPr>
            <w:tcW w:w="1336" w:type="dxa"/>
            <w:tcBorders>
              <w:left w:val="nil"/>
              <w:bottom w:val="nil"/>
              <w:right w:val="nil"/>
            </w:tcBorders>
          </w:tcPr>
          <w:p w14:paraId="1CE1BB6E" w14:textId="77777777" w:rsidR="00405820" w:rsidRDefault="002F4028">
            <w:pPr>
              <w:spacing w:before="40" w:after="40" w:line="220" w:lineRule="exact"/>
            </w:pPr>
            <w:r>
              <w:rPr>
                <w:rFonts w:ascii="Times New Roman" w:hAnsi="Times New Roman"/>
                <w:b/>
                <w:sz w:val="16"/>
                <w:szCs w:val="16"/>
                <w:lang w:val="es-ES_tradnl"/>
              </w:rPr>
              <w:t>2019</w:t>
            </w:r>
          </w:p>
        </w:tc>
        <w:tc>
          <w:tcPr>
            <w:tcW w:w="1618" w:type="dxa"/>
            <w:tcBorders>
              <w:left w:val="nil"/>
              <w:bottom w:val="nil"/>
              <w:right w:val="nil"/>
            </w:tcBorders>
          </w:tcPr>
          <w:p w14:paraId="1AE02F26" w14:textId="77777777" w:rsidR="00405820" w:rsidRDefault="002F4028">
            <w:pPr>
              <w:spacing w:before="40" w:after="40" w:line="220" w:lineRule="exact"/>
            </w:pPr>
            <w:r>
              <w:rPr>
                <w:rFonts w:ascii="Times New Roman" w:hAnsi="Times New Roman"/>
                <w:sz w:val="16"/>
                <w:szCs w:val="16"/>
                <w:lang w:val="es-ES_tradnl"/>
              </w:rPr>
              <w:t>Talleres formativos</w:t>
            </w:r>
          </w:p>
        </w:tc>
        <w:tc>
          <w:tcPr>
            <w:tcW w:w="1668" w:type="dxa"/>
            <w:tcBorders>
              <w:left w:val="nil"/>
              <w:bottom w:val="nil"/>
              <w:right w:val="nil"/>
            </w:tcBorders>
            <w:vAlign w:val="bottom"/>
          </w:tcPr>
          <w:p w14:paraId="257D8386" w14:textId="77777777" w:rsidR="00405820" w:rsidRDefault="002F4028">
            <w:pPr>
              <w:spacing w:before="40" w:after="40" w:line="220" w:lineRule="exact"/>
              <w:ind w:left="113"/>
              <w:jc w:val="right"/>
            </w:pPr>
            <w:r>
              <w:rPr>
                <w:rFonts w:ascii="Times New Roman" w:hAnsi="Times New Roman"/>
                <w:sz w:val="16"/>
                <w:szCs w:val="16"/>
                <w:lang w:val="es-ES_tradnl"/>
              </w:rPr>
              <w:t xml:space="preserve">  13.156</w:t>
            </w:r>
          </w:p>
        </w:tc>
        <w:tc>
          <w:tcPr>
            <w:tcW w:w="2076" w:type="dxa"/>
            <w:tcBorders>
              <w:left w:val="nil"/>
              <w:bottom w:val="nil"/>
              <w:right w:val="nil"/>
            </w:tcBorders>
          </w:tcPr>
          <w:p w14:paraId="5B2B606E" w14:textId="77777777" w:rsidR="00405820" w:rsidRDefault="002F4028">
            <w:pPr>
              <w:spacing w:before="40" w:after="40" w:line="220" w:lineRule="exact"/>
              <w:ind w:left="113"/>
              <w:jc w:val="right"/>
            </w:pPr>
            <w:r>
              <w:rPr>
                <w:rFonts w:ascii="Times New Roman" w:hAnsi="Times New Roman"/>
                <w:sz w:val="16"/>
                <w:szCs w:val="16"/>
                <w:lang w:val="es-ES_tradnl"/>
              </w:rPr>
              <w:t xml:space="preserve">                 579</w:t>
            </w:r>
          </w:p>
        </w:tc>
        <w:tc>
          <w:tcPr>
            <w:tcW w:w="2076" w:type="dxa"/>
            <w:tcBorders>
              <w:left w:val="nil"/>
              <w:bottom w:val="nil"/>
              <w:right w:val="nil"/>
            </w:tcBorders>
          </w:tcPr>
          <w:p w14:paraId="2A1F3102" w14:textId="77777777" w:rsidR="00405820" w:rsidRDefault="002F4028">
            <w:pPr>
              <w:spacing w:before="40" w:after="40" w:line="220" w:lineRule="exact"/>
              <w:ind w:left="113"/>
              <w:jc w:val="right"/>
            </w:pPr>
            <w:r>
              <w:rPr>
                <w:rFonts w:ascii="Times New Roman" w:hAnsi="Times New Roman"/>
                <w:sz w:val="16"/>
                <w:szCs w:val="16"/>
                <w:lang w:val="es-ES_tradnl"/>
              </w:rPr>
              <w:t>13.735</w:t>
            </w:r>
          </w:p>
        </w:tc>
      </w:tr>
      <w:tr w:rsidR="00405820" w14:paraId="67AE9F24" w14:textId="77777777">
        <w:trPr>
          <w:trHeight w:val="240"/>
          <w:jc w:val="center"/>
        </w:trPr>
        <w:tc>
          <w:tcPr>
            <w:tcW w:w="1336" w:type="dxa"/>
            <w:tcBorders>
              <w:top w:val="nil"/>
              <w:left w:val="nil"/>
              <w:bottom w:val="nil"/>
              <w:right w:val="nil"/>
            </w:tcBorders>
          </w:tcPr>
          <w:p w14:paraId="0666AAD5" w14:textId="77777777" w:rsidR="00405820" w:rsidRDefault="00405820">
            <w:pPr>
              <w:spacing w:before="40" w:after="40" w:line="220" w:lineRule="exact"/>
              <w:rPr>
                <w:rFonts w:ascii="Times New Roman" w:hAnsi="Times New Roman"/>
                <w:b/>
                <w:sz w:val="16"/>
                <w:szCs w:val="16"/>
                <w:lang w:val="es-ES_tradnl"/>
              </w:rPr>
            </w:pPr>
          </w:p>
        </w:tc>
        <w:tc>
          <w:tcPr>
            <w:tcW w:w="1618" w:type="dxa"/>
            <w:tcBorders>
              <w:top w:val="nil"/>
              <w:left w:val="nil"/>
              <w:bottom w:val="nil"/>
              <w:right w:val="nil"/>
            </w:tcBorders>
          </w:tcPr>
          <w:p w14:paraId="2BB463A1" w14:textId="77777777" w:rsidR="00405820" w:rsidRDefault="002F4028">
            <w:pPr>
              <w:spacing w:before="40" w:after="40" w:line="220" w:lineRule="exact"/>
            </w:pPr>
            <w:r>
              <w:rPr>
                <w:rFonts w:ascii="Times New Roman" w:hAnsi="Times New Roman"/>
                <w:sz w:val="16"/>
                <w:szCs w:val="16"/>
                <w:lang w:val="es-ES_tradnl"/>
              </w:rPr>
              <w:t>Cine foro</w:t>
            </w:r>
          </w:p>
        </w:tc>
        <w:tc>
          <w:tcPr>
            <w:tcW w:w="1668" w:type="dxa"/>
            <w:tcBorders>
              <w:top w:val="nil"/>
              <w:left w:val="nil"/>
              <w:bottom w:val="nil"/>
              <w:right w:val="nil"/>
            </w:tcBorders>
            <w:vAlign w:val="bottom"/>
          </w:tcPr>
          <w:p w14:paraId="425EDE72" w14:textId="77777777" w:rsidR="00405820" w:rsidRDefault="002F4028">
            <w:pPr>
              <w:spacing w:before="40" w:after="40" w:line="220" w:lineRule="exact"/>
              <w:ind w:left="113"/>
              <w:jc w:val="right"/>
            </w:pPr>
            <w:r>
              <w:rPr>
                <w:rFonts w:ascii="Times New Roman" w:hAnsi="Times New Roman"/>
                <w:sz w:val="16"/>
                <w:szCs w:val="16"/>
                <w:lang w:val="es-ES_tradnl"/>
              </w:rPr>
              <w:t xml:space="preserve">    5.504</w:t>
            </w:r>
          </w:p>
        </w:tc>
        <w:tc>
          <w:tcPr>
            <w:tcW w:w="2076" w:type="dxa"/>
            <w:tcBorders>
              <w:top w:val="nil"/>
              <w:left w:val="nil"/>
              <w:bottom w:val="nil"/>
              <w:right w:val="nil"/>
            </w:tcBorders>
          </w:tcPr>
          <w:p w14:paraId="4C8895C7" w14:textId="77777777" w:rsidR="00405820" w:rsidRDefault="002F4028">
            <w:pPr>
              <w:spacing w:before="40" w:after="40" w:line="220" w:lineRule="exact"/>
              <w:ind w:left="113"/>
              <w:jc w:val="right"/>
            </w:pPr>
            <w:r>
              <w:rPr>
                <w:rFonts w:ascii="Times New Roman" w:hAnsi="Times New Roman"/>
                <w:b/>
                <w:sz w:val="16"/>
                <w:szCs w:val="16"/>
                <w:lang w:val="es-ES_tradnl"/>
              </w:rPr>
              <w:t xml:space="preserve">                </w:t>
            </w:r>
            <w:r>
              <w:rPr>
                <w:rFonts w:ascii="Times New Roman" w:hAnsi="Times New Roman"/>
                <w:sz w:val="16"/>
                <w:szCs w:val="16"/>
                <w:lang w:val="es-ES_tradnl"/>
              </w:rPr>
              <w:t xml:space="preserve"> 125</w:t>
            </w:r>
          </w:p>
        </w:tc>
        <w:tc>
          <w:tcPr>
            <w:tcW w:w="2076" w:type="dxa"/>
            <w:tcBorders>
              <w:top w:val="nil"/>
              <w:left w:val="nil"/>
              <w:bottom w:val="nil"/>
              <w:right w:val="nil"/>
            </w:tcBorders>
          </w:tcPr>
          <w:p w14:paraId="2EE6CF62" w14:textId="77777777" w:rsidR="00405820" w:rsidRDefault="002F4028">
            <w:pPr>
              <w:spacing w:before="40" w:after="40" w:line="220" w:lineRule="exact"/>
              <w:ind w:left="113"/>
              <w:jc w:val="right"/>
            </w:pPr>
            <w:r>
              <w:rPr>
                <w:rFonts w:ascii="Times New Roman" w:hAnsi="Times New Roman"/>
                <w:sz w:val="16"/>
                <w:szCs w:val="16"/>
                <w:lang w:val="es-ES_tradnl"/>
              </w:rPr>
              <w:t>5.629</w:t>
            </w:r>
          </w:p>
        </w:tc>
      </w:tr>
      <w:tr w:rsidR="00405820" w14:paraId="3B02C2E3" w14:textId="77777777">
        <w:trPr>
          <w:trHeight w:val="240"/>
          <w:jc w:val="center"/>
        </w:trPr>
        <w:tc>
          <w:tcPr>
            <w:tcW w:w="1336" w:type="dxa"/>
            <w:tcBorders>
              <w:top w:val="nil"/>
              <w:left w:val="nil"/>
              <w:bottom w:val="nil"/>
              <w:right w:val="nil"/>
            </w:tcBorders>
          </w:tcPr>
          <w:p w14:paraId="311C1F4A" w14:textId="77777777" w:rsidR="00405820" w:rsidRDefault="00405820">
            <w:pPr>
              <w:spacing w:before="40" w:after="40" w:line="220" w:lineRule="exact"/>
              <w:rPr>
                <w:rFonts w:ascii="Times New Roman" w:hAnsi="Times New Roman"/>
                <w:b/>
                <w:sz w:val="16"/>
                <w:szCs w:val="16"/>
                <w:lang w:val="es-ES_tradnl"/>
              </w:rPr>
            </w:pPr>
          </w:p>
        </w:tc>
        <w:tc>
          <w:tcPr>
            <w:tcW w:w="1618" w:type="dxa"/>
            <w:tcBorders>
              <w:top w:val="nil"/>
              <w:left w:val="nil"/>
              <w:bottom w:val="nil"/>
              <w:right w:val="nil"/>
            </w:tcBorders>
          </w:tcPr>
          <w:p w14:paraId="1EE93359" w14:textId="77777777" w:rsidR="00405820" w:rsidRDefault="002F4028">
            <w:pPr>
              <w:spacing w:before="40" w:after="40" w:line="220" w:lineRule="exact"/>
            </w:pPr>
            <w:r>
              <w:rPr>
                <w:rFonts w:ascii="Times New Roman" w:hAnsi="Times New Roman"/>
                <w:sz w:val="16"/>
                <w:szCs w:val="16"/>
                <w:lang w:val="es-ES_tradnl"/>
              </w:rPr>
              <w:t>Conversatorios</w:t>
            </w:r>
          </w:p>
        </w:tc>
        <w:tc>
          <w:tcPr>
            <w:tcW w:w="1668" w:type="dxa"/>
            <w:tcBorders>
              <w:top w:val="nil"/>
              <w:left w:val="nil"/>
              <w:bottom w:val="nil"/>
              <w:right w:val="nil"/>
            </w:tcBorders>
            <w:vAlign w:val="bottom"/>
          </w:tcPr>
          <w:p w14:paraId="7363B286" w14:textId="77777777" w:rsidR="00405820" w:rsidRDefault="002F4028">
            <w:pPr>
              <w:spacing w:before="40" w:after="40" w:line="220" w:lineRule="exact"/>
              <w:ind w:left="113"/>
              <w:jc w:val="right"/>
            </w:pPr>
            <w:r>
              <w:rPr>
                <w:rFonts w:ascii="Times New Roman" w:hAnsi="Times New Roman"/>
                <w:sz w:val="16"/>
                <w:szCs w:val="16"/>
                <w:lang w:val="es-ES_tradnl"/>
              </w:rPr>
              <w:t xml:space="preserve">  30.894</w:t>
            </w:r>
          </w:p>
        </w:tc>
        <w:tc>
          <w:tcPr>
            <w:tcW w:w="2076" w:type="dxa"/>
            <w:tcBorders>
              <w:top w:val="nil"/>
              <w:left w:val="nil"/>
              <w:bottom w:val="nil"/>
              <w:right w:val="nil"/>
            </w:tcBorders>
          </w:tcPr>
          <w:p w14:paraId="52C4ACAC" w14:textId="77777777" w:rsidR="00405820" w:rsidRDefault="002F4028">
            <w:pPr>
              <w:spacing w:before="40" w:after="40" w:line="220" w:lineRule="exact"/>
              <w:ind w:left="113"/>
              <w:jc w:val="right"/>
            </w:pPr>
            <w:r>
              <w:rPr>
                <w:rFonts w:ascii="Times New Roman" w:hAnsi="Times New Roman"/>
                <w:sz w:val="16"/>
                <w:szCs w:val="16"/>
                <w:lang w:val="es-ES_tradnl"/>
              </w:rPr>
              <w:t xml:space="preserve">              1.213</w:t>
            </w:r>
          </w:p>
        </w:tc>
        <w:tc>
          <w:tcPr>
            <w:tcW w:w="2076" w:type="dxa"/>
            <w:tcBorders>
              <w:top w:val="nil"/>
              <w:left w:val="nil"/>
              <w:bottom w:val="nil"/>
              <w:right w:val="nil"/>
            </w:tcBorders>
          </w:tcPr>
          <w:p w14:paraId="5E213533" w14:textId="77777777" w:rsidR="00405820" w:rsidRDefault="002F4028">
            <w:pPr>
              <w:spacing w:before="40" w:after="40" w:line="220" w:lineRule="exact"/>
              <w:ind w:left="113"/>
              <w:jc w:val="right"/>
            </w:pPr>
            <w:r>
              <w:rPr>
                <w:rFonts w:ascii="Times New Roman" w:hAnsi="Times New Roman"/>
                <w:sz w:val="16"/>
                <w:szCs w:val="16"/>
                <w:lang w:val="es-ES_tradnl"/>
              </w:rPr>
              <w:t>32.107</w:t>
            </w:r>
          </w:p>
        </w:tc>
      </w:tr>
      <w:tr w:rsidR="00405820" w14:paraId="17395FB0" w14:textId="77777777">
        <w:trPr>
          <w:trHeight w:val="240"/>
          <w:jc w:val="center"/>
        </w:trPr>
        <w:tc>
          <w:tcPr>
            <w:tcW w:w="1336" w:type="dxa"/>
            <w:tcBorders>
              <w:top w:val="nil"/>
              <w:left w:val="nil"/>
              <w:bottom w:val="nil"/>
              <w:right w:val="nil"/>
            </w:tcBorders>
            <w:shd w:val="clear" w:color="auto" w:fill="FFFFFF" w:themeFill="background1"/>
          </w:tcPr>
          <w:p w14:paraId="73FB64BD" w14:textId="77777777" w:rsidR="00405820" w:rsidRDefault="00405820">
            <w:pPr>
              <w:spacing w:before="40" w:after="40" w:line="220" w:lineRule="exact"/>
              <w:rPr>
                <w:rFonts w:ascii="Times New Roman" w:hAnsi="Times New Roman"/>
                <w:b/>
                <w:sz w:val="16"/>
                <w:szCs w:val="16"/>
                <w:lang w:val="es-ES_tradnl"/>
              </w:rPr>
            </w:pPr>
          </w:p>
        </w:tc>
        <w:tc>
          <w:tcPr>
            <w:tcW w:w="1618" w:type="dxa"/>
            <w:tcBorders>
              <w:top w:val="nil"/>
              <w:left w:val="nil"/>
              <w:bottom w:val="nil"/>
              <w:right w:val="nil"/>
            </w:tcBorders>
            <w:shd w:val="clear" w:color="auto" w:fill="FFFFFF" w:themeFill="background1"/>
          </w:tcPr>
          <w:p w14:paraId="0E54A48B" w14:textId="77777777" w:rsidR="00405820" w:rsidRDefault="002F4028">
            <w:pPr>
              <w:spacing w:before="40" w:after="40" w:line="220" w:lineRule="exact"/>
            </w:pPr>
            <w:proofErr w:type="spellStart"/>
            <w:r>
              <w:rPr>
                <w:rFonts w:ascii="Times New Roman" w:hAnsi="Times New Roman"/>
                <w:b/>
                <w:sz w:val="16"/>
                <w:szCs w:val="16"/>
                <w:lang w:val="es-ES_tradnl"/>
              </w:rPr>
              <w:t>Sub-total</w:t>
            </w:r>
            <w:proofErr w:type="spellEnd"/>
          </w:p>
        </w:tc>
        <w:tc>
          <w:tcPr>
            <w:tcW w:w="1668" w:type="dxa"/>
            <w:tcBorders>
              <w:top w:val="nil"/>
              <w:left w:val="nil"/>
              <w:bottom w:val="nil"/>
              <w:right w:val="nil"/>
            </w:tcBorders>
            <w:shd w:val="clear" w:color="auto" w:fill="FFFFFF" w:themeFill="background1"/>
            <w:vAlign w:val="bottom"/>
          </w:tcPr>
          <w:p w14:paraId="603921F7" w14:textId="77777777" w:rsidR="00405820" w:rsidRDefault="002F4028">
            <w:pPr>
              <w:spacing w:before="40" w:after="40" w:line="220" w:lineRule="exact"/>
              <w:ind w:left="113"/>
              <w:jc w:val="right"/>
            </w:pPr>
            <w:r>
              <w:rPr>
                <w:rFonts w:ascii="Times New Roman" w:hAnsi="Times New Roman"/>
                <w:b/>
                <w:sz w:val="16"/>
                <w:szCs w:val="16"/>
                <w:lang w:val="es-ES_tradnl"/>
              </w:rPr>
              <w:t>49.554</w:t>
            </w:r>
          </w:p>
        </w:tc>
        <w:tc>
          <w:tcPr>
            <w:tcW w:w="2076" w:type="dxa"/>
            <w:tcBorders>
              <w:top w:val="nil"/>
              <w:left w:val="nil"/>
              <w:bottom w:val="nil"/>
              <w:right w:val="nil"/>
            </w:tcBorders>
            <w:shd w:val="clear" w:color="auto" w:fill="FFFFFF" w:themeFill="background1"/>
          </w:tcPr>
          <w:p w14:paraId="0AD8E6C9" w14:textId="77777777" w:rsidR="00405820" w:rsidRDefault="002F4028">
            <w:pPr>
              <w:spacing w:before="40" w:after="40" w:line="220" w:lineRule="exact"/>
              <w:ind w:left="113"/>
              <w:jc w:val="right"/>
            </w:pPr>
            <w:r>
              <w:rPr>
                <w:rFonts w:ascii="Times New Roman" w:hAnsi="Times New Roman"/>
                <w:b/>
                <w:sz w:val="16"/>
                <w:szCs w:val="16"/>
                <w:lang w:val="es-ES_tradnl"/>
              </w:rPr>
              <w:t xml:space="preserve">              1.917</w:t>
            </w:r>
          </w:p>
        </w:tc>
        <w:tc>
          <w:tcPr>
            <w:tcW w:w="2076" w:type="dxa"/>
            <w:tcBorders>
              <w:top w:val="nil"/>
              <w:left w:val="nil"/>
              <w:bottom w:val="nil"/>
              <w:right w:val="nil"/>
            </w:tcBorders>
            <w:shd w:val="clear" w:color="auto" w:fill="FFFFFF" w:themeFill="background1"/>
          </w:tcPr>
          <w:p w14:paraId="3E1A6FA2" w14:textId="77777777" w:rsidR="00405820" w:rsidRDefault="002F4028">
            <w:pPr>
              <w:spacing w:before="40" w:after="40" w:line="220" w:lineRule="exact"/>
              <w:ind w:left="113"/>
              <w:jc w:val="right"/>
            </w:pPr>
            <w:r>
              <w:rPr>
                <w:rFonts w:ascii="Times New Roman" w:hAnsi="Times New Roman"/>
                <w:b/>
                <w:sz w:val="16"/>
                <w:szCs w:val="16"/>
                <w:lang w:val="es-ES_tradnl"/>
              </w:rPr>
              <w:t>51.471</w:t>
            </w:r>
          </w:p>
        </w:tc>
      </w:tr>
      <w:tr w:rsidR="00405820" w14:paraId="66BFBB4A" w14:textId="77777777">
        <w:trPr>
          <w:trHeight w:val="240"/>
          <w:jc w:val="center"/>
        </w:trPr>
        <w:tc>
          <w:tcPr>
            <w:tcW w:w="1336" w:type="dxa"/>
            <w:tcBorders>
              <w:top w:val="nil"/>
              <w:left w:val="nil"/>
              <w:bottom w:val="nil"/>
              <w:right w:val="nil"/>
            </w:tcBorders>
          </w:tcPr>
          <w:p w14:paraId="0F18A182" w14:textId="77777777" w:rsidR="00405820" w:rsidRDefault="00405820">
            <w:pPr>
              <w:spacing w:before="40" w:after="40" w:line="220" w:lineRule="exact"/>
              <w:rPr>
                <w:sz w:val="20"/>
                <w:lang w:val="es-ES_tradnl"/>
              </w:rPr>
            </w:pPr>
          </w:p>
        </w:tc>
        <w:tc>
          <w:tcPr>
            <w:tcW w:w="1618" w:type="dxa"/>
            <w:tcBorders>
              <w:top w:val="nil"/>
              <w:left w:val="nil"/>
              <w:bottom w:val="nil"/>
              <w:right w:val="nil"/>
            </w:tcBorders>
          </w:tcPr>
          <w:p w14:paraId="3EF89F0A" w14:textId="77777777" w:rsidR="00405820" w:rsidRDefault="00405820">
            <w:pPr>
              <w:spacing w:before="40" w:after="40" w:line="220" w:lineRule="exact"/>
              <w:rPr>
                <w:sz w:val="20"/>
                <w:lang w:val="es-ES_tradnl"/>
              </w:rPr>
            </w:pPr>
          </w:p>
        </w:tc>
        <w:tc>
          <w:tcPr>
            <w:tcW w:w="1668" w:type="dxa"/>
            <w:tcBorders>
              <w:top w:val="nil"/>
              <w:left w:val="nil"/>
              <w:bottom w:val="nil"/>
              <w:right w:val="nil"/>
            </w:tcBorders>
            <w:vAlign w:val="bottom"/>
          </w:tcPr>
          <w:p w14:paraId="62FA1FEB" w14:textId="77777777" w:rsidR="00405820" w:rsidRDefault="00405820">
            <w:pPr>
              <w:spacing w:before="40" w:after="40" w:line="220" w:lineRule="exact"/>
              <w:ind w:left="113"/>
              <w:jc w:val="center"/>
              <w:rPr>
                <w:sz w:val="20"/>
                <w:lang w:val="es-ES_tradnl"/>
              </w:rPr>
            </w:pPr>
          </w:p>
        </w:tc>
        <w:tc>
          <w:tcPr>
            <w:tcW w:w="2076" w:type="dxa"/>
            <w:tcBorders>
              <w:top w:val="nil"/>
              <w:left w:val="nil"/>
              <w:bottom w:val="nil"/>
              <w:right w:val="nil"/>
            </w:tcBorders>
          </w:tcPr>
          <w:p w14:paraId="30A759AE" w14:textId="77777777" w:rsidR="00405820" w:rsidRDefault="00405820">
            <w:pPr>
              <w:spacing w:before="40" w:after="40" w:line="220" w:lineRule="exact"/>
              <w:ind w:left="113"/>
              <w:jc w:val="center"/>
              <w:rPr>
                <w:sz w:val="20"/>
                <w:lang w:val="es-ES_tradnl"/>
              </w:rPr>
            </w:pPr>
          </w:p>
        </w:tc>
        <w:tc>
          <w:tcPr>
            <w:tcW w:w="2076" w:type="dxa"/>
            <w:tcBorders>
              <w:top w:val="nil"/>
              <w:left w:val="nil"/>
              <w:bottom w:val="nil"/>
              <w:right w:val="nil"/>
            </w:tcBorders>
          </w:tcPr>
          <w:p w14:paraId="1F2843DA" w14:textId="77777777" w:rsidR="00405820" w:rsidRDefault="00405820">
            <w:pPr>
              <w:spacing w:before="40" w:after="40" w:line="220" w:lineRule="exact"/>
              <w:ind w:left="113"/>
              <w:jc w:val="right"/>
              <w:rPr>
                <w:sz w:val="20"/>
                <w:lang w:val="es-ES_tradnl"/>
              </w:rPr>
            </w:pPr>
          </w:p>
        </w:tc>
      </w:tr>
      <w:tr w:rsidR="00405820" w14:paraId="7997D1A0" w14:textId="77777777">
        <w:trPr>
          <w:trHeight w:val="240"/>
          <w:jc w:val="center"/>
        </w:trPr>
        <w:tc>
          <w:tcPr>
            <w:tcW w:w="1336" w:type="dxa"/>
            <w:tcBorders>
              <w:left w:val="nil"/>
              <w:bottom w:val="single" w:sz="12" w:space="0" w:color="000000"/>
              <w:right w:val="nil"/>
            </w:tcBorders>
          </w:tcPr>
          <w:p w14:paraId="6480EF74" w14:textId="77777777" w:rsidR="00405820" w:rsidRDefault="00405820">
            <w:pPr>
              <w:spacing w:before="80" w:after="80" w:line="220" w:lineRule="exact"/>
              <w:ind w:left="283"/>
              <w:rPr>
                <w:b/>
                <w:sz w:val="20"/>
                <w:lang w:val="es-ES_tradnl"/>
              </w:rPr>
            </w:pPr>
          </w:p>
        </w:tc>
        <w:tc>
          <w:tcPr>
            <w:tcW w:w="1618" w:type="dxa"/>
            <w:tcBorders>
              <w:left w:val="nil"/>
              <w:bottom w:val="single" w:sz="12" w:space="0" w:color="000000"/>
              <w:right w:val="nil"/>
            </w:tcBorders>
          </w:tcPr>
          <w:p w14:paraId="416F32B8" w14:textId="77777777" w:rsidR="00405820" w:rsidRDefault="002F4028">
            <w:pPr>
              <w:spacing w:before="80" w:after="80" w:line="220" w:lineRule="exact"/>
              <w:ind w:left="283"/>
            </w:pPr>
            <w:r>
              <w:rPr>
                <w:b/>
                <w:sz w:val="20"/>
                <w:lang w:val="es-ES_tradnl"/>
              </w:rPr>
              <w:t xml:space="preserve">Total </w:t>
            </w:r>
          </w:p>
        </w:tc>
        <w:tc>
          <w:tcPr>
            <w:tcW w:w="1668" w:type="dxa"/>
            <w:tcBorders>
              <w:left w:val="nil"/>
              <w:bottom w:val="single" w:sz="12" w:space="0" w:color="000000"/>
              <w:right w:val="nil"/>
            </w:tcBorders>
            <w:vAlign w:val="bottom"/>
          </w:tcPr>
          <w:p w14:paraId="61F9A72A" w14:textId="77777777" w:rsidR="00405820" w:rsidRDefault="002F4028">
            <w:pPr>
              <w:spacing w:before="80" w:after="80" w:line="220" w:lineRule="exact"/>
              <w:jc w:val="right"/>
            </w:pPr>
            <w:r>
              <w:rPr>
                <w:b/>
                <w:sz w:val="20"/>
                <w:lang w:val="es-ES_tradnl"/>
              </w:rPr>
              <w:t>371.648</w:t>
            </w:r>
          </w:p>
        </w:tc>
        <w:tc>
          <w:tcPr>
            <w:tcW w:w="2076" w:type="dxa"/>
            <w:tcBorders>
              <w:left w:val="nil"/>
              <w:bottom w:val="single" w:sz="12" w:space="0" w:color="000000"/>
              <w:right w:val="nil"/>
            </w:tcBorders>
          </w:tcPr>
          <w:p w14:paraId="418EECCB" w14:textId="77777777" w:rsidR="00405820" w:rsidRDefault="002F4028">
            <w:pPr>
              <w:spacing w:before="80" w:after="80" w:line="220" w:lineRule="exact"/>
              <w:jc w:val="right"/>
            </w:pPr>
            <w:r>
              <w:rPr>
                <w:b/>
                <w:sz w:val="20"/>
                <w:lang w:val="es-ES_tradnl"/>
              </w:rPr>
              <w:t xml:space="preserve">                     35.845</w:t>
            </w:r>
          </w:p>
        </w:tc>
        <w:tc>
          <w:tcPr>
            <w:tcW w:w="2076" w:type="dxa"/>
            <w:tcBorders>
              <w:left w:val="nil"/>
              <w:bottom w:val="single" w:sz="12" w:space="0" w:color="000000"/>
              <w:right w:val="nil"/>
            </w:tcBorders>
          </w:tcPr>
          <w:p w14:paraId="231F0F39" w14:textId="77777777" w:rsidR="00405820" w:rsidRDefault="002F4028">
            <w:pPr>
              <w:spacing w:before="80" w:after="80" w:line="220" w:lineRule="exact"/>
              <w:jc w:val="center"/>
            </w:pPr>
            <w:r>
              <w:rPr>
                <w:b/>
                <w:sz w:val="20"/>
                <w:lang w:val="es-ES_tradnl"/>
              </w:rPr>
              <w:t xml:space="preserve">                         763.515</w:t>
            </w:r>
          </w:p>
        </w:tc>
      </w:tr>
    </w:tbl>
    <w:p w14:paraId="5051D1BF" w14:textId="77777777" w:rsidR="00405820" w:rsidRDefault="00405820">
      <w:pPr>
        <w:spacing w:line="360" w:lineRule="auto"/>
        <w:jc w:val="center"/>
        <w:rPr>
          <w:rFonts w:cs="Times New Roman"/>
          <w:sz w:val="20"/>
          <w:szCs w:val="20"/>
        </w:rPr>
      </w:pPr>
    </w:p>
    <w:p w14:paraId="6DE87881" w14:textId="64683E83"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El MPPE tiene una estructura administrativa a nivel nacional y central de protección y desarrollo estudiantil en las 24 zonas educativas, y cuenta además con centros y servicios médicos odontológicos, encargados de atender directamente a la población estudiantil; además conjuntamente con el M</w:t>
      </w:r>
      <w:r w:rsidR="00F13130">
        <w:rPr>
          <w:rFonts w:ascii="Times New Roman" w:hAnsi="Times New Roman" w:cs="Times New Roman"/>
          <w:sz w:val="20"/>
          <w:szCs w:val="20"/>
        </w:rPr>
        <w:t>PPS</w:t>
      </w:r>
      <w:r>
        <w:rPr>
          <w:rFonts w:ascii="Times New Roman" w:hAnsi="Times New Roman" w:cs="Times New Roman"/>
          <w:sz w:val="20"/>
          <w:szCs w:val="20"/>
        </w:rPr>
        <w:t xml:space="preserve">, gobernaciones y alcaldías se realizan jornadas de mantenimiento preventivos y correctivos, saneamiento de la infraestructura educativa, jornadas curativas y preventivas odontológicas, vacunación, desparasitación, prevención del embarazo en adolescentes y ejecutar el plan de principales efemérides del área de salud nacional e internacional, entre otros.  </w:t>
      </w:r>
    </w:p>
    <w:p w14:paraId="0A63F131" w14:textId="77777777" w:rsidR="00405820" w:rsidRDefault="00405820">
      <w:pPr>
        <w:spacing w:after="0" w:line="240" w:lineRule="auto"/>
        <w:jc w:val="both"/>
        <w:rPr>
          <w:rFonts w:cs="Times New Roman"/>
          <w:sz w:val="20"/>
          <w:szCs w:val="20"/>
        </w:rPr>
      </w:pPr>
    </w:p>
    <w:p w14:paraId="37288FE3" w14:textId="4B106D1C"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el marco de la pandemia del Covid-19 durante el 2020 el Sistema de Educación Universitaria tuvo que ser revisado para seguir garantizando el derecho</w:t>
      </w:r>
      <w:r w:rsidR="00F13130">
        <w:rPr>
          <w:rFonts w:ascii="Times New Roman" w:hAnsi="Times New Roman" w:cs="Times New Roman"/>
          <w:sz w:val="20"/>
          <w:szCs w:val="20"/>
        </w:rPr>
        <w:t xml:space="preserve"> a la educación,</w:t>
      </w:r>
      <w:r>
        <w:rPr>
          <w:rFonts w:ascii="Times New Roman" w:hAnsi="Times New Roman" w:cs="Times New Roman"/>
          <w:sz w:val="20"/>
          <w:szCs w:val="20"/>
        </w:rPr>
        <w:t xml:space="preserve"> frente a la nueva realidad, por lo que </w:t>
      </w:r>
      <w:r w:rsidR="00F13130">
        <w:rPr>
          <w:rFonts w:ascii="Times New Roman" w:hAnsi="Times New Roman" w:cs="Times New Roman"/>
          <w:sz w:val="20"/>
          <w:szCs w:val="20"/>
        </w:rPr>
        <w:t xml:space="preserve">se desplegó </w:t>
      </w:r>
      <w:r>
        <w:rPr>
          <w:rFonts w:ascii="Times New Roman" w:hAnsi="Times New Roman" w:cs="Times New Roman"/>
          <w:sz w:val="20"/>
          <w:szCs w:val="20"/>
        </w:rPr>
        <w:t>un operativo para la formación de los docentes universitarios del país en el uso de herramientas tecnológicas para la educación a distancia. Esta iniciativa forma parte de la segunda etapa del Plan Universidad en Casa y de la segunda edición del curso Mediación del Aprendizaje para la Formación en Línea que es dictado a profesores universitarios, por medio de la plataforma educativa del CNTI Servicio Integral de Gestión y Mediación del Aprendizaje (SIGMA).</w:t>
      </w:r>
    </w:p>
    <w:p w14:paraId="2A24BBF3" w14:textId="77777777" w:rsidR="00405820" w:rsidRDefault="00405820">
      <w:pPr>
        <w:spacing w:after="0" w:line="240" w:lineRule="auto"/>
        <w:jc w:val="both"/>
        <w:rPr>
          <w:rFonts w:ascii="Times New Roman" w:eastAsia="Times New Roman" w:hAnsi="Times New Roman" w:cs="Times New Roman"/>
          <w:sz w:val="20"/>
          <w:szCs w:val="20"/>
        </w:rPr>
      </w:pPr>
    </w:p>
    <w:p w14:paraId="5E4B33DD"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En cuanto a la educación para la No discriminación, para eliminar las desigualdades de género, el Proyecto Canaima Educativo</w:t>
      </w:r>
      <w:r>
        <w:rPr>
          <w:rStyle w:val="Ancladenotaalpie"/>
          <w:rFonts w:ascii="Times New Roman" w:hAnsi="Times New Roman" w:cs="Times New Roman"/>
          <w:sz w:val="20"/>
          <w:szCs w:val="20"/>
        </w:rPr>
        <w:footnoteReference w:id="71"/>
      </w:r>
      <w:r>
        <w:rPr>
          <w:rFonts w:ascii="Times New Roman" w:hAnsi="Times New Roman" w:cs="Times New Roman"/>
          <w:sz w:val="20"/>
          <w:szCs w:val="20"/>
        </w:rPr>
        <w:t xml:space="preserve"> ha desarrollado recursos digitales en temas como la igualdad, derechos sexuales y reproductivos e infecciones de transmisión sexual. Asimismo, en los textos escolares de los niveles de Educación Inicial, Primaria y Media de la Colección Bicentenario</w:t>
      </w:r>
      <w:r>
        <w:rPr>
          <w:rStyle w:val="Ancladenotaalpie"/>
          <w:rFonts w:ascii="Times New Roman" w:hAnsi="Times New Roman" w:cs="Times New Roman"/>
          <w:sz w:val="20"/>
          <w:szCs w:val="20"/>
        </w:rPr>
        <w:footnoteReference w:id="72"/>
      </w:r>
      <w:r>
        <w:rPr>
          <w:rFonts w:ascii="Times New Roman" w:hAnsi="Times New Roman" w:cs="Times New Roman"/>
          <w:sz w:val="20"/>
          <w:szCs w:val="20"/>
        </w:rPr>
        <w:t xml:space="preserve">, se han incorporado algunas temáticas intituladas: </w:t>
      </w:r>
      <w:r>
        <w:rPr>
          <w:rFonts w:ascii="Times New Roman" w:hAnsi="Times New Roman" w:cs="Times New Roman"/>
          <w:i/>
          <w:sz w:val="20"/>
          <w:szCs w:val="20"/>
        </w:rPr>
        <w:t>“No somos personas idénticas, pero tenemos mismos derechos”</w:t>
      </w:r>
      <w:r>
        <w:rPr>
          <w:rFonts w:ascii="Times New Roman" w:hAnsi="Times New Roman" w:cs="Times New Roman"/>
          <w:sz w:val="20"/>
          <w:szCs w:val="20"/>
        </w:rPr>
        <w:t xml:space="preserve">; </w:t>
      </w:r>
      <w:r>
        <w:rPr>
          <w:rFonts w:ascii="Times New Roman" w:hAnsi="Times New Roman" w:cs="Times New Roman"/>
          <w:i/>
          <w:sz w:val="20"/>
          <w:szCs w:val="20"/>
        </w:rPr>
        <w:t>“Mi cuerpo un amigo por conocer</w:t>
      </w:r>
      <w:r>
        <w:rPr>
          <w:rFonts w:ascii="Times New Roman" w:hAnsi="Times New Roman" w:cs="Times New Roman"/>
          <w:sz w:val="20"/>
          <w:szCs w:val="20"/>
        </w:rPr>
        <w:t>”; “</w:t>
      </w:r>
      <w:r>
        <w:rPr>
          <w:rFonts w:ascii="Times New Roman" w:hAnsi="Times New Roman" w:cs="Times New Roman"/>
          <w:i/>
          <w:sz w:val="20"/>
          <w:szCs w:val="20"/>
        </w:rPr>
        <w:t>Esas nuevas sensaciones, Identidad sexual y de Género”</w:t>
      </w:r>
      <w:r>
        <w:rPr>
          <w:rFonts w:ascii="Times New Roman" w:hAnsi="Times New Roman" w:cs="Times New Roman"/>
          <w:sz w:val="20"/>
          <w:szCs w:val="20"/>
        </w:rPr>
        <w:t xml:space="preserve"> y </w:t>
      </w:r>
      <w:r>
        <w:rPr>
          <w:rFonts w:ascii="Times New Roman" w:hAnsi="Times New Roman" w:cs="Times New Roman"/>
          <w:i/>
          <w:sz w:val="20"/>
          <w:szCs w:val="20"/>
        </w:rPr>
        <w:t>“Tus derechos sexuales y reproductivos”</w:t>
      </w:r>
    </w:p>
    <w:p w14:paraId="06119648" w14:textId="77777777" w:rsidR="00405820" w:rsidRDefault="00405820">
      <w:pPr>
        <w:spacing w:after="0" w:line="240" w:lineRule="auto"/>
        <w:ind w:left="720"/>
        <w:jc w:val="both"/>
        <w:rPr>
          <w:rFonts w:ascii="Times New Roman" w:hAnsi="Times New Roman" w:cs="Times New Roman"/>
          <w:i/>
          <w:sz w:val="20"/>
          <w:szCs w:val="20"/>
        </w:rPr>
      </w:pPr>
    </w:p>
    <w:p w14:paraId="6BBEF855" w14:textId="5036A5AF" w:rsidR="00405820" w:rsidRDefault="002F4028">
      <w:pPr>
        <w:numPr>
          <w:ilvl w:val="0"/>
          <w:numId w:val="1"/>
        </w:numPr>
        <w:spacing w:after="0" w:line="240" w:lineRule="auto"/>
        <w:ind w:left="0" w:firstLine="0"/>
        <w:jc w:val="both"/>
      </w:pPr>
      <w:r>
        <w:rPr>
          <w:rFonts w:ascii="Times New Roman" w:eastAsia="Times New Roman" w:hAnsi="Times New Roman" w:cs="Times New Roman"/>
          <w:sz w:val="20"/>
          <w:szCs w:val="20"/>
        </w:rPr>
        <w:t>En cuanto a</w:t>
      </w:r>
      <w:r w:rsidR="00F13130">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la recreación el Estado venezolano ha desarrollado una política sostenida para garantizar la recreación delos niños, niñas y adolescentes en distintos contextos comunitario, escolar, entre otros. En particular resaltamos: </w:t>
      </w:r>
    </w:p>
    <w:p w14:paraId="1849CD37" w14:textId="77777777" w:rsidR="00405820" w:rsidRDefault="00405820">
      <w:pPr>
        <w:spacing w:after="0" w:line="240" w:lineRule="auto"/>
        <w:jc w:val="both"/>
      </w:pPr>
    </w:p>
    <w:p w14:paraId="62528607" w14:textId="77777777" w:rsidR="00405820" w:rsidRDefault="00405820">
      <w:pPr>
        <w:spacing w:after="0" w:line="240" w:lineRule="auto"/>
        <w:jc w:val="both"/>
      </w:pPr>
    </w:p>
    <w:p w14:paraId="12ECAC96" w14:textId="77777777" w:rsidR="00405820" w:rsidRDefault="002F4028">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Tabla XIV</w:t>
      </w:r>
    </w:p>
    <w:p w14:paraId="1CA5BB81" w14:textId="77777777" w:rsidR="00405820" w:rsidRDefault="002F4028">
      <w:pPr>
        <w:spacing w:after="0" w:line="240" w:lineRule="auto"/>
        <w:jc w:val="center"/>
      </w:pPr>
      <w:r>
        <w:rPr>
          <w:rFonts w:ascii="Times New Roman" w:hAnsi="Times New Roman" w:cs="Times New Roman"/>
          <w:b/>
          <w:bCs/>
          <w:sz w:val="20"/>
          <w:szCs w:val="20"/>
          <w:lang w:val="es-ES"/>
        </w:rPr>
        <w:t>Beneficiarios del Plan Vacacional y comunitario y Reto juvenil</w:t>
      </w:r>
    </w:p>
    <w:p w14:paraId="1D170281" w14:textId="77777777" w:rsidR="00405820" w:rsidRDefault="002F4028">
      <w:pPr>
        <w:spacing w:after="0" w:line="240" w:lineRule="auto"/>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2011-2023</w:t>
      </w:r>
    </w:p>
    <w:p w14:paraId="16C7E303" w14:textId="77777777" w:rsidR="00405820" w:rsidRDefault="00405820">
      <w:pPr>
        <w:spacing w:after="0" w:line="240" w:lineRule="auto"/>
        <w:jc w:val="center"/>
        <w:rPr>
          <w:rFonts w:ascii="Times New Roman" w:hAnsi="Times New Roman" w:cs="Times New Roman"/>
          <w:b/>
          <w:bCs/>
          <w:sz w:val="20"/>
          <w:szCs w:val="20"/>
        </w:rPr>
      </w:pPr>
    </w:p>
    <w:tbl>
      <w:tblPr>
        <w:tblStyle w:val="TableGrid"/>
        <w:tblW w:w="4094" w:type="dxa"/>
        <w:jc w:val="center"/>
        <w:tblCellMar>
          <w:left w:w="0" w:type="dxa"/>
          <w:right w:w="0" w:type="dxa"/>
        </w:tblCellMar>
        <w:tblLook w:val="04A0" w:firstRow="1" w:lastRow="0" w:firstColumn="1" w:lastColumn="0" w:noHBand="0" w:noVBand="1"/>
      </w:tblPr>
      <w:tblGrid>
        <w:gridCol w:w="2373"/>
        <w:gridCol w:w="1721"/>
      </w:tblGrid>
      <w:tr w:rsidR="00405820" w14:paraId="379597B5" w14:textId="77777777">
        <w:trPr>
          <w:trHeight w:val="240"/>
          <w:tblHeader/>
          <w:jc w:val="center"/>
        </w:trPr>
        <w:tc>
          <w:tcPr>
            <w:tcW w:w="2372" w:type="dxa"/>
            <w:tcBorders>
              <w:left w:val="nil"/>
              <w:bottom w:val="single" w:sz="12" w:space="0" w:color="000000"/>
              <w:right w:val="nil"/>
            </w:tcBorders>
            <w:vAlign w:val="bottom"/>
          </w:tcPr>
          <w:p w14:paraId="0D5C9CE5" w14:textId="77777777" w:rsidR="00405820" w:rsidRDefault="002F4028">
            <w:pPr>
              <w:spacing w:before="80" w:after="80" w:line="200" w:lineRule="exact"/>
              <w:rPr>
                <w:rFonts w:ascii="Times New Roman" w:hAnsi="Times New Roman"/>
                <w:b/>
                <w:bCs/>
                <w:sz w:val="20"/>
              </w:rPr>
            </w:pPr>
            <w:r>
              <w:rPr>
                <w:rFonts w:ascii="Times New Roman" w:hAnsi="Times New Roman"/>
                <w:b/>
                <w:bCs/>
                <w:i/>
                <w:sz w:val="20"/>
                <w:lang w:val="es-ES_tradnl"/>
              </w:rPr>
              <w:t>Años</w:t>
            </w:r>
          </w:p>
        </w:tc>
        <w:tc>
          <w:tcPr>
            <w:tcW w:w="1721" w:type="dxa"/>
            <w:tcBorders>
              <w:left w:val="nil"/>
              <w:bottom w:val="single" w:sz="12" w:space="0" w:color="000000"/>
              <w:right w:val="nil"/>
            </w:tcBorders>
            <w:vAlign w:val="bottom"/>
          </w:tcPr>
          <w:p w14:paraId="34FBB683" w14:textId="77777777" w:rsidR="00405820" w:rsidRDefault="002F4028">
            <w:pPr>
              <w:spacing w:before="80" w:after="80" w:line="200" w:lineRule="exact"/>
              <w:ind w:left="-57"/>
              <w:jc w:val="right"/>
              <w:rPr>
                <w:rFonts w:ascii="Times New Roman" w:hAnsi="Times New Roman"/>
                <w:b/>
                <w:bCs/>
                <w:sz w:val="20"/>
              </w:rPr>
            </w:pPr>
            <w:r>
              <w:rPr>
                <w:rFonts w:ascii="Times New Roman" w:hAnsi="Times New Roman"/>
                <w:b/>
                <w:bCs/>
                <w:i/>
                <w:sz w:val="20"/>
                <w:lang w:val="es-ES_tradnl"/>
              </w:rPr>
              <w:t xml:space="preserve">         Beneficiarios</w:t>
            </w:r>
          </w:p>
        </w:tc>
      </w:tr>
      <w:tr w:rsidR="00405820" w14:paraId="1DC5F617" w14:textId="77777777">
        <w:trPr>
          <w:trHeight w:val="240"/>
          <w:jc w:val="center"/>
        </w:trPr>
        <w:tc>
          <w:tcPr>
            <w:tcW w:w="2372" w:type="dxa"/>
            <w:tcBorders>
              <w:top w:val="single" w:sz="12" w:space="0" w:color="000000"/>
              <w:left w:val="nil"/>
              <w:bottom w:val="nil"/>
              <w:right w:val="nil"/>
            </w:tcBorders>
            <w:vAlign w:val="center"/>
          </w:tcPr>
          <w:p w14:paraId="00E9C59D" w14:textId="77777777" w:rsidR="00405820" w:rsidRDefault="002F4028">
            <w:pPr>
              <w:spacing w:line="360" w:lineRule="auto"/>
              <w:rPr>
                <w:rFonts w:ascii="Times New Roman" w:hAnsi="Times New Roman"/>
                <w:sz w:val="16"/>
                <w:szCs w:val="16"/>
              </w:rPr>
            </w:pPr>
            <w:r>
              <w:rPr>
                <w:rFonts w:ascii="Times New Roman" w:eastAsia="Times New Roman" w:hAnsi="Times New Roman" w:cs="Times New Roman"/>
                <w:color w:val="000000"/>
                <w:sz w:val="16"/>
                <w:szCs w:val="16"/>
                <w:lang w:eastAsia="es-VE"/>
              </w:rPr>
              <w:t>2011</w:t>
            </w:r>
          </w:p>
        </w:tc>
        <w:tc>
          <w:tcPr>
            <w:tcW w:w="1721" w:type="dxa"/>
            <w:tcBorders>
              <w:top w:val="single" w:sz="12" w:space="0" w:color="000000"/>
              <w:left w:val="nil"/>
              <w:bottom w:val="nil"/>
              <w:right w:val="nil"/>
            </w:tcBorders>
            <w:vAlign w:val="center"/>
          </w:tcPr>
          <w:p w14:paraId="234EB6C2" w14:textId="77777777" w:rsidR="00405820" w:rsidRDefault="002F4028">
            <w:pPr>
              <w:spacing w:line="360" w:lineRule="auto"/>
              <w:jc w:val="right"/>
              <w:rPr>
                <w:rFonts w:ascii="Times New Roman" w:hAnsi="Times New Roman"/>
                <w:sz w:val="16"/>
                <w:szCs w:val="16"/>
              </w:rPr>
            </w:pPr>
            <w:r>
              <w:rPr>
                <w:rFonts w:ascii="Times New Roman" w:eastAsia="Times New Roman" w:hAnsi="Times New Roman" w:cs="Times New Roman"/>
                <w:color w:val="000000"/>
                <w:sz w:val="16"/>
                <w:szCs w:val="16"/>
                <w:lang w:val="es-ES" w:eastAsia="es-VE"/>
              </w:rPr>
              <w:t>1.263.291</w:t>
            </w:r>
          </w:p>
        </w:tc>
      </w:tr>
      <w:tr w:rsidR="00405820" w14:paraId="14999EB1" w14:textId="77777777">
        <w:trPr>
          <w:trHeight w:val="240"/>
          <w:jc w:val="center"/>
        </w:trPr>
        <w:tc>
          <w:tcPr>
            <w:tcW w:w="2372" w:type="dxa"/>
            <w:tcBorders>
              <w:top w:val="nil"/>
              <w:left w:val="nil"/>
              <w:bottom w:val="nil"/>
              <w:right w:val="nil"/>
            </w:tcBorders>
            <w:vAlign w:val="center"/>
          </w:tcPr>
          <w:p w14:paraId="4E7E8584" w14:textId="77777777" w:rsidR="00405820" w:rsidRDefault="002F4028">
            <w:pPr>
              <w:spacing w:line="360" w:lineRule="auto"/>
              <w:rPr>
                <w:rFonts w:ascii="Times New Roman" w:hAnsi="Times New Roman"/>
                <w:sz w:val="16"/>
                <w:szCs w:val="16"/>
              </w:rPr>
            </w:pPr>
            <w:r>
              <w:rPr>
                <w:rFonts w:ascii="Times New Roman" w:eastAsia="Times New Roman" w:hAnsi="Times New Roman" w:cs="Times New Roman"/>
                <w:color w:val="000000"/>
                <w:sz w:val="16"/>
                <w:szCs w:val="16"/>
                <w:lang w:eastAsia="es-VE"/>
              </w:rPr>
              <w:t>2012</w:t>
            </w:r>
          </w:p>
        </w:tc>
        <w:tc>
          <w:tcPr>
            <w:tcW w:w="1721" w:type="dxa"/>
            <w:tcBorders>
              <w:top w:val="nil"/>
              <w:left w:val="nil"/>
              <w:bottom w:val="nil"/>
              <w:right w:val="nil"/>
            </w:tcBorders>
            <w:vAlign w:val="center"/>
          </w:tcPr>
          <w:p w14:paraId="66D50124" w14:textId="77777777" w:rsidR="00405820" w:rsidRDefault="002F4028">
            <w:pPr>
              <w:spacing w:line="360" w:lineRule="auto"/>
              <w:jc w:val="right"/>
              <w:rPr>
                <w:rFonts w:ascii="Times New Roman" w:hAnsi="Times New Roman"/>
                <w:sz w:val="16"/>
                <w:szCs w:val="16"/>
              </w:rPr>
            </w:pPr>
            <w:r>
              <w:rPr>
                <w:rFonts w:ascii="Times New Roman" w:eastAsia="Times New Roman" w:hAnsi="Times New Roman" w:cs="Times New Roman"/>
                <w:color w:val="000000"/>
                <w:sz w:val="16"/>
                <w:szCs w:val="16"/>
                <w:lang w:val="es-ES" w:eastAsia="es-VE"/>
              </w:rPr>
              <w:t>1.548.889</w:t>
            </w:r>
          </w:p>
        </w:tc>
      </w:tr>
      <w:tr w:rsidR="00405820" w14:paraId="3FB576B1" w14:textId="77777777">
        <w:trPr>
          <w:trHeight w:val="295"/>
          <w:jc w:val="center"/>
        </w:trPr>
        <w:tc>
          <w:tcPr>
            <w:tcW w:w="2372" w:type="dxa"/>
            <w:tcBorders>
              <w:top w:val="nil"/>
              <w:left w:val="nil"/>
              <w:bottom w:val="nil"/>
              <w:right w:val="nil"/>
            </w:tcBorders>
            <w:vAlign w:val="center"/>
          </w:tcPr>
          <w:p w14:paraId="6469B342" w14:textId="77777777" w:rsidR="00405820" w:rsidRDefault="002F4028">
            <w:pPr>
              <w:spacing w:line="360" w:lineRule="auto"/>
              <w:rPr>
                <w:rFonts w:ascii="Times New Roman" w:hAnsi="Times New Roman"/>
                <w:sz w:val="16"/>
                <w:szCs w:val="16"/>
              </w:rPr>
            </w:pPr>
            <w:r>
              <w:rPr>
                <w:rFonts w:ascii="Times New Roman" w:eastAsia="Times New Roman" w:hAnsi="Times New Roman" w:cs="Times New Roman"/>
                <w:color w:val="000000"/>
                <w:sz w:val="16"/>
                <w:szCs w:val="16"/>
                <w:lang w:eastAsia="es-VE"/>
              </w:rPr>
              <w:t>2013</w:t>
            </w:r>
          </w:p>
        </w:tc>
        <w:tc>
          <w:tcPr>
            <w:tcW w:w="1721" w:type="dxa"/>
            <w:tcBorders>
              <w:top w:val="nil"/>
              <w:left w:val="nil"/>
              <w:bottom w:val="nil"/>
              <w:right w:val="nil"/>
            </w:tcBorders>
            <w:vAlign w:val="center"/>
          </w:tcPr>
          <w:p w14:paraId="460EC557" w14:textId="77777777" w:rsidR="00405820" w:rsidRDefault="002F4028">
            <w:pPr>
              <w:spacing w:line="360" w:lineRule="auto"/>
              <w:jc w:val="right"/>
              <w:rPr>
                <w:rFonts w:ascii="Times New Roman" w:hAnsi="Times New Roman"/>
                <w:sz w:val="16"/>
                <w:szCs w:val="16"/>
              </w:rPr>
            </w:pPr>
            <w:r>
              <w:rPr>
                <w:rFonts w:ascii="Times New Roman" w:eastAsia="Times New Roman" w:hAnsi="Times New Roman" w:cs="Times New Roman"/>
                <w:color w:val="000000"/>
                <w:sz w:val="16"/>
                <w:szCs w:val="16"/>
                <w:lang w:eastAsia="es-VE"/>
              </w:rPr>
              <w:t xml:space="preserve">                    </w:t>
            </w:r>
            <w:r>
              <w:rPr>
                <w:rFonts w:ascii="Times New Roman" w:eastAsia="Times New Roman" w:hAnsi="Times New Roman" w:cs="Times New Roman"/>
                <w:color w:val="000000"/>
                <w:sz w:val="16"/>
                <w:szCs w:val="16"/>
                <w:lang w:val="es-ES" w:eastAsia="es-VE"/>
              </w:rPr>
              <w:t>1.644.613</w:t>
            </w:r>
            <w:r>
              <w:rPr>
                <w:rFonts w:ascii="Times New Roman" w:eastAsia="Times New Roman" w:hAnsi="Times New Roman" w:cs="Times New Roman"/>
                <w:color w:val="000000"/>
                <w:sz w:val="16"/>
                <w:szCs w:val="16"/>
                <w:lang w:eastAsia="es-VE"/>
              </w:rPr>
              <w:t xml:space="preserve"> </w:t>
            </w:r>
          </w:p>
        </w:tc>
      </w:tr>
      <w:tr w:rsidR="00405820" w14:paraId="0C98F7EA" w14:textId="77777777">
        <w:trPr>
          <w:trHeight w:val="295"/>
          <w:jc w:val="center"/>
        </w:trPr>
        <w:tc>
          <w:tcPr>
            <w:tcW w:w="2372" w:type="dxa"/>
            <w:tcBorders>
              <w:top w:val="nil"/>
              <w:left w:val="nil"/>
              <w:bottom w:val="nil"/>
              <w:right w:val="nil"/>
            </w:tcBorders>
            <w:vAlign w:val="center"/>
          </w:tcPr>
          <w:p w14:paraId="2F974735" w14:textId="77777777" w:rsidR="00405820" w:rsidRDefault="002F4028">
            <w:pPr>
              <w:spacing w:line="360" w:lineRule="auto"/>
              <w:rPr>
                <w:rFonts w:ascii="Times New Roman" w:hAnsi="Times New Roman"/>
                <w:sz w:val="16"/>
                <w:szCs w:val="16"/>
              </w:rPr>
            </w:pPr>
            <w:r>
              <w:rPr>
                <w:rFonts w:ascii="Times New Roman" w:hAnsi="Times New Roman"/>
                <w:sz w:val="16"/>
                <w:szCs w:val="16"/>
              </w:rPr>
              <w:t>2014</w:t>
            </w:r>
          </w:p>
        </w:tc>
        <w:tc>
          <w:tcPr>
            <w:tcW w:w="1721" w:type="dxa"/>
            <w:tcBorders>
              <w:top w:val="nil"/>
              <w:left w:val="nil"/>
              <w:bottom w:val="nil"/>
              <w:right w:val="nil"/>
            </w:tcBorders>
            <w:vAlign w:val="center"/>
          </w:tcPr>
          <w:p w14:paraId="59938D1A" w14:textId="77777777" w:rsidR="00405820" w:rsidRDefault="002F4028">
            <w:pPr>
              <w:spacing w:line="240" w:lineRule="atLeast"/>
              <w:jc w:val="right"/>
              <w:rPr>
                <w:rFonts w:ascii="Times New Roman" w:hAnsi="Times New Roman"/>
                <w:sz w:val="16"/>
                <w:szCs w:val="16"/>
              </w:rPr>
            </w:pPr>
            <w:r>
              <w:rPr>
                <w:rFonts w:ascii="Times New Roman" w:hAnsi="Times New Roman" w:cs="Times New Roman"/>
                <w:sz w:val="16"/>
                <w:szCs w:val="16"/>
                <w:lang w:val="es-ES"/>
              </w:rPr>
              <w:t>2.376.669</w:t>
            </w:r>
          </w:p>
        </w:tc>
      </w:tr>
      <w:tr w:rsidR="00405820" w14:paraId="16D08C04" w14:textId="77777777">
        <w:trPr>
          <w:trHeight w:val="295"/>
          <w:jc w:val="center"/>
        </w:trPr>
        <w:tc>
          <w:tcPr>
            <w:tcW w:w="2372" w:type="dxa"/>
            <w:tcBorders>
              <w:top w:val="nil"/>
              <w:left w:val="nil"/>
              <w:bottom w:val="nil"/>
              <w:right w:val="nil"/>
            </w:tcBorders>
            <w:vAlign w:val="center"/>
          </w:tcPr>
          <w:p w14:paraId="636B7AD6" w14:textId="77777777" w:rsidR="00405820" w:rsidRDefault="002F4028">
            <w:pPr>
              <w:spacing w:line="360" w:lineRule="auto"/>
              <w:rPr>
                <w:rFonts w:ascii="Times New Roman" w:hAnsi="Times New Roman"/>
                <w:sz w:val="16"/>
                <w:szCs w:val="16"/>
              </w:rPr>
            </w:pPr>
            <w:r>
              <w:rPr>
                <w:rFonts w:ascii="Times New Roman" w:hAnsi="Times New Roman"/>
                <w:sz w:val="16"/>
                <w:szCs w:val="16"/>
              </w:rPr>
              <w:t>2015</w:t>
            </w:r>
          </w:p>
        </w:tc>
        <w:tc>
          <w:tcPr>
            <w:tcW w:w="1721" w:type="dxa"/>
            <w:tcBorders>
              <w:top w:val="nil"/>
              <w:left w:val="nil"/>
              <w:bottom w:val="nil"/>
              <w:right w:val="nil"/>
            </w:tcBorders>
            <w:vAlign w:val="center"/>
          </w:tcPr>
          <w:p w14:paraId="2D5451BD" w14:textId="77777777" w:rsidR="00405820" w:rsidRDefault="002F4028">
            <w:pPr>
              <w:spacing w:line="240" w:lineRule="atLeast"/>
              <w:jc w:val="right"/>
              <w:rPr>
                <w:rFonts w:ascii="Times New Roman" w:hAnsi="Times New Roman"/>
                <w:sz w:val="16"/>
                <w:szCs w:val="16"/>
              </w:rPr>
            </w:pPr>
            <w:r>
              <w:rPr>
                <w:rFonts w:ascii="Times New Roman" w:hAnsi="Times New Roman" w:cs="Times New Roman"/>
                <w:sz w:val="16"/>
                <w:szCs w:val="16"/>
                <w:lang w:val="es-ES"/>
              </w:rPr>
              <w:t>2.316.358</w:t>
            </w:r>
          </w:p>
        </w:tc>
      </w:tr>
      <w:tr w:rsidR="00405820" w14:paraId="7303D699" w14:textId="77777777">
        <w:trPr>
          <w:trHeight w:val="295"/>
          <w:jc w:val="center"/>
        </w:trPr>
        <w:tc>
          <w:tcPr>
            <w:tcW w:w="2372" w:type="dxa"/>
            <w:tcBorders>
              <w:top w:val="nil"/>
              <w:left w:val="nil"/>
              <w:bottom w:val="nil"/>
              <w:right w:val="nil"/>
            </w:tcBorders>
            <w:vAlign w:val="center"/>
          </w:tcPr>
          <w:p w14:paraId="59982C73" w14:textId="77777777" w:rsidR="00405820" w:rsidRDefault="002F4028">
            <w:pPr>
              <w:spacing w:line="360" w:lineRule="auto"/>
              <w:rPr>
                <w:rFonts w:ascii="Times New Roman" w:hAnsi="Times New Roman"/>
                <w:sz w:val="16"/>
                <w:szCs w:val="16"/>
              </w:rPr>
            </w:pPr>
            <w:r>
              <w:rPr>
                <w:rFonts w:ascii="Times New Roman" w:hAnsi="Times New Roman"/>
                <w:sz w:val="16"/>
                <w:szCs w:val="16"/>
              </w:rPr>
              <w:t>2016</w:t>
            </w:r>
          </w:p>
        </w:tc>
        <w:tc>
          <w:tcPr>
            <w:tcW w:w="1721" w:type="dxa"/>
            <w:tcBorders>
              <w:top w:val="nil"/>
              <w:left w:val="nil"/>
              <w:bottom w:val="nil"/>
              <w:right w:val="nil"/>
            </w:tcBorders>
            <w:vAlign w:val="center"/>
          </w:tcPr>
          <w:p w14:paraId="3DEE1E0E" w14:textId="77777777" w:rsidR="00405820" w:rsidRDefault="002F4028">
            <w:pPr>
              <w:spacing w:line="240" w:lineRule="atLeast"/>
              <w:jc w:val="right"/>
              <w:rPr>
                <w:rFonts w:ascii="Times New Roman" w:hAnsi="Times New Roman"/>
                <w:sz w:val="16"/>
                <w:szCs w:val="16"/>
              </w:rPr>
            </w:pPr>
            <w:r>
              <w:rPr>
                <w:rFonts w:ascii="Times New Roman" w:hAnsi="Times New Roman" w:cs="Times New Roman"/>
                <w:sz w:val="16"/>
                <w:szCs w:val="16"/>
                <w:lang w:val="es-ES"/>
              </w:rPr>
              <w:t>2.963.417</w:t>
            </w:r>
          </w:p>
        </w:tc>
      </w:tr>
      <w:tr w:rsidR="00405820" w14:paraId="17D5C9E4" w14:textId="77777777">
        <w:trPr>
          <w:trHeight w:val="295"/>
          <w:jc w:val="center"/>
        </w:trPr>
        <w:tc>
          <w:tcPr>
            <w:tcW w:w="2372" w:type="dxa"/>
            <w:tcBorders>
              <w:top w:val="nil"/>
              <w:left w:val="nil"/>
              <w:bottom w:val="nil"/>
              <w:right w:val="nil"/>
            </w:tcBorders>
            <w:vAlign w:val="center"/>
          </w:tcPr>
          <w:p w14:paraId="754CB1C7" w14:textId="77777777" w:rsidR="00405820" w:rsidRDefault="002F4028">
            <w:pPr>
              <w:spacing w:line="360" w:lineRule="auto"/>
              <w:rPr>
                <w:rFonts w:ascii="Times New Roman" w:hAnsi="Times New Roman"/>
                <w:sz w:val="16"/>
                <w:szCs w:val="16"/>
              </w:rPr>
            </w:pPr>
            <w:r>
              <w:rPr>
                <w:rFonts w:ascii="Times New Roman" w:hAnsi="Times New Roman"/>
                <w:sz w:val="16"/>
                <w:szCs w:val="16"/>
              </w:rPr>
              <w:t>2017</w:t>
            </w:r>
          </w:p>
        </w:tc>
        <w:tc>
          <w:tcPr>
            <w:tcW w:w="1721" w:type="dxa"/>
            <w:tcBorders>
              <w:top w:val="nil"/>
              <w:left w:val="nil"/>
              <w:bottom w:val="nil"/>
              <w:right w:val="nil"/>
            </w:tcBorders>
            <w:vAlign w:val="center"/>
          </w:tcPr>
          <w:p w14:paraId="1A4D056C" w14:textId="77777777" w:rsidR="00405820" w:rsidRDefault="002F4028">
            <w:pPr>
              <w:spacing w:line="240" w:lineRule="atLeast"/>
              <w:jc w:val="right"/>
              <w:rPr>
                <w:rFonts w:ascii="Times New Roman" w:hAnsi="Times New Roman"/>
                <w:sz w:val="16"/>
                <w:szCs w:val="16"/>
              </w:rPr>
            </w:pPr>
            <w:r>
              <w:rPr>
                <w:rFonts w:ascii="Times New Roman" w:hAnsi="Times New Roman" w:cs="Times New Roman"/>
                <w:sz w:val="16"/>
                <w:szCs w:val="16"/>
                <w:lang w:val="es-ES"/>
              </w:rPr>
              <w:t>3.849.245</w:t>
            </w:r>
          </w:p>
        </w:tc>
      </w:tr>
      <w:tr w:rsidR="00405820" w14:paraId="38FEAA40" w14:textId="77777777">
        <w:trPr>
          <w:trHeight w:val="295"/>
          <w:jc w:val="center"/>
        </w:trPr>
        <w:tc>
          <w:tcPr>
            <w:tcW w:w="2372" w:type="dxa"/>
            <w:tcBorders>
              <w:top w:val="nil"/>
              <w:left w:val="nil"/>
              <w:bottom w:val="nil"/>
              <w:right w:val="nil"/>
            </w:tcBorders>
            <w:vAlign w:val="center"/>
          </w:tcPr>
          <w:p w14:paraId="7FAEF881" w14:textId="77777777" w:rsidR="00405820" w:rsidRDefault="002F4028">
            <w:pPr>
              <w:spacing w:line="360" w:lineRule="auto"/>
              <w:rPr>
                <w:rFonts w:ascii="Times New Roman" w:hAnsi="Times New Roman"/>
                <w:sz w:val="16"/>
                <w:szCs w:val="16"/>
              </w:rPr>
            </w:pPr>
            <w:r>
              <w:rPr>
                <w:rFonts w:ascii="Times New Roman" w:hAnsi="Times New Roman"/>
                <w:sz w:val="16"/>
                <w:szCs w:val="16"/>
              </w:rPr>
              <w:t>2018</w:t>
            </w:r>
          </w:p>
        </w:tc>
        <w:tc>
          <w:tcPr>
            <w:tcW w:w="1721" w:type="dxa"/>
            <w:tcBorders>
              <w:top w:val="nil"/>
              <w:left w:val="nil"/>
              <w:bottom w:val="nil"/>
              <w:right w:val="nil"/>
            </w:tcBorders>
            <w:vAlign w:val="center"/>
          </w:tcPr>
          <w:p w14:paraId="76807468" w14:textId="77777777" w:rsidR="00405820" w:rsidRDefault="002F4028">
            <w:pPr>
              <w:spacing w:line="240" w:lineRule="atLeast"/>
              <w:jc w:val="right"/>
              <w:rPr>
                <w:rFonts w:ascii="Times New Roman" w:hAnsi="Times New Roman"/>
                <w:sz w:val="16"/>
                <w:szCs w:val="16"/>
              </w:rPr>
            </w:pPr>
            <w:r>
              <w:rPr>
                <w:rFonts w:ascii="Times New Roman" w:hAnsi="Times New Roman" w:cs="Times New Roman"/>
                <w:sz w:val="16"/>
                <w:szCs w:val="16"/>
                <w:lang w:val="es-ES"/>
              </w:rPr>
              <w:t>4.000.000</w:t>
            </w:r>
          </w:p>
        </w:tc>
      </w:tr>
      <w:tr w:rsidR="00405820" w14:paraId="48D45CD5" w14:textId="77777777">
        <w:trPr>
          <w:trHeight w:val="295"/>
          <w:jc w:val="center"/>
        </w:trPr>
        <w:tc>
          <w:tcPr>
            <w:tcW w:w="2372" w:type="dxa"/>
            <w:tcBorders>
              <w:top w:val="nil"/>
              <w:left w:val="nil"/>
              <w:bottom w:val="nil"/>
              <w:right w:val="nil"/>
            </w:tcBorders>
            <w:vAlign w:val="center"/>
          </w:tcPr>
          <w:p w14:paraId="1CD62574" w14:textId="77777777" w:rsidR="00405820" w:rsidRDefault="002F4028">
            <w:pPr>
              <w:spacing w:line="360" w:lineRule="auto"/>
              <w:rPr>
                <w:rFonts w:ascii="Times New Roman" w:hAnsi="Times New Roman"/>
                <w:sz w:val="16"/>
                <w:szCs w:val="16"/>
              </w:rPr>
            </w:pPr>
            <w:r>
              <w:rPr>
                <w:rFonts w:ascii="Times New Roman" w:hAnsi="Times New Roman"/>
                <w:sz w:val="16"/>
                <w:szCs w:val="16"/>
              </w:rPr>
              <w:t>2019</w:t>
            </w:r>
          </w:p>
        </w:tc>
        <w:tc>
          <w:tcPr>
            <w:tcW w:w="1721" w:type="dxa"/>
            <w:tcBorders>
              <w:top w:val="nil"/>
              <w:left w:val="nil"/>
              <w:bottom w:val="nil"/>
              <w:right w:val="nil"/>
            </w:tcBorders>
            <w:vAlign w:val="center"/>
          </w:tcPr>
          <w:p w14:paraId="5E67A290" w14:textId="77777777" w:rsidR="00405820" w:rsidRDefault="002F4028">
            <w:pPr>
              <w:spacing w:line="240" w:lineRule="atLeast"/>
              <w:jc w:val="right"/>
              <w:rPr>
                <w:rFonts w:ascii="Times New Roman" w:hAnsi="Times New Roman"/>
                <w:sz w:val="16"/>
                <w:szCs w:val="16"/>
              </w:rPr>
            </w:pPr>
            <w:r>
              <w:rPr>
                <w:rFonts w:ascii="Times New Roman" w:hAnsi="Times New Roman" w:cs="Times New Roman"/>
                <w:sz w:val="16"/>
                <w:szCs w:val="16"/>
                <w:lang w:val="es-ES"/>
              </w:rPr>
              <w:t>5.398.136</w:t>
            </w:r>
          </w:p>
        </w:tc>
      </w:tr>
      <w:tr w:rsidR="00405820" w14:paraId="751C9453" w14:textId="77777777">
        <w:trPr>
          <w:trHeight w:val="295"/>
          <w:jc w:val="center"/>
        </w:trPr>
        <w:tc>
          <w:tcPr>
            <w:tcW w:w="2372" w:type="dxa"/>
            <w:tcBorders>
              <w:top w:val="nil"/>
              <w:left w:val="nil"/>
              <w:bottom w:val="nil"/>
              <w:right w:val="nil"/>
            </w:tcBorders>
            <w:vAlign w:val="center"/>
          </w:tcPr>
          <w:p w14:paraId="15FA2E26" w14:textId="77777777" w:rsidR="00405820" w:rsidRDefault="002F4028">
            <w:pPr>
              <w:spacing w:line="360" w:lineRule="auto"/>
              <w:rPr>
                <w:rFonts w:ascii="Times New Roman" w:hAnsi="Times New Roman"/>
                <w:sz w:val="16"/>
                <w:szCs w:val="16"/>
              </w:rPr>
            </w:pPr>
            <w:r>
              <w:rPr>
                <w:rFonts w:ascii="Times New Roman" w:hAnsi="Times New Roman"/>
                <w:sz w:val="16"/>
                <w:szCs w:val="16"/>
              </w:rPr>
              <w:t>2020</w:t>
            </w:r>
          </w:p>
        </w:tc>
        <w:tc>
          <w:tcPr>
            <w:tcW w:w="1721" w:type="dxa"/>
            <w:tcBorders>
              <w:top w:val="nil"/>
              <w:left w:val="nil"/>
              <w:bottom w:val="nil"/>
              <w:right w:val="nil"/>
            </w:tcBorders>
            <w:vAlign w:val="center"/>
          </w:tcPr>
          <w:p w14:paraId="39C92852" w14:textId="77777777" w:rsidR="00405820" w:rsidRDefault="00405820">
            <w:pPr>
              <w:spacing w:line="240" w:lineRule="atLeast"/>
              <w:jc w:val="right"/>
              <w:rPr>
                <w:rFonts w:ascii="Times New Roman" w:hAnsi="Times New Roman" w:cs="Times New Roman"/>
                <w:sz w:val="16"/>
                <w:szCs w:val="16"/>
                <w:lang w:val="es-ES"/>
              </w:rPr>
            </w:pPr>
          </w:p>
        </w:tc>
      </w:tr>
      <w:tr w:rsidR="00405820" w14:paraId="05D2CE8F" w14:textId="77777777">
        <w:trPr>
          <w:trHeight w:val="295"/>
          <w:jc w:val="center"/>
        </w:trPr>
        <w:tc>
          <w:tcPr>
            <w:tcW w:w="2372" w:type="dxa"/>
            <w:tcBorders>
              <w:top w:val="nil"/>
              <w:left w:val="nil"/>
              <w:bottom w:val="nil"/>
              <w:right w:val="nil"/>
            </w:tcBorders>
            <w:vAlign w:val="center"/>
          </w:tcPr>
          <w:p w14:paraId="64731961" w14:textId="77777777" w:rsidR="00405820" w:rsidRDefault="002F4028">
            <w:pPr>
              <w:spacing w:line="360" w:lineRule="auto"/>
              <w:rPr>
                <w:rFonts w:ascii="Times New Roman" w:hAnsi="Times New Roman"/>
                <w:sz w:val="16"/>
                <w:szCs w:val="16"/>
              </w:rPr>
            </w:pPr>
            <w:r>
              <w:rPr>
                <w:rFonts w:ascii="Times New Roman" w:hAnsi="Times New Roman"/>
                <w:sz w:val="16"/>
                <w:szCs w:val="16"/>
              </w:rPr>
              <w:t>2021</w:t>
            </w:r>
          </w:p>
        </w:tc>
        <w:tc>
          <w:tcPr>
            <w:tcW w:w="1721" w:type="dxa"/>
            <w:tcBorders>
              <w:top w:val="nil"/>
              <w:left w:val="nil"/>
              <w:bottom w:val="nil"/>
              <w:right w:val="nil"/>
            </w:tcBorders>
            <w:vAlign w:val="center"/>
          </w:tcPr>
          <w:p w14:paraId="2EA1875D" w14:textId="77777777" w:rsidR="00405820" w:rsidRDefault="002F4028">
            <w:pPr>
              <w:spacing w:line="240" w:lineRule="atLeast"/>
              <w:jc w:val="right"/>
              <w:rPr>
                <w:rFonts w:ascii="Times New Roman" w:hAnsi="Times New Roman"/>
                <w:sz w:val="16"/>
                <w:szCs w:val="16"/>
              </w:rPr>
            </w:pPr>
            <w:r>
              <w:rPr>
                <w:rFonts w:ascii="Times New Roman" w:hAnsi="Times New Roman" w:cs="Times New Roman"/>
                <w:sz w:val="16"/>
                <w:szCs w:val="16"/>
                <w:lang w:val="es-ES"/>
              </w:rPr>
              <w:t>1.445.469</w:t>
            </w:r>
          </w:p>
        </w:tc>
      </w:tr>
      <w:tr w:rsidR="00405820" w14:paraId="5E23024D" w14:textId="77777777">
        <w:trPr>
          <w:trHeight w:val="295"/>
          <w:jc w:val="center"/>
        </w:trPr>
        <w:tc>
          <w:tcPr>
            <w:tcW w:w="2372" w:type="dxa"/>
            <w:tcBorders>
              <w:top w:val="nil"/>
              <w:left w:val="nil"/>
              <w:bottom w:val="nil"/>
              <w:right w:val="nil"/>
            </w:tcBorders>
            <w:vAlign w:val="center"/>
          </w:tcPr>
          <w:p w14:paraId="034AFA47" w14:textId="77777777" w:rsidR="00405820" w:rsidRDefault="002F4028">
            <w:pPr>
              <w:spacing w:line="360" w:lineRule="auto"/>
              <w:rPr>
                <w:rFonts w:ascii="Times New Roman" w:hAnsi="Times New Roman"/>
                <w:sz w:val="16"/>
                <w:szCs w:val="16"/>
              </w:rPr>
            </w:pPr>
            <w:r>
              <w:rPr>
                <w:rFonts w:ascii="Times New Roman" w:hAnsi="Times New Roman"/>
                <w:sz w:val="16"/>
                <w:szCs w:val="16"/>
              </w:rPr>
              <w:t>2022</w:t>
            </w:r>
          </w:p>
        </w:tc>
        <w:tc>
          <w:tcPr>
            <w:tcW w:w="1721" w:type="dxa"/>
            <w:tcBorders>
              <w:top w:val="nil"/>
              <w:left w:val="nil"/>
              <w:bottom w:val="nil"/>
              <w:right w:val="nil"/>
            </w:tcBorders>
            <w:vAlign w:val="center"/>
          </w:tcPr>
          <w:p w14:paraId="6E701D5A" w14:textId="77777777" w:rsidR="00405820" w:rsidRDefault="002F4028">
            <w:pPr>
              <w:spacing w:line="240" w:lineRule="atLeast"/>
              <w:jc w:val="right"/>
              <w:rPr>
                <w:rFonts w:ascii="Times New Roman" w:hAnsi="Times New Roman"/>
                <w:sz w:val="16"/>
                <w:szCs w:val="16"/>
              </w:rPr>
            </w:pPr>
            <w:r>
              <w:rPr>
                <w:rFonts w:ascii="Times New Roman" w:hAnsi="Times New Roman" w:cs="Times New Roman"/>
                <w:sz w:val="16"/>
                <w:szCs w:val="16"/>
                <w:lang w:val="es-ES"/>
              </w:rPr>
              <w:t>5.020.182</w:t>
            </w:r>
          </w:p>
        </w:tc>
      </w:tr>
      <w:tr w:rsidR="00405820" w14:paraId="4E2BFBCB" w14:textId="77777777">
        <w:trPr>
          <w:trHeight w:val="295"/>
          <w:jc w:val="center"/>
        </w:trPr>
        <w:tc>
          <w:tcPr>
            <w:tcW w:w="2372" w:type="dxa"/>
            <w:tcBorders>
              <w:top w:val="nil"/>
              <w:left w:val="nil"/>
              <w:right w:val="nil"/>
            </w:tcBorders>
            <w:vAlign w:val="center"/>
          </w:tcPr>
          <w:p w14:paraId="001C3771" w14:textId="77777777" w:rsidR="00405820" w:rsidRDefault="002F4028">
            <w:pPr>
              <w:spacing w:line="360" w:lineRule="auto"/>
              <w:rPr>
                <w:rFonts w:ascii="Times New Roman" w:hAnsi="Times New Roman"/>
                <w:sz w:val="16"/>
                <w:szCs w:val="16"/>
              </w:rPr>
            </w:pPr>
            <w:r>
              <w:rPr>
                <w:rFonts w:ascii="Times New Roman" w:hAnsi="Times New Roman"/>
                <w:sz w:val="16"/>
                <w:szCs w:val="16"/>
              </w:rPr>
              <w:t>2023</w:t>
            </w:r>
          </w:p>
        </w:tc>
        <w:tc>
          <w:tcPr>
            <w:tcW w:w="1721" w:type="dxa"/>
            <w:tcBorders>
              <w:top w:val="nil"/>
              <w:left w:val="nil"/>
              <w:right w:val="nil"/>
            </w:tcBorders>
            <w:vAlign w:val="center"/>
          </w:tcPr>
          <w:p w14:paraId="55879A01" w14:textId="77777777" w:rsidR="00405820" w:rsidRDefault="002F4028">
            <w:pPr>
              <w:spacing w:line="240" w:lineRule="atLeast"/>
              <w:jc w:val="right"/>
              <w:rPr>
                <w:rFonts w:ascii="Times New Roman" w:hAnsi="Times New Roman"/>
                <w:sz w:val="16"/>
                <w:szCs w:val="16"/>
              </w:rPr>
            </w:pPr>
            <w:r>
              <w:rPr>
                <w:rFonts w:ascii="Times New Roman" w:hAnsi="Times New Roman" w:cs="Times New Roman"/>
                <w:sz w:val="16"/>
                <w:szCs w:val="16"/>
                <w:lang w:val="es-ES"/>
              </w:rPr>
              <w:t>6.160.202</w:t>
            </w:r>
          </w:p>
        </w:tc>
      </w:tr>
      <w:tr w:rsidR="00405820" w14:paraId="1E151B94" w14:textId="77777777">
        <w:trPr>
          <w:trHeight w:val="295"/>
          <w:jc w:val="center"/>
        </w:trPr>
        <w:tc>
          <w:tcPr>
            <w:tcW w:w="2372" w:type="dxa"/>
            <w:tcBorders>
              <w:left w:val="nil"/>
              <w:right w:val="nil"/>
            </w:tcBorders>
            <w:vAlign w:val="center"/>
          </w:tcPr>
          <w:p w14:paraId="08678466" w14:textId="77777777" w:rsidR="00405820" w:rsidRDefault="00405820">
            <w:pPr>
              <w:spacing w:line="360" w:lineRule="auto"/>
              <w:rPr>
                <w:rFonts w:ascii="Times New Roman" w:hAnsi="Times New Roman"/>
                <w:sz w:val="16"/>
                <w:szCs w:val="16"/>
              </w:rPr>
            </w:pPr>
          </w:p>
        </w:tc>
        <w:tc>
          <w:tcPr>
            <w:tcW w:w="1721" w:type="dxa"/>
            <w:tcBorders>
              <w:left w:val="nil"/>
              <w:right w:val="nil"/>
            </w:tcBorders>
            <w:vAlign w:val="center"/>
          </w:tcPr>
          <w:p w14:paraId="064EF4E1" w14:textId="77777777" w:rsidR="00405820" w:rsidRDefault="00405820">
            <w:pPr>
              <w:spacing w:line="240" w:lineRule="atLeast"/>
              <w:jc w:val="right"/>
              <w:rPr>
                <w:rFonts w:ascii="Times New Roman" w:hAnsi="Times New Roman" w:cs="Times New Roman"/>
                <w:sz w:val="16"/>
                <w:szCs w:val="16"/>
                <w:lang w:val="es-ES"/>
              </w:rPr>
            </w:pPr>
          </w:p>
        </w:tc>
      </w:tr>
    </w:tbl>
    <w:p w14:paraId="2ACFCD51" w14:textId="77777777" w:rsidR="00405820" w:rsidRDefault="00405820">
      <w:pPr>
        <w:jc w:val="center"/>
        <w:rPr>
          <w:lang w:val="es-ES"/>
        </w:rPr>
      </w:pPr>
    </w:p>
    <w:p w14:paraId="01045A05" w14:textId="77777777" w:rsidR="00405820" w:rsidRDefault="002F4028">
      <w:pPr>
        <w:spacing w:after="0" w:line="240" w:lineRule="auto"/>
        <w:jc w:val="both"/>
      </w:pPr>
      <w:r>
        <w:rPr>
          <w:rFonts w:ascii="Times New Roman" w:hAnsi="Times New Roman" w:cs="Times New Roman"/>
          <w:b/>
          <w:bCs/>
          <w:sz w:val="20"/>
          <w:szCs w:val="20"/>
        </w:rPr>
        <w:t>10) Medidas especiales de protección</w:t>
      </w:r>
    </w:p>
    <w:p w14:paraId="1EFE3122" w14:textId="77777777" w:rsidR="00405820" w:rsidRDefault="00405820">
      <w:pPr>
        <w:spacing w:after="0" w:line="240" w:lineRule="auto"/>
        <w:jc w:val="both"/>
        <w:rPr>
          <w:rFonts w:ascii="Times New Roman" w:hAnsi="Times New Roman" w:cs="Times New Roman"/>
          <w:b/>
          <w:bCs/>
          <w:sz w:val="20"/>
          <w:szCs w:val="20"/>
        </w:rPr>
      </w:pPr>
    </w:p>
    <w:p w14:paraId="18AFAB7D"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a) Niños, niñas y adolescentes en condiciones de movilidad humana</w:t>
      </w:r>
    </w:p>
    <w:p w14:paraId="265299FD" w14:textId="77777777" w:rsidR="00405820" w:rsidRDefault="00405820">
      <w:pPr>
        <w:pStyle w:val="ListParagraph"/>
        <w:rPr>
          <w:rFonts w:cs="Times New Roman"/>
          <w:sz w:val="20"/>
          <w:szCs w:val="20"/>
        </w:rPr>
      </w:pPr>
    </w:p>
    <w:p w14:paraId="49EA4A40"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El Estado venezolano avanzó en la protección y defensa de los derechos humanos de los migrantes y sus familiares, al adherirse a la “Convención Internacional sobre la Protección de los Derechos de todos los Trabajadores Migratorios y sus Familiares” el 4 de octubre de 2011, siendo depositado el instrumento de ratificación el 25 de octubre de 2016</w:t>
      </w:r>
      <w:r>
        <w:rPr>
          <w:rStyle w:val="Ancladenotaalpie"/>
          <w:rFonts w:ascii="Times New Roman" w:hAnsi="Times New Roman" w:cs="Times New Roman"/>
          <w:sz w:val="20"/>
          <w:szCs w:val="20"/>
        </w:rPr>
        <w:footnoteReference w:id="73"/>
      </w:r>
      <w:r>
        <w:rPr>
          <w:rFonts w:ascii="Times New Roman" w:hAnsi="Times New Roman" w:cs="Times New Roman"/>
          <w:sz w:val="20"/>
          <w:szCs w:val="20"/>
        </w:rPr>
        <w:t xml:space="preserve">. </w:t>
      </w:r>
    </w:p>
    <w:p w14:paraId="3C2F5872" w14:textId="77777777" w:rsidR="00405820" w:rsidRDefault="00405820">
      <w:pPr>
        <w:spacing w:after="0" w:line="240" w:lineRule="auto"/>
        <w:jc w:val="both"/>
        <w:rPr>
          <w:rFonts w:ascii="Times New Roman" w:eastAsia="Times New Roman" w:hAnsi="Times New Roman" w:cs="Times New Roman"/>
          <w:sz w:val="20"/>
          <w:szCs w:val="20"/>
        </w:rPr>
      </w:pPr>
    </w:p>
    <w:p w14:paraId="7F60F1D0"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A partir de la aplicación de medidas coercitivas unilaterales contra el país en 2015 se verificó un incremento del proceso de emigración de personas de nacionalidad venezolana hacia países de la región, incluyendo niños, niñas y adolescentes. Este flujo migratorio fue también fomentado durante 2015 al 2018 por algunos países suramericanos por motivos estrictamente políticos, favoreciendo el tráfico ilegal de personas y la migración irregular hacia sus territorios. Situación que cambió radicalmente a partir de esa fecha, cuando empiezan a implementarse políticas y acciones discriminatorias y xenófobas contra los y las migrantes venezolanos, inclusive llegando al extremo de crear políticas de deportación masiva y de policías migratorias exclusivamente para las personas de nacionalidad venezolana.</w:t>
      </w:r>
    </w:p>
    <w:p w14:paraId="4529C80D" w14:textId="77777777" w:rsidR="00405820" w:rsidRDefault="00405820">
      <w:pPr>
        <w:pStyle w:val="ListParagraph"/>
        <w:rPr>
          <w:rFonts w:cs="Times New Roman"/>
          <w:sz w:val="20"/>
          <w:szCs w:val="20"/>
        </w:rPr>
      </w:pPr>
    </w:p>
    <w:p w14:paraId="6EEC6E91" w14:textId="13B18AA9" w:rsidR="00405820" w:rsidRDefault="002F4028">
      <w:pPr>
        <w:numPr>
          <w:ilvl w:val="0"/>
          <w:numId w:val="1"/>
        </w:numPr>
        <w:spacing w:after="0" w:line="240" w:lineRule="auto"/>
        <w:ind w:left="0" w:firstLine="0"/>
        <w:jc w:val="both"/>
      </w:pPr>
      <w:r>
        <w:rPr>
          <w:rFonts w:ascii="Times New Roman" w:hAnsi="Times New Roman" w:cs="Times New Roman"/>
          <w:sz w:val="20"/>
          <w:szCs w:val="20"/>
        </w:rPr>
        <w:t>Para mejorar la coordinación de los entes del Estado venezolano y atender las situaciones que enfrentan las niñas y niños en situación de movilidad humana, se ha creado en 2018 la “Mesa Nacional de Protección Migratoria de los Niños, Niñas y Adolescentes</w:t>
      </w:r>
      <w:r w:rsidR="000A5546">
        <w:rPr>
          <w:rFonts w:ascii="Times New Roman" w:hAnsi="Times New Roman" w:cs="Times New Roman"/>
          <w:sz w:val="20"/>
          <w:szCs w:val="20"/>
        </w:rPr>
        <w:t>.</w:t>
      </w:r>
      <w:r>
        <w:rPr>
          <w:rFonts w:ascii="Times New Roman" w:hAnsi="Times New Roman" w:cs="Times New Roman"/>
          <w:sz w:val="20"/>
          <w:szCs w:val="20"/>
        </w:rPr>
        <w:t>”</w:t>
      </w:r>
      <w:r>
        <w:rPr>
          <w:rStyle w:val="Ancladenotaalpie"/>
          <w:rFonts w:ascii="Times New Roman" w:hAnsi="Times New Roman" w:cs="Times New Roman"/>
          <w:sz w:val="20"/>
          <w:szCs w:val="20"/>
        </w:rPr>
        <w:footnoteReference w:id="74"/>
      </w:r>
      <w:r>
        <w:rPr>
          <w:rFonts w:ascii="Times New Roman" w:hAnsi="Times New Roman" w:cs="Times New Roman"/>
          <w:sz w:val="20"/>
          <w:szCs w:val="20"/>
        </w:rPr>
        <w:t xml:space="preserve">Esta Mesa está integrada por </w:t>
      </w:r>
      <w:r w:rsidR="001D6B9C">
        <w:rPr>
          <w:rFonts w:ascii="Times New Roman" w:hAnsi="Times New Roman" w:cs="Times New Roman"/>
          <w:sz w:val="20"/>
          <w:szCs w:val="20"/>
        </w:rPr>
        <w:t xml:space="preserve">el </w:t>
      </w:r>
      <w:r>
        <w:rPr>
          <w:rFonts w:ascii="Times New Roman" w:hAnsi="Times New Roman" w:cs="Times New Roman"/>
          <w:sz w:val="20"/>
          <w:szCs w:val="20"/>
        </w:rPr>
        <w:t>M</w:t>
      </w:r>
      <w:r w:rsidR="001D6B9C">
        <w:rPr>
          <w:rFonts w:ascii="Times New Roman" w:hAnsi="Times New Roman" w:cs="Times New Roman"/>
          <w:sz w:val="20"/>
          <w:szCs w:val="20"/>
        </w:rPr>
        <w:t>PPRE</w:t>
      </w:r>
      <w:r>
        <w:rPr>
          <w:rFonts w:ascii="Times New Roman" w:hAnsi="Times New Roman" w:cs="Times New Roman"/>
          <w:sz w:val="20"/>
          <w:szCs w:val="20"/>
        </w:rPr>
        <w:t xml:space="preserve">, </w:t>
      </w:r>
      <w:r w:rsidR="001D6B9C">
        <w:rPr>
          <w:rFonts w:ascii="Times New Roman" w:hAnsi="Times New Roman" w:cs="Times New Roman"/>
          <w:sz w:val="20"/>
          <w:szCs w:val="20"/>
        </w:rPr>
        <w:t xml:space="preserve"> MPPEIJP</w:t>
      </w:r>
      <w:r>
        <w:rPr>
          <w:rFonts w:ascii="Times New Roman" w:hAnsi="Times New Roman" w:cs="Times New Roman"/>
          <w:sz w:val="20"/>
          <w:szCs w:val="20"/>
        </w:rPr>
        <w:t xml:space="preserve">, </w:t>
      </w:r>
      <w:r w:rsidR="001D6B9C">
        <w:rPr>
          <w:rFonts w:ascii="Times New Roman" w:hAnsi="Times New Roman" w:cs="Times New Roman"/>
          <w:sz w:val="20"/>
          <w:szCs w:val="20"/>
        </w:rPr>
        <w:t>IDENNA</w:t>
      </w:r>
      <w:r>
        <w:rPr>
          <w:rFonts w:ascii="Times New Roman" w:hAnsi="Times New Roman" w:cs="Times New Roman"/>
          <w:sz w:val="20"/>
          <w:szCs w:val="20"/>
        </w:rPr>
        <w:t>, TSJ, M</w:t>
      </w:r>
      <w:r w:rsidR="001D6B9C">
        <w:rPr>
          <w:rFonts w:ascii="Times New Roman" w:hAnsi="Times New Roman" w:cs="Times New Roman"/>
          <w:sz w:val="20"/>
          <w:szCs w:val="20"/>
        </w:rPr>
        <w:t>P</w:t>
      </w:r>
      <w:r>
        <w:rPr>
          <w:rFonts w:ascii="Times New Roman" w:hAnsi="Times New Roman" w:cs="Times New Roman"/>
          <w:sz w:val="20"/>
          <w:szCs w:val="20"/>
        </w:rPr>
        <w:t>, D</w:t>
      </w:r>
      <w:r w:rsidR="001D6B9C">
        <w:rPr>
          <w:rFonts w:ascii="Times New Roman" w:hAnsi="Times New Roman" w:cs="Times New Roman"/>
          <w:sz w:val="20"/>
          <w:szCs w:val="20"/>
        </w:rPr>
        <w:t>P</w:t>
      </w:r>
      <w:r>
        <w:rPr>
          <w:rFonts w:ascii="Times New Roman" w:hAnsi="Times New Roman" w:cs="Times New Roman"/>
          <w:sz w:val="20"/>
          <w:szCs w:val="20"/>
        </w:rPr>
        <w:t xml:space="preserve">, </w:t>
      </w:r>
      <w:proofErr w:type="spellStart"/>
      <w:r>
        <w:rPr>
          <w:rFonts w:ascii="Times New Roman" w:hAnsi="Times New Roman" w:cs="Times New Roman"/>
          <w:sz w:val="20"/>
          <w:szCs w:val="20"/>
        </w:rPr>
        <w:t>D</w:t>
      </w:r>
      <w:r w:rsidR="001D6B9C">
        <w:rPr>
          <w:rFonts w:ascii="Times New Roman" w:hAnsi="Times New Roman" w:cs="Times New Roman"/>
          <w:sz w:val="20"/>
          <w:szCs w:val="20"/>
        </w:rPr>
        <w:t>dP</w:t>
      </w:r>
      <w:proofErr w:type="spellEnd"/>
      <w:r>
        <w:rPr>
          <w:rFonts w:ascii="Times New Roman" w:hAnsi="Times New Roman" w:cs="Times New Roman"/>
          <w:sz w:val="20"/>
          <w:szCs w:val="20"/>
        </w:rPr>
        <w:t xml:space="preserve">, </w:t>
      </w:r>
      <w:r w:rsidR="001D6B9C">
        <w:rPr>
          <w:rFonts w:ascii="Times New Roman" w:hAnsi="Times New Roman" w:cs="Times New Roman"/>
          <w:sz w:val="20"/>
          <w:szCs w:val="20"/>
        </w:rPr>
        <w:t>CNDH</w:t>
      </w:r>
      <w:r>
        <w:rPr>
          <w:rFonts w:ascii="Times New Roman" w:hAnsi="Times New Roman" w:cs="Times New Roman"/>
          <w:sz w:val="20"/>
          <w:szCs w:val="20"/>
        </w:rPr>
        <w:t>, representantes de organizaciones de la sociedad civil, y cuenta con la asesoría de la UNICEF para el tratamiento de las situaciones tales como: reunificación familiar, protección de NNA separados temporalmente de sus familias, NNA solos y no acompañados, restricciones para el retorno de NNA a Venezuela, garantía de identidad e identificación, entre otras</w:t>
      </w:r>
      <w:r>
        <w:rPr>
          <w:rStyle w:val="Ancladenotaalpie"/>
          <w:rFonts w:ascii="Times New Roman" w:hAnsi="Times New Roman" w:cs="Times New Roman"/>
          <w:sz w:val="20"/>
          <w:szCs w:val="20"/>
        </w:rPr>
        <w:footnoteReference w:id="75"/>
      </w:r>
      <w:r>
        <w:rPr>
          <w:rFonts w:ascii="Times New Roman" w:hAnsi="Times New Roman" w:cs="Times New Roman"/>
          <w:sz w:val="20"/>
          <w:szCs w:val="20"/>
        </w:rPr>
        <w:t>.</w:t>
      </w:r>
    </w:p>
    <w:p w14:paraId="7F5A9454" w14:textId="77777777" w:rsidR="00405820" w:rsidRDefault="00405820">
      <w:pPr>
        <w:spacing w:after="0" w:line="240" w:lineRule="auto"/>
        <w:ind w:left="720"/>
        <w:jc w:val="both"/>
        <w:rPr>
          <w:rFonts w:ascii="Times New Roman" w:hAnsi="Times New Roman" w:cs="Times New Roman"/>
          <w:sz w:val="20"/>
          <w:szCs w:val="20"/>
        </w:rPr>
      </w:pPr>
    </w:p>
    <w:p w14:paraId="65D8606C" w14:textId="03A815EE" w:rsidR="00405820" w:rsidRDefault="002F4028" w:rsidP="009A4346">
      <w:pPr>
        <w:numPr>
          <w:ilvl w:val="0"/>
          <w:numId w:val="1"/>
        </w:numPr>
        <w:spacing w:after="0" w:line="252" w:lineRule="auto"/>
        <w:ind w:left="0" w:firstLine="0"/>
        <w:jc w:val="both"/>
      </w:pPr>
      <w:r>
        <w:rPr>
          <w:rFonts w:ascii="Times New Roman" w:eastAsia="Times New Roman" w:hAnsi="Times New Roman" w:cs="Arial"/>
          <w:sz w:val="20"/>
          <w:szCs w:val="20"/>
          <w:lang w:val="es-MX"/>
        </w:rPr>
        <w:t>La Mesa Nacional de Protección Migratoria  de Niños, Niñas y Adolescentes venezolanos en el extranjero, es coordinada; por la Dirección de Relaciones Consulares del MPPRE, cuenta con un protocolo que orienta su actuación en el recibimiento y atención de niños, niñas y adolescentes víctimas de trata de personas, activándose desde el IDENNA un programa de localización, evaluación psico-social de idoneidad familiar, orientación y seguimiento a la reunificación en coordinación con el poder comunal organizado en el territorio, así como los mecanismos concretos de protección en la localidad para garantizar la reunificación segura en entornos familiares protectores, o en su defecto se dicte la medida de protección acorde a su Interés Superior. Las niñas, niños y adolescentes que se encuentran en programas de atención, protección y abrigo cuentan con el respectivo apoyo psico-social y de orientación familiar con un equipo multidisciplinario especializado en cada una de las regiones.</w:t>
      </w:r>
    </w:p>
    <w:p w14:paraId="625E09F3" w14:textId="77777777" w:rsidR="009A4346" w:rsidRPr="009A4346" w:rsidRDefault="009A4346" w:rsidP="009A4346">
      <w:pPr>
        <w:spacing w:after="0" w:line="252" w:lineRule="auto"/>
        <w:jc w:val="both"/>
      </w:pPr>
    </w:p>
    <w:p w14:paraId="38F7F044"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Es importante destacar que la amenaza más grave que enfrentan los NNA en situación de movilidad es que algunos países de la región se niegan arbitrariamente a coordinar las políticas y acciones para su protección, generan situaciones de vulneración y vulnerabilidad de derechos para ellos, ellas y sus familiares.</w:t>
      </w:r>
    </w:p>
    <w:p w14:paraId="1AC94329" w14:textId="77777777" w:rsidR="00405820" w:rsidRDefault="00405820">
      <w:pPr>
        <w:spacing w:after="0" w:line="240" w:lineRule="auto"/>
        <w:ind w:left="720"/>
        <w:jc w:val="both"/>
        <w:rPr>
          <w:rFonts w:ascii="Times New Roman" w:hAnsi="Times New Roman" w:cs="Times New Roman"/>
          <w:sz w:val="20"/>
          <w:szCs w:val="20"/>
        </w:rPr>
      </w:pPr>
    </w:p>
    <w:p w14:paraId="3622494C" w14:textId="1CA63BE0" w:rsidR="00405820" w:rsidRDefault="002F4028">
      <w:pPr>
        <w:numPr>
          <w:ilvl w:val="0"/>
          <w:numId w:val="1"/>
        </w:numPr>
        <w:spacing w:after="0" w:line="252" w:lineRule="auto"/>
        <w:ind w:left="0" w:firstLine="0"/>
        <w:jc w:val="both"/>
      </w:pPr>
      <w:r>
        <w:rPr>
          <w:rFonts w:ascii="Times New Roman" w:eastAsia="Times New Roman" w:hAnsi="Times New Roman" w:cs="Arial"/>
          <w:sz w:val="20"/>
          <w:szCs w:val="20"/>
          <w:lang w:val="es-MX"/>
        </w:rPr>
        <w:t xml:space="preserve">El Estado venezolano para finales del año 2017 dio inicio al Plan Vuelta a la Patria que permitió establecer un puente aéreo y terrestre dirigido a facilitar el retorno voluntario de todos aquellos migrantes venezolanos y sus familias (incluidos niños), que carezcan de medios propios para el retorno. Luego del retorno son incorporados a los programas sociales desarrollados por el Estado venezolano, para brindarles una atención integral garantizando plenamente la protección y </w:t>
      </w:r>
      <w:r w:rsidR="00546DBE">
        <w:rPr>
          <w:rFonts w:ascii="Times New Roman" w:eastAsia="Times New Roman" w:hAnsi="Times New Roman" w:cs="Arial"/>
          <w:sz w:val="20"/>
          <w:szCs w:val="20"/>
          <w:lang w:val="es-MX"/>
        </w:rPr>
        <w:t>sus</w:t>
      </w:r>
      <w:r>
        <w:rPr>
          <w:rFonts w:ascii="Times New Roman" w:eastAsia="Times New Roman" w:hAnsi="Times New Roman" w:cs="Arial"/>
          <w:sz w:val="20"/>
          <w:szCs w:val="20"/>
          <w:lang w:val="es-MX"/>
        </w:rPr>
        <w:t xml:space="preserve"> derechos</w:t>
      </w:r>
      <w:r w:rsidR="00546DBE">
        <w:rPr>
          <w:rFonts w:ascii="Times New Roman" w:eastAsia="Times New Roman" w:hAnsi="Times New Roman" w:cs="Arial"/>
          <w:sz w:val="20"/>
          <w:szCs w:val="20"/>
          <w:lang w:val="es-MX"/>
        </w:rPr>
        <w:t>.</w:t>
      </w:r>
    </w:p>
    <w:p w14:paraId="067E30DC" w14:textId="77777777" w:rsidR="00405820" w:rsidRDefault="00405820">
      <w:pPr>
        <w:spacing w:after="0" w:line="252" w:lineRule="auto"/>
        <w:jc w:val="both"/>
        <w:rPr>
          <w:rFonts w:cs="Arial"/>
          <w:lang w:val="es-MX"/>
        </w:rPr>
      </w:pPr>
    </w:p>
    <w:p w14:paraId="322520A5" w14:textId="5CFA3614" w:rsidR="00405820" w:rsidRDefault="002F4028">
      <w:pPr>
        <w:numPr>
          <w:ilvl w:val="0"/>
          <w:numId w:val="1"/>
        </w:numPr>
        <w:spacing w:after="0" w:line="252" w:lineRule="auto"/>
        <w:ind w:left="0" w:firstLine="0"/>
        <w:jc w:val="both"/>
      </w:pPr>
      <w:r>
        <w:rPr>
          <w:rFonts w:ascii="Times New Roman" w:hAnsi="Times New Roman" w:cs="Arial"/>
          <w:sz w:val="20"/>
          <w:szCs w:val="20"/>
          <w:lang w:val="es-MX"/>
        </w:rPr>
        <w:t xml:space="preserve">Para al año 2025 entre los meses de febrero a mayo, el IDENNA  realizó al menos 24 acompañamientos en </w:t>
      </w:r>
      <w:r w:rsidR="004A36B9">
        <w:rPr>
          <w:rFonts w:ascii="Times New Roman" w:hAnsi="Times New Roman" w:cs="Arial"/>
          <w:sz w:val="20"/>
          <w:szCs w:val="20"/>
          <w:lang w:val="es-MX"/>
        </w:rPr>
        <w:t>los</w:t>
      </w:r>
      <w:r>
        <w:rPr>
          <w:rFonts w:ascii="Times New Roman" w:hAnsi="Times New Roman" w:cs="Arial"/>
          <w:sz w:val="20"/>
          <w:szCs w:val="20"/>
          <w:lang w:val="es-MX"/>
        </w:rPr>
        <w:t xml:space="preserve"> operativos realizados a través de la Gran Misión Vuelta a la Patria de nuestros connacionales, recibiendo en los mismos  a 803 niños, niñas y adolescentes que viajan con sus representantes y 46 niños, niñas y adolescentes no acompañados</w:t>
      </w:r>
      <w:r w:rsidR="00351BBD">
        <w:rPr>
          <w:rFonts w:ascii="Times New Roman" w:hAnsi="Times New Roman" w:cs="Arial"/>
          <w:sz w:val="20"/>
          <w:szCs w:val="20"/>
          <w:lang w:val="es-MX"/>
        </w:rPr>
        <w:t xml:space="preserve">, </w:t>
      </w:r>
      <w:r>
        <w:rPr>
          <w:rFonts w:ascii="Times New Roman" w:hAnsi="Times New Roman" w:cs="Arial"/>
          <w:sz w:val="20"/>
          <w:szCs w:val="20"/>
          <w:lang w:val="es-MX"/>
        </w:rPr>
        <w:t xml:space="preserve"> que implicó la localización de un total de 37 familias. </w:t>
      </w:r>
    </w:p>
    <w:p w14:paraId="556220AC" w14:textId="77777777" w:rsidR="00405820" w:rsidRDefault="00405820">
      <w:pPr>
        <w:spacing w:after="0" w:line="252" w:lineRule="auto"/>
        <w:ind w:left="720"/>
        <w:jc w:val="both"/>
        <w:rPr>
          <w:rFonts w:ascii="Arial" w:hAnsi="Arial" w:cs="Arial"/>
          <w:sz w:val="24"/>
          <w:szCs w:val="24"/>
          <w:lang w:val="es-MX"/>
        </w:rPr>
      </w:pPr>
    </w:p>
    <w:p w14:paraId="4327813C" w14:textId="77777777" w:rsidR="00AF1467" w:rsidRDefault="002F4028" w:rsidP="00AF1467">
      <w:pPr>
        <w:numPr>
          <w:ilvl w:val="0"/>
          <w:numId w:val="1"/>
        </w:numPr>
        <w:spacing w:after="0" w:line="252" w:lineRule="auto"/>
        <w:ind w:left="0" w:firstLine="0"/>
        <w:jc w:val="both"/>
      </w:pPr>
      <w:r>
        <w:rPr>
          <w:rFonts w:ascii="Times New Roman" w:hAnsi="Times New Roman" w:cs="Arial"/>
          <w:sz w:val="20"/>
          <w:szCs w:val="20"/>
          <w:lang w:val="es-MX"/>
        </w:rPr>
        <w:t>El Estado venezolano</w:t>
      </w:r>
      <w:r w:rsidR="00E46205">
        <w:rPr>
          <w:rFonts w:ascii="Times New Roman" w:hAnsi="Times New Roman" w:cs="Arial"/>
          <w:sz w:val="20"/>
          <w:szCs w:val="20"/>
          <w:lang w:val="es-MX"/>
        </w:rPr>
        <w:t xml:space="preserve"> </w:t>
      </w:r>
      <w:r>
        <w:rPr>
          <w:rFonts w:ascii="Times New Roman" w:hAnsi="Times New Roman" w:cs="Arial"/>
          <w:sz w:val="20"/>
          <w:szCs w:val="20"/>
          <w:lang w:val="es-MX"/>
        </w:rPr>
        <w:t>realizó actuaciones nacionales e internacionales para el rescate y repatriación de la niña venezolana M.A.E.B, quien fue secuestrada por las autoridades del Gobierno de Estados Unidos, separándola de su progenitora ciudadana venezolana</w:t>
      </w:r>
      <w:r w:rsidR="00E46205">
        <w:rPr>
          <w:rFonts w:ascii="Times New Roman" w:hAnsi="Times New Roman" w:cs="Arial"/>
          <w:sz w:val="20"/>
          <w:szCs w:val="20"/>
          <w:lang w:val="es-MX"/>
        </w:rPr>
        <w:t xml:space="preserve"> por presuntamente </w:t>
      </w:r>
      <w:r>
        <w:rPr>
          <w:rFonts w:ascii="Times New Roman" w:hAnsi="Times New Roman" w:cs="Arial"/>
          <w:sz w:val="20"/>
          <w:szCs w:val="20"/>
          <w:lang w:val="es-MX"/>
        </w:rPr>
        <w:t xml:space="preserve">estar vinculada con grupos delincuenciales, lográndose la reintegración con su familia luego de intensas negociaciones entre ambos gobiernos. </w:t>
      </w:r>
    </w:p>
    <w:p w14:paraId="5D95B7DB" w14:textId="77777777" w:rsidR="00AF1467" w:rsidRDefault="00AF1467" w:rsidP="00AF1467">
      <w:pPr>
        <w:pStyle w:val="ListParagraph"/>
        <w:rPr>
          <w:rFonts w:eastAsia="Times New Roman" w:cs="Arial"/>
          <w:sz w:val="20"/>
          <w:szCs w:val="20"/>
          <w:lang w:val="es-MX"/>
        </w:rPr>
      </w:pPr>
    </w:p>
    <w:p w14:paraId="7E609ACC" w14:textId="29D7ACCD" w:rsidR="00405820" w:rsidRPr="00AF1467" w:rsidRDefault="002F4028" w:rsidP="00AF1467">
      <w:pPr>
        <w:numPr>
          <w:ilvl w:val="0"/>
          <w:numId w:val="1"/>
        </w:numPr>
        <w:spacing w:after="0" w:line="252" w:lineRule="auto"/>
        <w:ind w:left="0" w:firstLine="0"/>
        <w:jc w:val="both"/>
      </w:pPr>
      <w:r w:rsidRPr="00AF1467">
        <w:rPr>
          <w:rFonts w:ascii="Times New Roman" w:eastAsia="Times New Roman" w:hAnsi="Times New Roman" w:cs="Arial"/>
          <w:sz w:val="20"/>
          <w:szCs w:val="20"/>
          <w:lang w:val="es-MX"/>
        </w:rPr>
        <w:t xml:space="preserve">El IDENNA impulsó la creación de </w:t>
      </w:r>
      <w:r w:rsidR="00AF1467">
        <w:rPr>
          <w:rFonts w:ascii="Times New Roman" w:eastAsia="Times New Roman" w:hAnsi="Times New Roman" w:cs="Arial"/>
          <w:sz w:val="20"/>
          <w:szCs w:val="20"/>
          <w:lang w:val="es-MX"/>
        </w:rPr>
        <w:t xml:space="preserve">dos </w:t>
      </w:r>
      <w:r w:rsidRPr="00AF1467">
        <w:rPr>
          <w:rFonts w:ascii="Times New Roman" w:eastAsia="Times New Roman" w:hAnsi="Times New Roman" w:cs="Arial"/>
          <w:sz w:val="20"/>
          <w:szCs w:val="20"/>
          <w:lang w:val="es-MX"/>
        </w:rPr>
        <w:t>Oficinas de Atención al Migrante</w:t>
      </w:r>
      <w:r w:rsidR="00AF1467" w:rsidRPr="00AF1467">
        <w:rPr>
          <w:rFonts w:ascii="Times New Roman" w:eastAsia="Times New Roman" w:hAnsi="Times New Roman" w:cs="Arial"/>
          <w:sz w:val="20"/>
          <w:szCs w:val="20"/>
          <w:lang w:val="es-MX"/>
        </w:rPr>
        <w:t xml:space="preserve"> e</w:t>
      </w:r>
      <w:r w:rsidR="00AF1467">
        <w:rPr>
          <w:rFonts w:ascii="Times New Roman" w:eastAsia="Times New Roman" w:hAnsi="Times New Roman" w:cs="Arial"/>
          <w:sz w:val="20"/>
          <w:szCs w:val="20"/>
          <w:lang w:val="es-MX"/>
        </w:rPr>
        <w:t>n los</w:t>
      </w:r>
      <w:r w:rsidR="00AF1467" w:rsidRPr="00AF1467">
        <w:rPr>
          <w:rFonts w:ascii="Times New Roman" w:eastAsia="Times New Roman" w:hAnsi="Times New Roman" w:cs="Arial"/>
          <w:sz w:val="20"/>
          <w:szCs w:val="20"/>
          <w:lang w:val="es-MX"/>
        </w:rPr>
        <w:t xml:space="preserve"> estado Táchira y Caracas</w:t>
      </w:r>
      <w:r w:rsidR="00AF1467">
        <w:rPr>
          <w:rFonts w:ascii="Times New Roman" w:eastAsia="Times New Roman" w:hAnsi="Times New Roman" w:cs="Arial"/>
          <w:sz w:val="20"/>
          <w:szCs w:val="20"/>
          <w:lang w:val="es-MX"/>
        </w:rPr>
        <w:t xml:space="preserve">, </w:t>
      </w:r>
      <w:r w:rsidRPr="00AF1467">
        <w:rPr>
          <w:rFonts w:ascii="Times New Roman" w:eastAsia="Times New Roman" w:hAnsi="Times New Roman" w:cs="Arial"/>
          <w:sz w:val="20"/>
          <w:szCs w:val="20"/>
          <w:lang w:val="es-MX"/>
        </w:rPr>
        <w:t xml:space="preserve"> para brindar atención especializada a niños, niñas, adolescentes y sus familiares</w:t>
      </w:r>
      <w:r w:rsidR="00AF1467">
        <w:rPr>
          <w:rFonts w:ascii="Times New Roman" w:eastAsia="Times New Roman" w:hAnsi="Times New Roman" w:cs="Arial"/>
          <w:sz w:val="20"/>
          <w:szCs w:val="20"/>
          <w:lang w:val="es-MX"/>
        </w:rPr>
        <w:t>.</w:t>
      </w:r>
    </w:p>
    <w:p w14:paraId="5B1F85E2" w14:textId="77777777" w:rsidR="00405820" w:rsidRDefault="00405820">
      <w:pPr>
        <w:spacing w:after="0" w:line="252" w:lineRule="auto"/>
        <w:jc w:val="both"/>
        <w:rPr>
          <w:rFonts w:cs="Times New Roman"/>
          <w:b/>
          <w:bCs/>
          <w:sz w:val="20"/>
          <w:szCs w:val="20"/>
        </w:rPr>
      </w:pPr>
    </w:p>
    <w:p w14:paraId="63602004" w14:textId="77777777" w:rsidR="00405820" w:rsidRDefault="002F4028">
      <w:pPr>
        <w:spacing w:after="0" w:line="240" w:lineRule="auto"/>
        <w:jc w:val="both"/>
      </w:pPr>
      <w:r>
        <w:rPr>
          <w:rFonts w:ascii="Times New Roman" w:hAnsi="Times New Roman" w:cs="Times New Roman"/>
          <w:b/>
          <w:bCs/>
          <w:sz w:val="20"/>
          <w:szCs w:val="20"/>
        </w:rPr>
        <w:t>11) Adolescentes en conflicto con la ley</w:t>
      </w:r>
    </w:p>
    <w:p w14:paraId="79B92F63" w14:textId="77777777" w:rsidR="00405820" w:rsidRDefault="00405820">
      <w:pPr>
        <w:pStyle w:val="ListParagraph"/>
        <w:rPr>
          <w:rFonts w:cs="Times New Roman"/>
          <w:sz w:val="20"/>
          <w:szCs w:val="20"/>
        </w:rPr>
      </w:pPr>
    </w:p>
    <w:p w14:paraId="505BE56C"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Para la protección de los y las adolescentes en conflicto con la ley penal, el MPPRIJP creó las Unidades de Atención Especializada en Niños, Niñas y Adolescentes conformadas en los cuerpos de policía, que cuentan con funcionarios especialmente capacitados en la materia para brindar la orientación y la asesoría adecuada en la actuación policial, bajo los siguientes criterios: protección prioritaria para la garantía de la ubicación de los niños, niñas y adolescentes en espacios seguros y diferenciados de los adultos; protección ante la revictimización, registro oportuno y eficiente de las actuaciones y contacto con el representante legal.</w:t>
      </w:r>
    </w:p>
    <w:p w14:paraId="707D2ED5" w14:textId="77777777" w:rsidR="00405820" w:rsidRDefault="00405820">
      <w:pPr>
        <w:spacing w:after="0" w:line="240" w:lineRule="auto"/>
        <w:jc w:val="both"/>
        <w:rPr>
          <w:rFonts w:ascii="Times New Roman" w:eastAsia="Times New Roman" w:hAnsi="Times New Roman" w:cs="Times New Roman"/>
          <w:sz w:val="20"/>
          <w:szCs w:val="20"/>
        </w:rPr>
      </w:pPr>
    </w:p>
    <w:p w14:paraId="0D7A8FFA" w14:textId="086D5083"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Entre 2016 a 2020 </w:t>
      </w:r>
      <w:r w:rsidR="001F4847">
        <w:rPr>
          <w:rFonts w:ascii="Times New Roman" w:hAnsi="Times New Roman" w:cs="Times New Roman"/>
          <w:sz w:val="20"/>
          <w:szCs w:val="20"/>
        </w:rPr>
        <w:t xml:space="preserve"> la DP </w:t>
      </w:r>
      <w:r>
        <w:rPr>
          <w:rFonts w:ascii="Times New Roman" w:hAnsi="Times New Roman" w:cs="Times New Roman"/>
          <w:sz w:val="20"/>
          <w:szCs w:val="20"/>
        </w:rPr>
        <w:t xml:space="preserve">ha atendido a 655.331 usuarios y usuarios, a través de sus 143 defensores y defensoras públicas en materia de responsabilidad penal de adolescente y sus 236 defensores y defensoras con competencia en protección de niños, niñas y adolescentes en asuntos relacionados con la protección de la infancia. Asimismo, hasta 2019 se encuentran privados de libertad 3994 adolescentes, que son alojados en centros de privación de libertad especiales para adolescentes.  </w:t>
      </w:r>
    </w:p>
    <w:p w14:paraId="31F22132" w14:textId="77777777" w:rsidR="00405820" w:rsidRDefault="00405820">
      <w:pPr>
        <w:pStyle w:val="ListParagraph"/>
        <w:rPr>
          <w:rFonts w:cs="Times New Roman"/>
          <w:sz w:val="20"/>
          <w:szCs w:val="20"/>
        </w:rPr>
      </w:pPr>
    </w:p>
    <w:p w14:paraId="30F0378F"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cuanto a la Recomendación 7 a) se señala que la formación de los funcionarios policiales y de los custodios penitenciarios es un proceso permanente y continuo desarrollado por la Universidad Nacional Experimental de la Seguridad, la cual promueve el respeto y la garantía de los derechos humanos en todos sus programas de formación de pregrado y posgrado, así como en sus cursos de capacitación y, diplomados, incluyendo materias relacionadas con los derechos reconocidos en la Convención.</w:t>
      </w:r>
    </w:p>
    <w:p w14:paraId="0A902BDD" w14:textId="77777777" w:rsidR="00405820" w:rsidRDefault="00405820">
      <w:pPr>
        <w:pStyle w:val="ListParagraph"/>
        <w:rPr>
          <w:rFonts w:cs="Times New Roman"/>
          <w:sz w:val="20"/>
          <w:szCs w:val="20"/>
        </w:rPr>
      </w:pPr>
    </w:p>
    <w:p w14:paraId="57EF78A1"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Por su parte, los cuerpos de policía a nivel nacional reciben capacitación en materia de atención a niños, niñas y adolescentes, a través del proceso anual de reentrenamiento policial, que en esta temática se realiza en coordinación con la Unidad de Atención Especializada en Niños, Niñas y Adolescentes de cada cuerpo de policía, contando en la actualidad con 100 de estas Unidades de Atención Especializada en todo el país.</w:t>
      </w:r>
    </w:p>
    <w:p w14:paraId="18F38CEF" w14:textId="77777777" w:rsidR="00405820" w:rsidRDefault="00405820">
      <w:pPr>
        <w:pStyle w:val="ListParagraph"/>
        <w:rPr>
          <w:rFonts w:cs="Times New Roman"/>
          <w:b/>
          <w:bCs/>
          <w:sz w:val="20"/>
          <w:szCs w:val="20"/>
        </w:rPr>
      </w:pPr>
    </w:p>
    <w:p w14:paraId="52727B80" w14:textId="77777777" w:rsidR="00405820" w:rsidRDefault="002F4028">
      <w:pPr>
        <w:spacing w:after="0" w:line="240" w:lineRule="auto"/>
        <w:jc w:val="both"/>
        <w:rPr>
          <w:rFonts w:ascii="Times New Roman" w:eastAsia="Times New Roman" w:hAnsi="Times New Roman" w:cs="Times New Roman"/>
          <w:sz w:val="20"/>
          <w:szCs w:val="20"/>
        </w:rPr>
      </w:pPr>
      <w:r>
        <w:rPr>
          <w:rFonts w:ascii="Times New Roman" w:hAnsi="Times New Roman" w:cs="Times New Roman"/>
          <w:b/>
          <w:bCs/>
          <w:sz w:val="20"/>
          <w:szCs w:val="20"/>
        </w:rPr>
        <w:t>12) Protección contra la explotación y el trabajo Infantil</w:t>
      </w:r>
    </w:p>
    <w:p w14:paraId="7651FEB5" w14:textId="77777777" w:rsidR="00405820" w:rsidRDefault="00405820">
      <w:pPr>
        <w:spacing w:after="0" w:line="240" w:lineRule="auto"/>
        <w:jc w:val="both"/>
        <w:rPr>
          <w:rFonts w:ascii="Times New Roman" w:eastAsia="Times New Roman" w:hAnsi="Times New Roman" w:cs="Times New Roman"/>
          <w:sz w:val="20"/>
          <w:szCs w:val="20"/>
        </w:rPr>
      </w:pPr>
    </w:p>
    <w:p w14:paraId="42A54B82" w14:textId="7B70C4C7" w:rsidR="00405820" w:rsidRDefault="002F4028">
      <w:pPr>
        <w:numPr>
          <w:ilvl w:val="0"/>
          <w:numId w:val="1"/>
        </w:numPr>
        <w:spacing w:after="0" w:line="240" w:lineRule="auto"/>
        <w:ind w:left="0" w:firstLine="0"/>
        <w:jc w:val="both"/>
      </w:pPr>
      <w:r>
        <w:rPr>
          <w:rFonts w:ascii="Times New Roman" w:hAnsi="Times New Roman" w:cs="Times New Roman"/>
          <w:sz w:val="20"/>
          <w:szCs w:val="20"/>
        </w:rPr>
        <w:t>En el período comprendido entre el año 2013 y el 2020 se realizaron 189.604</w:t>
      </w:r>
      <w:r w:rsidR="008D0382">
        <w:rPr>
          <w:rFonts w:ascii="Times New Roman" w:hAnsi="Times New Roman" w:cs="Times New Roman"/>
          <w:sz w:val="20"/>
          <w:szCs w:val="20"/>
        </w:rPr>
        <w:t xml:space="preserve"> </w:t>
      </w:r>
      <w:r>
        <w:rPr>
          <w:rFonts w:ascii="Times New Roman" w:hAnsi="Times New Roman" w:cs="Times New Roman"/>
          <w:sz w:val="20"/>
          <w:szCs w:val="20"/>
        </w:rPr>
        <w:t>inspecciones a entidades de trabajo a nivel nacional, verificando las condiciones de trabajo de 3.753.714 trabajadores y trabajadoras. En tales inspecciones se encontró un total de 20.530 adolescentes, siendo un 65% hombres y  35% mujeres. Los adolescentes representan para el período señalado el 0,55% de los trabajadores y trabajadoras ocupados en las entidades de trabajo inspeccionadas.</w:t>
      </w:r>
    </w:p>
    <w:p w14:paraId="5A4E877A" w14:textId="77777777" w:rsidR="00405820" w:rsidRDefault="00405820">
      <w:pPr>
        <w:pStyle w:val="ListParagraph"/>
        <w:rPr>
          <w:rFonts w:cs="Times New Roman"/>
          <w:sz w:val="20"/>
          <w:szCs w:val="20"/>
        </w:rPr>
      </w:pPr>
    </w:p>
    <w:p w14:paraId="11B03794"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cuanto al sector agrícola, el MPPPST mantiene el Programa Integral de Inspección Agraria, a través del cual se verifica el cumpliendo de las condiciones de trabajo del sector agrario a través de operativos especiales. Entre los años 2016 y 2020 se reportan 22 operativos impactando un total de 4.602 predios agrícolas, donde se emplean 24.712 personas de las cuales 96 eran adolescentes (0,39%), con una distribución por género de 92% varones y 8% mujeres (solo tres casos eran menores de 14 años). </w:t>
      </w:r>
    </w:p>
    <w:p w14:paraId="3050DD97" w14:textId="77777777" w:rsidR="00405820" w:rsidRDefault="00405820">
      <w:pPr>
        <w:pStyle w:val="ListParagraph"/>
        <w:rPr>
          <w:rFonts w:cs="Times New Roman"/>
          <w:sz w:val="20"/>
          <w:szCs w:val="20"/>
        </w:rPr>
      </w:pPr>
    </w:p>
    <w:p w14:paraId="2951C5DE" w14:textId="7777777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el 2015 se realizó una Inspección Binacional Venezuela Brasil, en donde se incluyó la categoría del trabajo infantil, realizando abordaje a los niños, niñas y adolescentes trabajadores. En el caso del Municipio Gran Sabana se pudo detectar 8 niños y adolescentes trabajadores, quienes fueron entrevistados, encontrando en todos los casos que estaban escolarizados y laboraban uno o días a la semana acompañados de sus padres o madres. En ese caso se notificó al Consejo de Protección para la atención integral de los mismos, y se realizaron actividades de sensibilización en materia de trabajo infantil. </w:t>
      </w:r>
    </w:p>
    <w:p w14:paraId="4120B196" w14:textId="77777777" w:rsidR="00405820" w:rsidRDefault="00405820">
      <w:pPr>
        <w:pStyle w:val="ListParagraph"/>
        <w:rPr>
          <w:rFonts w:cs="Times New Roman"/>
          <w:sz w:val="20"/>
          <w:szCs w:val="20"/>
        </w:rPr>
      </w:pPr>
    </w:p>
    <w:p w14:paraId="1E499C77"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El Programa Proyecto de Vida Niños Niñas y Adolescentes (anteriormente denominado PRODINAT) es dirigido por el IDENNA y tiene como objetivo la atención de niños, niñas y adolescentes en riesgo social o vulneración de sus derechos. A través de su estructura se les brinda formación, capacitación y orientación para que elaboren su proyecto de vida. </w:t>
      </w:r>
    </w:p>
    <w:p w14:paraId="090433F6" w14:textId="77777777" w:rsidR="00405820" w:rsidRDefault="00405820">
      <w:pPr>
        <w:pStyle w:val="ListParagraph"/>
        <w:rPr>
          <w:rFonts w:cs="Times New Roman"/>
          <w:sz w:val="20"/>
          <w:szCs w:val="20"/>
        </w:rPr>
      </w:pPr>
    </w:p>
    <w:p w14:paraId="014A16B9" w14:textId="56FABD67" w:rsidR="00405820" w:rsidRDefault="002F4028">
      <w:pPr>
        <w:numPr>
          <w:ilvl w:val="0"/>
          <w:numId w:val="1"/>
        </w:numPr>
        <w:spacing w:after="0" w:line="240" w:lineRule="auto"/>
        <w:ind w:left="0" w:firstLine="0"/>
        <w:jc w:val="both"/>
      </w:pPr>
      <w:r>
        <w:rPr>
          <w:rFonts w:ascii="Times New Roman" w:hAnsi="Times New Roman" w:cs="Times New Roman"/>
          <w:sz w:val="20"/>
          <w:szCs w:val="20"/>
        </w:rPr>
        <w:t>Durante el período comprendido entre 2012 y 2020, se brindaron 64.888 consultas jurídicas a adolescentes</w:t>
      </w:r>
      <w:r w:rsidR="00835A49">
        <w:rPr>
          <w:rFonts w:ascii="Times New Roman" w:hAnsi="Times New Roman" w:cs="Times New Roman"/>
          <w:sz w:val="20"/>
          <w:szCs w:val="20"/>
        </w:rPr>
        <w:t xml:space="preserve">, </w:t>
      </w:r>
      <w:r>
        <w:rPr>
          <w:rFonts w:ascii="Times New Roman" w:hAnsi="Times New Roman" w:cs="Times New Roman"/>
          <w:sz w:val="20"/>
          <w:szCs w:val="20"/>
        </w:rPr>
        <w:t xml:space="preserve">30.204 hombres, 34.614 mujeres, quienes fueron atendidos por profesionales del derecho, tanto por violaciones a la inamovilidad laboral como por reclamos de condiciones laborales. </w:t>
      </w:r>
    </w:p>
    <w:p w14:paraId="12566D15" w14:textId="77777777" w:rsidR="00405820" w:rsidRDefault="00405820">
      <w:pPr>
        <w:pStyle w:val="ListParagraph"/>
        <w:rPr>
          <w:rFonts w:cs="Times New Roman"/>
          <w:sz w:val="20"/>
          <w:szCs w:val="20"/>
        </w:rPr>
      </w:pPr>
    </w:p>
    <w:p w14:paraId="54CFCB47" w14:textId="235D599F" w:rsidR="00405820" w:rsidRDefault="002F4028" w:rsidP="00CE3300">
      <w:pPr>
        <w:numPr>
          <w:ilvl w:val="0"/>
          <w:numId w:val="1"/>
        </w:numPr>
        <w:spacing w:after="0" w:line="240" w:lineRule="auto"/>
        <w:ind w:left="0" w:firstLine="0"/>
        <w:jc w:val="both"/>
      </w:pPr>
      <w:r>
        <w:rPr>
          <w:rFonts w:ascii="Times New Roman" w:hAnsi="Times New Roman" w:cs="Times New Roman"/>
          <w:sz w:val="20"/>
          <w:szCs w:val="20"/>
        </w:rPr>
        <w:t xml:space="preserve">Las Inspectorías del Trabajo han procesado desde 2012 hasta 2020, 504 procedimientos laborales incoados por adolescentes. Las adolescentes trabajadoras han impulsado 268 procedimientos (54%) y los trabajadores, 236,  </w:t>
      </w:r>
      <w:r w:rsidR="00C71C82">
        <w:rPr>
          <w:rFonts w:ascii="Times New Roman" w:hAnsi="Times New Roman" w:cs="Times New Roman"/>
          <w:sz w:val="20"/>
          <w:szCs w:val="20"/>
        </w:rPr>
        <w:t>(</w:t>
      </w:r>
      <w:r>
        <w:rPr>
          <w:rFonts w:ascii="Times New Roman" w:hAnsi="Times New Roman" w:cs="Times New Roman"/>
          <w:sz w:val="20"/>
          <w:szCs w:val="20"/>
        </w:rPr>
        <w:t xml:space="preserve">36%), refiriéndose a 387 procedimientos a cuestiones relacionadas a inamovilidad y 113 a reclamos laborales. </w:t>
      </w:r>
    </w:p>
    <w:p w14:paraId="4F43FBB5" w14:textId="77777777" w:rsidR="00CE3300" w:rsidRPr="00CE3300" w:rsidRDefault="00CE3300" w:rsidP="00CE3300">
      <w:pPr>
        <w:spacing w:after="0" w:line="240" w:lineRule="auto"/>
        <w:jc w:val="both"/>
      </w:pPr>
    </w:p>
    <w:p w14:paraId="32C2967A" w14:textId="0E1FF412" w:rsidR="00405820" w:rsidRDefault="002F4028" w:rsidP="00CE3300">
      <w:pPr>
        <w:numPr>
          <w:ilvl w:val="0"/>
          <w:numId w:val="1"/>
        </w:numPr>
        <w:spacing w:after="0" w:line="240" w:lineRule="auto"/>
        <w:ind w:left="0" w:firstLine="0"/>
        <w:jc w:val="both"/>
      </w:pPr>
      <w:r>
        <w:rPr>
          <w:rFonts w:ascii="Times New Roman" w:hAnsi="Times New Roman" w:cs="Times New Roman"/>
          <w:sz w:val="20"/>
          <w:szCs w:val="20"/>
        </w:rPr>
        <w:t>Desde el año 2012 hasta noviembre 2020, se han registrados 1.137 accidentes laborales en adolescentes donde el género masculino obtuvo la mayor incidencia con 822 y el femenino 315. En el periodo 2012-2020 (noviembre) se han culminado 754 certificaciones en adolescentes donde el género masculino obtuvo la mayor incidencia con 543 y el femenino 211. Respecto a las enfermedades ocupacionales se ha investigado y certificado  4</w:t>
      </w:r>
      <w:r w:rsidR="003F7242">
        <w:rPr>
          <w:rFonts w:ascii="Times New Roman" w:hAnsi="Times New Roman" w:cs="Times New Roman"/>
          <w:sz w:val="20"/>
          <w:szCs w:val="20"/>
        </w:rPr>
        <w:t xml:space="preserve"> </w:t>
      </w:r>
      <w:r>
        <w:rPr>
          <w:rFonts w:ascii="Times New Roman" w:hAnsi="Times New Roman" w:cs="Times New Roman"/>
          <w:sz w:val="20"/>
          <w:szCs w:val="20"/>
        </w:rPr>
        <w:t>casos de adolescentes trabajadores  2,  hombres y  2 mujeres, en los últimos 8 años.</w:t>
      </w:r>
    </w:p>
    <w:p w14:paraId="7AE304B1" w14:textId="77777777" w:rsidR="00CE3300" w:rsidRPr="00CE3300" w:rsidRDefault="00CE3300" w:rsidP="00CE3300">
      <w:pPr>
        <w:spacing w:after="0" w:line="240" w:lineRule="auto"/>
        <w:jc w:val="both"/>
      </w:pPr>
    </w:p>
    <w:p w14:paraId="6E138256" w14:textId="03A5712D" w:rsidR="00405820" w:rsidRDefault="002F4028">
      <w:pPr>
        <w:numPr>
          <w:ilvl w:val="0"/>
          <w:numId w:val="1"/>
        </w:numPr>
        <w:spacing w:after="0" w:line="240" w:lineRule="auto"/>
        <w:ind w:left="0" w:firstLine="0"/>
        <w:jc w:val="both"/>
      </w:pPr>
      <w:r>
        <w:rPr>
          <w:rFonts w:ascii="Times New Roman" w:hAnsi="Times New Roman" w:cs="Times New Roman"/>
          <w:sz w:val="20"/>
          <w:szCs w:val="20"/>
        </w:rPr>
        <w:t>Desde el año 2012 hasta el 2019, se han registrado 725 adolescentes que fueron elegidos Delegados y Delegadas de Prevención, que son representantes en materia de salud y seguridad laborales, donde el género masculino obtuvo la mayor incidencia con 427 y el femenino 298. Asimismo, desde el año 2013 hasta noviembre 2020, se han formado 1.241)adolescentes en el Plan Nacional de Formación (PNF) y el Programa Intensivo de Formación Integral (PIFI) del INPSASEL, siendo el género femenino con mayor número de formados con 780</w:t>
      </w:r>
      <w:r w:rsidR="00BD3A99">
        <w:rPr>
          <w:rFonts w:ascii="Times New Roman" w:hAnsi="Times New Roman" w:cs="Times New Roman"/>
          <w:sz w:val="20"/>
          <w:szCs w:val="20"/>
        </w:rPr>
        <w:t xml:space="preserve"> </w:t>
      </w:r>
      <w:r>
        <w:rPr>
          <w:rFonts w:ascii="Times New Roman" w:hAnsi="Times New Roman" w:cs="Times New Roman"/>
          <w:sz w:val="20"/>
          <w:szCs w:val="20"/>
        </w:rPr>
        <w:t>y el masculino con  461.</w:t>
      </w:r>
    </w:p>
    <w:p w14:paraId="7D7C0A09" w14:textId="77777777" w:rsidR="00405820" w:rsidRDefault="00405820">
      <w:pPr>
        <w:pStyle w:val="ListParagraph"/>
        <w:rPr>
          <w:rFonts w:cs="Times New Roman"/>
          <w:sz w:val="20"/>
          <w:szCs w:val="20"/>
        </w:rPr>
      </w:pPr>
    </w:p>
    <w:p w14:paraId="1A99F195" w14:textId="39E465CA" w:rsidR="00405820" w:rsidRDefault="00960B92">
      <w:pPr>
        <w:numPr>
          <w:ilvl w:val="0"/>
          <w:numId w:val="1"/>
        </w:numPr>
        <w:spacing w:after="0" w:line="240" w:lineRule="auto"/>
        <w:ind w:left="0" w:firstLine="0"/>
        <w:jc w:val="both"/>
      </w:pPr>
      <w:r>
        <w:rPr>
          <w:rFonts w:ascii="Times New Roman" w:hAnsi="Times New Roman" w:cs="Times New Roman"/>
          <w:sz w:val="20"/>
          <w:szCs w:val="20"/>
        </w:rPr>
        <w:t>L</w:t>
      </w:r>
      <w:r w:rsidR="002F4028">
        <w:rPr>
          <w:rFonts w:ascii="Times New Roman" w:hAnsi="Times New Roman" w:cs="Times New Roman"/>
          <w:sz w:val="20"/>
          <w:szCs w:val="20"/>
        </w:rPr>
        <w:t>as Procuradurías del Trabajo atendieron entre 2012 y 2020 un total de 148.518 personas, de las cuales 49.098 fueron mujeres y 100.420 hombres.</w:t>
      </w:r>
    </w:p>
    <w:p w14:paraId="1ED5B3C7" w14:textId="77777777" w:rsidR="00405820" w:rsidRDefault="00405820">
      <w:pPr>
        <w:spacing w:after="0" w:line="240" w:lineRule="auto"/>
        <w:ind w:left="720"/>
        <w:jc w:val="both"/>
        <w:rPr>
          <w:rFonts w:ascii="Times New Roman" w:hAnsi="Times New Roman" w:cs="Times New Roman"/>
          <w:sz w:val="20"/>
          <w:szCs w:val="20"/>
        </w:rPr>
      </w:pPr>
    </w:p>
    <w:p w14:paraId="075E9A2F" w14:textId="77777777" w:rsidR="00405820" w:rsidRDefault="002F4028">
      <w:pPr>
        <w:numPr>
          <w:ilvl w:val="0"/>
          <w:numId w:val="1"/>
        </w:numPr>
        <w:spacing w:after="0" w:line="240" w:lineRule="auto"/>
        <w:ind w:left="0" w:firstLine="0"/>
        <w:jc w:val="both"/>
      </w:pPr>
      <w:r>
        <w:rPr>
          <w:rFonts w:ascii="Times New Roman" w:hAnsi="Times New Roman" w:cs="Arial"/>
          <w:sz w:val="20"/>
          <w:szCs w:val="20"/>
          <w:lang w:val="es-MX"/>
        </w:rPr>
        <w:t xml:space="preserve">  Para el año 2025 el IDENNA activó equipos para la protección integral de niños, niñas y adolescentes contra la explotación y el trabajo infantil en los distintos estados del país, identificando los puntos críticos en el territorio nacional y caracterizando a la población infantil y juvenil con baja y alta permanencia en calle.</w:t>
      </w:r>
    </w:p>
    <w:p w14:paraId="534DBC17" w14:textId="77777777" w:rsidR="00405820" w:rsidRDefault="00405820">
      <w:pPr>
        <w:spacing w:after="0" w:line="240" w:lineRule="auto"/>
        <w:ind w:left="720"/>
        <w:jc w:val="both"/>
        <w:rPr>
          <w:rFonts w:ascii="Times New Roman" w:hAnsi="Times New Roman" w:cs="Arial"/>
          <w:sz w:val="20"/>
          <w:szCs w:val="20"/>
          <w:highlight w:val="yellow"/>
          <w:lang w:val="es-MX"/>
        </w:rPr>
      </w:pPr>
    </w:p>
    <w:p w14:paraId="68358EFA" w14:textId="254AFB22" w:rsidR="00405820" w:rsidRDefault="002F4028">
      <w:pPr>
        <w:numPr>
          <w:ilvl w:val="0"/>
          <w:numId w:val="1"/>
        </w:numPr>
        <w:spacing w:after="0" w:line="240" w:lineRule="auto"/>
        <w:ind w:left="0" w:firstLine="0"/>
        <w:jc w:val="both"/>
      </w:pPr>
      <w:r>
        <w:rPr>
          <w:rFonts w:ascii="Times New Roman" w:eastAsia="Times New Roman" w:hAnsi="Times New Roman" w:cs="Arial"/>
          <w:sz w:val="20"/>
          <w:szCs w:val="20"/>
          <w:lang w:val="es-MX"/>
        </w:rPr>
        <w:t xml:space="preserve">Asimismo, en el año 2025 se realizó un encuentro con adolescentes trabajadores que participan en proyectos socio-productivos del estado Lara y Trujillo, con representación del MPPPST y demás integrantes del </w:t>
      </w:r>
      <w:r w:rsidR="00E03031">
        <w:rPr>
          <w:rFonts w:ascii="Times New Roman" w:eastAsia="Times New Roman" w:hAnsi="Times New Roman" w:cs="Arial"/>
          <w:sz w:val="20"/>
          <w:szCs w:val="20"/>
          <w:lang w:val="es-MX"/>
        </w:rPr>
        <w:t>SRNPINNA</w:t>
      </w:r>
      <w:r>
        <w:rPr>
          <w:rFonts w:ascii="Times New Roman" w:eastAsia="Times New Roman" w:hAnsi="Times New Roman" w:cs="Arial"/>
          <w:sz w:val="20"/>
          <w:szCs w:val="20"/>
          <w:lang w:val="es-MX"/>
        </w:rPr>
        <w:t xml:space="preserve">, a los fines de escuchar sus propuestas en </w:t>
      </w:r>
      <w:r w:rsidR="00532BE2">
        <w:rPr>
          <w:rFonts w:ascii="Times New Roman" w:eastAsia="Times New Roman" w:hAnsi="Times New Roman" w:cs="Arial"/>
          <w:sz w:val="20"/>
          <w:szCs w:val="20"/>
          <w:lang w:val="es-MX"/>
        </w:rPr>
        <w:t>el ámbito laboral</w:t>
      </w:r>
      <w:r>
        <w:rPr>
          <w:rFonts w:ascii="Times New Roman" w:eastAsia="Times New Roman" w:hAnsi="Times New Roman" w:cs="Arial"/>
          <w:sz w:val="20"/>
          <w:szCs w:val="20"/>
          <w:lang w:val="es-MX"/>
        </w:rPr>
        <w:t xml:space="preserve">  y  avanzar en la actuación coordinada ante las demandas específicas de protección a esta población</w:t>
      </w:r>
      <w:r w:rsidR="00532BE2">
        <w:rPr>
          <w:rFonts w:ascii="Times New Roman" w:eastAsia="Times New Roman" w:hAnsi="Times New Roman" w:cs="Arial"/>
          <w:sz w:val="20"/>
          <w:szCs w:val="20"/>
          <w:lang w:val="es-MX"/>
        </w:rPr>
        <w:t xml:space="preserve"> trabajadora</w:t>
      </w:r>
      <w:r>
        <w:rPr>
          <w:rFonts w:ascii="Times New Roman" w:eastAsia="Times New Roman" w:hAnsi="Times New Roman" w:cs="Arial"/>
          <w:sz w:val="20"/>
          <w:szCs w:val="20"/>
          <w:lang w:val="es-MX"/>
        </w:rPr>
        <w:t xml:space="preserve">. </w:t>
      </w:r>
    </w:p>
    <w:p w14:paraId="69BAF7BE" w14:textId="77777777" w:rsidR="00405820" w:rsidRDefault="00405820">
      <w:pPr>
        <w:spacing w:after="0" w:line="240" w:lineRule="auto"/>
        <w:ind w:left="720"/>
        <w:jc w:val="both"/>
        <w:rPr>
          <w:rFonts w:ascii="Times New Roman" w:eastAsia="Times New Roman" w:hAnsi="Times New Roman" w:cs="Arial"/>
          <w:sz w:val="20"/>
          <w:szCs w:val="20"/>
          <w:lang w:val="es-MX"/>
        </w:rPr>
      </w:pPr>
    </w:p>
    <w:p w14:paraId="44BF1595" w14:textId="70C5B3AC" w:rsidR="00405820" w:rsidRDefault="002F4028">
      <w:pPr>
        <w:numPr>
          <w:ilvl w:val="0"/>
          <w:numId w:val="1"/>
        </w:numPr>
        <w:spacing w:after="0" w:line="240" w:lineRule="auto"/>
        <w:ind w:left="0" w:firstLine="0"/>
        <w:jc w:val="both"/>
      </w:pPr>
      <w:r>
        <w:rPr>
          <w:rFonts w:ascii="Times New Roman" w:eastAsia="Times New Roman" w:hAnsi="Times New Roman" w:cs="Arial"/>
          <w:sz w:val="20"/>
          <w:szCs w:val="20"/>
          <w:lang w:val="es-MX"/>
        </w:rPr>
        <w:t xml:space="preserve">Se desarrolló una mesa de trabajo </w:t>
      </w:r>
      <w:r w:rsidR="00787959">
        <w:rPr>
          <w:rFonts w:ascii="Times New Roman" w:eastAsia="Times New Roman" w:hAnsi="Times New Roman" w:cs="Arial"/>
          <w:sz w:val="20"/>
          <w:szCs w:val="20"/>
          <w:lang w:val="es-MX"/>
        </w:rPr>
        <w:t xml:space="preserve">con las instituciones del Estado responsables de </w:t>
      </w:r>
      <w:r>
        <w:rPr>
          <w:rFonts w:ascii="Times New Roman" w:eastAsia="Times New Roman" w:hAnsi="Times New Roman" w:cs="Arial"/>
          <w:sz w:val="20"/>
          <w:szCs w:val="20"/>
          <w:lang w:val="es-MX"/>
        </w:rPr>
        <w:t xml:space="preserve">la aplicación del instrumento de Registro Único de Adolescentes Trabajadores. El IDENNA </w:t>
      </w:r>
      <w:r w:rsidR="00787959">
        <w:rPr>
          <w:rFonts w:ascii="Times New Roman" w:eastAsia="Times New Roman" w:hAnsi="Times New Roman" w:cs="Arial"/>
          <w:sz w:val="20"/>
          <w:szCs w:val="20"/>
          <w:lang w:val="es-MX"/>
        </w:rPr>
        <w:t>a través</w:t>
      </w:r>
      <w:r>
        <w:rPr>
          <w:rFonts w:ascii="Times New Roman" w:eastAsia="Times New Roman" w:hAnsi="Times New Roman" w:cs="Arial"/>
          <w:sz w:val="20"/>
          <w:szCs w:val="20"/>
          <w:lang w:val="es-MX"/>
        </w:rPr>
        <w:t xml:space="preserve"> </w:t>
      </w:r>
      <w:r w:rsidR="00787959">
        <w:rPr>
          <w:rFonts w:ascii="Times New Roman" w:eastAsia="Times New Roman" w:hAnsi="Times New Roman" w:cs="Arial"/>
          <w:sz w:val="20"/>
          <w:szCs w:val="20"/>
          <w:lang w:val="es-MX"/>
        </w:rPr>
        <w:t>d</w:t>
      </w:r>
      <w:r>
        <w:rPr>
          <w:rFonts w:ascii="Times New Roman" w:eastAsia="Times New Roman" w:hAnsi="Times New Roman" w:cs="Arial"/>
          <w:sz w:val="20"/>
          <w:szCs w:val="20"/>
          <w:lang w:val="es-MX"/>
        </w:rPr>
        <w:t>el Fondo para la Protección de Niños Niñas y Adolescentes,</w:t>
      </w:r>
      <w:r w:rsidR="00787959">
        <w:rPr>
          <w:rFonts w:ascii="Times New Roman" w:eastAsia="Times New Roman" w:hAnsi="Times New Roman" w:cs="Arial"/>
          <w:sz w:val="20"/>
          <w:szCs w:val="20"/>
          <w:lang w:val="es-MX"/>
        </w:rPr>
        <w:t xml:space="preserve"> financia</w:t>
      </w:r>
      <w:r>
        <w:rPr>
          <w:rFonts w:ascii="Times New Roman" w:eastAsia="Times New Roman" w:hAnsi="Times New Roman" w:cs="Arial"/>
          <w:sz w:val="20"/>
          <w:szCs w:val="20"/>
          <w:lang w:val="es-MX"/>
        </w:rPr>
        <w:t xml:space="preserve"> un proyecto de formación en derechos para </w:t>
      </w:r>
      <w:r w:rsidR="00787959">
        <w:rPr>
          <w:rFonts w:ascii="Times New Roman" w:eastAsia="Times New Roman" w:hAnsi="Times New Roman" w:cs="Arial"/>
          <w:sz w:val="20"/>
          <w:szCs w:val="20"/>
          <w:lang w:val="es-MX"/>
        </w:rPr>
        <w:t xml:space="preserve">los </w:t>
      </w:r>
      <w:r>
        <w:rPr>
          <w:rFonts w:ascii="Times New Roman" w:eastAsia="Times New Roman" w:hAnsi="Times New Roman" w:cs="Arial"/>
          <w:sz w:val="20"/>
          <w:szCs w:val="20"/>
          <w:lang w:val="es-MX"/>
        </w:rPr>
        <w:t>adolescentes trabajadores.</w:t>
      </w:r>
    </w:p>
    <w:p w14:paraId="71ABBBA2" w14:textId="77777777" w:rsidR="00405820" w:rsidRDefault="00405820">
      <w:pPr>
        <w:pStyle w:val="ListParagraph"/>
        <w:rPr>
          <w:rFonts w:cs="Times New Roman"/>
          <w:sz w:val="20"/>
          <w:szCs w:val="20"/>
        </w:rPr>
      </w:pPr>
    </w:p>
    <w:p w14:paraId="644A3321" w14:textId="77777777" w:rsidR="00405820" w:rsidRDefault="002F4028">
      <w:pPr>
        <w:spacing w:after="0" w:line="240" w:lineRule="auto"/>
        <w:jc w:val="both"/>
        <w:rPr>
          <w:rFonts w:ascii="Times New Roman" w:eastAsia="Times New Roman" w:hAnsi="Times New Roman" w:cs="Times New Roman"/>
          <w:b/>
          <w:sz w:val="20"/>
          <w:szCs w:val="20"/>
        </w:rPr>
      </w:pPr>
      <w:r>
        <w:rPr>
          <w:rFonts w:ascii="Times New Roman" w:hAnsi="Times New Roman" w:cs="Times New Roman"/>
          <w:b/>
          <w:sz w:val="20"/>
          <w:szCs w:val="20"/>
        </w:rPr>
        <w:t>13) Prevención del embarazo en población adolescente</w:t>
      </w:r>
    </w:p>
    <w:p w14:paraId="0D986DCE" w14:textId="77777777" w:rsidR="00405820" w:rsidRDefault="00405820">
      <w:pPr>
        <w:pStyle w:val="ListParagraph"/>
        <w:rPr>
          <w:rFonts w:cs="Times New Roman"/>
          <w:sz w:val="20"/>
          <w:szCs w:val="20"/>
        </w:rPr>
      </w:pPr>
    </w:p>
    <w:p w14:paraId="2BB93222" w14:textId="3E8CCFF7" w:rsidR="00405820" w:rsidRDefault="002F4028">
      <w:pPr>
        <w:numPr>
          <w:ilvl w:val="0"/>
          <w:numId w:val="1"/>
        </w:numPr>
        <w:spacing w:after="0" w:line="240" w:lineRule="auto"/>
        <w:ind w:left="0" w:firstLine="0"/>
        <w:jc w:val="both"/>
      </w:pPr>
      <w:r>
        <w:rPr>
          <w:rFonts w:ascii="Times New Roman" w:hAnsi="Times New Roman" w:cs="Times New Roman"/>
          <w:sz w:val="20"/>
          <w:szCs w:val="20"/>
        </w:rPr>
        <w:t>Entre 2014 y 2017, la Tasa de Fecundidad Adolescente disminuyó de 95,1 a 85,8</w:t>
      </w:r>
      <w:r w:rsidR="00ED0475">
        <w:rPr>
          <w:rFonts w:ascii="Times New Roman" w:hAnsi="Times New Roman" w:cs="Times New Roman"/>
          <w:sz w:val="20"/>
          <w:szCs w:val="20"/>
        </w:rPr>
        <w:t xml:space="preserve"> </w:t>
      </w:r>
      <w:r>
        <w:rPr>
          <w:rFonts w:ascii="Times New Roman" w:hAnsi="Times New Roman" w:cs="Times New Roman"/>
          <w:sz w:val="20"/>
          <w:szCs w:val="20"/>
        </w:rPr>
        <w:t>por cada mil; con una incidencia que se concentra en la población de 17 a  19 años. Esta disminución es el resultado del inicio de intervenciones específicas en esta población, como la adquisición y distribución de implantes subdérmicos, en especial a adolescentes con antecedentes obstétricos en el año 2016-2017, todo ello como parte del Programa Nacional de Salud Sexual Reproductiva. En total se colocaron 24.637 implantes, desde julio del 2016 hasta marzo del 2017.</w:t>
      </w:r>
    </w:p>
    <w:p w14:paraId="7AC501F6" w14:textId="77777777" w:rsidR="00405820" w:rsidRDefault="00405820">
      <w:pPr>
        <w:pStyle w:val="ListParagraph"/>
        <w:rPr>
          <w:rFonts w:cs="Times New Roman"/>
          <w:sz w:val="20"/>
          <w:szCs w:val="20"/>
        </w:rPr>
      </w:pPr>
    </w:p>
    <w:p w14:paraId="72E942BC" w14:textId="4107F6E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2014 se realizaron las campañas en los planteles de educación básica, media y técnica, a nivel nacional, orientadas a la prevención del embarazo a temprana edad y en adolescentes.</w:t>
      </w:r>
    </w:p>
    <w:p w14:paraId="79B2169C" w14:textId="77777777" w:rsidR="00405820" w:rsidRDefault="00405820">
      <w:pPr>
        <w:pStyle w:val="ListParagraph"/>
        <w:rPr>
          <w:rFonts w:eastAsia="Times New Roman" w:cs="Times New Roman"/>
          <w:sz w:val="20"/>
          <w:szCs w:val="20"/>
        </w:rPr>
      </w:pPr>
    </w:p>
    <w:p w14:paraId="401A69AA" w14:textId="484D8485"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el año 2015, el MPPMIG impulsó la creación de la Red Interinstitucional de Protección a la Maternidad y la Prevención del Embarazo a Temprana Edad y en la </w:t>
      </w:r>
      <w:proofErr w:type="spellStart"/>
      <w:r>
        <w:rPr>
          <w:rFonts w:ascii="Times New Roman" w:hAnsi="Times New Roman" w:cs="Times New Roman"/>
          <w:sz w:val="20"/>
          <w:szCs w:val="20"/>
        </w:rPr>
        <w:t>Adolescenci</w:t>
      </w:r>
      <w:r w:rsidR="007177CF">
        <w:rPr>
          <w:rFonts w:ascii="Times New Roman" w:hAnsi="Times New Roman" w:cs="Times New Roman"/>
          <w:sz w:val="20"/>
          <w:szCs w:val="20"/>
        </w:rPr>
        <w:t>a.</w:t>
      </w:r>
      <w:r>
        <w:rPr>
          <w:rFonts w:ascii="Times New Roman" w:hAnsi="Times New Roman" w:cs="Times New Roman"/>
          <w:sz w:val="20"/>
          <w:szCs w:val="20"/>
        </w:rPr>
        <w:t>De</w:t>
      </w:r>
      <w:proofErr w:type="spellEnd"/>
      <w:r>
        <w:rPr>
          <w:rFonts w:ascii="Times New Roman" w:hAnsi="Times New Roman" w:cs="Times New Roman"/>
          <w:sz w:val="20"/>
          <w:szCs w:val="20"/>
        </w:rPr>
        <w:t xml:space="preserve"> esta forma se construyó el Plan Nacional de Prevención y Reducción de Embarazo a temprana edad y Adolescencia 2017-2021 (PRETA), el cual tiene como propósito impulsar un conjunto de acciones y medidas para reducir los altos índices de embarazo adolescente y  a temprana edad.</w:t>
      </w:r>
    </w:p>
    <w:p w14:paraId="50547680" w14:textId="77777777" w:rsidR="00405820" w:rsidRDefault="00405820">
      <w:pPr>
        <w:pStyle w:val="ListParagraph"/>
        <w:rPr>
          <w:rFonts w:cs="Times New Roman"/>
          <w:sz w:val="20"/>
          <w:szCs w:val="20"/>
        </w:rPr>
      </w:pPr>
    </w:p>
    <w:p w14:paraId="5352DAE0" w14:textId="5FBB086F"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Como parte del PRETA se diseñó el Programa de Educación Integral de la Sexualidad fuera de la Escuela y se actualizaron las orientaciones pedagógicas y currículos dentro del marco de educación integral para la sexualidad y salud sexual y reproductiva, desde la educación inicial hasta la universitaria. De igual forma, se activó el Sub Comité de Estadísticas de Embarazo a Edad Temprana y en Adolescentes, con el objeto de producir boletines para la toma de decisiones. Asimismo, se diseñó una campaña dirigida a sensibilizar a adolescentes y sus familias, sobre el embarazo en la adolescencia. La campaña está compuesta de </w:t>
      </w:r>
      <w:r w:rsidR="00707DC7">
        <w:rPr>
          <w:rFonts w:ascii="Times New Roman" w:hAnsi="Times New Roman" w:cs="Times New Roman"/>
          <w:sz w:val="20"/>
          <w:szCs w:val="20"/>
        </w:rPr>
        <w:t>1</w:t>
      </w:r>
      <w:r>
        <w:rPr>
          <w:rFonts w:ascii="Times New Roman" w:hAnsi="Times New Roman" w:cs="Times New Roman"/>
          <w:sz w:val="20"/>
          <w:szCs w:val="20"/>
        </w:rPr>
        <w:t>0 piezas para televisión, radio y redes sociales.</w:t>
      </w:r>
    </w:p>
    <w:p w14:paraId="2CA39D11" w14:textId="77777777" w:rsidR="00405820" w:rsidRDefault="00405820">
      <w:pPr>
        <w:pStyle w:val="ListParagraph"/>
        <w:rPr>
          <w:rFonts w:cs="Times New Roman"/>
          <w:sz w:val="20"/>
          <w:szCs w:val="20"/>
        </w:rPr>
      </w:pPr>
    </w:p>
    <w:p w14:paraId="1BCD58EA" w14:textId="01C458F7"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En el período de este informe se actualizó la Norma Oficial para la atención Integral en Salud Sexual y Reproductiva (2013) y se aprobaron los Protocolos Clínicos de Atención Integral a las y los Adolescentes (2014).</w:t>
      </w:r>
    </w:p>
    <w:p w14:paraId="2FD8C447" w14:textId="77777777" w:rsidR="00405820" w:rsidRDefault="00405820">
      <w:pPr>
        <w:pStyle w:val="ListParagraph"/>
        <w:rPr>
          <w:rFonts w:cs="Times New Roman"/>
          <w:sz w:val="20"/>
          <w:szCs w:val="20"/>
        </w:rPr>
      </w:pPr>
    </w:p>
    <w:p w14:paraId="29EEA545" w14:textId="0939ED66"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Desde el 2014 hasta el 2019 </w:t>
      </w:r>
      <w:r w:rsidR="00ED25D9">
        <w:rPr>
          <w:rFonts w:ascii="Times New Roman" w:hAnsi="Times New Roman" w:cs="Times New Roman"/>
          <w:sz w:val="20"/>
          <w:szCs w:val="20"/>
        </w:rPr>
        <w:t xml:space="preserve">se </w:t>
      </w:r>
      <w:r>
        <w:rPr>
          <w:rFonts w:ascii="Times New Roman" w:hAnsi="Times New Roman" w:cs="Times New Roman"/>
          <w:sz w:val="20"/>
          <w:szCs w:val="20"/>
        </w:rPr>
        <w:t>aten</w:t>
      </w:r>
      <w:r w:rsidR="00ED25D9">
        <w:rPr>
          <w:rFonts w:ascii="Times New Roman" w:hAnsi="Times New Roman" w:cs="Times New Roman"/>
          <w:sz w:val="20"/>
          <w:szCs w:val="20"/>
        </w:rPr>
        <w:t>dieron</w:t>
      </w:r>
      <w:r>
        <w:rPr>
          <w:rFonts w:ascii="Times New Roman" w:hAnsi="Times New Roman" w:cs="Times New Roman"/>
          <w:sz w:val="20"/>
          <w:szCs w:val="20"/>
        </w:rPr>
        <w:t xml:space="preserve"> 4.167.791 adolescentes. El sistema público nacional de salud cuenta con 79 espacios para la atención diferenciadas de las y los adolescentes. Desde el año 2014, se han generado planes específicos para la priorización de distribución de métodos anticonceptivos de larga duración a la población. </w:t>
      </w:r>
    </w:p>
    <w:p w14:paraId="43471ADD" w14:textId="77777777" w:rsidR="00405820" w:rsidRDefault="00405820">
      <w:pPr>
        <w:pStyle w:val="ListParagraph"/>
        <w:rPr>
          <w:rFonts w:cs="Times New Roman"/>
          <w:sz w:val="20"/>
          <w:szCs w:val="20"/>
        </w:rPr>
      </w:pPr>
    </w:p>
    <w:p w14:paraId="19DE5F1D" w14:textId="27B7C774" w:rsidR="00405820" w:rsidRDefault="002F4028">
      <w:pPr>
        <w:numPr>
          <w:ilvl w:val="0"/>
          <w:numId w:val="1"/>
        </w:numPr>
        <w:spacing w:after="0" w:line="240" w:lineRule="auto"/>
        <w:ind w:left="0" w:firstLine="0"/>
        <w:jc w:val="both"/>
        <w:rPr>
          <w:rFonts w:ascii="Times New Roman" w:eastAsia="Times New Roman" w:hAnsi="Times New Roman" w:cs="Times New Roman"/>
          <w:sz w:val="20"/>
          <w:szCs w:val="20"/>
        </w:rPr>
      </w:pPr>
      <w:r>
        <w:rPr>
          <w:rFonts w:ascii="Times New Roman" w:hAnsi="Times New Roman" w:cs="Times New Roman"/>
          <w:sz w:val="20"/>
          <w:szCs w:val="20"/>
        </w:rPr>
        <w:t xml:space="preserve">En el 2018, junto a las agencias de cooperación internacional, se ejecutó el Plan de Anticoncepción inmediata post evento obstétrico en las maternidades y hospitales y el Plan de Anticoncepción en la red comunal y ambulatoria, para la </w:t>
      </w:r>
      <w:proofErr w:type="spellStart"/>
      <w:r>
        <w:rPr>
          <w:rFonts w:ascii="Times New Roman" w:hAnsi="Times New Roman" w:cs="Times New Roman"/>
          <w:sz w:val="20"/>
          <w:szCs w:val="20"/>
        </w:rPr>
        <w:t>dispensarización</w:t>
      </w:r>
      <w:proofErr w:type="spellEnd"/>
      <w:r>
        <w:rPr>
          <w:rFonts w:ascii="Times New Roman" w:hAnsi="Times New Roman" w:cs="Times New Roman"/>
          <w:sz w:val="20"/>
          <w:szCs w:val="20"/>
        </w:rPr>
        <w:t xml:space="preserve"> de métodos anticonceptivos de larga duración</w:t>
      </w:r>
      <w:r w:rsidR="0062273E">
        <w:rPr>
          <w:rFonts w:ascii="Times New Roman" w:hAnsi="Times New Roman" w:cs="Times New Roman"/>
          <w:sz w:val="20"/>
          <w:szCs w:val="20"/>
        </w:rPr>
        <w:t xml:space="preserve">, </w:t>
      </w:r>
      <w:r>
        <w:rPr>
          <w:rFonts w:ascii="Times New Roman" w:hAnsi="Times New Roman" w:cs="Times New Roman"/>
          <w:sz w:val="20"/>
          <w:szCs w:val="20"/>
        </w:rPr>
        <w:t>destinados a la población adolescente, a través de consultas diferenciadas</w:t>
      </w:r>
      <w:r w:rsidR="00C7091E">
        <w:rPr>
          <w:rFonts w:ascii="Times New Roman" w:hAnsi="Times New Roman" w:cs="Times New Roman"/>
          <w:sz w:val="20"/>
          <w:szCs w:val="20"/>
        </w:rPr>
        <w:t xml:space="preserve"> en </w:t>
      </w:r>
      <w:r>
        <w:rPr>
          <w:rFonts w:ascii="Times New Roman" w:hAnsi="Times New Roman" w:cs="Times New Roman"/>
          <w:sz w:val="20"/>
          <w:szCs w:val="20"/>
        </w:rPr>
        <w:t>instituciones de educación media e instituciones universitarias. Estos planes son acompañados de consejería en planificación familiar, el uso de consentimiento informado y la orientación para la prevención de las infecciones de transmisión sexual.</w:t>
      </w:r>
    </w:p>
    <w:p w14:paraId="02F39250" w14:textId="77777777" w:rsidR="00405820" w:rsidRDefault="00405820">
      <w:pPr>
        <w:pStyle w:val="ListParagraph"/>
        <w:rPr>
          <w:rFonts w:cs="Times New Roman"/>
          <w:sz w:val="20"/>
          <w:szCs w:val="20"/>
        </w:rPr>
      </w:pPr>
    </w:p>
    <w:p w14:paraId="5540B212" w14:textId="77777777" w:rsidR="00405820" w:rsidRDefault="002F4028">
      <w:pPr>
        <w:numPr>
          <w:ilvl w:val="0"/>
          <w:numId w:val="1"/>
        </w:numPr>
        <w:spacing w:after="0" w:line="240" w:lineRule="auto"/>
        <w:ind w:left="0" w:firstLine="0"/>
        <w:jc w:val="both"/>
      </w:pPr>
      <w:r>
        <w:rPr>
          <w:rFonts w:ascii="Times New Roman" w:hAnsi="Times New Roman" w:cs="Times New Roman"/>
          <w:sz w:val="20"/>
          <w:szCs w:val="20"/>
        </w:rPr>
        <w:t xml:space="preserve">Entre otras medidas adoptadas durante el período del presente informe para la prevención del embarazo en la población adolescente se incluyen: </w:t>
      </w:r>
    </w:p>
    <w:p w14:paraId="2DFC406C" w14:textId="77777777" w:rsidR="00405820" w:rsidRDefault="00405820">
      <w:pPr>
        <w:spacing w:after="0" w:line="240" w:lineRule="auto"/>
        <w:ind w:left="720"/>
        <w:jc w:val="both"/>
        <w:rPr>
          <w:rFonts w:ascii="Times New Roman" w:hAnsi="Times New Roman" w:cs="Times New Roman"/>
          <w:sz w:val="20"/>
          <w:szCs w:val="20"/>
        </w:rPr>
      </w:pPr>
    </w:p>
    <w:p w14:paraId="41403E95" w14:textId="50C6B3CE" w:rsidR="00405820" w:rsidRDefault="002F4028">
      <w:pPr>
        <w:spacing w:after="0" w:line="240" w:lineRule="auto"/>
        <w:ind w:left="720"/>
        <w:jc w:val="both"/>
      </w:pPr>
      <w:r>
        <w:rPr>
          <w:rFonts w:ascii="Times New Roman" w:hAnsi="Times New Roman" w:cs="Times New Roman"/>
          <w:sz w:val="20"/>
          <w:szCs w:val="20"/>
        </w:rPr>
        <w:t>a) Capacitación y orientación a</w:t>
      </w:r>
      <w:r w:rsidR="00BB534A">
        <w:rPr>
          <w:rFonts w:ascii="Times New Roman" w:hAnsi="Times New Roman" w:cs="Times New Roman"/>
          <w:sz w:val="20"/>
          <w:szCs w:val="20"/>
        </w:rPr>
        <w:t xml:space="preserve"> </w:t>
      </w:r>
      <w:r>
        <w:rPr>
          <w:rFonts w:ascii="Times New Roman" w:hAnsi="Times New Roman" w:cs="Times New Roman"/>
          <w:sz w:val="20"/>
          <w:szCs w:val="20"/>
        </w:rPr>
        <w:t xml:space="preserve">121.402 estudiantes universitarios en materia de salud sexual y reproductiva, durante el año 2019. </w:t>
      </w:r>
    </w:p>
    <w:p w14:paraId="58ADC1AE" w14:textId="77777777" w:rsidR="00405820" w:rsidRDefault="002F4028">
      <w:pPr>
        <w:spacing w:after="0" w:line="240" w:lineRule="auto"/>
        <w:ind w:left="720"/>
        <w:jc w:val="both"/>
      </w:pPr>
      <w:r>
        <w:rPr>
          <w:rFonts w:ascii="Times New Roman" w:hAnsi="Times New Roman" w:cs="Times New Roman"/>
          <w:sz w:val="20"/>
          <w:szCs w:val="20"/>
        </w:rPr>
        <w:t xml:space="preserve">b) La </w:t>
      </w:r>
      <w:proofErr w:type="spellStart"/>
      <w:r>
        <w:rPr>
          <w:rFonts w:ascii="Times New Roman" w:hAnsi="Times New Roman" w:cs="Times New Roman"/>
          <w:sz w:val="20"/>
          <w:szCs w:val="20"/>
        </w:rPr>
        <w:t>dispensarización</w:t>
      </w:r>
      <w:proofErr w:type="spellEnd"/>
      <w:r>
        <w:rPr>
          <w:rFonts w:ascii="Times New Roman" w:hAnsi="Times New Roman" w:cs="Times New Roman"/>
          <w:sz w:val="20"/>
          <w:szCs w:val="20"/>
        </w:rPr>
        <w:t xml:space="preserve"> de anticonceptivos, incorporando cinco de sus unidades de atención al concepto de atención diferenciada, garantizando la entrega gratuita, universal y directa de anticonceptivos a un total de doscientos ochenta y nueve mil, trescientos sesenta y dos (289.362) estudiantes.</w:t>
      </w:r>
    </w:p>
    <w:p w14:paraId="1CEC0B1A" w14:textId="7C771207" w:rsidR="00405820" w:rsidRDefault="002F4028">
      <w:pPr>
        <w:spacing w:after="0" w:line="240" w:lineRule="auto"/>
        <w:ind w:left="720"/>
        <w:jc w:val="both"/>
        <w:rPr>
          <w:rFonts w:ascii="Times New Roman" w:hAnsi="Times New Roman"/>
        </w:rPr>
      </w:pPr>
      <w:r>
        <w:rPr>
          <w:rFonts w:ascii="Times New Roman" w:hAnsi="Times New Roman" w:cs="Times New Roman"/>
          <w:sz w:val="20"/>
          <w:szCs w:val="20"/>
        </w:rPr>
        <w:t>c)La formación de 1.269</w:t>
      </w:r>
      <w:r w:rsidR="00BB534A">
        <w:rPr>
          <w:rFonts w:ascii="Times New Roman" w:hAnsi="Times New Roman" w:cs="Times New Roman"/>
          <w:sz w:val="20"/>
          <w:szCs w:val="20"/>
        </w:rPr>
        <w:t xml:space="preserve"> </w:t>
      </w:r>
      <w:r>
        <w:rPr>
          <w:rFonts w:ascii="Times New Roman" w:hAnsi="Times New Roman" w:cs="Times New Roman"/>
          <w:sz w:val="20"/>
          <w:szCs w:val="20"/>
        </w:rPr>
        <w:t>nuevos profesionales de la salud en las “</w:t>
      </w:r>
      <w:r>
        <w:rPr>
          <w:rFonts w:ascii="Times New Roman" w:hAnsi="Times New Roman" w:cs="Times New Roman"/>
          <w:i/>
          <w:sz w:val="20"/>
          <w:szCs w:val="20"/>
        </w:rPr>
        <w:t>Estrategias de Atención para Servicios Amigables de adolescentes”</w:t>
      </w:r>
      <w:r>
        <w:rPr>
          <w:rFonts w:ascii="Times New Roman" w:hAnsi="Times New Roman" w:cs="Times New Roman"/>
          <w:sz w:val="20"/>
          <w:szCs w:val="20"/>
        </w:rPr>
        <w:t xml:space="preserve"> (2016-2019) </w:t>
      </w:r>
    </w:p>
    <w:p w14:paraId="2672A496" w14:textId="246FAD61" w:rsidR="00405820" w:rsidRDefault="002F4028">
      <w:pPr>
        <w:spacing w:after="0" w:line="240" w:lineRule="auto"/>
        <w:ind w:left="720"/>
        <w:jc w:val="both"/>
        <w:rPr>
          <w:rFonts w:ascii="Times New Roman" w:hAnsi="Times New Roman"/>
        </w:rPr>
      </w:pPr>
      <w:r>
        <w:rPr>
          <w:rFonts w:ascii="Times New Roman" w:hAnsi="Times New Roman" w:cs="Times New Roman"/>
          <w:sz w:val="20"/>
          <w:szCs w:val="20"/>
        </w:rPr>
        <w:t>d) El fortalecimiento de 23</w:t>
      </w:r>
      <w:r w:rsidR="00BB534A">
        <w:rPr>
          <w:rFonts w:ascii="Times New Roman" w:hAnsi="Times New Roman" w:cs="Times New Roman"/>
          <w:sz w:val="20"/>
          <w:szCs w:val="20"/>
        </w:rPr>
        <w:t>9</w:t>
      </w:r>
      <w:r>
        <w:rPr>
          <w:rFonts w:ascii="Times New Roman" w:hAnsi="Times New Roman" w:cs="Times New Roman"/>
          <w:sz w:val="20"/>
          <w:szCs w:val="20"/>
        </w:rPr>
        <w:t xml:space="preserve"> centros centinelas para la planificación familiar.</w:t>
      </w:r>
    </w:p>
    <w:p w14:paraId="1720D48E" w14:textId="77777777" w:rsidR="00405820" w:rsidRDefault="002F4028">
      <w:pPr>
        <w:spacing w:after="0" w:line="240" w:lineRule="auto"/>
        <w:ind w:left="720"/>
        <w:jc w:val="both"/>
      </w:pPr>
      <w:r>
        <w:rPr>
          <w:rFonts w:ascii="Times New Roman" w:hAnsi="Times New Roman" w:cs="Times New Roman"/>
          <w:sz w:val="20"/>
          <w:szCs w:val="20"/>
        </w:rPr>
        <w:t>e) La cooperación técnica del Organismo Andino de Salud-Convenio Hipólito Unanue (ORAS-CONHU) en la elaboración, implementación y monitoreo del Plan Andino de prevención de embarazos en adolescentes.</w:t>
      </w:r>
      <w:r>
        <w:rPr>
          <w:rFonts w:cs="Times New Roman"/>
          <w:sz w:val="20"/>
          <w:szCs w:val="20"/>
        </w:rPr>
        <w:t xml:space="preserve"> </w:t>
      </w:r>
    </w:p>
    <w:p w14:paraId="12B077BC" w14:textId="77777777" w:rsidR="00405820" w:rsidRDefault="00405820">
      <w:pPr>
        <w:spacing w:after="0" w:line="240" w:lineRule="auto"/>
        <w:ind w:left="720"/>
        <w:jc w:val="both"/>
        <w:rPr>
          <w:rFonts w:ascii="Times New Roman" w:hAnsi="Times New Roman" w:cs="Arial"/>
          <w:sz w:val="20"/>
          <w:szCs w:val="20"/>
          <w:highlight w:val="yellow"/>
          <w:lang w:val="es-MX"/>
        </w:rPr>
      </w:pPr>
    </w:p>
    <w:p w14:paraId="16EE15AE" w14:textId="0CEA52DE" w:rsidR="00405820" w:rsidRDefault="002F4028">
      <w:pPr>
        <w:numPr>
          <w:ilvl w:val="0"/>
          <w:numId w:val="1"/>
        </w:numPr>
        <w:spacing w:after="0" w:line="240" w:lineRule="auto"/>
        <w:ind w:left="0" w:firstLine="0"/>
        <w:jc w:val="both"/>
      </w:pPr>
      <w:r>
        <w:rPr>
          <w:rFonts w:ascii="Times New Roman" w:hAnsi="Times New Roman" w:cs="Arial"/>
          <w:sz w:val="20"/>
          <w:szCs w:val="20"/>
          <w:lang w:val="es-MX"/>
        </w:rPr>
        <w:t>Durante el año 2022 al 2024 el IDENNA realizó 1.653 actividades preventivas a nivel nacional, en el marco de la campaña para la protección integral de niños, niñas y adolescentes contra el abuso sexual y las distintas formas de violencia. Se atendieron a más de 19.323</w:t>
      </w:r>
      <w:r w:rsidR="00BB534A">
        <w:rPr>
          <w:rFonts w:ascii="Times New Roman" w:hAnsi="Times New Roman" w:cs="Arial"/>
          <w:sz w:val="20"/>
          <w:szCs w:val="20"/>
          <w:lang w:val="es-MX"/>
        </w:rPr>
        <w:t xml:space="preserve"> </w:t>
      </w:r>
      <w:r>
        <w:rPr>
          <w:rFonts w:ascii="Times New Roman" w:hAnsi="Times New Roman" w:cs="Arial"/>
          <w:sz w:val="20"/>
          <w:szCs w:val="20"/>
          <w:lang w:val="es-MX"/>
        </w:rPr>
        <w:t>familias y 33.544 niños, niñas y adolescentes, siguiendo l</w:t>
      </w:r>
      <w:r w:rsidR="00BB534A">
        <w:rPr>
          <w:rFonts w:ascii="Times New Roman" w:hAnsi="Times New Roman" w:cs="Arial"/>
          <w:sz w:val="20"/>
          <w:szCs w:val="20"/>
          <w:lang w:val="es-MX"/>
        </w:rPr>
        <w:t>a</w:t>
      </w:r>
      <w:r>
        <w:rPr>
          <w:rFonts w:ascii="Times New Roman" w:hAnsi="Times New Roman" w:cs="Arial"/>
          <w:sz w:val="20"/>
          <w:szCs w:val="20"/>
          <w:lang w:val="es-MX"/>
        </w:rPr>
        <w:t xml:space="preserve">s </w:t>
      </w:r>
      <w:proofErr w:type="spellStart"/>
      <w:r>
        <w:rPr>
          <w:rFonts w:ascii="Times New Roman" w:hAnsi="Times New Roman" w:cs="Arial"/>
          <w:sz w:val="20"/>
          <w:szCs w:val="20"/>
          <w:lang w:val="es-MX"/>
        </w:rPr>
        <w:t>lineas</w:t>
      </w:r>
      <w:proofErr w:type="spellEnd"/>
      <w:r>
        <w:rPr>
          <w:rFonts w:ascii="Times New Roman" w:hAnsi="Times New Roman" w:cs="Arial"/>
          <w:sz w:val="20"/>
          <w:szCs w:val="20"/>
          <w:lang w:val="es-MX"/>
        </w:rPr>
        <w:t xml:space="preserve"> del PRETA. Asimismo, se realizaron 1.095 jornadas para promover los derechos sexuales y derechos reproductivos en las comunidades.</w:t>
      </w:r>
    </w:p>
    <w:p w14:paraId="46C27865" w14:textId="77777777" w:rsidR="00405820" w:rsidRDefault="00405820">
      <w:pPr>
        <w:spacing w:after="0" w:line="240" w:lineRule="auto"/>
        <w:ind w:left="720"/>
        <w:jc w:val="both"/>
        <w:rPr>
          <w:rFonts w:ascii="Times New Roman" w:hAnsi="Times New Roman" w:cs="Arial"/>
          <w:sz w:val="20"/>
          <w:szCs w:val="20"/>
          <w:highlight w:val="yellow"/>
          <w:lang w:val="es-MX"/>
        </w:rPr>
      </w:pPr>
    </w:p>
    <w:p w14:paraId="46AB23AE" w14:textId="77777777" w:rsidR="00405820" w:rsidRDefault="00405820">
      <w:pPr>
        <w:pStyle w:val="ListParagraph"/>
      </w:pPr>
    </w:p>
    <w:sectPr w:rsidR="00405820">
      <w:pgSz w:w="12240" w:h="15840"/>
      <w:pgMar w:top="1440" w:right="1440" w:bottom="1440" w:left="1800"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EEC3A" w14:textId="77777777" w:rsidR="00855FAD" w:rsidRDefault="00855FAD">
      <w:pPr>
        <w:spacing w:after="0" w:line="240" w:lineRule="auto"/>
      </w:pPr>
      <w:r>
        <w:separator/>
      </w:r>
    </w:p>
  </w:endnote>
  <w:endnote w:type="continuationSeparator" w:id="0">
    <w:p w14:paraId="44D1EA00" w14:textId="77777777" w:rsidR="00855FAD" w:rsidRDefault="00855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erif">
    <w:altName w:val="Times New Roman"/>
    <w:charset w:val="01"/>
    <w:family w:val="roman"/>
    <w:pitch w:val="variable"/>
  </w:font>
  <w:font w:name="WenQuanYi Micro He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1"/>
    <w:family w:val="roman"/>
    <w:pitch w:val="variable"/>
  </w:font>
  <w:font w:name="Noto Sans CJK SC">
    <w:charset w:val="80"/>
    <w:family w:val="swiss"/>
    <w:pitch w:val="variable"/>
    <w:sig w:usb0="30000083" w:usb1="2BDF3C10" w:usb2="00000016" w:usb3="00000000" w:csb0="002E0107" w:csb1="00000000"/>
  </w:font>
  <w:font w:name="Lohit Devanagari">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546046"/>
      <w:docPartObj>
        <w:docPartGallery w:val="Page Numbers (Bottom of Page)"/>
        <w:docPartUnique/>
      </w:docPartObj>
    </w:sdtPr>
    <w:sdtEndPr/>
    <w:sdtContent>
      <w:p w14:paraId="1C868DA7" w14:textId="56D0A0D9" w:rsidR="0055135C" w:rsidRDefault="0055135C">
        <w:pPr>
          <w:pStyle w:val="Footer"/>
          <w:jc w:val="right"/>
        </w:pPr>
        <w:r>
          <w:fldChar w:fldCharType="begin"/>
        </w:r>
        <w:r>
          <w:instrText>PAGE   \* MERGEFORMAT</w:instrText>
        </w:r>
        <w:r>
          <w:fldChar w:fldCharType="separate"/>
        </w:r>
        <w:r>
          <w:rPr>
            <w:lang w:val="es-ES"/>
          </w:rPr>
          <w:t>2</w:t>
        </w:r>
        <w:r>
          <w:fldChar w:fldCharType="end"/>
        </w:r>
      </w:p>
    </w:sdtContent>
  </w:sdt>
  <w:p w14:paraId="42EB4EEF" w14:textId="77777777" w:rsidR="0055135C" w:rsidRDefault="005513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67A53" w14:textId="77777777" w:rsidR="00855FAD" w:rsidRDefault="00855FAD">
      <w:r>
        <w:separator/>
      </w:r>
    </w:p>
  </w:footnote>
  <w:footnote w:type="continuationSeparator" w:id="0">
    <w:p w14:paraId="4CC24DF8" w14:textId="77777777" w:rsidR="00855FAD" w:rsidRDefault="00855FAD">
      <w:r>
        <w:continuationSeparator/>
      </w:r>
    </w:p>
  </w:footnote>
  <w:footnote w:id="1">
    <w:p w14:paraId="2AA608AC" w14:textId="77777777" w:rsidR="00405820" w:rsidRDefault="002F4028">
      <w:pPr>
        <w:spacing w:after="0" w:line="240" w:lineRule="auto"/>
        <w:jc w:val="both"/>
      </w:pPr>
      <w:r>
        <w:rPr>
          <w:rStyle w:val="Caracteresdenotaalpie"/>
        </w:rPr>
        <w:footnoteRef/>
      </w:r>
      <w:r>
        <w:rPr>
          <w:rFonts w:ascii="Times New Roman" w:eastAsia="Times New Roman" w:hAnsi="Times New Roman" w:cs="Times New Roman"/>
          <w:i/>
          <w:color w:val="000000"/>
          <w:sz w:val="18"/>
          <w:szCs w:val="18"/>
          <w:vertAlign w:val="superscript"/>
        </w:rPr>
        <w:t xml:space="preserve"> </w:t>
      </w:r>
      <w:r>
        <w:rPr>
          <w:rFonts w:ascii="Times New Roman" w:eastAsia="Times New Roman" w:hAnsi="Times New Roman" w:cs="Times New Roman"/>
          <w:sz w:val="18"/>
          <w:szCs w:val="18"/>
        </w:rPr>
        <w:t>Conclusiones preliminares de la visita a la RBV de la Relatora Especial de las Naciones Unidas sobre el impacto negativo de las medidas coercitivas unilaterales en el disfrute de los derechos humanos. 12 de febrero de 2021:</w:t>
      </w:r>
      <w:r>
        <w:rPr>
          <w:rFonts w:ascii="Times New Roman" w:eastAsia="Times New Roman" w:hAnsi="Times New Roman" w:cs="Times New Roman"/>
          <w:i/>
          <w:color w:val="000000"/>
          <w:sz w:val="18"/>
          <w:szCs w:val="18"/>
        </w:rPr>
        <w:t xml:space="preserve"> “La Relatora Especial concluye que las sanciones impuestas a Venezuela, sus ciudadanos y compañías afectan al pueblo venezolano, tanto del sector público como privado, dentro y fuera de su territorio; a ciudadanos de terceros países y empleados de las compañías de dichos países afectadas por sanciones secundarias o el temor a ser objeto de las mismas; a donantes y ONG humanitarias internacionales; a los beneficiarios de la asistencia brindada por organizaciones internacionales que tradicionalmente eran financiadas por Venezuela; siendo las personas de menores ingresos, las mujeres, niños y personas con necesidades especiales o enfermedades crónicas o graves las que se ven más afectadas en lo que respecta a todo el ámbito de los derechos humanos, incluyendo los derechos civiles, políticos, económicos, sociales y culturales y el derecho al desarrollo.”</w:t>
      </w:r>
    </w:p>
  </w:footnote>
  <w:footnote w:id="2">
    <w:p w14:paraId="3EA78AA6" w14:textId="77777777" w:rsidR="00405820" w:rsidRDefault="002F4028">
      <w:pPr>
        <w:spacing w:after="0" w:line="240" w:lineRule="auto"/>
        <w:jc w:val="both"/>
      </w:pPr>
      <w:r>
        <w:rPr>
          <w:rStyle w:val="Caracteresdenotaalpie"/>
        </w:rPr>
        <w:footnoteRef/>
      </w:r>
      <w:r>
        <w:rPr>
          <w:rFonts w:ascii="Times New Roman" w:eastAsia="Times New Roman" w:hAnsi="Times New Roman" w:cs="Times New Roman"/>
          <w:i/>
          <w:color w:val="000000"/>
          <w:sz w:val="18"/>
          <w:szCs w:val="18"/>
        </w:rPr>
        <w:t xml:space="preserve"> Entre las medidas coercitivas unilaterales adoptadas por el Gobierno de los Estados Unidos de América contra la RBV se encuentran: Orden Ejecutiva 13692 que declara a Venezuela como una amenaza inusual y extraordinaria para la seguridad nacional de los EE. UU.; Orden Ejecutiva 13808 que prohíbe el financiamiento y otros tratos en materia de deuda a la empresa Petróleos de Venezuela y la RBV; Orden Ejecutiva 13827 que prohíbe la comercialización de la criptomoneda venezolana “Petro”; Orden Ejecutiva 13835 que prohíbe transacciones relacionadas con el financiamiento, compras o pago de deudas de la RBV; Orden Ejecutiva 13850 que prohíbe la participación en el sector oro o en cualquier otro sector económico de la RBV; Orden Ejecutiva 13884 que impone sanciones secundarias a quienes provean bienes o servicios a la RBV. </w:t>
      </w:r>
    </w:p>
  </w:footnote>
  <w:footnote w:id="3">
    <w:p w14:paraId="3C7EC5D1" w14:textId="77777777" w:rsidR="00405820" w:rsidRDefault="002F4028">
      <w:pPr>
        <w:spacing w:after="0" w:line="240" w:lineRule="auto"/>
        <w:jc w:val="both"/>
      </w:pPr>
      <w:r>
        <w:rPr>
          <w:rStyle w:val="Caracteresdenotaalpie"/>
        </w:rPr>
        <w:footnoteRef/>
      </w:r>
      <w:r>
        <w:rPr>
          <w:rFonts w:ascii="Times New Roman" w:eastAsia="Times New Roman" w:hAnsi="Times New Roman" w:cs="Times New Roman"/>
          <w:b/>
          <w:bCs/>
          <w:i/>
          <w:color w:val="000000"/>
          <w:sz w:val="20"/>
          <w:szCs w:val="20"/>
          <w:vertAlign w:val="superscript"/>
        </w:rPr>
        <w:t xml:space="preserve"> </w:t>
      </w:r>
      <w:r>
        <w:rPr>
          <w:rFonts w:ascii="Times New Roman" w:eastAsia="Times New Roman" w:hAnsi="Times New Roman" w:cs="Times New Roman"/>
          <w:i/>
          <w:color w:val="000000"/>
          <w:sz w:val="18"/>
          <w:szCs w:val="18"/>
        </w:rPr>
        <w:t>Resolución A/HRC/RES/42/4, de fecha 3 de octubre de 2019.</w:t>
      </w:r>
    </w:p>
  </w:footnote>
  <w:footnote w:id="4">
    <w:p w14:paraId="6677AFA6" w14:textId="77777777" w:rsidR="00405820" w:rsidRDefault="002F4028">
      <w:pPr>
        <w:spacing w:after="0" w:line="240" w:lineRule="auto"/>
        <w:jc w:val="both"/>
      </w:pPr>
      <w:r>
        <w:rPr>
          <w:rStyle w:val="Caracteresdenotaalpie"/>
        </w:rPr>
        <w:footnoteRef/>
      </w:r>
      <w:r>
        <w:rPr>
          <w:rFonts w:ascii="Times New Roman" w:eastAsia="Times New Roman" w:hAnsi="Times New Roman" w:cs="Times New Roman"/>
          <w:b/>
          <w:bCs/>
          <w:i/>
          <w:color w:val="000000"/>
          <w:sz w:val="20"/>
          <w:szCs w:val="20"/>
        </w:rPr>
        <w:t xml:space="preserve"> </w:t>
      </w:r>
      <w:r>
        <w:rPr>
          <w:rFonts w:ascii="Times New Roman" w:eastAsia="Times New Roman" w:hAnsi="Times New Roman" w:cs="Times New Roman"/>
          <w:i/>
          <w:color w:val="000000"/>
          <w:sz w:val="18"/>
          <w:szCs w:val="18"/>
        </w:rPr>
        <w:t>Informe A/HRC/42/46, de fecha 5 de julio de 2019, presentado en la 42° sesión del CDH, párr. 6 y Sección C párr. 16 – 35; Conclusiones preliminares de la visita a la RBV de la Relatora Especial de las Naciones Unidas sobre el impacto negativo de las medidas coercitivas unilaterales en el disfrute de los derechos humanos, 12 de febrero de 2021.</w:t>
      </w:r>
    </w:p>
  </w:footnote>
  <w:footnote w:id="5">
    <w:p w14:paraId="189A7382" w14:textId="77777777" w:rsidR="00405820" w:rsidRDefault="002F4028">
      <w:pPr>
        <w:spacing w:after="0" w:line="240" w:lineRule="auto"/>
        <w:jc w:val="both"/>
      </w:pPr>
      <w:r>
        <w:rPr>
          <w:rStyle w:val="Caracteresdenotaalpie"/>
        </w:rPr>
        <w:footnoteRef/>
      </w:r>
      <w:r>
        <w:rPr>
          <w:rFonts w:ascii="Times New Roman" w:eastAsia="Times New Roman" w:hAnsi="Times New Roman" w:cs="Times New Roman"/>
          <w:b/>
          <w:bCs/>
          <w:i/>
          <w:color w:val="000000"/>
          <w:sz w:val="20"/>
          <w:szCs w:val="20"/>
          <w:vertAlign w:val="superscript"/>
        </w:rPr>
        <w:t xml:space="preserve"> </w:t>
      </w:r>
      <w:r>
        <w:rPr>
          <w:rFonts w:ascii="Times New Roman" w:eastAsia="Times New Roman" w:hAnsi="Times New Roman" w:cs="Times New Roman"/>
          <w:i/>
          <w:color w:val="000000"/>
          <w:sz w:val="18"/>
          <w:szCs w:val="18"/>
        </w:rPr>
        <w:t xml:space="preserve">Informe A/HRC/39/47/Add.1, de fecha 3 agosto de 2018, de visita a Venezuela presentado en la 39° sesión del CDH. </w:t>
      </w:r>
    </w:p>
  </w:footnote>
  <w:footnote w:id="6">
    <w:p w14:paraId="784E13E5" w14:textId="77777777" w:rsidR="00405820" w:rsidRDefault="002F4028">
      <w:pPr>
        <w:spacing w:after="0" w:line="240" w:lineRule="auto"/>
        <w:jc w:val="both"/>
      </w:pPr>
      <w:r>
        <w:rPr>
          <w:rStyle w:val="Caracteresdenotaalpie"/>
        </w:rPr>
        <w:footnoteRef/>
      </w:r>
      <w:r>
        <w:rPr>
          <w:rFonts w:ascii="Times New Roman" w:eastAsia="Times New Roman" w:hAnsi="Times New Roman" w:cs="Times New Roman"/>
          <w:i/>
          <w:color w:val="000000"/>
          <w:sz w:val="18"/>
          <w:szCs w:val="18"/>
        </w:rPr>
        <w:t xml:space="preserve"> Actualización oral sobre la situación de los derechos humanos en Venezuela por parte de la Alta Comisionada en la 42° sesión del CDH, 9 de septiembre de 2019:“(…) el 8 de agosto pasado expresé mi preocupación por el impacto potencialmente severo en los derechos humanos del nuevo conjunto de sanciones impuestas por el Gobierno de los Estados Unidos de América.”.</w:t>
      </w:r>
    </w:p>
  </w:footnote>
  <w:footnote w:id="7">
    <w:p w14:paraId="665E37F1" w14:textId="77777777" w:rsidR="00405820" w:rsidRDefault="002F4028">
      <w:pPr>
        <w:spacing w:after="0" w:line="240" w:lineRule="auto"/>
        <w:jc w:val="both"/>
      </w:pPr>
      <w:r>
        <w:rPr>
          <w:rStyle w:val="Caracteresdenotaalpie"/>
        </w:rPr>
        <w:footnoteRef/>
      </w:r>
      <w:r>
        <w:rPr>
          <w:rFonts w:ascii="Times New Roman" w:eastAsia="Times New Roman" w:hAnsi="Times New Roman" w:cs="Times New Roman"/>
          <w:b/>
          <w:bCs/>
          <w:i/>
          <w:color w:val="000000"/>
          <w:sz w:val="20"/>
          <w:szCs w:val="20"/>
        </w:rPr>
        <w:t xml:space="preserve"> </w:t>
      </w:r>
      <w:r>
        <w:rPr>
          <w:rFonts w:ascii="Times New Roman" w:eastAsia="Times New Roman" w:hAnsi="Times New Roman" w:cs="Times New Roman"/>
          <w:i/>
          <w:color w:val="000000"/>
          <w:sz w:val="18"/>
          <w:szCs w:val="18"/>
        </w:rPr>
        <w:t>Conclusiones preliminares de la visita a la RBV de la Relatora Especial de las Naciones Unidas sobre el impacto negativo de las medidas coercitivas unilaterales en el disfrute de los derechos humanos. 12 de febrero de 2021: “La Relatora Especial observa con preocupación que las sanciones sectoriales a las industrias del petróleo, oro y minería, el bloqueo económico a Venezuela y el congelamiento de los activos del Banco Central han exacerbado la situación económica y humanitaria preexistentes, al impedir la generación de ingresos y el uso de recursos para desarrollar y mantener la infraestructura y apoyar los programas sociales, lo cual ha tenido un efecto devastador en toda la población venezolana y, en especial, en aquellos que están en situación de pobreza extrema, mujeres, niños, trabajadores de la salud, discapacitados o pacientes con enfermedades crónicas o que amenazan la vida, así como la población indígena.”</w:t>
      </w:r>
    </w:p>
  </w:footnote>
  <w:footnote w:id="8">
    <w:p w14:paraId="47950D37" w14:textId="77777777" w:rsidR="00405820" w:rsidRDefault="002F4028">
      <w:pPr>
        <w:pStyle w:val="FootnoteText"/>
        <w:ind w:left="0" w:firstLine="0"/>
      </w:pPr>
      <w:r>
        <w:rPr>
          <w:rStyle w:val="Caracteresdenotaalpie"/>
        </w:rPr>
        <w:footnoteRef/>
      </w:r>
      <w:r>
        <w:rPr>
          <w:rFonts w:ascii="Times New Roman" w:hAnsi="Times New Roman" w:cs="Times New Roman"/>
          <w:b/>
          <w:bCs/>
        </w:rPr>
        <w:t xml:space="preserve"> </w:t>
      </w:r>
      <w:r>
        <w:rPr>
          <w:rFonts w:ascii="Times New Roman" w:hAnsi="Times New Roman" w:cs="Times New Roman"/>
          <w:sz w:val="18"/>
          <w:szCs w:val="18"/>
          <w:lang w:val="es-ES"/>
        </w:rPr>
        <w:t>Gobierno de Venezuela. Ministerio del Poder Popular de Planificación. Venezuela en cifras. Nuestra transición al socialismo Enero 2024</w:t>
      </w:r>
    </w:p>
  </w:footnote>
  <w:footnote w:id="9">
    <w:p w14:paraId="3C28C9B4"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Se desarrollaron espacios de diálogo nacional con niños, niñas y adolescentes organizados, movimientos de protección y defensa de los derechos de los niños, niñas y adolescentes, organizaciones de la sociedad civil, organizaciones no gubernamentales de derechos humanos, organizaciones feministas, instituciones académicas, expertos, expertas, servidores públicos, servidoras públicas e instituciones de los cinco Poderes Públicos del Estado, incluyendo los integrantes del Sistema Rector Nacional para la Protección Integral de los Niños, Niñas y Adolescentes y del Sistema de Responsabilidad Penal de los y las Adolescentes.</w:t>
      </w:r>
    </w:p>
  </w:footnote>
  <w:footnote w:id="10">
    <w:p w14:paraId="03CEC640" w14:textId="77777777" w:rsidR="00405820" w:rsidRDefault="002F4028">
      <w:pPr>
        <w:tabs>
          <w:tab w:val="right" w:pos="850"/>
          <w:tab w:val="left" w:pos="1134"/>
          <w:tab w:val="left" w:pos="1559"/>
          <w:tab w:val="left" w:pos="1984"/>
          <w:tab w:val="left" w:leader="dot" w:pos="8787"/>
          <w:tab w:val="right" w:pos="9638"/>
        </w:tabs>
        <w:spacing w:after="0" w:line="240" w:lineRule="auto"/>
        <w:jc w:val="both"/>
        <w:rPr>
          <w:rFonts w:ascii="Times New Roman" w:hAnsi="Times New Roman" w:cs="Times New Roman"/>
          <w:sz w:val="18"/>
          <w:szCs w:val="18"/>
        </w:rPr>
      </w:pPr>
      <w:r>
        <w:rPr>
          <w:rStyle w:val="Caracteresdenotaalpie"/>
        </w:rPr>
        <w:footnoteRef/>
      </w:r>
      <w:r>
        <w:rPr>
          <w:rFonts w:ascii="Times New Roman" w:hAnsi="Times New Roman" w:cs="Times New Roman"/>
          <w:sz w:val="20"/>
          <w:szCs w:val="20"/>
        </w:rPr>
        <w:t xml:space="preserve"> </w:t>
      </w:r>
      <w:r>
        <w:rPr>
          <w:rFonts w:ascii="Times New Roman" w:hAnsi="Times New Roman" w:cs="Times New Roman"/>
          <w:sz w:val="18"/>
          <w:szCs w:val="18"/>
        </w:rPr>
        <w:t>Estos eventos incluyeron espacios dirigidos a los propios niños, niñas y adolescentes, las organizaciones de la sociedad civil y movimientos sociales y a las instituciones públicas descentralizadas y desconcentradas del Sistema Rector Nacional para la Protección Integral de los Niños, Niñas y Adolescentes y del Sistema Penal de Responsabilidad de los y las Adolescentes. Todas las actividades fueron debidamente cumplidas las normas de prevención del COVID 19, incluyendo los protocolos oficiales de bioseguridad.</w:t>
      </w:r>
    </w:p>
    <w:p w14:paraId="2E984025" w14:textId="77777777" w:rsidR="00405820" w:rsidRDefault="00405820">
      <w:pPr>
        <w:pStyle w:val="FootnoteText"/>
      </w:pPr>
    </w:p>
  </w:footnote>
  <w:footnote w:id="11">
    <w:p w14:paraId="21E19C71" w14:textId="77777777" w:rsidR="00405820" w:rsidRDefault="002F4028">
      <w:pPr>
        <w:pStyle w:val="FootnoteText"/>
        <w:spacing w:after="0" w:line="240" w:lineRule="auto"/>
        <w:ind w:left="0" w:firstLine="0"/>
      </w:pPr>
      <w:r>
        <w:rPr>
          <w:rStyle w:val="Caracteresdenotaalpie"/>
        </w:rPr>
        <w:footnoteRef/>
      </w:r>
      <w:r>
        <w:rPr>
          <w:rFonts w:cstheme="minorHAnsi"/>
          <w:b/>
          <w:bCs/>
          <w:sz w:val="22"/>
          <w:szCs w:val="22"/>
        </w:rPr>
        <w:t xml:space="preserve"> </w:t>
      </w:r>
      <w:r>
        <w:rPr>
          <w:rFonts w:ascii="Times New Roman" w:hAnsi="Times New Roman"/>
          <w:sz w:val="18"/>
          <w:szCs w:val="18"/>
        </w:rPr>
        <w:t>La comunalización, en Venezuela, es un proceso político y social que busca transferir poder y recursos a las comunidades organizadas, especialmente a través de comunas y consejos comunales, para la gestión de diversos ámbitos como la educación, la ciencia y la producción entre otros. Este enfoque se centra en la participación ciudadana y la construcción de proyectos de emancipación desde las bases sociales.</w:t>
      </w:r>
    </w:p>
  </w:footnote>
  <w:footnote w:id="12">
    <w:p w14:paraId="673B5C16"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Gaceta Oficial N° 38.45 de 14 de junio de 2006</w:t>
      </w:r>
    </w:p>
  </w:footnote>
  <w:footnote w:id="13">
    <w:p w14:paraId="6B48AB4E"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Gaceta Oficial Nº 38.529 de 25 de septiembre de 2006</w:t>
      </w:r>
    </w:p>
  </w:footnote>
  <w:footnote w:id="14">
    <w:p w14:paraId="5DE0BE14"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Gaceta Oficial N° 38.536 de 4 de octubre de 2006</w:t>
      </w:r>
    </w:p>
  </w:footnote>
  <w:footnote w:id="15">
    <w:p w14:paraId="11E8F117"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Gaceta Oficial Nº 38.763 de 6 de septiembre de 2007</w:t>
      </w:r>
    </w:p>
  </w:footnote>
  <w:footnote w:id="16">
    <w:p w14:paraId="3075C172"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Gaceta Oficial de 3 de diciembre de 2009</w:t>
      </w:r>
    </w:p>
  </w:footnote>
  <w:footnote w:id="17">
    <w:p w14:paraId="308AEDD5"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Gaceta Oficial N° 5.929 de 15 de agosto de 2009</w:t>
      </w:r>
    </w:p>
  </w:footnote>
  <w:footnote w:id="18">
    <w:p w14:paraId="5CD2DFCA"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Gaceta Oficial N° 39.264 de 15 de septiembre de 2009</w:t>
      </w:r>
    </w:p>
  </w:footnote>
  <w:footnote w:id="19">
    <w:p w14:paraId="20E0394D"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Gaceta Oficial N° 5.933 Extraordinaria de 21 de octubre de 2009</w:t>
      </w:r>
    </w:p>
  </w:footnote>
  <w:footnote w:id="20">
    <w:p w14:paraId="55030E8C"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Gaceta Oficial Nº 39.546 de 5 de noviembre de 2010</w:t>
      </w:r>
    </w:p>
  </w:footnote>
  <w:footnote w:id="21">
    <w:p w14:paraId="7151E6F3"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Gaceta Oficial N° 39.599 de 21 de enero de 2011, contentivo de Decreto Presidencial N.º 8.001 de 18 de enero de 2011.</w:t>
      </w:r>
    </w:p>
  </w:footnote>
  <w:footnote w:id="22">
    <w:p w14:paraId="6E15ED2A"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Gaceta Oficial N° de 7 de febrero de 2011</w:t>
      </w:r>
    </w:p>
  </w:footnote>
  <w:footnote w:id="23">
    <w:p w14:paraId="5A384BE2"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Gaceta Oficial Nº 39.741 de 23 de agosto de 2011</w:t>
      </w:r>
    </w:p>
  </w:footnote>
  <w:footnote w:id="24">
    <w:p w14:paraId="3CC3FF09"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Gaceta Oficial N° 6.076 Extraordinario del 7 de mayo de 2012</w:t>
      </w:r>
    </w:p>
  </w:footnote>
  <w:footnote w:id="25">
    <w:p w14:paraId="461BBF41"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Gaceta Oficial N° 40.571 del 30 de diciembre de 2014</w:t>
      </w:r>
    </w:p>
  </w:footnote>
  <w:footnote w:id="26">
    <w:p w14:paraId="3185094A"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Gaceta Oficial N.º </w:t>
      </w:r>
      <w:r>
        <w:rPr>
          <w:rFonts w:ascii="Times New Roman" w:hAnsi="Times New Roman" w:cs="Arial"/>
        </w:rPr>
        <w:t>6.655</w:t>
      </w:r>
      <w:r>
        <w:rPr>
          <w:rFonts w:ascii="Times New Roman" w:hAnsi="Times New Roman" w:cs="Times New Roman"/>
        </w:rPr>
        <w:t xml:space="preserve"> </w:t>
      </w:r>
      <w:r>
        <w:rPr>
          <w:rFonts w:ascii="Times New Roman" w:hAnsi="Times New Roman" w:cs="Arial"/>
        </w:rPr>
        <w:t>Extraordinario de 2021</w:t>
      </w:r>
    </w:p>
  </w:footnote>
  <w:footnote w:id="27">
    <w:p w14:paraId="57C22C34" w14:textId="77777777" w:rsidR="00405820" w:rsidRDefault="002F4028">
      <w:pPr>
        <w:spacing w:after="0" w:line="240" w:lineRule="auto"/>
        <w:jc w:val="both"/>
      </w:pPr>
      <w:r>
        <w:rPr>
          <w:rStyle w:val="Caracteresdenotaalpie"/>
        </w:rPr>
        <w:footnoteRef/>
      </w:r>
      <w:r>
        <w:rPr>
          <w:rFonts w:ascii="Times New Roman" w:hAnsi="Times New Roman" w:cs="Arial"/>
          <w:sz w:val="20"/>
          <w:szCs w:val="20"/>
          <w:lang w:val="es-MX"/>
        </w:rPr>
        <w:t xml:space="preserve"> Gaceta Oficial N° 6.664 Extraordinario del 10 de noviembre de 2021</w:t>
      </w:r>
    </w:p>
  </w:footnote>
  <w:footnote w:id="28">
    <w:p w14:paraId="4F26BC4D" w14:textId="77777777" w:rsidR="00405820" w:rsidRDefault="002F4028">
      <w:pPr>
        <w:spacing w:after="0" w:line="240" w:lineRule="auto"/>
        <w:jc w:val="both"/>
      </w:pPr>
      <w:r>
        <w:rPr>
          <w:rStyle w:val="Caracteresdenotaalpie"/>
        </w:rPr>
        <w:footnoteRef/>
      </w:r>
      <w:r>
        <w:rPr>
          <w:rFonts w:ascii="Times New Roman" w:hAnsi="Times New Roman" w:cs="Arial"/>
          <w:sz w:val="20"/>
          <w:szCs w:val="20"/>
          <w:lang w:val="es-MX"/>
        </w:rPr>
        <w:t xml:space="preserve"> Gaceta Oficial N° 6.658 Extraordinario  del 28 de octubre de 2021</w:t>
      </w:r>
    </w:p>
  </w:footnote>
  <w:footnote w:id="29">
    <w:p w14:paraId="1C12C804" w14:textId="77777777" w:rsidR="00405820" w:rsidRDefault="002F4028">
      <w:pPr>
        <w:spacing w:after="0" w:line="240" w:lineRule="auto"/>
        <w:jc w:val="both"/>
      </w:pPr>
      <w:r>
        <w:rPr>
          <w:rStyle w:val="Caracteresdenotaalpie"/>
        </w:rPr>
        <w:footnoteRef/>
      </w:r>
      <w:r>
        <w:rPr>
          <w:rFonts w:ascii="Times New Roman" w:hAnsi="Times New Roman" w:cs="Arial"/>
          <w:sz w:val="20"/>
          <w:szCs w:val="20"/>
          <w:lang w:val="es-MX"/>
        </w:rPr>
        <w:t xml:space="preserve"> Gaceta Oficial N° 6.633 Extraordinario del 7 de julio de 2021</w:t>
      </w:r>
    </w:p>
  </w:footnote>
  <w:footnote w:id="30">
    <w:p w14:paraId="17900677" w14:textId="77777777" w:rsidR="00405820" w:rsidRDefault="002F4028">
      <w:pPr>
        <w:spacing w:after="0" w:line="240" w:lineRule="auto"/>
        <w:jc w:val="both"/>
      </w:pPr>
      <w:r>
        <w:rPr>
          <w:rStyle w:val="Caracteresdenotaalpie"/>
        </w:rPr>
        <w:footnoteRef/>
      </w:r>
      <w:r>
        <w:rPr>
          <w:rFonts w:ascii="Times New Roman" w:hAnsi="Times New Roman" w:cs="Arial"/>
          <w:sz w:val="20"/>
          <w:szCs w:val="20"/>
          <w:lang w:val="es-MX"/>
        </w:rPr>
        <w:t xml:space="preserve"> Gaceta Oficial  N° 6.654 Extraordinario del 7 de octubre de 2021</w:t>
      </w:r>
    </w:p>
  </w:footnote>
  <w:footnote w:id="31">
    <w:p w14:paraId="0B54C1E0" w14:textId="77777777" w:rsidR="00405820" w:rsidRDefault="002F4028">
      <w:pPr>
        <w:spacing w:after="0" w:line="240" w:lineRule="auto"/>
        <w:jc w:val="both"/>
      </w:pPr>
      <w:r>
        <w:rPr>
          <w:rStyle w:val="Caracteresdenotaalpie"/>
        </w:rPr>
        <w:footnoteRef/>
      </w:r>
      <w:r>
        <w:rPr>
          <w:rFonts w:ascii="Times New Roman" w:hAnsi="Times New Roman" w:cs="Arial"/>
          <w:sz w:val="20"/>
          <w:szCs w:val="20"/>
          <w:lang w:val="es-MX"/>
        </w:rPr>
        <w:t xml:space="preserve"> Gaceta Oficial N° 6.678 Extraordinario del 27 de diciembre del 2021</w:t>
      </w:r>
    </w:p>
  </w:footnote>
  <w:footnote w:id="32">
    <w:p w14:paraId="4D9E5C28" w14:textId="77777777" w:rsidR="00405820" w:rsidRDefault="002F4028">
      <w:pPr>
        <w:pStyle w:val="FootnoteText"/>
        <w:spacing w:after="0" w:line="240" w:lineRule="auto"/>
        <w:ind w:left="0" w:firstLine="0"/>
      </w:pPr>
      <w:r>
        <w:rPr>
          <w:rStyle w:val="Caracteresdenotaalpie"/>
        </w:rPr>
        <w:footnoteRef/>
      </w:r>
      <w:r>
        <w:rPr>
          <w:rFonts w:ascii="Times New Roman" w:hAnsi="Times New Roman"/>
          <w:sz w:val="18"/>
          <w:szCs w:val="18"/>
        </w:rPr>
        <w:t xml:space="preserve">  Gaceta Oficial N.º 6.817 Extraordinario del 27 de junio de 2024</w:t>
      </w:r>
    </w:p>
  </w:footnote>
  <w:footnote w:id="33">
    <w:p w14:paraId="4F4243B2" w14:textId="77777777" w:rsidR="00405820" w:rsidRDefault="002F4028">
      <w:pPr>
        <w:pStyle w:val="FootnoteText"/>
        <w:spacing w:after="0" w:line="240" w:lineRule="auto"/>
        <w:ind w:left="0" w:firstLine="0"/>
      </w:pPr>
      <w:r>
        <w:rPr>
          <w:rStyle w:val="Caracteresdenotaalpie"/>
        </w:rPr>
        <w:footnoteRef/>
      </w:r>
      <w:r>
        <w:rPr>
          <w:rFonts w:ascii="Times New Roman" w:hAnsi="Times New Roman"/>
          <w:sz w:val="18"/>
          <w:szCs w:val="18"/>
        </w:rPr>
        <w:t xml:space="preserve">  Gaceta Oficial N.º 6.907 Extraordinario del 24 de mayo de 2025</w:t>
      </w:r>
    </w:p>
  </w:footnote>
  <w:footnote w:id="34">
    <w:p w14:paraId="3C2BE359"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Gaceta Oficial N° 6.185 del 8 de junio de 2015</w:t>
      </w:r>
    </w:p>
  </w:footnote>
  <w:footnote w:id="35">
    <w:p w14:paraId="7ABDA572" w14:textId="77777777" w:rsidR="00405820" w:rsidRDefault="002F4028">
      <w:pPr>
        <w:spacing w:after="0" w:line="240" w:lineRule="auto"/>
        <w:jc w:val="both"/>
      </w:pPr>
      <w:r>
        <w:rPr>
          <w:rStyle w:val="Caracteresdenotaalpie"/>
        </w:rPr>
        <w:footnoteRef/>
      </w:r>
      <w:r>
        <w:rPr>
          <w:rFonts w:ascii="Times New Roman" w:hAnsi="Times New Roman" w:cs="Times New Roman"/>
          <w:sz w:val="18"/>
          <w:szCs w:val="18"/>
        </w:rPr>
        <w:t xml:space="preserve">  Gaceta Oficial N° 41.274 del 8 de noviembre de 2017</w:t>
      </w:r>
    </w:p>
  </w:footnote>
  <w:footnote w:id="36">
    <w:p w14:paraId="5880F7A1" w14:textId="77777777" w:rsidR="00405820" w:rsidRDefault="002F4028">
      <w:pPr>
        <w:spacing w:after="0" w:line="240" w:lineRule="auto"/>
        <w:jc w:val="both"/>
      </w:pPr>
      <w:r>
        <w:rPr>
          <w:rStyle w:val="Caracteresdenotaalpie"/>
        </w:rPr>
        <w:footnoteRef/>
      </w:r>
      <w:r>
        <w:rPr>
          <w:rFonts w:ascii="Times New Roman" w:hAnsi="Times New Roman" w:cs="Times New Roman"/>
          <w:sz w:val="18"/>
          <w:szCs w:val="18"/>
        </w:rPr>
        <w:t xml:space="preserve">  Gaceta Oficial N° 41.376 del 21 de marzo de 2018</w:t>
      </w:r>
    </w:p>
  </w:footnote>
  <w:footnote w:id="37">
    <w:p w14:paraId="66A8C702" w14:textId="77777777" w:rsidR="00405820" w:rsidRDefault="002F4028">
      <w:pPr>
        <w:pStyle w:val="FootnoteText"/>
        <w:spacing w:after="0" w:line="240" w:lineRule="auto"/>
        <w:ind w:left="0" w:firstLine="0"/>
      </w:pPr>
      <w:r>
        <w:rPr>
          <w:rStyle w:val="Caracteresdenotaalpie"/>
        </w:rPr>
        <w:footnoteRef/>
      </w:r>
      <w:r>
        <w:rPr>
          <w:rFonts w:cstheme="minorHAnsi"/>
          <w:b/>
          <w:bCs/>
          <w:sz w:val="22"/>
          <w:szCs w:val="22"/>
        </w:rPr>
        <w:t xml:space="preserve">  </w:t>
      </w:r>
      <w:r>
        <w:rPr>
          <w:rFonts w:ascii="Times New Roman" w:hAnsi="Times New Roman" w:cs="Times New Roman"/>
          <w:sz w:val="18"/>
          <w:szCs w:val="18"/>
          <w:lang w:val="es-ES"/>
        </w:rPr>
        <w:t>Gaceta Oficial</w:t>
      </w:r>
      <w:r>
        <w:rPr>
          <w:lang w:val="es-ES"/>
        </w:rPr>
        <w:t xml:space="preserve"> </w:t>
      </w:r>
      <w:r>
        <w:rPr>
          <w:rFonts w:ascii="Times New Roman" w:hAnsi="Times New Roman" w:cs="Times New Roman"/>
          <w:sz w:val="18"/>
          <w:szCs w:val="18"/>
        </w:rPr>
        <w:t>N° 6.737 Extraordinario del 23 de febrero de 2023</w:t>
      </w:r>
    </w:p>
  </w:footnote>
  <w:footnote w:id="38">
    <w:p w14:paraId="73E78AAA" w14:textId="77777777" w:rsidR="00405820" w:rsidRDefault="002F4028">
      <w:pPr>
        <w:pStyle w:val="FootnoteText"/>
        <w:spacing w:after="0" w:line="240" w:lineRule="auto"/>
        <w:ind w:left="0" w:firstLine="0"/>
      </w:pPr>
      <w:r>
        <w:rPr>
          <w:rStyle w:val="Caracteresdenotaalpie"/>
        </w:rPr>
        <w:footnoteRef/>
      </w:r>
      <w:r>
        <w:t xml:space="preserve"> </w:t>
      </w:r>
      <w:r>
        <w:rPr>
          <w:rFonts w:ascii="Times New Roman" w:hAnsi="Times New Roman" w:cs="Times New Roman"/>
          <w:sz w:val="18"/>
          <w:szCs w:val="18"/>
          <w:lang w:val="es-ES"/>
        </w:rPr>
        <w:t>Gaceta Oficial</w:t>
      </w:r>
      <w:r>
        <w:rPr>
          <w:lang w:val="es-ES"/>
        </w:rPr>
        <w:t xml:space="preserve"> </w:t>
      </w:r>
      <w:r>
        <w:rPr>
          <w:rFonts w:ascii="Times New Roman" w:hAnsi="Times New Roman" w:cs="Times New Roman"/>
          <w:sz w:val="18"/>
          <w:szCs w:val="18"/>
        </w:rPr>
        <w:t>N° 6.817 del 27 de junio de 2024</w:t>
      </w:r>
    </w:p>
  </w:footnote>
  <w:footnote w:id="39">
    <w:p w14:paraId="14BF8E07" w14:textId="77777777" w:rsidR="00405820" w:rsidRDefault="002F4028">
      <w:pPr>
        <w:pStyle w:val="FootnoteText"/>
        <w:spacing w:after="0" w:line="240" w:lineRule="auto"/>
        <w:ind w:left="0" w:firstLine="0"/>
      </w:pPr>
      <w:r>
        <w:rPr>
          <w:rStyle w:val="Caracteresdenotaalpie"/>
        </w:rPr>
        <w:footnoteRef/>
      </w:r>
      <w:r>
        <w:t xml:space="preserve"> </w:t>
      </w:r>
      <w:r>
        <w:rPr>
          <w:rFonts w:ascii="Times New Roman" w:hAnsi="Times New Roman" w:cs="Times New Roman"/>
          <w:sz w:val="18"/>
          <w:szCs w:val="18"/>
          <w:lang w:val="es-ES"/>
        </w:rPr>
        <w:t>Gaceta Oficial</w:t>
      </w:r>
      <w:r>
        <w:rPr>
          <w:lang w:val="es-ES"/>
        </w:rPr>
        <w:t xml:space="preserve"> </w:t>
      </w:r>
      <w:r>
        <w:rPr>
          <w:rFonts w:ascii="Times New Roman" w:hAnsi="Times New Roman" w:cs="Times New Roman"/>
          <w:sz w:val="18"/>
          <w:szCs w:val="18"/>
        </w:rPr>
        <w:t>N° 6.744 del 24 de abril de 2023</w:t>
      </w:r>
    </w:p>
  </w:footnote>
  <w:footnote w:id="40">
    <w:p w14:paraId="13B8562C" w14:textId="77777777" w:rsidR="00405820" w:rsidRDefault="002F4028">
      <w:pPr>
        <w:spacing w:after="0" w:line="240" w:lineRule="auto"/>
        <w:jc w:val="both"/>
      </w:pPr>
      <w:r>
        <w:rPr>
          <w:rStyle w:val="Caracteresdenotaalpie"/>
        </w:rPr>
        <w:footnoteRef/>
      </w:r>
      <w:r>
        <w:rPr>
          <w:rFonts w:ascii="Times New Roman" w:hAnsi="Times New Roman" w:cs="Arial"/>
          <w:sz w:val="20"/>
          <w:szCs w:val="20"/>
        </w:rPr>
        <w:t xml:space="preserve"> Gaceta Oficial N° 6.667  Extraordinario del 16 de diciembre de  2021 </w:t>
      </w:r>
    </w:p>
  </w:footnote>
  <w:footnote w:id="41">
    <w:p w14:paraId="21CE8F3B" w14:textId="77777777" w:rsidR="00405820" w:rsidRDefault="002F4028">
      <w:pPr>
        <w:spacing w:after="0" w:line="240" w:lineRule="auto"/>
        <w:jc w:val="both"/>
      </w:pPr>
      <w:r>
        <w:rPr>
          <w:rStyle w:val="Caracteresdenotaalpie"/>
        </w:rPr>
        <w:footnoteRef/>
      </w:r>
      <w:r>
        <w:rPr>
          <w:rFonts w:ascii="Times New Roman" w:hAnsi="Times New Roman" w:cs="Arial"/>
          <w:sz w:val="20"/>
          <w:szCs w:val="20"/>
        </w:rPr>
        <w:t xml:space="preserve"> Gaceta Oficial N ° 6.686 Extraordinario del 15 de febrero de 2022</w:t>
      </w:r>
    </w:p>
  </w:footnote>
  <w:footnote w:id="42">
    <w:p w14:paraId="0C599B96" w14:textId="77777777" w:rsidR="00405820" w:rsidRDefault="002F4028">
      <w:pPr>
        <w:spacing w:after="0" w:line="240" w:lineRule="auto"/>
        <w:jc w:val="both"/>
      </w:pPr>
      <w:r>
        <w:rPr>
          <w:rStyle w:val="Caracteresdenotaalpie"/>
        </w:rPr>
        <w:footnoteRef/>
      </w:r>
      <w:r>
        <w:rPr>
          <w:rFonts w:ascii="Times New Roman" w:hAnsi="Times New Roman" w:cs="Arial"/>
          <w:sz w:val="20"/>
          <w:szCs w:val="20"/>
          <w:lang w:val="es-MX"/>
        </w:rPr>
        <w:t xml:space="preserve"> Gaceta Oficial N° 6.634 Extraordinario del 7 de julio de 2021</w:t>
      </w:r>
    </w:p>
  </w:footnote>
  <w:footnote w:id="43">
    <w:p w14:paraId="64B2721A" w14:textId="77777777" w:rsidR="00405820" w:rsidRDefault="002F4028">
      <w:pPr>
        <w:spacing w:after="0" w:line="240" w:lineRule="auto"/>
        <w:jc w:val="both"/>
      </w:pPr>
      <w:r>
        <w:rPr>
          <w:rStyle w:val="Caracteresdenotaalpie"/>
        </w:rPr>
        <w:footnoteRef/>
      </w:r>
      <w:r>
        <w:rPr>
          <w:rFonts w:ascii="Times New Roman" w:hAnsi="Times New Roman" w:cs="Arial"/>
          <w:sz w:val="20"/>
          <w:szCs w:val="20"/>
          <w:lang w:val="es-MX"/>
        </w:rPr>
        <w:t>Gaceta Oficial  N° 6.666 Extraordinario del 11 de noviembre de 2021</w:t>
      </w:r>
    </w:p>
  </w:footnote>
  <w:footnote w:id="44">
    <w:p w14:paraId="2CD03A85" w14:textId="77777777" w:rsidR="00405820" w:rsidRDefault="002F4028">
      <w:pPr>
        <w:spacing w:after="0" w:line="240" w:lineRule="auto"/>
        <w:jc w:val="both"/>
      </w:pPr>
      <w:r>
        <w:rPr>
          <w:rStyle w:val="Caracteresdenotaalpie"/>
        </w:rPr>
        <w:footnoteRef/>
      </w:r>
      <w:r>
        <w:rPr>
          <w:rFonts w:ascii="Times New Roman" w:hAnsi="Times New Roman" w:cs="Arial"/>
          <w:sz w:val="20"/>
          <w:szCs w:val="20"/>
          <w:lang w:val="es-MX"/>
        </w:rPr>
        <w:t xml:space="preserve"> Gaceta Oficial N° 6.657 Extraordinario del 28 de octubre de 2021</w:t>
      </w:r>
    </w:p>
  </w:footnote>
  <w:footnote w:id="45">
    <w:p w14:paraId="4B61C972" w14:textId="77777777" w:rsidR="00405820" w:rsidRDefault="002F4028">
      <w:pPr>
        <w:pStyle w:val="FootnoteText"/>
        <w:spacing w:after="0" w:line="240" w:lineRule="auto"/>
        <w:ind w:left="0" w:firstLine="0"/>
      </w:pPr>
      <w:r>
        <w:rPr>
          <w:rStyle w:val="Caracteresdenotaalpie"/>
        </w:rPr>
        <w:footnoteRef/>
      </w:r>
      <w:r>
        <w:rPr>
          <w:rFonts w:ascii="Arial" w:hAnsi="Arial" w:cs="Arial"/>
        </w:rPr>
        <w:t xml:space="preserve"> </w:t>
      </w:r>
      <w:r>
        <w:rPr>
          <w:rFonts w:ascii="Times New Roman" w:hAnsi="Times New Roman" w:cs="Times New Roman"/>
          <w:sz w:val="18"/>
          <w:szCs w:val="18"/>
        </w:rPr>
        <w:t>Publicado en Gaceta Oficial Extraordinaria del 4 de diciembre de 2013.</w:t>
      </w:r>
    </w:p>
  </w:footnote>
  <w:footnote w:id="46">
    <w:p w14:paraId="0179FF0C"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Se pueden mencionar: Objetivo 2.2.9.3. Reducir las condiciones de vulnerabilidad social a través del desarrollo y consolidación de las Misiones, Grandes Misiones, tales como la Gran Misión en Amor Mayor, Misión Madres del Barrio, Misión Hijos e Hijas de Venezuela, Misión Alimentación de Venezuela, Gran Misión Saber y Trabajo, Gran Misión Vivienda Venezuela, Jóvenes de la Patria, agro Venezuela, Barrio Adentro I y II; así como las micromisiones y otros programas sociales, que permitan la máxima protección a familias venezolanas conformadas por personas adultas mayores, mujeres embarazadas, niños, niñas y adolescentes o con discapacidad. </w:t>
      </w:r>
      <w:r>
        <w:rPr>
          <w:rFonts w:ascii="Times New Roman" w:hAnsi="Times New Roman" w:cs="Times New Roman"/>
          <w:sz w:val="18"/>
          <w:szCs w:val="18"/>
          <w:u w:val="single"/>
        </w:rPr>
        <w:t>Objetivo: 5.3.3.3.</w:t>
      </w:r>
      <w:r>
        <w:rPr>
          <w:rFonts w:ascii="Times New Roman" w:hAnsi="Times New Roman" w:cs="Times New Roman"/>
          <w:sz w:val="18"/>
          <w:szCs w:val="18"/>
        </w:rPr>
        <w:t xml:space="preserve"> Desarrollar estrategias de liberación y emancipación cultural, poniendo especial énfasis en grupos sociales especialmente vulnerables, tales como los grupos sexodiversos, mujeres, estudiantes, niños y niñas, afrodescendientes, entre otros, con la finalidad de garantizar el respeto de sus derechos e identidades. </w:t>
      </w:r>
      <w:r>
        <w:rPr>
          <w:rFonts w:ascii="Times New Roman" w:hAnsi="Times New Roman" w:cs="Times New Roman"/>
          <w:sz w:val="18"/>
          <w:szCs w:val="18"/>
          <w:u w:val="single"/>
        </w:rPr>
        <w:t>Objetivo 6</w:t>
      </w:r>
      <w:r>
        <w:rPr>
          <w:rFonts w:ascii="Times New Roman" w:hAnsi="Times New Roman" w:cs="Times New Roman"/>
          <w:sz w:val="18"/>
          <w:szCs w:val="18"/>
        </w:rPr>
        <w:t>. Garantizar una Educación gratuita y obligatoria para todos los niños y niñas en edad escolar.</w:t>
      </w:r>
    </w:p>
  </w:footnote>
  <w:footnote w:id="47">
    <w:p w14:paraId="403A20AA"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Este plan fue aprobado por el Presidente de la República, Nicolás Maduro Moros, mediante Decreto No. 2.254, publicado en Gaceta Oficial Extraordinaria No. 6.218 del 2 de marzo de 2016.</w:t>
      </w:r>
    </w:p>
  </w:footnote>
  <w:footnote w:id="48">
    <w:p w14:paraId="0DCB979D" w14:textId="0D339439" w:rsidR="005D2FB2" w:rsidRPr="005D2FB2" w:rsidRDefault="005D2FB2">
      <w:pPr>
        <w:pStyle w:val="FootnoteText"/>
        <w:rPr>
          <w:rFonts w:ascii="Times New Roman" w:hAnsi="Times New Roman" w:cs="Times New Roman"/>
          <w:sz w:val="18"/>
          <w:szCs w:val="18"/>
          <w:lang w:val="es-VE"/>
        </w:rPr>
      </w:pPr>
      <w:r w:rsidRPr="005D2FB2">
        <w:rPr>
          <w:rStyle w:val="FootnoteReference"/>
          <w:rFonts w:ascii="Times New Roman" w:hAnsi="Times New Roman" w:cs="Times New Roman"/>
          <w:sz w:val="18"/>
          <w:szCs w:val="18"/>
        </w:rPr>
        <w:footnoteRef/>
      </w:r>
      <w:r w:rsidRPr="005D2FB2">
        <w:rPr>
          <w:rFonts w:ascii="Times New Roman" w:hAnsi="Times New Roman" w:cs="Times New Roman"/>
          <w:sz w:val="18"/>
          <w:szCs w:val="18"/>
        </w:rPr>
        <w:t xml:space="preserve"> </w:t>
      </w:r>
      <w:r w:rsidRPr="005D2FB2">
        <w:rPr>
          <w:rFonts w:ascii="Times New Roman" w:hAnsi="Times New Roman" w:cs="Times New Roman"/>
          <w:sz w:val="18"/>
          <w:szCs w:val="18"/>
          <w:lang w:val="es-VE"/>
        </w:rPr>
        <w:t>minhvi.gob.ve/minhvi/</w:t>
      </w:r>
    </w:p>
  </w:footnote>
  <w:footnote w:id="49">
    <w:p w14:paraId="1103E12B" w14:textId="77777777" w:rsidR="00405820" w:rsidRDefault="002F4028">
      <w:pPr>
        <w:pStyle w:val="FootnoteText"/>
        <w:spacing w:after="0" w:line="240" w:lineRule="auto"/>
        <w:ind w:left="340" w:hanging="340"/>
      </w:pPr>
      <w:r>
        <w:rPr>
          <w:rStyle w:val="Caracteresdenotaalpie"/>
        </w:rPr>
        <w:footnoteRef/>
      </w:r>
      <w:r>
        <w:rPr>
          <w:rFonts w:ascii="Times New Roman" w:hAnsi="Times New Roman" w:cs="Times New Roman"/>
          <w:sz w:val="18"/>
          <w:szCs w:val="18"/>
        </w:rPr>
        <w:tab/>
        <w:t xml:space="preserve"> https://www.vtv.gob.ve/chamba-juvenil-361-locales-socioproductivos-producir/</w:t>
      </w:r>
    </w:p>
  </w:footnote>
  <w:footnote w:id="50">
    <w:p w14:paraId="5CE1F188" w14:textId="77777777" w:rsidR="00405820" w:rsidRDefault="002F4028">
      <w:pPr>
        <w:pStyle w:val="FootnoteText"/>
        <w:spacing w:after="0" w:line="240" w:lineRule="auto"/>
        <w:ind w:left="340" w:hanging="340"/>
      </w:pPr>
      <w:r>
        <w:rPr>
          <w:rStyle w:val="Caracteresdenotaalpie"/>
        </w:rPr>
        <w:footnoteRef/>
      </w:r>
      <w:r>
        <w:rPr>
          <w:rFonts w:ascii="Times New Roman" w:hAnsi="Times New Roman" w:cs="Times New Roman"/>
          <w:sz w:val="18"/>
          <w:szCs w:val="18"/>
        </w:rPr>
        <w:tab/>
        <w:t xml:space="preserve"> Decreto N°876, publicado en la Gaceta Oficial N0 40.386</w:t>
      </w:r>
    </w:p>
  </w:footnote>
  <w:footnote w:id="51">
    <w:p w14:paraId="62FBD01C" w14:textId="77777777" w:rsidR="00405820" w:rsidRDefault="002F4028">
      <w:pPr>
        <w:pStyle w:val="FootnoteText"/>
        <w:spacing w:after="0" w:line="240" w:lineRule="auto"/>
        <w:ind w:left="0" w:firstLine="0"/>
      </w:pPr>
      <w:r>
        <w:rPr>
          <w:rStyle w:val="Caracteresdenotaalpie"/>
        </w:rPr>
        <w:footnoteRef/>
      </w:r>
      <w:r>
        <w:rPr>
          <w:rFonts w:cstheme="minorHAnsi"/>
          <w:sz w:val="21"/>
          <w:szCs w:val="21"/>
        </w:rPr>
        <w:t xml:space="preserve"> </w:t>
      </w:r>
      <w:r>
        <w:rPr>
          <w:rFonts w:ascii="Times New Roman" w:hAnsi="Times New Roman" w:cs="Times New Roman"/>
          <w:sz w:val="18"/>
          <w:szCs w:val="18"/>
        </w:rPr>
        <w:t xml:space="preserve">Gobierno de Venezuela. Ministerio del Poder Popular de Planificación. </w:t>
      </w:r>
      <w:r>
        <w:rPr>
          <w:rFonts w:ascii="Times New Roman" w:hAnsi="Times New Roman" w:cs="Times New Roman"/>
          <w:sz w:val="18"/>
          <w:szCs w:val="18"/>
          <w:lang w:val="es-ES"/>
        </w:rPr>
        <w:t>Venezuela en cifras. Nuestra transición al socialismo. Enero 2024. P.141</w:t>
      </w:r>
    </w:p>
  </w:footnote>
  <w:footnote w:id="52">
    <w:p w14:paraId="716BBCFA" w14:textId="77777777" w:rsidR="00405820" w:rsidRDefault="002F4028">
      <w:pPr>
        <w:spacing w:after="0" w:line="240" w:lineRule="auto"/>
        <w:jc w:val="both"/>
        <w:rPr>
          <w:rFonts w:ascii="Times New Roman" w:hAnsi="Times New Roman" w:cs="Times New Roman"/>
          <w:sz w:val="18"/>
          <w:szCs w:val="18"/>
        </w:rPr>
      </w:pPr>
      <w:r>
        <w:rPr>
          <w:rStyle w:val="Caracteresdenotaalpie"/>
        </w:rPr>
        <w:footnoteRef/>
      </w:r>
      <w:r>
        <w:rPr>
          <w:rFonts w:ascii="Times New Roman" w:hAnsi="Times New Roman" w:cs="Times New Roman"/>
          <w:sz w:val="18"/>
          <w:szCs w:val="18"/>
        </w:rPr>
        <w:t xml:space="preserve"> </w:t>
      </w:r>
      <w:r>
        <w:rPr>
          <w:rFonts w:ascii="Times New Roman" w:hAnsi="Times New Roman" w:cs="Times New Roman"/>
          <w:sz w:val="18"/>
          <w:szCs w:val="18"/>
          <w:lang w:val="es-ES"/>
        </w:rPr>
        <w:t>Oficina Central de Presupuesto, ONAPRE-Banco Central de Venezuela. BCV-Instituto Nacional de Estadísticas-Cálculos propios-Ministerio del Poder Popular de Planificación. Cálculos propios. p.141</w:t>
      </w:r>
    </w:p>
    <w:p w14:paraId="4D3DB7DC" w14:textId="77777777" w:rsidR="00405820" w:rsidRDefault="00405820">
      <w:pPr>
        <w:pStyle w:val="FootnoteText"/>
      </w:pPr>
    </w:p>
  </w:footnote>
  <w:footnote w:id="53">
    <w:p w14:paraId="53C34245"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La inversión directa se definió como el gasto destinado a financiar programas (o alguno de sus componentes) que han sido diseñados específicamente para promover el bienestar y la realización de los derechos de la niñez y adolescencia, y/o a la entrega de beneficios monetarios a sus progenitores (madre, padre). La inversión indirecta se definió como el gasto destinado a financiar programas (o alguno de sus componentes) que, sin haber sido diseñados específicamente para la niñez, terminan repercutiendo de manera visible en su bienestar, la realización de sus derechos y los de su entorno protector más cercano.</w:t>
      </w:r>
    </w:p>
  </w:footnote>
  <w:footnote w:id="54">
    <w:p w14:paraId="04D2389F" w14:textId="77777777" w:rsidR="00405820" w:rsidRDefault="002F4028">
      <w:pPr>
        <w:pStyle w:val="FootnoteText"/>
      </w:pPr>
      <w:r>
        <w:rPr>
          <w:rStyle w:val="Caracteresdenotaalpie"/>
        </w:rPr>
        <w:footnoteRef/>
      </w:r>
      <w:r>
        <w:rPr>
          <w:rFonts w:ascii="Times New Roman" w:hAnsi="Times New Roman" w:cs="Times New Roman"/>
          <w:sz w:val="18"/>
          <w:szCs w:val="18"/>
        </w:rPr>
        <w:tab/>
        <w:t xml:space="preserve"> Gaceta Oficial 40.739 del 04 de septiembre de 2015.</w:t>
      </w:r>
    </w:p>
  </w:footnote>
  <w:footnote w:id="55">
    <w:p w14:paraId="0FD2E04A"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Aprobado por la Asamblea Nacional de la República Bolivariana de Venezuela en la Ley de los Idiomas Indígenas el 20 de mayo del año 2.008</w:t>
      </w:r>
    </w:p>
  </w:footnote>
  <w:footnote w:id="56">
    <w:p w14:paraId="27F33706" w14:textId="77777777" w:rsidR="00405820" w:rsidRDefault="002F4028">
      <w:pPr>
        <w:pStyle w:val="FootnoteText"/>
        <w:spacing w:after="0" w:line="240" w:lineRule="auto"/>
        <w:ind w:left="340" w:hanging="340"/>
      </w:pPr>
      <w:r>
        <w:rPr>
          <w:rStyle w:val="Caracteresdenotaalpie"/>
        </w:rPr>
        <w:footnoteRef/>
      </w:r>
      <w:r>
        <w:rPr>
          <w:rFonts w:ascii="Times New Roman" w:hAnsi="Times New Roman" w:cs="Times New Roman"/>
          <w:sz w:val="18"/>
          <w:szCs w:val="18"/>
          <w:vertAlign w:val="superscript"/>
        </w:rPr>
        <w:tab/>
        <w:t xml:space="preserve"> </w:t>
      </w:r>
      <w:r>
        <w:rPr>
          <w:rFonts w:ascii="Times New Roman" w:hAnsi="Times New Roman" w:cs="Times New Roman"/>
          <w:sz w:val="18"/>
          <w:szCs w:val="18"/>
        </w:rPr>
        <w:t xml:space="preserve"> Gaceta Oficial N° 41.069 del 06 de enero de 2017.</w:t>
      </w:r>
    </w:p>
  </w:footnote>
  <w:footnote w:id="57">
    <w:p w14:paraId="3892A73D" w14:textId="77777777" w:rsidR="00405820" w:rsidRDefault="002F4028">
      <w:pPr>
        <w:pStyle w:val="FootnoteText"/>
        <w:spacing w:after="0" w:line="240" w:lineRule="auto"/>
        <w:ind w:left="340" w:hanging="340"/>
      </w:pPr>
      <w:r>
        <w:rPr>
          <w:rStyle w:val="Caracteresdenotaalpie"/>
        </w:rPr>
        <w:footnoteRef/>
      </w:r>
      <w:r>
        <w:rPr>
          <w:rFonts w:ascii="Times New Roman" w:hAnsi="Times New Roman" w:cs="Times New Roman"/>
          <w:sz w:val="18"/>
          <w:szCs w:val="18"/>
        </w:rPr>
        <w:tab/>
        <w:t xml:space="preserve"> Gaceta Oficial N° 41.274 del 8 de noviembre de 2017.</w:t>
      </w:r>
    </w:p>
  </w:footnote>
  <w:footnote w:id="58">
    <w:p w14:paraId="6D26A2A1" w14:textId="77777777" w:rsidR="00405820" w:rsidRDefault="002F4028">
      <w:pPr>
        <w:pStyle w:val="FootnoteText"/>
        <w:spacing w:after="0" w:line="240" w:lineRule="auto"/>
        <w:rPr>
          <w:rFonts w:ascii="Times New Roman" w:hAnsi="Times New Roman" w:cs="Times New Roman"/>
          <w:sz w:val="18"/>
          <w:szCs w:val="18"/>
        </w:rPr>
      </w:pPr>
      <w:r>
        <w:rPr>
          <w:rStyle w:val="Caracteresdenotaalpie"/>
        </w:rPr>
        <w:footnoteRef/>
      </w:r>
      <w:r>
        <w:rPr>
          <w:rFonts w:ascii="Times New Roman" w:hAnsi="Times New Roman" w:cs="Times New Roman"/>
          <w:sz w:val="18"/>
          <w:szCs w:val="18"/>
        </w:rPr>
        <w:tab/>
        <w:t xml:space="preserve"> </w:t>
      </w:r>
      <w:r>
        <w:rPr>
          <w:rFonts w:ascii="Times New Roman" w:hAnsi="Times New Roman" w:cs="Times New Roman"/>
          <w:sz w:val="18"/>
          <w:szCs w:val="18"/>
          <w:lang w:eastAsia="es-VE"/>
        </w:rPr>
        <w:t xml:space="preserve">Jurisprudencia Tribunal Supremo de Justicia. </w:t>
      </w:r>
      <w:r>
        <w:rPr>
          <w:rFonts w:ascii="Times New Roman" w:hAnsi="Times New Roman" w:cs="Times New Roman"/>
          <w:sz w:val="18"/>
          <w:szCs w:val="18"/>
        </w:rPr>
        <w:t>Sala Casación Social.  Sentencia No. 207 de fecha: 23/03/2017.</w:t>
      </w:r>
    </w:p>
    <w:p w14:paraId="7E39E1A9" w14:textId="77777777" w:rsidR="00405820" w:rsidRDefault="002F4028">
      <w:pPr>
        <w:pStyle w:val="FootnoteText"/>
        <w:spacing w:after="0" w:line="240" w:lineRule="auto"/>
        <w:rPr>
          <w:rFonts w:ascii="Times New Roman" w:hAnsi="Times New Roman" w:cs="Times New Roman"/>
          <w:sz w:val="18"/>
          <w:szCs w:val="18"/>
        </w:rPr>
      </w:pPr>
      <w:r>
        <w:rPr>
          <w:rFonts w:ascii="Times New Roman" w:hAnsi="Times New Roman" w:cs="Times New Roman"/>
          <w:sz w:val="18"/>
          <w:szCs w:val="18"/>
          <w:lang w:eastAsia="es-VE"/>
        </w:rPr>
        <w:t xml:space="preserve">Jurisprudencia Tribunal Supremo de Justicia. </w:t>
      </w:r>
      <w:r>
        <w:rPr>
          <w:rFonts w:ascii="Times New Roman" w:hAnsi="Times New Roman" w:cs="Times New Roman"/>
          <w:sz w:val="18"/>
          <w:szCs w:val="18"/>
        </w:rPr>
        <w:t>Sala Constitucional. Sentencia No. 645 de fecha: 10/10/2018.</w:t>
      </w:r>
    </w:p>
    <w:p w14:paraId="0D93153F" w14:textId="77777777" w:rsidR="00405820" w:rsidRDefault="002F4028">
      <w:pPr>
        <w:pStyle w:val="FootnoteText"/>
        <w:spacing w:after="0" w:line="240" w:lineRule="auto"/>
        <w:ind w:left="0" w:firstLine="0"/>
      </w:pPr>
      <w:r>
        <w:rPr>
          <w:rFonts w:ascii="Times New Roman" w:hAnsi="Times New Roman" w:cs="Times New Roman"/>
          <w:sz w:val="18"/>
          <w:szCs w:val="18"/>
          <w:lang w:eastAsia="es-VE"/>
        </w:rPr>
        <w:t xml:space="preserve">Jurisprudencia Tribunal Supremo de Justicia. Sala Constitucional, N° </w:t>
      </w:r>
      <w:r>
        <w:rPr>
          <w:rFonts w:ascii="Times New Roman" w:hAnsi="Times New Roman" w:cs="Times New Roman"/>
          <w:sz w:val="18"/>
          <w:szCs w:val="18"/>
          <w:lang w:val="es-MX"/>
        </w:rPr>
        <w:t xml:space="preserve">2.301 de fecha 14/12/ 2006, Magistrada </w:t>
      </w:r>
      <w:r>
        <w:rPr>
          <w:rFonts w:ascii="Times New Roman" w:hAnsi="Times New Roman" w:cs="Times New Roman"/>
          <w:bCs/>
          <w:sz w:val="18"/>
          <w:szCs w:val="18"/>
          <w:lang w:val="es-MX"/>
        </w:rPr>
        <w:t>Carmen Zuleta de Merchán.</w:t>
      </w:r>
    </w:p>
  </w:footnote>
  <w:footnote w:id="59">
    <w:p w14:paraId="5EA2C74F" w14:textId="77777777" w:rsidR="00405820" w:rsidRDefault="002F4028">
      <w:pPr>
        <w:spacing w:after="0" w:line="240" w:lineRule="auto"/>
        <w:jc w:val="both"/>
        <w:rPr>
          <w:rFonts w:ascii="Times New Roman" w:hAnsi="Times New Roman" w:cs="Times New Roman"/>
          <w:sz w:val="18"/>
          <w:szCs w:val="18"/>
        </w:rPr>
      </w:pPr>
      <w:r>
        <w:rPr>
          <w:rStyle w:val="Caracteresdenotaalpie"/>
        </w:rPr>
        <w:footnoteRef/>
      </w:r>
      <w:r>
        <w:rPr>
          <w:rFonts w:ascii="Times New Roman" w:hAnsi="Times New Roman" w:cs="Times New Roman"/>
          <w:sz w:val="18"/>
          <w:szCs w:val="18"/>
        </w:rPr>
        <w:t xml:space="preserve"> Para el Tribunal Supremo De Justicia El “interés superior del niño”, tiene por objetivo principal el que se proteja de forma integral al niño por su falta de madurez física y mental, pues requiere protección y cuidado especiales, incluso la debida protección legal, tanto antes como después de su nacimiento. </w:t>
      </w:r>
      <w:r>
        <w:rPr>
          <w:rFonts w:ascii="Times New Roman" w:hAnsi="Times New Roman" w:cs="Times New Roman"/>
          <w:sz w:val="18"/>
          <w:szCs w:val="18"/>
          <w:lang w:eastAsia="es-VE"/>
        </w:rPr>
        <w:t xml:space="preserve">Jurisprudencia Tribunal Supremo De Justicia. Sala Constitucional, Sent. N° </w:t>
      </w:r>
      <w:r>
        <w:rPr>
          <w:rFonts w:ascii="Times New Roman" w:hAnsi="Times New Roman" w:cs="Times New Roman"/>
          <w:sz w:val="18"/>
          <w:szCs w:val="18"/>
          <w:lang w:val="es-MX"/>
        </w:rPr>
        <w:t xml:space="preserve">1.917 de fecha 14/07/2003, Magistrado Jesús Eduardo Cabrera Romero. </w:t>
      </w:r>
    </w:p>
    <w:p w14:paraId="25C50F19" w14:textId="77777777" w:rsidR="00405820" w:rsidRDefault="00405820">
      <w:pPr>
        <w:pStyle w:val="FootnoteText"/>
      </w:pPr>
    </w:p>
  </w:footnote>
  <w:footnote w:id="60">
    <w:p w14:paraId="13E0ED0E" w14:textId="77777777" w:rsidR="00405820" w:rsidRDefault="002F4028">
      <w:pPr>
        <w:pStyle w:val="FootnoteText"/>
        <w:spacing w:after="0"/>
        <w:ind w:left="0" w:firstLine="0"/>
      </w:pPr>
      <w:r>
        <w:rPr>
          <w:rStyle w:val="Caracteresdenotaalpie"/>
        </w:rPr>
        <w:footnoteRef/>
      </w:r>
      <w:r>
        <w:rPr>
          <w:rFonts w:ascii="Times New Roman" w:hAnsi="Times New Roman" w:cs="Times New Roman"/>
          <w:sz w:val="18"/>
          <w:szCs w:val="18"/>
        </w:rPr>
        <w:t xml:space="preserve"> En este sentido se dictaminó un Acuerdo de la Sala Plena del TSJ de fecha 25 de abril 2007, que estipula las "Orientaciones sobre la Garantía del Derecho Humano de los niños, niñas y adolescentes a opinar y ser oídos en los procedimientos judiciales ante los Tribunales de Protección. En atención a ello se publicó la Circular núm. DDPG-2015-015 de fecha 24 de agosto de 2015, sobre la aplicación del principio de interés superior del niño, niña y adolescente.</w:t>
      </w:r>
    </w:p>
  </w:footnote>
  <w:footnote w:id="61">
    <w:p w14:paraId="36F2E3B0" w14:textId="77777777" w:rsidR="00405820" w:rsidRDefault="002F4028">
      <w:pPr>
        <w:pStyle w:val="FootnoteText"/>
      </w:pPr>
      <w:r>
        <w:rPr>
          <w:rStyle w:val="Caracteresdenotaalpie"/>
        </w:rPr>
        <w:footnoteRef/>
      </w:r>
      <w:r>
        <w:rPr>
          <w:rFonts w:ascii="Times New Roman" w:hAnsi="Times New Roman" w:cs="Times New Roman"/>
          <w:sz w:val="18"/>
          <w:szCs w:val="18"/>
        </w:rPr>
        <w:tab/>
        <w:t xml:space="preserve"> Ley especial para prevenir y sancionar la tortura y otros tratos crueles inhumanos o degradantes.</w:t>
      </w:r>
    </w:p>
  </w:footnote>
  <w:footnote w:id="62">
    <w:p w14:paraId="1F15BA38" w14:textId="77777777" w:rsidR="00405820" w:rsidRDefault="002F4028">
      <w:pPr>
        <w:pStyle w:val="FootnoteText"/>
        <w:spacing w:after="0" w:line="240" w:lineRule="auto"/>
        <w:ind w:left="0" w:firstLine="0"/>
        <w:jc w:val="left"/>
      </w:pPr>
      <w:r>
        <w:rPr>
          <w:rStyle w:val="Caracteresdenotaalpie"/>
        </w:rPr>
        <w:footnoteRef/>
      </w:r>
      <w:r>
        <w:rPr>
          <w:rFonts w:ascii="Times New Roman" w:hAnsi="Times New Roman" w:cs="Times New Roman"/>
          <w:sz w:val="18"/>
          <w:szCs w:val="18"/>
        </w:rPr>
        <w:t xml:space="preserve"> En los estados Apure, Bolívar, Táchira y Zulia, según refiere la comunicación ONCDOFT/DCI N°  0599 2020, de fecha 25 de noviembre de 2020.</w:t>
      </w:r>
    </w:p>
  </w:footnote>
  <w:footnote w:id="63">
    <w:p w14:paraId="1F95C3AC" w14:textId="77777777" w:rsidR="00405820" w:rsidRDefault="002F4028">
      <w:pPr>
        <w:pStyle w:val="FootnoteText"/>
        <w:spacing w:after="0" w:line="240" w:lineRule="auto"/>
        <w:ind w:left="340" w:hanging="340"/>
        <w:jc w:val="left"/>
      </w:pPr>
      <w:r>
        <w:rPr>
          <w:rStyle w:val="Caracteresdenotaalpie"/>
        </w:rPr>
        <w:footnoteRef/>
      </w:r>
      <w:r>
        <w:rPr>
          <w:rFonts w:ascii="Times New Roman" w:eastAsia="Times New Roman" w:hAnsi="Times New Roman" w:cs="Times New Roman"/>
          <w:color w:val="000000"/>
          <w:sz w:val="18"/>
          <w:szCs w:val="18"/>
        </w:rPr>
        <w:tab/>
        <w:t>Resolución 2020-063. Gaceta Oficial de la RBV Nº 42.007 del 13 de noviembre de 2020.</w:t>
      </w:r>
    </w:p>
  </w:footnote>
  <w:footnote w:id="64">
    <w:p w14:paraId="4F806258" w14:textId="77777777" w:rsidR="00405820" w:rsidRDefault="002F4028">
      <w:pPr>
        <w:pStyle w:val="FootnoteText"/>
        <w:spacing w:after="0" w:line="240" w:lineRule="auto"/>
        <w:ind w:left="0" w:firstLine="0"/>
      </w:pPr>
      <w:r>
        <w:rPr>
          <w:rStyle w:val="Caracteresdenotaalpie"/>
        </w:rPr>
        <w:footnoteRef/>
      </w:r>
      <w:r>
        <w:rPr>
          <w:rFonts w:ascii="Times New Roman" w:eastAsia="Times New Roman" w:hAnsi="Times New Roman" w:cs="Times New Roman"/>
          <w:color w:val="000000"/>
          <w:sz w:val="18"/>
          <w:szCs w:val="18"/>
        </w:rPr>
        <w:t xml:space="preserve">  Gaceta Oficial de la RBV N° 41.553 del 27 de diciembre de 2018. </w:t>
      </w:r>
    </w:p>
  </w:footnote>
  <w:footnote w:id="65">
    <w:p w14:paraId="0B49A10A" w14:textId="77777777" w:rsidR="00405820" w:rsidRDefault="002F4028">
      <w:pPr>
        <w:pStyle w:val="FootnoteText"/>
        <w:spacing w:after="0" w:line="240" w:lineRule="auto"/>
        <w:ind w:left="0" w:firstLine="0"/>
      </w:pPr>
      <w:r>
        <w:rPr>
          <w:rStyle w:val="Caracteresdenotaalpie"/>
        </w:rPr>
        <w:footnoteRef/>
      </w:r>
      <w:r>
        <w:rPr>
          <w:rFonts w:ascii="Times New Roman" w:eastAsia="Times New Roman" w:hAnsi="Times New Roman" w:cs="Times New Roman"/>
          <w:color w:val="000000"/>
          <w:sz w:val="18"/>
          <w:szCs w:val="18"/>
        </w:rPr>
        <w:t xml:space="preserve">  Gaceta Oficial de la RBV N° 41.584 del 12 de febrero de 2019.</w:t>
      </w:r>
      <w:r>
        <w:rPr>
          <w:rFonts w:eastAsia="Times New Roman"/>
          <w:color w:val="000000"/>
        </w:rPr>
        <w:t xml:space="preserve"> </w:t>
      </w:r>
    </w:p>
  </w:footnote>
  <w:footnote w:id="66">
    <w:p w14:paraId="22B3B2A9" w14:textId="77777777" w:rsidR="00405820" w:rsidRDefault="002F4028">
      <w:pPr>
        <w:pStyle w:val="FootnoteText"/>
        <w:spacing w:after="0" w:line="240" w:lineRule="auto"/>
        <w:ind w:left="0" w:firstLine="0"/>
        <w:rPr>
          <w:rFonts w:ascii="Times New Roman" w:hAnsi="Times New Roman" w:cs="Times New Roman"/>
          <w:sz w:val="18"/>
          <w:szCs w:val="18"/>
        </w:rPr>
      </w:pPr>
      <w:r>
        <w:rPr>
          <w:rStyle w:val="Caracteresdenotaalpie"/>
        </w:rPr>
        <w:footnoteRef/>
      </w:r>
      <w:r>
        <w:rPr>
          <w:rFonts w:ascii="Times New Roman" w:hAnsi="Times New Roman" w:cs="Times New Roman"/>
          <w:sz w:val="18"/>
          <w:szCs w:val="18"/>
        </w:rPr>
        <w:t xml:space="preserve">  Ley Orgánica del Trabajo, las Trabajadoras y los Trabajadores. Gaceta Oficial N° 6.076 del 07 de mayo de 2012. Resolución conjunta Ministerio del Poder Popular para el Trabajo y Ministerio del Poder Popular para la Salud, publicada en Gaceta Oficial N° 38.528 del 22 de septiembre de 2006. Gaceta Oficial N° 401.123 del 30 de abril del 2013. Reglamento</w:t>
      </w:r>
    </w:p>
    <w:p w14:paraId="62D9AF72" w14:textId="77777777" w:rsidR="00405820" w:rsidRDefault="002F4028">
      <w:pPr>
        <w:pStyle w:val="FootnoteText"/>
        <w:spacing w:after="0" w:line="240" w:lineRule="auto"/>
        <w:ind w:left="340" w:hanging="340"/>
      </w:pPr>
      <w:r>
        <w:rPr>
          <w:rFonts w:ascii="Times New Roman" w:hAnsi="Times New Roman" w:cs="Times New Roman"/>
          <w:sz w:val="18"/>
          <w:szCs w:val="18"/>
        </w:rPr>
        <w:t>Sala Constitucional del Tribunal Supremo de Justicia, Sentencia N° 991 del 30 de noviembre de 2017.</w:t>
      </w:r>
    </w:p>
  </w:footnote>
  <w:footnote w:id="67">
    <w:p w14:paraId="542C8F24"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rPr>
        <w:t xml:space="preserve"> </w:t>
      </w:r>
      <w:r>
        <w:rPr>
          <w:rFonts w:ascii="Times New Roman" w:hAnsi="Times New Roman" w:cs="Times New Roman"/>
          <w:sz w:val="18"/>
          <w:szCs w:val="18"/>
          <w:lang w:val="es-ES"/>
        </w:rPr>
        <w:t>Hospital Cardiológico Infantil Latinoamericano Dr. Gilberto Rodríguez Ochoa, MPPS. Resumen intervenciones realizadas y acumulado hasta el 30/11/21, diagnóstico por imagen, ecocardiogramas, exámenes de laboratorio, donantes Banco de Sangre hasta junio 2021. Proyección hasta noviembre 2021 p.249 Gobierno de Venezuela. Ministerio del poder Popular de Planificación. Venezuela en cifras 2024</w:t>
      </w:r>
    </w:p>
  </w:footnote>
  <w:footnote w:id="68">
    <w:p w14:paraId="4C7C330A" w14:textId="77777777" w:rsidR="00405820" w:rsidRDefault="002F4028">
      <w:pPr>
        <w:pStyle w:val="FootnoteText"/>
        <w:spacing w:after="0" w:line="240" w:lineRule="auto"/>
        <w:ind w:left="0" w:firstLine="0"/>
        <w:rPr>
          <w:rFonts w:ascii="Times New Roman" w:hAnsi="Times New Roman" w:cs="Times New Roman"/>
          <w:sz w:val="18"/>
          <w:szCs w:val="18"/>
          <w:lang w:val="es-ES"/>
        </w:rPr>
      </w:pPr>
      <w:r>
        <w:rPr>
          <w:rStyle w:val="Caracteresdenotaalpie"/>
        </w:rPr>
        <w:footnoteRef/>
      </w:r>
      <w:r>
        <w:t xml:space="preserve"> </w:t>
      </w:r>
      <w:r>
        <w:rPr>
          <w:rFonts w:ascii="Times New Roman" w:hAnsi="Times New Roman" w:cs="Times New Roman"/>
          <w:sz w:val="18"/>
          <w:szCs w:val="18"/>
          <w:lang w:val="es-ES"/>
        </w:rPr>
        <w:t>Ministerio del Poder Popular para la Educación pág. 225 y 226. Gobierno de Venezuela. Ministerio del poder Popular de Planificación. Venezuela en cifras 2024</w:t>
      </w:r>
    </w:p>
    <w:p w14:paraId="53BEF41A" w14:textId="77777777" w:rsidR="00405820" w:rsidRDefault="00405820">
      <w:pPr>
        <w:pStyle w:val="FootnoteText"/>
      </w:pPr>
    </w:p>
  </w:footnote>
  <w:footnote w:id="69">
    <w:p w14:paraId="5FA771BE" w14:textId="77777777" w:rsidR="00405820" w:rsidRDefault="002F4028">
      <w:pPr>
        <w:pStyle w:val="FootnoteText"/>
        <w:spacing w:after="0" w:line="240" w:lineRule="auto"/>
        <w:ind w:left="0" w:firstLine="0"/>
        <w:rPr>
          <w:rFonts w:ascii="Times New Roman" w:hAnsi="Times New Roman" w:cs="Times New Roman"/>
          <w:sz w:val="18"/>
          <w:szCs w:val="18"/>
          <w:lang w:val="es-ES"/>
        </w:rPr>
      </w:pPr>
      <w:r>
        <w:rPr>
          <w:rStyle w:val="Caracteresdenotaalpie"/>
        </w:rPr>
        <w:footnoteRef/>
      </w:r>
      <w:r>
        <w:t xml:space="preserve"> </w:t>
      </w:r>
      <w:r>
        <w:rPr>
          <w:rFonts w:ascii="Times New Roman" w:hAnsi="Times New Roman" w:cs="Times New Roman"/>
          <w:lang w:val="es-ES"/>
        </w:rPr>
        <w:t xml:space="preserve">Ministerio del Poder Popular para la Educación. </w:t>
      </w:r>
      <w:r>
        <w:rPr>
          <w:rFonts w:ascii="Times New Roman" w:hAnsi="Times New Roman" w:cs="Times New Roman"/>
          <w:sz w:val="18"/>
          <w:szCs w:val="18"/>
          <w:lang w:val="es-ES"/>
        </w:rPr>
        <w:t>Gobierno de Venezuela. Ministerio del Poder Popular de Planificación. Venezuela en cifras 2024, p. 233</w:t>
      </w:r>
    </w:p>
    <w:p w14:paraId="35C3803C" w14:textId="77777777" w:rsidR="00405820" w:rsidRDefault="00405820">
      <w:pPr>
        <w:pStyle w:val="FootnoteText"/>
      </w:pPr>
    </w:p>
  </w:footnote>
  <w:footnote w:id="70">
    <w:p w14:paraId="281B3B17" w14:textId="77777777" w:rsidR="00405820" w:rsidRDefault="002F4028">
      <w:pPr>
        <w:pStyle w:val="FootnoteText"/>
        <w:spacing w:after="0" w:line="240" w:lineRule="auto"/>
        <w:ind w:left="0" w:firstLine="0"/>
      </w:pPr>
      <w:r>
        <w:rPr>
          <w:rStyle w:val="Caracteresdenotaalpie"/>
        </w:rPr>
        <w:footnoteRef/>
      </w:r>
      <w:r>
        <w:t xml:space="preserve"> </w:t>
      </w:r>
      <w:r>
        <w:rPr>
          <w:rFonts w:ascii="Times New Roman" w:hAnsi="Times New Roman" w:cs="Times New Roman"/>
          <w:lang w:val="es-ES"/>
        </w:rPr>
        <w:t xml:space="preserve">MINPPAL-INN. </w:t>
      </w:r>
      <w:r>
        <w:rPr>
          <w:rFonts w:ascii="Times New Roman" w:hAnsi="Times New Roman" w:cs="Times New Roman"/>
          <w:sz w:val="18"/>
          <w:szCs w:val="18"/>
          <w:lang w:val="es-ES"/>
        </w:rPr>
        <w:t>Gobierno de Venezuela. Ministerio del Poder Popular de Planificación. Venezuela en cifras 2024, p. 72</w:t>
      </w:r>
    </w:p>
  </w:footnote>
  <w:footnote w:id="71">
    <w:p w14:paraId="37B6AB29" w14:textId="77777777" w:rsidR="00405820" w:rsidRDefault="002F4028">
      <w:pPr>
        <w:pStyle w:val="FootnoteText"/>
        <w:spacing w:after="0" w:line="240" w:lineRule="auto"/>
        <w:ind w:left="0" w:firstLine="0"/>
      </w:pPr>
      <w:r>
        <w:rPr>
          <w:rStyle w:val="Caracteresdenotaalpie"/>
        </w:rPr>
        <w:footnoteRef/>
      </w:r>
      <w:r>
        <w:rPr>
          <w:rFonts w:ascii="Times New Roman" w:eastAsia="Times New Roman" w:hAnsi="Times New Roman" w:cs="Times New Roman"/>
          <w:color w:val="000000"/>
          <w:sz w:val="18"/>
          <w:szCs w:val="18"/>
        </w:rPr>
        <w:t xml:space="preserve">El proyecto Canaima Educativo consiste en la entrega gratuita de computadoras portátiles o tabletas electrónicas a los y las estudiantes por parte del Estado, para facilitar el proceso educativo y garantizar el acceso a las tecnologías de la información. </w:t>
      </w:r>
    </w:p>
  </w:footnote>
  <w:footnote w:id="72">
    <w:p w14:paraId="75D11A82" w14:textId="77777777" w:rsidR="00405820" w:rsidRDefault="002F4028">
      <w:pPr>
        <w:pStyle w:val="FootnoteText"/>
        <w:spacing w:after="0" w:line="240" w:lineRule="auto"/>
        <w:ind w:left="0" w:firstLine="0"/>
      </w:pPr>
      <w:r>
        <w:rPr>
          <w:rStyle w:val="Caracteresdenotaalpie"/>
        </w:rPr>
        <w:footnoteRef/>
      </w:r>
      <w:r>
        <w:rPr>
          <w:rFonts w:ascii="Times New Roman" w:eastAsia="Times New Roman" w:hAnsi="Times New Roman" w:cs="Times New Roman"/>
          <w:color w:val="000000"/>
          <w:sz w:val="18"/>
          <w:szCs w:val="18"/>
        </w:rPr>
        <w:t xml:space="preserve"> La Colección Bicentenario es un recurso educativo que consiste en la distribución gratuita de textos escolares editados por el Estado.  </w:t>
      </w:r>
    </w:p>
  </w:footnote>
  <w:footnote w:id="73">
    <w:p w14:paraId="71F2EC87"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Publicada Ley Aprobatoria en la Gaceta Oficial Nº 40.405 de fecha 6 de mayo de 2014,</w:t>
      </w:r>
    </w:p>
  </w:footnote>
  <w:footnote w:id="74">
    <w:p w14:paraId="0F68E843"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sz w:val="18"/>
          <w:szCs w:val="18"/>
        </w:rPr>
        <w:t xml:space="preserve"> Aprobada posteriormente como una Comisión Nacional mediante Gaceta Oficial N° 42.040 de fecha 5 de enero de 2021 su funcionamiento y estructura. </w:t>
      </w:r>
    </w:p>
  </w:footnote>
  <w:footnote w:id="75">
    <w:p w14:paraId="46A31780" w14:textId="77777777" w:rsidR="00405820" w:rsidRDefault="002F4028">
      <w:pPr>
        <w:pStyle w:val="FootnoteText"/>
        <w:spacing w:after="0" w:line="240" w:lineRule="auto"/>
        <w:ind w:left="0" w:firstLine="0"/>
      </w:pPr>
      <w:r>
        <w:rPr>
          <w:rStyle w:val="Caracteresdenotaalpie"/>
        </w:rPr>
        <w:footnoteRef/>
      </w:r>
      <w:r>
        <w:rPr>
          <w:rFonts w:ascii="Times New Roman" w:hAnsi="Times New Roman" w:cs="Times New Roman"/>
          <w:b/>
          <w:bCs/>
          <w:sz w:val="18"/>
          <w:szCs w:val="18"/>
        </w:rPr>
        <w:t xml:space="preserve"> </w:t>
      </w:r>
      <w:r>
        <w:rPr>
          <w:rFonts w:ascii="Times New Roman" w:hAnsi="Times New Roman" w:cs="Times New Roman"/>
          <w:sz w:val="18"/>
          <w:szCs w:val="18"/>
        </w:rPr>
        <w:t>Se encuentra integrada por las siguientes instancias: Consejo Nacional Electoral, TSJ, Ministerio Público, Defensa Pública, Idenna, MPPRIJP, Servicio Autónomo de Registros y Notarías, Servicio Administrativo de Identificación, Migración y Extranjería y el Ministerio del Poder Popular para Relaciones Exteriores y en representación de la sociedad civil: la Asociación Nacional de Consejeros y Consejeras de Protección.</w:t>
      </w:r>
      <w:r>
        <w:rPr>
          <w:rFonts w:ascii="Arial" w:hAnsi="Arial" w:cs="Aria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D79EA"/>
    <w:multiLevelType w:val="multilevel"/>
    <w:tmpl w:val="99945F6A"/>
    <w:lvl w:ilvl="0">
      <w:start w:val="1"/>
      <w:numFmt w:val="decimal"/>
      <w:lvlText w:val="%1."/>
      <w:lvlJc w:val="left"/>
      <w:pPr>
        <w:ind w:left="720" w:hanging="720"/>
      </w:pPr>
      <w:rPr>
        <w:rFonts w:ascii="Times New Roman" w:eastAsia="Times New Roman" w:hAnsi="Times New Roman" w:cs="Times New Roman"/>
        <w:b/>
        <w:i w:val="0"/>
        <w:sz w:val="20"/>
        <w:szCs w:val="20"/>
      </w:rPr>
    </w:lvl>
    <w:lvl w:ilvl="1">
      <w:start w:val="2"/>
      <w:numFmt w:val="upperLetter"/>
      <w:lvlText w:val="%2."/>
      <w:lvlJc w:val="left"/>
      <w:pPr>
        <w:ind w:left="1440" w:hanging="360"/>
      </w:pPr>
    </w:lvl>
    <w:lvl w:ilvl="2">
      <w:start w:val="3"/>
      <w:numFmt w:val="bullet"/>
      <w:lvlText w:val="-"/>
      <w:lvlJc w:val="left"/>
      <w:pPr>
        <w:ind w:left="2340" w:hanging="360"/>
      </w:pPr>
      <w:rPr>
        <w:rFonts w:ascii="Times New Roman" w:hAnsi="Times New Roman" w:cs="Times New Roman" w:hint="default"/>
      </w:rPr>
    </w:lvl>
    <w:lvl w:ilvl="3">
      <w:start w:val="2"/>
      <w:numFmt w:val="bullet"/>
      <w:lvlText w:val="•"/>
      <w:lvlJc w:val="left"/>
      <w:pPr>
        <w:ind w:left="3228" w:hanging="708"/>
      </w:pPr>
      <w:rPr>
        <w:rFonts w:ascii="Times New Roman" w:hAnsi="Times New Roman" w:cs="Times New Roman"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FCA10F5"/>
    <w:multiLevelType w:val="multilevel"/>
    <w:tmpl w:val="53566C4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43B83968"/>
    <w:multiLevelType w:val="multilevel"/>
    <w:tmpl w:val="F6C6B9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2AF2B4D"/>
    <w:multiLevelType w:val="multilevel"/>
    <w:tmpl w:val="CFD244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A6D0380"/>
    <w:multiLevelType w:val="multilevel"/>
    <w:tmpl w:val="FC980046"/>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 w15:restartNumberingAfterBreak="0">
    <w:nsid w:val="7B372D2B"/>
    <w:multiLevelType w:val="multilevel"/>
    <w:tmpl w:val="F510FD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2704571">
    <w:abstractNumId w:val="0"/>
  </w:num>
  <w:num w:numId="2" w16cid:durableId="834734001">
    <w:abstractNumId w:val="4"/>
  </w:num>
  <w:num w:numId="3" w16cid:durableId="1485704472">
    <w:abstractNumId w:val="3"/>
  </w:num>
  <w:num w:numId="4" w16cid:durableId="207959412">
    <w:abstractNumId w:val="5"/>
  </w:num>
  <w:num w:numId="5" w16cid:durableId="930964412">
    <w:abstractNumId w:val="2"/>
  </w:num>
  <w:num w:numId="6" w16cid:durableId="239022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820"/>
    <w:rsid w:val="00022156"/>
    <w:rsid w:val="0004228B"/>
    <w:rsid w:val="00057D68"/>
    <w:rsid w:val="0007791C"/>
    <w:rsid w:val="000848F6"/>
    <w:rsid w:val="00086A66"/>
    <w:rsid w:val="00087AE7"/>
    <w:rsid w:val="00093B51"/>
    <w:rsid w:val="000A5546"/>
    <w:rsid w:val="000A5813"/>
    <w:rsid w:val="000C4612"/>
    <w:rsid w:val="000F77C5"/>
    <w:rsid w:val="0010440A"/>
    <w:rsid w:val="001052D7"/>
    <w:rsid w:val="0013242A"/>
    <w:rsid w:val="00150C3E"/>
    <w:rsid w:val="00157C48"/>
    <w:rsid w:val="00175631"/>
    <w:rsid w:val="001814B0"/>
    <w:rsid w:val="00196A7F"/>
    <w:rsid w:val="001A779F"/>
    <w:rsid w:val="001C3E09"/>
    <w:rsid w:val="001D3FF1"/>
    <w:rsid w:val="001D6B9C"/>
    <w:rsid w:val="001F4847"/>
    <w:rsid w:val="001F6A13"/>
    <w:rsid w:val="001F79C4"/>
    <w:rsid w:val="0021408C"/>
    <w:rsid w:val="002306E3"/>
    <w:rsid w:val="00233FC7"/>
    <w:rsid w:val="00242768"/>
    <w:rsid w:val="002523ED"/>
    <w:rsid w:val="00274692"/>
    <w:rsid w:val="002915F6"/>
    <w:rsid w:val="0029348F"/>
    <w:rsid w:val="00296DE7"/>
    <w:rsid w:val="00297009"/>
    <w:rsid w:val="002A63A8"/>
    <w:rsid w:val="002B50FF"/>
    <w:rsid w:val="002C61C3"/>
    <w:rsid w:val="002F067E"/>
    <w:rsid w:val="002F4028"/>
    <w:rsid w:val="00310B50"/>
    <w:rsid w:val="00314482"/>
    <w:rsid w:val="00322725"/>
    <w:rsid w:val="003314E3"/>
    <w:rsid w:val="00334866"/>
    <w:rsid w:val="00351BBD"/>
    <w:rsid w:val="00355C1E"/>
    <w:rsid w:val="003A1F39"/>
    <w:rsid w:val="003C2273"/>
    <w:rsid w:val="003D61B0"/>
    <w:rsid w:val="003F5823"/>
    <w:rsid w:val="003F7242"/>
    <w:rsid w:val="003F7AF7"/>
    <w:rsid w:val="00405820"/>
    <w:rsid w:val="00416320"/>
    <w:rsid w:val="004232B4"/>
    <w:rsid w:val="00423FD0"/>
    <w:rsid w:val="00430D1D"/>
    <w:rsid w:val="0043389C"/>
    <w:rsid w:val="00487852"/>
    <w:rsid w:val="004A36B9"/>
    <w:rsid w:val="004A633B"/>
    <w:rsid w:val="004D4039"/>
    <w:rsid w:val="0050105A"/>
    <w:rsid w:val="00522F5E"/>
    <w:rsid w:val="00532BE2"/>
    <w:rsid w:val="00546DBE"/>
    <w:rsid w:val="0055135C"/>
    <w:rsid w:val="00563B46"/>
    <w:rsid w:val="00563C42"/>
    <w:rsid w:val="00564DAA"/>
    <w:rsid w:val="00570886"/>
    <w:rsid w:val="00581A69"/>
    <w:rsid w:val="005B6D73"/>
    <w:rsid w:val="005B7F2C"/>
    <w:rsid w:val="005C3037"/>
    <w:rsid w:val="005C568E"/>
    <w:rsid w:val="005D1193"/>
    <w:rsid w:val="005D2FB2"/>
    <w:rsid w:val="005F292E"/>
    <w:rsid w:val="006119A5"/>
    <w:rsid w:val="0062273E"/>
    <w:rsid w:val="00644B1B"/>
    <w:rsid w:val="00680517"/>
    <w:rsid w:val="006D1D36"/>
    <w:rsid w:val="006D5B5D"/>
    <w:rsid w:val="006F5532"/>
    <w:rsid w:val="00707DC7"/>
    <w:rsid w:val="0071476D"/>
    <w:rsid w:val="007177CF"/>
    <w:rsid w:val="0073782D"/>
    <w:rsid w:val="007723C3"/>
    <w:rsid w:val="007852DE"/>
    <w:rsid w:val="00787959"/>
    <w:rsid w:val="0079470F"/>
    <w:rsid w:val="007D04EC"/>
    <w:rsid w:val="007E7F2E"/>
    <w:rsid w:val="007F2D11"/>
    <w:rsid w:val="007F5AB2"/>
    <w:rsid w:val="00831285"/>
    <w:rsid w:val="00831B19"/>
    <w:rsid w:val="00835A49"/>
    <w:rsid w:val="00855FAD"/>
    <w:rsid w:val="0086562B"/>
    <w:rsid w:val="00873506"/>
    <w:rsid w:val="008768FA"/>
    <w:rsid w:val="00882A5E"/>
    <w:rsid w:val="00884E47"/>
    <w:rsid w:val="00897132"/>
    <w:rsid w:val="008A1735"/>
    <w:rsid w:val="008A4994"/>
    <w:rsid w:val="008D0382"/>
    <w:rsid w:val="008E1459"/>
    <w:rsid w:val="008E63DF"/>
    <w:rsid w:val="008F032C"/>
    <w:rsid w:val="00900531"/>
    <w:rsid w:val="00900B21"/>
    <w:rsid w:val="00903BBE"/>
    <w:rsid w:val="00923AF9"/>
    <w:rsid w:val="009317C9"/>
    <w:rsid w:val="00932237"/>
    <w:rsid w:val="00960A98"/>
    <w:rsid w:val="00960B92"/>
    <w:rsid w:val="00976420"/>
    <w:rsid w:val="009A0982"/>
    <w:rsid w:val="009A4346"/>
    <w:rsid w:val="009A6948"/>
    <w:rsid w:val="009B1E71"/>
    <w:rsid w:val="009B7107"/>
    <w:rsid w:val="009D23E6"/>
    <w:rsid w:val="009E6E1D"/>
    <w:rsid w:val="00A01678"/>
    <w:rsid w:val="00A03399"/>
    <w:rsid w:val="00A13CFB"/>
    <w:rsid w:val="00A23195"/>
    <w:rsid w:val="00A3503A"/>
    <w:rsid w:val="00A4267D"/>
    <w:rsid w:val="00AA73EA"/>
    <w:rsid w:val="00AD5C35"/>
    <w:rsid w:val="00AD796B"/>
    <w:rsid w:val="00AE6887"/>
    <w:rsid w:val="00AF1467"/>
    <w:rsid w:val="00AF40B1"/>
    <w:rsid w:val="00AF4424"/>
    <w:rsid w:val="00B23088"/>
    <w:rsid w:val="00B2406B"/>
    <w:rsid w:val="00B34210"/>
    <w:rsid w:val="00B44048"/>
    <w:rsid w:val="00B61166"/>
    <w:rsid w:val="00B74B88"/>
    <w:rsid w:val="00B91B1B"/>
    <w:rsid w:val="00BA2E06"/>
    <w:rsid w:val="00BA77E8"/>
    <w:rsid w:val="00BB14CD"/>
    <w:rsid w:val="00BB534A"/>
    <w:rsid w:val="00BD3A99"/>
    <w:rsid w:val="00BD681C"/>
    <w:rsid w:val="00BE1FBE"/>
    <w:rsid w:val="00BE4E4C"/>
    <w:rsid w:val="00BE7314"/>
    <w:rsid w:val="00BF17B9"/>
    <w:rsid w:val="00BF7379"/>
    <w:rsid w:val="00BF76A3"/>
    <w:rsid w:val="00C04212"/>
    <w:rsid w:val="00C35B38"/>
    <w:rsid w:val="00C442F0"/>
    <w:rsid w:val="00C52717"/>
    <w:rsid w:val="00C61F6D"/>
    <w:rsid w:val="00C65BA2"/>
    <w:rsid w:val="00C7091E"/>
    <w:rsid w:val="00C71C82"/>
    <w:rsid w:val="00CA0499"/>
    <w:rsid w:val="00CA2D9E"/>
    <w:rsid w:val="00CB246B"/>
    <w:rsid w:val="00CE3300"/>
    <w:rsid w:val="00CE3CFC"/>
    <w:rsid w:val="00CE6DA2"/>
    <w:rsid w:val="00CF123F"/>
    <w:rsid w:val="00CF317C"/>
    <w:rsid w:val="00D46394"/>
    <w:rsid w:val="00D479B7"/>
    <w:rsid w:val="00D7089B"/>
    <w:rsid w:val="00DA2B89"/>
    <w:rsid w:val="00DC05E1"/>
    <w:rsid w:val="00E03031"/>
    <w:rsid w:val="00E16D0D"/>
    <w:rsid w:val="00E21096"/>
    <w:rsid w:val="00E2449D"/>
    <w:rsid w:val="00E270E7"/>
    <w:rsid w:val="00E32DD5"/>
    <w:rsid w:val="00E43F58"/>
    <w:rsid w:val="00E44240"/>
    <w:rsid w:val="00E46205"/>
    <w:rsid w:val="00E47D04"/>
    <w:rsid w:val="00E52924"/>
    <w:rsid w:val="00E6152F"/>
    <w:rsid w:val="00E92B15"/>
    <w:rsid w:val="00E93421"/>
    <w:rsid w:val="00EA43D5"/>
    <w:rsid w:val="00EC5B16"/>
    <w:rsid w:val="00ED0475"/>
    <w:rsid w:val="00ED25D9"/>
    <w:rsid w:val="00EE5E13"/>
    <w:rsid w:val="00F052D1"/>
    <w:rsid w:val="00F068C5"/>
    <w:rsid w:val="00F13130"/>
    <w:rsid w:val="00F26F54"/>
    <w:rsid w:val="00F460A9"/>
    <w:rsid w:val="00F50C68"/>
    <w:rsid w:val="00F62310"/>
    <w:rsid w:val="00F72BE8"/>
    <w:rsid w:val="00F81392"/>
    <w:rsid w:val="00F859F2"/>
    <w:rsid w:val="00F91303"/>
    <w:rsid w:val="00F9182B"/>
    <w:rsid w:val="00FE4E03"/>
    <w:rsid w:val="00FE4F97"/>
  </w:rsids>
  <m:mathPr>
    <m:mathFont m:val="Cambria Math"/>
    <m:brkBin m:val="before"/>
    <m:brkBinSub m:val="--"/>
    <m:smallFrac m:val="0"/>
    <m:dispDef/>
    <m:lMargin m:val="0"/>
    <m:rMargin m:val="0"/>
    <m:defJc m:val="centerGroup"/>
    <m:wrapIndent m:val="1440"/>
    <m:intLim m:val="subSup"/>
    <m:naryLim m:val="undOvr"/>
  </m:mathPr>
  <w:themeFontLang w:val="es-VE"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4909C"/>
  <w15:docId w15:val="{7898255D-4980-7742-8A42-A747C0330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es-V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39B"/>
    <w:pPr>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ngleTxtGChar">
    <w:name w:val="_ Single Txt_G Char"/>
    <w:link w:val="SingleTxtG"/>
    <w:qFormat/>
    <w:rsid w:val="00403C3F"/>
    <w:rPr>
      <w:rFonts w:ascii="Times New Roman" w:eastAsiaTheme="minorEastAsia" w:hAnsi="Times New Roman" w:cs="Times New Roman"/>
      <w:sz w:val="20"/>
      <w:szCs w:val="20"/>
      <w:lang w:val="es-ES" w:eastAsia="es-ES"/>
    </w:rPr>
  </w:style>
  <w:style w:type="character" w:customStyle="1" w:styleId="Ttulo1Car2">
    <w:name w:val="Título 1 Car2"/>
    <w:basedOn w:val="DefaultParagraphFont"/>
    <w:qFormat/>
    <w:rsid w:val="00567C00"/>
    <w:rPr>
      <w:rFonts w:ascii="Cambria" w:hAnsi="Cambria" w:cs="Times New Roman"/>
      <w:b/>
      <w:bCs/>
      <w:kern w:val="2"/>
      <w:sz w:val="32"/>
      <w:szCs w:val="32"/>
      <w:lang w:val="es-VE" w:eastAsia="es-VE"/>
    </w:rPr>
  </w:style>
  <w:style w:type="character" w:customStyle="1" w:styleId="Ttulo1Car">
    <w:name w:val="Título 1 Car"/>
    <w:basedOn w:val="DefaultParagraphFont"/>
    <w:link w:val="Ttulo11"/>
    <w:qFormat/>
    <w:rsid w:val="00403C3F"/>
    <w:rPr>
      <w:rFonts w:ascii="Cambria" w:eastAsia="Times New Roman" w:hAnsi="Cambria" w:cs="Times New Roman"/>
      <w:b/>
      <w:bCs/>
      <w:kern w:val="2"/>
      <w:sz w:val="32"/>
      <w:szCs w:val="32"/>
    </w:rPr>
  </w:style>
  <w:style w:type="character" w:customStyle="1" w:styleId="EncabezadoCar">
    <w:name w:val="Encabezado Car"/>
    <w:basedOn w:val="DefaultParagraphFont"/>
    <w:uiPriority w:val="99"/>
    <w:qFormat/>
    <w:rsid w:val="004C2834"/>
  </w:style>
  <w:style w:type="character" w:customStyle="1" w:styleId="PiedepginaCar">
    <w:name w:val="Pie de página Car"/>
    <w:basedOn w:val="DefaultParagraphFont"/>
    <w:uiPriority w:val="99"/>
    <w:qFormat/>
    <w:rsid w:val="004C2834"/>
  </w:style>
  <w:style w:type="character" w:customStyle="1" w:styleId="TextonotapieCar">
    <w:name w:val="Texto nota pie Car"/>
    <w:basedOn w:val="DefaultParagraphFont"/>
    <w:qFormat/>
    <w:rsid w:val="001A6964"/>
    <w:rPr>
      <w:rFonts w:ascii="Times New Roman" w:hAnsi="Times New Roman"/>
      <w:sz w:val="20"/>
      <w:szCs w:val="20"/>
    </w:rPr>
  </w:style>
  <w:style w:type="character" w:customStyle="1" w:styleId="Ancladenotaalpie">
    <w:name w:val="Ancla de nota al pie"/>
    <w:rsid w:val="00567C00"/>
    <w:rPr>
      <w:vertAlign w:val="superscript"/>
    </w:rPr>
  </w:style>
  <w:style w:type="character" w:customStyle="1" w:styleId="FootnoteCharacters">
    <w:name w:val="Footnote Characters"/>
    <w:basedOn w:val="DefaultParagraphFont"/>
    <w:semiHidden/>
    <w:unhideWhenUsed/>
    <w:qFormat/>
    <w:rsid w:val="00CD52C8"/>
    <w:rPr>
      <w:vertAlign w:val="superscript"/>
    </w:rPr>
  </w:style>
  <w:style w:type="character" w:customStyle="1" w:styleId="H23GChar">
    <w:name w:val="_ H_2/3_G Char"/>
    <w:link w:val="H23G"/>
    <w:qFormat/>
    <w:locked/>
    <w:rsid w:val="00403C3F"/>
    <w:rPr>
      <w:rFonts w:ascii="Times New Roman" w:eastAsiaTheme="minorEastAsia" w:hAnsi="Times New Roman" w:cs="Times New Roman"/>
      <w:b/>
      <w:sz w:val="20"/>
      <w:szCs w:val="20"/>
      <w:lang w:val="es-ES" w:eastAsia="es-ES"/>
    </w:rPr>
  </w:style>
  <w:style w:type="character" w:customStyle="1" w:styleId="ListParagraphChar">
    <w:name w:val="List Paragraph Char"/>
    <w:link w:val="ListParagraph"/>
    <w:uiPriority w:val="34"/>
    <w:qFormat/>
    <w:locked/>
    <w:rsid w:val="00815DFF"/>
    <w:rPr>
      <w:rFonts w:ascii="Times New Roman" w:hAnsi="Times New Roman"/>
      <w:sz w:val="24"/>
    </w:rPr>
  </w:style>
  <w:style w:type="character" w:customStyle="1" w:styleId="ListLabel1">
    <w:name w:val="ListLabel 1"/>
    <w:qFormat/>
    <w:rsid w:val="00567C00"/>
    <w:rPr>
      <w:rFonts w:ascii="Times New Roman" w:hAnsi="Times New Roman"/>
      <w:b/>
      <w:sz w:val="20"/>
    </w:rPr>
  </w:style>
  <w:style w:type="character" w:customStyle="1" w:styleId="ListLabel2">
    <w:name w:val="ListLabel 2"/>
    <w:qFormat/>
    <w:rsid w:val="00567C00"/>
    <w:rPr>
      <w:rFonts w:ascii="Times New Roman" w:hAnsi="Times New Roman"/>
      <w:b/>
      <w:sz w:val="24"/>
      <w:szCs w:val="20"/>
    </w:rPr>
  </w:style>
  <w:style w:type="character" w:customStyle="1" w:styleId="ListLabel3">
    <w:name w:val="ListLabel 3"/>
    <w:qFormat/>
    <w:rsid w:val="00567C00"/>
    <w:rPr>
      <w:rFonts w:ascii="Times New Roman" w:eastAsia="Times New Roman" w:hAnsi="Times New Roman" w:cs="Times New Roman"/>
      <w:b/>
      <w:i w:val="0"/>
      <w:sz w:val="20"/>
      <w:szCs w:val="20"/>
    </w:rPr>
  </w:style>
  <w:style w:type="character" w:customStyle="1" w:styleId="ListLabel4">
    <w:name w:val="ListLabel 4"/>
    <w:qFormat/>
    <w:rsid w:val="00567C00"/>
    <w:rPr>
      <w:rFonts w:eastAsia="Times New Roman" w:cs="Times New Roman"/>
    </w:rPr>
  </w:style>
  <w:style w:type="character" w:customStyle="1" w:styleId="ListLabel5">
    <w:name w:val="ListLabel 5"/>
    <w:qFormat/>
    <w:rsid w:val="00567C00"/>
    <w:rPr>
      <w:rFonts w:eastAsia="Times New Roman" w:cs="Times New Roman"/>
    </w:rPr>
  </w:style>
  <w:style w:type="character" w:customStyle="1" w:styleId="ListLabel6">
    <w:name w:val="ListLabel 6"/>
    <w:qFormat/>
    <w:rsid w:val="00567C00"/>
    <w:rPr>
      <w:b/>
    </w:rPr>
  </w:style>
  <w:style w:type="character" w:customStyle="1" w:styleId="ListLabel7">
    <w:name w:val="ListLabel 7"/>
    <w:qFormat/>
    <w:rsid w:val="00567C00"/>
    <w:rPr>
      <w:rFonts w:ascii="Times New Roman" w:hAnsi="Times New Roman"/>
      <w:b w:val="0"/>
      <w:i w:val="0"/>
      <w:sz w:val="20"/>
      <w:szCs w:val="20"/>
    </w:rPr>
  </w:style>
  <w:style w:type="character" w:customStyle="1" w:styleId="ListLabel8">
    <w:name w:val="ListLabel 8"/>
    <w:qFormat/>
    <w:rsid w:val="00567C00"/>
    <w:rPr>
      <w:rFonts w:eastAsia="Times New Roman" w:cs="Times New Roman"/>
    </w:rPr>
  </w:style>
  <w:style w:type="character" w:customStyle="1" w:styleId="ListLabel9">
    <w:name w:val="ListLabel 9"/>
    <w:qFormat/>
    <w:rsid w:val="00567C00"/>
    <w:rPr>
      <w:rFonts w:eastAsia="Times New Roman" w:cs="Times New Roman"/>
    </w:rPr>
  </w:style>
  <w:style w:type="character" w:customStyle="1" w:styleId="ListLabel10">
    <w:name w:val="ListLabel 10"/>
    <w:qFormat/>
    <w:rsid w:val="00567C00"/>
    <w:rPr>
      <w:rFonts w:ascii="Times New Roman" w:hAnsi="Times New Roman"/>
      <w:sz w:val="20"/>
      <w:lang w:val="es-VE"/>
    </w:rPr>
  </w:style>
  <w:style w:type="character" w:customStyle="1" w:styleId="ListLabel11">
    <w:name w:val="ListLabel 11"/>
    <w:qFormat/>
    <w:rsid w:val="00567C00"/>
    <w:rPr>
      <w:rFonts w:ascii="Times New Roman" w:hAnsi="Times New Roman"/>
      <w:b w:val="0"/>
      <w:i w:val="0"/>
      <w:sz w:val="20"/>
      <w:szCs w:val="20"/>
    </w:rPr>
  </w:style>
  <w:style w:type="character" w:customStyle="1" w:styleId="ListLabel12">
    <w:name w:val="ListLabel 12"/>
    <w:qFormat/>
    <w:rsid w:val="00567C00"/>
    <w:rPr>
      <w:rFonts w:eastAsia="Times New Roman" w:cs="Times New Roman"/>
    </w:rPr>
  </w:style>
  <w:style w:type="character" w:customStyle="1" w:styleId="ListLabel13">
    <w:name w:val="ListLabel 13"/>
    <w:qFormat/>
    <w:rsid w:val="00567C00"/>
    <w:rPr>
      <w:rFonts w:eastAsia="Times New Roman" w:cs="Times New Roman"/>
    </w:rPr>
  </w:style>
  <w:style w:type="character" w:customStyle="1" w:styleId="ListLabel14">
    <w:name w:val="ListLabel 14"/>
    <w:qFormat/>
    <w:rsid w:val="00567C00"/>
    <w:rPr>
      <w:rFonts w:cs="Courier New"/>
    </w:rPr>
  </w:style>
  <w:style w:type="character" w:customStyle="1" w:styleId="ListLabel15">
    <w:name w:val="ListLabel 15"/>
    <w:qFormat/>
    <w:rsid w:val="00567C00"/>
    <w:rPr>
      <w:rFonts w:cs="Wingdings"/>
    </w:rPr>
  </w:style>
  <w:style w:type="character" w:customStyle="1" w:styleId="ListLabel16">
    <w:name w:val="ListLabel 16"/>
    <w:qFormat/>
    <w:rsid w:val="00567C00"/>
    <w:rPr>
      <w:rFonts w:cs="Symbol"/>
    </w:rPr>
  </w:style>
  <w:style w:type="character" w:customStyle="1" w:styleId="ListLabel17">
    <w:name w:val="ListLabel 17"/>
    <w:qFormat/>
    <w:rsid w:val="00567C00"/>
    <w:rPr>
      <w:rFonts w:cs="Courier New"/>
    </w:rPr>
  </w:style>
  <w:style w:type="character" w:customStyle="1" w:styleId="ListLabel18">
    <w:name w:val="ListLabel 18"/>
    <w:qFormat/>
    <w:rsid w:val="00567C00"/>
    <w:rPr>
      <w:rFonts w:cs="Wingdings"/>
    </w:rPr>
  </w:style>
  <w:style w:type="character" w:customStyle="1" w:styleId="ListLabel19">
    <w:name w:val="ListLabel 19"/>
    <w:qFormat/>
    <w:rsid w:val="00567C00"/>
    <w:rPr>
      <w:rFonts w:cs="Symbol"/>
    </w:rPr>
  </w:style>
  <w:style w:type="character" w:customStyle="1" w:styleId="ListLabel20">
    <w:name w:val="ListLabel 20"/>
    <w:qFormat/>
    <w:rsid w:val="00567C00"/>
    <w:rPr>
      <w:rFonts w:cs="Courier New"/>
    </w:rPr>
  </w:style>
  <w:style w:type="character" w:customStyle="1" w:styleId="ListLabel21">
    <w:name w:val="ListLabel 21"/>
    <w:qFormat/>
    <w:rsid w:val="00567C00"/>
    <w:rPr>
      <w:rFonts w:cs="Wingdings"/>
    </w:rPr>
  </w:style>
  <w:style w:type="character" w:customStyle="1" w:styleId="ListLabel22">
    <w:name w:val="ListLabel 22"/>
    <w:qFormat/>
    <w:rsid w:val="00567C00"/>
    <w:rPr>
      <w:b/>
    </w:rPr>
  </w:style>
  <w:style w:type="character" w:customStyle="1" w:styleId="Caracteresdenotaalpie">
    <w:name w:val="Caracteres de nota al pie"/>
    <w:qFormat/>
    <w:rsid w:val="00567C00"/>
  </w:style>
  <w:style w:type="character" w:customStyle="1" w:styleId="Ancladenotafinal">
    <w:name w:val="Ancla de nota final"/>
    <w:rsid w:val="00567C00"/>
    <w:rPr>
      <w:vertAlign w:val="superscript"/>
    </w:rPr>
  </w:style>
  <w:style w:type="character" w:customStyle="1" w:styleId="Caracteresdenotafinal">
    <w:name w:val="Caracteres de nota final"/>
    <w:qFormat/>
    <w:rsid w:val="00567C00"/>
  </w:style>
  <w:style w:type="character" w:customStyle="1" w:styleId="ListLabel23">
    <w:name w:val="ListLabel 23"/>
    <w:qFormat/>
    <w:rsid w:val="00567C00"/>
    <w:rPr>
      <w:rFonts w:ascii="Times New Roman" w:hAnsi="Times New Roman"/>
      <w:b/>
      <w:sz w:val="20"/>
    </w:rPr>
  </w:style>
  <w:style w:type="character" w:customStyle="1" w:styleId="ListLabel24">
    <w:name w:val="ListLabel 24"/>
    <w:qFormat/>
    <w:rsid w:val="00567C00"/>
    <w:rPr>
      <w:rFonts w:ascii="Times New Roman" w:hAnsi="Times New Roman"/>
      <w:b/>
      <w:sz w:val="24"/>
      <w:szCs w:val="20"/>
    </w:rPr>
  </w:style>
  <w:style w:type="character" w:customStyle="1" w:styleId="ListLabel25">
    <w:name w:val="ListLabel 25"/>
    <w:qFormat/>
    <w:rsid w:val="00567C00"/>
    <w:rPr>
      <w:rFonts w:ascii="Times New Roman" w:eastAsia="Times New Roman" w:hAnsi="Times New Roman" w:cs="Times New Roman"/>
      <w:b/>
      <w:i w:val="0"/>
      <w:sz w:val="20"/>
      <w:szCs w:val="20"/>
    </w:rPr>
  </w:style>
  <w:style w:type="character" w:customStyle="1" w:styleId="ListLabel26">
    <w:name w:val="ListLabel 26"/>
    <w:qFormat/>
    <w:rsid w:val="00567C00"/>
    <w:rPr>
      <w:rFonts w:cs="Times New Roman"/>
    </w:rPr>
  </w:style>
  <w:style w:type="character" w:customStyle="1" w:styleId="ListLabel27">
    <w:name w:val="ListLabel 27"/>
    <w:qFormat/>
    <w:rsid w:val="00567C00"/>
    <w:rPr>
      <w:rFonts w:cs="Times New Roman"/>
    </w:rPr>
  </w:style>
  <w:style w:type="character" w:customStyle="1" w:styleId="ListLabel28">
    <w:name w:val="ListLabel 28"/>
    <w:qFormat/>
    <w:rsid w:val="00567C00"/>
    <w:rPr>
      <w:rFonts w:ascii="Times New Roman" w:hAnsi="Times New Roman"/>
      <w:b w:val="0"/>
      <w:i w:val="0"/>
      <w:sz w:val="20"/>
      <w:szCs w:val="20"/>
    </w:rPr>
  </w:style>
  <w:style w:type="character" w:customStyle="1" w:styleId="ListLabel29">
    <w:name w:val="ListLabel 29"/>
    <w:qFormat/>
    <w:rsid w:val="00567C00"/>
    <w:rPr>
      <w:rFonts w:cs="Times New Roman"/>
    </w:rPr>
  </w:style>
  <w:style w:type="character" w:customStyle="1" w:styleId="ListLabel30">
    <w:name w:val="ListLabel 30"/>
    <w:qFormat/>
    <w:rsid w:val="00567C00"/>
    <w:rPr>
      <w:rFonts w:cs="Times New Roman"/>
    </w:rPr>
  </w:style>
  <w:style w:type="character" w:customStyle="1" w:styleId="ListLabel31">
    <w:name w:val="ListLabel 31"/>
    <w:qFormat/>
    <w:rsid w:val="00567C00"/>
    <w:rPr>
      <w:rFonts w:ascii="Times New Roman" w:hAnsi="Times New Roman"/>
      <w:sz w:val="20"/>
      <w:lang w:val="es-VE"/>
    </w:rPr>
  </w:style>
  <w:style w:type="character" w:customStyle="1" w:styleId="ListLabel32">
    <w:name w:val="ListLabel 32"/>
    <w:qFormat/>
    <w:rsid w:val="00567C00"/>
    <w:rPr>
      <w:rFonts w:ascii="Times New Roman" w:hAnsi="Times New Roman"/>
      <w:b w:val="0"/>
      <w:i w:val="0"/>
      <w:sz w:val="20"/>
      <w:szCs w:val="20"/>
    </w:rPr>
  </w:style>
  <w:style w:type="character" w:customStyle="1" w:styleId="ListLabel33">
    <w:name w:val="ListLabel 33"/>
    <w:qFormat/>
    <w:rsid w:val="00567C00"/>
    <w:rPr>
      <w:rFonts w:cs="Times New Roman"/>
    </w:rPr>
  </w:style>
  <w:style w:type="character" w:customStyle="1" w:styleId="ListLabel34">
    <w:name w:val="ListLabel 34"/>
    <w:qFormat/>
    <w:rsid w:val="00567C00"/>
    <w:rPr>
      <w:rFonts w:cs="Times New Roman"/>
    </w:rPr>
  </w:style>
  <w:style w:type="character" w:customStyle="1" w:styleId="ListLabel35">
    <w:name w:val="ListLabel 35"/>
    <w:qFormat/>
    <w:rsid w:val="00567C00"/>
    <w:rPr>
      <w:rFonts w:cs="Wingdings"/>
      <w:b/>
      <w:sz w:val="20"/>
    </w:rPr>
  </w:style>
  <w:style w:type="character" w:customStyle="1" w:styleId="ListLabel36">
    <w:name w:val="ListLabel 36"/>
    <w:qFormat/>
    <w:rsid w:val="00567C00"/>
    <w:rPr>
      <w:rFonts w:cs="Courier New"/>
    </w:rPr>
  </w:style>
  <w:style w:type="character" w:customStyle="1" w:styleId="ListLabel37">
    <w:name w:val="ListLabel 37"/>
    <w:qFormat/>
    <w:rsid w:val="00567C00"/>
    <w:rPr>
      <w:rFonts w:cs="Wingdings"/>
    </w:rPr>
  </w:style>
  <w:style w:type="character" w:customStyle="1" w:styleId="ListLabel38">
    <w:name w:val="ListLabel 38"/>
    <w:qFormat/>
    <w:rsid w:val="00567C00"/>
    <w:rPr>
      <w:rFonts w:cs="Symbol"/>
    </w:rPr>
  </w:style>
  <w:style w:type="character" w:customStyle="1" w:styleId="ListLabel39">
    <w:name w:val="ListLabel 39"/>
    <w:qFormat/>
    <w:rsid w:val="00567C00"/>
    <w:rPr>
      <w:rFonts w:cs="Courier New"/>
    </w:rPr>
  </w:style>
  <w:style w:type="character" w:customStyle="1" w:styleId="ListLabel40">
    <w:name w:val="ListLabel 40"/>
    <w:qFormat/>
    <w:rsid w:val="00567C00"/>
    <w:rPr>
      <w:rFonts w:cs="Wingdings"/>
    </w:rPr>
  </w:style>
  <w:style w:type="character" w:customStyle="1" w:styleId="ListLabel41">
    <w:name w:val="ListLabel 41"/>
    <w:qFormat/>
    <w:rsid w:val="00567C00"/>
    <w:rPr>
      <w:rFonts w:cs="Symbol"/>
    </w:rPr>
  </w:style>
  <w:style w:type="character" w:customStyle="1" w:styleId="ListLabel42">
    <w:name w:val="ListLabel 42"/>
    <w:qFormat/>
    <w:rsid w:val="00567C00"/>
    <w:rPr>
      <w:rFonts w:cs="Courier New"/>
    </w:rPr>
  </w:style>
  <w:style w:type="character" w:customStyle="1" w:styleId="ListLabel43">
    <w:name w:val="ListLabel 43"/>
    <w:qFormat/>
    <w:rsid w:val="00567C00"/>
    <w:rPr>
      <w:rFonts w:cs="Wingdings"/>
    </w:rPr>
  </w:style>
  <w:style w:type="character" w:customStyle="1" w:styleId="ListLabel302">
    <w:name w:val="ListLabel 302"/>
    <w:qFormat/>
    <w:rsid w:val="00567C00"/>
    <w:rPr>
      <w:rFonts w:ascii="Arial" w:hAnsi="Arial" w:cs="Courier New"/>
      <w:sz w:val="24"/>
    </w:rPr>
  </w:style>
  <w:style w:type="character" w:customStyle="1" w:styleId="ListLabel303">
    <w:name w:val="ListLabel 303"/>
    <w:qFormat/>
    <w:rsid w:val="00567C00"/>
    <w:rPr>
      <w:rFonts w:cs="Courier New"/>
    </w:rPr>
  </w:style>
  <w:style w:type="character" w:customStyle="1" w:styleId="ListLabel304">
    <w:name w:val="ListLabel 304"/>
    <w:qFormat/>
    <w:rsid w:val="00567C00"/>
    <w:rPr>
      <w:rFonts w:cs="Wingdings"/>
    </w:rPr>
  </w:style>
  <w:style w:type="character" w:customStyle="1" w:styleId="ListLabel305">
    <w:name w:val="ListLabel 305"/>
    <w:qFormat/>
    <w:rsid w:val="00567C00"/>
    <w:rPr>
      <w:rFonts w:cs="Symbol"/>
    </w:rPr>
  </w:style>
  <w:style w:type="character" w:customStyle="1" w:styleId="ListLabel306">
    <w:name w:val="ListLabel 306"/>
    <w:qFormat/>
    <w:rsid w:val="00567C00"/>
    <w:rPr>
      <w:rFonts w:cs="Courier New"/>
    </w:rPr>
  </w:style>
  <w:style w:type="character" w:customStyle="1" w:styleId="ListLabel307">
    <w:name w:val="ListLabel 307"/>
    <w:qFormat/>
    <w:rsid w:val="00567C00"/>
    <w:rPr>
      <w:rFonts w:cs="Wingdings"/>
    </w:rPr>
  </w:style>
  <w:style w:type="character" w:customStyle="1" w:styleId="ListLabel308">
    <w:name w:val="ListLabel 308"/>
    <w:qFormat/>
    <w:rsid w:val="00567C00"/>
    <w:rPr>
      <w:rFonts w:cs="Symbol"/>
    </w:rPr>
  </w:style>
  <w:style w:type="character" w:customStyle="1" w:styleId="ListLabel309">
    <w:name w:val="ListLabel 309"/>
    <w:qFormat/>
    <w:rsid w:val="00567C00"/>
    <w:rPr>
      <w:rFonts w:cs="Courier New"/>
    </w:rPr>
  </w:style>
  <w:style w:type="character" w:customStyle="1" w:styleId="ListLabel310">
    <w:name w:val="ListLabel 310"/>
    <w:qFormat/>
    <w:rsid w:val="00567C00"/>
    <w:rPr>
      <w:rFonts w:cs="Wingdings"/>
    </w:rPr>
  </w:style>
  <w:style w:type="character" w:customStyle="1" w:styleId="ListLabel311">
    <w:name w:val="ListLabel 311"/>
    <w:qFormat/>
    <w:rsid w:val="00567C00"/>
    <w:rPr>
      <w:rFonts w:ascii="Arial" w:hAnsi="Arial" w:cs="Courier New"/>
      <w:sz w:val="24"/>
    </w:rPr>
  </w:style>
  <w:style w:type="character" w:customStyle="1" w:styleId="ListLabel312">
    <w:name w:val="ListLabel 312"/>
    <w:qFormat/>
    <w:rsid w:val="00567C00"/>
    <w:rPr>
      <w:rFonts w:cs="Courier New"/>
    </w:rPr>
  </w:style>
  <w:style w:type="character" w:customStyle="1" w:styleId="ListLabel313">
    <w:name w:val="ListLabel 313"/>
    <w:qFormat/>
    <w:rsid w:val="00567C00"/>
    <w:rPr>
      <w:rFonts w:cs="Wingdings"/>
    </w:rPr>
  </w:style>
  <w:style w:type="character" w:customStyle="1" w:styleId="ListLabel314">
    <w:name w:val="ListLabel 314"/>
    <w:qFormat/>
    <w:rsid w:val="00567C00"/>
    <w:rPr>
      <w:rFonts w:cs="Symbol"/>
    </w:rPr>
  </w:style>
  <w:style w:type="character" w:customStyle="1" w:styleId="ListLabel315">
    <w:name w:val="ListLabel 315"/>
    <w:qFormat/>
    <w:rsid w:val="00567C00"/>
    <w:rPr>
      <w:rFonts w:cs="Courier New"/>
    </w:rPr>
  </w:style>
  <w:style w:type="character" w:customStyle="1" w:styleId="ListLabel316">
    <w:name w:val="ListLabel 316"/>
    <w:qFormat/>
    <w:rsid w:val="00567C00"/>
    <w:rPr>
      <w:rFonts w:cs="Wingdings"/>
    </w:rPr>
  </w:style>
  <w:style w:type="character" w:customStyle="1" w:styleId="ListLabel317">
    <w:name w:val="ListLabel 317"/>
    <w:qFormat/>
    <w:rsid w:val="00567C00"/>
    <w:rPr>
      <w:rFonts w:cs="Symbol"/>
    </w:rPr>
  </w:style>
  <w:style w:type="character" w:customStyle="1" w:styleId="ListLabel318">
    <w:name w:val="ListLabel 318"/>
    <w:qFormat/>
    <w:rsid w:val="00567C00"/>
    <w:rPr>
      <w:rFonts w:cs="Courier New"/>
    </w:rPr>
  </w:style>
  <w:style w:type="character" w:customStyle="1" w:styleId="ListLabel319">
    <w:name w:val="ListLabel 319"/>
    <w:qFormat/>
    <w:rsid w:val="00567C00"/>
    <w:rPr>
      <w:rFonts w:cs="Wingdings"/>
    </w:rPr>
  </w:style>
  <w:style w:type="character" w:styleId="Strong">
    <w:name w:val="Strong"/>
    <w:basedOn w:val="DefaultParagraphFont"/>
    <w:uiPriority w:val="22"/>
    <w:qFormat/>
    <w:rsid w:val="00913D62"/>
    <w:rPr>
      <w:b/>
      <w:bCs/>
      <w:color w:val="auto"/>
    </w:rPr>
  </w:style>
  <w:style w:type="character" w:customStyle="1" w:styleId="FootnoteTextChar">
    <w:name w:val="Footnote Text Char"/>
    <w:basedOn w:val="DefaultParagraphFont"/>
    <w:link w:val="FootnoteText"/>
    <w:semiHidden/>
    <w:qFormat/>
    <w:rsid w:val="00913D62"/>
    <w:rPr>
      <w:szCs w:val="20"/>
    </w:rPr>
  </w:style>
  <w:style w:type="character" w:customStyle="1" w:styleId="y2iqfc">
    <w:name w:val="y2iqfc"/>
    <w:basedOn w:val="DefaultParagraphFont"/>
    <w:qFormat/>
    <w:rsid w:val="00D73C32"/>
  </w:style>
  <w:style w:type="character" w:customStyle="1" w:styleId="HTMLPreformattedChar">
    <w:name w:val="HTML Preformatted Char"/>
    <w:basedOn w:val="DefaultParagraphFont"/>
    <w:link w:val="HTMLPreformatted"/>
    <w:uiPriority w:val="99"/>
    <w:qFormat/>
    <w:rsid w:val="00D73C32"/>
    <w:rPr>
      <w:rFonts w:ascii="Courier New" w:eastAsia="Times New Roman" w:hAnsi="Courier New" w:cs="Courier New"/>
      <w:szCs w:val="20"/>
      <w:lang w:eastAsia="es-VE"/>
    </w:rPr>
  </w:style>
  <w:style w:type="character" w:customStyle="1" w:styleId="HTMLconformatoprevioCar1">
    <w:name w:val="HTML con formato previo Car1"/>
    <w:basedOn w:val="DefaultParagraphFont"/>
    <w:uiPriority w:val="99"/>
    <w:semiHidden/>
    <w:qFormat/>
    <w:rsid w:val="00D73C32"/>
    <w:rPr>
      <w:rFonts w:ascii="Consolas" w:hAnsi="Consolas" w:cs="Consolas"/>
      <w:szCs w:val="20"/>
    </w:rPr>
  </w:style>
  <w:style w:type="character" w:customStyle="1" w:styleId="Destacado">
    <w:name w:val="Destacado"/>
    <w:basedOn w:val="DefaultParagraphFont"/>
    <w:uiPriority w:val="20"/>
    <w:qFormat/>
    <w:rsid w:val="007E64A7"/>
    <w:rPr>
      <w:i/>
      <w:iCs/>
    </w:rPr>
  </w:style>
  <w:style w:type="character" w:customStyle="1" w:styleId="EnlacedeInternet">
    <w:name w:val="Enlace de Internet"/>
    <w:basedOn w:val="DefaultParagraphFont"/>
    <w:uiPriority w:val="99"/>
    <w:unhideWhenUsed/>
    <w:rsid w:val="003C1C35"/>
    <w:rPr>
      <w:color w:val="0563C1" w:themeColor="hyperlink"/>
      <w:u w:val="single"/>
    </w:rPr>
  </w:style>
  <w:style w:type="character" w:customStyle="1" w:styleId="HeaderChar">
    <w:name w:val="Header Char"/>
    <w:basedOn w:val="DefaultParagraphFont"/>
    <w:link w:val="Header"/>
    <w:uiPriority w:val="99"/>
    <w:semiHidden/>
    <w:qFormat/>
    <w:rsid w:val="0044160D"/>
    <w:rPr>
      <w:sz w:val="22"/>
    </w:rPr>
  </w:style>
  <w:style w:type="character" w:customStyle="1" w:styleId="FooterChar">
    <w:name w:val="Footer Char"/>
    <w:basedOn w:val="DefaultParagraphFont"/>
    <w:link w:val="Footer"/>
    <w:uiPriority w:val="99"/>
    <w:semiHidden/>
    <w:qFormat/>
    <w:rsid w:val="0044160D"/>
    <w:rPr>
      <w:sz w:val="22"/>
    </w:rPr>
  </w:style>
  <w:style w:type="character" w:customStyle="1" w:styleId="CommentTextChar">
    <w:name w:val="Comment Text Char"/>
    <w:basedOn w:val="DefaultParagraphFont"/>
    <w:link w:val="CommentText"/>
    <w:uiPriority w:val="99"/>
    <w:semiHidden/>
    <w:qFormat/>
    <w:rsid w:val="0044160D"/>
    <w:rPr>
      <w:rFonts w:ascii="Liberation Serif" w:eastAsia="WenQuanYi Micro Hei" w:hAnsi="Liberation Serif" w:cs="Mangal"/>
      <w:kern w:val="2"/>
      <w:szCs w:val="18"/>
      <w:lang w:eastAsia="zh-CN" w:bidi="hi-IN"/>
    </w:rPr>
  </w:style>
  <w:style w:type="character" w:customStyle="1" w:styleId="CommentSubjectChar">
    <w:name w:val="Comment Subject Char"/>
    <w:basedOn w:val="CommentTextChar"/>
    <w:link w:val="CommentSubject"/>
    <w:uiPriority w:val="99"/>
    <w:semiHidden/>
    <w:qFormat/>
    <w:rsid w:val="0044160D"/>
    <w:rPr>
      <w:rFonts w:ascii="Liberation Serif" w:eastAsia="WenQuanYi Micro Hei" w:hAnsi="Liberation Serif" w:cs="Mangal"/>
      <w:b/>
      <w:bCs/>
      <w:kern w:val="2"/>
      <w:szCs w:val="18"/>
      <w:lang w:eastAsia="zh-CN" w:bidi="hi-IN"/>
    </w:rPr>
  </w:style>
  <w:style w:type="character" w:customStyle="1" w:styleId="EndnoteTextChar">
    <w:name w:val="Endnote Text Char"/>
    <w:basedOn w:val="DefaultParagraphFont"/>
    <w:link w:val="EndnoteText"/>
    <w:uiPriority w:val="99"/>
    <w:semiHidden/>
    <w:qFormat/>
    <w:rsid w:val="0044160D"/>
    <w:rPr>
      <w:rFonts w:ascii="Liberation Serif" w:eastAsia="WenQuanYi Micro Hei" w:hAnsi="Liberation Serif" w:cs="Mangal"/>
      <w:kern w:val="2"/>
      <w:szCs w:val="18"/>
      <w:lang w:eastAsia="zh-CN" w:bidi="hi-IN"/>
    </w:rPr>
  </w:style>
  <w:style w:type="character" w:customStyle="1" w:styleId="Ttulo1Car1">
    <w:name w:val="Título 1 Car1"/>
    <w:basedOn w:val="DefaultParagraphFont"/>
    <w:qFormat/>
    <w:rsid w:val="00F61CE7"/>
    <w:rPr>
      <w:rFonts w:asciiTheme="majorHAnsi" w:eastAsiaTheme="majorEastAsia" w:hAnsiTheme="majorHAnsi" w:cstheme="majorBidi"/>
      <w:b/>
      <w:bCs/>
      <w:color w:val="2E74B5" w:themeColor="accent1" w:themeShade="BF"/>
      <w:sz w:val="28"/>
      <w:szCs w:val="28"/>
    </w:rPr>
  </w:style>
  <w:style w:type="character" w:customStyle="1" w:styleId="ListLabel320">
    <w:name w:val="ListLabel 320"/>
    <w:qFormat/>
    <w:rPr>
      <w:rFonts w:ascii="Times New Roman" w:eastAsia="Times New Roman" w:hAnsi="Times New Roman" w:cs="Times New Roman"/>
      <w:b/>
      <w:i w:val="0"/>
      <w:sz w:val="20"/>
      <w:szCs w:val="20"/>
    </w:rPr>
  </w:style>
  <w:style w:type="character" w:customStyle="1" w:styleId="ListLabel321">
    <w:name w:val="ListLabel 321"/>
    <w:qFormat/>
    <w:rPr>
      <w:rFonts w:cs="Times New Roman"/>
    </w:rPr>
  </w:style>
  <w:style w:type="character" w:customStyle="1" w:styleId="ListLabel322">
    <w:name w:val="ListLabel 322"/>
    <w:qFormat/>
    <w:rPr>
      <w:rFonts w:cs="Times New Roman"/>
    </w:rPr>
  </w:style>
  <w:style w:type="character" w:customStyle="1" w:styleId="ListLabel323">
    <w:name w:val="ListLabel 323"/>
    <w:qFormat/>
    <w:rPr>
      <w:b w:val="0"/>
      <w:i w:val="0"/>
      <w:sz w:val="20"/>
      <w:szCs w:val="20"/>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sz w:val="20"/>
    </w:rPr>
  </w:style>
  <w:style w:type="character" w:customStyle="1" w:styleId="ListLabel327">
    <w:name w:val="ListLabel 327"/>
    <w:qFormat/>
    <w:rPr>
      <w:sz w:val="20"/>
    </w:rPr>
  </w:style>
  <w:style w:type="character" w:customStyle="1" w:styleId="ListLabel328">
    <w:name w:val="ListLabel 328"/>
    <w:qFormat/>
    <w:rPr>
      <w:b/>
    </w:rPr>
  </w:style>
  <w:style w:type="character" w:customStyle="1" w:styleId="ListLabel329">
    <w:name w:val="ListLabel 329"/>
    <w:qFormat/>
    <w:rPr>
      <w:b/>
    </w:rPr>
  </w:style>
  <w:style w:type="character" w:customStyle="1" w:styleId="ListLabel330">
    <w:name w:val="ListLabel 330"/>
    <w:qFormat/>
    <w:rPr>
      <w:b/>
    </w:rPr>
  </w:style>
  <w:style w:type="character" w:customStyle="1" w:styleId="ListLabel331">
    <w:name w:val="ListLabel 331"/>
    <w:qFormat/>
    <w:rPr>
      <w:rFonts w:cs="Courier New"/>
    </w:rPr>
  </w:style>
  <w:style w:type="character" w:customStyle="1" w:styleId="ListLabel332">
    <w:name w:val="ListLabel 332"/>
    <w:qFormat/>
    <w:rPr>
      <w:rFonts w:cs="Courier New"/>
    </w:rPr>
  </w:style>
  <w:style w:type="character" w:customStyle="1" w:styleId="ListLabel333">
    <w:name w:val="ListLabel 333"/>
    <w:qFormat/>
    <w:rPr>
      <w:rFonts w:cs="Courier New"/>
    </w:rPr>
  </w:style>
  <w:style w:type="character" w:customStyle="1" w:styleId="ListLabel334">
    <w:name w:val="ListLabel 334"/>
    <w:qFormat/>
    <w:rPr>
      <w:b w:val="0"/>
      <w:bCs w:val="0"/>
      <w:color w:val="auto"/>
    </w:rPr>
  </w:style>
  <w:style w:type="character" w:customStyle="1" w:styleId="ListLabel335">
    <w:name w:val="ListLabel 335"/>
    <w:qFormat/>
    <w:rPr>
      <w:rFonts w:eastAsia="WenQuanYi Micro Hei" w:cs="Arial"/>
    </w:rPr>
  </w:style>
  <w:style w:type="character" w:customStyle="1" w:styleId="ListLabel336">
    <w:name w:val="ListLabel 336"/>
    <w:qFormat/>
    <w:rPr>
      <w:b w:val="0"/>
      <w:bCs w:val="0"/>
      <w:color w:val="auto"/>
    </w:rPr>
  </w:style>
  <w:style w:type="character" w:customStyle="1" w:styleId="ListLabel337">
    <w:name w:val="ListLabel 337"/>
    <w:qFormat/>
    <w:rPr>
      <w:rFonts w:eastAsia="WenQuanYi Micro Hei" w:cs="Arial"/>
    </w:rPr>
  </w:style>
  <w:style w:type="character" w:customStyle="1" w:styleId="ListLabel338">
    <w:name w:val="ListLabel 338"/>
    <w:qFormat/>
    <w:rPr>
      <w:b w:val="0"/>
      <w:bCs w:val="0"/>
      <w:color w:val="auto"/>
    </w:rPr>
  </w:style>
  <w:style w:type="character" w:customStyle="1" w:styleId="ListLabel339">
    <w:name w:val="ListLabel 339"/>
    <w:qFormat/>
    <w:rPr>
      <w:rFonts w:eastAsia="WenQuanYi Micro Hei" w:cs="Arial"/>
    </w:rPr>
  </w:style>
  <w:style w:type="character" w:customStyle="1" w:styleId="ListLabel340">
    <w:name w:val="ListLabel 340"/>
    <w:qFormat/>
    <w:rPr>
      <w:b w:val="0"/>
      <w:bCs w:val="0"/>
      <w:color w:val="auto"/>
    </w:rPr>
  </w:style>
  <w:style w:type="character" w:customStyle="1" w:styleId="ListLabel341">
    <w:name w:val="ListLabel 341"/>
    <w:qFormat/>
    <w:rPr>
      <w:rFonts w:eastAsia="WenQuanYi Micro Hei" w:cs="Arial"/>
    </w:rPr>
  </w:style>
  <w:style w:type="character" w:customStyle="1" w:styleId="ListLabel342">
    <w:name w:val="ListLabel 342"/>
    <w:qFormat/>
    <w:rPr>
      <w:rFonts w:cs="Courier New"/>
    </w:rPr>
  </w:style>
  <w:style w:type="character" w:customStyle="1" w:styleId="ListLabel343">
    <w:name w:val="ListLabel 343"/>
    <w:qFormat/>
    <w:rPr>
      <w:rFonts w:cs="Courier New"/>
    </w:rPr>
  </w:style>
  <w:style w:type="character" w:customStyle="1" w:styleId="ListLabel344">
    <w:name w:val="ListLabel 344"/>
    <w:qFormat/>
    <w:rPr>
      <w:rFonts w:cs="Courier New"/>
    </w:rPr>
  </w:style>
  <w:style w:type="character" w:customStyle="1" w:styleId="ListLabel345">
    <w:name w:val="ListLabel 345"/>
    <w:qFormat/>
    <w:rPr>
      <w:b/>
    </w:rPr>
  </w:style>
  <w:style w:type="character" w:customStyle="1" w:styleId="ListLabel346">
    <w:name w:val="ListLabel 346"/>
    <w:qFormat/>
    <w:rPr>
      <w:b/>
    </w:rPr>
  </w:style>
  <w:style w:type="character" w:customStyle="1" w:styleId="ListLabel347">
    <w:name w:val="ListLabel 347"/>
    <w:qFormat/>
    <w:rPr>
      <w:b/>
      <w:bCs/>
    </w:rPr>
  </w:style>
  <w:style w:type="character" w:customStyle="1" w:styleId="ListLabel348">
    <w:name w:val="ListLabel 348"/>
    <w:qFormat/>
    <w:rPr>
      <w:rFonts w:cs="Courier New"/>
    </w:rPr>
  </w:style>
  <w:style w:type="character" w:customStyle="1" w:styleId="ListLabel349">
    <w:name w:val="ListLabel 349"/>
    <w:qFormat/>
    <w:rPr>
      <w:rFonts w:cs="Courier New"/>
    </w:rPr>
  </w:style>
  <w:style w:type="character" w:customStyle="1" w:styleId="ListLabel350">
    <w:name w:val="ListLabel 350"/>
    <w:qFormat/>
    <w:rPr>
      <w:rFonts w:cs="Courier New"/>
    </w:rPr>
  </w:style>
  <w:style w:type="character" w:customStyle="1" w:styleId="ListLabel351">
    <w:name w:val="ListLabel 351"/>
    <w:qFormat/>
    <w:rPr>
      <w:rFonts w:eastAsia="Times New Roman" w:cs="Times New Roman"/>
      <w:b w:val="0"/>
      <w:i w:val="0"/>
      <w:sz w:val="20"/>
      <w:szCs w:val="20"/>
    </w:rPr>
  </w:style>
  <w:style w:type="character" w:customStyle="1" w:styleId="ListLabel352">
    <w:name w:val="ListLabel 352"/>
    <w:qFormat/>
    <w:rPr>
      <w:rFonts w:eastAsia="Times New Roman" w:cs="Times New Roman"/>
    </w:rPr>
  </w:style>
  <w:style w:type="character" w:customStyle="1" w:styleId="ListLabel353">
    <w:name w:val="ListLabel 353"/>
    <w:qFormat/>
    <w:rPr>
      <w:rFonts w:eastAsia="Times New Roman" w:cs="Times New Roman"/>
    </w:rPr>
  </w:style>
  <w:style w:type="character" w:customStyle="1" w:styleId="ListLabel354">
    <w:name w:val="ListLabel 354"/>
    <w:qFormat/>
    <w:rPr>
      <w:b w:val="0"/>
      <w:i w:val="0"/>
      <w:sz w:val="20"/>
      <w:szCs w:val="20"/>
    </w:rPr>
  </w:style>
  <w:style w:type="character" w:customStyle="1" w:styleId="ListLabel355">
    <w:name w:val="ListLabel 355"/>
    <w:qFormat/>
    <w:rPr>
      <w:rFonts w:eastAsia="Times New Roman" w:cs="Times New Roman"/>
    </w:rPr>
  </w:style>
  <w:style w:type="character" w:customStyle="1" w:styleId="ListLabel356">
    <w:name w:val="ListLabel 356"/>
    <w:qFormat/>
    <w:rPr>
      <w:rFonts w:eastAsia="Times New Roman" w:cs="Times New Roman"/>
    </w:rPr>
  </w:style>
  <w:style w:type="character" w:customStyle="1" w:styleId="ListLabel357">
    <w:name w:val="ListLabel 357"/>
    <w:qFormat/>
    <w:rPr>
      <w:b w:val="0"/>
      <w:i w:val="0"/>
      <w:sz w:val="20"/>
      <w:szCs w:val="20"/>
    </w:rPr>
  </w:style>
  <w:style w:type="character" w:customStyle="1" w:styleId="ListLabel358">
    <w:name w:val="ListLabel 358"/>
    <w:qFormat/>
    <w:rPr>
      <w:rFonts w:eastAsia="Times New Roman" w:cs="Times New Roman"/>
    </w:rPr>
  </w:style>
  <w:style w:type="character" w:customStyle="1" w:styleId="ListLabel359">
    <w:name w:val="ListLabel 359"/>
    <w:qFormat/>
    <w:rPr>
      <w:rFonts w:eastAsia="Times New Roman" w:cs="Times New Roman"/>
    </w:rPr>
  </w:style>
  <w:style w:type="character" w:customStyle="1" w:styleId="ListLabel360">
    <w:name w:val="ListLabel 360"/>
    <w:qFormat/>
    <w:rPr>
      <w:b/>
      <w:i w:val="0"/>
      <w:sz w:val="20"/>
      <w:szCs w:val="20"/>
    </w:rPr>
  </w:style>
  <w:style w:type="character" w:customStyle="1" w:styleId="ListLabel361">
    <w:name w:val="ListLabel 361"/>
    <w:qFormat/>
    <w:rPr>
      <w:rFonts w:cs="Times New Roman"/>
    </w:rPr>
  </w:style>
  <w:style w:type="character" w:customStyle="1" w:styleId="ListLabel362">
    <w:name w:val="ListLabel 362"/>
    <w:qFormat/>
    <w:rPr>
      <w:rFonts w:cs="Times New Roman"/>
    </w:rPr>
  </w:style>
  <w:style w:type="character" w:customStyle="1" w:styleId="ListLabel363">
    <w:name w:val="ListLabel 363"/>
    <w:qFormat/>
    <w:rPr>
      <w:rFonts w:cs="Times New Roman"/>
      <w:sz w:val="20"/>
      <w:szCs w:val="20"/>
    </w:rPr>
  </w:style>
  <w:style w:type="character" w:customStyle="1" w:styleId="ListLabel364">
    <w:name w:val="ListLabel 364"/>
    <w:qFormat/>
    <w:rPr>
      <w:rFonts w:ascii="Times New Roman" w:eastAsia="Times New Roman" w:hAnsi="Times New Roman" w:cs="Times New Roman"/>
      <w:b/>
      <w:i w:val="0"/>
      <w:sz w:val="20"/>
      <w:szCs w:val="20"/>
    </w:rPr>
  </w:style>
  <w:style w:type="character" w:customStyle="1" w:styleId="ListLabel365">
    <w:name w:val="ListLabel 365"/>
    <w:qFormat/>
    <w:rPr>
      <w:rFonts w:cs="Times New Roman"/>
    </w:rPr>
  </w:style>
  <w:style w:type="character" w:customStyle="1" w:styleId="ListLabel366">
    <w:name w:val="ListLabel 366"/>
    <w:qFormat/>
    <w:rPr>
      <w:rFonts w:cs="Times New Roman"/>
    </w:rPr>
  </w:style>
  <w:style w:type="character" w:customStyle="1" w:styleId="ListLabel367">
    <w:name w:val="ListLabel 367"/>
    <w:qFormat/>
    <w:rPr>
      <w:rFonts w:cs="Times New Roman"/>
      <w:sz w:val="20"/>
      <w:szCs w:val="20"/>
    </w:rPr>
  </w:style>
  <w:style w:type="character" w:customStyle="1" w:styleId="ListLabel368">
    <w:name w:val="ListLabel 368"/>
    <w:qFormat/>
    <w:rPr>
      <w:rFonts w:ascii="Times New Roman" w:eastAsia="Times New Roman" w:hAnsi="Times New Roman" w:cs="Times New Roman"/>
      <w:b/>
      <w:i w:val="0"/>
      <w:sz w:val="20"/>
      <w:szCs w:val="20"/>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sz w:val="20"/>
      <w:szCs w:val="20"/>
    </w:rPr>
  </w:style>
  <w:style w:type="character" w:customStyle="1" w:styleId="ListLabel372">
    <w:name w:val="ListLabel 372"/>
    <w:qFormat/>
    <w:rPr>
      <w:rFonts w:ascii="Times New Roman" w:eastAsia="Times New Roman" w:hAnsi="Times New Roman" w:cs="Times New Roman"/>
      <w:b/>
      <w:i w:val="0"/>
      <w:sz w:val="20"/>
      <w:szCs w:val="20"/>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sz w:val="20"/>
      <w:szCs w:val="20"/>
    </w:rPr>
  </w:style>
  <w:style w:type="character" w:customStyle="1" w:styleId="ListLabel376">
    <w:name w:val="ListLabel 376"/>
    <w:qFormat/>
    <w:rPr>
      <w:rFonts w:ascii="Times New Roman" w:eastAsia="Times New Roman" w:hAnsi="Times New Roman" w:cs="Times New Roman"/>
      <w:b/>
      <w:i w:val="0"/>
      <w:sz w:val="20"/>
      <w:szCs w:val="20"/>
    </w:rPr>
  </w:style>
  <w:style w:type="character" w:customStyle="1" w:styleId="ListLabel377">
    <w:name w:val="ListLabel 377"/>
    <w:qFormat/>
    <w:rPr>
      <w:rFonts w:cs="Times New Roman"/>
    </w:rPr>
  </w:style>
  <w:style w:type="character" w:customStyle="1" w:styleId="ListLabel378">
    <w:name w:val="ListLabel 378"/>
    <w:qFormat/>
    <w:rPr>
      <w:rFonts w:cs="Times New Roman"/>
    </w:rPr>
  </w:style>
  <w:style w:type="character" w:customStyle="1" w:styleId="ListLabel379">
    <w:name w:val="ListLabel 379"/>
    <w:qFormat/>
    <w:rPr>
      <w:rFonts w:cs="Times New Roman"/>
      <w:sz w:val="20"/>
      <w:szCs w:val="20"/>
    </w:rPr>
  </w:style>
  <w:style w:type="character" w:customStyle="1" w:styleId="ListLabel380">
    <w:name w:val="ListLabel 380"/>
    <w:qFormat/>
    <w:rPr>
      <w:rFonts w:ascii="Times New Roman" w:eastAsia="Times New Roman" w:hAnsi="Times New Roman" w:cs="Times New Roman"/>
      <w:b/>
      <w:i w:val="0"/>
      <w:sz w:val="20"/>
      <w:szCs w:val="20"/>
    </w:rPr>
  </w:style>
  <w:style w:type="character" w:customStyle="1" w:styleId="ListLabel381">
    <w:name w:val="ListLabel 381"/>
    <w:qFormat/>
    <w:rPr>
      <w:rFonts w:cs="Times New Roman"/>
    </w:rPr>
  </w:style>
  <w:style w:type="character" w:customStyle="1" w:styleId="ListLabel382">
    <w:name w:val="ListLabel 382"/>
    <w:qFormat/>
    <w:rPr>
      <w:rFonts w:cs="Times New Roman"/>
    </w:rPr>
  </w:style>
  <w:style w:type="character" w:customStyle="1" w:styleId="ListLabel383">
    <w:name w:val="ListLabel 383"/>
    <w:qFormat/>
    <w:rPr>
      <w:rFonts w:cs="Times New Roman"/>
      <w:sz w:val="20"/>
      <w:szCs w:val="20"/>
    </w:rPr>
  </w:style>
  <w:style w:type="character" w:customStyle="1" w:styleId="ListLabel384">
    <w:name w:val="ListLabel 384"/>
    <w:qFormat/>
    <w:rPr>
      <w:rFonts w:ascii="Times New Roman" w:eastAsia="Times New Roman" w:hAnsi="Times New Roman" w:cs="Times New Roman"/>
      <w:b/>
      <w:i w:val="0"/>
      <w:sz w:val="20"/>
      <w:szCs w:val="20"/>
    </w:rPr>
  </w:style>
  <w:style w:type="character" w:customStyle="1" w:styleId="ListLabel385">
    <w:name w:val="ListLabel 385"/>
    <w:qFormat/>
    <w:rPr>
      <w:rFonts w:cs="Times New Roman"/>
    </w:rPr>
  </w:style>
  <w:style w:type="character" w:customStyle="1" w:styleId="ListLabel386">
    <w:name w:val="ListLabel 386"/>
    <w:qFormat/>
    <w:rPr>
      <w:rFonts w:cs="Times New Roman"/>
    </w:rPr>
  </w:style>
  <w:style w:type="character" w:customStyle="1" w:styleId="ListLabel387">
    <w:name w:val="ListLabel 387"/>
    <w:qFormat/>
    <w:rPr>
      <w:rFonts w:cs="Times New Roman"/>
      <w:sz w:val="20"/>
      <w:szCs w:val="20"/>
    </w:rPr>
  </w:style>
  <w:style w:type="character" w:customStyle="1" w:styleId="ListLabel388">
    <w:name w:val="ListLabel 388"/>
    <w:qFormat/>
    <w:rPr>
      <w:rFonts w:ascii="Times New Roman" w:eastAsia="Times New Roman" w:hAnsi="Times New Roman" w:cs="Times New Roman"/>
      <w:b/>
      <w:i w:val="0"/>
      <w:sz w:val="20"/>
      <w:szCs w:val="20"/>
    </w:rPr>
  </w:style>
  <w:style w:type="character" w:customStyle="1" w:styleId="ListLabel389">
    <w:name w:val="ListLabel 389"/>
    <w:qFormat/>
    <w:rPr>
      <w:rFonts w:cs="Times New Roman"/>
    </w:rPr>
  </w:style>
  <w:style w:type="character" w:customStyle="1" w:styleId="ListLabel390">
    <w:name w:val="ListLabel 390"/>
    <w:qFormat/>
    <w:rPr>
      <w:rFonts w:cs="Times New Roman"/>
    </w:rPr>
  </w:style>
  <w:style w:type="character" w:customStyle="1" w:styleId="ListLabel391">
    <w:name w:val="ListLabel 391"/>
    <w:qFormat/>
    <w:rPr>
      <w:rFonts w:cs="Times New Roman"/>
      <w:sz w:val="20"/>
      <w:szCs w:val="20"/>
    </w:rPr>
  </w:style>
  <w:style w:type="character" w:customStyle="1" w:styleId="ListLabel392">
    <w:name w:val="ListLabel 392"/>
    <w:qFormat/>
    <w:rPr>
      <w:rFonts w:ascii="Times New Roman" w:eastAsia="Times New Roman" w:hAnsi="Times New Roman" w:cs="Times New Roman"/>
      <w:b/>
      <w:i w:val="0"/>
      <w:sz w:val="20"/>
      <w:szCs w:val="20"/>
    </w:rPr>
  </w:style>
  <w:style w:type="character" w:customStyle="1" w:styleId="ListLabel393">
    <w:name w:val="ListLabel 393"/>
    <w:qFormat/>
    <w:rPr>
      <w:rFonts w:cs="Times New Roman"/>
    </w:rPr>
  </w:style>
  <w:style w:type="character" w:customStyle="1" w:styleId="ListLabel394">
    <w:name w:val="ListLabel 394"/>
    <w:qFormat/>
    <w:rPr>
      <w:rFonts w:cs="Times New Roman"/>
    </w:rPr>
  </w:style>
  <w:style w:type="character" w:customStyle="1" w:styleId="ListLabel395">
    <w:name w:val="ListLabel 395"/>
    <w:qFormat/>
    <w:rPr>
      <w:rFonts w:cs="Times New Roman"/>
      <w:sz w:val="20"/>
      <w:szCs w:val="20"/>
    </w:rPr>
  </w:style>
  <w:style w:type="character" w:customStyle="1" w:styleId="ListLabel396">
    <w:name w:val="ListLabel 396"/>
    <w:qFormat/>
    <w:rPr>
      <w:rFonts w:ascii="Times New Roman" w:eastAsia="Times New Roman" w:hAnsi="Times New Roman" w:cs="Times New Roman"/>
      <w:b/>
      <w:i w:val="0"/>
      <w:sz w:val="20"/>
      <w:szCs w:val="20"/>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Times New Roman"/>
      <w:sz w:val="20"/>
      <w:szCs w:val="20"/>
    </w:rPr>
  </w:style>
  <w:style w:type="character" w:customStyle="1" w:styleId="ListLabel400">
    <w:name w:val="ListLabel 400"/>
    <w:qFormat/>
    <w:rPr>
      <w:rFonts w:ascii="Times New Roman" w:eastAsia="Times New Roman" w:hAnsi="Times New Roman" w:cs="Times New Roman"/>
      <w:b/>
      <w:i w:val="0"/>
      <w:sz w:val="20"/>
      <w:szCs w:val="20"/>
    </w:rPr>
  </w:style>
  <w:style w:type="character" w:customStyle="1" w:styleId="ListLabel401">
    <w:name w:val="ListLabel 401"/>
    <w:qFormat/>
    <w:rPr>
      <w:rFonts w:cs="Times New Roman"/>
    </w:rPr>
  </w:style>
  <w:style w:type="character" w:customStyle="1" w:styleId="ListLabel402">
    <w:name w:val="ListLabel 402"/>
    <w:qFormat/>
    <w:rPr>
      <w:rFonts w:cs="Times New Roman"/>
    </w:rPr>
  </w:style>
  <w:style w:type="character" w:customStyle="1" w:styleId="ListLabel403">
    <w:name w:val="ListLabel 403"/>
    <w:qFormat/>
    <w:rPr>
      <w:rFonts w:cs="Times New Roman"/>
      <w:sz w:val="20"/>
      <w:szCs w:val="20"/>
    </w:rPr>
  </w:style>
  <w:style w:type="character" w:customStyle="1" w:styleId="ListLabel404">
    <w:name w:val="ListLabel 404"/>
    <w:qFormat/>
    <w:rPr>
      <w:rFonts w:ascii="Times New Roman" w:eastAsia="Times New Roman" w:hAnsi="Times New Roman" w:cs="Times New Roman"/>
      <w:b/>
      <w:i w:val="0"/>
      <w:sz w:val="20"/>
      <w:szCs w:val="20"/>
    </w:rPr>
  </w:style>
  <w:style w:type="character" w:customStyle="1" w:styleId="ListLabel405">
    <w:name w:val="ListLabel 405"/>
    <w:qFormat/>
    <w:rPr>
      <w:rFonts w:cs="Times New Roman"/>
    </w:rPr>
  </w:style>
  <w:style w:type="character" w:customStyle="1" w:styleId="ListLabel406">
    <w:name w:val="ListLabel 406"/>
    <w:qFormat/>
    <w:rPr>
      <w:rFonts w:cs="Times New Roman"/>
    </w:rPr>
  </w:style>
  <w:style w:type="character" w:customStyle="1" w:styleId="ListLabel407">
    <w:name w:val="ListLabel 407"/>
    <w:qFormat/>
    <w:rPr>
      <w:rFonts w:cs="Times New Roman"/>
      <w:sz w:val="20"/>
      <w:szCs w:val="20"/>
    </w:rPr>
  </w:style>
  <w:style w:type="character" w:customStyle="1" w:styleId="Smbolosdenumeracin">
    <w:name w:val="Símbolos de numeración"/>
    <w:qFormat/>
    <w:rPr>
      <w:rFonts w:ascii="Times New Roman" w:hAnsi="Times New Roman"/>
      <w:sz w:val="20"/>
      <w:szCs w:val="20"/>
    </w:rPr>
  </w:style>
  <w:style w:type="character" w:customStyle="1" w:styleId="ListLabel408">
    <w:name w:val="ListLabel 408"/>
    <w:qFormat/>
    <w:rPr>
      <w:rFonts w:ascii="Times New Roman" w:eastAsia="Times New Roman" w:hAnsi="Times New Roman" w:cs="Times New Roman"/>
      <w:b/>
      <w:i w:val="0"/>
      <w:sz w:val="20"/>
      <w:szCs w:val="20"/>
    </w:rPr>
  </w:style>
  <w:style w:type="character" w:customStyle="1" w:styleId="ListLabel409">
    <w:name w:val="ListLabel 409"/>
    <w:qFormat/>
    <w:rPr>
      <w:rFonts w:cs="Times New Roman"/>
    </w:rPr>
  </w:style>
  <w:style w:type="character" w:customStyle="1" w:styleId="ListLabel410">
    <w:name w:val="ListLabel 410"/>
    <w:qFormat/>
    <w:rPr>
      <w:rFonts w:cs="Times New Roman"/>
    </w:rPr>
  </w:style>
  <w:style w:type="character" w:customStyle="1" w:styleId="ListLabel411">
    <w:name w:val="ListLabel 411"/>
    <w:qFormat/>
    <w:rPr>
      <w:sz w:val="20"/>
      <w:szCs w:val="20"/>
    </w:rPr>
  </w:style>
  <w:style w:type="character" w:customStyle="1" w:styleId="ListLabel412">
    <w:name w:val="ListLabel 412"/>
    <w:qFormat/>
    <w:rPr>
      <w:rFonts w:cs="Times New Roman"/>
      <w:sz w:val="20"/>
      <w:szCs w:val="20"/>
    </w:rPr>
  </w:style>
  <w:style w:type="character" w:customStyle="1" w:styleId="ListLabel413">
    <w:name w:val="ListLabel 413"/>
    <w:qFormat/>
    <w:rPr>
      <w:rFonts w:ascii="Times New Roman" w:eastAsia="Times New Roman" w:hAnsi="Times New Roman" w:cs="Times New Roman"/>
      <w:b/>
      <w:i w:val="0"/>
      <w:sz w:val="20"/>
      <w:szCs w:val="20"/>
    </w:rPr>
  </w:style>
  <w:style w:type="character" w:customStyle="1" w:styleId="ListLabel414">
    <w:name w:val="ListLabel 414"/>
    <w:qFormat/>
    <w:rPr>
      <w:rFonts w:cs="Times New Roman"/>
    </w:rPr>
  </w:style>
  <w:style w:type="character" w:customStyle="1" w:styleId="ListLabel415">
    <w:name w:val="ListLabel 415"/>
    <w:qFormat/>
    <w:rPr>
      <w:rFonts w:cs="Times New Roman"/>
    </w:rPr>
  </w:style>
  <w:style w:type="character" w:customStyle="1" w:styleId="ListLabel416">
    <w:name w:val="ListLabel 416"/>
    <w:qFormat/>
    <w:rPr>
      <w:sz w:val="20"/>
      <w:szCs w:val="20"/>
    </w:rPr>
  </w:style>
  <w:style w:type="character" w:customStyle="1" w:styleId="ListLabel417">
    <w:name w:val="ListLabel 417"/>
    <w:qFormat/>
    <w:rPr>
      <w:rFonts w:cs="Times New Roman"/>
      <w:sz w:val="20"/>
      <w:szCs w:val="20"/>
    </w:rPr>
  </w:style>
  <w:style w:type="character" w:customStyle="1" w:styleId="ListLabel418">
    <w:name w:val="ListLabel 418"/>
    <w:qFormat/>
    <w:rPr>
      <w:rFonts w:ascii="Times New Roman" w:eastAsia="Times New Roman" w:hAnsi="Times New Roman" w:cs="Times New Roman"/>
      <w:b/>
      <w:i w:val="0"/>
      <w:sz w:val="20"/>
      <w:szCs w:val="20"/>
    </w:rPr>
  </w:style>
  <w:style w:type="character" w:customStyle="1" w:styleId="ListLabel419">
    <w:name w:val="ListLabel 419"/>
    <w:qFormat/>
    <w:rPr>
      <w:rFonts w:cs="Times New Roman"/>
    </w:rPr>
  </w:style>
  <w:style w:type="character" w:customStyle="1" w:styleId="ListLabel420">
    <w:name w:val="ListLabel 420"/>
    <w:qFormat/>
    <w:rPr>
      <w:rFonts w:cs="Times New Roman"/>
    </w:rPr>
  </w:style>
  <w:style w:type="character" w:customStyle="1" w:styleId="ListLabel421">
    <w:name w:val="ListLabel 421"/>
    <w:qFormat/>
    <w:rPr>
      <w:sz w:val="20"/>
      <w:szCs w:val="20"/>
    </w:rPr>
  </w:style>
  <w:style w:type="character" w:customStyle="1" w:styleId="ListLabel422">
    <w:name w:val="ListLabel 422"/>
    <w:qFormat/>
    <w:rPr>
      <w:rFonts w:cs="Times New Roman"/>
      <w:sz w:val="20"/>
      <w:szCs w:val="20"/>
    </w:rPr>
  </w:style>
  <w:style w:type="character" w:customStyle="1" w:styleId="ListLabel423">
    <w:name w:val="ListLabel 423"/>
    <w:qFormat/>
    <w:rPr>
      <w:rFonts w:ascii="Times New Roman" w:eastAsia="Times New Roman" w:hAnsi="Times New Roman" w:cs="Times New Roman"/>
      <w:b/>
      <w:i w:val="0"/>
      <w:sz w:val="20"/>
      <w:szCs w:val="20"/>
    </w:rPr>
  </w:style>
  <w:style w:type="character" w:customStyle="1" w:styleId="ListLabel424">
    <w:name w:val="ListLabel 424"/>
    <w:qFormat/>
    <w:rPr>
      <w:rFonts w:cs="Times New Roman"/>
    </w:rPr>
  </w:style>
  <w:style w:type="character" w:customStyle="1" w:styleId="ListLabel425">
    <w:name w:val="ListLabel 425"/>
    <w:qFormat/>
    <w:rPr>
      <w:rFonts w:cs="Times New Roman"/>
    </w:rPr>
  </w:style>
  <w:style w:type="character" w:customStyle="1" w:styleId="ListLabel426">
    <w:name w:val="ListLabel 426"/>
    <w:qFormat/>
    <w:rPr>
      <w:sz w:val="20"/>
      <w:szCs w:val="20"/>
    </w:rPr>
  </w:style>
  <w:style w:type="character" w:customStyle="1" w:styleId="ListLabel427">
    <w:name w:val="ListLabel 427"/>
    <w:qFormat/>
    <w:rPr>
      <w:rFonts w:cs="Times New Roman"/>
      <w:sz w:val="20"/>
      <w:szCs w:val="20"/>
    </w:rPr>
  </w:style>
  <w:style w:type="character" w:customStyle="1" w:styleId="ListLabel428">
    <w:name w:val="ListLabel 428"/>
    <w:qFormat/>
    <w:rPr>
      <w:rFonts w:ascii="Times New Roman" w:eastAsia="Times New Roman" w:hAnsi="Times New Roman" w:cs="Times New Roman"/>
      <w:b/>
      <w:i w:val="0"/>
      <w:sz w:val="20"/>
      <w:szCs w:val="20"/>
    </w:rPr>
  </w:style>
  <w:style w:type="character" w:customStyle="1" w:styleId="ListLabel429">
    <w:name w:val="ListLabel 429"/>
    <w:qFormat/>
    <w:rPr>
      <w:rFonts w:cs="Times New Roman"/>
    </w:rPr>
  </w:style>
  <w:style w:type="character" w:customStyle="1" w:styleId="ListLabel430">
    <w:name w:val="ListLabel 430"/>
    <w:qFormat/>
    <w:rPr>
      <w:rFonts w:cs="Times New Roman"/>
    </w:rPr>
  </w:style>
  <w:style w:type="character" w:customStyle="1" w:styleId="ListLabel431">
    <w:name w:val="ListLabel 431"/>
    <w:qFormat/>
    <w:rPr>
      <w:sz w:val="20"/>
      <w:szCs w:val="20"/>
    </w:rPr>
  </w:style>
  <w:style w:type="character" w:customStyle="1" w:styleId="ListLabel432">
    <w:name w:val="ListLabel 432"/>
    <w:qFormat/>
    <w:rPr>
      <w:rFonts w:cs="Times New Roman"/>
      <w:sz w:val="20"/>
      <w:szCs w:val="20"/>
    </w:rPr>
  </w:style>
  <w:style w:type="character" w:customStyle="1" w:styleId="ListLabel433">
    <w:name w:val="ListLabel 433"/>
    <w:qFormat/>
    <w:rPr>
      <w:rFonts w:ascii="Times New Roman" w:eastAsia="Times New Roman" w:hAnsi="Times New Roman" w:cs="Times New Roman"/>
      <w:b/>
      <w:i w:val="0"/>
      <w:sz w:val="20"/>
      <w:szCs w:val="20"/>
    </w:rPr>
  </w:style>
  <w:style w:type="character" w:customStyle="1" w:styleId="ListLabel434">
    <w:name w:val="ListLabel 434"/>
    <w:qFormat/>
    <w:rPr>
      <w:rFonts w:cs="Times New Roman"/>
    </w:rPr>
  </w:style>
  <w:style w:type="character" w:customStyle="1" w:styleId="ListLabel435">
    <w:name w:val="ListLabel 435"/>
    <w:qFormat/>
    <w:rPr>
      <w:rFonts w:cs="Times New Roman"/>
    </w:rPr>
  </w:style>
  <w:style w:type="character" w:customStyle="1" w:styleId="ListLabel436">
    <w:name w:val="ListLabel 436"/>
    <w:qFormat/>
    <w:rPr>
      <w:sz w:val="20"/>
      <w:szCs w:val="20"/>
    </w:rPr>
  </w:style>
  <w:style w:type="character" w:customStyle="1" w:styleId="ListLabel437">
    <w:name w:val="ListLabel 437"/>
    <w:qFormat/>
    <w:rPr>
      <w:sz w:val="20"/>
      <w:szCs w:val="20"/>
    </w:rPr>
  </w:style>
  <w:style w:type="character" w:customStyle="1" w:styleId="ListLabel438">
    <w:name w:val="ListLabel 438"/>
    <w:qFormat/>
    <w:rPr>
      <w:sz w:val="20"/>
      <w:szCs w:val="20"/>
    </w:rPr>
  </w:style>
  <w:style w:type="character" w:customStyle="1" w:styleId="ListLabel439">
    <w:name w:val="ListLabel 439"/>
    <w:qFormat/>
    <w:rPr>
      <w:sz w:val="20"/>
      <w:szCs w:val="20"/>
    </w:rPr>
  </w:style>
  <w:style w:type="character" w:customStyle="1" w:styleId="ListLabel440">
    <w:name w:val="ListLabel 440"/>
    <w:qFormat/>
    <w:rPr>
      <w:sz w:val="20"/>
      <w:szCs w:val="20"/>
    </w:rPr>
  </w:style>
  <w:style w:type="character" w:customStyle="1" w:styleId="ListLabel441">
    <w:name w:val="ListLabel 441"/>
    <w:qFormat/>
    <w:rPr>
      <w:sz w:val="20"/>
      <w:szCs w:val="20"/>
    </w:rPr>
  </w:style>
  <w:style w:type="character" w:customStyle="1" w:styleId="ListLabel442">
    <w:name w:val="ListLabel 442"/>
    <w:qFormat/>
    <w:rPr>
      <w:sz w:val="20"/>
      <w:szCs w:val="20"/>
    </w:rPr>
  </w:style>
  <w:style w:type="character" w:customStyle="1" w:styleId="ListLabel443">
    <w:name w:val="ListLabel 443"/>
    <w:qFormat/>
    <w:rPr>
      <w:sz w:val="20"/>
      <w:szCs w:val="20"/>
    </w:rPr>
  </w:style>
  <w:style w:type="character" w:customStyle="1" w:styleId="ListLabel444">
    <w:name w:val="ListLabel 444"/>
    <w:qFormat/>
    <w:rPr>
      <w:sz w:val="20"/>
      <w:szCs w:val="20"/>
    </w:rPr>
  </w:style>
  <w:style w:type="character" w:customStyle="1" w:styleId="ListLabel445">
    <w:name w:val="ListLabel 445"/>
    <w:qFormat/>
    <w:rPr>
      <w:rFonts w:cs="Times New Roman"/>
      <w:sz w:val="20"/>
      <w:szCs w:val="20"/>
    </w:rPr>
  </w:style>
  <w:style w:type="character" w:customStyle="1" w:styleId="ListLabel446">
    <w:name w:val="ListLabel 446"/>
    <w:qFormat/>
    <w:rPr>
      <w:rFonts w:ascii="Times New Roman" w:eastAsia="Times New Roman" w:hAnsi="Times New Roman" w:cs="Times New Roman"/>
      <w:b/>
      <w:i w:val="0"/>
      <w:sz w:val="20"/>
      <w:szCs w:val="20"/>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sz w:val="20"/>
      <w:szCs w:val="20"/>
    </w:rPr>
  </w:style>
  <w:style w:type="character" w:customStyle="1" w:styleId="ListLabel450">
    <w:name w:val="ListLabel 450"/>
    <w:qFormat/>
    <w:rPr>
      <w:rFonts w:ascii="Times New Roman" w:eastAsia="Times New Roman" w:hAnsi="Times New Roman" w:cs="Times New Roman"/>
      <w:b/>
      <w:i w:val="0"/>
      <w:sz w:val="20"/>
      <w:szCs w:val="20"/>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sz w:val="20"/>
      <w:szCs w:val="20"/>
    </w:rPr>
  </w:style>
  <w:style w:type="character" w:customStyle="1" w:styleId="ListLabel454">
    <w:name w:val="ListLabel 454"/>
    <w:qFormat/>
    <w:rPr>
      <w:rFonts w:ascii="Times New Roman" w:eastAsia="Times New Roman" w:hAnsi="Times New Roman" w:cs="Times New Roman"/>
      <w:b/>
      <w:i w:val="0"/>
      <w:sz w:val="20"/>
      <w:szCs w:val="20"/>
    </w:rPr>
  </w:style>
  <w:style w:type="character" w:customStyle="1" w:styleId="ListLabel455">
    <w:name w:val="ListLabel 455"/>
    <w:qFormat/>
    <w:rPr>
      <w:rFonts w:cs="Times New Roman"/>
    </w:rPr>
  </w:style>
  <w:style w:type="character" w:customStyle="1" w:styleId="ListLabel456">
    <w:name w:val="ListLabel 456"/>
    <w:qFormat/>
    <w:rPr>
      <w:rFonts w:cs="Times New Roman"/>
    </w:rPr>
  </w:style>
  <w:style w:type="character" w:customStyle="1" w:styleId="ListLabel457">
    <w:name w:val="ListLabel 457"/>
    <w:qFormat/>
    <w:rPr>
      <w:rFonts w:cs="Times New Roman"/>
      <w:sz w:val="20"/>
      <w:szCs w:val="20"/>
    </w:rPr>
  </w:style>
  <w:style w:type="paragraph" w:styleId="Title">
    <w:name w:val="Title"/>
    <w:basedOn w:val="Normal"/>
    <w:next w:val="BodyText"/>
    <w:qFormat/>
    <w:rsid w:val="00567C00"/>
    <w:pPr>
      <w:keepNext/>
      <w:spacing w:before="240" w:after="120"/>
    </w:pPr>
    <w:rPr>
      <w:rFonts w:ascii="Liberation Sans" w:eastAsia="Noto Sans CJK SC" w:hAnsi="Liberation Sans" w:cs="Mangal"/>
      <w:sz w:val="28"/>
      <w:szCs w:val="28"/>
    </w:rPr>
  </w:style>
  <w:style w:type="paragraph" w:styleId="BodyText">
    <w:name w:val="Body Text"/>
    <w:basedOn w:val="Normal"/>
    <w:rsid w:val="00567C00"/>
    <w:pPr>
      <w:spacing w:after="140" w:line="276" w:lineRule="auto"/>
    </w:pPr>
  </w:style>
  <w:style w:type="paragraph" w:styleId="List">
    <w:name w:val="List"/>
    <w:basedOn w:val="BodyText"/>
    <w:rsid w:val="00567C00"/>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ndice">
    <w:name w:val="Índice"/>
    <w:basedOn w:val="Normal"/>
    <w:qFormat/>
    <w:rsid w:val="00567C00"/>
    <w:pPr>
      <w:suppressLineNumbers/>
    </w:pPr>
    <w:rPr>
      <w:rFonts w:cs="Mangal"/>
    </w:rPr>
  </w:style>
  <w:style w:type="paragraph" w:customStyle="1" w:styleId="Ttulo11">
    <w:name w:val="Título 11"/>
    <w:basedOn w:val="Normal"/>
    <w:next w:val="Normal"/>
    <w:link w:val="Ttulo1Car"/>
    <w:qFormat/>
    <w:rsid w:val="00567C00"/>
    <w:pPr>
      <w:keepNext/>
      <w:spacing w:before="240" w:after="60"/>
      <w:outlineLvl w:val="0"/>
    </w:pPr>
    <w:rPr>
      <w:rFonts w:ascii="Cambria" w:hAnsi="Cambria" w:cs="Times New Roman"/>
      <w:b/>
      <w:bCs/>
      <w:kern w:val="2"/>
      <w:sz w:val="32"/>
      <w:szCs w:val="32"/>
    </w:rPr>
  </w:style>
  <w:style w:type="paragraph" w:customStyle="1" w:styleId="Descripcin1">
    <w:name w:val="Descripción1"/>
    <w:basedOn w:val="Normal"/>
    <w:qFormat/>
    <w:rsid w:val="00567C00"/>
    <w:pPr>
      <w:suppressLineNumbers/>
      <w:spacing w:before="120" w:after="120"/>
    </w:pPr>
    <w:rPr>
      <w:rFonts w:cs="Mangal"/>
      <w:i/>
      <w:iCs/>
      <w:sz w:val="24"/>
      <w:szCs w:val="24"/>
    </w:rPr>
  </w:style>
  <w:style w:type="paragraph" w:customStyle="1" w:styleId="SingleTxtG">
    <w:name w:val="_ Single Txt_G"/>
    <w:basedOn w:val="Normal"/>
    <w:link w:val="SingleTxtGChar"/>
    <w:qFormat/>
    <w:rsid w:val="00403C3F"/>
    <w:pPr>
      <w:spacing w:after="120" w:line="240" w:lineRule="atLeast"/>
      <w:ind w:left="1134" w:right="1134"/>
      <w:jc w:val="both"/>
    </w:pPr>
    <w:rPr>
      <w:rFonts w:ascii="Times New Roman" w:eastAsiaTheme="minorEastAsia" w:hAnsi="Times New Roman" w:cs="Times New Roman"/>
      <w:sz w:val="20"/>
      <w:szCs w:val="20"/>
      <w:lang w:val="es-ES" w:eastAsia="es-ES"/>
    </w:rPr>
  </w:style>
  <w:style w:type="paragraph" w:styleId="Header">
    <w:name w:val="header"/>
    <w:basedOn w:val="Normal"/>
    <w:link w:val="HeaderChar"/>
    <w:uiPriority w:val="99"/>
    <w:unhideWhenUsed/>
    <w:rsid w:val="0044160D"/>
    <w:pPr>
      <w:tabs>
        <w:tab w:val="center" w:pos="4419"/>
        <w:tab w:val="right" w:pos="8838"/>
      </w:tabs>
      <w:suppressAutoHyphens/>
      <w:spacing w:after="0" w:line="240" w:lineRule="auto"/>
    </w:pPr>
    <w:rPr>
      <w:rFonts w:ascii="Liberation Serif" w:eastAsia="WenQuanYi Micro Hei" w:hAnsi="Liberation Serif" w:cs="Mangal"/>
      <w:kern w:val="2"/>
      <w:sz w:val="24"/>
      <w:szCs w:val="21"/>
      <w:lang w:eastAsia="zh-CN" w:bidi="hi-IN"/>
    </w:rPr>
  </w:style>
  <w:style w:type="paragraph" w:styleId="Footer">
    <w:name w:val="footer"/>
    <w:basedOn w:val="Normal"/>
    <w:link w:val="FooterChar"/>
    <w:uiPriority w:val="99"/>
    <w:unhideWhenUsed/>
    <w:rsid w:val="0044160D"/>
    <w:pPr>
      <w:tabs>
        <w:tab w:val="center" w:pos="4419"/>
        <w:tab w:val="right" w:pos="8838"/>
      </w:tabs>
      <w:suppressAutoHyphens/>
      <w:spacing w:after="0" w:line="240" w:lineRule="auto"/>
    </w:pPr>
    <w:rPr>
      <w:rFonts w:ascii="Liberation Serif" w:eastAsia="WenQuanYi Micro Hei" w:hAnsi="Liberation Serif" w:cs="Mangal"/>
      <w:kern w:val="2"/>
      <w:sz w:val="24"/>
      <w:szCs w:val="21"/>
      <w:lang w:eastAsia="zh-CN" w:bidi="hi-IN"/>
    </w:rPr>
  </w:style>
  <w:style w:type="paragraph" w:styleId="FootnoteText">
    <w:name w:val="footnote text"/>
    <w:basedOn w:val="Normal"/>
    <w:link w:val="FootnoteTextChar"/>
    <w:qFormat/>
    <w:rsid w:val="00913D62"/>
    <w:pPr>
      <w:suppressLineNumbers/>
      <w:spacing w:line="252" w:lineRule="auto"/>
      <w:ind w:left="339" w:hanging="339"/>
      <w:jc w:val="both"/>
    </w:pPr>
    <w:rPr>
      <w:rFonts w:eastAsiaTheme="minorEastAsia"/>
      <w:sz w:val="20"/>
      <w:szCs w:val="20"/>
      <w:lang w:val="es-US" w:eastAsia="es-ES"/>
    </w:rPr>
  </w:style>
  <w:style w:type="paragraph" w:customStyle="1" w:styleId="H23G">
    <w:name w:val="_ H_2/3_G"/>
    <w:basedOn w:val="Normal"/>
    <w:next w:val="Normal"/>
    <w:link w:val="H23GChar"/>
    <w:qFormat/>
    <w:rsid w:val="00403C3F"/>
    <w:pPr>
      <w:keepNext/>
      <w:keepLines/>
      <w:tabs>
        <w:tab w:val="right" w:pos="851"/>
      </w:tabs>
      <w:suppressAutoHyphens/>
      <w:spacing w:before="240" w:after="120" w:line="240" w:lineRule="exact"/>
      <w:ind w:left="1134" w:right="1134" w:hanging="1134"/>
    </w:pPr>
    <w:rPr>
      <w:rFonts w:ascii="Times New Roman" w:eastAsiaTheme="minorEastAsia" w:hAnsi="Times New Roman" w:cs="Times New Roman"/>
      <w:b/>
      <w:sz w:val="20"/>
      <w:szCs w:val="20"/>
      <w:lang w:val="es-ES" w:eastAsia="es-ES"/>
    </w:rPr>
  </w:style>
  <w:style w:type="paragraph" w:styleId="ListParagraph">
    <w:name w:val="List Paragraph"/>
    <w:basedOn w:val="Normal"/>
    <w:link w:val="ListParagraphChar"/>
    <w:uiPriority w:val="34"/>
    <w:qFormat/>
    <w:rsid w:val="007E717B"/>
    <w:pPr>
      <w:spacing w:after="0" w:line="360" w:lineRule="auto"/>
      <w:ind w:left="720"/>
      <w:contextualSpacing/>
    </w:pPr>
    <w:rPr>
      <w:rFonts w:ascii="Times New Roman" w:hAnsi="Times New Roman"/>
      <w:sz w:val="24"/>
    </w:rPr>
  </w:style>
  <w:style w:type="paragraph" w:customStyle="1" w:styleId="DocumentMap">
    <w:name w:val="DocumentMap"/>
    <w:qFormat/>
    <w:rsid w:val="00567C00"/>
    <w:rPr>
      <w:rFonts w:cs="Calibri"/>
      <w:sz w:val="22"/>
      <w:szCs w:val="20"/>
      <w:lang w:eastAsia="es-VE"/>
    </w:rPr>
  </w:style>
  <w:style w:type="paragraph" w:customStyle="1" w:styleId="LO-normal">
    <w:name w:val="LO-normal"/>
    <w:qFormat/>
    <w:rsid w:val="00913D62"/>
    <w:pPr>
      <w:suppressAutoHyphens/>
    </w:pPr>
    <w:rPr>
      <w:rFonts w:ascii="Cambria" w:eastAsia="Cambria" w:hAnsi="Cambria" w:cs="Cambria"/>
      <w:color w:val="00000A"/>
      <w:sz w:val="24"/>
      <w:szCs w:val="24"/>
      <w:lang w:eastAsia="zh-CN"/>
    </w:rPr>
  </w:style>
  <w:style w:type="paragraph" w:styleId="HTMLPreformatted">
    <w:name w:val="HTML Preformatted"/>
    <w:basedOn w:val="Normal"/>
    <w:link w:val="HTMLPreformattedChar"/>
    <w:uiPriority w:val="99"/>
    <w:unhideWhenUsed/>
    <w:qFormat/>
    <w:rsid w:val="00D73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VE"/>
    </w:rPr>
  </w:style>
  <w:style w:type="paragraph" w:customStyle="1" w:styleId="Default">
    <w:name w:val="Default"/>
    <w:qFormat/>
    <w:rsid w:val="00590E65"/>
    <w:rPr>
      <w:rFonts w:ascii="Arial" w:eastAsia="Calibri" w:hAnsi="Arial" w:cs="Arial"/>
      <w:color w:val="000000"/>
      <w:sz w:val="24"/>
      <w:szCs w:val="24"/>
    </w:rPr>
  </w:style>
  <w:style w:type="paragraph" w:styleId="NoSpacing">
    <w:name w:val="No Spacing"/>
    <w:uiPriority w:val="1"/>
    <w:qFormat/>
    <w:rsid w:val="00367F8F"/>
    <w:pPr>
      <w:suppressAutoHyphens/>
    </w:pPr>
    <w:rPr>
      <w:rFonts w:ascii="Liberation Serif" w:eastAsia="WenQuanYi Micro Hei" w:hAnsi="Liberation Serif" w:cs="Mangal"/>
      <w:kern w:val="2"/>
      <w:sz w:val="24"/>
      <w:szCs w:val="21"/>
      <w:lang w:eastAsia="zh-CN" w:bidi="hi-IN"/>
    </w:rPr>
  </w:style>
  <w:style w:type="paragraph" w:styleId="NormalWeb">
    <w:name w:val="Normal (Web)"/>
    <w:basedOn w:val="Normal"/>
    <w:uiPriority w:val="99"/>
    <w:semiHidden/>
    <w:unhideWhenUsed/>
    <w:qFormat/>
    <w:rsid w:val="0044160D"/>
    <w:pPr>
      <w:spacing w:beforeAutospacing="1" w:afterAutospacing="1" w:line="240" w:lineRule="auto"/>
    </w:pPr>
    <w:rPr>
      <w:rFonts w:ascii="Times New Roman" w:eastAsia="Times New Roman" w:hAnsi="Times New Roman" w:cs="Times New Roman"/>
      <w:sz w:val="24"/>
      <w:szCs w:val="24"/>
      <w:lang w:eastAsia="es-VE"/>
    </w:rPr>
  </w:style>
  <w:style w:type="paragraph" w:customStyle="1" w:styleId="Standard">
    <w:name w:val="Standard"/>
    <w:qFormat/>
    <w:rsid w:val="0044160D"/>
    <w:pPr>
      <w:suppressAutoHyphens/>
      <w:textAlignment w:val="baseline"/>
    </w:pPr>
    <w:rPr>
      <w:rFonts w:ascii="Liberation Serif" w:eastAsia="WenQuanYi Micro Hei" w:hAnsi="Liberation Serif" w:cs="Lohit Devanagari"/>
      <w:kern w:val="2"/>
      <w:sz w:val="24"/>
      <w:szCs w:val="24"/>
      <w:lang w:eastAsia="zh-CN" w:bidi="hi-IN"/>
    </w:rPr>
  </w:style>
  <w:style w:type="paragraph" w:styleId="CommentText">
    <w:name w:val="annotation text"/>
    <w:basedOn w:val="Normal"/>
    <w:link w:val="CommentTextChar"/>
    <w:uiPriority w:val="99"/>
    <w:semiHidden/>
    <w:unhideWhenUsed/>
    <w:qFormat/>
    <w:rsid w:val="0044160D"/>
    <w:pPr>
      <w:suppressAutoHyphens/>
      <w:spacing w:after="0" w:line="240" w:lineRule="auto"/>
    </w:pPr>
    <w:rPr>
      <w:rFonts w:ascii="Liberation Serif" w:eastAsia="WenQuanYi Micro Hei" w:hAnsi="Liberation Serif" w:cs="Mangal"/>
      <w:kern w:val="2"/>
      <w:sz w:val="20"/>
      <w:szCs w:val="18"/>
      <w:lang w:eastAsia="zh-CN" w:bidi="hi-IN"/>
    </w:rPr>
  </w:style>
  <w:style w:type="paragraph" w:styleId="CommentSubject">
    <w:name w:val="annotation subject"/>
    <w:basedOn w:val="CommentText"/>
    <w:next w:val="CommentText"/>
    <w:link w:val="CommentSubjectChar"/>
    <w:uiPriority w:val="99"/>
    <w:semiHidden/>
    <w:unhideWhenUsed/>
    <w:qFormat/>
    <w:rsid w:val="0044160D"/>
    <w:rPr>
      <w:b/>
      <w:bCs/>
    </w:rPr>
  </w:style>
  <w:style w:type="paragraph" w:styleId="EndnoteText">
    <w:name w:val="endnote text"/>
    <w:basedOn w:val="Normal"/>
    <w:link w:val="EndnoteTextChar"/>
    <w:uiPriority w:val="99"/>
    <w:semiHidden/>
    <w:unhideWhenUsed/>
    <w:rsid w:val="0044160D"/>
    <w:pPr>
      <w:suppressAutoHyphens/>
      <w:spacing w:after="0" w:line="240" w:lineRule="auto"/>
    </w:pPr>
    <w:rPr>
      <w:rFonts w:ascii="Liberation Serif" w:eastAsia="WenQuanYi Micro Hei" w:hAnsi="Liberation Serif" w:cs="Mangal"/>
      <w:kern w:val="2"/>
      <w:sz w:val="20"/>
      <w:szCs w:val="18"/>
      <w:lang w:eastAsia="zh-CN" w:bidi="hi-IN"/>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styleId="TableGrid">
    <w:name w:val="Table Grid"/>
    <w:basedOn w:val="TableNormal"/>
    <w:uiPriority w:val="39"/>
    <w:rsid w:val="00403C3F"/>
    <w:pPr>
      <w:spacing w:line="240" w:lineRule="atLeast"/>
    </w:pPr>
    <w:rPr>
      <w:rFonts w:eastAsiaTheme="minorEastAsia"/>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semiHidden/>
    <w:unhideWhenUsed/>
    <w:qFormat/>
    <w:rsid w:val="005D2F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onsejoderechoshumanos.gob.ve/" TargetMode="Externa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2025-09-18T14:33:33+00:00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4FF88A79-7748-46A3-ADC8-C119B1961DC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DAF7DE3-8A8A-4F8A-BA9C-2065E583A814}"/>
</file>

<file path=customXml/itemProps3.xml><?xml version="1.0" encoding="utf-8"?>
<ds:datastoreItem xmlns:ds="http://schemas.openxmlformats.org/officeDocument/2006/customXml" ds:itemID="{6FB40CD0-10A6-4C05-BCCF-081C8ABDA6CC}"/>
</file>

<file path=customXml/itemProps4.xml><?xml version="1.0" encoding="utf-8"?>
<ds:datastoreItem xmlns:ds="http://schemas.openxmlformats.org/officeDocument/2006/customXml" ds:itemID="{FF226AA5-76BD-4CC3-9AFD-F0FB69C16FF2}"/>
</file>

<file path=docProps/app.xml><?xml version="1.0" encoding="utf-8"?>
<Properties xmlns="http://schemas.openxmlformats.org/officeDocument/2006/extended-properties" xmlns:vt="http://schemas.openxmlformats.org/officeDocument/2006/docPropsVTypes">
  <Template>Normal</Template>
  <TotalTime>4</TotalTime>
  <Pages>40</Pages>
  <Words>19089</Words>
  <Characters>103728</Characters>
  <Application>Microsoft Office Word</Application>
  <DocSecurity>4</DocSecurity>
  <Lines>2036</Lines>
  <Paragraphs>765</Paragraphs>
  <ScaleCrop>false</ScaleCrop>
  <Company>company</Company>
  <LinksUpToDate>false</LinksUpToDate>
  <CharactersWithSpaces>123160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Full name</dc:creator>
  <dc:description/>
  <cp:lastModifiedBy>James Boit</cp:lastModifiedBy>
  <cp:revision>2</cp:revision>
  <cp:lastPrinted>2022-05-23T15:41:00Z</cp:lastPrinted>
  <dcterms:created xsi:type="dcterms:W3CDTF">2025-09-18T14:33:00Z</dcterms:created>
  <dcterms:modified xsi:type="dcterms:W3CDTF">2025-09-18T14:33:00Z</dcterms:modified>
  <dc:language>es-VE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0x0101006D3B07C576B11344B7E9A46591500914</vt:lpwstr>
  </property>
</Properties>
</file>