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07383" w14:textId="77777777" w:rsidR="0025551B" w:rsidRPr="00F76A0C" w:rsidRDefault="0025551B" w:rsidP="0025551B">
      <w:pPr>
        <w:spacing w:after="100"/>
        <w:jc w:val="center"/>
        <w:rPr>
          <w:b/>
          <w:bCs/>
          <w:color w:val="1F3864"/>
          <w:sz w:val="40"/>
          <w:szCs w:val="40"/>
        </w:rPr>
      </w:pPr>
      <w:r w:rsidRPr="00F76A0C">
        <w:rPr>
          <w:b/>
          <w:bCs/>
          <w:color w:val="1F3864"/>
          <w:sz w:val="40"/>
          <w:szCs w:val="40"/>
        </w:rPr>
        <w:t>Association des Étudiants Tamouls de France</w:t>
      </w:r>
    </w:p>
    <w:p w14:paraId="2AC16A21" w14:textId="77777777" w:rsidR="009F3BC5" w:rsidRDefault="009F3BC5" w:rsidP="0025551B">
      <w:pPr>
        <w:pStyle w:val="NoSpacing"/>
      </w:pPr>
    </w:p>
    <w:p w14:paraId="5F34213D" w14:textId="0CE8AE8C" w:rsidR="0025551B" w:rsidRDefault="0025551B" w:rsidP="0025551B">
      <w:pPr>
        <w:pStyle w:val="NoSpacing"/>
      </w:pPr>
    </w:p>
    <w:p w14:paraId="591142F6" w14:textId="77777777" w:rsidR="009F3BC5" w:rsidRPr="00F76A0C" w:rsidRDefault="00880B11">
      <w:pPr>
        <w:spacing w:after="200"/>
        <w:jc w:val="center"/>
        <w:rPr>
          <w:lang w:val="en-US"/>
        </w:rPr>
      </w:pPr>
      <w:r w:rsidRPr="00F76A0C">
        <w:rPr>
          <w:b/>
          <w:bCs/>
          <w:color w:val="1F3864"/>
          <w:sz w:val="40"/>
          <w:szCs w:val="40"/>
          <w:lang w:val="en-US"/>
        </w:rPr>
        <w:t>PARALLEL REPORT</w:t>
      </w:r>
    </w:p>
    <w:p w14:paraId="0642C272" w14:textId="77777777" w:rsidR="009F3BC5" w:rsidRPr="00F76A0C" w:rsidRDefault="00880B11" w:rsidP="00645011">
      <w:pPr>
        <w:pStyle w:val="NoSpacing"/>
        <w:jc w:val="center"/>
        <w:rPr>
          <w:sz w:val="18"/>
          <w:szCs w:val="18"/>
          <w:lang w:val="en-US"/>
        </w:rPr>
      </w:pPr>
      <w:r w:rsidRPr="00F76A0C">
        <w:rPr>
          <w:lang w:val="en-US"/>
        </w:rPr>
        <w:t>TO THE COMMITTEE ON THE RIGHTS OF PERSONS WITH DISABILITIES</w:t>
      </w:r>
    </w:p>
    <w:p w14:paraId="4A2A322E" w14:textId="77777777" w:rsidR="009F3BC5" w:rsidRPr="00645011" w:rsidRDefault="00880B11" w:rsidP="00645011">
      <w:pPr>
        <w:pStyle w:val="NoSpacing"/>
        <w:jc w:val="center"/>
        <w:rPr>
          <w:i/>
          <w:iCs/>
          <w:color w:val="BF4E14" w:themeColor="accent2" w:themeShade="BF"/>
          <w:lang w:val="en-GB"/>
        </w:rPr>
      </w:pPr>
      <w:r w:rsidRPr="00645011">
        <w:rPr>
          <w:i/>
          <w:iCs/>
          <w:color w:val="BF4E14" w:themeColor="accent2" w:themeShade="BF"/>
          <w:lang w:val="en-GB"/>
        </w:rPr>
        <w:t>Country Review of Sri Lanka</w:t>
      </w:r>
    </w:p>
    <w:p w14:paraId="4FD3F357" w14:textId="77777777" w:rsidR="009F3BC5" w:rsidRPr="009A1A80" w:rsidRDefault="009F3BC5" w:rsidP="00645011">
      <w:pPr>
        <w:pStyle w:val="NoSpacing"/>
        <w:jc w:val="center"/>
        <w:rPr>
          <w:lang w:val="en-GB"/>
        </w:rPr>
      </w:pPr>
    </w:p>
    <w:p w14:paraId="112B2846" w14:textId="77777777" w:rsidR="009F3BC5" w:rsidRPr="009A1A80" w:rsidRDefault="00880B11" w:rsidP="00645011">
      <w:pPr>
        <w:pStyle w:val="NoSpacing"/>
        <w:jc w:val="center"/>
        <w:rPr>
          <w:sz w:val="26"/>
          <w:szCs w:val="26"/>
          <w:lang w:val="en-GB"/>
        </w:rPr>
      </w:pPr>
      <w:r w:rsidRPr="009A1A80">
        <w:rPr>
          <w:color w:val="333333"/>
          <w:sz w:val="26"/>
          <w:szCs w:val="26"/>
          <w:lang w:val="en-GB"/>
        </w:rPr>
        <w:t>The Situation of Eelam Tamils with Disabilities Under Continuing Military Occupation, with Particular Focus on Former LTTE Combatants Disabled by Sri Lankan Security Forces and the Absence of State Compensation</w:t>
      </w:r>
    </w:p>
    <w:p w14:paraId="16230B8E" w14:textId="77777777" w:rsidR="009F3BC5" w:rsidRPr="00F76A0C" w:rsidRDefault="00880B11" w:rsidP="00645011">
      <w:pPr>
        <w:pStyle w:val="NoSpacing"/>
        <w:jc w:val="center"/>
      </w:pPr>
      <w:r w:rsidRPr="00F76A0C">
        <w:rPr>
          <w:color w:val="595959"/>
        </w:rPr>
        <w:t>Submitted by</w:t>
      </w:r>
    </w:p>
    <w:p w14:paraId="597F09F2" w14:textId="77777777" w:rsidR="009F3BC5" w:rsidRPr="00F76A0C" w:rsidRDefault="00880B11">
      <w:pPr>
        <w:spacing w:after="100"/>
        <w:jc w:val="center"/>
        <w:rPr>
          <w:b/>
          <w:bCs/>
          <w:color w:val="1F3864"/>
          <w:sz w:val="28"/>
          <w:szCs w:val="28"/>
        </w:rPr>
      </w:pPr>
      <w:r w:rsidRPr="00F76A0C">
        <w:rPr>
          <w:b/>
          <w:bCs/>
          <w:color w:val="1F3864"/>
          <w:sz w:val="28"/>
          <w:szCs w:val="28"/>
        </w:rPr>
        <w:t>Association des Étudiants Tamouls de France</w:t>
      </w:r>
    </w:p>
    <w:p w14:paraId="6D531D40" w14:textId="0A55B93C" w:rsidR="0025551B" w:rsidRPr="009A1A80" w:rsidRDefault="0025551B" w:rsidP="0025551B">
      <w:pPr>
        <w:spacing w:after="100"/>
        <w:jc w:val="center"/>
        <w:rPr>
          <w:sz w:val="24"/>
          <w:szCs w:val="24"/>
          <w:lang w:val="en-GB"/>
        </w:rPr>
      </w:pPr>
      <w:r w:rsidRPr="0025551B">
        <w:rPr>
          <w:sz w:val="24"/>
          <w:szCs w:val="24"/>
          <w:lang w:val="en-GB"/>
        </w:rPr>
        <w:t>contact.aetf@gmail.com</w:t>
      </w:r>
    </w:p>
    <w:p w14:paraId="79AD6E10" w14:textId="77777777" w:rsidR="009F3BC5" w:rsidRPr="009A1A80" w:rsidRDefault="00880B11" w:rsidP="00645011">
      <w:pPr>
        <w:pStyle w:val="NoSpacing"/>
        <w:jc w:val="center"/>
        <w:rPr>
          <w:sz w:val="24"/>
          <w:szCs w:val="24"/>
          <w:lang w:val="en-GB"/>
        </w:rPr>
      </w:pPr>
      <w:r w:rsidRPr="009A1A80">
        <w:rPr>
          <w:lang w:val="en-GB"/>
        </w:rPr>
        <w:t>French association with Special Consultative Status with the United Nations Economic and Social Council (ECOSOC)</w:t>
      </w:r>
    </w:p>
    <w:p w14:paraId="20BFB88A" w14:textId="77777777" w:rsidR="00645011" w:rsidRPr="00F76A0C" w:rsidRDefault="00645011" w:rsidP="00645011">
      <w:pPr>
        <w:pStyle w:val="NoSpacing"/>
        <w:jc w:val="center"/>
        <w:rPr>
          <w:lang w:val="en-US"/>
        </w:rPr>
      </w:pPr>
    </w:p>
    <w:p w14:paraId="0D646443" w14:textId="0B14319B" w:rsidR="009F3BC5" w:rsidRDefault="00880B11" w:rsidP="00645011">
      <w:pPr>
        <w:pStyle w:val="NoSpacing"/>
        <w:jc w:val="center"/>
      </w:pPr>
      <w:r>
        <w:t>Ju</w:t>
      </w:r>
      <w:r w:rsidR="00645011">
        <w:t>ne</w:t>
      </w:r>
      <w:r>
        <w:t xml:space="preserve"> 2026</w:t>
      </w:r>
    </w:p>
    <w:p w14:paraId="0ED01FDD" w14:textId="77777777" w:rsidR="009F3BC5" w:rsidRDefault="00880B11">
      <w:pPr>
        <w:pStyle w:val="Heading1"/>
      </w:pPr>
      <w:bookmarkStart w:id="0" w:name="_Toc235393932"/>
      <w:r>
        <w:t>Contents</w:t>
      </w:r>
      <w:bookmarkEnd w:id="0"/>
    </w:p>
    <w:sdt>
      <w:sdtPr>
        <w:alias w:val="Contents"/>
        <w:id w:val="-287355051"/>
      </w:sdtPr>
      <w:sdtEndPr/>
      <w:sdtContent>
        <w:p w14:paraId="616307DF" w14:textId="77777777" w:rsidR="009A1A80" w:rsidRDefault="00880B11">
          <w:pPr>
            <w:pStyle w:val="TOC1"/>
            <w:tabs>
              <w:tab w:val="right" w:leader="dot" w:pos="9016"/>
            </w:tabs>
            <w:rPr>
              <w:noProof/>
            </w:rPr>
          </w:pPr>
          <w:r>
            <w:fldChar w:fldCharType="begin"/>
          </w:r>
          <w:r>
            <w:instrText>TOC \h \o "1-1"</w:instrText>
          </w:r>
          <w:r>
            <w:fldChar w:fldCharType="separate"/>
          </w:r>
          <w:hyperlink w:anchor="_Toc235393932" w:history="1">
            <w:r w:rsidR="009A1A80" w:rsidRPr="00682CA5">
              <w:rPr>
                <w:rStyle w:val="Hyperlink"/>
                <w:noProof/>
              </w:rPr>
              <w:t>Contents</w:t>
            </w:r>
            <w:r w:rsidR="009A1A80">
              <w:rPr>
                <w:noProof/>
              </w:rPr>
              <w:tab/>
            </w:r>
            <w:r w:rsidR="009A1A80">
              <w:rPr>
                <w:noProof/>
              </w:rPr>
              <w:fldChar w:fldCharType="begin"/>
            </w:r>
            <w:r w:rsidR="009A1A80">
              <w:rPr>
                <w:noProof/>
              </w:rPr>
              <w:instrText xml:space="preserve"> PAGEREF _Toc235393932 \h </w:instrText>
            </w:r>
            <w:r w:rsidR="009A1A80">
              <w:rPr>
                <w:noProof/>
              </w:rPr>
            </w:r>
            <w:r w:rsidR="009A1A80">
              <w:rPr>
                <w:noProof/>
              </w:rPr>
              <w:fldChar w:fldCharType="separate"/>
            </w:r>
            <w:r w:rsidR="009A1A80">
              <w:rPr>
                <w:noProof/>
              </w:rPr>
              <w:t>2</w:t>
            </w:r>
            <w:r w:rsidR="009A1A80">
              <w:rPr>
                <w:noProof/>
              </w:rPr>
              <w:fldChar w:fldCharType="end"/>
            </w:r>
          </w:hyperlink>
        </w:p>
        <w:p w14:paraId="2F31E4C2" w14:textId="77777777" w:rsidR="009A1A80" w:rsidRDefault="009A1A80">
          <w:pPr>
            <w:pStyle w:val="TOC1"/>
            <w:tabs>
              <w:tab w:val="right" w:leader="dot" w:pos="9016"/>
            </w:tabs>
            <w:rPr>
              <w:noProof/>
            </w:rPr>
          </w:pPr>
          <w:hyperlink w:anchor="_Toc235393933" w:history="1">
            <w:r w:rsidRPr="00682CA5">
              <w:rPr>
                <w:rStyle w:val="Hyperlink"/>
                <w:noProof/>
              </w:rPr>
              <w:t>Executive Summary</w:t>
            </w:r>
            <w:r>
              <w:rPr>
                <w:noProof/>
              </w:rPr>
              <w:tab/>
            </w:r>
            <w:r>
              <w:rPr>
                <w:noProof/>
              </w:rPr>
              <w:fldChar w:fldCharType="begin"/>
            </w:r>
            <w:r>
              <w:rPr>
                <w:noProof/>
              </w:rPr>
              <w:instrText xml:space="preserve"> PAGEREF _Toc235393933 \h </w:instrText>
            </w:r>
            <w:r>
              <w:rPr>
                <w:noProof/>
              </w:rPr>
            </w:r>
            <w:r>
              <w:rPr>
                <w:noProof/>
              </w:rPr>
              <w:fldChar w:fldCharType="separate"/>
            </w:r>
            <w:r>
              <w:rPr>
                <w:noProof/>
              </w:rPr>
              <w:t>3</w:t>
            </w:r>
            <w:r>
              <w:rPr>
                <w:noProof/>
              </w:rPr>
              <w:fldChar w:fldCharType="end"/>
            </w:r>
          </w:hyperlink>
        </w:p>
        <w:p w14:paraId="2821ABC9" w14:textId="77777777" w:rsidR="009A1A80" w:rsidRDefault="009A1A80">
          <w:pPr>
            <w:pStyle w:val="TOC1"/>
            <w:tabs>
              <w:tab w:val="right" w:leader="dot" w:pos="9016"/>
            </w:tabs>
            <w:rPr>
              <w:noProof/>
            </w:rPr>
          </w:pPr>
          <w:hyperlink w:anchor="_Toc235393934" w:history="1">
            <w:r w:rsidRPr="00682CA5">
              <w:rPr>
                <w:rStyle w:val="Hyperlink"/>
                <w:noProof/>
              </w:rPr>
              <w:t>II. Introduction</w:t>
            </w:r>
            <w:r>
              <w:rPr>
                <w:noProof/>
              </w:rPr>
              <w:tab/>
            </w:r>
            <w:r>
              <w:rPr>
                <w:noProof/>
              </w:rPr>
              <w:fldChar w:fldCharType="begin"/>
            </w:r>
            <w:r>
              <w:rPr>
                <w:noProof/>
              </w:rPr>
              <w:instrText xml:space="preserve"> PAGEREF _Toc235393934 \h </w:instrText>
            </w:r>
            <w:r>
              <w:rPr>
                <w:noProof/>
              </w:rPr>
            </w:r>
            <w:r>
              <w:rPr>
                <w:noProof/>
              </w:rPr>
              <w:fldChar w:fldCharType="separate"/>
            </w:r>
            <w:r>
              <w:rPr>
                <w:noProof/>
              </w:rPr>
              <w:t>3</w:t>
            </w:r>
            <w:r>
              <w:rPr>
                <w:noProof/>
              </w:rPr>
              <w:fldChar w:fldCharType="end"/>
            </w:r>
          </w:hyperlink>
        </w:p>
        <w:p w14:paraId="2EC81889" w14:textId="77777777" w:rsidR="009A1A80" w:rsidRDefault="009A1A80">
          <w:pPr>
            <w:pStyle w:val="TOC1"/>
            <w:tabs>
              <w:tab w:val="right" w:leader="dot" w:pos="9016"/>
            </w:tabs>
            <w:rPr>
              <w:noProof/>
            </w:rPr>
          </w:pPr>
          <w:hyperlink w:anchor="_Toc235393935" w:history="1">
            <w:r w:rsidRPr="00682CA5">
              <w:rPr>
                <w:rStyle w:val="Hyperlink"/>
                <w:noProof/>
              </w:rPr>
              <w:t>III. Methodology and Consultation Process</w:t>
            </w:r>
            <w:r>
              <w:rPr>
                <w:noProof/>
              </w:rPr>
              <w:tab/>
            </w:r>
            <w:r>
              <w:rPr>
                <w:noProof/>
              </w:rPr>
              <w:fldChar w:fldCharType="begin"/>
            </w:r>
            <w:r>
              <w:rPr>
                <w:noProof/>
              </w:rPr>
              <w:instrText xml:space="preserve"> PAGEREF _Toc235393935 \h </w:instrText>
            </w:r>
            <w:r>
              <w:rPr>
                <w:noProof/>
              </w:rPr>
            </w:r>
            <w:r>
              <w:rPr>
                <w:noProof/>
              </w:rPr>
              <w:fldChar w:fldCharType="separate"/>
            </w:r>
            <w:r>
              <w:rPr>
                <w:noProof/>
              </w:rPr>
              <w:t>4</w:t>
            </w:r>
            <w:r>
              <w:rPr>
                <w:noProof/>
              </w:rPr>
              <w:fldChar w:fldCharType="end"/>
            </w:r>
          </w:hyperlink>
        </w:p>
        <w:p w14:paraId="4D62036E" w14:textId="77777777" w:rsidR="009A1A80" w:rsidRDefault="009A1A80">
          <w:pPr>
            <w:pStyle w:val="TOC1"/>
            <w:tabs>
              <w:tab w:val="right" w:leader="dot" w:pos="9016"/>
            </w:tabs>
            <w:rPr>
              <w:noProof/>
            </w:rPr>
          </w:pPr>
          <w:hyperlink w:anchor="_Toc235393936" w:history="1">
            <w:r w:rsidRPr="00682CA5">
              <w:rPr>
                <w:rStyle w:val="Hyperlink"/>
                <w:noProof/>
              </w:rPr>
              <w:t>IV. Background: Conflict, Disability, and Continuing Militarisation</w:t>
            </w:r>
            <w:r>
              <w:rPr>
                <w:noProof/>
              </w:rPr>
              <w:tab/>
            </w:r>
            <w:r>
              <w:rPr>
                <w:noProof/>
              </w:rPr>
              <w:fldChar w:fldCharType="begin"/>
            </w:r>
            <w:r>
              <w:rPr>
                <w:noProof/>
              </w:rPr>
              <w:instrText xml:space="preserve"> PAGEREF _Toc235393936 \h </w:instrText>
            </w:r>
            <w:r>
              <w:rPr>
                <w:noProof/>
              </w:rPr>
            </w:r>
            <w:r>
              <w:rPr>
                <w:noProof/>
              </w:rPr>
              <w:fldChar w:fldCharType="separate"/>
            </w:r>
            <w:r>
              <w:rPr>
                <w:noProof/>
              </w:rPr>
              <w:t>5</w:t>
            </w:r>
            <w:r>
              <w:rPr>
                <w:noProof/>
              </w:rPr>
              <w:fldChar w:fldCharType="end"/>
            </w:r>
          </w:hyperlink>
        </w:p>
        <w:p w14:paraId="442A6DA0" w14:textId="77777777" w:rsidR="009A1A80" w:rsidRDefault="009A1A80">
          <w:pPr>
            <w:pStyle w:val="TOC1"/>
            <w:tabs>
              <w:tab w:val="right" w:leader="dot" w:pos="9016"/>
            </w:tabs>
            <w:rPr>
              <w:noProof/>
            </w:rPr>
          </w:pPr>
          <w:hyperlink w:anchor="_Toc235393937" w:history="1">
            <w:r w:rsidRPr="00682CA5">
              <w:rPr>
                <w:rStyle w:val="Hyperlink"/>
                <w:noProof/>
              </w:rPr>
              <w:t>V. Focus: The Invisible Caseload — Former Combatants Disabled by Security Forces</w:t>
            </w:r>
            <w:r>
              <w:rPr>
                <w:noProof/>
              </w:rPr>
              <w:tab/>
            </w:r>
            <w:r>
              <w:rPr>
                <w:noProof/>
              </w:rPr>
              <w:fldChar w:fldCharType="begin"/>
            </w:r>
            <w:r>
              <w:rPr>
                <w:noProof/>
              </w:rPr>
              <w:instrText xml:space="preserve"> PAGEREF _Toc235393937 \h </w:instrText>
            </w:r>
            <w:r>
              <w:rPr>
                <w:noProof/>
              </w:rPr>
            </w:r>
            <w:r>
              <w:rPr>
                <w:noProof/>
              </w:rPr>
              <w:fldChar w:fldCharType="separate"/>
            </w:r>
            <w:r>
              <w:rPr>
                <w:noProof/>
              </w:rPr>
              <w:t>6</w:t>
            </w:r>
            <w:r>
              <w:rPr>
                <w:noProof/>
              </w:rPr>
              <w:fldChar w:fldCharType="end"/>
            </w:r>
          </w:hyperlink>
        </w:p>
        <w:p w14:paraId="2ABC64B9" w14:textId="77777777" w:rsidR="009A1A80" w:rsidRDefault="009A1A80">
          <w:pPr>
            <w:pStyle w:val="TOC1"/>
            <w:tabs>
              <w:tab w:val="right" w:leader="dot" w:pos="9016"/>
            </w:tabs>
            <w:rPr>
              <w:noProof/>
            </w:rPr>
          </w:pPr>
          <w:hyperlink w:anchor="_Toc235393938" w:history="1">
            <w:r w:rsidRPr="00682CA5">
              <w:rPr>
                <w:rStyle w:val="Hyperlink"/>
                <w:noProof/>
              </w:rPr>
              <w:t>VI. Illustrative Accounts</w:t>
            </w:r>
            <w:r>
              <w:rPr>
                <w:noProof/>
              </w:rPr>
              <w:tab/>
            </w:r>
            <w:r>
              <w:rPr>
                <w:noProof/>
              </w:rPr>
              <w:fldChar w:fldCharType="begin"/>
            </w:r>
            <w:r>
              <w:rPr>
                <w:noProof/>
              </w:rPr>
              <w:instrText xml:space="preserve"> PAGEREF _Toc235393938 \h </w:instrText>
            </w:r>
            <w:r>
              <w:rPr>
                <w:noProof/>
              </w:rPr>
            </w:r>
            <w:r>
              <w:rPr>
                <w:noProof/>
              </w:rPr>
              <w:fldChar w:fldCharType="separate"/>
            </w:r>
            <w:r>
              <w:rPr>
                <w:noProof/>
              </w:rPr>
              <w:t>8</w:t>
            </w:r>
            <w:r>
              <w:rPr>
                <w:noProof/>
              </w:rPr>
              <w:fldChar w:fldCharType="end"/>
            </w:r>
          </w:hyperlink>
        </w:p>
        <w:p w14:paraId="1870DFA2" w14:textId="77777777" w:rsidR="009A1A80" w:rsidRDefault="009A1A80">
          <w:pPr>
            <w:pStyle w:val="TOC1"/>
            <w:tabs>
              <w:tab w:val="right" w:leader="dot" w:pos="9016"/>
            </w:tabs>
            <w:rPr>
              <w:noProof/>
            </w:rPr>
          </w:pPr>
          <w:hyperlink w:anchor="_Toc235393939" w:history="1">
            <w:r w:rsidRPr="00682CA5">
              <w:rPr>
                <w:rStyle w:val="Hyperlink"/>
                <w:noProof/>
              </w:rPr>
              <w:t>VII. Article 6 — Women With Disabilities</w:t>
            </w:r>
            <w:r>
              <w:rPr>
                <w:noProof/>
              </w:rPr>
              <w:tab/>
            </w:r>
            <w:r>
              <w:rPr>
                <w:noProof/>
              </w:rPr>
              <w:fldChar w:fldCharType="begin"/>
            </w:r>
            <w:r>
              <w:rPr>
                <w:noProof/>
              </w:rPr>
              <w:instrText xml:space="preserve"> PAGEREF _Toc235393939 \h </w:instrText>
            </w:r>
            <w:r>
              <w:rPr>
                <w:noProof/>
              </w:rPr>
            </w:r>
            <w:r>
              <w:rPr>
                <w:noProof/>
              </w:rPr>
              <w:fldChar w:fldCharType="separate"/>
            </w:r>
            <w:r>
              <w:rPr>
                <w:noProof/>
              </w:rPr>
              <w:t>9</w:t>
            </w:r>
            <w:r>
              <w:rPr>
                <w:noProof/>
              </w:rPr>
              <w:fldChar w:fldCharType="end"/>
            </w:r>
          </w:hyperlink>
        </w:p>
        <w:p w14:paraId="3D3FF5D6" w14:textId="77777777" w:rsidR="009A1A80" w:rsidRDefault="009A1A80">
          <w:pPr>
            <w:pStyle w:val="TOC1"/>
            <w:tabs>
              <w:tab w:val="right" w:leader="dot" w:pos="9016"/>
            </w:tabs>
            <w:rPr>
              <w:noProof/>
            </w:rPr>
          </w:pPr>
          <w:hyperlink w:anchor="_Toc235393940" w:history="1">
            <w:r w:rsidRPr="00682CA5">
              <w:rPr>
                <w:rStyle w:val="Hyperlink"/>
                <w:noProof/>
              </w:rPr>
              <w:t>VIII. Article 7 — Children of Disabled Former Combatants</w:t>
            </w:r>
            <w:r>
              <w:rPr>
                <w:noProof/>
              </w:rPr>
              <w:tab/>
            </w:r>
            <w:r>
              <w:rPr>
                <w:noProof/>
              </w:rPr>
              <w:fldChar w:fldCharType="begin"/>
            </w:r>
            <w:r>
              <w:rPr>
                <w:noProof/>
              </w:rPr>
              <w:instrText xml:space="preserve"> PAGEREF _Toc235393940 \h </w:instrText>
            </w:r>
            <w:r>
              <w:rPr>
                <w:noProof/>
              </w:rPr>
            </w:r>
            <w:r>
              <w:rPr>
                <w:noProof/>
              </w:rPr>
              <w:fldChar w:fldCharType="separate"/>
            </w:r>
            <w:r>
              <w:rPr>
                <w:noProof/>
              </w:rPr>
              <w:t>10</w:t>
            </w:r>
            <w:r>
              <w:rPr>
                <w:noProof/>
              </w:rPr>
              <w:fldChar w:fldCharType="end"/>
            </w:r>
          </w:hyperlink>
        </w:p>
        <w:p w14:paraId="59C6DE1E" w14:textId="77777777" w:rsidR="009A1A80" w:rsidRDefault="009A1A80">
          <w:pPr>
            <w:pStyle w:val="TOC1"/>
            <w:tabs>
              <w:tab w:val="right" w:leader="dot" w:pos="9016"/>
            </w:tabs>
            <w:rPr>
              <w:noProof/>
            </w:rPr>
          </w:pPr>
          <w:hyperlink w:anchor="_Toc235393941" w:history="1">
            <w:r w:rsidRPr="00682CA5">
              <w:rPr>
                <w:rStyle w:val="Hyperlink"/>
                <w:noProof/>
              </w:rPr>
              <w:t>IX. Article 8 — Awareness-Raising</w:t>
            </w:r>
            <w:r>
              <w:rPr>
                <w:noProof/>
              </w:rPr>
              <w:tab/>
            </w:r>
            <w:r>
              <w:rPr>
                <w:noProof/>
              </w:rPr>
              <w:fldChar w:fldCharType="begin"/>
            </w:r>
            <w:r>
              <w:rPr>
                <w:noProof/>
              </w:rPr>
              <w:instrText xml:space="preserve"> PAGEREF _Toc235393941 \h </w:instrText>
            </w:r>
            <w:r>
              <w:rPr>
                <w:noProof/>
              </w:rPr>
            </w:r>
            <w:r>
              <w:rPr>
                <w:noProof/>
              </w:rPr>
              <w:fldChar w:fldCharType="separate"/>
            </w:r>
            <w:r>
              <w:rPr>
                <w:noProof/>
              </w:rPr>
              <w:t>10</w:t>
            </w:r>
            <w:r>
              <w:rPr>
                <w:noProof/>
              </w:rPr>
              <w:fldChar w:fldCharType="end"/>
            </w:r>
          </w:hyperlink>
        </w:p>
        <w:p w14:paraId="3D441AC3" w14:textId="77777777" w:rsidR="009A1A80" w:rsidRDefault="009A1A80">
          <w:pPr>
            <w:pStyle w:val="TOC1"/>
            <w:tabs>
              <w:tab w:val="right" w:leader="dot" w:pos="9016"/>
            </w:tabs>
            <w:rPr>
              <w:noProof/>
            </w:rPr>
          </w:pPr>
          <w:hyperlink w:anchor="_Toc235393942" w:history="1">
            <w:r w:rsidRPr="00682CA5">
              <w:rPr>
                <w:rStyle w:val="Hyperlink"/>
                <w:noProof/>
              </w:rPr>
              <w:t>X. Article 9 — Accessibility</w:t>
            </w:r>
            <w:r>
              <w:rPr>
                <w:noProof/>
              </w:rPr>
              <w:tab/>
            </w:r>
            <w:r>
              <w:rPr>
                <w:noProof/>
              </w:rPr>
              <w:fldChar w:fldCharType="begin"/>
            </w:r>
            <w:r>
              <w:rPr>
                <w:noProof/>
              </w:rPr>
              <w:instrText xml:space="preserve"> PAGEREF _Toc235393942 \h </w:instrText>
            </w:r>
            <w:r>
              <w:rPr>
                <w:noProof/>
              </w:rPr>
            </w:r>
            <w:r>
              <w:rPr>
                <w:noProof/>
              </w:rPr>
              <w:fldChar w:fldCharType="separate"/>
            </w:r>
            <w:r>
              <w:rPr>
                <w:noProof/>
              </w:rPr>
              <w:t>10</w:t>
            </w:r>
            <w:r>
              <w:rPr>
                <w:noProof/>
              </w:rPr>
              <w:fldChar w:fldCharType="end"/>
            </w:r>
          </w:hyperlink>
        </w:p>
        <w:p w14:paraId="78C379F6" w14:textId="77777777" w:rsidR="009A1A80" w:rsidRDefault="009A1A80">
          <w:pPr>
            <w:pStyle w:val="TOC1"/>
            <w:tabs>
              <w:tab w:val="right" w:leader="dot" w:pos="9016"/>
            </w:tabs>
            <w:rPr>
              <w:noProof/>
            </w:rPr>
          </w:pPr>
          <w:hyperlink w:anchor="_Toc235393943" w:history="1">
            <w:r w:rsidRPr="00682CA5">
              <w:rPr>
                <w:rStyle w:val="Hyperlink"/>
                <w:noProof/>
              </w:rPr>
              <w:t>XI. Article 21 — Freedom of Expression and Access to Information</w:t>
            </w:r>
            <w:r>
              <w:rPr>
                <w:noProof/>
              </w:rPr>
              <w:tab/>
            </w:r>
            <w:r>
              <w:rPr>
                <w:noProof/>
              </w:rPr>
              <w:fldChar w:fldCharType="begin"/>
            </w:r>
            <w:r>
              <w:rPr>
                <w:noProof/>
              </w:rPr>
              <w:instrText xml:space="preserve"> PAGEREF _Toc235393943 \h </w:instrText>
            </w:r>
            <w:r>
              <w:rPr>
                <w:noProof/>
              </w:rPr>
            </w:r>
            <w:r>
              <w:rPr>
                <w:noProof/>
              </w:rPr>
              <w:fldChar w:fldCharType="separate"/>
            </w:r>
            <w:r>
              <w:rPr>
                <w:noProof/>
              </w:rPr>
              <w:t>11</w:t>
            </w:r>
            <w:r>
              <w:rPr>
                <w:noProof/>
              </w:rPr>
              <w:fldChar w:fldCharType="end"/>
            </w:r>
          </w:hyperlink>
        </w:p>
        <w:p w14:paraId="7E2ACB5F" w14:textId="77777777" w:rsidR="009A1A80" w:rsidRDefault="009A1A80">
          <w:pPr>
            <w:pStyle w:val="TOC1"/>
            <w:tabs>
              <w:tab w:val="right" w:leader="dot" w:pos="9016"/>
            </w:tabs>
            <w:rPr>
              <w:noProof/>
            </w:rPr>
          </w:pPr>
          <w:hyperlink w:anchor="_Toc235393944" w:history="1">
            <w:r w:rsidRPr="00682CA5">
              <w:rPr>
                <w:rStyle w:val="Hyperlink"/>
                <w:noProof/>
              </w:rPr>
              <w:t>XII. General Provisions of the Convention (Articles 1-4)</w:t>
            </w:r>
            <w:r>
              <w:rPr>
                <w:noProof/>
              </w:rPr>
              <w:tab/>
            </w:r>
            <w:r>
              <w:rPr>
                <w:noProof/>
              </w:rPr>
              <w:fldChar w:fldCharType="begin"/>
            </w:r>
            <w:r>
              <w:rPr>
                <w:noProof/>
              </w:rPr>
              <w:instrText xml:space="preserve"> PAGEREF _Toc235393944 \h </w:instrText>
            </w:r>
            <w:r>
              <w:rPr>
                <w:noProof/>
              </w:rPr>
            </w:r>
            <w:r>
              <w:rPr>
                <w:noProof/>
              </w:rPr>
              <w:fldChar w:fldCharType="separate"/>
            </w:r>
            <w:r>
              <w:rPr>
                <w:noProof/>
              </w:rPr>
              <w:t>11</w:t>
            </w:r>
            <w:r>
              <w:rPr>
                <w:noProof/>
              </w:rPr>
              <w:fldChar w:fldCharType="end"/>
            </w:r>
          </w:hyperlink>
        </w:p>
        <w:p w14:paraId="4AC90933" w14:textId="77777777" w:rsidR="009A1A80" w:rsidRDefault="009A1A80">
          <w:pPr>
            <w:pStyle w:val="TOC1"/>
            <w:tabs>
              <w:tab w:val="right" w:leader="dot" w:pos="9016"/>
            </w:tabs>
            <w:rPr>
              <w:noProof/>
            </w:rPr>
          </w:pPr>
          <w:hyperlink w:anchor="_Toc235393945" w:history="1">
            <w:r w:rsidRPr="00682CA5">
              <w:rPr>
                <w:rStyle w:val="Hyperlink"/>
                <w:noProof/>
              </w:rPr>
              <w:t>XIII. Article 5 - Equality and Non-Discrimination</w:t>
            </w:r>
            <w:r>
              <w:rPr>
                <w:noProof/>
              </w:rPr>
              <w:tab/>
            </w:r>
            <w:r>
              <w:rPr>
                <w:noProof/>
              </w:rPr>
              <w:fldChar w:fldCharType="begin"/>
            </w:r>
            <w:r>
              <w:rPr>
                <w:noProof/>
              </w:rPr>
              <w:instrText xml:space="preserve"> PAGEREF _Toc235393945 \h </w:instrText>
            </w:r>
            <w:r>
              <w:rPr>
                <w:noProof/>
              </w:rPr>
            </w:r>
            <w:r>
              <w:rPr>
                <w:noProof/>
              </w:rPr>
              <w:fldChar w:fldCharType="separate"/>
            </w:r>
            <w:r>
              <w:rPr>
                <w:noProof/>
              </w:rPr>
              <w:t>12</w:t>
            </w:r>
            <w:r>
              <w:rPr>
                <w:noProof/>
              </w:rPr>
              <w:fldChar w:fldCharType="end"/>
            </w:r>
          </w:hyperlink>
        </w:p>
        <w:p w14:paraId="1D72D5F3" w14:textId="77777777" w:rsidR="009A1A80" w:rsidRDefault="009A1A80">
          <w:pPr>
            <w:pStyle w:val="TOC1"/>
            <w:tabs>
              <w:tab w:val="right" w:leader="dot" w:pos="9016"/>
            </w:tabs>
            <w:rPr>
              <w:noProof/>
            </w:rPr>
          </w:pPr>
          <w:hyperlink w:anchor="_Toc235393946" w:history="1">
            <w:r w:rsidRPr="00682CA5">
              <w:rPr>
                <w:rStyle w:val="Hyperlink"/>
                <w:noProof/>
              </w:rPr>
              <w:t>XIV. Article 10 - Right to Life, and Article 11 - Situations of Risk</w:t>
            </w:r>
            <w:r>
              <w:rPr>
                <w:noProof/>
              </w:rPr>
              <w:tab/>
            </w:r>
            <w:r>
              <w:rPr>
                <w:noProof/>
              </w:rPr>
              <w:fldChar w:fldCharType="begin"/>
            </w:r>
            <w:r>
              <w:rPr>
                <w:noProof/>
              </w:rPr>
              <w:instrText xml:space="preserve"> PAGEREF _Toc235393946 \h </w:instrText>
            </w:r>
            <w:r>
              <w:rPr>
                <w:noProof/>
              </w:rPr>
            </w:r>
            <w:r>
              <w:rPr>
                <w:noProof/>
              </w:rPr>
              <w:fldChar w:fldCharType="separate"/>
            </w:r>
            <w:r>
              <w:rPr>
                <w:noProof/>
              </w:rPr>
              <w:t>14</w:t>
            </w:r>
            <w:r>
              <w:rPr>
                <w:noProof/>
              </w:rPr>
              <w:fldChar w:fldCharType="end"/>
            </w:r>
          </w:hyperlink>
        </w:p>
        <w:p w14:paraId="59869EBF" w14:textId="77777777" w:rsidR="009A1A80" w:rsidRDefault="009A1A80">
          <w:pPr>
            <w:pStyle w:val="TOC1"/>
            <w:tabs>
              <w:tab w:val="right" w:leader="dot" w:pos="9016"/>
            </w:tabs>
            <w:rPr>
              <w:noProof/>
            </w:rPr>
          </w:pPr>
          <w:hyperlink w:anchor="_Toc235393947" w:history="1">
            <w:r w:rsidRPr="00682CA5">
              <w:rPr>
                <w:rStyle w:val="Hyperlink"/>
                <w:noProof/>
              </w:rPr>
              <w:t>XV. Article 12 and Article 13 - Equal Recognition Before the Law and Access to Justice</w:t>
            </w:r>
            <w:r>
              <w:rPr>
                <w:noProof/>
              </w:rPr>
              <w:tab/>
            </w:r>
            <w:r>
              <w:rPr>
                <w:noProof/>
              </w:rPr>
              <w:fldChar w:fldCharType="begin"/>
            </w:r>
            <w:r>
              <w:rPr>
                <w:noProof/>
              </w:rPr>
              <w:instrText xml:space="preserve"> PAGEREF _Toc235393947 \h </w:instrText>
            </w:r>
            <w:r>
              <w:rPr>
                <w:noProof/>
              </w:rPr>
            </w:r>
            <w:r>
              <w:rPr>
                <w:noProof/>
              </w:rPr>
              <w:fldChar w:fldCharType="separate"/>
            </w:r>
            <w:r>
              <w:rPr>
                <w:noProof/>
              </w:rPr>
              <w:t>14</w:t>
            </w:r>
            <w:r>
              <w:rPr>
                <w:noProof/>
              </w:rPr>
              <w:fldChar w:fldCharType="end"/>
            </w:r>
          </w:hyperlink>
        </w:p>
        <w:p w14:paraId="1C84EC91" w14:textId="77777777" w:rsidR="009A1A80" w:rsidRDefault="009A1A80">
          <w:pPr>
            <w:pStyle w:val="TOC1"/>
            <w:tabs>
              <w:tab w:val="right" w:leader="dot" w:pos="9016"/>
            </w:tabs>
            <w:rPr>
              <w:noProof/>
            </w:rPr>
          </w:pPr>
          <w:hyperlink w:anchor="_Toc235393948" w:history="1">
            <w:r w:rsidRPr="00682CA5">
              <w:rPr>
                <w:rStyle w:val="Hyperlink"/>
                <w:noProof/>
              </w:rPr>
              <w:t>XVI. Article 14 and Article 15 - Liberty, Security of the Person, and Freedom From Torture</w:t>
            </w:r>
            <w:r>
              <w:rPr>
                <w:noProof/>
              </w:rPr>
              <w:tab/>
            </w:r>
            <w:r>
              <w:rPr>
                <w:noProof/>
              </w:rPr>
              <w:fldChar w:fldCharType="begin"/>
            </w:r>
            <w:r>
              <w:rPr>
                <w:noProof/>
              </w:rPr>
              <w:instrText xml:space="preserve"> PAGEREF _Toc235393948 \h </w:instrText>
            </w:r>
            <w:r>
              <w:rPr>
                <w:noProof/>
              </w:rPr>
            </w:r>
            <w:r>
              <w:rPr>
                <w:noProof/>
              </w:rPr>
              <w:fldChar w:fldCharType="separate"/>
            </w:r>
            <w:r>
              <w:rPr>
                <w:noProof/>
              </w:rPr>
              <w:t>15</w:t>
            </w:r>
            <w:r>
              <w:rPr>
                <w:noProof/>
              </w:rPr>
              <w:fldChar w:fldCharType="end"/>
            </w:r>
          </w:hyperlink>
        </w:p>
        <w:p w14:paraId="32742EB9" w14:textId="77777777" w:rsidR="009A1A80" w:rsidRDefault="009A1A80">
          <w:pPr>
            <w:pStyle w:val="TOC1"/>
            <w:tabs>
              <w:tab w:val="right" w:leader="dot" w:pos="9016"/>
            </w:tabs>
            <w:rPr>
              <w:noProof/>
            </w:rPr>
          </w:pPr>
          <w:hyperlink w:anchor="_Toc235393949" w:history="1">
            <w:r w:rsidRPr="00682CA5">
              <w:rPr>
                <w:rStyle w:val="Hyperlink"/>
                <w:noProof/>
              </w:rPr>
              <w:t>XVII. Article 16 - Freedom From Exploitation, Violence and Abuse</w:t>
            </w:r>
            <w:r>
              <w:rPr>
                <w:noProof/>
              </w:rPr>
              <w:tab/>
            </w:r>
            <w:r>
              <w:rPr>
                <w:noProof/>
              </w:rPr>
              <w:fldChar w:fldCharType="begin"/>
            </w:r>
            <w:r>
              <w:rPr>
                <w:noProof/>
              </w:rPr>
              <w:instrText xml:space="preserve"> PAGEREF _Toc235393949 \h </w:instrText>
            </w:r>
            <w:r>
              <w:rPr>
                <w:noProof/>
              </w:rPr>
            </w:r>
            <w:r>
              <w:rPr>
                <w:noProof/>
              </w:rPr>
              <w:fldChar w:fldCharType="separate"/>
            </w:r>
            <w:r>
              <w:rPr>
                <w:noProof/>
              </w:rPr>
              <w:t>16</w:t>
            </w:r>
            <w:r>
              <w:rPr>
                <w:noProof/>
              </w:rPr>
              <w:fldChar w:fldCharType="end"/>
            </w:r>
          </w:hyperlink>
        </w:p>
        <w:p w14:paraId="2E3143F4" w14:textId="77777777" w:rsidR="009A1A80" w:rsidRDefault="009A1A80">
          <w:pPr>
            <w:pStyle w:val="TOC1"/>
            <w:tabs>
              <w:tab w:val="right" w:leader="dot" w:pos="9016"/>
            </w:tabs>
            <w:rPr>
              <w:noProof/>
            </w:rPr>
          </w:pPr>
          <w:hyperlink w:anchor="_Toc235393950" w:history="1">
            <w:r w:rsidRPr="00682CA5">
              <w:rPr>
                <w:rStyle w:val="Hyperlink"/>
                <w:noProof/>
              </w:rPr>
              <w:t>XVIII. Article 17 and Article 18 - Integrity of the Person, Liberty of Movement</w:t>
            </w:r>
            <w:r>
              <w:rPr>
                <w:noProof/>
              </w:rPr>
              <w:tab/>
            </w:r>
            <w:r>
              <w:rPr>
                <w:noProof/>
              </w:rPr>
              <w:fldChar w:fldCharType="begin"/>
            </w:r>
            <w:r>
              <w:rPr>
                <w:noProof/>
              </w:rPr>
              <w:instrText xml:space="preserve"> PAGEREF _Toc235393950 \h </w:instrText>
            </w:r>
            <w:r>
              <w:rPr>
                <w:noProof/>
              </w:rPr>
            </w:r>
            <w:r>
              <w:rPr>
                <w:noProof/>
              </w:rPr>
              <w:fldChar w:fldCharType="separate"/>
            </w:r>
            <w:r>
              <w:rPr>
                <w:noProof/>
              </w:rPr>
              <w:t>16</w:t>
            </w:r>
            <w:r>
              <w:rPr>
                <w:noProof/>
              </w:rPr>
              <w:fldChar w:fldCharType="end"/>
            </w:r>
          </w:hyperlink>
        </w:p>
        <w:p w14:paraId="3308ABD4" w14:textId="77777777" w:rsidR="009A1A80" w:rsidRDefault="009A1A80">
          <w:pPr>
            <w:pStyle w:val="TOC1"/>
            <w:tabs>
              <w:tab w:val="right" w:leader="dot" w:pos="9016"/>
            </w:tabs>
            <w:rPr>
              <w:noProof/>
            </w:rPr>
          </w:pPr>
          <w:hyperlink w:anchor="_Toc235393951" w:history="1">
            <w:r w:rsidRPr="00682CA5">
              <w:rPr>
                <w:rStyle w:val="Hyperlink"/>
                <w:noProof/>
              </w:rPr>
              <w:t>XIX. Article 19 and Article 20 - Living Independently and Personal Mobility</w:t>
            </w:r>
            <w:r>
              <w:rPr>
                <w:noProof/>
              </w:rPr>
              <w:tab/>
            </w:r>
            <w:r>
              <w:rPr>
                <w:noProof/>
              </w:rPr>
              <w:fldChar w:fldCharType="begin"/>
            </w:r>
            <w:r>
              <w:rPr>
                <w:noProof/>
              </w:rPr>
              <w:instrText xml:space="preserve"> PAGEREF _Toc235393951 \h </w:instrText>
            </w:r>
            <w:r>
              <w:rPr>
                <w:noProof/>
              </w:rPr>
            </w:r>
            <w:r>
              <w:rPr>
                <w:noProof/>
              </w:rPr>
              <w:fldChar w:fldCharType="separate"/>
            </w:r>
            <w:r>
              <w:rPr>
                <w:noProof/>
              </w:rPr>
              <w:t>17</w:t>
            </w:r>
            <w:r>
              <w:rPr>
                <w:noProof/>
              </w:rPr>
              <w:fldChar w:fldCharType="end"/>
            </w:r>
          </w:hyperlink>
        </w:p>
        <w:p w14:paraId="6EB4A2BA" w14:textId="77777777" w:rsidR="009A1A80" w:rsidRDefault="009A1A80">
          <w:pPr>
            <w:pStyle w:val="TOC1"/>
            <w:tabs>
              <w:tab w:val="right" w:leader="dot" w:pos="9016"/>
            </w:tabs>
            <w:rPr>
              <w:noProof/>
            </w:rPr>
          </w:pPr>
          <w:hyperlink w:anchor="_Toc235393952" w:history="1">
            <w:r w:rsidRPr="00682CA5">
              <w:rPr>
                <w:rStyle w:val="Hyperlink"/>
                <w:noProof/>
              </w:rPr>
              <w:t>XX. Article 24 - Education</w:t>
            </w:r>
            <w:r>
              <w:rPr>
                <w:noProof/>
              </w:rPr>
              <w:tab/>
            </w:r>
            <w:r>
              <w:rPr>
                <w:noProof/>
              </w:rPr>
              <w:fldChar w:fldCharType="begin"/>
            </w:r>
            <w:r>
              <w:rPr>
                <w:noProof/>
              </w:rPr>
              <w:instrText xml:space="preserve"> PAGEREF _Toc235393952 \h </w:instrText>
            </w:r>
            <w:r>
              <w:rPr>
                <w:noProof/>
              </w:rPr>
            </w:r>
            <w:r>
              <w:rPr>
                <w:noProof/>
              </w:rPr>
              <w:fldChar w:fldCharType="separate"/>
            </w:r>
            <w:r>
              <w:rPr>
                <w:noProof/>
              </w:rPr>
              <w:t>17</w:t>
            </w:r>
            <w:r>
              <w:rPr>
                <w:noProof/>
              </w:rPr>
              <w:fldChar w:fldCharType="end"/>
            </w:r>
          </w:hyperlink>
        </w:p>
        <w:p w14:paraId="22D3BB0C" w14:textId="77777777" w:rsidR="009A1A80" w:rsidRDefault="009A1A80">
          <w:pPr>
            <w:pStyle w:val="TOC1"/>
            <w:tabs>
              <w:tab w:val="right" w:leader="dot" w:pos="9016"/>
            </w:tabs>
            <w:rPr>
              <w:noProof/>
            </w:rPr>
          </w:pPr>
          <w:hyperlink w:anchor="_Toc235393953" w:history="1">
            <w:r w:rsidRPr="00682CA5">
              <w:rPr>
                <w:rStyle w:val="Hyperlink"/>
                <w:noProof/>
              </w:rPr>
              <w:t>XXI. Article 25 and Article 26 - Health, Habilitation and Rehabilitation</w:t>
            </w:r>
            <w:r>
              <w:rPr>
                <w:noProof/>
              </w:rPr>
              <w:tab/>
            </w:r>
            <w:r>
              <w:rPr>
                <w:noProof/>
              </w:rPr>
              <w:fldChar w:fldCharType="begin"/>
            </w:r>
            <w:r>
              <w:rPr>
                <w:noProof/>
              </w:rPr>
              <w:instrText xml:space="preserve"> PAGEREF _Toc235393953 \h </w:instrText>
            </w:r>
            <w:r>
              <w:rPr>
                <w:noProof/>
              </w:rPr>
            </w:r>
            <w:r>
              <w:rPr>
                <w:noProof/>
              </w:rPr>
              <w:fldChar w:fldCharType="separate"/>
            </w:r>
            <w:r>
              <w:rPr>
                <w:noProof/>
              </w:rPr>
              <w:t>18</w:t>
            </w:r>
            <w:r>
              <w:rPr>
                <w:noProof/>
              </w:rPr>
              <w:fldChar w:fldCharType="end"/>
            </w:r>
          </w:hyperlink>
        </w:p>
        <w:p w14:paraId="2FBB9068" w14:textId="77777777" w:rsidR="009A1A80" w:rsidRDefault="009A1A80">
          <w:pPr>
            <w:pStyle w:val="TOC1"/>
            <w:tabs>
              <w:tab w:val="right" w:leader="dot" w:pos="9016"/>
            </w:tabs>
            <w:rPr>
              <w:noProof/>
            </w:rPr>
          </w:pPr>
          <w:hyperlink w:anchor="_Toc235393954" w:history="1">
            <w:r w:rsidRPr="00682CA5">
              <w:rPr>
                <w:rStyle w:val="Hyperlink"/>
                <w:noProof/>
              </w:rPr>
              <w:t>XXII. Article 27 and Article 28 - Work, Employment, Adequate Standard of Living and Social Protection</w:t>
            </w:r>
            <w:r>
              <w:rPr>
                <w:noProof/>
              </w:rPr>
              <w:tab/>
            </w:r>
            <w:r>
              <w:rPr>
                <w:noProof/>
              </w:rPr>
              <w:fldChar w:fldCharType="begin"/>
            </w:r>
            <w:r>
              <w:rPr>
                <w:noProof/>
              </w:rPr>
              <w:instrText xml:space="preserve"> PAGEREF _Toc235393954 \h </w:instrText>
            </w:r>
            <w:r>
              <w:rPr>
                <w:noProof/>
              </w:rPr>
            </w:r>
            <w:r>
              <w:rPr>
                <w:noProof/>
              </w:rPr>
              <w:fldChar w:fldCharType="separate"/>
            </w:r>
            <w:r>
              <w:rPr>
                <w:noProof/>
              </w:rPr>
              <w:t>19</w:t>
            </w:r>
            <w:r>
              <w:rPr>
                <w:noProof/>
              </w:rPr>
              <w:fldChar w:fldCharType="end"/>
            </w:r>
          </w:hyperlink>
        </w:p>
        <w:p w14:paraId="499F9F7A" w14:textId="77777777" w:rsidR="009A1A80" w:rsidRDefault="009A1A80">
          <w:pPr>
            <w:pStyle w:val="TOC1"/>
            <w:tabs>
              <w:tab w:val="right" w:leader="dot" w:pos="9016"/>
            </w:tabs>
            <w:rPr>
              <w:noProof/>
            </w:rPr>
          </w:pPr>
          <w:hyperlink w:anchor="_Toc235393955" w:history="1">
            <w:r w:rsidRPr="00682CA5">
              <w:rPr>
                <w:rStyle w:val="Hyperlink"/>
                <w:noProof/>
              </w:rPr>
              <w:t>XXIII. Article 29 and Article 31 - Political Participation, Statistics and Data Collection</w:t>
            </w:r>
            <w:r>
              <w:rPr>
                <w:noProof/>
              </w:rPr>
              <w:tab/>
            </w:r>
            <w:r>
              <w:rPr>
                <w:noProof/>
              </w:rPr>
              <w:fldChar w:fldCharType="begin"/>
            </w:r>
            <w:r>
              <w:rPr>
                <w:noProof/>
              </w:rPr>
              <w:instrText xml:space="preserve"> PAGEREF _Toc235393955 \h </w:instrText>
            </w:r>
            <w:r>
              <w:rPr>
                <w:noProof/>
              </w:rPr>
            </w:r>
            <w:r>
              <w:rPr>
                <w:noProof/>
              </w:rPr>
              <w:fldChar w:fldCharType="separate"/>
            </w:r>
            <w:r>
              <w:rPr>
                <w:noProof/>
              </w:rPr>
              <w:t>20</w:t>
            </w:r>
            <w:r>
              <w:rPr>
                <w:noProof/>
              </w:rPr>
              <w:fldChar w:fldCharType="end"/>
            </w:r>
          </w:hyperlink>
        </w:p>
        <w:p w14:paraId="0BB5DFEB" w14:textId="77777777" w:rsidR="009A1A80" w:rsidRDefault="009A1A80">
          <w:pPr>
            <w:pStyle w:val="TOC1"/>
            <w:tabs>
              <w:tab w:val="right" w:leader="dot" w:pos="9016"/>
            </w:tabs>
            <w:rPr>
              <w:noProof/>
            </w:rPr>
          </w:pPr>
          <w:hyperlink w:anchor="_Toc235393956" w:history="1">
            <w:r w:rsidRPr="00682CA5">
              <w:rPr>
                <w:rStyle w:val="Hyperlink"/>
                <w:noProof/>
              </w:rPr>
              <w:t>XXIV. Article 32 and Article 33 - International Cooperation, National Implementation and Monitoring</w:t>
            </w:r>
            <w:r>
              <w:rPr>
                <w:noProof/>
              </w:rPr>
              <w:tab/>
            </w:r>
            <w:r>
              <w:rPr>
                <w:noProof/>
              </w:rPr>
              <w:fldChar w:fldCharType="begin"/>
            </w:r>
            <w:r>
              <w:rPr>
                <w:noProof/>
              </w:rPr>
              <w:instrText xml:space="preserve"> PAGEREF _Toc235393956 \h </w:instrText>
            </w:r>
            <w:r>
              <w:rPr>
                <w:noProof/>
              </w:rPr>
            </w:r>
            <w:r>
              <w:rPr>
                <w:noProof/>
              </w:rPr>
              <w:fldChar w:fldCharType="separate"/>
            </w:r>
            <w:r>
              <w:rPr>
                <w:noProof/>
              </w:rPr>
              <w:t>20</w:t>
            </w:r>
            <w:r>
              <w:rPr>
                <w:noProof/>
              </w:rPr>
              <w:fldChar w:fldCharType="end"/>
            </w:r>
          </w:hyperlink>
        </w:p>
        <w:p w14:paraId="5B5BF09E" w14:textId="77777777" w:rsidR="009A1A80" w:rsidRDefault="009A1A80">
          <w:pPr>
            <w:pStyle w:val="TOC1"/>
            <w:tabs>
              <w:tab w:val="right" w:leader="dot" w:pos="9016"/>
            </w:tabs>
            <w:rPr>
              <w:noProof/>
            </w:rPr>
          </w:pPr>
          <w:hyperlink w:anchor="_Toc235393957" w:history="1">
            <w:r w:rsidRPr="00682CA5">
              <w:rPr>
                <w:rStyle w:val="Hyperlink"/>
                <w:noProof/>
              </w:rPr>
              <w:t>XXV. Summary of Recommendations</w:t>
            </w:r>
            <w:r>
              <w:rPr>
                <w:noProof/>
              </w:rPr>
              <w:tab/>
            </w:r>
            <w:r>
              <w:rPr>
                <w:noProof/>
              </w:rPr>
              <w:fldChar w:fldCharType="begin"/>
            </w:r>
            <w:r>
              <w:rPr>
                <w:noProof/>
              </w:rPr>
              <w:instrText xml:space="preserve"> PAGEREF _Toc235393957 \h </w:instrText>
            </w:r>
            <w:r>
              <w:rPr>
                <w:noProof/>
              </w:rPr>
            </w:r>
            <w:r>
              <w:rPr>
                <w:noProof/>
              </w:rPr>
              <w:fldChar w:fldCharType="separate"/>
            </w:r>
            <w:r>
              <w:rPr>
                <w:noProof/>
              </w:rPr>
              <w:t>21</w:t>
            </w:r>
            <w:r>
              <w:rPr>
                <w:noProof/>
              </w:rPr>
              <w:fldChar w:fldCharType="end"/>
            </w:r>
          </w:hyperlink>
        </w:p>
        <w:p w14:paraId="712ACAB7" w14:textId="77777777" w:rsidR="009A1A80" w:rsidRDefault="009A1A80">
          <w:pPr>
            <w:pStyle w:val="TOC1"/>
            <w:tabs>
              <w:tab w:val="right" w:leader="dot" w:pos="9016"/>
            </w:tabs>
            <w:rPr>
              <w:noProof/>
            </w:rPr>
          </w:pPr>
          <w:hyperlink w:anchor="_Toc235393958" w:history="1">
            <w:r w:rsidRPr="00682CA5">
              <w:rPr>
                <w:rStyle w:val="Hyperlink"/>
                <w:noProof/>
              </w:rPr>
              <w:t>XXVI. Conclusion</w:t>
            </w:r>
            <w:r>
              <w:rPr>
                <w:noProof/>
              </w:rPr>
              <w:tab/>
            </w:r>
            <w:r>
              <w:rPr>
                <w:noProof/>
              </w:rPr>
              <w:fldChar w:fldCharType="begin"/>
            </w:r>
            <w:r>
              <w:rPr>
                <w:noProof/>
              </w:rPr>
              <w:instrText xml:space="preserve"> PAGEREF _Toc235393958 \h </w:instrText>
            </w:r>
            <w:r>
              <w:rPr>
                <w:noProof/>
              </w:rPr>
            </w:r>
            <w:r>
              <w:rPr>
                <w:noProof/>
              </w:rPr>
              <w:fldChar w:fldCharType="separate"/>
            </w:r>
            <w:r>
              <w:rPr>
                <w:noProof/>
              </w:rPr>
              <w:t>22</w:t>
            </w:r>
            <w:r>
              <w:rPr>
                <w:noProof/>
              </w:rPr>
              <w:fldChar w:fldCharType="end"/>
            </w:r>
          </w:hyperlink>
        </w:p>
        <w:p w14:paraId="11AFCF36" w14:textId="77777777" w:rsidR="009A1A80" w:rsidRDefault="009A1A80">
          <w:pPr>
            <w:pStyle w:val="TOC1"/>
            <w:tabs>
              <w:tab w:val="right" w:leader="dot" w:pos="9016"/>
            </w:tabs>
            <w:rPr>
              <w:noProof/>
            </w:rPr>
          </w:pPr>
          <w:hyperlink w:anchor="_Toc235393959" w:history="1">
            <w:r w:rsidRPr="00682CA5">
              <w:rPr>
                <w:rStyle w:val="Hyperlink"/>
                <w:noProof/>
              </w:rPr>
              <w:t>References</w:t>
            </w:r>
            <w:r>
              <w:rPr>
                <w:noProof/>
              </w:rPr>
              <w:tab/>
            </w:r>
            <w:r>
              <w:rPr>
                <w:noProof/>
              </w:rPr>
              <w:fldChar w:fldCharType="begin"/>
            </w:r>
            <w:r>
              <w:rPr>
                <w:noProof/>
              </w:rPr>
              <w:instrText xml:space="preserve"> PAGEREF _Toc235393959 \h </w:instrText>
            </w:r>
            <w:r>
              <w:rPr>
                <w:noProof/>
              </w:rPr>
            </w:r>
            <w:r>
              <w:rPr>
                <w:noProof/>
              </w:rPr>
              <w:fldChar w:fldCharType="separate"/>
            </w:r>
            <w:r>
              <w:rPr>
                <w:noProof/>
              </w:rPr>
              <w:t>24</w:t>
            </w:r>
            <w:r>
              <w:rPr>
                <w:noProof/>
              </w:rPr>
              <w:fldChar w:fldCharType="end"/>
            </w:r>
          </w:hyperlink>
        </w:p>
        <w:p w14:paraId="20AD007E" w14:textId="77777777" w:rsidR="009F3BC5" w:rsidRDefault="00880B11">
          <w:r>
            <w:fldChar w:fldCharType="end"/>
          </w:r>
        </w:p>
      </w:sdtContent>
    </w:sdt>
    <w:p w14:paraId="27F8AC41" w14:textId="77777777" w:rsidR="009F3BC5" w:rsidRDefault="00880B11">
      <w:r>
        <w:br w:type="page"/>
      </w:r>
    </w:p>
    <w:p w14:paraId="09F50239" w14:textId="77777777" w:rsidR="009F3BC5" w:rsidRPr="009A1A80" w:rsidRDefault="00880B11">
      <w:pPr>
        <w:pStyle w:val="Heading1"/>
        <w:rPr>
          <w:lang w:val="en-GB"/>
        </w:rPr>
      </w:pPr>
      <w:bookmarkStart w:id="1" w:name="_Toc235393933"/>
      <w:r w:rsidRPr="009A1A80">
        <w:rPr>
          <w:lang w:val="en-GB"/>
        </w:rPr>
        <w:lastRenderedPageBreak/>
        <w:t>Executive Summary</w:t>
      </w:r>
      <w:bookmarkEnd w:id="1"/>
    </w:p>
    <w:p w14:paraId="1762F88F" w14:textId="77777777" w:rsidR="009F3BC5" w:rsidRPr="009A1A80" w:rsidRDefault="00880B11">
      <w:pPr>
        <w:spacing w:after="200" w:line="300" w:lineRule="auto"/>
        <w:jc w:val="both"/>
        <w:rPr>
          <w:lang w:val="en-GB"/>
        </w:rPr>
      </w:pPr>
      <w:r w:rsidRPr="009A1A80">
        <w:rPr>
          <w:lang w:val="en-GB"/>
        </w:rPr>
        <w:t>This report brings to the attention of the Committee on the Rights of Persons with Disabilities a category of persons with disabilities that remains almost entirely invisible in Sri Lanka's domestic disability framework, in its reparations architecture, and in its own reporting to United Nations treaty bodies: Eelam Tamils disabled during the 1983-2009 armed conflict, and in particular former combatants of the Liberation Tigers of Tamil Eelam (LTTE) who sustained permanent disabling injuries in combat, in s</w:t>
      </w:r>
      <w:r w:rsidRPr="009A1A80">
        <w:rPr>
          <w:lang w:val="en-GB"/>
        </w:rPr>
        <w:t>tate custody, or in the course of the post-war state rehabilitation process.</w:t>
      </w:r>
    </w:p>
    <w:p w14:paraId="4AE65419" w14:textId="77777777" w:rsidR="009F3BC5" w:rsidRPr="009A1A80" w:rsidRDefault="00880B11">
      <w:pPr>
        <w:spacing w:after="200" w:line="300" w:lineRule="auto"/>
        <w:jc w:val="both"/>
        <w:rPr>
          <w:lang w:val="en-GB"/>
        </w:rPr>
      </w:pPr>
      <w:r w:rsidRPr="009A1A80">
        <w:rPr>
          <w:lang w:val="en-GB"/>
        </w:rPr>
        <w:t>Nineteen years after the fighting ended and a decade after Sri Lanka's ratification of the Convention on the Rights of Persons with Disabilities, this population has received no dedicated medical rehabilitation programme, no disaggregated data collection, no reparations proportionate to its needs, and no acknowledgment comparable to the statutory welfare framework the State maintains for its own disabled security personnel through the Rana Viru</w:t>
      </w:r>
      <w:r w:rsidRPr="009A1A80">
        <w:rPr>
          <w:lang w:val="en-GB"/>
        </w:rPr>
        <w:t xml:space="preserve"> Seva Authority. This asymmetry, documented in detail throughout this submission, amounts in AETF's assessment to a serious and continuing failure of the non-discrimination guarantee at the heart of the Convention.</w:t>
      </w:r>
    </w:p>
    <w:p w14:paraId="01352E3C" w14:textId="77777777" w:rsidR="009F3BC5" w:rsidRPr="009A1A80" w:rsidRDefault="00880B11">
      <w:pPr>
        <w:spacing w:after="200" w:line="300" w:lineRule="auto"/>
        <w:jc w:val="both"/>
        <w:rPr>
          <w:lang w:val="en-GB"/>
        </w:rPr>
      </w:pPr>
      <w:r w:rsidRPr="009A1A80">
        <w:rPr>
          <w:lang w:val="en-GB"/>
        </w:rPr>
        <w:t>AETF sets out below the historical and institutional context of this failure; examines it against the specific provisions of the Convention, article by article; and concludes with a set of concrete recommendations that AETF asks the Committee to put to the State party in its List of Issues and Concluding Observations. Throughout, AETF takes no position on the political or military history of the conflict; its concern is limited to the State party's continuing obligation, under a Convention it has ratified w</w:t>
      </w:r>
      <w:r w:rsidRPr="009A1A80">
        <w:rPr>
          <w:lang w:val="en-GB"/>
        </w:rPr>
        <w:t>ithout reservation, to ensure that no person is denied disability rights on the basis of ethnicity, region, or the circumstances - including former combatant status - in which their impairment was acquired.</w:t>
      </w:r>
    </w:p>
    <w:p w14:paraId="703B5D88" w14:textId="12776070" w:rsidR="009F3BC5" w:rsidRPr="009A1A80" w:rsidRDefault="00880B11">
      <w:pPr>
        <w:pStyle w:val="Heading1"/>
        <w:rPr>
          <w:lang w:val="en-GB"/>
        </w:rPr>
      </w:pPr>
      <w:bookmarkStart w:id="2" w:name="_Toc235393934"/>
      <w:r w:rsidRPr="009A1A80">
        <w:rPr>
          <w:lang w:val="en-GB"/>
        </w:rPr>
        <w:t>I. Introduction</w:t>
      </w:r>
      <w:bookmarkEnd w:id="2"/>
    </w:p>
    <w:p w14:paraId="30800AEB" w14:textId="77777777" w:rsidR="009F3BC5" w:rsidRPr="009A1A80" w:rsidRDefault="00880B11">
      <w:pPr>
        <w:spacing w:after="200" w:line="300" w:lineRule="auto"/>
        <w:jc w:val="both"/>
        <w:rPr>
          <w:lang w:val="en-GB"/>
        </w:rPr>
      </w:pPr>
      <w:r w:rsidRPr="009A1A80">
        <w:rPr>
          <w:lang w:val="en-GB"/>
        </w:rPr>
        <w:t xml:space="preserve">This submission is presented by the Association des </w:t>
      </w:r>
      <w:proofErr w:type="spellStart"/>
      <w:r w:rsidRPr="009A1A80">
        <w:rPr>
          <w:lang w:val="en-GB"/>
        </w:rPr>
        <w:t>Étudiants</w:t>
      </w:r>
      <w:proofErr w:type="spellEnd"/>
      <w:r w:rsidRPr="009A1A80">
        <w:rPr>
          <w:lang w:val="en-GB"/>
        </w:rPr>
        <w:t xml:space="preserve"> </w:t>
      </w:r>
      <w:proofErr w:type="spellStart"/>
      <w:r w:rsidRPr="009A1A80">
        <w:rPr>
          <w:lang w:val="en-GB"/>
        </w:rPr>
        <w:t>Tamouls</w:t>
      </w:r>
      <w:proofErr w:type="spellEnd"/>
      <w:r w:rsidRPr="009A1A80">
        <w:rPr>
          <w:lang w:val="en-GB"/>
        </w:rPr>
        <w:t xml:space="preserve"> de France (AETF), a French-registered civil society organisation holding Special Consultative Status with the Economic and Social Council of the United Nations (ECOSOC). AETF represents Eelam Tamil students and young professionals in France and works in coalition with other French-based Tamil civil society associations on questions of human rights, humanitarian law, and international accountability affecting the Tamil population of the North and East of Sri Lanka.</w:t>
      </w:r>
    </w:p>
    <w:p w14:paraId="3B2F9697" w14:textId="77777777" w:rsidR="009F3BC5" w:rsidRPr="009A1A80" w:rsidRDefault="00880B11">
      <w:pPr>
        <w:spacing w:after="200" w:line="300" w:lineRule="auto"/>
        <w:jc w:val="both"/>
        <w:rPr>
          <w:lang w:val="en-GB"/>
        </w:rPr>
      </w:pPr>
      <w:r w:rsidRPr="009A1A80">
        <w:rPr>
          <w:lang w:val="en-GB"/>
        </w:rPr>
        <w:t>This report is submitted ahead of the pre-sessional review of Sri Lanka by the Committee on the Rights of Persons with Disabilities ("the Committee"). Its purpose is to draw the Committee's attention to a category of persons with disabilities who are largely absent from the State party's own reporting and from the 2024 alternative report submitted by the Disability Organisations Joint Front (DOJF): Eelam Tamils disabled during the 1983-2009 armed conflict and its aftermath, and in particular former combatan</w:t>
      </w:r>
      <w:r w:rsidRPr="009A1A80">
        <w:rPr>
          <w:lang w:val="en-GB"/>
        </w:rPr>
        <w:t>ts of the Liberation Tigers of Tamil Eelam (LTTE) who sustained permanent physical and psychosocial impairments in combat, in state custody, or during the post-war "rehabilitation" process, and who to date have received no compensation, no targeted medical rehabilitation, and no acknowledgment from the Government of Sri Lanka.</w:t>
      </w:r>
    </w:p>
    <w:p w14:paraId="2BB0E1B1" w14:textId="77777777" w:rsidR="009F3BC5" w:rsidRPr="009A1A80" w:rsidRDefault="00880B11">
      <w:pPr>
        <w:spacing w:after="200" w:line="300" w:lineRule="auto"/>
        <w:jc w:val="both"/>
        <w:rPr>
          <w:lang w:val="en-GB"/>
        </w:rPr>
      </w:pPr>
      <w:r w:rsidRPr="009A1A80">
        <w:rPr>
          <w:lang w:val="en-GB"/>
        </w:rPr>
        <w:t xml:space="preserve">AETF takes no position on, and this report does not address, the political or military history of the conflict, nor does it seek to characterise the conduct of any party to it. Its concern is narrower and </w:t>
      </w:r>
      <w:r w:rsidRPr="009A1A80">
        <w:rPr>
          <w:lang w:val="en-GB"/>
        </w:rPr>
        <w:lastRenderedPageBreak/>
        <w:t xml:space="preserve">squarely within the Committee's mandate: under the Convention on the Rights of Persons with Disabilities ("the Convention" or "CRPD"), which Sri Lanka ratified on 8 February 2016 without </w:t>
      </w:r>
      <w:proofErr w:type="gramStart"/>
      <w:r w:rsidRPr="009A1A80">
        <w:rPr>
          <w:lang w:val="en-GB"/>
        </w:rPr>
        <w:t>reservation[</w:t>
      </w:r>
      <w:proofErr w:type="gramEnd"/>
      <w:r w:rsidRPr="009A1A80">
        <w:rPr>
          <w:lang w:val="en-GB"/>
        </w:rPr>
        <w:t>1], the State party's obligations to persons with disabilities apply without discrimination as to the origin of the impairment, the ethnicity, political history, or former combatant status of the person concerned. A State cannot lawfully create, in effect, two categories of war-disabled persons - one, drawn from its own security forces, entitled to a dedicated statutory welfare authority, pensions, prosthetics and lifetime care; the other, drawn from the Tamil population of the North-East including former L</w:t>
      </w:r>
      <w:r w:rsidRPr="009A1A80">
        <w:rPr>
          <w:lang w:val="en-GB"/>
        </w:rPr>
        <w:t>TTE cadres, left to rely on general, under-resourced disability services or on nothing at all.</w:t>
      </w:r>
    </w:p>
    <w:p w14:paraId="3BCF1E0A" w14:textId="77777777" w:rsidR="009F3BC5" w:rsidRPr="009A1A80" w:rsidRDefault="00880B11">
      <w:pPr>
        <w:spacing w:after="200" w:line="300" w:lineRule="auto"/>
        <w:jc w:val="both"/>
        <w:rPr>
          <w:lang w:val="en-GB"/>
        </w:rPr>
      </w:pPr>
      <w:r w:rsidRPr="009A1A80">
        <w:rPr>
          <w:lang w:val="en-GB"/>
        </w:rPr>
        <w:t xml:space="preserve">The Committee has consistently recognised that persons with disabilities in conflict and post-conflict settings, and persons whose impairments arise from State violence, are entitled to the full range of Convention protections, including </w:t>
      </w:r>
      <w:proofErr w:type="spellStart"/>
      <w:r w:rsidRPr="009A1A80">
        <w:rPr>
          <w:lang w:val="en-GB"/>
        </w:rPr>
        <w:t>habilitation</w:t>
      </w:r>
      <w:proofErr w:type="spellEnd"/>
      <w:r w:rsidRPr="009A1A80">
        <w:rPr>
          <w:lang w:val="en-GB"/>
        </w:rPr>
        <w:t xml:space="preserve"> and rehabilitation (Article 26), an adequate standard of living and social protection (Article 28), and protection from discrimination (Article 5). This submission asks the Committee to put these obligations squarely before the State party in the List of Issues Prior to Reporting and in its Concluding Observations, and to request disaggregated data, by ethnicity, region, and combatant status, on war-disabled persons - data which, as set out below, the State party has never systematically collected or publi</w:t>
      </w:r>
      <w:r w:rsidRPr="009A1A80">
        <w:rPr>
          <w:lang w:val="en-GB"/>
        </w:rPr>
        <w:t>shed.</w:t>
      </w:r>
    </w:p>
    <w:p w14:paraId="13C03E33" w14:textId="08BB74E5" w:rsidR="009F3BC5" w:rsidRPr="009A1A80" w:rsidRDefault="00880B11">
      <w:pPr>
        <w:pStyle w:val="Heading1"/>
        <w:rPr>
          <w:lang w:val="en-GB"/>
        </w:rPr>
      </w:pPr>
      <w:bookmarkStart w:id="3" w:name="_Toc235393935"/>
      <w:r w:rsidRPr="009A1A80">
        <w:rPr>
          <w:lang w:val="en-GB"/>
        </w:rPr>
        <w:t>II. Methodology and Consultation Process</w:t>
      </w:r>
      <w:bookmarkEnd w:id="3"/>
    </w:p>
    <w:p w14:paraId="511EF8D4" w14:textId="77777777" w:rsidR="009F3BC5" w:rsidRPr="009A1A80" w:rsidRDefault="00880B11">
      <w:pPr>
        <w:spacing w:after="200" w:line="300" w:lineRule="auto"/>
        <w:jc w:val="both"/>
        <w:rPr>
          <w:lang w:val="en-GB"/>
        </w:rPr>
      </w:pPr>
      <w:r w:rsidRPr="009A1A80">
        <w:rPr>
          <w:lang w:val="en-GB"/>
        </w:rPr>
        <w:t>This report draws on several sources gathered over the course of 2025 and 2026: structured interviews conducted, through partner networks, with families of disabled former combatants and disabled civilians in Kilinochchi, Mullaitivu, Mannar</w:t>
      </w:r>
      <w:r w:rsidRPr="009A1A80">
        <w:rPr>
          <w:lang w:val="en-GB"/>
        </w:rPr>
        <w:t>, Vavuniya and Jaffna districts; consultations with Eelam Tamil diaspora associations in France with ongoing contact with communities in the North-East; a review of United Nations documentation, including the 2015 report of the Office of the High Commissioner for Human Rights Investigation on Sri Lanka (OISL)[2] and the concluding observations of other treaty bodies on Sri Lanka; a review of published research and field reporting by the International Committee of the Red Cross (ICRC), the International Comm</w:t>
      </w:r>
      <w:r w:rsidRPr="009A1A80">
        <w:rPr>
          <w:lang w:val="en-GB"/>
        </w:rPr>
        <w:t xml:space="preserve">ission of Jurists (ICJ), the Centre for Policy Alternatives (CPA), the International Truth and Justice Project (ITJP), and humanitarian news services; and a review of Sri Lankan domestic law, including the Protection of the Rights of Persons with Disabilities Act No. 28 of 1996, the Rana </w:t>
      </w:r>
      <w:r w:rsidRPr="009A1A80">
        <w:rPr>
          <w:lang w:val="en-GB"/>
        </w:rPr>
        <w:t>Viru Seva Authority Act No. 54 of 1999, and the Office for Reparations Act No. 34 of 2018.</w:t>
      </w:r>
    </w:p>
    <w:p w14:paraId="2C3CAFBD" w14:textId="77777777" w:rsidR="009F3BC5" w:rsidRPr="009A1A80" w:rsidRDefault="00880B11">
      <w:pPr>
        <w:spacing w:after="200" w:line="300" w:lineRule="auto"/>
        <w:jc w:val="both"/>
        <w:rPr>
          <w:lang w:val="en-GB"/>
        </w:rPr>
      </w:pPr>
      <w:r w:rsidRPr="009A1A80">
        <w:rPr>
          <w:lang w:val="en-GB"/>
        </w:rPr>
        <w:t>Given continuing restrictions on independent research, monitoring and freedom of movement in the former conflict zones, and the climate of surveillance and intimidation documented by multiple mandate holders and civil society bodies in the North-East, this report does not purport to be statistically exhaustive. It should be read as indicative of patterns that AETF considers require the Committee's direct inquiry of the State party, rather than as a comprehensive census.</w:t>
      </w:r>
    </w:p>
    <w:p w14:paraId="2F2EAD85" w14:textId="10D43B56" w:rsidR="009F3BC5" w:rsidRPr="009A1A80" w:rsidRDefault="00880B11">
      <w:pPr>
        <w:pStyle w:val="Heading1"/>
        <w:rPr>
          <w:lang w:val="en-GB"/>
        </w:rPr>
      </w:pPr>
      <w:bookmarkStart w:id="4" w:name="_Toc235393936"/>
      <w:r w:rsidRPr="009A1A80">
        <w:rPr>
          <w:lang w:val="en-GB"/>
        </w:rPr>
        <w:t>I</w:t>
      </w:r>
      <w:r w:rsidR="00BB7C7D">
        <w:rPr>
          <w:lang w:val="en-GB"/>
        </w:rPr>
        <w:t>II</w:t>
      </w:r>
      <w:r w:rsidRPr="009A1A80">
        <w:rPr>
          <w:lang w:val="en-GB"/>
        </w:rPr>
        <w:t>. Background: Conflict, Disability, and Continuing Militarisation</w:t>
      </w:r>
      <w:bookmarkEnd w:id="4"/>
    </w:p>
    <w:p w14:paraId="2CC38236" w14:textId="77777777" w:rsidR="009F3BC5" w:rsidRPr="009A1A80" w:rsidRDefault="00880B11">
      <w:pPr>
        <w:spacing w:after="200" w:line="300" w:lineRule="auto"/>
        <w:jc w:val="both"/>
        <w:rPr>
          <w:lang w:val="en-GB"/>
        </w:rPr>
      </w:pPr>
      <w:r w:rsidRPr="009A1A80">
        <w:rPr>
          <w:lang w:val="en-GB"/>
        </w:rPr>
        <w:t xml:space="preserve">The armed conflict between the Government of Sri Lanka and the LTTE lasted from 1983 to May 2009 and produced, on all sides, very high numbers of persons with permanent physical, sensory and psychosocial disabilities. Field organisations working in the North have long estimated that between 10,000 and 40,000 people in the Northern Province alone live with war-related disabilities, </w:t>
      </w:r>
      <w:r w:rsidRPr="009A1A80">
        <w:rPr>
          <w:lang w:val="en-GB"/>
        </w:rPr>
        <w:lastRenderedPageBreak/>
        <w:t xml:space="preserve">a range civil society actors themselves acknowledge is imprecise because the State has never conducted a dedicated, disaggregated survey of the war-disabled </w:t>
      </w:r>
      <w:proofErr w:type="gramStart"/>
      <w:r w:rsidRPr="009A1A80">
        <w:rPr>
          <w:lang w:val="en-GB"/>
        </w:rPr>
        <w:t>population[</w:t>
      </w:r>
      <w:proofErr w:type="gramEnd"/>
      <w:r w:rsidRPr="009A1A80">
        <w:rPr>
          <w:lang w:val="en-GB"/>
        </w:rPr>
        <w:t>3].</w:t>
      </w:r>
    </w:p>
    <w:p w14:paraId="6367229D" w14:textId="77777777" w:rsidR="009F3BC5" w:rsidRPr="009A1A80" w:rsidRDefault="00880B11">
      <w:pPr>
        <w:spacing w:after="200" w:line="300" w:lineRule="auto"/>
        <w:jc w:val="both"/>
        <w:rPr>
          <w:lang w:val="en-GB"/>
        </w:rPr>
      </w:pPr>
      <w:r w:rsidRPr="009A1A80">
        <w:rPr>
          <w:lang w:val="en-GB"/>
        </w:rPr>
        <w:t>In the final months of the conflict, up to and including the events of May 2009 in the Mullivaikkal</w:t>
      </w:r>
      <w:r w:rsidRPr="009A1A80">
        <w:rPr>
          <w:lang w:val="en-GB"/>
        </w:rPr>
        <w:t xml:space="preserve"> area, tens of thousands of civilians and combatants were killed or injured inside </w:t>
      </w:r>
      <w:proofErr w:type="gramStart"/>
      <w:r w:rsidRPr="009A1A80">
        <w:rPr>
          <w:lang w:val="en-GB"/>
        </w:rPr>
        <w:t>government-declared</w:t>
      </w:r>
      <w:proofErr w:type="gramEnd"/>
      <w:r w:rsidRPr="009A1A80">
        <w:rPr>
          <w:lang w:val="en-GB"/>
        </w:rPr>
        <w:t xml:space="preserve"> "No Fire Zones." The 2015 OISL report found reasonable grounds to believe that serious violations of international humanitarian and human rights law occurred in this period, including attacks on hospitals and shelling of areas with high concentrations of civilians and wounded </w:t>
      </w:r>
      <w:proofErr w:type="gramStart"/>
      <w:r w:rsidRPr="009A1A80">
        <w:rPr>
          <w:lang w:val="en-GB"/>
        </w:rPr>
        <w:t>combatants[</w:t>
      </w:r>
      <w:proofErr w:type="gramEnd"/>
      <w:r w:rsidRPr="009A1A80">
        <w:rPr>
          <w:lang w:val="en-GB"/>
        </w:rPr>
        <w:t>2]. Many survivors from this period live today with amputations, blindness, spinal cord injuries and shrapnel-related impairments that were never adequately treated at the time and have not been rehabilitated since.</w:t>
      </w:r>
    </w:p>
    <w:p w14:paraId="06A7C871" w14:textId="77777777" w:rsidR="009F3BC5" w:rsidRPr="009A1A80" w:rsidRDefault="00880B11">
      <w:pPr>
        <w:spacing w:after="200" w:line="300" w:lineRule="auto"/>
        <w:jc w:val="both"/>
        <w:rPr>
          <w:lang w:val="en-GB"/>
        </w:rPr>
      </w:pPr>
      <w:r w:rsidRPr="009A1A80">
        <w:rPr>
          <w:lang w:val="en-GB"/>
        </w:rPr>
        <w:t>Following the end of the conflict, more than 11,800 former LTTE combatants were processed through a state-run "rehabilitation" programme, most between 2009 and 2011, with the last cases concluding around 2021[4][5]. Participation, or completion of up to roughly two years in a rehabilitation facility, was presented as a condition for receiving an amnesty from prosecution; those who did not complete the programme faced terrorism charges, typically under the Prevention of Terrorism Act (PTA</w:t>
      </w:r>
      <w:proofErr w:type="gramStart"/>
      <w:r w:rsidRPr="009A1A80">
        <w:rPr>
          <w:lang w:val="en-GB"/>
        </w:rPr>
        <w:t>)[</w:t>
      </w:r>
      <w:proofErr w:type="gramEnd"/>
      <w:r w:rsidRPr="009A1A80">
        <w:rPr>
          <w:lang w:val="en-GB"/>
        </w:rPr>
        <w:t xml:space="preserve">4]. Independent legal observers, including the International Commission of Jurists, have raised concerns about the lawfulness of this mass, extended administrative detention and about the limited access of independent monitors to the facilities during the relevant </w:t>
      </w:r>
      <w:proofErr w:type="gramStart"/>
      <w:r w:rsidRPr="009A1A80">
        <w:rPr>
          <w:lang w:val="en-GB"/>
        </w:rPr>
        <w:t>period[</w:t>
      </w:r>
      <w:proofErr w:type="gramEnd"/>
      <w:r w:rsidRPr="009A1A80">
        <w:rPr>
          <w:lang w:val="en-GB"/>
        </w:rPr>
        <w:t>6].</w:t>
      </w:r>
    </w:p>
    <w:p w14:paraId="6DC13DA3" w14:textId="77777777" w:rsidR="009F3BC5" w:rsidRPr="009A1A80" w:rsidRDefault="00880B11">
      <w:pPr>
        <w:spacing w:after="200" w:line="300" w:lineRule="auto"/>
        <w:jc w:val="both"/>
        <w:rPr>
          <w:lang w:val="en-GB"/>
        </w:rPr>
      </w:pPr>
      <w:r w:rsidRPr="009A1A80">
        <w:rPr>
          <w:lang w:val="en-GB"/>
        </w:rPr>
        <w:t>Seventeen years after the end of the conflict, the North-East of Sri Lanka remains subject to a level of military presence disproportionate to any current security need. High Security Zones, military-run economic enterprises, military occupation of private and religious land, and a dense network of army camps and checkpoints continue to shape daily life for Eelam Tamils, including persons with disabilities who must navigate this environment to reach clinics, schools, courts and social services. This continu</w:t>
      </w:r>
      <w:r w:rsidRPr="009A1A80">
        <w:rPr>
          <w:lang w:val="en-GB"/>
        </w:rPr>
        <w:t>ing militarisation is the backdrop against which every article of the Convention discussed below must be read.</w:t>
      </w:r>
    </w:p>
    <w:p w14:paraId="296684F6" w14:textId="77777777" w:rsidR="009F3BC5" w:rsidRPr="009A1A80" w:rsidRDefault="00880B11">
      <w:pPr>
        <w:spacing w:after="200" w:line="300" w:lineRule="auto"/>
        <w:jc w:val="both"/>
        <w:rPr>
          <w:lang w:val="en-GB"/>
        </w:rPr>
      </w:pPr>
      <w:r w:rsidRPr="009A1A80">
        <w:rPr>
          <w:lang w:val="en-GB"/>
        </w:rPr>
        <w:t>Meanwhile, the State maintains, for its own security forces personnel disabled or killed in the same conflict, a dedicated statutory body: the Rana Viru</w:t>
      </w:r>
      <w:r w:rsidRPr="009A1A80">
        <w:rPr>
          <w:lang w:val="en-GB"/>
        </w:rPr>
        <w:t xml:space="preserve"> Seva Authority, established under Act No. 54 of 1999, which provides pensions, medical benefits, housing assistance, and other lifetime entitlements to "war heroes" and their families. No equivalent authority, fund, or programme exists for Tamil civilians disabled by the conflict, still less for former LTTE combatants disabled in combat, in detention, or during rehabilitation. This asymmetry runs through the entire analysis that follows.</w:t>
      </w:r>
    </w:p>
    <w:p w14:paraId="5D0796D3" w14:textId="77777777" w:rsidR="009F3BC5" w:rsidRPr="009A1A80" w:rsidRDefault="00880B11">
      <w:pPr>
        <w:spacing w:after="200" w:line="300" w:lineRule="auto"/>
        <w:jc w:val="both"/>
        <w:rPr>
          <w:lang w:val="en-GB"/>
        </w:rPr>
      </w:pPr>
      <w:r w:rsidRPr="009A1A80">
        <w:rPr>
          <w:lang w:val="en-GB"/>
        </w:rPr>
        <w:t xml:space="preserve">Sri Lankan officials responsible for the rehabilitation programme have, in retrospect, presented it publicly as a successful model of reintegration, citing the absence of any documented return to militancy among the roughly twelve thousand rehabilitees over the seventeen years since the programme's conclusion as its clearest </w:t>
      </w:r>
      <w:proofErr w:type="gramStart"/>
      <w:r w:rsidRPr="009A1A80">
        <w:rPr>
          <w:lang w:val="en-GB"/>
        </w:rPr>
        <w:t>vindication[</w:t>
      </w:r>
      <w:proofErr w:type="gramEnd"/>
      <w:r w:rsidRPr="009A1A80">
        <w:rPr>
          <w:lang w:val="en-GB"/>
        </w:rPr>
        <w:t>13]. AETF does not dispute that the great majority of former combatants have not resumed any form of political violence. It observes, however, that a programme's success in preventing recidivism is a distinct question from whether it, or any subsequent state programme, has met the medical, rehabilitative and reparative needs of those within it who were disabled - a question on which the same retrospective accounts are silent, and on which, as detailed in Section IV below, no dedicated tracking or support st</w:t>
      </w:r>
      <w:r w:rsidRPr="009A1A80">
        <w:rPr>
          <w:lang w:val="en-GB"/>
        </w:rPr>
        <w:t>ructure has ever been established, in contrast to the pension and monitoring architecture that exists for veterans of the state's own security forces[13].</w:t>
      </w:r>
    </w:p>
    <w:p w14:paraId="0732051B" w14:textId="77777777" w:rsidR="009F3BC5" w:rsidRPr="009A1A80" w:rsidRDefault="00880B11">
      <w:pPr>
        <w:spacing w:after="200" w:line="300" w:lineRule="auto"/>
        <w:jc w:val="both"/>
        <w:rPr>
          <w:lang w:val="en-GB"/>
        </w:rPr>
      </w:pPr>
      <w:r w:rsidRPr="009A1A80">
        <w:rPr>
          <w:lang w:val="en-GB"/>
        </w:rPr>
        <w:lastRenderedPageBreak/>
        <w:t>This gap has been noted, in more general terms, by policy researchers examining Sri Lanka's post-war recovery, who have observed that while thousands of former combatants passed through a closely studied reintegration programme, and hundreds of thousands of state security personnel returned home from the same conflict, neither group has been the subject of sustained, individualised, long-term health monitoring, and that this absence of monitoring - rather than any shortage of technical expertise - constitut</w:t>
      </w:r>
      <w:r w:rsidRPr="009A1A80">
        <w:rPr>
          <w:lang w:val="en-GB"/>
        </w:rPr>
        <w:t>es the central and continuing policy failure[13]. AETF agrees with this diagnosis so far as it goes, but stresses that the two groups are not similarly situated: security force veterans receive a service pension recognising their military service, providing at minimum a baseline of income security that disabled former combatants, formally without any recognised entitlement flowing from their conflict experience, entirely lack.</w:t>
      </w:r>
    </w:p>
    <w:p w14:paraId="24FA983B" w14:textId="38F512C2" w:rsidR="009F3BC5" w:rsidRPr="009A1A80" w:rsidRDefault="00BB7C7D">
      <w:pPr>
        <w:pStyle w:val="Heading1"/>
        <w:rPr>
          <w:lang w:val="en-GB"/>
        </w:rPr>
      </w:pPr>
      <w:bookmarkStart w:id="5" w:name="_Toc235393937"/>
      <w:r>
        <w:rPr>
          <w:lang w:val="en-GB"/>
        </w:rPr>
        <w:t>I</w:t>
      </w:r>
      <w:r w:rsidRPr="009A1A80">
        <w:rPr>
          <w:lang w:val="en-GB"/>
        </w:rPr>
        <w:t>V. Focus: The Invisible Caseload — Former Combatants Disabled by Security Forces</w:t>
      </w:r>
      <w:bookmarkEnd w:id="5"/>
    </w:p>
    <w:p w14:paraId="3CAEC47C" w14:textId="77777777" w:rsidR="009F3BC5" w:rsidRPr="009A1A80" w:rsidRDefault="00880B11">
      <w:pPr>
        <w:spacing w:after="200" w:line="300" w:lineRule="auto"/>
        <w:jc w:val="both"/>
        <w:rPr>
          <w:lang w:val="en-GB"/>
        </w:rPr>
      </w:pPr>
      <w:r w:rsidRPr="009A1A80">
        <w:rPr>
          <w:lang w:val="en-GB"/>
        </w:rPr>
        <w:t>This section responds directly to the concern that prompted this submission: the situation of former LTTE combatants who were made disabled by the actions of Sri Lankan security forces - whether in the course of combat operations, during interrogation and detention, or during the extended administrative custody euphemistically termed "rehabilitation" - and who have to date received no compensation, no targeted medical assistance, and no formal acknowledgment of harm from the Government of Sri Lanka.</w:t>
      </w:r>
    </w:p>
    <w:p w14:paraId="17B4939A" w14:textId="77777777" w:rsidR="009F3BC5" w:rsidRPr="009A1A80" w:rsidRDefault="00880B11">
      <w:pPr>
        <w:spacing w:after="200" w:line="300" w:lineRule="auto"/>
        <w:jc w:val="both"/>
        <w:rPr>
          <w:lang w:val="en-GB"/>
        </w:rPr>
      </w:pPr>
      <w:r w:rsidRPr="009A1A80">
        <w:rPr>
          <w:lang w:val="en-GB"/>
        </w:rPr>
        <w:t>AETF emphasises that this population is legally and morally distinguishable from the broader category of war-disabled civilians addressed elsewhere in this report, precisely because the State itself, through its own rehabilitation and amnesty framework, has already implicitly acknowledged responsibility for this group's post-conflict status: by requiring them to pass through a state-run rehabilitation programme as the price of avoiding prosecution, the State assumed direct custodial and administrative respo</w:t>
      </w:r>
      <w:r w:rsidRPr="009A1A80">
        <w:rPr>
          <w:lang w:val="en-GB"/>
        </w:rPr>
        <w:t>nsibility for their welfare. That assumed responsibility has not been matched by any assumed responsibility for their disabilities.</w:t>
      </w:r>
    </w:p>
    <w:p w14:paraId="058F4A86" w14:textId="77777777" w:rsidR="009F3BC5" w:rsidRPr="009A1A80" w:rsidRDefault="00880B11">
      <w:pPr>
        <w:spacing w:after="200" w:line="300" w:lineRule="auto"/>
        <w:jc w:val="both"/>
        <w:rPr>
          <w:lang w:val="en-GB"/>
        </w:rPr>
      </w:pPr>
      <w:r w:rsidRPr="009A1A80">
        <w:rPr>
          <w:lang w:val="en-GB"/>
        </w:rPr>
        <w:t>Testimonies gathered through AETF's partner networks in the North-East describe a recurring pattern: an individual who surrendered or was captured at or after the end of the conflict in May 2009, who carried a combat-related injury - commonly gunshot wounds, shrapnel injuries, blast-related limb loss, or blindness - at the point of surrender; who received only emergency stabilisation, if that, before being transferred into the rehabilitation system; and who emerged from rehabilitation years later with the s</w:t>
      </w:r>
      <w:r w:rsidRPr="009A1A80">
        <w:rPr>
          <w:lang w:val="en-GB"/>
        </w:rPr>
        <w:t>ame unaddressed impairment, a criminal-adjacent administrative record, and no channel through which to seek compensation for either the original injury or its aggravation through delayed treatment.</w:t>
      </w:r>
    </w:p>
    <w:p w14:paraId="652AA668" w14:textId="77777777" w:rsidR="009F3BC5" w:rsidRPr="009A1A80" w:rsidRDefault="00880B11">
      <w:pPr>
        <w:spacing w:after="200" w:line="300" w:lineRule="auto"/>
        <w:jc w:val="both"/>
        <w:rPr>
          <w:lang w:val="en-GB"/>
        </w:rPr>
      </w:pPr>
      <w:r w:rsidRPr="009A1A80">
        <w:rPr>
          <w:lang w:val="en-GB"/>
        </w:rPr>
        <w:t>A distinct sub-pattern documented by regional civil society and legal monitors concerns disabilities acquired during, rather than before, the period of state custody: injuries attributed to conditions of detention, including inadequate medical care for pre-existing wounds, and in a smaller number of cases, injuries alleged to have resulted from ill-treatment during interrogation. Independent legal bodies have highlighted the difficulty of verifying such allegations given the restricted access afforded to in</w:t>
      </w:r>
      <w:r w:rsidRPr="009A1A80">
        <w:rPr>
          <w:lang w:val="en-GB"/>
        </w:rPr>
        <w:t xml:space="preserve">dependent monitors during the relevant </w:t>
      </w:r>
      <w:proofErr w:type="gramStart"/>
      <w:r w:rsidRPr="009A1A80">
        <w:rPr>
          <w:lang w:val="en-GB"/>
        </w:rPr>
        <w:t>period, but</w:t>
      </w:r>
      <w:proofErr w:type="gramEnd"/>
      <w:r w:rsidRPr="009A1A80">
        <w:rPr>
          <w:lang w:val="en-GB"/>
        </w:rPr>
        <w:t xml:space="preserve"> have also noted that this very restriction is itself evidence of a system not designed with independent accountability in </w:t>
      </w:r>
      <w:proofErr w:type="gramStart"/>
      <w:r w:rsidRPr="009A1A80">
        <w:rPr>
          <w:lang w:val="en-GB"/>
        </w:rPr>
        <w:t>mind[</w:t>
      </w:r>
      <w:proofErr w:type="gramEnd"/>
      <w:r w:rsidRPr="009A1A80">
        <w:rPr>
          <w:lang w:val="en-GB"/>
        </w:rPr>
        <w:t>6].</w:t>
      </w:r>
    </w:p>
    <w:p w14:paraId="303ED8AC" w14:textId="77777777" w:rsidR="009F3BC5" w:rsidRPr="009A1A80" w:rsidRDefault="00880B11">
      <w:pPr>
        <w:spacing w:after="200" w:line="300" w:lineRule="auto"/>
        <w:jc w:val="both"/>
        <w:rPr>
          <w:lang w:val="en-GB"/>
        </w:rPr>
      </w:pPr>
      <w:r w:rsidRPr="009A1A80">
        <w:rPr>
          <w:lang w:val="en-GB"/>
        </w:rPr>
        <w:lastRenderedPageBreak/>
        <w:t>Whatever the precise moment of onset, the consequence for the individual is the same: a permanent, often severe, disability acquired in a context for which the State bears direct or substantial responsibility, met with an official response limited to the same generic, under-resourced disability services available to the population at large - services that, as this report and the 2024 DOJF submission both document, are themselves failing to meet even the general population's needs, let alone the additional n</w:t>
      </w:r>
      <w:r w:rsidRPr="009A1A80">
        <w:rPr>
          <w:lang w:val="en-GB"/>
        </w:rPr>
        <w:t>eeds of a population managing complex war injuries alongside the practical and psychological burden of a rehabilitation record.</w:t>
      </w:r>
    </w:p>
    <w:p w14:paraId="760AFFBE" w14:textId="77777777" w:rsidR="009F3BC5" w:rsidRPr="009A1A80" w:rsidRDefault="00880B11">
      <w:pPr>
        <w:spacing w:after="200" w:line="300" w:lineRule="auto"/>
        <w:jc w:val="both"/>
        <w:rPr>
          <w:lang w:val="en-GB"/>
        </w:rPr>
      </w:pPr>
      <w:r w:rsidRPr="009A1A80">
        <w:rPr>
          <w:lang w:val="en-GB"/>
        </w:rPr>
        <w:t>AETF is not aware of a single documented case in which a former combatant disabled in this manner has received a formal compensation award, a disability pension, or an individualised rehabilitation plan from any Sri Lankan state authority, whether through the Office for Reparations, the predecessor REPPIA compensation scheme, or any Ministry of Social Services programme. This is consistent with the finding of independent researchers that predecessor compensation frameworks explicitly treated the families of</w:t>
      </w:r>
      <w:r w:rsidRPr="009A1A80">
        <w:rPr>
          <w:lang w:val="en-GB"/>
        </w:rPr>
        <w:t xml:space="preserve"> former LTTE combatants as a lower priority than other categories of conflict victim, on the express assumption that such families were connected to a military rather than a civilian harm - an assumption with no basis once the person concerned is, in fact, a civilian survivor of state custody living with a permanent </w:t>
      </w:r>
      <w:proofErr w:type="gramStart"/>
      <w:r w:rsidRPr="009A1A80">
        <w:rPr>
          <w:lang w:val="en-GB"/>
        </w:rPr>
        <w:t>disability[</w:t>
      </w:r>
      <w:proofErr w:type="gramEnd"/>
      <w:r w:rsidRPr="009A1A80">
        <w:rPr>
          <w:lang w:val="en-GB"/>
        </w:rPr>
        <w:t>11][12].</w:t>
      </w:r>
    </w:p>
    <w:p w14:paraId="1F02243F" w14:textId="77777777" w:rsidR="009F3BC5" w:rsidRPr="009A1A80" w:rsidRDefault="00880B11">
      <w:pPr>
        <w:spacing w:after="200" w:line="300" w:lineRule="auto"/>
        <w:jc w:val="both"/>
        <w:rPr>
          <w:lang w:val="en-GB"/>
        </w:rPr>
      </w:pPr>
      <w:r w:rsidRPr="009A1A80">
        <w:rPr>
          <w:lang w:val="en-GB"/>
        </w:rPr>
        <w:t>The economic consequence of this exclusion compounds over time. Disabled former combatants interviewed through AETF's networks describe a cycle in which the absence of adequate prosthetic or mobility support limits their capacity to take up the vocational skills learned in rehabilitation, which in turn limits household income, which in turn makes private-sector medical or prosthetic care unaffordable - a cycle that a modest, targeted compensation or rehabilitation programme could break, and which the genera</w:t>
      </w:r>
      <w:r w:rsidRPr="009A1A80">
        <w:rPr>
          <w:lang w:val="en-GB"/>
        </w:rPr>
        <w:t>l disability welfare system, chronically under-resourced even for the majority population, has shown no capacity to break on its own.</w:t>
      </w:r>
    </w:p>
    <w:p w14:paraId="3035410E" w14:textId="77777777" w:rsidR="009F3BC5" w:rsidRPr="009A1A80" w:rsidRDefault="00880B11">
      <w:pPr>
        <w:spacing w:after="200" w:line="300" w:lineRule="auto"/>
        <w:jc w:val="both"/>
        <w:rPr>
          <w:lang w:val="en-GB"/>
        </w:rPr>
      </w:pPr>
      <w:r w:rsidRPr="009A1A80">
        <w:rPr>
          <w:lang w:val="en-GB"/>
        </w:rPr>
        <w:t>AETF recognises that any compensation mechanism addressing this population will necessarily engage sensitive questions of transitional justice, reconciliation and accountability that extend beyond the Committee's mandate. AETF does not ask the Committee to adjudicate those broader questions. It asks only that the Committee recognise, within its own mandate under the Convention, that a person's entitlement to rehabilitation, an adequate standard of living, and freedom from discrimination on the basis of disa</w:t>
      </w:r>
      <w:r w:rsidRPr="009A1A80">
        <w:rPr>
          <w:lang w:val="en-GB"/>
        </w:rPr>
        <w:t xml:space="preserve">bility cannot lawfully be made contingent on their wartime affiliation, and that it </w:t>
      </w:r>
      <w:r w:rsidRPr="009A1A80">
        <w:rPr>
          <w:lang w:val="en-GB"/>
        </w:rPr>
        <w:t>request the State party to report specifically on what it has done, and what it intends to do, for this identifiable and still-living population.</w:t>
      </w:r>
    </w:p>
    <w:p w14:paraId="060D8A76"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50857236" w14:textId="77777777" w:rsidR="009F3BC5" w:rsidRPr="009A1A80" w:rsidRDefault="00880B11" w:rsidP="009A1A80">
      <w:pPr>
        <w:pStyle w:val="ListParagraph"/>
        <w:numPr>
          <w:ilvl w:val="0"/>
          <w:numId w:val="2"/>
        </w:numPr>
        <w:spacing w:after="120"/>
        <w:jc w:val="both"/>
        <w:rPr>
          <w:lang w:val="en-GB"/>
        </w:rPr>
      </w:pPr>
      <w:r w:rsidRPr="009A1A80">
        <w:rPr>
          <w:lang w:val="en-GB"/>
        </w:rPr>
        <w:t>How many former LTTE combatants who passed through the state rehabilitation programme are known to the Government to be living with a permanent disability, and what is the source of this figure?</w:t>
      </w:r>
    </w:p>
    <w:p w14:paraId="2A7B54F0" w14:textId="77777777" w:rsidR="009F3BC5" w:rsidRPr="009A1A80" w:rsidRDefault="00880B11" w:rsidP="009A1A80">
      <w:pPr>
        <w:pStyle w:val="ListParagraph"/>
        <w:numPr>
          <w:ilvl w:val="0"/>
          <w:numId w:val="2"/>
        </w:numPr>
        <w:spacing w:after="120"/>
        <w:jc w:val="both"/>
        <w:rPr>
          <w:lang w:val="en-GB"/>
        </w:rPr>
      </w:pPr>
      <w:r w:rsidRPr="009A1A80">
        <w:rPr>
          <w:lang w:val="en-GB"/>
        </w:rPr>
        <w:t>What specific compensation, pension, or rehabilitation entitlement, if any, is available to a former combatant who can demonstrate that their disability was acquired or aggravated during state custody, as distinct from general disability assistance?</w:t>
      </w:r>
    </w:p>
    <w:p w14:paraId="5876546D" w14:textId="77777777" w:rsidR="009F3BC5" w:rsidRPr="009A1A80" w:rsidRDefault="00880B11" w:rsidP="009A1A80">
      <w:pPr>
        <w:pStyle w:val="ListParagraph"/>
        <w:numPr>
          <w:ilvl w:val="0"/>
          <w:numId w:val="2"/>
        </w:numPr>
        <w:spacing w:after="120"/>
        <w:jc w:val="both"/>
        <w:rPr>
          <w:lang w:val="en-GB"/>
        </w:rPr>
      </w:pPr>
      <w:r w:rsidRPr="009A1A80">
        <w:rPr>
          <w:lang w:val="en-GB"/>
        </w:rPr>
        <w:t>What independent mechanism exists, or will be established, for a former combatant to have a disability claim relating to the conduct of security forces investigated and, where substantiated, remedied?</w:t>
      </w:r>
    </w:p>
    <w:p w14:paraId="4E91C040" w14:textId="77777777" w:rsidR="009F3BC5" w:rsidRPr="009A1A80" w:rsidRDefault="00880B11" w:rsidP="009A1A80">
      <w:pPr>
        <w:pStyle w:val="ListParagraph"/>
        <w:numPr>
          <w:ilvl w:val="0"/>
          <w:numId w:val="2"/>
        </w:numPr>
        <w:spacing w:after="120"/>
        <w:jc w:val="both"/>
        <w:rPr>
          <w:lang w:val="en-GB"/>
        </w:rPr>
      </w:pPr>
      <w:r w:rsidRPr="009A1A80">
        <w:rPr>
          <w:lang w:val="en-GB"/>
        </w:rPr>
        <w:lastRenderedPageBreak/>
        <w:t>Does the State party accept that its assumption of custodial responsibility for former combatants through the rehabilitation programme entails a corresponding responsibility for their health and disability outcomes during and after that custody?</w:t>
      </w:r>
    </w:p>
    <w:p w14:paraId="48892B3F" w14:textId="2CDD5F04" w:rsidR="009F3BC5" w:rsidRPr="009A1A80" w:rsidRDefault="00880B11">
      <w:pPr>
        <w:pStyle w:val="Heading1"/>
        <w:rPr>
          <w:lang w:val="en-GB"/>
        </w:rPr>
      </w:pPr>
      <w:bookmarkStart w:id="6" w:name="_Toc235393938"/>
      <w:r w:rsidRPr="009A1A80">
        <w:rPr>
          <w:lang w:val="en-GB"/>
        </w:rPr>
        <w:t>V. Illustrative Accounts</w:t>
      </w:r>
      <w:bookmarkEnd w:id="6"/>
    </w:p>
    <w:p w14:paraId="514CDB1D" w14:textId="77777777" w:rsidR="009F3BC5" w:rsidRPr="009A1A80" w:rsidRDefault="00880B11">
      <w:pPr>
        <w:spacing w:after="200" w:line="300" w:lineRule="auto"/>
        <w:jc w:val="both"/>
        <w:rPr>
          <w:lang w:val="en-GB"/>
        </w:rPr>
      </w:pPr>
      <w:r w:rsidRPr="009A1A80">
        <w:rPr>
          <w:lang w:val="en-GB"/>
        </w:rPr>
        <w:t>The following accounts are composite illustrations, constructed from multiple, similar testimonies gathered through AETF's partner networks in order to protect the identity and security of the individuals concerned, who remain resident in areas subject to continuing security monitoring. They are presented not as verified individual case files but as representative of recurring patterns described independently by multiple families and consistent with the documented patterns referenced elsewhere in this repor</w:t>
      </w:r>
      <w:r w:rsidRPr="009A1A80">
        <w:rPr>
          <w:lang w:val="en-GB"/>
        </w:rPr>
        <w:t>t.</w:t>
      </w:r>
    </w:p>
    <w:p w14:paraId="0C7ECF77" w14:textId="77777777" w:rsidR="009F3BC5" w:rsidRPr="009A1A80" w:rsidRDefault="00880B11">
      <w:pPr>
        <w:spacing w:after="200" w:line="300" w:lineRule="auto"/>
        <w:jc w:val="both"/>
        <w:rPr>
          <w:lang w:val="en-GB"/>
        </w:rPr>
      </w:pPr>
      <w:r w:rsidRPr="009A1A80">
        <w:rPr>
          <w:lang w:val="en-GB"/>
        </w:rPr>
        <w:t>A man in his late fifties in Kilinochchi district lost the use of his right leg to a blast injury in the final weeks of the conflict in 2009. He passed through approximately eighteen months of the state rehabilitation programme before release. Fifteen years later, he has never received a wheelchair, prosthetic support, or any assessment of his mobility needs from a state agency; his family purchased a basic wheelchair with money raised informally within the community. He has applied twice, unsuccessfully, f</w:t>
      </w:r>
      <w:r w:rsidRPr="009A1A80">
        <w:rPr>
          <w:lang w:val="en-GB"/>
        </w:rPr>
        <w:t>or a disability grant, and reports being told on both occasions that his file could not be processed without clarification of his "status," a term he understood to refer to his rehabilitation record.</w:t>
      </w:r>
    </w:p>
    <w:p w14:paraId="77E9B93B" w14:textId="77777777" w:rsidR="009F3BC5" w:rsidRPr="009A1A80" w:rsidRDefault="00880B11">
      <w:pPr>
        <w:spacing w:after="200" w:line="300" w:lineRule="auto"/>
        <w:jc w:val="both"/>
        <w:rPr>
          <w:lang w:val="en-GB"/>
        </w:rPr>
      </w:pPr>
      <w:r w:rsidRPr="009A1A80">
        <w:rPr>
          <w:lang w:val="en-GB"/>
        </w:rPr>
        <w:t>A woman in her early forties in Mullaitivu district, formerly associated with the LTTE in a non-combat support role, sustained a spinal injury during the final phase of the conflict that has left her with significant mobility impairment. She reports being unable to access reproductive health services locally because the nearest clinic with appropriate accessible facilities requires a journey she cannot make without assistance, and because she fears that raising her medical history at a facility linked to st</w:t>
      </w:r>
      <w:r w:rsidRPr="009A1A80">
        <w:rPr>
          <w:lang w:val="en-GB"/>
        </w:rPr>
        <w:t>ate health administration will result in her rehabilitation record being noted in a file she does not control. She receives no income and is entirely dependent on relatives.</w:t>
      </w:r>
    </w:p>
    <w:p w14:paraId="5C7404B1" w14:textId="77777777" w:rsidR="009F3BC5" w:rsidRPr="009A1A80" w:rsidRDefault="00880B11">
      <w:pPr>
        <w:spacing w:after="200" w:line="300" w:lineRule="auto"/>
        <w:jc w:val="both"/>
        <w:rPr>
          <w:lang w:val="en-GB"/>
        </w:rPr>
      </w:pPr>
      <w:r w:rsidRPr="009A1A80">
        <w:rPr>
          <w:lang w:val="en-GB"/>
        </w:rPr>
        <w:t>A young man in Jaffna district was seventeen years old when he was recruited, and eighteen when he was taken into state custody at the end of the conflict; he reports having acquired a hearing impairment during a period of detention, though he is unable to obtain any medical record from that period to substantiate the cause. Now in his mid-thirties, he has never worked in stable employment, cites both his hearing impairment and the practical difficulty of explaining his rehabilitation record to employers, a</w:t>
      </w:r>
      <w:r w:rsidRPr="009A1A80">
        <w:rPr>
          <w:lang w:val="en-GB"/>
        </w:rPr>
        <w:t>nd has never been contacted by, or been able to successfully contact, any state agency regarding compensation.</w:t>
      </w:r>
    </w:p>
    <w:p w14:paraId="69E4E8AB" w14:textId="77777777" w:rsidR="009F3BC5" w:rsidRPr="009A1A80" w:rsidRDefault="00880B11">
      <w:pPr>
        <w:spacing w:after="200" w:line="300" w:lineRule="auto"/>
        <w:jc w:val="both"/>
        <w:rPr>
          <w:lang w:val="en-GB"/>
        </w:rPr>
      </w:pPr>
      <w:r w:rsidRPr="009A1A80">
        <w:rPr>
          <w:lang w:val="en-GB"/>
        </w:rPr>
        <w:t>AETF presents these accounts not to establish individual legal claims - a task properly reserved for a competent domestic or international mechanism with the capacity to verify facts - but to illustrate, in human terms, the structural gap in State provision that the remainder of this report documents through institutional and statistical analysis.</w:t>
      </w:r>
    </w:p>
    <w:p w14:paraId="0DBED751" w14:textId="4392DB51" w:rsidR="009F3BC5" w:rsidRPr="009A1A80" w:rsidRDefault="00880B11">
      <w:pPr>
        <w:pStyle w:val="Heading1"/>
        <w:rPr>
          <w:lang w:val="en-GB"/>
        </w:rPr>
      </w:pPr>
      <w:bookmarkStart w:id="7" w:name="_Toc235393939"/>
      <w:r w:rsidRPr="009A1A80">
        <w:rPr>
          <w:lang w:val="en-GB"/>
        </w:rPr>
        <w:t xml:space="preserve">VI. Article 6 — Women </w:t>
      </w:r>
      <w:proofErr w:type="gramStart"/>
      <w:r w:rsidRPr="009A1A80">
        <w:rPr>
          <w:lang w:val="en-GB"/>
        </w:rPr>
        <w:t>With</w:t>
      </w:r>
      <w:proofErr w:type="gramEnd"/>
      <w:r w:rsidRPr="009A1A80">
        <w:rPr>
          <w:lang w:val="en-GB"/>
        </w:rPr>
        <w:t xml:space="preserve"> Disabilities</w:t>
      </w:r>
      <w:bookmarkEnd w:id="7"/>
    </w:p>
    <w:p w14:paraId="6D57072E" w14:textId="77777777" w:rsidR="009F3BC5" w:rsidRPr="009A1A80" w:rsidRDefault="00880B11">
      <w:pPr>
        <w:spacing w:after="200" w:line="300" w:lineRule="auto"/>
        <w:jc w:val="both"/>
        <w:rPr>
          <w:lang w:val="en-GB"/>
        </w:rPr>
      </w:pPr>
      <w:r w:rsidRPr="009A1A80">
        <w:rPr>
          <w:lang w:val="en-GB"/>
        </w:rPr>
        <w:t xml:space="preserve">Women formerly associated with the LTTE who acquired disabilities in combat, in detention, or during rehabilitation face a distinct and compounded form of marginalisation. Sri Lankan and international civil society reporting on female ex-combatants consistently describes a pattern of </w:t>
      </w:r>
      <w:r w:rsidRPr="009A1A80">
        <w:rPr>
          <w:lang w:val="en-GB"/>
        </w:rPr>
        <w:lastRenderedPageBreak/>
        <w:t>family and community rejection tied to wartime association, a pattern that a visible physical disability appears to intensify rather than soften, contrary to the mitigating effect a disability might be expected to have on social judgment in other contexts.</w:t>
      </w:r>
    </w:p>
    <w:p w14:paraId="3EBB57DD" w14:textId="77777777" w:rsidR="009F3BC5" w:rsidRPr="009A1A80" w:rsidRDefault="00880B11">
      <w:pPr>
        <w:spacing w:after="200" w:line="300" w:lineRule="auto"/>
        <w:jc w:val="both"/>
        <w:rPr>
          <w:lang w:val="en-GB"/>
        </w:rPr>
      </w:pPr>
      <w:r w:rsidRPr="009A1A80">
        <w:rPr>
          <w:lang w:val="en-GB"/>
        </w:rPr>
        <w:t>Access to sexual and reproductive health information and services, already limited for women with disabilities generally as documented in the 2024 DOJF submission, is effectively unavailable in a form adapted to the specific needs of disabled former female combatants, who additionally report reluctance to approach general health services for fear that a rehabilitation record will be raised or recorded. No specialised outreach programme, governmental or non-governmental, currently targets this specific group</w:t>
      </w:r>
      <w:r w:rsidRPr="009A1A80">
        <w:rPr>
          <w:lang w:val="en-GB"/>
        </w:rPr>
        <w:t>.</w:t>
      </w:r>
    </w:p>
    <w:p w14:paraId="34267F58" w14:textId="77777777" w:rsidR="009F3BC5" w:rsidRPr="009A1A80" w:rsidRDefault="00880B11">
      <w:pPr>
        <w:spacing w:after="200" w:line="300" w:lineRule="auto"/>
        <w:jc w:val="both"/>
        <w:rPr>
          <w:lang w:val="en-GB"/>
        </w:rPr>
      </w:pPr>
      <w:r w:rsidRPr="009A1A80">
        <w:rPr>
          <w:lang w:val="en-GB"/>
        </w:rPr>
        <w:t>Economic inactivity among disabled women in the general Tamil population of the North-East is already high; AETF's partner contacts describe economic inactivity among disabled former female combatants as effectively total, given the combination of disability-related barriers, wartime-association stigma in seeking employment, and the practical difficulty of accessing even the limited vocational support available to non-disabled former female combatants.</w:t>
      </w:r>
    </w:p>
    <w:p w14:paraId="43F02670"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6EFF7DDC" w14:textId="77777777" w:rsidR="009F3BC5" w:rsidRPr="009A1A80" w:rsidRDefault="00880B11" w:rsidP="009A1A80">
      <w:pPr>
        <w:pStyle w:val="ListParagraph"/>
        <w:numPr>
          <w:ilvl w:val="0"/>
          <w:numId w:val="2"/>
        </w:numPr>
        <w:spacing w:after="120"/>
        <w:jc w:val="both"/>
        <w:rPr>
          <w:lang w:val="en-GB"/>
        </w:rPr>
      </w:pPr>
      <w:r w:rsidRPr="009A1A80">
        <w:rPr>
          <w:lang w:val="en-GB"/>
        </w:rPr>
        <w:t>What targeted health, economic and psychosocial support exists for women formerly associated with the LTTE who are living with disabilities?</w:t>
      </w:r>
    </w:p>
    <w:p w14:paraId="5A8C65B2" w14:textId="77777777" w:rsidR="009F3BC5" w:rsidRPr="009A1A80" w:rsidRDefault="00880B11" w:rsidP="009A1A80">
      <w:pPr>
        <w:pStyle w:val="ListParagraph"/>
        <w:numPr>
          <w:ilvl w:val="0"/>
          <w:numId w:val="2"/>
        </w:numPr>
        <w:spacing w:after="120"/>
        <w:jc w:val="both"/>
        <w:rPr>
          <w:lang w:val="en-GB"/>
        </w:rPr>
      </w:pPr>
      <w:r w:rsidRPr="009A1A80">
        <w:rPr>
          <w:lang w:val="en-GB"/>
        </w:rPr>
        <w:t>Has the State party assessed rates of economic activity, healthcare access, or family and community integration among this specific group, disaggregated from the wider population of women with disabilities?</w:t>
      </w:r>
    </w:p>
    <w:p w14:paraId="57263268" w14:textId="73F49B79" w:rsidR="009F3BC5" w:rsidRPr="009A1A80" w:rsidRDefault="00880B11">
      <w:pPr>
        <w:pStyle w:val="Heading1"/>
        <w:rPr>
          <w:lang w:val="en-GB"/>
        </w:rPr>
      </w:pPr>
      <w:bookmarkStart w:id="8" w:name="_Toc235393940"/>
      <w:r w:rsidRPr="009A1A80">
        <w:rPr>
          <w:lang w:val="en-GB"/>
        </w:rPr>
        <w:t>VII. Article 7 — Children of Disabled Former Combatants</w:t>
      </w:r>
      <w:bookmarkEnd w:id="8"/>
    </w:p>
    <w:p w14:paraId="6F68AA54" w14:textId="77777777" w:rsidR="009F3BC5" w:rsidRPr="009A1A80" w:rsidRDefault="00880B11">
      <w:pPr>
        <w:spacing w:after="200" w:line="300" w:lineRule="auto"/>
        <w:jc w:val="both"/>
        <w:rPr>
          <w:lang w:val="en-GB"/>
        </w:rPr>
      </w:pPr>
      <w:r w:rsidRPr="009A1A80">
        <w:rPr>
          <w:lang w:val="en-GB"/>
        </w:rPr>
        <w:t xml:space="preserve">Children in households headed by a disabled former combatant face a distinct combination of vulnerabilities: reduced household income due to the parent's disability and associated employment exclusion; heightened exposure to child labour or early withdrawal from school where the household cannot otherwise meet its needs; and a specific form of social stigma tied to the parent's wartime association that compounds the disability-related stigma documented for children of disabled parents generally in the 2024 </w:t>
      </w:r>
      <w:r w:rsidRPr="009A1A80">
        <w:rPr>
          <w:lang w:val="en-GB"/>
        </w:rPr>
        <w:t>DOJF submission.</w:t>
      </w:r>
    </w:p>
    <w:p w14:paraId="1D5B3D99" w14:textId="77777777" w:rsidR="009F3BC5" w:rsidRPr="009A1A80" w:rsidRDefault="00880B11">
      <w:pPr>
        <w:spacing w:after="200" w:line="300" w:lineRule="auto"/>
        <w:jc w:val="both"/>
        <w:rPr>
          <w:lang w:val="en-GB"/>
        </w:rPr>
      </w:pPr>
      <w:r w:rsidRPr="009A1A80">
        <w:rPr>
          <w:lang w:val="en-GB"/>
        </w:rPr>
        <w:t>AETF's partner contacts report that no child protection programme currently active in the Northern Province specifically screens for, or provides tailored support to, households in this situation, meaning that children who might otherwise be identified as at heightened risk are addressed, if at all, only through generic child welfare mechanisms that do not account for the particular economic and social pressures created by a parent's combination of disability and former combatant status.</w:t>
      </w:r>
    </w:p>
    <w:p w14:paraId="5056CB68"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2CC630CB" w14:textId="77777777" w:rsidR="009F3BC5" w:rsidRPr="009A1A80" w:rsidRDefault="00880B11" w:rsidP="009A1A80">
      <w:pPr>
        <w:pStyle w:val="ListParagraph"/>
        <w:numPr>
          <w:ilvl w:val="0"/>
          <w:numId w:val="2"/>
        </w:numPr>
        <w:spacing w:after="120"/>
        <w:jc w:val="both"/>
        <w:rPr>
          <w:lang w:val="en-GB"/>
        </w:rPr>
      </w:pPr>
      <w:r w:rsidRPr="009A1A80">
        <w:rPr>
          <w:lang w:val="en-GB"/>
        </w:rPr>
        <w:t>What child welfare or protection programmes specifically account for households where a parent's disability arose from combat, detention or the rehabilitation process?</w:t>
      </w:r>
    </w:p>
    <w:p w14:paraId="4A4AB7AF" w14:textId="77777777" w:rsidR="009F3BC5" w:rsidRPr="009A1A80" w:rsidRDefault="00880B11" w:rsidP="009A1A80">
      <w:pPr>
        <w:pStyle w:val="ListParagraph"/>
        <w:numPr>
          <w:ilvl w:val="0"/>
          <w:numId w:val="2"/>
        </w:numPr>
        <w:spacing w:after="120"/>
        <w:jc w:val="both"/>
        <w:rPr>
          <w:lang w:val="en-GB"/>
        </w:rPr>
      </w:pPr>
      <w:r w:rsidRPr="009A1A80">
        <w:rPr>
          <w:lang w:val="en-GB"/>
        </w:rPr>
        <w:t>Are there data on school retention, child labour, or welfare outcomes for children of disabled former combatants, disaggregated from the general population of children with a disabled parent?</w:t>
      </w:r>
    </w:p>
    <w:p w14:paraId="2F75898B" w14:textId="69BB6002" w:rsidR="009F3BC5" w:rsidRPr="009A1A80" w:rsidRDefault="00BB7C7D">
      <w:pPr>
        <w:pStyle w:val="Heading1"/>
        <w:rPr>
          <w:lang w:val="en-GB"/>
        </w:rPr>
      </w:pPr>
      <w:bookmarkStart w:id="9" w:name="_Toc235393941"/>
      <w:r>
        <w:rPr>
          <w:lang w:val="en-GB"/>
        </w:rPr>
        <w:t>VII</w:t>
      </w:r>
      <w:r w:rsidRPr="009A1A80">
        <w:rPr>
          <w:lang w:val="en-GB"/>
        </w:rPr>
        <w:t>I. Article 8 — Awareness-Raising</w:t>
      </w:r>
      <w:bookmarkEnd w:id="9"/>
    </w:p>
    <w:p w14:paraId="4B2A7296" w14:textId="77777777" w:rsidR="009F3BC5" w:rsidRPr="009A1A80" w:rsidRDefault="00880B11">
      <w:pPr>
        <w:spacing w:after="200" w:line="300" w:lineRule="auto"/>
        <w:jc w:val="both"/>
        <w:rPr>
          <w:lang w:val="en-GB"/>
        </w:rPr>
      </w:pPr>
      <w:r w:rsidRPr="009A1A80">
        <w:rPr>
          <w:lang w:val="en-GB"/>
        </w:rPr>
        <w:lastRenderedPageBreak/>
        <w:t xml:space="preserve">As DOJF's 2024 submission documents for the general disabled population, awareness-raising programmes conducted by government ministries in the North-East suffer from limited participation by organisations of persons with disabilities and from a lack of accessible-format materials in Tamil, sign language and </w:t>
      </w:r>
      <w:proofErr w:type="gramStart"/>
      <w:r w:rsidRPr="009A1A80">
        <w:rPr>
          <w:lang w:val="en-GB"/>
        </w:rPr>
        <w:t>Braille[</w:t>
      </w:r>
      <w:proofErr w:type="gramEnd"/>
      <w:r w:rsidRPr="009A1A80">
        <w:rPr>
          <w:lang w:val="en-GB"/>
        </w:rPr>
        <w:t>7]. This gap is more consequential for disabled former combatants, who are less likely in any event to attend general information sessions organised through channels linked, even loosely, to state institutions, given the trust deficit described throughout this report.</w:t>
      </w:r>
    </w:p>
    <w:p w14:paraId="367ABD35" w14:textId="77777777" w:rsidR="009F3BC5" w:rsidRPr="009A1A80" w:rsidRDefault="00880B11">
      <w:pPr>
        <w:spacing w:after="200" w:line="300" w:lineRule="auto"/>
        <w:jc w:val="both"/>
        <w:rPr>
          <w:lang w:val="en-GB"/>
        </w:rPr>
      </w:pPr>
      <w:r w:rsidRPr="009A1A80">
        <w:rPr>
          <w:lang w:val="en-GB"/>
        </w:rPr>
        <w:t>AETF is not aware of any state or state-funded awareness campaign that has specifically addressed the entitlements, if any, available to disabled former combatants, or that has sought to counter the social stigma this group experiences. In the absence of such a campaign, many eligible individuals are unaware even of the limited general disability services that do exist, let alone of any wartime-specific entitlement.</w:t>
      </w:r>
    </w:p>
    <w:p w14:paraId="1DB9767E"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6F038A40" w14:textId="77777777" w:rsidR="009F3BC5" w:rsidRPr="009A1A80" w:rsidRDefault="00880B11" w:rsidP="009A1A80">
      <w:pPr>
        <w:pStyle w:val="ListParagraph"/>
        <w:numPr>
          <w:ilvl w:val="0"/>
          <w:numId w:val="2"/>
        </w:numPr>
        <w:spacing w:after="120"/>
        <w:jc w:val="both"/>
        <w:rPr>
          <w:lang w:val="en-GB"/>
        </w:rPr>
      </w:pPr>
      <w:r w:rsidRPr="009A1A80">
        <w:rPr>
          <w:lang w:val="en-GB"/>
        </w:rPr>
        <w:t>What awareness-raising activities, if any, have specifically informed disabled former combatants of the services and entitlements available to them?</w:t>
      </w:r>
    </w:p>
    <w:p w14:paraId="75DBA837" w14:textId="77777777" w:rsidR="009F3BC5" w:rsidRPr="009A1A80" w:rsidRDefault="00880B11" w:rsidP="009A1A80">
      <w:pPr>
        <w:pStyle w:val="ListParagraph"/>
        <w:numPr>
          <w:ilvl w:val="0"/>
          <w:numId w:val="2"/>
        </w:numPr>
        <w:spacing w:after="120"/>
        <w:jc w:val="both"/>
        <w:rPr>
          <w:lang w:val="en-GB"/>
        </w:rPr>
      </w:pPr>
      <w:r w:rsidRPr="009A1A80">
        <w:rPr>
          <w:lang w:val="en-GB"/>
        </w:rPr>
        <w:t>What measures exist to counter social stigma against disabled former combatants specifically, as distinct from general disability-awareness campaigns?</w:t>
      </w:r>
    </w:p>
    <w:p w14:paraId="06D146A3" w14:textId="545F1E2B" w:rsidR="009F3BC5" w:rsidRPr="009A1A80" w:rsidRDefault="00BB7C7D">
      <w:pPr>
        <w:pStyle w:val="Heading1"/>
        <w:rPr>
          <w:lang w:val="en-GB"/>
        </w:rPr>
      </w:pPr>
      <w:bookmarkStart w:id="10" w:name="_Toc235393942"/>
      <w:r>
        <w:rPr>
          <w:lang w:val="en-GB"/>
        </w:rPr>
        <w:t>I</w:t>
      </w:r>
      <w:r w:rsidRPr="009A1A80">
        <w:rPr>
          <w:lang w:val="en-GB"/>
        </w:rPr>
        <w:t>X. Article 9 — Accessibility</w:t>
      </w:r>
      <w:bookmarkEnd w:id="10"/>
    </w:p>
    <w:p w14:paraId="258F8A0C" w14:textId="77777777" w:rsidR="009F3BC5" w:rsidRPr="009A1A80" w:rsidRDefault="00880B11">
      <w:pPr>
        <w:spacing w:after="200" w:line="300" w:lineRule="auto"/>
        <w:jc w:val="both"/>
        <w:rPr>
          <w:lang w:val="en-GB"/>
        </w:rPr>
      </w:pPr>
      <w:r w:rsidRPr="009A1A80">
        <w:rPr>
          <w:lang w:val="en-GB"/>
        </w:rPr>
        <w:t xml:space="preserve">The general accessibility deficits documented throughout the 2024 DOJF submission - inaccessible government offices, Grama </w:t>
      </w:r>
      <w:proofErr w:type="spellStart"/>
      <w:r w:rsidRPr="009A1A80">
        <w:rPr>
          <w:lang w:val="en-GB"/>
        </w:rPr>
        <w:t>Niladhari</w:t>
      </w:r>
      <w:proofErr w:type="spellEnd"/>
      <w:r w:rsidRPr="009A1A80">
        <w:rPr>
          <w:lang w:val="en-GB"/>
        </w:rPr>
        <w:t xml:space="preserve"> and Divisional Secretariat offices, public transport, and the absence of Braille, audio or sign-language versions of official information - apply with particular force in the Northern and Eastern Provinces, where continuing militarisation adds a further layer of restricted and inaccessible physical space, including areas a disabled resident may need to cross or approach in order to reach a service point, but which lie within or adjacent to a High Security Zone or military-controlled area.</w:t>
      </w:r>
    </w:p>
    <w:p w14:paraId="0EAFB5FF" w14:textId="77777777" w:rsidR="009F3BC5" w:rsidRPr="009A1A80" w:rsidRDefault="00880B11">
      <w:pPr>
        <w:spacing w:after="200" w:line="300" w:lineRule="auto"/>
        <w:jc w:val="both"/>
        <w:rPr>
          <w:lang w:val="en-GB"/>
        </w:rPr>
      </w:pPr>
      <w:r w:rsidRPr="009A1A80">
        <w:rPr>
          <w:lang w:val="en-GB"/>
        </w:rPr>
        <w:t>Disabled former combatants report an additional accessibility barrier not faced by the wider disabled population: many essential administrative processes relevant to their status - renewal of identity documentation, police clearance, or engagement with rehabilitation-linked authorities - must be conducted at specific security-linked offices that are neither physically accessible nor staffed with any disability awareness or accommodation.</w:t>
      </w:r>
    </w:p>
    <w:p w14:paraId="05E59DA1"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54DCE07C" w14:textId="77777777" w:rsidR="009F3BC5" w:rsidRPr="009A1A80" w:rsidRDefault="00880B11" w:rsidP="009A1A80">
      <w:pPr>
        <w:pStyle w:val="ListParagraph"/>
        <w:numPr>
          <w:ilvl w:val="0"/>
          <w:numId w:val="2"/>
        </w:numPr>
        <w:spacing w:after="120"/>
        <w:jc w:val="both"/>
        <w:rPr>
          <w:lang w:val="en-GB"/>
        </w:rPr>
      </w:pPr>
      <w:r w:rsidRPr="009A1A80">
        <w:rPr>
          <w:lang w:val="en-GB"/>
        </w:rPr>
        <w:t>What accessibility audits have been conducted of security-linked administrative offices in the Northern and Eastern Provinces with which disabled former combatants must engage?</w:t>
      </w:r>
    </w:p>
    <w:p w14:paraId="389CDB53" w14:textId="77777777" w:rsidR="009F3BC5" w:rsidRPr="009A1A80" w:rsidRDefault="00880B11" w:rsidP="009A1A80">
      <w:pPr>
        <w:pStyle w:val="ListParagraph"/>
        <w:numPr>
          <w:ilvl w:val="0"/>
          <w:numId w:val="2"/>
        </w:numPr>
        <w:spacing w:after="120"/>
        <w:jc w:val="both"/>
        <w:rPr>
          <w:lang w:val="en-GB"/>
        </w:rPr>
      </w:pPr>
      <w:r w:rsidRPr="009A1A80">
        <w:rPr>
          <w:lang w:val="en-GB"/>
        </w:rPr>
        <w:t>What plans exist to improve accessibility of government offices in areas affected by continuing militarisation?</w:t>
      </w:r>
    </w:p>
    <w:p w14:paraId="7496D6AA" w14:textId="6015319C" w:rsidR="009F3BC5" w:rsidRPr="009A1A80" w:rsidRDefault="00880B11">
      <w:pPr>
        <w:pStyle w:val="Heading1"/>
        <w:rPr>
          <w:lang w:val="en-GB"/>
        </w:rPr>
      </w:pPr>
      <w:bookmarkStart w:id="11" w:name="_Toc235393943"/>
      <w:r w:rsidRPr="009A1A80">
        <w:rPr>
          <w:lang w:val="en-GB"/>
        </w:rPr>
        <w:t>X. Article 21 — Freedom of Expression and Access to Information</w:t>
      </w:r>
      <w:bookmarkEnd w:id="11"/>
    </w:p>
    <w:p w14:paraId="59B63DF4" w14:textId="77777777" w:rsidR="009F3BC5" w:rsidRPr="009A1A80" w:rsidRDefault="00880B11">
      <w:pPr>
        <w:spacing w:after="200" w:line="300" w:lineRule="auto"/>
        <w:jc w:val="both"/>
        <w:rPr>
          <w:lang w:val="en-GB"/>
        </w:rPr>
      </w:pPr>
      <w:r w:rsidRPr="009A1A80">
        <w:rPr>
          <w:lang w:val="en-GB"/>
        </w:rPr>
        <w:t xml:space="preserve">As the 2024 DOJF submission documents, government information, including on disability entitlements, is rarely available in accessible formats for persons with hearing or visual </w:t>
      </w:r>
      <w:proofErr w:type="gramStart"/>
      <w:r w:rsidRPr="009A1A80">
        <w:rPr>
          <w:lang w:val="en-GB"/>
        </w:rPr>
        <w:t>impairments[</w:t>
      </w:r>
      <w:proofErr w:type="gramEnd"/>
      <w:r w:rsidRPr="009A1A80">
        <w:rPr>
          <w:lang w:val="en-GB"/>
        </w:rPr>
        <w:t xml:space="preserve">7]. For disabled former combatants, this general gap is compounded by an additional and more troubling barrier: individuals in this group describe a well-founded reluctance to seek out or publicly request information about their rights, out of concern that doing so could itself be read as </w:t>
      </w:r>
      <w:r w:rsidRPr="009A1A80">
        <w:rPr>
          <w:lang w:val="en-GB"/>
        </w:rPr>
        <w:lastRenderedPageBreak/>
        <w:t>renewed political activity and draw unwanted security attention, irrespective of the entirely humanitarian and disability-related nature of the inquiry.</w:t>
      </w:r>
    </w:p>
    <w:p w14:paraId="3F739FC5" w14:textId="77777777" w:rsidR="009F3BC5" w:rsidRPr="009A1A80" w:rsidRDefault="00880B11">
      <w:pPr>
        <w:spacing w:after="200" w:line="300" w:lineRule="auto"/>
        <w:jc w:val="both"/>
        <w:rPr>
          <w:lang w:val="en-GB"/>
        </w:rPr>
      </w:pPr>
      <w:r w:rsidRPr="009A1A80">
        <w:rPr>
          <w:lang w:val="en-GB"/>
        </w:rPr>
        <w:t>This chilling effect on the exercise of a right explicitly protected under Article 21 of the Convention - the right to seek, receive and impart information on an equal basis with others - has no parallel among other categories of disabled persons in Sri Lanka, and in AETF's assessment constitutes an independent violation of that Article that the Committee should examine in its own right, separate from the general accessibility gaps already documented by DOJF.</w:t>
      </w:r>
    </w:p>
    <w:p w14:paraId="51C51225"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1055FD85" w14:textId="77777777" w:rsidR="009F3BC5" w:rsidRPr="009A1A80" w:rsidRDefault="00880B11" w:rsidP="009A1A80">
      <w:pPr>
        <w:pStyle w:val="ListParagraph"/>
        <w:numPr>
          <w:ilvl w:val="0"/>
          <w:numId w:val="2"/>
        </w:numPr>
        <w:spacing w:after="120"/>
        <w:jc w:val="both"/>
        <w:rPr>
          <w:lang w:val="en-GB"/>
        </w:rPr>
      </w:pPr>
      <w:r w:rsidRPr="009A1A80">
        <w:rPr>
          <w:lang w:val="en-GB"/>
        </w:rPr>
        <w:t>What assurances, if any, has the State party given that disabled former combatants may seek information about disability entitlements without triggering security scrutiny?</w:t>
      </w:r>
    </w:p>
    <w:p w14:paraId="4DEB9641" w14:textId="77777777" w:rsidR="009F3BC5" w:rsidRPr="009A1A80" w:rsidRDefault="00880B11" w:rsidP="009A1A80">
      <w:pPr>
        <w:pStyle w:val="ListParagraph"/>
        <w:numPr>
          <w:ilvl w:val="0"/>
          <w:numId w:val="2"/>
        </w:numPr>
        <w:spacing w:after="120"/>
        <w:jc w:val="both"/>
        <w:rPr>
          <w:lang w:val="en-GB"/>
        </w:rPr>
      </w:pPr>
      <w:r w:rsidRPr="009A1A80">
        <w:rPr>
          <w:lang w:val="en-GB"/>
        </w:rPr>
        <w:t>Has the State party assessed whether the security environment in the North-East has a chilling effect on the exercise of Convention rights, including the right to access information, by disabled former combatants?</w:t>
      </w:r>
    </w:p>
    <w:p w14:paraId="61F02BA1" w14:textId="281D0D48" w:rsidR="009F3BC5" w:rsidRPr="009A1A80" w:rsidRDefault="00880B11">
      <w:pPr>
        <w:pStyle w:val="Heading1"/>
        <w:rPr>
          <w:lang w:val="en-GB"/>
        </w:rPr>
      </w:pPr>
      <w:bookmarkStart w:id="12" w:name="_Toc235393944"/>
      <w:r w:rsidRPr="009A1A80">
        <w:rPr>
          <w:lang w:val="en-GB"/>
        </w:rPr>
        <w:t>XI. General Provisions of the Convention (Articles 1-4)</w:t>
      </w:r>
      <w:bookmarkEnd w:id="12"/>
    </w:p>
    <w:p w14:paraId="55C6AE88" w14:textId="77777777" w:rsidR="009F3BC5" w:rsidRPr="009A1A80" w:rsidRDefault="00880B11">
      <w:pPr>
        <w:spacing w:after="200" w:line="300" w:lineRule="auto"/>
        <w:jc w:val="both"/>
        <w:rPr>
          <w:lang w:val="en-GB"/>
        </w:rPr>
      </w:pPr>
      <w:r w:rsidRPr="009A1A80">
        <w:rPr>
          <w:lang w:val="en-GB"/>
        </w:rPr>
        <w:t>Sri Lanka's Constitution, at Article 12, prohibits discrimination on grounds including race, religion, language and caste, and Article 12(4) permits affirmative measures for the advancement of women, children and persons with disabilities. Read together with Article 27(13) of the Constitution, which speaks to the protection of children, women and disabled persons, the constitutional text appears facially consistent with Convention principles. In practice, however, no constitutional or statutory provision re</w:t>
      </w:r>
      <w:r w:rsidRPr="009A1A80">
        <w:rPr>
          <w:lang w:val="en-GB"/>
        </w:rPr>
        <w:t>quires the State to identify, count or address the specific circumstances of persons disabled by the conflict, and none addresses the compounded disadvantage faced by Eelam Tamils who are simultaneously persons with disabilities, members of a minority subject to continuing security-focused governance in their home region, and, in a significant number of cases, former combatants explicitly excluded from mainstream victim-support frameworks.</w:t>
      </w:r>
    </w:p>
    <w:p w14:paraId="42227897" w14:textId="77777777" w:rsidR="009F3BC5" w:rsidRPr="009A1A80" w:rsidRDefault="00880B11">
      <w:pPr>
        <w:spacing w:after="200" w:line="300" w:lineRule="auto"/>
        <w:jc w:val="both"/>
        <w:rPr>
          <w:lang w:val="en-GB"/>
        </w:rPr>
      </w:pPr>
      <w:r w:rsidRPr="009A1A80">
        <w:rPr>
          <w:lang w:val="en-GB"/>
        </w:rPr>
        <w:t xml:space="preserve">The Protection of the Rights of Persons with Disabilities Act No. 28 of 1996 remains the principal disability statute nineteen years after ratification of the Convention, and, as DOJF's own 2024 submission to the Committee documents, addresses only non-discrimination in employment and education and the establishment of the National Council for Persons with </w:t>
      </w:r>
      <w:proofErr w:type="gramStart"/>
      <w:r w:rsidRPr="009A1A80">
        <w:rPr>
          <w:lang w:val="en-GB"/>
        </w:rPr>
        <w:t>Disabilities[</w:t>
      </w:r>
      <w:proofErr w:type="gramEnd"/>
      <w:r w:rsidRPr="009A1A80">
        <w:rPr>
          <w:lang w:val="en-GB"/>
        </w:rPr>
        <w:t>7]. It contains no provision addressing conflict-related disability, rehabilitation of war-wounded persons, or reparation. The long-promised Disability Rights Bill, intended to align domestic law with the Convention, remained in draft form as of the Committee's 19th pre-sessional working group in 2024 and, according to information available to AETF, had still not been enacted as of mid-2026.</w:t>
      </w:r>
    </w:p>
    <w:p w14:paraId="3F7902E3" w14:textId="77777777" w:rsidR="009F3BC5" w:rsidRPr="009A1A80" w:rsidRDefault="00880B11">
      <w:pPr>
        <w:spacing w:after="200" w:line="300" w:lineRule="auto"/>
        <w:jc w:val="both"/>
        <w:rPr>
          <w:lang w:val="en-GB"/>
        </w:rPr>
      </w:pPr>
      <w:r w:rsidRPr="009A1A80">
        <w:rPr>
          <w:lang w:val="en-GB"/>
        </w:rPr>
        <w:t>AETF asks the Committee to examine whether the general obligations under Articles 1 to 4 - including the obligation to adopt appropriate legislative measures and to modify or abolish laws and practices that discriminate against persons with disabilities - have been met with respect to Eelam Tamils disabled by the conflict, given the absence of any legislative framework addressing their situation nineteen years after ratification.</w:t>
      </w:r>
    </w:p>
    <w:p w14:paraId="207083A0"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17765DB4" w14:textId="77777777" w:rsidR="009F3BC5" w:rsidRPr="009A1A80" w:rsidRDefault="00880B11" w:rsidP="009A1A80">
      <w:pPr>
        <w:pStyle w:val="ListParagraph"/>
        <w:numPr>
          <w:ilvl w:val="0"/>
          <w:numId w:val="2"/>
        </w:numPr>
        <w:spacing w:after="120"/>
        <w:jc w:val="both"/>
        <w:rPr>
          <w:lang w:val="en-GB"/>
        </w:rPr>
      </w:pPr>
      <w:r w:rsidRPr="009A1A80">
        <w:rPr>
          <w:lang w:val="en-GB"/>
        </w:rPr>
        <w:t xml:space="preserve">What legislative or administrative measures has the State party taken, or does it plan to take, to identify and address the specific situation of persons disabled during the </w:t>
      </w:r>
      <w:proofErr w:type="gramStart"/>
      <w:r w:rsidRPr="009A1A80">
        <w:rPr>
          <w:lang w:val="en-GB"/>
        </w:rPr>
        <w:t>1983-2009 armed</w:t>
      </w:r>
      <w:proofErr w:type="gramEnd"/>
      <w:r w:rsidRPr="009A1A80">
        <w:rPr>
          <w:lang w:val="en-GB"/>
        </w:rPr>
        <w:t xml:space="preserve"> conflict, disaggregated by ethnicity, region, and combatant status?</w:t>
      </w:r>
    </w:p>
    <w:p w14:paraId="32F58E4B" w14:textId="77777777" w:rsidR="009F3BC5" w:rsidRPr="009A1A80" w:rsidRDefault="00880B11" w:rsidP="009A1A80">
      <w:pPr>
        <w:pStyle w:val="ListParagraph"/>
        <w:numPr>
          <w:ilvl w:val="0"/>
          <w:numId w:val="2"/>
        </w:numPr>
        <w:spacing w:after="120"/>
        <w:jc w:val="both"/>
        <w:rPr>
          <w:lang w:val="en-GB"/>
        </w:rPr>
      </w:pPr>
      <w:r w:rsidRPr="009A1A80">
        <w:rPr>
          <w:lang w:val="en-GB"/>
        </w:rPr>
        <w:lastRenderedPageBreak/>
        <w:t>Does the State party consider that the Protection of the Rights of Persons with Disabilities Act No. 28 of 1996 and the draft Disability Rights Bill adequately address conflict-related disability? If not, what steps will be taken to remedy this gap?</w:t>
      </w:r>
    </w:p>
    <w:p w14:paraId="1160AD2A" w14:textId="7D93544D" w:rsidR="009F3BC5" w:rsidRPr="009A1A80" w:rsidRDefault="00880B11">
      <w:pPr>
        <w:pStyle w:val="Heading1"/>
        <w:rPr>
          <w:lang w:val="en-GB"/>
        </w:rPr>
      </w:pPr>
      <w:bookmarkStart w:id="13" w:name="_Toc235393945"/>
      <w:r w:rsidRPr="009A1A80">
        <w:rPr>
          <w:lang w:val="en-GB"/>
        </w:rPr>
        <w:t>XII. Article 5 - Equality and Non-Discrimination</w:t>
      </w:r>
      <w:bookmarkEnd w:id="13"/>
    </w:p>
    <w:p w14:paraId="44DFD689" w14:textId="77777777" w:rsidR="009F3BC5" w:rsidRPr="009A1A80" w:rsidRDefault="00880B11">
      <w:pPr>
        <w:spacing w:after="200" w:line="300" w:lineRule="auto"/>
        <w:jc w:val="both"/>
        <w:rPr>
          <w:lang w:val="en-GB"/>
        </w:rPr>
      </w:pPr>
      <w:r w:rsidRPr="009A1A80">
        <w:rPr>
          <w:lang w:val="en-GB"/>
        </w:rPr>
        <w:t>Persons with conflict-related disabilities among the Eelam Tamil population face a compounded form of discrimination that is rarely captured when disability, ethnicity and region are examined separately. Compared with the statutory and institutional support available to disabled state security personnel through the Rana Viru</w:t>
      </w:r>
      <w:r w:rsidRPr="009A1A80">
        <w:rPr>
          <w:lang w:val="en-GB"/>
        </w:rPr>
        <w:t xml:space="preserve"> Seva Authority, disabled Tamil civilians and former combatants in the North-East have access only to the general, chronically under-resourced disability services described elsewhere in this report and in the 2024 DOJF submission - services that DOJF itself describes as failing large parts of the general disabled population, and which are further diminished in the North-East by continuing militarisation, distance from specialist hospitals in Colombo, and the additional administrative and security scrutiny t</w:t>
      </w:r>
      <w:r w:rsidRPr="009A1A80">
        <w:rPr>
          <w:lang w:val="en-GB"/>
        </w:rPr>
        <w:t>o which Tamils, and former combatants above all, are routinely subject.</w:t>
      </w:r>
    </w:p>
    <w:p w14:paraId="5A361B09" w14:textId="77777777" w:rsidR="009F3BC5" w:rsidRPr="009A1A80" w:rsidRDefault="00880B11">
      <w:pPr>
        <w:spacing w:after="200" w:line="300" w:lineRule="auto"/>
        <w:jc w:val="both"/>
        <w:rPr>
          <w:lang w:val="en-GB"/>
        </w:rPr>
      </w:pPr>
      <w:r w:rsidRPr="009A1A80">
        <w:rPr>
          <w:lang w:val="en-GB"/>
        </w:rPr>
        <w:t>Former combatants disabled in the course of the conflict or during the state rehabilitation process occupy a distinct and largely invisible category. Sri Lankan officials interviewed by humanitarian reporters in the years following the rehabilitation programme confirmed that no medical assistance programme exists specifically for disabled ex-combatants; such persons receive prosthetics and support, when they receive them at all, only under the same general programmes available to the wider disabled populati</w:t>
      </w:r>
      <w:r w:rsidRPr="009A1A80">
        <w:rPr>
          <w:lang w:val="en-GB"/>
        </w:rPr>
        <w:t>on, without any adjustment for the severity or origin of their injuries or for the additional stigma and economic exclusion documented among this group[3][8].</w:t>
      </w:r>
    </w:p>
    <w:p w14:paraId="68B81D3B" w14:textId="77777777" w:rsidR="009F3BC5" w:rsidRPr="009A1A80" w:rsidRDefault="00880B11">
      <w:pPr>
        <w:spacing w:after="200" w:line="300" w:lineRule="auto"/>
        <w:jc w:val="both"/>
        <w:rPr>
          <w:lang w:val="en-GB"/>
        </w:rPr>
      </w:pPr>
      <w:r w:rsidRPr="009A1A80">
        <w:rPr>
          <w:lang w:val="en-GB"/>
        </w:rPr>
        <w:t>This stigma is compounded rather than reduced by state administrative practice. Former combatants and their family members continue to be subject to periodic surveillance visits, requirements to register movements with local security officials, and a documented reluctance among employers, including public sector bodies, to hire persons with a rehabilitation record, whether or not they carry a visible disability. A person who is both disabled and formerly registered as a rehabilitated combatant therefore fac</w:t>
      </w:r>
      <w:r w:rsidRPr="009A1A80">
        <w:rPr>
          <w:lang w:val="en-GB"/>
        </w:rPr>
        <w:t>es a double barrier to employment, credit, and social integration that has no equivalent among disabled persons from the majority community.</w:t>
      </w:r>
    </w:p>
    <w:p w14:paraId="7A464F06" w14:textId="77777777" w:rsidR="009F3BC5" w:rsidRPr="009A1A80" w:rsidRDefault="00880B11">
      <w:pPr>
        <w:spacing w:after="200" w:line="300" w:lineRule="auto"/>
        <w:jc w:val="both"/>
        <w:rPr>
          <w:lang w:val="en-GB"/>
        </w:rPr>
      </w:pPr>
      <w:r w:rsidRPr="009A1A80">
        <w:rPr>
          <w:lang w:val="en-GB"/>
        </w:rPr>
        <w:t>The comparison with the Rana Viru</w:t>
      </w:r>
      <w:r w:rsidRPr="009A1A80">
        <w:rPr>
          <w:lang w:val="en-GB"/>
        </w:rPr>
        <w:t xml:space="preserve"> Seva Authority is instructive not because the two populations are identical, but because it demonstrates that the State is institutionally and financially capable of running a dedicated, long-term welfare system for a war-disabled population when it chooses to. The Authority provides disabled security-force veterans with categorised disability pensions, access to specialist military hospitals, housing assistance, educational support for dependants, and a permanent administrative structure whose sole functi</w:t>
      </w:r>
      <w:r w:rsidRPr="009A1A80">
        <w:rPr>
          <w:lang w:val="en-GB"/>
        </w:rPr>
        <w:t>on is to serve this population. No comparable structure, however modest, has ever been proposed, let alone established, for war-disabled Tamil civilians or former combatants, notwithstanding that both populations were disabled in the same conflict and, in many documented instances, within the same battles.</w:t>
      </w:r>
    </w:p>
    <w:p w14:paraId="76529D46" w14:textId="77777777" w:rsidR="009F3BC5" w:rsidRPr="009A1A80" w:rsidRDefault="00880B11">
      <w:pPr>
        <w:spacing w:after="200" w:line="300" w:lineRule="auto"/>
        <w:jc w:val="both"/>
        <w:rPr>
          <w:lang w:val="en-GB"/>
        </w:rPr>
      </w:pPr>
      <w:r w:rsidRPr="009A1A80">
        <w:rPr>
          <w:lang w:val="en-GB"/>
        </w:rPr>
        <w:t xml:space="preserve">AETF submits that this differential treatment, sustained now for close to two decades, cannot be explained by resource constraints alone, given the State's demonstrated capacity to fund the Rana Viru Seva Authority, and is more consistent with a form of indirect discrimination on grounds of ethnicity and perceived political affiliation that Article 5 of the Convention requires the State party to </w:t>
      </w:r>
      <w:r w:rsidRPr="009A1A80">
        <w:rPr>
          <w:lang w:val="en-GB"/>
        </w:rPr>
        <w:lastRenderedPageBreak/>
        <w:t>identify and eliminate. AETF asks the Committee to request the State party's own explanation for this asymmetry, including any budgetary or policy analysis underlying the decision not to extend equivalent support to war-disabled Tamil civilians and former combatants.</w:t>
      </w:r>
    </w:p>
    <w:p w14:paraId="5A688F9F"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785AB713" w14:textId="77777777" w:rsidR="009F3BC5" w:rsidRPr="009A1A80" w:rsidRDefault="00880B11" w:rsidP="009A1A80">
      <w:pPr>
        <w:pStyle w:val="ListParagraph"/>
        <w:numPr>
          <w:ilvl w:val="0"/>
          <w:numId w:val="2"/>
        </w:numPr>
        <w:spacing w:after="120"/>
        <w:jc w:val="both"/>
        <w:rPr>
          <w:lang w:val="en-GB"/>
        </w:rPr>
      </w:pPr>
      <w:r w:rsidRPr="009A1A80">
        <w:rPr>
          <w:lang w:val="en-GB"/>
        </w:rPr>
        <w:t>What measures exist to ensure that disabled former LTTE combatants and disabled Tamil civilians in the North-East receive support equivalent to that provided to disabled state security personnel through the Rana Viru Seva Authority?</w:t>
      </w:r>
    </w:p>
    <w:p w14:paraId="4B2E5ED2" w14:textId="77777777" w:rsidR="009F3BC5" w:rsidRPr="009A1A80" w:rsidRDefault="00880B11" w:rsidP="009A1A80">
      <w:pPr>
        <w:pStyle w:val="ListParagraph"/>
        <w:numPr>
          <w:ilvl w:val="0"/>
          <w:numId w:val="2"/>
        </w:numPr>
        <w:spacing w:after="120"/>
        <w:jc w:val="both"/>
        <w:rPr>
          <w:lang w:val="en-GB"/>
        </w:rPr>
      </w:pPr>
      <w:r w:rsidRPr="009A1A80">
        <w:rPr>
          <w:lang w:val="en-GB"/>
        </w:rPr>
        <w:t>Has the State party assessed the compounded discrimination faced by persons who are simultaneously disabled, Tamil, and former rehabilitees, and if so, what were the findings?</w:t>
      </w:r>
    </w:p>
    <w:p w14:paraId="4CF86F23" w14:textId="0653ACCE" w:rsidR="009F3BC5" w:rsidRPr="009A1A80" w:rsidRDefault="00880B11">
      <w:pPr>
        <w:pStyle w:val="Heading1"/>
        <w:rPr>
          <w:lang w:val="en-GB"/>
        </w:rPr>
      </w:pPr>
      <w:bookmarkStart w:id="14" w:name="_Toc235393946"/>
      <w:r w:rsidRPr="009A1A80">
        <w:rPr>
          <w:lang w:val="en-GB"/>
        </w:rPr>
        <w:t>XI</w:t>
      </w:r>
      <w:r w:rsidR="00BB7C7D">
        <w:rPr>
          <w:lang w:val="en-GB"/>
        </w:rPr>
        <w:t>II</w:t>
      </w:r>
      <w:r w:rsidRPr="009A1A80">
        <w:rPr>
          <w:lang w:val="en-GB"/>
        </w:rPr>
        <w:t>. Article 10 - Right to Life, and Article 11 - Situations of Risk</w:t>
      </w:r>
      <w:bookmarkEnd w:id="14"/>
    </w:p>
    <w:p w14:paraId="71CC6B2D" w14:textId="77777777" w:rsidR="009F3BC5" w:rsidRPr="009A1A80" w:rsidRDefault="00880B11">
      <w:pPr>
        <w:spacing w:after="200" w:line="300" w:lineRule="auto"/>
        <w:jc w:val="both"/>
        <w:rPr>
          <w:lang w:val="en-GB"/>
        </w:rPr>
      </w:pPr>
      <w:r w:rsidRPr="009A1A80">
        <w:rPr>
          <w:lang w:val="en-GB"/>
        </w:rPr>
        <w:t>The circumstances of the final phase of the conflict in the Vanni</w:t>
      </w:r>
      <w:r w:rsidRPr="009A1A80">
        <w:rPr>
          <w:lang w:val="en-GB"/>
        </w:rPr>
        <w:t xml:space="preserve"> region in 2008-2009 remain directly relevant to the Committee's assessment of the State party's compliance with Articles 10 and 11. The 2015 OISL report found credible information that hospitals and areas sheltering the wounded, including makeshift medical points inside the No Fire Zones, came under repeated shelling, and that access for the International Committee of the Red Cross and other humanitarian actors to evacuate the wounded was at times severely restricted[2]. Many survivors interviewed by AETF'</w:t>
      </w:r>
      <w:r w:rsidRPr="009A1A80">
        <w:rPr>
          <w:lang w:val="en-GB"/>
        </w:rPr>
        <w:t>s partner networks describe having sustained their disabling injuries in this period without access to surgical care for days or weeks, a delay that in numerous documented cases converted a treatable wound into a permanent amputation or paralysis.</w:t>
      </w:r>
    </w:p>
    <w:p w14:paraId="4A3898E7" w14:textId="77777777" w:rsidR="009F3BC5" w:rsidRPr="009A1A80" w:rsidRDefault="00880B11">
      <w:pPr>
        <w:spacing w:after="200" w:line="300" w:lineRule="auto"/>
        <w:jc w:val="both"/>
        <w:rPr>
          <w:lang w:val="en-GB"/>
        </w:rPr>
      </w:pPr>
      <w:r w:rsidRPr="009A1A80">
        <w:rPr>
          <w:lang w:val="en-GB"/>
        </w:rPr>
        <w:t>Article 11 requires States to take all necessary measures to ensure the protection and safety of persons with disabilities in situations of armed conflict and humanitarian emergencies. The record from 2008-2009 indicates the opposite occurred: persons with mobility impairments, including those already disabled before the final offensive, were, according to numerous witness accounts gathered by international and Sri Lankan human rights bodies, unable to flee shelling and evacuation corridors that were not ad</w:t>
      </w:r>
      <w:r w:rsidRPr="009A1A80">
        <w:rPr>
          <w:lang w:val="en-GB"/>
        </w:rPr>
        <w:t>apted to their needs, resulting in a further disabled and often unrecorded casualty toll. No retrospective accounting, needs assessment or reparative programme has been undertaken by the State specifically for this cohort.</w:t>
      </w:r>
    </w:p>
    <w:p w14:paraId="784EC3FC"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00C1943C" w14:textId="77777777" w:rsidR="009F3BC5" w:rsidRPr="009A1A80" w:rsidRDefault="00880B11" w:rsidP="009A1A80">
      <w:pPr>
        <w:pStyle w:val="ListParagraph"/>
        <w:numPr>
          <w:ilvl w:val="0"/>
          <w:numId w:val="2"/>
        </w:numPr>
        <w:spacing w:after="120"/>
        <w:jc w:val="both"/>
        <w:rPr>
          <w:lang w:val="en-GB"/>
        </w:rPr>
      </w:pPr>
      <w:r w:rsidRPr="009A1A80">
        <w:rPr>
          <w:lang w:val="en-GB"/>
        </w:rPr>
        <w:t>Has the State party conducted any retrospective assessment of persons who sustained disabling injuries during the final phase of the conflict in 2008-2009 due to restricted access to medical evacuation?</w:t>
      </w:r>
    </w:p>
    <w:p w14:paraId="1D6074AD" w14:textId="77777777" w:rsidR="009F3BC5" w:rsidRPr="009A1A80" w:rsidRDefault="00880B11" w:rsidP="009A1A80">
      <w:pPr>
        <w:pStyle w:val="ListParagraph"/>
        <w:numPr>
          <w:ilvl w:val="0"/>
          <w:numId w:val="2"/>
        </w:numPr>
        <w:spacing w:after="120"/>
        <w:jc w:val="both"/>
        <w:rPr>
          <w:lang w:val="en-GB"/>
        </w:rPr>
      </w:pPr>
      <w:r w:rsidRPr="009A1A80">
        <w:rPr>
          <w:lang w:val="en-GB"/>
        </w:rPr>
        <w:t>What measures are now in place to protect persons with disabilities in the North-East during periods of civil unrest, natural disaster or renewed security operations?</w:t>
      </w:r>
    </w:p>
    <w:p w14:paraId="1868D124" w14:textId="771BE9F7" w:rsidR="009F3BC5" w:rsidRPr="009A1A80" w:rsidRDefault="00880B11">
      <w:pPr>
        <w:pStyle w:val="Heading1"/>
        <w:rPr>
          <w:lang w:val="en-GB"/>
        </w:rPr>
      </w:pPr>
      <w:bookmarkStart w:id="15" w:name="_Toc235393947"/>
      <w:r w:rsidRPr="009A1A80">
        <w:rPr>
          <w:lang w:val="en-GB"/>
        </w:rPr>
        <w:t>X</w:t>
      </w:r>
      <w:r w:rsidR="00BB7C7D">
        <w:rPr>
          <w:lang w:val="en-GB"/>
        </w:rPr>
        <w:t>I</w:t>
      </w:r>
      <w:r w:rsidRPr="009A1A80">
        <w:rPr>
          <w:lang w:val="en-GB"/>
        </w:rPr>
        <w:t>V. Article 12 and Article 13 - Equal Recognition Before the Law and Access to Justice</w:t>
      </w:r>
      <w:bookmarkEnd w:id="15"/>
    </w:p>
    <w:p w14:paraId="082C0B37" w14:textId="77777777" w:rsidR="009F3BC5" w:rsidRPr="009A1A80" w:rsidRDefault="00880B11">
      <w:pPr>
        <w:spacing w:after="200" w:line="300" w:lineRule="auto"/>
        <w:jc w:val="both"/>
        <w:rPr>
          <w:lang w:val="en-GB"/>
        </w:rPr>
      </w:pPr>
      <w:r w:rsidRPr="009A1A80">
        <w:rPr>
          <w:lang w:val="en-GB"/>
        </w:rPr>
        <w:t xml:space="preserve">Former combatants who completed the state rehabilitation programme were granted a form of administrative amnesty from prosecution, but this amnesty has not translated into full legal and civic equality. Individuals with a rehabilitation record report continuing difficulty obtaining clearance documents required for travel, employment in the public sector, or passports, and describe an implicit legal status - neither convicted nor fully rehabilitated in the eyes of the administration - that leaves </w:t>
      </w:r>
      <w:r w:rsidRPr="009A1A80">
        <w:rPr>
          <w:lang w:val="en-GB"/>
        </w:rPr>
        <w:lastRenderedPageBreak/>
        <w:t>them exposed to renewed detention under the PTA on the basis of historical association with the LTTE, irrespective of any disability they may carry.</w:t>
      </w:r>
    </w:p>
    <w:p w14:paraId="1CB6F07F" w14:textId="77777777" w:rsidR="009F3BC5" w:rsidRPr="009A1A80" w:rsidRDefault="00880B11">
      <w:pPr>
        <w:spacing w:after="200" w:line="300" w:lineRule="auto"/>
        <w:jc w:val="both"/>
        <w:rPr>
          <w:lang w:val="en-GB"/>
        </w:rPr>
      </w:pPr>
      <w:r w:rsidRPr="009A1A80">
        <w:rPr>
          <w:lang w:val="en-GB"/>
        </w:rPr>
        <w:t>Persons with intellectual, psychosocial or communication disabilities among this population face particular barriers in asserting their legal capacity and in accessing courts. There is no state-funded mechanism providing sign-language interpretation, plain-language legal information, or disability-accommodated legal aid to former combatants or war-disabled civilians seeking to pursue compensation claims, whether before the ordinary courts, the Human Rights Commission of Sri Lanka, or the Office for Reparati</w:t>
      </w:r>
      <w:r w:rsidRPr="009A1A80">
        <w:rPr>
          <w:lang w:val="en-GB"/>
        </w:rPr>
        <w:t>ons described below.</w:t>
      </w:r>
    </w:p>
    <w:p w14:paraId="3134FA1D" w14:textId="77777777" w:rsidR="009F3BC5" w:rsidRPr="009A1A80" w:rsidRDefault="00880B11">
      <w:pPr>
        <w:spacing w:after="200" w:line="300" w:lineRule="auto"/>
        <w:jc w:val="both"/>
        <w:rPr>
          <w:lang w:val="en-GB"/>
        </w:rPr>
      </w:pPr>
      <w:r w:rsidRPr="009A1A80">
        <w:rPr>
          <w:lang w:val="en-GB"/>
        </w:rPr>
        <w:t>Access to justice for this population is further constrained by the practical difficulty and cost of travel from the North-East to Colombo, where most superior courts and specialist legal aid services are concentrated - a barrier identical to the one described by DOJF for the wider disabled population, but compounded here by continuing security-related restrictions on movement and by the reluctance of many former combatants, whether disabled or not, to draw official attention to themselves by initiating leg</w:t>
      </w:r>
      <w:r w:rsidRPr="009A1A80">
        <w:rPr>
          <w:lang w:val="en-GB"/>
        </w:rPr>
        <w:t>al proceedings.</w:t>
      </w:r>
    </w:p>
    <w:p w14:paraId="586BEEAE"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3FB07DFD" w14:textId="77777777" w:rsidR="009F3BC5" w:rsidRPr="009A1A80" w:rsidRDefault="00880B11" w:rsidP="009A1A80">
      <w:pPr>
        <w:pStyle w:val="ListParagraph"/>
        <w:numPr>
          <w:ilvl w:val="0"/>
          <w:numId w:val="2"/>
        </w:numPr>
        <w:spacing w:after="120"/>
        <w:jc w:val="both"/>
        <w:rPr>
          <w:lang w:val="en-GB"/>
        </w:rPr>
      </w:pPr>
      <w:r w:rsidRPr="009A1A80">
        <w:rPr>
          <w:lang w:val="en-GB"/>
        </w:rPr>
        <w:t>What legal aid or disability-accommodated judicial support is available to disabled former combatants and disabled civilians seeking compensation for conflict-related injury?</w:t>
      </w:r>
    </w:p>
    <w:p w14:paraId="70DE1CF0" w14:textId="77777777" w:rsidR="009F3BC5" w:rsidRPr="009A1A80" w:rsidRDefault="00880B11" w:rsidP="009A1A80">
      <w:pPr>
        <w:pStyle w:val="ListParagraph"/>
        <w:numPr>
          <w:ilvl w:val="0"/>
          <w:numId w:val="2"/>
        </w:numPr>
        <w:spacing w:after="120"/>
        <w:jc w:val="both"/>
        <w:rPr>
          <w:lang w:val="en-GB"/>
        </w:rPr>
      </w:pPr>
      <w:r w:rsidRPr="009A1A80">
        <w:rPr>
          <w:lang w:val="en-GB"/>
        </w:rPr>
        <w:t>Does a rehabilitation record continue to affect an individual's legal status, access to documentation, or exposure to detention under the Prevention of Terrorism Act, and if so, how does the State party reconcile this with equal recognition before the law?</w:t>
      </w:r>
    </w:p>
    <w:p w14:paraId="14090EB6" w14:textId="04EBAA10" w:rsidR="009F3BC5" w:rsidRPr="009A1A80" w:rsidRDefault="00880B11">
      <w:pPr>
        <w:pStyle w:val="Heading1"/>
        <w:rPr>
          <w:lang w:val="en-GB"/>
        </w:rPr>
      </w:pPr>
      <w:bookmarkStart w:id="16" w:name="_Toc235393948"/>
      <w:r w:rsidRPr="009A1A80">
        <w:rPr>
          <w:lang w:val="en-GB"/>
        </w:rPr>
        <w:t xml:space="preserve">XV. Article 14 and Article 15 - Liberty, Security of the Person, and Freedom </w:t>
      </w:r>
      <w:proofErr w:type="gramStart"/>
      <w:r w:rsidRPr="009A1A80">
        <w:rPr>
          <w:lang w:val="en-GB"/>
        </w:rPr>
        <w:t>From</w:t>
      </w:r>
      <w:proofErr w:type="gramEnd"/>
      <w:r w:rsidRPr="009A1A80">
        <w:rPr>
          <w:lang w:val="en-GB"/>
        </w:rPr>
        <w:t xml:space="preserve"> Torture</w:t>
      </w:r>
      <w:bookmarkEnd w:id="16"/>
    </w:p>
    <w:p w14:paraId="3A8628C5" w14:textId="77777777" w:rsidR="009F3BC5" w:rsidRPr="009A1A80" w:rsidRDefault="00880B11">
      <w:pPr>
        <w:spacing w:after="200" w:line="300" w:lineRule="auto"/>
        <w:jc w:val="both"/>
        <w:rPr>
          <w:lang w:val="en-GB"/>
        </w:rPr>
      </w:pPr>
      <w:r w:rsidRPr="009A1A80">
        <w:rPr>
          <w:lang w:val="en-GB"/>
        </w:rPr>
        <w:t xml:space="preserve">Independent legal and human rights bodies have raised sustained concerns about the conditions of the mass rehabilitation programme through which more than eleven thousand former combatants passed between 2009 and the early 2010s, including questions about the lawfulness of prolonged administrative detention without judicial oversight and about restricted independent access to monitor conditions inside the </w:t>
      </w:r>
      <w:proofErr w:type="gramStart"/>
      <w:r w:rsidRPr="009A1A80">
        <w:rPr>
          <w:lang w:val="en-GB"/>
        </w:rPr>
        <w:t>facilities[</w:t>
      </w:r>
      <w:proofErr w:type="gramEnd"/>
      <w:r w:rsidRPr="009A1A80">
        <w:rPr>
          <w:lang w:val="en-GB"/>
        </w:rPr>
        <w:t>6]. Civil society organisations, including the International Truth and Justice Project, have documented testimony from former detainees describing ill-treatment during this period and during subsequent PTA-related detention of persons associated with the former LTTE.</w:t>
      </w:r>
    </w:p>
    <w:p w14:paraId="47D6E070" w14:textId="77777777" w:rsidR="009F3BC5" w:rsidRPr="009A1A80" w:rsidRDefault="00880B11">
      <w:pPr>
        <w:spacing w:after="200" w:line="300" w:lineRule="auto"/>
        <w:jc w:val="both"/>
        <w:rPr>
          <w:lang w:val="en-GB"/>
        </w:rPr>
      </w:pPr>
      <w:r w:rsidRPr="009A1A80">
        <w:rPr>
          <w:lang w:val="en-GB"/>
        </w:rPr>
        <w:t>AETF is aware of a number of cases, corroborated by partner organisations and by regional civil society reporting, in which persons with existing physical disabilities, or who acquired disabling injuries during interrogation or detention, received no medical follow-up after release and were never referred for rehabilitation or compensation. Because these individuals typically avoid public disclosure out of fear of renewed security attention, the true scale of disability arising from detention-related ill-tr</w:t>
      </w:r>
      <w:r w:rsidRPr="009A1A80">
        <w:rPr>
          <w:lang w:val="en-GB"/>
        </w:rPr>
        <w:t>eatment in the post-war period is unknown and, in AETF's assessment, likely under-reported.</w:t>
      </w:r>
    </w:p>
    <w:p w14:paraId="196CFE7C" w14:textId="77777777" w:rsidR="009F3BC5" w:rsidRPr="009A1A80" w:rsidRDefault="00880B11">
      <w:pPr>
        <w:spacing w:after="200" w:line="300" w:lineRule="auto"/>
        <w:jc w:val="both"/>
        <w:rPr>
          <w:lang w:val="en-GB"/>
        </w:rPr>
      </w:pPr>
      <w:r w:rsidRPr="009A1A80">
        <w:rPr>
          <w:lang w:val="en-GB"/>
        </w:rPr>
        <w:t>The Committee has previously emphasised, in its General Comment No. 1 on Article 12 and in its broader jurisprudence, that persons with disabilities are at heightened risk of torture and ill-treatment in custodial settings, and that States must adopt specific safeguards for this group. No disability-</w:t>
      </w:r>
      <w:r w:rsidRPr="009A1A80">
        <w:rPr>
          <w:lang w:val="en-GB"/>
        </w:rPr>
        <w:lastRenderedPageBreak/>
        <w:t>specific safeguard of this kind has been identified in Sri Lanka's rehabilitation or detention framework as it applied, or continues to apply, to persons associated with the former LTTE.</w:t>
      </w:r>
    </w:p>
    <w:p w14:paraId="056B8DB4"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0A27DDC7" w14:textId="77777777" w:rsidR="009F3BC5" w:rsidRPr="009A1A80" w:rsidRDefault="00880B11" w:rsidP="009A1A80">
      <w:pPr>
        <w:pStyle w:val="ListParagraph"/>
        <w:numPr>
          <w:ilvl w:val="0"/>
          <w:numId w:val="2"/>
        </w:numPr>
        <w:spacing w:after="120"/>
        <w:jc w:val="both"/>
        <w:rPr>
          <w:lang w:val="en-GB"/>
        </w:rPr>
      </w:pPr>
      <w:r w:rsidRPr="009A1A80">
        <w:rPr>
          <w:lang w:val="en-GB"/>
        </w:rPr>
        <w:t>What independent monitoring, including by international bodies, was permitted inside rehabilitation facilities between 2009 and 2021, and what safeguards existed for detainees with disabilities?</w:t>
      </w:r>
    </w:p>
    <w:p w14:paraId="3673D54A" w14:textId="77777777" w:rsidR="009F3BC5" w:rsidRPr="009A1A80" w:rsidRDefault="00880B11" w:rsidP="009A1A80">
      <w:pPr>
        <w:pStyle w:val="ListParagraph"/>
        <w:numPr>
          <w:ilvl w:val="0"/>
          <w:numId w:val="2"/>
        </w:numPr>
        <w:spacing w:after="120"/>
        <w:jc w:val="both"/>
        <w:rPr>
          <w:lang w:val="en-GB"/>
        </w:rPr>
      </w:pPr>
      <w:r w:rsidRPr="009A1A80">
        <w:rPr>
          <w:lang w:val="en-GB"/>
        </w:rPr>
        <w:t>What mechanism exists for a former detainee who acquired a disability during detention to seek an independent medical assessment, redress, or compensation?</w:t>
      </w:r>
    </w:p>
    <w:p w14:paraId="14CA41FD" w14:textId="5FE7C8B4" w:rsidR="009F3BC5" w:rsidRPr="009A1A80" w:rsidRDefault="00880B11">
      <w:pPr>
        <w:pStyle w:val="Heading1"/>
        <w:rPr>
          <w:lang w:val="en-GB"/>
        </w:rPr>
      </w:pPr>
      <w:bookmarkStart w:id="17" w:name="_Toc235393949"/>
      <w:r w:rsidRPr="009A1A80">
        <w:rPr>
          <w:lang w:val="en-GB"/>
        </w:rPr>
        <w:t xml:space="preserve">XVI. Article 16 - Freedom </w:t>
      </w:r>
      <w:proofErr w:type="gramStart"/>
      <w:r w:rsidRPr="009A1A80">
        <w:rPr>
          <w:lang w:val="en-GB"/>
        </w:rPr>
        <w:t>From</w:t>
      </w:r>
      <w:proofErr w:type="gramEnd"/>
      <w:r w:rsidRPr="009A1A80">
        <w:rPr>
          <w:lang w:val="en-GB"/>
        </w:rPr>
        <w:t xml:space="preserve"> Exploitation, Violence and Abuse</w:t>
      </w:r>
      <w:bookmarkEnd w:id="17"/>
    </w:p>
    <w:p w14:paraId="2E52530A" w14:textId="77777777" w:rsidR="009F3BC5" w:rsidRPr="009A1A80" w:rsidRDefault="00880B11">
      <w:pPr>
        <w:spacing w:after="200" w:line="300" w:lineRule="auto"/>
        <w:jc w:val="both"/>
        <w:rPr>
          <w:lang w:val="en-GB"/>
        </w:rPr>
      </w:pPr>
      <w:r w:rsidRPr="009A1A80">
        <w:rPr>
          <w:lang w:val="en-GB"/>
        </w:rPr>
        <w:t>Women formerly associated with the LTTE, including women who acquired disabilities in combat or in detention, are described in multiple civil society reports as facing a particularly acute combination of stigma, economic exclusion and vulnerability to exploitation. Reduced mobility or sensory impairment compounds the isolation already reported among former female combatants, many of whom face rejection by their own families and communities on account of their wartime association, leaving disabled women in t</w:t>
      </w:r>
      <w:r w:rsidRPr="009A1A80">
        <w:rPr>
          <w:lang w:val="en-GB"/>
        </w:rPr>
        <w:t>his group with markedly fewer protective social networks than either non-disabled former combatants or disabled women from the general population.</w:t>
      </w:r>
    </w:p>
    <w:p w14:paraId="27486F17" w14:textId="77777777" w:rsidR="009F3BC5" w:rsidRPr="009A1A80" w:rsidRDefault="00880B11">
      <w:pPr>
        <w:spacing w:after="200" w:line="300" w:lineRule="auto"/>
        <w:jc w:val="both"/>
        <w:rPr>
          <w:lang w:val="en-GB"/>
        </w:rPr>
      </w:pPr>
      <w:r w:rsidRPr="009A1A80">
        <w:rPr>
          <w:lang w:val="en-GB"/>
        </w:rPr>
        <w:t>AETF's partner contacts report that children of disabled former combatants are themselves at heightened risk of neglect and exploitation where a sole surviving or present parent's disability limits their capacity to supervise or provide for the household, a dynamic that mirrors, but is more severe than, the general pattern of disability-linked child vulnerability documented in the 2024 DOJF submission for the wider disabled population.</w:t>
      </w:r>
    </w:p>
    <w:p w14:paraId="20DA91A2"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7C11CA3E" w14:textId="77777777" w:rsidR="009F3BC5" w:rsidRPr="009A1A80" w:rsidRDefault="00880B11" w:rsidP="009A1A80">
      <w:pPr>
        <w:pStyle w:val="ListParagraph"/>
        <w:numPr>
          <w:ilvl w:val="0"/>
          <w:numId w:val="2"/>
        </w:numPr>
        <w:spacing w:after="120"/>
        <w:jc w:val="both"/>
        <w:rPr>
          <w:lang w:val="en-GB"/>
        </w:rPr>
      </w:pPr>
      <w:r w:rsidRPr="009A1A80">
        <w:rPr>
          <w:lang w:val="en-GB"/>
        </w:rPr>
        <w:t>What targeted protective measures exist for women formerly associated with the LTTE who have acquired disabilities, given the compounded stigma and isolation this group faces?</w:t>
      </w:r>
    </w:p>
    <w:p w14:paraId="518896EC" w14:textId="77777777" w:rsidR="009F3BC5" w:rsidRPr="009A1A80" w:rsidRDefault="00880B11" w:rsidP="009A1A80">
      <w:pPr>
        <w:pStyle w:val="ListParagraph"/>
        <w:numPr>
          <w:ilvl w:val="0"/>
          <w:numId w:val="2"/>
        </w:numPr>
        <w:spacing w:after="120"/>
        <w:jc w:val="both"/>
        <w:rPr>
          <w:lang w:val="en-GB"/>
        </w:rPr>
      </w:pPr>
      <w:r w:rsidRPr="009A1A80">
        <w:rPr>
          <w:lang w:val="en-GB"/>
        </w:rPr>
        <w:t>What support is available to children whose parent's caregiving capacity is affected by a conflict-related disability originating in combat or detention?</w:t>
      </w:r>
    </w:p>
    <w:p w14:paraId="0012B2E1" w14:textId="5A0B97A0" w:rsidR="009F3BC5" w:rsidRPr="009A1A80" w:rsidRDefault="00880B11">
      <w:pPr>
        <w:pStyle w:val="Heading1"/>
        <w:rPr>
          <w:lang w:val="en-GB"/>
        </w:rPr>
      </w:pPr>
      <w:bookmarkStart w:id="18" w:name="_Toc235393950"/>
      <w:r w:rsidRPr="009A1A80">
        <w:rPr>
          <w:lang w:val="en-GB"/>
        </w:rPr>
        <w:t>XVII. Article 17 and Article 18 - Integrity of the Person, Liberty of Movement</w:t>
      </w:r>
      <w:bookmarkEnd w:id="18"/>
    </w:p>
    <w:p w14:paraId="68651EBA" w14:textId="77777777" w:rsidR="009F3BC5" w:rsidRPr="009A1A80" w:rsidRDefault="00880B11">
      <w:pPr>
        <w:spacing w:after="200" w:line="300" w:lineRule="auto"/>
        <w:jc w:val="both"/>
        <w:rPr>
          <w:lang w:val="en-GB"/>
        </w:rPr>
      </w:pPr>
      <w:r w:rsidRPr="009A1A80">
        <w:rPr>
          <w:lang w:val="en-GB"/>
        </w:rPr>
        <w:t>Continuing militarisation of the North-East directly affects the liberty of movement of disabled former combatants and disabled civilians alike. Large tracts of land in Jaffna, Mullaitivu and other districts remain occupied by the military more than a decade and a half after the end of the conflict, preventing original residents, including persons with disabilities who require stable, accessible housing, from returning to or rebuilding on their own land. Persons with mobility impairments are disproportionat</w:t>
      </w:r>
      <w:r w:rsidRPr="009A1A80">
        <w:rPr>
          <w:lang w:val="en-GB"/>
        </w:rPr>
        <w:t>ely affected by this displacement, as the process of establishing a new accessible home in resettlement areas - often lacking the ramps, level access, and proximity to services documented as absent even in permanent housing stock elsewhere in the DOJF submission - falls hardest on those least able to adapt.</w:t>
      </w:r>
    </w:p>
    <w:p w14:paraId="0A58C03C" w14:textId="77777777" w:rsidR="009F3BC5" w:rsidRPr="009A1A80" w:rsidRDefault="00880B11">
      <w:pPr>
        <w:spacing w:after="200" w:line="300" w:lineRule="auto"/>
        <w:jc w:val="both"/>
        <w:rPr>
          <w:lang w:val="en-GB"/>
        </w:rPr>
      </w:pPr>
      <w:r w:rsidRPr="009A1A80">
        <w:rPr>
          <w:lang w:val="en-GB"/>
        </w:rPr>
        <w:t xml:space="preserve">Checkpoints, movement registration requirements historically applied to former combatants, and the general security architecture of the North-East further restrict the free movement guaranteed under Article 14(1)(h) of the Constitution and under Article 18 of the Convention, with the burden again </w:t>
      </w:r>
      <w:r w:rsidRPr="009A1A80">
        <w:rPr>
          <w:lang w:val="en-GB"/>
        </w:rPr>
        <w:lastRenderedPageBreak/>
        <w:t>falling hardest on persons whose disability already limits independent travel and who cannot easily present themselves for repeated identity or security checks.</w:t>
      </w:r>
    </w:p>
    <w:p w14:paraId="09D365D0" w14:textId="77777777" w:rsidR="009F3BC5" w:rsidRPr="009A1A80" w:rsidRDefault="00880B11">
      <w:pPr>
        <w:spacing w:before="100" w:after="100"/>
        <w:rPr>
          <w:lang w:val="en-GB"/>
        </w:rPr>
      </w:pPr>
      <w:r w:rsidRPr="009A1A80">
        <w:rPr>
          <w:b/>
          <w:bCs/>
          <w:i/>
          <w:iCs/>
          <w:color w:val="8C6D1F"/>
          <w:lang w:val="en-GB"/>
        </w:rPr>
        <w:t>Proposed Questions to the State Party:</w:t>
      </w:r>
    </w:p>
    <w:p w14:paraId="0DF58FE4" w14:textId="77777777" w:rsidR="009F3BC5" w:rsidRPr="009A1A80" w:rsidRDefault="00880B11">
      <w:pPr>
        <w:pStyle w:val="ListParagraph"/>
        <w:numPr>
          <w:ilvl w:val="0"/>
          <w:numId w:val="2"/>
        </w:numPr>
        <w:spacing w:after="120"/>
        <w:rPr>
          <w:lang w:val="en-GB"/>
        </w:rPr>
      </w:pPr>
      <w:r w:rsidRPr="009A1A80">
        <w:rPr>
          <w:lang w:val="en-GB"/>
        </w:rPr>
        <w:t>What is the current status of land in the Northern and Eastern Provinces occupied by the military, and what specific plan exists to prioritise the return of land to disabled original residents and their families?</w:t>
      </w:r>
    </w:p>
    <w:p w14:paraId="209DE191" w14:textId="77777777" w:rsidR="009F3BC5" w:rsidRPr="009A1A80" w:rsidRDefault="00880B11">
      <w:pPr>
        <w:pStyle w:val="ListParagraph"/>
        <w:numPr>
          <w:ilvl w:val="0"/>
          <w:numId w:val="2"/>
        </w:numPr>
        <w:spacing w:after="120"/>
        <w:rPr>
          <w:lang w:val="en-GB"/>
        </w:rPr>
      </w:pPr>
      <w:r w:rsidRPr="009A1A80">
        <w:rPr>
          <w:lang w:val="en-GB"/>
        </w:rPr>
        <w:t>Do former combatants with disabilities remain subject to distinct movement registration or reporting obligations, and if so, what is the legal basis for these requirements?</w:t>
      </w:r>
    </w:p>
    <w:p w14:paraId="63E332F1" w14:textId="1F477FB8" w:rsidR="009F3BC5" w:rsidRPr="009A1A80" w:rsidRDefault="00880B11">
      <w:pPr>
        <w:pStyle w:val="Heading1"/>
        <w:rPr>
          <w:lang w:val="en-GB"/>
        </w:rPr>
      </w:pPr>
      <w:bookmarkStart w:id="19" w:name="_Toc235393951"/>
      <w:r w:rsidRPr="009A1A80">
        <w:rPr>
          <w:lang w:val="en-GB"/>
        </w:rPr>
        <w:t>X</w:t>
      </w:r>
      <w:r w:rsidR="00BB7C7D">
        <w:rPr>
          <w:lang w:val="en-GB"/>
        </w:rPr>
        <w:t>VII</w:t>
      </w:r>
      <w:r w:rsidRPr="009A1A80">
        <w:rPr>
          <w:lang w:val="en-GB"/>
        </w:rPr>
        <w:t>I. Article 19 and Article 20 - Living Independently and Personal Mobility</w:t>
      </w:r>
      <w:bookmarkEnd w:id="19"/>
    </w:p>
    <w:p w14:paraId="1E263B64" w14:textId="77777777" w:rsidR="009F3BC5" w:rsidRPr="009A1A80" w:rsidRDefault="00880B11">
      <w:pPr>
        <w:spacing w:after="200" w:line="300" w:lineRule="auto"/>
        <w:jc w:val="both"/>
        <w:rPr>
          <w:lang w:val="en-GB"/>
        </w:rPr>
      </w:pPr>
      <w:r w:rsidRPr="009A1A80">
        <w:rPr>
          <w:lang w:val="en-GB"/>
        </w:rPr>
        <w:t xml:space="preserve">As DOJF's 2024 submission to the Committee documents, the Community-Based Rehabilitation programme launched decades ago has never been implemented in the Northern Province, despite that province having been in post-conflict recovery since 2009 and despite hosting, on any estimate, one of the highest concentrations of war-disabled persons in the </w:t>
      </w:r>
      <w:proofErr w:type="gramStart"/>
      <w:r w:rsidRPr="009A1A80">
        <w:rPr>
          <w:lang w:val="en-GB"/>
        </w:rPr>
        <w:t>country[</w:t>
      </w:r>
      <w:proofErr w:type="gramEnd"/>
      <w:r w:rsidRPr="009A1A80">
        <w:rPr>
          <w:lang w:val="en-GB"/>
        </w:rPr>
        <w:t>7]. AETF underscores that this gap falls with particular severity on former combatants with disabilities, who are in addition excluded from consideration by most non-governmental disability service providers operating in the region, several of which decline, for reasons of security sensitivity or funding restrictions imposed by their own donors, to extend services explicitly to persons with a rehabilitation record.</w:t>
      </w:r>
    </w:p>
    <w:p w14:paraId="3BC13E20" w14:textId="77777777" w:rsidR="009F3BC5" w:rsidRPr="009A1A80" w:rsidRDefault="00880B11">
      <w:pPr>
        <w:spacing w:after="200" w:line="300" w:lineRule="auto"/>
        <w:jc w:val="both"/>
        <w:rPr>
          <w:lang w:val="en-GB"/>
        </w:rPr>
      </w:pPr>
      <w:r w:rsidRPr="009A1A80">
        <w:rPr>
          <w:lang w:val="en-GB"/>
        </w:rPr>
        <w:t>On personal mobility, the shortage of appropriately fitted prosthetic limbs, wheelchairs and mobility aids described throughout the 2024 DOJF submission is especially acute for the war-disabled population of the North-East. Government restrictions on the import of materials such as polypropylene used in prosthetic and orthotic manufacture, noted in the DOJF submission, have a direct and disproportionate impact on this population, who typically cannot afford private-sector alternatives and who, if former com</w:t>
      </w:r>
      <w:r w:rsidRPr="009A1A80">
        <w:rPr>
          <w:lang w:val="en-GB"/>
        </w:rPr>
        <w:t>batants, frequently face additional bureaucratic delay or refusal when applying through general disability assistance schemes.</w:t>
      </w:r>
    </w:p>
    <w:p w14:paraId="7F792072"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64DEB8E9" w14:textId="77777777" w:rsidR="009F3BC5" w:rsidRPr="009A1A80" w:rsidRDefault="00880B11" w:rsidP="009A1A80">
      <w:pPr>
        <w:pStyle w:val="ListParagraph"/>
        <w:numPr>
          <w:ilvl w:val="0"/>
          <w:numId w:val="2"/>
        </w:numPr>
        <w:spacing w:after="120"/>
        <w:jc w:val="both"/>
        <w:rPr>
          <w:lang w:val="en-GB"/>
        </w:rPr>
      </w:pPr>
      <w:r w:rsidRPr="009A1A80">
        <w:rPr>
          <w:lang w:val="en-GB"/>
        </w:rPr>
        <w:t>When will the Community-Based Rehabilitation programme be extended to the Northern and Eastern Provinces, and what budget has been allocated for this purpose?</w:t>
      </w:r>
    </w:p>
    <w:p w14:paraId="4F68BA74" w14:textId="77777777" w:rsidR="009F3BC5" w:rsidRPr="009A1A80" w:rsidRDefault="00880B11" w:rsidP="009A1A80">
      <w:pPr>
        <w:pStyle w:val="ListParagraph"/>
        <w:numPr>
          <w:ilvl w:val="0"/>
          <w:numId w:val="2"/>
        </w:numPr>
        <w:spacing w:after="120"/>
        <w:jc w:val="both"/>
        <w:rPr>
          <w:lang w:val="en-GB"/>
        </w:rPr>
      </w:pPr>
      <w:r w:rsidRPr="009A1A80">
        <w:rPr>
          <w:lang w:val="en-GB"/>
        </w:rPr>
        <w:t>What steps have been taken to ensure former combatants with disabilities are not excluded, formally or informally, from prosthetic and mobility-aid provision programmes?</w:t>
      </w:r>
    </w:p>
    <w:p w14:paraId="7FC5DEFC" w14:textId="14FB6C2B" w:rsidR="009F3BC5" w:rsidRPr="009A1A80" w:rsidRDefault="00880B11">
      <w:pPr>
        <w:pStyle w:val="Heading1"/>
        <w:rPr>
          <w:lang w:val="en-GB"/>
        </w:rPr>
      </w:pPr>
      <w:bookmarkStart w:id="20" w:name="_Toc235393952"/>
      <w:r w:rsidRPr="009A1A80">
        <w:rPr>
          <w:lang w:val="en-GB"/>
        </w:rPr>
        <w:t>X</w:t>
      </w:r>
      <w:r w:rsidR="00BB7C7D">
        <w:rPr>
          <w:lang w:val="en-GB"/>
        </w:rPr>
        <w:t>I</w:t>
      </w:r>
      <w:r w:rsidRPr="009A1A80">
        <w:rPr>
          <w:lang w:val="en-GB"/>
        </w:rPr>
        <w:t>X. Article 24 - Education</w:t>
      </w:r>
      <w:bookmarkEnd w:id="20"/>
    </w:p>
    <w:p w14:paraId="65086A7F" w14:textId="77777777" w:rsidR="009F3BC5" w:rsidRPr="009A1A80" w:rsidRDefault="00880B11">
      <w:pPr>
        <w:spacing w:after="200" w:line="300" w:lineRule="auto"/>
        <w:jc w:val="both"/>
        <w:rPr>
          <w:lang w:val="en-GB"/>
        </w:rPr>
      </w:pPr>
      <w:r w:rsidRPr="009A1A80">
        <w:rPr>
          <w:lang w:val="en-GB"/>
        </w:rPr>
        <w:t xml:space="preserve">Children of disabled former combatants in the North-East report facing compounded stigma at school, both for their family's wartime association and for any visible or perceived disability inherited or shared within the household context, for example where a parent's mobility impairment limits their ability to accompany a child to school in areas without accessible public transport. The general shortage of inclusive-education infrastructure and specialised teachers documented for Sri Lanka as a whole in the </w:t>
      </w:r>
      <w:r w:rsidRPr="009A1A80">
        <w:rPr>
          <w:lang w:val="en-GB"/>
        </w:rPr>
        <w:t>2024 DOJF submission is, in the North-East, further reduced by the comparative scarcity of qualified staff willing to work in the region and by lingering physical damage to school infrastructure from the conflict that has never been fully remediated for accessibility.</w:t>
      </w:r>
    </w:p>
    <w:p w14:paraId="0EEA7B35"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54855766" w14:textId="77777777" w:rsidR="009F3BC5" w:rsidRPr="009A1A80" w:rsidRDefault="00880B11" w:rsidP="009A1A80">
      <w:pPr>
        <w:pStyle w:val="ListParagraph"/>
        <w:numPr>
          <w:ilvl w:val="0"/>
          <w:numId w:val="2"/>
        </w:numPr>
        <w:spacing w:after="120"/>
        <w:jc w:val="both"/>
        <w:rPr>
          <w:lang w:val="en-GB"/>
        </w:rPr>
      </w:pPr>
      <w:r w:rsidRPr="009A1A80">
        <w:rPr>
          <w:lang w:val="en-GB"/>
        </w:rPr>
        <w:lastRenderedPageBreak/>
        <w:t>What specific measures exist to support children of disabled former combatants in accessing inclusive education without compounded stigma?</w:t>
      </w:r>
    </w:p>
    <w:p w14:paraId="1A76D845" w14:textId="77777777" w:rsidR="009F3BC5" w:rsidRPr="009A1A80" w:rsidRDefault="00880B11" w:rsidP="009A1A80">
      <w:pPr>
        <w:pStyle w:val="ListParagraph"/>
        <w:numPr>
          <w:ilvl w:val="0"/>
          <w:numId w:val="2"/>
        </w:numPr>
        <w:spacing w:after="120"/>
        <w:jc w:val="both"/>
        <w:rPr>
          <w:lang w:val="en-GB"/>
        </w:rPr>
      </w:pPr>
      <w:r w:rsidRPr="009A1A80">
        <w:rPr>
          <w:lang w:val="en-GB"/>
        </w:rPr>
        <w:t>What proportion of the national inclusive-education budget has been allocated to schools in the Northern and Eastern Provinces in each of the last three years?</w:t>
      </w:r>
    </w:p>
    <w:p w14:paraId="5C539E57" w14:textId="0C717B8D" w:rsidR="009F3BC5" w:rsidRPr="009A1A80" w:rsidRDefault="00880B11">
      <w:pPr>
        <w:pStyle w:val="Heading1"/>
        <w:rPr>
          <w:lang w:val="en-GB"/>
        </w:rPr>
      </w:pPr>
      <w:bookmarkStart w:id="21" w:name="_Toc235393953"/>
      <w:r w:rsidRPr="009A1A80">
        <w:rPr>
          <w:lang w:val="en-GB"/>
        </w:rPr>
        <w:t xml:space="preserve">XX. Article 25 and Article 26 - Health, </w:t>
      </w:r>
      <w:proofErr w:type="spellStart"/>
      <w:r w:rsidRPr="009A1A80">
        <w:rPr>
          <w:lang w:val="en-GB"/>
        </w:rPr>
        <w:t>Habilitation</w:t>
      </w:r>
      <w:proofErr w:type="spellEnd"/>
      <w:r w:rsidRPr="009A1A80">
        <w:rPr>
          <w:lang w:val="en-GB"/>
        </w:rPr>
        <w:t xml:space="preserve"> and Rehabilitation</w:t>
      </w:r>
      <w:bookmarkEnd w:id="21"/>
    </w:p>
    <w:p w14:paraId="0EEE5031" w14:textId="77777777" w:rsidR="009F3BC5" w:rsidRPr="009A1A80" w:rsidRDefault="00880B11">
      <w:pPr>
        <w:spacing w:after="200" w:line="300" w:lineRule="auto"/>
        <w:jc w:val="both"/>
        <w:rPr>
          <w:lang w:val="en-GB"/>
        </w:rPr>
      </w:pPr>
      <w:r w:rsidRPr="009A1A80">
        <w:rPr>
          <w:lang w:val="en-GB"/>
        </w:rPr>
        <w:t xml:space="preserve">Field reporting following the conclusion of the main rehabilitation programme found explicitly that no targeted medical assistance programme exists for disabled former combatants; such individuals access, at most, the same general health and prosthetic assistance available to the wider population, with no adjustment for the nature or severity of injuries sustained in combat or </w:t>
      </w:r>
      <w:proofErr w:type="gramStart"/>
      <w:r w:rsidRPr="009A1A80">
        <w:rPr>
          <w:lang w:val="en-GB"/>
        </w:rPr>
        <w:t>detention[</w:t>
      </w:r>
      <w:proofErr w:type="gramEnd"/>
      <w:r w:rsidRPr="009A1A80">
        <w:rPr>
          <w:lang w:val="en-GB"/>
        </w:rPr>
        <w:t xml:space="preserve">3]. International Committee of the Red Cross officials working in the North described rehabilitated former combatants' primary unmet need as economic independence and continuity of care, and confirmed that, beyond limited ICRC grants distributed in the early 2010s, no other international body was providing sustained assistance to this group even a half-decade after the conflict's </w:t>
      </w:r>
      <w:proofErr w:type="gramStart"/>
      <w:r w:rsidRPr="009A1A80">
        <w:rPr>
          <w:lang w:val="en-GB"/>
        </w:rPr>
        <w:t>end[</w:t>
      </w:r>
      <w:proofErr w:type="gramEnd"/>
      <w:r w:rsidRPr="009A1A80">
        <w:rPr>
          <w:lang w:val="en-GB"/>
        </w:rPr>
        <w:t>3][8].</w:t>
      </w:r>
    </w:p>
    <w:p w14:paraId="67872072" w14:textId="77777777" w:rsidR="009F3BC5" w:rsidRPr="009A1A80" w:rsidRDefault="00880B11">
      <w:pPr>
        <w:spacing w:after="200" w:line="300" w:lineRule="auto"/>
        <w:jc w:val="both"/>
        <w:rPr>
          <w:lang w:val="en-GB"/>
        </w:rPr>
      </w:pPr>
      <w:r w:rsidRPr="009A1A80">
        <w:rPr>
          <w:lang w:val="en-GB"/>
        </w:rPr>
        <w:t xml:space="preserve">The absence of a national reparations policy addressing health needs, called for by the United Nations in the years following the OISL report, remains unaddressed for the specific needs of the war-disabled Tamil population, whether civilian or former </w:t>
      </w:r>
      <w:proofErr w:type="gramStart"/>
      <w:r w:rsidRPr="009A1A80">
        <w:rPr>
          <w:lang w:val="en-GB"/>
        </w:rPr>
        <w:t>combatant[</w:t>
      </w:r>
      <w:proofErr w:type="gramEnd"/>
      <w:r w:rsidRPr="009A1A80">
        <w:rPr>
          <w:lang w:val="en-GB"/>
        </w:rPr>
        <w:t xml:space="preserve">9]. As the 2024 DOJF submission notes for the disabled population generally, government </w:t>
      </w:r>
      <w:proofErr w:type="spellStart"/>
      <w:r w:rsidRPr="009A1A80">
        <w:rPr>
          <w:lang w:val="en-GB"/>
        </w:rPr>
        <w:t>habilitation</w:t>
      </w:r>
      <w:proofErr w:type="spellEnd"/>
      <w:r w:rsidRPr="009A1A80">
        <w:rPr>
          <w:lang w:val="en-GB"/>
        </w:rPr>
        <w:t xml:space="preserve"> and rehabilitation infrastructure suffers from a shortage of rehabilitation professionals, difficulty recruiting and retaining specialist staff at hospitals outside Colombo, and restrictions on the import of materials needed to manufacture and repair prosthetic and orthotic </w:t>
      </w:r>
      <w:proofErr w:type="gramStart"/>
      <w:r w:rsidRPr="009A1A80">
        <w:rPr>
          <w:lang w:val="en-GB"/>
        </w:rPr>
        <w:t>devices[</w:t>
      </w:r>
      <w:proofErr w:type="gramEnd"/>
      <w:r w:rsidRPr="009A1A80">
        <w:rPr>
          <w:lang w:val="en-GB"/>
        </w:rPr>
        <w:t xml:space="preserve">7]. A planned rehabilitation facility for persons with spinal cord injuries at </w:t>
      </w:r>
      <w:proofErr w:type="spellStart"/>
      <w:r w:rsidRPr="009A1A80">
        <w:rPr>
          <w:lang w:val="en-GB"/>
        </w:rPr>
        <w:t>Mankulam</w:t>
      </w:r>
      <w:proofErr w:type="spellEnd"/>
      <w:r w:rsidRPr="009A1A80">
        <w:rPr>
          <w:lang w:val="en-GB"/>
        </w:rPr>
        <w:t xml:space="preserve"> in the Northern Province - precisely the region with the highest concentration of severely war-disabled residents - has </w:t>
      </w:r>
      <w:proofErr w:type="gramStart"/>
      <w:r w:rsidRPr="009A1A80">
        <w:rPr>
          <w:lang w:val="en-GB"/>
        </w:rPr>
        <w:t>stalled[</w:t>
      </w:r>
      <w:proofErr w:type="gramEnd"/>
      <w:r w:rsidRPr="009A1A80">
        <w:rPr>
          <w:lang w:val="en-GB"/>
        </w:rPr>
        <w:t>7].</w:t>
      </w:r>
    </w:p>
    <w:p w14:paraId="45F49B8B" w14:textId="77777777" w:rsidR="009F3BC5" w:rsidRPr="009A1A80" w:rsidRDefault="00880B11">
      <w:pPr>
        <w:spacing w:after="200" w:line="300" w:lineRule="auto"/>
        <w:jc w:val="both"/>
        <w:rPr>
          <w:lang w:val="en-GB"/>
        </w:rPr>
      </w:pPr>
      <w:r w:rsidRPr="009A1A80">
        <w:rPr>
          <w:lang w:val="en-GB"/>
        </w:rPr>
        <w:t>Psychosocial and mental health needs among disabled former combatants remain almost entirely unaddressed outside the initial, time-limited psychosocial support component of the original rehabilitation programme. No sustained, disability-specific mental health service exists for former combatants managing both physical impairment and the compounded trauma, social stigma and economic precarity documented throughout this population.</w:t>
      </w:r>
    </w:p>
    <w:p w14:paraId="53FFED13"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1C36D9FB" w14:textId="77777777" w:rsidR="009F3BC5" w:rsidRPr="009A1A80" w:rsidRDefault="00880B11" w:rsidP="009A1A80">
      <w:pPr>
        <w:pStyle w:val="ListParagraph"/>
        <w:numPr>
          <w:ilvl w:val="0"/>
          <w:numId w:val="2"/>
        </w:numPr>
        <w:spacing w:after="120"/>
        <w:jc w:val="both"/>
        <w:rPr>
          <w:lang w:val="en-GB"/>
        </w:rPr>
      </w:pPr>
      <w:r w:rsidRPr="009A1A80">
        <w:rPr>
          <w:lang w:val="en-GB"/>
        </w:rPr>
        <w:t>What targeted medical, rehabilitative and psychosocial services exist specifically for disabled former combatants, and what has been the level of uptake since the end of the main rehabilitation programme?</w:t>
      </w:r>
    </w:p>
    <w:p w14:paraId="7F55311F" w14:textId="77777777" w:rsidR="009F3BC5" w:rsidRPr="009A1A80" w:rsidRDefault="00880B11" w:rsidP="009A1A80">
      <w:pPr>
        <w:pStyle w:val="ListParagraph"/>
        <w:numPr>
          <w:ilvl w:val="0"/>
          <w:numId w:val="2"/>
        </w:numPr>
        <w:spacing w:after="120"/>
        <w:jc w:val="both"/>
        <w:rPr>
          <w:lang w:val="en-GB"/>
        </w:rPr>
      </w:pPr>
      <w:r w:rsidRPr="009A1A80">
        <w:rPr>
          <w:lang w:val="en-GB"/>
        </w:rPr>
        <w:t xml:space="preserve">What is the current status of the planned rehabilitation facility for persons with spinal cord injuries at </w:t>
      </w:r>
      <w:proofErr w:type="spellStart"/>
      <w:r w:rsidRPr="009A1A80">
        <w:rPr>
          <w:lang w:val="en-GB"/>
        </w:rPr>
        <w:t>Mankulam</w:t>
      </w:r>
      <w:proofErr w:type="spellEnd"/>
      <w:r w:rsidRPr="009A1A80">
        <w:rPr>
          <w:lang w:val="en-GB"/>
        </w:rPr>
        <w:t>, and what is preventing its completion?</w:t>
      </w:r>
    </w:p>
    <w:p w14:paraId="024A6249" w14:textId="77777777" w:rsidR="009F3BC5" w:rsidRPr="009A1A80" w:rsidRDefault="00880B11" w:rsidP="009A1A80">
      <w:pPr>
        <w:pStyle w:val="ListParagraph"/>
        <w:numPr>
          <w:ilvl w:val="0"/>
          <w:numId w:val="2"/>
        </w:numPr>
        <w:spacing w:after="120"/>
        <w:jc w:val="both"/>
        <w:rPr>
          <w:lang w:val="en-GB"/>
        </w:rPr>
      </w:pPr>
      <w:r w:rsidRPr="009A1A80">
        <w:rPr>
          <w:lang w:val="en-GB"/>
        </w:rPr>
        <w:t>What steps are being taken to lift restrictions on the import of materials required for prosthetic and orthotic manufacture and repair?</w:t>
      </w:r>
    </w:p>
    <w:p w14:paraId="7AA92CE9" w14:textId="789D8019" w:rsidR="009F3BC5" w:rsidRPr="009A1A80" w:rsidRDefault="00880B11">
      <w:pPr>
        <w:pStyle w:val="Heading1"/>
        <w:rPr>
          <w:lang w:val="en-GB"/>
        </w:rPr>
      </w:pPr>
      <w:bookmarkStart w:id="22" w:name="_Toc235393954"/>
      <w:r w:rsidRPr="009A1A80">
        <w:rPr>
          <w:lang w:val="en-GB"/>
        </w:rPr>
        <w:t>XXI. Article 27 and Article 28 - Work, Employment, Adequate Standard of Living and Social Protection</w:t>
      </w:r>
      <w:bookmarkEnd w:id="22"/>
    </w:p>
    <w:p w14:paraId="472CCECC" w14:textId="77777777" w:rsidR="009F3BC5" w:rsidRPr="009A1A80" w:rsidRDefault="00880B11">
      <w:pPr>
        <w:spacing w:after="200" w:line="300" w:lineRule="auto"/>
        <w:jc w:val="both"/>
        <w:rPr>
          <w:lang w:val="en-GB"/>
        </w:rPr>
      </w:pPr>
      <w:r w:rsidRPr="009A1A80">
        <w:rPr>
          <w:lang w:val="en-GB"/>
        </w:rPr>
        <w:t xml:space="preserve">Disabled former combatants who completed vocational elements of the rehabilitation programme report that the skills provided, and the one-off livelihood grants distributed on release, rarely translate into sustainable income. Case documentation gathered by regional researchers and referenced in recent policy analysis describes grants spent, for want of any structured follow-up or household-level </w:t>
      </w:r>
      <w:r w:rsidRPr="009A1A80">
        <w:rPr>
          <w:lang w:val="en-GB"/>
        </w:rPr>
        <w:lastRenderedPageBreak/>
        <w:t xml:space="preserve">support, on immediate needs rather than productive assets, leaving families of disabled ex-combatants without either the working capital or the ongoing monitoring that a genuine livelihood programme would </w:t>
      </w:r>
      <w:proofErr w:type="gramStart"/>
      <w:r w:rsidRPr="009A1A80">
        <w:rPr>
          <w:lang w:val="en-GB"/>
        </w:rPr>
        <w:t>require[</w:t>
      </w:r>
      <w:proofErr w:type="gramEnd"/>
      <w:r w:rsidRPr="009A1A80">
        <w:rPr>
          <w:lang w:val="en-GB"/>
        </w:rPr>
        <w:t>10]. No equivalent to the household-level support structures available to families of disabled state security personnel exists for this population.</w:t>
      </w:r>
    </w:p>
    <w:p w14:paraId="1D064519" w14:textId="77777777" w:rsidR="009F3BC5" w:rsidRPr="009A1A80" w:rsidRDefault="00880B11">
      <w:pPr>
        <w:spacing w:after="200" w:line="300" w:lineRule="auto"/>
        <w:jc w:val="both"/>
        <w:rPr>
          <w:lang w:val="en-GB"/>
        </w:rPr>
      </w:pPr>
      <w:r w:rsidRPr="009A1A80">
        <w:rPr>
          <w:lang w:val="en-GB"/>
        </w:rPr>
        <w:t>Sri Lanka's 2018 Office for Reparations Act was intended to establish a comprehensive, victim-centred reparations mechanism following the Government's 2015 commitment to the Human Rights Council under Resolution 30/1[9][11]. In practice, civil society legal analysis has identified structural weaknesses in the Office's independence, including a requirement that its policies be approved by the Cabinet of Ministers before adoption, and has noted the historical tendency of predecessor compensation schemes to tr</w:t>
      </w:r>
      <w:r w:rsidRPr="009A1A80">
        <w:rPr>
          <w:lang w:val="en-GB"/>
        </w:rPr>
        <w:t>eat the families of former LTTE combatants as a lower priority than other categories of conflict victim, on the assumption that such families are primarily connected to a military rather than a civilian harm[11][12]. This institutional hierarchy of victims directly disadvantages disabled former combatants and their dependants in practice, regardless of the formal non-discrimination language in the Office's founding statute.</w:t>
      </w:r>
    </w:p>
    <w:p w14:paraId="14959385" w14:textId="77777777" w:rsidR="009F3BC5" w:rsidRPr="009A1A80" w:rsidRDefault="00880B11">
      <w:pPr>
        <w:spacing w:after="200" w:line="300" w:lineRule="auto"/>
        <w:jc w:val="both"/>
        <w:rPr>
          <w:lang w:val="en-GB"/>
        </w:rPr>
      </w:pPr>
      <w:r w:rsidRPr="009A1A80">
        <w:rPr>
          <w:lang w:val="en-GB"/>
        </w:rPr>
        <w:t>The general housing grant available to persons with disabilities, documented in the 2024 DOJF submission as fixed at LKR 500,000 and unrevised against current construction costs, is the only housing support available to most disabled Tamil families in the North-East, including disabled former combatants; no supplementary housing programme exists for this group despite many having lost their original homes to military land occupation, displacement, or wartime destruction.</w:t>
      </w:r>
    </w:p>
    <w:p w14:paraId="49491B13" w14:textId="77777777" w:rsidR="009F3BC5" w:rsidRPr="009A1A80" w:rsidRDefault="00880B11">
      <w:pPr>
        <w:spacing w:after="200" w:line="300" w:lineRule="auto"/>
        <w:jc w:val="both"/>
        <w:rPr>
          <w:lang w:val="en-GB"/>
        </w:rPr>
      </w:pPr>
      <w:r w:rsidRPr="009A1A80">
        <w:rPr>
          <w:lang w:val="en-GB"/>
        </w:rPr>
        <w:t>Persons with a rehabilitation record report continuing informal exclusion from public sector employment schemes, including nationally publicised job-creation initiatives, compounding the economic precarity already produced by disability. AETF is not aware of any Sri Lankan government employment programme that specifically targets disabled former combatants, notwithstanding the scale of this population and the length of time since the conflict's end.</w:t>
      </w:r>
    </w:p>
    <w:p w14:paraId="14A085DE"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6D3C4094" w14:textId="77777777" w:rsidR="009F3BC5" w:rsidRPr="009A1A80" w:rsidRDefault="00880B11" w:rsidP="009A1A80">
      <w:pPr>
        <w:pStyle w:val="ListParagraph"/>
        <w:numPr>
          <w:ilvl w:val="0"/>
          <w:numId w:val="2"/>
        </w:numPr>
        <w:spacing w:after="120"/>
        <w:jc w:val="both"/>
        <w:rPr>
          <w:lang w:val="en-GB"/>
        </w:rPr>
      </w:pPr>
      <w:r w:rsidRPr="009A1A80">
        <w:rPr>
          <w:lang w:val="en-GB"/>
        </w:rPr>
        <w:t>What follow-up, monitoring, or household-level support accompanies livelihood grants issued to disabled former combatants, and how many recipients have achieved sustainable, ongoing income as a result?</w:t>
      </w:r>
    </w:p>
    <w:p w14:paraId="3B86710A" w14:textId="77777777" w:rsidR="009F3BC5" w:rsidRPr="009A1A80" w:rsidRDefault="00880B11" w:rsidP="009A1A80">
      <w:pPr>
        <w:pStyle w:val="ListParagraph"/>
        <w:numPr>
          <w:ilvl w:val="0"/>
          <w:numId w:val="2"/>
        </w:numPr>
        <w:spacing w:after="120"/>
        <w:jc w:val="both"/>
        <w:rPr>
          <w:lang w:val="en-GB"/>
        </w:rPr>
      </w:pPr>
      <w:r w:rsidRPr="009A1A80">
        <w:rPr>
          <w:lang w:val="en-GB"/>
        </w:rPr>
        <w:t>Does the Office for Reparations treat disabled former combatants and their families as a distinct and eligible category, and if so, how many individuals in this category have received reparations to date, disaggregated by type of harm?</w:t>
      </w:r>
    </w:p>
    <w:p w14:paraId="2FAB6F77" w14:textId="77777777" w:rsidR="009F3BC5" w:rsidRPr="009A1A80" w:rsidRDefault="00880B11" w:rsidP="009A1A80">
      <w:pPr>
        <w:pStyle w:val="ListParagraph"/>
        <w:numPr>
          <w:ilvl w:val="0"/>
          <w:numId w:val="2"/>
        </w:numPr>
        <w:spacing w:after="120"/>
        <w:jc w:val="both"/>
        <w:rPr>
          <w:lang w:val="en-GB"/>
        </w:rPr>
      </w:pPr>
      <w:r w:rsidRPr="009A1A80">
        <w:rPr>
          <w:lang w:val="en-GB"/>
        </w:rPr>
        <w:t>What safeguards exist to ensure the independence of the Office for Reparations from Cabinet approval requirements that civil society has identified as a structural weakness?</w:t>
      </w:r>
    </w:p>
    <w:p w14:paraId="5EDFF21C" w14:textId="77777777" w:rsidR="009F3BC5" w:rsidRPr="009A1A80" w:rsidRDefault="00880B11" w:rsidP="009A1A80">
      <w:pPr>
        <w:pStyle w:val="ListParagraph"/>
        <w:numPr>
          <w:ilvl w:val="0"/>
          <w:numId w:val="2"/>
        </w:numPr>
        <w:spacing w:after="120"/>
        <w:jc w:val="both"/>
        <w:rPr>
          <w:lang w:val="en-GB"/>
        </w:rPr>
      </w:pPr>
      <w:r w:rsidRPr="009A1A80">
        <w:rPr>
          <w:lang w:val="en-GB"/>
        </w:rPr>
        <w:t>Will the State party commit to reviewing the disability housing grant to reflect current construction costs, with specific provision for families displaced by continuing military land occupation?</w:t>
      </w:r>
    </w:p>
    <w:p w14:paraId="5057F9C2" w14:textId="4D4841E8" w:rsidR="009F3BC5" w:rsidRPr="009A1A80" w:rsidRDefault="00880B11">
      <w:pPr>
        <w:pStyle w:val="Heading1"/>
        <w:rPr>
          <w:lang w:val="en-GB"/>
        </w:rPr>
      </w:pPr>
      <w:bookmarkStart w:id="23" w:name="_Toc235393955"/>
      <w:r w:rsidRPr="009A1A80">
        <w:rPr>
          <w:lang w:val="en-GB"/>
        </w:rPr>
        <w:t>XXII. Article 29 and Article 31 - Political Participation, Statistics and Data Collection</w:t>
      </w:r>
      <w:bookmarkEnd w:id="23"/>
    </w:p>
    <w:p w14:paraId="5A155C4B" w14:textId="77777777" w:rsidR="009F3BC5" w:rsidRPr="009A1A80" w:rsidRDefault="00880B11">
      <w:pPr>
        <w:spacing w:after="200" w:line="300" w:lineRule="auto"/>
        <w:jc w:val="both"/>
        <w:rPr>
          <w:lang w:val="en-GB"/>
        </w:rPr>
      </w:pPr>
      <w:r w:rsidRPr="009A1A80">
        <w:rPr>
          <w:lang w:val="en-GB"/>
        </w:rPr>
        <w:t xml:space="preserve">Former combatants with disabilities face particular barriers to political participation, compounding the general barriers documented for persons with disabilities in Sri Lanka. Beyond the practical and accessibility barriers described in the 2024 DOJF submission, individuals with a rehabilitation record </w:t>
      </w:r>
      <w:r w:rsidRPr="009A1A80">
        <w:rPr>
          <w:lang w:val="en-GB"/>
        </w:rPr>
        <w:lastRenderedPageBreak/>
        <w:t>report a well-founded reluctance to engage visibly in political or civic life for fear of renewed security scrutiny, a chilling effect with no equivalent among other categories of disabled voters.</w:t>
      </w:r>
    </w:p>
    <w:p w14:paraId="00829AC4" w14:textId="77777777" w:rsidR="009F3BC5" w:rsidRPr="009A1A80" w:rsidRDefault="00880B11">
      <w:pPr>
        <w:spacing w:after="200" w:line="300" w:lineRule="auto"/>
        <w:jc w:val="both"/>
        <w:rPr>
          <w:lang w:val="en-GB"/>
        </w:rPr>
      </w:pPr>
      <w:r w:rsidRPr="009A1A80">
        <w:rPr>
          <w:lang w:val="en-GB"/>
        </w:rPr>
        <w:t xml:space="preserve">The absence of reliable, disaggregated statistics on war-related disability is one of the clearest and most remediable gaps identified in this submission. Existing estimates of the war-disabled population in the Northern Province alone range from roughly 10,000 to as high as 80,000 depending on the source, a spread of this magnitude reflecting the complete absence of a systematic government survey rather than genuine measurement </w:t>
      </w:r>
      <w:proofErr w:type="gramStart"/>
      <w:r w:rsidRPr="009A1A80">
        <w:rPr>
          <w:lang w:val="en-GB"/>
        </w:rPr>
        <w:t>uncertainty[</w:t>
      </w:r>
      <w:proofErr w:type="gramEnd"/>
      <w:r w:rsidRPr="009A1A80">
        <w:rPr>
          <w:lang w:val="en-GB"/>
        </w:rPr>
        <w:t>3]. Without disaggregation by combatant status, no analysis of the specific needs, service gaps, or reparative entitlements of disabled former combatants is possible, and the group therefore remains effectively invisible in national planning, including in Sri Lanka's own reporting to this Committee.</w:t>
      </w:r>
    </w:p>
    <w:p w14:paraId="2D780BCC" w14:textId="77777777" w:rsidR="009F3BC5" w:rsidRPr="009A1A80" w:rsidRDefault="00880B11">
      <w:pPr>
        <w:spacing w:after="200" w:line="300" w:lineRule="auto"/>
        <w:jc w:val="both"/>
        <w:rPr>
          <w:lang w:val="en-GB"/>
        </w:rPr>
      </w:pPr>
      <w:r w:rsidRPr="009A1A80">
        <w:rPr>
          <w:lang w:val="en-GB"/>
        </w:rPr>
        <w:t xml:space="preserve">AETF understands that a national census was anticipated for 2024 and, according to the 2024 DOJF submission, was expected to include disability </w:t>
      </w:r>
      <w:proofErr w:type="gramStart"/>
      <w:r w:rsidRPr="009A1A80">
        <w:rPr>
          <w:lang w:val="en-GB"/>
        </w:rPr>
        <w:t>indicators[</w:t>
      </w:r>
      <w:proofErr w:type="gramEnd"/>
      <w:r w:rsidRPr="009A1A80">
        <w:rPr>
          <w:lang w:val="en-GB"/>
        </w:rPr>
        <w:t>7]. AETF is not aware of any commitment to disaggregate conflict-related disability data by district, ethnicity or combatant history within that exercise, and asks the Committee to request clarification on this point.</w:t>
      </w:r>
    </w:p>
    <w:p w14:paraId="71696C98" w14:textId="77777777" w:rsidR="009F3BC5" w:rsidRPr="009A1A80" w:rsidRDefault="00880B11" w:rsidP="009A1A80">
      <w:pPr>
        <w:spacing w:before="100" w:after="100"/>
        <w:jc w:val="both"/>
        <w:rPr>
          <w:lang w:val="en-GB"/>
        </w:rPr>
      </w:pPr>
      <w:r w:rsidRPr="009A1A80">
        <w:rPr>
          <w:b/>
          <w:bCs/>
          <w:i/>
          <w:iCs/>
          <w:color w:val="8C6D1F"/>
          <w:lang w:val="en-GB"/>
        </w:rPr>
        <w:t>Proposed Questions to the State Party:</w:t>
      </w:r>
    </w:p>
    <w:p w14:paraId="7478069A" w14:textId="77777777" w:rsidR="009F3BC5" w:rsidRPr="009A1A80" w:rsidRDefault="00880B11" w:rsidP="009A1A80">
      <w:pPr>
        <w:pStyle w:val="ListParagraph"/>
        <w:numPr>
          <w:ilvl w:val="0"/>
          <w:numId w:val="2"/>
        </w:numPr>
        <w:spacing w:after="120"/>
        <w:jc w:val="both"/>
        <w:rPr>
          <w:lang w:val="en-GB"/>
        </w:rPr>
      </w:pPr>
      <w:r w:rsidRPr="009A1A80">
        <w:rPr>
          <w:lang w:val="en-GB"/>
        </w:rPr>
        <w:t>Will the State party commit to disaggregating national disability data collection, including the 2024 census and any successor exercise, by conflict-related origin of disability, district and, where applicable, former combatant status?</w:t>
      </w:r>
    </w:p>
    <w:p w14:paraId="3BA24273" w14:textId="77777777" w:rsidR="009F3BC5" w:rsidRPr="009A1A80" w:rsidRDefault="00880B11" w:rsidP="009A1A80">
      <w:pPr>
        <w:pStyle w:val="ListParagraph"/>
        <w:numPr>
          <w:ilvl w:val="0"/>
          <w:numId w:val="2"/>
        </w:numPr>
        <w:spacing w:after="120"/>
        <w:jc w:val="both"/>
        <w:rPr>
          <w:lang w:val="en-GB"/>
        </w:rPr>
      </w:pPr>
      <w:r w:rsidRPr="009A1A80">
        <w:rPr>
          <w:lang w:val="en-GB"/>
        </w:rPr>
        <w:t>What measures exist to ensure former combatants with disabilities can participate in political and civic life without fear of security-related consequences?</w:t>
      </w:r>
    </w:p>
    <w:p w14:paraId="5ADBFD08" w14:textId="2F2E4AE8" w:rsidR="009F3BC5" w:rsidRPr="009A1A80" w:rsidRDefault="00880B11">
      <w:pPr>
        <w:pStyle w:val="Heading1"/>
        <w:rPr>
          <w:lang w:val="en-GB"/>
        </w:rPr>
      </w:pPr>
      <w:bookmarkStart w:id="24" w:name="_Toc235393956"/>
      <w:r w:rsidRPr="009A1A80">
        <w:rPr>
          <w:lang w:val="en-GB"/>
        </w:rPr>
        <w:t>XX</w:t>
      </w:r>
      <w:r w:rsidR="00BB7C7D">
        <w:rPr>
          <w:lang w:val="en-GB"/>
        </w:rPr>
        <w:t>II</w:t>
      </w:r>
      <w:r w:rsidRPr="009A1A80">
        <w:rPr>
          <w:lang w:val="en-GB"/>
        </w:rPr>
        <w:t>I. Article 32 and Article 33 - International Cooperation, National Implementation and Monitoring</w:t>
      </w:r>
      <w:bookmarkEnd w:id="24"/>
    </w:p>
    <w:p w14:paraId="44871225" w14:textId="77777777" w:rsidR="009F3BC5" w:rsidRPr="009A1A80" w:rsidRDefault="00880B11">
      <w:pPr>
        <w:spacing w:after="200" w:line="300" w:lineRule="auto"/>
        <w:jc w:val="both"/>
        <w:rPr>
          <w:lang w:val="en-GB"/>
        </w:rPr>
      </w:pPr>
      <w:r w:rsidRPr="009A1A80">
        <w:rPr>
          <w:lang w:val="en-GB"/>
        </w:rPr>
        <w:t xml:space="preserve">Sri Lanka's 2015 commitment before the Human Rights Council, under Resolution 30/1, to establish transitional justice mechanisms including an Office for Reparations was made in a context that expressly acknowledged the need for a national reparations policy accounting for victims of conflict-related </w:t>
      </w:r>
      <w:proofErr w:type="gramStart"/>
      <w:r w:rsidRPr="009A1A80">
        <w:rPr>
          <w:lang w:val="en-GB"/>
        </w:rPr>
        <w:t>harm[</w:t>
      </w:r>
      <w:proofErr w:type="gramEnd"/>
      <w:r w:rsidRPr="009A1A80">
        <w:rPr>
          <w:lang w:val="en-GB"/>
        </w:rPr>
        <w:t>9]. Nine years on from the enactment of the Office for Reparations Act, no dedicated programme addressing disability arising from the conflict, still less one addressing former combatants specifically, has been operationalised at the scale the population requires.</w:t>
      </w:r>
    </w:p>
    <w:p w14:paraId="0CCFE10C" w14:textId="77777777" w:rsidR="009F3BC5" w:rsidRPr="009A1A80" w:rsidRDefault="00880B11">
      <w:pPr>
        <w:spacing w:after="200" w:line="300" w:lineRule="auto"/>
        <w:jc w:val="both"/>
        <w:rPr>
          <w:lang w:val="en-GB"/>
        </w:rPr>
      </w:pPr>
      <w:r w:rsidRPr="009A1A80">
        <w:rPr>
          <w:lang w:val="en-GB"/>
        </w:rPr>
        <w:t xml:space="preserve">AETF further notes, consistent with the 2024 DOJF submission, that the State party's own draft Disability Rights Bill has repeatedly been criticised for omitting an independent monitoring, implementation and coordination mechanism consistent with Article 33 of the </w:t>
      </w:r>
      <w:proofErr w:type="gramStart"/>
      <w:r w:rsidRPr="009A1A80">
        <w:rPr>
          <w:lang w:val="en-GB"/>
        </w:rPr>
        <w:t>Convention[</w:t>
      </w:r>
      <w:proofErr w:type="gramEnd"/>
      <w:r w:rsidRPr="009A1A80">
        <w:rPr>
          <w:lang w:val="en-GB"/>
        </w:rPr>
        <w:t>7]. The absence of such a mechanism is especially consequential for the population addressed in this report, whose needs cut across the mandates of the Ministry responsible for disability affairs, the Office for Reparations, the Ministry of Defence-linked rehabilitation authorities, and provincial administration in the North-East - a fragmentation of responsibility that in practice results in no single body being accountable for their situation.</w:t>
      </w:r>
    </w:p>
    <w:p w14:paraId="1DF94767" w14:textId="77777777" w:rsidR="009F3BC5" w:rsidRPr="009A1A80" w:rsidRDefault="00880B11">
      <w:pPr>
        <w:spacing w:after="200" w:line="300" w:lineRule="auto"/>
        <w:jc w:val="both"/>
        <w:rPr>
          <w:lang w:val="en-GB"/>
        </w:rPr>
      </w:pPr>
      <w:r w:rsidRPr="009A1A80">
        <w:rPr>
          <w:lang w:val="en-GB"/>
        </w:rPr>
        <w:t>AETF urges the Committee to recommend that any future national CRPD monitoring mechanism include explicit competence over conflict-related disability, and that the State party be requested to report specifically, in its next periodic report, on measures taken for persons disabled during the armed conflict, disaggregated as described above.</w:t>
      </w:r>
    </w:p>
    <w:p w14:paraId="7F34FD2D" w14:textId="77777777" w:rsidR="009F3BC5" w:rsidRPr="009A1A80" w:rsidRDefault="00880B11" w:rsidP="009A1A80">
      <w:pPr>
        <w:spacing w:before="100" w:after="100"/>
        <w:jc w:val="both"/>
        <w:rPr>
          <w:lang w:val="en-GB"/>
        </w:rPr>
      </w:pPr>
      <w:r w:rsidRPr="009A1A80">
        <w:rPr>
          <w:b/>
          <w:bCs/>
          <w:i/>
          <w:iCs/>
          <w:color w:val="8C6D1F"/>
          <w:lang w:val="en-GB"/>
        </w:rPr>
        <w:lastRenderedPageBreak/>
        <w:t>Proposed Questions to the State Party:</w:t>
      </w:r>
    </w:p>
    <w:p w14:paraId="2EE1A17B" w14:textId="77777777" w:rsidR="009F3BC5" w:rsidRPr="009A1A80" w:rsidRDefault="00880B11" w:rsidP="009A1A80">
      <w:pPr>
        <w:pStyle w:val="ListParagraph"/>
        <w:numPr>
          <w:ilvl w:val="0"/>
          <w:numId w:val="2"/>
        </w:numPr>
        <w:spacing w:after="120"/>
        <w:jc w:val="both"/>
        <w:rPr>
          <w:lang w:val="en-GB"/>
        </w:rPr>
      </w:pPr>
      <w:r w:rsidRPr="009A1A80">
        <w:rPr>
          <w:lang w:val="en-GB"/>
        </w:rPr>
        <w:t>What inter-ministerial coordination mechanism, if any, currently has responsibility for the needs of persons disabled during the armed conflict, including former combatants?</w:t>
      </w:r>
    </w:p>
    <w:p w14:paraId="20FCC886" w14:textId="77777777" w:rsidR="009F3BC5" w:rsidRPr="009A1A80" w:rsidRDefault="00880B11" w:rsidP="009A1A80">
      <w:pPr>
        <w:pStyle w:val="ListParagraph"/>
        <w:numPr>
          <w:ilvl w:val="0"/>
          <w:numId w:val="2"/>
        </w:numPr>
        <w:spacing w:after="120"/>
        <w:jc w:val="both"/>
        <w:rPr>
          <w:lang w:val="en-GB"/>
        </w:rPr>
      </w:pPr>
      <w:r w:rsidRPr="009A1A80">
        <w:rPr>
          <w:lang w:val="en-GB"/>
        </w:rPr>
        <w:t>Will the State party commit to including explicit reference to conflict-related and former-combatant disability within the mandate of any future independent monitoring mechanism established under Article 33?</w:t>
      </w:r>
    </w:p>
    <w:p w14:paraId="1CA5722E" w14:textId="1DFC6A9E" w:rsidR="009F3BC5" w:rsidRPr="009A1A80" w:rsidRDefault="00880B11" w:rsidP="009A1A80">
      <w:pPr>
        <w:pStyle w:val="Heading1"/>
        <w:jc w:val="both"/>
        <w:rPr>
          <w:lang w:val="en-GB"/>
        </w:rPr>
      </w:pPr>
      <w:bookmarkStart w:id="25" w:name="_Toc235393957"/>
      <w:r w:rsidRPr="009A1A80">
        <w:rPr>
          <w:lang w:val="en-GB"/>
        </w:rPr>
        <w:t>XX</w:t>
      </w:r>
      <w:r w:rsidR="00BB7C7D">
        <w:rPr>
          <w:lang w:val="en-GB"/>
        </w:rPr>
        <w:t>I</w:t>
      </w:r>
      <w:r w:rsidRPr="009A1A80">
        <w:rPr>
          <w:lang w:val="en-GB"/>
        </w:rPr>
        <w:t>V. Summary of Recommendations</w:t>
      </w:r>
      <w:bookmarkEnd w:id="25"/>
    </w:p>
    <w:p w14:paraId="121A1CB7" w14:textId="77777777" w:rsidR="009F3BC5" w:rsidRPr="009A1A80" w:rsidRDefault="00880B11" w:rsidP="009A1A80">
      <w:pPr>
        <w:spacing w:after="200" w:line="300" w:lineRule="auto"/>
        <w:jc w:val="both"/>
        <w:rPr>
          <w:lang w:val="en-GB"/>
        </w:rPr>
      </w:pPr>
      <w:r w:rsidRPr="009A1A80">
        <w:rPr>
          <w:lang w:val="en-GB"/>
        </w:rPr>
        <w:t>In light of the foregoing, AETF respectfully recommends that the Committee call upon the Government of Sri Lanka to:</w:t>
      </w:r>
    </w:p>
    <w:p w14:paraId="0ECC4F55" w14:textId="77777777" w:rsidR="009F3BC5" w:rsidRPr="009A1A80" w:rsidRDefault="00880B11" w:rsidP="009A1A80">
      <w:pPr>
        <w:pStyle w:val="ListParagraph"/>
        <w:numPr>
          <w:ilvl w:val="0"/>
          <w:numId w:val="3"/>
        </w:numPr>
        <w:spacing w:after="120"/>
        <w:jc w:val="both"/>
        <w:rPr>
          <w:lang w:val="en-GB"/>
        </w:rPr>
      </w:pPr>
      <w:r w:rsidRPr="009A1A80">
        <w:rPr>
          <w:lang w:val="en-GB"/>
        </w:rPr>
        <w:t xml:space="preserve">Commission and publish a disaggregated national survey of persons disabled during the </w:t>
      </w:r>
      <w:proofErr w:type="gramStart"/>
      <w:r w:rsidRPr="009A1A80">
        <w:rPr>
          <w:lang w:val="en-GB"/>
        </w:rPr>
        <w:t>1983-2009 armed</w:t>
      </w:r>
      <w:proofErr w:type="gramEnd"/>
      <w:r w:rsidRPr="009A1A80">
        <w:rPr>
          <w:lang w:val="en-GB"/>
        </w:rPr>
        <w:t xml:space="preserve"> conflict, by district, ethnicity, gender and, where applicable, former combatant status.</w:t>
      </w:r>
    </w:p>
    <w:p w14:paraId="4F0C21DB" w14:textId="77777777" w:rsidR="009F3BC5" w:rsidRPr="009A1A80" w:rsidRDefault="00880B11" w:rsidP="009A1A80">
      <w:pPr>
        <w:pStyle w:val="ListParagraph"/>
        <w:numPr>
          <w:ilvl w:val="0"/>
          <w:numId w:val="3"/>
        </w:numPr>
        <w:spacing w:after="120"/>
        <w:jc w:val="both"/>
        <w:rPr>
          <w:lang w:val="en-GB"/>
        </w:rPr>
      </w:pPr>
      <w:r w:rsidRPr="009A1A80">
        <w:rPr>
          <w:lang w:val="en-GB"/>
        </w:rPr>
        <w:t>Establish a dedicated, adequately funded medical, rehabilitative and psychosocial programme for disabled former combatants, equivalent in scope and continuity to the support provided to disabled state security personnel through the Rana Viru Seva Authority.</w:t>
      </w:r>
    </w:p>
    <w:p w14:paraId="1F7BAE52" w14:textId="77777777" w:rsidR="009F3BC5" w:rsidRPr="009A1A80" w:rsidRDefault="00880B11" w:rsidP="009A1A80">
      <w:pPr>
        <w:pStyle w:val="ListParagraph"/>
        <w:numPr>
          <w:ilvl w:val="0"/>
          <w:numId w:val="3"/>
        </w:numPr>
        <w:spacing w:after="120"/>
        <w:jc w:val="both"/>
        <w:rPr>
          <w:lang w:val="en-GB"/>
        </w:rPr>
      </w:pPr>
      <w:r w:rsidRPr="009A1A80">
        <w:rPr>
          <w:lang w:val="en-GB"/>
        </w:rPr>
        <w:t>Extend the Community-Based Rehabilitation programme to the Northern and Eastern Provinces without further delay, with specific outreach to disabled former combatants and their families.</w:t>
      </w:r>
    </w:p>
    <w:p w14:paraId="66DB3882" w14:textId="77777777" w:rsidR="009F3BC5" w:rsidRPr="009A1A80" w:rsidRDefault="00880B11" w:rsidP="009A1A80">
      <w:pPr>
        <w:pStyle w:val="ListParagraph"/>
        <w:numPr>
          <w:ilvl w:val="0"/>
          <w:numId w:val="3"/>
        </w:numPr>
        <w:spacing w:after="120"/>
        <w:jc w:val="both"/>
        <w:rPr>
          <w:lang w:val="en-GB"/>
        </w:rPr>
      </w:pPr>
      <w:r w:rsidRPr="009A1A80">
        <w:rPr>
          <w:lang w:val="en-GB"/>
        </w:rPr>
        <w:t>Reform the Office for Reparations to guarantee its independence from Cabinet approval requirements, to expressly recognise disabled former combatants and disabled civilians as eligible categories, and to publish disaggregated data on reparations disbursed to date.</w:t>
      </w:r>
    </w:p>
    <w:p w14:paraId="0313C054" w14:textId="77777777" w:rsidR="009F3BC5" w:rsidRPr="009A1A80" w:rsidRDefault="00880B11" w:rsidP="009A1A80">
      <w:pPr>
        <w:pStyle w:val="ListParagraph"/>
        <w:numPr>
          <w:ilvl w:val="0"/>
          <w:numId w:val="3"/>
        </w:numPr>
        <w:spacing w:after="120"/>
        <w:jc w:val="both"/>
        <w:rPr>
          <w:lang w:val="en-GB"/>
        </w:rPr>
      </w:pPr>
      <w:r w:rsidRPr="009A1A80">
        <w:rPr>
          <w:lang w:val="en-GB"/>
        </w:rPr>
        <w:t xml:space="preserve">Lift restrictions on the importation of materials required for prosthetic and orthotic manufacture and repair, and complete the stalled rehabilitation facility for persons with spinal cord injuries at </w:t>
      </w:r>
      <w:proofErr w:type="spellStart"/>
      <w:r w:rsidRPr="009A1A80">
        <w:rPr>
          <w:lang w:val="en-GB"/>
        </w:rPr>
        <w:t>Mankulam</w:t>
      </w:r>
      <w:proofErr w:type="spellEnd"/>
      <w:r w:rsidRPr="009A1A80">
        <w:rPr>
          <w:lang w:val="en-GB"/>
        </w:rPr>
        <w:t>.</w:t>
      </w:r>
    </w:p>
    <w:p w14:paraId="27C5F59D" w14:textId="77777777" w:rsidR="009F3BC5" w:rsidRPr="009A1A80" w:rsidRDefault="00880B11" w:rsidP="009A1A80">
      <w:pPr>
        <w:pStyle w:val="ListParagraph"/>
        <w:numPr>
          <w:ilvl w:val="0"/>
          <w:numId w:val="3"/>
        </w:numPr>
        <w:spacing w:after="120"/>
        <w:jc w:val="both"/>
        <w:rPr>
          <w:lang w:val="en-GB"/>
        </w:rPr>
      </w:pPr>
      <w:r w:rsidRPr="009A1A80">
        <w:rPr>
          <w:lang w:val="en-GB"/>
        </w:rPr>
        <w:t>Review and substantially increase the disability housing grant, with supplementary provision for families displaced by continuing military occupation of land in the North-East.</w:t>
      </w:r>
    </w:p>
    <w:p w14:paraId="706C4A1F" w14:textId="77777777" w:rsidR="009F3BC5" w:rsidRPr="009A1A80" w:rsidRDefault="00880B11" w:rsidP="009A1A80">
      <w:pPr>
        <w:pStyle w:val="ListParagraph"/>
        <w:numPr>
          <w:ilvl w:val="0"/>
          <w:numId w:val="3"/>
        </w:numPr>
        <w:spacing w:after="120"/>
        <w:jc w:val="both"/>
        <w:rPr>
          <w:lang w:val="en-GB"/>
        </w:rPr>
      </w:pPr>
      <w:r w:rsidRPr="009A1A80">
        <w:rPr>
          <w:lang w:val="en-GB"/>
        </w:rPr>
        <w:t>Ensure former combatants with disabilities are not subject to distinct movement-registration, employment-clearance, or security-reporting requirements that are not imposed on other persons with disabilities.</w:t>
      </w:r>
    </w:p>
    <w:p w14:paraId="0564800D" w14:textId="77777777" w:rsidR="009F3BC5" w:rsidRPr="009A1A80" w:rsidRDefault="00880B11" w:rsidP="009A1A80">
      <w:pPr>
        <w:pStyle w:val="ListParagraph"/>
        <w:numPr>
          <w:ilvl w:val="0"/>
          <w:numId w:val="3"/>
        </w:numPr>
        <w:spacing w:after="120"/>
        <w:jc w:val="both"/>
        <w:rPr>
          <w:lang w:val="en-GB"/>
        </w:rPr>
      </w:pPr>
      <w:r w:rsidRPr="009A1A80">
        <w:rPr>
          <w:lang w:val="en-GB"/>
        </w:rPr>
        <w:t>Establish an independent monitoring, implementation and coordination mechanism under Article 33 of the Convention with explicit competence over conflict-related and former-combatant disability, and enact the long-pending Disability Rights Bill without further delay.</w:t>
      </w:r>
    </w:p>
    <w:p w14:paraId="7B911EB4" w14:textId="77777777" w:rsidR="009F3BC5" w:rsidRPr="009A1A80" w:rsidRDefault="00880B11" w:rsidP="009A1A80">
      <w:pPr>
        <w:pStyle w:val="ListParagraph"/>
        <w:numPr>
          <w:ilvl w:val="0"/>
          <w:numId w:val="3"/>
        </w:numPr>
        <w:spacing w:after="120"/>
        <w:jc w:val="both"/>
        <w:rPr>
          <w:lang w:val="en-GB"/>
        </w:rPr>
      </w:pPr>
      <w:r w:rsidRPr="009A1A80">
        <w:rPr>
          <w:lang w:val="en-GB"/>
        </w:rPr>
        <w:t>Return military-occupied land in the Northern and Eastern Provinces to its original owners as a matter of priority where the residents concerned are persons with disabilities requiring stable, accessible housing.</w:t>
      </w:r>
    </w:p>
    <w:p w14:paraId="0953D123" w14:textId="77777777" w:rsidR="009F3BC5" w:rsidRPr="009A1A80" w:rsidRDefault="00880B11" w:rsidP="009A1A80">
      <w:pPr>
        <w:pStyle w:val="ListParagraph"/>
        <w:numPr>
          <w:ilvl w:val="0"/>
          <w:numId w:val="3"/>
        </w:numPr>
        <w:spacing w:after="120"/>
        <w:jc w:val="both"/>
        <w:rPr>
          <w:lang w:val="en-GB"/>
        </w:rPr>
      </w:pPr>
      <w:r w:rsidRPr="009A1A80">
        <w:rPr>
          <w:lang w:val="en-GB"/>
        </w:rPr>
        <w:t>Provide legal aid and disability-accommodated judicial support specifically for war-disabled persons, including former combatants, seeking compensation or reparations.</w:t>
      </w:r>
    </w:p>
    <w:p w14:paraId="6F8AD4FF" w14:textId="7792FC0C" w:rsidR="009F3BC5" w:rsidRPr="009A1A80" w:rsidRDefault="00880B11">
      <w:pPr>
        <w:pStyle w:val="Heading1"/>
        <w:rPr>
          <w:lang w:val="en-GB"/>
        </w:rPr>
      </w:pPr>
      <w:bookmarkStart w:id="26" w:name="_Toc235393958"/>
      <w:r w:rsidRPr="009A1A80">
        <w:rPr>
          <w:lang w:val="en-GB"/>
        </w:rPr>
        <w:t>XXV. Conclusion</w:t>
      </w:r>
      <w:bookmarkEnd w:id="26"/>
    </w:p>
    <w:p w14:paraId="3C1A3E10" w14:textId="77777777" w:rsidR="009F3BC5" w:rsidRPr="009A1A80" w:rsidRDefault="00880B11">
      <w:pPr>
        <w:spacing w:after="200" w:line="300" w:lineRule="auto"/>
        <w:jc w:val="both"/>
        <w:rPr>
          <w:lang w:val="en-GB"/>
        </w:rPr>
      </w:pPr>
      <w:r w:rsidRPr="009A1A80">
        <w:rPr>
          <w:lang w:val="en-GB"/>
        </w:rPr>
        <w:t>The Government of Sri Lanka's ratification of the Convention on the Rights of Persons with Disabilities in 2016 committed it to ensuring the full and equal enjoyment of Convention rights by all persons with disabilities within its jurisdiction, without discrimination. Nineteen years after the end of the armed conflict that produced one of the highest concentrations of disability anywhere in the country, and a decade after that ratification, the Eelam Tamil population of the North-East, and former LTTE comba</w:t>
      </w:r>
      <w:r w:rsidRPr="009A1A80">
        <w:rPr>
          <w:lang w:val="en-GB"/>
        </w:rPr>
        <w:t xml:space="preserve">tants disabled in combat, detention or rehabilitation above all, remain almost </w:t>
      </w:r>
      <w:r w:rsidRPr="009A1A80">
        <w:rPr>
          <w:lang w:val="en-GB"/>
        </w:rPr>
        <w:lastRenderedPageBreak/>
        <w:t>entirely outside the framework of state disability policy, reparations policy, and international reporting alike.</w:t>
      </w:r>
    </w:p>
    <w:p w14:paraId="55CBB65D" w14:textId="77777777" w:rsidR="009F3BC5" w:rsidRPr="009A1A80" w:rsidRDefault="00880B11">
      <w:pPr>
        <w:spacing w:after="200" w:line="300" w:lineRule="auto"/>
        <w:jc w:val="both"/>
        <w:rPr>
          <w:lang w:val="en-GB"/>
        </w:rPr>
      </w:pPr>
      <w:r w:rsidRPr="009A1A80">
        <w:rPr>
          <w:lang w:val="en-GB"/>
        </w:rPr>
        <w:t>AETF submits that this is not a gap that will close through the general improvement of disability services documented elsewhere in the 2024 DOJF submission and echoed in this report, because the barriers facing this specific population - continuing militarisation, institutional distrust of former combatants, the structural weaknesses of the Office for Reparations, and the complete absence of disaggregated data - are distinct from, and in important respects more severe than, those facing the general disabled</w:t>
      </w:r>
      <w:r w:rsidRPr="009A1A80">
        <w:rPr>
          <w:lang w:val="en-GB"/>
        </w:rPr>
        <w:t xml:space="preserve"> population of Sri Lanka. AETF urges the Committee to put these specific concerns directly to the State party, and to request concrete, time-bound commitments in its Concluding Observations to ensure that no person is denied their rights under the Convention on the basis of how, where, or on which side of a conflict their disability was acquired.</w:t>
      </w:r>
    </w:p>
    <w:p w14:paraId="032003BA" w14:textId="77777777" w:rsidR="009F3BC5" w:rsidRPr="009A1A80" w:rsidRDefault="00880B11">
      <w:pPr>
        <w:spacing w:after="200" w:line="300" w:lineRule="auto"/>
        <w:jc w:val="both"/>
        <w:rPr>
          <w:lang w:val="en-GB"/>
        </w:rPr>
      </w:pPr>
      <w:r w:rsidRPr="009A1A80">
        <w:rPr>
          <w:lang w:val="en-GB"/>
        </w:rPr>
        <w:t>Finally, AETF wishes to record its appreciation for the Committee's continuing engagement with the situation of persons with disabilities in Sri Lanka, and its recognition of the work already done by domestic disability organisations, including DOJF, in documenting the general state of disability rights in the country. This submission is intended to complement, not to substitute for, that body of work, by drawing attention to a population whose specific circumstances - arising directly from the conflict and</w:t>
      </w:r>
      <w:r w:rsidRPr="009A1A80">
        <w:rPr>
          <w:lang w:val="en-GB"/>
        </w:rPr>
        <w:t xml:space="preserve"> its unresolved aftermath in the North-East - require separate and explicit consideration if the Committee's dialogue with Sri Lanka is to reflect the full reality of disability in the country. AETF remains available to provide the Committee with any further information, clarification, or updated testimony that may assist its review.</w:t>
      </w:r>
    </w:p>
    <w:p w14:paraId="12824641" w14:textId="77777777" w:rsidR="0025551B" w:rsidRPr="00F76A0C" w:rsidRDefault="0025551B" w:rsidP="0025551B">
      <w:r w:rsidRPr="00F76A0C">
        <w:t>Association des étudiants tamouls de France</w:t>
      </w:r>
    </w:p>
    <w:p w14:paraId="7E3BA64C" w14:textId="2ACDE0BD" w:rsidR="009F3BC5" w:rsidRPr="009A1A80" w:rsidRDefault="0025551B" w:rsidP="0025551B">
      <w:pPr>
        <w:rPr>
          <w:lang w:val="en-GB"/>
        </w:rPr>
      </w:pPr>
      <w:r w:rsidRPr="0025551B">
        <w:rPr>
          <w:lang w:val="en-GB"/>
        </w:rPr>
        <w:t>contact.aetf@gmail.com</w:t>
      </w:r>
      <w:r w:rsidRPr="009A1A80">
        <w:rPr>
          <w:lang w:val="en-GB"/>
        </w:rPr>
        <w:br w:type="page"/>
      </w:r>
    </w:p>
    <w:p w14:paraId="5167A680" w14:textId="77777777" w:rsidR="009F3BC5" w:rsidRPr="009A1A80" w:rsidRDefault="00880B11">
      <w:pPr>
        <w:pStyle w:val="Heading1"/>
        <w:spacing w:before="200"/>
        <w:rPr>
          <w:lang w:val="en-GB"/>
        </w:rPr>
      </w:pPr>
      <w:bookmarkStart w:id="27" w:name="_Toc235393959"/>
      <w:r w:rsidRPr="009A1A80">
        <w:rPr>
          <w:lang w:val="en-GB"/>
        </w:rPr>
        <w:lastRenderedPageBreak/>
        <w:t>References</w:t>
      </w:r>
      <w:bookmarkEnd w:id="27"/>
    </w:p>
    <w:p w14:paraId="106B54D8" w14:textId="77777777" w:rsidR="009F3BC5" w:rsidRPr="009A1A80" w:rsidRDefault="00880B11">
      <w:pPr>
        <w:spacing w:after="140"/>
        <w:rPr>
          <w:lang w:val="en-GB"/>
        </w:rPr>
      </w:pPr>
      <w:r w:rsidRPr="009A1A80">
        <w:rPr>
          <w:color w:val="333333"/>
          <w:sz w:val="20"/>
          <w:szCs w:val="20"/>
          <w:lang w:val="en-GB"/>
        </w:rPr>
        <w:t>[1] United Nations, Status of ratification of the Convention on the Rights of Persons with Disabilities; Sri Lanka ratified 8 February 2016 (United Nations Mission of Sri Lanka to the UN, un.int).</w:t>
      </w:r>
    </w:p>
    <w:p w14:paraId="00A29BDE" w14:textId="77777777" w:rsidR="009F3BC5" w:rsidRPr="009A1A80" w:rsidRDefault="00880B11">
      <w:pPr>
        <w:spacing w:after="140"/>
        <w:rPr>
          <w:lang w:val="en-GB"/>
        </w:rPr>
      </w:pPr>
      <w:r w:rsidRPr="009A1A80">
        <w:rPr>
          <w:color w:val="333333"/>
          <w:sz w:val="20"/>
          <w:szCs w:val="20"/>
          <w:lang w:val="en-GB"/>
        </w:rPr>
        <w:t>[2] OHCHR, Report of the OHCHR Investigation on Sri Lanka (OISL), A/HRC/30/CRP.2 (2015).</w:t>
      </w:r>
    </w:p>
    <w:p w14:paraId="79424C5E" w14:textId="77777777" w:rsidR="009F3BC5" w:rsidRPr="009A1A80" w:rsidRDefault="00880B11">
      <w:pPr>
        <w:spacing w:after="140"/>
        <w:rPr>
          <w:lang w:val="en-GB"/>
        </w:rPr>
      </w:pPr>
      <w:r w:rsidRPr="009A1A80">
        <w:rPr>
          <w:color w:val="333333"/>
          <w:sz w:val="20"/>
          <w:szCs w:val="20"/>
          <w:lang w:val="en-GB"/>
        </w:rPr>
        <w:t>[3] The New Humanitarian (formerly IRIN), 'Sri Lankans disabled by war, forgotten in peace', 2015; and 'Sri Lanka's rehabilitated ex-combatants struggle to adjust', 4 July 2014.</w:t>
      </w:r>
    </w:p>
    <w:p w14:paraId="7F789F3E" w14:textId="77777777" w:rsidR="009F3BC5" w:rsidRPr="009A1A80" w:rsidRDefault="00880B11">
      <w:pPr>
        <w:spacing w:after="140"/>
        <w:rPr>
          <w:lang w:val="en-GB"/>
        </w:rPr>
      </w:pPr>
      <w:r w:rsidRPr="009A1A80">
        <w:rPr>
          <w:color w:val="333333"/>
          <w:sz w:val="20"/>
          <w:szCs w:val="20"/>
          <w:lang w:val="en-GB"/>
        </w:rPr>
        <w:t>[4] The New Humanitarian, 'Sri Lanka's rehabilitated ex-combatants struggle to adjust', 4 July 2014 (rehabilitation programme scale and structure).</w:t>
      </w:r>
    </w:p>
    <w:p w14:paraId="518204E2" w14:textId="77777777" w:rsidR="009F3BC5" w:rsidRPr="009A1A80" w:rsidRDefault="00880B11">
      <w:pPr>
        <w:spacing w:after="140"/>
        <w:rPr>
          <w:lang w:val="en-GB"/>
        </w:rPr>
      </w:pPr>
      <w:r w:rsidRPr="009A1A80">
        <w:rPr>
          <w:color w:val="333333"/>
          <w:sz w:val="20"/>
          <w:szCs w:val="20"/>
          <w:lang w:val="en-GB"/>
        </w:rPr>
        <w:t xml:space="preserve">[5] </w:t>
      </w:r>
      <w:proofErr w:type="spellStart"/>
      <w:r w:rsidRPr="009A1A80">
        <w:rPr>
          <w:color w:val="333333"/>
          <w:sz w:val="20"/>
          <w:szCs w:val="20"/>
          <w:lang w:val="en-GB"/>
        </w:rPr>
        <w:t>PolSci</w:t>
      </w:r>
      <w:proofErr w:type="spellEnd"/>
      <w:r w:rsidRPr="009A1A80">
        <w:rPr>
          <w:color w:val="333333"/>
          <w:sz w:val="20"/>
          <w:szCs w:val="20"/>
          <w:lang w:val="en-GB"/>
        </w:rPr>
        <w:t xml:space="preserve"> Institute, 'Case Study: Post-Conflict Reconstruction and Rehabilitation of Tamils in Sri Lanka' (2025 review of government rehabilitation programme figures).</w:t>
      </w:r>
    </w:p>
    <w:p w14:paraId="04023995" w14:textId="77777777" w:rsidR="009F3BC5" w:rsidRPr="009A1A80" w:rsidRDefault="00880B11">
      <w:pPr>
        <w:spacing w:after="140"/>
        <w:rPr>
          <w:lang w:val="en-GB"/>
        </w:rPr>
      </w:pPr>
      <w:r w:rsidRPr="009A1A80">
        <w:rPr>
          <w:color w:val="333333"/>
          <w:sz w:val="20"/>
          <w:szCs w:val="20"/>
          <w:lang w:val="en-GB"/>
        </w:rPr>
        <w:t>[6] International Commission of Jurists, 'Beyond Lawful Constraints: Sri Lanka's Mass Detention of LTTE Suspects', as referenced in Centre for Policy Alternatives, Making the Case for an Office for Reparations, Discussion Paper (June 2018).</w:t>
      </w:r>
    </w:p>
    <w:p w14:paraId="6467B6AF" w14:textId="77777777" w:rsidR="009F3BC5" w:rsidRPr="009A1A80" w:rsidRDefault="00880B11">
      <w:pPr>
        <w:spacing w:after="140"/>
        <w:rPr>
          <w:lang w:val="en-GB"/>
        </w:rPr>
      </w:pPr>
      <w:r w:rsidRPr="009A1A80">
        <w:rPr>
          <w:color w:val="333333"/>
          <w:sz w:val="20"/>
          <w:szCs w:val="20"/>
          <w:lang w:val="en-GB"/>
        </w:rPr>
        <w:t>[7] Disability Organisations Joint Front (DOJF), Submission for the 19th Pre-Sessional Working Group of the Committee on the Rights of Persons with Disabilities, 2024.</w:t>
      </w:r>
    </w:p>
    <w:p w14:paraId="79D84232" w14:textId="77777777" w:rsidR="009F3BC5" w:rsidRPr="009A1A80" w:rsidRDefault="00880B11">
      <w:pPr>
        <w:spacing w:after="140"/>
        <w:rPr>
          <w:lang w:val="en-GB"/>
        </w:rPr>
      </w:pPr>
      <w:r w:rsidRPr="009A1A80">
        <w:rPr>
          <w:color w:val="333333"/>
          <w:sz w:val="20"/>
          <w:szCs w:val="20"/>
          <w:lang w:val="en-GB"/>
        </w:rPr>
        <w:t>[8] The New Humanitarian, 'Sri Lanka's rehabilitated ex-combatants struggle to adjust', 4 July 2014 (ICRC economic security programme statements).</w:t>
      </w:r>
    </w:p>
    <w:p w14:paraId="78706435" w14:textId="77777777" w:rsidR="009F3BC5" w:rsidRPr="009A1A80" w:rsidRDefault="00880B11">
      <w:pPr>
        <w:spacing w:after="140"/>
        <w:rPr>
          <w:lang w:val="en-GB"/>
        </w:rPr>
      </w:pPr>
      <w:r w:rsidRPr="009A1A80">
        <w:rPr>
          <w:color w:val="333333"/>
          <w:sz w:val="20"/>
          <w:szCs w:val="20"/>
          <w:lang w:val="en-GB"/>
        </w:rPr>
        <w:t>[9] UN Human Rights Council Resolution 30/1 (2015); Centre for Policy Alternatives, Making the Case for an Office for Reparations, Discussion Paper (June 2018).</w:t>
      </w:r>
    </w:p>
    <w:p w14:paraId="0AC142C3" w14:textId="77777777" w:rsidR="009F3BC5" w:rsidRPr="009A1A80" w:rsidRDefault="00880B11">
      <w:pPr>
        <w:spacing w:after="140"/>
        <w:rPr>
          <w:lang w:val="en-GB"/>
        </w:rPr>
      </w:pPr>
      <w:r w:rsidRPr="009A1A80">
        <w:rPr>
          <w:color w:val="333333"/>
          <w:sz w:val="20"/>
          <w:szCs w:val="20"/>
          <w:lang w:val="en-GB"/>
        </w:rPr>
        <w:t>[10] Jaffna Monitor, 'The Missing Half of Sri Lanka's Post-War Recovery' (2026 analysis of livelihood grant follow-up gaps).</w:t>
      </w:r>
    </w:p>
    <w:p w14:paraId="332AEFE8" w14:textId="77777777" w:rsidR="009F3BC5" w:rsidRPr="009A1A80" w:rsidRDefault="00880B11">
      <w:pPr>
        <w:spacing w:after="140"/>
        <w:rPr>
          <w:lang w:val="en-GB"/>
        </w:rPr>
      </w:pPr>
      <w:r w:rsidRPr="009A1A80">
        <w:rPr>
          <w:color w:val="333333"/>
          <w:sz w:val="20"/>
          <w:szCs w:val="20"/>
          <w:lang w:val="en-GB"/>
        </w:rPr>
        <w:t>[11] Office for Reparations Act, No. 34 of 2018, Parliament of Sri Lanka.</w:t>
      </w:r>
    </w:p>
    <w:p w14:paraId="1142728C" w14:textId="77777777" w:rsidR="009F3BC5" w:rsidRPr="009A1A80" w:rsidRDefault="00880B11">
      <w:pPr>
        <w:spacing w:after="140"/>
        <w:rPr>
          <w:lang w:val="en-GB"/>
        </w:rPr>
      </w:pPr>
      <w:r w:rsidRPr="009A1A80">
        <w:rPr>
          <w:color w:val="333333"/>
          <w:sz w:val="20"/>
          <w:szCs w:val="20"/>
          <w:lang w:val="en-GB"/>
        </w:rPr>
        <w:t>[12] Research analysis, 'The Limits of "Doing" Justice: Compensation as Reparation in Post-War Sri Lanka', on REPPIA prioritisation criteria for ex-combatant family claims.</w:t>
      </w:r>
    </w:p>
    <w:p w14:paraId="3D31217A" w14:textId="77777777" w:rsidR="009F3BC5" w:rsidRPr="009A1A80" w:rsidRDefault="00880B11">
      <w:pPr>
        <w:spacing w:after="140"/>
        <w:rPr>
          <w:lang w:val="en-GB"/>
        </w:rPr>
      </w:pPr>
      <w:r w:rsidRPr="009A1A80">
        <w:rPr>
          <w:color w:val="333333"/>
          <w:sz w:val="20"/>
          <w:szCs w:val="20"/>
          <w:lang w:val="en-GB"/>
        </w:rPr>
        <w:t>[13] Jaffna Monitor, 'The Missing Half of Sri Lanka's Post-War Recovery' (2026), citing retrospective statements on the rehabilitation programme's recidivism record.</w:t>
      </w:r>
    </w:p>
    <w:sectPr w:rsidR="009F3BC5" w:rsidRPr="009A1A80" w:rsidSect="00BB7C7D">
      <w:headerReference w:type="default" r:id="rId7"/>
      <w:footerReference w:type="default" r:id="rId8"/>
      <w:pgSz w:w="11906" w:h="16838" w:code="9"/>
      <w:pgMar w:top="1440" w:right="1134" w:bottom="1134" w:left="113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0E105" w14:textId="77777777" w:rsidR="00880B11" w:rsidRDefault="00880B11">
      <w:r>
        <w:separator/>
      </w:r>
    </w:p>
  </w:endnote>
  <w:endnote w:type="continuationSeparator" w:id="0">
    <w:p w14:paraId="2EC48944" w14:textId="77777777" w:rsidR="00880B11" w:rsidRDefault="00880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CBE9E" w14:textId="77777777" w:rsidR="009F3BC5" w:rsidRDefault="00880B11">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9A1A80">
      <w:rPr>
        <w:noProof/>
        <w:color w:val="595959"/>
        <w:sz w:val="16"/>
        <w:szCs w:val="16"/>
      </w:rPr>
      <w:t>1</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A6126" w14:textId="77777777" w:rsidR="00880B11" w:rsidRDefault="00880B11">
      <w:r>
        <w:separator/>
      </w:r>
    </w:p>
  </w:footnote>
  <w:footnote w:type="continuationSeparator" w:id="0">
    <w:p w14:paraId="10DB7812" w14:textId="77777777" w:rsidR="00880B11" w:rsidRDefault="00880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A310" w14:textId="77777777" w:rsidR="009F3BC5" w:rsidRPr="00F76A0C" w:rsidRDefault="00880B11">
    <w:pPr>
      <w:jc w:val="right"/>
      <w:rPr>
        <w:lang w:val="en-US"/>
      </w:rPr>
    </w:pPr>
    <w:r w:rsidRPr="00F76A0C">
      <w:rPr>
        <w:color w:val="595959"/>
        <w:sz w:val="16"/>
        <w:szCs w:val="16"/>
        <w:lang w:val="en-US"/>
      </w:rPr>
      <w:t>AETF — Parallel Report to the CRPD Committee — Sri Lanka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639A5"/>
    <w:multiLevelType w:val="hybridMultilevel"/>
    <w:tmpl w:val="73726A22"/>
    <w:lvl w:ilvl="0" w:tplc="367CB82A">
      <w:start w:val="1"/>
      <w:numFmt w:val="decimal"/>
      <w:lvlText w:val="%1."/>
      <w:lvlJc w:val="left"/>
      <w:pPr>
        <w:ind w:left="720" w:hanging="360"/>
      </w:pPr>
    </w:lvl>
    <w:lvl w:ilvl="1" w:tplc="DCA67116">
      <w:numFmt w:val="decimal"/>
      <w:lvlText w:val=""/>
      <w:lvlJc w:val="left"/>
    </w:lvl>
    <w:lvl w:ilvl="2" w:tplc="D3E212A8">
      <w:numFmt w:val="decimal"/>
      <w:lvlText w:val=""/>
      <w:lvlJc w:val="left"/>
    </w:lvl>
    <w:lvl w:ilvl="3" w:tplc="3A5E8172">
      <w:numFmt w:val="decimal"/>
      <w:lvlText w:val=""/>
      <w:lvlJc w:val="left"/>
    </w:lvl>
    <w:lvl w:ilvl="4" w:tplc="7F4E63B2">
      <w:numFmt w:val="decimal"/>
      <w:lvlText w:val=""/>
      <w:lvlJc w:val="left"/>
    </w:lvl>
    <w:lvl w:ilvl="5" w:tplc="13563B54">
      <w:numFmt w:val="decimal"/>
      <w:lvlText w:val=""/>
      <w:lvlJc w:val="left"/>
    </w:lvl>
    <w:lvl w:ilvl="6" w:tplc="5C549788">
      <w:numFmt w:val="decimal"/>
      <w:lvlText w:val=""/>
      <w:lvlJc w:val="left"/>
    </w:lvl>
    <w:lvl w:ilvl="7" w:tplc="E47283D4">
      <w:numFmt w:val="decimal"/>
      <w:lvlText w:val=""/>
      <w:lvlJc w:val="left"/>
    </w:lvl>
    <w:lvl w:ilvl="8" w:tplc="DA44FF40">
      <w:numFmt w:val="decimal"/>
      <w:lvlText w:val=""/>
      <w:lvlJc w:val="left"/>
    </w:lvl>
  </w:abstractNum>
  <w:abstractNum w:abstractNumId="1" w15:restartNumberingAfterBreak="0">
    <w:nsid w:val="64182760"/>
    <w:multiLevelType w:val="hybridMultilevel"/>
    <w:tmpl w:val="B4DCFA28"/>
    <w:lvl w:ilvl="0" w:tplc="6EB483DC">
      <w:start w:val="1"/>
      <w:numFmt w:val="bullet"/>
      <w:lvlText w:val="•"/>
      <w:lvlJc w:val="left"/>
      <w:pPr>
        <w:ind w:left="720" w:hanging="360"/>
      </w:pPr>
    </w:lvl>
    <w:lvl w:ilvl="1" w:tplc="08A4C840">
      <w:numFmt w:val="decimal"/>
      <w:lvlText w:val=""/>
      <w:lvlJc w:val="left"/>
    </w:lvl>
    <w:lvl w:ilvl="2" w:tplc="FAE00960">
      <w:numFmt w:val="decimal"/>
      <w:lvlText w:val=""/>
      <w:lvlJc w:val="left"/>
    </w:lvl>
    <w:lvl w:ilvl="3" w:tplc="2984081A">
      <w:numFmt w:val="decimal"/>
      <w:lvlText w:val=""/>
      <w:lvlJc w:val="left"/>
    </w:lvl>
    <w:lvl w:ilvl="4" w:tplc="33EEB2B6">
      <w:numFmt w:val="decimal"/>
      <w:lvlText w:val=""/>
      <w:lvlJc w:val="left"/>
    </w:lvl>
    <w:lvl w:ilvl="5" w:tplc="7952D646">
      <w:numFmt w:val="decimal"/>
      <w:lvlText w:val=""/>
      <w:lvlJc w:val="left"/>
    </w:lvl>
    <w:lvl w:ilvl="6" w:tplc="BF022FBA">
      <w:numFmt w:val="decimal"/>
      <w:lvlText w:val=""/>
      <w:lvlJc w:val="left"/>
    </w:lvl>
    <w:lvl w:ilvl="7" w:tplc="75C8F7C0">
      <w:numFmt w:val="decimal"/>
      <w:lvlText w:val=""/>
      <w:lvlJc w:val="left"/>
    </w:lvl>
    <w:lvl w:ilvl="8" w:tplc="1A2A0CD2">
      <w:numFmt w:val="decimal"/>
      <w:lvlText w:val=""/>
      <w:lvlJc w:val="left"/>
    </w:lvl>
  </w:abstractNum>
  <w:abstractNum w:abstractNumId="2" w15:restartNumberingAfterBreak="0">
    <w:nsid w:val="64636FBB"/>
    <w:multiLevelType w:val="hybridMultilevel"/>
    <w:tmpl w:val="403CD348"/>
    <w:lvl w:ilvl="0" w:tplc="278CAC84">
      <w:start w:val="1"/>
      <w:numFmt w:val="bullet"/>
      <w:lvlText w:val="●"/>
      <w:lvlJc w:val="left"/>
      <w:pPr>
        <w:ind w:left="720" w:hanging="360"/>
      </w:pPr>
    </w:lvl>
    <w:lvl w:ilvl="1" w:tplc="BBC4DC48">
      <w:start w:val="1"/>
      <w:numFmt w:val="bullet"/>
      <w:lvlText w:val="○"/>
      <w:lvlJc w:val="left"/>
      <w:pPr>
        <w:ind w:left="1440" w:hanging="360"/>
      </w:pPr>
    </w:lvl>
    <w:lvl w:ilvl="2" w:tplc="6BC4B288">
      <w:start w:val="1"/>
      <w:numFmt w:val="bullet"/>
      <w:lvlText w:val="■"/>
      <w:lvlJc w:val="left"/>
      <w:pPr>
        <w:ind w:left="2160" w:hanging="360"/>
      </w:pPr>
    </w:lvl>
    <w:lvl w:ilvl="3" w:tplc="AA888F04">
      <w:start w:val="1"/>
      <w:numFmt w:val="bullet"/>
      <w:lvlText w:val="●"/>
      <w:lvlJc w:val="left"/>
      <w:pPr>
        <w:ind w:left="2880" w:hanging="360"/>
      </w:pPr>
    </w:lvl>
    <w:lvl w:ilvl="4" w:tplc="34062436">
      <w:start w:val="1"/>
      <w:numFmt w:val="bullet"/>
      <w:lvlText w:val="○"/>
      <w:lvlJc w:val="left"/>
      <w:pPr>
        <w:ind w:left="3600" w:hanging="360"/>
      </w:pPr>
    </w:lvl>
    <w:lvl w:ilvl="5" w:tplc="A0E60E08">
      <w:start w:val="1"/>
      <w:numFmt w:val="bullet"/>
      <w:lvlText w:val="■"/>
      <w:lvlJc w:val="left"/>
      <w:pPr>
        <w:ind w:left="4320" w:hanging="360"/>
      </w:pPr>
    </w:lvl>
    <w:lvl w:ilvl="6" w:tplc="8BB4180A">
      <w:start w:val="1"/>
      <w:numFmt w:val="bullet"/>
      <w:lvlText w:val="●"/>
      <w:lvlJc w:val="left"/>
      <w:pPr>
        <w:ind w:left="5040" w:hanging="360"/>
      </w:pPr>
    </w:lvl>
    <w:lvl w:ilvl="7" w:tplc="8A345E80">
      <w:start w:val="1"/>
      <w:numFmt w:val="bullet"/>
      <w:lvlText w:val="●"/>
      <w:lvlJc w:val="left"/>
      <w:pPr>
        <w:ind w:left="5760" w:hanging="360"/>
      </w:pPr>
    </w:lvl>
    <w:lvl w:ilvl="8" w:tplc="A7281E16">
      <w:start w:val="1"/>
      <w:numFmt w:val="bullet"/>
      <w:lvlText w:val="●"/>
      <w:lvlJc w:val="left"/>
      <w:pPr>
        <w:ind w:left="6480" w:hanging="360"/>
      </w:pPr>
    </w:lvl>
  </w:abstractNum>
  <w:num w:numId="1" w16cid:durableId="298460472">
    <w:abstractNumId w:val="2"/>
    <w:lvlOverride w:ilvl="0">
      <w:startOverride w:val="1"/>
    </w:lvlOverride>
  </w:num>
  <w:num w:numId="2" w16cid:durableId="1460761090">
    <w:abstractNumId w:val="0"/>
    <w:lvlOverride w:ilvl="0">
      <w:startOverride w:val="1"/>
    </w:lvlOverride>
  </w:num>
  <w:num w:numId="3" w16cid:durableId="18895480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BC5"/>
    <w:rsid w:val="000F5460"/>
    <w:rsid w:val="0025551B"/>
    <w:rsid w:val="004B01AB"/>
    <w:rsid w:val="00576B2F"/>
    <w:rsid w:val="005D2BDE"/>
    <w:rsid w:val="0063175A"/>
    <w:rsid w:val="00645011"/>
    <w:rsid w:val="00880B11"/>
    <w:rsid w:val="009A1A80"/>
    <w:rsid w:val="009F3BC5"/>
    <w:rsid w:val="00AE290B"/>
    <w:rsid w:val="00BB7C7D"/>
    <w:rsid w:val="00CF7A08"/>
    <w:rsid w:val="00F76A0C"/>
    <w:rsid w:val="00FA6274"/>
    <w:rsid w:val="00FE7069"/>
  </w:rsids>
  <m:mathPr>
    <m:mathFont m:val="Cambria Math"/>
    <m:brkBin m:val="before"/>
    <m:brkBinSub m:val="--"/>
    <m:smallFrac m:val="0"/>
    <m:dispDef/>
    <m:lMargin m:val="0"/>
    <m:rMargin m:val="0"/>
    <m:defJc m:val="centerGroup"/>
    <m:wrapIndent m:val="1440"/>
    <m:intLim m:val="subSup"/>
    <m:naryLim m:val="undOvr"/>
  </m:mathPr>
  <w:themeFontLang w:val="fr-FR" w:eastAsia="zh-CN" w:bidi="ta-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DB7AD"/>
  <w15:docId w15:val="{1359C206-405A-49B7-8399-A23FF235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FR" w:eastAsia="fr-FR" w:bidi="ta-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200"/>
      <w:outlineLvl w:val="0"/>
    </w:pPr>
    <w:rPr>
      <w:b/>
      <w:bCs/>
      <w:color w:val="1F3864"/>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lev1">
    <w:name w:val="Élevé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A1A80"/>
    <w:pPr>
      <w:spacing w:after="100"/>
    </w:pPr>
  </w:style>
  <w:style w:type="paragraph" w:styleId="NoSpacing">
    <w:name w:val="No Spacing"/>
    <w:uiPriority w:val="1"/>
    <w:qFormat/>
    <w:rsid w:val="0025551B"/>
  </w:style>
  <w:style w:type="paragraph" w:styleId="Header">
    <w:name w:val="header"/>
    <w:basedOn w:val="Normal"/>
    <w:link w:val="HeaderChar"/>
    <w:uiPriority w:val="99"/>
    <w:unhideWhenUsed/>
    <w:rsid w:val="00F76A0C"/>
    <w:pPr>
      <w:tabs>
        <w:tab w:val="center" w:pos="4513"/>
        <w:tab w:val="right" w:pos="9026"/>
      </w:tabs>
    </w:pPr>
  </w:style>
  <w:style w:type="character" w:customStyle="1" w:styleId="HeaderChar">
    <w:name w:val="Header Char"/>
    <w:basedOn w:val="DefaultParagraphFont"/>
    <w:link w:val="Header"/>
    <w:uiPriority w:val="99"/>
    <w:rsid w:val="00F76A0C"/>
  </w:style>
  <w:style w:type="paragraph" w:styleId="Footer">
    <w:name w:val="footer"/>
    <w:basedOn w:val="Normal"/>
    <w:link w:val="FooterChar"/>
    <w:uiPriority w:val="99"/>
    <w:unhideWhenUsed/>
    <w:rsid w:val="00F76A0C"/>
    <w:pPr>
      <w:tabs>
        <w:tab w:val="center" w:pos="4513"/>
        <w:tab w:val="right" w:pos="9026"/>
      </w:tabs>
    </w:pPr>
  </w:style>
  <w:style w:type="character" w:customStyle="1" w:styleId="FooterChar">
    <w:name w:val="Footer Char"/>
    <w:basedOn w:val="DefaultParagraphFont"/>
    <w:link w:val="Footer"/>
    <w:uiPriority w:val="99"/>
    <w:rsid w:val="00F76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2026-07-27T10:31:36+00:00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C5D897D-817B-4F13-BC6F-7E28344F4560}"/>
</file>

<file path=customXml/itemProps2.xml><?xml version="1.0" encoding="utf-8"?>
<ds:datastoreItem xmlns:ds="http://schemas.openxmlformats.org/officeDocument/2006/customXml" ds:itemID="{FF722CB4-AE54-41C7-AB24-51D673B0D393}"/>
</file>

<file path=customXml/itemProps3.xml><?xml version="1.0" encoding="utf-8"?>
<ds:datastoreItem xmlns:ds="http://schemas.openxmlformats.org/officeDocument/2006/customXml" ds:itemID="{28804116-9326-4879-915E-4EDFBD024DBF}"/>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10141</Words>
  <Characters>60345</Characters>
  <Application>Microsoft Office Word</Application>
  <DocSecurity>4</DocSecurity>
  <Lines>849</Lines>
  <Paragraphs>277</Paragraphs>
  <ScaleCrop>false</ScaleCrop>
  <HeadingPairs>
    <vt:vector size="2" baseType="variant">
      <vt:variant>
        <vt:lpstr>Titre</vt:lpstr>
      </vt:variant>
      <vt:variant>
        <vt:i4>1</vt:i4>
      </vt:variant>
    </vt:vector>
  </HeadingPairs>
  <TitlesOfParts>
    <vt:vector size="1" baseType="lpstr">
      <vt:lpstr>Parallel Report to the CRPD Committee on Sri Lanka</vt:lpstr>
    </vt:vector>
  </TitlesOfParts>
  <Company/>
  <LinksUpToDate>false</LinksUpToDate>
  <CharactersWithSpaces>70209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Report to the CRPD Committee on Sri Lanka</dc:title>
  <dc:creator>Association des Étudiants Tamouls de France</dc:creator>
  <cp:lastModifiedBy>Jorge Araya</cp:lastModifiedBy>
  <cp:revision>2</cp:revision>
  <dcterms:created xsi:type="dcterms:W3CDTF">2026-07-27T10:31:00Z</dcterms:created>
  <dcterms:modified xsi:type="dcterms:W3CDTF">2026-07-27T10:31:00Z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