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_rels/header1.xml.rels" ContentType="application/vnd.openxmlformats-package.relationship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ngleTxt"/>
        <w:ind w:left="0" w:right="1267"/>
        <w:rPr>
          <w:rFonts w:ascii="Calibri" w:hAnsi="Calibri" w:cs="Calibri" w:asciiTheme="minorHAnsi" w:cstheme="minorHAnsi" w:hAnsiTheme="minorHAnsi"/>
          <w:sz w:val="24"/>
          <w:szCs w:val="24"/>
          <w:lang w:val="es-ES_tradnl"/>
        </w:rPr>
      </w:pPr>
      <w:r>
        <w:rPr/>
      </w:r>
    </w:p>
    <w:p>
      <w:pPr>
        <w:pStyle w:val="SingleTxt"/>
        <w:jc w:val="center"/>
        <w:rPr>
          <w:b/>
          <w:bCs/>
          <w:sz w:val="28"/>
          <w:szCs w:val="28"/>
          <w:lang w:val="es-ES_tradnl"/>
        </w:rPr>
      </w:pPr>
      <w:r>
        <w:rPr>
          <w:b/>
          <w:bCs/>
          <w:sz w:val="28"/>
          <w:szCs w:val="28"/>
          <w:lang w:val="es-ES_tradnl"/>
        </w:rPr>
        <w:t>Convención sobre la Eliminación de todas las formas de discriminación contra la Mujer-CEDAW</w:t>
      </w:r>
    </w:p>
    <w:p>
      <w:pPr>
        <w:pStyle w:val="SingleTxt"/>
        <w:jc w:val="center"/>
        <w:rPr>
          <w:b/>
          <w:bCs/>
          <w:sz w:val="28"/>
          <w:szCs w:val="28"/>
          <w:lang w:val="es-ES_tradnl"/>
        </w:rPr>
      </w:pPr>
      <w:r>
        <w:rPr/>
      </w:r>
    </w:p>
    <w:p>
      <w:pPr>
        <w:pStyle w:val="SingleTxt"/>
        <w:jc w:val="center"/>
        <w:rPr>
          <w:b/>
          <w:bCs/>
          <w:sz w:val="28"/>
          <w:szCs w:val="28"/>
          <w:lang w:val="es-ES_tradnl"/>
        </w:rPr>
      </w:pPr>
      <w:r>
        <w:rPr>
          <w:b/>
          <w:bCs/>
          <w:sz w:val="28"/>
          <w:szCs w:val="28"/>
          <w:lang w:val="es-ES_tradnl"/>
        </w:rPr>
        <w:t>Informe alternativo de s</w:t>
      </w:r>
      <w:r>
        <w:rPr>
          <w:b/>
          <w:bCs/>
          <w:sz w:val="28"/>
          <w:szCs w:val="28"/>
          <w:lang w:val="es-ES_tradnl"/>
        </w:rPr>
        <w:t xml:space="preserve">eguimiento </w:t>
      </w:r>
    </w:p>
    <w:p>
      <w:pPr>
        <w:pStyle w:val="SingleTxt"/>
        <w:jc w:val="center"/>
        <w:rPr>
          <w:b/>
          <w:bCs/>
          <w:sz w:val="28"/>
          <w:szCs w:val="28"/>
          <w:lang w:val="es-ES_tradnl"/>
        </w:rPr>
      </w:pPr>
      <w:r>
        <w:rPr>
          <w:b/>
          <w:bCs/>
          <w:sz w:val="28"/>
          <w:szCs w:val="28"/>
          <w:lang w:val="es-ES_tradnl"/>
        </w:rPr>
        <w:t>Guatemala</w:t>
      </w:r>
    </w:p>
    <w:p>
      <w:pPr>
        <w:pStyle w:val="SingleTxt"/>
        <w:jc w:val="center"/>
        <w:rPr>
          <w:b/>
          <w:bCs/>
          <w:sz w:val="28"/>
          <w:szCs w:val="28"/>
          <w:lang w:val="es-ES_tradnl"/>
        </w:rPr>
      </w:pPr>
      <w:r>
        <w:rPr>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En seguimiento a lo establecido por el Comité de la CEDAW en el 2023, sobre el décimo informe periódico de Guatemala en el que requirió que; “en el plazo de dos años se proporcione información por escrito sobre medidas adoptadas para poner en práctica las medidas que figuran en los párrafos 17 a) </w:t>
      </w:r>
      <w:r>
        <w:rPr>
          <w:rFonts w:cs="Times New Roman" w:ascii="Times New Roman" w:hAnsi="Times New Roman"/>
          <w:spacing w:val="4"/>
          <w:w w:val="103"/>
          <w:kern w:val="2"/>
          <w:sz w:val="24"/>
          <w:szCs w:val="24"/>
          <w:lang w:val="es-ES_tradnl"/>
        </w:rPr>
        <w:t>29, 39 a) y 45”,</w:t>
      </w:r>
      <w:r>
        <w:rPr>
          <w:rFonts w:cs="Times New Roman" w:ascii="Times New Roman" w:hAnsi="Times New Roman"/>
          <w:b/>
          <w:bCs/>
          <w:spacing w:val="4"/>
          <w:w w:val="103"/>
          <w:kern w:val="2"/>
          <w:sz w:val="24"/>
          <w:szCs w:val="24"/>
          <w:lang w:val="es-ES_tradnl"/>
        </w:rPr>
        <w:t xml:space="preserve"> </w:t>
      </w:r>
      <w:r>
        <w:rPr>
          <w:rFonts w:cs="Times New Roman" w:ascii="Times New Roman" w:hAnsi="Times New Roman"/>
          <w:spacing w:val="4"/>
          <w:w w:val="103"/>
          <w:kern w:val="2"/>
          <w:sz w:val="24"/>
          <w:szCs w:val="24"/>
          <w:lang w:val="es-ES_tradnl"/>
        </w:rPr>
        <w:t xml:space="preserve">Protection International Mesoamérica presenta contribución de información relativa a los párrafos 17 a) y 29,  de los años 2024 y 2025. </w:t>
      </w:r>
    </w:p>
    <w:p>
      <w:pPr>
        <w:pStyle w:val="Normal"/>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2"/>
        </w:numPr>
        <w:ind w:hanging="436" w:left="720"/>
        <w:jc w:val="both"/>
        <w:rPr>
          <w:rFonts w:ascii="Times New Roman" w:hAnsi="Times New Roman" w:cs="Times New Roman"/>
          <w:b/>
          <w:bCs/>
          <w:sz w:val="24"/>
          <w:szCs w:val="24"/>
          <w:lang w:val="es-ES_tradnl"/>
        </w:rPr>
      </w:pPr>
      <w:r>
        <w:rPr>
          <w:rFonts w:cs="Times New Roman" w:ascii="Times New Roman" w:hAnsi="Times New Roman"/>
          <w:b/>
          <w:bCs/>
          <w:sz w:val="24"/>
          <w:szCs w:val="24"/>
          <w:lang w:val="es-ES_tradnl"/>
        </w:rPr>
        <w:t>Recomendación párrafo 17 a) Vele por el derecho a la reparación de las mujeres víctimas de violaciones graves de derechos humanos cometidas durante el conflicto armado interno mediante la aplicación de la Política de Reparación Digna y Transformadora, y haga cumplir las medidas de reparación ordenadas por los tribunales.</w:t>
      </w:r>
    </w:p>
    <w:p>
      <w:pPr>
        <w:pStyle w:val="ListParagraph"/>
        <w:ind w:left="851"/>
        <w:jc w:val="both"/>
        <w:rPr>
          <w:rFonts w:ascii="Times New Roman" w:hAnsi="Times New Roman" w:cs="Times New Roman"/>
          <w:b/>
          <w:bCs/>
          <w:sz w:val="24"/>
          <w:szCs w:val="24"/>
          <w:lang w:val="es-ES_tradnl"/>
        </w:rPr>
      </w:pPr>
      <w:r>
        <w:rPr>
          <w:rFonts w:cs="Times New Roman" w:ascii="Times New Roman" w:hAnsi="Times New Roman"/>
          <w:b/>
          <w:bCs/>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A la fecha, el Estado de Guatemala ha incumplido con su deber de garantizar la reparación digna y transformadora para las mujeres víctimas y sobrevivientes del Conflicto Armado Interno-CAI, en su defecto se han dado serios retrocesos, obstáculos, se ha generado dilaciones en los procesos de investigación para juzgar casos de graves violaciones de derechos humanos y se ha hecho mal uso del derecho penal para inclusive anular juicios, pretendiendo con eso negar y juzgar las graves violaciones cometidas en el CAI, en conclusión se ha promovido la impunidad en los casos del CAI, esta situación pone en riesgo el reconocimiento y reparación de las víctimas, el derecho a la verdad y justicia, y sobre todo las garantías de no repetición.</w:t>
      </w:r>
    </w:p>
    <w:p>
      <w:pPr>
        <w:pStyle w:val="ListParagraph"/>
        <w:ind w:left="426"/>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Desde abril de 2018 a la fecha está al frente del Ministerio Público-MP María Consuelo Porras, quien conjuntamente con Organismo Judicial-OJ han mantenido una agenda pro impunidad en casos del CAI, en octubre de 2024 fueron electas nuevas magistradas y magistrados de Corte Suprema de Justicia-CSJ y de las Cortes de Apelaciones-CA para el periodo 2024-2029 quienes promueven un continuum de dicha agenda como se ejemplifica a continuación: </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El 05 de noviembre de 2024, la Sala Segunda de Apelaciones anuló todo lo actuado en el caso CREOMPAZ</w:t>
      </w:r>
      <w:r>
        <w:rPr>
          <w:rStyle w:val="FootnoteReference"/>
          <w:rFonts w:cs="Times New Roman" w:ascii="Times New Roman" w:hAnsi="Times New Roman"/>
          <w:sz w:val="24"/>
          <w:szCs w:val="24"/>
          <w:lang w:val="es-ES_tradnl"/>
        </w:rPr>
        <w:footnoteReference w:id="2"/>
      </w:r>
      <w:r>
        <w:rPr>
          <w:rFonts w:cs="Times New Roman" w:ascii="Times New Roman" w:hAnsi="Times New Roman"/>
          <w:sz w:val="24"/>
          <w:szCs w:val="24"/>
          <w:lang w:val="es-ES_tradnl"/>
        </w:rPr>
        <w:t>, situación que retrotrajo el proceso hasta la etapa de investigación, además se ordenó la liberación de todas las personas procesadas, lo cual generó un desgate para las víctimas luego de siete años de estancamiento del proceso.</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El 28 de noviembre de 2024, la Sala Primera de Mayor Riesgo</w:t>
      </w:r>
      <w:r>
        <w:rPr>
          <w:rStyle w:val="FootnoteReference"/>
          <w:rFonts w:cs="Times New Roman" w:ascii="Times New Roman" w:hAnsi="Times New Roman"/>
          <w:sz w:val="24"/>
          <w:szCs w:val="24"/>
          <w:lang w:val="es-ES_tradnl"/>
        </w:rPr>
        <w:footnoteReference w:id="3"/>
      </w:r>
      <w:r>
        <w:rPr>
          <w:rFonts w:cs="Times New Roman" w:ascii="Times New Roman" w:hAnsi="Times New Roman"/>
          <w:sz w:val="24"/>
          <w:szCs w:val="24"/>
          <w:lang w:val="es-ES_tradnl"/>
        </w:rPr>
        <w:t xml:space="preserve"> anuló el juicio por Genocidio Ixil, posteriormente la Corte de Constitucionalidad-CC confirmó el 23 de junio de 2025 la anulación del juicio y benefició al general Benedicto Lucas García que estaba siendo juzgado por los delitos contra los deberes de la humanidad y desaparición forzada.</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En otros casos juzgados que ya tienen sentencia de la Corte Interamericana de Derechos Humanos-Corte IDH, como es el de Luz Leticia Hernández Agustín, Molina Theissen y Diario Militar, se han registrado dilaciones en el cumplimiento de las medidas de reparación establecidas por la Corte. En las sentencias emitidas por tribunales nacionales en casos del CAI persiste el incumplimiento de las sentencias. </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El MP y OJ han debilitado las instancias a cargo de la investigación y juzgamiento de casos de violaciones de derechos humanos, como lo es la Unidad Fiscal de Casos Especiales del Conflicto Armado Interno, la Fiscalía de Derechos Humanos y el sistema de tribunales de Mayor Riesgo, además se ha removido o trasladado a fiscales, juezas y jueces, y otros fueron obligados al exilio.</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En el informe presentado por Estado, al honorable Comité</w:t>
      </w:r>
      <w:r>
        <w:rPr>
          <w:rStyle w:val="FootnoteReference"/>
          <w:rFonts w:cs="Times New Roman" w:ascii="Times New Roman" w:hAnsi="Times New Roman"/>
          <w:sz w:val="24"/>
          <w:szCs w:val="24"/>
          <w:lang w:val="es-ES_tradnl"/>
        </w:rPr>
        <w:footnoteReference w:id="4"/>
      </w:r>
      <w:r>
        <w:rPr>
          <w:rFonts w:cs="Times New Roman" w:ascii="Times New Roman" w:hAnsi="Times New Roman"/>
          <w:sz w:val="24"/>
          <w:szCs w:val="24"/>
          <w:lang w:val="es-ES_tradnl"/>
        </w:rPr>
        <w:t xml:space="preserve"> se informa sobre una serie de actividades que se han realizado en algunas instituciones para dar cumplimiento a algunas de las medidas de reparación establecidas en algunos casos, sin embargo las mujeres víctimas y sobrevivientes siguen buscando justicia, porque a la fecha en varios de los casos,  no se han juzgado a los responsables y tampoco ha habido resarcimiento.</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spacing w:lineRule="auto" w:line="240"/>
        <w:ind w:hanging="426" w:left="426"/>
        <w:jc w:val="both"/>
        <w:rPr/>
      </w:pPr>
      <w:r>
        <w:rPr>
          <w:rFonts w:cs="Times New Roman" w:ascii="Times New Roman" w:hAnsi="Times New Roman"/>
          <w:sz w:val="24"/>
          <w:szCs w:val="24"/>
          <w:lang w:val="es-ES_tradnl"/>
        </w:rPr>
        <w:t>El gobierno del presidente Bernardo Arévalo ha informado de las buenas intenciones para contar con un Plan Nacional de Dignificación y Reparación</w:t>
      </w:r>
      <w:r>
        <w:rPr>
          <w:rStyle w:val="FootnoteReference"/>
          <w:rFonts w:cs="Times New Roman" w:ascii="Times New Roman" w:hAnsi="Times New Roman"/>
          <w:sz w:val="24"/>
          <w:szCs w:val="24"/>
          <w:lang w:val="es-ES_tradnl"/>
        </w:rPr>
        <w:footnoteReference w:id="5"/>
      </w:r>
      <w:r>
        <w:rPr>
          <w:rFonts w:cs="Times New Roman" w:ascii="Times New Roman" w:hAnsi="Times New Roman"/>
          <w:sz w:val="24"/>
          <w:szCs w:val="24"/>
          <w:lang w:val="es-ES_tradnl"/>
        </w:rPr>
        <w:t xml:space="preserve">, que a la fecha no se encuentra vigente y se espera que dicho plan cuente con los mecanismos y recursos necesarios para su implementación y que las buenas intenciones se conviertan en una realidad para las víctimas y sobrevivientes, porque en el presupuesto del 2025  (mismo que será ejecutado en el 2026) no se contó con recursos financieros para resarcir a las víctimas y sobrevivientes. </w:t>
      </w:r>
    </w:p>
    <w:p>
      <w:pPr>
        <w:pStyle w:val="ListParagraph"/>
        <w:spacing w:lineRule="auto" w:line="240"/>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spacing w:lineRule="auto" w:line="240"/>
        <w:ind w:left="426"/>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spacing w:lineRule="auto" w:line="240"/>
        <w:ind w:hanging="426" w:left="426"/>
        <w:jc w:val="both"/>
        <w:rPr/>
      </w:pPr>
      <w:r>
        <w:rPr>
          <w:rFonts w:cs="Times New Roman" w:ascii="Times New Roman" w:hAnsi="Times New Roman"/>
          <w:sz w:val="24"/>
          <w:szCs w:val="24"/>
          <w:lang w:val="es-ES_tradnl"/>
        </w:rPr>
        <w:t xml:space="preserve">A la fecha no existe en el Estado de Guatemala una Política de Reparación Digna y Transformadora que garantice que hechos ocurridos en el CAI no se vuelvan a repetir, porque las acciones que realiza el sistema de justicia promueven un continuum de violencia e impunidad para quienes buscan justicia y reparación. </w:t>
      </w:r>
    </w:p>
    <w:p>
      <w:pPr>
        <w:pStyle w:val="ListParagraph"/>
        <w:spacing w:lineRule="auto" w:line="240"/>
        <w:ind w:left="426"/>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spacing w:lineRule="auto" w:line="240"/>
        <w:ind w:hanging="426" w:left="426"/>
        <w:jc w:val="both"/>
        <w:rPr/>
      </w:pPr>
      <w:r>
        <w:rPr>
          <w:rFonts w:cs="Times New Roman" w:ascii="Times New Roman" w:hAnsi="Times New Roman"/>
          <w:sz w:val="24"/>
          <w:szCs w:val="24"/>
          <w:lang w:val="es-ES_tradnl"/>
        </w:rPr>
        <w:t xml:space="preserve">En diciembre de 2026 se cumplirán 30 años de la Firma de los Acuerdos de Paz, no obstante las causas estructurales que dieron origen al CAI siguen intactas, los actores políticos, militares y económicos responsables de las graves violaciones de derechos humanos se mantienen en el poder y han imposibilitado por todos los medios que las víctimas y sobrevivientes vivan en paz, tengan seguridad y logren justicia.  Cabe mencionar que la expulsión de la Comisión Internacional Contra la Impunidad en Guatemala-CICIG en el 2019 demostró que en Guatemala no se quiso continuar haciendo frente a la impunidad de los poderes paralelos que están vinculados al CAI y que controlan el Estado. </w:t>
      </w:r>
    </w:p>
    <w:p>
      <w:pPr>
        <w:pStyle w:val="Normal"/>
        <w:jc w:val="both"/>
        <w:rPr>
          <w:rFonts w:ascii="Times New Roman" w:hAnsi="Times New Roman" w:cs="Times New Roman"/>
          <w:b/>
          <w:bCs/>
          <w:sz w:val="24"/>
          <w:szCs w:val="24"/>
          <w:lang w:val="es-ES_tradnl"/>
        </w:rPr>
      </w:pPr>
      <w:r>
        <w:rPr>
          <w:rFonts w:cs="Times New Roman" w:ascii="Times New Roman" w:hAnsi="Times New Roman"/>
          <w:b/>
          <w:bCs/>
          <w:sz w:val="24"/>
          <w:szCs w:val="24"/>
          <w:lang w:val="es-ES_tradnl"/>
        </w:rPr>
      </w:r>
    </w:p>
    <w:p>
      <w:pPr>
        <w:pStyle w:val="ListParagraph"/>
        <w:numPr>
          <w:ilvl w:val="0"/>
          <w:numId w:val="2"/>
        </w:numPr>
        <w:ind w:hanging="436" w:left="720"/>
        <w:jc w:val="both"/>
        <w:rPr/>
      </w:pPr>
      <w:r>
        <w:rPr>
          <w:rFonts w:cs="Times New Roman" w:ascii="Times New Roman" w:hAnsi="Times New Roman"/>
          <w:b/>
          <w:bCs/>
          <w:sz w:val="24"/>
          <w:szCs w:val="24"/>
          <w:lang w:val="es-ES_tradnl"/>
        </w:rPr>
        <w:t>Recomendación párrafo 29) En consonancia con su recomendación general núm. 23 (1997), relativa a la mujer en la vida política y pública, el Comité recomienda al Estado parte que redoble sus esfuerzos para promover la representación equitativa de las mujeres en el Congreso, su acceso a los cargos públicos, el poder judicial y la función pública a nivel nacional, estatal y local, adoptando medidas selectivas, incluidas medidas especiales de carácter temporal, como las cuotas de paridad de género, la contratación preferente de mujeres en la función pública, en particular en los niveles decisorios, y modificando la Ley Electoral y de Partidos Políticos para exigir la paridad de género en las estructuras de los partidos políticos y en las listas electorales y prever sanciones adecuadas en caso de incumplimiento; y prevenir la violencia política contra las candidatas, protegerlas de ella y enjuiciar y castigar adecuadamente a los autores de tales actos.</w:t>
      </w:r>
    </w:p>
    <w:p>
      <w:pPr>
        <w:pStyle w:val="Normal"/>
        <w:jc w:val="both"/>
        <w:rPr>
          <w:rFonts w:ascii="Times New Roman" w:hAnsi="Times New Roman" w:cs="Times New Roman"/>
          <w:b/>
          <w:bCs/>
          <w:sz w:val="24"/>
          <w:szCs w:val="24"/>
          <w:lang w:val="es-ES_tradnl"/>
        </w:rPr>
      </w:pPr>
      <w:r>
        <w:rPr>
          <w:rFonts w:cs="Times New Roman" w:ascii="Times New Roman" w:hAnsi="Times New Roman"/>
          <w:b/>
          <w:bCs/>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En el 2023 se llevaron a cabo elecciones generales, luego de 106 días de resistencia liderada por los pueblos indígenas en donde se sumó la población guatemalteca, se logró finalmente la toma de posesión del presidente Bernardo Arévalo y vicepresidenta Karin Herrera el 14 de enero de 2025.</w:t>
      </w:r>
    </w:p>
    <w:p>
      <w:pPr>
        <w:pStyle w:val="ListParagraph"/>
        <w:ind w:left="426"/>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Desde la llegada del gobierno actual, han vivido una persecución política, el MP ha </w:t>
      </w:r>
      <w:r>
        <w:rPr>
          <w:rFonts w:cs="Times New Roman" w:ascii="Times New Roman" w:hAnsi="Times New Roman"/>
          <w:sz w:val="24"/>
          <w:szCs w:val="24"/>
        </w:rPr>
        <w:t>solicitado constantemente el retiro de la inmunidad para el presidente y vicepresidenta, se han interpuesto denuncias en contra de personas funcionarias que llegaron con este gobierno, fue cancelado el partido político Semilla (partido oficial), e incluso se han interpuesto denuncias en contra de integrantes del Comité Ejecutivo y personas que estuvieron en la conformación de dicho partido, varias de ellas ahora están en el exilio. Una de las fundadoras del partido, ex diputada y ex funcionaria pública, fue privada de libertad y fue obligada a aceptar cargos; además se continúa orquestado lo que desde la sociedad civil se considera como intentos de golpe de Estado técnico por parte del MP, quien han pretendido el rompimiento constitucional para evitar que el gobierno continúe su gestión.</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hanging="426" w:left="426"/>
        <w:jc w:val="both"/>
        <w:rPr/>
      </w:pPr>
      <w:r>
        <w:rPr>
          <w:rFonts w:cs="Times New Roman" w:ascii="Times New Roman" w:hAnsi="Times New Roman"/>
          <w:sz w:val="24"/>
          <w:szCs w:val="24"/>
        </w:rPr>
        <w:t>Por la defensa de la democracia se incrementó la criminalización y persecución en contra de personas y comunidades defensoras de derechos humanos, dos ex dirigentes de los 48 cantones de Totonicapán están privados de libertad, quienes fueron ligados a proceso por los supuestos delitos, al 31 de diciembre llevaban 253 días en prisión preventiva, el proceso está detenido debido a la falta de nombramiento de juez para llevar el caso. Otra autoridad indígena de Sololá también fue ligado a proceso penal, pero debido a su situación de salud tiene una medida sustitutiva y no permanece privado de libertad. Paralelo a este caso hay mujeres ex autoridades indígenas criminalizadas, algunas tuvieron que salir del país,  una de ellas es una lideresa ex autoridad indígena adulta mayor que tuvo una importante participación en la defensa de la democracia en el 2023, otras siguen en el país con el temor de ser privadas de libertad.</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hanging="426" w:left="426"/>
        <w:jc w:val="both"/>
        <w:rPr/>
      </w:pPr>
      <w:r>
        <w:rPr>
          <w:rFonts w:cs="Times New Roman" w:ascii="Times New Roman" w:hAnsi="Times New Roman"/>
          <w:sz w:val="24"/>
          <w:szCs w:val="24"/>
        </w:rPr>
        <w:t>En la actualidad existe una amenaza de que se pretenda capturar a otras autoridades indígenas. Los supuestos delitos más utilizados por el MP para perseguirlos son: atentado, asociación ilícita, obstaculización de la justicia, obstaculización de la libre locomoción, falsedad ideológica, terrorismo, instigación a la violencia, despojo de la propiedad pública, y quienes han presentado denuncias en contra de las autoridades indígenas son los mismos actores que han presentado denuncias en contra de otras personas defensoras y operadoras de justicia.</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Se reconocen los esfuerzos realizados por el gobierno actual por incluir a más mujeres en altos cargos de decisión del Estado como lo son los ministerios, secretarías y gobernaciones departamentales, sin embargo preocupa que no exista una política contundente a nivel de toda la institucionalidad del Estado para garantizar la plena participación de las mujeres.</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hanging="426" w:left="426"/>
        <w:jc w:val="both"/>
        <w:rPr/>
      </w:pPr>
      <w:r>
        <w:rPr>
          <w:rFonts w:cs="Times New Roman" w:ascii="Times New Roman" w:hAnsi="Times New Roman"/>
          <w:sz w:val="24"/>
          <w:szCs w:val="24"/>
        </w:rPr>
        <w:t xml:space="preserve">El </w:t>
      </w:r>
      <w:r>
        <w:rPr>
          <w:rFonts w:cs="Times New Roman" w:ascii="Times New Roman" w:hAnsi="Times New Roman"/>
          <w:sz w:val="24"/>
          <w:szCs w:val="24"/>
          <w:lang w:val="es-ES_tradnl"/>
        </w:rPr>
        <w:t xml:space="preserve">14 de enero de 2024 tomó posesión la X Legislatura, conformada por 160 diputadas y diputados, únicamente 31 son mujeres y de ellas 1 es mujer maya, no existe representación de mujeres garífuna, xinka y afrodescendiente en el Congreso. En la Junta Directiva-JD del 2024-2025,  de 9 puestos, fueron electas una mujer mestiza como primera secretaria y una mujer indígena como quinta secretaria, esta última vivió una serie de atropellos y violencia por su papel decidido en la lucha contra la corrupción en el Congreso, la diputada denunció en el MP la violencia vivida, sin embargo las denuncias fueron desestimadas.  </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Para el periodo 2025-2026 fue electa una mujer como primera secretaria en la JD, en marzo de ese mismo año derivado a una situación con su partido político fue separada del mismo, generando con ello que quedara fuera de la JD por ser una diputada independiente. Para el periodo 2026-2027 fue electa una mujer como segunda secretaria.</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En Guatemala no se han adoptado medidas de carácter temporal para lograr la efectiva representación de las mujeres en el proceso electoral. La sociedad civil participó en la formulación de propuestas que se presentaron ante la Comisión de Actualización y Modernización Electoral-CAME, las cuales fueron presentadas por el Tribunal Supremo Electoral-TSE al Congreso de la República. Diputadas y diputados del extinto partido Semilla y ahora independientes recibieron a las organizaciones de mujeres en mayo de 2024 donde se analizó la propuesta de promover la participación de las mujeres. A la fecha no se ha modificado la Ley Electoral y de Partidos Políticos, especialmente en el artículo 212 Bis, relativos a la paridad, alternancia en la representación e inclusión de pueblos indígenas en la representación, decisión que está en manos del Congreso de la República.</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En el 2024 se llevaron a cabo las elecciones de la CSJ y CA para el periodo 2024-2029, según Impunity Watch (2024) participaron </w:t>
      </w:r>
      <w:r>
        <w:rPr>
          <w:rFonts w:cs="Times New Roman" w:ascii="Times New Roman" w:hAnsi="Times New Roman"/>
          <w:sz w:val="24"/>
          <w:szCs w:val="24"/>
        </w:rPr>
        <w:t xml:space="preserve">353 aspirantes a la CSJ, 230 hombres (65%) y 123 mujeres (35%) de estas personas finalmente el Congreso de la República nombró para la CSJ es 5 mujeres (38%) y 8 hombres (62%). Para el caso de la elección de CA participaron 1,553 aspirantes de ellos 942 eran hombres (61%), y 611 mujeres (39%), el congreso nombró a 260 personas, de ellos 156 son titulares y 104 suplentes para trabajar en 52 salas del país. De esta cantidad 156 (60%) son hombres y 104 mujeres (40%), en ninguno de los casos se pudo determinar la cantidad de personas indígenas participantes, debido a que en el formulario de inscripción no se estableció una casilla para la auto identificación étnica. </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hanging="426" w:left="426"/>
        <w:jc w:val="both"/>
        <w:rPr/>
      </w:pPr>
      <w:r>
        <w:rPr>
          <w:rFonts w:cs="Times New Roman" w:ascii="Times New Roman" w:hAnsi="Times New Roman"/>
          <w:sz w:val="24"/>
          <w:szCs w:val="24"/>
        </w:rPr>
        <w:t xml:space="preserve">La Ley de Comisiones de Postulación que rige el proceso de elección para este tipo de procesos,  estipula en el artículo 20 que la ciudadanía puede presentar impedimentos o tachas contra aspirantes no idóneos para los cargos, la Comisión de Postulación estableció que se tomarían en cuenta únicamente impedimentos sobre sentencias firmes;  a pesar de ello la sociedad civil y autoridades indígenas en donde varias mujeres lideraron el proceso,  presentaron señalamientos en contra de 29 aspirantes de la CSJ y 58 CA,  un único señalamiento de la misma persona fue tomado en cuenta por la Comisión de Postulación en el caso de la CSJ y CA. </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hanging="426" w:left="426"/>
        <w:jc w:val="both"/>
        <w:rPr/>
      </w:pPr>
      <w:r>
        <w:rPr>
          <w:rFonts w:cs="Times New Roman" w:ascii="Times New Roman" w:hAnsi="Times New Roman"/>
          <w:sz w:val="24"/>
          <w:szCs w:val="24"/>
        </w:rPr>
        <w:t>Desde el inicio del proceso de elección se tuvo la preocupación que MP criminalizara la participación de personas aspirantes, comisionados y comisionadas, así como en contra de la sociedad civil participante, situación que se fue materializando en el tiempo, inclusive el Panel de Personas Expertas Independiente para la Elección de Altas Cortes en Guatemala-PEI-GT se manifestó en contra de la persistente práctica de criminalización penal y el uso arbitrario del derecho penal emprendido por el MP</w:t>
      </w:r>
      <w:r>
        <w:rPr>
          <w:rStyle w:val="FootnoteReference"/>
          <w:rFonts w:cs="Times New Roman" w:ascii="Times New Roman" w:hAnsi="Times New Roman"/>
          <w:sz w:val="24"/>
          <w:szCs w:val="24"/>
        </w:rPr>
        <w:footnoteReference w:id="6"/>
      </w:r>
      <w:r>
        <w:rPr>
          <w:rFonts w:cs="Times New Roman" w:ascii="Times New Roman" w:hAnsi="Times New Roman"/>
          <w:sz w:val="24"/>
          <w:szCs w:val="24"/>
        </w:rPr>
        <w:t>.</w:t>
      </w:r>
    </w:p>
    <w:p>
      <w:pPr>
        <w:pStyle w:val="ListParagraph"/>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hanging="426" w:left="426"/>
        <w:jc w:val="both"/>
        <w:rPr/>
      </w:pPr>
      <w:r>
        <w:rPr>
          <w:rFonts w:cs="Times New Roman" w:ascii="Times New Roman" w:hAnsi="Times New Roman"/>
          <w:sz w:val="24"/>
          <w:szCs w:val="24"/>
        </w:rPr>
        <w:t xml:space="preserve">Posterior al proceso de elección de la CSJ y CA, el MP emprendió criminalización en contra de autoridades indígenas que participaron en la presentación de impedimentos en el proceso de la elección, en la actualidad hay denuncias penales en contra de algunas de las autoridades. </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En el caso de los procesos de elección de las altas cortes, en Guatemala las mujeres siguen siendo discriminadas porque los procesos de selección siguen sin tomar en cuenta una selección basada en méritos, capacidad y honorabilidad según los estándares internacionales. En el proceso de elección del 2024 quedo evidenciado que se continúa vulnerando los derechos a la independencia judicial, garantías judiciales y el derecho que tienen las mujeres para acceder a funciones públicas en igualdad. </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El pasado 3 de noviembre de 2025, la Comisión Interamericana de Derechos Humanos-CIDH presentó a la Corte IDH el Caso </w:t>
      </w:r>
      <w:r>
        <w:rPr>
          <w:rFonts w:cs="Times New Roman" w:ascii="Times New Roman" w:hAnsi="Times New Roman"/>
          <w:sz w:val="24"/>
          <w:szCs w:val="24"/>
        </w:rPr>
        <w:t>14.364</w:t>
      </w:r>
      <w:r>
        <w:rPr>
          <w:rStyle w:val="FootnoteReference"/>
          <w:rFonts w:cs="Times New Roman" w:ascii="Times New Roman" w:hAnsi="Times New Roman"/>
          <w:sz w:val="24"/>
          <w:szCs w:val="24"/>
        </w:rPr>
        <w:footnoteReference w:id="7"/>
      </w:r>
      <w:r>
        <w:rPr>
          <w:rFonts w:cs="Times New Roman" w:ascii="Times New Roman" w:hAnsi="Times New Roman"/>
          <w:sz w:val="24"/>
          <w:szCs w:val="24"/>
        </w:rPr>
        <w:t xml:space="preserve">, por violaciones a los derechos políticos y garantías judiciales en contra de abogadas y ex juezas a quienes </w:t>
      </w:r>
      <w:r>
        <w:rPr>
          <w:rFonts w:cs="Times New Roman" w:ascii="Times New Roman" w:hAnsi="Times New Roman"/>
          <w:sz w:val="24"/>
          <w:szCs w:val="24"/>
          <w:lang w:val="es-ES_tradnl"/>
        </w:rPr>
        <w:t>en el 2014 se les vulneró el derecho a ser tomadas en cuenta para ser electas a cargos en la CSJ y CA, también se le vulneraron los derechos a una defensora de derechos humanos que denunció las anomalías en el proceso, se espera que la Corte emita sentencia favorable a las víctimas y peticionarias y se garantice la reparación y la participación plena para las mujeres.</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ind w:left="426"/>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A pesar de que en Guatemala más del 50% de la población son mujeres es evidente que persiste la subrepresentación en todos los niveles de decisión del Estado, que aunque el actual gobierno tomo medidas para incrementar la participación de las mujeres al frente de instituciones del Ejecutivo esta situación puede cambiar, pues a la fecha el Estado de Guatemala no ha adoptado medidas estructurales para lograr la plena representación de las mujeres.</w:t>
      </w:r>
    </w:p>
    <w:p>
      <w:pPr>
        <w:pStyle w:val="ListParagraph"/>
        <w:ind w:left="426"/>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numPr>
          <w:ilvl w:val="0"/>
          <w:numId w:val="1"/>
        </w:numPr>
        <w:ind w:hanging="426" w:left="426"/>
        <w:jc w:val="both"/>
        <w:rPr/>
      </w:pPr>
      <w:r>
        <w:rPr>
          <w:rFonts w:cs="Times New Roman" w:ascii="Times New Roman" w:hAnsi="Times New Roman"/>
          <w:sz w:val="24"/>
          <w:szCs w:val="24"/>
          <w:lang w:val="es-ES_tradnl"/>
        </w:rPr>
        <w:t xml:space="preserve">Se insta al honorable Comité continuar verificando el cumplimiento de las recomendaciones emitidas, a fin de garantizar a las mujeres mayas, xinkas, garífunas, afrodescendientes y mestizas el pleno goce y disfrute de sus derechos individuales y colectivos. Se insta llamar al Estado guatemalteco a cumplir plenamente sin dilaciones con las recomendaciones emitidas abordando los problemas estructurales que hasta la fechan han persistido. </w:t>
      </w:r>
    </w:p>
    <w:p>
      <w:pPr>
        <w:pStyle w:val="ListParagraph"/>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p>
      <w:pPr>
        <w:pStyle w:val="ListParagraph"/>
        <w:spacing w:before="0" w:after="160"/>
        <w:ind w:left="426"/>
        <w:contextualSpacing/>
        <w:jc w:val="both"/>
        <w:rPr>
          <w:rFonts w:ascii="Times New Roman" w:hAnsi="Times New Roman" w:cs="Times New Roman"/>
          <w:sz w:val="24"/>
          <w:szCs w:val="24"/>
          <w:lang w:val="es-ES_tradnl"/>
        </w:rPr>
      </w:pPr>
      <w:r>
        <w:rPr>
          <w:rFonts w:cs="Times New Roman" w:ascii="Times New Roman" w:hAnsi="Times New Roman"/>
          <w:sz w:val="24"/>
          <w:szCs w:val="24"/>
          <w:lang w:val="es-ES_tradnl"/>
        </w:rPr>
      </w:r>
    </w:p>
    <w:sectPr>
      <w:headerReference w:type="default" r:id="rId2"/>
      <w:footerReference w:type="default" r:id="rId3"/>
      <w:footnotePr>
        <w:numFmt w:val="decimal"/>
      </w:footnotePr>
      <w:type w:val="nextPage"/>
      <w:pgSz w:w="12240" w:h="15840"/>
      <w:pgMar w:left="1701" w:right="1701" w:gutter="0" w:header="708" w:top="1417" w:footer="708"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77858342"/>
    </w:sdtPr>
    <w:sdtContent>
      <w:p>
        <w:pPr>
          <w:pStyle w:val="Footer"/>
          <w:jc w:val="right"/>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rPr/>
      </w:pPr>
      <w:r>
        <w:rPr>
          <w:rStyle w:val="Caracteresdenotaalpie"/>
        </w:rPr>
        <w:footnoteRef/>
      </w:r>
      <w:r>
        <w:rPr/>
        <w:t xml:space="preserve"> </w:t>
      </w:r>
      <w:r>
        <w:rPr>
          <w:lang w:val="es-MX"/>
        </w:rPr>
        <w:t xml:space="preserve">Prensa Libre. (05 de noviembre de 2025). </w:t>
      </w:r>
      <w:r>
        <w:rPr/>
        <w:t>Sala Segunda de Apelaciones anula caso Creompaz y ordena la libertad para los militares señalados. https://www.prensalibre.com/guatemala/justicia/sala-segunda-de-apelaciones-anula-caso-creompaz-y-ordena-la-libertad-para-los-militares-senalados/</w:t>
      </w:r>
    </w:p>
    <w:p>
      <w:pPr>
        <w:pStyle w:val="FootnoteText"/>
        <w:rPr>
          <w:lang w:val="es-MX"/>
        </w:rPr>
      </w:pPr>
      <w:r>
        <w:rPr/>
      </w:r>
    </w:p>
  </w:footnote>
  <w:footnote w:id="3">
    <w:p>
      <w:pPr>
        <w:pStyle w:val="FootnoteText"/>
        <w:rPr/>
      </w:pPr>
      <w:r>
        <w:rPr>
          <w:rStyle w:val="Caracteresdenotaalpie"/>
        </w:rPr>
        <w:footnoteRef/>
      </w:r>
      <w:r>
        <w:rPr/>
        <w:t xml:space="preserve"> </w:t>
      </w:r>
      <w:r>
        <w:rPr/>
        <w:t>Prensa Comunitaria. (28 de noviembre de 2024). Sala Primera de Mayor Riesgo anula el juicio por genocidio contra Benedicto Lucas García. https://prensacomunitaria.org/2024/11/sala-primera-de-mayor-riesgo-anula-el-juicio-por-genocidio-contra-benedicto-lucas-garcia/</w:t>
      </w:r>
    </w:p>
    <w:p>
      <w:pPr>
        <w:pStyle w:val="FootnoteText"/>
        <w:rPr>
          <w:lang w:val="es-MX"/>
        </w:rPr>
      </w:pPr>
      <w:r>
        <w:rPr/>
      </w:r>
    </w:p>
  </w:footnote>
  <w:footnote w:id="4">
    <w:p>
      <w:pPr>
        <w:pStyle w:val="FootnoteText"/>
        <w:rPr>
          <w:lang w:val="es-MX"/>
        </w:rPr>
      </w:pPr>
      <w:r>
        <w:rPr>
          <w:rStyle w:val="Caracteresdenotaalpie"/>
        </w:rPr>
        <w:footnoteRef/>
      </w:r>
      <w:r>
        <w:rPr/>
        <w:t xml:space="preserve"> </w:t>
      </w:r>
      <w:r>
        <w:rPr/>
        <w:t>Comité para la Eliminación de la Discriminación contra la Mujer. (22 de octubre 2025). Información suministrada por Guatemala en relación con el seguimiento de las observaciones finales sobre su décimo informe periódico.</w:t>
      </w:r>
    </w:p>
  </w:footnote>
  <w:footnote w:id="5">
    <w:p>
      <w:pPr>
        <w:pStyle w:val="Heading1"/>
        <w:shd w:val="clear" w:color="auto" w:fill="FFFFFF" w:themeFill="background1"/>
        <w:spacing w:before="0" w:after="0"/>
        <w:rPr>
          <w:rFonts w:ascii="Calibri" w:hAnsi="Calibri" w:eastAsia="Times New Roman" w:cs="Calibri" w:asciiTheme="minorHAnsi" w:cstheme="minorHAnsi" w:hAnsiTheme="minorHAnsi"/>
          <w:b/>
          <w:bCs/>
          <w:color w:val="auto"/>
          <w:kern w:val="2"/>
          <w:sz w:val="20"/>
          <w:szCs w:val="20"/>
          <w:lang w:eastAsia="es-GT"/>
          <w14:ligatures w14:val="none"/>
        </w:rPr>
      </w:pPr>
      <w:r>
        <w:rPr>
          <w:rStyle w:val="Caracteresdenotaalpie"/>
        </w:rPr>
        <w:footnoteRef/>
      </w:r>
      <w:r>
        <w:rPr>
          <w:rFonts w:cs="Calibri" w:ascii="Calibri" w:hAnsi="Calibri" w:asciiTheme="minorHAnsi" w:cstheme="minorHAnsi" w:hAnsiTheme="minorHAnsi"/>
          <w:color w:val="auto"/>
          <w:sz w:val="20"/>
          <w:szCs w:val="20"/>
        </w:rPr>
        <w:t xml:space="preserve"> </w:t>
      </w:r>
      <w:r>
        <w:rPr>
          <w:rFonts w:cs="Calibri" w:ascii="Calibri" w:hAnsi="Calibri" w:asciiTheme="minorHAnsi" w:cstheme="minorHAnsi" w:hAnsiTheme="minorHAnsi"/>
          <w:color w:val="auto"/>
          <w:sz w:val="20"/>
          <w:szCs w:val="20"/>
          <w:lang w:val="es-MX"/>
        </w:rPr>
        <w:t xml:space="preserve">Diario de Centroamérica. (15 de diciembre de 2025) </w:t>
      </w:r>
      <w:r>
        <w:rPr>
          <w:rFonts w:eastAsia="Times New Roman" w:cs="Calibri" w:ascii="Calibri" w:hAnsi="Calibri" w:asciiTheme="minorHAnsi" w:cstheme="minorHAnsi" w:hAnsiTheme="minorHAnsi"/>
          <w:color w:val="auto"/>
          <w:kern w:val="2"/>
          <w:sz w:val="20"/>
          <w:szCs w:val="20"/>
          <w:lang w:eastAsia="es-GT"/>
          <w14:ligatures w14:val="none"/>
        </w:rPr>
        <w:t>Lanzarán política para dignificar a víctimas de la guerra</w:t>
      </w:r>
      <w:r>
        <w:rPr>
          <w:rFonts w:cs="Calibri" w:ascii="Calibri" w:hAnsi="Calibri" w:asciiTheme="minorHAnsi" w:cstheme="minorHAnsi" w:hAnsiTheme="minorHAnsi"/>
          <w:color w:val="auto"/>
          <w:sz w:val="20"/>
          <w:szCs w:val="20"/>
          <w:lang w:val="es-MX"/>
        </w:rPr>
        <w:t>. https://dca.gob.gt/noticias-guatemala-diario-centro-america/lanzaran-politica-para-dignificar-a-victimas-de-la-guerra/</w:t>
      </w:r>
    </w:p>
  </w:footnote>
  <w:footnote w:id="6">
    <w:p>
      <w:pPr>
        <w:pStyle w:val="FootnoteText"/>
        <w:rPr>
          <w:lang w:val="es-MX"/>
        </w:rPr>
      </w:pPr>
      <w:r>
        <w:rPr>
          <w:rStyle w:val="Caracteresdenotaalpie"/>
        </w:rPr>
        <w:footnoteRef/>
      </w:r>
      <w:r>
        <w:rPr/>
        <w:t xml:space="preserve"> </w:t>
      </w:r>
      <w:r>
        <w:rPr/>
        <w:t>Fundación para el Debido Proceso. (12 de diciembre de 2024) Panel de Personas Expertas Independientes para observar la elección de Altas Cortes en Guatemala (PEI-GT). https://dplf.org/pei-guatemala-panel-de-personas-expertas-independientes-para-observar-la-eleccion-de-altas-cortes/</w:t>
      </w:r>
    </w:p>
  </w:footnote>
  <w:footnote w:id="7">
    <w:p>
      <w:pPr>
        <w:pStyle w:val="FootnoteText"/>
        <w:rPr>
          <w:b/>
          <w:bCs/>
        </w:rPr>
      </w:pPr>
      <w:r>
        <w:rPr>
          <w:rStyle w:val="Caracteresdenotaalpie"/>
        </w:rPr>
        <w:footnoteRef/>
      </w:r>
      <w:r>
        <w:rPr/>
        <w:t xml:space="preserve"> </w:t>
      </w:r>
      <w:r>
        <w:rPr/>
        <w:t>Comisión Interamericana de Derechos Humanos-CIDH. 30 de diciembre de 2025. Comunicado de Prensa. CIDH presenta caso a la Corte IDH por violaciones a los derechos políticos y garantías judiciales en Guatemala</w:t>
      </w:r>
      <w:r>
        <w:rPr>
          <w:b/>
          <w:bCs/>
        </w:rPr>
        <w:t xml:space="preserve"> </w:t>
      </w:r>
      <w:r>
        <w:rPr/>
        <w:t>https://www.oas.org/es/CIDH/jsForm/?File=/es/cidh/prensa/comunicados/2025/287.asp&amp;utm_content=country-gtm&amp;utm_term=class-corteidh</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687705" cy="821055"/>
          <wp:effectExtent l="0" t="0" r="0" b="0"/>
          <wp:docPr id="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El contenido generado por IA puede ser incorrecto."/>
                  <pic:cNvPicPr>
                    <a:picLocks noChangeAspect="1" noChangeArrowheads="1"/>
                  </pic:cNvPicPr>
                </pic:nvPicPr>
                <pic:blipFill>
                  <a:blip r:embed="rId1"/>
                  <a:stretch>
                    <a:fillRect/>
                  </a:stretch>
                </pic:blipFill>
                <pic:spPr bwMode="auto">
                  <a:xfrm>
                    <a:off x="0" y="0"/>
                    <a:ext cx="687705" cy="82105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G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es-G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es-GT" w:eastAsia="en-US" w:bidi="ar-SA"/>
      <w14:ligatures w14:val="standardContextual"/>
    </w:rPr>
  </w:style>
  <w:style w:type="paragraph" w:styleId="Heading1">
    <w:name w:val="Heading 1"/>
    <w:basedOn w:val="Normal"/>
    <w:next w:val="Normal"/>
    <w:link w:val="Ttulo1Car"/>
    <w:uiPriority w:val="9"/>
    <w:qFormat/>
    <w:rsid w:val="00287983"/>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Ttulo2Car"/>
    <w:uiPriority w:val="9"/>
    <w:semiHidden/>
    <w:unhideWhenUsed/>
    <w:qFormat/>
    <w:rsid w:val="00287983"/>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Ttulo3Car"/>
    <w:uiPriority w:val="9"/>
    <w:semiHidden/>
    <w:unhideWhenUsed/>
    <w:qFormat/>
    <w:rsid w:val="00287983"/>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Ttulo4Car"/>
    <w:uiPriority w:val="9"/>
    <w:semiHidden/>
    <w:unhideWhenUsed/>
    <w:qFormat/>
    <w:rsid w:val="00287983"/>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Ttulo5Car"/>
    <w:uiPriority w:val="9"/>
    <w:semiHidden/>
    <w:unhideWhenUsed/>
    <w:qFormat/>
    <w:rsid w:val="00287983"/>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Ttulo6Car"/>
    <w:uiPriority w:val="9"/>
    <w:semiHidden/>
    <w:unhideWhenUsed/>
    <w:qFormat/>
    <w:rsid w:val="00287983"/>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287983"/>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287983"/>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287983"/>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uiPriority w:val="9"/>
    <w:qFormat/>
    <w:rsid w:val="00287983"/>
    <w:rPr>
      <w:rFonts w:ascii="Calibri Light" w:hAnsi="Calibri Light" w:eastAsia="" w:cs="" w:asciiTheme="majorHAnsi" w:cstheme="majorBidi" w:eastAsiaTheme="majorEastAsia" w:hAnsiTheme="majorHAnsi"/>
      <w:color w:themeColor="accent1" w:themeShade="bf" w:val="2F5496"/>
      <w:sz w:val="40"/>
      <w:szCs w:val="40"/>
    </w:rPr>
  </w:style>
  <w:style w:type="character" w:styleId="Ttulo2Car" w:customStyle="1">
    <w:name w:val="Título 2 Car"/>
    <w:basedOn w:val="DefaultParagraphFont"/>
    <w:uiPriority w:val="9"/>
    <w:semiHidden/>
    <w:qFormat/>
    <w:rsid w:val="00287983"/>
    <w:rPr>
      <w:rFonts w:ascii="Calibri Light" w:hAnsi="Calibri Light" w:eastAsia="" w:cs="" w:asciiTheme="majorHAnsi" w:cstheme="majorBidi" w:eastAsiaTheme="majorEastAsia" w:hAnsiTheme="majorHAnsi"/>
      <w:color w:themeColor="accent1" w:themeShade="bf" w:val="2F5496"/>
      <w:sz w:val="32"/>
      <w:szCs w:val="32"/>
    </w:rPr>
  </w:style>
  <w:style w:type="character" w:styleId="Ttulo3Car" w:customStyle="1">
    <w:name w:val="Título 3 Car"/>
    <w:basedOn w:val="DefaultParagraphFont"/>
    <w:uiPriority w:val="9"/>
    <w:semiHidden/>
    <w:qFormat/>
    <w:rsid w:val="00287983"/>
    <w:rPr>
      <w:rFonts w:eastAsia="" w:cs="" w:cstheme="majorBidi" w:eastAsiaTheme="majorEastAsia"/>
      <w:color w:themeColor="accent1" w:themeShade="bf" w:val="2F5496"/>
      <w:sz w:val="28"/>
      <w:szCs w:val="28"/>
    </w:rPr>
  </w:style>
  <w:style w:type="character" w:styleId="Ttulo4Car" w:customStyle="1">
    <w:name w:val="Título 4 Car"/>
    <w:basedOn w:val="DefaultParagraphFont"/>
    <w:uiPriority w:val="9"/>
    <w:semiHidden/>
    <w:qFormat/>
    <w:rsid w:val="00287983"/>
    <w:rPr>
      <w:rFonts w:eastAsia="" w:cs="" w:cstheme="majorBidi" w:eastAsiaTheme="majorEastAsia"/>
      <w:i/>
      <w:iCs/>
      <w:color w:themeColor="accent1" w:themeShade="bf" w:val="2F5496"/>
    </w:rPr>
  </w:style>
  <w:style w:type="character" w:styleId="Ttulo5Car" w:customStyle="1">
    <w:name w:val="Título 5 Car"/>
    <w:basedOn w:val="DefaultParagraphFont"/>
    <w:uiPriority w:val="9"/>
    <w:semiHidden/>
    <w:qFormat/>
    <w:rsid w:val="00287983"/>
    <w:rPr>
      <w:rFonts w:eastAsia="" w:cs="" w:cstheme="majorBidi" w:eastAsiaTheme="majorEastAsia"/>
      <w:color w:themeColor="accent1" w:themeShade="bf" w:val="2F5496"/>
    </w:rPr>
  </w:style>
  <w:style w:type="character" w:styleId="Ttulo6Car" w:customStyle="1">
    <w:name w:val="Título 6 Car"/>
    <w:basedOn w:val="DefaultParagraphFont"/>
    <w:uiPriority w:val="9"/>
    <w:semiHidden/>
    <w:qFormat/>
    <w:rsid w:val="00287983"/>
    <w:rPr>
      <w:rFonts w:eastAsia="" w:cs="" w:cstheme="majorBidi" w:eastAsiaTheme="majorEastAsia"/>
      <w:i/>
      <w:iCs/>
      <w:color w:themeColor="text1" w:themeTint="a6" w:val="595959"/>
    </w:rPr>
  </w:style>
  <w:style w:type="character" w:styleId="Ttulo7Car" w:customStyle="1">
    <w:name w:val="Título 7 Car"/>
    <w:basedOn w:val="DefaultParagraphFont"/>
    <w:uiPriority w:val="9"/>
    <w:semiHidden/>
    <w:qFormat/>
    <w:rsid w:val="00287983"/>
    <w:rPr>
      <w:rFonts w:eastAsia="" w:cs="" w:cstheme="majorBidi" w:eastAsiaTheme="majorEastAsia"/>
      <w:color w:themeColor="text1" w:themeTint="a6" w:val="595959"/>
    </w:rPr>
  </w:style>
  <w:style w:type="character" w:styleId="Ttulo8Car" w:customStyle="1">
    <w:name w:val="Título 8 Car"/>
    <w:basedOn w:val="DefaultParagraphFont"/>
    <w:uiPriority w:val="9"/>
    <w:semiHidden/>
    <w:qFormat/>
    <w:rsid w:val="00287983"/>
    <w:rPr>
      <w:rFonts w:eastAsia="" w:cs="" w:cstheme="majorBidi" w:eastAsiaTheme="majorEastAsia"/>
      <w:i/>
      <w:iCs/>
      <w:color w:themeColor="text1" w:themeTint="d8" w:val="272727"/>
    </w:rPr>
  </w:style>
  <w:style w:type="character" w:styleId="Ttulo9Car" w:customStyle="1">
    <w:name w:val="Título 9 Car"/>
    <w:basedOn w:val="DefaultParagraphFont"/>
    <w:uiPriority w:val="9"/>
    <w:semiHidden/>
    <w:qFormat/>
    <w:rsid w:val="00287983"/>
    <w:rPr>
      <w:rFonts w:eastAsia="" w:cs="" w:cstheme="majorBidi" w:eastAsiaTheme="majorEastAsia"/>
      <w:color w:themeColor="text1" w:themeTint="d8" w:val="272727"/>
    </w:rPr>
  </w:style>
  <w:style w:type="character" w:styleId="TtuloCar" w:customStyle="1">
    <w:name w:val="Título Car"/>
    <w:basedOn w:val="DefaultParagraphFont"/>
    <w:uiPriority w:val="10"/>
    <w:qFormat/>
    <w:rsid w:val="00287983"/>
    <w:rPr>
      <w:rFonts w:ascii="Calibri Light" w:hAnsi="Calibri Light"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287983"/>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287983"/>
    <w:rPr>
      <w:i/>
      <w:iCs/>
      <w:color w:themeColor="text1" w:themeTint="bf" w:val="404040"/>
    </w:rPr>
  </w:style>
  <w:style w:type="character" w:styleId="IntenseEmphasis">
    <w:name w:val="Intense Emphasis"/>
    <w:basedOn w:val="DefaultParagraphFont"/>
    <w:uiPriority w:val="21"/>
    <w:qFormat/>
    <w:rsid w:val="00287983"/>
    <w:rPr>
      <w:i/>
      <w:iCs/>
      <w:color w:themeColor="accent1" w:themeShade="bf" w:val="2F5496"/>
    </w:rPr>
  </w:style>
  <w:style w:type="character" w:styleId="CitadestacadaCar" w:customStyle="1">
    <w:name w:val="Cita destacada Car"/>
    <w:basedOn w:val="DefaultParagraphFont"/>
    <w:link w:val="IntenseQuote"/>
    <w:uiPriority w:val="30"/>
    <w:qFormat/>
    <w:rsid w:val="00287983"/>
    <w:rPr>
      <w:i/>
      <w:iCs/>
      <w:color w:themeColor="accent1" w:themeShade="bf" w:val="2F5496"/>
    </w:rPr>
  </w:style>
  <w:style w:type="character" w:styleId="IntenseReference">
    <w:name w:val="Intense Reference"/>
    <w:basedOn w:val="DefaultParagraphFont"/>
    <w:uiPriority w:val="32"/>
    <w:qFormat/>
    <w:rsid w:val="00287983"/>
    <w:rPr>
      <w:b/>
      <w:bCs/>
      <w:smallCaps/>
      <w:color w:themeColor="accent1" w:themeShade="bf" w:val="2F5496"/>
      <w:spacing w:val="5"/>
    </w:rPr>
  </w:style>
  <w:style w:type="character" w:styleId="SingleTxtChar" w:customStyle="1">
    <w:name w:val="__Single Txt Char"/>
    <w:link w:val="SingleTxt"/>
    <w:qFormat/>
    <w:locked/>
    <w:rsid w:val="00287983"/>
    <w:rPr>
      <w:rFonts w:ascii="Times New Roman" w:hAnsi="Times New Roman" w:cs="Times New Roman"/>
      <w:spacing w:val="4"/>
      <w:w w:val="103"/>
      <w:kern w:val="2"/>
      <w:sz w:val="20"/>
      <w:lang w:val="es-ES"/>
    </w:rPr>
  </w:style>
  <w:style w:type="character" w:styleId="Hyperlink">
    <w:name w:val="Hyperlink"/>
    <w:basedOn w:val="DefaultParagraphFont"/>
    <w:uiPriority w:val="99"/>
    <w:unhideWhenUsed/>
    <w:rsid w:val="005c309b"/>
    <w:rPr>
      <w:color w:val="0000FF"/>
      <w:u w:val="single"/>
    </w:rPr>
  </w:style>
  <w:style w:type="character" w:styleId="TextonotapieCar" w:customStyle="1">
    <w:name w:val="Texto nota pie Car"/>
    <w:basedOn w:val="DefaultParagraphFont"/>
    <w:uiPriority w:val="99"/>
    <w:semiHidden/>
    <w:qFormat/>
    <w:rsid w:val="00b350c5"/>
    <w:rPr>
      <w:sz w:val="20"/>
      <w:szCs w:val="20"/>
    </w:rPr>
  </w:style>
  <w:style w:type="character" w:styleId="Caracteresdenotaalpie" w:customStyle="1">
    <w:name w:val="Caracteres de nota al pie"/>
    <w:qFormat/>
    <w:rsid w:val="00e15847"/>
    <w:rPr>
      <w:vertAlign w:val="superscript"/>
    </w:rPr>
  </w:style>
  <w:style w:type="character" w:styleId="FootnoteReference">
    <w:name w:val="Footnote Reference"/>
    <w:rPr>
      <w:vertAlign w:val="superscript"/>
    </w:rPr>
  </w:style>
  <w:style w:type="character" w:styleId="Emphasis">
    <w:name w:val="Emphasis"/>
    <w:qFormat/>
    <w:rsid w:val="00e15847"/>
    <w:rPr>
      <w:i/>
      <w:iCs/>
    </w:rPr>
  </w:style>
  <w:style w:type="character" w:styleId="EncabezadoCar" w:customStyle="1">
    <w:name w:val="Encabezado Car"/>
    <w:basedOn w:val="DefaultParagraphFont"/>
    <w:uiPriority w:val="99"/>
    <w:qFormat/>
    <w:rsid w:val="00d55e31"/>
    <w:rPr/>
  </w:style>
  <w:style w:type="character" w:styleId="PiedepginaCar" w:customStyle="1">
    <w:name w:val="Pie de página Car"/>
    <w:basedOn w:val="DefaultParagraphFont"/>
    <w:uiPriority w:val="99"/>
    <w:qFormat/>
    <w:rsid w:val="00d55e31"/>
    <w:rPr/>
  </w:style>
  <w:style w:type="character" w:styleId="UnresolvedMention">
    <w:name w:val="Unresolved Mention"/>
    <w:basedOn w:val="DefaultParagraphFont"/>
    <w:uiPriority w:val="99"/>
    <w:semiHidden/>
    <w:unhideWhenUsed/>
    <w:qFormat/>
    <w:rsid w:val="00cc02c9"/>
    <w:rPr>
      <w:color w:val="605E5C"/>
      <w:shd w:fill="E1DFDD" w:val="clear"/>
    </w:rPr>
  </w:style>
  <w:style w:type="character" w:styleId="EndnoteReference">
    <w:name w:val="Endnote Reference"/>
    <w:rPr>
      <w:vertAlign w:val="superscript"/>
    </w:rPr>
  </w:style>
  <w:style w:type="character" w:styleId="Caracteresdenotafinal">
    <w:name w:val="Caracteres de nota final"/>
    <w:qFormat/>
    <w:rPr/>
  </w:style>
  <w:style w:type="paragraph" w:styleId="Ttulo">
    <w:name w:val="Título"/>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itle">
    <w:name w:val="Title"/>
    <w:basedOn w:val="Normal"/>
    <w:next w:val="Normal"/>
    <w:link w:val="TtuloCar"/>
    <w:uiPriority w:val="10"/>
    <w:qFormat/>
    <w:rsid w:val="00287983"/>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287983"/>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287983"/>
    <w:pPr>
      <w:spacing w:before="160" w:after="160"/>
      <w:jc w:val="center"/>
    </w:pPr>
    <w:rPr>
      <w:i/>
      <w:iCs/>
      <w:color w:themeColor="text1" w:themeTint="bf" w:val="404040"/>
    </w:rPr>
  </w:style>
  <w:style w:type="paragraph" w:styleId="ListParagraph">
    <w:name w:val="List Paragraph"/>
    <w:basedOn w:val="Normal"/>
    <w:uiPriority w:val="34"/>
    <w:qFormat/>
    <w:rsid w:val="00287983"/>
    <w:pPr>
      <w:spacing w:before="0" w:after="160"/>
      <w:ind w:left="720"/>
      <w:contextualSpacing/>
    </w:pPr>
    <w:rPr/>
  </w:style>
  <w:style w:type="paragraph" w:styleId="IntenseQuote">
    <w:name w:val="Intense Quote"/>
    <w:basedOn w:val="Normal"/>
    <w:next w:val="Normal"/>
    <w:link w:val="CitadestacadaCar"/>
    <w:uiPriority w:val="30"/>
    <w:qFormat/>
    <w:rsid w:val="00287983"/>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paragraph" w:styleId="H23" w:customStyle="1">
    <w:name w:val="_ H_2/3"/>
    <w:basedOn w:val="Normal"/>
    <w:next w:val="SingleTxt"/>
    <w:qFormat/>
    <w:rsid w:val="00287983"/>
    <w:pPr>
      <w:keepNext w:val="true"/>
      <w:keepLines/>
      <w:suppressAutoHyphens w:val="true"/>
      <w:spacing w:lineRule="exact" w:line="240" w:before="0" w:after="0"/>
      <w:outlineLvl w:val="1"/>
    </w:pPr>
    <w:rPr>
      <w:rFonts w:ascii="Times New Roman" w:hAnsi="Times New Roman" w:cs="Times New Roman"/>
      <w:b/>
      <w:spacing w:val="2"/>
      <w:w w:val="103"/>
      <w:kern w:val="2"/>
      <w:sz w:val="20"/>
      <w:lang w:val="es-ES"/>
    </w:rPr>
  </w:style>
  <w:style w:type="paragraph" w:styleId="SingleTxt" w:customStyle="1">
    <w:name w:val="__Single Txt"/>
    <w:basedOn w:val="Normal"/>
    <w:link w:val="SingleTxtChar"/>
    <w:qFormat/>
    <w:rsid w:val="00287983"/>
    <w:pPr>
      <w:tabs>
        <w:tab w:val="clear" w:pos="708"/>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uppressAutoHyphens w:val="true"/>
      <w:spacing w:lineRule="exact" w:line="240" w:before="0" w:after="120"/>
      <w:ind w:left="1267" w:right="1267"/>
      <w:jc w:val="both"/>
    </w:pPr>
    <w:rPr>
      <w:rFonts w:ascii="Times New Roman" w:hAnsi="Times New Roman" w:cs="Times New Roman"/>
      <w:spacing w:val="4"/>
      <w:w w:val="103"/>
      <w:kern w:val="2"/>
      <w:sz w:val="20"/>
      <w:lang w:val="es-ES"/>
    </w:rPr>
  </w:style>
  <w:style w:type="paragraph" w:styleId="FootnoteText">
    <w:name w:val="Footnote Text"/>
    <w:basedOn w:val="Normal"/>
    <w:link w:val="TextonotapieCar"/>
    <w:uiPriority w:val="99"/>
    <w:semiHidden/>
    <w:unhideWhenUsed/>
    <w:rsid w:val="00b350c5"/>
    <w:pPr>
      <w:spacing w:lineRule="auto" w:line="240" w:before="0" w:after="0"/>
    </w:pPr>
    <w:rPr>
      <w:sz w:val="20"/>
      <w:szCs w:val="20"/>
    </w:rPr>
  </w:style>
  <w:style w:type="paragraph" w:styleId="Cabeceraypie">
    <w:name w:val="Cabecera y pie"/>
    <w:basedOn w:val="Normal"/>
    <w:qFormat/>
    <w:pPr/>
    <w:rPr/>
  </w:style>
  <w:style w:type="paragraph" w:styleId="Header">
    <w:name w:val="Header"/>
    <w:basedOn w:val="Normal"/>
    <w:link w:val="EncabezadoCar"/>
    <w:uiPriority w:val="99"/>
    <w:unhideWhenUsed/>
    <w:rsid w:val="00d55e31"/>
    <w:pPr>
      <w:tabs>
        <w:tab w:val="clear" w:pos="708"/>
        <w:tab w:val="center" w:pos="4419" w:leader="none"/>
        <w:tab w:val="right" w:pos="8838" w:leader="none"/>
      </w:tabs>
      <w:spacing w:lineRule="auto" w:line="240" w:before="0" w:after="0"/>
    </w:pPr>
    <w:rPr/>
  </w:style>
  <w:style w:type="paragraph" w:styleId="Footer">
    <w:name w:val="Footer"/>
    <w:basedOn w:val="Normal"/>
    <w:link w:val="PiedepginaCar"/>
    <w:uiPriority w:val="99"/>
    <w:unhideWhenUsed/>
    <w:rsid w:val="00d55e31"/>
    <w:pPr>
      <w:tabs>
        <w:tab w:val="clear" w:pos="708"/>
        <w:tab w:val="center" w:pos="4419" w:leader="none"/>
        <w:tab w:val="right" w:pos="8838"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60A54-6022-46D6-A79A-3B41C5E58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LibreOffice/7.6.7.2$Linux_X86_64 LibreOffice_project/60$Build-2</Application>
  <AppVersion>15.0000</AppVersion>
  <Pages>7</Pages>
  <Words>2674</Words>
  <Characters>14577</Characters>
  <CharactersWithSpaces>17213</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2026-01-04T22:40:00Z</dcterms:created>
  <dc:creator>227260 - JOSE MANUEL CONCUA ACABAL</dc:creator>
  <dc:description/>
  <dc:language>es-GT</dc:language>
  <cp:lastModifiedBy/>
  <dcterms:modified xsi:type="dcterms:W3CDTF">2026-01-05T10:13:24Z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