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155E2" w14:textId="4EA68AD6" w:rsidR="00BE37BF" w:rsidRPr="00C26157" w:rsidRDefault="007F7529" w:rsidP="007F7529">
      <w:pPr>
        <w:spacing w:after="120"/>
        <w:rPr>
          <w:rFonts w:asciiTheme="majorHAnsi" w:hAnsiTheme="majorHAnsi" w:cstheme="majorHAnsi"/>
          <w:b/>
          <w:sz w:val="28"/>
          <w:szCs w:val="28"/>
          <w:u w:val="single"/>
        </w:rPr>
      </w:pPr>
      <w:bookmarkStart w:id="0" w:name="_GoBack"/>
      <w:bookmarkEnd w:id="0"/>
      <w:r w:rsidRPr="00C26157">
        <w:rPr>
          <w:rFonts w:asciiTheme="majorHAnsi" w:hAnsiTheme="majorHAnsi" w:cstheme="majorHAnsi"/>
          <w:b/>
          <w:noProof/>
          <w:sz w:val="28"/>
          <w:szCs w:val="28"/>
        </w:rPr>
        <w:drawing>
          <wp:anchor distT="0" distB="0" distL="114300" distR="114300" simplePos="0" relativeHeight="251657216"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2">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C26157">
        <w:rPr>
          <w:rFonts w:asciiTheme="majorHAnsi" w:hAnsiTheme="majorHAnsi" w:cstheme="majorHAnsi"/>
          <w:b/>
          <w:sz w:val="34"/>
          <w:szCs w:val="34"/>
        </w:rPr>
        <w:t>B</w:t>
      </w:r>
      <w:r w:rsidR="00BE37BF" w:rsidRPr="00C26157">
        <w:rPr>
          <w:rFonts w:asciiTheme="majorHAnsi" w:hAnsiTheme="majorHAnsi" w:cstheme="majorHAnsi"/>
          <w:b/>
          <w:sz w:val="34"/>
          <w:szCs w:val="34"/>
        </w:rPr>
        <w:t>riefing on</w:t>
      </w:r>
      <w:r w:rsidR="00E4774B" w:rsidRPr="00C26157">
        <w:rPr>
          <w:rFonts w:asciiTheme="majorHAnsi" w:hAnsiTheme="majorHAnsi" w:cstheme="majorHAnsi"/>
          <w:b/>
          <w:sz w:val="34"/>
          <w:szCs w:val="34"/>
        </w:rPr>
        <w:t xml:space="preserve"> </w:t>
      </w:r>
      <w:r w:rsidR="00707EC9" w:rsidRPr="00C26157">
        <w:rPr>
          <w:rFonts w:asciiTheme="majorHAnsi" w:hAnsiTheme="majorHAnsi" w:cstheme="majorHAnsi"/>
          <w:b/>
          <w:sz w:val="34"/>
          <w:szCs w:val="34"/>
          <w:u w:val="single"/>
        </w:rPr>
        <w:t>South Africa</w:t>
      </w:r>
      <w:r w:rsidR="00707EC9" w:rsidRPr="00C26157">
        <w:rPr>
          <w:rFonts w:asciiTheme="majorHAnsi" w:hAnsiTheme="majorHAnsi" w:cstheme="majorHAnsi"/>
          <w:b/>
          <w:sz w:val="34"/>
          <w:szCs w:val="34"/>
        </w:rPr>
        <w:t xml:space="preserve"> </w:t>
      </w:r>
      <w:r w:rsidR="00BE37BF" w:rsidRPr="00C26157">
        <w:rPr>
          <w:rFonts w:asciiTheme="majorHAnsi" w:hAnsiTheme="majorHAnsi" w:cstheme="majorHAnsi"/>
          <w:b/>
          <w:sz w:val="34"/>
          <w:szCs w:val="34"/>
        </w:rPr>
        <w:t>for the Committee on the Rights of Persons with Disabilities,</w:t>
      </w:r>
      <w:r w:rsidR="00C84FBA" w:rsidRPr="00C26157">
        <w:rPr>
          <w:rFonts w:asciiTheme="majorHAnsi" w:hAnsiTheme="majorHAnsi" w:cstheme="majorHAnsi"/>
          <w:b/>
          <w:sz w:val="34"/>
          <w:szCs w:val="34"/>
        </w:rPr>
        <w:t xml:space="preserve"> </w:t>
      </w:r>
      <w:r w:rsidR="009B471D" w:rsidRPr="00C26157">
        <w:rPr>
          <w:rFonts w:asciiTheme="majorHAnsi" w:hAnsiTheme="majorHAnsi" w:cstheme="majorHAnsi"/>
          <w:b/>
          <w:sz w:val="34"/>
          <w:szCs w:val="34"/>
        </w:rPr>
        <w:t>9</w:t>
      </w:r>
      <w:r w:rsidR="00C84FBA" w:rsidRPr="00C26157">
        <w:rPr>
          <w:rFonts w:asciiTheme="majorHAnsi" w:hAnsiTheme="majorHAnsi" w:cstheme="majorHAnsi"/>
          <w:b/>
          <w:sz w:val="34"/>
          <w:szCs w:val="34"/>
          <w:vertAlign w:val="superscript"/>
        </w:rPr>
        <w:t>th</w:t>
      </w:r>
      <w:r w:rsidR="009B471D" w:rsidRPr="00C26157">
        <w:rPr>
          <w:rFonts w:asciiTheme="majorHAnsi" w:hAnsiTheme="majorHAnsi" w:cstheme="majorHAnsi"/>
          <w:b/>
          <w:sz w:val="34"/>
          <w:szCs w:val="34"/>
        </w:rPr>
        <w:t xml:space="preserve"> </w:t>
      </w:r>
      <w:r w:rsidR="00C84FBA" w:rsidRPr="00C26157">
        <w:rPr>
          <w:rFonts w:asciiTheme="majorHAnsi" w:hAnsiTheme="majorHAnsi" w:cstheme="majorHAnsi"/>
          <w:b/>
          <w:sz w:val="34"/>
          <w:szCs w:val="34"/>
        </w:rPr>
        <w:t>Pre-Sessional Working Group,</w:t>
      </w:r>
      <w:r w:rsidR="00BE37BF" w:rsidRPr="00C26157">
        <w:rPr>
          <w:rFonts w:asciiTheme="majorHAnsi" w:hAnsiTheme="majorHAnsi" w:cstheme="majorHAnsi"/>
          <w:b/>
          <w:sz w:val="34"/>
          <w:szCs w:val="34"/>
        </w:rPr>
        <w:t xml:space="preserve"> </w:t>
      </w:r>
      <w:r w:rsidR="009B471D" w:rsidRPr="00C26157">
        <w:rPr>
          <w:rFonts w:asciiTheme="majorHAnsi" w:hAnsiTheme="majorHAnsi" w:cstheme="majorHAnsi"/>
          <w:b/>
          <w:sz w:val="34"/>
          <w:szCs w:val="34"/>
        </w:rPr>
        <w:t>March</w:t>
      </w:r>
      <w:r w:rsidR="00A53A7A" w:rsidRPr="00C26157">
        <w:rPr>
          <w:rFonts w:asciiTheme="majorHAnsi" w:hAnsiTheme="majorHAnsi" w:cstheme="majorHAnsi"/>
          <w:b/>
          <w:sz w:val="34"/>
          <w:szCs w:val="34"/>
        </w:rPr>
        <w:t xml:space="preserve"> 201</w:t>
      </w:r>
      <w:r w:rsidR="009B471D" w:rsidRPr="00C26157">
        <w:rPr>
          <w:rFonts w:asciiTheme="majorHAnsi" w:hAnsiTheme="majorHAnsi" w:cstheme="majorHAnsi"/>
          <w:b/>
          <w:sz w:val="34"/>
          <w:szCs w:val="34"/>
        </w:rPr>
        <w:t>8</w:t>
      </w:r>
    </w:p>
    <w:p w14:paraId="4508A740" w14:textId="55CD8C43" w:rsidR="00767639" w:rsidRPr="00C26157" w:rsidRDefault="00767639" w:rsidP="007F7529">
      <w:pPr>
        <w:spacing w:after="120"/>
        <w:rPr>
          <w:rFonts w:asciiTheme="majorHAnsi" w:hAnsiTheme="majorHAnsi" w:cstheme="majorHAnsi"/>
        </w:rPr>
      </w:pPr>
      <w:r w:rsidRPr="00C26157">
        <w:rPr>
          <w:rFonts w:asciiTheme="majorHAnsi" w:hAnsiTheme="majorHAnsi" w:cstheme="majorHAnsi"/>
        </w:rPr>
        <w:t xml:space="preserve">From </w:t>
      </w:r>
      <w:r w:rsidR="00A53A7A" w:rsidRPr="00C26157">
        <w:rPr>
          <w:rFonts w:asciiTheme="majorHAnsi" w:hAnsiTheme="majorHAnsi" w:cstheme="majorHAnsi"/>
        </w:rPr>
        <w:t>the</w:t>
      </w:r>
      <w:r w:rsidR="005B5315" w:rsidRPr="00C26157">
        <w:rPr>
          <w:rFonts w:asciiTheme="majorHAnsi" w:hAnsiTheme="majorHAnsi" w:cstheme="majorHAnsi"/>
        </w:rPr>
        <w:t xml:space="preserve"> </w:t>
      </w:r>
      <w:r w:rsidRPr="00C26157">
        <w:rPr>
          <w:rFonts w:asciiTheme="majorHAnsi" w:hAnsiTheme="majorHAnsi" w:cstheme="majorHAnsi"/>
        </w:rPr>
        <w:t>Global Initiative</w:t>
      </w:r>
      <w:r w:rsidR="00633745" w:rsidRPr="00C26157">
        <w:rPr>
          <w:rFonts w:asciiTheme="majorHAnsi" w:hAnsiTheme="majorHAnsi" w:cstheme="majorHAnsi"/>
        </w:rPr>
        <w:t xml:space="preserve"> to End All Corporal Punishment </w:t>
      </w:r>
      <w:r w:rsidR="00106569" w:rsidRPr="00C26157">
        <w:rPr>
          <w:rFonts w:asciiTheme="majorHAnsi" w:hAnsiTheme="majorHAnsi" w:cstheme="majorHAnsi"/>
        </w:rPr>
        <w:br/>
      </w:r>
      <w:r w:rsidR="00633745" w:rsidRPr="00C26157">
        <w:rPr>
          <w:rFonts w:asciiTheme="majorHAnsi" w:hAnsiTheme="majorHAnsi" w:cstheme="majorHAnsi"/>
        </w:rPr>
        <w:t>of Children,</w:t>
      </w:r>
      <w:r w:rsidR="00E9361C" w:rsidRPr="00C26157">
        <w:rPr>
          <w:rFonts w:asciiTheme="majorHAnsi" w:hAnsiTheme="majorHAnsi" w:cstheme="majorHAnsi"/>
        </w:rPr>
        <w:t xml:space="preserve"> </w:t>
      </w:r>
      <w:r w:rsidR="001F05A0" w:rsidRPr="00C26157">
        <w:rPr>
          <w:rFonts w:asciiTheme="majorHAnsi" w:hAnsiTheme="majorHAnsi" w:cstheme="majorHAnsi"/>
        </w:rPr>
        <w:t>J</w:t>
      </w:r>
      <w:r w:rsidR="009B471D" w:rsidRPr="00C26157">
        <w:rPr>
          <w:rFonts w:asciiTheme="majorHAnsi" w:hAnsiTheme="majorHAnsi" w:cstheme="majorHAnsi"/>
        </w:rPr>
        <w:t>anuary 2018</w:t>
      </w:r>
      <w:r w:rsidR="00A53A7A" w:rsidRPr="00C26157">
        <w:rPr>
          <w:rFonts w:asciiTheme="majorHAnsi" w:hAnsiTheme="majorHAnsi" w:cstheme="majorHAnsi"/>
        </w:rPr>
        <w:t xml:space="preserve"> </w:t>
      </w:r>
      <w:r w:rsidR="00BE37BF" w:rsidRPr="00C26157">
        <w:rPr>
          <w:rFonts w:asciiTheme="majorHAnsi" w:hAnsiTheme="majorHAnsi" w:cstheme="majorHAnsi"/>
        </w:rPr>
        <w:br/>
      </w:r>
    </w:p>
    <w:p w14:paraId="4855D333" w14:textId="77777777" w:rsidR="00142366" w:rsidRPr="00C26157" w:rsidRDefault="00142366" w:rsidP="00716B5D">
      <w:pPr>
        <w:spacing w:after="120"/>
        <w:rPr>
          <w:rFonts w:asciiTheme="majorHAnsi" w:hAnsiTheme="majorHAnsi" w:cstheme="majorHAnsi"/>
        </w:rPr>
      </w:pPr>
    </w:p>
    <w:p w14:paraId="78052E85" w14:textId="33415951" w:rsidR="004D7A67" w:rsidRPr="00C26157" w:rsidRDefault="00142366" w:rsidP="00716B5D">
      <w:pPr>
        <w:spacing w:after="120"/>
        <w:rPr>
          <w:rFonts w:asciiTheme="majorHAnsi" w:hAnsiTheme="majorHAnsi" w:cstheme="majorHAnsi"/>
          <w:b/>
          <w:sz w:val="26"/>
          <w:szCs w:val="26"/>
        </w:rPr>
      </w:pPr>
      <w:r w:rsidRPr="00C26157">
        <w:rPr>
          <w:rFonts w:asciiTheme="majorHAnsi" w:hAnsiTheme="majorHAnsi" w:cstheme="majorHAnsi"/>
          <w:b/>
          <w:sz w:val="26"/>
          <w:szCs w:val="26"/>
        </w:rPr>
        <w:t xml:space="preserve">(a) </w:t>
      </w:r>
      <w:r w:rsidR="00716B5D" w:rsidRPr="00C26157">
        <w:rPr>
          <w:rFonts w:asciiTheme="majorHAnsi" w:hAnsiTheme="majorHAnsi" w:cstheme="majorHAnsi"/>
          <w:b/>
          <w:sz w:val="26"/>
          <w:szCs w:val="26"/>
        </w:rPr>
        <w:t>About the Global Initiative</w:t>
      </w:r>
      <w:r w:rsidR="00106569" w:rsidRPr="00C26157">
        <w:rPr>
          <w:rFonts w:asciiTheme="majorHAnsi" w:hAnsiTheme="majorHAnsi" w:cstheme="majorHAnsi"/>
          <w:b/>
          <w:sz w:val="26"/>
          <w:szCs w:val="26"/>
        </w:rPr>
        <w:t xml:space="preserve"> to End All Corporal Punishment of Children</w:t>
      </w:r>
    </w:p>
    <w:p w14:paraId="3190CD76" w14:textId="78DB8F29" w:rsidR="00716B5D" w:rsidRPr="00C26157" w:rsidRDefault="00833827" w:rsidP="00716B5D">
      <w:pPr>
        <w:spacing w:after="120"/>
        <w:rPr>
          <w:rFonts w:asciiTheme="majorHAnsi" w:hAnsiTheme="majorHAnsi" w:cstheme="majorHAnsi"/>
        </w:rPr>
      </w:pPr>
      <w:r w:rsidRPr="00C26157">
        <w:rPr>
          <w:rFonts w:asciiTheme="majorHAnsi" w:hAnsiTheme="majorHAnsi" w:cstheme="majorHAnsi"/>
        </w:rPr>
        <w:t xml:space="preserve">1. </w:t>
      </w:r>
      <w:r w:rsidR="00716B5D" w:rsidRPr="00C26157">
        <w:rPr>
          <w:rFonts w:asciiTheme="majorHAnsi" w:hAnsiTheme="majorHAnsi" w:cstheme="majorHAnsi"/>
        </w:rPr>
        <w:t>The Global Initiative (</w:t>
      </w:r>
      <w:hyperlink r:id="rId13" w:history="1">
        <w:r w:rsidR="00716B5D" w:rsidRPr="00C26157">
          <w:rPr>
            <w:rStyle w:val="Hyperlink"/>
            <w:rFonts w:asciiTheme="majorHAnsi" w:hAnsiTheme="majorHAnsi" w:cstheme="majorHAnsi"/>
          </w:rPr>
          <w:t>www.endcorporalpunishment.org</w:t>
        </w:r>
        <w:r w:rsidR="00716B5D" w:rsidRPr="00C26157">
          <w:rPr>
            <w:rStyle w:val="Hyperlink"/>
            <w:rFonts w:asciiTheme="majorHAnsi" w:hAnsiTheme="majorHAnsi" w:cstheme="majorHAnsi"/>
            <w:u w:val="none"/>
          </w:rPr>
          <w:t>)</w:t>
        </w:r>
      </w:hyperlink>
      <w:r w:rsidR="00716B5D" w:rsidRPr="00C26157">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C26157">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C26157" w:rsidRDefault="00716B5D" w:rsidP="00716B5D">
      <w:pPr>
        <w:spacing w:after="120"/>
        <w:rPr>
          <w:rFonts w:asciiTheme="majorHAnsi" w:hAnsiTheme="majorHAnsi" w:cstheme="majorHAnsi"/>
        </w:rPr>
      </w:pPr>
    </w:p>
    <w:p w14:paraId="02EFC191" w14:textId="49D05158" w:rsidR="00142366" w:rsidRPr="00C26157" w:rsidRDefault="00142366" w:rsidP="00716B5D">
      <w:pPr>
        <w:spacing w:after="120"/>
        <w:rPr>
          <w:rFonts w:asciiTheme="majorHAnsi" w:hAnsiTheme="majorHAnsi" w:cstheme="majorHAnsi"/>
          <w:b/>
          <w:sz w:val="26"/>
          <w:szCs w:val="26"/>
        </w:rPr>
      </w:pPr>
      <w:r w:rsidRPr="00C26157">
        <w:rPr>
          <w:rFonts w:asciiTheme="majorHAnsi" w:hAnsiTheme="majorHAnsi" w:cstheme="majorHAnsi"/>
          <w:b/>
          <w:sz w:val="26"/>
          <w:szCs w:val="26"/>
        </w:rPr>
        <w:t xml:space="preserve">(b) </w:t>
      </w:r>
      <w:r w:rsidR="00106569" w:rsidRPr="00C26157">
        <w:rPr>
          <w:rFonts w:asciiTheme="majorHAnsi" w:hAnsiTheme="majorHAnsi" w:cstheme="majorHAnsi"/>
          <w:b/>
          <w:sz w:val="26"/>
          <w:szCs w:val="26"/>
        </w:rPr>
        <w:t>S</w:t>
      </w:r>
      <w:r w:rsidRPr="00C26157">
        <w:rPr>
          <w:rFonts w:asciiTheme="majorHAnsi" w:hAnsiTheme="majorHAnsi" w:cstheme="majorHAnsi"/>
          <w:b/>
          <w:sz w:val="26"/>
          <w:szCs w:val="26"/>
        </w:rPr>
        <w:t>ummary</w:t>
      </w:r>
    </w:p>
    <w:p w14:paraId="57CD7F46" w14:textId="30886AD1" w:rsidR="00106569" w:rsidRPr="00C26157" w:rsidRDefault="00833827" w:rsidP="007A21C3">
      <w:pPr>
        <w:spacing w:after="120"/>
        <w:rPr>
          <w:rFonts w:asciiTheme="majorHAnsi" w:hAnsiTheme="majorHAnsi" w:cstheme="majorHAnsi"/>
        </w:rPr>
      </w:pPr>
      <w:r w:rsidRPr="00C26157">
        <w:rPr>
          <w:rFonts w:asciiTheme="majorHAnsi" w:hAnsiTheme="majorHAnsi" w:cstheme="majorHAnsi"/>
        </w:rPr>
        <w:t xml:space="preserve">2. </w:t>
      </w:r>
      <w:r w:rsidR="00106569" w:rsidRPr="00C26157">
        <w:rPr>
          <w:rFonts w:asciiTheme="majorHAnsi" w:hAnsiTheme="majorHAnsi" w:cstheme="majorHAnsi"/>
        </w:rPr>
        <w:t>C</w:t>
      </w:r>
      <w:r w:rsidR="004D7A67" w:rsidRPr="00C26157">
        <w:rPr>
          <w:rFonts w:asciiTheme="majorHAnsi" w:hAnsiTheme="majorHAnsi" w:cstheme="majorHAnsi"/>
        </w:rPr>
        <w:t xml:space="preserve">orporal punishment of children in </w:t>
      </w:r>
      <w:r w:rsidR="00BC35BE" w:rsidRPr="00C26157">
        <w:rPr>
          <w:rFonts w:asciiTheme="majorHAnsi" w:hAnsiTheme="majorHAnsi" w:cstheme="majorHAnsi"/>
        </w:rPr>
        <w:t>South Africa</w:t>
      </w:r>
      <w:r w:rsidR="005D45A4" w:rsidRPr="00C26157">
        <w:rPr>
          <w:rFonts w:asciiTheme="majorHAnsi" w:hAnsiTheme="majorHAnsi" w:cstheme="majorHAnsi"/>
        </w:rPr>
        <w:t xml:space="preserve"> </w:t>
      </w:r>
      <w:r w:rsidR="00106569" w:rsidRPr="00C26157">
        <w:rPr>
          <w:rFonts w:asciiTheme="majorHAnsi" w:hAnsiTheme="majorHAnsi" w:cstheme="majorHAnsi"/>
        </w:rPr>
        <w:t xml:space="preserve">is unlawful </w:t>
      </w:r>
      <w:r w:rsidR="00E42BCC" w:rsidRPr="00C26157">
        <w:rPr>
          <w:rFonts w:asciiTheme="majorHAnsi" w:hAnsiTheme="majorHAnsi" w:cstheme="majorHAnsi"/>
        </w:rPr>
        <w:t xml:space="preserve">in </w:t>
      </w:r>
      <w:r w:rsidR="00E75849" w:rsidRPr="00C26157">
        <w:rPr>
          <w:rFonts w:asciiTheme="majorHAnsi" w:hAnsiTheme="majorHAnsi" w:cstheme="majorHAnsi"/>
        </w:rPr>
        <w:t>all settings outside the home</w:t>
      </w:r>
      <w:r w:rsidR="00106569" w:rsidRPr="00C26157">
        <w:rPr>
          <w:rFonts w:asciiTheme="majorHAnsi" w:hAnsiTheme="majorHAnsi" w:cstheme="majorHAnsi"/>
        </w:rPr>
        <w:t xml:space="preserve"> but it is not yet </w:t>
      </w:r>
      <w:r w:rsidR="001B7D95" w:rsidRPr="00C26157">
        <w:rPr>
          <w:rFonts w:asciiTheme="majorHAnsi" w:hAnsiTheme="majorHAnsi" w:cstheme="majorHAnsi"/>
        </w:rPr>
        <w:t xml:space="preserve">fully </w:t>
      </w:r>
      <w:r w:rsidR="00106569" w:rsidRPr="00C26157">
        <w:rPr>
          <w:rFonts w:asciiTheme="majorHAnsi" w:hAnsiTheme="majorHAnsi" w:cstheme="majorHAnsi"/>
        </w:rPr>
        <w:t xml:space="preserve">prohibited </w:t>
      </w:r>
      <w:r w:rsidR="00B05968" w:rsidRPr="00C26157">
        <w:rPr>
          <w:rFonts w:asciiTheme="majorHAnsi" w:hAnsiTheme="majorHAnsi" w:cstheme="majorHAnsi"/>
        </w:rPr>
        <w:t xml:space="preserve">in the </w:t>
      </w:r>
      <w:r w:rsidR="00E75849" w:rsidRPr="00C26157">
        <w:rPr>
          <w:rFonts w:asciiTheme="majorHAnsi" w:hAnsiTheme="majorHAnsi" w:cstheme="majorHAnsi"/>
        </w:rPr>
        <w:t>family</w:t>
      </w:r>
      <w:r w:rsidR="001947F2" w:rsidRPr="00C26157">
        <w:rPr>
          <w:rFonts w:asciiTheme="majorHAnsi" w:hAnsiTheme="majorHAnsi" w:cstheme="majorHAnsi"/>
        </w:rPr>
        <w:t>,</w:t>
      </w:r>
      <w:r w:rsidR="00E511FD" w:rsidRPr="00C26157">
        <w:rPr>
          <w:rFonts w:asciiTheme="majorHAnsi" w:hAnsiTheme="majorHAnsi" w:cstheme="majorHAnsi"/>
        </w:rPr>
        <w:t xml:space="preserve"> </w:t>
      </w:r>
      <w:r w:rsidR="004D7A67" w:rsidRPr="00C26157">
        <w:rPr>
          <w:rFonts w:asciiTheme="majorHAnsi" w:hAnsiTheme="majorHAnsi" w:cstheme="majorHAnsi"/>
        </w:rPr>
        <w:t xml:space="preserve">in violation of </w:t>
      </w:r>
      <w:r w:rsidR="00181FAC" w:rsidRPr="00C26157">
        <w:rPr>
          <w:rFonts w:asciiTheme="majorHAnsi" w:hAnsiTheme="majorHAnsi" w:cstheme="majorHAnsi"/>
        </w:rPr>
        <w:t xml:space="preserve">the </w:t>
      </w:r>
      <w:r w:rsidR="00E511FD" w:rsidRPr="00C26157">
        <w:rPr>
          <w:rFonts w:asciiTheme="majorHAnsi" w:hAnsiTheme="majorHAnsi" w:cstheme="majorHAnsi"/>
        </w:rPr>
        <w:t xml:space="preserve">fundamental </w:t>
      </w:r>
      <w:r w:rsidR="00181FAC" w:rsidRPr="00C26157">
        <w:rPr>
          <w:rFonts w:asciiTheme="majorHAnsi" w:hAnsiTheme="majorHAnsi" w:cstheme="majorHAnsi"/>
        </w:rPr>
        <w:t>right of all children</w:t>
      </w:r>
      <w:r w:rsidR="004D7A67" w:rsidRPr="00C26157">
        <w:rPr>
          <w:rFonts w:asciiTheme="majorHAnsi" w:hAnsiTheme="majorHAnsi" w:cstheme="majorHAnsi"/>
        </w:rPr>
        <w:t xml:space="preserve"> to protection from corporal punishment and other cruel or degrading forms of punishment. </w:t>
      </w:r>
    </w:p>
    <w:p w14:paraId="79D69036" w14:textId="75095961" w:rsidR="004D7A67" w:rsidRPr="00C26157" w:rsidRDefault="00833827" w:rsidP="007A21C3">
      <w:pPr>
        <w:spacing w:after="120"/>
        <w:rPr>
          <w:rFonts w:asciiTheme="majorHAnsi" w:hAnsiTheme="majorHAnsi" w:cstheme="majorHAnsi"/>
        </w:rPr>
      </w:pPr>
      <w:r w:rsidRPr="00C26157">
        <w:rPr>
          <w:rFonts w:asciiTheme="majorHAnsi" w:hAnsiTheme="majorHAnsi" w:cstheme="majorHAnsi"/>
        </w:rPr>
        <w:t xml:space="preserve">3. </w:t>
      </w:r>
      <w:r w:rsidR="00181FAC" w:rsidRPr="00C26157">
        <w:rPr>
          <w:rFonts w:asciiTheme="majorHAnsi" w:hAnsiTheme="majorHAnsi" w:cstheme="majorHAnsi"/>
        </w:rPr>
        <w:t xml:space="preserve">With reference to </w:t>
      </w:r>
      <w:r w:rsidR="00181FAC" w:rsidRPr="00C26157">
        <w:rPr>
          <w:rFonts w:asciiTheme="majorHAnsi" w:hAnsiTheme="majorHAnsi" w:cstheme="majorHAnsi"/>
          <w:b/>
        </w:rPr>
        <w:t>articles 7, 15, 16 and 17</w:t>
      </w:r>
      <w:r w:rsidR="00181FAC" w:rsidRPr="00C26157">
        <w:rPr>
          <w:rFonts w:asciiTheme="majorHAnsi" w:hAnsiTheme="majorHAnsi" w:cstheme="majorHAnsi"/>
        </w:rPr>
        <w:t xml:space="preserve"> of the Convention on the Rights of Persons with Disabilities, and i</w:t>
      </w:r>
      <w:r w:rsidR="004D7A67" w:rsidRPr="00C26157">
        <w:rPr>
          <w:rFonts w:asciiTheme="majorHAnsi" w:hAnsiTheme="majorHAnsi" w:cstheme="majorHAnsi"/>
        </w:rPr>
        <w:t>n light of the particular vulnerability of children with disabilities to</w:t>
      </w:r>
      <w:r w:rsidR="00181FAC" w:rsidRPr="00C26157">
        <w:rPr>
          <w:rFonts w:asciiTheme="majorHAnsi" w:hAnsiTheme="majorHAnsi" w:cstheme="majorHAnsi"/>
        </w:rPr>
        <w:t xml:space="preserve"> corporal punishment by adults, </w:t>
      </w:r>
      <w:r w:rsidR="004D7A67" w:rsidRPr="00C26157">
        <w:rPr>
          <w:rFonts w:asciiTheme="majorHAnsi" w:hAnsiTheme="majorHAnsi" w:cstheme="majorHAnsi"/>
        </w:rPr>
        <w:t>the jurisp</w:t>
      </w:r>
      <w:r w:rsidR="00181FAC" w:rsidRPr="00C26157">
        <w:rPr>
          <w:rFonts w:asciiTheme="majorHAnsi" w:hAnsiTheme="majorHAnsi" w:cstheme="majorHAnsi"/>
        </w:rPr>
        <w:t>rudence of the UN treaty bodies</w:t>
      </w:r>
      <w:r w:rsidR="00E4774B" w:rsidRPr="00C26157">
        <w:rPr>
          <w:rFonts w:asciiTheme="majorHAnsi" w:hAnsiTheme="majorHAnsi" w:cstheme="majorHAnsi"/>
        </w:rPr>
        <w:t>,</w:t>
      </w:r>
      <w:r w:rsidR="004D7A67" w:rsidRPr="00C26157">
        <w:rPr>
          <w:rFonts w:asciiTheme="majorHAnsi" w:hAnsiTheme="majorHAnsi" w:cstheme="majorHAnsi"/>
        </w:rPr>
        <w:t xml:space="preserve"> the </w:t>
      </w:r>
      <w:r w:rsidR="00106569" w:rsidRPr="00C26157">
        <w:rPr>
          <w:rFonts w:asciiTheme="majorHAnsi" w:hAnsiTheme="majorHAnsi" w:cstheme="majorHAnsi"/>
        </w:rPr>
        <w:t>emphasis on</w:t>
      </w:r>
      <w:r w:rsidR="004D7A67" w:rsidRPr="00C26157">
        <w:rPr>
          <w:rFonts w:asciiTheme="majorHAnsi" w:hAnsiTheme="majorHAnsi" w:cstheme="majorHAnsi"/>
        </w:rPr>
        <w:t xml:space="preserve"> eradicating this form of violence given by the UN Secretary General’s Study on Violence against Children</w:t>
      </w:r>
      <w:r w:rsidR="00E4774B" w:rsidRPr="00C26157">
        <w:rPr>
          <w:rFonts w:asciiTheme="majorHAnsi" w:hAnsiTheme="majorHAnsi" w:cstheme="majorHAnsi"/>
        </w:rPr>
        <w:t xml:space="preserve"> and </w:t>
      </w:r>
      <w:r w:rsidR="00106569" w:rsidRPr="00C26157">
        <w:rPr>
          <w:rFonts w:asciiTheme="majorHAnsi" w:hAnsiTheme="majorHAnsi" w:cstheme="majorHAnsi"/>
        </w:rPr>
        <w:t xml:space="preserve">the importance of the issue to achieving target 16.2 on ending violence against children in the 2030 Sustainable Development Goals, </w:t>
      </w:r>
      <w:r w:rsidR="004D7A67" w:rsidRPr="00C26157">
        <w:rPr>
          <w:rFonts w:asciiTheme="majorHAnsi" w:hAnsiTheme="majorHAnsi" w:cstheme="majorHAnsi"/>
        </w:rPr>
        <w:t>w</w:t>
      </w:r>
      <w:r w:rsidR="004D7A67" w:rsidRPr="00C26157">
        <w:rPr>
          <w:rFonts w:asciiTheme="majorHAnsi" w:hAnsiTheme="majorHAnsi" w:cstheme="majorHAnsi"/>
          <w:iCs/>
        </w:rPr>
        <w:t>e hope the Committee on the Rights of Persons with Disabilities will:</w:t>
      </w:r>
    </w:p>
    <w:p w14:paraId="7B48E400" w14:textId="57C70A36" w:rsidR="007F7529" w:rsidRPr="00C26157" w:rsidRDefault="007F7529" w:rsidP="00521973">
      <w:pPr>
        <w:numPr>
          <w:ilvl w:val="0"/>
          <w:numId w:val="6"/>
        </w:numPr>
        <w:spacing w:after="120"/>
        <w:rPr>
          <w:rFonts w:asciiTheme="majorHAnsi" w:hAnsiTheme="majorHAnsi" w:cstheme="majorHAnsi"/>
          <w:iCs/>
        </w:rPr>
      </w:pPr>
      <w:r w:rsidRPr="00C26157">
        <w:rPr>
          <w:rFonts w:asciiTheme="majorHAnsi" w:hAnsiTheme="majorHAnsi" w:cstheme="majorHAnsi"/>
          <w:iCs/>
        </w:rPr>
        <w:t>include the issue of corporal puni</w:t>
      </w:r>
      <w:r w:rsidR="00B05968" w:rsidRPr="00C26157">
        <w:rPr>
          <w:rFonts w:asciiTheme="majorHAnsi" w:hAnsiTheme="majorHAnsi" w:cstheme="majorHAnsi"/>
          <w:iCs/>
        </w:rPr>
        <w:t>shment in its List of Issues</w:t>
      </w:r>
      <w:r w:rsidR="005F2E16" w:rsidRPr="00C26157">
        <w:rPr>
          <w:rFonts w:asciiTheme="majorHAnsi" w:hAnsiTheme="majorHAnsi" w:cstheme="majorHAnsi"/>
          <w:iCs/>
        </w:rPr>
        <w:t xml:space="preserve"> for</w:t>
      </w:r>
      <w:r w:rsidR="00B05968" w:rsidRPr="00C26157">
        <w:rPr>
          <w:rFonts w:asciiTheme="majorHAnsi" w:hAnsiTheme="majorHAnsi" w:cstheme="majorHAnsi"/>
          <w:iCs/>
        </w:rPr>
        <w:t xml:space="preserve"> </w:t>
      </w:r>
      <w:r w:rsidR="00BC35BE" w:rsidRPr="00C26157">
        <w:rPr>
          <w:rFonts w:asciiTheme="majorHAnsi" w:hAnsiTheme="majorHAnsi" w:cstheme="majorHAnsi"/>
          <w:iCs/>
        </w:rPr>
        <w:t>South Africa</w:t>
      </w:r>
      <w:r w:rsidRPr="00C26157">
        <w:rPr>
          <w:rFonts w:asciiTheme="majorHAnsi" w:hAnsiTheme="majorHAnsi" w:cstheme="majorHAnsi"/>
          <w:iCs/>
        </w:rPr>
        <w:t>, in particular asking</w:t>
      </w:r>
      <w:r w:rsidR="00DC20AE" w:rsidRPr="00C26157">
        <w:rPr>
          <w:rFonts w:asciiTheme="majorHAnsi" w:hAnsiTheme="majorHAnsi" w:cstheme="majorHAnsi"/>
          <w:iCs/>
        </w:rPr>
        <w:t>:</w:t>
      </w:r>
      <w:r w:rsidRPr="00C26157">
        <w:rPr>
          <w:rFonts w:asciiTheme="majorHAnsi" w:hAnsiTheme="majorHAnsi" w:cstheme="majorHAnsi"/>
          <w:iCs/>
        </w:rPr>
        <w:t xml:space="preserve"> </w:t>
      </w:r>
      <w:r w:rsidR="00DC20AE" w:rsidRPr="00C26157">
        <w:rPr>
          <w:rFonts w:asciiTheme="majorHAnsi" w:hAnsiTheme="majorHAnsi" w:cstheme="majorHAnsi"/>
          <w:iCs/>
        </w:rPr>
        <w:t>“</w:t>
      </w:r>
      <w:r w:rsidR="00B7483C" w:rsidRPr="00C26157">
        <w:rPr>
          <w:rFonts w:asciiTheme="majorHAnsi" w:hAnsiTheme="majorHAnsi" w:cstheme="majorHAnsi"/>
          <w:b/>
          <w:iCs/>
        </w:rPr>
        <w:t xml:space="preserve">what </w:t>
      </w:r>
      <w:r w:rsidR="00E75849" w:rsidRPr="00C26157">
        <w:rPr>
          <w:rFonts w:asciiTheme="majorHAnsi" w:hAnsiTheme="majorHAnsi" w:cstheme="majorHAnsi"/>
          <w:b/>
          <w:iCs/>
        </w:rPr>
        <w:t xml:space="preserve">steps are being taken to </w:t>
      </w:r>
      <w:r w:rsidR="00BC35BE" w:rsidRPr="00C26157">
        <w:rPr>
          <w:rFonts w:asciiTheme="majorHAnsi" w:hAnsiTheme="majorHAnsi" w:cstheme="majorHAnsi"/>
          <w:b/>
          <w:iCs/>
        </w:rPr>
        <w:t>enact legislation explicitly prohibit all corporal punishment of children, including in the home, as a matter of priority</w:t>
      </w:r>
      <w:r w:rsidR="00B7483C" w:rsidRPr="00C26157">
        <w:rPr>
          <w:rFonts w:asciiTheme="majorHAnsi" w:hAnsiTheme="majorHAnsi" w:cstheme="majorHAnsi"/>
          <w:b/>
          <w:iCs/>
        </w:rPr>
        <w:t>?</w:t>
      </w:r>
      <w:r w:rsidR="00B7483C" w:rsidRPr="00C26157">
        <w:rPr>
          <w:rFonts w:asciiTheme="majorHAnsi" w:hAnsiTheme="majorHAnsi" w:cstheme="majorHAnsi"/>
          <w:iCs/>
        </w:rPr>
        <w:t>”</w:t>
      </w:r>
    </w:p>
    <w:p w14:paraId="4FA79421" w14:textId="155B8712" w:rsidR="00E4774B" w:rsidRPr="00C26157" w:rsidRDefault="00E4774B" w:rsidP="007A21C3">
      <w:pPr>
        <w:numPr>
          <w:ilvl w:val="0"/>
          <w:numId w:val="6"/>
        </w:numPr>
        <w:spacing w:after="120"/>
        <w:rPr>
          <w:rFonts w:asciiTheme="majorHAnsi" w:hAnsiTheme="majorHAnsi" w:cstheme="majorHAnsi"/>
          <w:iCs/>
        </w:rPr>
      </w:pPr>
      <w:r w:rsidRPr="00C26157">
        <w:rPr>
          <w:rFonts w:asciiTheme="majorHAnsi" w:hAnsiTheme="majorHAnsi" w:cstheme="majorHAnsi"/>
          <w:iCs/>
        </w:rPr>
        <w:t>recommend t</w:t>
      </w:r>
      <w:r w:rsidR="00B05968" w:rsidRPr="00C26157">
        <w:rPr>
          <w:rFonts w:asciiTheme="majorHAnsi" w:hAnsiTheme="majorHAnsi" w:cstheme="majorHAnsi"/>
          <w:iCs/>
        </w:rPr>
        <w:t xml:space="preserve">o the Government of </w:t>
      </w:r>
      <w:r w:rsidR="00BC35BE" w:rsidRPr="00C26157">
        <w:rPr>
          <w:rFonts w:asciiTheme="majorHAnsi" w:hAnsiTheme="majorHAnsi" w:cstheme="majorHAnsi"/>
          <w:iCs/>
        </w:rPr>
        <w:t>South Africa</w:t>
      </w:r>
      <w:r w:rsidR="007F7529" w:rsidRPr="00C26157">
        <w:rPr>
          <w:rFonts w:asciiTheme="majorHAnsi" w:hAnsiTheme="majorHAnsi" w:cstheme="majorHAnsi"/>
          <w:iCs/>
        </w:rPr>
        <w:t xml:space="preserve">, in the Committee’s concluding observations on the </w:t>
      </w:r>
      <w:r w:rsidR="00BC6C90" w:rsidRPr="00C26157">
        <w:rPr>
          <w:rFonts w:asciiTheme="majorHAnsi" w:hAnsiTheme="majorHAnsi" w:cstheme="majorHAnsi"/>
          <w:iCs/>
        </w:rPr>
        <w:t>initial</w:t>
      </w:r>
      <w:r w:rsidR="00833827" w:rsidRPr="00C26157">
        <w:rPr>
          <w:rFonts w:asciiTheme="majorHAnsi" w:hAnsiTheme="majorHAnsi" w:cstheme="majorHAnsi"/>
          <w:iCs/>
        </w:rPr>
        <w:t xml:space="preserve"> report, that </w:t>
      </w:r>
      <w:r w:rsidR="00DC20AE" w:rsidRPr="00C26157">
        <w:rPr>
          <w:rFonts w:asciiTheme="majorHAnsi" w:hAnsiTheme="majorHAnsi" w:cstheme="majorHAnsi"/>
          <w:iCs/>
        </w:rPr>
        <w:t>“</w:t>
      </w:r>
      <w:r w:rsidR="00BC35BE" w:rsidRPr="00C26157">
        <w:rPr>
          <w:rFonts w:asciiTheme="majorHAnsi" w:hAnsiTheme="majorHAnsi" w:cstheme="majorHAnsi"/>
          <w:b/>
          <w:iCs/>
        </w:rPr>
        <w:t>legislation</w:t>
      </w:r>
      <w:r w:rsidR="00F31704" w:rsidRPr="00C26157">
        <w:rPr>
          <w:rFonts w:asciiTheme="majorHAnsi" w:hAnsiTheme="majorHAnsi" w:cstheme="majorHAnsi"/>
          <w:b/>
          <w:iCs/>
        </w:rPr>
        <w:t xml:space="preserve"> </w:t>
      </w:r>
      <w:r w:rsidR="00521973" w:rsidRPr="00C26157">
        <w:rPr>
          <w:rFonts w:asciiTheme="majorHAnsi" w:hAnsiTheme="majorHAnsi" w:cstheme="majorHAnsi"/>
          <w:b/>
          <w:iCs/>
        </w:rPr>
        <w:t>explicit</w:t>
      </w:r>
      <w:r w:rsidR="00F31704" w:rsidRPr="00C26157">
        <w:rPr>
          <w:rFonts w:asciiTheme="majorHAnsi" w:hAnsiTheme="majorHAnsi" w:cstheme="majorHAnsi"/>
          <w:b/>
          <w:iCs/>
        </w:rPr>
        <w:t>ly</w:t>
      </w:r>
      <w:r w:rsidR="00521973" w:rsidRPr="00C26157">
        <w:rPr>
          <w:rFonts w:asciiTheme="majorHAnsi" w:hAnsiTheme="majorHAnsi" w:cstheme="majorHAnsi"/>
          <w:b/>
          <w:iCs/>
        </w:rPr>
        <w:t xml:space="preserve"> prohibit</w:t>
      </w:r>
      <w:r w:rsidR="00BC35BE" w:rsidRPr="00C26157">
        <w:rPr>
          <w:rFonts w:asciiTheme="majorHAnsi" w:hAnsiTheme="majorHAnsi" w:cstheme="majorHAnsi"/>
          <w:b/>
          <w:iCs/>
        </w:rPr>
        <w:t>ing</w:t>
      </w:r>
      <w:r w:rsidR="00521973" w:rsidRPr="00C26157">
        <w:rPr>
          <w:rFonts w:asciiTheme="majorHAnsi" w:hAnsiTheme="majorHAnsi" w:cstheme="majorHAnsi"/>
          <w:b/>
          <w:iCs/>
        </w:rPr>
        <w:t xml:space="preserve"> all</w:t>
      </w:r>
      <w:r w:rsidR="00DF42D1" w:rsidRPr="00C26157">
        <w:rPr>
          <w:rFonts w:asciiTheme="majorHAnsi" w:hAnsiTheme="majorHAnsi" w:cstheme="majorHAnsi"/>
          <w:b/>
          <w:iCs/>
        </w:rPr>
        <w:t xml:space="preserve"> corporal punishment of children</w:t>
      </w:r>
      <w:r w:rsidR="00521973" w:rsidRPr="00C26157">
        <w:rPr>
          <w:rFonts w:asciiTheme="majorHAnsi" w:hAnsiTheme="majorHAnsi" w:cstheme="majorHAnsi"/>
          <w:b/>
          <w:iCs/>
        </w:rPr>
        <w:t xml:space="preserve">, </w:t>
      </w:r>
      <w:r w:rsidR="00BC35BE" w:rsidRPr="00C26157">
        <w:rPr>
          <w:rFonts w:asciiTheme="majorHAnsi" w:hAnsiTheme="majorHAnsi" w:cstheme="majorHAnsi"/>
          <w:b/>
          <w:iCs/>
        </w:rPr>
        <w:t>including in the home</w:t>
      </w:r>
      <w:r w:rsidR="00521973" w:rsidRPr="00C26157">
        <w:rPr>
          <w:rFonts w:asciiTheme="majorHAnsi" w:hAnsiTheme="majorHAnsi" w:cstheme="majorHAnsi"/>
          <w:b/>
          <w:iCs/>
        </w:rPr>
        <w:t xml:space="preserve">, </w:t>
      </w:r>
      <w:r w:rsidR="00DF42D1" w:rsidRPr="00C26157">
        <w:rPr>
          <w:rFonts w:asciiTheme="majorHAnsi" w:hAnsiTheme="majorHAnsi" w:cstheme="majorHAnsi"/>
          <w:b/>
          <w:iCs/>
        </w:rPr>
        <w:t xml:space="preserve">is </w:t>
      </w:r>
      <w:r w:rsidR="002E2D70" w:rsidRPr="00C26157">
        <w:rPr>
          <w:rFonts w:asciiTheme="majorHAnsi" w:hAnsiTheme="majorHAnsi" w:cstheme="majorHAnsi"/>
          <w:b/>
          <w:iCs/>
        </w:rPr>
        <w:t>enacted as a matter of priority</w:t>
      </w:r>
      <w:r w:rsidR="00DF42D1" w:rsidRPr="00C26157">
        <w:rPr>
          <w:rFonts w:asciiTheme="majorHAnsi" w:hAnsiTheme="majorHAnsi" w:cstheme="majorHAnsi"/>
          <w:b/>
          <w:iCs/>
        </w:rPr>
        <w:t xml:space="preserve"> </w:t>
      </w:r>
      <w:r w:rsidR="00963238" w:rsidRPr="00C26157">
        <w:rPr>
          <w:rFonts w:asciiTheme="majorHAnsi" w:hAnsiTheme="majorHAnsi" w:cstheme="majorHAnsi"/>
          <w:b/>
        </w:rPr>
        <w:t xml:space="preserve">and that measures are put in place to ensure the </w:t>
      </w:r>
      <w:r w:rsidR="002E2D70" w:rsidRPr="00C26157">
        <w:rPr>
          <w:rFonts w:asciiTheme="majorHAnsi" w:hAnsiTheme="majorHAnsi" w:cstheme="majorHAnsi"/>
          <w:b/>
        </w:rPr>
        <w:t>law</w:t>
      </w:r>
      <w:r w:rsidR="00963238" w:rsidRPr="00C26157">
        <w:rPr>
          <w:rFonts w:asciiTheme="majorHAnsi" w:hAnsiTheme="majorHAnsi" w:cstheme="majorHAnsi"/>
          <w:b/>
        </w:rPr>
        <w:t xml:space="preserve"> is properly implemented</w:t>
      </w:r>
      <w:r w:rsidR="00DC20AE" w:rsidRPr="00C26157">
        <w:rPr>
          <w:rFonts w:asciiTheme="majorHAnsi" w:hAnsiTheme="majorHAnsi" w:cstheme="majorHAnsi"/>
        </w:rPr>
        <w:t>”</w:t>
      </w:r>
      <w:r w:rsidR="00833827" w:rsidRPr="00C26157">
        <w:rPr>
          <w:rFonts w:asciiTheme="majorHAnsi" w:hAnsiTheme="majorHAnsi" w:cstheme="majorHAnsi"/>
        </w:rPr>
        <w:t>.</w:t>
      </w:r>
    </w:p>
    <w:p w14:paraId="3FBF531E" w14:textId="77777777" w:rsidR="009D6E71" w:rsidRPr="00C26157" w:rsidRDefault="009D6E71" w:rsidP="007F7529">
      <w:pPr>
        <w:spacing w:after="120"/>
        <w:rPr>
          <w:rFonts w:asciiTheme="majorHAnsi" w:hAnsiTheme="majorHAnsi" w:cstheme="majorHAnsi"/>
        </w:rPr>
      </w:pPr>
    </w:p>
    <w:p w14:paraId="2E512E2A" w14:textId="77777777" w:rsidR="00106569" w:rsidRPr="00C26157" w:rsidRDefault="00106569">
      <w:pPr>
        <w:rPr>
          <w:rFonts w:asciiTheme="majorHAnsi" w:hAnsiTheme="majorHAnsi" w:cstheme="majorHAnsi"/>
          <w:b/>
          <w:sz w:val="26"/>
          <w:szCs w:val="26"/>
        </w:rPr>
      </w:pPr>
      <w:r w:rsidRPr="00C26157">
        <w:rPr>
          <w:rFonts w:asciiTheme="majorHAnsi" w:hAnsiTheme="majorHAnsi" w:cstheme="majorHAnsi"/>
          <w:b/>
          <w:sz w:val="26"/>
          <w:szCs w:val="26"/>
        </w:rPr>
        <w:br w:type="page"/>
      </w:r>
    </w:p>
    <w:p w14:paraId="1983D09B" w14:textId="28BE79BE" w:rsidR="007F7529" w:rsidRPr="00C26157" w:rsidRDefault="007F7529" w:rsidP="007F7529">
      <w:pPr>
        <w:spacing w:after="120"/>
        <w:rPr>
          <w:rFonts w:asciiTheme="majorHAnsi" w:hAnsiTheme="majorHAnsi" w:cstheme="majorHAnsi"/>
          <w:b/>
          <w:sz w:val="26"/>
          <w:szCs w:val="26"/>
        </w:rPr>
      </w:pPr>
      <w:r w:rsidRPr="00C26157">
        <w:rPr>
          <w:rFonts w:asciiTheme="majorHAnsi" w:hAnsiTheme="majorHAnsi" w:cstheme="majorHAnsi"/>
          <w:b/>
          <w:sz w:val="26"/>
          <w:szCs w:val="26"/>
        </w:rPr>
        <w:lastRenderedPageBreak/>
        <w:t>(c) Detailed briefing</w:t>
      </w:r>
    </w:p>
    <w:p w14:paraId="69A1F232" w14:textId="5815296A" w:rsidR="007F7529" w:rsidRPr="00C26157" w:rsidRDefault="007F7529" w:rsidP="007F7529">
      <w:pPr>
        <w:spacing w:after="120"/>
        <w:rPr>
          <w:rFonts w:asciiTheme="majorHAnsi" w:hAnsiTheme="majorHAnsi" w:cstheme="majorHAnsi"/>
          <w:b/>
          <w:sz w:val="26"/>
          <w:szCs w:val="26"/>
        </w:rPr>
      </w:pPr>
      <w:r w:rsidRPr="00C26157">
        <w:rPr>
          <w:rFonts w:asciiTheme="majorHAnsi" w:hAnsiTheme="majorHAnsi" w:cstheme="majorHAnsi"/>
          <w:b/>
          <w:sz w:val="26"/>
          <w:szCs w:val="26"/>
        </w:rPr>
        <w:t>The right of children with disabilities not to be subjected to corporal punishment</w:t>
      </w:r>
    </w:p>
    <w:p w14:paraId="4E1BFC9B" w14:textId="38A40D4E" w:rsidR="006C166A" w:rsidRPr="00C26157" w:rsidRDefault="00833827" w:rsidP="00E511FD">
      <w:pPr>
        <w:spacing w:after="120"/>
        <w:rPr>
          <w:rFonts w:asciiTheme="majorHAnsi" w:hAnsiTheme="majorHAnsi" w:cstheme="majorHAnsi"/>
        </w:rPr>
      </w:pPr>
      <w:r w:rsidRPr="00C26157">
        <w:rPr>
          <w:rFonts w:asciiTheme="majorHAnsi" w:hAnsiTheme="majorHAnsi" w:cstheme="majorHAnsi"/>
        </w:rPr>
        <w:t>4</w:t>
      </w:r>
      <w:r w:rsidR="00E511FD" w:rsidRPr="00C26157">
        <w:rPr>
          <w:rFonts w:asciiTheme="majorHAnsi" w:hAnsiTheme="majorHAnsi" w:cstheme="majorHAnsi"/>
        </w:rPr>
        <w:t xml:space="preserve">. </w:t>
      </w:r>
      <w:r w:rsidR="007F7529" w:rsidRPr="00C26157">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DC419D" w:rsidRPr="00C26157">
        <w:rPr>
          <w:rFonts w:asciiTheme="majorHAnsi" w:hAnsiTheme="majorHAnsi" w:cstheme="majorHAnsi"/>
        </w:rPr>
        <w:t xml:space="preserve">Although South Africa’s report refers to legislation protecting all individuals from domestic violence, it does not address the issue of corporal punishment </w:t>
      </w:r>
      <w:r w:rsidR="00EC65F4" w:rsidRPr="00C26157">
        <w:rPr>
          <w:rFonts w:asciiTheme="majorHAnsi" w:hAnsiTheme="majorHAnsi" w:cstheme="majorHAnsi"/>
        </w:rPr>
        <w:t>of children with disabilities. The near universal acceptance of corporal punishment in childrearing necessitates clarity in law that all forms of corporal punishment, however ‘light’, are prohibited.</w:t>
      </w:r>
    </w:p>
    <w:p w14:paraId="7D5B40EB" w14:textId="39FEEE47" w:rsidR="007F7529" w:rsidRPr="00C26157" w:rsidRDefault="00833827" w:rsidP="00E511FD">
      <w:pPr>
        <w:spacing w:after="120"/>
        <w:rPr>
          <w:rFonts w:asciiTheme="majorHAnsi" w:hAnsiTheme="majorHAnsi" w:cstheme="majorHAnsi"/>
        </w:rPr>
      </w:pPr>
      <w:r w:rsidRPr="00C26157">
        <w:rPr>
          <w:rFonts w:asciiTheme="majorHAnsi" w:hAnsiTheme="majorHAnsi" w:cstheme="majorHAnsi"/>
        </w:rPr>
        <w:t>5</w:t>
      </w:r>
      <w:r w:rsidR="00E511FD" w:rsidRPr="00C26157">
        <w:rPr>
          <w:rFonts w:asciiTheme="majorHAnsi" w:hAnsiTheme="majorHAnsi" w:cstheme="majorHAnsi"/>
        </w:rPr>
        <w:t xml:space="preserve">. </w:t>
      </w:r>
      <w:r w:rsidR="007F7529" w:rsidRPr="00C26157">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C26157">
        <w:rPr>
          <w:rStyle w:val="FootnoteReference"/>
          <w:rFonts w:asciiTheme="majorHAnsi" w:hAnsiTheme="majorHAnsi" w:cstheme="majorHAnsi"/>
        </w:rPr>
        <w:footnoteReference w:id="1"/>
      </w:r>
      <w:r w:rsidR="007F7529" w:rsidRPr="00C26157">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C26157">
        <w:rPr>
          <w:rFonts w:asciiTheme="majorHAnsi" w:hAnsiTheme="majorHAnsi" w:cstheme="majorHAnsi"/>
        </w:rPr>
        <w:t>violence</w:t>
      </w:r>
      <w:r w:rsidR="007F7529" w:rsidRPr="00C26157">
        <w:rPr>
          <w:rFonts w:asciiTheme="majorHAnsi" w:hAnsiTheme="majorHAnsi" w:cstheme="majorHAnsi"/>
        </w:rPr>
        <w:t xml:space="preserve"> in the same way as, for example, sexual and other socially unacceptable forms of </w:t>
      </w:r>
      <w:r w:rsidR="00E511FD" w:rsidRPr="00C26157">
        <w:rPr>
          <w:rFonts w:asciiTheme="majorHAnsi" w:hAnsiTheme="majorHAnsi" w:cstheme="majorHAnsi"/>
        </w:rPr>
        <w:t>violence.</w:t>
      </w:r>
    </w:p>
    <w:p w14:paraId="111ED3CA" w14:textId="70852634" w:rsidR="005B31F1" w:rsidRPr="00C26157" w:rsidRDefault="00833827" w:rsidP="00E511FD">
      <w:pPr>
        <w:spacing w:after="120"/>
        <w:rPr>
          <w:rFonts w:asciiTheme="majorHAnsi" w:hAnsiTheme="majorHAnsi" w:cstheme="majorHAnsi"/>
        </w:rPr>
      </w:pPr>
      <w:r w:rsidRPr="00C26157">
        <w:rPr>
          <w:rFonts w:asciiTheme="majorHAnsi" w:hAnsiTheme="majorHAnsi" w:cstheme="majorHAnsi"/>
        </w:rPr>
        <w:t>6</w:t>
      </w:r>
      <w:r w:rsidR="00E511FD" w:rsidRPr="00C26157">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C26157">
        <w:rPr>
          <w:rFonts w:asciiTheme="majorHAnsi" w:hAnsiTheme="majorHAnsi" w:cstheme="majorHAnsi"/>
        </w:rPr>
        <w:t>legislation</w:t>
      </w:r>
      <w:r w:rsidR="00E511FD" w:rsidRPr="00C26157">
        <w:rPr>
          <w:rFonts w:asciiTheme="majorHAnsi" w:hAnsiTheme="majorHAnsi" w:cstheme="majorHAnsi"/>
        </w:rPr>
        <w:t xml:space="preserve"> prohibiting it in all settings including the home is critical. </w:t>
      </w:r>
    </w:p>
    <w:p w14:paraId="7CCE9FC2" w14:textId="77777777" w:rsidR="007F7529" w:rsidRPr="00C26157" w:rsidRDefault="007F7529" w:rsidP="007F7529">
      <w:pPr>
        <w:autoSpaceDE w:val="0"/>
        <w:autoSpaceDN w:val="0"/>
        <w:adjustRightInd w:val="0"/>
        <w:spacing w:after="120"/>
        <w:rPr>
          <w:rFonts w:asciiTheme="majorHAnsi" w:hAnsiTheme="majorHAnsi" w:cstheme="majorHAnsi"/>
          <w:b/>
          <w:sz w:val="26"/>
          <w:szCs w:val="26"/>
        </w:rPr>
      </w:pPr>
    </w:p>
    <w:p w14:paraId="1DD3CA84" w14:textId="386733CC" w:rsidR="007F7529" w:rsidRPr="00C26157" w:rsidRDefault="00683188" w:rsidP="007F7529">
      <w:pPr>
        <w:pStyle w:val="Heading2"/>
        <w:spacing w:after="120"/>
        <w:rPr>
          <w:rFonts w:asciiTheme="majorHAnsi" w:hAnsiTheme="majorHAnsi" w:cstheme="majorHAnsi"/>
          <w:sz w:val="26"/>
          <w:szCs w:val="26"/>
          <w:lang w:val="en-GB"/>
        </w:rPr>
      </w:pPr>
      <w:r w:rsidRPr="00C26157">
        <w:rPr>
          <w:rFonts w:asciiTheme="majorHAnsi" w:hAnsiTheme="majorHAnsi" w:cstheme="majorHAnsi"/>
          <w:sz w:val="26"/>
          <w:szCs w:val="26"/>
        </w:rPr>
        <w:t>The l</w:t>
      </w:r>
      <w:r w:rsidR="007F7529" w:rsidRPr="00C26157">
        <w:rPr>
          <w:rFonts w:asciiTheme="majorHAnsi" w:hAnsiTheme="majorHAnsi" w:cstheme="majorHAnsi"/>
          <w:sz w:val="26"/>
          <w:szCs w:val="26"/>
        </w:rPr>
        <w:t xml:space="preserve">egality of corporal punishment of children with disabilities in </w:t>
      </w:r>
      <w:r w:rsidR="00A42757" w:rsidRPr="00C26157">
        <w:rPr>
          <w:rFonts w:asciiTheme="majorHAnsi" w:hAnsiTheme="majorHAnsi" w:cstheme="majorHAnsi"/>
          <w:sz w:val="26"/>
          <w:szCs w:val="26"/>
          <w:lang w:val="en-GB"/>
        </w:rPr>
        <w:t>South Africa</w:t>
      </w:r>
    </w:p>
    <w:p w14:paraId="610CF94D" w14:textId="0CA17043" w:rsidR="007F7529" w:rsidRPr="00C26157" w:rsidRDefault="00833827" w:rsidP="00BC6C90">
      <w:pPr>
        <w:autoSpaceDE w:val="0"/>
        <w:autoSpaceDN w:val="0"/>
        <w:adjustRightInd w:val="0"/>
        <w:spacing w:after="120"/>
        <w:rPr>
          <w:rFonts w:asciiTheme="majorHAnsi" w:hAnsiTheme="majorHAnsi" w:cstheme="majorHAnsi"/>
        </w:rPr>
      </w:pPr>
      <w:r w:rsidRPr="00C26157">
        <w:rPr>
          <w:rFonts w:asciiTheme="majorHAnsi" w:hAnsiTheme="majorHAnsi" w:cstheme="majorHAnsi"/>
        </w:rPr>
        <w:t>7</w:t>
      </w:r>
      <w:r w:rsidR="00BC6C90" w:rsidRPr="00C26157">
        <w:rPr>
          <w:rFonts w:asciiTheme="majorHAnsi" w:hAnsiTheme="majorHAnsi" w:cstheme="majorHAnsi"/>
        </w:rPr>
        <w:t xml:space="preserve">. </w:t>
      </w:r>
      <w:r w:rsidR="00126D81" w:rsidRPr="00C26157">
        <w:rPr>
          <w:rFonts w:asciiTheme="majorHAnsi" w:hAnsiTheme="majorHAnsi" w:cstheme="majorHAnsi"/>
        </w:rPr>
        <w:t xml:space="preserve">In </w:t>
      </w:r>
      <w:r w:rsidR="008B79E3" w:rsidRPr="00C26157">
        <w:rPr>
          <w:rFonts w:asciiTheme="majorHAnsi" w:hAnsiTheme="majorHAnsi" w:cstheme="majorHAnsi"/>
        </w:rPr>
        <w:t>South Africa</w:t>
      </w:r>
      <w:r w:rsidR="00126D81" w:rsidRPr="00C26157">
        <w:rPr>
          <w:rFonts w:asciiTheme="majorHAnsi" w:hAnsiTheme="majorHAnsi" w:cstheme="majorHAnsi"/>
        </w:rPr>
        <w:t>, c</w:t>
      </w:r>
      <w:r w:rsidR="007F7529" w:rsidRPr="00C26157">
        <w:rPr>
          <w:rFonts w:asciiTheme="majorHAnsi" w:hAnsiTheme="majorHAnsi" w:cstheme="majorHAnsi"/>
        </w:rPr>
        <w:t xml:space="preserve">orporal punishment of children is unlawful </w:t>
      </w:r>
      <w:r w:rsidR="008B79E3" w:rsidRPr="00C26157">
        <w:rPr>
          <w:rFonts w:asciiTheme="majorHAnsi" w:hAnsiTheme="majorHAnsi" w:cstheme="majorHAnsi"/>
        </w:rPr>
        <w:t>in all settings outside the home</w:t>
      </w:r>
      <w:r w:rsidR="008730E0" w:rsidRPr="00C26157">
        <w:rPr>
          <w:rFonts w:asciiTheme="majorHAnsi" w:hAnsiTheme="majorHAnsi" w:cstheme="majorHAnsi"/>
        </w:rPr>
        <w:t>, but children with disabilities may lawfully be subject</w:t>
      </w:r>
      <w:r w:rsidRPr="00C26157">
        <w:rPr>
          <w:rFonts w:asciiTheme="majorHAnsi" w:hAnsiTheme="majorHAnsi" w:cstheme="majorHAnsi"/>
        </w:rPr>
        <w:t>ed</w:t>
      </w:r>
      <w:r w:rsidR="008730E0" w:rsidRPr="00C26157">
        <w:rPr>
          <w:rFonts w:asciiTheme="majorHAnsi" w:hAnsiTheme="majorHAnsi" w:cstheme="majorHAnsi"/>
        </w:rPr>
        <w:t xml:space="preserve"> to physical punishment in</w:t>
      </w:r>
      <w:r w:rsidR="00655927" w:rsidRPr="00C26157">
        <w:rPr>
          <w:rFonts w:asciiTheme="majorHAnsi" w:hAnsiTheme="majorHAnsi" w:cstheme="majorHAnsi"/>
        </w:rPr>
        <w:t xml:space="preserve"> </w:t>
      </w:r>
      <w:r w:rsidR="008730E0" w:rsidRPr="00C26157">
        <w:rPr>
          <w:rFonts w:asciiTheme="majorHAnsi" w:hAnsiTheme="majorHAnsi" w:cstheme="majorHAnsi"/>
        </w:rPr>
        <w:t xml:space="preserve">the </w:t>
      </w:r>
      <w:r w:rsidR="008B79E3" w:rsidRPr="00C26157">
        <w:rPr>
          <w:rFonts w:asciiTheme="majorHAnsi" w:hAnsiTheme="majorHAnsi" w:cstheme="majorHAnsi"/>
        </w:rPr>
        <w:t>family</w:t>
      </w:r>
      <w:r w:rsidR="00591A1C" w:rsidRPr="00C26157">
        <w:rPr>
          <w:rFonts w:asciiTheme="majorHAnsi" w:hAnsiTheme="majorHAnsi" w:cstheme="majorHAnsi"/>
        </w:rPr>
        <w:t>.</w:t>
      </w:r>
    </w:p>
    <w:p w14:paraId="44847A7E" w14:textId="4DB85D45" w:rsidR="008B79E3" w:rsidRPr="00C26157" w:rsidRDefault="00620321" w:rsidP="008B79E3">
      <w:pPr>
        <w:autoSpaceDE w:val="0"/>
        <w:autoSpaceDN w:val="0"/>
        <w:adjustRightInd w:val="0"/>
        <w:spacing w:after="120"/>
        <w:rPr>
          <w:rFonts w:asciiTheme="majorHAnsi" w:hAnsiTheme="majorHAnsi" w:cstheme="majorHAnsi"/>
          <w:iCs/>
        </w:rPr>
      </w:pPr>
      <w:r w:rsidRPr="00C26157">
        <w:rPr>
          <w:rFonts w:asciiTheme="majorHAnsi" w:hAnsiTheme="majorHAnsi" w:cstheme="majorHAnsi"/>
        </w:rPr>
        <w:t xml:space="preserve">8. </w:t>
      </w:r>
      <w:r w:rsidRPr="00C26157">
        <w:rPr>
          <w:rFonts w:asciiTheme="majorHAnsi" w:hAnsiTheme="majorHAnsi" w:cstheme="majorHAnsi"/>
          <w:i/>
        </w:rPr>
        <w:t>Corporal punishment is lawful in the home</w:t>
      </w:r>
      <w:r w:rsidR="009B471D" w:rsidRPr="00C26157">
        <w:rPr>
          <w:rFonts w:asciiTheme="majorHAnsi" w:hAnsiTheme="majorHAnsi" w:cstheme="majorHAnsi"/>
          <w:i/>
        </w:rPr>
        <w:t>.</w:t>
      </w:r>
      <w:r w:rsidR="00CB457A" w:rsidRPr="00C26157">
        <w:rPr>
          <w:rFonts w:asciiTheme="majorHAnsi" w:hAnsiTheme="majorHAnsi" w:cstheme="majorHAnsi"/>
          <w:iCs/>
        </w:rPr>
        <w:t xml:space="preserve"> </w:t>
      </w:r>
      <w:r w:rsidR="008B79E3" w:rsidRPr="00C26157">
        <w:rPr>
          <w:rFonts w:asciiTheme="majorHAnsi" w:hAnsiTheme="majorHAnsi" w:cstheme="majorHAnsi"/>
          <w:iCs/>
        </w:rPr>
        <w:t xml:space="preserve">In October 2017, the High Court of Gauteng ruled </w:t>
      </w:r>
      <w:bookmarkStart w:id="1" w:name="_Hlk496278794"/>
      <w:r w:rsidR="008B79E3" w:rsidRPr="00C26157">
        <w:rPr>
          <w:rFonts w:asciiTheme="majorHAnsi" w:hAnsiTheme="majorHAnsi" w:cstheme="majorHAnsi"/>
          <w:iCs/>
        </w:rPr>
        <w:t xml:space="preserve">that the common law defence of “reasonable or moderate chastisement” </w:t>
      </w:r>
      <w:bookmarkEnd w:id="1"/>
      <w:r w:rsidR="008B79E3" w:rsidRPr="00C26157">
        <w:rPr>
          <w:rFonts w:asciiTheme="majorHAnsi" w:hAnsiTheme="majorHAnsi" w:cstheme="majorHAnsi"/>
          <w:iCs/>
        </w:rPr>
        <w:t>breached children’s rights upheld by the 1996 Constitution and as such was unconstitutional.</w:t>
      </w:r>
      <w:r w:rsidR="008B79E3" w:rsidRPr="00C26157">
        <w:rPr>
          <w:rFonts w:asciiTheme="majorHAnsi" w:hAnsiTheme="majorHAnsi" w:cstheme="majorHAnsi"/>
          <w:iCs/>
          <w:vertAlign w:val="superscript"/>
        </w:rPr>
        <w:footnoteReference w:id="2"/>
      </w:r>
      <w:r w:rsidR="008B79E3" w:rsidRPr="00C26157">
        <w:rPr>
          <w:rFonts w:asciiTheme="majorHAnsi" w:hAnsiTheme="majorHAnsi" w:cstheme="majorHAnsi"/>
          <w:iCs/>
        </w:rPr>
        <w:t xml:space="preserve"> The common law recognised parents’ power “to inflict moderate and reasonable chastisement on a child for misconduct provided that this was not done in a manner offensive to good morals or for objects other than correction and admonition”.</w:t>
      </w:r>
      <w:r w:rsidR="008B79E3" w:rsidRPr="00C26157">
        <w:rPr>
          <w:rFonts w:asciiTheme="majorHAnsi" w:hAnsiTheme="majorHAnsi" w:cstheme="majorHAnsi"/>
          <w:iCs/>
          <w:vertAlign w:val="superscript"/>
        </w:rPr>
        <w:footnoteReference w:id="3"/>
      </w:r>
      <w:r w:rsidR="008B79E3" w:rsidRPr="00C26157">
        <w:rPr>
          <w:rFonts w:asciiTheme="majorHAnsi" w:hAnsiTheme="majorHAnsi" w:cstheme="majorHAnsi"/>
          <w:iCs/>
        </w:rPr>
        <w:t xml:space="preserve"> This power could be delegated to a person acting in the parent’s place, though not in the case of teachers. But despite this ruling of unconstitutionality, </w:t>
      </w:r>
      <w:bookmarkStart w:id="2" w:name="_Hlk504560034"/>
      <w:r w:rsidR="008B79E3" w:rsidRPr="00C26157">
        <w:rPr>
          <w:rFonts w:asciiTheme="majorHAnsi" w:hAnsiTheme="majorHAnsi" w:cstheme="majorHAnsi"/>
          <w:iCs/>
        </w:rPr>
        <w:t>the near universal acceptance of corporal punishment in childrearing necessitates clarity in law that no level of corporal punishment is acceptable</w:t>
      </w:r>
      <w:bookmarkEnd w:id="2"/>
      <w:r w:rsidR="008B79E3" w:rsidRPr="00C26157">
        <w:rPr>
          <w:rFonts w:asciiTheme="majorHAnsi" w:hAnsiTheme="majorHAnsi" w:cstheme="majorHAnsi"/>
          <w:iCs/>
        </w:rPr>
        <w:t xml:space="preserve">: an explicit prohibition of all corporal punishment of children must be enacted in legislation. Freedom of Religion South Africa (FORSA), </w:t>
      </w:r>
      <w:r w:rsidR="008B79E3" w:rsidRPr="00C26157">
        <w:rPr>
          <w:rFonts w:asciiTheme="majorHAnsi" w:hAnsiTheme="majorHAnsi" w:cstheme="majorHAnsi"/>
          <w:iCs/>
        </w:rPr>
        <w:lastRenderedPageBreak/>
        <w:t>which acted as amicus curiae during the hearing, has applied for leave to appeal the decision, arguing that there is a clear and fundamental difference between moderate chastisement by a parent motivated by “love” and physical violence.</w:t>
      </w:r>
      <w:r w:rsidR="008B79E3" w:rsidRPr="00C26157">
        <w:rPr>
          <w:rFonts w:asciiTheme="majorHAnsi" w:hAnsiTheme="majorHAnsi" w:cstheme="majorHAnsi"/>
          <w:iCs/>
          <w:vertAlign w:val="superscript"/>
        </w:rPr>
        <w:footnoteReference w:id="4"/>
      </w:r>
    </w:p>
    <w:p w14:paraId="667F8C85" w14:textId="2587F687" w:rsidR="008B79E3" w:rsidRPr="00C26157" w:rsidRDefault="004F15EA" w:rsidP="008B79E3">
      <w:pPr>
        <w:autoSpaceDE w:val="0"/>
        <w:autoSpaceDN w:val="0"/>
        <w:adjustRightInd w:val="0"/>
        <w:spacing w:after="120"/>
        <w:rPr>
          <w:rFonts w:asciiTheme="majorHAnsi" w:hAnsiTheme="majorHAnsi" w:cstheme="majorHAnsi"/>
          <w:iCs/>
        </w:rPr>
      </w:pPr>
      <w:r w:rsidRPr="00C26157">
        <w:rPr>
          <w:rFonts w:asciiTheme="majorHAnsi" w:hAnsiTheme="majorHAnsi" w:cstheme="majorHAnsi"/>
          <w:iCs/>
        </w:rPr>
        <w:t xml:space="preserve">9. </w:t>
      </w:r>
      <w:r w:rsidR="008B79E3" w:rsidRPr="00C26157">
        <w:rPr>
          <w:rFonts w:asciiTheme="majorHAnsi" w:hAnsiTheme="majorHAnsi" w:cstheme="majorHAnsi"/>
          <w:iCs/>
        </w:rPr>
        <w:t>The Children’s Act 2005 defines abuse in relation to a child as “any form of harm or ill-treatment deliberately inflicted on a child” including “assaulting a child or inflicting any other form of deliberate injury to a child” and “exposing or subjecting a child to behaviour that may harm the child psychologically or emotionally” (art. 1), but the Act does not explicitly prohibit all corporal punishment. Similarly, provisions against violence and abuse in the Constitution 1996 and the Domestic Violence Act 1998 are not interpreted as prohibiting all corporal punishment in childrearing. The Children’s Act was amended in 2007 to provide for prevention and early intervention programmes</w:t>
      </w:r>
      <w:r w:rsidR="00BC35BE" w:rsidRPr="00C26157">
        <w:rPr>
          <w:rFonts w:asciiTheme="majorHAnsi" w:hAnsiTheme="majorHAnsi" w:cstheme="majorHAnsi"/>
          <w:iCs/>
        </w:rPr>
        <w:t xml:space="preserve"> on positive discipline</w:t>
      </w:r>
      <w:r w:rsidR="008B79E3" w:rsidRPr="00C26157">
        <w:rPr>
          <w:rFonts w:asciiTheme="majorHAnsi" w:hAnsiTheme="majorHAnsi" w:cstheme="majorHAnsi"/>
          <w:iCs/>
        </w:rPr>
        <w:t xml:space="preserve">, but a clause which would have prohibited corporal punishment in the home was removed from the Amendment Bill before it was passed by Parliament, pending further investigation. </w:t>
      </w:r>
    </w:p>
    <w:p w14:paraId="4915FC7B" w14:textId="4D0D36CC" w:rsidR="008B79E3" w:rsidRPr="00C26157" w:rsidRDefault="004F15EA" w:rsidP="008B79E3">
      <w:pPr>
        <w:autoSpaceDE w:val="0"/>
        <w:autoSpaceDN w:val="0"/>
        <w:adjustRightInd w:val="0"/>
        <w:spacing w:after="120"/>
        <w:rPr>
          <w:rFonts w:asciiTheme="majorHAnsi" w:hAnsiTheme="majorHAnsi" w:cstheme="majorHAnsi"/>
        </w:rPr>
      </w:pPr>
      <w:r w:rsidRPr="00C26157">
        <w:rPr>
          <w:rFonts w:asciiTheme="majorHAnsi" w:hAnsiTheme="majorHAnsi" w:cstheme="majorHAnsi"/>
        </w:rPr>
        <w:t>10</w:t>
      </w:r>
      <w:r w:rsidR="00620321" w:rsidRPr="00C26157">
        <w:rPr>
          <w:rFonts w:asciiTheme="majorHAnsi" w:hAnsiTheme="majorHAnsi" w:cstheme="majorHAnsi"/>
        </w:rPr>
        <w:t xml:space="preserve">. </w:t>
      </w:r>
      <w:r w:rsidR="00620321" w:rsidRPr="00C26157">
        <w:rPr>
          <w:rFonts w:asciiTheme="majorHAnsi" w:hAnsiTheme="majorHAnsi" w:cstheme="majorHAnsi"/>
          <w:i/>
        </w:rPr>
        <w:t xml:space="preserve">Corporal punishment is </w:t>
      </w:r>
      <w:r w:rsidR="007D3FF7" w:rsidRPr="00C26157">
        <w:rPr>
          <w:rFonts w:asciiTheme="majorHAnsi" w:hAnsiTheme="majorHAnsi" w:cstheme="majorHAnsi"/>
          <w:i/>
        </w:rPr>
        <w:t>un</w:t>
      </w:r>
      <w:r w:rsidR="00620321" w:rsidRPr="00C26157">
        <w:rPr>
          <w:rFonts w:asciiTheme="majorHAnsi" w:hAnsiTheme="majorHAnsi" w:cstheme="majorHAnsi"/>
          <w:i/>
        </w:rPr>
        <w:t>lawful in alternative care settings</w:t>
      </w:r>
      <w:r w:rsidRPr="00C26157">
        <w:rPr>
          <w:rFonts w:asciiTheme="majorHAnsi" w:hAnsiTheme="majorHAnsi" w:cstheme="majorHAnsi"/>
          <w:i/>
        </w:rPr>
        <w:t>.</w:t>
      </w:r>
      <w:r w:rsidR="00382A8F" w:rsidRPr="00C26157">
        <w:rPr>
          <w:rFonts w:asciiTheme="majorHAnsi" w:hAnsiTheme="majorHAnsi" w:cstheme="majorHAnsi"/>
          <w:i/>
        </w:rPr>
        <w:t xml:space="preserve"> </w:t>
      </w:r>
      <w:r w:rsidR="008B79E3" w:rsidRPr="00C26157">
        <w:rPr>
          <w:rFonts w:asciiTheme="majorHAnsi" w:hAnsiTheme="majorHAnsi" w:cstheme="majorHAnsi"/>
        </w:rPr>
        <w:t>Regulations under the Children’s Act 2005 explicitly prohibit corporal punishment and other forms of humiliating and degrading punishment in foster care (art. 65), cluster foster care schemes (art. 69) and child and youth care centres (arts. 73 and 76). National Norms and Standards for Drop-In Centres states that corporal punishment should not be used (s1).</w:t>
      </w:r>
    </w:p>
    <w:p w14:paraId="29753515" w14:textId="10655F1D" w:rsidR="008B79E3" w:rsidRPr="00C26157" w:rsidRDefault="00D63AA6" w:rsidP="008B79E3">
      <w:pPr>
        <w:autoSpaceDE w:val="0"/>
        <w:autoSpaceDN w:val="0"/>
        <w:adjustRightInd w:val="0"/>
        <w:spacing w:after="120"/>
        <w:rPr>
          <w:rFonts w:asciiTheme="majorHAnsi" w:hAnsiTheme="majorHAnsi" w:cstheme="majorHAnsi"/>
        </w:rPr>
      </w:pPr>
      <w:r w:rsidRPr="00C26157">
        <w:rPr>
          <w:rFonts w:asciiTheme="majorHAnsi" w:hAnsiTheme="majorHAnsi" w:cstheme="majorHAnsi"/>
          <w:iCs/>
        </w:rPr>
        <w:t>1</w:t>
      </w:r>
      <w:r w:rsidR="004F15EA" w:rsidRPr="00C26157">
        <w:rPr>
          <w:rFonts w:asciiTheme="majorHAnsi" w:hAnsiTheme="majorHAnsi" w:cstheme="majorHAnsi"/>
          <w:iCs/>
        </w:rPr>
        <w:t>1</w:t>
      </w:r>
      <w:r w:rsidRPr="00C26157">
        <w:rPr>
          <w:rFonts w:asciiTheme="majorHAnsi" w:hAnsiTheme="majorHAnsi" w:cstheme="majorHAnsi"/>
          <w:iCs/>
        </w:rPr>
        <w:t xml:space="preserve">. </w:t>
      </w:r>
      <w:r w:rsidRPr="00C26157">
        <w:rPr>
          <w:rFonts w:asciiTheme="majorHAnsi" w:hAnsiTheme="majorHAnsi" w:cstheme="majorHAnsi"/>
          <w:i/>
        </w:rPr>
        <w:t>Corporal punishment is</w:t>
      </w:r>
      <w:r w:rsidR="005869E5" w:rsidRPr="00C26157">
        <w:rPr>
          <w:rFonts w:asciiTheme="majorHAnsi" w:hAnsiTheme="majorHAnsi" w:cstheme="majorHAnsi"/>
          <w:i/>
        </w:rPr>
        <w:t xml:space="preserve"> </w:t>
      </w:r>
      <w:r w:rsidR="004F15EA" w:rsidRPr="00C26157">
        <w:rPr>
          <w:rFonts w:asciiTheme="majorHAnsi" w:hAnsiTheme="majorHAnsi" w:cstheme="majorHAnsi"/>
          <w:i/>
        </w:rPr>
        <w:t>un</w:t>
      </w:r>
      <w:r w:rsidRPr="00C26157">
        <w:rPr>
          <w:rFonts w:asciiTheme="majorHAnsi" w:hAnsiTheme="majorHAnsi" w:cstheme="majorHAnsi"/>
          <w:i/>
        </w:rPr>
        <w:t>lawful in</w:t>
      </w:r>
      <w:r w:rsidR="005C34D5" w:rsidRPr="00C26157">
        <w:rPr>
          <w:rFonts w:asciiTheme="majorHAnsi" w:hAnsiTheme="majorHAnsi" w:cstheme="majorHAnsi"/>
          <w:i/>
        </w:rPr>
        <w:t xml:space="preserve"> </w:t>
      </w:r>
      <w:r w:rsidRPr="00C26157">
        <w:rPr>
          <w:rFonts w:asciiTheme="majorHAnsi" w:hAnsiTheme="majorHAnsi" w:cstheme="majorHAnsi"/>
          <w:i/>
        </w:rPr>
        <w:t>early childhood care and in</w:t>
      </w:r>
      <w:r w:rsidR="005C34D5" w:rsidRPr="00C26157">
        <w:rPr>
          <w:rFonts w:asciiTheme="majorHAnsi" w:hAnsiTheme="majorHAnsi" w:cstheme="majorHAnsi"/>
          <w:i/>
        </w:rPr>
        <w:t xml:space="preserve"> </w:t>
      </w:r>
      <w:r w:rsidRPr="00C26157">
        <w:rPr>
          <w:rFonts w:asciiTheme="majorHAnsi" w:hAnsiTheme="majorHAnsi" w:cstheme="majorHAnsi"/>
          <w:i/>
        </w:rPr>
        <w:t>day care for older children, including for children with disabilities</w:t>
      </w:r>
      <w:r w:rsidR="004F15EA" w:rsidRPr="00C26157">
        <w:rPr>
          <w:rFonts w:asciiTheme="majorHAnsi" w:hAnsiTheme="majorHAnsi" w:cstheme="majorHAnsi"/>
          <w:i/>
        </w:rPr>
        <w:t>.</w:t>
      </w:r>
      <w:r w:rsidR="00382A8F" w:rsidRPr="00C26157">
        <w:rPr>
          <w:rFonts w:asciiTheme="majorHAnsi" w:hAnsiTheme="majorHAnsi" w:cstheme="majorHAnsi"/>
          <w:i/>
        </w:rPr>
        <w:t xml:space="preserve"> </w:t>
      </w:r>
      <w:r w:rsidR="008B79E3" w:rsidRPr="00C26157">
        <w:rPr>
          <w:rFonts w:asciiTheme="majorHAnsi" w:hAnsiTheme="majorHAnsi" w:cstheme="majorHAnsi"/>
        </w:rPr>
        <w:t xml:space="preserve">National Norms and Standards for Early Childhood Development Programmes (s3) state that corporal punishment should not be used and it is prohibited in preschool and educational day care provision under education legislation (see </w:t>
      </w:r>
      <w:r w:rsidR="004F15EA" w:rsidRPr="00C26157">
        <w:rPr>
          <w:rFonts w:asciiTheme="majorHAnsi" w:hAnsiTheme="majorHAnsi" w:cstheme="majorHAnsi"/>
        </w:rPr>
        <w:t>below</w:t>
      </w:r>
      <w:r w:rsidR="008B79E3" w:rsidRPr="00C26157">
        <w:rPr>
          <w:rFonts w:asciiTheme="majorHAnsi" w:hAnsiTheme="majorHAnsi" w:cstheme="majorHAnsi"/>
        </w:rPr>
        <w:t>).</w:t>
      </w:r>
    </w:p>
    <w:p w14:paraId="5BD311FC" w14:textId="4C495AA3" w:rsidR="008B79E3" w:rsidRPr="00C26157" w:rsidRDefault="00D63AA6" w:rsidP="008B79E3">
      <w:pPr>
        <w:autoSpaceDE w:val="0"/>
        <w:autoSpaceDN w:val="0"/>
        <w:adjustRightInd w:val="0"/>
        <w:spacing w:after="120"/>
        <w:rPr>
          <w:rFonts w:asciiTheme="majorHAnsi" w:hAnsiTheme="majorHAnsi" w:cstheme="majorHAnsi"/>
        </w:rPr>
      </w:pPr>
      <w:r w:rsidRPr="00C26157">
        <w:rPr>
          <w:rFonts w:asciiTheme="majorHAnsi" w:hAnsiTheme="majorHAnsi" w:cstheme="majorHAnsi"/>
        </w:rPr>
        <w:t>1</w:t>
      </w:r>
      <w:r w:rsidR="004F15EA" w:rsidRPr="00C26157">
        <w:rPr>
          <w:rFonts w:asciiTheme="majorHAnsi" w:hAnsiTheme="majorHAnsi" w:cstheme="majorHAnsi"/>
        </w:rPr>
        <w:t>2</w:t>
      </w:r>
      <w:r w:rsidRPr="00C26157">
        <w:rPr>
          <w:rFonts w:asciiTheme="majorHAnsi" w:hAnsiTheme="majorHAnsi" w:cstheme="majorHAnsi"/>
        </w:rPr>
        <w:t xml:space="preserve">. </w:t>
      </w:r>
      <w:bookmarkStart w:id="3" w:name="OLE_LINK44"/>
      <w:bookmarkStart w:id="4" w:name="OLE_LINK45"/>
      <w:r w:rsidRPr="00C26157">
        <w:rPr>
          <w:rFonts w:asciiTheme="majorHAnsi" w:hAnsiTheme="majorHAnsi" w:cstheme="majorHAnsi"/>
          <w:i/>
        </w:rPr>
        <w:t xml:space="preserve">Corporal punishment is </w:t>
      </w:r>
      <w:r w:rsidR="00187327" w:rsidRPr="00C26157">
        <w:rPr>
          <w:rFonts w:asciiTheme="majorHAnsi" w:hAnsiTheme="majorHAnsi" w:cstheme="majorHAnsi"/>
          <w:i/>
        </w:rPr>
        <w:t>un</w:t>
      </w:r>
      <w:r w:rsidRPr="00C26157">
        <w:rPr>
          <w:rFonts w:asciiTheme="majorHAnsi" w:hAnsiTheme="majorHAnsi" w:cstheme="majorHAnsi"/>
          <w:i/>
        </w:rPr>
        <w:t>lawful in schools</w:t>
      </w:r>
      <w:bookmarkEnd w:id="3"/>
      <w:bookmarkEnd w:id="4"/>
      <w:r w:rsidR="004F7EF9" w:rsidRPr="00C26157">
        <w:rPr>
          <w:rFonts w:asciiTheme="majorHAnsi" w:hAnsiTheme="majorHAnsi" w:cstheme="majorHAnsi"/>
        </w:rPr>
        <w:t xml:space="preserve"> </w:t>
      </w:r>
      <w:r w:rsidR="004F15EA" w:rsidRPr="00C26157">
        <w:rPr>
          <w:rFonts w:asciiTheme="majorHAnsi" w:hAnsiTheme="majorHAnsi" w:cstheme="majorHAnsi"/>
        </w:rPr>
        <w:t>under</w:t>
      </w:r>
      <w:r w:rsidR="008B79E3" w:rsidRPr="00C26157">
        <w:rPr>
          <w:rFonts w:asciiTheme="majorHAnsi" w:hAnsiTheme="majorHAnsi" w:cstheme="majorHAnsi"/>
        </w:rPr>
        <w:t xml:space="preserve"> the South African Schools Act 1996 (art. 10): “(1) No person may administer corporal punishment at a school to a learner. (2) Any person who contravenes subsection (1) is guilty of an offence and liable on conviction to a sentence which could be imposed for assault.” Prohibition is also included in the National Education Policy Act 1996 (art. 3) and the Further Education and Training Colleges Act 2006 (art. 16). In 2000, the Constitutional Court dismissed a bid by 196 Christian schools to make an exception to the prohibition on grounds of religious conviction.</w:t>
      </w:r>
      <w:r w:rsidR="008B79E3" w:rsidRPr="00C26157">
        <w:rPr>
          <w:rFonts w:asciiTheme="majorHAnsi" w:hAnsiTheme="majorHAnsi" w:cstheme="majorHAnsi"/>
          <w:vertAlign w:val="superscript"/>
        </w:rPr>
        <w:footnoteReference w:id="5"/>
      </w:r>
    </w:p>
    <w:p w14:paraId="085AD909" w14:textId="07280C5B" w:rsidR="008B79E3" w:rsidRPr="00C26157" w:rsidRDefault="00D63AA6" w:rsidP="008B79E3">
      <w:pPr>
        <w:autoSpaceDE w:val="0"/>
        <w:autoSpaceDN w:val="0"/>
        <w:adjustRightInd w:val="0"/>
        <w:spacing w:after="120"/>
        <w:rPr>
          <w:rFonts w:asciiTheme="majorHAnsi" w:hAnsiTheme="majorHAnsi" w:cstheme="majorHAnsi"/>
        </w:rPr>
      </w:pPr>
      <w:r w:rsidRPr="00C26157">
        <w:rPr>
          <w:rFonts w:asciiTheme="majorHAnsi" w:hAnsiTheme="majorHAnsi" w:cstheme="majorHAnsi"/>
        </w:rPr>
        <w:t>1</w:t>
      </w:r>
      <w:r w:rsidR="004F15EA" w:rsidRPr="00C26157">
        <w:rPr>
          <w:rFonts w:asciiTheme="majorHAnsi" w:hAnsiTheme="majorHAnsi" w:cstheme="majorHAnsi"/>
        </w:rPr>
        <w:t>3</w:t>
      </w:r>
      <w:r w:rsidRPr="00C26157">
        <w:rPr>
          <w:rFonts w:asciiTheme="majorHAnsi" w:hAnsiTheme="majorHAnsi" w:cstheme="majorHAnsi"/>
        </w:rPr>
        <w:t xml:space="preserve">. </w:t>
      </w:r>
      <w:r w:rsidR="00591A1C" w:rsidRPr="00C26157">
        <w:rPr>
          <w:rFonts w:asciiTheme="majorHAnsi" w:hAnsiTheme="majorHAnsi" w:cstheme="majorHAnsi"/>
          <w:i/>
        </w:rPr>
        <w:t>Corporal punishment is</w:t>
      </w:r>
      <w:r w:rsidR="004F7EF9" w:rsidRPr="00C26157">
        <w:rPr>
          <w:rFonts w:asciiTheme="majorHAnsi" w:hAnsiTheme="majorHAnsi" w:cstheme="majorHAnsi"/>
          <w:i/>
        </w:rPr>
        <w:t xml:space="preserve"> </w:t>
      </w:r>
      <w:r w:rsidR="001B7D95" w:rsidRPr="00C26157">
        <w:rPr>
          <w:rFonts w:asciiTheme="majorHAnsi" w:hAnsiTheme="majorHAnsi" w:cstheme="majorHAnsi"/>
          <w:i/>
        </w:rPr>
        <w:t>un</w:t>
      </w:r>
      <w:r w:rsidR="00CB457A" w:rsidRPr="00C26157">
        <w:rPr>
          <w:rFonts w:asciiTheme="majorHAnsi" w:hAnsiTheme="majorHAnsi" w:cstheme="majorHAnsi"/>
          <w:i/>
        </w:rPr>
        <w:t>l</w:t>
      </w:r>
      <w:r w:rsidRPr="00C26157">
        <w:rPr>
          <w:rFonts w:asciiTheme="majorHAnsi" w:hAnsiTheme="majorHAnsi" w:cstheme="majorHAnsi"/>
          <w:i/>
        </w:rPr>
        <w:t>awful as a disciplinary measure in penal institutions</w:t>
      </w:r>
      <w:r w:rsidR="008B79E3" w:rsidRPr="00C26157">
        <w:rPr>
          <w:rFonts w:asciiTheme="majorHAnsi" w:hAnsiTheme="majorHAnsi" w:cstheme="majorHAnsi"/>
        </w:rPr>
        <w:t>. The Correctional Services Second Amendment Act 1996 abolished disciplinary corporal punishment in prisons in respect of civil debtors, though there is no explicit prohibition of corporal punishment in the Correctional Services Act 1998. Regulations under the Children’s Act 2005 explicitly prohibit corporal punishment in child and youth care centres and put a duty on the manager and staff of such centres to promote positive discipline (arts. 73 and 76). The Child Justice Act 2008 states that in applying the Act “the rights and obligations of children contained in international and regional instruments, with particular reference to the United Nations Convention on the Rights of the Child and the African Charter on the Rights and Welfare of the Child” must be taken into account (art. 3(i)).</w:t>
      </w:r>
    </w:p>
    <w:p w14:paraId="1FDD1919" w14:textId="512945CA" w:rsidR="008B79E3" w:rsidRPr="00C26157" w:rsidRDefault="00D63AA6" w:rsidP="008B79E3">
      <w:pPr>
        <w:autoSpaceDE w:val="0"/>
        <w:autoSpaceDN w:val="0"/>
        <w:adjustRightInd w:val="0"/>
        <w:spacing w:after="120"/>
        <w:rPr>
          <w:rFonts w:asciiTheme="majorHAnsi" w:hAnsiTheme="majorHAnsi" w:cstheme="majorHAnsi"/>
        </w:rPr>
      </w:pPr>
      <w:r w:rsidRPr="00C26157">
        <w:rPr>
          <w:rFonts w:asciiTheme="majorHAnsi" w:hAnsiTheme="majorHAnsi" w:cstheme="majorHAnsi"/>
        </w:rPr>
        <w:t>1</w:t>
      </w:r>
      <w:r w:rsidR="004F15EA" w:rsidRPr="00C26157">
        <w:rPr>
          <w:rFonts w:asciiTheme="majorHAnsi" w:hAnsiTheme="majorHAnsi" w:cstheme="majorHAnsi"/>
        </w:rPr>
        <w:t>4</w:t>
      </w:r>
      <w:r w:rsidRPr="00C26157">
        <w:rPr>
          <w:rFonts w:asciiTheme="majorHAnsi" w:hAnsiTheme="majorHAnsi" w:cstheme="majorHAnsi"/>
        </w:rPr>
        <w:t xml:space="preserve">. </w:t>
      </w:r>
      <w:r w:rsidRPr="00C26157">
        <w:rPr>
          <w:rFonts w:asciiTheme="majorHAnsi" w:hAnsiTheme="majorHAnsi" w:cstheme="majorHAnsi"/>
          <w:i/>
        </w:rPr>
        <w:t>Corporal punishment is unlawful as a sentence for crime</w:t>
      </w:r>
      <w:r w:rsidR="008B79E3" w:rsidRPr="00C26157">
        <w:rPr>
          <w:rFonts w:asciiTheme="majorHAnsi" w:hAnsiTheme="majorHAnsi" w:cstheme="majorHAnsi"/>
        </w:rPr>
        <w:t xml:space="preserve"> under the Abolition of Corporal Punishment Act 1997, enacted following a Constitutional Court judgment in 1995 that whipping is unconstitutional, stating that “</w:t>
      </w:r>
      <w:r w:rsidR="008B79E3" w:rsidRPr="00C26157">
        <w:rPr>
          <w:rFonts w:asciiTheme="majorHAnsi" w:hAnsiTheme="majorHAnsi" w:cstheme="majorHAnsi"/>
          <w:lang w:val="en-US"/>
        </w:rPr>
        <w:t xml:space="preserve">at this time, so close to the dawn of the 21st century, juvenile </w:t>
      </w:r>
      <w:r w:rsidR="008B79E3" w:rsidRPr="00C26157">
        <w:rPr>
          <w:rFonts w:asciiTheme="majorHAnsi" w:hAnsiTheme="majorHAnsi" w:cstheme="majorHAnsi"/>
          <w:lang w:val="en-US"/>
        </w:rPr>
        <w:lastRenderedPageBreak/>
        <w:t xml:space="preserve">whipping is cruel, it is inhuman and it is degrading” and </w:t>
      </w:r>
      <w:r w:rsidR="008B79E3" w:rsidRPr="00C26157">
        <w:rPr>
          <w:rFonts w:asciiTheme="majorHAnsi" w:hAnsiTheme="majorHAnsi" w:cstheme="majorHAnsi"/>
        </w:rPr>
        <w:t>“[a] culture of authority which legitimates the use of violence is inconsistent with the values for which the Constitution stands”.</w:t>
      </w:r>
      <w:r w:rsidR="008B79E3" w:rsidRPr="00C26157">
        <w:rPr>
          <w:rFonts w:asciiTheme="majorHAnsi" w:hAnsiTheme="majorHAnsi" w:cstheme="majorHAnsi"/>
          <w:vertAlign w:val="superscript"/>
        </w:rPr>
        <w:footnoteReference w:id="6"/>
      </w:r>
      <w:r w:rsidR="008B79E3" w:rsidRPr="00C26157">
        <w:rPr>
          <w:rFonts w:asciiTheme="majorHAnsi" w:hAnsiTheme="majorHAnsi" w:cstheme="majorHAnsi"/>
        </w:rPr>
        <w:t xml:space="preserve"> The judgment also states: “There is no dignity in the act [of corporal punishment] itself; the recipient might struggle against himself to maintain a semblance of dignified suffering or even unconcern; there is no dignity even in the person delivering the punishment. It is a practice which debases everyone involved in it.”</w:t>
      </w:r>
      <w:r w:rsidR="008B79E3" w:rsidRPr="00C26157">
        <w:rPr>
          <w:rFonts w:asciiTheme="majorHAnsi" w:hAnsiTheme="majorHAnsi" w:cstheme="majorHAnsi"/>
          <w:vertAlign w:val="superscript"/>
        </w:rPr>
        <w:footnoteReference w:id="7"/>
      </w:r>
      <w:r w:rsidR="008B79E3" w:rsidRPr="00C26157">
        <w:rPr>
          <w:rFonts w:asciiTheme="majorHAnsi" w:hAnsiTheme="majorHAnsi" w:cstheme="majorHAnsi"/>
        </w:rPr>
        <w:t xml:space="preserve"> There is no provision for corporal punishment in the Child Justice Act 2008.</w:t>
      </w:r>
    </w:p>
    <w:p w14:paraId="291E4771" w14:textId="3398B3F1" w:rsidR="00BC35BE" w:rsidRPr="00C26157" w:rsidRDefault="00382A8F" w:rsidP="008B79E3">
      <w:pPr>
        <w:autoSpaceDE w:val="0"/>
        <w:autoSpaceDN w:val="0"/>
        <w:adjustRightInd w:val="0"/>
        <w:spacing w:after="120"/>
        <w:rPr>
          <w:rFonts w:asciiTheme="majorHAnsi" w:hAnsiTheme="majorHAnsi" w:cstheme="majorHAnsi"/>
          <w:iCs/>
        </w:rPr>
      </w:pPr>
      <w:r w:rsidRPr="00C26157">
        <w:rPr>
          <w:rFonts w:asciiTheme="majorHAnsi" w:hAnsiTheme="majorHAnsi" w:cstheme="majorHAnsi"/>
        </w:rPr>
        <w:t>1</w:t>
      </w:r>
      <w:r w:rsidR="004F15EA" w:rsidRPr="00C26157">
        <w:rPr>
          <w:rFonts w:asciiTheme="majorHAnsi" w:hAnsiTheme="majorHAnsi" w:cstheme="majorHAnsi"/>
        </w:rPr>
        <w:t>5</w:t>
      </w:r>
      <w:r w:rsidRPr="00C26157">
        <w:rPr>
          <w:rFonts w:asciiTheme="majorHAnsi" w:hAnsiTheme="majorHAnsi" w:cstheme="majorHAnsi"/>
        </w:rPr>
        <w:t xml:space="preserve">. </w:t>
      </w:r>
      <w:r w:rsidRPr="00C26157">
        <w:rPr>
          <w:rFonts w:asciiTheme="majorHAnsi" w:hAnsiTheme="majorHAnsi" w:cstheme="majorHAnsi"/>
          <w:i/>
        </w:rPr>
        <w:t>Opportunities for law reform.</w:t>
      </w:r>
      <w:r w:rsidRPr="00C26157">
        <w:rPr>
          <w:rFonts w:asciiTheme="majorHAnsi" w:hAnsiTheme="majorHAnsi" w:cstheme="majorHAnsi"/>
        </w:rPr>
        <w:t xml:space="preserve"> </w:t>
      </w:r>
      <w:r w:rsidR="008B79E3" w:rsidRPr="00C26157">
        <w:rPr>
          <w:rFonts w:asciiTheme="majorHAnsi" w:hAnsiTheme="majorHAnsi" w:cstheme="majorHAnsi"/>
          <w:iCs/>
        </w:rPr>
        <w:t>The Government signalled its commitment to law reform in accepting the recommendation to prohibit corporal punishment in the home and other settings made during the Universal Periodic Review (UPR) of South Africa in 2012</w:t>
      </w:r>
      <w:r w:rsidR="008B79E3" w:rsidRPr="00C26157">
        <w:rPr>
          <w:rFonts w:asciiTheme="majorHAnsi" w:hAnsiTheme="majorHAnsi" w:cstheme="majorHAnsi"/>
          <w:bCs/>
          <w:iCs/>
          <w:vertAlign w:val="superscript"/>
        </w:rPr>
        <w:footnoteReference w:id="8"/>
      </w:r>
      <w:r w:rsidR="008B79E3" w:rsidRPr="00C26157">
        <w:rPr>
          <w:rFonts w:asciiTheme="majorHAnsi" w:hAnsiTheme="majorHAnsi" w:cstheme="majorHAnsi"/>
          <w:iCs/>
        </w:rPr>
        <w:t xml:space="preserve"> and in the support of the Department of Social Development for proposals to include explicit prohibition made in the context of the review of the Children’s Act. The Government reiterated its intention to prohibit corporal punishment in 2014.</w:t>
      </w:r>
      <w:r w:rsidR="008B79E3" w:rsidRPr="00C26157">
        <w:rPr>
          <w:rFonts w:asciiTheme="majorHAnsi" w:hAnsiTheme="majorHAnsi" w:cstheme="majorHAnsi"/>
          <w:iCs/>
          <w:vertAlign w:val="superscript"/>
        </w:rPr>
        <w:footnoteReference w:id="9"/>
      </w:r>
      <w:r w:rsidR="008B79E3" w:rsidRPr="00C26157">
        <w:rPr>
          <w:rFonts w:asciiTheme="majorHAnsi" w:hAnsiTheme="majorHAnsi" w:cstheme="majorHAnsi"/>
          <w:iCs/>
        </w:rPr>
        <w:t xml:space="preserve"> Amendments to the Children’s Act were </w:t>
      </w:r>
      <w:r w:rsidR="00C26157" w:rsidRPr="00C26157">
        <w:rPr>
          <w:rFonts w:asciiTheme="majorHAnsi" w:hAnsiTheme="majorHAnsi" w:cstheme="majorHAnsi"/>
          <w:iCs/>
        </w:rPr>
        <w:t xml:space="preserve">then </w:t>
      </w:r>
      <w:r w:rsidR="008B79E3" w:rsidRPr="00C26157">
        <w:rPr>
          <w:rFonts w:asciiTheme="majorHAnsi" w:hAnsiTheme="majorHAnsi" w:cstheme="majorHAnsi"/>
          <w:iCs/>
        </w:rPr>
        <w:t>drafted which would explicitly prohibit all corporal punishment and repeal the common law defence of “reasonable chastisement”. But in May 2015, the Minister of Social Development tabled the Children’s Amendment Bill and the Children’s Second Amendment Bill in Parliament, neither of which includes prohibition of corporal punishment or repeal of the “reasonable chastisement” defence. According to the South African Human Rights Commission, the purpose of the Bills was primarily to align the Children’s Act with Constitutional Court judgments, and a Children’s Third Amendment Bill addresses corporal punishment in the home though there are no indications when this Bill will be published for public engagement.</w:t>
      </w:r>
      <w:r w:rsidR="008B79E3" w:rsidRPr="00C26157">
        <w:rPr>
          <w:rFonts w:asciiTheme="majorHAnsi" w:hAnsiTheme="majorHAnsi" w:cstheme="majorHAnsi"/>
          <w:iCs/>
          <w:vertAlign w:val="superscript"/>
        </w:rPr>
        <w:footnoteReference w:id="10"/>
      </w:r>
      <w:r w:rsidR="008B79E3" w:rsidRPr="00C26157">
        <w:rPr>
          <w:rFonts w:asciiTheme="majorHAnsi" w:hAnsiTheme="majorHAnsi" w:cstheme="majorHAnsi"/>
          <w:iCs/>
        </w:rPr>
        <w:t xml:space="preserve"> The prohibition clause proposed in this Third Amendment Bill states that “no child may be subjected to corporal punishment or be punished in a cruel, inhuman or degrading way” and “the common law defence of reasonable chastisement … is hereby abolished”: it was expected to be tabled in 2016.</w:t>
      </w:r>
      <w:r w:rsidR="008B79E3" w:rsidRPr="00C26157">
        <w:rPr>
          <w:rFonts w:asciiTheme="majorHAnsi" w:hAnsiTheme="majorHAnsi" w:cstheme="majorHAnsi"/>
          <w:iCs/>
          <w:vertAlign w:val="superscript"/>
        </w:rPr>
        <w:footnoteReference w:id="11"/>
      </w:r>
      <w:r w:rsidR="008B79E3" w:rsidRPr="00C26157">
        <w:rPr>
          <w:rFonts w:asciiTheme="majorHAnsi" w:hAnsiTheme="majorHAnsi" w:cstheme="majorHAnsi"/>
          <w:iCs/>
        </w:rPr>
        <w:t xml:space="preserve"> As at October 2017, it has not yet been introduced in Parliament. </w:t>
      </w:r>
      <w:r w:rsidR="00BC35BE" w:rsidRPr="00C26157">
        <w:rPr>
          <w:rFonts w:asciiTheme="majorHAnsi" w:hAnsiTheme="majorHAnsi" w:cstheme="majorHAnsi"/>
          <w:iCs/>
        </w:rPr>
        <w:t>The Government ‘noted’ (did not support) recommendations to prohibit corporal punishment in all settings during the Universal Periodic Review in September 2017.</w:t>
      </w:r>
      <w:r w:rsidR="00BC35BE" w:rsidRPr="00C26157">
        <w:rPr>
          <w:rFonts w:asciiTheme="majorHAnsi" w:hAnsiTheme="majorHAnsi" w:cstheme="majorHAnsi"/>
          <w:iCs/>
          <w:vertAlign w:val="superscript"/>
        </w:rPr>
        <w:footnoteReference w:id="12"/>
      </w:r>
    </w:p>
    <w:p w14:paraId="16213BE0" w14:textId="343B7F6A" w:rsidR="00C26157" w:rsidRPr="00C26157" w:rsidRDefault="00C26157" w:rsidP="008B79E3">
      <w:pPr>
        <w:autoSpaceDE w:val="0"/>
        <w:autoSpaceDN w:val="0"/>
        <w:adjustRightInd w:val="0"/>
        <w:spacing w:after="120"/>
        <w:rPr>
          <w:rFonts w:asciiTheme="majorHAnsi" w:hAnsiTheme="majorHAnsi" w:cstheme="majorHAnsi"/>
          <w:iCs/>
        </w:rPr>
      </w:pPr>
      <w:r w:rsidRPr="00C26157">
        <w:rPr>
          <w:rFonts w:asciiTheme="majorHAnsi" w:hAnsiTheme="majorHAnsi" w:cstheme="majorHAnsi"/>
          <w:iCs/>
        </w:rPr>
        <w:t>16. South Africa became a Pathfinder country with the Global Partnership to End Violence Against Children in early 2018. This commits the Government to three to five years of accelerated action towards the achievement of Target 16.2 of the Sustainable Development Goals.</w:t>
      </w:r>
    </w:p>
    <w:p w14:paraId="0632C366" w14:textId="35DDFF97" w:rsidR="007F7529" w:rsidRPr="00C26157" w:rsidRDefault="007F7529" w:rsidP="007F7529">
      <w:pPr>
        <w:pStyle w:val="Heading2"/>
        <w:spacing w:after="120"/>
        <w:rPr>
          <w:rFonts w:asciiTheme="majorHAnsi" w:hAnsiTheme="majorHAnsi" w:cstheme="majorHAnsi"/>
          <w:b w:val="0"/>
          <w:sz w:val="26"/>
          <w:szCs w:val="26"/>
          <w:lang w:val="en-US"/>
        </w:rPr>
      </w:pPr>
      <w:r w:rsidRPr="00C26157">
        <w:rPr>
          <w:rFonts w:asciiTheme="majorHAnsi" w:hAnsiTheme="majorHAnsi" w:cstheme="majorHAnsi"/>
          <w:sz w:val="26"/>
          <w:szCs w:val="26"/>
        </w:rPr>
        <w:t>Recommendations by human rights treaty monitoring bodies</w:t>
      </w:r>
      <w:r w:rsidR="008730E0" w:rsidRPr="00C26157">
        <w:rPr>
          <w:rFonts w:asciiTheme="majorHAnsi" w:hAnsiTheme="majorHAnsi" w:cstheme="majorHAnsi"/>
          <w:sz w:val="26"/>
          <w:szCs w:val="26"/>
        </w:rPr>
        <w:t xml:space="preserve"> </w:t>
      </w:r>
      <w:r w:rsidR="007D3FF7" w:rsidRPr="00C26157">
        <w:rPr>
          <w:rFonts w:asciiTheme="majorHAnsi" w:hAnsiTheme="majorHAnsi" w:cstheme="majorHAnsi"/>
          <w:sz w:val="26"/>
          <w:szCs w:val="26"/>
          <w:lang w:val="en-US"/>
        </w:rPr>
        <w:t>and during the UPR</w:t>
      </w:r>
    </w:p>
    <w:p w14:paraId="01D6FB49" w14:textId="510F37E2" w:rsidR="00F67CC5" w:rsidRPr="00C26157" w:rsidRDefault="00F67CC5" w:rsidP="00F67CC5">
      <w:pPr>
        <w:spacing w:after="240"/>
        <w:rPr>
          <w:rFonts w:asciiTheme="majorHAnsi" w:hAnsiTheme="majorHAnsi" w:cstheme="majorHAnsi"/>
          <w:bCs/>
        </w:rPr>
      </w:pPr>
      <w:r w:rsidRPr="00C26157">
        <w:rPr>
          <w:rFonts w:asciiTheme="majorHAnsi" w:hAnsiTheme="majorHAnsi" w:cstheme="majorHAnsi"/>
        </w:rPr>
        <w:t>1</w:t>
      </w:r>
      <w:r w:rsidR="00BC35BE" w:rsidRPr="00C26157">
        <w:rPr>
          <w:rFonts w:asciiTheme="majorHAnsi" w:hAnsiTheme="majorHAnsi" w:cstheme="majorHAnsi"/>
        </w:rPr>
        <w:t>7</w:t>
      </w:r>
      <w:r w:rsidRPr="00C26157">
        <w:rPr>
          <w:rFonts w:asciiTheme="majorHAnsi" w:hAnsiTheme="majorHAnsi" w:cstheme="majorHAnsi"/>
        </w:rPr>
        <w:t xml:space="preserve">. </w:t>
      </w:r>
      <w:r w:rsidR="008B79E3" w:rsidRPr="00C26157">
        <w:rPr>
          <w:rFonts w:asciiTheme="majorHAnsi" w:hAnsiTheme="majorHAnsi" w:cstheme="majorHAnsi"/>
          <w:bCs/>
        </w:rPr>
        <w:t xml:space="preserve">In 2000, the </w:t>
      </w:r>
      <w:r w:rsidR="008B79E3" w:rsidRPr="00C26157">
        <w:rPr>
          <w:rFonts w:asciiTheme="majorHAnsi" w:hAnsiTheme="majorHAnsi" w:cstheme="majorHAnsi"/>
          <w:bCs/>
          <w:i/>
        </w:rPr>
        <w:t>Committee on the Rights of the Child</w:t>
      </w:r>
      <w:r w:rsidR="008B79E3" w:rsidRPr="00C26157">
        <w:rPr>
          <w:rFonts w:asciiTheme="majorHAnsi" w:hAnsiTheme="majorHAnsi" w:cstheme="majorHAnsi"/>
          <w:bCs/>
        </w:rPr>
        <w:t xml:space="preserve"> recommended that corporal punishment be prohibited in the home and care institutions in South Africa.</w:t>
      </w:r>
      <w:r w:rsidR="008B79E3" w:rsidRPr="00C26157">
        <w:rPr>
          <w:rFonts w:asciiTheme="majorHAnsi" w:hAnsiTheme="majorHAnsi" w:cstheme="majorHAnsi"/>
          <w:bCs/>
          <w:vertAlign w:val="superscript"/>
        </w:rPr>
        <w:footnoteReference w:id="13"/>
      </w:r>
      <w:r w:rsidR="008B79E3" w:rsidRPr="00C26157">
        <w:rPr>
          <w:rFonts w:asciiTheme="majorHAnsi" w:hAnsiTheme="majorHAnsi" w:cstheme="majorHAnsi"/>
          <w:bCs/>
        </w:rPr>
        <w:t xml:space="preserve"> In the Committee’s Concluding Observations on South Africa’s second report in 2016, the Committee welcomed the prohibition in penal institutions and in care settings but again recommended the prohibition of all corporal punishment in the home, including “reasonable chastisement”.</w:t>
      </w:r>
      <w:r w:rsidR="008B79E3" w:rsidRPr="00C26157">
        <w:rPr>
          <w:rFonts w:asciiTheme="majorHAnsi" w:hAnsiTheme="majorHAnsi" w:cstheme="majorHAnsi"/>
          <w:bCs/>
          <w:vertAlign w:val="superscript"/>
        </w:rPr>
        <w:footnoteReference w:id="14"/>
      </w:r>
    </w:p>
    <w:p w14:paraId="0B5D0751" w14:textId="621CE160" w:rsidR="007D3FF7" w:rsidRPr="00C26157" w:rsidRDefault="007D3FF7" w:rsidP="00F67CC5">
      <w:pPr>
        <w:spacing w:after="240"/>
        <w:rPr>
          <w:rFonts w:asciiTheme="majorHAnsi" w:hAnsiTheme="majorHAnsi" w:cstheme="majorHAnsi"/>
          <w:bCs/>
        </w:rPr>
      </w:pPr>
      <w:r w:rsidRPr="00C26157">
        <w:rPr>
          <w:rFonts w:asciiTheme="majorHAnsi" w:hAnsiTheme="majorHAnsi" w:cstheme="majorHAnsi"/>
          <w:bCs/>
        </w:rPr>
        <w:t>1</w:t>
      </w:r>
      <w:r w:rsidR="00BC35BE" w:rsidRPr="00C26157">
        <w:rPr>
          <w:rFonts w:asciiTheme="majorHAnsi" w:hAnsiTheme="majorHAnsi" w:cstheme="majorHAnsi"/>
          <w:bCs/>
        </w:rPr>
        <w:t>8</w:t>
      </w:r>
      <w:r w:rsidRPr="00C26157">
        <w:rPr>
          <w:rFonts w:asciiTheme="majorHAnsi" w:hAnsiTheme="majorHAnsi" w:cstheme="majorHAnsi"/>
          <w:bCs/>
        </w:rPr>
        <w:t xml:space="preserve">. </w:t>
      </w:r>
      <w:r w:rsidR="008B79E3" w:rsidRPr="00C26157">
        <w:rPr>
          <w:rFonts w:asciiTheme="majorHAnsi" w:hAnsiTheme="majorHAnsi" w:cstheme="majorHAnsi"/>
          <w:bCs/>
        </w:rPr>
        <w:t xml:space="preserve">In 2016, the </w:t>
      </w:r>
      <w:r w:rsidR="008B79E3" w:rsidRPr="00C26157">
        <w:rPr>
          <w:rFonts w:asciiTheme="majorHAnsi" w:hAnsiTheme="majorHAnsi" w:cstheme="majorHAnsi"/>
          <w:bCs/>
          <w:i/>
        </w:rPr>
        <w:t>Human Rights Committee</w:t>
      </w:r>
      <w:r w:rsidR="008B79E3" w:rsidRPr="00C26157">
        <w:rPr>
          <w:rFonts w:asciiTheme="majorHAnsi" w:hAnsiTheme="majorHAnsi" w:cstheme="majorHAnsi"/>
          <w:bCs/>
        </w:rPr>
        <w:t xml:space="preserve"> expressed concern at the legality and prevalence of corporal punishment and recommended that South Africa take legislative measures to end corporal punishment in all settings.</w:t>
      </w:r>
      <w:r w:rsidR="008B79E3" w:rsidRPr="00C26157">
        <w:rPr>
          <w:rFonts w:asciiTheme="majorHAnsi" w:hAnsiTheme="majorHAnsi" w:cstheme="majorHAnsi"/>
          <w:bCs/>
          <w:vertAlign w:val="superscript"/>
        </w:rPr>
        <w:footnoteReference w:id="15"/>
      </w:r>
    </w:p>
    <w:p w14:paraId="2F72CECD" w14:textId="3CA40DBD" w:rsidR="00F67CC5" w:rsidRPr="00C26157" w:rsidRDefault="007D3FF7" w:rsidP="00F67CC5">
      <w:pPr>
        <w:spacing w:after="240"/>
        <w:rPr>
          <w:rFonts w:asciiTheme="majorHAnsi" w:hAnsiTheme="majorHAnsi" w:cstheme="majorHAnsi"/>
          <w:bCs/>
        </w:rPr>
      </w:pPr>
      <w:r w:rsidRPr="00C26157">
        <w:rPr>
          <w:rFonts w:asciiTheme="majorHAnsi" w:hAnsiTheme="majorHAnsi" w:cstheme="majorHAnsi"/>
          <w:bCs/>
        </w:rPr>
        <w:t>1</w:t>
      </w:r>
      <w:r w:rsidR="00BC35BE" w:rsidRPr="00C26157">
        <w:rPr>
          <w:rFonts w:asciiTheme="majorHAnsi" w:hAnsiTheme="majorHAnsi" w:cstheme="majorHAnsi"/>
          <w:bCs/>
        </w:rPr>
        <w:t>9</w:t>
      </w:r>
      <w:r w:rsidRPr="00C26157">
        <w:rPr>
          <w:rFonts w:asciiTheme="majorHAnsi" w:hAnsiTheme="majorHAnsi" w:cstheme="majorHAnsi"/>
          <w:bCs/>
        </w:rPr>
        <w:t xml:space="preserve">. </w:t>
      </w:r>
      <w:r w:rsidR="008B79E3" w:rsidRPr="00C26157">
        <w:rPr>
          <w:rFonts w:asciiTheme="majorHAnsi" w:hAnsiTheme="majorHAnsi" w:cstheme="majorHAnsi"/>
          <w:bCs/>
        </w:rPr>
        <w:t xml:space="preserve">In 2006, the </w:t>
      </w:r>
      <w:r w:rsidR="008B79E3" w:rsidRPr="00C26157">
        <w:rPr>
          <w:rFonts w:asciiTheme="majorHAnsi" w:hAnsiTheme="majorHAnsi" w:cstheme="majorHAnsi"/>
          <w:bCs/>
          <w:i/>
        </w:rPr>
        <w:t>Committee Against Torture</w:t>
      </w:r>
      <w:r w:rsidR="008B79E3" w:rsidRPr="00C26157">
        <w:rPr>
          <w:rFonts w:asciiTheme="majorHAnsi" w:hAnsiTheme="majorHAnsi" w:cstheme="majorHAnsi"/>
          <w:bCs/>
        </w:rPr>
        <w:t xml:space="preserve"> recommended to South Africa that legislation prohibiting corporal punishment in schools be strictly implemented.</w:t>
      </w:r>
      <w:r w:rsidR="008B79E3" w:rsidRPr="00C26157">
        <w:rPr>
          <w:rFonts w:asciiTheme="majorHAnsi" w:hAnsiTheme="majorHAnsi" w:cstheme="majorHAnsi"/>
          <w:bCs/>
          <w:vertAlign w:val="superscript"/>
        </w:rPr>
        <w:footnoteReference w:id="16"/>
      </w:r>
    </w:p>
    <w:p w14:paraId="4A7D43B5" w14:textId="0E89614A" w:rsidR="008B79E3" w:rsidRPr="00C26157" w:rsidRDefault="00BC35BE" w:rsidP="00F67CC5">
      <w:pPr>
        <w:spacing w:after="240"/>
        <w:rPr>
          <w:rFonts w:asciiTheme="majorHAnsi" w:hAnsiTheme="majorHAnsi" w:cstheme="majorHAnsi"/>
          <w:bCs/>
        </w:rPr>
      </w:pPr>
      <w:r w:rsidRPr="00C26157">
        <w:rPr>
          <w:rFonts w:asciiTheme="majorHAnsi" w:hAnsiTheme="majorHAnsi" w:cstheme="majorHAnsi"/>
          <w:bCs/>
        </w:rPr>
        <w:t>20</w:t>
      </w:r>
      <w:r w:rsidR="008B79E3" w:rsidRPr="00C26157">
        <w:rPr>
          <w:rFonts w:asciiTheme="majorHAnsi" w:hAnsiTheme="majorHAnsi" w:cstheme="majorHAnsi"/>
          <w:bCs/>
        </w:rPr>
        <w:t xml:space="preserve">. In 2014, the </w:t>
      </w:r>
      <w:r w:rsidR="008B79E3" w:rsidRPr="00C26157">
        <w:rPr>
          <w:rFonts w:asciiTheme="majorHAnsi" w:hAnsiTheme="majorHAnsi" w:cstheme="majorHAnsi"/>
          <w:bCs/>
          <w:i/>
        </w:rPr>
        <w:t>African Committee of Experts on the Rights and Welfare of the Child</w:t>
      </w:r>
      <w:r w:rsidR="008B79E3" w:rsidRPr="00C26157">
        <w:rPr>
          <w:rFonts w:asciiTheme="majorHAnsi" w:hAnsiTheme="majorHAnsi" w:cstheme="majorHAnsi"/>
          <w:bCs/>
        </w:rPr>
        <w:t xml:space="preserve"> recommended that South Africa “expedite the process of amending the Children’s Act to explicitly ban corporal punishment in all settings including in the home”.</w:t>
      </w:r>
      <w:r w:rsidR="008B79E3" w:rsidRPr="00C26157">
        <w:rPr>
          <w:rFonts w:asciiTheme="majorHAnsi" w:hAnsiTheme="majorHAnsi" w:cstheme="majorHAnsi"/>
          <w:bCs/>
          <w:vertAlign w:val="superscript"/>
        </w:rPr>
        <w:footnoteReference w:id="17"/>
      </w:r>
    </w:p>
    <w:p w14:paraId="512A4010" w14:textId="5F90BFB0" w:rsidR="008B79E3" w:rsidRPr="00C26157" w:rsidRDefault="004F15EA" w:rsidP="008B79E3">
      <w:pPr>
        <w:spacing w:after="240"/>
        <w:rPr>
          <w:rFonts w:asciiTheme="majorHAnsi" w:hAnsiTheme="majorHAnsi" w:cstheme="majorHAnsi"/>
          <w:bCs/>
        </w:rPr>
      </w:pPr>
      <w:r w:rsidRPr="00C26157">
        <w:rPr>
          <w:rFonts w:asciiTheme="majorHAnsi" w:hAnsiTheme="majorHAnsi" w:cstheme="majorHAnsi"/>
          <w:bCs/>
        </w:rPr>
        <w:t>2</w:t>
      </w:r>
      <w:r w:rsidR="00BC35BE" w:rsidRPr="00C26157">
        <w:rPr>
          <w:rFonts w:asciiTheme="majorHAnsi" w:hAnsiTheme="majorHAnsi" w:cstheme="majorHAnsi"/>
          <w:bCs/>
        </w:rPr>
        <w:t>1</w:t>
      </w:r>
      <w:r w:rsidR="008B79E3" w:rsidRPr="00C26157">
        <w:rPr>
          <w:rFonts w:asciiTheme="majorHAnsi" w:hAnsiTheme="majorHAnsi" w:cstheme="majorHAnsi"/>
          <w:bCs/>
        </w:rPr>
        <w:t xml:space="preserve">. South Africa was reviewed in the </w:t>
      </w:r>
      <w:r w:rsidR="008B79E3" w:rsidRPr="00C26157">
        <w:rPr>
          <w:rFonts w:asciiTheme="majorHAnsi" w:hAnsiTheme="majorHAnsi" w:cstheme="majorHAnsi"/>
          <w:bCs/>
          <w:i/>
        </w:rPr>
        <w:t>Universal Periodic Review</w:t>
      </w:r>
      <w:r w:rsidR="008B79E3" w:rsidRPr="00C26157">
        <w:rPr>
          <w:rFonts w:asciiTheme="majorHAnsi" w:hAnsiTheme="majorHAnsi" w:cstheme="majorHAnsi"/>
          <w:bCs/>
        </w:rPr>
        <w:t xml:space="preserve"> process in 2008 and 2012, and recommendations to prohibit all corporal punishment were made. On both occasions, the Government indicated that it considered existing law to be adequate, but in 2012 the Government accepted the recommendation.</w:t>
      </w:r>
      <w:r w:rsidR="008B79E3" w:rsidRPr="00C26157">
        <w:rPr>
          <w:rFonts w:asciiTheme="majorHAnsi" w:hAnsiTheme="majorHAnsi" w:cstheme="majorHAnsi"/>
          <w:bCs/>
          <w:vertAlign w:val="superscript"/>
        </w:rPr>
        <w:footnoteReference w:id="18"/>
      </w:r>
      <w:r w:rsidR="008B79E3" w:rsidRPr="00C26157">
        <w:rPr>
          <w:rFonts w:asciiTheme="majorHAnsi" w:hAnsiTheme="majorHAnsi" w:cstheme="majorHAnsi"/>
          <w:bCs/>
        </w:rPr>
        <w:t xml:space="preserve"> In 2017, two recommendations to explicitly prohibit corporal punishment and repeal the defence of “reasonable chastisement” were ‘noted’ (not accepted) by the Government, which explained generally that ‘noted’ recommendations were those “which South Africa is in the process of considering and cannot commit to at this stage”.</w:t>
      </w:r>
      <w:r w:rsidR="008B79E3" w:rsidRPr="00C26157">
        <w:rPr>
          <w:rFonts w:asciiTheme="majorHAnsi" w:hAnsiTheme="majorHAnsi" w:cstheme="majorHAnsi"/>
          <w:bCs/>
          <w:vertAlign w:val="superscript"/>
        </w:rPr>
        <w:footnoteReference w:id="19"/>
      </w:r>
    </w:p>
    <w:p w14:paraId="79782CF2" w14:textId="0DDFA73A" w:rsidR="008B79E3" w:rsidRPr="00C26157" w:rsidRDefault="008B79E3" w:rsidP="00F67CC5">
      <w:pPr>
        <w:spacing w:after="240"/>
        <w:rPr>
          <w:rFonts w:asciiTheme="majorHAnsi" w:hAnsiTheme="majorHAnsi" w:cstheme="majorHAnsi"/>
          <w:bCs/>
        </w:rPr>
      </w:pPr>
    </w:p>
    <w:p w14:paraId="5C2DD584" w14:textId="77777777" w:rsidR="00F67CC5" w:rsidRPr="00C26157" w:rsidRDefault="00F67CC5" w:rsidP="00F67CC5">
      <w:pPr>
        <w:rPr>
          <w:rFonts w:asciiTheme="majorHAnsi" w:hAnsiTheme="majorHAnsi" w:cstheme="majorHAnsi"/>
        </w:rPr>
      </w:pPr>
    </w:p>
    <w:p w14:paraId="73A734C1" w14:textId="77777777" w:rsidR="009C24BF" w:rsidRPr="00C26157" w:rsidRDefault="00482BF9" w:rsidP="007A21C3">
      <w:pPr>
        <w:rPr>
          <w:rFonts w:asciiTheme="majorHAnsi" w:hAnsiTheme="majorHAnsi" w:cstheme="majorHAnsi"/>
          <w:i/>
          <w:iCs/>
        </w:rPr>
      </w:pPr>
      <w:r w:rsidRPr="00C26157">
        <w:rPr>
          <w:rFonts w:asciiTheme="majorHAnsi" w:hAnsiTheme="majorHAnsi" w:cstheme="majorHAnsi"/>
          <w:i/>
          <w:iCs/>
        </w:rPr>
        <w:t>B</w:t>
      </w:r>
      <w:r w:rsidR="009C24BF" w:rsidRPr="00C26157">
        <w:rPr>
          <w:rFonts w:asciiTheme="majorHAnsi" w:hAnsiTheme="majorHAnsi" w:cstheme="majorHAnsi"/>
          <w:i/>
          <w:iCs/>
        </w:rPr>
        <w:t>riefing prepared by the Global Initiative to End All Corporal Punishment of Children</w:t>
      </w:r>
    </w:p>
    <w:p w14:paraId="3B3EA53F" w14:textId="4DBF834A" w:rsidR="008D6D66" w:rsidRPr="00C26157" w:rsidRDefault="00AE75B0" w:rsidP="007A21C3">
      <w:pPr>
        <w:rPr>
          <w:rFonts w:asciiTheme="majorHAnsi" w:hAnsiTheme="majorHAnsi" w:cstheme="majorHAnsi"/>
          <w:i/>
          <w:iCs/>
        </w:rPr>
      </w:pPr>
      <w:hyperlink r:id="rId14" w:history="1">
        <w:r w:rsidR="009C24BF" w:rsidRPr="00C26157">
          <w:rPr>
            <w:rStyle w:val="Hyperlink"/>
            <w:rFonts w:asciiTheme="majorHAnsi" w:hAnsiTheme="majorHAnsi" w:cstheme="majorHAnsi"/>
            <w:i/>
            <w:iCs/>
          </w:rPr>
          <w:t>www.endcorporalpunishment.org</w:t>
        </w:r>
      </w:hyperlink>
      <w:r w:rsidR="009C24BF" w:rsidRPr="00C26157">
        <w:rPr>
          <w:rFonts w:asciiTheme="majorHAnsi" w:hAnsiTheme="majorHAnsi" w:cstheme="majorHAnsi"/>
          <w:i/>
          <w:iCs/>
        </w:rPr>
        <w:t xml:space="preserve">; </w:t>
      </w:r>
      <w:hyperlink r:id="rId15" w:history="1">
        <w:r w:rsidR="009C24BF" w:rsidRPr="00C26157">
          <w:rPr>
            <w:rStyle w:val="Hyperlink"/>
            <w:rFonts w:asciiTheme="majorHAnsi" w:hAnsiTheme="majorHAnsi" w:cstheme="majorHAnsi"/>
            <w:i/>
            <w:iCs/>
          </w:rPr>
          <w:t>info@endcorporalpunishment.org</w:t>
        </w:r>
      </w:hyperlink>
    </w:p>
    <w:sectPr w:rsidR="008D6D66" w:rsidRPr="00C26157"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B6BF8" w14:textId="77777777" w:rsidR="00347EAC" w:rsidRDefault="00347EAC">
      <w:r>
        <w:separator/>
      </w:r>
    </w:p>
  </w:endnote>
  <w:endnote w:type="continuationSeparator" w:id="0">
    <w:p w14:paraId="29AEE4F6" w14:textId="77777777" w:rsidR="00347EAC" w:rsidRDefault="0034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34EF0ED1"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AE75B0">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84FE7" w14:textId="77777777" w:rsidR="00347EAC" w:rsidRDefault="00347EAC">
      <w:r>
        <w:separator/>
      </w:r>
    </w:p>
  </w:footnote>
  <w:footnote w:type="continuationSeparator" w:id="0">
    <w:p w14:paraId="51F6CAFD" w14:textId="77777777" w:rsidR="00347EAC" w:rsidRDefault="00347EAC">
      <w:r>
        <w:continuationSeparator/>
      </w:r>
    </w:p>
  </w:footnote>
  <w:footnote w:id="1">
    <w:p w14:paraId="7306DD3C" w14:textId="3EA8A1D4" w:rsidR="007F7529" w:rsidRPr="00C26157" w:rsidRDefault="007F7529" w:rsidP="007F7529">
      <w:pPr>
        <w:pStyle w:val="FootnoteText"/>
        <w:rPr>
          <w:rFonts w:asciiTheme="majorHAnsi" w:hAnsiTheme="majorHAnsi" w:cstheme="majorHAnsi"/>
        </w:rPr>
      </w:pPr>
      <w:r w:rsidRPr="00C26157">
        <w:rPr>
          <w:rStyle w:val="FootnoteReference"/>
          <w:rFonts w:asciiTheme="majorHAnsi" w:hAnsiTheme="majorHAnsi" w:cstheme="majorHAnsi"/>
        </w:rPr>
        <w:footnoteRef/>
      </w:r>
      <w:r w:rsidRPr="00C26157">
        <w:rPr>
          <w:rFonts w:asciiTheme="majorHAnsi" w:hAnsiTheme="majorHAnsi" w:cstheme="majorHAnsi"/>
        </w:rPr>
        <w:t xml:space="preserve"> Pinheiro, P. S. (2006), </w:t>
      </w:r>
      <w:r w:rsidRPr="00C26157">
        <w:rPr>
          <w:rFonts w:asciiTheme="majorHAnsi" w:hAnsiTheme="majorHAnsi" w:cstheme="majorHAnsi"/>
          <w:i/>
        </w:rPr>
        <w:t>World Report on Violence against Children</w:t>
      </w:r>
      <w:r w:rsidRPr="00C26157">
        <w:rPr>
          <w:rFonts w:asciiTheme="majorHAnsi" w:hAnsiTheme="majorHAnsi" w:cstheme="majorHAnsi"/>
        </w:rPr>
        <w:t>, Geneva: United Nations. See also Krug E. G. et al (eds) (2002),</w:t>
      </w:r>
      <w:r w:rsidRPr="00C26157">
        <w:rPr>
          <w:rFonts w:asciiTheme="majorHAnsi" w:hAnsiTheme="majorHAnsi" w:cstheme="majorHAnsi"/>
          <w:i/>
          <w:iCs/>
        </w:rPr>
        <w:t xml:space="preserve"> World Report on Violence and Health, </w:t>
      </w:r>
      <w:r w:rsidRPr="00C26157">
        <w:rPr>
          <w:rFonts w:asciiTheme="majorHAnsi" w:hAnsiTheme="majorHAnsi" w:cstheme="majorHAnsi"/>
        </w:rPr>
        <w:t>Geneva: World Health Organisation</w:t>
      </w:r>
    </w:p>
  </w:footnote>
  <w:footnote w:id="2">
    <w:p w14:paraId="6F5F9F58" w14:textId="77777777" w:rsidR="008B79E3" w:rsidRPr="00C26157" w:rsidRDefault="008B79E3" w:rsidP="008B79E3">
      <w:pPr>
        <w:pStyle w:val="FootnoteText"/>
        <w:rPr>
          <w:rFonts w:asciiTheme="majorHAnsi" w:hAnsiTheme="majorHAnsi" w:cstheme="majorHAnsi"/>
        </w:rPr>
      </w:pPr>
      <w:r w:rsidRPr="00C26157">
        <w:rPr>
          <w:rStyle w:val="FootnoteReference"/>
          <w:rFonts w:asciiTheme="majorHAnsi" w:hAnsiTheme="majorHAnsi" w:cstheme="majorHAnsi"/>
        </w:rPr>
        <w:footnoteRef/>
      </w:r>
      <w:r w:rsidRPr="00C26157">
        <w:rPr>
          <w:rFonts w:asciiTheme="majorHAnsi" w:hAnsiTheme="majorHAnsi" w:cstheme="majorHAnsi"/>
        </w:rPr>
        <w:t xml:space="preserve"> </w:t>
      </w:r>
      <w:r w:rsidRPr="00C26157">
        <w:rPr>
          <w:rFonts w:asciiTheme="majorHAnsi" w:hAnsiTheme="majorHAnsi" w:cstheme="majorHAnsi"/>
          <w:i/>
        </w:rPr>
        <w:t>YG v. The State</w:t>
      </w:r>
      <w:r w:rsidRPr="00C26157">
        <w:rPr>
          <w:rFonts w:asciiTheme="majorHAnsi" w:hAnsiTheme="majorHAnsi" w:cstheme="majorHAnsi"/>
        </w:rPr>
        <w:t>, High Court of Gauteng Local Division, Case No. A263/2016</w:t>
      </w:r>
    </w:p>
  </w:footnote>
  <w:footnote w:id="3">
    <w:p w14:paraId="4270DB1F" w14:textId="77777777" w:rsidR="008B79E3" w:rsidRPr="00C26157" w:rsidRDefault="008B79E3" w:rsidP="008B79E3">
      <w:pPr>
        <w:pStyle w:val="FootnoteText"/>
        <w:rPr>
          <w:rFonts w:asciiTheme="majorHAnsi" w:hAnsiTheme="majorHAnsi" w:cstheme="majorHAnsi"/>
          <w:lang w:val="en-US"/>
        </w:rPr>
      </w:pPr>
      <w:r w:rsidRPr="00C26157">
        <w:rPr>
          <w:rStyle w:val="FootnoteReference"/>
          <w:rFonts w:asciiTheme="majorHAnsi" w:hAnsiTheme="majorHAnsi" w:cstheme="majorHAnsi"/>
        </w:rPr>
        <w:footnoteRef/>
      </w:r>
      <w:r w:rsidRPr="00C26157">
        <w:rPr>
          <w:rFonts w:asciiTheme="majorHAnsi" w:hAnsiTheme="majorHAnsi" w:cstheme="majorHAnsi"/>
        </w:rPr>
        <w:t xml:space="preserve"> </w:t>
      </w:r>
      <w:r w:rsidRPr="00C26157">
        <w:rPr>
          <w:rFonts w:asciiTheme="majorHAnsi" w:hAnsiTheme="majorHAnsi" w:cstheme="majorHAnsi"/>
          <w:i/>
        </w:rPr>
        <w:t>R v Janke and Janke</w:t>
      </w:r>
      <w:r w:rsidRPr="00C26157">
        <w:rPr>
          <w:rFonts w:asciiTheme="majorHAnsi" w:hAnsiTheme="majorHAnsi" w:cstheme="majorHAnsi"/>
        </w:rPr>
        <w:t xml:space="preserve"> 1913 TPD 382</w:t>
      </w:r>
    </w:p>
  </w:footnote>
  <w:footnote w:id="4">
    <w:p w14:paraId="7E92FA51" w14:textId="77777777" w:rsidR="008B79E3" w:rsidRPr="00C26157" w:rsidRDefault="008B79E3" w:rsidP="008B79E3">
      <w:pPr>
        <w:pStyle w:val="FootnoteText"/>
        <w:rPr>
          <w:rFonts w:asciiTheme="majorHAnsi" w:hAnsiTheme="majorHAnsi" w:cstheme="majorHAnsi"/>
        </w:rPr>
      </w:pPr>
      <w:r w:rsidRPr="00C26157">
        <w:rPr>
          <w:rStyle w:val="FootnoteReference"/>
          <w:rFonts w:asciiTheme="majorHAnsi" w:hAnsiTheme="majorHAnsi" w:cstheme="majorHAnsi"/>
        </w:rPr>
        <w:footnoteRef/>
      </w:r>
      <w:r w:rsidRPr="00C26157">
        <w:rPr>
          <w:rFonts w:asciiTheme="majorHAnsi" w:hAnsiTheme="majorHAnsi" w:cstheme="majorHAnsi"/>
        </w:rPr>
        <w:t xml:space="preserve"> See </w:t>
      </w:r>
      <w:hyperlink r:id="rId1" w:history="1">
        <w:r w:rsidRPr="00C26157">
          <w:rPr>
            <w:rStyle w:val="Hyperlink"/>
            <w:rFonts w:asciiTheme="majorHAnsi" w:hAnsiTheme="majorHAnsi" w:cstheme="majorHAnsi"/>
          </w:rPr>
          <w:t>https://www.iol.co.za/news/south-africa/gauteng/ngo-seeks-leave-to-appeal-spanking-judgment-11951332</w:t>
        </w:r>
      </w:hyperlink>
      <w:r w:rsidRPr="00C26157">
        <w:rPr>
          <w:rFonts w:asciiTheme="majorHAnsi" w:hAnsiTheme="majorHAnsi" w:cstheme="majorHAnsi"/>
        </w:rPr>
        <w:t>, accessed 13 November 2017</w:t>
      </w:r>
    </w:p>
  </w:footnote>
  <w:footnote w:id="5">
    <w:p w14:paraId="4B65D82C" w14:textId="77777777" w:rsidR="008B79E3" w:rsidRPr="00C26157" w:rsidRDefault="008B79E3" w:rsidP="008B79E3">
      <w:pPr>
        <w:pStyle w:val="FootnoteText"/>
        <w:rPr>
          <w:rFonts w:asciiTheme="majorHAnsi" w:hAnsiTheme="majorHAnsi" w:cstheme="majorHAnsi"/>
          <w:lang w:val="en-US"/>
        </w:rPr>
      </w:pPr>
      <w:r w:rsidRPr="00C26157">
        <w:rPr>
          <w:rStyle w:val="FootnoteReference"/>
          <w:rFonts w:asciiTheme="majorHAnsi" w:hAnsiTheme="majorHAnsi" w:cstheme="majorHAnsi"/>
        </w:rPr>
        <w:footnoteRef/>
      </w:r>
      <w:r w:rsidRPr="00C26157">
        <w:rPr>
          <w:rFonts w:asciiTheme="majorHAnsi" w:hAnsiTheme="majorHAnsi" w:cstheme="majorHAnsi"/>
        </w:rPr>
        <w:t xml:space="preserve"> </w:t>
      </w:r>
      <w:r w:rsidRPr="00C26157">
        <w:rPr>
          <w:rFonts w:asciiTheme="majorHAnsi" w:hAnsiTheme="majorHAnsi" w:cstheme="majorHAnsi"/>
          <w:i/>
        </w:rPr>
        <w:t>Christian Education South Africa v Minister of Education</w:t>
      </w:r>
      <w:r w:rsidRPr="00C26157">
        <w:rPr>
          <w:rFonts w:asciiTheme="majorHAnsi" w:hAnsiTheme="majorHAnsi" w:cstheme="majorHAnsi"/>
        </w:rPr>
        <w:t>, 2000 (4) SA 757 (CC)</w:t>
      </w:r>
    </w:p>
  </w:footnote>
  <w:footnote w:id="6">
    <w:p w14:paraId="001886E3" w14:textId="77777777" w:rsidR="008B79E3" w:rsidRPr="00C26157" w:rsidRDefault="008B79E3" w:rsidP="008B79E3">
      <w:pPr>
        <w:pStyle w:val="FootnoteText"/>
        <w:rPr>
          <w:rFonts w:asciiTheme="majorHAnsi" w:hAnsiTheme="majorHAnsi" w:cstheme="majorHAnsi"/>
          <w:lang w:val="en-US"/>
        </w:rPr>
      </w:pPr>
      <w:r w:rsidRPr="00C26157">
        <w:rPr>
          <w:rStyle w:val="FootnoteReference"/>
          <w:rFonts w:asciiTheme="majorHAnsi" w:hAnsiTheme="majorHAnsi" w:cstheme="majorHAnsi"/>
        </w:rPr>
        <w:footnoteRef/>
      </w:r>
      <w:r w:rsidRPr="00C26157">
        <w:rPr>
          <w:rFonts w:asciiTheme="majorHAnsi" w:hAnsiTheme="majorHAnsi" w:cstheme="majorHAnsi"/>
        </w:rPr>
        <w:t xml:space="preserve"> </w:t>
      </w:r>
      <w:r w:rsidRPr="00C26157">
        <w:rPr>
          <w:rFonts w:asciiTheme="majorHAnsi" w:hAnsiTheme="majorHAnsi" w:cstheme="majorHAnsi"/>
          <w:i/>
        </w:rPr>
        <w:t>S v Williams et al</w:t>
      </w:r>
      <w:r w:rsidRPr="00C26157">
        <w:rPr>
          <w:rFonts w:asciiTheme="majorHAnsi" w:hAnsiTheme="majorHAnsi" w:cstheme="majorHAnsi"/>
        </w:rPr>
        <w:t>, 1995 (3) SA 632 (CC), para. 52</w:t>
      </w:r>
    </w:p>
  </w:footnote>
  <w:footnote w:id="7">
    <w:p w14:paraId="47FB6BC9" w14:textId="77777777" w:rsidR="008B79E3" w:rsidRPr="00C26157" w:rsidRDefault="008B79E3" w:rsidP="008B79E3">
      <w:pPr>
        <w:pStyle w:val="FootnoteText"/>
        <w:rPr>
          <w:rFonts w:asciiTheme="majorHAnsi" w:hAnsiTheme="majorHAnsi" w:cstheme="majorHAnsi"/>
        </w:rPr>
      </w:pPr>
      <w:r w:rsidRPr="00C26157">
        <w:rPr>
          <w:rStyle w:val="FootnoteReference"/>
          <w:rFonts w:asciiTheme="majorHAnsi" w:hAnsiTheme="majorHAnsi" w:cstheme="majorHAnsi"/>
        </w:rPr>
        <w:footnoteRef/>
      </w:r>
      <w:r w:rsidRPr="00C26157">
        <w:rPr>
          <w:rFonts w:asciiTheme="majorHAnsi" w:hAnsiTheme="majorHAnsi" w:cstheme="majorHAnsi"/>
        </w:rPr>
        <w:t xml:space="preserve"> </w:t>
      </w:r>
      <w:r w:rsidRPr="00C26157">
        <w:rPr>
          <w:rFonts w:asciiTheme="majorHAnsi" w:hAnsiTheme="majorHAnsi" w:cstheme="majorHAnsi"/>
          <w:i/>
        </w:rPr>
        <w:t>S v Williams et al</w:t>
      </w:r>
      <w:r w:rsidRPr="00C26157">
        <w:rPr>
          <w:rFonts w:asciiTheme="majorHAnsi" w:hAnsiTheme="majorHAnsi" w:cstheme="majorHAnsi"/>
        </w:rPr>
        <w:t>, 1995 (3) SA 632 (CC), para. 89</w:t>
      </w:r>
    </w:p>
  </w:footnote>
  <w:footnote w:id="8">
    <w:p w14:paraId="23A51E4E" w14:textId="77777777" w:rsidR="008B79E3" w:rsidRPr="00C26157" w:rsidRDefault="008B79E3" w:rsidP="008B79E3">
      <w:pPr>
        <w:pStyle w:val="FootnoteText"/>
        <w:rPr>
          <w:rFonts w:asciiTheme="majorHAnsi" w:hAnsiTheme="majorHAnsi" w:cstheme="majorHAnsi"/>
          <w:lang w:val="en-US"/>
        </w:rPr>
      </w:pPr>
      <w:r w:rsidRPr="00C26157">
        <w:rPr>
          <w:rStyle w:val="FootnoteReference"/>
          <w:rFonts w:asciiTheme="majorHAnsi" w:hAnsiTheme="majorHAnsi" w:cstheme="majorHAnsi"/>
        </w:rPr>
        <w:footnoteRef/>
      </w:r>
      <w:r w:rsidRPr="00C26157">
        <w:rPr>
          <w:rFonts w:asciiTheme="majorHAnsi" w:hAnsiTheme="majorHAnsi" w:cstheme="majorHAnsi"/>
        </w:rPr>
        <w:t xml:space="preserve"> </w:t>
      </w:r>
      <w:r w:rsidRPr="00C26157">
        <w:rPr>
          <w:rFonts w:asciiTheme="majorHAnsi" w:eastAsia="Calibri" w:hAnsiTheme="majorHAnsi" w:cstheme="majorHAnsi"/>
          <w:bCs/>
        </w:rPr>
        <w:t>9 July 2012, A/HRC/21/16, Report of the working group, para. 124(88)</w:t>
      </w:r>
    </w:p>
  </w:footnote>
  <w:footnote w:id="9">
    <w:p w14:paraId="10884F5C" w14:textId="77777777" w:rsidR="008B79E3" w:rsidRPr="00C26157" w:rsidRDefault="008B79E3" w:rsidP="008B79E3">
      <w:pPr>
        <w:pStyle w:val="FootnoteText"/>
        <w:rPr>
          <w:rFonts w:asciiTheme="majorHAnsi" w:hAnsiTheme="majorHAnsi" w:cstheme="majorHAnsi"/>
        </w:rPr>
      </w:pPr>
      <w:r w:rsidRPr="00C26157">
        <w:rPr>
          <w:rStyle w:val="FootnoteReference"/>
          <w:rFonts w:asciiTheme="majorHAnsi" w:hAnsiTheme="majorHAnsi" w:cstheme="majorHAnsi"/>
        </w:rPr>
        <w:footnoteRef/>
      </w:r>
      <w:r w:rsidRPr="00C26157">
        <w:rPr>
          <w:rFonts w:asciiTheme="majorHAnsi" w:hAnsiTheme="majorHAnsi" w:cstheme="majorHAnsi"/>
        </w:rPr>
        <w:t xml:space="preserve"> National Department of Social Development, Media Statement, 3 June 2014</w:t>
      </w:r>
    </w:p>
  </w:footnote>
  <w:footnote w:id="10">
    <w:p w14:paraId="585938AA" w14:textId="77777777" w:rsidR="008B79E3" w:rsidRPr="00C26157" w:rsidRDefault="008B79E3" w:rsidP="008B79E3">
      <w:pPr>
        <w:pStyle w:val="FootnoteText"/>
        <w:rPr>
          <w:rFonts w:asciiTheme="majorHAnsi" w:hAnsiTheme="majorHAnsi" w:cstheme="majorHAnsi"/>
        </w:rPr>
      </w:pPr>
      <w:r w:rsidRPr="00C26157">
        <w:rPr>
          <w:rStyle w:val="FootnoteReference"/>
          <w:rFonts w:asciiTheme="majorHAnsi" w:hAnsiTheme="majorHAnsi" w:cstheme="majorHAnsi"/>
        </w:rPr>
        <w:footnoteRef/>
      </w:r>
      <w:r w:rsidRPr="00C26157">
        <w:rPr>
          <w:rFonts w:asciiTheme="majorHAnsi" w:hAnsiTheme="majorHAnsi" w:cstheme="majorHAnsi"/>
        </w:rPr>
        <w:t xml:space="preserve"> South Africa Human Rights Commission, communication with the Global Initiative, October 2015</w:t>
      </w:r>
    </w:p>
  </w:footnote>
  <w:footnote w:id="11">
    <w:p w14:paraId="71DFAD18" w14:textId="77777777" w:rsidR="008B79E3" w:rsidRPr="00C26157" w:rsidRDefault="008B79E3" w:rsidP="008B79E3">
      <w:pPr>
        <w:pStyle w:val="FootnoteText"/>
        <w:rPr>
          <w:rFonts w:asciiTheme="majorHAnsi" w:hAnsiTheme="majorHAnsi" w:cstheme="majorHAnsi"/>
        </w:rPr>
      </w:pPr>
      <w:r w:rsidRPr="00C26157">
        <w:rPr>
          <w:rStyle w:val="FootnoteReference"/>
          <w:rFonts w:asciiTheme="majorHAnsi" w:hAnsiTheme="majorHAnsi" w:cstheme="majorHAnsi"/>
        </w:rPr>
        <w:footnoteRef/>
      </w:r>
      <w:r w:rsidRPr="00C26157">
        <w:rPr>
          <w:rFonts w:asciiTheme="majorHAnsi" w:hAnsiTheme="majorHAnsi" w:cstheme="majorHAnsi"/>
        </w:rPr>
        <w:t xml:space="preserve"> Information provided to the Global Initiative, November 2015</w:t>
      </w:r>
    </w:p>
  </w:footnote>
  <w:footnote w:id="12">
    <w:p w14:paraId="7D296A8F" w14:textId="77777777" w:rsidR="00BC35BE" w:rsidRPr="00C26157" w:rsidRDefault="00BC35BE" w:rsidP="00BC35BE">
      <w:pPr>
        <w:pStyle w:val="FootnoteText"/>
        <w:rPr>
          <w:rFonts w:asciiTheme="majorHAnsi" w:hAnsiTheme="majorHAnsi" w:cstheme="majorHAnsi"/>
        </w:rPr>
      </w:pPr>
      <w:r w:rsidRPr="00C26157">
        <w:rPr>
          <w:rStyle w:val="FootnoteReference"/>
          <w:rFonts w:asciiTheme="majorHAnsi" w:hAnsiTheme="majorHAnsi" w:cstheme="majorHAnsi"/>
        </w:rPr>
        <w:footnoteRef/>
      </w:r>
      <w:r w:rsidRPr="00C26157">
        <w:rPr>
          <w:rFonts w:asciiTheme="majorHAnsi" w:hAnsiTheme="majorHAnsi" w:cstheme="majorHAnsi"/>
        </w:rPr>
        <w:t xml:space="preserve"> 19 September 2017, A/HRC/36/16/Add.1, Report of the working group: Addendum, para. 32</w:t>
      </w:r>
    </w:p>
  </w:footnote>
  <w:footnote w:id="13">
    <w:p w14:paraId="5A131A0E" w14:textId="77777777" w:rsidR="008B79E3" w:rsidRPr="00C26157" w:rsidRDefault="008B79E3" w:rsidP="008B79E3">
      <w:pPr>
        <w:pStyle w:val="FootnoteText"/>
        <w:rPr>
          <w:rFonts w:asciiTheme="majorHAnsi" w:hAnsiTheme="majorHAnsi" w:cstheme="majorHAnsi"/>
          <w:lang w:val="en-US"/>
        </w:rPr>
      </w:pPr>
      <w:r w:rsidRPr="00C26157">
        <w:rPr>
          <w:rStyle w:val="FootnoteReference"/>
          <w:rFonts w:asciiTheme="majorHAnsi" w:hAnsiTheme="majorHAnsi" w:cstheme="majorHAnsi"/>
        </w:rPr>
        <w:footnoteRef/>
      </w:r>
      <w:r w:rsidRPr="00C26157">
        <w:rPr>
          <w:rFonts w:asciiTheme="majorHAnsi" w:hAnsiTheme="majorHAnsi" w:cstheme="majorHAnsi"/>
        </w:rPr>
        <w:t xml:space="preserve"> 23 February 2000, CRC/C/15/Add.122, Concluding observations on initial report, paras. 3, 8 and 28</w:t>
      </w:r>
    </w:p>
  </w:footnote>
  <w:footnote w:id="14">
    <w:p w14:paraId="29DB7ACE" w14:textId="77777777" w:rsidR="008B79E3" w:rsidRPr="00C26157" w:rsidRDefault="008B79E3" w:rsidP="008B79E3">
      <w:pPr>
        <w:pStyle w:val="FootnoteText"/>
        <w:rPr>
          <w:rFonts w:asciiTheme="majorHAnsi" w:hAnsiTheme="majorHAnsi" w:cstheme="majorHAnsi"/>
        </w:rPr>
      </w:pPr>
      <w:r w:rsidRPr="00C26157">
        <w:rPr>
          <w:rStyle w:val="FootnoteReference"/>
          <w:rFonts w:asciiTheme="majorHAnsi" w:hAnsiTheme="majorHAnsi" w:cstheme="majorHAnsi"/>
        </w:rPr>
        <w:footnoteRef/>
      </w:r>
      <w:r w:rsidRPr="00C26157">
        <w:rPr>
          <w:rFonts w:asciiTheme="majorHAnsi" w:hAnsiTheme="majorHAnsi" w:cstheme="majorHAnsi"/>
        </w:rPr>
        <w:t xml:space="preserve"> 27 October 2016, CRC/C/ZAF/CO/2, Concluding observations on second report, paras. 35 and 36</w:t>
      </w:r>
    </w:p>
  </w:footnote>
  <w:footnote w:id="15">
    <w:p w14:paraId="420A3A03" w14:textId="77777777" w:rsidR="008B79E3" w:rsidRPr="00C26157" w:rsidRDefault="008B79E3" w:rsidP="008B79E3">
      <w:pPr>
        <w:pStyle w:val="FootnoteText"/>
        <w:rPr>
          <w:rFonts w:asciiTheme="majorHAnsi" w:hAnsiTheme="majorHAnsi" w:cstheme="majorHAnsi"/>
          <w:lang w:val="en-US"/>
        </w:rPr>
      </w:pPr>
      <w:r w:rsidRPr="00C26157">
        <w:rPr>
          <w:rStyle w:val="FootnoteReference"/>
          <w:rFonts w:asciiTheme="majorHAnsi" w:hAnsiTheme="majorHAnsi" w:cstheme="majorHAnsi"/>
        </w:rPr>
        <w:footnoteRef/>
      </w:r>
      <w:r w:rsidRPr="00C26157">
        <w:rPr>
          <w:rFonts w:asciiTheme="majorHAnsi" w:hAnsiTheme="majorHAnsi" w:cstheme="majorHAnsi"/>
        </w:rPr>
        <w:t xml:space="preserve"> </w:t>
      </w:r>
      <w:r w:rsidRPr="00C26157">
        <w:rPr>
          <w:rFonts w:asciiTheme="majorHAnsi" w:eastAsia="Calibri" w:hAnsiTheme="majorHAnsi" w:cstheme="majorHAnsi"/>
          <w:color w:val="000000"/>
          <w:lang w:val="en-US"/>
        </w:rPr>
        <w:t>[April 2016], CCPR/C/ZAF/CO/1 Advance Unedited Version, Concluding observations on initial report, paras. 24 and 25</w:t>
      </w:r>
    </w:p>
  </w:footnote>
  <w:footnote w:id="16">
    <w:p w14:paraId="18D97995" w14:textId="77777777" w:rsidR="008B79E3" w:rsidRPr="00C26157" w:rsidRDefault="008B79E3" w:rsidP="008B79E3">
      <w:pPr>
        <w:pStyle w:val="FootnoteText"/>
        <w:rPr>
          <w:rFonts w:asciiTheme="majorHAnsi" w:hAnsiTheme="majorHAnsi" w:cstheme="majorHAnsi"/>
          <w:lang w:val="en-US"/>
        </w:rPr>
      </w:pPr>
      <w:r w:rsidRPr="00C26157">
        <w:rPr>
          <w:rStyle w:val="FootnoteReference"/>
          <w:rFonts w:asciiTheme="majorHAnsi" w:hAnsiTheme="majorHAnsi" w:cstheme="majorHAnsi"/>
        </w:rPr>
        <w:footnoteRef/>
      </w:r>
      <w:r w:rsidRPr="00C26157">
        <w:rPr>
          <w:rFonts w:asciiTheme="majorHAnsi" w:hAnsiTheme="majorHAnsi" w:cstheme="majorHAnsi"/>
        </w:rPr>
        <w:t xml:space="preserve"> </w:t>
      </w:r>
      <w:r w:rsidRPr="00C26157">
        <w:rPr>
          <w:rFonts w:asciiTheme="majorHAnsi" w:hAnsiTheme="majorHAnsi" w:cstheme="majorHAnsi"/>
          <w:bCs/>
        </w:rPr>
        <w:t xml:space="preserve">7 December 2006, </w:t>
      </w:r>
      <w:r w:rsidRPr="00C26157">
        <w:rPr>
          <w:rFonts w:asciiTheme="majorHAnsi" w:hAnsiTheme="majorHAnsi" w:cstheme="majorHAnsi"/>
        </w:rPr>
        <w:t>CAT/C/ZAF/CO/1, Concluding observations on initial report, para. 25</w:t>
      </w:r>
    </w:p>
  </w:footnote>
  <w:footnote w:id="17">
    <w:p w14:paraId="5E0D0676" w14:textId="77777777" w:rsidR="008B79E3" w:rsidRPr="00C26157" w:rsidRDefault="008B79E3" w:rsidP="008B79E3">
      <w:pPr>
        <w:pStyle w:val="FootnoteText"/>
        <w:rPr>
          <w:rFonts w:asciiTheme="majorHAnsi" w:hAnsiTheme="majorHAnsi" w:cstheme="majorHAnsi"/>
          <w:lang w:val="en-US"/>
        </w:rPr>
      </w:pPr>
      <w:r w:rsidRPr="00C26157">
        <w:rPr>
          <w:rStyle w:val="FootnoteReference"/>
          <w:rFonts w:asciiTheme="majorHAnsi" w:hAnsiTheme="majorHAnsi" w:cstheme="majorHAnsi"/>
        </w:rPr>
        <w:footnoteRef/>
      </w:r>
      <w:r w:rsidRPr="00C26157">
        <w:rPr>
          <w:rFonts w:asciiTheme="majorHAnsi" w:hAnsiTheme="majorHAnsi" w:cstheme="majorHAnsi"/>
        </w:rPr>
        <w:t xml:space="preserve"> </w:t>
      </w:r>
      <w:r w:rsidRPr="00C26157">
        <w:rPr>
          <w:rFonts w:asciiTheme="majorHAnsi" w:eastAsia="Calibri" w:hAnsiTheme="majorHAnsi" w:cstheme="majorHAnsi"/>
          <w:bCs/>
        </w:rPr>
        <w:t>[October 2014], Concluding observations on initial report, paras. 34 and 35</w:t>
      </w:r>
    </w:p>
  </w:footnote>
  <w:footnote w:id="18">
    <w:p w14:paraId="662C2F77" w14:textId="77777777" w:rsidR="008B79E3" w:rsidRPr="00C26157" w:rsidRDefault="008B79E3" w:rsidP="008B79E3">
      <w:pPr>
        <w:pStyle w:val="FootnoteText"/>
        <w:rPr>
          <w:rFonts w:asciiTheme="majorHAnsi" w:hAnsiTheme="majorHAnsi" w:cstheme="majorHAnsi"/>
          <w:lang w:val="en-US"/>
        </w:rPr>
      </w:pPr>
      <w:r w:rsidRPr="00C26157">
        <w:rPr>
          <w:rStyle w:val="FootnoteReference"/>
          <w:rFonts w:asciiTheme="majorHAnsi" w:hAnsiTheme="majorHAnsi" w:cstheme="majorHAnsi"/>
        </w:rPr>
        <w:footnoteRef/>
      </w:r>
      <w:r w:rsidRPr="00C26157">
        <w:rPr>
          <w:rFonts w:asciiTheme="majorHAnsi" w:hAnsiTheme="majorHAnsi" w:cstheme="majorHAnsi"/>
        </w:rPr>
        <w:t xml:space="preserve"> </w:t>
      </w:r>
      <w:r w:rsidRPr="00C26157">
        <w:rPr>
          <w:rFonts w:asciiTheme="majorHAnsi" w:eastAsia="Calibri" w:hAnsiTheme="majorHAnsi" w:cstheme="majorHAnsi"/>
          <w:bCs/>
        </w:rPr>
        <w:t>23 May 2008, A/HRC/8/32, Report of the working group, para. 67(1); 1 September 2008, A/HRC/8/52, Report of the Human Rights Council on its eighth session, para. 567 ; 9 July 2012, A/HRC/21/16, Report of the working group, para. 124(88) ; 18 September 2012, A/HRC/21/16/Add.1, Report of the working group: Addendum, annex</w:t>
      </w:r>
    </w:p>
  </w:footnote>
  <w:footnote w:id="19">
    <w:p w14:paraId="5CE87B14" w14:textId="77777777" w:rsidR="008B79E3" w:rsidRPr="00C26157" w:rsidRDefault="008B79E3" w:rsidP="008B79E3">
      <w:pPr>
        <w:pStyle w:val="FootnoteText"/>
        <w:rPr>
          <w:rFonts w:asciiTheme="majorHAnsi" w:hAnsiTheme="majorHAnsi" w:cstheme="majorHAnsi"/>
          <w:lang w:val="en-US" w:eastAsia="en-US"/>
        </w:rPr>
      </w:pPr>
      <w:r w:rsidRPr="00C26157">
        <w:rPr>
          <w:rStyle w:val="FootnoteReference"/>
          <w:rFonts w:asciiTheme="majorHAnsi" w:hAnsiTheme="majorHAnsi" w:cstheme="majorHAnsi"/>
        </w:rPr>
        <w:footnoteRef/>
      </w:r>
      <w:r w:rsidRPr="00C26157">
        <w:rPr>
          <w:rFonts w:asciiTheme="majorHAnsi" w:hAnsiTheme="majorHAnsi" w:cstheme="majorHAnsi"/>
        </w:rPr>
        <w:t xml:space="preserve"> 19 September 2017, A/HRC/36/16/Add.1, Report of the working group: Addendum, paras. 4 and 32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3276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533A7"/>
    <w:rsid w:val="00075396"/>
    <w:rsid w:val="000859C9"/>
    <w:rsid w:val="0008612D"/>
    <w:rsid w:val="000932B3"/>
    <w:rsid w:val="000A3923"/>
    <w:rsid w:val="000D7F80"/>
    <w:rsid w:val="000E558E"/>
    <w:rsid w:val="00106569"/>
    <w:rsid w:val="00126D81"/>
    <w:rsid w:val="0014131F"/>
    <w:rsid w:val="00142366"/>
    <w:rsid w:val="00143759"/>
    <w:rsid w:val="00147F85"/>
    <w:rsid w:val="00150855"/>
    <w:rsid w:val="00162F5A"/>
    <w:rsid w:val="001768A1"/>
    <w:rsid w:val="00181FAC"/>
    <w:rsid w:val="001847FF"/>
    <w:rsid w:val="00186788"/>
    <w:rsid w:val="00187327"/>
    <w:rsid w:val="001919DD"/>
    <w:rsid w:val="001947F2"/>
    <w:rsid w:val="001B43AF"/>
    <w:rsid w:val="001B7D95"/>
    <w:rsid w:val="001C55D9"/>
    <w:rsid w:val="001D1655"/>
    <w:rsid w:val="001D56D4"/>
    <w:rsid w:val="001E140B"/>
    <w:rsid w:val="001E2769"/>
    <w:rsid w:val="001F05A0"/>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A01E3"/>
    <w:rsid w:val="002A06FC"/>
    <w:rsid w:val="002A3229"/>
    <w:rsid w:val="002A7206"/>
    <w:rsid w:val="002B20D3"/>
    <w:rsid w:val="002C5DAB"/>
    <w:rsid w:val="002D6FD4"/>
    <w:rsid w:val="002E09C9"/>
    <w:rsid w:val="002E2D70"/>
    <w:rsid w:val="002E4E5B"/>
    <w:rsid w:val="002E61CE"/>
    <w:rsid w:val="00306C1D"/>
    <w:rsid w:val="00307A90"/>
    <w:rsid w:val="00315F04"/>
    <w:rsid w:val="00316151"/>
    <w:rsid w:val="00322E14"/>
    <w:rsid w:val="00327C1C"/>
    <w:rsid w:val="00347EAC"/>
    <w:rsid w:val="00353CF1"/>
    <w:rsid w:val="00353EF8"/>
    <w:rsid w:val="00361051"/>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90379"/>
    <w:rsid w:val="004B3464"/>
    <w:rsid w:val="004B5EB3"/>
    <w:rsid w:val="004C3E11"/>
    <w:rsid w:val="004D0FF8"/>
    <w:rsid w:val="004D4BCC"/>
    <w:rsid w:val="004D68EA"/>
    <w:rsid w:val="004D7A67"/>
    <w:rsid w:val="004E431B"/>
    <w:rsid w:val="004E691B"/>
    <w:rsid w:val="004F15EA"/>
    <w:rsid w:val="004F1D03"/>
    <w:rsid w:val="004F1D22"/>
    <w:rsid w:val="004F2D26"/>
    <w:rsid w:val="004F5801"/>
    <w:rsid w:val="004F70CD"/>
    <w:rsid w:val="004F7D9E"/>
    <w:rsid w:val="004F7EF9"/>
    <w:rsid w:val="005006B7"/>
    <w:rsid w:val="00514929"/>
    <w:rsid w:val="00520D79"/>
    <w:rsid w:val="00521973"/>
    <w:rsid w:val="005223A5"/>
    <w:rsid w:val="00526077"/>
    <w:rsid w:val="00543B9A"/>
    <w:rsid w:val="0055414A"/>
    <w:rsid w:val="0057626F"/>
    <w:rsid w:val="00581B3E"/>
    <w:rsid w:val="00581D48"/>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646C"/>
    <w:rsid w:val="00707EC9"/>
    <w:rsid w:val="00716B5D"/>
    <w:rsid w:val="0072294E"/>
    <w:rsid w:val="00725D25"/>
    <w:rsid w:val="00741FF7"/>
    <w:rsid w:val="00751244"/>
    <w:rsid w:val="00752380"/>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D3FF7"/>
    <w:rsid w:val="007F25EE"/>
    <w:rsid w:val="007F5F26"/>
    <w:rsid w:val="007F709A"/>
    <w:rsid w:val="007F7529"/>
    <w:rsid w:val="007F791E"/>
    <w:rsid w:val="00804DE0"/>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B79E3"/>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687E"/>
    <w:rsid w:val="009C7037"/>
    <w:rsid w:val="009D4F36"/>
    <w:rsid w:val="009D6E71"/>
    <w:rsid w:val="009E0C08"/>
    <w:rsid w:val="009E2C0A"/>
    <w:rsid w:val="009F5901"/>
    <w:rsid w:val="009F5C73"/>
    <w:rsid w:val="00A1392E"/>
    <w:rsid w:val="00A20DE1"/>
    <w:rsid w:val="00A26D5D"/>
    <w:rsid w:val="00A34229"/>
    <w:rsid w:val="00A400C3"/>
    <w:rsid w:val="00A42757"/>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E75B0"/>
    <w:rsid w:val="00AF314F"/>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483C"/>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35BE"/>
    <w:rsid w:val="00BC68F4"/>
    <w:rsid w:val="00BC6C90"/>
    <w:rsid w:val="00BD259A"/>
    <w:rsid w:val="00BE0FA6"/>
    <w:rsid w:val="00BE37BF"/>
    <w:rsid w:val="00BF1402"/>
    <w:rsid w:val="00C004A4"/>
    <w:rsid w:val="00C17385"/>
    <w:rsid w:val="00C237B1"/>
    <w:rsid w:val="00C252DE"/>
    <w:rsid w:val="00C26157"/>
    <w:rsid w:val="00C278E1"/>
    <w:rsid w:val="00C37622"/>
    <w:rsid w:val="00C518E3"/>
    <w:rsid w:val="00C63547"/>
    <w:rsid w:val="00C64EA1"/>
    <w:rsid w:val="00C82792"/>
    <w:rsid w:val="00C84FBA"/>
    <w:rsid w:val="00C91BB2"/>
    <w:rsid w:val="00C96E68"/>
    <w:rsid w:val="00C973D3"/>
    <w:rsid w:val="00C97A90"/>
    <w:rsid w:val="00C97C42"/>
    <w:rsid w:val="00CB457A"/>
    <w:rsid w:val="00CB7DD5"/>
    <w:rsid w:val="00CC09E1"/>
    <w:rsid w:val="00CD349E"/>
    <w:rsid w:val="00CE015B"/>
    <w:rsid w:val="00CF1491"/>
    <w:rsid w:val="00CF1D97"/>
    <w:rsid w:val="00CF3C9D"/>
    <w:rsid w:val="00CF6F86"/>
    <w:rsid w:val="00D04D81"/>
    <w:rsid w:val="00D14AE4"/>
    <w:rsid w:val="00D25FCE"/>
    <w:rsid w:val="00D36C44"/>
    <w:rsid w:val="00D46AF1"/>
    <w:rsid w:val="00D5594E"/>
    <w:rsid w:val="00D63AA6"/>
    <w:rsid w:val="00D64999"/>
    <w:rsid w:val="00D67B66"/>
    <w:rsid w:val="00D90209"/>
    <w:rsid w:val="00D91C58"/>
    <w:rsid w:val="00DA17C8"/>
    <w:rsid w:val="00DB0F27"/>
    <w:rsid w:val="00DC20AE"/>
    <w:rsid w:val="00DC419D"/>
    <w:rsid w:val="00DE4FD8"/>
    <w:rsid w:val="00DF2A6A"/>
    <w:rsid w:val="00DF42D1"/>
    <w:rsid w:val="00DF56D0"/>
    <w:rsid w:val="00DF6FBF"/>
    <w:rsid w:val="00DF749A"/>
    <w:rsid w:val="00E066AC"/>
    <w:rsid w:val="00E120C8"/>
    <w:rsid w:val="00E218F1"/>
    <w:rsid w:val="00E262BB"/>
    <w:rsid w:val="00E33299"/>
    <w:rsid w:val="00E348D1"/>
    <w:rsid w:val="00E37399"/>
    <w:rsid w:val="00E42BCC"/>
    <w:rsid w:val="00E439B3"/>
    <w:rsid w:val="00E4774B"/>
    <w:rsid w:val="00E511FD"/>
    <w:rsid w:val="00E5715B"/>
    <w:rsid w:val="00E745E0"/>
    <w:rsid w:val="00E74E94"/>
    <w:rsid w:val="00E75849"/>
    <w:rsid w:val="00E82131"/>
    <w:rsid w:val="00E90F1D"/>
    <w:rsid w:val="00E91687"/>
    <w:rsid w:val="00E9361C"/>
    <w:rsid w:val="00E97452"/>
    <w:rsid w:val="00EA123E"/>
    <w:rsid w:val="00EA3676"/>
    <w:rsid w:val="00EB16D4"/>
    <w:rsid w:val="00EC3476"/>
    <w:rsid w:val="00EC65F4"/>
    <w:rsid w:val="00ED3374"/>
    <w:rsid w:val="00EE5770"/>
    <w:rsid w:val="00EF577B"/>
    <w:rsid w:val="00EF6D99"/>
    <w:rsid w:val="00F03CDA"/>
    <w:rsid w:val="00F238AE"/>
    <w:rsid w:val="00F27919"/>
    <w:rsid w:val="00F31704"/>
    <w:rsid w:val="00F325F7"/>
    <w:rsid w:val="00F401E2"/>
    <w:rsid w:val="00F51705"/>
    <w:rsid w:val="00F63112"/>
    <w:rsid w:val="00F67CC5"/>
    <w:rsid w:val="00F7085F"/>
    <w:rsid w:val="00F70EFA"/>
    <w:rsid w:val="00F72865"/>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60421">
      <w:bodyDiv w:val="1"/>
      <w:marLeft w:val="0"/>
      <w:marRight w:val="0"/>
      <w:marTop w:val="0"/>
      <w:marBottom w:val="0"/>
      <w:divBdr>
        <w:top w:val="none" w:sz="0" w:space="0" w:color="auto"/>
        <w:left w:val="none" w:sz="0" w:space="0" w:color="auto"/>
        <w:bottom w:val="none" w:sz="0" w:space="0" w:color="auto"/>
        <w:right w:val="none" w:sz="0" w:space="0" w:color="auto"/>
      </w:divBdr>
    </w:div>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78546065">
      <w:bodyDiv w:val="1"/>
      <w:marLeft w:val="0"/>
      <w:marRight w:val="0"/>
      <w:marTop w:val="0"/>
      <w:marBottom w:val="0"/>
      <w:divBdr>
        <w:top w:val="none" w:sz="0" w:space="0" w:color="auto"/>
        <w:left w:val="none" w:sz="0" w:space="0" w:color="auto"/>
        <w:bottom w:val="none" w:sz="0" w:space="0" w:color="auto"/>
        <w:right w:val="none" w:sz="0" w:space="0" w:color="auto"/>
      </w:divBdr>
    </w:div>
    <w:div w:id="207228979">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827146">
      <w:bodyDiv w:val="1"/>
      <w:marLeft w:val="0"/>
      <w:marRight w:val="0"/>
      <w:marTop w:val="0"/>
      <w:marBottom w:val="0"/>
      <w:divBdr>
        <w:top w:val="none" w:sz="0" w:space="0" w:color="auto"/>
        <w:left w:val="none" w:sz="0" w:space="0" w:color="auto"/>
        <w:bottom w:val="none" w:sz="0" w:space="0" w:color="auto"/>
        <w:right w:val="none" w:sz="0" w:space="0" w:color="auto"/>
      </w:divBdr>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64655907">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86680873">
      <w:bodyDiv w:val="1"/>
      <w:marLeft w:val="0"/>
      <w:marRight w:val="0"/>
      <w:marTop w:val="0"/>
      <w:marBottom w:val="0"/>
      <w:divBdr>
        <w:top w:val="none" w:sz="0" w:space="0" w:color="auto"/>
        <w:left w:val="none" w:sz="0" w:space="0" w:color="auto"/>
        <w:bottom w:val="none" w:sz="0" w:space="0" w:color="auto"/>
        <w:right w:val="none" w:sz="0" w:space="0" w:color="auto"/>
      </w:divBdr>
    </w:div>
    <w:div w:id="1436897486">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ol.co.za/news/south-africa/gauteng/ngo-seeks-leave-to-appeal-spanking-judgment-119513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2CBB612-DC5A-4638-BFED-74B80411A220}"/>
</file>

<file path=customXml/itemProps2.xml><?xml version="1.0" encoding="utf-8"?>
<ds:datastoreItem xmlns:ds="http://schemas.openxmlformats.org/officeDocument/2006/customXml" ds:itemID="{57A574D5-768C-42B9-B145-84C143D00D3D}"/>
</file>

<file path=customXml/itemProps3.xml><?xml version="1.0" encoding="utf-8"?>
<ds:datastoreItem xmlns:ds="http://schemas.openxmlformats.org/officeDocument/2006/customXml" ds:itemID="{CD458E77-4ECF-4667-B6F7-7996F83A0473}"/>
</file>

<file path=customXml/itemProps4.xml><?xml version="1.0" encoding="utf-8"?>
<ds:datastoreItem xmlns:ds="http://schemas.openxmlformats.org/officeDocument/2006/customXml" ds:itemID="{8E8A8F5A-7195-4AF5-AB69-6FCCF62F8691}"/>
</file>

<file path=customXml/itemProps5.xml><?xml version="1.0" encoding="utf-8"?>
<ds:datastoreItem xmlns:ds="http://schemas.openxmlformats.org/officeDocument/2006/customXml" ds:itemID="{101527D1-71F8-455B-B6D9-EFEB835EF6CB}"/>
</file>

<file path=docProps/app.xml><?xml version="1.0" encoding="utf-8"?>
<Properties xmlns="http://schemas.openxmlformats.org/officeDocument/2006/extended-properties" xmlns:vt="http://schemas.openxmlformats.org/officeDocument/2006/docPropsVTypes">
  <Template>Normal.dotm</Template>
  <TotalTime>0</TotalTime>
  <Pages>5</Pages>
  <Words>2185</Words>
  <Characters>12455</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14611</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subject/>
  <dc:creator>Sharon Owen</dc:creator>
  <cp:keywords/>
  <cp:lastModifiedBy>Jorge ARAYA</cp:lastModifiedBy>
  <cp:revision>2</cp:revision>
  <cp:lastPrinted>2005-01-04T10:45:00Z</cp:lastPrinted>
  <dcterms:created xsi:type="dcterms:W3CDTF">2018-01-31T10:20:00Z</dcterms:created>
  <dcterms:modified xsi:type="dcterms:W3CDTF">2018-01-31T10:20:00Z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