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E36E9F" w14:textId="30B08324" w:rsidR="00B104F9" w:rsidRPr="006F60C9" w:rsidRDefault="00B104F9" w:rsidP="00B104F9">
      <w:pPr>
        <w:pStyle w:val="NormalWeb"/>
        <w:jc w:val="center"/>
        <w:rPr>
          <w:rFonts w:ascii="Verdana" w:hAnsi="Verdana" w:cstheme="minorBidi"/>
          <w:b/>
          <w:bCs/>
          <w:sz w:val="18"/>
          <w:szCs w:val="22"/>
          <w:lang w:bidi="th-TH"/>
        </w:rPr>
      </w:pPr>
    </w:p>
    <w:p w14:paraId="6E17BEB9" w14:textId="7EA3C727" w:rsidR="00B104F9" w:rsidRPr="009A330C" w:rsidRDefault="00B104F9" w:rsidP="00B104F9">
      <w:pPr>
        <w:pStyle w:val="NormalWeb"/>
        <w:jc w:val="center"/>
        <w:rPr>
          <w:rFonts w:ascii="Verdana" w:hAnsi="Verdana"/>
          <w:b/>
          <w:bCs/>
          <w:sz w:val="18"/>
          <w:szCs w:val="18"/>
        </w:rPr>
      </w:pPr>
      <w:r w:rsidRPr="009A330C">
        <w:rPr>
          <w:rFonts w:ascii="Verdana" w:hAnsi="Verdana"/>
          <w:b/>
          <w:bCs/>
          <w:noProof/>
          <w:sz w:val="18"/>
          <w:szCs w:val="18"/>
          <w:lang w:val="en-GB" w:eastAsia="en-GB"/>
        </w:rPr>
        <w:drawing>
          <wp:anchor distT="0" distB="0" distL="114300" distR="114300" simplePos="0" relativeHeight="251659264" behindDoc="0" locked="0" layoutInCell="1" allowOverlap="1" wp14:anchorId="42570EC8" wp14:editId="0E8B8501">
            <wp:simplePos x="0" y="0"/>
            <wp:positionH relativeFrom="margin">
              <wp:posOffset>2063750</wp:posOffset>
            </wp:positionH>
            <wp:positionV relativeFrom="margin">
              <wp:posOffset>328295</wp:posOffset>
            </wp:positionV>
            <wp:extent cx="1600200" cy="6096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609600"/>
                    </a:xfrm>
                    <a:prstGeom prst="rect">
                      <a:avLst/>
                    </a:prstGeom>
                    <a:noFill/>
                    <a:ln>
                      <a:noFill/>
                    </a:ln>
                  </pic:spPr>
                </pic:pic>
              </a:graphicData>
            </a:graphic>
          </wp:anchor>
        </w:drawing>
      </w:r>
    </w:p>
    <w:p w14:paraId="1FFCADCE" w14:textId="77777777" w:rsidR="00B104F9" w:rsidRPr="009A330C" w:rsidRDefault="00B104F9" w:rsidP="00B104F9">
      <w:pPr>
        <w:pStyle w:val="NormalWeb"/>
        <w:jc w:val="center"/>
        <w:rPr>
          <w:rFonts w:ascii="Verdana" w:hAnsi="Verdana"/>
          <w:b/>
          <w:bCs/>
          <w:sz w:val="18"/>
          <w:szCs w:val="18"/>
        </w:rPr>
      </w:pPr>
    </w:p>
    <w:p w14:paraId="3BA46F35" w14:textId="77777777" w:rsidR="00B104F9" w:rsidRPr="009A330C" w:rsidRDefault="00B104F9" w:rsidP="00B104F9">
      <w:pPr>
        <w:pStyle w:val="NormalWeb"/>
        <w:jc w:val="center"/>
        <w:rPr>
          <w:rFonts w:ascii="Verdana" w:hAnsi="Verdana"/>
          <w:b/>
          <w:bCs/>
          <w:sz w:val="19"/>
          <w:szCs w:val="19"/>
        </w:rPr>
      </w:pPr>
    </w:p>
    <w:p w14:paraId="2E4B2703" w14:textId="77777777" w:rsidR="00B104F9" w:rsidRPr="009A330C" w:rsidRDefault="00B104F9" w:rsidP="00B104F9">
      <w:pPr>
        <w:pStyle w:val="NormalWeb"/>
        <w:jc w:val="center"/>
        <w:rPr>
          <w:rFonts w:ascii="Verdana" w:hAnsi="Verdana"/>
          <w:b/>
          <w:bCs/>
          <w:sz w:val="19"/>
          <w:szCs w:val="19"/>
        </w:rPr>
      </w:pPr>
      <w:r w:rsidRPr="009A330C">
        <w:rPr>
          <w:rFonts w:ascii="Verdana" w:hAnsi="Verdana" w:cs="Angsana New"/>
          <w:b/>
          <w:bCs/>
          <w:color w:val="2E74B5" w:themeColor="accent5" w:themeShade="BF"/>
          <w:sz w:val="19"/>
          <w:szCs w:val="19"/>
          <w:cs/>
          <w:lang w:bidi="th-TH"/>
        </w:rPr>
        <w:t xml:space="preserve">                       </w:t>
      </w:r>
      <w:r w:rsidRPr="009A330C">
        <w:rPr>
          <w:rFonts w:ascii="Verdana" w:hAnsi="Verdana"/>
          <w:b/>
          <w:bCs/>
          <w:color w:val="2E74B5" w:themeColor="accent5" w:themeShade="BF"/>
          <w:sz w:val="19"/>
          <w:szCs w:val="19"/>
        </w:rPr>
        <w:tab/>
      </w:r>
      <w:r w:rsidRPr="009A330C">
        <w:rPr>
          <w:rFonts w:ascii="Verdana" w:hAnsi="Verdana"/>
          <w:b/>
          <w:bCs/>
          <w:color w:val="2E74B5" w:themeColor="accent5" w:themeShade="BF"/>
          <w:sz w:val="19"/>
          <w:szCs w:val="19"/>
        </w:rPr>
        <w:tab/>
      </w:r>
      <w:r w:rsidRPr="009A330C">
        <w:rPr>
          <w:rFonts w:ascii="Verdana" w:hAnsi="Verdana"/>
          <w:b/>
          <w:bCs/>
          <w:sz w:val="19"/>
          <w:szCs w:val="19"/>
        </w:rPr>
        <w:tab/>
      </w:r>
      <w:r w:rsidRPr="009A330C">
        <w:rPr>
          <w:rFonts w:ascii="Verdana" w:hAnsi="Verdana" w:cs="Angsana New"/>
          <w:b/>
          <w:bCs/>
          <w:sz w:val="19"/>
          <w:szCs w:val="19"/>
          <w:cs/>
          <w:lang w:bidi="th-TH"/>
        </w:rPr>
        <w:t xml:space="preserve">     </w:t>
      </w:r>
      <w:r w:rsidRPr="009A330C">
        <w:rPr>
          <w:rFonts w:ascii="Verdana" w:hAnsi="Verdana"/>
          <w:b/>
          <w:bCs/>
          <w:sz w:val="19"/>
          <w:szCs w:val="19"/>
        </w:rPr>
        <w:tab/>
      </w:r>
      <w:r w:rsidRPr="009A330C">
        <w:rPr>
          <w:rFonts w:ascii="Verdana" w:hAnsi="Verdana"/>
          <w:b/>
          <w:bCs/>
          <w:sz w:val="19"/>
          <w:szCs w:val="19"/>
        </w:rPr>
        <w:tab/>
      </w:r>
    </w:p>
    <w:p w14:paraId="14246101" w14:textId="71A53DFD" w:rsidR="00B104F9" w:rsidRPr="009A330C" w:rsidRDefault="00B104F9" w:rsidP="00B104F9">
      <w:pPr>
        <w:pStyle w:val="NormalWeb"/>
        <w:jc w:val="center"/>
        <w:rPr>
          <w:rFonts w:ascii="Verdana" w:hAnsi="Verdana"/>
          <w:b/>
          <w:bCs/>
        </w:rPr>
      </w:pPr>
      <w:r w:rsidRPr="009A330C">
        <w:rPr>
          <w:rFonts w:ascii="Verdana" w:hAnsi="Verdana"/>
          <w:b/>
          <w:bCs/>
        </w:rPr>
        <w:t xml:space="preserve">SUBMISSION OF THE INTERNATIONAL COMMISSION OF JURISTS TO THE </w:t>
      </w:r>
      <w:r w:rsidR="00AC141F" w:rsidRPr="009A330C">
        <w:rPr>
          <w:rFonts w:ascii="Verdana" w:hAnsi="Verdana"/>
          <w:b/>
          <w:bCs/>
        </w:rPr>
        <w:t>COMMITTEE ON ECONOMIC, SOCIAL AND CULTURAL RIGHTS</w:t>
      </w:r>
      <w:r w:rsidRPr="009A330C">
        <w:rPr>
          <w:rFonts w:ascii="Verdana" w:hAnsi="Verdana"/>
          <w:b/>
          <w:bCs/>
        </w:rPr>
        <w:t xml:space="preserve"> IN ADVANCE OF THE EXAMINATION OF CAMBODIA’S </w:t>
      </w:r>
      <w:r w:rsidR="00AC141F" w:rsidRPr="009A330C">
        <w:rPr>
          <w:rFonts w:ascii="Verdana" w:hAnsi="Verdana"/>
          <w:b/>
          <w:bCs/>
        </w:rPr>
        <w:t>SECOND</w:t>
      </w:r>
      <w:r w:rsidRPr="009A330C">
        <w:rPr>
          <w:rFonts w:ascii="Verdana" w:hAnsi="Verdana"/>
          <w:b/>
          <w:bCs/>
        </w:rPr>
        <w:t xml:space="preserve"> PERIODIC REPORT UNDER ARTICLE</w:t>
      </w:r>
      <w:r w:rsidR="00F0186B" w:rsidRPr="009A330C">
        <w:rPr>
          <w:rFonts w:ascii="Verdana" w:hAnsi="Verdana"/>
          <w:b/>
          <w:bCs/>
        </w:rPr>
        <w:t>S 16 AND 17</w:t>
      </w:r>
      <w:r w:rsidRPr="009A330C">
        <w:rPr>
          <w:rFonts w:ascii="Verdana" w:hAnsi="Verdana"/>
          <w:b/>
          <w:bCs/>
        </w:rPr>
        <w:t xml:space="preserve"> OF THE INTERNATIONAL COVENANT ON </w:t>
      </w:r>
      <w:r w:rsidR="00F0186B" w:rsidRPr="009A330C">
        <w:rPr>
          <w:rFonts w:ascii="Verdana" w:hAnsi="Verdana"/>
          <w:b/>
          <w:bCs/>
        </w:rPr>
        <w:t xml:space="preserve">ECONOMIC, SOCIAL AND CULTURAL </w:t>
      </w:r>
      <w:r w:rsidRPr="009A330C">
        <w:rPr>
          <w:rFonts w:ascii="Verdana" w:hAnsi="Verdana"/>
          <w:b/>
          <w:bCs/>
        </w:rPr>
        <w:t xml:space="preserve">RIGHTS </w:t>
      </w:r>
    </w:p>
    <w:p w14:paraId="52F2CEA0" w14:textId="4EE746FE" w:rsidR="00B104F9" w:rsidRPr="009A330C" w:rsidRDefault="00B104F9" w:rsidP="00B104F9">
      <w:pPr>
        <w:pStyle w:val="NormalWeb"/>
        <w:jc w:val="center"/>
        <w:rPr>
          <w:rFonts w:ascii="Verdana" w:hAnsi="Verdana"/>
          <w:b/>
          <w:bCs/>
          <w:sz w:val="19"/>
          <w:szCs w:val="19"/>
        </w:rPr>
      </w:pPr>
    </w:p>
    <w:p w14:paraId="06F07CDD" w14:textId="77777777" w:rsidR="00B104F9" w:rsidRPr="009A330C" w:rsidRDefault="00B104F9" w:rsidP="00B104F9">
      <w:pPr>
        <w:pStyle w:val="NormalWeb"/>
        <w:jc w:val="center"/>
        <w:rPr>
          <w:rFonts w:ascii="Verdana" w:hAnsi="Verdana"/>
          <w:b/>
          <w:bCs/>
          <w:sz w:val="19"/>
          <w:szCs w:val="19"/>
        </w:rPr>
      </w:pPr>
    </w:p>
    <w:p w14:paraId="33F7C1FF" w14:textId="77777777" w:rsidR="00B104F9" w:rsidRPr="009A330C" w:rsidRDefault="00B104F9" w:rsidP="00B104F9">
      <w:pPr>
        <w:jc w:val="both"/>
        <w:rPr>
          <w:rFonts w:ascii="Verdana" w:hAnsi="Verdana"/>
          <w:i/>
          <w:iCs/>
          <w:sz w:val="19"/>
          <w:szCs w:val="19"/>
        </w:rPr>
      </w:pPr>
    </w:p>
    <w:p w14:paraId="4485D038" w14:textId="77777777" w:rsidR="00B104F9" w:rsidRPr="009A330C" w:rsidRDefault="00B104F9" w:rsidP="00B104F9">
      <w:pPr>
        <w:jc w:val="both"/>
        <w:rPr>
          <w:rFonts w:ascii="Verdana" w:hAnsi="Verdana"/>
          <w:i/>
          <w:iCs/>
          <w:sz w:val="19"/>
          <w:szCs w:val="19"/>
        </w:rPr>
      </w:pPr>
    </w:p>
    <w:p w14:paraId="6226A128" w14:textId="77777777" w:rsidR="00B104F9" w:rsidRPr="009A330C" w:rsidRDefault="00B104F9" w:rsidP="00B104F9">
      <w:pPr>
        <w:jc w:val="both"/>
        <w:rPr>
          <w:rFonts w:ascii="Verdana" w:hAnsi="Verdana"/>
          <w:i/>
          <w:iCs/>
          <w:sz w:val="19"/>
          <w:szCs w:val="19"/>
        </w:rPr>
      </w:pPr>
    </w:p>
    <w:p w14:paraId="73629617" w14:textId="77777777" w:rsidR="00B104F9" w:rsidRPr="009A330C" w:rsidRDefault="00B104F9" w:rsidP="00B104F9">
      <w:pPr>
        <w:jc w:val="both"/>
        <w:rPr>
          <w:rFonts w:ascii="Verdana" w:hAnsi="Verdana"/>
          <w:i/>
          <w:iCs/>
          <w:sz w:val="19"/>
          <w:szCs w:val="19"/>
        </w:rPr>
      </w:pPr>
    </w:p>
    <w:p w14:paraId="2D07E5DE" w14:textId="77777777" w:rsidR="00B104F9" w:rsidRPr="009A330C" w:rsidRDefault="00B104F9" w:rsidP="00B104F9">
      <w:pPr>
        <w:jc w:val="both"/>
        <w:rPr>
          <w:rFonts w:ascii="Verdana" w:hAnsi="Verdana"/>
          <w:i/>
          <w:iCs/>
          <w:sz w:val="19"/>
          <w:szCs w:val="19"/>
        </w:rPr>
      </w:pPr>
    </w:p>
    <w:p w14:paraId="5DA0DFB1" w14:textId="77777777" w:rsidR="00B104F9" w:rsidRPr="009A330C" w:rsidRDefault="00B104F9" w:rsidP="00B104F9">
      <w:pPr>
        <w:jc w:val="both"/>
        <w:rPr>
          <w:rFonts w:ascii="Verdana" w:hAnsi="Verdana"/>
          <w:i/>
          <w:iCs/>
          <w:sz w:val="19"/>
          <w:szCs w:val="19"/>
        </w:rPr>
      </w:pPr>
    </w:p>
    <w:p w14:paraId="7D6661A5" w14:textId="77777777" w:rsidR="00B104F9" w:rsidRPr="009A330C" w:rsidRDefault="00B104F9" w:rsidP="00B104F9">
      <w:pPr>
        <w:jc w:val="both"/>
        <w:rPr>
          <w:rFonts w:ascii="Verdana" w:hAnsi="Verdana"/>
          <w:i/>
          <w:iCs/>
          <w:sz w:val="19"/>
          <w:szCs w:val="19"/>
        </w:rPr>
      </w:pPr>
    </w:p>
    <w:p w14:paraId="7D730064" w14:textId="77777777" w:rsidR="00B104F9" w:rsidRPr="009A330C" w:rsidRDefault="00B104F9" w:rsidP="00B104F9">
      <w:pPr>
        <w:jc w:val="both"/>
        <w:rPr>
          <w:rFonts w:ascii="Verdana" w:hAnsi="Verdana"/>
          <w:i/>
          <w:iCs/>
          <w:sz w:val="19"/>
          <w:szCs w:val="19"/>
        </w:rPr>
      </w:pPr>
    </w:p>
    <w:p w14:paraId="7E9206AB" w14:textId="77777777" w:rsidR="00B104F9" w:rsidRPr="009A330C" w:rsidRDefault="00B104F9" w:rsidP="00B104F9">
      <w:pPr>
        <w:jc w:val="both"/>
        <w:rPr>
          <w:rFonts w:ascii="Verdana" w:hAnsi="Verdana"/>
          <w:i/>
          <w:iCs/>
          <w:sz w:val="19"/>
          <w:szCs w:val="19"/>
        </w:rPr>
      </w:pPr>
    </w:p>
    <w:p w14:paraId="5D9FB058" w14:textId="77777777" w:rsidR="00B104F9" w:rsidRPr="009A330C" w:rsidRDefault="00B104F9" w:rsidP="00B104F9">
      <w:pPr>
        <w:jc w:val="both"/>
        <w:rPr>
          <w:rFonts w:ascii="Verdana" w:hAnsi="Verdana"/>
          <w:i/>
          <w:iCs/>
          <w:sz w:val="19"/>
          <w:szCs w:val="19"/>
        </w:rPr>
      </w:pPr>
    </w:p>
    <w:p w14:paraId="085C6AF8" w14:textId="77777777" w:rsidR="00B104F9" w:rsidRPr="009A330C" w:rsidRDefault="00B104F9" w:rsidP="00B104F9">
      <w:pPr>
        <w:jc w:val="both"/>
        <w:rPr>
          <w:rFonts w:ascii="Verdana" w:hAnsi="Verdana"/>
          <w:i/>
          <w:iCs/>
          <w:sz w:val="19"/>
          <w:szCs w:val="19"/>
        </w:rPr>
      </w:pPr>
    </w:p>
    <w:p w14:paraId="52AA1EB5" w14:textId="523CFA55" w:rsidR="00B104F9" w:rsidRPr="009A330C" w:rsidRDefault="00B104F9" w:rsidP="00B104F9">
      <w:pPr>
        <w:jc w:val="both"/>
        <w:rPr>
          <w:rFonts w:ascii="Verdana" w:hAnsi="Verdana"/>
          <w:iCs/>
          <w:sz w:val="19"/>
          <w:szCs w:val="19"/>
        </w:rPr>
      </w:pPr>
      <w:r w:rsidRPr="009A330C">
        <w:rPr>
          <w:rFonts w:ascii="Verdana" w:hAnsi="Verdana"/>
          <w:i/>
          <w:iCs/>
          <w:sz w:val="19"/>
          <w:szCs w:val="19"/>
        </w:rPr>
        <w:t>Composed of 60 eminent judges and lawyers from all regions of the world, the International Commission of Jurists (ICJ)</w:t>
      </w:r>
      <w:r w:rsidRPr="009A330C">
        <w:rPr>
          <w:rFonts w:ascii="Verdana" w:hAnsi="Verdana" w:cs="Angsana New"/>
          <w:i/>
          <w:iCs/>
          <w:sz w:val="19"/>
          <w:szCs w:val="19"/>
          <w:cs/>
          <w:lang w:bidi="th-TH"/>
        </w:rPr>
        <w:t xml:space="preserve"> </w:t>
      </w:r>
      <w:r w:rsidRPr="009A330C">
        <w:rPr>
          <w:rFonts w:ascii="Verdana" w:hAnsi="Verdana"/>
          <w:i/>
          <w:iCs/>
          <w:sz w:val="19"/>
          <w:szCs w:val="19"/>
        </w:rPr>
        <w:t>promotes and protects human rights through the Rule of Law, by using its unique legal expertise to develop and strengthen national and international justice systems.</w:t>
      </w:r>
      <w:r w:rsidRPr="009A330C">
        <w:rPr>
          <w:rFonts w:ascii="Verdana" w:hAnsi="Verdana" w:cs="Angsana New"/>
          <w:i/>
          <w:iCs/>
          <w:sz w:val="19"/>
          <w:szCs w:val="19"/>
          <w:cs/>
          <w:lang w:bidi="th-TH"/>
        </w:rPr>
        <w:t xml:space="preserve"> </w:t>
      </w:r>
      <w:r w:rsidRPr="009A330C">
        <w:rPr>
          <w:rFonts w:ascii="Verdana" w:hAnsi="Verdana"/>
          <w:i/>
          <w:iCs/>
          <w:sz w:val="19"/>
          <w:szCs w:val="19"/>
        </w:rPr>
        <w:t>Established in 1952, in consultative status with the Economic and Social Council in 1957, and active on five continents, the ICJ aims to ensure the progressive development and effective implementation of international human rights and international humanitarian law; secure the realization of civil, cultural, economic, political and social rights; safeguard the separation of powers; and guarantee the independence of the judiciary and legal profession.</w:t>
      </w:r>
    </w:p>
    <w:p w14:paraId="16D98B18" w14:textId="77777777" w:rsidR="00B104F9" w:rsidRPr="009A330C" w:rsidRDefault="00B104F9" w:rsidP="00B104F9">
      <w:pPr>
        <w:jc w:val="center"/>
        <w:rPr>
          <w:rFonts w:ascii="Verdana" w:hAnsi="Verdana"/>
          <w:iCs/>
          <w:sz w:val="19"/>
          <w:szCs w:val="19"/>
        </w:rPr>
      </w:pPr>
    </w:p>
    <w:p w14:paraId="32B9CAF9" w14:textId="77777777" w:rsidR="00B104F9" w:rsidRPr="009A330C" w:rsidRDefault="00B104F9" w:rsidP="00B104F9">
      <w:pPr>
        <w:jc w:val="center"/>
        <w:rPr>
          <w:rFonts w:ascii="Verdana" w:hAnsi="Verdana"/>
          <w:iCs/>
          <w:sz w:val="19"/>
          <w:szCs w:val="19"/>
        </w:rPr>
      </w:pPr>
    </w:p>
    <w:p w14:paraId="1CAC6F3A" w14:textId="77777777" w:rsidR="00B104F9" w:rsidRPr="009A330C" w:rsidRDefault="00B104F9" w:rsidP="00B104F9">
      <w:pPr>
        <w:jc w:val="center"/>
        <w:rPr>
          <w:rFonts w:ascii="Verdana" w:hAnsi="Verdana"/>
          <w:iCs/>
          <w:sz w:val="19"/>
          <w:szCs w:val="19"/>
        </w:rPr>
      </w:pPr>
    </w:p>
    <w:p w14:paraId="1E33C376" w14:textId="77777777" w:rsidR="00B104F9" w:rsidRPr="009A330C" w:rsidRDefault="00B104F9" w:rsidP="00B104F9">
      <w:pPr>
        <w:jc w:val="center"/>
        <w:rPr>
          <w:rFonts w:ascii="Verdana" w:hAnsi="Verdana"/>
          <w:iCs/>
          <w:sz w:val="19"/>
          <w:szCs w:val="19"/>
        </w:rPr>
      </w:pPr>
    </w:p>
    <w:p w14:paraId="42DE52F8" w14:textId="00420870" w:rsidR="00B104F9" w:rsidRPr="009A330C" w:rsidRDefault="00B104F9" w:rsidP="00B104F9">
      <w:pPr>
        <w:jc w:val="center"/>
        <w:rPr>
          <w:rFonts w:ascii="Verdana" w:hAnsi="Verdana"/>
          <w:iCs/>
          <w:sz w:val="19"/>
          <w:szCs w:val="19"/>
        </w:rPr>
      </w:pPr>
      <w:r w:rsidRPr="009A330C">
        <w:rPr>
          <w:rFonts w:ascii="Verdana" w:hAnsi="Verdana"/>
          <w:iCs/>
          <w:sz w:val="19"/>
          <w:szCs w:val="19"/>
        </w:rPr>
        <w:t xml:space="preserve">Submitted on </w:t>
      </w:r>
      <w:r w:rsidR="00F0186B" w:rsidRPr="009A330C">
        <w:rPr>
          <w:rFonts w:ascii="Verdana" w:hAnsi="Verdana"/>
          <w:iCs/>
          <w:sz w:val="19"/>
          <w:szCs w:val="19"/>
        </w:rPr>
        <w:t>16</w:t>
      </w:r>
      <w:r w:rsidRPr="009A330C">
        <w:rPr>
          <w:rFonts w:ascii="Verdana" w:hAnsi="Verdana"/>
          <w:iCs/>
          <w:sz w:val="19"/>
          <w:szCs w:val="19"/>
        </w:rPr>
        <w:t xml:space="preserve"> January 202</w:t>
      </w:r>
      <w:r w:rsidR="00F0186B" w:rsidRPr="009A330C">
        <w:rPr>
          <w:rFonts w:ascii="Verdana" w:hAnsi="Verdana"/>
          <w:iCs/>
          <w:sz w:val="19"/>
          <w:szCs w:val="19"/>
        </w:rPr>
        <w:t>3</w:t>
      </w:r>
    </w:p>
    <w:p w14:paraId="6621CA69" w14:textId="77777777" w:rsidR="00B104F9" w:rsidRPr="009A330C" w:rsidRDefault="00B104F9" w:rsidP="00B104F9">
      <w:pPr>
        <w:jc w:val="center"/>
        <w:rPr>
          <w:rFonts w:ascii="Verdana" w:hAnsi="Verdana"/>
          <w:b/>
          <w:iCs/>
          <w:sz w:val="19"/>
          <w:szCs w:val="19"/>
        </w:rPr>
      </w:pPr>
    </w:p>
    <w:p w14:paraId="395F0193" w14:textId="77777777" w:rsidR="00B104F9" w:rsidRPr="009A330C" w:rsidRDefault="00B104F9" w:rsidP="00B104F9">
      <w:pPr>
        <w:rPr>
          <w:rFonts w:ascii="Verdana" w:hAnsi="Verdana"/>
          <w:b/>
          <w:iCs/>
          <w:sz w:val="19"/>
          <w:szCs w:val="19"/>
        </w:rPr>
      </w:pPr>
    </w:p>
    <w:p w14:paraId="0CCC3FAB" w14:textId="77777777" w:rsidR="00B104F9" w:rsidRPr="009A330C" w:rsidRDefault="00B104F9" w:rsidP="00B104F9">
      <w:pPr>
        <w:rPr>
          <w:rFonts w:ascii="Verdana" w:hAnsi="Verdana"/>
          <w:b/>
          <w:iCs/>
          <w:sz w:val="19"/>
          <w:szCs w:val="19"/>
        </w:rPr>
      </w:pPr>
    </w:p>
    <w:p w14:paraId="12B33FBE" w14:textId="77777777" w:rsidR="00B104F9" w:rsidRPr="009A330C" w:rsidRDefault="00B104F9" w:rsidP="00B104F9">
      <w:pPr>
        <w:rPr>
          <w:rFonts w:ascii="Verdana" w:hAnsi="Verdana"/>
          <w:b/>
          <w:iCs/>
          <w:sz w:val="19"/>
          <w:szCs w:val="19"/>
        </w:rPr>
      </w:pPr>
    </w:p>
    <w:p w14:paraId="01A10D7B" w14:textId="77777777" w:rsidR="00B104F9" w:rsidRPr="009A330C" w:rsidRDefault="00B104F9" w:rsidP="00B104F9">
      <w:pPr>
        <w:rPr>
          <w:rFonts w:ascii="Verdana" w:hAnsi="Verdana"/>
          <w:b/>
          <w:iCs/>
          <w:sz w:val="19"/>
          <w:szCs w:val="19"/>
        </w:rPr>
      </w:pPr>
    </w:p>
    <w:p w14:paraId="1A8ED6AB" w14:textId="77777777" w:rsidR="00B104F9" w:rsidRPr="009A330C" w:rsidRDefault="00B104F9" w:rsidP="00B104F9">
      <w:pPr>
        <w:rPr>
          <w:rFonts w:ascii="Verdana" w:hAnsi="Verdana"/>
          <w:b/>
          <w:iCs/>
          <w:sz w:val="19"/>
          <w:szCs w:val="19"/>
        </w:rPr>
      </w:pPr>
    </w:p>
    <w:p w14:paraId="74CE0D53" w14:textId="77777777" w:rsidR="00B104F9" w:rsidRPr="009A330C" w:rsidRDefault="00B104F9" w:rsidP="00B104F9">
      <w:pPr>
        <w:rPr>
          <w:rFonts w:ascii="Verdana" w:hAnsi="Verdana"/>
          <w:b/>
          <w:iCs/>
          <w:sz w:val="19"/>
          <w:szCs w:val="19"/>
        </w:rPr>
      </w:pPr>
    </w:p>
    <w:p w14:paraId="1FE21F21" w14:textId="77777777" w:rsidR="00B104F9" w:rsidRPr="009A330C" w:rsidRDefault="00B104F9" w:rsidP="00B104F9">
      <w:pPr>
        <w:jc w:val="center"/>
        <w:rPr>
          <w:rFonts w:ascii="Verdana" w:hAnsi="Verdana"/>
          <w:b/>
          <w:iCs/>
          <w:sz w:val="19"/>
          <w:szCs w:val="19"/>
        </w:rPr>
      </w:pPr>
    </w:p>
    <w:p w14:paraId="40D0FB7F" w14:textId="6BF8E6C7" w:rsidR="00B104F9" w:rsidRPr="009A330C" w:rsidRDefault="00B104F9" w:rsidP="00B104F9">
      <w:pPr>
        <w:jc w:val="center"/>
        <w:rPr>
          <w:rFonts w:ascii="Verdana" w:hAnsi="Verdana"/>
          <w:iCs/>
          <w:sz w:val="19"/>
          <w:szCs w:val="19"/>
        </w:rPr>
      </w:pPr>
      <w:r w:rsidRPr="009A330C">
        <w:rPr>
          <w:rFonts w:ascii="Verdana" w:hAnsi="Verdana"/>
          <w:iCs/>
          <w:sz w:val="19"/>
          <w:szCs w:val="19"/>
        </w:rPr>
        <w:t>P</w:t>
      </w:r>
      <w:r w:rsidRPr="009A330C">
        <w:rPr>
          <w:rFonts w:ascii="Verdana" w:hAnsi="Verdana" w:cs="Angsana New"/>
          <w:iCs/>
          <w:sz w:val="19"/>
          <w:szCs w:val="19"/>
          <w:cs/>
          <w:lang w:bidi="th-TH"/>
        </w:rPr>
        <w:t>.</w:t>
      </w:r>
      <w:r w:rsidRPr="009A330C">
        <w:rPr>
          <w:rFonts w:ascii="Verdana" w:hAnsi="Verdana"/>
          <w:iCs/>
          <w:sz w:val="19"/>
          <w:szCs w:val="19"/>
        </w:rPr>
        <w:t>O</w:t>
      </w:r>
      <w:r w:rsidRPr="009A330C">
        <w:rPr>
          <w:rFonts w:ascii="Verdana" w:hAnsi="Verdana" w:cs="Angsana New"/>
          <w:iCs/>
          <w:sz w:val="19"/>
          <w:szCs w:val="19"/>
          <w:cs/>
          <w:lang w:bidi="th-TH"/>
        </w:rPr>
        <w:t xml:space="preserve">. </w:t>
      </w:r>
      <w:r w:rsidRPr="009A330C">
        <w:rPr>
          <w:rFonts w:ascii="Verdana" w:hAnsi="Verdana"/>
          <w:iCs/>
          <w:sz w:val="19"/>
          <w:szCs w:val="19"/>
        </w:rPr>
        <w:t xml:space="preserve">Box, </w:t>
      </w:r>
      <w:r w:rsidR="007823FE" w:rsidRPr="009A330C">
        <w:rPr>
          <w:rFonts w:ascii="Verdana" w:hAnsi="Verdana"/>
          <w:iCs/>
          <w:sz w:val="19"/>
          <w:szCs w:val="19"/>
        </w:rPr>
        <w:t>1740</w:t>
      </w:r>
      <w:r w:rsidRPr="009A330C">
        <w:rPr>
          <w:rFonts w:ascii="Verdana" w:hAnsi="Verdana"/>
          <w:iCs/>
          <w:sz w:val="19"/>
          <w:szCs w:val="19"/>
        </w:rPr>
        <w:t>, Rue des B</w:t>
      </w:r>
      <w:r w:rsidR="007823FE" w:rsidRPr="009A330C">
        <w:rPr>
          <w:rFonts w:ascii="Verdana" w:hAnsi="Verdana"/>
          <w:iCs/>
          <w:sz w:val="19"/>
          <w:szCs w:val="19"/>
        </w:rPr>
        <w:t>uis 3</w:t>
      </w:r>
      <w:r w:rsidRPr="009A330C">
        <w:rPr>
          <w:rFonts w:ascii="Verdana" w:hAnsi="Verdana"/>
          <w:iCs/>
          <w:sz w:val="19"/>
          <w:szCs w:val="19"/>
        </w:rPr>
        <w:t xml:space="preserve">, </w:t>
      </w:r>
      <w:r w:rsidR="007823FE" w:rsidRPr="009A330C">
        <w:rPr>
          <w:rFonts w:ascii="Verdana" w:hAnsi="Verdana"/>
          <w:iCs/>
          <w:sz w:val="19"/>
          <w:szCs w:val="19"/>
        </w:rPr>
        <w:t xml:space="preserve">CH </w:t>
      </w:r>
      <w:r w:rsidRPr="009A330C">
        <w:rPr>
          <w:rFonts w:ascii="Verdana" w:hAnsi="Verdana"/>
          <w:iCs/>
          <w:sz w:val="19"/>
          <w:szCs w:val="19"/>
        </w:rPr>
        <w:t xml:space="preserve">1211 Geneva </w:t>
      </w:r>
      <w:r w:rsidR="007823FE" w:rsidRPr="009A330C">
        <w:rPr>
          <w:rFonts w:ascii="Verdana" w:hAnsi="Verdana"/>
          <w:iCs/>
          <w:sz w:val="19"/>
          <w:szCs w:val="19"/>
        </w:rPr>
        <w:t>1</w:t>
      </w:r>
      <w:r w:rsidRPr="009A330C">
        <w:rPr>
          <w:rFonts w:ascii="Verdana" w:hAnsi="Verdana"/>
          <w:iCs/>
          <w:sz w:val="19"/>
          <w:szCs w:val="19"/>
        </w:rPr>
        <w:t>, Switzerland</w:t>
      </w:r>
    </w:p>
    <w:p w14:paraId="2C4D0E0E" w14:textId="77777777" w:rsidR="00B104F9" w:rsidRPr="009A330C" w:rsidRDefault="00B104F9" w:rsidP="00B104F9">
      <w:pPr>
        <w:jc w:val="center"/>
        <w:rPr>
          <w:rFonts w:ascii="Verdana" w:hAnsi="Verdana"/>
          <w:iCs/>
          <w:sz w:val="19"/>
          <w:szCs w:val="19"/>
        </w:rPr>
      </w:pPr>
      <w:r w:rsidRPr="009A330C">
        <w:rPr>
          <w:rFonts w:ascii="Verdana" w:hAnsi="Verdana"/>
          <w:iCs/>
          <w:sz w:val="19"/>
          <w:szCs w:val="19"/>
        </w:rPr>
        <w:t>Tel</w:t>
      </w:r>
      <w:r w:rsidRPr="009A330C">
        <w:rPr>
          <w:rFonts w:ascii="Verdana" w:hAnsi="Verdana" w:cs="Angsana New"/>
          <w:iCs/>
          <w:sz w:val="19"/>
          <w:szCs w:val="19"/>
          <w:lang w:bidi="th-TH"/>
        </w:rPr>
        <w:t>: +</w:t>
      </w:r>
      <w:r w:rsidRPr="009A330C">
        <w:rPr>
          <w:rFonts w:ascii="Verdana" w:hAnsi="Verdana"/>
          <w:iCs/>
          <w:sz w:val="19"/>
          <w:szCs w:val="19"/>
        </w:rPr>
        <w:t>41</w:t>
      </w:r>
      <w:r w:rsidRPr="009A330C">
        <w:rPr>
          <w:rFonts w:ascii="Verdana" w:hAnsi="Verdana"/>
          <w:iCs/>
          <w:sz w:val="19"/>
          <w:szCs w:val="19"/>
          <w:lang w:bidi="th-TH"/>
        </w:rPr>
        <w:t>(0)</w:t>
      </w:r>
      <w:r w:rsidRPr="009A330C">
        <w:rPr>
          <w:rFonts w:ascii="Verdana" w:hAnsi="Verdana"/>
          <w:iCs/>
          <w:sz w:val="19"/>
          <w:szCs w:val="19"/>
        </w:rPr>
        <w:t>22 979 3800 -</w:t>
      </w:r>
      <w:r w:rsidRPr="009A330C">
        <w:rPr>
          <w:rFonts w:ascii="Verdana" w:hAnsi="Verdana" w:cs="Angsana New"/>
          <w:iCs/>
          <w:sz w:val="19"/>
          <w:szCs w:val="19"/>
          <w:cs/>
          <w:lang w:bidi="th-TH"/>
        </w:rPr>
        <w:t xml:space="preserve"> </w:t>
      </w:r>
      <w:r w:rsidRPr="009A330C">
        <w:rPr>
          <w:rFonts w:ascii="Verdana" w:hAnsi="Verdana"/>
          <w:iCs/>
          <w:sz w:val="19"/>
          <w:szCs w:val="19"/>
        </w:rPr>
        <w:t>Fax</w:t>
      </w:r>
      <w:r w:rsidRPr="009A330C">
        <w:rPr>
          <w:rFonts w:ascii="Verdana" w:hAnsi="Verdana" w:cs="Angsana New"/>
          <w:iCs/>
          <w:sz w:val="19"/>
          <w:szCs w:val="19"/>
          <w:lang w:bidi="th-TH"/>
        </w:rPr>
        <w:t>: +</w:t>
      </w:r>
      <w:r w:rsidRPr="009A330C">
        <w:rPr>
          <w:rFonts w:ascii="Verdana" w:hAnsi="Verdana"/>
          <w:iCs/>
          <w:sz w:val="19"/>
          <w:szCs w:val="19"/>
        </w:rPr>
        <w:t xml:space="preserve">40(1)22 979 3801 </w:t>
      </w:r>
      <w:r w:rsidRPr="009A330C">
        <w:rPr>
          <w:rFonts w:ascii="Verdana" w:hAnsi="Verdana" w:cs="Angsana New"/>
          <w:iCs/>
          <w:sz w:val="19"/>
          <w:szCs w:val="19"/>
          <w:lang w:bidi="th-TH"/>
        </w:rPr>
        <w:t>–</w:t>
      </w:r>
      <w:r w:rsidRPr="009A330C">
        <w:rPr>
          <w:rFonts w:ascii="Verdana" w:hAnsi="Verdana" w:cs="Angsana New"/>
          <w:iCs/>
          <w:sz w:val="19"/>
          <w:szCs w:val="19"/>
          <w:cs/>
          <w:lang w:bidi="th-TH"/>
        </w:rPr>
        <w:t xml:space="preserve"> </w:t>
      </w:r>
      <w:r w:rsidRPr="009A330C">
        <w:rPr>
          <w:rFonts w:ascii="Verdana" w:hAnsi="Verdana"/>
          <w:iCs/>
          <w:sz w:val="19"/>
          <w:szCs w:val="19"/>
        </w:rPr>
        <w:t>Website</w:t>
      </w:r>
      <w:r w:rsidRPr="009A330C">
        <w:rPr>
          <w:rFonts w:ascii="Verdana" w:hAnsi="Verdana" w:cs="Angsana New"/>
          <w:iCs/>
          <w:sz w:val="19"/>
          <w:szCs w:val="19"/>
          <w:lang w:bidi="th-TH"/>
        </w:rPr>
        <w:t xml:space="preserve">: </w:t>
      </w:r>
      <w:r w:rsidRPr="009A330C">
        <w:rPr>
          <w:rFonts w:ascii="Verdana" w:hAnsi="Verdana" w:cs="Angsana New"/>
          <w:iCs/>
          <w:sz w:val="19"/>
          <w:szCs w:val="19"/>
          <w:cs/>
          <w:lang w:bidi="th-TH"/>
        </w:rPr>
        <w:t xml:space="preserve"> </w:t>
      </w:r>
      <w:hyperlink r:id="rId9" w:history="1">
        <w:r w:rsidRPr="009A330C">
          <w:rPr>
            <w:rStyle w:val="Hyperlink"/>
            <w:rFonts w:ascii="Verdana" w:hAnsi="Verdana"/>
            <w:iCs/>
            <w:sz w:val="19"/>
            <w:szCs w:val="19"/>
          </w:rPr>
          <w:t>http</w:t>
        </w:r>
        <w:r w:rsidRPr="009A330C">
          <w:rPr>
            <w:rStyle w:val="Hyperlink"/>
            <w:rFonts w:ascii="Verdana" w:hAnsi="Verdana" w:cs="Angsana New"/>
            <w:iCs/>
            <w:sz w:val="19"/>
            <w:szCs w:val="19"/>
            <w:lang w:bidi="th-TH"/>
          </w:rPr>
          <w:t>://</w:t>
        </w:r>
        <w:r w:rsidRPr="009A330C">
          <w:rPr>
            <w:rStyle w:val="Hyperlink"/>
            <w:rFonts w:ascii="Verdana" w:hAnsi="Verdana"/>
            <w:iCs/>
            <w:sz w:val="19"/>
            <w:szCs w:val="19"/>
          </w:rPr>
          <w:t>www</w:t>
        </w:r>
        <w:r w:rsidRPr="009A330C">
          <w:rPr>
            <w:rStyle w:val="Hyperlink"/>
            <w:rFonts w:ascii="Verdana" w:hAnsi="Verdana" w:cs="Angsana New"/>
            <w:iCs/>
            <w:sz w:val="19"/>
            <w:szCs w:val="19"/>
            <w:cs/>
            <w:lang w:bidi="th-TH"/>
          </w:rPr>
          <w:t>.</w:t>
        </w:r>
        <w:r w:rsidRPr="009A330C">
          <w:rPr>
            <w:rStyle w:val="Hyperlink"/>
            <w:rFonts w:ascii="Verdana" w:hAnsi="Verdana"/>
            <w:iCs/>
            <w:sz w:val="19"/>
            <w:szCs w:val="19"/>
          </w:rPr>
          <w:t>icj</w:t>
        </w:r>
        <w:r w:rsidRPr="009A330C">
          <w:rPr>
            <w:rStyle w:val="Hyperlink"/>
            <w:rFonts w:ascii="Verdana" w:hAnsi="Verdana" w:cs="Angsana New"/>
            <w:iCs/>
            <w:sz w:val="19"/>
            <w:szCs w:val="19"/>
            <w:cs/>
            <w:lang w:bidi="th-TH"/>
          </w:rPr>
          <w:t>.</w:t>
        </w:r>
        <w:r w:rsidRPr="009A330C">
          <w:rPr>
            <w:rStyle w:val="Hyperlink"/>
            <w:rFonts w:ascii="Verdana" w:hAnsi="Verdana"/>
            <w:iCs/>
            <w:sz w:val="19"/>
            <w:szCs w:val="19"/>
          </w:rPr>
          <w:t>org</w:t>
        </w:r>
      </w:hyperlink>
      <w:r w:rsidRPr="009A330C">
        <w:rPr>
          <w:rFonts w:ascii="Verdana" w:hAnsi="Verdana" w:cs="Angsana New"/>
          <w:iCs/>
          <w:sz w:val="19"/>
          <w:szCs w:val="19"/>
          <w:cs/>
          <w:lang w:bidi="th-TH"/>
        </w:rPr>
        <w:t xml:space="preserve">  </w:t>
      </w:r>
    </w:p>
    <w:p w14:paraId="69BA5FBC" w14:textId="5C89F52A" w:rsidR="004D5CDD" w:rsidRPr="009A330C" w:rsidRDefault="00B104F9" w:rsidP="00526C49">
      <w:pPr>
        <w:jc w:val="center"/>
        <w:rPr>
          <w:rFonts w:ascii="Verdana" w:hAnsi="Verdana"/>
          <w:iCs/>
          <w:sz w:val="19"/>
          <w:szCs w:val="19"/>
          <w:lang w:val="fr-FR"/>
        </w:rPr>
      </w:pPr>
      <w:r w:rsidRPr="009A330C">
        <w:rPr>
          <w:rFonts w:ascii="Verdana" w:hAnsi="Verdana"/>
          <w:iCs/>
          <w:sz w:val="19"/>
          <w:szCs w:val="19"/>
          <w:lang w:val="fr-FR"/>
        </w:rPr>
        <w:t>E</w:t>
      </w:r>
      <w:r w:rsidRPr="009A330C">
        <w:rPr>
          <w:rFonts w:ascii="Verdana" w:hAnsi="Verdana" w:cs="Angsana New"/>
          <w:iCs/>
          <w:sz w:val="19"/>
          <w:szCs w:val="19"/>
          <w:lang w:val="fr-FR" w:bidi="th-TH"/>
        </w:rPr>
        <w:t>-</w:t>
      </w:r>
      <w:r w:rsidRPr="009A330C">
        <w:rPr>
          <w:rFonts w:ascii="Verdana" w:hAnsi="Verdana"/>
          <w:iCs/>
          <w:sz w:val="19"/>
          <w:szCs w:val="19"/>
          <w:lang w:val="fr-FR"/>
        </w:rPr>
        <w:t>mail</w:t>
      </w:r>
      <w:r w:rsidRPr="009A330C">
        <w:rPr>
          <w:rFonts w:ascii="Verdana" w:hAnsi="Verdana" w:cs="Angsana New"/>
          <w:iCs/>
          <w:sz w:val="19"/>
          <w:szCs w:val="19"/>
          <w:lang w:val="fr-FR" w:bidi="th-TH"/>
        </w:rPr>
        <w:t>:</w:t>
      </w:r>
      <w:r w:rsidRPr="009A330C">
        <w:rPr>
          <w:rFonts w:ascii="Verdana" w:hAnsi="Verdana" w:cs="Angsana New"/>
          <w:iCs/>
          <w:sz w:val="19"/>
          <w:szCs w:val="19"/>
          <w:cs/>
          <w:lang w:bidi="th-TH"/>
        </w:rPr>
        <w:t xml:space="preserve"> </w:t>
      </w:r>
      <w:hyperlink r:id="rId10" w:history="1">
        <w:r w:rsidRPr="009A330C">
          <w:rPr>
            <w:rStyle w:val="Hyperlink"/>
            <w:rFonts w:ascii="Verdana" w:hAnsi="Verdana"/>
            <w:iCs/>
            <w:sz w:val="19"/>
            <w:szCs w:val="19"/>
            <w:lang w:val="fr-FR"/>
          </w:rPr>
          <w:t>info@icj</w:t>
        </w:r>
        <w:r w:rsidRPr="009A330C">
          <w:rPr>
            <w:rStyle w:val="Hyperlink"/>
            <w:rFonts w:ascii="Verdana" w:hAnsi="Verdana" w:cs="Angsana New"/>
            <w:iCs/>
            <w:sz w:val="19"/>
            <w:szCs w:val="19"/>
            <w:cs/>
            <w:lang w:bidi="th-TH"/>
          </w:rPr>
          <w:t>.</w:t>
        </w:r>
        <w:r w:rsidRPr="009A330C">
          <w:rPr>
            <w:rStyle w:val="Hyperlink"/>
            <w:rFonts w:ascii="Verdana" w:hAnsi="Verdana"/>
            <w:iCs/>
            <w:sz w:val="19"/>
            <w:szCs w:val="19"/>
            <w:lang w:val="fr-FR"/>
          </w:rPr>
          <w:t>org</w:t>
        </w:r>
      </w:hyperlink>
      <w:r w:rsidR="00A069E7" w:rsidRPr="009A330C">
        <w:rPr>
          <w:rFonts w:ascii="Verdana" w:hAnsi="Verdana"/>
          <w:lang w:val="fr-FR"/>
        </w:rPr>
        <w:br w:type="page"/>
      </w:r>
    </w:p>
    <w:p w14:paraId="5C49A755" w14:textId="7D584B93" w:rsidR="005A0025" w:rsidRPr="009A330C" w:rsidRDefault="004D5CDD" w:rsidP="004D5CDD">
      <w:pPr>
        <w:pStyle w:val="ListParagraph"/>
        <w:numPr>
          <w:ilvl w:val="0"/>
          <w:numId w:val="1"/>
        </w:numPr>
        <w:rPr>
          <w:rFonts w:ascii="Verdana" w:hAnsi="Verdana"/>
          <w:b/>
          <w:sz w:val="20"/>
          <w:szCs w:val="20"/>
          <w:lang w:val="en-US"/>
        </w:rPr>
      </w:pPr>
      <w:r w:rsidRPr="009A330C">
        <w:rPr>
          <w:rFonts w:ascii="Verdana" w:hAnsi="Verdana"/>
          <w:b/>
          <w:sz w:val="20"/>
          <w:szCs w:val="20"/>
          <w:lang w:val="en-US"/>
        </w:rPr>
        <w:lastRenderedPageBreak/>
        <w:t>Introduction</w:t>
      </w:r>
    </w:p>
    <w:p w14:paraId="3F5836DF" w14:textId="06FDE9BF" w:rsidR="004D5CDD" w:rsidRPr="009A330C" w:rsidRDefault="004D5CDD" w:rsidP="004D5CDD">
      <w:pPr>
        <w:rPr>
          <w:rFonts w:ascii="Verdana" w:hAnsi="Verdana"/>
          <w:sz w:val="20"/>
          <w:szCs w:val="20"/>
          <w:lang w:val="en-US"/>
        </w:rPr>
      </w:pPr>
    </w:p>
    <w:p w14:paraId="5445E533" w14:textId="6ECD3A30" w:rsidR="00954B70" w:rsidRPr="009A330C" w:rsidRDefault="004D5CDD" w:rsidP="00954B70">
      <w:pPr>
        <w:pStyle w:val="ListParagraph"/>
        <w:numPr>
          <w:ilvl w:val="0"/>
          <w:numId w:val="3"/>
        </w:numPr>
        <w:jc w:val="both"/>
        <w:rPr>
          <w:rFonts w:ascii="Verdana" w:hAnsi="Verdana"/>
          <w:sz w:val="20"/>
          <w:szCs w:val="20"/>
          <w:lang w:val="en-US"/>
        </w:rPr>
      </w:pPr>
      <w:r w:rsidRPr="009A330C">
        <w:rPr>
          <w:rFonts w:ascii="Verdana" w:hAnsi="Verdana"/>
          <w:sz w:val="20"/>
          <w:szCs w:val="20"/>
          <w:lang w:val="en-US"/>
        </w:rPr>
        <w:t xml:space="preserve">The International Commission of Jurists (ICJ) </w:t>
      </w:r>
      <w:r w:rsidR="00954B70" w:rsidRPr="009A330C">
        <w:rPr>
          <w:rFonts w:ascii="Verdana" w:hAnsi="Verdana"/>
          <w:sz w:val="20"/>
          <w:szCs w:val="20"/>
          <w:lang w:val="en-US"/>
        </w:rPr>
        <w:t xml:space="preserve">welcomes the opportunity to contribute to the UN </w:t>
      </w:r>
      <w:r w:rsidR="00EB6787" w:rsidRPr="009A330C">
        <w:rPr>
          <w:rFonts w:ascii="Verdana" w:hAnsi="Verdana"/>
          <w:sz w:val="20"/>
          <w:szCs w:val="20"/>
          <w:lang w:val="en-US"/>
        </w:rPr>
        <w:t xml:space="preserve">Committee on Economic, Social and Cultural Rights’ </w:t>
      </w:r>
      <w:r w:rsidR="00954B70" w:rsidRPr="009A330C">
        <w:rPr>
          <w:rFonts w:ascii="Verdana" w:hAnsi="Verdana"/>
          <w:sz w:val="20"/>
          <w:szCs w:val="20"/>
          <w:lang w:val="en-US"/>
        </w:rPr>
        <w:t>(</w:t>
      </w:r>
      <w:r w:rsidR="0041562E" w:rsidRPr="009A330C">
        <w:rPr>
          <w:rFonts w:ascii="Verdana" w:hAnsi="Verdana"/>
          <w:sz w:val="20"/>
          <w:szCs w:val="20"/>
          <w:lang w:val="en-US"/>
        </w:rPr>
        <w:t xml:space="preserve">the Committee or </w:t>
      </w:r>
      <w:r w:rsidR="00EB6787" w:rsidRPr="009A330C">
        <w:rPr>
          <w:rFonts w:ascii="Verdana" w:hAnsi="Verdana"/>
          <w:sz w:val="20"/>
          <w:szCs w:val="20"/>
          <w:lang w:val="en-US"/>
        </w:rPr>
        <w:t>CESCR</w:t>
      </w:r>
      <w:r w:rsidR="00954B70" w:rsidRPr="009A330C">
        <w:rPr>
          <w:rFonts w:ascii="Verdana" w:hAnsi="Verdana"/>
          <w:sz w:val="20"/>
          <w:szCs w:val="20"/>
          <w:lang w:val="en-US"/>
        </w:rPr>
        <w:t xml:space="preserve">) review of </w:t>
      </w:r>
      <w:r w:rsidR="0041562E" w:rsidRPr="009A330C">
        <w:rPr>
          <w:rFonts w:ascii="Verdana" w:hAnsi="Verdana"/>
          <w:sz w:val="20"/>
          <w:szCs w:val="20"/>
          <w:lang w:val="en-US"/>
        </w:rPr>
        <w:t xml:space="preserve">Cambodia’s </w:t>
      </w:r>
      <w:r w:rsidR="00954B70" w:rsidRPr="009A330C">
        <w:rPr>
          <w:rFonts w:ascii="Verdana" w:hAnsi="Verdana"/>
          <w:sz w:val="20"/>
          <w:szCs w:val="20"/>
          <w:lang w:val="en-US"/>
        </w:rPr>
        <w:t xml:space="preserve">implementation of the International Covenant on </w:t>
      </w:r>
      <w:r w:rsidR="00EB6787" w:rsidRPr="009A330C">
        <w:rPr>
          <w:rFonts w:ascii="Verdana" w:hAnsi="Verdana"/>
          <w:sz w:val="20"/>
          <w:szCs w:val="20"/>
          <w:lang w:val="en-US"/>
        </w:rPr>
        <w:t>Economic, Social and Cultural Rights (ICESCR)</w:t>
      </w:r>
      <w:r w:rsidR="00954B70" w:rsidRPr="009A330C">
        <w:rPr>
          <w:rFonts w:ascii="Verdana" w:hAnsi="Verdana"/>
          <w:sz w:val="20"/>
          <w:szCs w:val="20"/>
          <w:lang w:val="en-US"/>
        </w:rPr>
        <w:t>.</w:t>
      </w:r>
    </w:p>
    <w:p w14:paraId="7B287268" w14:textId="77777777" w:rsidR="00954B70" w:rsidRPr="009A330C" w:rsidRDefault="00954B70" w:rsidP="00954B70">
      <w:pPr>
        <w:pStyle w:val="ListParagraph"/>
        <w:ind w:left="360"/>
        <w:jc w:val="both"/>
        <w:rPr>
          <w:rFonts w:ascii="Verdana" w:hAnsi="Verdana"/>
          <w:sz w:val="20"/>
          <w:szCs w:val="20"/>
          <w:lang w:val="en-US"/>
        </w:rPr>
      </w:pPr>
    </w:p>
    <w:p w14:paraId="3A6D1C80" w14:textId="26CFE2EC" w:rsidR="00C91581" w:rsidRPr="009A330C" w:rsidRDefault="00954B70" w:rsidP="004A78DC">
      <w:pPr>
        <w:pStyle w:val="ListParagraph"/>
        <w:numPr>
          <w:ilvl w:val="0"/>
          <w:numId w:val="3"/>
        </w:numPr>
        <w:jc w:val="both"/>
        <w:rPr>
          <w:rFonts w:ascii="Verdana" w:hAnsi="Verdana"/>
          <w:sz w:val="20"/>
          <w:szCs w:val="20"/>
          <w:lang w:val="en-US"/>
        </w:rPr>
      </w:pPr>
      <w:r w:rsidRPr="009A330C">
        <w:rPr>
          <w:rFonts w:ascii="Verdana" w:hAnsi="Verdana"/>
          <w:sz w:val="20"/>
          <w:szCs w:val="20"/>
          <w:lang w:val="en-US"/>
        </w:rPr>
        <w:t xml:space="preserve">In the present submission, the ICJ wishes to draw the Committee’s attention to </w:t>
      </w:r>
      <w:r w:rsidR="0041562E" w:rsidRPr="009A330C">
        <w:rPr>
          <w:rFonts w:ascii="Verdana" w:hAnsi="Verdana"/>
          <w:sz w:val="20"/>
          <w:szCs w:val="20"/>
          <w:lang w:val="en-US"/>
        </w:rPr>
        <w:t>its concerns about Cambodia’s implementation of and compliance with some of its obligations under the ICESCR</w:t>
      </w:r>
      <w:r w:rsidR="00C91581" w:rsidRPr="009A330C">
        <w:rPr>
          <w:rFonts w:ascii="Verdana" w:hAnsi="Verdana"/>
          <w:sz w:val="20"/>
          <w:szCs w:val="20"/>
          <w:lang w:val="en-US"/>
        </w:rPr>
        <w:t xml:space="preserve">. In particular, the ICJ </w:t>
      </w:r>
      <w:r w:rsidR="008B1B10" w:rsidRPr="009A330C">
        <w:rPr>
          <w:rFonts w:ascii="Verdana" w:hAnsi="Verdana"/>
          <w:sz w:val="20"/>
          <w:szCs w:val="20"/>
          <w:lang w:val="en-US"/>
        </w:rPr>
        <w:t>is concerned about the fact that</w:t>
      </w:r>
      <w:r w:rsidR="00C91581" w:rsidRPr="009A330C">
        <w:rPr>
          <w:rFonts w:ascii="Verdana" w:hAnsi="Verdana"/>
          <w:sz w:val="20"/>
          <w:szCs w:val="20"/>
          <w:lang w:val="en-US"/>
        </w:rPr>
        <w:t xml:space="preserve">:  </w:t>
      </w:r>
    </w:p>
    <w:p w14:paraId="06EB2954" w14:textId="77777777" w:rsidR="00C91581" w:rsidRPr="009A330C" w:rsidRDefault="00C91581" w:rsidP="00C91581">
      <w:pPr>
        <w:pStyle w:val="ListParagraph"/>
        <w:rPr>
          <w:rFonts w:ascii="Verdana" w:hAnsi="Verdana"/>
          <w:sz w:val="20"/>
          <w:szCs w:val="20"/>
          <w:lang w:val="en-US"/>
        </w:rPr>
      </w:pPr>
    </w:p>
    <w:p w14:paraId="65F70529" w14:textId="14B0134E" w:rsidR="00C91581" w:rsidRPr="009A330C" w:rsidRDefault="00C91581" w:rsidP="00C91581">
      <w:pPr>
        <w:pStyle w:val="ListParagraph"/>
        <w:numPr>
          <w:ilvl w:val="1"/>
          <w:numId w:val="3"/>
        </w:numPr>
        <w:jc w:val="both"/>
        <w:rPr>
          <w:rFonts w:ascii="Verdana" w:hAnsi="Verdana"/>
          <w:sz w:val="20"/>
          <w:szCs w:val="20"/>
          <w:lang w:val="en-US"/>
        </w:rPr>
      </w:pPr>
      <w:r w:rsidRPr="009A330C">
        <w:rPr>
          <w:rFonts w:ascii="Verdana" w:hAnsi="Verdana"/>
          <w:sz w:val="20"/>
          <w:szCs w:val="20"/>
          <w:lang w:val="en-US"/>
        </w:rPr>
        <w:t xml:space="preserve">The establishment and development of </w:t>
      </w:r>
      <w:r w:rsidR="00772BA7" w:rsidRPr="009A330C">
        <w:rPr>
          <w:rFonts w:ascii="Verdana" w:hAnsi="Verdana"/>
          <w:sz w:val="20"/>
          <w:szCs w:val="20"/>
          <w:lang w:val="en-US"/>
        </w:rPr>
        <w:t>S</w:t>
      </w:r>
      <w:r w:rsidRPr="009A330C">
        <w:rPr>
          <w:rFonts w:ascii="Verdana" w:hAnsi="Verdana"/>
          <w:sz w:val="20"/>
          <w:szCs w:val="20"/>
          <w:lang w:val="en-US"/>
        </w:rPr>
        <w:t xml:space="preserve">pecial </w:t>
      </w:r>
      <w:r w:rsidR="00772BA7" w:rsidRPr="009A330C">
        <w:rPr>
          <w:rFonts w:ascii="Verdana" w:hAnsi="Verdana"/>
          <w:sz w:val="20"/>
          <w:szCs w:val="20"/>
          <w:lang w:val="en-US"/>
        </w:rPr>
        <w:t>E</w:t>
      </w:r>
      <w:r w:rsidRPr="009A330C">
        <w:rPr>
          <w:rFonts w:ascii="Verdana" w:hAnsi="Verdana"/>
          <w:sz w:val="20"/>
          <w:szCs w:val="20"/>
          <w:lang w:val="en-US"/>
        </w:rPr>
        <w:t xml:space="preserve">conomic </w:t>
      </w:r>
      <w:r w:rsidR="00772BA7" w:rsidRPr="009A330C">
        <w:rPr>
          <w:rFonts w:ascii="Verdana" w:hAnsi="Verdana"/>
          <w:sz w:val="20"/>
          <w:szCs w:val="20"/>
          <w:lang w:val="en-US"/>
        </w:rPr>
        <w:t>Z</w:t>
      </w:r>
      <w:r w:rsidRPr="009A330C">
        <w:rPr>
          <w:rFonts w:ascii="Verdana" w:hAnsi="Verdana"/>
          <w:sz w:val="20"/>
          <w:szCs w:val="20"/>
          <w:lang w:val="en-US"/>
        </w:rPr>
        <w:t xml:space="preserve">ones </w:t>
      </w:r>
      <w:r w:rsidR="00772BA7" w:rsidRPr="009A330C">
        <w:rPr>
          <w:rFonts w:ascii="Verdana" w:hAnsi="Verdana"/>
          <w:sz w:val="20"/>
          <w:szCs w:val="20"/>
          <w:lang w:val="en-US"/>
        </w:rPr>
        <w:t xml:space="preserve">(SEZs) </w:t>
      </w:r>
      <w:r w:rsidRPr="009A330C">
        <w:rPr>
          <w:rFonts w:ascii="Verdana" w:hAnsi="Verdana"/>
          <w:sz w:val="20"/>
          <w:szCs w:val="20"/>
          <w:lang w:val="en-US"/>
        </w:rPr>
        <w:t xml:space="preserve">have resulted in human rights violations and abuses </w:t>
      </w:r>
      <w:r w:rsidR="004160C3" w:rsidRPr="009A330C">
        <w:rPr>
          <w:rFonts w:ascii="Verdana" w:hAnsi="Verdana"/>
          <w:sz w:val="20"/>
          <w:szCs w:val="20"/>
          <w:lang w:val="en-US"/>
        </w:rPr>
        <w:t xml:space="preserve">of </w:t>
      </w:r>
      <w:r w:rsidRPr="009A330C">
        <w:rPr>
          <w:rFonts w:ascii="Verdana" w:hAnsi="Verdana"/>
          <w:sz w:val="20"/>
          <w:szCs w:val="20"/>
          <w:lang w:val="en-US"/>
        </w:rPr>
        <w:t xml:space="preserve">economic, social and cultural rights (articles 1, 6, 7, 8, 9 and 11); </w:t>
      </w:r>
    </w:p>
    <w:p w14:paraId="790DCE81" w14:textId="77777777" w:rsidR="00C91581" w:rsidRPr="009A330C" w:rsidRDefault="00C91581" w:rsidP="00C91581">
      <w:pPr>
        <w:pStyle w:val="ListParagraph"/>
        <w:ind w:left="1080"/>
        <w:jc w:val="both"/>
        <w:rPr>
          <w:rFonts w:ascii="Verdana" w:hAnsi="Verdana"/>
          <w:sz w:val="20"/>
          <w:szCs w:val="20"/>
          <w:lang w:val="en-US"/>
        </w:rPr>
      </w:pPr>
    </w:p>
    <w:p w14:paraId="0019DC13" w14:textId="0B09D930" w:rsidR="00C91581" w:rsidRPr="009A330C" w:rsidRDefault="00C91581" w:rsidP="00C91581">
      <w:pPr>
        <w:pStyle w:val="ListParagraph"/>
        <w:numPr>
          <w:ilvl w:val="1"/>
          <w:numId w:val="3"/>
        </w:numPr>
        <w:jc w:val="both"/>
        <w:rPr>
          <w:rFonts w:ascii="Verdana" w:hAnsi="Verdana"/>
          <w:sz w:val="20"/>
          <w:szCs w:val="20"/>
          <w:lang w:val="en-US"/>
        </w:rPr>
      </w:pPr>
      <w:r w:rsidRPr="009A330C">
        <w:rPr>
          <w:rFonts w:ascii="Verdana" w:hAnsi="Verdana"/>
          <w:sz w:val="20"/>
          <w:szCs w:val="20"/>
          <w:lang w:val="en-US"/>
        </w:rPr>
        <w:t>T</w:t>
      </w:r>
      <w:r w:rsidR="004160C3" w:rsidRPr="009A330C">
        <w:rPr>
          <w:rFonts w:ascii="Verdana" w:hAnsi="Verdana"/>
          <w:sz w:val="20"/>
          <w:szCs w:val="20"/>
          <w:lang w:val="en-US"/>
        </w:rPr>
        <w:t>hrough arbitrary restrictions on free expression and information during the COVID-19 pandemic, t</w:t>
      </w:r>
      <w:r w:rsidRPr="009A330C">
        <w:rPr>
          <w:rFonts w:ascii="Verdana" w:hAnsi="Verdana"/>
          <w:sz w:val="20"/>
          <w:szCs w:val="20"/>
          <w:lang w:val="en-US"/>
        </w:rPr>
        <w:t xml:space="preserve">he authorities have censored health-related information </w:t>
      </w:r>
      <w:r w:rsidRPr="009A330C">
        <w:rPr>
          <w:rFonts w:ascii="Verdana" w:hAnsi="Verdana"/>
          <w:sz w:val="20"/>
          <w:szCs w:val="20"/>
          <w:lang w:val="en-US"/>
        </w:rPr>
        <w:lastRenderedPageBreak/>
        <w:t>and prevented people’s participation in health-related matters, in violation of the right to health (article 12); and</w:t>
      </w:r>
    </w:p>
    <w:p w14:paraId="2B059451" w14:textId="77777777" w:rsidR="00C91581" w:rsidRPr="009A330C" w:rsidRDefault="00C91581" w:rsidP="00C91581">
      <w:pPr>
        <w:pStyle w:val="ListParagraph"/>
        <w:ind w:left="1080"/>
        <w:jc w:val="both"/>
        <w:rPr>
          <w:rFonts w:ascii="Verdana" w:hAnsi="Verdana"/>
          <w:sz w:val="20"/>
          <w:szCs w:val="20"/>
          <w:lang w:val="en-US"/>
        </w:rPr>
      </w:pPr>
    </w:p>
    <w:p w14:paraId="6B6E9937" w14:textId="48A6D04F" w:rsidR="00C91581" w:rsidRPr="009A330C" w:rsidRDefault="00C91581" w:rsidP="00C91581">
      <w:pPr>
        <w:pStyle w:val="ListParagraph"/>
        <w:numPr>
          <w:ilvl w:val="1"/>
          <w:numId w:val="3"/>
        </w:numPr>
        <w:jc w:val="both"/>
        <w:rPr>
          <w:rFonts w:ascii="Verdana" w:hAnsi="Verdana"/>
          <w:sz w:val="20"/>
          <w:szCs w:val="20"/>
          <w:lang w:val="en-US"/>
        </w:rPr>
      </w:pPr>
      <w:r w:rsidRPr="009A330C">
        <w:rPr>
          <w:rFonts w:ascii="Verdana" w:hAnsi="Verdana"/>
          <w:sz w:val="20"/>
          <w:szCs w:val="20"/>
          <w:lang w:val="en-US"/>
        </w:rPr>
        <w:t xml:space="preserve">Human rights defenders and trade unions working on economic, social and cultural rights have been prosecuted and convicted under laws that are not human rights compliant. </w:t>
      </w:r>
    </w:p>
    <w:p w14:paraId="7C834339" w14:textId="77777777" w:rsidR="004D5CDD" w:rsidRPr="009A330C" w:rsidRDefault="004D5CDD" w:rsidP="004D5CDD">
      <w:pPr>
        <w:rPr>
          <w:rFonts w:ascii="Verdana" w:hAnsi="Verdana"/>
          <w:sz w:val="20"/>
          <w:szCs w:val="20"/>
          <w:lang w:val="en-US"/>
        </w:rPr>
      </w:pPr>
    </w:p>
    <w:p w14:paraId="11F4F499" w14:textId="35953B6C" w:rsidR="004D5CDD" w:rsidRPr="009A330C" w:rsidRDefault="00C91581" w:rsidP="004D5CDD">
      <w:pPr>
        <w:pStyle w:val="ListParagraph"/>
        <w:numPr>
          <w:ilvl w:val="0"/>
          <w:numId w:val="1"/>
        </w:numPr>
        <w:rPr>
          <w:rFonts w:ascii="Verdana" w:hAnsi="Verdana"/>
          <w:b/>
          <w:sz w:val="20"/>
          <w:szCs w:val="20"/>
          <w:lang w:val="en-US"/>
        </w:rPr>
      </w:pPr>
      <w:r w:rsidRPr="009A330C">
        <w:rPr>
          <w:rFonts w:ascii="Verdana" w:hAnsi="Verdana"/>
          <w:b/>
          <w:sz w:val="20"/>
          <w:szCs w:val="20"/>
          <w:lang w:val="en-US"/>
        </w:rPr>
        <w:t>Special Economic Zones (Articles 1, 6, 7, 8, 9 and 11)</w:t>
      </w:r>
      <w:r w:rsidR="00F51337" w:rsidRPr="009A330C">
        <w:rPr>
          <w:rStyle w:val="FootnoteReference"/>
          <w:rFonts w:ascii="Verdana" w:hAnsi="Verdana"/>
          <w:b/>
          <w:sz w:val="20"/>
          <w:szCs w:val="20"/>
          <w:lang w:val="en-US"/>
        </w:rPr>
        <w:footnoteReference w:id="1"/>
      </w:r>
      <w:r w:rsidRPr="009A330C">
        <w:rPr>
          <w:rFonts w:ascii="Verdana" w:hAnsi="Verdana"/>
          <w:b/>
          <w:sz w:val="20"/>
          <w:szCs w:val="20"/>
          <w:lang w:val="en-US"/>
        </w:rPr>
        <w:t xml:space="preserve"> </w:t>
      </w:r>
    </w:p>
    <w:p w14:paraId="2088983A" w14:textId="5AAAA12D" w:rsidR="00C91581" w:rsidRPr="009A330C" w:rsidRDefault="00C91581" w:rsidP="00C91581">
      <w:pPr>
        <w:rPr>
          <w:rFonts w:ascii="Verdana" w:hAnsi="Verdana"/>
          <w:sz w:val="20"/>
          <w:szCs w:val="20"/>
          <w:lang w:val="en-US"/>
        </w:rPr>
      </w:pPr>
    </w:p>
    <w:p w14:paraId="4D57A0B1" w14:textId="1D6F9D72" w:rsidR="00772BA7" w:rsidRPr="009A330C" w:rsidRDefault="00772BA7" w:rsidP="00772BA7">
      <w:pPr>
        <w:pStyle w:val="ListParagraph"/>
        <w:numPr>
          <w:ilvl w:val="0"/>
          <w:numId w:val="3"/>
        </w:numPr>
        <w:jc w:val="both"/>
        <w:rPr>
          <w:rFonts w:ascii="Verdana" w:hAnsi="Verdana"/>
          <w:sz w:val="20"/>
          <w:szCs w:val="20"/>
          <w:lang w:val="en-US"/>
        </w:rPr>
      </w:pPr>
      <w:r w:rsidRPr="009A330C">
        <w:rPr>
          <w:rFonts w:ascii="Verdana" w:hAnsi="Verdana"/>
          <w:sz w:val="20"/>
          <w:szCs w:val="20"/>
        </w:rPr>
        <w:t xml:space="preserve">The establishment and development of SEZs in Cambodia have been associated in many instances with a dilution of legal guarantees for the protection of human rights. </w:t>
      </w:r>
      <w:r w:rsidR="00403FFB" w:rsidRPr="009A330C">
        <w:rPr>
          <w:rFonts w:ascii="Verdana" w:hAnsi="Verdana"/>
          <w:sz w:val="20"/>
          <w:szCs w:val="20"/>
        </w:rPr>
        <w:t>D</w:t>
      </w:r>
      <w:r w:rsidRPr="009A330C">
        <w:rPr>
          <w:rFonts w:ascii="Verdana" w:hAnsi="Verdana"/>
          <w:sz w:val="20"/>
          <w:szCs w:val="20"/>
        </w:rPr>
        <w:t>ue to a lack of adequate legal protection and/or enforcement, reports of human rights violations and abuses of economic, social and cultural rights</w:t>
      </w:r>
      <w:r w:rsidR="006770D4" w:rsidRPr="009A330C">
        <w:rPr>
          <w:rFonts w:ascii="Verdana" w:hAnsi="Verdana"/>
          <w:sz w:val="20"/>
          <w:szCs w:val="20"/>
        </w:rPr>
        <w:t xml:space="preserve"> are com</w:t>
      </w:r>
      <w:r w:rsidR="006770D4" w:rsidRPr="009A330C">
        <w:rPr>
          <w:rFonts w:ascii="Verdana" w:hAnsi="Verdana"/>
          <w:sz w:val="20"/>
          <w:szCs w:val="20"/>
        </w:rPr>
        <w:lastRenderedPageBreak/>
        <w:t>mon in SEZs located in the country.</w:t>
      </w:r>
      <w:r w:rsidRPr="009A330C">
        <w:rPr>
          <w:rFonts w:ascii="Verdana" w:hAnsi="Verdana"/>
          <w:sz w:val="20"/>
          <w:szCs w:val="20"/>
        </w:rPr>
        <w:t xml:space="preserve"> </w:t>
      </w:r>
      <w:r w:rsidR="006770D4" w:rsidRPr="009A330C">
        <w:rPr>
          <w:rFonts w:ascii="Verdana" w:hAnsi="Verdana"/>
          <w:sz w:val="20"/>
          <w:szCs w:val="20"/>
        </w:rPr>
        <w:t xml:space="preserve">These </w:t>
      </w:r>
      <w:r w:rsidRPr="009A330C">
        <w:rPr>
          <w:rFonts w:ascii="Verdana" w:hAnsi="Verdana"/>
          <w:sz w:val="20"/>
          <w:szCs w:val="20"/>
        </w:rPr>
        <w:t>includ</w:t>
      </w:r>
      <w:r w:rsidR="006770D4" w:rsidRPr="009A330C">
        <w:rPr>
          <w:rFonts w:ascii="Verdana" w:hAnsi="Verdana"/>
          <w:sz w:val="20"/>
          <w:szCs w:val="20"/>
        </w:rPr>
        <w:t>e</w:t>
      </w:r>
      <w:r w:rsidRPr="009A330C">
        <w:rPr>
          <w:rFonts w:ascii="Verdana" w:hAnsi="Verdana"/>
          <w:sz w:val="20"/>
          <w:szCs w:val="20"/>
        </w:rPr>
        <w:t xml:space="preserve"> </w:t>
      </w:r>
      <w:r w:rsidR="004160C3" w:rsidRPr="009A330C">
        <w:rPr>
          <w:rFonts w:ascii="Verdana" w:hAnsi="Verdana"/>
          <w:sz w:val="20"/>
          <w:szCs w:val="20"/>
        </w:rPr>
        <w:t xml:space="preserve">violations of </w:t>
      </w:r>
      <w:r w:rsidRPr="009A330C">
        <w:rPr>
          <w:rFonts w:ascii="Verdana" w:hAnsi="Verdana"/>
          <w:sz w:val="20"/>
          <w:szCs w:val="20"/>
        </w:rPr>
        <w:t>the rights to adequate housing and livelihood (Article 11), labour rights abuses (Article 6, 7, 8 and 9), as well as instances of failure to ensure transparency and consultation (Article 1</w:t>
      </w:r>
      <w:r w:rsidR="001A63D5" w:rsidRPr="009A330C">
        <w:rPr>
          <w:rFonts w:ascii="Verdana" w:hAnsi="Verdana"/>
          <w:sz w:val="20"/>
          <w:szCs w:val="20"/>
        </w:rPr>
        <w:t xml:space="preserve"> and 11</w:t>
      </w:r>
      <w:r w:rsidRPr="009A330C">
        <w:rPr>
          <w:rFonts w:ascii="Verdana" w:hAnsi="Verdana"/>
          <w:sz w:val="20"/>
          <w:szCs w:val="20"/>
        </w:rPr>
        <w:t xml:space="preserve">). </w:t>
      </w:r>
    </w:p>
    <w:p w14:paraId="35BC8649" w14:textId="77777777" w:rsidR="00772BA7" w:rsidRPr="009A330C" w:rsidRDefault="00772BA7" w:rsidP="00772BA7">
      <w:pPr>
        <w:pStyle w:val="ListParagraph"/>
        <w:contextualSpacing w:val="0"/>
        <w:jc w:val="both"/>
        <w:rPr>
          <w:rFonts w:ascii="Verdana" w:hAnsi="Verdana"/>
          <w:sz w:val="20"/>
          <w:szCs w:val="20"/>
        </w:rPr>
      </w:pPr>
    </w:p>
    <w:p w14:paraId="1C786C26" w14:textId="0506F512" w:rsidR="00772BA7" w:rsidRPr="009A330C" w:rsidRDefault="006130F6" w:rsidP="00772BA7">
      <w:pPr>
        <w:pStyle w:val="ListParagraph"/>
        <w:numPr>
          <w:ilvl w:val="0"/>
          <w:numId w:val="3"/>
        </w:numPr>
        <w:contextualSpacing w:val="0"/>
        <w:jc w:val="thaiDistribute"/>
        <w:rPr>
          <w:rFonts w:ascii="Verdana" w:hAnsi="Verdana"/>
          <w:sz w:val="20"/>
          <w:szCs w:val="20"/>
        </w:rPr>
      </w:pPr>
      <w:r w:rsidRPr="009A330C">
        <w:rPr>
          <w:rFonts w:ascii="Verdana" w:hAnsi="Verdana"/>
          <w:sz w:val="20"/>
          <w:szCs w:val="20"/>
        </w:rPr>
        <w:t xml:space="preserve">Some </w:t>
      </w:r>
      <w:r w:rsidR="00772BA7" w:rsidRPr="009A330C">
        <w:rPr>
          <w:rFonts w:ascii="Verdana" w:hAnsi="Verdana"/>
          <w:sz w:val="20"/>
          <w:szCs w:val="20"/>
        </w:rPr>
        <w:t>estimate</w:t>
      </w:r>
      <w:r w:rsidRPr="009A330C">
        <w:rPr>
          <w:rFonts w:ascii="Verdana" w:hAnsi="Verdana"/>
          <w:sz w:val="20"/>
          <w:szCs w:val="20"/>
        </w:rPr>
        <w:t>s suggest</w:t>
      </w:r>
      <w:r w:rsidR="00772BA7" w:rsidRPr="009A330C">
        <w:rPr>
          <w:rFonts w:ascii="Verdana" w:hAnsi="Verdana"/>
          <w:sz w:val="20"/>
          <w:szCs w:val="20"/>
        </w:rPr>
        <w:t xml:space="preserve"> that there are more than 50 SEZs in Cambodia, collectively employing a workforce of 130,000 people in more than 450 factories.</w:t>
      </w:r>
      <w:r w:rsidR="00772BA7" w:rsidRPr="009A330C">
        <w:rPr>
          <w:rStyle w:val="FootnoteReference"/>
          <w:rFonts w:ascii="Verdana" w:hAnsi="Verdana"/>
          <w:sz w:val="20"/>
          <w:szCs w:val="20"/>
        </w:rPr>
        <w:footnoteReference w:id="2"/>
      </w:r>
      <w:r w:rsidR="00772BA7" w:rsidRPr="009A330C">
        <w:rPr>
          <w:rFonts w:ascii="Verdana" w:hAnsi="Verdana"/>
          <w:sz w:val="20"/>
          <w:szCs w:val="20"/>
        </w:rPr>
        <w:t xml:space="preserve"> The legal framework that was </w:t>
      </w:r>
      <w:r w:rsidRPr="009A330C">
        <w:rPr>
          <w:rFonts w:ascii="Verdana" w:hAnsi="Verdana"/>
          <w:sz w:val="20"/>
          <w:szCs w:val="20"/>
        </w:rPr>
        <w:t>enacted</w:t>
      </w:r>
      <w:r w:rsidR="00772BA7" w:rsidRPr="009A330C">
        <w:rPr>
          <w:rFonts w:ascii="Verdana" w:hAnsi="Verdana"/>
          <w:sz w:val="20"/>
          <w:szCs w:val="20"/>
        </w:rPr>
        <w:t xml:space="preserve"> to establish and regulate SEZs is the Anukret (Sub-Decree) No. 148.ANK.BK on the Establishment and Management of Special Economic Zone, dated 29 December 2005.</w:t>
      </w:r>
      <w:r w:rsidR="00772BA7" w:rsidRPr="009A330C">
        <w:rPr>
          <w:rStyle w:val="FootnoteReference"/>
          <w:rFonts w:ascii="Verdana" w:hAnsi="Verdana"/>
          <w:sz w:val="20"/>
          <w:szCs w:val="20"/>
        </w:rPr>
        <w:footnoteReference w:id="3"/>
      </w:r>
      <w:r w:rsidR="00772BA7" w:rsidRPr="009A330C">
        <w:rPr>
          <w:rFonts w:ascii="Verdana" w:hAnsi="Verdana"/>
          <w:sz w:val="20"/>
          <w:szCs w:val="20"/>
        </w:rPr>
        <w:t xml:space="preserve"> SEZs also form part of </w:t>
      </w:r>
      <w:r w:rsidR="00772BA7" w:rsidRPr="009A330C">
        <w:rPr>
          <w:rFonts w:ascii="Verdana" w:hAnsi="Verdana"/>
          <w:sz w:val="20"/>
          <w:szCs w:val="20"/>
        </w:rPr>
        <w:lastRenderedPageBreak/>
        <w:t xml:space="preserve">Cambodia’s National Strategic Economic Development Plan (2019-2023) and Cambodia Industrial Development Policy 2015-2025. </w:t>
      </w:r>
    </w:p>
    <w:p w14:paraId="52D9A82C" w14:textId="77777777" w:rsidR="00772BA7" w:rsidRPr="009A330C" w:rsidRDefault="00772BA7" w:rsidP="00772BA7">
      <w:pPr>
        <w:pStyle w:val="ListParagraph"/>
        <w:rPr>
          <w:rFonts w:ascii="Verdana" w:hAnsi="Verdana"/>
          <w:sz w:val="20"/>
          <w:szCs w:val="20"/>
        </w:rPr>
      </w:pPr>
    </w:p>
    <w:p w14:paraId="03158CEF" w14:textId="274F4DA5" w:rsidR="00772BA7" w:rsidRPr="009A330C" w:rsidRDefault="00772BA7" w:rsidP="00772BA7">
      <w:pPr>
        <w:pStyle w:val="ListParagraph"/>
        <w:numPr>
          <w:ilvl w:val="0"/>
          <w:numId w:val="3"/>
        </w:numPr>
        <w:contextualSpacing w:val="0"/>
        <w:jc w:val="thaiDistribute"/>
        <w:rPr>
          <w:rFonts w:ascii="Verdana" w:hAnsi="Verdana"/>
          <w:sz w:val="20"/>
          <w:szCs w:val="20"/>
        </w:rPr>
      </w:pPr>
      <w:r w:rsidRPr="009A330C">
        <w:rPr>
          <w:rFonts w:ascii="Verdana" w:hAnsi="Verdana"/>
          <w:sz w:val="20"/>
          <w:szCs w:val="20"/>
        </w:rPr>
        <w:t>While these instruments refer to certain environmental and labour protection measures,</w:t>
      </w:r>
      <w:r w:rsidRPr="009A330C">
        <w:rPr>
          <w:rStyle w:val="FootnoteReference"/>
          <w:rFonts w:ascii="Verdana" w:hAnsi="Verdana"/>
          <w:sz w:val="20"/>
          <w:szCs w:val="20"/>
        </w:rPr>
        <w:footnoteReference w:id="4"/>
      </w:r>
      <w:r w:rsidRPr="009A330C">
        <w:rPr>
          <w:rFonts w:ascii="Verdana" w:hAnsi="Verdana"/>
          <w:sz w:val="20"/>
          <w:szCs w:val="20"/>
        </w:rPr>
        <w:t xml:space="preserve"> there is no reference to measures </w:t>
      </w:r>
      <w:r w:rsidR="005D1279" w:rsidRPr="009A330C">
        <w:rPr>
          <w:rFonts w:ascii="Verdana" w:hAnsi="Verdana"/>
          <w:sz w:val="20"/>
          <w:szCs w:val="20"/>
        </w:rPr>
        <w:t xml:space="preserve">necessary </w:t>
      </w:r>
      <w:r w:rsidRPr="009A330C">
        <w:rPr>
          <w:rFonts w:ascii="Verdana" w:hAnsi="Verdana"/>
          <w:sz w:val="20"/>
          <w:szCs w:val="20"/>
        </w:rPr>
        <w:t xml:space="preserve">to secure the human rights of affected persons, including any </w:t>
      </w:r>
      <w:bookmarkStart w:id="1" w:name="_Hlk123914152"/>
      <w:r w:rsidRPr="009A330C">
        <w:rPr>
          <w:rFonts w:ascii="Verdana" w:hAnsi="Verdana"/>
          <w:sz w:val="20"/>
          <w:szCs w:val="20"/>
        </w:rPr>
        <w:t>explicit protections against forced eviction</w:t>
      </w:r>
      <w:bookmarkEnd w:id="1"/>
      <w:r w:rsidRPr="009A330C">
        <w:rPr>
          <w:rFonts w:ascii="Verdana" w:hAnsi="Verdana"/>
          <w:sz w:val="20"/>
          <w:szCs w:val="20"/>
        </w:rPr>
        <w:t xml:space="preserve">. </w:t>
      </w:r>
      <w:r w:rsidR="00A5687C" w:rsidRPr="009A330C">
        <w:rPr>
          <w:rFonts w:ascii="Verdana" w:hAnsi="Verdana"/>
          <w:sz w:val="20"/>
          <w:szCs w:val="20"/>
        </w:rPr>
        <w:t xml:space="preserve">These instruments also </w:t>
      </w:r>
      <w:r w:rsidRPr="009A330C">
        <w:rPr>
          <w:rFonts w:ascii="Verdana" w:hAnsi="Verdana"/>
          <w:sz w:val="20"/>
          <w:szCs w:val="20"/>
        </w:rPr>
        <w:t>fail to identify potential human rights risks or risk management strategies relating to the implementation of SEZ projects</w:t>
      </w:r>
      <w:r w:rsidR="005D1279" w:rsidRPr="009A330C">
        <w:rPr>
          <w:rFonts w:ascii="Verdana" w:hAnsi="Verdana"/>
          <w:sz w:val="20"/>
          <w:szCs w:val="20"/>
        </w:rPr>
        <w:t>,</w:t>
      </w:r>
      <w:r w:rsidRPr="009A330C">
        <w:rPr>
          <w:rFonts w:ascii="Verdana" w:hAnsi="Verdana"/>
          <w:sz w:val="20"/>
          <w:szCs w:val="20"/>
        </w:rPr>
        <w:t xml:space="preserve"> and focus</w:t>
      </w:r>
      <w:r w:rsidR="005D1279" w:rsidRPr="009A330C">
        <w:rPr>
          <w:rFonts w:ascii="Verdana" w:hAnsi="Verdana"/>
          <w:sz w:val="20"/>
          <w:szCs w:val="20"/>
        </w:rPr>
        <w:t>,</w:t>
      </w:r>
      <w:r w:rsidRPr="009A330C">
        <w:rPr>
          <w:rFonts w:ascii="Verdana" w:hAnsi="Verdana"/>
          <w:sz w:val="20"/>
          <w:szCs w:val="20"/>
        </w:rPr>
        <w:t xml:space="preserve"> instead</w:t>
      </w:r>
      <w:r w:rsidR="005D1279" w:rsidRPr="009A330C">
        <w:rPr>
          <w:rFonts w:ascii="Verdana" w:hAnsi="Verdana"/>
          <w:sz w:val="20"/>
          <w:szCs w:val="20"/>
        </w:rPr>
        <w:t>,</w:t>
      </w:r>
      <w:r w:rsidRPr="009A330C">
        <w:rPr>
          <w:rFonts w:ascii="Verdana" w:hAnsi="Verdana"/>
          <w:sz w:val="20"/>
          <w:szCs w:val="20"/>
        </w:rPr>
        <w:t xml:space="preserve"> on the benefits and privileges granted to the investors.</w:t>
      </w:r>
    </w:p>
    <w:p w14:paraId="63F3A229" w14:textId="0E621CFF" w:rsidR="00772BA7" w:rsidRPr="009A330C" w:rsidRDefault="00772BA7" w:rsidP="00772BA7">
      <w:pPr>
        <w:rPr>
          <w:rFonts w:ascii="Verdana" w:hAnsi="Verdana"/>
          <w:sz w:val="20"/>
          <w:szCs w:val="20"/>
        </w:rPr>
      </w:pPr>
    </w:p>
    <w:p w14:paraId="64FF2818" w14:textId="427C9A18" w:rsidR="00772BA7" w:rsidRPr="009A330C" w:rsidRDefault="00772BA7" w:rsidP="00772BA7">
      <w:pPr>
        <w:rPr>
          <w:rFonts w:ascii="Verdana" w:hAnsi="Verdana"/>
          <w:sz w:val="20"/>
          <w:szCs w:val="20"/>
          <w:u w:val="single"/>
        </w:rPr>
      </w:pPr>
      <w:r w:rsidRPr="009A330C">
        <w:rPr>
          <w:rFonts w:ascii="Verdana" w:hAnsi="Verdana"/>
          <w:sz w:val="20"/>
          <w:szCs w:val="20"/>
          <w:u w:val="single"/>
        </w:rPr>
        <w:t>Failure to Ensure Transparency and Consultation (Article 1</w:t>
      </w:r>
      <w:r w:rsidR="001A63D5" w:rsidRPr="009A330C">
        <w:rPr>
          <w:rFonts w:ascii="Verdana" w:hAnsi="Verdana"/>
          <w:sz w:val="20"/>
          <w:szCs w:val="20"/>
          <w:u w:val="single"/>
        </w:rPr>
        <w:t xml:space="preserve"> and</w:t>
      </w:r>
      <w:r w:rsidR="00B12D55" w:rsidRPr="009A330C">
        <w:rPr>
          <w:rFonts w:ascii="Verdana" w:hAnsi="Verdana"/>
          <w:sz w:val="20"/>
          <w:szCs w:val="20"/>
          <w:u w:val="single"/>
        </w:rPr>
        <w:t xml:space="preserve"> 1</w:t>
      </w:r>
      <w:r w:rsidR="001A63D5" w:rsidRPr="009A330C">
        <w:rPr>
          <w:rFonts w:ascii="Verdana" w:hAnsi="Verdana"/>
          <w:sz w:val="20"/>
          <w:szCs w:val="20"/>
          <w:u w:val="single"/>
        </w:rPr>
        <w:t>1</w:t>
      </w:r>
      <w:r w:rsidRPr="009A330C">
        <w:rPr>
          <w:rFonts w:ascii="Verdana" w:hAnsi="Verdana"/>
          <w:sz w:val="20"/>
          <w:szCs w:val="20"/>
          <w:u w:val="single"/>
        </w:rPr>
        <w:t xml:space="preserve">) </w:t>
      </w:r>
    </w:p>
    <w:p w14:paraId="72DC742F" w14:textId="77777777" w:rsidR="00772BA7" w:rsidRPr="009A330C" w:rsidRDefault="00772BA7" w:rsidP="00772BA7">
      <w:pPr>
        <w:rPr>
          <w:rFonts w:ascii="Verdana" w:hAnsi="Verdana"/>
          <w:sz w:val="20"/>
          <w:szCs w:val="20"/>
        </w:rPr>
      </w:pPr>
    </w:p>
    <w:p w14:paraId="1FCBCB74" w14:textId="7820B045" w:rsidR="00772BA7" w:rsidRPr="009A330C" w:rsidRDefault="00772BA7" w:rsidP="00772BA7">
      <w:pPr>
        <w:pStyle w:val="ListParagraph"/>
        <w:numPr>
          <w:ilvl w:val="0"/>
          <w:numId w:val="3"/>
        </w:numPr>
        <w:contextualSpacing w:val="0"/>
        <w:jc w:val="thaiDistribute"/>
        <w:rPr>
          <w:rFonts w:ascii="Verdana" w:hAnsi="Verdana"/>
          <w:sz w:val="20"/>
          <w:szCs w:val="20"/>
        </w:rPr>
      </w:pPr>
      <w:r w:rsidRPr="009A330C">
        <w:rPr>
          <w:rFonts w:ascii="Verdana" w:hAnsi="Verdana"/>
          <w:sz w:val="20"/>
          <w:szCs w:val="20"/>
        </w:rPr>
        <w:t xml:space="preserve">The lack of transparency </w:t>
      </w:r>
      <w:r w:rsidR="00EF6EB9" w:rsidRPr="009A330C">
        <w:rPr>
          <w:rFonts w:ascii="Verdana" w:hAnsi="Verdana"/>
          <w:sz w:val="20"/>
          <w:szCs w:val="20"/>
        </w:rPr>
        <w:t xml:space="preserve">and participation </w:t>
      </w:r>
      <w:r w:rsidRPr="009A330C">
        <w:rPr>
          <w:rFonts w:ascii="Verdana" w:hAnsi="Verdana"/>
          <w:sz w:val="20"/>
          <w:szCs w:val="20"/>
        </w:rPr>
        <w:t xml:space="preserve">with respect to SEZs’ decision-making, planning and construction, as </w:t>
      </w:r>
      <w:r w:rsidRPr="009A330C">
        <w:rPr>
          <w:rFonts w:ascii="Verdana" w:hAnsi="Verdana"/>
          <w:sz w:val="20"/>
          <w:szCs w:val="20"/>
        </w:rPr>
        <w:lastRenderedPageBreak/>
        <w:t xml:space="preserve">well as during the operational phases of development, is a key concern. </w:t>
      </w:r>
    </w:p>
    <w:p w14:paraId="6848DC2F" w14:textId="77777777" w:rsidR="00772BA7" w:rsidRPr="009A330C" w:rsidRDefault="00772BA7" w:rsidP="00772BA7">
      <w:pPr>
        <w:pStyle w:val="ListParagraph"/>
        <w:contextualSpacing w:val="0"/>
        <w:jc w:val="thaiDistribute"/>
        <w:rPr>
          <w:rFonts w:ascii="Verdana" w:hAnsi="Verdana"/>
          <w:sz w:val="20"/>
          <w:szCs w:val="20"/>
        </w:rPr>
      </w:pPr>
    </w:p>
    <w:p w14:paraId="16101D59" w14:textId="3400D2BA" w:rsidR="00ED47CB" w:rsidRPr="009A330C" w:rsidRDefault="00772BA7" w:rsidP="0041562E">
      <w:pPr>
        <w:pStyle w:val="ListParagraph"/>
        <w:numPr>
          <w:ilvl w:val="0"/>
          <w:numId w:val="3"/>
        </w:numPr>
        <w:contextualSpacing w:val="0"/>
        <w:jc w:val="thaiDistribute"/>
        <w:rPr>
          <w:rFonts w:ascii="Verdana" w:hAnsi="Verdana"/>
          <w:sz w:val="20"/>
          <w:szCs w:val="20"/>
        </w:rPr>
      </w:pPr>
      <w:r w:rsidRPr="009A330C">
        <w:rPr>
          <w:rFonts w:ascii="Verdana" w:hAnsi="Verdana"/>
          <w:sz w:val="20"/>
          <w:szCs w:val="20"/>
        </w:rPr>
        <w:t>There is a lack of publicly available information regarding SEZs in Cambodia</w:t>
      </w:r>
      <w:r w:rsidR="00580518" w:rsidRPr="009A330C">
        <w:rPr>
          <w:rFonts w:ascii="Verdana" w:hAnsi="Verdana"/>
          <w:sz w:val="20"/>
          <w:szCs w:val="20"/>
        </w:rPr>
        <w:t>,</w:t>
      </w:r>
      <w:r w:rsidR="00B12503" w:rsidRPr="009A330C">
        <w:rPr>
          <w:rStyle w:val="FootnoteReference"/>
          <w:rFonts w:ascii="Verdana" w:hAnsi="Verdana"/>
          <w:sz w:val="20"/>
          <w:szCs w:val="20"/>
        </w:rPr>
        <w:footnoteReference w:id="5"/>
      </w:r>
      <w:r w:rsidR="00B12503" w:rsidRPr="009A330C">
        <w:rPr>
          <w:rFonts w:ascii="Verdana" w:hAnsi="Verdana"/>
          <w:sz w:val="20"/>
          <w:szCs w:val="20"/>
        </w:rPr>
        <w:t xml:space="preserve"> inconsistent with the requirements </w:t>
      </w:r>
      <w:r w:rsidR="002122EF" w:rsidRPr="009A330C">
        <w:rPr>
          <w:rFonts w:ascii="Verdana" w:hAnsi="Verdana"/>
          <w:sz w:val="20"/>
          <w:szCs w:val="20"/>
        </w:rPr>
        <w:t>as set out in</w:t>
      </w:r>
      <w:r w:rsidR="00B12503" w:rsidRPr="009A330C">
        <w:rPr>
          <w:rFonts w:ascii="Verdana" w:hAnsi="Verdana"/>
          <w:sz w:val="20"/>
          <w:szCs w:val="20"/>
        </w:rPr>
        <w:t xml:space="preserve"> </w:t>
      </w:r>
      <w:r w:rsidR="00001702" w:rsidRPr="009A330C">
        <w:rPr>
          <w:rFonts w:ascii="Verdana" w:hAnsi="Verdana"/>
          <w:sz w:val="20"/>
          <w:szCs w:val="20"/>
        </w:rPr>
        <w:t>the ICESCR</w:t>
      </w:r>
      <w:r w:rsidR="00001702" w:rsidRPr="009A330C">
        <w:rPr>
          <w:rStyle w:val="FootnoteReference"/>
          <w:rFonts w:ascii="Verdana" w:hAnsi="Verdana"/>
          <w:sz w:val="20"/>
          <w:szCs w:val="20"/>
        </w:rPr>
        <w:footnoteReference w:id="6"/>
      </w:r>
      <w:r w:rsidR="00001702" w:rsidRPr="009A330C">
        <w:rPr>
          <w:rFonts w:ascii="Verdana" w:hAnsi="Verdana"/>
          <w:sz w:val="20"/>
          <w:szCs w:val="20"/>
        </w:rPr>
        <w:t xml:space="preserve"> and </w:t>
      </w:r>
      <w:r w:rsidR="00B12503" w:rsidRPr="009A330C">
        <w:rPr>
          <w:rFonts w:ascii="Verdana" w:hAnsi="Verdana"/>
          <w:sz w:val="20"/>
          <w:szCs w:val="20"/>
        </w:rPr>
        <w:t xml:space="preserve">a number of international environmental instruments and </w:t>
      </w:r>
      <w:r w:rsidR="00580518" w:rsidRPr="009A330C">
        <w:rPr>
          <w:rFonts w:ascii="Verdana" w:hAnsi="Verdana"/>
          <w:sz w:val="20"/>
          <w:szCs w:val="20"/>
        </w:rPr>
        <w:t>best practices</w:t>
      </w:r>
      <w:r w:rsidR="00B12503" w:rsidRPr="009A330C">
        <w:rPr>
          <w:rFonts w:ascii="Verdana" w:hAnsi="Verdana"/>
          <w:sz w:val="20"/>
          <w:szCs w:val="20"/>
        </w:rPr>
        <w:t>.</w:t>
      </w:r>
      <w:r w:rsidR="00B12503" w:rsidRPr="009A330C">
        <w:rPr>
          <w:rStyle w:val="FootnoteReference"/>
          <w:rFonts w:ascii="Verdana" w:hAnsi="Verdana"/>
          <w:sz w:val="20"/>
          <w:szCs w:val="20"/>
        </w:rPr>
        <w:footnoteReference w:id="7"/>
      </w:r>
      <w:r w:rsidRPr="009A330C">
        <w:rPr>
          <w:rFonts w:ascii="Verdana" w:hAnsi="Verdana"/>
          <w:sz w:val="20"/>
          <w:szCs w:val="20"/>
        </w:rPr>
        <w:t xml:space="preserve"> In addition, persons affected by the SEZs </w:t>
      </w:r>
      <w:r w:rsidR="001A63D5" w:rsidRPr="009A330C">
        <w:rPr>
          <w:rFonts w:ascii="Verdana" w:hAnsi="Verdana"/>
          <w:sz w:val="20"/>
          <w:szCs w:val="20"/>
        </w:rPr>
        <w:t xml:space="preserve">and those who are affected by eviction orders </w:t>
      </w:r>
      <w:r w:rsidRPr="009A330C">
        <w:rPr>
          <w:rFonts w:ascii="Verdana" w:hAnsi="Verdana"/>
          <w:sz w:val="20"/>
          <w:szCs w:val="20"/>
        </w:rPr>
        <w:t xml:space="preserve">have </w:t>
      </w:r>
      <w:r w:rsidR="000149CE" w:rsidRPr="009A330C">
        <w:rPr>
          <w:rFonts w:ascii="Verdana" w:hAnsi="Verdana"/>
          <w:sz w:val="20"/>
          <w:szCs w:val="20"/>
        </w:rPr>
        <w:t xml:space="preserve">reportedly </w:t>
      </w:r>
      <w:r w:rsidRPr="009A330C">
        <w:rPr>
          <w:rFonts w:ascii="Verdana" w:hAnsi="Verdana"/>
          <w:sz w:val="20"/>
          <w:szCs w:val="20"/>
        </w:rPr>
        <w:t xml:space="preserve">not been </w:t>
      </w:r>
      <w:r w:rsidRPr="009A330C">
        <w:rPr>
          <w:rFonts w:ascii="Verdana" w:hAnsi="Verdana"/>
          <w:sz w:val="20"/>
          <w:szCs w:val="20"/>
        </w:rPr>
        <w:lastRenderedPageBreak/>
        <w:t>afforded genuine opportunities to make or challenge decisions made about project plans or future livelihood and living arrangements</w:t>
      </w:r>
      <w:r w:rsidR="009817BA" w:rsidRPr="009A330C">
        <w:rPr>
          <w:rFonts w:ascii="Verdana" w:hAnsi="Verdana"/>
          <w:sz w:val="20"/>
          <w:szCs w:val="20"/>
        </w:rPr>
        <w:t>, against the</w:t>
      </w:r>
      <w:r w:rsidR="008B26E4" w:rsidRPr="009A330C">
        <w:rPr>
          <w:rFonts w:ascii="Verdana" w:hAnsi="Verdana"/>
          <w:sz w:val="20"/>
          <w:szCs w:val="20"/>
        </w:rPr>
        <w:t xml:space="preserve"> </w:t>
      </w:r>
      <w:r w:rsidR="009817BA" w:rsidRPr="009A330C">
        <w:rPr>
          <w:rFonts w:ascii="Verdana" w:hAnsi="Verdana"/>
          <w:sz w:val="20"/>
          <w:szCs w:val="20"/>
        </w:rPr>
        <w:t xml:space="preserve">jurisprudence and </w:t>
      </w:r>
      <w:r w:rsidR="008B26E4" w:rsidRPr="009A330C">
        <w:rPr>
          <w:rFonts w:ascii="Verdana" w:hAnsi="Verdana"/>
          <w:sz w:val="20"/>
          <w:szCs w:val="20"/>
        </w:rPr>
        <w:t>recommen</w:t>
      </w:r>
      <w:r w:rsidR="009817BA" w:rsidRPr="009A330C">
        <w:rPr>
          <w:rFonts w:ascii="Verdana" w:hAnsi="Verdana"/>
          <w:sz w:val="20"/>
          <w:szCs w:val="20"/>
        </w:rPr>
        <w:t>dations made</w:t>
      </w:r>
      <w:r w:rsidR="008B26E4" w:rsidRPr="009A330C">
        <w:rPr>
          <w:rFonts w:ascii="Verdana" w:hAnsi="Verdana"/>
          <w:sz w:val="20"/>
          <w:szCs w:val="20"/>
        </w:rPr>
        <w:t xml:space="preserve"> by the CESCR and other UN treaty bodies,</w:t>
      </w:r>
      <w:r w:rsidR="008B26E4" w:rsidRPr="009A330C">
        <w:rPr>
          <w:rStyle w:val="FootnoteReference"/>
          <w:rFonts w:ascii="Verdana" w:hAnsi="Verdana"/>
          <w:sz w:val="20"/>
          <w:szCs w:val="20"/>
        </w:rPr>
        <w:footnoteReference w:id="8"/>
      </w:r>
      <w:r w:rsidR="008B26E4" w:rsidRPr="009A330C">
        <w:rPr>
          <w:rFonts w:ascii="Verdana" w:hAnsi="Verdana"/>
          <w:sz w:val="20"/>
          <w:szCs w:val="20"/>
        </w:rPr>
        <w:t xml:space="preserve"> including</w:t>
      </w:r>
      <w:r w:rsidR="00E87791" w:rsidRPr="009A330C">
        <w:rPr>
          <w:rFonts w:ascii="Verdana" w:hAnsi="Verdana"/>
          <w:sz w:val="20"/>
          <w:szCs w:val="20"/>
        </w:rPr>
        <w:t xml:space="preserve"> the</w:t>
      </w:r>
      <w:r w:rsidR="008B26E4" w:rsidRPr="009A330C">
        <w:rPr>
          <w:rFonts w:ascii="Verdana" w:hAnsi="Verdana"/>
          <w:sz w:val="20"/>
          <w:szCs w:val="20"/>
        </w:rPr>
        <w:t xml:space="preserve"> </w:t>
      </w:r>
      <w:r w:rsidR="00E87791" w:rsidRPr="009A330C">
        <w:rPr>
          <w:rFonts w:ascii="Verdana" w:hAnsi="Verdana"/>
          <w:sz w:val="20"/>
          <w:szCs w:val="20"/>
        </w:rPr>
        <w:t xml:space="preserve">CESCR’s recommendations made in paragraph 15, 16 and 30 of its </w:t>
      </w:r>
      <w:r w:rsidR="00B47A99" w:rsidRPr="009A330C">
        <w:rPr>
          <w:rFonts w:ascii="Verdana" w:hAnsi="Verdana"/>
          <w:sz w:val="20"/>
          <w:szCs w:val="20"/>
        </w:rPr>
        <w:t>c</w:t>
      </w:r>
      <w:r w:rsidR="00E87791" w:rsidRPr="009A330C">
        <w:rPr>
          <w:rFonts w:ascii="Verdana" w:hAnsi="Verdana"/>
          <w:sz w:val="20"/>
          <w:szCs w:val="20"/>
        </w:rPr>
        <w:t xml:space="preserve">oncluding </w:t>
      </w:r>
      <w:r w:rsidR="00B47A99" w:rsidRPr="009A330C">
        <w:rPr>
          <w:rFonts w:ascii="Verdana" w:hAnsi="Verdana"/>
          <w:sz w:val="20"/>
          <w:szCs w:val="20"/>
        </w:rPr>
        <w:t>o</w:t>
      </w:r>
      <w:r w:rsidR="00E87791" w:rsidRPr="009A330C">
        <w:rPr>
          <w:rFonts w:ascii="Verdana" w:hAnsi="Verdana"/>
          <w:sz w:val="20"/>
          <w:szCs w:val="20"/>
        </w:rPr>
        <w:t>bservations</w:t>
      </w:r>
      <w:r w:rsidR="00B47A99" w:rsidRPr="009A330C">
        <w:rPr>
          <w:rFonts w:ascii="Verdana" w:hAnsi="Verdana"/>
          <w:sz w:val="20"/>
          <w:szCs w:val="20"/>
        </w:rPr>
        <w:t xml:space="preserve"> on Cambodia</w:t>
      </w:r>
      <w:r w:rsidR="00E87791" w:rsidRPr="009A330C">
        <w:rPr>
          <w:rFonts w:ascii="Verdana" w:hAnsi="Verdana"/>
          <w:sz w:val="20"/>
          <w:szCs w:val="20"/>
        </w:rPr>
        <w:t xml:space="preserve"> in 2009</w:t>
      </w:r>
      <w:r w:rsidR="008B26E4" w:rsidRPr="009A330C">
        <w:rPr>
          <w:rFonts w:ascii="Verdana" w:hAnsi="Verdana"/>
          <w:sz w:val="20"/>
          <w:szCs w:val="20"/>
        </w:rPr>
        <w:t>.</w:t>
      </w:r>
      <w:r w:rsidR="008B26E4" w:rsidRPr="009A330C">
        <w:rPr>
          <w:rStyle w:val="FootnoteReference"/>
          <w:rFonts w:ascii="Verdana" w:hAnsi="Verdana"/>
          <w:sz w:val="20"/>
          <w:szCs w:val="20"/>
        </w:rPr>
        <w:footnoteReference w:id="9"/>
      </w:r>
      <w:r w:rsidR="008B26E4" w:rsidRPr="009A330C">
        <w:rPr>
          <w:rFonts w:ascii="Verdana" w:hAnsi="Verdana"/>
          <w:sz w:val="20"/>
          <w:szCs w:val="20"/>
        </w:rPr>
        <w:t xml:space="preserve"> This </w:t>
      </w:r>
      <w:r w:rsidR="000149CE" w:rsidRPr="009A330C">
        <w:rPr>
          <w:rFonts w:ascii="Verdana" w:hAnsi="Verdana"/>
          <w:sz w:val="20"/>
          <w:szCs w:val="20"/>
        </w:rPr>
        <w:t xml:space="preserve">situation </w:t>
      </w:r>
      <w:r w:rsidR="008B26E4" w:rsidRPr="009A330C">
        <w:rPr>
          <w:rFonts w:ascii="Verdana" w:hAnsi="Verdana"/>
          <w:sz w:val="20"/>
          <w:szCs w:val="20"/>
        </w:rPr>
        <w:t xml:space="preserve">is also inconsistent with the </w:t>
      </w:r>
      <w:r w:rsidR="000149CE" w:rsidRPr="009A330C">
        <w:rPr>
          <w:rFonts w:ascii="Verdana" w:hAnsi="Verdana"/>
          <w:sz w:val="20"/>
          <w:szCs w:val="20"/>
        </w:rPr>
        <w:t>right to participat</w:t>
      </w:r>
      <w:r w:rsidR="001B7C11" w:rsidRPr="009A330C">
        <w:rPr>
          <w:rFonts w:ascii="Verdana" w:hAnsi="Verdana"/>
          <w:sz w:val="20"/>
          <w:szCs w:val="20"/>
        </w:rPr>
        <w:t>e</w:t>
      </w:r>
      <w:r w:rsidR="000149CE" w:rsidRPr="009A330C">
        <w:rPr>
          <w:rFonts w:ascii="Verdana" w:hAnsi="Verdana"/>
          <w:sz w:val="20"/>
          <w:szCs w:val="20"/>
        </w:rPr>
        <w:t xml:space="preserve"> in public affairs, including</w:t>
      </w:r>
      <w:r w:rsidR="008B26E4" w:rsidRPr="009A330C">
        <w:rPr>
          <w:rFonts w:ascii="Verdana" w:hAnsi="Verdana"/>
          <w:sz w:val="20"/>
          <w:szCs w:val="20"/>
        </w:rPr>
        <w:t xml:space="preserve"> in the decisions of </w:t>
      </w:r>
      <w:r w:rsidR="000149CE" w:rsidRPr="009A330C">
        <w:rPr>
          <w:rFonts w:ascii="Verdana" w:hAnsi="Verdana"/>
          <w:sz w:val="20"/>
          <w:szCs w:val="20"/>
        </w:rPr>
        <w:t xml:space="preserve">one’s </w:t>
      </w:r>
      <w:r w:rsidR="008B26E4" w:rsidRPr="009A330C">
        <w:rPr>
          <w:rFonts w:ascii="Verdana" w:hAnsi="Verdana"/>
          <w:sz w:val="20"/>
          <w:szCs w:val="20"/>
        </w:rPr>
        <w:t>government.</w:t>
      </w:r>
      <w:r w:rsidR="008B26E4" w:rsidRPr="009A330C">
        <w:rPr>
          <w:rStyle w:val="FootnoteReference"/>
          <w:rFonts w:ascii="Verdana" w:hAnsi="Verdana"/>
          <w:sz w:val="20"/>
          <w:szCs w:val="20"/>
        </w:rPr>
        <w:footnoteReference w:id="10"/>
      </w:r>
      <w:r w:rsidRPr="009A330C">
        <w:rPr>
          <w:rFonts w:ascii="Verdana" w:hAnsi="Verdana"/>
          <w:sz w:val="20"/>
          <w:szCs w:val="20"/>
        </w:rPr>
        <w:t xml:space="preserve"> </w:t>
      </w:r>
    </w:p>
    <w:p w14:paraId="03429AE8" w14:textId="77777777" w:rsidR="00ED47CB" w:rsidRPr="009A330C" w:rsidRDefault="00ED47CB" w:rsidP="001B7C11">
      <w:pPr>
        <w:pStyle w:val="ListParagraph"/>
        <w:rPr>
          <w:rFonts w:ascii="Verdana" w:hAnsi="Verdana"/>
          <w:sz w:val="20"/>
          <w:szCs w:val="20"/>
        </w:rPr>
      </w:pPr>
    </w:p>
    <w:p w14:paraId="4E33D602" w14:textId="75E1B8B6" w:rsidR="00772BA7" w:rsidRPr="009A330C" w:rsidRDefault="000149CE" w:rsidP="001B7C11">
      <w:pPr>
        <w:pStyle w:val="ListParagraph"/>
        <w:numPr>
          <w:ilvl w:val="0"/>
          <w:numId w:val="3"/>
        </w:numPr>
        <w:contextualSpacing w:val="0"/>
        <w:jc w:val="thaiDistribute"/>
        <w:rPr>
          <w:rFonts w:ascii="Verdana" w:hAnsi="Verdana"/>
          <w:sz w:val="20"/>
          <w:szCs w:val="20"/>
        </w:rPr>
      </w:pPr>
      <w:r w:rsidRPr="009A330C">
        <w:rPr>
          <w:rFonts w:ascii="Verdana" w:hAnsi="Verdana"/>
          <w:sz w:val="20"/>
          <w:szCs w:val="20"/>
        </w:rPr>
        <w:t>With respect to the M.D.S. Thmor Da SEZ in Veal Veng District, Pursat Province, f</w:t>
      </w:r>
      <w:r w:rsidR="00772BA7" w:rsidRPr="009A330C">
        <w:rPr>
          <w:rFonts w:ascii="Verdana" w:hAnsi="Verdana"/>
          <w:sz w:val="20"/>
          <w:szCs w:val="20"/>
        </w:rPr>
        <w:t xml:space="preserve">or example, </w:t>
      </w:r>
      <w:r w:rsidRPr="009A330C">
        <w:rPr>
          <w:rFonts w:ascii="Verdana" w:hAnsi="Verdana"/>
          <w:sz w:val="20"/>
          <w:szCs w:val="20"/>
        </w:rPr>
        <w:t xml:space="preserve">the </w:t>
      </w:r>
      <w:r w:rsidR="00772BA7" w:rsidRPr="009A330C">
        <w:rPr>
          <w:rFonts w:ascii="Verdana" w:hAnsi="Verdana"/>
          <w:sz w:val="20"/>
          <w:szCs w:val="20"/>
        </w:rPr>
        <w:t xml:space="preserve">Cambodian Center for Human Rights (‘CCHR’) </w:t>
      </w:r>
      <w:r w:rsidRPr="009A330C">
        <w:rPr>
          <w:rFonts w:ascii="Verdana" w:hAnsi="Verdana"/>
          <w:sz w:val="20"/>
          <w:szCs w:val="20"/>
        </w:rPr>
        <w:t xml:space="preserve">has </w:t>
      </w:r>
      <w:r w:rsidR="00772BA7" w:rsidRPr="009A330C">
        <w:rPr>
          <w:rFonts w:ascii="Verdana" w:hAnsi="Verdana"/>
          <w:sz w:val="20"/>
          <w:szCs w:val="20"/>
        </w:rPr>
        <w:t xml:space="preserve">noted that, while the government </w:t>
      </w:r>
      <w:r w:rsidR="00085139" w:rsidRPr="009A330C">
        <w:rPr>
          <w:rFonts w:ascii="Verdana" w:hAnsi="Verdana"/>
          <w:sz w:val="20"/>
          <w:szCs w:val="20"/>
        </w:rPr>
        <w:t xml:space="preserve">authorized its establishment </w:t>
      </w:r>
      <w:r w:rsidR="00772BA7" w:rsidRPr="009A330C">
        <w:rPr>
          <w:rFonts w:ascii="Verdana" w:hAnsi="Verdana"/>
          <w:sz w:val="20"/>
          <w:szCs w:val="20"/>
        </w:rPr>
        <w:t>on 19 November 2010, local communities reportedly could not access any official documents related to the granting of the SEZ until May 2018.</w:t>
      </w:r>
      <w:r w:rsidR="00772BA7" w:rsidRPr="009A330C">
        <w:rPr>
          <w:rStyle w:val="FootnoteReference"/>
          <w:rFonts w:ascii="Verdana" w:hAnsi="Verdana"/>
          <w:sz w:val="20"/>
          <w:szCs w:val="20"/>
        </w:rPr>
        <w:footnoteReference w:id="11"/>
      </w:r>
      <w:r w:rsidR="00772BA7" w:rsidRPr="009A330C">
        <w:rPr>
          <w:rFonts w:ascii="Verdana" w:hAnsi="Verdana"/>
          <w:sz w:val="20"/>
          <w:szCs w:val="20"/>
        </w:rPr>
        <w:t xml:space="preserve"> They were also not adequately consulted before its establishment, and their at</w:t>
      </w:r>
      <w:r w:rsidR="00772BA7" w:rsidRPr="009A330C">
        <w:rPr>
          <w:rFonts w:ascii="Verdana" w:hAnsi="Verdana"/>
          <w:sz w:val="20"/>
          <w:szCs w:val="20"/>
        </w:rPr>
        <w:lastRenderedPageBreak/>
        <w:t xml:space="preserve">tempts to articulate their demands were reportedly ignored, </w:t>
      </w:r>
      <w:r w:rsidR="00F83DC9" w:rsidRPr="009A330C">
        <w:rPr>
          <w:rFonts w:ascii="Verdana" w:hAnsi="Verdana"/>
          <w:sz w:val="20"/>
          <w:szCs w:val="20"/>
        </w:rPr>
        <w:t xml:space="preserve">in violation of </w:t>
      </w:r>
      <w:r w:rsidR="00772BA7" w:rsidRPr="009A330C">
        <w:rPr>
          <w:rFonts w:ascii="Verdana" w:hAnsi="Verdana"/>
          <w:sz w:val="20"/>
          <w:szCs w:val="20"/>
        </w:rPr>
        <w:t xml:space="preserve">international law and </w:t>
      </w:r>
      <w:r w:rsidR="00F83DC9" w:rsidRPr="009A330C">
        <w:rPr>
          <w:rFonts w:ascii="Verdana" w:hAnsi="Verdana"/>
          <w:sz w:val="20"/>
          <w:szCs w:val="20"/>
        </w:rPr>
        <w:t xml:space="preserve">against </w:t>
      </w:r>
      <w:r w:rsidR="00772BA7" w:rsidRPr="009A330C">
        <w:rPr>
          <w:rFonts w:ascii="Verdana" w:hAnsi="Verdana"/>
          <w:sz w:val="20"/>
          <w:szCs w:val="20"/>
        </w:rPr>
        <w:t>good practice.</w:t>
      </w:r>
      <w:r w:rsidR="00772BA7" w:rsidRPr="009A330C">
        <w:rPr>
          <w:rStyle w:val="FootnoteReference"/>
          <w:rFonts w:ascii="Verdana" w:hAnsi="Verdana"/>
          <w:sz w:val="20"/>
          <w:szCs w:val="20"/>
        </w:rPr>
        <w:footnoteReference w:id="12"/>
      </w:r>
    </w:p>
    <w:p w14:paraId="6D5EABD9" w14:textId="2B78E4BB" w:rsidR="00772BA7" w:rsidRPr="009A330C" w:rsidRDefault="00D16E4B" w:rsidP="00772BA7">
      <w:pPr>
        <w:pStyle w:val="ListParagraph"/>
        <w:numPr>
          <w:ilvl w:val="0"/>
          <w:numId w:val="3"/>
        </w:numPr>
        <w:contextualSpacing w:val="0"/>
        <w:jc w:val="thaiDistribute"/>
        <w:rPr>
          <w:rFonts w:ascii="Verdana" w:hAnsi="Verdana"/>
          <w:sz w:val="20"/>
          <w:szCs w:val="20"/>
        </w:rPr>
      </w:pPr>
      <w:r w:rsidRPr="009A330C">
        <w:rPr>
          <w:rFonts w:ascii="Verdana" w:hAnsi="Verdana"/>
          <w:sz w:val="20"/>
          <w:szCs w:val="20"/>
        </w:rPr>
        <w:t xml:space="preserve">Moreover, </w:t>
      </w:r>
      <w:r w:rsidR="00772BA7" w:rsidRPr="009A330C">
        <w:rPr>
          <w:rFonts w:ascii="Verdana" w:hAnsi="Verdana"/>
          <w:sz w:val="20"/>
          <w:szCs w:val="20"/>
        </w:rPr>
        <w:t xml:space="preserve">SEZ management bodies </w:t>
      </w:r>
      <w:r w:rsidR="00403FFB" w:rsidRPr="009A330C">
        <w:rPr>
          <w:rFonts w:ascii="Verdana" w:hAnsi="Verdana"/>
          <w:sz w:val="20"/>
          <w:szCs w:val="20"/>
        </w:rPr>
        <w:t xml:space="preserve">– </w:t>
      </w:r>
      <w:r w:rsidRPr="009A330C">
        <w:rPr>
          <w:rFonts w:ascii="Verdana" w:hAnsi="Verdana"/>
          <w:sz w:val="20"/>
          <w:szCs w:val="20"/>
        </w:rPr>
        <w:t xml:space="preserve">that is, </w:t>
      </w:r>
      <w:r w:rsidR="00403FFB" w:rsidRPr="009A330C">
        <w:rPr>
          <w:rFonts w:ascii="Verdana" w:hAnsi="Verdana"/>
          <w:sz w:val="20"/>
          <w:szCs w:val="20"/>
        </w:rPr>
        <w:t xml:space="preserve">the </w:t>
      </w:r>
      <w:r w:rsidR="00772BA7" w:rsidRPr="009A330C">
        <w:rPr>
          <w:rFonts w:ascii="Verdana" w:hAnsi="Verdana"/>
          <w:sz w:val="20"/>
          <w:szCs w:val="20"/>
        </w:rPr>
        <w:t>Council for the Development of Cambodia (‘CDC’), the Cambodian Special Economic Zones Board (‘CSEZB’), the Special Economic Zones Trouble Shooting Committee (‘SEZ TSC’), and the Special Economic Zone Administration</w:t>
      </w:r>
      <w:r w:rsidR="00403FFB" w:rsidRPr="009A330C">
        <w:rPr>
          <w:rFonts w:ascii="Verdana" w:hAnsi="Verdana"/>
          <w:sz w:val="20"/>
          <w:szCs w:val="20"/>
        </w:rPr>
        <w:t xml:space="preserve"> – are </w:t>
      </w:r>
      <w:r w:rsidR="00772BA7" w:rsidRPr="009A330C">
        <w:rPr>
          <w:rFonts w:ascii="Verdana" w:hAnsi="Verdana"/>
          <w:sz w:val="20"/>
          <w:szCs w:val="20"/>
        </w:rPr>
        <w:t>only composed of representatives from governmental institutions.</w:t>
      </w:r>
      <w:r w:rsidR="00772BA7" w:rsidRPr="009A330C">
        <w:rPr>
          <w:rStyle w:val="FootnoteReference"/>
          <w:rFonts w:ascii="Verdana" w:hAnsi="Verdana"/>
          <w:sz w:val="20"/>
          <w:szCs w:val="20"/>
        </w:rPr>
        <w:footnoteReference w:id="13"/>
      </w:r>
      <w:r w:rsidR="00772BA7" w:rsidRPr="009A330C">
        <w:rPr>
          <w:rFonts w:ascii="Verdana" w:hAnsi="Verdana"/>
          <w:sz w:val="20"/>
          <w:szCs w:val="20"/>
        </w:rPr>
        <w:t xml:space="preserve"> They are granted broad powers </w:t>
      </w:r>
      <w:r w:rsidR="00E90949" w:rsidRPr="009A330C">
        <w:rPr>
          <w:rFonts w:ascii="Verdana" w:hAnsi="Verdana"/>
          <w:sz w:val="20"/>
          <w:szCs w:val="20"/>
        </w:rPr>
        <w:t xml:space="preserve">and </w:t>
      </w:r>
      <w:r w:rsidR="00403FFB" w:rsidRPr="009A330C">
        <w:rPr>
          <w:rFonts w:ascii="Verdana" w:hAnsi="Verdana"/>
          <w:sz w:val="20"/>
          <w:szCs w:val="20"/>
        </w:rPr>
        <w:t>have</w:t>
      </w:r>
      <w:r w:rsidR="00772BA7" w:rsidRPr="009A330C">
        <w:rPr>
          <w:rFonts w:ascii="Verdana" w:hAnsi="Verdana"/>
          <w:sz w:val="20"/>
          <w:szCs w:val="20"/>
        </w:rPr>
        <w:t xml:space="preserve"> no specific duty to consult regularly with affected communities to seek their input.</w:t>
      </w:r>
      <w:r w:rsidR="00772BA7" w:rsidRPr="009A330C">
        <w:rPr>
          <w:rStyle w:val="FootnoteReference"/>
          <w:rFonts w:ascii="Verdana" w:hAnsi="Verdana"/>
          <w:sz w:val="20"/>
          <w:szCs w:val="20"/>
        </w:rPr>
        <w:footnoteReference w:id="14"/>
      </w:r>
      <w:r w:rsidR="00772BA7" w:rsidRPr="009A330C">
        <w:rPr>
          <w:rFonts w:ascii="Verdana" w:hAnsi="Verdana"/>
          <w:sz w:val="20"/>
          <w:szCs w:val="20"/>
        </w:rPr>
        <w:t xml:space="preserve"> While SEZ TSC has been established to receive complaints from zone developers and investors,</w:t>
      </w:r>
      <w:r w:rsidR="00772BA7" w:rsidRPr="009A330C">
        <w:rPr>
          <w:rStyle w:val="FootnoteReference"/>
          <w:rFonts w:ascii="Verdana" w:hAnsi="Verdana"/>
          <w:sz w:val="20"/>
          <w:szCs w:val="20"/>
        </w:rPr>
        <w:footnoteReference w:id="15"/>
      </w:r>
      <w:r w:rsidR="00772BA7" w:rsidRPr="009A330C">
        <w:rPr>
          <w:rFonts w:ascii="Verdana" w:hAnsi="Verdana"/>
          <w:sz w:val="20"/>
          <w:szCs w:val="20"/>
        </w:rPr>
        <w:t xml:space="preserve"> no such complaint mechanism exists for SEZ employees or affected </w:t>
      </w:r>
      <w:r w:rsidR="00772BA7" w:rsidRPr="009A330C">
        <w:rPr>
          <w:rFonts w:ascii="Verdana" w:hAnsi="Verdana"/>
          <w:sz w:val="20"/>
          <w:szCs w:val="20"/>
        </w:rPr>
        <w:lastRenderedPageBreak/>
        <w:t>individuals or communities to seek redress or register concerns.</w:t>
      </w:r>
      <w:r w:rsidR="00772BA7" w:rsidRPr="009A330C">
        <w:rPr>
          <w:rStyle w:val="FootnoteReference"/>
          <w:rFonts w:ascii="Verdana" w:hAnsi="Verdana"/>
          <w:sz w:val="20"/>
          <w:szCs w:val="20"/>
        </w:rPr>
        <w:footnoteReference w:id="16"/>
      </w:r>
    </w:p>
    <w:p w14:paraId="5EE6A0B3" w14:textId="413DE2DD" w:rsidR="00772BA7" w:rsidRPr="009A330C" w:rsidRDefault="00772BA7" w:rsidP="00772BA7">
      <w:pPr>
        <w:rPr>
          <w:rFonts w:ascii="Verdana" w:hAnsi="Verdana"/>
          <w:sz w:val="20"/>
          <w:szCs w:val="20"/>
        </w:rPr>
      </w:pPr>
    </w:p>
    <w:p w14:paraId="7E351305" w14:textId="12A543CE" w:rsidR="00772BA7" w:rsidRPr="009A330C" w:rsidRDefault="00772BA7" w:rsidP="00772BA7">
      <w:pPr>
        <w:rPr>
          <w:rFonts w:ascii="Verdana" w:hAnsi="Verdana"/>
          <w:sz w:val="20"/>
          <w:szCs w:val="20"/>
          <w:u w:val="single"/>
        </w:rPr>
      </w:pPr>
      <w:r w:rsidRPr="009A330C">
        <w:rPr>
          <w:rFonts w:ascii="Verdana" w:hAnsi="Verdana"/>
          <w:sz w:val="20"/>
          <w:szCs w:val="20"/>
          <w:u w:val="single"/>
        </w:rPr>
        <w:t>Abuses of the Rights to Adequate Housing and Livelihoods (Article 11)</w:t>
      </w:r>
    </w:p>
    <w:p w14:paraId="6926EEDB" w14:textId="15A62A2B" w:rsidR="00772BA7" w:rsidRPr="009A330C" w:rsidRDefault="00772BA7" w:rsidP="00772BA7">
      <w:pPr>
        <w:rPr>
          <w:rFonts w:ascii="Verdana" w:hAnsi="Verdana"/>
          <w:sz w:val="20"/>
          <w:szCs w:val="20"/>
        </w:rPr>
      </w:pPr>
    </w:p>
    <w:p w14:paraId="5852C77B" w14:textId="486F5803" w:rsidR="00772BA7" w:rsidRPr="009A330C" w:rsidRDefault="00B47320" w:rsidP="00F36C2E">
      <w:pPr>
        <w:pStyle w:val="ListParagraph"/>
        <w:numPr>
          <w:ilvl w:val="0"/>
          <w:numId w:val="3"/>
        </w:numPr>
        <w:jc w:val="thaiDistribute"/>
        <w:rPr>
          <w:rFonts w:ascii="Verdana" w:hAnsi="Verdana"/>
          <w:sz w:val="20"/>
          <w:szCs w:val="20"/>
        </w:rPr>
      </w:pPr>
      <w:r w:rsidRPr="009A330C">
        <w:rPr>
          <w:rFonts w:ascii="Verdana" w:hAnsi="Verdana"/>
          <w:sz w:val="20"/>
          <w:szCs w:val="20"/>
        </w:rPr>
        <w:t>There have been instances where c</w:t>
      </w:r>
      <w:r w:rsidR="00772BA7" w:rsidRPr="009A330C">
        <w:rPr>
          <w:rFonts w:ascii="Verdana" w:hAnsi="Verdana"/>
          <w:sz w:val="20"/>
          <w:szCs w:val="20"/>
        </w:rPr>
        <w:t xml:space="preserve">ommunities </w:t>
      </w:r>
      <w:r w:rsidRPr="009A330C">
        <w:rPr>
          <w:rFonts w:ascii="Verdana" w:hAnsi="Verdana"/>
          <w:sz w:val="20"/>
          <w:szCs w:val="20"/>
        </w:rPr>
        <w:t xml:space="preserve">have been </w:t>
      </w:r>
      <w:r w:rsidR="00772BA7" w:rsidRPr="009A330C">
        <w:rPr>
          <w:rFonts w:ascii="Verdana" w:hAnsi="Verdana"/>
          <w:sz w:val="20"/>
          <w:szCs w:val="20"/>
        </w:rPr>
        <w:t>forcibly evicted</w:t>
      </w:r>
      <w:r w:rsidRPr="009A330C">
        <w:rPr>
          <w:rFonts w:ascii="Verdana" w:hAnsi="Verdana"/>
          <w:sz w:val="20"/>
          <w:szCs w:val="20"/>
        </w:rPr>
        <w:t xml:space="preserve"> from a site to enable the development of a SEZ</w:t>
      </w:r>
      <w:r w:rsidR="00772BA7" w:rsidRPr="009A330C">
        <w:rPr>
          <w:rFonts w:ascii="Verdana" w:hAnsi="Verdana"/>
          <w:sz w:val="20"/>
          <w:szCs w:val="20"/>
        </w:rPr>
        <w:t xml:space="preserve"> as part of a process lacking transparency and fairness</w:t>
      </w:r>
      <w:r w:rsidR="000F49F3" w:rsidRPr="009A330C">
        <w:rPr>
          <w:rFonts w:ascii="Verdana" w:hAnsi="Verdana"/>
          <w:sz w:val="20"/>
          <w:szCs w:val="20"/>
        </w:rPr>
        <w:t>,</w:t>
      </w:r>
      <w:r w:rsidR="00772BA7" w:rsidRPr="009A330C">
        <w:rPr>
          <w:rFonts w:ascii="Verdana" w:hAnsi="Verdana"/>
          <w:sz w:val="20"/>
          <w:szCs w:val="20"/>
        </w:rPr>
        <w:t xml:space="preserve"> without due consultation</w:t>
      </w:r>
      <w:r w:rsidRPr="009A330C">
        <w:rPr>
          <w:rFonts w:ascii="Verdana" w:hAnsi="Verdana"/>
          <w:sz w:val="20"/>
          <w:szCs w:val="20"/>
        </w:rPr>
        <w:t>,</w:t>
      </w:r>
      <w:r w:rsidR="000F49F3" w:rsidRPr="009A330C">
        <w:rPr>
          <w:rFonts w:ascii="Verdana" w:hAnsi="Verdana"/>
          <w:sz w:val="20"/>
          <w:szCs w:val="20"/>
        </w:rPr>
        <w:t xml:space="preserve"> and in contravention </w:t>
      </w:r>
      <w:r w:rsidRPr="009A330C">
        <w:rPr>
          <w:rFonts w:ascii="Verdana" w:hAnsi="Verdana"/>
          <w:sz w:val="20"/>
          <w:szCs w:val="20"/>
        </w:rPr>
        <w:t xml:space="preserve">of </w:t>
      </w:r>
      <w:r w:rsidR="000F49F3" w:rsidRPr="009A330C">
        <w:rPr>
          <w:rFonts w:ascii="Verdana" w:hAnsi="Verdana"/>
          <w:sz w:val="20"/>
          <w:szCs w:val="20"/>
        </w:rPr>
        <w:t>international human rights law</w:t>
      </w:r>
      <w:r w:rsidRPr="009A330C">
        <w:rPr>
          <w:rFonts w:ascii="Verdana" w:hAnsi="Verdana"/>
          <w:sz w:val="20"/>
          <w:szCs w:val="20"/>
        </w:rPr>
        <w:t>,</w:t>
      </w:r>
      <w:r w:rsidR="00F36C2E" w:rsidRPr="009A330C">
        <w:rPr>
          <w:rStyle w:val="FootnoteReference"/>
          <w:rFonts w:ascii="Verdana" w:hAnsi="Verdana"/>
          <w:sz w:val="20"/>
          <w:szCs w:val="20"/>
        </w:rPr>
        <w:footnoteReference w:id="17"/>
      </w:r>
      <w:r w:rsidR="00F36C2E" w:rsidRPr="009A330C">
        <w:rPr>
          <w:rFonts w:ascii="Verdana" w:hAnsi="Verdana"/>
          <w:sz w:val="20"/>
          <w:szCs w:val="20"/>
        </w:rPr>
        <w:t xml:space="preserve"> and </w:t>
      </w:r>
      <w:r w:rsidRPr="009A330C">
        <w:rPr>
          <w:rFonts w:ascii="Verdana" w:hAnsi="Verdana"/>
          <w:sz w:val="20"/>
          <w:szCs w:val="20"/>
        </w:rPr>
        <w:t xml:space="preserve">of </w:t>
      </w:r>
      <w:r w:rsidR="00F36C2E" w:rsidRPr="009A330C">
        <w:rPr>
          <w:rFonts w:ascii="Verdana" w:hAnsi="Verdana"/>
          <w:sz w:val="20"/>
          <w:szCs w:val="20"/>
        </w:rPr>
        <w:t xml:space="preserve">the </w:t>
      </w:r>
      <w:r w:rsidR="009A0C4D" w:rsidRPr="009A330C">
        <w:rPr>
          <w:rFonts w:ascii="Verdana" w:hAnsi="Verdana"/>
          <w:sz w:val="20"/>
          <w:szCs w:val="20"/>
        </w:rPr>
        <w:t xml:space="preserve">CESCR’s </w:t>
      </w:r>
      <w:r w:rsidR="00E87791" w:rsidRPr="009A330C">
        <w:rPr>
          <w:rFonts w:ascii="Verdana" w:hAnsi="Verdana"/>
          <w:sz w:val="20"/>
          <w:szCs w:val="20"/>
        </w:rPr>
        <w:t xml:space="preserve">recommendation </w:t>
      </w:r>
      <w:r w:rsidRPr="009A330C">
        <w:rPr>
          <w:rFonts w:ascii="Verdana" w:hAnsi="Verdana"/>
          <w:sz w:val="20"/>
          <w:szCs w:val="20"/>
        </w:rPr>
        <w:t xml:space="preserve">featured in </w:t>
      </w:r>
      <w:r w:rsidR="00E87791" w:rsidRPr="009A330C">
        <w:rPr>
          <w:rFonts w:ascii="Verdana" w:hAnsi="Verdana"/>
          <w:sz w:val="20"/>
          <w:szCs w:val="20"/>
        </w:rPr>
        <w:t xml:space="preserve">its Concluding Observations in </w:t>
      </w:r>
      <w:r w:rsidR="009A0C4D" w:rsidRPr="009A330C">
        <w:rPr>
          <w:rFonts w:ascii="Verdana" w:hAnsi="Verdana"/>
          <w:sz w:val="20"/>
          <w:szCs w:val="20"/>
        </w:rPr>
        <w:t>2009</w:t>
      </w:r>
      <w:r w:rsidRPr="009A330C">
        <w:rPr>
          <w:rFonts w:ascii="Verdana" w:hAnsi="Verdana"/>
          <w:sz w:val="20"/>
          <w:szCs w:val="20"/>
        </w:rPr>
        <w:t xml:space="preserve"> (para. 30)</w:t>
      </w:r>
      <w:r w:rsidR="00772BA7" w:rsidRPr="009A330C">
        <w:rPr>
          <w:rFonts w:ascii="Verdana" w:hAnsi="Verdana"/>
          <w:sz w:val="20"/>
          <w:szCs w:val="20"/>
        </w:rPr>
        <w:t>.</w:t>
      </w:r>
      <w:r w:rsidR="00F36C2E" w:rsidRPr="009A330C">
        <w:rPr>
          <w:rFonts w:ascii="Verdana" w:hAnsi="Verdana"/>
          <w:sz w:val="20"/>
          <w:szCs w:val="20"/>
        </w:rPr>
        <w:t xml:space="preserve"> </w:t>
      </w:r>
      <w:r w:rsidR="00AD7B74" w:rsidRPr="009A330C">
        <w:rPr>
          <w:rFonts w:ascii="Verdana" w:hAnsi="Verdana"/>
          <w:sz w:val="20"/>
          <w:szCs w:val="20"/>
        </w:rPr>
        <w:t xml:space="preserve">To our knowledge, there has been no progress made in </w:t>
      </w:r>
      <w:bookmarkStart w:id="2" w:name="_Hlk123914171"/>
      <w:r w:rsidR="00AD7B74" w:rsidRPr="009A330C">
        <w:rPr>
          <w:rFonts w:ascii="Verdana" w:hAnsi="Verdana"/>
          <w:sz w:val="20"/>
          <w:szCs w:val="20"/>
        </w:rPr>
        <w:t>developing and implementing a legal and institutional framework to prevent forced evictions</w:t>
      </w:r>
      <w:bookmarkEnd w:id="2"/>
      <w:r w:rsidR="00AD7B74" w:rsidRPr="009A330C">
        <w:rPr>
          <w:rFonts w:ascii="Verdana" w:hAnsi="Verdana"/>
          <w:sz w:val="20"/>
          <w:szCs w:val="20"/>
        </w:rPr>
        <w:t xml:space="preserve">. </w:t>
      </w:r>
      <w:r w:rsidR="00F36C2E" w:rsidRPr="009A330C">
        <w:rPr>
          <w:rFonts w:ascii="Verdana" w:hAnsi="Verdana"/>
          <w:sz w:val="20"/>
          <w:szCs w:val="20"/>
        </w:rPr>
        <w:t xml:space="preserve">In response to the list of issues </w:t>
      </w:r>
      <w:r w:rsidR="00AD7B74" w:rsidRPr="009A330C">
        <w:rPr>
          <w:rFonts w:ascii="Verdana" w:hAnsi="Verdana"/>
          <w:sz w:val="20"/>
          <w:szCs w:val="20"/>
        </w:rPr>
        <w:lastRenderedPageBreak/>
        <w:t>regarding such a framework</w:t>
      </w:r>
      <w:r w:rsidR="00F36C2E" w:rsidRPr="009A330C">
        <w:rPr>
          <w:rFonts w:ascii="Verdana" w:hAnsi="Verdana"/>
          <w:sz w:val="20"/>
          <w:szCs w:val="20"/>
        </w:rPr>
        <w:t xml:space="preserve">, Cambodia </w:t>
      </w:r>
      <w:r w:rsidR="00AD7B74" w:rsidRPr="009A330C">
        <w:rPr>
          <w:rFonts w:ascii="Verdana" w:hAnsi="Verdana"/>
          <w:sz w:val="20"/>
          <w:szCs w:val="20"/>
        </w:rPr>
        <w:t>did not provide any concrete examples of any progress made.</w:t>
      </w:r>
      <w:r w:rsidR="00AD7B74" w:rsidRPr="009A330C">
        <w:rPr>
          <w:rStyle w:val="FootnoteReference"/>
          <w:rFonts w:ascii="Verdana" w:hAnsi="Verdana"/>
          <w:sz w:val="20"/>
          <w:szCs w:val="20"/>
        </w:rPr>
        <w:footnoteReference w:id="18"/>
      </w:r>
    </w:p>
    <w:p w14:paraId="7ABB9E75" w14:textId="77777777" w:rsidR="00772BA7" w:rsidRPr="009A330C" w:rsidRDefault="00772BA7" w:rsidP="00772BA7">
      <w:pPr>
        <w:pStyle w:val="ListParagraph"/>
        <w:contextualSpacing w:val="0"/>
        <w:jc w:val="thaiDistribute"/>
        <w:rPr>
          <w:rFonts w:ascii="Verdana" w:hAnsi="Verdana"/>
          <w:sz w:val="20"/>
          <w:szCs w:val="20"/>
        </w:rPr>
      </w:pPr>
    </w:p>
    <w:p w14:paraId="0ABAFA79" w14:textId="33381724" w:rsidR="00772BA7" w:rsidRPr="009A330C" w:rsidRDefault="00772BA7" w:rsidP="00772BA7">
      <w:pPr>
        <w:pStyle w:val="ListParagraph"/>
        <w:numPr>
          <w:ilvl w:val="0"/>
          <w:numId w:val="3"/>
        </w:numPr>
        <w:contextualSpacing w:val="0"/>
        <w:jc w:val="thaiDistribute"/>
        <w:rPr>
          <w:rFonts w:ascii="Verdana" w:hAnsi="Verdana"/>
          <w:sz w:val="20"/>
          <w:szCs w:val="20"/>
        </w:rPr>
      </w:pPr>
      <w:r w:rsidRPr="009A330C">
        <w:rPr>
          <w:rFonts w:ascii="Verdana" w:hAnsi="Verdana"/>
          <w:sz w:val="20"/>
          <w:szCs w:val="20"/>
        </w:rPr>
        <w:t>To be eligible to develop a SEZ in Cambodia, investors must have at least 50 hectares of land,</w:t>
      </w:r>
      <w:r w:rsidRPr="009A330C">
        <w:rPr>
          <w:rStyle w:val="FootnoteReference"/>
          <w:rFonts w:ascii="Verdana" w:hAnsi="Verdana"/>
          <w:sz w:val="20"/>
          <w:szCs w:val="20"/>
        </w:rPr>
        <w:footnoteReference w:id="19"/>
      </w:r>
      <w:r w:rsidRPr="009A330C">
        <w:rPr>
          <w:rFonts w:ascii="Verdana" w:hAnsi="Verdana"/>
          <w:sz w:val="20"/>
          <w:szCs w:val="20"/>
        </w:rPr>
        <w:t xml:space="preserve"> and in most cases, this land is acquired via a land concession from the </w:t>
      </w:r>
      <w:r w:rsidR="00027547" w:rsidRPr="009A330C">
        <w:rPr>
          <w:rFonts w:ascii="Verdana" w:hAnsi="Verdana"/>
          <w:sz w:val="20"/>
          <w:szCs w:val="20"/>
        </w:rPr>
        <w:t>S</w:t>
      </w:r>
      <w:r w:rsidRPr="009A330C">
        <w:rPr>
          <w:rFonts w:ascii="Verdana" w:hAnsi="Verdana"/>
          <w:sz w:val="20"/>
          <w:szCs w:val="20"/>
        </w:rPr>
        <w:t>tate. However, the concession areas for SEZs often overlap with land that is occupied and claimed by local residents.</w:t>
      </w:r>
      <w:r w:rsidRPr="009A330C">
        <w:rPr>
          <w:rStyle w:val="FootnoteReference"/>
          <w:rFonts w:ascii="Verdana" w:hAnsi="Verdana"/>
          <w:sz w:val="20"/>
          <w:szCs w:val="20"/>
        </w:rPr>
        <w:footnoteReference w:id="20"/>
      </w:r>
      <w:r w:rsidRPr="009A330C">
        <w:rPr>
          <w:rFonts w:ascii="Verdana" w:hAnsi="Verdana"/>
          <w:sz w:val="20"/>
          <w:szCs w:val="20"/>
        </w:rPr>
        <w:t xml:space="preserve"> For example, many villagers who used to stay in the area of the M.D.S. Thmor Da SEZ reported having been forcibly evicted from their land, at times violently, without any prior notice. According to CCHR, the land dispute affected 97 families from three different villages.</w:t>
      </w:r>
      <w:r w:rsidRPr="009A330C">
        <w:rPr>
          <w:rStyle w:val="FootnoteReference"/>
          <w:rFonts w:ascii="Verdana" w:hAnsi="Verdana"/>
          <w:sz w:val="20"/>
          <w:szCs w:val="20"/>
        </w:rPr>
        <w:footnoteReference w:id="21"/>
      </w:r>
      <w:r w:rsidRPr="009A330C">
        <w:rPr>
          <w:rFonts w:ascii="Verdana" w:hAnsi="Verdana"/>
          <w:sz w:val="20"/>
          <w:szCs w:val="20"/>
        </w:rPr>
        <w:t xml:space="preserve"> The MDS Thmorda SEZ Co. Ltd bulldoze</w:t>
      </w:r>
      <w:r w:rsidR="000F49F3" w:rsidRPr="009A330C">
        <w:rPr>
          <w:rFonts w:ascii="Verdana" w:hAnsi="Verdana"/>
          <w:sz w:val="20"/>
          <w:szCs w:val="20"/>
        </w:rPr>
        <w:t>d</w:t>
      </w:r>
      <w:r w:rsidRPr="009A330C">
        <w:rPr>
          <w:rFonts w:ascii="Verdana" w:hAnsi="Verdana"/>
          <w:sz w:val="20"/>
          <w:szCs w:val="20"/>
        </w:rPr>
        <w:t xml:space="preserve"> the houses and plantations of 11 families in November 2014 in the presence of the armed forces, and local and pro</w:t>
      </w:r>
      <w:r w:rsidRPr="009A330C">
        <w:rPr>
          <w:rFonts w:ascii="Verdana" w:hAnsi="Verdana"/>
          <w:sz w:val="20"/>
          <w:szCs w:val="20"/>
        </w:rPr>
        <w:lastRenderedPageBreak/>
        <w:t>vincial authorities. Some community members who protested were reportedly handcuffed and threatened with arrest.</w:t>
      </w:r>
      <w:r w:rsidRPr="009A330C">
        <w:rPr>
          <w:rStyle w:val="FootnoteReference"/>
          <w:rFonts w:ascii="Verdana" w:hAnsi="Verdana"/>
          <w:sz w:val="20"/>
          <w:szCs w:val="20"/>
        </w:rPr>
        <w:footnoteReference w:id="22"/>
      </w:r>
      <w:r w:rsidRPr="009A330C">
        <w:rPr>
          <w:rFonts w:ascii="Verdana" w:hAnsi="Verdana"/>
          <w:sz w:val="20"/>
          <w:szCs w:val="20"/>
        </w:rPr>
        <w:t xml:space="preserve"> </w:t>
      </w:r>
    </w:p>
    <w:p w14:paraId="4227B31F" w14:textId="77777777" w:rsidR="00772BA7" w:rsidRPr="009A330C" w:rsidRDefault="00772BA7" w:rsidP="00772BA7">
      <w:pPr>
        <w:pStyle w:val="ListParagraph"/>
        <w:contextualSpacing w:val="0"/>
        <w:jc w:val="thaiDistribute"/>
        <w:rPr>
          <w:rFonts w:ascii="Verdana" w:hAnsi="Verdana"/>
          <w:sz w:val="20"/>
          <w:szCs w:val="20"/>
        </w:rPr>
      </w:pPr>
    </w:p>
    <w:p w14:paraId="080F8AD3" w14:textId="22DE7B61" w:rsidR="00772BA7" w:rsidRPr="009A330C" w:rsidRDefault="00772BA7" w:rsidP="001664DE">
      <w:pPr>
        <w:pStyle w:val="ListParagraph"/>
        <w:numPr>
          <w:ilvl w:val="0"/>
          <w:numId w:val="3"/>
        </w:numPr>
        <w:contextualSpacing w:val="0"/>
        <w:jc w:val="thaiDistribute"/>
        <w:rPr>
          <w:rFonts w:ascii="Verdana" w:hAnsi="Verdana"/>
          <w:sz w:val="20"/>
          <w:szCs w:val="20"/>
        </w:rPr>
      </w:pPr>
      <w:r w:rsidRPr="009A330C">
        <w:rPr>
          <w:rFonts w:ascii="Verdana" w:hAnsi="Verdana"/>
          <w:sz w:val="20"/>
          <w:szCs w:val="20"/>
        </w:rPr>
        <w:t xml:space="preserve">Compensation provided to affected communities and individuals has often been inadequate. It was reported that several communities </w:t>
      </w:r>
      <w:r w:rsidR="00027547" w:rsidRPr="009A330C">
        <w:rPr>
          <w:rFonts w:ascii="Verdana" w:hAnsi="Verdana"/>
          <w:sz w:val="20"/>
          <w:szCs w:val="20"/>
        </w:rPr>
        <w:t xml:space="preserve">affected by land disputes </w:t>
      </w:r>
      <w:r w:rsidRPr="009A330C">
        <w:rPr>
          <w:rFonts w:ascii="Verdana" w:hAnsi="Verdana"/>
          <w:sz w:val="20"/>
          <w:szCs w:val="20"/>
        </w:rPr>
        <w:t>have not found a satisfactory resolution</w:t>
      </w:r>
      <w:r w:rsidR="00027547" w:rsidRPr="009A330C">
        <w:rPr>
          <w:rFonts w:ascii="Verdana" w:hAnsi="Verdana"/>
          <w:sz w:val="20"/>
          <w:szCs w:val="20"/>
        </w:rPr>
        <w:t xml:space="preserve"> to their legitimate grievances</w:t>
      </w:r>
      <w:r w:rsidRPr="009A330C">
        <w:rPr>
          <w:rFonts w:ascii="Verdana" w:hAnsi="Verdana"/>
          <w:sz w:val="20"/>
          <w:szCs w:val="20"/>
        </w:rPr>
        <w:t>. Many victims of SEZs’ land transfers did not receive fair compensation</w:t>
      </w:r>
      <w:r w:rsidR="00027547" w:rsidRPr="009A330C">
        <w:rPr>
          <w:rFonts w:ascii="Verdana" w:hAnsi="Verdana"/>
          <w:sz w:val="20"/>
          <w:szCs w:val="20"/>
        </w:rPr>
        <w:t>,</w:t>
      </w:r>
      <w:r w:rsidR="00F551AE" w:rsidRPr="009A330C">
        <w:rPr>
          <w:rFonts w:ascii="Verdana" w:hAnsi="Verdana"/>
          <w:sz w:val="20"/>
          <w:szCs w:val="20"/>
        </w:rPr>
        <w:t xml:space="preserve"> as guaranteed in the international human rights </w:t>
      </w:r>
      <w:r w:rsidR="00E87791" w:rsidRPr="009A330C">
        <w:rPr>
          <w:rFonts w:ascii="Verdana" w:hAnsi="Verdana"/>
          <w:sz w:val="20"/>
          <w:szCs w:val="20"/>
        </w:rPr>
        <w:t>law and standards</w:t>
      </w:r>
      <w:r w:rsidR="00FE142C" w:rsidRPr="009A330C">
        <w:rPr>
          <w:rFonts w:ascii="Verdana" w:hAnsi="Verdana"/>
          <w:sz w:val="20"/>
          <w:szCs w:val="20"/>
        </w:rPr>
        <w:t>, including the ICESCR and the CESCR’s recommendation featured in its Concluding Observations in 2009 (para. 30)</w:t>
      </w:r>
      <w:r w:rsidRPr="009A330C">
        <w:rPr>
          <w:rFonts w:ascii="Verdana" w:hAnsi="Verdana"/>
          <w:sz w:val="20"/>
          <w:szCs w:val="20"/>
        </w:rPr>
        <w:t>.</w:t>
      </w:r>
      <w:r w:rsidR="00F551AE" w:rsidRPr="009A330C">
        <w:rPr>
          <w:rStyle w:val="FootnoteReference"/>
          <w:rFonts w:ascii="Verdana" w:hAnsi="Verdana"/>
          <w:sz w:val="20"/>
          <w:szCs w:val="20"/>
        </w:rPr>
        <w:footnoteReference w:id="23"/>
      </w:r>
      <w:r w:rsidRPr="009A330C">
        <w:rPr>
          <w:rFonts w:ascii="Verdana" w:hAnsi="Verdana"/>
          <w:sz w:val="20"/>
          <w:szCs w:val="20"/>
        </w:rPr>
        <w:t xml:space="preserve"> </w:t>
      </w:r>
      <w:r w:rsidR="00E87791" w:rsidRPr="009A330C">
        <w:rPr>
          <w:rFonts w:ascii="Verdana" w:hAnsi="Verdana"/>
          <w:sz w:val="20"/>
          <w:szCs w:val="20"/>
        </w:rPr>
        <w:t>Some p</w:t>
      </w:r>
      <w:r w:rsidRPr="009A330C">
        <w:rPr>
          <w:rFonts w:ascii="Verdana" w:hAnsi="Verdana"/>
          <w:sz w:val="20"/>
          <w:szCs w:val="20"/>
        </w:rPr>
        <w:t>ractices</w:t>
      </w:r>
      <w:r w:rsidR="009D380E" w:rsidRPr="009A330C">
        <w:rPr>
          <w:rFonts w:ascii="Verdana" w:hAnsi="Verdana"/>
          <w:sz w:val="20"/>
          <w:szCs w:val="20"/>
        </w:rPr>
        <w:t xml:space="preserve">, as </w:t>
      </w:r>
      <w:r w:rsidR="00E87791" w:rsidRPr="009A330C">
        <w:rPr>
          <w:rFonts w:ascii="Verdana" w:hAnsi="Verdana"/>
          <w:sz w:val="20"/>
          <w:szCs w:val="20"/>
        </w:rPr>
        <w:t>set out</w:t>
      </w:r>
      <w:r w:rsidR="009D380E" w:rsidRPr="009A330C">
        <w:rPr>
          <w:rFonts w:ascii="Verdana" w:hAnsi="Verdana"/>
          <w:sz w:val="20"/>
          <w:szCs w:val="20"/>
        </w:rPr>
        <w:t xml:space="preserve"> below,</w:t>
      </w:r>
      <w:r w:rsidRPr="009A330C">
        <w:rPr>
          <w:rFonts w:ascii="Verdana" w:hAnsi="Verdana"/>
          <w:sz w:val="20"/>
          <w:szCs w:val="20"/>
        </w:rPr>
        <w:t xml:space="preserve"> suggest that compensation has been an afterthought</w:t>
      </w:r>
      <w:r w:rsidR="00027547" w:rsidRPr="009A330C">
        <w:rPr>
          <w:rFonts w:ascii="Verdana" w:hAnsi="Verdana"/>
          <w:sz w:val="20"/>
          <w:szCs w:val="20"/>
        </w:rPr>
        <w:t>,</w:t>
      </w:r>
      <w:r w:rsidRPr="009A330C">
        <w:rPr>
          <w:rFonts w:ascii="Verdana" w:hAnsi="Verdana"/>
          <w:sz w:val="20"/>
          <w:szCs w:val="20"/>
        </w:rPr>
        <w:t xml:space="preserve"> rather than </w:t>
      </w:r>
      <w:r w:rsidR="00027547" w:rsidRPr="009A330C">
        <w:rPr>
          <w:rFonts w:ascii="Verdana" w:hAnsi="Verdana"/>
          <w:sz w:val="20"/>
          <w:szCs w:val="20"/>
        </w:rPr>
        <w:lastRenderedPageBreak/>
        <w:t xml:space="preserve">forming </w:t>
      </w:r>
      <w:r w:rsidRPr="009A330C">
        <w:rPr>
          <w:rFonts w:ascii="Verdana" w:hAnsi="Verdana"/>
          <w:sz w:val="20"/>
          <w:szCs w:val="20"/>
        </w:rPr>
        <w:t xml:space="preserve">part of a planning process. Alternative land provided to those affected by the eviction orders did not meet the criteria for adequacy of housing as set out in the </w:t>
      </w:r>
      <w:r w:rsidR="00403FFB" w:rsidRPr="009A330C">
        <w:rPr>
          <w:rFonts w:ascii="Verdana" w:hAnsi="Verdana"/>
          <w:sz w:val="20"/>
          <w:szCs w:val="20"/>
        </w:rPr>
        <w:t xml:space="preserve">CESCR’s </w:t>
      </w:r>
      <w:r w:rsidRPr="009A330C">
        <w:rPr>
          <w:rFonts w:ascii="Verdana" w:hAnsi="Verdana"/>
          <w:sz w:val="20"/>
          <w:szCs w:val="20"/>
        </w:rPr>
        <w:t>General Comment No. 4.</w:t>
      </w:r>
      <w:r w:rsidR="00B374F9" w:rsidRPr="009A330C">
        <w:rPr>
          <w:rStyle w:val="FootnoteReference"/>
          <w:rFonts w:ascii="Verdana" w:hAnsi="Verdana"/>
          <w:sz w:val="20"/>
          <w:szCs w:val="20"/>
        </w:rPr>
        <w:footnoteReference w:id="24"/>
      </w:r>
      <w:r w:rsidRPr="009A330C">
        <w:rPr>
          <w:rFonts w:ascii="Verdana" w:hAnsi="Verdana"/>
          <w:sz w:val="20"/>
          <w:szCs w:val="20"/>
        </w:rPr>
        <w:t xml:space="preserve"> </w:t>
      </w:r>
    </w:p>
    <w:p w14:paraId="574D7CF8" w14:textId="77777777" w:rsidR="00772BA7" w:rsidRPr="009A330C" w:rsidRDefault="00772BA7" w:rsidP="00772BA7">
      <w:pPr>
        <w:pStyle w:val="ListParagraph"/>
        <w:rPr>
          <w:rFonts w:ascii="Verdana" w:hAnsi="Verdana"/>
          <w:sz w:val="20"/>
          <w:szCs w:val="20"/>
        </w:rPr>
      </w:pPr>
    </w:p>
    <w:p w14:paraId="616BC84C" w14:textId="16744D62" w:rsidR="00403FFB" w:rsidRPr="009A330C" w:rsidRDefault="00772BA7" w:rsidP="00772BA7">
      <w:pPr>
        <w:pStyle w:val="ListParagraph"/>
        <w:numPr>
          <w:ilvl w:val="0"/>
          <w:numId w:val="3"/>
        </w:numPr>
        <w:contextualSpacing w:val="0"/>
        <w:jc w:val="thaiDistribute"/>
        <w:rPr>
          <w:rFonts w:ascii="Verdana" w:hAnsi="Verdana"/>
          <w:sz w:val="20"/>
          <w:szCs w:val="20"/>
        </w:rPr>
      </w:pPr>
      <w:r w:rsidRPr="009A330C">
        <w:rPr>
          <w:rFonts w:ascii="Verdana" w:hAnsi="Verdana"/>
          <w:sz w:val="20"/>
          <w:szCs w:val="20"/>
        </w:rPr>
        <w:t>For example, victims who were forcibly removed from the M.D.S. Thmor Da SEZ were reportedly intimidated into accepting insufficient financial compensation that did not immediately respond to their specific needs</w:t>
      </w:r>
      <w:r w:rsidR="00027547" w:rsidRPr="009A330C">
        <w:rPr>
          <w:rFonts w:ascii="Verdana" w:hAnsi="Verdana"/>
          <w:sz w:val="20"/>
          <w:szCs w:val="20"/>
        </w:rPr>
        <w:t>.</w:t>
      </w:r>
      <w:r w:rsidR="0063353B" w:rsidRPr="009A330C">
        <w:rPr>
          <w:rFonts w:ascii="Verdana" w:hAnsi="Verdana"/>
          <w:sz w:val="20"/>
          <w:szCs w:val="20"/>
        </w:rPr>
        <w:t xml:space="preserve"> They were also offered alternative land that was located in an area containing landmines</w:t>
      </w:r>
      <w:r w:rsidR="000876AE" w:rsidRPr="009A330C">
        <w:rPr>
          <w:rFonts w:ascii="Verdana" w:hAnsi="Verdana"/>
          <w:sz w:val="20"/>
          <w:szCs w:val="20"/>
        </w:rPr>
        <w:t>, which</w:t>
      </w:r>
      <w:r w:rsidR="0063353B" w:rsidRPr="009A330C">
        <w:rPr>
          <w:rFonts w:ascii="Verdana" w:hAnsi="Verdana"/>
          <w:sz w:val="20"/>
          <w:szCs w:val="20"/>
        </w:rPr>
        <w:t xml:space="preserve"> clearly did not meet the criteria for adequacy of housing.</w:t>
      </w:r>
      <w:r w:rsidR="0063353B" w:rsidRPr="009A330C">
        <w:rPr>
          <w:rStyle w:val="FootnoteReference"/>
          <w:rFonts w:ascii="Verdana" w:hAnsi="Verdana"/>
          <w:sz w:val="20"/>
          <w:szCs w:val="20"/>
        </w:rPr>
        <w:footnoteReference w:id="25"/>
      </w:r>
      <w:r w:rsidRPr="009A330C">
        <w:rPr>
          <w:rFonts w:ascii="Verdana" w:hAnsi="Verdana"/>
          <w:sz w:val="20"/>
          <w:szCs w:val="20"/>
        </w:rPr>
        <w:t xml:space="preserve"> </w:t>
      </w:r>
      <w:r w:rsidR="0063353B" w:rsidRPr="009A330C">
        <w:rPr>
          <w:rFonts w:ascii="Verdana" w:hAnsi="Verdana"/>
          <w:sz w:val="20"/>
          <w:szCs w:val="20"/>
        </w:rPr>
        <w:t>Nevertheless, a</w:t>
      </w:r>
      <w:r w:rsidRPr="009A330C">
        <w:rPr>
          <w:rFonts w:ascii="Verdana" w:hAnsi="Verdana"/>
          <w:sz w:val="20"/>
          <w:szCs w:val="20"/>
        </w:rPr>
        <w:t xml:space="preserve">fter more than </w:t>
      </w:r>
      <w:r w:rsidR="00403FFB" w:rsidRPr="009A330C">
        <w:rPr>
          <w:rFonts w:ascii="Verdana" w:hAnsi="Verdana"/>
          <w:sz w:val="20"/>
          <w:szCs w:val="20"/>
        </w:rPr>
        <w:t xml:space="preserve">ten </w:t>
      </w:r>
      <w:r w:rsidRPr="009A330C">
        <w:rPr>
          <w:rFonts w:ascii="Verdana" w:hAnsi="Verdana"/>
          <w:sz w:val="20"/>
          <w:szCs w:val="20"/>
        </w:rPr>
        <w:t>years of dispute, in July 2022, according to the acting governor of Pursat province, the Company eventually agreed to provide 5.5 hectares of land concessions</w:t>
      </w:r>
      <w:r w:rsidR="0063353B" w:rsidRPr="009A330C">
        <w:rPr>
          <w:rFonts w:ascii="Verdana" w:hAnsi="Verdana"/>
          <w:sz w:val="20"/>
          <w:szCs w:val="20"/>
        </w:rPr>
        <w:t xml:space="preserve"> in the area agreed by </w:t>
      </w:r>
      <w:r w:rsidR="00137E2E" w:rsidRPr="009A330C">
        <w:rPr>
          <w:rFonts w:ascii="Verdana" w:hAnsi="Verdana"/>
          <w:sz w:val="20"/>
          <w:szCs w:val="20"/>
        </w:rPr>
        <w:t>the</w:t>
      </w:r>
      <w:r w:rsidR="0063353B" w:rsidRPr="009A330C">
        <w:rPr>
          <w:rFonts w:ascii="Verdana" w:hAnsi="Verdana"/>
          <w:sz w:val="20"/>
          <w:szCs w:val="20"/>
        </w:rPr>
        <w:t xml:space="preserve"> parties</w:t>
      </w:r>
      <w:r w:rsidRPr="009A330C">
        <w:rPr>
          <w:rFonts w:ascii="Verdana" w:hAnsi="Verdana"/>
          <w:sz w:val="20"/>
          <w:szCs w:val="20"/>
        </w:rPr>
        <w:t xml:space="preserve"> as </w:t>
      </w:r>
      <w:r w:rsidRPr="009A330C">
        <w:rPr>
          <w:rFonts w:ascii="Verdana" w:hAnsi="Verdana"/>
          <w:sz w:val="20"/>
          <w:szCs w:val="20"/>
        </w:rPr>
        <w:lastRenderedPageBreak/>
        <w:t>residential land to 11 families whose houses and plantations were bulldozed.</w:t>
      </w:r>
      <w:r w:rsidRPr="009A330C">
        <w:rPr>
          <w:rStyle w:val="FootnoteReference"/>
          <w:rFonts w:ascii="Verdana" w:hAnsi="Verdana"/>
          <w:sz w:val="20"/>
          <w:szCs w:val="20"/>
        </w:rPr>
        <w:footnoteReference w:id="26"/>
      </w:r>
      <w:r w:rsidRPr="009A330C">
        <w:rPr>
          <w:rFonts w:ascii="Verdana" w:hAnsi="Verdana"/>
          <w:sz w:val="20"/>
          <w:szCs w:val="20"/>
        </w:rPr>
        <w:t xml:space="preserve"> </w:t>
      </w:r>
    </w:p>
    <w:p w14:paraId="7EEFE90B" w14:textId="77777777" w:rsidR="00403FFB" w:rsidRPr="009A330C" w:rsidRDefault="00403FFB" w:rsidP="00B374F9">
      <w:pPr>
        <w:pStyle w:val="ListParagraph"/>
        <w:rPr>
          <w:rFonts w:ascii="Verdana" w:hAnsi="Verdana"/>
          <w:sz w:val="20"/>
          <w:szCs w:val="20"/>
        </w:rPr>
      </w:pPr>
    </w:p>
    <w:p w14:paraId="52C01866" w14:textId="6FB1B370" w:rsidR="00772BA7" w:rsidRPr="009A330C" w:rsidRDefault="00772BA7" w:rsidP="00772BA7">
      <w:pPr>
        <w:pStyle w:val="ListParagraph"/>
        <w:numPr>
          <w:ilvl w:val="0"/>
          <w:numId w:val="3"/>
        </w:numPr>
        <w:contextualSpacing w:val="0"/>
        <w:jc w:val="thaiDistribute"/>
        <w:rPr>
          <w:rFonts w:ascii="Verdana" w:hAnsi="Verdana"/>
          <w:sz w:val="20"/>
          <w:szCs w:val="20"/>
        </w:rPr>
      </w:pPr>
      <w:r w:rsidRPr="009A330C">
        <w:rPr>
          <w:rFonts w:ascii="Verdana" w:hAnsi="Verdana"/>
          <w:sz w:val="20"/>
          <w:szCs w:val="20"/>
        </w:rPr>
        <w:t>Another example is the land dispute between more than 130 families and the company managing Koh Kong SEZ. The affected communities claimed that they had occupied the area since the mid-1980s but between 2009 and 2012, the company bulldozed their land and destroyed most of their crops without adequate compensation. Affected individuals claimed that the compensation was too low and covered only the cost of the demolition of their homes.</w:t>
      </w:r>
      <w:r w:rsidRPr="009A330C">
        <w:rPr>
          <w:rStyle w:val="FootnoteReference"/>
          <w:rFonts w:ascii="Verdana" w:hAnsi="Verdana"/>
          <w:sz w:val="20"/>
          <w:szCs w:val="20"/>
        </w:rPr>
        <w:footnoteReference w:id="27"/>
      </w:r>
      <w:r w:rsidRPr="009A330C">
        <w:rPr>
          <w:rFonts w:ascii="Verdana" w:hAnsi="Verdana"/>
          <w:sz w:val="20"/>
          <w:szCs w:val="20"/>
        </w:rPr>
        <w:t xml:space="preserve"> In 2014, a community leader was arrested, detained and charged with theft of materials belonging to the SEZ. He was released after three weeks of community protest.</w:t>
      </w:r>
      <w:r w:rsidRPr="009A330C">
        <w:rPr>
          <w:rStyle w:val="FootnoteReference"/>
          <w:rFonts w:ascii="Verdana" w:hAnsi="Verdana"/>
          <w:sz w:val="20"/>
          <w:szCs w:val="20"/>
        </w:rPr>
        <w:footnoteReference w:id="28"/>
      </w:r>
      <w:r w:rsidRPr="009A330C">
        <w:rPr>
          <w:rFonts w:ascii="Verdana" w:hAnsi="Verdana"/>
          <w:sz w:val="20"/>
          <w:szCs w:val="20"/>
        </w:rPr>
        <w:t xml:space="preserve"> Thereafter, in July </w:t>
      </w:r>
      <w:r w:rsidRPr="009A330C">
        <w:rPr>
          <w:rFonts w:ascii="Verdana" w:hAnsi="Verdana"/>
          <w:sz w:val="20"/>
          <w:szCs w:val="20"/>
        </w:rPr>
        <w:lastRenderedPageBreak/>
        <w:t xml:space="preserve">2015, as a result of several rounds of negotiations, Koh Kong SEZ Co., Ltd agreed to offer better eviction compensation to </w:t>
      </w:r>
      <w:r w:rsidR="00AB43D0" w:rsidRPr="009A330C">
        <w:rPr>
          <w:rFonts w:ascii="Verdana" w:hAnsi="Verdana"/>
          <w:sz w:val="20"/>
          <w:szCs w:val="20"/>
        </w:rPr>
        <w:t xml:space="preserve">the </w:t>
      </w:r>
      <w:r w:rsidRPr="009A330C">
        <w:rPr>
          <w:rFonts w:ascii="Verdana" w:hAnsi="Verdana"/>
          <w:sz w:val="20"/>
          <w:szCs w:val="20"/>
        </w:rPr>
        <w:t>affected communities.</w:t>
      </w:r>
      <w:r w:rsidRPr="009A330C">
        <w:rPr>
          <w:rStyle w:val="FootnoteReference"/>
          <w:rFonts w:ascii="Verdana" w:hAnsi="Verdana"/>
          <w:sz w:val="20"/>
          <w:szCs w:val="20"/>
        </w:rPr>
        <w:footnoteReference w:id="29"/>
      </w:r>
      <w:r w:rsidRPr="009A330C">
        <w:rPr>
          <w:rFonts w:ascii="Verdana" w:hAnsi="Verdana"/>
          <w:sz w:val="20"/>
          <w:szCs w:val="20"/>
        </w:rPr>
        <w:t xml:space="preserve"> </w:t>
      </w:r>
    </w:p>
    <w:p w14:paraId="22AC6899" w14:textId="77777777" w:rsidR="00772BA7" w:rsidRPr="009A330C" w:rsidRDefault="00772BA7" w:rsidP="00772BA7">
      <w:pPr>
        <w:rPr>
          <w:rFonts w:ascii="Verdana" w:hAnsi="Verdana"/>
          <w:sz w:val="20"/>
          <w:szCs w:val="20"/>
        </w:rPr>
      </w:pPr>
    </w:p>
    <w:p w14:paraId="0C9F860F" w14:textId="56247535" w:rsidR="00772BA7" w:rsidRPr="009A330C" w:rsidRDefault="00772BA7" w:rsidP="00772BA7">
      <w:pPr>
        <w:jc w:val="thaiDistribute"/>
        <w:rPr>
          <w:rFonts w:ascii="Verdana" w:hAnsi="Verdana"/>
          <w:sz w:val="20"/>
          <w:szCs w:val="20"/>
          <w:u w:val="single"/>
        </w:rPr>
      </w:pPr>
      <w:r w:rsidRPr="009A330C">
        <w:rPr>
          <w:rFonts w:ascii="Verdana" w:hAnsi="Verdana"/>
          <w:sz w:val="20"/>
          <w:szCs w:val="20"/>
          <w:u w:val="single"/>
        </w:rPr>
        <w:t>Labo</w:t>
      </w:r>
      <w:r w:rsidR="00723322" w:rsidRPr="009A330C">
        <w:rPr>
          <w:rFonts w:ascii="Verdana" w:hAnsi="Verdana"/>
          <w:sz w:val="20"/>
          <w:szCs w:val="20"/>
          <w:u w:val="single"/>
        </w:rPr>
        <w:t>u</w:t>
      </w:r>
      <w:r w:rsidRPr="009A330C">
        <w:rPr>
          <w:rFonts w:ascii="Verdana" w:hAnsi="Verdana"/>
          <w:sz w:val="20"/>
          <w:szCs w:val="20"/>
          <w:u w:val="single"/>
        </w:rPr>
        <w:t>r Rights Abuses (Articles 6, 7, 8 and 9)</w:t>
      </w:r>
      <w:r w:rsidR="00090B85" w:rsidRPr="009A330C">
        <w:rPr>
          <w:rFonts w:ascii="Verdana" w:hAnsi="Verdana"/>
          <w:sz w:val="20"/>
          <w:szCs w:val="20"/>
          <w:u w:val="single"/>
        </w:rPr>
        <w:t xml:space="preserve"> in the context of SEZs</w:t>
      </w:r>
    </w:p>
    <w:p w14:paraId="2FB36C46" w14:textId="77777777" w:rsidR="00772BA7" w:rsidRPr="009A330C" w:rsidRDefault="00772BA7" w:rsidP="00772BA7">
      <w:pPr>
        <w:jc w:val="thaiDistribute"/>
        <w:rPr>
          <w:rFonts w:ascii="Verdana" w:hAnsi="Verdana"/>
          <w:sz w:val="20"/>
          <w:szCs w:val="20"/>
        </w:rPr>
      </w:pPr>
    </w:p>
    <w:p w14:paraId="3268FB6C" w14:textId="394657DB" w:rsidR="005D5CDF" w:rsidRPr="009A330C" w:rsidRDefault="00772BA7" w:rsidP="00BD2D20">
      <w:pPr>
        <w:pStyle w:val="ListParagraph"/>
        <w:numPr>
          <w:ilvl w:val="0"/>
          <w:numId w:val="3"/>
        </w:numPr>
        <w:contextualSpacing w:val="0"/>
        <w:jc w:val="thaiDistribute"/>
        <w:rPr>
          <w:rFonts w:ascii="Verdana" w:hAnsi="Verdana"/>
          <w:sz w:val="20"/>
          <w:szCs w:val="20"/>
        </w:rPr>
      </w:pPr>
      <w:r w:rsidRPr="009A330C">
        <w:rPr>
          <w:rFonts w:ascii="Verdana" w:hAnsi="Verdana"/>
          <w:sz w:val="20"/>
          <w:szCs w:val="20"/>
        </w:rPr>
        <w:t xml:space="preserve">The extensive use of </w:t>
      </w:r>
      <w:r w:rsidR="00090B85" w:rsidRPr="009A330C">
        <w:rPr>
          <w:rFonts w:ascii="Verdana" w:hAnsi="Verdana"/>
          <w:sz w:val="20"/>
          <w:szCs w:val="20"/>
        </w:rPr>
        <w:t xml:space="preserve">what is euphemistically referred to as </w:t>
      </w:r>
      <w:r w:rsidR="000F49F3" w:rsidRPr="009A330C">
        <w:rPr>
          <w:rFonts w:ascii="Verdana" w:hAnsi="Verdana"/>
          <w:sz w:val="20"/>
          <w:szCs w:val="20"/>
        </w:rPr>
        <w:t>“</w:t>
      </w:r>
      <w:r w:rsidRPr="009A330C">
        <w:rPr>
          <w:rFonts w:ascii="Verdana" w:hAnsi="Verdana"/>
          <w:sz w:val="20"/>
          <w:szCs w:val="20"/>
        </w:rPr>
        <w:t>low-cost</w:t>
      </w:r>
      <w:r w:rsidR="000F49F3" w:rsidRPr="009A330C">
        <w:rPr>
          <w:rFonts w:ascii="Verdana" w:hAnsi="Verdana"/>
          <w:sz w:val="20"/>
          <w:szCs w:val="20"/>
        </w:rPr>
        <w:t>”</w:t>
      </w:r>
      <w:r w:rsidRPr="009A330C">
        <w:rPr>
          <w:rFonts w:ascii="Verdana" w:hAnsi="Verdana"/>
          <w:sz w:val="20"/>
          <w:szCs w:val="20"/>
        </w:rPr>
        <w:t xml:space="preserve"> labo</w:t>
      </w:r>
      <w:r w:rsidR="00090B85" w:rsidRPr="009A330C">
        <w:rPr>
          <w:rFonts w:ascii="Verdana" w:hAnsi="Verdana"/>
          <w:sz w:val="20"/>
          <w:szCs w:val="20"/>
        </w:rPr>
        <w:t>u</w:t>
      </w:r>
      <w:r w:rsidRPr="009A330C">
        <w:rPr>
          <w:rFonts w:ascii="Verdana" w:hAnsi="Verdana"/>
          <w:sz w:val="20"/>
          <w:szCs w:val="20"/>
        </w:rPr>
        <w:t>r has led to an environment conducive to labo</w:t>
      </w:r>
      <w:r w:rsidR="00090B85" w:rsidRPr="009A330C">
        <w:rPr>
          <w:rFonts w:ascii="Verdana" w:hAnsi="Verdana"/>
          <w:sz w:val="20"/>
          <w:szCs w:val="20"/>
        </w:rPr>
        <w:t>u</w:t>
      </w:r>
      <w:r w:rsidRPr="009A330C">
        <w:rPr>
          <w:rFonts w:ascii="Verdana" w:hAnsi="Verdana"/>
          <w:sz w:val="20"/>
          <w:szCs w:val="20"/>
        </w:rPr>
        <w:t>r exploitation, with workers working excessive hours under inadequate working conditions.</w:t>
      </w:r>
      <w:r w:rsidRPr="009A330C">
        <w:rPr>
          <w:rStyle w:val="FootnoteReference"/>
          <w:rFonts w:ascii="Verdana" w:hAnsi="Verdana"/>
          <w:sz w:val="20"/>
          <w:szCs w:val="20"/>
        </w:rPr>
        <w:footnoteReference w:id="30"/>
      </w:r>
      <w:r w:rsidR="00E81CF9" w:rsidRPr="009A330C">
        <w:rPr>
          <w:rFonts w:ascii="Verdana" w:hAnsi="Verdana"/>
          <w:sz w:val="20"/>
          <w:szCs w:val="20"/>
        </w:rPr>
        <w:t xml:space="preserve"> </w:t>
      </w:r>
      <w:r w:rsidR="00E81CF9" w:rsidRPr="009A330C">
        <w:rPr>
          <w:rFonts w:ascii="Verdana" w:hAnsi="Verdana"/>
          <w:sz w:val="20"/>
          <w:szCs w:val="20"/>
        </w:rPr>
        <w:lastRenderedPageBreak/>
        <w:t>For example, in December 2015, local authorities ordered a total work stoppage at Bavet’s Tai Seng and Manhattan SEZs following a week of clashes between workers and police over demands for a higher minimum wage.</w:t>
      </w:r>
      <w:r w:rsidR="00E81CF9" w:rsidRPr="009A330C">
        <w:rPr>
          <w:rStyle w:val="FootnoteReference"/>
          <w:rFonts w:ascii="Verdana" w:hAnsi="Verdana"/>
          <w:sz w:val="20"/>
          <w:szCs w:val="20"/>
        </w:rPr>
        <w:footnoteReference w:id="31"/>
      </w:r>
      <w:r w:rsidR="00E81CF9" w:rsidRPr="009A330C">
        <w:rPr>
          <w:rFonts w:ascii="Verdana" w:hAnsi="Verdana"/>
          <w:sz w:val="20"/>
          <w:szCs w:val="20"/>
        </w:rPr>
        <w:t xml:space="preserve"> In December 2019, it was also reported that more than 40 workers fainted, and one died, while at work in a factory in the Manhattan SEZ.</w:t>
      </w:r>
      <w:r w:rsidR="00E81CF9" w:rsidRPr="009A330C">
        <w:rPr>
          <w:rStyle w:val="FootnoteReference"/>
          <w:rFonts w:ascii="Verdana" w:hAnsi="Verdana"/>
          <w:sz w:val="20"/>
          <w:szCs w:val="20"/>
        </w:rPr>
        <w:footnoteReference w:id="32"/>
      </w:r>
      <w:r w:rsidR="00E81CF9" w:rsidRPr="009A330C">
        <w:rPr>
          <w:rFonts w:ascii="Verdana" w:hAnsi="Verdana"/>
          <w:sz w:val="20"/>
          <w:szCs w:val="20"/>
        </w:rPr>
        <w:t xml:space="preserve"> </w:t>
      </w:r>
      <w:r w:rsidR="005D5CDF" w:rsidRPr="009A330C">
        <w:rPr>
          <w:rFonts w:ascii="Verdana" w:hAnsi="Verdana"/>
          <w:sz w:val="20"/>
          <w:szCs w:val="20"/>
        </w:rPr>
        <w:t>Slavery-like labour practices, including forced labour and human trafficking for the purposes of labour exploitation, have also been reported in several instances.</w:t>
      </w:r>
      <w:r w:rsidR="005D5CDF" w:rsidRPr="009A330C">
        <w:rPr>
          <w:rStyle w:val="FootnoteReference"/>
          <w:rFonts w:ascii="Verdana" w:hAnsi="Verdana"/>
          <w:sz w:val="20"/>
          <w:szCs w:val="20"/>
        </w:rPr>
        <w:footnoteReference w:id="33"/>
      </w:r>
    </w:p>
    <w:p w14:paraId="3BCECA29" w14:textId="074EEC06" w:rsidR="00772BA7" w:rsidRPr="009A330C" w:rsidRDefault="00772BA7" w:rsidP="00BD2D20">
      <w:pPr>
        <w:pStyle w:val="ListParagraph"/>
        <w:rPr>
          <w:rFonts w:ascii="Verdana" w:hAnsi="Verdana"/>
          <w:sz w:val="20"/>
          <w:szCs w:val="20"/>
        </w:rPr>
      </w:pPr>
      <w:r w:rsidRPr="009A330C">
        <w:rPr>
          <w:rFonts w:ascii="Verdana" w:hAnsi="Verdana"/>
          <w:sz w:val="20"/>
          <w:szCs w:val="20"/>
        </w:rPr>
        <w:lastRenderedPageBreak/>
        <w:t xml:space="preserve"> </w:t>
      </w:r>
    </w:p>
    <w:p w14:paraId="072E5A12" w14:textId="6EFFC080" w:rsidR="00772BA7" w:rsidRPr="009A330C" w:rsidRDefault="005D5CDF" w:rsidP="00772BA7">
      <w:pPr>
        <w:pStyle w:val="ListParagraph"/>
        <w:numPr>
          <w:ilvl w:val="0"/>
          <w:numId w:val="3"/>
        </w:numPr>
        <w:contextualSpacing w:val="0"/>
        <w:jc w:val="thaiDistribute"/>
        <w:rPr>
          <w:rFonts w:ascii="Verdana" w:hAnsi="Verdana"/>
          <w:sz w:val="20"/>
          <w:szCs w:val="20"/>
        </w:rPr>
      </w:pPr>
      <w:r w:rsidRPr="009A330C">
        <w:rPr>
          <w:rFonts w:ascii="Verdana" w:hAnsi="Verdana"/>
          <w:sz w:val="20"/>
          <w:szCs w:val="20"/>
        </w:rPr>
        <w:t>Reports indicate that factory owners fail to comply with Cambodia’s labour laws.</w:t>
      </w:r>
      <w:r w:rsidRPr="009A330C">
        <w:rPr>
          <w:rStyle w:val="FootnoteReference"/>
          <w:rFonts w:ascii="Verdana" w:hAnsi="Verdana"/>
          <w:sz w:val="20"/>
          <w:szCs w:val="20"/>
        </w:rPr>
        <w:footnoteReference w:id="34"/>
      </w:r>
      <w:r w:rsidRPr="009A330C">
        <w:rPr>
          <w:rFonts w:ascii="Verdana" w:hAnsi="Verdana"/>
          <w:sz w:val="20"/>
          <w:szCs w:val="20"/>
        </w:rPr>
        <w:t xml:space="preserve"> </w:t>
      </w:r>
      <w:r w:rsidR="00772BA7" w:rsidRPr="009A330C">
        <w:rPr>
          <w:rFonts w:ascii="Verdana" w:hAnsi="Verdana"/>
          <w:sz w:val="20"/>
          <w:szCs w:val="20"/>
        </w:rPr>
        <w:t>Several employers in SEZs reportedly entered into short-term employment contracts with their employees, as a means of bypassing various social protection laws.</w:t>
      </w:r>
      <w:r w:rsidR="00772BA7" w:rsidRPr="009A330C">
        <w:rPr>
          <w:rStyle w:val="FootnoteReference"/>
          <w:rFonts w:ascii="Verdana" w:hAnsi="Verdana"/>
          <w:sz w:val="20"/>
          <w:szCs w:val="20"/>
        </w:rPr>
        <w:footnoteReference w:id="35"/>
      </w:r>
      <w:r w:rsidR="00772BA7" w:rsidRPr="009A330C">
        <w:rPr>
          <w:rFonts w:ascii="Verdana" w:hAnsi="Verdana"/>
          <w:sz w:val="20"/>
          <w:szCs w:val="20"/>
        </w:rPr>
        <w:t xml:space="preserve"> Some companies were not registered, resulting in limited legal protection for </w:t>
      </w:r>
      <w:r w:rsidR="00772BA7" w:rsidRPr="009A330C">
        <w:rPr>
          <w:rFonts w:ascii="Verdana" w:hAnsi="Verdana"/>
          <w:sz w:val="20"/>
          <w:szCs w:val="20"/>
        </w:rPr>
        <w:lastRenderedPageBreak/>
        <w:t>their employees</w:t>
      </w:r>
      <w:r w:rsidR="00F12BAE" w:rsidRPr="009A330C">
        <w:rPr>
          <w:rFonts w:ascii="Verdana" w:hAnsi="Verdana"/>
          <w:sz w:val="20"/>
          <w:szCs w:val="20"/>
        </w:rPr>
        <w:t>,</w:t>
      </w:r>
      <w:r w:rsidR="00772BA7" w:rsidRPr="009A330C">
        <w:rPr>
          <w:rFonts w:ascii="Verdana" w:hAnsi="Verdana"/>
          <w:sz w:val="20"/>
          <w:szCs w:val="20"/>
        </w:rPr>
        <w:t xml:space="preserve"> who are unable to claim compensation under social security programs due to that fact.</w:t>
      </w:r>
      <w:r w:rsidR="00772BA7" w:rsidRPr="009A330C">
        <w:rPr>
          <w:rStyle w:val="FootnoteReference"/>
          <w:rFonts w:ascii="Verdana" w:hAnsi="Verdana"/>
          <w:sz w:val="20"/>
          <w:szCs w:val="20"/>
        </w:rPr>
        <w:footnoteReference w:id="36"/>
      </w:r>
      <w:r w:rsidR="00772BA7" w:rsidRPr="009A330C">
        <w:rPr>
          <w:rFonts w:ascii="Verdana" w:hAnsi="Verdana"/>
          <w:sz w:val="20"/>
          <w:szCs w:val="20"/>
        </w:rPr>
        <w:t xml:space="preserve"> </w:t>
      </w:r>
    </w:p>
    <w:p w14:paraId="1842097B" w14:textId="77777777" w:rsidR="00772BA7" w:rsidRPr="009A330C" w:rsidRDefault="00772BA7" w:rsidP="00772BA7">
      <w:pPr>
        <w:pStyle w:val="ListParagraph"/>
        <w:contextualSpacing w:val="0"/>
        <w:jc w:val="thaiDistribute"/>
        <w:rPr>
          <w:rFonts w:ascii="Verdana" w:hAnsi="Verdana"/>
          <w:sz w:val="20"/>
          <w:szCs w:val="20"/>
        </w:rPr>
      </w:pPr>
    </w:p>
    <w:p w14:paraId="5705CD87" w14:textId="4652EC16" w:rsidR="008C4CE7" w:rsidRPr="009A330C" w:rsidRDefault="008B7D8B" w:rsidP="0058411B">
      <w:pPr>
        <w:pStyle w:val="ListParagraph"/>
        <w:numPr>
          <w:ilvl w:val="0"/>
          <w:numId w:val="3"/>
        </w:numPr>
        <w:jc w:val="both"/>
        <w:rPr>
          <w:rFonts w:ascii="Verdana" w:hAnsi="Verdana"/>
          <w:sz w:val="20"/>
          <w:szCs w:val="20"/>
        </w:rPr>
      </w:pPr>
      <w:r w:rsidRPr="009A330C">
        <w:rPr>
          <w:rFonts w:ascii="Verdana" w:hAnsi="Verdana"/>
          <w:sz w:val="20"/>
          <w:szCs w:val="20"/>
        </w:rPr>
        <w:t>Article 11 of t</w:t>
      </w:r>
      <w:r w:rsidR="00F10D9E" w:rsidRPr="009A330C">
        <w:rPr>
          <w:rFonts w:ascii="Verdana" w:hAnsi="Verdana"/>
          <w:sz w:val="20"/>
          <w:szCs w:val="20"/>
        </w:rPr>
        <w:t>he Anukret No. 148 affirms that</w:t>
      </w:r>
      <w:r w:rsidRPr="009A330C">
        <w:rPr>
          <w:rFonts w:ascii="Verdana" w:hAnsi="Verdana"/>
          <w:sz w:val="20"/>
          <w:szCs w:val="20"/>
        </w:rPr>
        <w:t>, with regard to the use and management of the labo</w:t>
      </w:r>
      <w:r w:rsidR="00B47A99" w:rsidRPr="009A330C">
        <w:rPr>
          <w:rFonts w:ascii="Verdana" w:hAnsi="Verdana"/>
          <w:sz w:val="20"/>
          <w:szCs w:val="20"/>
        </w:rPr>
        <w:t>u</w:t>
      </w:r>
      <w:r w:rsidRPr="009A330C">
        <w:rPr>
          <w:rFonts w:ascii="Verdana" w:hAnsi="Verdana"/>
          <w:sz w:val="20"/>
          <w:szCs w:val="20"/>
        </w:rPr>
        <w:t>r force,</w:t>
      </w:r>
      <w:r w:rsidR="00F10D9E" w:rsidRPr="009A330C">
        <w:rPr>
          <w:rFonts w:ascii="Verdana" w:hAnsi="Verdana"/>
          <w:sz w:val="20"/>
          <w:szCs w:val="20"/>
        </w:rPr>
        <w:t xml:space="preserve"> the rights and protections contained in Cambodia’s Constitution apply in the zones</w:t>
      </w:r>
      <w:r w:rsidR="00F12BAE" w:rsidRPr="009A330C">
        <w:rPr>
          <w:rFonts w:ascii="Verdana" w:hAnsi="Verdana"/>
          <w:sz w:val="20"/>
          <w:szCs w:val="20"/>
        </w:rPr>
        <w:t xml:space="preserve"> (the SEZs)</w:t>
      </w:r>
      <w:r w:rsidR="0009232B" w:rsidRPr="009A330C">
        <w:rPr>
          <w:rFonts w:ascii="Verdana" w:hAnsi="Verdana"/>
          <w:sz w:val="20"/>
          <w:szCs w:val="20"/>
        </w:rPr>
        <w:t>.</w:t>
      </w:r>
      <w:r w:rsidRPr="009A330C">
        <w:rPr>
          <w:rFonts w:ascii="Verdana" w:hAnsi="Verdana"/>
          <w:sz w:val="20"/>
          <w:szCs w:val="20"/>
        </w:rPr>
        <w:t xml:space="preserve"> </w:t>
      </w:r>
      <w:r w:rsidR="0009232B" w:rsidRPr="009A330C">
        <w:rPr>
          <w:rFonts w:ascii="Verdana" w:hAnsi="Verdana"/>
          <w:sz w:val="20"/>
          <w:szCs w:val="20"/>
        </w:rPr>
        <w:t>These</w:t>
      </w:r>
      <w:r w:rsidRPr="009A330C">
        <w:rPr>
          <w:rFonts w:ascii="Verdana" w:hAnsi="Verdana"/>
          <w:sz w:val="20"/>
          <w:szCs w:val="20"/>
        </w:rPr>
        <w:t xml:space="preserve"> include the right to form and be members of trade unions,</w:t>
      </w:r>
      <w:r w:rsidRPr="009A330C">
        <w:rPr>
          <w:rStyle w:val="FootnoteReference"/>
          <w:rFonts w:ascii="Verdana" w:hAnsi="Verdana"/>
          <w:sz w:val="20"/>
          <w:szCs w:val="20"/>
        </w:rPr>
        <w:footnoteReference w:id="37"/>
      </w:r>
      <w:r w:rsidRPr="009A330C">
        <w:rPr>
          <w:rFonts w:ascii="Verdana" w:hAnsi="Verdana"/>
          <w:sz w:val="20"/>
          <w:szCs w:val="20"/>
        </w:rPr>
        <w:t xml:space="preserve"> and the right to strike as long as they are “exercised within the framework of </w:t>
      </w:r>
      <w:r w:rsidR="0009232B" w:rsidRPr="009A330C">
        <w:rPr>
          <w:rFonts w:ascii="Verdana" w:hAnsi="Verdana"/>
          <w:sz w:val="20"/>
          <w:szCs w:val="20"/>
        </w:rPr>
        <w:t xml:space="preserve">the </w:t>
      </w:r>
      <w:r w:rsidRPr="009A330C">
        <w:rPr>
          <w:rFonts w:ascii="Verdana" w:hAnsi="Verdana"/>
          <w:sz w:val="20"/>
          <w:szCs w:val="20"/>
        </w:rPr>
        <w:t>law”.</w:t>
      </w:r>
      <w:r w:rsidRPr="009A330C">
        <w:rPr>
          <w:rStyle w:val="FootnoteReference"/>
          <w:rFonts w:ascii="Verdana" w:hAnsi="Verdana"/>
          <w:sz w:val="20"/>
          <w:szCs w:val="20"/>
        </w:rPr>
        <w:footnoteReference w:id="38"/>
      </w:r>
      <w:r w:rsidRPr="009A330C">
        <w:rPr>
          <w:rFonts w:ascii="Verdana" w:hAnsi="Verdana"/>
          <w:sz w:val="20"/>
          <w:szCs w:val="20"/>
        </w:rPr>
        <w:t xml:space="preserve"> </w:t>
      </w:r>
      <w:r w:rsidR="00F716AE" w:rsidRPr="009A330C">
        <w:rPr>
          <w:rFonts w:ascii="Verdana" w:hAnsi="Verdana"/>
          <w:sz w:val="20"/>
          <w:szCs w:val="20"/>
        </w:rPr>
        <w:t>Nevertheless</w:t>
      </w:r>
      <w:r w:rsidRPr="009A330C">
        <w:rPr>
          <w:rFonts w:ascii="Verdana" w:hAnsi="Verdana"/>
          <w:sz w:val="20"/>
          <w:szCs w:val="20"/>
        </w:rPr>
        <w:t>, such r</w:t>
      </w:r>
      <w:r w:rsidR="00772BA7" w:rsidRPr="009A330C">
        <w:rPr>
          <w:rFonts w:ascii="Verdana" w:hAnsi="Verdana"/>
          <w:sz w:val="20"/>
          <w:szCs w:val="20"/>
        </w:rPr>
        <w:t xml:space="preserve">ights are severely constrained </w:t>
      </w:r>
      <w:r w:rsidRPr="009A330C">
        <w:rPr>
          <w:rFonts w:ascii="Verdana" w:hAnsi="Verdana"/>
          <w:sz w:val="20"/>
          <w:szCs w:val="20"/>
        </w:rPr>
        <w:t>in practice</w:t>
      </w:r>
      <w:r w:rsidR="00772BA7" w:rsidRPr="009A330C">
        <w:rPr>
          <w:rFonts w:ascii="Verdana" w:hAnsi="Verdana"/>
          <w:sz w:val="20"/>
          <w:szCs w:val="20"/>
        </w:rPr>
        <w:t>.</w:t>
      </w:r>
      <w:r w:rsidR="00772BA7" w:rsidRPr="009A330C">
        <w:rPr>
          <w:rStyle w:val="FootnoteReference"/>
          <w:rFonts w:ascii="Verdana" w:hAnsi="Verdana"/>
          <w:sz w:val="20"/>
          <w:szCs w:val="20"/>
        </w:rPr>
        <w:footnoteReference w:id="39"/>
      </w:r>
      <w:r w:rsidR="00772BA7" w:rsidRPr="009A330C">
        <w:rPr>
          <w:rFonts w:ascii="Verdana" w:hAnsi="Verdana"/>
          <w:sz w:val="20"/>
          <w:szCs w:val="20"/>
        </w:rPr>
        <w:t xml:space="preserve"> </w:t>
      </w:r>
      <w:r w:rsidR="008C4CE7" w:rsidRPr="009A330C">
        <w:rPr>
          <w:rFonts w:ascii="Verdana" w:hAnsi="Verdana"/>
          <w:sz w:val="20"/>
          <w:szCs w:val="20"/>
        </w:rPr>
        <w:t xml:space="preserve">In addition, in 2016, Trade Union Law was adopted </w:t>
      </w:r>
      <w:r w:rsidR="0058411B" w:rsidRPr="009A330C">
        <w:rPr>
          <w:rFonts w:ascii="Verdana" w:hAnsi="Verdana"/>
          <w:sz w:val="20"/>
          <w:szCs w:val="20"/>
        </w:rPr>
        <w:t xml:space="preserve">but has been widely criticized, including by the </w:t>
      </w:r>
      <w:r w:rsidR="00F12BAE" w:rsidRPr="009A330C">
        <w:rPr>
          <w:rFonts w:ascii="Verdana" w:hAnsi="Verdana"/>
          <w:sz w:val="20"/>
          <w:szCs w:val="20"/>
        </w:rPr>
        <w:t xml:space="preserve">UN </w:t>
      </w:r>
      <w:r w:rsidR="0058411B" w:rsidRPr="009A330C">
        <w:rPr>
          <w:rFonts w:ascii="Verdana" w:hAnsi="Verdana"/>
          <w:sz w:val="20"/>
          <w:szCs w:val="20"/>
        </w:rPr>
        <w:t>O</w:t>
      </w:r>
      <w:r w:rsidR="00F12BAE" w:rsidRPr="009A330C">
        <w:rPr>
          <w:rFonts w:ascii="Verdana" w:hAnsi="Verdana"/>
          <w:sz w:val="20"/>
          <w:szCs w:val="20"/>
        </w:rPr>
        <w:t xml:space="preserve">ffice of the </w:t>
      </w:r>
      <w:r w:rsidR="0058411B" w:rsidRPr="009A330C">
        <w:rPr>
          <w:rFonts w:ascii="Verdana" w:hAnsi="Verdana"/>
          <w:sz w:val="20"/>
          <w:szCs w:val="20"/>
        </w:rPr>
        <w:t>H</w:t>
      </w:r>
      <w:r w:rsidR="00F12BAE" w:rsidRPr="009A330C">
        <w:rPr>
          <w:rFonts w:ascii="Verdana" w:hAnsi="Verdana"/>
          <w:sz w:val="20"/>
          <w:szCs w:val="20"/>
        </w:rPr>
        <w:t xml:space="preserve">igh </w:t>
      </w:r>
      <w:r w:rsidR="0058411B" w:rsidRPr="009A330C">
        <w:rPr>
          <w:rFonts w:ascii="Verdana" w:hAnsi="Verdana"/>
          <w:sz w:val="20"/>
          <w:szCs w:val="20"/>
        </w:rPr>
        <w:t>C</w:t>
      </w:r>
      <w:r w:rsidR="00F12BAE" w:rsidRPr="009A330C">
        <w:rPr>
          <w:rFonts w:ascii="Verdana" w:hAnsi="Verdana"/>
          <w:sz w:val="20"/>
          <w:szCs w:val="20"/>
        </w:rPr>
        <w:t xml:space="preserve">ommission for </w:t>
      </w:r>
      <w:r w:rsidR="0058411B" w:rsidRPr="009A330C">
        <w:rPr>
          <w:rFonts w:ascii="Verdana" w:hAnsi="Verdana"/>
          <w:sz w:val="20"/>
          <w:szCs w:val="20"/>
        </w:rPr>
        <w:t>H</w:t>
      </w:r>
      <w:r w:rsidR="00F12BAE" w:rsidRPr="009A330C">
        <w:rPr>
          <w:rFonts w:ascii="Verdana" w:hAnsi="Verdana"/>
          <w:sz w:val="20"/>
          <w:szCs w:val="20"/>
        </w:rPr>
        <w:t xml:space="preserve">uman </w:t>
      </w:r>
      <w:r w:rsidR="0058411B" w:rsidRPr="009A330C">
        <w:rPr>
          <w:rFonts w:ascii="Verdana" w:hAnsi="Verdana"/>
          <w:sz w:val="20"/>
          <w:szCs w:val="20"/>
        </w:rPr>
        <w:t>R</w:t>
      </w:r>
      <w:r w:rsidR="00F12BAE" w:rsidRPr="009A330C">
        <w:rPr>
          <w:rFonts w:ascii="Verdana" w:hAnsi="Verdana"/>
          <w:sz w:val="20"/>
          <w:szCs w:val="20"/>
        </w:rPr>
        <w:t>ights (OHCHR)</w:t>
      </w:r>
      <w:r w:rsidR="0058411B" w:rsidRPr="009A330C">
        <w:rPr>
          <w:rFonts w:ascii="Verdana" w:hAnsi="Verdana"/>
          <w:sz w:val="20"/>
          <w:szCs w:val="20"/>
        </w:rPr>
        <w:t>, as violating Cambodia’s obligations under international human rights and labo</w:t>
      </w:r>
      <w:r w:rsidR="00F12BAE" w:rsidRPr="009A330C">
        <w:rPr>
          <w:rFonts w:ascii="Verdana" w:hAnsi="Verdana"/>
          <w:sz w:val="20"/>
          <w:szCs w:val="20"/>
        </w:rPr>
        <w:t>u</w:t>
      </w:r>
      <w:r w:rsidR="0058411B" w:rsidRPr="009A330C">
        <w:rPr>
          <w:rFonts w:ascii="Verdana" w:hAnsi="Verdana"/>
          <w:sz w:val="20"/>
          <w:szCs w:val="20"/>
        </w:rPr>
        <w:t>r law.</w:t>
      </w:r>
      <w:r w:rsidR="0058411B" w:rsidRPr="009A330C">
        <w:rPr>
          <w:rStyle w:val="FootnoteReference"/>
          <w:rFonts w:ascii="Verdana" w:hAnsi="Verdana"/>
          <w:sz w:val="20"/>
          <w:szCs w:val="20"/>
        </w:rPr>
        <w:footnoteReference w:id="40"/>
      </w:r>
      <w:r w:rsidR="0058411B" w:rsidRPr="009A330C">
        <w:rPr>
          <w:rFonts w:ascii="Verdana" w:hAnsi="Verdana"/>
          <w:sz w:val="20"/>
          <w:szCs w:val="20"/>
        </w:rPr>
        <w:t xml:space="preserve"> Among others, it</w:t>
      </w:r>
      <w:r w:rsidR="00F12BAE" w:rsidRPr="009A330C">
        <w:rPr>
          <w:rFonts w:ascii="Verdana" w:hAnsi="Verdana"/>
          <w:sz w:val="20"/>
          <w:szCs w:val="20"/>
        </w:rPr>
        <w:t xml:space="preserve"> </w:t>
      </w:r>
      <w:r w:rsidR="008C4CE7" w:rsidRPr="009A330C">
        <w:rPr>
          <w:rFonts w:ascii="Verdana" w:hAnsi="Verdana"/>
          <w:sz w:val="20"/>
          <w:szCs w:val="20"/>
        </w:rPr>
        <w:t xml:space="preserve">imposes restrictions on </w:t>
      </w:r>
      <w:r w:rsidR="008C4CE7" w:rsidRPr="009A330C">
        <w:rPr>
          <w:rFonts w:ascii="Verdana" w:hAnsi="Verdana"/>
          <w:sz w:val="20"/>
          <w:szCs w:val="20"/>
        </w:rPr>
        <w:lastRenderedPageBreak/>
        <w:t>independent unions</w:t>
      </w:r>
      <w:r w:rsidR="00F12BAE" w:rsidRPr="009A330C">
        <w:rPr>
          <w:rFonts w:ascii="Verdana" w:hAnsi="Verdana"/>
          <w:sz w:val="20"/>
          <w:szCs w:val="20"/>
        </w:rPr>
        <w:t xml:space="preserve"> and </w:t>
      </w:r>
      <w:r w:rsidR="008C4CE7" w:rsidRPr="009A330C">
        <w:rPr>
          <w:rFonts w:ascii="Verdana" w:hAnsi="Verdana"/>
          <w:sz w:val="20"/>
          <w:szCs w:val="20"/>
        </w:rPr>
        <w:t xml:space="preserve">on the right to strike by requiring trade unions </w:t>
      </w:r>
      <w:r w:rsidR="0058411B" w:rsidRPr="009A330C">
        <w:rPr>
          <w:rFonts w:ascii="Verdana" w:hAnsi="Verdana"/>
          <w:sz w:val="20"/>
          <w:szCs w:val="20"/>
        </w:rPr>
        <w:t>to</w:t>
      </w:r>
      <w:r w:rsidR="008C4CE7" w:rsidRPr="009A330C">
        <w:rPr>
          <w:rFonts w:ascii="Verdana" w:hAnsi="Verdana"/>
          <w:sz w:val="20"/>
          <w:szCs w:val="20"/>
        </w:rPr>
        <w:t xml:space="preserve"> seek “Most Representative Status” (MRS) to engage in collective bargaining</w:t>
      </w:r>
      <w:r w:rsidR="00F12BAE" w:rsidRPr="009A330C">
        <w:rPr>
          <w:rFonts w:ascii="Verdana" w:hAnsi="Verdana"/>
          <w:sz w:val="20"/>
          <w:szCs w:val="20"/>
        </w:rPr>
        <w:t xml:space="preserve"> (see articles 54-56)</w:t>
      </w:r>
      <w:r w:rsidR="008C4CE7" w:rsidRPr="009A330C">
        <w:rPr>
          <w:rFonts w:ascii="Verdana" w:hAnsi="Verdana"/>
          <w:sz w:val="20"/>
          <w:szCs w:val="20"/>
        </w:rPr>
        <w:t>.</w:t>
      </w:r>
      <w:r w:rsidR="008C4CE7" w:rsidRPr="009A330C">
        <w:rPr>
          <w:rStyle w:val="FootnoteReference"/>
          <w:rFonts w:ascii="Verdana" w:hAnsi="Verdana"/>
          <w:sz w:val="20"/>
          <w:szCs w:val="20"/>
        </w:rPr>
        <w:footnoteReference w:id="41"/>
      </w:r>
    </w:p>
    <w:p w14:paraId="14AA9860" w14:textId="77777777" w:rsidR="008C4CE7" w:rsidRPr="009A330C" w:rsidRDefault="008C4CE7" w:rsidP="002F5279">
      <w:pPr>
        <w:pStyle w:val="ListParagraph"/>
        <w:rPr>
          <w:rFonts w:ascii="Verdana" w:hAnsi="Verdana"/>
          <w:sz w:val="20"/>
          <w:szCs w:val="20"/>
        </w:rPr>
      </w:pPr>
    </w:p>
    <w:p w14:paraId="1C1496D0" w14:textId="6406CD2A" w:rsidR="00772BA7" w:rsidRPr="009A330C" w:rsidRDefault="00772BA7" w:rsidP="008B7D8B">
      <w:pPr>
        <w:pStyle w:val="ListParagraph"/>
        <w:numPr>
          <w:ilvl w:val="0"/>
          <w:numId w:val="3"/>
        </w:numPr>
        <w:jc w:val="both"/>
        <w:rPr>
          <w:rFonts w:ascii="Verdana" w:hAnsi="Verdana"/>
          <w:sz w:val="20"/>
          <w:szCs w:val="20"/>
        </w:rPr>
      </w:pPr>
      <w:r w:rsidRPr="009A330C">
        <w:rPr>
          <w:rFonts w:ascii="Verdana" w:hAnsi="Verdana"/>
          <w:sz w:val="20"/>
          <w:szCs w:val="20"/>
        </w:rPr>
        <w:t>According to CCHR, union members reported facing widespread discrimination, intimidation, and, at times, violence, as well as harassment through the legal process.</w:t>
      </w:r>
      <w:r w:rsidRPr="009A330C">
        <w:rPr>
          <w:rStyle w:val="FootnoteReference"/>
          <w:rFonts w:ascii="Verdana" w:hAnsi="Verdana"/>
          <w:sz w:val="20"/>
          <w:szCs w:val="20"/>
        </w:rPr>
        <w:footnoteReference w:id="42"/>
      </w:r>
      <w:r w:rsidRPr="009A330C">
        <w:rPr>
          <w:rFonts w:ascii="Verdana" w:hAnsi="Verdana"/>
          <w:sz w:val="20"/>
          <w:szCs w:val="20"/>
        </w:rPr>
        <w:t xml:space="preserve"> Union leaders have been threatened or </w:t>
      </w:r>
      <w:r w:rsidR="00F12BAE" w:rsidRPr="009A330C">
        <w:rPr>
          <w:rFonts w:ascii="Verdana" w:hAnsi="Verdana"/>
          <w:sz w:val="20"/>
          <w:szCs w:val="20"/>
        </w:rPr>
        <w:t xml:space="preserve">had their employment contracts </w:t>
      </w:r>
      <w:r w:rsidRPr="009A330C">
        <w:rPr>
          <w:rFonts w:ascii="Verdana" w:hAnsi="Verdana"/>
          <w:sz w:val="20"/>
          <w:szCs w:val="20"/>
        </w:rPr>
        <w:t>terminated for their labo</w:t>
      </w:r>
      <w:r w:rsidR="00F12BAE" w:rsidRPr="009A330C">
        <w:rPr>
          <w:rFonts w:ascii="Verdana" w:hAnsi="Verdana"/>
          <w:sz w:val="20"/>
          <w:szCs w:val="20"/>
        </w:rPr>
        <w:t>u</w:t>
      </w:r>
      <w:r w:rsidRPr="009A330C">
        <w:rPr>
          <w:rFonts w:ascii="Verdana" w:hAnsi="Verdana"/>
          <w:sz w:val="20"/>
          <w:szCs w:val="20"/>
        </w:rPr>
        <w:t>r union involvement.</w:t>
      </w:r>
      <w:r w:rsidRPr="009A330C">
        <w:rPr>
          <w:rStyle w:val="FootnoteReference"/>
          <w:rFonts w:ascii="Verdana" w:hAnsi="Verdana"/>
          <w:sz w:val="20"/>
          <w:szCs w:val="20"/>
        </w:rPr>
        <w:footnoteReference w:id="43"/>
      </w:r>
      <w:r w:rsidRPr="009A330C">
        <w:rPr>
          <w:rFonts w:ascii="Verdana" w:hAnsi="Verdana"/>
          <w:sz w:val="20"/>
          <w:szCs w:val="20"/>
        </w:rPr>
        <w:t xml:space="preserve"> For example, in May 2022, K</w:t>
      </w:r>
      <w:r w:rsidR="00D74297" w:rsidRPr="009A330C">
        <w:rPr>
          <w:rFonts w:ascii="Verdana" w:hAnsi="Verdana"/>
          <w:sz w:val="20"/>
          <w:szCs w:val="20"/>
        </w:rPr>
        <w:t>.</w:t>
      </w:r>
      <w:r w:rsidRPr="009A330C">
        <w:rPr>
          <w:rFonts w:ascii="Verdana" w:hAnsi="Verdana"/>
          <w:sz w:val="20"/>
          <w:szCs w:val="20"/>
        </w:rPr>
        <w:t xml:space="preserve"> V</w:t>
      </w:r>
      <w:r w:rsidR="00D74297" w:rsidRPr="009A330C">
        <w:rPr>
          <w:rFonts w:ascii="Verdana" w:hAnsi="Verdana"/>
          <w:sz w:val="20"/>
          <w:szCs w:val="20"/>
        </w:rPr>
        <w:t>.</w:t>
      </w:r>
      <w:r w:rsidRPr="009A330C">
        <w:rPr>
          <w:rFonts w:ascii="Verdana" w:hAnsi="Verdana"/>
          <w:sz w:val="20"/>
          <w:szCs w:val="20"/>
        </w:rPr>
        <w:t xml:space="preserve">, </w:t>
      </w:r>
      <w:r w:rsidRPr="009A330C">
        <w:rPr>
          <w:rFonts w:ascii="Verdana" w:hAnsi="Verdana"/>
          <w:sz w:val="20"/>
          <w:szCs w:val="20"/>
        </w:rPr>
        <w:lastRenderedPageBreak/>
        <w:t>a union leader, was reportedly dismissed from work for trying to set up a workers’ union at his garment factory in O’Neang SEZ in Poipet.</w:t>
      </w:r>
      <w:r w:rsidRPr="009A330C">
        <w:rPr>
          <w:rStyle w:val="FootnoteReference"/>
          <w:rFonts w:ascii="Verdana" w:hAnsi="Verdana"/>
          <w:sz w:val="20"/>
          <w:szCs w:val="20"/>
        </w:rPr>
        <w:footnoteReference w:id="44"/>
      </w:r>
    </w:p>
    <w:p w14:paraId="012DF207" w14:textId="77777777" w:rsidR="00C91581" w:rsidRPr="009A330C" w:rsidRDefault="00C91581" w:rsidP="00C91581">
      <w:pPr>
        <w:rPr>
          <w:rFonts w:ascii="Verdana" w:hAnsi="Verdana"/>
          <w:b/>
          <w:sz w:val="20"/>
          <w:szCs w:val="20"/>
          <w:lang w:val="en-US"/>
        </w:rPr>
      </w:pPr>
    </w:p>
    <w:p w14:paraId="545F04C4" w14:textId="3F4631BB" w:rsidR="00C91581" w:rsidRPr="009A330C" w:rsidRDefault="00C91581" w:rsidP="004D5CDD">
      <w:pPr>
        <w:pStyle w:val="ListParagraph"/>
        <w:numPr>
          <w:ilvl w:val="0"/>
          <w:numId w:val="1"/>
        </w:numPr>
        <w:rPr>
          <w:rFonts w:ascii="Verdana" w:hAnsi="Verdana"/>
          <w:b/>
          <w:sz w:val="20"/>
          <w:szCs w:val="20"/>
          <w:lang w:val="en-US"/>
        </w:rPr>
      </w:pPr>
      <w:r w:rsidRPr="009A330C">
        <w:rPr>
          <w:rFonts w:ascii="Verdana" w:hAnsi="Verdana"/>
          <w:b/>
          <w:sz w:val="20"/>
          <w:szCs w:val="20"/>
          <w:lang w:val="en-US"/>
        </w:rPr>
        <w:t>Restrictions on COVID-19 Expression and Information (Article 12)</w:t>
      </w:r>
      <w:r w:rsidR="00B47A99" w:rsidRPr="009A330C">
        <w:rPr>
          <w:rStyle w:val="FootnoteReference"/>
          <w:rFonts w:ascii="Verdana" w:hAnsi="Verdana"/>
          <w:b/>
          <w:sz w:val="20"/>
          <w:szCs w:val="20"/>
          <w:lang w:val="en-US"/>
        </w:rPr>
        <w:footnoteReference w:id="45"/>
      </w:r>
    </w:p>
    <w:p w14:paraId="49465AE1" w14:textId="77777777" w:rsidR="004A78DC" w:rsidRPr="009A330C" w:rsidRDefault="004A78DC" w:rsidP="004A78DC">
      <w:pPr>
        <w:jc w:val="both"/>
        <w:rPr>
          <w:rFonts w:ascii="Verdana" w:hAnsi="Verdana"/>
          <w:b/>
          <w:sz w:val="20"/>
          <w:szCs w:val="20"/>
          <w:lang w:val="en-US"/>
        </w:rPr>
      </w:pPr>
    </w:p>
    <w:p w14:paraId="5EB7675D" w14:textId="06C978C7" w:rsidR="00C91581" w:rsidRPr="009A330C" w:rsidRDefault="00C91581" w:rsidP="00316DA3">
      <w:pPr>
        <w:pStyle w:val="ListParagraph"/>
        <w:numPr>
          <w:ilvl w:val="0"/>
          <w:numId w:val="3"/>
        </w:numPr>
        <w:jc w:val="both"/>
        <w:rPr>
          <w:rFonts w:ascii="Verdana" w:hAnsi="Verdana"/>
          <w:sz w:val="20"/>
          <w:szCs w:val="20"/>
          <w:lang w:val="en-US"/>
        </w:rPr>
      </w:pPr>
      <w:r w:rsidRPr="009A330C">
        <w:rPr>
          <w:rFonts w:ascii="Verdana" w:hAnsi="Verdana"/>
          <w:sz w:val="20"/>
          <w:szCs w:val="20"/>
          <w:lang w:val="en-US"/>
        </w:rPr>
        <w:t xml:space="preserve">During the COVID-19 pandemic, </w:t>
      </w:r>
      <w:r w:rsidR="00403FFB" w:rsidRPr="009A330C">
        <w:rPr>
          <w:rFonts w:ascii="Verdana" w:hAnsi="Verdana"/>
          <w:sz w:val="20"/>
          <w:szCs w:val="20"/>
          <w:lang w:val="en-US"/>
        </w:rPr>
        <w:t xml:space="preserve">the </w:t>
      </w:r>
      <w:r w:rsidRPr="009A330C">
        <w:rPr>
          <w:rFonts w:ascii="Verdana" w:hAnsi="Verdana"/>
          <w:sz w:val="20"/>
          <w:szCs w:val="20"/>
          <w:lang w:val="en-US"/>
        </w:rPr>
        <w:t>Cambodia</w:t>
      </w:r>
      <w:r w:rsidR="00403FFB" w:rsidRPr="009A330C">
        <w:rPr>
          <w:rFonts w:ascii="Verdana" w:hAnsi="Verdana"/>
          <w:sz w:val="20"/>
          <w:szCs w:val="20"/>
          <w:lang w:val="en-US"/>
        </w:rPr>
        <w:t>n authorities</w:t>
      </w:r>
      <w:r w:rsidRPr="009A330C">
        <w:rPr>
          <w:rFonts w:ascii="Verdana" w:hAnsi="Verdana"/>
          <w:sz w:val="20"/>
          <w:szCs w:val="20"/>
          <w:lang w:val="en-US"/>
        </w:rPr>
        <w:t xml:space="preserve"> relied on </w:t>
      </w:r>
      <w:r w:rsidR="004757F9" w:rsidRPr="009A330C">
        <w:rPr>
          <w:rFonts w:ascii="Verdana" w:hAnsi="Verdana"/>
          <w:sz w:val="20"/>
          <w:szCs w:val="20"/>
          <w:lang w:val="en-US"/>
        </w:rPr>
        <w:t xml:space="preserve">then already </w:t>
      </w:r>
      <w:r w:rsidRPr="009A330C">
        <w:rPr>
          <w:rFonts w:ascii="Verdana" w:hAnsi="Verdana"/>
          <w:sz w:val="20"/>
          <w:szCs w:val="20"/>
          <w:lang w:val="en-US"/>
        </w:rPr>
        <w:t>existing</w:t>
      </w:r>
      <w:r w:rsidR="004757F9" w:rsidRPr="009A330C">
        <w:rPr>
          <w:rFonts w:ascii="Verdana" w:hAnsi="Verdana"/>
          <w:sz w:val="20"/>
          <w:szCs w:val="20"/>
          <w:lang w:val="en-US"/>
        </w:rPr>
        <w:t>,</w:t>
      </w:r>
      <w:r w:rsidRPr="009A330C">
        <w:rPr>
          <w:rFonts w:ascii="Verdana" w:hAnsi="Verdana"/>
          <w:sz w:val="20"/>
          <w:szCs w:val="20"/>
          <w:lang w:val="en-US"/>
        </w:rPr>
        <w:t xml:space="preserve"> </w:t>
      </w:r>
      <w:r w:rsidR="004757F9" w:rsidRPr="009A330C">
        <w:rPr>
          <w:rFonts w:ascii="Verdana" w:hAnsi="Verdana"/>
          <w:sz w:val="20"/>
          <w:szCs w:val="20"/>
          <w:lang w:val="en-US"/>
        </w:rPr>
        <w:t xml:space="preserve">as well as newly adopted, </w:t>
      </w:r>
      <w:r w:rsidRPr="009A330C">
        <w:rPr>
          <w:rFonts w:ascii="Verdana" w:hAnsi="Verdana"/>
          <w:sz w:val="20"/>
          <w:szCs w:val="20"/>
          <w:lang w:val="en-US"/>
        </w:rPr>
        <w:t xml:space="preserve">deficient laws to arbitrarily restrict health-related expression and information, and suppress people’s participation in health-related matters, in violation of Cambodia’s obligation to protect the right to </w:t>
      </w:r>
      <w:r w:rsidRPr="009A330C">
        <w:rPr>
          <w:rFonts w:ascii="Verdana" w:hAnsi="Verdana"/>
          <w:sz w:val="20"/>
          <w:szCs w:val="20"/>
          <w:lang w:val="en-US"/>
        </w:rPr>
        <w:lastRenderedPageBreak/>
        <w:t>health under article 12 of the ICESCR.</w:t>
      </w:r>
      <w:r w:rsidRPr="009A330C">
        <w:rPr>
          <w:rStyle w:val="FootnoteReference"/>
          <w:rFonts w:ascii="Verdana" w:hAnsi="Verdana"/>
          <w:sz w:val="20"/>
          <w:szCs w:val="20"/>
          <w:lang w:val="en-US"/>
        </w:rPr>
        <w:footnoteReference w:id="46"/>
      </w:r>
      <w:r w:rsidRPr="009A330C">
        <w:rPr>
          <w:rFonts w:ascii="Verdana" w:hAnsi="Verdana"/>
          <w:sz w:val="20"/>
          <w:szCs w:val="20"/>
          <w:lang w:val="en-US"/>
        </w:rPr>
        <w:t xml:space="preserve"> </w:t>
      </w:r>
      <w:r w:rsidR="004757F9" w:rsidRPr="009A330C">
        <w:rPr>
          <w:rFonts w:ascii="Verdana" w:hAnsi="Verdana"/>
          <w:sz w:val="20"/>
          <w:szCs w:val="20"/>
          <w:lang w:val="en-US"/>
        </w:rPr>
        <w:t>With respect to this, t</w:t>
      </w:r>
      <w:r w:rsidRPr="009A330C">
        <w:rPr>
          <w:rFonts w:ascii="Verdana" w:hAnsi="Verdana"/>
          <w:sz w:val="20"/>
          <w:szCs w:val="20"/>
          <w:lang w:val="en-US"/>
        </w:rPr>
        <w:t>h</w:t>
      </w:r>
      <w:r w:rsidR="004757F9" w:rsidRPr="009A330C">
        <w:rPr>
          <w:rFonts w:ascii="Verdana" w:hAnsi="Verdana"/>
          <w:sz w:val="20"/>
          <w:szCs w:val="20"/>
          <w:lang w:val="en-US"/>
        </w:rPr>
        <w:t xml:space="preserve">e authorities justified their actions on the basis of </w:t>
      </w:r>
      <w:r w:rsidRPr="009A330C">
        <w:rPr>
          <w:rFonts w:ascii="Verdana" w:hAnsi="Verdana"/>
          <w:sz w:val="20"/>
          <w:szCs w:val="20"/>
          <w:lang w:val="en-US"/>
        </w:rPr>
        <w:t>an overly expansive justification of curbing “false information in order to protect public health</w:t>
      </w:r>
      <w:r w:rsidR="004757F9" w:rsidRPr="009A330C">
        <w:rPr>
          <w:rFonts w:ascii="Verdana" w:hAnsi="Verdana"/>
          <w:sz w:val="20"/>
          <w:szCs w:val="20"/>
          <w:lang w:val="en-US"/>
        </w:rPr>
        <w:t>”</w:t>
      </w:r>
      <w:r w:rsidRPr="009A330C">
        <w:rPr>
          <w:rFonts w:ascii="Verdana" w:hAnsi="Verdana"/>
          <w:sz w:val="20"/>
          <w:szCs w:val="20"/>
          <w:lang w:val="en-US"/>
        </w:rPr>
        <w:t>.</w:t>
      </w:r>
    </w:p>
    <w:p w14:paraId="57D4DB2A" w14:textId="77777777" w:rsidR="00C91581" w:rsidRPr="009A330C" w:rsidRDefault="00C91581" w:rsidP="00C91581">
      <w:pPr>
        <w:rPr>
          <w:rFonts w:ascii="Verdana" w:hAnsi="Verdana"/>
          <w:sz w:val="20"/>
          <w:szCs w:val="20"/>
          <w:lang w:val="en-US"/>
        </w:rPr>
      </w:pPr>
    </w:p>
    <w:p w14:paraId="5CEBBCC4" w14:textId="7A2B2B67" w:rsidR="004D21EB" w:rsidRPr="009A330C" w:rsidRDefault="00C91581" w:rsidP="00C91581">
      <w:pPr>
        <w:pStyle w:val="ListParagraph"/>
        <w:numPr>
          <w:ilvl w:val="0"/>
          <w:numId w:val="3"/>
        </w:numPr>
        <w:jc w:val="both"/>
        <w:rPr>
          <w:rFonts w:ascii="Verdana" w:hAnsi="Verdana"/>
          <w:sz w:val="20"/>
          <w:szCs w:val="20"/>
          <w:lang w:val="en-US"/>
        </w:rPr>
      </w:pPr>
      <w:r w:rsidRPr="009A330C">
        <w:rPr>
          <w:rFonts w:ascii="Verdana" w:hAnsi="Verdana"/>
          <w:sz w:val="20"/>
          <w:szCs w:val="20"/>
          <w:lang w:val="en-US"/>
        </w:rPr>
        <w:t xml:space="preserve">In March 2021, Cambodia’s National Assembly passed the Law on Preventive Measures Against the Spread of COVID-19 and other Severe and Dangerous Contagious Diseases (‘COVID-19 Preventive Law’) </w:t>
      </w:r>
      <w:r w:rsidR="000271EF" w:rsidRPr="009A330C">
        <w:rPr>
          <w:rFonts w:ascii="Verdana" w:hAnsi="Verdana"/>
          <w:sz w:val="20"/>
          <w:szCs w:val="20"/>
          <w:lang w:val="en-US"/>
        </w:rPr>
        <w:t xml:space="preserve">with the stated aim of </w:t>
      </w:r>
      <w:r w:rsidRPr="009A330C">
        <w:rPr>
          <w:rFonts w:ascii="Verdana" w:hAnsi="Verdana"/>
          <w:sz w:val="20"/>
          <w:szCs w:val="20"/>
          <w:lang w:val="en-US"/>
        </w:rPr>
        <w:t>“combat</w:t>
      </w:r>
      <w:r w:rsidR="000271EF" w:rsidRPr="009A330C">
        <w:rPr>
          <w:rFonts w:ascii="Verdana" w:hAnsi="Verdana"/>
          <w:sz w:val="20"/>
          <w:szCs w:val="20"/>
          <w:lang w:val="en-US"/>
        </w:rPr>
        <w:t>[ting]</w:t>
      </w:r>
      <w:r w:rsidRPr="009A330C">
        <w:rPr>
          <w:rFonts w:ascii="Verdana" w:hAnsi="Verdana"/>
          <w:sz w:val="20"/>
          <w:szCs w:val="20"/>
          <w:lang w:val="en-US"/>
        </w:rPr>
        <w:t xml:space="preserve"> and prevent</w:t>
      </w:r>
      <w:r w:rsidR="000271EF" w:rsidRPr="009A330C">
        <w:rPr>
          <w:rFonts w:ascii="Verdana" w:hAnsi="Verdana"/>
          <w:sz w:val="20"/>
          <w:szCs w:val="20"/>
          <w:lang w:val="en-US"/>
        </w:rPr>
        <w:t>[ing]</w:t>
      </w:r>
      <w:r w:rsidRPr="009A330C">
        <w:rPr>
          <w:rFonts w:ascii="Verdana" w:hAnsi="Verdana"/>
          <w:sz w:val="20"/>
          <w:szCs w:val="20"/>
          <w:lang w:val="en-US"/>
        </w:rPr>
        <w:t xml:space="preserve"> the spread of COVID-19” and other severely contagious diseases.</w:t>
      </w:r>
      <w:r w:rsidRPr="009A330C">
        <w:rPr>
          <w:rFonts w:ascii="Verdana" w:hAnsi="Verdana"/>
          <w:sz w:val="20"/>
          <w:szCs w:val="20"/>
          <w:vertAlign w:val="superscript"/>
          <w:lang w:val="en-US"/>
        </w:rPr>
        <w:footnoteReference w:id="47"/>
      </w:r>
      <w:r w:rsidRPr="009A330C">
        <w:rPr>
          <w:rFonts w:ascii="Verdana" w:hAnsi="Verdana"/>
          <w:sz w:val="20"/>
          <w:szCs w:val="20"/>
          <w:lang w:val="en-US"/>
        </w:rPr>
        <w:t xml:space="preserve"> </w:t>
      </w:r>
      <w:r w:rsidR="005350ED" w:rsidRPr="009A330C">
        <w:rPr>
          <w:rFonts w:ascii="Verdana" w:hAnsi="Verdana"/>
          <w:sz w:val="20"/>
          <w:szCs w:val="20"/>
          <w:lang w:val="en-US"/>
        </w:rPr>
        <w:t xml:space="preserve">While the ICJ recognizes that responding to the COVID-19 pandemic may require extraordinary measures in order to protect </w:t>
      </w:r>
      <w:r w:rsidR="000271EF" w:rsidRPr="009A330C">
        <w:rPr>
          <w:rFonts w:ascii="Verdana" w:hAnsi="Verdana"/>
          <w:sz w:val="20"/>
          <w:szCs w:val="20"/>
          <w:lang w:val="en-US"/>
        </w:rPr>
        <w:t xml:space="preserve">people’s </w:t>
      </w:r>
      <w:r w:rsidR="000F49F3" w:rsidRPr="009A330C">
        <w:rPr>
          <w:rFonts w:ascii="Verdana" w:hAnsi="Verdana"/>
          <w:sz w:val="20"/>
          <w:szCs w:val="20"/>
          <w:lang w:val="en-US"/>
        </w:rPr>
        <w:t>health</w:t>
      </w:r>
      <w:r w:rsidR="005350ED" w:rsidRPr="009A330C">
        <w:rPr>
          <w:rFonts w:ascii="Verdana" w:hAnsi="Verdana"/>
          <w:sz w:val="20"/>
          <w:szCs w:val="20"/>
          <w:lang w:val="en-US"/>
        </w:rPr>
        <w:t xml:space="preserve">, </w:t>
      </w:r>
      <w:r w:rsidR="00C57784" w:rsidRPr="009A330C">
        <w:rPr>
          <w:rFonts w:ascii="Verdana" w:hAnsi="Verdana"/>
          <w:sz w:val="20"/>
          <w:szCs w:val="20"/>
          <w:lang w:val="en-US"/>
        </w:rPr>
        <w:t>such</w:t>
      </w:r>
      <w:r w:rsidR="005350ED" w:rsidRPr="009A330C">
        <w:rPr>
          <w:rFonts w:ascii="Verdana" w:hAnsi="Verdana"/>
          <w:sz w:val="20"/>
          <w:szCs w:val="20"/>
          <w:lang w:val="en-US"/>
        </w:rPr>
        <w:t xml:space="preserve"> responses must still conform to international human rights </w:t>
      </w:r>
      <w:r w:rsidR="005350ED" w:rsidRPr="009A330C">
        <w:rPr>
          <w:rFonts w:ascii="Verdana" w:hAnsi="Verdana"/>
          <w:sz w:val="20"/>
          <w:szCs w:val="20"/>
          <w:lang w:val="en-US"/>
        </w:rPr>
        <w:lastRenderedPageBreak/>
        <w:t>law</w:t>
      </w:r>
      <w:r w:rsidR="00C57784" w:rsidRPr="009A330C">
        <w:rPr>
          <w:rFonts w:ascii="Verdana" w:hAnsi="Verdana"/>
          <w:sz w:val="20"/>
          <w:szCs w:val="20"/>
          <w:lang w:val="en-US"/>
        </w:rPr>
        <w:t xml:space="preserve">, including article </w:t>
      </w:r>
      <w:r w:rsidRPr="009A330C">
        <w:rPr>
          <w:rFonts w:ascii="Verdana" w:hAnsi="Verdana"/>
          <w:sz w:val="20"/>
          <w:szCs w:val="20"/>
          <w:lang w:val="en-US"/>
        </w:rPr>
        <w:t xml:space="preserve">12 of the ICESR and article </w:t>
      </w:r>
      <w:r w:rsidR="00015F64" w:rsidRPr="009A330C">
        <w:rPr>
          <w:rFonts w:ascii="Verdana" w:hAnsi="Verdana"/>
          <w:sz w:val="20"/>
          <w:szCs w:val="20"/>
          <w:lang w:val="en-US"/>
        </w:rPr>
        <w:t xml:space="preserve">19 </w:t>
      </w:r>
      <w:r w:rsidR="00C57784" w:rsidRPr="009A330C">
        <w:rPr>
          <w:rFonts w:ascii="Verdana" w:hAnsi="Verdana"/>
          <w:sz w:val="20"/>
          <w:szCs w:val="20"/>
          <w:lang w:val="en-US"/>
        </w:rPr>
        <w:t>of the I</w:t>
      </w:r>
      <w:r w:rsidRPr="009A330C">
        <w:rPr>
          <w:rFonts w:ascii="Verdana" w:hAnsi="Verdana"/>
          <w:sz w:val="20"/>
          <w:szCs w:val="20"/>
          <w:lang w:val="en-US"/>
        </w:rPr>
        <w:t xml:space="preserve">nternational Covenant on </w:t>
      </w:r>
      <w:r w:rsidR="00C57784" w:rsidRPr="009A330C">
        <w:rPr>
          <w:rFonts w:ascii="Verdana" w:hAnsi="Verdana"/>
          <w:sz w:val="20"/>
          <w:szCs w:val="20"/>
          <w:lang w:val="en-US"/>
        </w:rPr>
        <w:t>C</w:t>
      </w:r>
      <w:r w:rsidRPr="009A330C">
        <w:rPr>
          <w:rFonts w:ascii="Verdana" w:hAnsi="Verdana"/>
          <w:sz w:val="20"/>
          <w:szCs w:val="20"/>
          <w:lang w:val="en-US"/>
        </w:rPr>
        <w:t>ivil and Political Rights (ICCPR)</w:t>
      </w:r>
      <w:r w:rsidR="000271EF" w:rsidRPr="009A330C">
        <w:rPr>
          <w:rFonts w:ascii="Verdana" w:hAnsi="Verdana"/>
          <w:sz w:val="20"/>
          <w:szCs w:val="20"/>
          <w:lang w:val="en-US"/>
        </w:rPr>
        <w:t>,</w:t>
      </w:r>
      <w:r w:rsidR="00B47A99" w:rsidRPr="009A330C">
        <w:rPr>
          <w:rStyle w:val="FootnoteReference"/>
          <w:rFonts w:ascii="Verdana" w:hAnsi="Verdana"/>
          <w:sz w:val="20"/>
          <w:szCs w:val="20"/>
          <w:lang w:val="en-US"/>
        </w:rPr>
        <w:footnoteReference w:id="48"/>
      </w:r>
      <w:r w:rsidR="000271EF" w:rsidRPr="009A330C">
        <w:rPr>
          <w:rFonts w:ascii="Verdana" w:hAnsi="Verdana"/>
          <w:sz w:val="20"/>
          <w:szCs w:val="20"/>
          <w:lang w:val="en-US"/>
        </w:rPr>
        <w:t xml:space="preserve"> among others.</w:t>
      </w:r>
      <w:r w:rsidR="00D42E98" w:rsidRPr="009A330C">
        <w:rPr>
          <w:rFonts w:ascii="Verdana" w:hAnsi="Verdana"/>
          <w:sz w:val="20"/>
          <w:szCs w:val="20"/>
          <w:lang w:val="en-US"/>
        </w:rPr>
        <w:t xml:space="preserve"> However, the </w:t>
      </w:r>
      <w:r w:rsidR="006E353A" w:rsidRPr="009A330C">
        <w:rPr>
          <w:rFonts w:ascii="Verdana" w:hAnsi="Verdana"/>
          <w:sz w:val="20"/>
          <w:szCs w:val="20"/>
          <w:lang w:val="en-US"/>
        </w:rPr>
        <w:t>COVID-19 Preventive</w:t>
      </w:r>
      <w:r w:rsidR="00D42E98" w:rsidRPr="009A330C">
        <w:rPr>
          <w:rFonts w:ascii="Verdana" w:hAnsi="Verdana"/>
          <w:sz w:val="20"/>
          <w:szCs w:val="20"/>
          <w:lang w:val="en-US"/>
        </w:rPr>
        <w:t xml:space="preserve"> Law </w:t>
      </w:r>
      <w:r w:rsidR="00E31605" w:rsidRPr="009A330C">
        <w:rPr>
          <w:rFonts w:ascii="Verdana" w:hAnsi="Verdana"/>
          <w:sz w:val="20"/>
          <w:szCs w:val="20"/>
          <w:lang w:val="en-US"/>
        </w:rPr>
        <w:t xml:space="preserve">contains provisions that </w:t>
      </w:r>
      <w:r w:rsidR="00D42E98" w:rsidRPr="009A330C">
        <w:rPr>
          <w:rFonts w:ascii="Verdana" w:hAnsi="Verdana"/>
          <w:sz w:val="20"/>
          <w:szCs w:val="20"/>
          <w:lang w:val="en-US"/>
        </w:rPr>
        <w:t>are inconsistent with the principles of legitimate purpose, legality, necessity and proportionality.</w:t>
      </w:r>
    </w:p>
    <w:p w14:paraId="237C3557" w14:textId="77777777" w:rsidR="000F1D76" w:rsidRPr="009A330C" w:rsidRDefault="000F1D76" w:rsidP="00C91581">
      <w:pPr>
        <w:rPr>
          <w:rFonts w:ascii="Verdana" w:hAnsi="Verdana"/>
          <w:sz w:val="20"/>
          <w:szCs w:val="20"/>
          <w:lang w:val="en-US"/>
        </w:rPr>
      </w:pPr>
    </w:p>
    <w:p w14:paraId="5C2CD28D" w14:textId="652D08B3" w:rsidR="006670D1" w:rsidRPr="009A330C" w:rsidRDefault="000F1D76" w:rsidP="006670D1">
      <w:pPr>
        <w:pStyle w:val="ListParagraph"/>
        <w:numPr>
          <w:ilvl w:val="0"/>
          <w:numId w:val="3"/>
        </w:numPr>
        <w:jc w:val="both"/>
        <w:rPr>
          <w:rFonts w:ascii="Verdana" w:hAnsi="Verdana"/>
          <w:sz w:val="20"/>
          <w:szCs w:val="20"/>
          <w:lang w:val="en-US"/>
        </w:rPr>
      </w:pPr>
      <w:r w:rsidRPr="009A330C">
        <w:rPr>
          <w:rFonts w:ascii="Verdana" w:hAnsi="Verdana"/>
          <w:sz w:val="20"/>
          <w:szCs w:val="20"/>
          <w:lang w:val="en-US"/>
        </w:rPr>
        <w:t xml:space="preserve">Article 11 </w:t>
      </w:r>
      <w:r w:rsidR="00832578" w:rsidRPr="009A330C">
        <w:rPr>
          <w:rFonts w:ascii="Verdana" w:hAnsi="Verdana"/>
          <w:sz w:val="20"/>
          <w:szCs w:val="20"/>
          <w:lang w:val="en-US"/>
        </w:rPr>
        <w:t xml:space="preserve">of </w:t>
      </w:r>
      <w:r w:rsidR="006E353A" w:rsidRPr="009A330C">
        <w:rPr>
          <w:rFonts w:ascii="Verdana" w:hAnsi="Verdana"/>
          <w:sz w:val="20"/>
          <w:szCs w:val="20"/>
          <w:lang w:val="en-US"/>
        </w:rPr>
        <w:t>the COVID-19 Preventive Law</w:t>
      </w:r>
      <w:r w:rsidR="00832578" w:rsidRPr="009A330C">
        <w:rPr>
          <w:rFonts w:ascii="Verdana" w:hAnsi="Verdana"/>
          <w:sz w:val="20"/>
          <w:szCs w:val="20"/>
          <w:lang w:val="en-US"/>
        </w:rPr>
        <w:t xml:space="preserve"> </w:t>
      </w:r>
      <w:r w:rsidRPr="009A330C">
        <w:rPr>
          <w:rFonts w:ascii="Verdana" w:hAnsi="Verdana"/>
          <w:sz w:val="20"/>
          <w:szCs w:val="20"/>
          <w:lang w:val="en-US"/>
        </w:rPr>
        <w:t>provides that “an act of intentional obstruction or deterrence of the enforcement of a measure imposed in accordance with this law” shall be punishable with imprisonment from six months to three years and monetary fines from two million riels (approx. USD 500) to ten million riels (approx. USD 2,500). It further provides for imprisonment from two to five years and fines from five million riels (approx. USD 1,250) to 20 million riels (approx. USD 5,000) where such act leads to other people</w:t>
      </w:r>
      <w:r w:rsidR="00AD4F81" w:rsidRPr="009A330C">
        <w:rPr>
          <w:rFonts w:ascii="Verdana" w:hAnsi="Verdana"/>
          <w:sz w:val="20"/>
          <w:szCs w:val="20"/>
          <w:lang w:val="en-US"/>
        </w:rPr>
        <w:t xml:space="preserve"> becoming infected with COVID-19</w:t>
      </w:r>
      <w:r w:rsidRPr="009A330C">
        <w:rPr>
          <w:rFonts w:ascii="Verdana" w:hAnsi="Verdana"/>
          <w:sz w:val="20"/>
          <w:szCs w:val="20"/>
          <w:lang w:val="en-US"/>
        </w:rPr>
        <w:t xml:space="preserve"> or </w:t>
      </w:r>
      <w:r w:rsidR="00AD4F81" w:rsidRPr="009A330C">
        <w:rPr>
          <w:rFonts w:ascii="Verdana" w:hAnsi="Verdana"/>
          <w:sz w:val="20"/>
          <w:szCs w:val="20"/>
          <w:lang w:val="en-US"/>
        </w:rPr>
        <w:t xml:space="preserve">to a </w:t>
      </w:r>
      <w:r w:rsidRPr="009A330C">
        <w:rPr>
          <w:rFonts w:ascii="Verdana" w:hAnsi="Verdana"/>
          <w:sz w:val="20"/>
          <w:szCs w:val="20"/>
          <w:lang w:val="en-US"/>
        </w:rPr>
        <w:t>serious impact on public health.</w:t>
      </w:r>
      <w:r w:rsidRPr="009A330C">
        <w:rPr>
          <w:rFonts w:ascii="Verdana" w:hAnsi="Verdana"/>
          <w:sz w:val="20"/>
          <w:szCs w:val="20"/>
          <w:vertAlign w:val="superscript"/>
          <w:lang w:val="en-US"/>
        </w:rPr>
        <w:footnoteReference w:id="49"/>
      </w:r>
      <w:r w:rsidRPr="009A330C">
        <w:rPr>
          <w:rFonts w:ascii="Verdana" w:hAnsi="Verdana"/>
          <w:sz w:val="20"/>
          <w:szCs w:val="20"/>
          <w:lang w:val="en-US"/>
        </w:rPr>
        <w:t xml:space="preserve"> </w:t>
      </w:r>
    </w:p>
    <w:p w14:paraId="29ACFCE7" w14:textId="77777777" w:rsidR="006670D1" w:rsidRPr="009A330C" w:rsidRDefault="006670D1" w:rsidP="00CF2956">
      <w:pPr>
        <w:jc w:val="both"/>
        <w:rPr>
          <w:rFonts w:ascii="Verdana" w:hAnsi="Verdana"/>
          <w:sz w:val="20"/>
          <w:szCs w:val="20"/>
          <w:lang w:val="en-US"/>
        </w:rPr>
      </w:pPr>
    </w:p>
    <w:p w14:paraId="30A4AEC0" w14:textId="5AFA3CCE" w:rsidR="000F1D76" w:rsidRPr="009A330C" w:rsidRDefault="000F1D76" w:rsidP="006670D1">
      <w:pPr>
        <w:pStyle w:val="ListParagraph"/>
        <w:numPr>
          <w:ilvl w:val="0"/>
          <w:numId w:val="3"/>
        </w:numPr>
        <w:jc w:val="both"/>
        <w:rPr>
          <w:rFonts w:ascii="Verdana" w:hAnsi="Verdana"/>
          <w:sz w:val="20"/>
          <w:szCs w:val="20"/>
          <w:lang w:val="en-US"/>
        </w:rPr>
      </w:pPr>
      <w:r w:rsidRPr="009A330C">
        <w:rPr>
          <w:rFonts w:ascii="Verdana" w:hAnsi="Verdana"/>
          <w:sz w:val="20"/>
          <w:szCs w:val="20"/>
          <w:lang w:val="en-US"/>
        </w:rPr>
        <w:t xml:space="preserve">These </w:t>
      </w:r>
      <w:r w:rsidR="006670D1" w:rsidRPr="009A330C">
        <w:rPr>
          <w:rFonts w:ascii="Verdana" w:hAnsi="Verdana"/>
          <w:sz w:val="20"/>
          <w:szCs w:val="20"/>
          <w:lang w:val="en-US"/>
        </w:rPr>
        <w:t xml:space="preserve">“criminal offences” and the </w:t>
      </w:r>
      <w:r w:rsidRPr="009A330C">
        <w:rPr>
          <w:rFonts w:ascii="Verdana" w:hAnsi="Verdana"/>
          <w:sz w:val="20"/>
          <w:szCs w:val="20"/>
          <w:lang w:val="en-US"/>
        </w:rPr>
        <w:t xml:space="preserve">harsh </w:t>
      </w:r>
      <w:r w:rsidR="006670D1" w:rsidRPr="009A330C">
        <w:rPr>
          <w:rFonts w:ascii="Verdana" w:hAnsi="Verdana"/>
          <w:sz w:val="20"/>
          <w:szCs w:val="20"/>
          <w:lang w:val="en-US"/>
        </w:rPr>
        <w:t xml:space="preserve">penalties provided in the event of a conviction arising from instances where individuals have commented on </w:t>
      </w:r>
      <w:r w:rsidR="00B47A99" w:rsidRPr="009A330C">
        <w:rPr>
          <w:rFonts w:ascii="Verdana" w:hAnsi="Verdana"/>
          <w:sz w:val="20"/>
          <w:szCs w:val="20"/>
          <w:lang w:val="en-US"/>
        </w:rPr>
        <w:t>the government’s COVID-19 response</w:t>
      </w:r>
      <w:r w:rsidR="006670D1" w:rsidRPr="009A330C">
        <w:rPr>
          <w:rFonts w:ascii="Verdana" w:hAnsi="Verdana"/>
          <w:sz w:val="20"/>
          <w:szCs w:val="20"/>
          <w:lang w:val="en-US"/>
        </w:rPr>
        <w:t xml:space="preserve"> (see the following paragraphs)</w:t>
      </w:r>
      <w:r w:rsidR="00B47A99" w:rsidRPr="009A330C">
        <w:rPr>
          <w:rFonts w:ascii="Verdana" w:hAnsi="Verdana"/>
          <w:sz w:val="20"/>
          <w:szCs w:val="20"/>
          <w:lang w:val="en-US"/>
        </w:rPr>
        <w:t xml:space="preserve">, </w:t>
      </w:r>
      <w:r w:rsidR="006670D1" w:rsidRPr="009A330C">
        <w:rPr>
          <w:rFonts w:ascii="Verdana" w:hAnsi="Verdana"/>
          <w:sz w:val="20"/>
          <w:szCs w:val="20"/>
          <w:lang w:val="en-US"/>
        </w:rPr>
        <w:t xml:space="preserve">or in connection with instances of purported </w:t>
      </w:r>
      <w:r w:rsidR="00B47A99" w:rsidRPr="009A330C">
        <w:rPr>
          <w:rFonts w:ascii="Verdana" w:hAnsi="Verdana"/>
          <w:sz w:val="20"/>
          <w:szCs w:val="20"/>
          <w:lang w:val="en-US"/>
        </w:rPr>
        <w:t xml:space="preserve">non-compliance with public health measures </w:t>
      </w:r>
      <w:r w:rsidRPr="009A330C">
        <w:rPr>
          <w:rFonts w:ascii="Verdana" w:hAnsi="Verdana"/>
          <w:sz w:val="20"/>
          <w:szCs w:val="20"/>
          <w:lang w:val="en-US"/>
        </w:rPr>
        <w:t>appear to be inconsistent with the principles of necessity and proportionality under human rights law.</w:t>
      </w:r>
      <w:r w:rsidR="00B47A99" w:rsidRPr="009A330C">
        <w:rPr>
          <w:rStyle w:val="FootnoteReference"/>
          <w:rFonts w:ascii="Verdana" w:hAnsi="Verdana"/>
          <w:sz w:val="20"/>
          <w:szCs w:val="20"/>
          <w:lang w:val="en-US"/>
        </w:rPr>
        <w:footnoteReference w:id="50"/>
      </w:r>
      <w:r w:rsidRPr="009A330C">
        <w:rPr>
          <w:rFonts w:ascii="Verdana" w:hAnsi="Verdana"/>
          <w:sz w:val="20"/>
          <w:szCs w:val="20"/>
          <w:lang w:val="en-US"/>
        </w:rPr>
        <w:t xml:space="preserve"> </w:t>
      </w:r>
      <w:r w:rsidR="00AD4F81" w:rsidRPr="009A330C">
        <w:rPr>
          <w:rFonts w:ascii="Verdana" w:hAnsi="Verdana"/>
          <w:sz w:val="20"/>
          <w:szCs w:val="20"/>
          <w:lang w:val="en-US"/>
        </w:rPr>
        <w:t xml:space="preserve"> </w:t>
      </w:r>
    </w:p>
    <w:p w14:paraId="6445CD73" w14:textId="77777777" w:rsidR="000F1D76" w:rsidRPr="009A330C" w:rsidRDefault="000F1D76" w:rsidP="000F1D76">
      <w:pPr>
        <w:pStyle w:val="ListParagraph"/>
        <w:ind w:left="360"/>
        <w:rPr>
          <w:rFonts w:ascii="Verdana" w:hAnsi="Verdana"/>
          <w:sz w:val="20"/>
          <w:szCs w:val="20"/>
          <w:lang w:val="en-US"/>
        </w:rPr>
      </w:pPr>
    </w:p>
    <w:p w14:paraId="77AED387" w14:textId="0BB3A5A7" w:rsidR="00C91581" w:rsidRPr="009A330C" w:rsidRDefault="000F1D76" w:rsidP="00C91581">
      <w:pPr>
        <w:pStyle w:val="ListParagraph"/>
        <w:numPr>
          <w:ilvl w:val="0"/>
          <w:numId w:val="3"/>
        </w:numPr>
        <w:jc w:val="both"/>
        <w:rPr>
          <w:rFonts w:ascii="Verdana" w:hAnsi="Verdana"/>
          <w:sz w:val="20"/>
          <w:szCs w:val="20"/>
          <w:lang w:val="en-US"/>
        </w:rPr>
      </w:pPr>
      <w:r w:rsidRPr="009A330C">
        <w:rPr>
          <w:rFonts w:ascii="Verdana" w:hAnsi="Verdana"/>
          <w:sz w:val="20"/>
          <w:szCs w:val="20"/>
          <w:lang w:val="en-US"/>
        </w:rPr>
        <w:t xml:space="preserve">The Cambodian authorities have used the vague and overbroad broad language of article 11 to arrest and charge those criticizing the government’s COVID-19 </w:t>
      </w:r>
      <w:r w:rsidRPr="009A330C">
        <w:rPr>
          <w:rFonts w:ascii="Verdana" w:hAnsi="Verdana"/>
          <w:sz w:val="20"/>
          <w:szCs w:val="20"/>
          <w:lang w:val="en-US"/>
        </w:rPr>
        <w:lastRenderedPageBreak/>
        <w:t>vaccination campaign online, including social media users</w:t>
      </w:r>
      <w:r w:rsidRPr="009A330C">
        <w:rPr>
          <w:rFonts w:ascii="Verdana" w:hAnsi="Verdana"/>
          <w:sz w:val="20"/>
          <w:szCs w:val="20"/>
          <w:vertAlign w:val="superscript"/>
          <w:lang w:val="en-US"/>
        </w:rPr>
        <w:footnoteReference w:id="51"/>
      </w:r>
      <w:r w:rsidRPr="009A330C">
        <w:rPr>
          <w:rFonts w:ascii="Verdana" w:hAnsi="Verdana"/>
          <w:sz w:val="20"/>
          <w:szCs w:val="20"/>
          <w:lang w:val="en-US"/>
        </w:rPr>
        <w:t xml:space="preserve"> and a journalist.</w:t>
      </w:r>
      <w:r w:rsidRPr="009A330C">
        <w:rPr>
          <w:rFonts w:ascii="Verdana" w:hAnsi="Verdana"/>
          <w:sz w:val="20"/>
          <w:szCs w:val="20"/>
          <w:vertAlign w:val="superscript"/>
          <w:lang w:val="en"/>
        </w:rPr>
        <w:footnoteReference w:id="52"/>
      </w:r>
      <w:r w:rsidR="00C91581" w:rsidRPr="009A330C">
        <w:rPr>
          <w:rFonts w:ascii="Verdana" w:hAnsi="Verdana"/>
          <w:sz w:val="20"/>
          <w:szCs w:val="20"/>
          <w:lang w:val="en-US"/>
        </w:rPr>
        <w:t xml:space="preserve"> The Cambodian authorities have also arrested, detained and prosecuted social media users on charges of “incitement to commit a felony or disturb social security” under articles 494 and 495 </w:t>
      </w:r>
      <w:r w:rsidR="006E353A" w:rsidRPr="009A330C">
        <w:rPr>
          <w:rFonts w:ascii="Verdana" w:hAnsi="Verdana"/>
          <w:sz w:val="20"/>
          <w:szCs w:val="20"/>
          <w:lang w:val="en-US"/>
        </w:rPr>
        <w:t>of the Criminal Code</w:t>
      </w:r>
      <w:r w:rsidR="004F79AD" w:rsidRPr="009A330C">
        <w:rPr>
          <w:rFonts w:ascii="Verdana" w:hAnsi="Verdana"/>
          <w:sz w:val="20"/>
          <w:szCs w:val="20"/>
          <w:lang w:val="en-US"/>
        </w:rPr>
        <w:t xml:space="preserve"> </w:t>
      </w:r>
      <w:r w:rsidR="00C91581" w:rsidRPr="009A330C">
        <w:rPr>
          <w:rFonts w:ascii="Verdana" w:hAnsi="Verdana"/>
          <w:sz w:val="20"/>
          <w:szCs w:val="20"/>
          <w:lang w:val="en-US"/>
        </w:rPr>
        <w:t>for criticizing the government’s response to the COVID-19 pandemic.</w:t>
      </w:r>
      <w:r w:rsidR="00C91581" w:rsidRPr="009A330C">
        <w:rPr>
          <w:rFonts w:ascii="Verdana" w:hAnsi="Verdana"/>
          <w:sz w:val="20"/>
          <w:szCs w:val="20"/>
          <w:vertAlign w:val="superscript"/>
          <w:lang w:val="en"/>
        </w:rPr>
        <w:footnoteReference w:id="53"/>
      </w:r>
      <w:r w:rsidR="00C91581" w:rsidRPr="009A330C">
        <w:rPr>
          <w:rFonts w:ascii="Verdana" w:hAnsi="Verdana"/>
          <w:sz w:val="20"/>
          <w:szCs w:val="20"/>
          <w:lang w:val="en-US"/>
        </w:rPr>
        <w:t xml:space="preserve"> They have also regularly </w:t>
      </w:r>
      <w:r w:rsidR="00C91581" w:rsidRPr="009A330C">
        <w:rPr>
          <w:rFonts w:ascii="Verdana" w:hAnsi="Verdana"/>
          <w:sz w:val="20"/>
          <w:szCs w:val="20"/>
          <w:lang w:val="en-US"/>
        </w:rPr>
        <w:lastRenderedPageBreak/>
        <w:t>pressured individuals into signing pledges not to post content on social media</w:t>
      </w:r>
      <w:r w:rsidR="003426ED" w:rsidRPr="009A330C">
        <w:rPr>
          <w:rFonts w:ascii="Verdana" w:hAnsi="Verdana"/>
          <w:sz w:val="20"/>
          <w:szCs w:val="20"/>
          <w:lang w:val="en-US"/>
        </w:rPr>
        <w:t xml:space="preserve"> that is unfavourable to them</w:t>
      </w:r>
      <w:r w:rsidR="00C91581" w:rsidRPr="009A330C">
        <w:rPr>
          <w:rFonts w:ascii="Verdana" w:hAnsi="Verdana"/>
          <w:sz w:val="20"/>
          <w:szCs w:val="20"/>
          <w:lang w:val="en-US"/>
        </w:rPr>
        <w:t>.</w:t>
      </w:r>
      <w:r w:rsidR="00C91581" w:rsidRPr="009A330C">
        <w:rPr>
          <w:rStyle w:val="FootnoteReference"/>
          <w:rFonts w:ascii="Verdana" w:hAnsi="Verdana"/>
          <w:sz w:val="20"/>
          <w:szCs w:val="20"/>
          <w:lang w:val="en-US"/>
        </w:rPr>
        <w:footnoteReference w:id="54"/>
      </w:r>
      <w:r w:rsidR="00C91581" w:rsidRPr="009A330C">
        <w:rPr>
          <w:rFonts w:ascii="Verdana" w:hAnsi="Verdana"/>
          <w:sz w:val="20"/>
          <w:szCs w:val="20"/>
          <w:lang w:val="en-US"/>
        </w:rPr>
        <w:t xml:space="preserve"> These pledges amount to threats of legal sanctions and undue interferences with the ability of people to participate in health-related discussions, as non-compliance </w:t>
      </w:r>
      <w:r w:rsidR="003426ED" w:rsidRPr="009A330C">
        <w:rPr>
          <w:rFonts w:ascii="Verdana" w:hAnsi="Verdana"/>
          <w:sz w:val="20"/>
          <w:szCs w:val="20"/>
          <w:lang w:val="en-US"/>
        </w:rPr>
        <w:t xml:space="preserve">with them </w:t>
      </w:r>
      <w:r w:rsidR="00C91581" w:rsidRPr="009A330C">
        <w:rPr>
          <w:rFonts w:ascii="Verdana" w:hAnsi="Verdana"/>
          <w:sz w:val="20"/>
          <w:szCs w:val="20"/>
          <w:lang w:val="en-US"/>
        </w:rPr>
        <w:t>would likely result in criminal penalties.</w:t>
      </w:r>
    </w:p>
    <w:p w14:paraId="3F20B277" w14:textId="13AD3AA0" w:rsidR="00C91581" w:rsidRPr="009A330C" w:rsidRDefault="00C91581" w:rsidP="00C91581">
      <w:pPr>
        <w:jc w:val="both"/>
        <w:rPr>
          <w:rFonts w:ascii="Verdana" w:hAnsi="Verdana"/>
          <w:sz w:val="20"/>
          <w:szCs w:val="20"/>
          <w:lang w:val="en-US"/>
        </w:rPr>
      </w:pPr>
      <w:r w:rsidRPr="009A330C">
        <w:rPr>
          <w:rFonts w:ascii="Verdana" w:hAnsi="Verdana"/>
          <w:sz w:val="20"/>
          <w:szCs w:val="20"/>
          <w:lang w:val="en-US"/>
        </w:rPr>
        <w:t xml:space="preserve"> </w:t>
      </w:r>
    </w:p>
    <w:p w14:paraId="646B4E5A" w14:textId="1E0205C8" w:rsidR="00C91581" w:rsidRPr="009A330C" w:rsidRDefault="00C91581" w:rsidP="00C91581">
      <w:pPr>
        <w:pStyle w:val="ListParagraph"/>
        <w:numPr>
          <w:ilvl w:val="0"/>
          <w:numId w:val="3"/>
        </w:numPr>
        <w:jc w:val="both"/>
        <w:rPr>
          <w:rFonts w:ascii="Verdana" w:hAnsi="Verdana"/>
          <w:sz w:val="20"/>
          <w:szCs w:val="20"/>
          <w:lang w:val="en-US"/>
        </w:rPr>
      </w:pPr>
      <w:r w:rsidRPr="009A330C">
        <w:rPr>
          <w:rFonts w:ascii="Verdana" w:hAnsi="Verdana"/>
          <w:sz w:val="20"/>
          <w:szCs w:val="20"/>
          <w:lang w:val="en-US"/>
        </w:rPr>
        <w:t>Journalists and media platforms have also been targeted and sanctioned for their reporting on the COVID-19 pandemic</w:t>
      </w:r>
      <w:r w:rsidR="003426ED" w:rsidRPr="009A330C">
        <w:rPr>
          <w:rFonts w:ascii="Verdana" w:hAnsi="Verdana"/>
          <w:sz w:val="20"/>
          <w:szCs w:val="20"/>
          <w:lang w:val="en-US"/>
        </w:rPr>
        <w:t>. In doing so</w:t>
      </w:r>
      <w:r w:rsidRPr="009A330C">
        <w:rPr>
          <w:rFonts w:ascii="Verdana" w:hAnsi="Verdana"/>
          <w:sz w:val="20"/>
          <w:szCs w:val="20"/>
          <w:lang w:val="en-US"/>
        </w:rPr>
        <w:t xml:space="preserve">, </w:t>
      </w:r>
      <w:r w:rsidR="003426ED" w:rsidRPr="009A330C">
        <w:rPr>
          <w:rFonts w:ascii="Verdana" w:hAnsi="Verdana"/>
          <w:sz w:val="20"/>
          <w:szCs w:val="20"/>
          <w:lang w:val="en-US"/>
        </w:rPr>
        <w:t xml:space="preserve">the authorities have </w:t>
      </w:r>
      <w:r w:rsidRPr="009A330C">
        <w:rPr>
          <w:rFonts w:ascii="Verdana" w:hAnsi="Verdana"/>
          <w:sz w:val="20"/>
          <w:szCs w:val="20"/>
          <w:lang w:val="en-US"/>
        </w:rPr>
        <w:t>undermine</w:t>
      </w:r>
      <w:r w:rsidR="003426ED" w:rsidRPr="009A330C">
        <w:rPr>
          <w:rFonts w:ascii="Verdana" w:hAnsi="Verdana"/>
          <w:sz w:val="20"/>
          <w:szCs w:val="20"/>
          <w:lang w:val="en-US"/>
        </w:rPr>
        <w:t>d</w:t>
      </w:r>
      <w:r w:rsidRPr="009A330C">
        <w:rPr>
          <w:rFonts w:ascii="Verdana" w:hAnsi="Verdana"/>
          <w:sz w:val="20"/>
          <w:szCs w:val="20"/>
          <w:lang w:val="en-US"/>
        </w:rPr>
        <w:t xml:space="preserve"> the crucial role of the media in monitoring the operation of and facilitating accountability in health systems.</w:t>
      </w:r>
      <w:r w:rsidRPr="009A330C">
        <w:rPr>
          <w:rFonts w:ascii="Verdana" w:hAnsi="Verdana"/>
          <w:sz w:val="20"/>
          <w:szCs w:val="20"/>
          <w:vertAlign w:val="superscript"/>
          <w:lang w:val="en"/>
        </w:rPr>
        <w:footnoteReference w:id="55"/>
      </w:r>
      <w:r w:rsidRPr="009A330C">
        <w:rPr>
          <w:rFonts w:ascii="Verdana" w:hAnsi="Verdana"/>
          <w:sz w:val="20"/>
          <w:szCs w:val="20"/>
          <w:lang w:val="en-US"/>
        </w:rPr>
        <w:t xml:space="preserve"> </w:t>
      </w:r>
      <w:r w:rsidRPr="009A330C">
        <w:rPr>
          <w:rFonts w:ascii="Verdana" w:hAnsi="Verdana"/>
          <w:sz w:val="20"/>
          <w:szCs w:val="20"/>
          <w:lang w:val="en"/>
        </w:rPr>
        <w:t>On 5 October 2020, S</w:t>
      </w:r>
      <w:r w:rsidR="00D74297" w:rsidRPr="009A330C">
        <w:rPr>
          <w:rFonts w:ascii="Verdana" w:hAnsi="Verdana"/>
          <w:sz w:val="20"/>
          <w:szCs w:val="20"/>
          <w:lang w:val="en"/>
        </w:rPr>
        <w:t>.</w:t>
      </w:r>
      <w:r w:rsidRPr="009A330C">
        <w:rPr>
          <w:rFonts w:ascii="Verdana" w:hAnsi="Verdana"/>
          <w:sz w:val="20"/>
          <w:szCs w:val="20"/>
          <w:lang w:val="en"/>
        </w:rPr>
        <w:t xml:space="preserve"> R</w:t>
      </w:r>
      <w:r w:rsidR="00D74297" w:rsidRPr="009A330C">
        <w:rPr>
          <w:rFonts w:ascii="Verdana" w:hAnsi="Verdana"/>
          <w:sz w:val="20"/>
          <w:szCs w:val="20"/>
          <w:lang w:val="en"/>
        </w:rPr>
        <w:t>.</w:t>
      </w:r>
      <w:r w:rsidRPr="009A330C">
        <w:rPr>
          <w:rFonts w:ascii="Verdana" w:hAnsi="Verdana"/>
          <w:sz w:val="20"/>
          <w:szCs w:val="20"/>
          <w:lang w:val="en"/>
        </w:rPr>
        <w:t xml:space="preserve">, director of online news outlet TVFB, was sentenced to 18 months in prison under articles 494 and 495 </w:t>
      </w:r>
      <w:r w:rsidR="006E353A" w:rsidRPr="009A330C">
        <w:rPr>
          <w:rFonts w:ascii="Verdana" w:hAnsi="Verdana"/>
          <w:sz w:val="20"/>
          <w:szCs w:val="20"/>
          <w:lang w:val="en"/>
        </w:rPr>
        <w:t>of the Criminal Code</w:t>
      </w:r>
      <w:r w:rsidR="003426ED" w:rsidRPr="009A330C">
        <w:rPr>
          <w:rFonts w:ascii="Verdana" w:hAnsi="Verdana"/>
          <w:sz w:val="20"/>
          <w:szCs w:val="20"/>
          <w:lang w:val="en"/>
        </w:rPr>
        <w:t xml:space="preserve"> </w:t>
      </w:r>
      <w:r w:rsidRPr="009A330C">
        <w:rPr>
          <w:rFonts w:ascii="Verdana" w:hAnsi="Verdana"/>
          <w:sz w:val="20"/>
          <w:szCs w:val="20"/>
          <w:lang w:val="en"/>
        </w:rPr>
        <w:t xml:space="preserve">for reporting on advice from Prime Minister Hun Sen that motorbike-taxi drivers sell their motorbikes if </w:t>
      </w:r>
      <w:r w:rsidRPr="009A330C">
        <w:rPr>
          <w:rFonts w:ascii="Verdana" w:hAnsi="Verdana"/>
          <w:sz w:val="20"/>
          <w:szCs w:val="20"/>
          <w:lang w:val="en"/>
        </w:rPr>
        <w:lastRenderedPageBreak/>
        <w:t>they are facing financial difficulties</w:t>
      </w:r>
      <w:r w:rsidR="006E353A" w:rsidRPr="009A330C">
        <w:rPr>
          <w:rFonts w:ascii="Verdana" w:hAnsi="Verdana"/>
          <w:sz w:val="20"/>
          <w:szCs w:val="20"/>
          <w:lang w:val="en"/>
        </w:rPr>
        <w:t>, which was received negatively by the public</w:t>
      </w:r>
      <w:r w:rsidRPr="009A330C">
        <w:rPr>
          <w:rFonts w:ascii="Verdana" w:hAnsi="Verdana"/>
          <w:sz w:val="20"/>
          <w:szCs w:val="20"/>
          <w:lang w:val="en"/>
        </w:rPr>
        <w:t>.</w:t>
      </w:r>
      <w:r w:rsidRPr="009A330C">
        <w:rPr>
          <w:rFonts w:ascii="Verdana" w:hAnsi="Verdana"/>
          <w:sz w:val="20"/>
          <w:szCs w:val="20"/>
          <w:vertAlign w:val="superscript"/>
          <w:lang w:val="en"/>
        </w:rPr>
        <w:footnoteReference w:id="56"/>
      </w:r>
      <w:r w:rsidRPr="009A330C">
        <w:rPr>
          <w:rFonts w:ascii="Verdana" w:hAnsi="Verdana"/>
          <w:sz w:val="20"/>
          <w:szCs w:val="20"/>
          <w:lang w:val="en"/>
        </w:rPr>
        <w:t xml:space="preserve"> On 13 November 2020, R</w:t>
      </w:r>
      <w:r w:rsidR="00D74297" w:rsidRPr="009A330C">
        <w:rPr>
          <w:rFonts w:ascii="Verdana" w:hAnsi="Verdana"/>
          <w:sz w:val="20"/>
          <w:szCs w:val="20"/>
          <w:lang w:val="en"/>
        </w:rPr>
        <w:t>.</w:t>
      </w:r>
      <w:r w:rsidRPr="009A330C">
        <w:rPr>
          <w:rFonts w:ascii="Verdana" w:hAnsi="Verdana"/>
          <w:sz w:val="20"/>
          <w:szCs w:val="20"/>
          <w:lang w:val="en"/>
        </w:rPr>
        <w:t xml:space="preserve"> S</w:t>
      </w:r>
      <w:r w:rsidR="00D74297" w:rsidRPr="009A330C">
        <w:rPr>
          <w:rFonts w:ascii="Verdana" w:hAnsi="Verdana"/>
          <w:sz w:val="20"/>
          <w:szCs w:val="20"/>
          <w:lang w:val="en"/>
        </w:rPr>
        <w:t>.</w:t>
      </w:r>
      <w:r w:rsidRPr="009A330C">
        <w:rPr>
          <w:rFonts w:ascii="Verdana" w:hAnsi="Verdana"/>
          <w:sz w:val="20"/>
          <w:szCs w:val="20"/>
          <w:lang w:val="en"/>
        </w:rPr>
        <w:t xml:space="preserve">, publisher of the Cheat Khmer newspaper, was sentenced to 18 months in prison under </w:t>
      </w:r>
      <w:r w:rsidR="006670D1" w:rsidRPr="009A330C">
        <w:rPr>
          <w:rFonts w:ascii="Verdana" w:hAnsi="Verdana"/>
          <w:sz w:val="20"/>
          <w:szCs w:val="20"/>
          <w:lang w:val="en"/>
        </w:rPr>
        <w:t xml:space="preserve">the same criminal provisions </w:t>
      </w:r>
      <w:r w:rsidRPr="009A330C">
        <w:rPr>
          <w:rFonts w:ascii="Verdana" w:hAnsi="Verdana"/>
          <w:sz w:val="20"/>
          <w:szCs w:val="20"/>
          <w:lang w:val="en"/>
        </w:rPr>
        <w:t>for his Facebook posts criticizing the government’s response to the pandemic.</w:t>
      </w:r>
      <w:r w:rsidRPr="009A330C">
        <w:rPr>
          <w:rFonts w:ascii="Verdana" w:hAnsi="Verdana"/>
          <w:sz w:val="20"/>
          <w:szCs w:val="20"/>
          <w:vertAlign w:val="superscript"/>
          <w:lang w:val="en"/>
        </w:rPr>
        <w:footnoteReference w:id="57"/>
      </w:r>
      <w:r w:rsidRPr="009A330C">
        <w:rPr>
          <w:rFonts w:ascii="Verdana" w:hAnsi="Verdana"/>
          <w:sz w:val="20"/>
          <w:szCs w:val="20"/>
          <w:lang w:val="en"/>
        </w:rPr>
        <w:t xml:space="preserve"> </w:t>
      </w:r>
      <w:r w:rsidRPr="009A330C">
        <w:rPr>
          <w:rFonts w:ascii="Verdana" w:hAnsi="Verdana"/>
          <w:sz w:val="20"/>
          <w:szCs w:val="20"/>
          <w:lang w:val="en-SG"/>
        </w:rPr>
        <w:t>On 14 July 2021, K</w:t>
      </w:r>
      <w:r w:rsidR="00D74297" w:rsidRPr="009A330C">
        <w:rPr>
          <w:rFonts w:ascii="Verdana" w:hAnsi="Verdana"/>
          <w:sz w:val="20"/>
          <w:szCs w:val="20"/>
          <w:lang w:val="en-SG"/>
        </w:rPr>
        <w:t>.</w:t>
      </w:r>
      <w:r w:rsidRPr="009A330C">
        <w:rPr>
          <w:rFonts w:ascii="Verdana" w:hAnsi="Verdana"/>
          <w:sz w:val="20"/>
          <w:szCs w:val="20"/>
          <w:lang w:val="en-SG"/>
        </w:rPr>
        <w:t xml:space="preserve"> P</w:t>
      </w:r>
      <w:r w:rsidR="00D74297" w:rsidRPr="009A330C">
        <w:rPr>
          <w:rFonts w:ascii="Verdana" w:hAnsi="Verdana"/>
          <w:sz w:val="20"/>
          <w:szCs w:val="20"/>
          <w:lang w:val="en-SG"/>
        </w:rPr>
        <w:t>.</w:t>
      </w:r>
      <w:r w:rsidRPr="009A330C">
        <w:rPr>
          <w:rFonts w:ascii="Verdana" w:hAnsi="Verdana"/>
          <w:sz w:val="20"/>
          <w:szCs w:val="20"/>
          <w:lang w:val="en-SG"/>
        </w:rPr>
        <w:t>, Siem Reap Tannhektar news websites’ cor</w:t>
      </w:r>
      <w:r w:rsidRPr="009A330C">
        <w:rPr>
          <w:rFonts w:ascii="Verdana" w:hAnsi="Verdana"/>
          <w:sz w:val="20"/>
          <w:szCs w:val="20"/>
          <w:lang w:val="en-SG"/>
        </w:rPr>
        <w:lastRenderedPageBreak/>
        <w:t>respondent, was charged with “incitement” under articles 494 and 495, as well as “obstructing an enforcement measure” under article 11 of the COVID-19 Preventive Law, allegedly in relation to his Facebook post on 27 June criticizing the government’s decision to use Sinopharm and Sinovac vaccines.</w:t>
      </w:r>
      <w:r w:rsidRPr="009A330C">
        <w:rPr>
          <w:rFonts w:ascii="Verdana" w:hAnsi="Verdana"/>
          <w:sz w:val="20"/>
          <w:szCs w:val="20"/>
          <w:vertAlign w:val="superscript"/>
          <w:lang w:val="en"/>
        </w:rPr>
        <w:footnoteReference w:id="58"/>
      </w:r>
      <w:r w:rsidRPr="009A330C">
        <w:rPr>
          <w:rFonts w:ascii="Verdana" w:hAnsi="Verdana"/>
          <w:sz w:val="20"/>
          <w:szCs w:val="20"/>
          <w:lang w:val="en-SG"/>
        </w:rPr>
        <w:t xml:space="preserve"> Additionally, at least five media outlets have had their media licenses revoked for their reporting on the COVID-19 pandemic.</w:t>
      </w:r>
      <w:r w:rsidRPr="009A330C">
        <w:rPr>
          <w:rStyle w:val="FootnoteReference"/>
          <w:rFonts w:ascii="Verdana" w:hAnsi="Verdana"/>
          <w:sz w:val="20"/>
          <w:szCs w:val="20"/>
          <w:lang w:val="en-SG"/>
        </w:rPr>
        <w:footnoteReference w:id="59"/>
      </w:r>
      <w:r w:rsidRPr="009A330C">
        <w:rPr>
          <w:rFonts w:ascii="Verdana" w:hAnsi="Verdana"/>
          <w:sz w:val="20"/>
          <w:szCs w:val="20"/>
          <w:lang w:val="en-SG"/>
        </w:rPr>
        <w:t xml:space="preserve">  </w:t>
      </w:r>
    </w:p>
    <w:p w14:paraId="03A9CBB5" w14:textId="77777777" w:rsidR="00C91581" w:rsidRPr="009A330C" w:rsidRDefault="00C91581" w:rsidP="00C91581">
      <w:pPr>
        <w:pStyle w:val="ListParagraph"/>
        <w:ind w:left="360"/>
        <w:rPr>
          <w:rFonts w:ascii="Verdana" w:hAnsi="Verdana"/>
          <w:sz w:val="20"/>
          <w:szCs w:val="20"/>
          <w:lang w:val="en-US"/>
        </w:rPr>
      </w:pPr>
    </w:p>
    <w:p w14:paraId="0AF3E2FE" w14:textId="2F895589" w:rsidR="00C91581" w:rsidRPr="009A330C" w:rsidRDefault="00C91581" w:rsidP="00C91581">
      <w:pPr>
        <w:pStyle w:val="ListParagraph"/>
        <w:numPr>
          <w:ilvl w:val="0"/>
          <w:numId w:val="3"/>
        </w:numPr>
        <w:jc w:val="both"/>
        <w:rPr>
          <w:rFonts w:ascii="Verdana" w:hAnsi="Verdana"/>
          <w:sz w:val="20"/>
          <w:szCs w:val="20"/>
          <w:lang w:val="en-US"/>
        </w:rPr>
      </w:pPr>
      <w:r w:rsidRPr="009A330C">
        <w:rPr>
          <w:rFonts w:ascii="Verdana" w:hAnsi="Verdana"/>
          <w:sz w:val="20"/>
          <w:szCs w:val="20"/>
          <w:lang w:val="en-US"/>
        </w:rPr>
        <w:t xml:space="preserve">The Cambodian authorities have intensified their repression of perceived political opponents for criticizing the government’s COVID-19 response, by arresting, detaining and charging political opponents under articles 425 (false information), 437 </w:t>
      </w:r>
      <w:r w:rsidRPr="009A330C">
        <w:rPr>
          <w:rFonts w:ascii="Verdana" w:hAnsi="Verdana"/>
          <w:i/>
          <w:sz w:val="20"/>
          <w:szCs w:val="20"/>
          <w:lang w:val="en-US"/>
        </w:rPr>
        <w:t>bis</w:t>
      </w:r>
      <w:r w:rsidRPr="009A330C">
        <w:rPr>
          <w:rFonts w:ascii="Verdana" w:hAnsi="Verdana"/>
          <w:sz w:val="20"/>
          <w:szCs w:val="20"/>
          <w:lang w:val="en-US"/>
        </w:rPr>
        <w:t xml:space="preserve"> (lèse-majesté), 453 (plotting) and 494 and 495 (incitement to commit a felony or disturb social security) of the Criminal Code.</w:t>
      </w:r>
      <w:r w:rsidRPr="009A330C">
        <w:rPr>
          <w:rStyle w:val="FootnoteReference"/>
          <w:rFonts w:ascii="Verdana" w:hAnsi="Verdana"/>
          <w:sz w:val="20"/>
          <w:szCs w:val="20"/>
          <w:lang w:val="en-US"/>
        </w:rPr>
        <w:footnoteReference w:id="60"/>
      </w:r>
      <w:r w:rsidRPr="009A330C">
        <w:rPr>
          <w:rFonts w:ascii="Verdana" w:hAnsi="Verdana"/>
          <w:sz w:val="20"/>
          <w:szCs w:val="20"/>
          <w:lang w:val="en-US"/>
        </w:rPr>
        <w:t xml:space="preserve"> Notably, S</w:t>
      </w:r>
      <w:r w:rsidR="00D74297" w:rsidRPr="009A330C">
        <w:rPr>
          <w:rFonts w:ascii="Verdana" w:hAnsi="Verdana"/>
          <w:sz w:val="20"/>
          <w:szCs w:val="20"/>
          <w:lang w:val="en-US"/>
        </w:rPr>
        <w:t>.</w:t>
      </w:r>
      <w:r w:rsidRPr="009A330C">
        <w:rPr>
          <w:rFonts w:ascii="Verdana" w:hAnsi="Verdana"/>
          <w:sz w:val="20"/>
          <w:szCs w:val="20"/>
          <w:lang w:val="en-US"/>
        </w:rPr>
        <w:t xml:space="preserve"> R</w:t>
      </w:r>
      <w:r w:rsidR="00D74297" w:rsidRPr="009A330C">
        <w:rPr>
          <w:rFonts w:ascii="Verdana" w:hAnsi="Verdana"/>
          <w:sz w:val="20"/>
          <w:szCs w:val="20"/>
          <w:lang w:val="en-US"/>
        </w:rPr>
        <w:t>.</w:t>
      </w:r>
      <w:r w:rsidRPr="009A330C">
        <w:rPr>
          <w:rFonts w:ascii="Verdana" w:hAnsi="Verdana"/>
          <w:sz w:val="20"/>
          <w:szCs w:val="20"/>
          <w:lang w:val="en-US"/>
        </w:rPr>
        <w:t xml:space="preserve">, the former leader of the Cambodia National Rescue Party, was charged under articles 437 </w:t>
      </w:r>
      <w:r w:rsidRPr="009A330C">
        <w:rPr>
          <w:rFonts w:ascii="Verdana" w:hAnsi="Verdana"/>
          <w:i/>
          <w:sz w:val="20"/>
          <w:szCs w:val="20"/>
          <w:lang w:val="en-US"/>
        </w:rPr>
        <w:lastRenderedPageBreak/>
        <w:t xml:space="preserve">bis </w:t>
      </w:r>
      <w:r w:rsidRPr="009A330C">
        <w:rPr>
          <w:rFonts w:ascii="Verdana" w:hAnsi="Verdana"/>
          <w:sz w:val="20"/>
          <w:szCs w:val="20"/>
          <w:lang w:val="en-US"/>
        </w:rPr>
        <w:t>for his Facebook posts criticizing the government’s COVID-19 vaccine plan and expressing his opinion that the King is a “puppet who does exactly what Hun Sen tells him”.</w:t>
      </w:r>
      <w:r w:rsidRPr="009A330C">
        <w:rPr>
          <w:rStyle w:val="FootnoteReference"/>
          <w:rFonts w:ascii="Verdana" w:hAnsi="Verdana"/>
          <w:sz w:val="20"/>
          <w:szCs w:val="20"/>
        </w:rPr>
        <w:footnoteReference w:id="61"/>
      </w:r>
      <w:r w:rsidRPr="009A330C">
        <w:rPr>
          <w:rFonts w:ascii="Verdana" w:hAnsi="Verdana"/>
          <w:sz w:val="20"/>
          <w:szCs w:val="20"/>
          <w:lang w:val="en-US"/>
        </w:rPr>
        <w:t xml:space="preserve"> </w:t>
      </w:r>
    </w:p>
    <w:p w14:paraId="44B84BDB" w14:textId="77777777" w:rsidR="004117E2" w:rsidRPr="009A330C" w:rsidRDefault="004117E2" w:rsidP="00324A88">
      <w:pPr>
        <w:rPr>
          <w:rFonts w:ascii="Verdana" w:hAnsi="Verdana"/>
          <w:sz w:val="20"/>
          <w:szCs w:val="20"/>
          <w:lang w:val="en-US"/>
        </w:rPr>
      </w:pPr>
    </w:p>
    <w:p w14:paraId="7B3F2D53" w14:textId="5BE46DFA" w:rsidR="007805F2" w:rsidRPr="009A330C" w:rsidRDefault="00C91581" w:rsidP="004D5CDD">
      <w:pPr>
        <w:pStyle w:val="ListParagraph"/>
        <w:numPr>
          <w:ilvl w:val="0"/>
          <w:numId w:val="1"/>
        </w:numPr>
        <w:rPr>
          <w:rFonts w:ascii="Verdana" w:hAnsi="Verdana"/>
          <w:b/>
          <w:sz w:val="20"/>
          <w:szCs w:val="20"/>
          <w:lang w:val="en-US"/>
        </w:rPr>
      </w:pPr>
      <w:r w:rsidRPr="009A330C">
        <w:rPr>
          <w:rFonts w:ascii="Verdana" w:hAnsi="Verdana"/>
          <w:b/>
          <w:sz w:val="20"/>
          <w:szCs w:val="20"/>
          <w:lang w:val="en-US"/>
        </w:rPr>
        <w:t xml:space="preserve">Crackdown on Human Rights Defenders and Trade Union Leaders Working on Economic, Social and Cultural Rights </w:t>
      </w:r>
    </w:p>
    <w:p w14:paraId="32F73043" w14:textId="531F05BF" w:rsidR="00B955A1" w:rsidRPr="009A330C" w:rsidRDefault="00B955A1" w:rsidP="00B955A1">
      <w:pPr>
        <w:rPr>
          <w:rFonts w:ascii="Verdana" w:hAnsi="Verdana"/>
          <w:b/>
          <w:sz w:val="20"/>
          <w:szCs w:val="20"/>
          <w:lang w:val="en-US"/>
        </w:rPr>
      </w:pPr>
    </w:p>
    <w:p w14:paraId="038DEA78" w14:textId="0098958A" w:rsidR="00D35703" w:rsidRPr="009A330C" w:rsidRDefault="00C44D03" w:rsidP="00C91581">
      <w:pPr>
        <w:pStyle w:val="ListParagraph"/>
        <w:numPr>
          <w:ilvl w:val="0"/>
          <w:numId w:val="3"/>
        </w:numPr>
        <w:jc w:val="both"/>
        <w:rPr>
          <w:rFonts w:ascii="Verdana" w:hAnsi="Verdana"/>
          <w:sz w:val="20"/>
          <w:szCs w:val="20"/>
          <w:lang w:val="en-US"/>
        </w:rPr>
      </w:pPr>
      <w:r w:rsidRPr="009A330C">
        <w:rPr>
          <w:rFonts w:ascii="Verdana" w:hAnsi="Verdana"/>
          <w:sz w:val="20"/>
          <w:szCs w:val="20"/>
          <w:lang w:val="en-US"/>
        </w:rPr>
        <w:t xml:space="preserve">Relying on articles 494 and 495 of the Criminal Code, </w:t>
      </w:r>
      <w:r w:rsidR="006E353A" w:rsidRPr="009A330C">
        <w:rPr>
          <w:rFonts w:ascii="Verdana" w:hAnsi="Verdana"/>
          <w:sz w:val="20"/>
          <w:szCs w:val="20"/>
          <w:lang w:val="en-US"/>
        </w:rPr>
        <w:t xml:space="preserve">amongst other provisions, </w:t>
      </w:r>
      <w:r w:rsidRPr="009A330C">
        <w:rPr>
          <w:rFonts w:ascii="Verdana" w:hAnsi="Verdana"/>
          <w:sz w:val="20"/>
          <w:szCs w:val="20"/>
          <w:lang w:val="en-US"/>
        </w:rPr>
        <w:t>t</w:t>
      </w:r>
      <w:r w:rsidR="00B955A1" w:rsidRPr="009A330C">
        <w:rPr>
          <w:rFonts w:ascii="Verdana" w:hAnsi="Verdana"/>
          <w:sz w:val="20"/>
          <w:szCs w:val="20"/>
          <w:lang w:val="en-US"/>
        </w:rPr>
        <w:t xml:space="preserve">he Cambodian authorities </w:t>
      </w:r>
      <w:r w:rsidRPr="009A330C">
        <w:rPr>
          <w:rFonts w:ascii="Verdana" w:hAnsi="Verdana"/>
          <w:sz w:val="20"/>
          <w:szCs w:val="20"/>
          <w:lang w:val="en-US"/>
        </w:rPr>
        <w:t xml:space="preserve">have been responsible for a crackdown on human rights defenders and trade union leaders by </w:t>
      </w:r>
      <w:r w:rsidR="00C91581" w:rsidRPr="009A330C">
        <w:rPr>
          <w:rFonts w:ascii="Verdana" w:hAnsi="Verdana"/>
          <w:sz w:val="20"/>
          <w:szCs w:val="20"/>
          <w:lang w:val="en-US"/>
        </w:rPr>
        <w:t>regularly imprison</w:t>
      </w:r>
      <w:r w:rsidRPr="009A330C">
        <w:rPr>
          <w:rFonts w:ascii="Verdana" w:hAnsi="Verdana"/>
          <w:sz w:val="20"/>
          <w:szCs w:val="20"/>
          <w:lang w:val="en-US"/>
        </w:rPr>
        <w:t>ing</w:t>
      </w:r>
      <w:r w:rsidR="00C91581" w:rsidRPr="009A330C">
        <w:rPr>
          <w:rFonts w:ascii="Verdana" w:hAnsi="Verdana"/>
          <w:sz w:val="20"/>
          <w:szCs w:val="20"/>
          <w:lang w:val="en-US"/>
        </w:rPr>
        <w:t>, harass</w:t>
      </w:r>
      <w:r w:rsidRPr="009A330C">
        <w:rPr>
          <w:rFonts w:ascii="Verdana" w:hAnsi="Verdana"/>
          <w:sz w:val="20"/>
          <w:szCs w:val="20"/>
          <w:lang w:val="en-US"/>
        </w:rPr>
        <w:t>ing</w:t>
      </w:r>
      <w:r w:rsidR="00C91581" w:rsidRPr="009A330C">
        <w:rPr>
          <w:rFonts w:ascii="Verdana" w:hAnsi="Verdana"/>
          <w:sz w:val="20"/>
          <w:szCs w:val="20"/>
          <w:lang w:val="en-US"/>
        </w:rPr>
        <w:t xml:space="preserve"> and intimidat</w:t>
      </w:r>
      <w:r w:rsidRPr="009A330C">
        <w:rPr>
          <w:rFonts w:ascii="Verdana" w:hAnsi="Verdana"/>
          <w:sz w:val="20"/>
          <w:szCs w:val="20"/>
          <w:lang w:val="en-US"/>
        </w:rPr>
        <w:t>ing them</w:t>
      </w:r>
      <w:r w:rsidR="00C91581" w:rsidRPr="009A330C">
        <w:rPr>
          <w:rFonts w:ascii="Verdana" w:hAnsi="Verdana"/>
          <w:sz w:val="20"/>
          <w:szCs w:val="20"/>
          <w:lang w:val="en-US"/>
        </w:rPr>
        <w:t>, particularly those working on economic, social and cultural rights</w:t>
      </w:r>
      <w:r w:rsidR="00AC72B9" w:rsidRPr="009A330C">
        <w:rPr>
          <w:rFonts w:ascii="Verdana" w:hAnsi="Verdana"/>
          <w:sz w:val="20"/>
          <w:szCs w:val="20"/>
          <w:lang w:val="en-US"/>
        </w:rPr>
        <w:t>,</w:t>
      </w:r>
      <w:r w:rsidR="00C91581" w:rsidRPr="009A330C">
        <w:rPr>
          <w:rFonts w:ascii="Verdana" w:hAnsi="Verdana"/>
          <w:sz w:val="20"/>
          <w:szCs w:val="20"/>
          <w:lang w:val="en-US"/>
        </w:rPr>
        <w:t xml:space="preserve"> such as land and environmental issues,.</w:t>
      </w:r>
      <w:r w:rsidR="00B47A99" w:rsidRPr="009A330C">
        <w:rPr>
          <w:rStyle w:val="FootnoteReference"/>
          <w:rFonts w:ascii="Verdana" w:hAnsi="Verdana"/>
          <w:sz w:val="20"/>
          <w:szCs w:val="20"/>
          <w:lang w:val="en-US"/>
        </w:rPr>
        <w:footnoteReference w:id="62"/>
      </w:r>
      <w:r w:rsidR="00C91581" w:rsidRPr="009A330C">
        <w:rPr>
          <w:rFonts w:ascii="Verdana" w:hAnsi="Verdana"/>
          <w:sz w:val="20"/>
          <w:szCs w:val="20"/>
          <w:lang w:val="en-US"/>
        </w:rPr>
        <w:t xml:space="preserve"> </w:t>
      </w:r>
      <w:r w:rsidRPr="009A330C">
        <w:rPr>
          <w:rFonts w:ascii="Verdana" w:hAnsi="Verdana"/>
          <w:sz w:val="20"/>
          <w:szCs w:val="20"/>
          <w:lang w:val="en-US"/>
        </w:rPr>
        <w:t xml:space="preserve">As </w:t>
      </w:r>
      <w:r w:rsidR="00C91581" w:rsidRPr="009A330C">
        <w:rPr>
          <w:rFonts w:ascii="Verdana" w:hAnsi="Verdana"/>
          <w:sz w:val="20"/>
          <w:szCs w:val="20"/>
          <w:lang w:val="en-US"/>
        </w:rPr>
        <w:t xml:space="preserve">the </w:t>
      </w:r>
      <w:r w:rsidR="00C91581" w:rsidRPr="009A330C">
        <w:rPr>
          <w:rFonts w:ascii="Verdana" w:hAnsi="Verdana"/>
          <w:sz w:val="20"/>
          <w:szCs w:val="20"/>
          <w:lang w:val="en-US"/>
        </w:rPr>
        <w:lastRenderedPageBreak/>
        <w:t>CESCR</w:t>
      </w:r>
      <w:r w:rsidRPr="009A330C">
        <w:rPr>
          <w:rFonts w:ascii="Verdana" w:hAnsi="Verdana"/>
          <w:sz w:val="20"/>
          <w:szCs w:val="20"/>
          <w:lang w:val="en-US"/>
        </w:rPr>
        <w:t xml:space="preserve"> has authoritatively held, </w:t>
      </w:r>
      <w:r w:rsidR="00C91581" w:rsidRPr="009A330C">
        <w:rPr>
          <w:rFonts w:ascii="Verdana" w:hAnsi="Verdana"/>
          <w:sz w:val="20"/>
          <w:szCs w:val="20"/>
          <w:lang w:val="en-US"/>
        </w:rPr>
        <w:t>“any threats or violence against human rights defenders [will] constitute violations of the obligations of States towards the realization of Covenant rights, since human rights defenders also contribute through their work to the fulfilment of those rights.”</w:t>
      </w:r>
      <w:r w:rsidR="00C91581" w:rsidRPr="009A330C">
        <w:rPr>
          <w:rStyle w:val="FootnoteReference"/>
          <w:rFonts w:ascii="Verdana" w:hAnsi="Verdana"/>
          <w:sz w:val="20"/>
          <w:szCs w:val="20"/>
          <w:lang w:val="en-US"/>
        </w:rPr>
        <w:footnoteReference w:id="63"/>
      </w:r>
      <w:r w:rsidR="00C91581" w:rsidRPr="009A330C">
        <w:rPr>
          <w:rFonts w:ascii="Verdana" w:hAnsi="Verdana"/>
          <w:sz w:val="20"/>
          <w:szCs w:val="20"/>
          <w:lang w:val="en-US"/>
        </w:rPr>
        <w:t xml:space="preserve"> </w:t>
      </w:r>
    </w:p>
    <w:p w14:paraId="0EAA1AA1" w14:textId="77777777" w:rsidR="00B955A1" w:rsidRPr="009A330C" w:rsidRDefault="00B955A1" w:rsidP="00F679C8">
      <w:pPr>
        <w:pStyle w:val="ListParagraph"/>
        <w:ind w:left="360"/>
        <w:jc w:val="both"/>
        <w:rPr>
          <w:rFonts w:ascii="Verdana" w:hAnsi="Verdana"/>
          <w:sz w:val="20"/>
          <w:szCs w:val="20"/>
          <w:lang w:val="en-US"/>
        </w:rPr>
      </w:pPr>
    </w:p>
    <w:p w14:paraId="189CC22A" w14:textId="07E73BCE" w:rsidR="00B955A1" w:rsidRPr="009A330C" w:rsidRDefault="004C1BB1" w:rsidP="00F679C8">
      <w:pPr>
        <w:pStyle w:val="ListParagraph"/>
        <w:numPr>
          <w:ilvl w:val="0"/>
          <w:numId w:val="3"/>
        </w:numPr>
        <w:jc w:val="both"/>
        <w:rPr>
          <w:rFonts w:ascii="Verdana" w:hAnsi="Verdana"/>
          <w:sz w:val="20"/>
          <w:szCs w:val="20"/>
          <w:lang w:val="en-US"/>
        </w:rPr>
      </w:pPr>
      <w:r w:rsidRPr="009A330C">
        <w:rPr>
          <w:rFonts w:ascii="Verdana" w:hAnsi="Verdana"/>
          <w:sz w:val="20"/>
          <w:szCs w:val="20"/>
          <w:lang w:val="en-US"/>
        </w:rPr>
        <w:t xml:space="preserve">For instance, </w:t>
      </w:r>
      <w:r w:rsidRPr="009A330C">
        <w:rPr>
          <w:rFonts w:ascii="Verdana" w:hAnsi="Verdana"/>
          <w:sz w:val="20"/>
          <w:szCs w:val="20"/>
        </w:rPr>
        <w:t>on 18 August 2021, the Phnom Penh Municipal Court sentenced R</w:t>
      </w:r>
      <w:r w:rsidR="00D74297" w:rsidRPr="009A330C">
        <w:rPr>
          <w:rFonts w:ascii="Verdana" w:hAnsi="Verdana"/>
          <w:sz w:val="20"/>
          <w:szCs w:val="20"/>
        </w:rPr>
        <w:t>.</w:t>
      </w:r>
      <w:r w:rsidRPr="009A330C">
        <w:rPr>
          <w:rFonts w:ascii="Verdana" w:hAnsi="Verdana"/>
          <w:sz w:val="20"/>
          <w:szCs w:val="20"/>
        </w:rPr>
        <w:t xml:space="preserve"> C</w:t>
      </w:r>
      <w:r w:rsidR="00D74297" w:rsidRPr="009A330C">
        <w:rPr>
          <w:rFonts w:ascii="Verdana" w:hAnsi="Verdana"/>
          <w:sz w:val="20"/>
          <w:szCs w:val="20"/>
        </w:rPr>
        <w:t>.</w:t>
      </w:r>
      <w:r w:rsidRPr="009A330C">
        <w:rPr>
          <w:rFonts w:ascii="Verdana" w:hAnsi="Verdana"/>
          <w:sz w:val="20"/>
          <w:szCs w:val="20"/>
        </w:rPr>
        <w:t>, the President of the Cambodian Federation of Unions and a member of the Cambodia Watchdog Council (CWC), an umbrella non-governmental organization of unions representing teachers, workers, farmers and students</w:t>
      </w:r>
      <w:r w:rsidR="00CE7AAE" w:rsidRPr="009A330C">
        <w:rPr>
          <w:rFonts w:ascii="Verdana" w:hAnsi="Verdana"/>
          <w:sz w:val="20"/>
          <w:szCs w:val="20"/>
        </w:rPr>
        <w:t>,</w:t>
      </w:r>
      <w:r w:rsidRPr="009A330C">
        <w:rPr>
          <w:rFonts w:ascii="Verdana" w:hAnsi="Verdana"/>
          <w:sz w:val="20"/>
          <w:szCs w:val="20"/>
        </w:rPr>
        <w:t xml:space="preserve"> to two years in prison and fined him two million riel (approx. USD 500) for incitement to cause serious disorder to social security.</w:t>
      </w:r>
      <w:r w:rsidRPr="009A330C">
        <w:rPr>
          <w:rStyle w:val="FootnoteReference"/>
          <w:rFonts w:ascii="Verdana" w:hAnsi="Verdana"/>
          <w:sz w:val="20"/>
          <w:szCs w:val="20"/>
        </w:rPr>
        <w:footnoteReference w:id="64"/>
      </w:r>
      <w:r w:rsidRPr="009A330C">
        <w:rPr>
          <w:rFonts w:ascii="Verdana" w:hAnsi="Verdana"/>
          <w:sz w:val="20"/>
          <w:szCs w:val="20"/>
        </w:rPr>
        <w:t xml:space="preserve"> R</w:t>
      </w:r>
      <w:r w:rsidR="00D74297" w:rsidRPr="009A330C">
        <w:rPr>
          <w:rFonts w:ascii="Verdana" w:hAnsi="Verdana"/>
          <w:sz w:val="20"/>
          <w:szCs w:val="20"/>
        </w:rPr>
        <w:t>.</w:t>
      </w:r>
      <w:r w:rsidRPr="009A330C">
        <w:rPr>
          <w:rFonts w:ascii="Verdana" w:hAnsi="Verdana"/>
          <w:sz w:val="20"/>
          <w:szCs w:val="20"/>
        </w:rPr>
        <w:t xml:space="preserve"> C</w:t>
      </w:r>
      <w:r w:rsidR="00D74297" w:rsidRPr="009A330C">
        <w:rPr>
          <w:rFonts w:ascii="Verdana" w:hAnsi="Verdana"/>
          <w:sz w:val="20"/>
          <w:szCs w:val="20"/>
        </w:rPr>
        <w:t>.</w:t>
      </w:r>
      <w:r w:rsidRPr="009A330C">
        <w:rPr>
          <w:rFonts w:ascii="Verdana" w:hAnsi="Verdana"/>
          <w:sz w:val="20"/>
          <w:szCs w:val="20"/>
        </w:rPr>
        <w:t xml:space="preserve"> had posted </w:t>
      </w:r>
      <w:r w:rsidR="00CE7AAE" w:rsidRPr="009A330C">
        <w:rPr>
          <w:rFonts w:ascii="Verdana" w:hAnsi="Verdana"/>
          <w:sz w:val="20"/>
          <w:szCs w:val="20"/>
        </w:rPr>
        <w:t xml:space="preserve">information </w:t>
      </w:r>
      <w:r w:rsidRPr="009A330C">
        <w:rPr>
          <w:rFonts w:ascii="Verdana" w:hAnsi="Verdana"/>
          <w:sz w:val="20"/>
          <w:szCs w:val="20"/>
        </w:rPr>
        <w:t xml:space="preserve">on his personal Facebook page </w:t>
      </w:r>
      <w:r w:rsidR="00CE7AAE" w:rsidRPr="009A330C">
        <w:rPr>
          <w:rFonts w:ascii="Verdana" w:hAnsi="Verdana"/>
          <w:sz w:val="20"/>
          <w:szCs w:val="20"/>
        </w:rPr>
        <w:t xml:space="preserve">about the fact </w:t>
      </w:r>
      <w:r w:rsidRPr="009A330C">
        <w:rPr>
          <w:rFonts w:ascii="Verdana" w:hAnsi="Verdana"/>
          <w:sz w:val="20"/>
          <w:szCs w:val="20"/>
        </w:rPr>
        <w:t>that several Cambodians farmers had lost their land because of the irregular demarcations of border posts in Tbong Khmum Province.</w:t>
      </w:r>
      <w:r w:rsidRPr="009A330C">
        <w:rPr>
          <w:rStyle w:val="FootnoteReference"/>
          <w:rFonts w:ascii="Verdana" w:hAnsi="Verdana"/>
          <w:sz w:val="20"/>
          <w:szCs w:val="20"/>
        </w:rPr>
        <w:footnoteReference w:id="65"/>
      </w:r>
      <w:r w:rsidR="005A0025" w:rsidRPr="009A330C">
        <w:rPr>
          <w:rFonts w:ascii="Verdana" w:hAnsi="Verdana"/>
          <w:sz w:val="20"/>
          <w:szCs w:val="20"/>
        </w:rPr>
        <w:t xml:space="preserve"> </w:t>
      </w:r>
    </w:p>
    <w:p w14:paraId="34F2035C" w14:textId="798CB85F" w:rsidR="005A0025" w:rsidRPr="009A330C" w:rsidRDefault="005A0025" w:rsidP="00F679C8">
      <w:pPr>
        <w:pStyle w:val="ListParagraph"/>
        <w:numPr>
          <w:ilvl w:val="0"/>
          <w:numId w:val="3"/>
        </w:numPr>
        <w:jc w:val="both"/>
        <w:rPr>
          <w:rFonts w:ascii="Verdana" w:hAnsi="Verdana"/>
          <w:sz w:val="20"/>
          <w:szCs w:val="20"/>
        </w:rPr>
      </w:pPr>
      <w:r w:rsidRPr="009A330C">
        <w:rPr>
          <w:rFonts w:ascii="Verdana" w:hAnsi="Verdana"/>
          <w:sz w:val="20"/>
          <w:szCs w:val="20"/>
        </w:rPr>
        <w:t xml:space="preserve"> </w:t>
      </w:r>
      <w:r w:rsidR="008A686A" w:rsidRPr="009A330C">
        <w:rPr>
          <w:rFonts w:ascii="Verdana" w:hAnsi="Verdana"/>
          <w:sz w:val="20"/>
          <w:szCs w:val="20"/>
        </w:rPr>
        <w:t>In another noteworthy case, in May 2021</w:t>
      </w:r>
      <w:r w:rsidR="00443834" w:rsidRPr="009A330C">
        <w:rPr>
          <w:rFonts w:ascii="Verdana" w:hAnsi="Verdana"/>
          <w:sz w:val="20"/>
          <w:szCs w:val="20"/>
        </w:rPr>
        <w:t>,</w:t>
      </w:r>
      <w:r w:rsidR="008A686A" w:rsidRPr="009A330C">
        <w:rPr>
          <w:rFonts w:ascii="Verdana" w:hAnsi="Verdana"/>
          <w:sz w:val="20"/>
          <w:szCs w:val="20"/>
        </w:rPr>
        <w:t xml:space="preserve"> </w:t>
      </w:r>
      <w:r w:rsidR="008A686A" w:rsidRPr="009A330C">
        <w:rPr>
          <w:rFonts w:ascii="Verdana" w:hAnsi="Verdana"/>
          <w:sz w:val="20"/>
          <w:szCs w:val="20"/>
          <w:lang w:val="en-US"/>
        </w:rPr>
        <w:t>P</w:t>
      </w:r>
      <w:r w:rsidR="00D74297" w:rsidRPr="009A330C">
        <w:rPr>
          <w:rFonts w:ascii="Verdana" w:hAnsi="Verdana"/>
          <w:sz w:val="20"/>
          <w:szCs w:val="20"/>
          <w:lang w:val="en-US"/>
        </w:rPr>
        <w:t xml:space="preserve">. </w:t>
      </w:r>
      <w:r w:rsidR="008A686A" w:rsidRPr="009A330C">
        <w:rPr>
          <w:rFonts w:ascii="Verdana" w:hAnsi="Verdana"/>
          <w:sz w:val="20"/>
          <w:szCs w:val="20"/>
          <w:lang w:val="en-US"/>
        </w:rPr>
        <w:t>K</w:t>
      </w:r>
      <w:r w:rsidR="00D74297" w:rsidRPr="009A330C">
        <w:rPr>
          <w:rFonts w:ascii="Verdana" w:hAnsi="Verdana"/>
          <w:sz w:val="20"/>
          <w:szCs w:val="20"/>
          <w:lang w:val="en-US"/>
        </w:rPr>
        <w:t>.</w:t>
      </w:r>
      <w:r w:rsidR="008A686A" w:rsidRPr="009A330C">
        <w:rPr>
          <w:rFonts w:ascii="Verdana" w:hAnsi="Verdana"/>
          <w:sz w:val="20"/>
          <w:szCs w:val="20"/>
          <w:lang w:val="en-US"/>
        </w:rPr>
        <w:t>, L</w:t>
      </w:r>
      <w:r w:rsidR="00D74297" w:rsidRPr="009A330C">
        <w:rPr>
          <w:rFonts w:ascii="Verdana" w:hAnsi="Verdana"/>
          <w:sz w:val="20"/>
          <w:szCs w:val="20"/>
          <w:lang w:val="en-US"/>
        </w:rPr>
        <w:t>.</w:t>
      </w:r>
      <w:r w:rsidR="008A686A" w:rsidRPr="009A330C">
        <w:rPr>
          <w:rFonts w:ascii="Verdana" w:hAnsi="Verdana"/>
          <w:sz w:val="20"/>
          <w:szCs w:val="20"/>
          <w:lang w:val="en-US"/>
        </w:rPr>
        <w:t xml:space="preserve"> K</w:t>
      </w:r>
      <w:r w:rsidR="00D74297" w:rsidRPr="009A330C">
        <w:rPr>
          <w:rFonts w:ascii="Verdana" w:hAnsi="Verdana"/>
          <w:sz w:val="20"/>
          <w:szCs w:val="20"/>
          <w:lang w:val="en-US"/>
        </w:rPr>
        <w:t>.</w:t>
      </w:r>
      <w:r w:rsidR="008A686A" w:rsidRPr="009A330C">
        <w:rPr>
          <w:rFonts w:ascii="Verdana" w:hAnsi="Verdana"/>
          <w:sz w:val="20"/>
          <w:szCs w:val="20"/>
          <w:lang w:val="en-US"/>
        </w:rPr>
        <w:t xml:space="preserve"> and T</w:t>
      </w:r>
      <w:r w:rsidR="00D74297" w:rsidRPr="009A330C">
        <w:rPr>
          <w:rFonts w:ascii="Verdana" w:hAnsi="Verdana"/>
          <w:sz w:val="20"/>
          <w:szCs w:val="20"/>
          <w:lang w:val="en-US"/>
        </w:rPr>
        <w:t>.</w:t>
      </w:r>
      <w:r w:rsidR="008A686A" w:rsidRPr="009A330C">
        <w:rPr>
          <w:rFonts w:ascii="Verdana" w:hAnsi="Verdana"/>
          <w:sz w:val="20"/>
          <w:szCs w:val="20"/>
          <w:lang w:val="en-US"/>
        </w:rPr>
        <w:t xml:space="preserve"> R</w:t>
      </w:r>
      <w:r w:rsidR="00D74297" w:rsidRPr="009A330C">
        <w:rPr>
          <w:rFonts w:ascii="Verdana" w:hAnsi="Verdana"/>
          <w:sz w:val="20"/>
          <w:szCs w:val="20"/>
          <w:lang w:val="en-US"/>
        </w:rPr>
        <w:t>.</w:t>
      </w:r>
      <w:r w:rsidR="008A686A" w:rsidRPr="009A330C">
        <w:rPr>
          <w:rFonts w:ascii="Verdana" w:hAnsi="Verdana"/>
          <w:sz w:val="20"/>
          <w:szCs w:val="20"/>
          <w:lang w:val="en-US"/>
        </w:rPr>
        <w:t>, activists from the Mother Nature Cambodia group, were found guilty of incitement</w:t>
      </w:r>
      <w:r w:rsidR="006E353A" w:rsidRPr="009A330C">
        <w:rPr>
          <w:rFonts w:ascii="Verdana" w:hAnsi="Verdana"/>
          <w:sz w:val="20"/>
          <w:szCs w:val="20"/>
          <w:lang w:val="en-US"/>
        </w:rPr>
        <w:t xml:space="preserve"> to disturb social security</w:t>
      </w:r>
      <w:r w:rsidR="008A686A" w:rsidRPr="009A330C">
        <w:rPr>
          <w:rFonts w:ascii="Verdana" w:hAnsi="Verdana"/>
          <w:sz w:val="20"/>
          <w:szCs w:val="20"/>
          <w:lang w:val="en-US"/>
        </w:rPr>
        <w:t xml:space="preserve"> under articles 494 and 495 by the Phnom Penh Municipal Court</w:t>
      </w:r>
      <w:r w:rsidR="00B4504A" w:rsidRPr="009A330C">
        <w:rPr>
          <w:rFonts w:ascii="Verdana" w:hAnsi="Verdana"/>
          <w:sz w:val="20"/>
          <w:szCs w:val="20"/>
          <w:lang w:val="en-US"/>
        </w:rPr>
        <w:t>.</w:t>
      </w:r>
      <w:r w:rsidR="008A686A" w:rsidRPr="009A330C">
        <w:rPr>
          <w:rFonts w:ascii="Verdana" w:hAnsi="Verdana"/>
          <w:sz w:val="20"/>
          <w:szCs w:val="20"/>
          <w:vertAlign w:val="superscript"/>
          <w:lang w:val="en-US"/>
        </w:rPr>
        <w:footnoteReference w:id="66"/>
      </w:r>
      <w:r w:rsidR="008A686A" w:rsidRPr="009A330C">
        <w:rPr>
          <w:rFonts w:ascii="Verdana" w:hAnsi="Verdana"/>
          <w:sz w:val="20"/>
          <w:szCs w:val="20"/>
          <w:lang w:val="en-US"/>
        </w:rPr>
        <w:t xml:space="preserve"> </w:t>
      </w:r>
      <w:r w:rsidR="008A686A" w:rsidRPr="009A330C">
        <w:rPr>
          <w:rFonts w:ascii="Verdana" w:hAnsi="Verdana"/>
          <w:sz w:val="20"/>
          <w:szCs w:val="20"/>
        </w:rPr>
        <w:t xml:space="preserve">The environmental activists were protesting the filling of Boeung Tamok Lake </w:t>
      </w:r>
      <w:r w:rsidR="006E353A" w:rsidRPr="009A330C">
        <w:rPr>
          <w:rFonts w:ascii="Verdana" w:hAnsi="Verdana"/>
          <w:sz w:val="20"/>
          <w:szCs w:val="20"/>
        </w:rPr>
        <w:t xml:space="preserve">for urban development </w:t>
      </w:r>
      <w:r w:rsidR="008A686A" w:rsidRPr="009A330C">
        <w:rPr>
          <w:rFonts w:ascii="Verdana" w:hAnsi="Verdana"/>
          <w:sz w:val="20"/>
          <w:szCs w:val="20"/>
        </w:rPr>
        <w:t>in Phnom Penh</w:t>
      </w:r>
      <w:r w:rsidR="00B4504A" w:rsidRPr="009A330C">
        <w:rPr>
          <w:rFonts w:ascii="Verdana" w:hAnsi="Verdana"/>
          <w:sz w:val="20"/>
          <w:szCs w:val="20"/>
        </w:rPr>
        <w:t xml:space="preserve">, </w:t>
      </w:r>
      <w:r w:rsidR="00F679C8" w:rsidRPr="009A330C">
        <w:rPr>
          <w:rFonts w:ascii="Verdana" w:hAnsi="Verdana"/>
          <w:sz w:val="20"/>
          <w:szCs w:val="20"/>
        </w:rPr>
        <w:t xml:space="preserve">and were </w:t>
      </w:r>
      <w:r w:rsidR="008A686A" w:rsidRPr="009A330C">
        <w:rPr>
          <w:rFonts w:ascii="Verdana" w:hAnsi="Verdana"/>
          <w:sz w:val="20"/>
          <w:szCs w:val="20"/>
        </w:rPr>
        <w:t>arrested shortly after announcing on Facebook the group’s plan for Long Kunthea to conduct a one-person demonstration, which they had intended to livestream online.</w:t>
      </w:r>
      <w:r w:rsidR="008A686A" w:rsidRPr="009A330C">
        <w:rPr>
          <w:rStyle w:val="FootnoteReference"/>
          <w:rFonts w:ascii="Verdana" w:hAnsi="Verdana"/>
          <w:sz w:val="20"/>
          <w:szCs w:val="20"/>
        </w:rPr>
        <w:footnoteReference w:id="67"/>
      </w:r>
      <w:r w:rsidR="00470FCE" w:rsidRPr="009A330C">
        <w:rPr>
          <w:rFonts w:ascii="Verdana" w:hAnsi="Verdana"/>
          <w:sz w:val="20"/>
          <w:szCs w:val="20"/>
        </w:rPr>
        <w:t xml:space="preserve"> </w:t>
      </w:r>
    </w:p>
    <w:p w14:paraId="2F0A6188" w14:textId="7653E68A" w:rsidR="007805F2" w:rsidRPr="009A330C" w:rsidRDefault="007805F2" w:rsidP="007805F2">
      <w:pPr>
        <w:rPr>
          <w:rFonts w:ascii="Verdana" w:hAnsi="Verdana"/>
          <w:b/>
          <w:sz w:val="20"/>
          <w:szCs w:val="20"/>
          <w:lang w:val="en-US"/>
        </w:rPr>
      </w:pPr>
    </w:p>
    <w:p w14:paraId="0BD871FF" w14:textId="4F852827" w:rsidR="004D5CDD" w:rsidRPr="009A330C" w:rsidRDefault="004117E2" w:rsidP="004D5CDD">
      <w:pPr>
        <w:pStyle w:val="ListParagraph"/>
        <w:numPr>
          <w:ilvl w:val="0"/>
          <w:numId w:val="1"/>
        </w:numPr>
        <w:rPr>
          <w:rFonts w:ascii="Verdana" w:hAnsi="Verdana"/>
          <w:b/>
          <w:sz w:val="20"/>
          <w:szCs w:val="20"/>
          <w:lang w:val="en-US"/>
        </w:rPr>
      </w:pPr>
      <w:r w:rsidRPr="009A330C">
        <w:rPr>
          <w:rFonts w:ascii="Verdana" w:hAnsi="Verdana"/>
          <w:b/>
          <w:sz w:val="20"/>
          <w:szCs w:val="20"/>
          <w:lang w:val="en-US"/>
        </w:rPr>
        <w:t>Recommendations</w:t>
      </w:r>
    </w:p>
    <w:p w14:paraId="42624F83" w14:textId="77777777" w:rsidR="006C1585" w:rsidRPr="009A330C" w:rsidRDefault="006C1585" w:rsidP="006C1585">
      <w:pPr>
        <w:pStyle w:val="ListParagraph"/>
        <w:rPr>
          <w:rFonts w:ascii="Verdana" w:hAnsi="Verdana"/>
          <w:b/>
          <w:sz w:val="20"/>
          <w:szCs w:val="20"/>
          <w:lang w:val="en-US"/>
        </w:rPr>
      </w:pPr>
    </w:p>
    <w:p w14:paraId="745542F5" w14:textId="2530CCDD" w:rsidR="006C1585" w:rsidRPr="009A330C" w:rsidRDefault="006C1585" w:rsidP="00BB62E1">
      <w:pPr>
        <w:pStyle w:val="ListParagraph"/>
        <w:numPr>
          <w:ilvl w:val="0"/>
          <w:numId w:val="3"/>
        </w:numPr>
        <w:jc w:val="both"/>
        <w:rPr>
          <w:rFonts w:ascii="Verdana" w:hAnsi="Verdana"/>
          <w:sz w:val="20"/>
          <w:szCs w:val="20"/>
          <w:lang w:val="en-US"/>
        </w:rPr>
      </w:pPr>
      <w:r w:rsidRPr="009A330C">
        <w:rPr>
          <w:rFonts w:ascii="Verdana" w:hAnsi="Verdana"/>
          <w:sz w:val="20"/>
          <w:szCs w:val="20"/>
          <w:lang w:val="en-US"/>
        </w:rPr>
        <w:t xml:space="preserve">In light of the above concerns, the ICJ </w:t>
      </w:r>
      <w:r w:rsidR="003B19EC" w:rsidRPr="009A330C">
        <w:rPr>
          <w:rFonts w:ascii="Verdana" w:hAnsi="Verdana"/>
          <w:sz w:val="20"/>
          <w:szCs w:val="20"/>
          <w:lang w:val="en-US"/>
        </w:rPr>
        <w:t xml:space="preserve">calls </w:t>
      </w:r>
      <w:r w:rsidR="00E20D6D" w:rsidRPr="009A330C">
        <w:rPr>
          <w:rFonts w:ascii="Verdana" w:hAnsi="Verdana"/>
          <w:sz w:val="20"/>
          <w:szCs w:val="20"/>
          <w:lang w:val="en-US"/>
        </w:rPr>
        <w:t>on the C</w:t>
      </w:r>
      <w:r w:rsidR="00772BA7" w:rsidRPr="009A330C">
        <w:rPr>
          <w:rFonts w:ascii="Verdana" w:hAnsi="Verdana"/>
          <w:sz w:val="20"/>
          <w:szCs w:val="20"/>
          <w:lang w:val="en-US"/>
        </w:rPr>
        <w:t>ESCR</w:t>
      </w:r>
      <w:r w:rsidR="00E20D6D" w:rsidRPr="009A330C">
        <w:rPr>
          <w:rFonts w:ascii="Verdana" w:hAnsi="Verdana"/>
          <w:sz w:val="20"/>
          <w:szCs w:val="20"/>
          <w:lang w:val="en-US"/>
        </w:rPr>
        <w:t xml:space="preserve"> to make the follow recommendations to the Cambodia</w:t>
      </w:r>
      <w:r w:rsidR="00772BA7" w:rsidRPr="009A330C">
        <w:rPr>
          <w:rFonts w:ascii="Verdana" w:hAnsi="Verdana"/>
          <w:sz w:val="20"/>
          <w:szCs w:val="20"/>
          <w:lang w:val="en-US"/>
        </w:rPr>
        <w:t>n authorities</w:t>
      </w:r>
      <w:r w:rsidRPr="009A330C">
        <w:rPr>
          <w:rFonts w:ascii="Verdana" w:hAnsi="Verdana"/>
          <w:sz w:val="20"/>
          <w:szCs w:val="20"/>
          <w:lang w:val="en-US"/>
        </w:rPr>
        <w:t xml:space="preserve">: </w:t>
      </w:r>
    </w:p>
    <w:p w14:paraId="6F64B697" w14:textId="77777777" w:rsidR="006C1585" w:rsidRPr="009A330C" w:rsidRDefault="006C1585" w:rsidP="006C1585">
      <w:pPr>
        <w:pStyle w:val="ListParagraph"/>
        <w:ind w:left="360"/>
        <w:rPr>
          <w:rFonts w:ascii="Verdana" w:hAnsi="Verdana"/>
          <w:b/>
          <w:sz w:val="20"/>
          <w:szCs w:val="20"/>
          <w:lang w:val="en-US"/>
        </w:rPr>
      </w:pPr>
    </w:p>
    <w:p w14:paraId="2BE27DC8" w14:textId="0D963D8A" w:rsidR="00C91581" w:rsidRPr="009A330C" w:rsidRDefault="00C91581" w:rsidP="006C1585">
      <w:pPr>
        <w:pStyle w:val="ListParagraph"/>
        <w:numPr>
          <w:ilvl w:val="1"/>
          <w:numId w:val="1"/>
        </w:numPr>
        <w:rPr>
          <w:rFonts w:ascii="Verdana" w:hAnsi="Verdana"/>
          <w:sz w:val="20"/>
          <w:szCs w:val="20"/>
          <w:u w:val="single"/>
          <w:lang w:val="en-US"/>
        </w:rPr>
      </w:pPr>
      <w:r w:rsidRPr="009A330C">
        <w:rPr>
          <w:rFonts w:ascii="Verdana" w:hAnsi="Verdana"/>
          <w:sz w:val="20"/>
          <w:szCs w:val="20"/>
          <w:u w:val="single"/>
          <w:lang w:val="en-US"/>
        </w:rPr>
        <w:t>In relation to human rights violations and abuses in SEZs:</w:t>
      </w:r>
    </w:p>
    <w:p w14:paraId="1CF30EC5" w14:textId="4CB8D58A" w:rsidR="00C91581" w:rsidRPr="009A330C" w:rsidRDefault="00C91581" w:rsidP="00C91581">
      <w:pPr>
        <w:rPr>
          <w:rFonts w:ascii="Verdana" w:hAnsi="Verdana"/>
          <w:sz w:val="20"/>
          <w:szCs w:val="20"/>
          <w:lang w:val="en-US"/>
        </w:rPr>
      </w:pPr>
    </w:p>
    <w:p w14:paraId="2329A45F" w14:textId="2ACF1486" w:rsidR="00772BA7" w:rsidRPr="009A330C" w:rsidRDefault="00772BA7" w:rsidP="00772BA7">
      <w:pPr>
        <w:pStyle w:val="ListParagraph"/>
        <w:numPr>
          <w:ilvl w:val="0"/>
          <w:numId w:val="13"/>
        </w:numPr>
        <w:jc w:val="thaiDistribute"/>
        <w:rPr>
          <w:rFonts w:ascii="Verdana" w:hAnsi="Verdana"/>
          <w:sz w:val="20"/>
          <w:szCs w:val="20"/>
        </w:rPr>
      </w:pPr>
      <w:r w:rsidRPr="009A330C">
        <w:rPr>
          <w:rFonts w:ascii="Verdana" w:hAnsi="Verdana"/>
          <w:sz w:val="20"/>
          <w:szCs w:val="20"/>
        </w:rPr>
        <w:t>Adopt a human-rights based approach to development projects, including the SEZs</w:t>
      </w:r>
      <w:r w:rsidR="009F7C29" w:rsidRPr="009A330C">
        <w:rPr>
          <w:rFonts w:ascii="Verdana" w:hAnsi="Verdana"/>
          <w:sz w:val="20"/>
          <w:szCs w:val="20"/>
        </w:rPr>
        <w:t>, and with respect to projects that have an impact on indigenous persons,</w:t>
      </w:r>
      <w:r w:rsidRPr="009A330C">
        <w:rPr>
          <w:rFonts w:ascii="Verdana" w:hAnsi="Verdana"/>
          <w:sz w:val="20"/>
          <w:szCs w:val="20"/>
        </w:rPr>
        <w:t xml:space="preserve"> ensure that decisions </w:t>
      </w:r>
      <w:r w:rsidR="009F7C29" w:rsidRPr="009A330C">
        <w:rPr>
          <w:rFonts w:ascii="Verdana" w:hAnsi="Verdana"/>
          <w:sz w:val="20"/>
          <w:szCs w:val="20"/>
        </w:rPr>
        <w:t xml:space="preserve">about those projects be </w:t>
      </w:r>
      <w:r w:rsidRPr="009A330C">
        <w:rPr>
          <w:rFonts w:ascii="Verdana" w:hAnsi="Verdana"/>
          <w:sz w:val="20"/>
          <w:szCs w:val="20"/>
        </w:rPr>
        <w:t xml:space="preserve">made in consultation with </w:t>
      </w:r>
      <w:r w:rsidR="009F7C29" w:rsidRPr="009A330C">
        <w:rPr>
          <w:rFonts w:ascii="Verdana" w:hAnsi="Verdana"/>
          <w:sz w:val="20"/>
          <w:szCs w:val="20"/>
        </w:rPr>
        <w:t xml:space="preserve">the </w:t>
      </w:r>
      <w:r w:rsidRPr="009A330C">
        <w:rPr>
          <w:rFonts w:ascii="Verdana" w:hAnsi="Verdana"/>
          <w:sz w:val="20"/>
          <w:szCs w:val="20"/>
        </w:rPr>
        <w:t xml:space="preserve">individuals and communities </w:t>
      </w:r>
      <w:r w:rsidR="009F7C29" w:rsidRPr="009A330C">
        <w:rPr>
          <w:rFonts w:ascii="Verdana" w:hAnsi="Verdana"/>
          <w:sz w:val="20"/>
          <w:szCs w:val="20"/>
        </w:rPr>
        <w:t xml:space="preserve">concerned with a view to seeking their free, prior and informed consent, particularly with respect to projects </w:t>
      </w:r>
      <w:r w:rsidRPr="009A330C">
        <w:rPr>
          <w:rFonts w:ascii="Verdana" w:hAnsi="Verdana"/>
          <w:sz w:val="20"/>
          <w:szCs w:val="20"/>
        </w:rPr>
        <w:t xml:space="preserve">that may potentially </w:t>
      </w:r>
      <w:r w:rsidR="009F7C29" w:rsidRPr="009A330C">
        <w:rPr>
          <w:rFonts w:ascii="Verdana" w:hAnsi="Verdana"/>
          <w:sz w:val="20"/>
          <w:szCs w:val="20"/>
        </w:rPr>
        <w:t xml:space="preserve">be </w:t>
      </w:r>
      <w:r w:rsidRPr="009A330C">
        <w:rPr>
          <w:rFonts w:ascii="Verdana" w:hAnsi="Verdana"/>
          <w:sz w:val="20"/>
          <w:szCs w:val="20"/>
        </w:rPr>
        <w:t>harm</w:t>
      </w:r>
      <w:r w:rsidR="009F7C29" w:rsidRPr="009A330C">
        <w:rPr>
          <w:rFonts w:ascii="Verdana" w:hAnsi="Verdana"/>
          <w:sz w:val="20"/>
          <w:szCs w:val="20"/>
        </w:rPr>
        <w:t>ful to</w:t>
      </w:r>
      <w:r w:rsidRPr="009A330C">
        <w:rPr>
          <w:rFonts w:ascii="Verdana" w:hAnsi="Verdana"/>
          <w:sz w:val="20"/>
          <w:szCs w:val="20"/>
        </w:rPr>
        <w:t xml:space="preserve"> the</w:t>
      </w:r>
      <w:r w:rsidR="003B19EC" w:rsidRPr="009A330C">
        <w:rPr>
          <w:rFonts w:ascii="Verdana" w:hAnsi="Verdana"/>
          <w:sz w:val="20"/>
          <w:szCs w:val="20"/>
        </w:rPr>
        <w:t>m</w:t>
      </w:r>
      <w:r w:rsidRPr="009A330C">
        <w:rPr>
          <w:rFonts w:ascii="Verdana" w:hAnsi="Verdana"/>
          <w:sz w:val="20"/>
          <w:szCs w:val="20"/>
        </w:rPr>
        <w:t>;</w:t>
      </w:r>
    </w:p>
    <w:p w14:paraId="0F93A5EF" w14:textId="77777777" w:rsidR="00772BA7" w:rsidRPr="009A330C" w:rsidRDefault="00772BA7" w:rsidP="00772BA7">
      <w:pPr>
        <w:pStyle w:val="ListParagraph"/>
        <w:jc w:val="thaiDistribute"/>
        <w:rPr>
          <w:rFonts w:ascii="Verdana" w:hAnsi="Verdana"/>
          <w:sz w:val="20"/>
          <w:szCs w:val="20"/>
        </w:rPr>
      </w:pPr>
    </w:p>
    <w:p w14:paraId="2E517800" w14:textId="77777777" w:rsidR="00772BA7" w:rsidRPr="009A330C" w:rsidRDefault="00772BA7" w:rsidP="00772BA7">
      <w:pPr>
        <w:pStyle w:val="ListParagraph"/>
        <w:numPr>
          <w:ilvl w:val="0"/>
          <w:numId w:val="13"/>
        </w:numPr>
        <w:jc w:val="thaiDistribute"/>
        <w:rPr>
          <w:rFonts w:ascii="Verdana" w:hAnsi="Verdana"/>
          <w:sz w:val="20"/>
          <w:szCs w:val="20"/>
        </w:rPr>
      </w:pPr>
      <w:r w:rsidRPr="009A330C">
        <w:rPr>
          <w:rFonts w:ascii="Verdana" w:hAnsi="Verdana"/>
          <w:sz w:val="20"/>
          <w:szCs w:val="20"/>
        </w:rPr>
        <w:t>Ensure transparency, including by making publicly available information and documents related to SEZs;</w:t>
      </w:r>
    </w:p>
    <w:p w14:paraId="067557FE" w14:textId="77777777" w:rsidR="00772BA7" w:rsidRPr="009A330C" w:rsidRDefault="00772BA7" w:rsidP="00772BA7">
      <w:pPr>
        <w:pStyle w:val="ListParagraph"/>
        <w:jc w:val="thaiDistribute"/>
        <w:rPr>
          <w:rFonts w:ascii="Verdana" w:hAnsi="Verdana"/>
          <w:sz w:val="20"/>
          <w:szCs w:val="20"/>
        </w:rPr>
      </w:pPr>
    </w:p>
    <w:p w14:paraId="5EBD6365" w14:textId="4F911F79" w:rsidR="00772BA7" w:rsidRPr="009A330C" w:rsidRDefault="00772BA7" w:rsidP="00772BA7">
      <w:pPr>
        <w:pStyle w:val="ListParagraph"/>
        <w:numPr>
          <w:ilvl w:val="0"/>
          <w:numId w:val="13"/>
        </w:numPr>
        <w:jc w:val="thaiDistribute"/>
        <w:rPr>
          <w:rFonts w:ascii="Verdana" w:hAnsi="Verdana"/>
          <w:sz w:val="20"/>
          <w:szCs w:val="20"/>
        </w:rPr>
      </w:pPr>
      <w:r w:rsidRPr="009A330C">
        <w:rPr>
          <w:rFonts w:ascii="Verdana" w:hAnsi="Verdana"/>
          <w:sz w:val="20"/>
          <w:szCs w:val="20"/>
        </w:rPr>
        <w:t>Ensure that evictions are only carried out as a last resort after all other feasible alternatives to eviction have been explored. Procedural protections required under international human rights law should be in place before any evictions are carried out, in particular, requirements on genuine consultation, due process safeguards, provision of legal remedies, compensation and adequate alternative housing</w:t>
      </w:r>
      <w:r w:rsidR="00E60282" w:rsidRPr="009A330C">
        <w:rPr>
          <w:rFonts w:ascii="Verdana" w:hAnsi="Verdana"/>
          <w:sz w:val="20"/>
          <w:szCs w:val="20"/>
        </w:rPr>
        <w:t>. Such protections should also be explicitly guaranteed in the Anukret No. 148, as well as other domestic legal and institutional frameworks to prevent forced evictions</w:t>
      </w:r>
      <w:r w:rsidRPr="009A330C">
        <w:rPr>
          <w:rFonts w:ascii="Verdana" w:hAnsi="Verdana"/>
          <w:sz w:val="20"/>
          <w:szCs w:val="20"/>
        </w:rPr>
        <w:t>;</w:t>
      </w:r>
    </w:p>
    <w:p w14:paraId="229AF568" w14:textId="77777777" w:rsidR="00772BA7" w:rsidRPr="009A330C" w:rsidRDefault="00772BA7" w:rsidP="00772BA7">
      <w:pPr>
        <w:pStyle w:val="ListParagraph"/>
        <w:rPr>
          <w:rFonts w:ascii="Verdana" w:hAnsi="Verdana"/>
          <w:sz w:val="20"/>
          <w:szCs w:val="20"/>
        </w:rPr>
      </w:pPr>
    </w:p>
    <w:p w14:paraId="2DC556D9" w14:textId="44D76E7B" w:rsidR="00772BA7" w:rsidRPr="009A330C" w:rsidRDefault="00772BA7" w:rsidP="00772BA7">
      <w:pPr>
        <w:pStyle w:val="ListParagraph"/>
        <w:numPr>
          <w:ilvl w:val="0"/>
          <w:numId w:val="13"/>
        </w:numPr>
        <w:jc w:val="thaiDistribute"/>
        <w:rPr>
          <w:rFonts w:ascii="Verdana" w:hAnsi="Verdana"/>
          <w:sz w:val="20"/>
          <w:szCs w:val="20"/>
        </w:rPr>
      </w:pPr>
      <w:r w:rsidRPr="009A330C">
        <w:rPr>
          <w:rFonts w:ascii="Verdana" w:hAnsi="Verdana"/>
          <w:sz w:val="20"/>
          <w:szCs w:val="20"/>
        </w:rPr>
        <w:t>Establish standing Committees within the SEZs’ management bodies with a specific mandate to consult with affected populations and monitor projects. The Committees should include representatives of civil society organizations, unions and affected communities;</w:t>
      </w:r>
    </w:p>
    <w:p w14:paraId="06A181ED" w14:textId="77777777" w:rsidR="00772BA7" w:rsidRPr="009A330C" w:rsidRDefault="00772BA7" w:rsidP="00772BA7">
      <w:pPr>
        <w:pStyle w:val="ListParagraph"/>
        <w:rPr>
          <w:rFonts w:ascii="Verdana" w:hAnsi="Verdana"/>
          <w:sz w:val="20"/>
          <w:szCs w:val="20"/>
        </w:rPr>
      </w:pPr>
    </w:p>
    <w:p w14:paraId="7D021252" w14:textId="127F2E86" w:rsidR="00772BA7" w:rsidRPr="009A330C" w:rsidRDefault="00772BA7" w:rsidP="00772BA7">
      <w:pPr>
        <w:pStyle w:val="ListParagraph"/>
        <w:numPr>
          <w:ilvl w:val="0"/>
          <w:numId w:val="13"/>
        </w:numPr>
        <w:jc w:val="thaiDistribute"/>
        <w:rPr>
          <w:rFonts w:ascii="Verdana" w:hAnsi="Verdana"/>
          <w:sz w:val="20"/>
          <w:szCs w:val="20"/>
        </w:rPr>
      </w:pPr>
      <w:r w:rsidRPr="009A330C">
        <w:rPr>
          <w:rFonts w:ascii="Verdana" w:hAnsi="Verdana"/>
          <w:sz w:val="20"/>
          <w:szCs w:val="20"/>
        </w:rPr>
        <w:t xml:space="preserve">Ensure that SEZ workers enjoy </w:t>
      </w:r>
      <w:r w:rsidR="00971178" w:rsidRPr="009A330C">
        <w:rPr>
          <w:rFonts w:ascii="Verdana" w:hAnsi="Verdana"/>
          <w:sz w:val="20"/>
          <w:szCs w:val="20"/>
        </w:rPr>
        <w:t xml:space="preserve">the </w:t>
      </w:r>
      <w:r w:rsidR="00E60282" w:rsidRPr="009A330C">
        <w:rPr>
          <w:rFonts w:ascii="Verdana" w:hAnsi="Verdana"/>
          <w:sz w:val="20"/>
          <w:szCs w:val="20"/>
        </w:rPr>
        <w:t xml:space="preserve">right to just and </w:t>
      </w:r>
      <w:r w:rsidR="00971178" w:rsidRPr="009A330C">
        <w:rPr>
          <w:rFonts w:ascii="Verdana" w:hAnsi="Verdana"/>
          <w:sz w:val="20"/>
          <w:szCs w:val="20"/>
        </w:rPr>
        <w:t>favorable</w:t>
      </w:r>
      <w:r w:rsidR="00E60282" w:rsidRPr="009A330C">
        <w:rPr>
          <w:rFonts w:ascii="Verdana" w:hAnsi="Verdana"/>
          <w:sz w:val="20"/>
          <w:szCs w:val="20"/>
        </w:rPr>
        <w:t xml:space="preserve"> conditions of work</w:t>
      </w:r>
      <w:r w:rsidR="00971178" w:rsidRPr="009A330C">
        <w:rPr>
          <w:rFonts w:ascii="Verdana" w:hAnsi="Verdana"/>
          <w:sz w:val="20"/>
          <w:szCs w:val="20"/>
        </w:rPr>
        <w:t xml:space="preserve"> and the right to social security as guaranteed under</w:t>
      </w:r>
      <w:r w:rsidR="00D500FF" w:rsidRPr="009A330C">
        <w:rPr>
          <w:rFonts w:ascii="Verdana" w:hAnsi="Verdana"/>
          <w:sz w:val="20"/>
          <w:szCs w:val="20"/>
        </w:rPr>
        <w:t xml:space="preserve"> articles 6 and 8 of</w:t>
      </w:r>
      <w:r w:rsidR="00971178" w:rsidRPr="009A330C">
        <w:rPr>
          <w:rFonts w:ascii="Verdana" w:hAnsi="Verdana"/>
          <w:sz w:val="20"/>
          <w:szCs w:val="20"/>
        </w:rPr>
        <w:t xml:space="preserve"> the ICESCR</w:t>
      </w:r>
      <w:r w:rsidRPr="009A330C">
        <w:rPr>
          <w:rFonts w:ascii="Verdana" w:hAnsi="Verdana"/>
          <w:sz w:val="20"/>
          <w:szCs w:val="20"/>
        </w:rPr>
        <w:t>, and urgently investigate and address reports of human trafficking and forced labour in SEZs;</w:t>
      </w:r>
    </w:p>
    <w:p w14:paraId="5385E0F4" w14:textId="77777777" w:rsidR="00772BA7" w:rsidRPr="009A330C" w:rsidRDefault="00772BA7" w:rsidP="00772BA7">
      <w:pPr>
        <w:pStyle w:val="ListParagraph"/>
        <w:rPr>
          <w:rFonts w:ascii="Verdana" w:hAnsi="Verdana"/>
          <w:sz w:val="20"/>
          <w:szCs w:val="20"/>
        </w:rPr>
      </w:pPr>
    </w:p>
    <w:p w14:paraId="7710F969" w14:textId="18A7B901" w:rsidR="00772BA7" w:rsidRPr="009A330C" w:rsidRDefault="00971178" w:rsidP="006E7D9D">
      <w:pPr>
        <w:pStyle w:val="ListParagraph"/>
        <w:numPr>
          <w:ilvl w:val="0"/>
          <w:numId w:val="13"/>
        </w:numPr>
        <w:jc w:val="thaiDistribute"/>
        <w:rPr>
          <w:rFonts w:ascii="Verdana" w:hAnsi="Verdana"/>
          <w:sz w:val="20"/>
          <w:szCs w:val="20"/>
        </w:rPr>
      </w:pPr>
      <w:r w:rsidRPr="009A330C">
        <w:rPr>
          <w:rFonts w:ascii="Verdana" w:hAnsi="Verdana"/>
          <w:sz w:val="20"/>
          <w:szCs w:val="20"/>
        </w:rPr>
        <w:t xml:space="preserve">Ensure that all </w:t>
      </w:r>
      <w:r w:rsidR="00772BA7" w:rsidRPr="009A330C">
        <w:rPr>
          <w:rFonts w:ascii="Verdana" w:hAnsi="Verdana"/>
          <w:sz w:val="20"/>
          <w:szCs w:val="20"/>
        </w:rPr>
        <w:t xml:space="preserve">workers </w:t>
      </w:r>
      <w:r w:rsidRPr="009A330C">
        <w:rPr>
          <w:rFonts w:ascii="Verdana" w:hAnsi="Verdana"/>
          <w:sz w:val="20"/>
          <w:szCs w:val="20"/>
        </w:rPr>
        <w:t xml:space="preserve">are able to </w:t>
      </w:r>
      <w:r w:rsidR="00772BA7" w:rsidRPr="009A330C">
        <w:rPr>
          <w:rFonts w:ascii="Verdana" w:hAnsi="Verdana"/>
          <w:sz w:val="20"/>
          <w:szCs w:val="20"/>
        </w:rPr>
        <w:t>exercis</w:t>
      </w:r>
      <w:r w:rsidRPr="009A330C">
        <w:rPr>
          <w:rFonts w:ascii="Verdana" w:hAnsi="Verdana"/>
          <w:sz w:val="20"/>
          <w:szCs w:val="20"/>
        </w:rPr>
        <w:t>e</w:t>
      </w:r>
      <w:r w:rsidR="00772BA7" w:rsidRPr="009A330C">
        <w:rPr>
          <w:rFonts w:ascii="Verdana" w:hAnsi="Verdana"/>
          <w:sz w:val="20"/>
          <w:szCs w:val="20"/>
        </w:rPr>
        <w:t xml:space="preserve"> their right to freedom of association and to collective bargaining</w:t>
      </w:r>
      <w:r w:rsidRPr="009A330C">
        <w:rPr>
          <w:rFonts w:ascii="Verdana" w:hAnsi="Verdana"/>
          <w:sz w:val="20"/>
          <w:szCs w:val="20"/>
        </w:rPr>
        <w:t xml:space="preserve"> without undue restrictions and without fearing reprisals</w:t>
      </w:r>
      <w:r w:rsidR="006E7D9D" w:rsidRPr="009A330C">
        <w:rPr>
          <w:rFonts w:ascii="Verdana" w:hAnsi="Verdana"/>
          <w:sz w:val="20"/>
          <w:szCs w:val="20"/>
        </w:rPr>
        <w:t xml:space="preserve">. </w:t>
      </w:r>
      <w:r w:rsidR="009F7C29" w:rsidRPr="009A330C">
        <w:rPr>
          <w:rFonts w:ascii="Verdana" w:hAnsi="Verdana"/>
          <w:sz w:val="20"/>
          <w:szCs w:val="20"/>
        </w:rPr>
        <w:t xml:space="preserve">To this end, revise </w:t>
      </w:r>
      <w:r w:rsidR="006E7D9D" w:rsidRPr="009A330C">
        <w:rPr>
          <w:rFonts w:ascii="Verdana" w:hAnsi="Verdana"/>
          <w:sz w:val="20"/>
          <w:szCs w:val="20"/>
        </w:rPr>
        <w:t>the 2016 Trade Union Law</w:t>
      </w:r>
      <w:r w:rsidR="00D500FF" w:rsidRPr="009A330C">
        <w:rPr>
          <w:rFonts w:ascii="Verdana" w:hAnsi="Verdana"/>
          <w:sz w:val="20"/>
          <w:szCs w:val="20"/>
        </w:rPr>
        <w:t xml:space="preserve">, </w:t>
      </w:r>
      <w:r w:rsidR="00600976" w:rsidRPr="009A330C">
        <w:rPr>
          <w:rFonts w:ascii="Verdana" w:hAnsi="Verdana"/>
          <w:sz w:val="20"/>
          <w:szCs w:val="20"/>
        </w:rPr>
        <w:t>including articles 54-56</w:t>
      </w:r>
      <w:r w:rsidR="00D500FF" w:rsidRPr="009A330C">
        <w:rPr>
          <w:rFonts w:ascii="Verdana" w:hAnsi="Verdana"/>
          <w:sz w:val="20"/>
          <w:szCs w:val="20"/>
        </w:rPr>
        <w:t>,</w:t>
      </w:r>
      <w:r w:rsidR="006E7D9D" w:rsidRPr="009A330C">
        <w:rPr>
          <w:rFonts w:ascii="Verdana" w:hAnsi="Verdana"/>
          <w:sz w:val="20"/>
          <w:szCs w:val="20"/>
        </w:rPr>
        <w:t xml:space="preserve"> to ensure their compliance with ICESCR and other international </w:t>
      </w:r>
      <w:r w:rsidR="00597F51" w:rsidRPr="009A330C">
        <w:rPr>
          <w:rFonts w:ascii="Verdana" w:hAnsi="Verdana"/>
          <w:sz w:val="20"/>
          <w:szCs w:val="20"/>
        </w:rPr>
        <w:t>labo</w:t>
      </w:r>
      <w:r w:rsidR="009F7C29" w:rsidRPr="009A330C">
        <w:rPr>
          <w:rFonts w:ascii="Verdana" w:hAnsi="Verdana"/>
          <w:sz w:val="20"/>
          <w:szCs w:val="20"/>
        </w:rPr>
        <w:t>u</w:t>
      </w:r>
      <w:r w:rsidR="00597F51" w:rsidRPr="009A330C">
        <w:rPr>
          <w:rFonts w:ascii="Verdana" w:hAnsi="Verdana"/>
          <w:sz w:val="20"/>
          <w:szCs w:val="20"/>
        </w:rPr>
        <w:t>r</w:t>
      </w:r>
      <w:r w:rsidR="006E7D9D" w:rsidRPr="009A330C">
        <w:rPr>
          <w:rFonts w:ascii="Verdana" w:hAnsi="Verdana"/>
          <w:sz w:val="20"/>
          <w:szCs w:val="20"/>
        </w:rPr>
        <w:t xml:space="preserve"> law and standards</w:t>
      </w:r>
      <w:r w:rsidR="00772BA7" w:rsidRPr="009A330C">
        <w:rPr>
          <w:rFonts w:ascii="Verdana" w:hAnsi="Verdana"/>
          <w:sz w:val="20"/>
          <w:szCs w:val="20"/>
        </w:rPr>
        <w:t>; and</w:t>
      </w:r>
    </w:p>
    <w:p w14:paraId="613D1EFD" w14:textId="77777777" w:rsidR="00772BA7" w:rsidRPr="009A330C" w:rsidRDefault="00772BA7" w:rsidP="00772BA7">
      <w:pPr>
        <w:pStyle w:val="ListParagraph"/>
        <w:rPr>
          <w:rFonts w:ascii="Verdana" w:hAnsi="Verdana"/>
          <w:sz w:val="20"/>
          <w:szCs w:val="20"/>
        </w:rPr>
      </w:pPr>
    </w:p>
    <w:p w14:paraId="47A1CB89" w14:textId="5A1F1FBA" w:rsidR="00C91581" w:rsidRPr="009A330C" w:rsidRDefault="00772BA7" w:rsidP="00772BA7">
      <w:pPr>
        <w:pStyle w:val="ListParagraph"/>
        <w:numPr>
          <w:ilvl w:val="0"/>
          <w:numId w:val="13"/>
        </w:numPr>
        <w:jc w:val="thaiDistribute"/>
        <w:rPr>
          <w:rFonts w:ascii="Verdana" w:hAnsi="Verdana"/>
          <w:sz w:val="20"/>
          <w:szCs w:val="20"/>
        </w:rPr>
      </w:pPr>
      <w:r w:rsidRPr="009A330C">
        <w:rPr>
          <w:rFonts w:ascii="Verdana" w:hAnsi="Verdana"/>
          <w:sz w:val="20"/>
          <w:szCs w:val="20"/>
        </w:rPr>
        <w:t>Ensure that effective, prompt and accessible judicial and non-judicial remedies are provided to those who are affected by the implementation of development projects, including the SEZ policies.</w:t>
      </w:r>
    </w:p>
    <w:p w14:paraId="79AEF5F7" w14:textId="77777777" w:rsidR="00772BA7" w:rsidRPr="009A330C" w:rsidRDefault="00772BA7" w:rsidP="00772BA7">
      <w:pPr>
        <w:jc w:val="both"/>
        <w:rPr>
          <w:rFonts w:ascii="Verdana" w:hAnsi="Verdana"/>
          <w:sz w:val="20"/>
          <w:szCs w:val="20"/>
          <w:u w:val="single"/>
          <w:lang w:val="en-US"/>
        </w:rPr>
      </w:pPr>
    </w:p>
    <w:p w14:paraId="4D83ACB3" w14:textId="27831085" w:rsidR="006C1585" w:rsidRPr="009A330C" w:rsidRDefault="00C91581" w:rsidP="00C91581">
      <w:pPr>
        <w:pStyle w:val="ListParagraph"/>
        <w:numPr>
          <w:ilvl w:val="1"/>
          <w:numId w:val="1"/>
        </w:numPr>
        <w:jc w:val="both"/>
        <w:rPr>
          <w:rFonts w:ascii="Verdana" w:hAnsi="Verdana"/>
          <w:sz w:val="20"/>
          <w:szCs w:val="20"/>
          <w:u w:val="single"/>
          <w:lang w:val="en-US"/>
        </w:rPr>
      </w:pPr>
      <w:r w:rsidRPr="009A330C">
        <w:rPr>
          <w:rFonts w:ascii="Verdana" w:hAnsi="Verdana"/>
          <w:sz w:val="20"/>
          <w:szCs w:val="20"/>
          <w:u w:val="single"/>
          <w:lang w:val="en-US"/>
        </w:rPr>
        <w:t>In relation to COVID-19 expression and information, and crackdowns on human rights defenders and trade union leaders</w:t>
      </w:r>
      <w:r w:rsidR="007D213C" w:rsidRPr="009A330C">
        <w:rPr>
          <w:rFonts w:ascii="Verdana" w:hAnsi="Verdana"/>
          <w:sz w:val="20"/>
          <w:szCs w:val="20"/>
          <w:u w:val="single"/>
          <w:lang w:val="en-US"/>
        </w:rPr>
        <w:t>:</w:t>
      </w:r>
    </w:p>
    <w:p w14:paraId="622BDC09" w14:textId="7F4FEEBD" w:rsidR="006C1585" w:rsidRPr="009A330C" w:rsidRDefault="006C1585" w:rsidP="006C1585">
      <w:pPr>
        <w:ind w:left="284"/>
        <w:rPr>
          <w:rFonts w:ascii="Verdana" w:hAnsi="Verdana"/>
          <w:sz w:val="20"/>
          <w:szCs w:val="20"/>
          <w:u w:val="single"/>
          <w:lang w:val="en-US"/>
        </w:rPr>
      </w:pPr>
    </w:p>
    <w:p w14:paraId="6564E0D5" w14:textId="0FCAC196" w:rsidR="00036E0B" w:rsidRPr="009A330C" w:rsidRDefault="00D71C49" w:rsidP="00C91581">
      <w:pPr>
        <w:pStyle w:val="ListParagraph"/>
        <w:numPr>
          <w:ilvl w:val="0"/>
          <w:numId w:val="8"/>
        </w:numPr>
        <w:jc w:val="both"/>
        <w:rPr>
          <w:rFonts w:ascii="Verdana" w:hAnsi="Verdana"/>
          <w:sz w:val="20"/>
          <w:szCs w:val="20"/>
          <w:lang w:val="en-US"/>
        </w:rPr>
      </w:pPr>
      <w:r w:rsidRPr="009A330C">
        <w:rPr>
          <w:rFonts w:ascii="Verdana" w:hAnsi="Verdana"/>
          <w:sz w:val="20"/>
          <w:szCs w:val="20"/>
          <w:lang w:val="en-US"/>
        </w:rPr>
        <w:t xml:space="preserve">Repeal or substantially amend legal provisions that serve to criminalize or unduly restrict </w:t>
      </w:r>
      <w:r w:rsidR="00C91581" w:rsidRPr="009A330C">
        <w:rPr>
          <w:rFonts w:ascii="Verdana" w:hAnsi="Verdana"/>
          <w:sz w:val="20"/>
          <w:szCs w:val="20"/>
          <w:lang w:val="en-US"/>
        </w:rPr>
        <w:t xml:space="preserve">health-related expression and information, and work on economic, social and cultural rights, </w:t>
      </w:r>
      <w:r w:rsidRPr="009A330C">
        <w:rPr>
          <w:rFonts w:ascii="Verdana" w:hAnsi="Verdana"/>
          <w:sz w:val="20"/>
          <w:szCs w:val="20"/>
          <w:lang w:val="en-US"/>
        </w:rPr>
        <w:t>including the COVID-19 Preventive Law</w:t>
      </w:r>
      <w:r w:rsidR="00C91581" w:rsidRPr="009A330C">
        <w:rPr>
          <w:rFonts w:ascii="Verdana" w:hAnsi="Verdana"/>
          <w:sz w:val="20"/>
          <w:szCs w:val="20"/>
          <w:lang w:val="en-US"/>
        </w:rPr>
        <w:t xml:space="preserve"> and</w:t>
      </w:r>
      <w:r w:rsidRPr="009A330C">
        <w:rPr>
          <w:rFonts w:ascii="Verdana" w:hAnsi="Verdana"/>
          <w:sz w:val="20"/>
          <w:szCs w:val="20"/>
          <w:lang w:val="en-US"/>
        </w:rPr>
        <w:t xml:space="preserve"> articles 437 </w:t>
      </w:r>
      <w:r w:rsidRPr="009A330C">
        <w:rPr>
          <w:rFonts w:ascii="Verdana" w:hAnsi="Verdana"/>
          <w:i/>
          <w:sz w:val="20"/>
          <w:szCs w:val="20"/>
          <w:lang w:val="en-US"/>
        </w:rPr>
        <w:t>bis</w:t>
      </w:r>
      <w:r w:rsidRPr="009A330C">
        <w:rPr>
          <w:rFonts w:ascii="Verdana" w:hAnsi="Verdana"/>
          <w:sz w:val="20"/>
          <w:szCs w:val="20"/>
          <w:lang w:val="en-US"/>
        </w:rPr>
        <w:t xml:space="preserve">, 494 and 495 of the Criminal Code; </w:t>
      </w:r>
    </w:p>
    <w:p w14:paraId="7D6FFDE5" w14:textId="77777777" w:rsidR="00036E0B" w:rsidRPr="009A330C" w:rsidRDefault="00036E0B" w:rsidP="00036E0B">
      <w:pPr>
        <w:jc w:val="both"/>
        <w:rPr>
          <w:rFonts w:ascii="Verdana" w:hAnsi="Verdana"/>
          <w:sz w:val="20"/>
          <w:szCs w:val="20"/>
          <w:lang w:val="en-US"/>
        </w:rPr>
      </w:pPr>
    </w:p>
    <w:p w14:paraId="4C6C2EEE" w14:textId="3E58283B" w:rsidR="00036E0B" w:rsidRPr="009A330C" w:rsidRDefault="00036E0B" w:rsidP="00036E0B">
      <w:pPr>
        <w:pStyle w:val="ListParagraph"/>
        <w:numPr>
          <w:ilvl w:val="0"/>
          <w:numId w:val="9"/>
        </w:numPr>
        <w:jc w:val="both"/>
        <w:rPr>
          <w:rFonts w:ascii="Verdana" w:hAnsi="Verdana"/>
          <w:sz w:val="20"/>
          <w:szCs w:val="20"/>
          <w:lang w:val="en-US"/>
        </w:rPr>
      </w:pPr>
      <w:r w:rsidRPr="009A330C">
        <w:rPr>
          <w:rFonts w:ascii="Verdana" w:hAnsi="Verdana"/>
          <w:sz w:val="20"/>
          <w:szCs w:val="20"/>
          <w:lang w:val="en-US"/>
        </w:rPr>
        <w:t xml:space="preserve">Cease harassment </w:t>
      </w:r>
      <w:r w:rsidR="009F7C29" w:rsidRPr="009A330C">
        <w:rPr>
          <w:rFonts w:ascii="Verdana" w:hAnsi="Verdana"/>
          <w:sz w:val="20"/>
          <w:szCs w:val="20"/>
          <w:lang w:val="en-US"/>
        </w:rPr>
        <w:t xml:space="preserve">and </w:t>
      </w:r>
      <w:r w:rsidRPr="009A330C">
        <w:rPr>
          <w:rFonts w:ascii="Verdana" w:hAnsi="Verdana"/>
          <w:sz w:val="20"/>
          <w:szCs w:val="20"/>
          <w:lang w:val="en-US"/>
        </w:rPr>
        <w:t>pr</w:t>
      </w:r>
      <w:r w:rsidR="009F7C29" w:rsidRPr="009A330C">
        <w:rPr>
          <w:rFonts w:ascii="Verdana" w:hAnsi="Verdana"/>
          <w:sz w:val="20"/>
          <w:szCs w:val="20"/>
          <w:lang w:val="en-US"/>
        </w:rPr>
        <w:t>o</w:t>
      </w:r>
      <w:r w:rsidRPr="009A330C">
        <w:rPr>
          <w:rFonts w:ascii="Verdana" w:hAnsi="Verdana"/>
          <w:sz w:val="20"/>
          <w:szCs w:val="20"/>
          <w:lang w:val="en-US"/>
        </w:rPr>
        <w:t xml:space="preserve">secution of </w:t>
      </w:r>
      <w:r w:rsidR="009F7C29" w:rsidRPr="009A330C">
        <w:rPr>
          <w:rFonts w:ascii="Verdana" w:hAnsi="Verdana"/>
          <w:sz w:val="20"/>
          <w:szCs w:val="20"/>
          <w:lang w:val="en-US"/>
        </w:rPr>
        <w:t xml:space="preserve">any </w:t>
      </w:r>
      <w:r w:rsidRPr="009A330C">
        <w:rPr>
          <w:rFonts w:ascii="Verdana" w:hAnsi="Verdana"/>
          <w:sz w:val="20"/>
          <w:szCs w:val="20"/>
          <w:lang w:val="en-US"/>
        </w:rPr>
        <w:t>individual solely for exercising their rights to free expression</w:t>
      </w:r>
      <w:r w:rsidR="00C91581" w:rsidRPr="009A330C">
        <w:rPr>
          <w:rFonts w:ascii="Verdana" w:hAnsi="Verdana"/>
          <w:sz w:val="20"/>
          <w:szCs w:val="20"/>
          <w:lang w:val="en-US"/>
        </w:rPr>
        <w:t xml:space="preserve"> and</w:t>
      </w:r>
      <w:r w:rsidRPr="009A330C">
        <w:rPr>
          <w:rFonts w:ascii="Verdana" w:hAnsi="Verdana"/>
          <w:sz w:val="20"/>
          <w:szCs w:val="20"/>
          <w:lang w:val="en-US"/>
        </w:rPr>
        <w:t xml:space="preserve"> information </w:t>
      </w:r>
      <w:r w:rsidR="00C91581" w:rsidRPr="009A330C">
        <w:rPr>
          <w:rFonts w:ascii="Verdana" w:hAnsi="Verdana"/>
          <w:sz w:val="20"/>
          <w:szCs w:val="20"/>
          <w:lang w:val="en-US"/>
        </w:rPr>
        <w:t xml:space="preserve">in relation to economic, social and cultural rights, </w:t>
      </w:r>
      <w:r w:rsidRPr="009A330C">
        <w:rPr>
          <w:rFonts w:ascii="Verdana" w:hAnsi="Verdana"/>
          <w:sz w:val="20"/>
          <w:szCs w:val="20"/>
          <w:lang w:val="en-US"/>
        </w:rPr>
        <w:t xml:space="preserve">through the abuse of laws and administrative regulations, such as the COVID-19 Preventive Law and articles 437 </w:t>
      </w:r>
      <w:r w:rsidRPr="009A330C">
        <w:rPr>
          <w:rFonts w:ascii="Verdana" w:hAnsi="Verdana"/>
          <w:i/>
          <w:sz w:val="20"/>
          <w:szCs w:val="20"/>
          <w:lang w:val="en-US"/>
        </w:rPr>
        <w:t>bis</w:t>
      </w:r>
      <w:r w:rsidRPr="009A330C">
        <w:rPr>
          <w:rFonts w:ascii="Verdana" w:hAnsi="Verdana"/>
          <w:sz w:val="20"/>
          <w:szCs w:val="20"/>
          <w:lang w:val="en-US"/>
        </w:rPr>
        <w:t xml:space="preserve">, 494 and 495 of the Criminal Code; </w:t>
      </w:r>
    </w:p>
    <w:p w14:paraId="23192C7C" w14:textId="77777777" w:rsidR="00036E0B" w:rsidRPr="009A330C" w:rsidRDefault="00036E0B" w:rsidP="00036E0B">
      <w:pPr>
        <w:jc w:val="both"/>
        <w:rPr>
          <w:rFonts w:ascii="Verdana" w:hAnsi="Verdana"/>
          <w:sz w:val="20"/>
          <w:szCs w:val="20"/>
          <w:lang w:val="en-US"/>
        </w:rPr>
      </w:pPr>
    </w:p>
    <w:p w14:paraId="352CDA08" w14:textId="226D17EC" w:rsidR="009F7C29" w:rsidRPr="009A330C" w:rsidRDefault="00036E0B" w:rsidP="00BB62E1">
      <w:pPr>
        <w:pStyle w:val="ListParagraph"/>
        <w:numPr>
          <w:ilvl w:val="0"/>
          <w:numId w:val="9"/>
        </w:numPr>
        <w:jc w:val="both"/>
        <w:rPr>
          <w:rFonts w:ascii="Verdana" w:hAnsi="Verdana"/>
          <w:sz w:val="20"/>
          <w:szCs w:val="20"/>
          <w:lang w:val="en-US"/>
        </w:rPr>
      </w:pPr>
      <w:r w:rsidRPr="009A330C">
        <w:rPr>
          <w:rFonts w:ascii="Verdana" w:hAnsi="Verdana"/>
          <w:sz w:val="20"/>
          <w:szCs w:val="20"/>
          <w:lang w:val="en-US"/>
        </w:rPr>
        <w:t xml:space="preserve">Drop all charges, issue non-prosecution orders, and refrain from further charges, particularly at the very inception of any such lawsuit, against any individual, including those named in this </w:t>
      </w:r>
      <w:r w:rsidR="00C91581" w:rsidRPr="009A330C">
        <w:rPr>
          <w:rFonts w:ascii="Verdana" w:hAnsi="Verdana"/>
          <w:sz w:val="20"/>
          <w:szCs w:val="20"/>
          <w:lang w:val="en-US"/>
        </w:rPr>
        <w:t>submission</w:t>
      </w:r>
      <w:r w:rsidRPr="009A330C">
        <w:rPr>
          <w:rFonts w:ascii="Verdana" w:hAnsi="Verdana"/>
          <w:sz w:val="20"/>
          <w:szCs w:val="20"/>
          <w:lang w:val="en-US"/>
        </w:rPr>
        <w:t xml:space="preserve">, facing prosecution for alleged violation of laws that are </w:t>
      </w:r>
      <w:r w:rsidR="009F7C29" w:rsidRPr="009A330C">
        <w:rPr>
          <w:rFonts w:ascii="Verdana" w:hAnsi="Verdana"/>
          <w:sz w:val="20"/>
          <w:szCs w:val="20"/>
          <w:lang w:val="en-US"/>
        </w:rPr>
        <w:t xml:space="preserve">inconsistent with </w:t>
      </w:r>
      <w:r w:rsidRPr="009A330C">
        <w:rPr>
          <w:rFonts w:ascii="Verdana" w:hAnsi="Verdana"/>
          <w:sz w:val="20"/>
          <w:szCs w:val="20"/>
          <w:lang w:val="en-US"/>
        </w:rPr>
        <w:t xml:space="preserve">human rights on their face or which have been applied in a manner </w:t>
      </w:r>
      <w:r w:rsidR="009F7C29" w:rsidRPr="009A330C">
        <w:rPr>
          <w:rFonts w:ascii="Verdana" w:hAnsi="Verdana"/>
          <w:sz w:val="20"/>
          <w:szCs w:val="20"/>
          <w:lang w:val="en-US"/>
        </w:rPr>
        <w:t xml:space="preserve">that fails to </w:t>
      </w:r>
      <w:r w:rsidRPr="009A330C">
        <w:rPr>
          <w:rFonts w:ascii="Verdana" w:hAnsi="Verdana"/>
          <w:sz w:val="20"/>
          <w:szCs w:val="20"/>
          <w:lang w:val="en-US"/>
        </w:rPr>
        <w:t>compl</w:t>
      </w:r>
      <w:r w:rsidR="009F7C29" w:rsidRPr="009A330C">
        <w:rPr>
          <w:rFonts w:ascii="Verdana" w:hAnsi="Verdana"/>
          <w:sz w:val="20"/>
          <w:szCs w:val="20"/>
          <w:lang w:val="en-US"/>
        </w:rPr>
        <w:t xml:space="preserve">y </w:t>
      </w:r>
      <w:r w:rsidRPr="009A330C">
        <w:rPr>
          <w:rFonts w:ascii="Verdana" w:hAnsi="Verdana"/>
          <w:sz w:val="20"/>
          <w:szCs w:val="20"/>
          <w:lang w:val="en-US"/>
        </w:rPr>
        <w:t xml:space="preserve">with </w:t>
      </w:r>
      <w:r w:rsidR="008A25A3" w:rsidRPr="009A330C">
        <w:rPr>
          <w:rFonts w:ascii="Verdana" w:hAnsi="Verdana"/>
          <w:sz w:val="20"/>
          <w:szCs w:val="20"/>
          <w:lang w:val="en-US"/>
        </w:rPr>
        <w:t xml:space="preserve">the </w:t>
      </w:r>
      <w:r w:rsidR="00C91581" w:rsidRPr="009A330C">
        <w:rPr>
          <w:rFonts w:ascii="Verdana" w:hAnsi="Verdana"/>
          <w:sz w:val="20"/>
          <w:szCs w:val="20"/>
          <w:lang w:val="en-US"/>
        </w:rPr>
        <w:t xml:space="preserve">ICESCR and </w:t>
      </w:r>
      <w:r w:rsidR="008A25A3" w:rsidRPr="009A330C">
        <w:rPr>
          <w:rFonts w:ascii="Verdana" w:hAnsi="Verdana"/>
          <w:sz w:val="20"/>
          <w:szCs w:val="20"/>
          <w:lang w:val="en-US"/>
        </w:rPr>
        <w:t>ICCCPR</w:t>
      </w:r>
      <w:r w:rsidRPr="009A330C">
        <w:rPr>
          <w:rFonts w:ascii="Verdana" w:hAnsi="Verdana"/>
          <w:sz w:val="20"/>
          <w:szCs w:val="20"/>
          <w:lang w:val="en-US"/>
        </w:rPr>
        <w:t xml:space="preserve">. This includes the COVID-19 Preventive Law and articles 437 </w:t>
      </w:r>
      <w:r w:rsidRPr="009A330C">
        <w:rPr>
          <w:rFonts w:ascii="Verdana" w:hAnsi="Verdana"/>
          <w:i/>
          <w:sz w:val="20"/>
          <w:szCs w:val="20"/>
          <w:lang w:val="en-US"/>
        </w:rPr>
        <w:t>bis</w:t>
      </w:r>
      <w:r w:rsidRPr="009A330C">
        <w:rPr>
          <w:rFonts w:ascii="Verdana" w:hAnsi="Verdana"/>
          <w:sz w:val="20"/>
          <w:szCs w:val="20"/>
          <w:lang w:val="en-US"/>
        </w:rPr>
        <w:t xml:space="preserve">, 494 and 495 of the Criminal Code. With respect to the cases of convicted individuals for the aforementioned offences, quash their convictions, and with respect to individuals in pre-trial detention, cease investigation of their cases. </w:t>
      </w:r>
      <w:r w:rsidR="008A25A3" w:rsidRPr="009A330C">
        <w:rPr>
          <w:rFonts w:ascii="Verdana" w:hAnsi="Verdana"/>
          <w:sz w:val="20"/>
          <w:szCs w:val="20"/>
          <w:lang w:val="en-US"/>
        </w:rPr>
        <w:t>A</w:t>
      </w:r>
      <w:r w:rsidRPr="009A330C">
        <w:rPr>
          <w:rFonts w:ascii="Verdana" w:hAnsi="Verdana"/>
          <w:sz w:val="20"/>
          <w:szCs w:val="20"/>
          <w:lang w:val="en-US"/>
        </w:rPr>
        <w:t>ll persons held in pre-trial detention or imprisoned on conviction in such cases</w:t>
      </w:r>
      <w:r w:rsidR="008A25A3" w:rsidRPr="009A330C">
        <w:rPr>
          <w:rFonts w:ascii="Verdana" w:hAnsi="Verdana"/>
          <w:sz w:val="20"/>
          <w:szCs w:val="20"/>
          <w:lang w:val="en-US"/>
        </w:rPr>
        <w:t xml:space="preserve"> should be released</w:t>
      </w:r>
      <w:r w:rsidR="009F7C29" w:rsidRPr="009A330C">
        <w:rPr>
          <w:rFonts w:ascii="Verdana" w:hAnsi="Verdana"/>
          <w:sz w:val="20"/>
          <w:szCs w:val="20"/>
          <w:lang w:val="en-US"/>
        </w:rPr>
        <w:t>; and</w:t>
      </w:r>
    </w:p>
    <w:p w14:paraId="64B392F7" w14:textId="77777777" w:rsidR="009F7C29" w:rsidRPr="009A330C" w:rsidRDefault="009F7C29" w:rsidP="00BB62E1">
      <w:pPr>
        <w:pStyle w:val="ListParagraph"/>
        <w:jc w:val="both"/>
        <w:rPr>
          <w:rFonts w:ascii="Verdana" w:hAnsi="Verdana"/>
          <w:sz w:val="20"/>
          <w:szCs w:val="20"/>
          <w:lang w:val="en-US"/>
        </w:rPr>
      </w:pPr>
    </w:p>
    <w:p w14:paraId="7917B26A" w14:textId="4D1E65A3" w:rsidR="00036E0B" w:rsidRPr="009A330C" w:rsidRDefault="009F7C29" w:rsidP="00BB62E1">
      <w:pPr>
        <w:pStyle w:val="ListParagraph"/>
        <w:numPr>
          <w:ilvl w:val="0"/>
          <w:numId w:val="9"/>
        </w:numPr>
        <w:jc w:val="both"/>
        <w:rPr>
          <w:rFonts w:ascii="Verdana" w:hAnsi="Verdana"/>
          <w:sz w:val="20"/>
          <w:szCs w:val="20"/>
          <w:lang w:val="en-US"/>
        </w:rPr>
      </w:pPr>
      <w:r w:rsidRPr="009A330C">
        <w:rPr>
          <w:rFonts w:ascii="Verdana" w:hAnsi="Verdana"/>
          <w:sz w:val="20"/>
          <w:szCs w:val="20"/>
          <w:lang w:val="en-US"/>
        </w:rPr>
        <w:t>Ensure and facilitate equal access to adequate, effective and prompt remedy and reparation for all individuals who have had their rights impaired by harassment or prosecution for their health-related expression</w:t>
      </w:r>
      <w:r w:rsidR="00036E0B" w:rsidRPr="009A330C">
        <w:rPr>
          <w:rFonts w:ascii="Verdana" w:hAnsi="Verdana"/>
          <w:sz w:val="20"/>
          <w:szCs w:val="20"/>
          <w:lang w:val="en-US"/>
        </w:rPr>
        <w:t>.</w:t>
      </w:r>
      <w:bookmarkStart w:id="3" w:name="_GoBack"/>
      <w:bookmarkEnd w:id="3"/>
    </w:p>
    <w:sectPr w:rsidR="00036E0B" w:rsidRPr="009A330C" w:rsidSect="008C410E">
      <w:footerReference w:type="even" r:id="rId11"/>
      <w:footerReference w:type="default" r:id="rId12"/>
      <w:pgSz w:w="11900" w:h="16840"/>
      <w:pgMar w:top="1440" w:right="1440" w:bottom="1440" w:left="1440" w:header="708" w:footer="708" w:gutter="0"/>
      <w:pgNumType w:start="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7E54AC" w16cex:dateUtc="2023-01-27T06:48:00Z"/>
  <w16cex:commentExtensible w16cex:durableId="277E5446" w16cex:dateUtc="2023-01-27T06:46:00Z"/>
  <w16cex:commentExtensible w16cex:durableId="277E5484" w16cex:dateUtc="2023-01-27T06:47:00Z"/>
  <w16cex:commentExtensible w16cex:durableId="277E5490" w16cex:dateUtc="2023-01-27T06:48:00Z"/>
  <w16cex:commentExtensible w16cex:durableId="277E5505" w16cex:dateUtc="2023-01-27T06:49:00Z"/>
  <w16cex:commentExtensible w16cex:durableId="277E5536" w16cex:dateUtc="2023-01-27T06: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1D6D0A" w16cid:durableId="277E54AC"/>
  <w16cid:commentId w16cid:paraId="4EE93CC7" w16cid:durableId="277E5446"/>
  <w16cid:commentId w16cid:paraId="7D8A1182" w16cid:durableId="277E5484"/>
  <w16cid:commentId w16cid:paraId="5E05B1EE" w16cid:durableId="277E5490"/>
  <w16cid:commentId w16cid:paraId="269A8DB8" w16cid:durableId="277E5505"/>
  <w16cid:commentId w16cid:paraId="027BFE01" w16cid:durableId="277E553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74373A" w14:textId="77777777" w:rsidR="00B72D85" w:rsidRDefault="00B72D85" w:rsidP="003E5631">
      <w:r>
        <w:separator/>
      </w:r>
    </w:p>
  </w:endnote>
  <w:endnote w:type="continuationSeparator" w:id="0">
    <w:p w14:paraId="0367C3B2" w14:textId="77777777" w:rsidR="00B72D85" w:rsidRDefault="00B72D85" w:rsidP="003E5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Angsana New">
    <w:altName w:val="Leelawadee UI"/>
    <w:panose1 w:val="02020603050405020304"/>
    <w:charset w:val="DE"/>
    <w:family w:val="roman"/>
    <w:pitch w:val="variable"/>
    <w:sig w:usb0="00000000"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42581262"/>
      <w:docPartObj>
        <w:docPartGallery w:val="Page Numbers (Bottom of Page)"/>
        <w:docPartUnique/>
      </w:docPartObj>
    </w:sdtPr>
    <w:sdtEndPr>
      <w:rPr>
        <w:rStyle w:val="PageNumber"/>
      </w:rPr>
    </w:sdtEndPr>
    <w:sdtContent>
      <w:p w14:paraId="366DB4A9" w14:textId="30F29F0C" w:rsidR="003B19EC" w:rsidRDefault="003B19EC" w:rsidP="0041562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D618A9">
          <w:rPr>
            <w:rStyle w:val="PageNumber"/>
            <w:noProof/>
          </w:rPr>
          <w:t>1</w:t>
        </w:r>
        <w:r>
          <w:rPr>
            <w:rStyle w:val="PageNumber"/>
          </w:rPr>
          <w:fldChar w:fldCharType="end"/>
        </w:r>
      </w:p>
    </w:sdtContent>
  </w:sdt>
  <w:p w14:paraId="24E9DAD3" w14:textId="77777777" w:rsidR="003B19EC" w:rsidRDefault="003B19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Verdana" w:hAnsi="Verdana"/>
        <w:sz w:val="20"/>
        <w:szCs w:val="20"/>
      </w:rPr>
      <w:id w:val="-986789454"/>
      <w:docPartObj>
        <w:docPartGallery w:val="Page Numbers (Bottom of Page)"/>
        <w:docPartUnique/>
      </w:docPartObj>
    </w:sdtPr>
    <w:sdtEndPr>
      <w:rPr>
        <w:rStyle w:val="PageNumber"/>
        <w:sz w:val="16"/>
        <w:szCs w:val="16"/>
      </w:rPr>
    </w:sdtEndPr>
    <w:sdtContent>
      <w:p w14:paraId="16D80841" w14:textId="75E2B580" w:rsidR="003B19EC" w:rsidRPr="008C410E" w:rsidRDefault="003B19EC" w:rsidP="0041562E">
        <w:pPr>
          <w:pStyle w:val="Footer"/>
          <w:framePr w:wrap="none" w:vAnchor="text" w:hAnchor="margin" w:xAlign="center" w:y="1"/>
          <w:rPr>
            <w:rStyle w:val="PageNumber"/>
            <w:rFonts w:ascii="Verdana" w:hAnsi="Verdana"/>
            <w:sz w:val="20"/>
            <w:szCs w:val="20"/>
          </w:rPr>
        </w:pPr>
        <w:r w:rsidRPr="008C410E">
          <w:rPr>
            <w:rStyle w:val="PageNumber"/>
            <w:rFonts w:ascii="Verdana" w:hAnsi="Verdana"/>
            <w:sz w:val="20"/>
            <w:szCs w:val="20"/>
          </w:rPr>
          <w:fldChar w:fldCharType="begin"/>
        </w:r>
        <w:r w:rsidRPr="008C410E">
          <w:rPr>
            <w:rStyle w:val="PageNumber"/>
            <w:rFonts w:ascii="Verdana" w:hAnsi="Verdana"/>
            <w:sz w:val="20"/>
            <w:szCs w:val="20"/>
          </w:rPr>
          <w:instrText xml:space="preserve"> PAGE </w:instrText>
        </w:r>
        <w:r w:rsidRPr="008C410E">
          <w:rPr>
            <w:rStyle w:val="PageNumber"/>
            <w:rFonts w:ascii="Verdana" w:hAnsi="Verdana"/>
            <w:sz w:val="20"/>
            <w:szCs w:val="20"/>
          </w:rPr>
          <w:fldChar w:fldCharType="separate"/>
        </w:r>
        <w:r w:rsidR="009A330C">
          <w:rPr>
            <w:rStyle w:val="PageNumber"/>
            <w:rFonts w:ascii="Verdana" w:hAnsi="Verdana"/>
            <w:noProof/>
            <w:sz w:val="20"/>
            <w:szCs w:val="20"/>
          </w:rPr>
          <w:t>8</w:t>
        </w:r>
        <w:r w:rsidRPr="008C410E">
          <w:rPr>
            <w:rStyle w:val="PageNumber"/>
            <w:rFonts w:ascii="Verdana" w:hAnsi="Verdana"/>
            <w:sz w:val="20"/>
            <w:szCs w:val="20"/>
          </w:rPr>
          <w:fldChar w:fldCharType="end"/>
        </w:r>
      </w:p>
    </w:sdtContent>
  </w:sdt>
  <w:p w14:paraId="58699AB1" w14:textId="77777777" w:rsidR="003B19EC" w:rsidRDefault="003B1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494CBF" w14:textId="77777777" w:rsidR="00B72D85" w:rsidRDefault="00B72D85" w:rsidP="003E5631">
      <w:r>
        <w:separator/>
      </w:r>
    </w:p>
  </w:footnote>
  <w:footnote w:type="continuationSeparator" w:id="0">
    <w:p w14:paraId="12A68A3A" w14:textId="77777777" w:rsidR="00B72D85" w:rsidRDefault="00B72D85" w:rsidP="003E5631">
      <w:r>
        <w:continuationSeparator/>
      </w:r>
    </w:p>
  </w:footnote>
  <w:footnote w:id="1">
    <w:p w14:paraId="3915736E" w14:textId="05A44579"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See also: ICJ, ‘Mekong Region: Authorities must address the adverse impacts of economic activity in SEZs on the environment and human rights’, 2022, available at: </w:t>
      </w:r>
      <w:hyperlink r:id="rId1" w:history="1">
        <w:r w:rsidRPr="006F60C9">
          <w:rPr>
            <w:rStyle w:val="Hyperlink"/>
            <w:rFonts w:ascii="Verdana" w:hAnsi="Verdana"/>
            <w:sz w:val="17"/>
            <w:szCs w:val="17"/>
          </w:rPr>
          <w:t>https://www.icj.org/mekong-sezs-human-rights/</w:t>
        </w:r>
      </w:hyperlink>
      <w:r w:rsidRPr="006F60C9">
        <w:rPr>
          <w:rFonts w:ascii="Verdana" w:hAnsi="Verdana"/>
          <w:sz w:val="17"/>
          <w:szCs w:val="17"/>
        </w:rPr>
        <w:t xml:space="preserve">. </w:t>
      </w:r>
    </w:p>
  </w:footnote>
  <w:footnote w:id="2">
    <w:p w14:paraId="6CCC6458" w14:textId="299CA476"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Khmer Times, ‘Special Economic Zones in Cambodia Spurring Development’, 30 November 2022, available at: </w:t>
      </w:r>
      <w:hyperlink r:id="rId2" w:history="1">
        <w:r w:rsidRPr="006F60C9">
          <w:rPr>
            <w:rStyle w:val="Hyperlink"/>
            <w:rFonts w:ascii="Verdana" w:hAnsi="Verdana"/>
            <w:sz w:val="17"/>
            <w:szCs w:val="17"/>
          </w:rPr>
          <w:t>https://www.khmertimeskh.com/501193909/special-economic-zones-in-cambodia-spurring-development/</w:t>
        </w:r>
      </w:hyperlink>
      <w:r w:rsidRPr="006F60C9">
        <w:rPr>
          <w:rFonts w:ascii="Verdana" w:hAnsi="Verdana"/>
          <w:sz w:val="17"/>
          <w:szCs w:val="17"/>
        </w:rPr>
        <w:t xml:space="preserve">. Notably, as of February 2022, Open Development Cambodia’s dataset identified 48 SEZs in the country; see, Open Development Cambodia, ‘Special economic zone’, available at: </w:t>
      </w:r>
      <w:hyperlink r:id="rId3" w:history="1">
        <w:r w:rsidRPr="006F60C9">
          <w:rPr>
            <w:rStyle w:val="Hyperlink"/>
            <w:rFonts w:ascii="Verdana" w:hAnsi="Verdana"/>
            <w:sz w:val="17"/>
            <w:szCs w:val="17"/>
          </w:rPr>
          <w:t>https://opendevelopmentcambodia.net/profiles/special-economic-zones/</w:t>
        </w:r>
      </w:hyperlink>
      <w:r w:rsidRPr="006F60C9">
        <w:rPr>
          <w:rStyle w:val="Hyperlink"/>
          <w:rFonts w:ascii="Verdana" w:hAnsi="Verdana"/>
          <w:sz w:val="17"/>
          <w:szCs w:val="17"/>
        </w:rPr>
        <w:t>.</w:t>
      </w:r>
    </w:p>
  </w:footnote>
  <w:footnote w:id="3">
    <w:p w14:paraId="783274A9" w14:textId="0F08E477"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Open Development Cambodia, ‘Sub-Decree No. 148 on the Establishment and Management of Special Economic Zone’, (“Anukret No. 148”) available at: </w:t>
      </w:r>
      <w:hyperlink r:id="rId4" w:history="1">
        <w:r w:rsidRPr="006F60C9">
          <w:rPr>
            <w:rStyle w:val="Hyperlink"/>
            <w:rFonts w:ascii="Verdana" w:hAnsi="Verdana"/>
            <w:sz w:val="17"/>
            <w:szCs w:val="17"/>
          </w:rPr>
          <w:t>https://data.opendevelopmentcambodia.net/laws_record/sub-decree-on-organization-and-management-of-special-economic-zone</w:t>
        </w:r>
      </w:hyperlink>
      <w:r w:rsidRPr="006F60C9">
        <w:rPr>
          <w:rStyle w:val="Hyperlink"/>
          <w:rFonts w:ascii="Verdana" w:hAnsi="Verdana"/>
          <w:sz w:val="17"/>
          <w:szCs w:val="17"/>
        </w:rPr>
        <w:t>.</w:t>
      </w:r>
      <w:r w:rsidRPr="006F60C9">
        <w:rPr>
          <w:rFonts w:ascii="Verdana" w:hAnsi="Verdana"/>
          <w:sz w:val="17"/>
          <w:szCs w:val="17"/>
        </w:rPr>
        <w:t xml:space="preserve"> </w:t>
      </w:r>
    </w:p>
  </w:footnote>
  <w:footnote w:id="4">
    <w:p w14:paraId="42B26F81" w14:textId="4A9DD10C"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For example, see Article 11 of </w:t>
      </w:r>
      <w:bookmarkStart w:id="0" w:name="_Hlk123914145"/>
      <w:r w:rsidRPr="006F60C9">
        <w:rPr>
          <w:rFonts w:ascii="Verdana" w:hAnsi="Verdana"/>
          <w:sz w:val="17"/>
          <w:szCs w:val="17"/>
        </w:rPr>
        <w:t>the Anukret No. 148</w:t>
      </w:r>
      <w:bookmarkEnd w:id="0"/>
      <w:r w:rsidRPr="006F60C9">
        <w:rPr>
          <w:rFonts w:ascii="Verdana" w:hAnsi="Verdana"/>
          <w:sz w:val="17"/>
          <w:szCs w:val="17"/>
        </w:rPr>
        <w:t xml:space="preserve">. </w:t>
      </w:r>
    </w:p>
  </w:footnote>
  <w:footnote w:id="5">
    <w:p w14:paraId="7C5EC3F2" w14:textId="77777777"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CCHR, ‘Fact Sheet: Cambodia’s Special Economic Zones And Human Rights’, September 2018, at 3 (“CCHR Fact Sheet”), available at: </w:t>
      </w:r>
      <w:hyperlink r:id="rId5" w:history="1">
        <w:r w:rsidRPr="006F60C9">
          <w:rPr>
            <w:rStyle w:val="Hyperlink"/>
            <w:rFonts w:ascii="Verdana" w:hAnsi="Verdana"/>
            <w:sz w:val="17"/>
            <w:szCs w:val="17"/>
          </w:rPr>
          <w:t>https://cchrcambodia.org/admin/media/factsheet/factsheet/english/Factsheet_SEZ%20ENG_01_10_18.pdf</w:t>
        </w:r>
      </w:hyperlink>
    </w:p>
  </w:footnote>
  <w:footnote w:id="6">
    <w:p w14:paraId="25D95B88" w14:textId="755A9BBA"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CESCR, </w:t>
      </w:r>
      <w:r w:rsidRPr="006F60C9">
        <w:rPr>
          <w:rFonts w:ascii="Verdana" w:hAnsi="Verdana"/>
          <w:i/>
          <w:iCs/>
          <w:sz w:val="17"/>
          <w:szCs w:val="17"/>
        </w:rPr>
        <w:t>CESCR General Comment No. 26: Land and Economic, Social and Cultural Rights</w:t>
      </w:r>
      <w:r w:rsidRPr="006F60C9">
        <w:rPr>
          <w:rFonts w:ascii="Verdana" w:hAnsi="Verdana"/>
          <w:sz w:val="17"/>
          <w:szCs w:val="17"/>
        </w:rPr>
        <w:t>, UN Doc. E/C.12/GC/26, 22 December 2022, para 20 (“General Comment No. 26”)</w:t>
      </w:r>
    </w:p>
  </w:footnote>
  <w:footnote w:id="7">
    <w:p w14:paraId="5D1B5790" w14:textId="738FFDDF"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For example, Principle 10 of the Rio Declaration on Environment and Development and the Convention on Access to Information, Public Participation in Decision-making and Access to Justice in Environmental Matters (“Aarhus Convention”). While Cambodia is not a party, the Aarhus Convention sets out international best practices for procedural obligations and public participation in environmental decision-making and calls for transparency and participation in decision-making.</w:t>
      </w:r>
    </w:p>
  </w:footnote>
  <w:footnote w:id="8">
    <w:p w14:paraId="4653E6EA" w14:textId="6FB39D20"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w:t>
      </w:r>
      <w:r w:rsidRPr="006F60C9">
        <w:rPr>
          <w:rFonts w:ascii="Verdana" w:hAnsi="Verdana"/>
          <w:sz w:val="17"/>
          <w:szCs w:val="17"/>
          <w:lang w:val="en-US"/>
        </w:rPr>
        <w:t xml:space="preserve">CESCR, </w:t>
      </w:r>
      <w:r w:rsidRPr="006F60C9">
        <w:rPr>
          <w:rFonts w:ascii="Verdana" w:hAnsi="Verdana"/>
          <w:i/>
          <w:sz w:val="17"/>
          <w:szCs w:val="17"/>
          <w:lang w:val="en-US"/>
        </w:rPr>
        <w:t>CESCR General Comment No. 7: forced eviction</w:t>
      </w:r>
      <w:r w:rsidRPr="006F60C9">
        <w:rPr>
          <w:rFonts w:ascii="Verdana" w:hAnsi="Verdana"/>
          <w:sz w:val="17"/>
          <w:szCs w:val="17"/>
          <w:lang w:val="en-US"/>
        </w:rPr>
        <w:t>, 20 May 1997 (“General Comment No. 7”) and General Comment No. 26</w:t>
      </w:r>
      <w:r w:rsidRPr="006F60C9">
        <w:rPr>
          <w:rFonts w:ascii="Verdana" w:hAnsi="Verdana"/>
          <w:sz w:val="17"/>
          <w:szCs w:val="17"/>
        </w:rPr>
        <w:t xml:space="preserve">. See also: CESCR, Concluding observations on Chad (E/C.12/TCD/CO/3, 2009); CERD Concluding observations on Argentina (CERD/C/ARG/CO/19-20, 2010), Chile (CERD/C/CHL/CO/15-18, 2009) and Congo (CERD/C/COG/CO/9, 2009); HRC Concluding observations on United Republic of Tanzania (CCPR/C/TZA/CO/4, 2009). </w:t>
      </w:r>
    </w:p>
  </w:footnote>
  <w:footnote w:id="9">
    <w:p w14:paraId="64D05EFD" w14:textId="77777777"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CESCR, ‘Concluding observations on Cambodia’, </w:t>
      </w:r>
      <w:r w:rsidRPr="006F60C9">
        <w:rPr>
          <w:rFonts w:ascii="Verdana" w:hAnsi="Verdana"/>
          <w:sz w:val="17"/>
          <w:szCs w:val="17"/>
          <w:lang w:val="en-US"/>
        </w:rPr>
        <w:t xml:space="preserve">UN Doc. </w:t>
      </w:r>
      <w:r w:rsidRPr="006F60C9">
        <w:rPr>
          <w:rFonts w:ascii="Verdana" w:hAnsi="Verdana"/>
          <w:sz w:val="17"/>
          <w:szCs w:val="17"/>
        </w:rPr>
        <w:t>E/C.12/KHM/CO/1, 2009, para 30 ("2009 Concluding Observations”).</w:t>
      </w:r>
    </w:p>
  </w:footnote>
  <w:footnote w:id="10">
    <w:p w14:paraId="0B742E9C" w14:textId="77777777"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See: UDHR, art. 21 (right to participate in government); CEDAW, art. 7 (right to participate in formulation of government policy); CRC, art. 13 (right to information); see also UDHR, arts. 19, 20 (rights to information, association, assembly, and freedom of expression, which includes right to receive and impart information); ICCPR, art. 19 (right to freedom of expression includes right to receive and impart information); ICESCR, art.13 (component of right to education is the right to participate effectively in a free society).</w:t>
      </w:r>
    </w:p>
  </w:footnote>
  <w:footnote w:id="11">
    <w:p w14:paraId="618A6DF5" w14:textId="68788289"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CCHR Fact Sheet; and CCHR, ‘Preventing, Mitigating and Remedying Land-Related Rights Violations in the Kingdom of Cambodia: Seven Areas for Improvement’, December 2018, (“CCHR 2018 Report”), pp. 18 – 19, available at: </w:t>
      </w:r>
      <w:hyperlink r:id="rId6" w:history="1">
        <w:r w:rsidRPr="006F60C9">
          <w:rPr>
            <w:rStyle w:val="Hyperlink"/>
            <w:rFonts w:ascii="Verdana" w:hAnsi="Verdana"/>
            <w:sz w:val="17"/>
            <w:szCs w:val="17"/>
          </w:rPr>
          <w:t>https://media.business-humanrights.org/media/documents/files/documents/20181219_BHR_Briefing_Note_ENG-Final.pdf</w:t>
        </w:r>
      </w:hyperlink>
      <w:r w:rsidRPr="006F60C9">
        <w:rPr>
          <w:rFonts w:ascii="Verdana" w:hAnsi="Verdana"/>
          <w:sz w:val="17"/>
          <w:szCs w:val="17"/>
        </w:rPr>
        <w:t xml:space="preserve">. See also: Kuaycharoen, P., Longcharoen, L., Chotiwan, P., Sukin, K., Lao Independent Researchers, ‘Special Economic Zones and Land Dispossession in the Mekong Region’, 2020, (“2020 SEZ and Land Dispossession Report”), available at: </w:t>
      </w:r>
      <w:hyperlink r:id="rId7" w:history="1">
        <w:r w:rsidRPr="006F60C9">
          <w:rPr>
            <w:rStyle w:val="Hyperlink"/>
            <w:rFonts w:ascii="Verdana" w:hAnsi="Verdana"/>
            <w:sz w:val="17"/>
            <w:szCs w:val="17"/>
          </w:rPr>
          <w:t>https://th.boell.org/sites/default/files/2021-05/SEZs%20%26%20Land%20Dispossession%20in%20the%20Mekong%20Region-Update.pdf</w:t>
        </w:r>
      </w:hyperlink>
      <w:r w:rsidRPr="006F60C9">
        <w:rPr>
          <w:rStyle w:val="Hyperlink"/>
          <w:rFonts w:ascii="Verdana" w:hAnsi="Verdana"/>
          <w:sz w:val="17"/>
          <w:szCs w:val="17"/>
        </w:rPr>
        <w:t>.</w:t>
      </w:r>
      <w:r w:rsidRPr="006F60C9">
        <w:rPr>
          <w:rFonts w:ascii="Verdana" w:hAnsi="Verdana"/>
          <w:sz w:val="17"/>
          <w:szCs w:val="17"/>
        </w:rPr>
        <w:t xml:space="preserve"> </w:t>
      </w:r>
    </w:p>
  </w:footnote>
  <w:footnote w:id="12">
    <w:p w14:paraId="16A938D5" w14:textId="7C31CBA8"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CCHR 2018 Report, at pp. 18 – 19. </w:t>
      </w:r>
    </w:p>
  </w:footnote>
  <w:footnote w:id="13">
    <w:p w14:paraId="74F5FB46" w14:textId="5BDB7ADE"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See Article 4 of the Anukret No. 148.</w:t>
      </w:r>
    </w:p>
  </w:footnote>
  <w:footnote w:id="14">
    <w:p w14:paraId="1BB5999A" w14:textId="0E058F83"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w:t>
      </w:r>
      <w:r w:rsidRPr="006F60C9">
        <w:rPr>
          <w:rFonts w:ascii="Verdana" w:hAnsi="Verdana"/>
          <w:i/>
          <w:sz w:val="17"/>
          <w:szCs w:val="17"/>
        </w:rPr>
        <w:t>Ibid</w:t>
      </w:r>
      <w:r w:rsidRPr="006F60C9">
        <w:rPr>
          <w:rFonts w:ascii="Verdana" w:hAnsi="Verdana"/>
          <w:sz w:val="17"/>
          <w:szCs w:val="17"/>
        </w:rPr>
        <w:t>.</w:t>
      </w:r>
    </w:p>
  </w:footnote>
  <w:footnote w:id="15">
    <w:p w14:paraId="20D27573" w14:textId="012C72E6"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Article 4.1 of the Anukret No. 148; and Anukret (Sub-Decree) No. 28. ANKr.BK on the Amendment of Article 4 Point (4.1) Of Sub-Decree N° 148 Dated 29-December 29,2005 on the Establishment and Management of the Special Economic Zone, dated 14 March 2006.</w:t>
      </w:r>
    </w:p>
  </w:footnote>
  <w:footnote w:id="16">
    <w:p w14:paraId="44F081B6" w14:textId="2140A36B"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2020 SEZ and Land Dispossession Report, at 29.</w:t>
      </w:r>
    </w:p>
  </w:footnote>
  <w:footnote w:id="17">
    <w:p w14:paraId="27A87579" w14:textId="40710F9B"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w:t>
      </w:r>
      <w:r w:rsidRPr="006F60C9">
        <w:rPr>
          <w:rFonts w:ascii="Verdana" w:hAnsi="Verdana"/>
          <w:iCs/>
          <w:sz w:val="17"/>
          <w:szCs w:val="17"/>
          <w:lang w:val="en-US"/>
        </w:rPr>
        <w:t>General Comment No. 7 and 26;</w:t>
      </w:r>
      <w:r w:rsidRPr="006F60C9">
        <w:rPr>
          <w:rFonts w:ascii="Verdana" w:hAnsi="Verdana"/>
          <w:i/>
          <w:sz w:val="17"/>
          <w:szCs w:val="17"/>
          <w:lang w:val="en-US"/>
        </w:rPr>
        <w:t xml:space="preserve"> </w:t>
      </w:r>
      <w:r w:rsidRPr="006F60C9">
        <w:rPr>
          <w:rFonts w:ascii="Verdana" w:hAnsi="Verdana"/>
          <w:sz w:val="17"/>
          <w:szCs w:val="17"/>
        </w:rPr>
        <w:t>and the Basic Principles and Guidelines on Development-based Evictions and Displacement ("Basic Principles"), prepared by the Special Rapporteur on adequate housing, which reflect existing standards and jurisprudence on the issue of forced eviction.</w:t>
      </w:r>
    </w:p>
  </w:footnote>
  <w:footnote w:id="18">
    <w:p w14:paraId="79663489" w14:textId="4B0907A8"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Royal Government of Cambodia, ‘Replies of Cambodia to the list of issues in relation to its second periodic report’, E/C.12/KHM/RQ/2, 6 October 2022, para 78.</w:t>
      </w:r>
    </w:p>
  </w:footnote>
  <w:footnote w:id="19">
    <w:p w14:paraId="2E74E6E2" w14:textId="47CA0CC0"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See Article 3 of the Anukret No. 148.</w:t>
      </w:r>
    </w:p>
  </w:footnote>
  <w:footnote w:id="20">
    <w:p w14:paraId="55CA402C" w14:textId="2D57EEAA"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2020 SEZ and Land Dispossession Report, at 30.</w:t>
      </w:r>
    </w:p>
  </w:footnote>
  <w:footnote w:id="21">
    <w:p w14:paraId="4B0CAA2E" w14:textId="1D8D7BD9"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CCHR 2018 Report, at pp. 12 – 15 and 19 – 21; and CCHR Fact Sheet, at p. 5.</w:t>
      </w:r>
    </w:p>
  </w:footnote>
  <w:footnote w:id="22">
    <w:p w14:paraId="3FE98A84" w14:textId="1A61E58C"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CCHR 2018 Report, at p. 21.</w:t>
      </w:r>
    </w:p>
  </w:footnote>
  <w:footnote w:id="23">
    <w:p w14:paraId="364D2678" w14:textId="6C12B6E5" w:rsidR="003B19EC" w:rsidRPr="006F60C9" w:rsidRDefault="003B19EC" w:rsidP="00A176F0">
      <w:pPr>
        <w:pStyle w:val="FootnoteText"/>
        <w:jc w:val="both"/>
        <w:rPr>
          <w:rFonts w:ascii="Verdana" w:hAnsi="Verdana"/>
          <w:sz w:val="17"/>
          <w:szCs w:val="17"/>
          <w:lang w:val="en-US"/>
        </w:rPr>
      </w:pPr>
      <w:r w:rsidRPr="006F60C9">
        <w:rPr>
          <w:rStyle w:val="FootnoteReference"/>
          <w:rFonts w:ascii="Verdana" w:hAnsi="Verdana"/>
          <w:sz w:val="17"/>
          <w:szCs w:val="17"/>
        </w:rPr>
        <w:footnoteRef/>
      </w:r>
      <w:r w:rsidRPr="006F60C9">
        <w:rPr>
          <w:rFonts w:ascii="Verdana" w:hAnsi="Verdana"/>
          <w:sz w:val="17"/>
          <w:szCs w:val="17"/>
        </w:rPr>
        <w:t xml:space="preserve"> </w:t>
      </w:r>
      <w:r w:rsidR="0026125E" w:rsidRPr="006F60C9">
        <w:rPr>
          <w:rFonts w:ascii="Verdana" w:hAnsi="Verdana"/>
          <w:sz w:val="17"/>
          <w:szCs w:val="17"/>
          <w:lang w:val="en-US"/>
        </w:rPr>
        <w:t xml:space="preserve">General Comment No. 26, para 28; </w:t>
      </w:r>
      <w:r w:rsidR="0026125E" w:rsidRPr="006F60C9">
        <w:rPr>
          <w:rFonts w:ascii="Verdana" w:hAnsi="Verdana"/>
          <w:sz w:val="17"/>
          <w:szCs w:val="17"/>
        </w:rPr>
        <w:t>2009 Concluding Observations.</w:t>
      </w:r>
      <w:r w:rsidR="0026125E" w:rsidRPr="006F60C9">
        <w:rPr>
          <w:rFonts w:ascii="Verdana" w:hAnsi="Verdana"/>
          <w:sz w:val="17"/>
          <w:szCs w:val="17"/>
          <w:lang w:val="en-US"/>
        </w:rPr>
        <w:t xml:space="preserve"> </w:t>
      </w:r>
      <w:r w:rsidR="00FE142C" w:rsidRPr="006F60C9">
        <w:rPr>
          <w:rFonts w:ascii="Verdana" w:hAnsi="Verdana"/>
          <w:sz w:val="17"/>
          <w:szCs w:val="17"/>
        </w:rPr>
        <w:t xml:space="preserve">See also: </w:t>
      </w:r>
      <w:r w:rsidRPr="006F60C9">
        <w:rPr>
          <w:rFonts w:ascii="Verdana" w:hAnsi="Verdana"/>
          <w:sz w:val="17"/>
          <w:szCs w:val="17"/>
        </w:rPr>
        <w:t xml:space="preserve">OHCHR, ‘Basic Principles and Guidelines on the Right to a Remedy and Reparation for Victims of Gross Violations of International Human Rights Law and Serious Violations of International Humanitarian Law’, General Assembly Resolution 60/147, 16 December 2005, available at: </w:t>
      </w:r>
      <w:hyperlink r:id="rId8" w:history="1">
        <w:r w:rsidRPr="006F60C9">
          <w:rPr>
            <w:rStyle w:val="Hyperlink"/>
            <w:rFonts w:ascii="Verdana" w:hAnsi="Verdana"/>
            <w:sz w:val="17"/>
            <w:szCs w:val="17"/>
          </w:rPr>
          <w:t>https://www.ohchr.org/en/professionalinterest/pages/remedyandreparation.aspx</w:t>
        </w:r>
      </w:hyperlink>
      <w:r w:rsidRPr="006F60C9">
        <w:rPr>
          <w:rFonts w:ascii="Verdana" w:hAnsi="Verdana"/>
          <w:sz w:val="17"/>
          <w:szCs w:val="17"/>
        </w:rPr>
        <w:t>; See also: Basic Principles.</w:t>
      </w:r>
    </w:p>
  </w:footnote>
  <w:footnote w:id="24">
    <w:p w14:paraId="4A25392E" w14:textId="7E68442B" w:rsidR="003B19EC" w:rsidRPr="006F60C9" w:rsidRDefault="003B19EC" w:rsidP="00A176F0">
      <w:pPr>
        <w:pStyle w:val="FootnoteText"/>
        <w:jc w:val="both"/>
        <w:rPr>
          <w:rFonts w:ascii="Verdana" w:hAnsi="Verdana"/>
          <w:sz w:val="17"/>
          <w:szCs w:val="17"/>
          <w:lang w:val="en-US"/>
        </w:rPr>
      </w:pPr>
      <w:r w:rsidRPr="006F60C9">
        <w:rPr>
          <w:rStyle w:val="FootnoteReference"/>
          <w:rFonts w:ascii="Verdana" w:hAnsi="Verdana"/>
          <w:sz w:val="17"/>
          <w:szCs w:val="17"/>
        </w:rPr>
        <w:footnoteRef/>
      </w:r>
      <w:r w:rsidRPr="006F60C9">
        <w:rPr>
          <w:rFonts w:ascii="Verdana" w:hAnsi="Verdana"/>
          <w:sz w:val="17"/>
          <w:szCs w:val="17"/>
        </w:rPr>
        <w:t xml:space="preserve"> </w:t>
      </w:r>
      <w:r w:rsidRPr="006F60C9">
        <w:rPr>
          <w:rFonts w:ascii="Verdana" w:hAnsi="Verdana"/>
          <w:sz w:val="17"/>
          <w:szCs w:val="17"/>
          <w:lang w:val="en-US"/>
        </w:rPr>
        <w:t xml:space="preserve">Committee on Economic, Social and Cultural Rights, </w:t>
      </w:r>
      <w:r w:rsidRPr="006F60C9">
        <w:rPr>
          <w:rFonts w:ascii="Verdana" w:hAnsi="Verdana"/>
          <w:i/>
          <w:sz w:val="17"/>
          <w:szCs w:val="17"/>
          <w:lang w:val="en-US"/>
        </w:rPr>
        <w:t>CESCR General Comment No. 4: The Right to Adequate Housing (Art. 11(1) of the Covenant</w:t>
      </w:r>
      <w:r w:rsidRPr="006F60C9">
        <w:rPr>
          <w:rFonts w:ascii="Verdana" w:hAnsi="Verdana"/>
          <w:sz w:val="17"/>
          <w:szCs w:val="17"/>
          <w:lang w:val="en-US"/>
        </w:rPr>
        <w:t xml:space="preserve">, UN Doc. E/1992/23, 13 December 1991. </w:t>
      </w:r>
    </w:p>
  </w:footnote>
  <w:footnote w:id="25">
    <w:p w14:paraId="2E64B7B2" w14:textId="37D5D453" w:rsidR="0063353B" w:rsidRPr="006F60C9" w:rsidRDefault="0063353B">
      <w:pPr>
        <w:pStyle w:val="FootnoteText"/>
        <w:rPr>
          <w:rFonts w:ascii="Verdana" w:hAnsi="Verdana"/>
          <w:sz w:val="17"/>
          <w:szCs w:val="17"/>
          <w:lang w:val="en-US"/>
        </w:rPr>
      </w:pPr>
      <w:r w:rsidRPr="006F60C9">
        <w:rPr>
          <w:rStyle w:val="FootnoteReference"/>
          <w:rFonts w:ascii="Verdana" w:hAnsi="Verdana"/>
          <w:sz w:val="17"/>
          <w:szCs w:val="17"/>
        </w:rPr>
        <w:footnoteRef/>
      </w:r>
      <w:r w:rsidRPr="006F60C9">
        <w:rPr>
          <w:rFonts w:ascii="Verdana" w:hAnsi="Verdana"/>
          <w:sz w:val="17"/>
          <w:szCs w:val="17"/>
        </w:rPr>
        <w:t xml:space="preserve"> CCHR 2018 Report, at pp- 27 – 28; and CCHR Fact Sheet, at pp. 5 – 6.</w:t>
      </w:r>
    </w:p>
  </w:footnote>
  <w:footnote w:id="26">
    <w:p w14:paraId="5CDA980A" w14:textId="45E2959C"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Chakrya, K.S., ‘Pursat land dispute nearly settled; 7M titles out by ‘23’, The Phnom Pehn Post, 20 July 2022, available at: </w:t>
      </w:r>
      <w:hyperlink r:id="rId9" w:history="1">
        <w:r w:rsidRPr="006F60C9">
          <w:rPr>
            <w:rStyle w:val="Hyperlink"/>
            <w:rFonts w:ascii="Verdana" w:hAnsi="Verdana"/>
            <w:sz w:val="17"/>
            <w:szCs w:val="17"/>
          </w:rPr>
          <w:t>https://www.phnompenhpost.com/national/pursat-land-dispute-nearly-settled-7m-titles-out-23</w:t>
        </w:r>
      </w:hyperlink>
      <w:r w:rsidRPr="006F60C9">
        <w:rPr>
          <w:rStyle w:val="Hyperlink"/>
          <w:rFonts w:ascii="Verdana" w:hAnsi="Verdana"/>
          <w:sz w:val="17"/>
          <w:szCs w:val="17"/>
        </w:rPr>
        <w:t>.</w:t>
      </w:r>
      <w:r w:rsidRPr="006F60C9">
        <w:rPr>
          <w:rFonts w:ascii="Verdana" w:hAnsi="Verdana"/>
          <w:sz w:val="17"/>
          <w:szCs w:val="17"/>
        </w:rPr>
        <w:t xml:space="preserve"> </w:t>
      </w:r>
    </w:p>
  </w:footnote>
  <w:footnote w:id="27">
    <w:p w14:paraId="49079179" w14:textId="23D46C73"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2020 SEZ and Land Dispossession Report, at p. 31.</w:t>
      </w:r>
    </w:p>
  </w:footnote>
  <w:footnote w:id="28">
    <w:p w14:paraId="4264A0A1" w14:textId="27514FBF"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David, S., ‘Koh Kong community rep’s bail request denied’, The Phnom Pehn Post, 5 November 2014, available at: </w:t>
      </w:r>
      <w:hyperlink r:id="rId10" w:history="1">
        <w:r w:rsidRPr="006F60C9">
          <w:rPr>
            <w:rStyle w:val="Hyperlink"/>
            <w:rFonts w:ascii="Verdana" w:hAnsi="Verdana"/>
            <w:sz w:val="17"/>
            <w:szCs w:val="17"/>
          </w:rPr>
          <w:t>https://www.phnompenhpost.com/national/koh-kong-community-rep%E2%80%99s-bail-request-denied</w:t>
        </w:r>
      </w:hyperlink>
      <w:r w:rsidRPr="006F60C9">
        <w:rPr>
          <w:rStyle w:val="Hyperlink"/>
          <w:rFonts w:ascii="Verdana" w:hAnsi="Verdana"/>
          <w:sz w:val="17"/>
          <w:szCs w:val="17"/>
        </w:rPr>
        <w:t>.</w:t>
      </w:r>
      <w:r w:rsidRPr="006F60C9">
        <w:rPr>
          <w:rFonts w:ascii="Verdana" w:hAnsi="Verdana"/>
          <w:sz w:val="17"/>
          <w:szCs w:val="17"/>
        </w:rPr>
        <w:t xml:space="preserve"> </w:t>
      </w:r>
    </w:p>
  </w:footnote>
  <w:footnote w:id="29">
    <w:p w14:paraId="297319E1" w14:textId="78639492"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2020 SEZ and Land Dispossession Report, at pp. 30 – 31; Channyda, C., ‘Tycoon compensates 135 families at SEZ’, Phnom Pehn Post, 10 July 2015, available at: </w:t>
      </w:r>
      <w:hyperlink r:id="rId11" w:history="1">
        <w:r w:rsidRPr="006F60C9">
          <w:rPr>
            <w:rStyle w:val="Hyperlink"/>
            <w:rFonts w:ascii="Verdana" w:hAnsi="Verdana"/>
            <w:sz w:val="17"/>
            <w:szCs w:val="17"/>
          </w:rPr>
          <w:t>https://www.phnompenhpost.com/national/tycoon-compensates-135-families-sez-0</w:t>
        </w:r>
      </w:hyperlink>
      <w:r w:rsidRPr="006F60C9">
        <w:rPr>
          <w:rFonts w:ascii="Verdana" w:hAnsi="Verdana"/>
          <w:sz w:val="17"/>
          <w:szCs w:val="17"/>
        </w:rPr>
        <w:t>. Residents were reportedly awarded up to USD 20,000 in monetary compensation based on the size of their land.</w:t>
      </w:r>
    </w:p>
  </w:footnote>
  <w:footnote w:id="30">
    <w:p w14:paraId="1B141D3A" w14:textId="1F479A9B"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Minutes of the meeting on ‘the Human Rights Consequences of the SEZs in Mekong Region’ organized by the ICJ, EarthRights International, and the Land Watch Thai on 19 July 2022. See also: ICJ, ‘Mekong Region: Authorities must address the adverse impacts of economic activity in SEZs on the environment and human rights’, 26 July 2022, available at: </w:t>
      </w:r>
      <w:hyperlink r:id="rId12" w:history="1">
        <w:r w:rsidRPr="006F60C9">
          <w:rPr>
            <w:rStyle w:val="Hyperlink"/>
            <w:rFonts w:ascii="Verdana" w:hAnsi="Verdana"/>
            <w:sz w:val="17"/>
            <w:szCs w:val="17"/>
          </w:rPr>
          <w:t>https://www.icj.org/mekong-sezs-human-rights/</w:t>
        </w:r>
      </w:hyperlink>
      <w:r w:rsidRPr="006F60C9">
        <w:rPr>
          <w:rStyle w:val="Hyperlink"/>
          <w:rFonts w:ascii="Verdana" w:hAnsi="Verdana"/>
          <w:sz w:val="17"/>
          <w:szCs w:val="17"/>
        </w:rPr>
        <w:t>.</w:t>
      </w:r>
    </w:p>
  </w:footnote>
  <w:footnote w:id="31">
    <w:p w14:paraId="7426CA3E" w14:textId="77777777" w:rsidR="003B19EC" w:rsidRPr="006F60C9" w:rsidRDefault="003B19EC" w:rsidP="00E81CF9">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Dara, M.,Rollet, C., ‘Bavet quiet as SEZ workers turned away’, The Phnom Pehn Post, 24 December 2015, available at: </w:t>
      </w:r>
      <w:hyperlink r:id="rId13" w:history="1">
        <w:r w:rsidRPr="006F60C9">
          <w:rPr>
            <w:rStyle w:val="Hyperlink"/>
            <w:rFonts w:ascii="Verdana" w:hAnsi="Verdana"/>
            <w:sz w:val="17"/>
            <w:szCs w:val="17"/>
          </w:rPr>
          <w:t>https://www.phnompenhpost.com/national/bavet-quiet-sez-workers-turned-away</w:t>
        </w:r>
      </w:hyperlink>
      <w:r w:rsidRPr="006F60C9">
        <w:rPr>
          <w:rStyle w:val="Hyperlink"/>
          <w:rFonts w:ascii="Verdana" w:hAnsi="Verdana"/>
          <w:sz w:val="17"/>
          <w:szCs w:val="17"/>
        </w:rPr>
        <w:t>.</w:t>
      </w:r>
      <w:r w:rsidRPr="006F60C9">
        <w:rPr>
          <w:rFonts w:ascii="Verdana" w:hAnsi="Verdana"/>
          <w:sz w:val="17"/>
          <w:szCs w:val="17"/>
        </w:rPr>
        <w:t xml:space="preserve"> </w:t>
      </w:r>
    </w:p>
  </w:footnote>
  <w:footnote w:id="32">
    <w:p w14:paraId="0F29A40A" w14:textId="77777777" w:rsidR="003B19EC" w:rsidRPr="006F60C9" w:rsidRDefault="003B19EC" w:rsidP="00E81CF9">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Kunthear, M., ‘Workers faint in Svay Rieng shoe factory: Officials’, Khmer Times, 25 December 2019, available at: </w:t>
      </w:r>
      <w:hyperlink r:id="rId14" w:history="1">
        <w:r w:rsidRPr="006F60C9">
          <w:rPr>
            <w:rStyle w:val="Hyperlink"/>
            <w:rFonts w:ascii="Verdana" w:hAnsi="Verdana"/>
            <w:sz w:val="17"/>
            <w:szCs w:val="17"/>
          </w:rPr>
          <w:t>https://www.khmertimeskh.com/673467/workers-faint-in-svay-rieng-shoe-factory-officials/</w:t>
        </w:r>
      </w:hyperlink>
      <w:r w:rsidRPr="006F60C9">
        <w:rPr>
          <w:rStyle w:val="Hyperlink"/>
          <w:rFonts w:ascii="Verdana" w:hAnsi="Verdana"/>
          <w:sz w:val="17"/>
          <w:szCs w:val="17"/>
        </w:rPr>
        <w:t>.</w:t>
      </w:r>
      <w:r w:rsidRPr="006F60C9">
        <w:rPr>
          <w:rFonts w:ascii="Verdana" w:hAnsi="Verdana"/>
          <w:sz w:val="17"/>
          <w:szCs w:val="17"/>
        </w:rPr>
        <w:t xml:space="preserve"> </w:t>
      </w:r>
    </w:p>
  </w:footnote>
  <w:footnote w:id="33">
    <w:p w14:paraId="4EC24B8E" w14:textId="77777777" w:rsidR="003B19EC" w:rsidRPr="006F60C9" w:rsidRDefault="003B19EC" w:rsidP="005D5CDF">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For example, in case of Sihanoukville and Thmor Da SEZs, see: Farrelly, N., Dawkins, A., Deegan, P., ‘Sihanoukville: A Hub Of Environmental Crime Convergence’, Global Initiative Against Transnational Organized Crime, September 2022, available at: </w:t>
      </w:r>
      <w:hyperlink r:id="rId15" w:history="1">
        <w:r w:rsidRPr="006F60C9">
          <w:rPr>
            <w:rStyle w:val="Hyperlink"/>
            <w:rFonts w:ascii="Verdana" w:hAnsi="Verdana"/>
            <w:sz w:val="17"/>
            <w:szCs w:val="17"/>
          </w:rPr>
          <w:t>https://globalinitiative.net/wp-content/uploads/2022/09/GI-TOC-report_Sihanoukville_For-upload.pdf</w:t>
        </w:r>
      </w:hyperlink>
      <w:r w:rsidRPr="006F60C9">
        <w:rPr>
          <w:rFonts w:ascii="Verdana" w:hAnsi="Verdana"/>
          <w:sz w:val="17"/>
          <w:szCs w:val="17"/>
        </w:rPr>
        <w:t xml:space="preserve">; and U.S. Department of State, ‘2022 Trafficking in Persons Report: Cambodia’, available at: https://www.state.gov/reports/2022-trafficking-in-persons-report/cambodia/. See also: Dara, M.,Liu, C., ‘From Timber to Human Trafficking: Rescued Victims Allege Major Scam Operations in Tycoon’s SEZ’, VOD English, 17 November 2021, available at: </w:t>
      </w:r>
      <w:hyperlink r:id="rId16" w:history="1">
        <w:r w:rsidRPr="006F60C9">
          <w:rPr>
            <w:rStyle w:val="Hyperlink"/>
            <w:rFonts w:ascii="Verdana" w:hAnsi="Verdana"/>
            <w:sz w:val="17"/>
            <w:szCs w:val="17"/>
          </w:rPr>
          <w:t>https://vodenglish.news/from-timber-to-human-trafficking-rescued-victims-allege-major-scam-operations-in-tycoons-sez/</w:t>
        </w:r>
      </w:hyperlink>
      <w:r w:rsidRPr="006F60C9">
        <w:rPr>
          <w:rFonts w:ascii="Verdana" w:hAnsi="Verdana"/>
          <w:sz w:val="17"/>
          <w:szCs w:val="17"/>
        </w:rPr>
        <w:t xml:space="preserve">; Hinz, E., ‘Cambodia: Human trafficking crisis driven by cyberscams’, 9 December 2022, available at: </w:t>
      </w:r>
      <w:hyperlink r:id="rId17" w:history="1">
        <w:r w:rsidRPr="006F60C9">
          <w:rPr>
            <w:rStyle w:val="Hyperlink"/>
            <w:rFonts w:ascii="Verdana" w:hAnsi="Verdana"/>
            <w:sz w:val="17"/>
            <w:szCs w:val="17"/>
          </w:rPr>
          <w:t>https://www.dw.com/en/cambodia-human-trafficking-crisis-driven-by-cyberscams/a-63092938</w:t>
        </w:r>
      </w:hyperlink>
      <w:r w:rsidRPr="006F60C9">
        <w:rPr>
          <w:rStyle w:val="Hyperlink"/>
          <w:rFonts w:ascii="Verdana" w:hAnsi="Verdana"/>
          <w:sz w:val="17"/>
          <w:szCs w:val="17"/>
        </w:rPr>
        <w:t>.</w:t>
      </w:r>
      <w:r w:rsidRPr="006F60C9">
        <w:rPr>
          <w:rFonts w:ascii="Verdana" w:hAnsi="Verdana"/>
          <w:sz w:val="17"/>
          <w:szCs w:val="17"/>
        </w:rPr>
        <w:t xml:space="preserve"> </w:t>
      </w:r>
    </w:p>
  </w:footnote>
  <w:footnote w:id="34">
    <w:p w14:paraId="618399E2" w14:textId="77777777" w:rsidR="003B19EC" w:rsidRPr="006F60C9" w:rsidRDefault="003B19EC" w:rsidP="005D5CDF">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Keeton-Olsen, D., Sineat, Y., ‘Unions Looking for Place Within SEZ Boundaries’, VOD English, 14 February 2022, available at: </w:t>
      </w:r>
      <w:hyperlink r:id="rId18" w:history="1">
        <w:r w:rsidRPr="006F60C9">
          <w:rPr>
            <w:rStyle w:val="Hyperlink"/>
            <w:rFonts w:ascii="Verdana" w:hAnsi="Verdana"/>
            <w:sz w:val="17"/>
            <w:szCs w:val="17"/>
          </w:rPr>
          <w:t>https://vodenglish.news/unions-looking-for-place-within-sez-boundaries/</w:t>
        </w:r>
      </w:hyperlink>
      <w:r w:rsidRPr="006F60C9">
        <w:rPr>
          <w:rStyle w:val="Hyperlink"/>
          <w:rFonts w:ascii="Verdana" w:hAnsi="Verdana"/>
          <w:sz w:val="17"/>
          <w:szCs w:val="17"/>
        </w:rPr>
        <w:t xml:space="preserve">; </w:t>
      </w:r>
      <w:r w:rsidRPr="006F60C9">
        <w:rPr>
          <w:rFonts w:ascii="Verdana" w:hAnsi="Verdana"/>
          <w:sz w:val="17"/>
          <w:szCs w:val="17"/>
        </w:rPr>
        <w:t xml:space="preserve">Minutes of the meeting on ‘the Human Rights Consequences of the SEZs in Mekong Region’ organized by the ICJ, EarthRights International, and the Land Watch Thai on 19 July 2022. </w:t>
      </w:r>
    </w:p>
  </w:footnote>
  <w:footnote w:id="35">
    <w:p w14:paraId="6F2AC08A" w14:textId="45498197"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Thame, C., ‘SEZs and Value Extraction from the Mekong: A Case Study on the Control and Exploitation of Land and Labour in Cambodia and Myanmar’s Special Economic Zones’, Focus on the Global South, 2017, at pp. 20 – 21. (“2017 SEZ Report”).</w:t>
      </w:r>
    </w:p>
  </w:footnote>
  <w:footnote w:id="36">
    <w:p w14:paraId="56296A5D" w14:textId="77777777"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Minutes of the meeting on ‘the Human Rights Consequences of the SEZs in Mekong Region’ organized by the ICJ, EarthRights International, and the Land Watch Thai on 19 July 2022. </w:t>
      </w:r>
    </w:p>
  </w:footnote>
  <w:footnote w:id="37">
    <w:p w14:paraId="0FDAF680" w14:textId="79992C14" w:rsidR="003B19EC" w:rsidRPr="006F60C9" w:rsidRDefault="003B19EC" w:rsidP="00A176F0">
      <w:pPr>
        <w:pStyle w:val="FootnoteText"/>
        <w:jc w:val="both"/>
        <w:rPr>
          <w:rFonts w:ascii="Verdana" w:hAnsi="Verdana"/>
          <w:sz w:val="17"/>
          <w:szCs w:val="17"/>
          <w:lang w:val="en-US"/>
        </w:rPr>
      </w:pPr>
      <w:r w:rsidRPr="006F60C9">
        <w:rPr>
          <w:rStyle w:val="FootnoteReference"/>
          <w:rFonts w:ascii="Verdana" w:hAnsi="Verdana"/>
          <w:sz w:val="17"/>
          <w:szCs w:val="17"/>
        </w:rPr>
        <w:footnoteRef/>
      </w:r>
      <w:r w:rsidRPr="006F60C9">
        <w:rPr>
          <w:rFonts w:ascii="Verdana" w:hAnsi="Verdana"/>
          <w:sz w:val="17"/>
          <w:szCs w:val="17"/>
        </w:rPr>
        <w:t xml:space="preserve"> </w:t>
      </w:r>
      <w:r w:rsidRPr="006F60C9">
        <w:rPr>
          <w:rFonts w:ascii="Verdana" w:hAnsi="Verdana"/>
          <w:sz w:val="17"/>
          <w:szCs w:val="17"/>
          <w:lang w:val="en-US"/>
        </w:rPr>
        <w:t>Article 36 of Cambodia’s Constitution.</w:t>
      </w:r>
    </w:p>
  </w:footnote>
  <w:footnote w:id="38">
    <w:p w14:paraId="0CB7875B" w14:textId="043CE571" w:rsidR="003B19EC" w:rsidRPr="006F60C9" w:rsidRDefault="003B19EC" w:rsidP="00A176F0">
      <w:pPr>
        <w:pStyle w:val="FootnoteText"/>
        <w:jc w:val="both"/>
        <w:rPr>
          <w:rFonts w:ascii="Verdana" w:hAnsi="Verdana"/>
          <w:sz w:val="17"/>
          <w:szCs w:val="17"/>
          <w:lang w:val="en-US"/>
        </w:rPr>
      </w:pPr>
      <w:r w:rsidRPr="006F60C9">
        <w:rPr>
          <w:rStyle w:val="FootnoteReference"/>
          <w:rFonts w:ascii="Verdana" w:hAnsi="Verdana"/>
          <w:sz w:val="17"/>
          <w:szCs w:val="17"/>
        </w:rPr>
        <w:footnoteRef/>
      </w:r>
      <w:r w:rsidRPr="006F60C9">
        <w:rPr>
          <w:rFonts w:ascii="Verdana" w:hAnsi="Verdana"/>
          <w:sz w:val="17"/>
          <w:szCs w:val="17"/>
        </w:rPr>
        <w:t xml:space="preserve"> </w:t>
      </w:r>
      <w:r w:rsidRPr="006F60C9">
        <w:rPr>
          <w:rFonts w:ascii="Verdana" w:hAnsi="Verdana"/>
          <w:sz w:val="17"/>
          <w:szCs w:val="17"/>
          <w:lang w:val="en-US"/>
        </w:rPr>
        <w:t>Article 37 of Cambodia’s Constitution.</w:t>
      </w:r>
    </w:p>
  </w:footnote>
  <w:footnote w:id="39">
    <w:p w14:paraId="0DE251EC" w14:textId="499C360C"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2017 SEZ Report, at p. 22. </w:t>
      </w:r>
    </w:p>
  </w:footnote>
  <w:footnote w:id="40">
    <w:p w14:paraId="08353A7A" w14:textId="176EAA48"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Office of the United Nations High Commissioner for Human Rights in Cambodia, ‘A Human Rights Analysis of the Draft Law on Trade Unions’, at 26, available at: </w:t>
      </w:r>
      <w:hyperlink r:id="rId19" w:history="1">
        <w:r w:rsidRPr="006F60C9">
          <w:rPr>
            <w:rStyle w:val="Hyperlink"/>
            <w:rFonts w:ascii="Verdana" w:hAnsi="Verdana"/>
            <w:sz w:val="17"/>
            <w:szCs w:val="17"/>
          </w:rPr>
          <w:t>https://cambodia.ohchr.org/en/news/ohchr-cambodia-releases-its-human-rights-analysis-draft-trade-union-law</w:t>
        </w:r>
      </w:hyperlink>
    </w:p>
  </w:footnote>
  <w:footnote w:id="41">
    <w:p w14:paraId="7F81D6AA" w14:textId="3D602C67" w:rsidR="003B19EC" w:rsidRPr="006F60C9" w:rsidRDefault="003B19EC" w:rsidP="00A176F0">
      <w:pPr>
        <w:pStyle w:val="FootnoteText"/>
        <w:jc w:val="both"/>
        <w:rPr>
          <w:rFonts w:ascii="Verdana" w:hAnsi="Verdana"/>
          <w:sz w:val="17"/>
          <w:szCs w:val="17"/>
          <w:lang w:val="en-US"/>
        </w:rPr>
      </w:pPr>
      <w:r w:rsidRPr="006F60C9">
        <w:rPr>
          <w:rStyle w:val="FootnoteReference"/>
          <w:rFonts w:ascii="Verdana" w:hAnsi="Verdana"/>
          <w:sz w:val="17"/>
          <w:szCs w:val="17"/>
        </w:rPr>
        <w:footnoteRef/>
      </w:r>
      <w:r w:rsidRPr="006F60C9">
        <w:rPr>
          <w:rFonts w:ascii="Verdana" w:hAnsi="Verdana"/>
          <w:sz w:val="17"/>
          <w:szCs w:val="17"/>
        </w:rPr>
        <w:t xml:space="preserve"> Human Rights Watch, ‘Only “Instant Noodle” Unions Survive’, 21 November 2022, available at: </w:t>
      </w:r>
      <w:hyperlink r:id="rId20" w:anchor="_ftn352" w:history="1">
        <w:r w:rsidRPr="006F60C9">
          <w:rPr>
            <w:rStyle w:val="Hyperlink"/>
            <w:rFonts w:ascii="Verdana" w:hAnsi="Verdana"/>
            <w:sz w:val="17"/>
            <w:szCs w:val="17"/>
          </w:rPr>
          <w:t>https://www.hrw.org/report/2022/11/21/only-instant-noodle-unions-survive/union-busting-cambodias-garment-and-tourism#_ftn352</w:t>
        </w:r>
      </w:hyperlink>
      <w:r w:rsidRPr="006F60C9">
        <w:rPr>
          <w:rFonts w:ascii="Verdana" w:hAnsi="Verdana"/>
          <w:sz w:val="17"/>
          <w:szCs w:val="17"/>
        </w:rPr>
        <w:t xml:space="preserve">; Asian Institute of Technology &amp; Mekong Migration Network, ‘Jobs in SEZs: Migrant garment factory workers in Cambodia’, 2019, available at: http://dds.ait.ac.th/wp-content/uploads/sites/19/2019/08/Policy-Brief-Cambodia-En2.pdf </w:t>
      </w:r>
    </w:p>
  </w:footnote>
  <w:footnote w:id="42">
    <w:p w14:paraId="3E6D7FEF" w14:textId="2DE6572F"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CCHR Fact Sheet, at p. 5.</w:t>
      </w:r>
    </w:p>
  </w:footnote>
  <w:footnote w:id="43">
    <w:p w14:paraId="09D1CC51" w14:textId="78AB798B"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Keeton-Olsen, D., Sineat, Y., ‘Unions Looking for Place Within SEZ Boundaries’, VOD English, 14 February 2022, available at: </w:t>
      </w:r>
      <w:hyperlink r:id="rId21" w:history="1">
        <w:r w:rsidRPr="006F60C9">
          <w:rPr>
            <w:rStyle w:val="Hyperlink"/>
            <w:rFonts w:ascii="Verdana" w:hAnsi="Verdana"/>
            <w:sz w:val="17"/>
            <w:szCs w:val="17"/>
          </w:rPr>
          <w:t>https://vodenglish.news/unions-looking-for-place-within-sez-boundaries/</w:t>
        </w:r>
      </w:hyperlink>
      <w:r w:rsidRPr="006F60C9">
        <w:rPr>
          <w:rStyle w:val="Hyperlink"/>
          <w:rFonts w:ascii="Verdana" w:hAnsi="Verdana"/>
          <w:sz w:val="17"/>
          <w:szCs w:val="17"/>
        </w:rPr>
        <w:t>.</w:t>
      </w:r>
    </w:p>
  </w:footnote>
  <w:footnote w:id="44">
    <w:p w14:paraId="509806C2" w14:textId="6562B0AC"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Soriththeavy, K., Amarthalingam, S., ‘A Long Road for Independent Unions in SEZs’, 31 October 2022, available at: </w:t>
      </w:r>
      <w:hyperlink r:id="rId22" w:history="1">
        <w:r w:rsidRPr="006F60C9">
          <w:rPr>
            <w:rStyle w:val="Hyperlink"/>
            <w:rFonts w:ascii="Verdana" w:hAnsi="Verdana"/>
            <w:sz w:val="17"/>
            <w:szCs w:val="17"/>
          </w:rPr>
          <w:t>https://vodenglish.news/a-long-road-for-independent-unions-in-sezs/</w:t>
        </w:r>
      </w:hyperlink>
      <w:r w:rsidRPr="006F60C9">
        <w:rPr>
          <w:rStyle w:val="Hyperlink"/>
          <w:rFonts w:ascii="Verdana" w:hAnsi="Verdana"/>
          <w:sz w:val="17"/>
          <w:szCs w:val="17"/>
        </w:rPr>
        <w:t>.</w:t>
      </w:r>
      <w:r w:rsidRPr="006F60C9">
        <w:rPr>
          <w:rFonts w:ascii="Verdana" w:hAnsi="Verdana"/>
          <w:sz w:val="17"/>
          <w:szCs w:val="17"/>
        </w:rPr>
        <w:t xml:space="preserve"> </w:t>
      </w:r>
    </w:p>
  </w:footnote>
  <w:footnote w:id="45">
    <w:p w14:paraId="02EEA8BB" w14:textId="0ECAA98F"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See, more generally, ICJ, ‘Living Like People Who Die Slowly: The Need for Right to Health Compliant COVID-19 Responses’, September 2020, available at: </w:t>
      </w:r>
      <w:hyperlink r:id="rId23" w:history="1">
        <w:r w:rsidRPr="006F60C9">
          <w:rPr>
            <w:rStyle w:val="Hyperlink"/>
            <w:rFonts w:ascii="Verdana" w:hAnsi="Verdana"/>
            <w:sz w:val="17"/>
            <w:szCs w:val="17"/>
          </w:rPr>
          <w:t>https://icj2.wpenginepowered.com/wp-content/uploads/2020/09/Universal-Global-Health-COVID-19-Publications-Reports-Thematic-Reports-2020-ENG.pdf</w:t>
        </w:r>
      </w:hyperlink>
      <w:r w:rsidRPr="006F60C9">
        <w:rPr>
          <w:rFonts w:ascii="Verdana" w:hAnsi="Verdana"/>
          <w:sz w:val="17"/>
          <w:szCs w:val="17"/>
        </w:rPr>
        <w:t xml:space="preserve">. </w:t>
      </w:r>
    </w:p>
  </w:footnote>
  <w:footnote w:id="46">
    <w:p w14:paraId="54B5269C" w14:textId="4B038461"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Committee on Economic, Social and Cultural Rights, </w:t>
      </w:r>
      <w:r w:rsidRPr="006F60C9">
        <w:rPr>
          <w:rFonts w:ascii="Verdana" w:hAnsi="Verdana"/>
          <w:i/>
          <w:sz w:val="17"/>
          <w:szCs w:val="17"/>
        </w:rPr>
        <w:t>General Comment No. 14 (2000): The right to the highest attainable standard of health (article 12 of the International Covenant on Economic, Social and Cultural Rights)</w:t>
      </w:r>
      <w:r w:rsidRPr="006F60C9">
        <w:rPr>
          <w:rFonts w:ascii="Verdana" w:hAnsi="Verdana"/>
          <w:sz w:val="17"/>
          <w:szCs w:val="17"/>
        </w:rPr>
        <w:t>, (“General Comment No. 14”) UN Doc. E/C.12/2000/4, 11 August 2000, para. 34.</w:t>
      </w:r>
    </w:p>
  </w:footnote>
  <w:footnote w:id="47">
    <w:p w14:paraId="3D9CA210" w14:textId="77777777"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Office of the Council of Ministers, ‘ROYAL KRAM: Law on Preventive Measures against the Spread of COVID19 and Other Severe and Dangerous Contagious Diseases’, 13 March 2021, available at: </w:t>
      </w:r>
      <w:hyperlink r:id="rId24" w:history="1">
        <w:r w:rsidRPr="006F60C9">
          <w:rPr>
            <w:rStyle w:val="Hyperlink"/>
            <w:rFonts w:ascii="Verdana" w:hAnsi="Verdana"/>
            <w:sz w:val="17"/>
            <w:szCs w:val="17"/>
          </w:rPr>
          <w:t>https://pressocm.gov.kh/en/archives/70015</w:t>
        </w:r>
      </w:hyperlink>
      <w:r w:rsidRPr="006F60C9">
        <w:rPr>
          <w:rFonts w:ascii="Verdana" w:hAnsi="Verdana"/>
          <w:sz w:val="17"/>
          <w:szCs w:val="17"/>
        </w:rPr>
        <w:t xml:space="preserve">. </w:t>
      </w:r>
    </w:p>
  </w:footnote>
  <w:footnote w:id="48">
    <w:p w14:paraId="3DD456CD" w14:textId="316CE40D" w:rsidR="003B19EC" w:rsidRPr="006F60C9" w:rsidRDefault="003B19EC" w:rsidP="00A176F0">
      <w:pPr>
        <w:pStyle w:val="FootnoteText"/>
        <w:jc w:val="both"/>
        <w:rPr>
          <w:rFonts w:ascii="Verdana" w:hAnsi="Verdana"/>
          <w:sz w:val="17"/>
          <w:szCs w:val="17"/>
          <w:lang w:val="en-US"/>
        </w:rPr>
      </w:pPr>
      <w:r w:rsidRPr="006F60C9">
        <w:rPr>
          <w:rStyle w:val="FootnoteReference"/>
          <w:rFonts w:ascii="Verdana" w:hAnsi="Verdana"/>
          <w:sz w:val="17"/>
          <w:szCs w:val="17"/>
        </w:rPr>
        <w:footnoteRef/>
      </w:r>
      <w:r w:rsidRPr="006F60C9">
        <w:rPr>
          <w:rFonts w:ascii="Verdana" w:hAnsi="Verdana"/>
          <w:sz w:val="17"/>
          <w:szCs w:val="17"/>
        </w:rPr>
        <w:t xml:space="preserve"> Committee on Economic, Social and Cultural Rights, </w:t>
      </w:r>
      <w:r w:rsidRPr="006F60C9">
        <w:rPr>
          <w:rFonts w:ascii="Verdana" w:hAnsi="Verdana"/>
          <w:i/>
          <w:sz w:val="17"/>
          <w:szCs w:val="17"/>
        </w:rPr>
        <w:t>Statement on the coronavirus disease (COVID-19) pandemic and economic, social and cultural rights</w:t>
      </w:r>
      <w:r w:rsidRPr="006F60C9">
        <w:rPr>
          <w:rFonts w:ascii="Verdana" w:hAnsi="Verdana"/>
          <w:sz w:val="17"/>
          <w:szCs w:val="17"/>
        </w:rPr>
        <w:t>, UN Doc. E/C.12/2020/1, 17 April 2020.</w:t>
      </w:r>
    </w:p>
  </w:footnote>
  <w:footnote w:id="49">
    <w:p w14:paraId="546289A6" w14:textId="3A4431B4"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Office of the Council of Ministers, ‘ROYAL KRAM: Law on Preventive Measures against the Spread of COVID19 and Other Severe and Dangerous Contagious Diseases’, 13 March 2021, available at: </w:t>
      </w:r>
      <w:hyperlink r:id="rId25" w:history="1">
        <w:r w:rsidRPr="006F60C9">
          <w:rPr>
            <w:rStyle w:val="Hyperlink"/>
            <w:rFonts w:ascii="Verdana" w:hAnsi="Verdana"/>
            <w:sz w:val="17"/>
            <w:szCs w:val="17"/>
          </w:rPr>
          <w:t>https://pressocm.gov.kh/en/archives/70015</w:t>
        </w:r>
      </w:hyperlink>
      <w:r w:rsidRPr="006F60C9">
        <w:rPr>
          <w:rFonts w:ascii="Verdana" w:hAnsi="Verdana"/>
          <w:sz w:val="17"/>
          <w:szCs w:val="17"/>
        </w:rPr>
        <w:t>.</w:t>
      </w:r>
    </w:p>
  </w:footnote>
  <w:footnote w:id="50">
    <w:p w14:paraId="0A64DB06" w14:textId="683B6BA6"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UNAIDS, </w:t>
      </w:r>
      <w:r w:rsidRPr="006F60C9">
        <w:rPr>
          <w:rFonts w:ascii="Verdana" w:hAnsi="Verdana"/>
          <w:i/>
          <w:sz w:val="17"/>
          <w:szCs w:val="17"/>
        </w:rPr>
        <w:t>Rights in the time of COVID-19: Lessons from HIV for an effective, community-led response</w:t>
      </w:r>
      <w:r w:rsidRPr="006F60C9">
        <w:rPr>
          <w:rFonts w:ascii="Verdana" w:hAnsi="Verdana"/>
          <w:sz w:val="17"/>
          <w:szCs w:val="17"/>
        </w:rPr>
        <w:t xml:space="preserve">, 2020, available at: </w:t>
      </w:r>
      <w:hyperlink r:id="rId26" w:history="1">
        <w:r w:rsidRPr="006F60C9">
          <w:rPr>
            <w:rStyle w:val="Hyperlink"/>
            <w:rFonts w:ascii="Verdana" w:hAnsi="Verdana"/>
            <w:sz w:val="17"/>
            <w:szCs w:val="17"/>
          </w:rPr>
          <w:t>https://www.unaids.org/sites/default/files/media_asset/human-rights-and-covid-19_en.pdf</w:t>
        </w:r>
      </w:hyperlink>
      <w:r w:rsidRPr="006F60C9">
        <w:rPr>
          <w:rFonts w:ascii="Verdana" w:hAnsi="Verdana"/>
          <w:sz w:val="17"/>
          <w:szCs w:val="17"/>
        </w:rPr>
        <w:t xml:space="preserve">. </w:t>
      </w:r>
    </w:p>
  </w:footnote>
  <w:footnote w:id="51">
    <w:p w14:paraId="6347941F" w14:textId="60C0A30B"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CamboJA News, ‘TikTok users arrested and charged with spreading fake news about COVID-19 vaccines’, 14 April 2021, available at: </w:t>
      </w:r>
      <w:hyperlink r:id="rId27" w:history="1">
        <w:r w:rsidRPr="006F60C9">
          <w:rPr>
            <w:rStyle w:val="Hyperlink"/>
            <w:rFonts w:ascii="Verdana" w:hAnsi="Verdana"/>
            <w:sz w:val="17"/>
            <w:szCs w:val="17"/>
          </w:rPr>
          <w:t>https://cambojanews.com/tiktok-users-arrested-and-charged-with-spreading-fake-news-about-covid-19-vaccines/</w:t>
        </w:r>
      </w:hyperlink>
      <w:r w:rsidRPr="006F60C9">
        <w:rPr>
          <w:rFonts w:ascii="Verdana" w:hAnsi="Verdana"/>
          <w:sz w:val="17"/>
          <w:szCs w:val="17"/>
        </w:rPr>
        <w:t xml:space="preserve">. </w:t>
      </w:r>
    </w:p>
  </w:footnote>
  <w:footnote w:id="52">
    <w:p w14:paraId="4C0A5BE7" w14:textId="69958FF8"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Reporters Without Borders, ‘Cambodian reporter facing five years in prison for comment about vaccines’, 21 July 2021, available at: </w:t>
      </w:r>
      <w:hyperlink r:id="rId28" w:history="1">
        <w:r w:rsidRPr="006F60C9">
          <w:rPr>
            <w:rStyle w:val="Hyperlink"/>
            <w:rFonts w:ascii="Verdana" w:hAnsi="Verdana"/>
            <w:sz w:val="17"/>
            <w:szCs w:val="17"/>
          </w:rPr>
          <w:t>https://rsf.org/en/news/cambodian-reporter-facing-five-years-prison-comment-about-vaccines</w:t>
        </w:r>
      </w:hyperlink>
      <w:r w:rsidRPr="006F60C9">
        <w:rPr>
          <w:rFonts w:ascii="Verdana" w:hAnsi="Verdana"/>
          <w:sz w:val="17"/>
          <w:szCs w:val="17"/>
        </w:rPr>
        <w:t xml:space="preserve">. </w:t>
      </w:r>
    </w:p>
  </w:footnote>
  <w:footnote w:id="53">
    <w:p w14:paraId="14113BF6" w14:textId="2742F757"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ICJ, </w:t>
      </w:r>
      <w:r w:rsidRPr="006F60C9">
        <w:rPr>
          <w:rFonts w:ascii="Verdana" w:hAnsi="Verdana"/>
          <w:i/>
          <w:sz w:val="17"/>
          <w:szCs w:val="17"/>
        </w:rPr>
        <w:t xml:space="preserve">Dictating the Internet: Curtailing Free Expression and Information Online in </w:t>
      </w:r>
      <w:r w:rsidRPr="006F60C9">
        <w:rPr>
          <w:rFonts w:ascii="Verdana" w:hAnsi="Verdana"/>
          <w:sz w:val="17"/>
          <w:szCs w:val="17"/>
        </w:rPr>
        <w:t xml:space="preserve">Cambodia, November 2021 (“ICJ, Dictating the Internet Report on Cambodia”), pp. 60 – 63, available at: </w:t>
      </w:r>
      <w:hyperlink r:id="rId29" w:history="1">
        <w:r w:rsidRPr="006F60C9">
          <w:rPr>
            <w:rStyle w:val="Hyperlink"/>
            <w:rFonts w:ascii="Verdana" w:hAnsi="Verdana"/>
            <w:sz w:val="17"/>
            <w:szCs w:val="17"/>
          </w:rPr>
          <w:t>https://www.icj.org/wp-content/uploads/2021/12/ICJ-Dictating-the-Internet_Cambodia_Engl.pdf</w:t>
        </w:r>
      </w:hyperlink>
      <w:r w:rsidRPr="006F60C9">
        <w:rPr>
          <w:rFonts w:ascii="Verdana" w:hAnsi="Verdana"/>
          <w:sz w:val="17"/>
          <w:szCs w:val="17"/>
        </w:rPr>
        <w:t xml:space="preserve">; Radio Free Asia, ‘Cambodia’s Hun Sen Isolates Phnom Penh and Takhmao After Citizens Ignore Lockdown Order’, 16 April 2021, available at: </w:t>
      </w:r>
      <w:hyperlink r:id="rId30" w:history="1">
        <w:r w:rsidRPr="006F60C9">
          <w:rPr>
            <w:rStyle w:val="Hyperlink"/>
            <w:rFonts w:ascii="Verdana" w:hAnsi="Verdana"/>
            <w:sz w:val="17"/>
            <w:szCs w:val="17"/>
          </w:rPr>
          <w:t>https://www.rfa.org/english/news/cambodia/lockdown-04162021182510.html</w:t>
        </w:r>
      </w:hyperlink>
      <w:r w:rsidRPr="006F60C9">
        <w:rPr>
          <w:rFonts w:ascii="Verdana" w:hAnsi="Verdana"/>
          <w:sz w:val="17"/>
          <w:szCs w:val="17"/>
        </w:rPr>
        <w:t xml:space="preserve">. This number likely includes Thun Ratha and Chhun Vean, who were arrested for “incitement” in relation to their comments about the COVID-19 vaccine; see, VOD, ‘Two Deaths Ruled Unrelated to Vaccine, Covid; Two Arrested Over Posts’, available at: </w:t>
      </w:r>
      <w:hyperlink r:id="rId31" w:history="1">
        <w:r w:rsidRPr="006F60C9">
          <w:rPr>
            <w:rStyle w:val="Hyperlink"/>
            <w:rFonts w:ascii="Verdana" w:hAnsi="Verdana"/>
            <w:sz w:val="17"/>
            <w:szCs w:val="17"/>
          </w:rPr>
          <w:t>https://vodenglish.news/two-deaths-ruled-unrelated-to-vaccine-covid-two-arrested-over-posts/</w:t>
        </w:r>
      </w:hyperlink>
      <w:r w:rsidRPr="006F60C9">
        <w:rPr>
          <w:rFonts w:ascii="Verdana" w:hAnsi="Verdana"/>
          <w:sz w:val="17"/>
          <w:szCs w:val="17"/>
        </w:rPr>
        <w:t xml:space="preserve">. </w:t>
      </w:r>
    </w:p>
  </w:footnote>
  <w:footnote w:id="54">
    <w:p w14:paraId="7435F6A0" w14:textId="77777777" w:rsidR="003B19EC" w:rsidRPr="006F60C9" w:rsidRDefault="003B19EC" w:rsidP="00A176F0">
      <w:pPr>
        <w:pStyle w:val="FootnoteText"/>
        <w:jc w:val="both"/>
        <w:rPr>
          <w:rFonts w:ascii="Verdana" w:hAnsi="Verdana"/>
          <w:sz w:val="17"/>
          <w:szCs w:val="17"/>
          <w:lang w:val="en-US"/>
        </w:rPr>
      </w:pPr>
      <w:r w:rsidRPr="006F60C9">
        <w:rPr>
          <w:rStyle w:val="FootnoteReference"/>
          <w:rFonts w:ascii="Verdana" w:hAnsi="Verdana"/>
          <w:sz w:val="17"/>
          <w:szCs w:val="17"/>
        </w:rPr>
        <w:footnoteRef/>
      </w:r>
      <w:r w:rsidRPr="006F60C9">
        <w:rPr>
          <w:rFonts w:ascii="Verdana" w:hAnsi="Verdana"/>
          <w:sz w:val="17"/>
          <w:szCs w:val="17"/>
        </w:rPr>
        <w:t xml:space="preserve"> </w:t>
      </w:r>
      <w:r w:rsidRPr="006F60C9">
        <w:rPr>
          <w:rFonts w:ascii="Verdana" w:hAnsi="Verdana"/>
          <w:sz w:val="17"/>
          <w:szCs w:val="17"/>
          <w:lang w:val="en-US"/>
        </w:rPr>
        <w:t xml:space="preserve">ICJ, Dictating the Internet Report on Cambodia, pp. 62 – 63. </w:t>
      </w:r>
    </w:p>
  </w:footnote>
  <w:footnote w:id="55">
    <w:p w14:paraId="5543430C" w14:textId="77777777"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w:t>
      </w:r>
      <w:r w:rsidRPr="006F60C9">
        <w:rPr>
          <w:rFonts w:ascii="Verdana" w:hAnsi="Verdana"/>
          <w:i/>
          <w:sz w:val="17"/>
          <w:szCs w:val="17"/>
        </w:rPr>
        <w:t>Report of the Special Rapporteur on the right of everyone to the enjoyment of the highest attainable standard of physical and mental health</w:t>
      </w:r>
      <w:r w:rsidRPr="006F60C9">
        <w:rPr>
          <w:rFonts w:ascii="Verdana" w:hAnsi="Verdana"/>
          <w:sz w:val="17"/>
          <w:szCs w:val="17"/>
        </w:rPr>
        <w:t>, UN Doc. A/63/263, 11 August 2008, para. 11.</w:t>
      </w:r>
    </w:p>
  </w:footnote>
  <w:footnote w:id="56">
    <w:p w14:paraId="107004FF" w14:textId="4BEDC632"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ICJ, </w:t>
      </w:r>
      <w:r w:rsidRPr="006F60C9">
        <w:rPr>
          <w:rFonts w:ascii="Verdana" w:hAnsi="Verdana"/>
          <w:i/>
          <w:sz w:val="17"/>
          <w:szCs w:val="17"/>
        </w:rPr>
        <w:t>Submission of the International Commission of Jurists to the Office of the United Nations High Commissioner for Human Rights Pursuant to Human Rights Council Resolution 45/18</w:t>
      </w:r>
      <w:r w:rsidRPr="006F60C9">
        <w:rPr>
          <w:rFonts w:ascii="Verdana" w:hAnsi="Verdana"/>
          <w:sz w:val="17"/>
          <w:szCs w:val="17"/>
        </w:rPr>
        <w:t xml:space="preserve">, 16 April 2021 (“OHCHR Submission on Journalists”), para. 9a, available at: </w:t>
      </w:r>
      <w:hyperlink r:id="rId32" w:history="1">
        <w:r w:rsidRPr="006F60C9">
          <w:rPr>
            <w:rStyle w:val="Hyperlink"/>
            <w:rFonts w:ascii="Verdana" w:hAnsi="Verdana"/>
            <w:sz w:val="17"/>
            <w:szCs w:val="17"/>
          </w:rPr>
          <w:t>https://www.icj.org/wp-content/uploads/2021/04/SoutheastAsia-ICJ-OHCHR-Submission-Journalists-Safety-2021-ENG.pdf</w:t>
        </w:r>
      </w:hyperlink>
      <w:r w:rsidRPr="006F60C9">
        <w:rPr>
          <w:rFonts w:ascii="Verdana" w:hAnsi="Verdana"/>
          <w:sz w:val="17"/>
          <w:szCs w:val="17"/>
        </w:rPr>
        <w:t xml:space="preserve">; CamboJA News, ‘Journalist handed 18-month sentence for incitement’, 5 October 2020, available at: </w:t>
      </w:r>
      <w:hyperlink r:id="rId33" w:history="1">
        <w:r w:rsidRPr="006F60C9">
          <w:rPr>
            <w:rStyle w:val="Hyperlink"/>
            <w:rFonts w:ascii="Verdana" w:hAnsi="Verdana"/>
            <w:sz w:val="17"/>
            <w:szCs w:val="17"/>
          </w:rPr>
          <w:t>https://cambojanews.com/journalist-handed-18-month-sentence-for-incitement/</w:t>
        </w:r>
      </w:hyperlink>
      <w:r w:rsidRPr="006F60C9">
        <w:rPr>
          <w:rFonts w:ascii="Verdana" w:hAnsi="Verdana"/>
          <w:sz w:val="17"/>
          <w:szCs w:val="17"/>
        </w:rPr>
        <w:t xml:space="preserve">.   </w:t>
      </w:r>
    </w:p>
  </w:footnote>
  <w:footnote w:id="57">
    <w:p w14:paraId="347C51C0" w14:textId="0BF92D14"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ICJ OHCHR Submission on Journalists, para. 9a; ICJ, ‘Cambodia: Stop silencing critical commentary on COVID-19’, 25 May 2021 (“ICJ Joint Statement on Critical Commentary on COVID-19”), available at: </w:t>
      </w:r>
      <w:hyperlink r:id="rId34" w:history="1">
        <w:r w:rsidRPr="006F60C9">
          <w:rPr>
            <w:rStyle w:val="Hyperlink"/>
            <w:rFonts w:ascii="Verdana" w:hAnsi="Verdana"/>
            <w:sz w:val="17"/>
            <w:szCs w:val="17"/>
          </w:rPr>
          <w:t>https://www.icj.org/cambodia-stop-silencing-critical-commentary-on-covid-19/</w:t>
        </w:r>
      </w:hyperlink>
      <w:r w:rsidRPr="006F60C9">
        <w:rPr>
          <w:rFonts w:ascii="Verdana" w:hAnsi="Verdana"/>
          <w:sz w:val="17"/>
          <w:szCs w:val="17"/>
        </w:rPr>
        <w:t xml:space="preserve">; CPJ, ‘Cambodia jails journalist Ros Sokhet for criticizing Prime Minister Hun Sen’, 13 November 2020, available at: </w:t>
      </w:r>
      <w:hyperlink r:id="rId35" w:history="1">
        <w:r w:rsidRPr="006F60C9">
          <w:rPr>
            <w:rStyle w:val="Hyperlink"/>
            <w:rFonts w:ascii="Verdana" w:hAnsi="Verdana"/>
            <w:sz w:val="17"/>
            <w:szCs w:val="17"/>
          </w:rPr>
          <w:t>https://cpj.org/2020/11/cambodia-jails-journalist-ros-sokhet-for-criticizing-prime-minister-hun-sen/</w:t>
        </w:r>
      </w:hyperlink>
      <w:r w:rsidRPr="006F60C9">
        <w:rPr>
          <w:rFonts w:ascii="Verdana" w:hAnsi="Verdana"/>
          <w:sz w:val="17"/>
          <w:szCs w:val="17"/>
        </w:rPr>
        <w:t xml:space="preserve">.    </w:t>
      </w:r>
    </w:p>
  </w:footnote>
  <w:footnote w:id="58">
    <w:p w14:paraId="2059058C" w14:textId="77777777"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Reporters Without Borders, ‘Cambodian reporter facing five years in prison for comment about vaccines’, 21 July 2021, available at: </w:t>
      </w:r>
      <w:hyperlink r:id="rId36" w:history="1">
        <w:r w:rsidRPr="006F60C9">
          <w:rPr>
            <w:rStyle w:val="Hyperlink"/>
            <w:rFonts w:ascii="Verdana" w:hAnsi="Verdana"/>
            <w:sz w:val="17"/>
            <w:szCs w:val="17"/>
          </w:rPr>
          <w:t>https://rsf.org/en/news/cambodian-reporter-facing-five-years-prison-comment-about-vaccines</w:t>
        </w:r>
      </w:hyperlink>
      <w:r w:rsidRPr="006F60C9">
        <w:rPr>
          <w:rFonts w:ascii="Verdana" w:hAnsi="Verdana"/>
          <w:sz w:val="17"/>
          <w:szCs w:val="17"/>
        </w:rPr>
        <w:t xml:space="preserve">.  </w:t>
      </w:r>
    </w:p>
  </w:footnote>
  <w:footnote w:id="59">
    <w:p w14:paraId="12369AB0" w14:textId="77777777" w:rsidR="003B19EC" w:rsidRPr="006F60C9" w:rsidRDefault="003B19EC" w:rsidP="00A176F0">
      <w:pPr>
        <w:pStyle w:val="FootnoteText"/>
        <w:jc w:val="both"/>
        <w:rPr>
          <w:rFonts w:ascii="Verdana" w:hAnsi="Verdana"/>
          <w:sz w:val="17"/>
          <w:szCs w:val="17"/>
          <w:lang w:val="en-US"/>
        </w:rPr>
      </w:pPr>
      <w:r w:rsidRPr="006F60C9">
        <w:rPr>
          <w:rStyle w:val="FootnoteReference"/>
          <w:rFonts w:ascii="Verdana" w:hAnsi="Verdana"/>
          <w:sz w:val="17"/>
          <w:szCs w:val="17"/>
        </w:rPr>
        <w:footnoteRef/>
      </w:r>
      <w:r w:rsidRPr="006F60C9">
        <w:rPr>
          <w:rFonts w:ascii="Verdana" w:hAnsi="Verdana"/>
          <w:sz w:val="17"/>
          <w:szCs w:val="17"/>
        </w:rPr>
        <w:t xml:space="preserve"> </w:t>
      </w:r>
      <w:r w:rsidRPr="006F60C9">
        <w:rPr>
          <w:rFonts w:ascii="Verdana" w:hAnsi="Verdana"/>
          <w:sz w:val="17"/>
          <w:szCs w:val="17"/>
          <w:lang w:val="en-US"/>
        </w:rPr>
        <w:t xml:space="preserve">ICJ, Dictating the Internet Report on Cambodia, pp. 63 – 66. </w:t>
      </w:r>
    </w:p>
  </w:footnote>
  <w:footnote w:id="60">
    <w:p w14:paraId="53D908B6" w14:textId="77777777" w:rsidR="003B19EC" w:rsidRPr="006F60C9" w:rsidRDefault="003B19EC" w:rsidP="00A176F0">
      <w:pPr>
        <w:pStyle w:val="FootnoteText"/>
        <w:jc w:val="both"/>
        <w:rPr>
          <w:rFonts w:ascii="Verdana" w:hAnsi="Verdana"/>
          <w:sz w:val="17"/>
          <w:szCs w:val="17"/>
          <w:lang w:val="en-US"/>
        </w:rPr>
      </w:pPr>
      <w:r w:rsidRPr="006F60C9">
        <w:rPr>
          <w:rStyle w:val="FootnoteReference"/>
          <w:rFonts w:ascii="Verdana" w:hAnsi="Verdana"/>
          <w:sz w:val="17"/>
          <w:szCs w:val="17"/>
        </w:rPr>
        <w:footnoteRef/>
      </w:r>
      <w:r w:rsidRPr="006F60C9">
        <w:rPr>
          <w:rFonts w:ascii="Verdana" w:hAnsi="Verdana"/>
          <w:sz w:val="17"/>
          <w:szCs w:val="17"/>
        </w:rPr>
        <w:t xml:space="preserve"> </w:t>
      </w:r>
      <w:r w:rsidRPr="006F60C9">
        <w:rPr>
          <w:rFonts w:ascii="Verdana" w:hAnsi="Verdana"/>
          <w:sz w:val="17"/>
          <w:szCs w:val="17"/>
          <w:lang w:val="en-US"/>
        </w:rPr>
        <w:t xml:space="preserve">ICJ, Dictating the Internet Report on Cambodia, pp. 66 – 71. </w:t>
      </w:r>
    </w:p>
  </w:footnote>
  <w:footnote w:id="61">
    <w:p w14:paraId="482FFF7D" w14:textId="77777777"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ICJ, Dictating the Internet Report, pp. 68 – 71; Cambodianess, ‘Phnom Penh Court Indicts Rainsy for Insulting King Norodom Sihamoni’, 28 December 2020, available at: </w:t>
      </w:r>
      <w:hyperlink r:id="rId37" w:history="1">
        <w:r w:rsidRPr="006F60C9">
          <w:rPr>
            <w:rStyle w:val="Hyperlink"/>
            <w:rFonts w:ascii="Verdana" w:hAnsi="Verdana"/>
            <w:sz w:val="17"/>
            <w:szCs w:val="17"/>
          </w:rPr>
          <w:t>https://cambodianess.com/article/phnom-penh-court-indicts-rainsy-for-insulting-king-norodom-sihamoni</w:t>
        </w:r>
      </w:hyperlink>
      <w:r w:rsidRPr="006F60C9">
        <w:rPr>
          <w:rFonts w:ascii="Verdana" w:hAnsi="Verdana"/>
          <w:sz w:val="17"/>
          <w:szCs w:val="17"/>
        </w:rPr>
        <w:t xml:space="preserve">. </w:t>
      </w:r>
      <w:r w:rsidRPr="006F60C9">
        <w:rPr>
          <w:rStyle w:val="Heading2Char"/>
          <w:rFonts w:ascii="Verdana" w:hAnsi="Verdana"/>
          <w:sz w:val="17"/>
          <w:szCs w:val="17"/>
        </w:rPr>
        <w:t xml:space="preserve"> </w:t>
      </w:r>
      <w:r w:rsidRPr="006F60C9">
        <w:rPr>
          <w:rFonts w:ascii="Verdana" w:hAnsi="Verdana"/>
          <w:sz w:val="17"/>
          <w:szCs w:val="17"/>
        </w:rPr>
        <w:t xml:space="preserve">     </w:t>
      </w:r>
    </w:p>
  </w:footnote>
  <w:footnote w:id="62">
    <w:p w14:paraId="21296221" w14:textId="5CE045DC"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See, more generally, The Observatory for the Protection of Human Rights Defenders, ‘Human rights defenders and Covid-19: the impact of the pandemic on human rights defenders and their work’, available at: </w:t>
      </w:r>
      <w:hyperlink r:id="rId38" w:history="1">
        <w:r w:rsidRPr="006F60C9">
          <w:rPr>
            <w:rStyle w:val="Hyperlink"/>
            <w:rFonts w:ascii="Verdana" w:hAnsi="Verdana"/>
            <w:sz w:val="17"/>
            <w:szCs w:val="17"/>
          </w:rPr>
          <w:t>https://observatoryfordefenders-reports.org/covid-19/</w:t>
        </w:r>
      </w:hyperlink>
      <w:r w:rsidRPr="006F60C9">
        <w:rPr>
          <w:rFonts w:ascii="Verdana" w:hAnsi="Verdana"/>
          <w:sz w:val="17"/>
          <w:szCs w:val="17"/>
        </w:rPr>
        <w:t xml:space="preserve">; and OHCHR, ‘COVID-19 pandemic exposes repression of free expression and right to information worldwide, UN expert says’, 10 July 2020, available at: </w:t>
      </w:r>
      <w:hyperlink r:id="rId39" w:history="1">
        <w:r w:rsidRPr="006F60C9">
          <w:rPr>
            <w:rStyle w:val="Hyperlink"/>
            <w:rFonts w:ascii="Verdana" w:hAnsi="Verdana"/>
            <w:sz w:val="17"/>
            <w:szCs w:val="17"/>
          </w:rPr>
          <w:t>https://www.ohchr.org/en/press-releases/2020/07/covid-19-pandemic-exposes-repression-free-expression-and-right-information?LangID=E&amp;NewsID=26075</w:t>
        </w:r>
      </w:hyperlink>
      <w:r w:rsidRPr="006F60C9">
        <w:rPr>
          <w:rFonts w:ascii="Verdana" w:hAnsi="Verdana"/>
          <w:sz w:val="17"/>
          <w:szCs w:val="17"/>
        </w:rPr>
        <w:t xml:space="preserve">. </w:t>
      </w:r>
    </w:p>
  </w:footnote>
  <w:footnote w:id="63">
    <w:p w14:paraId="5DA8FEC6" w14:textId="1006F78F"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Committee on Economic, Social and Cultural Rights, </w:t>
      </w:r>
      <w:r w:rsidRPr="006F60C9">
        <w:rPr>
          <w:rFonts w:ascii="Verdana" w:hAnsi="Verdana"/>
          <w:i/>
          <w:sz w:val="17"/>
          <w:szCs w:val="17"/>
        </w:rPr>
        <w:t>Human rights defenders and economic, social and cultural rights</w:t>
      </w:r>
      <w:r w:rsidRPr="006F60C9">
        <w:rPr>
          <w:rFonts w:ascii="Verdana" w:hAnsi="Verdana"/>
          <w:sz w:val="17"/>
          <w:szCs w:val="17"/>
        </w:rPr>
        <w:t xml:space="preserve">, UN Doc. E/C.12/2016/2, 29 March 2017, para. 5. </w:t>
      </w:r>
    </w:p>
  </w:footnote>
  <w:footnote w:id="64">
    <w:p w14:paraId="7832108E" w14:textId="14CCAB44"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The Phnom Penh Post, ‘Chhun sentenced to two years’, 18 August 2021, available at: </w:t>
      </w:r>
      <w:hyperlink r:id="rId40" w:history="1">
        <w:r w:rsidRPr="006F60C9">
          <w:rPr>
            <w:rStyle w:val="Hyperlink"/>
            <w:rFonts w:ascii="Verdana" w:hAnsi="Verdana"/>
            <w:sz w:val="17"/>
            <w:szCs w:val="17"/>
          </w:rPr>
          <w:t>https://www.phnompenhpost.com/national/chhun-sentenced-two-years</w:t>
        </w:r>
      </w:hyperlink>
      <w:r w:rsidRPr="006F60C9">
        <w:rPr>
          <w:rFonts w:ascii="Verdana" w:hAnsi="Verdana"/>
          <w:sz w:val="17"/>
          <w:szCs w:val="17"/>
        </w:rPr>
        <w:t xml:space="preserve">. He was reportedly released in November 2021 after an appeals court upheld parts of his convictions while releasing him for time served for other charges: Radio Free Asia, ‘Cambodian authorities release labor union leader in surprise move’, 12 November 2021, available at: </w:t>
      </w:r>
      <w:hyperlink r:id="rId41" w:history="1">
        <w:r w:rsidRPr="006F60C9">
          <w:rPr>
            <w:rStyle w:val="Hyperlink"/>
            <w:rFonts w:ascii="Verdana" w:hAnsi="Verdana"/>
            <w:sz w:val="17"/>
            <w:szCs w:val="17"/>
          </w:rPr>
          <w:t>https://www.rfa.org/english/news/cambodia/rong-chhun-11122021154127.html</w:t>
        </w:r>
      </w:hyperlink>
      <w:r w:rsidRPr="006F60C9">
        <w:rPr>
          <w:rFonts w:ascii="Verdana" w:hAnsi="Verdana"/>
          <w:sz w:val="17"/>
          <w:szCs w:val="17"/>
        </w:rPr>
        <w:t xml:space="preserve">. </w:t>
      </w:r>
    </w:p>
  </w:footnote>
  <w:footnote w:id="65">
    <w:p w14:paraId="6EFD8177" w14:textId="6627CA03"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w:t>
      </w:r>
      <w:r w:rsidRPr="006F60C9">
        <w:rPr>
          <w:rFonts w:ascii="Verdana" w:hAnsi="Verdana"/>
          <w:i/>
          <w:sz w:val="17"/>
          <w:szCs w:val="17"/>
          <w:lang w:val="en-US"/>
        </w:rPr>
        <w:t>Mandates of the Special Rapporteur on the promotion and protection of the right to freedom of opinion and expression; the Working Group on Arbitrary Detention; the Special Rapporteur on the situation of human rights in Cambodia; the Special Rapporteur on the rights to freedom of peaceful assembly and of association and the Special Rapporteur on the situation of human rights defenders</w:t>
      </w:r>
      <w:r w:rsidRPr="006F60C9">
        <w:rPr>
          <w:rFonts w:ascii="Verdana" w:hAnsi="Verdana"/>
          <w:sz w:val="17"/>
          <w:szCs w:val="17"/>
          <w:lang w:val="en-US"/>
        </w:rPr>
        <w:t xml:space="preserve">, Reference AL KHM 6/2020, 18 August 2020, available at: </w:t>
      </w:r>
      <w:hyperlink r:id="rId42" w:history="1">
        <w:r w:rsidRPr="006F60C9">
          <w:rPr>
            <w:rStyle w:val="Hyperlink"/>
            <w:rFonts w:ascii="Verdana" w:hAnsi="Verdana"/>
            <w:sz w:val="17"/>
            <w:szCs w:val="17"/>
            <w:lang w:val="en-US"/>
          </w:rPr>
          <w:t>https://spcommreports.ohchr.org/TMResultsBase/DownLoadPublicCommunicationFile?gId=25497</w:t>
        </w:r>
      </w:hyperlink>
      <w:r w:rsidRPr="006F60C9">
        <w:rPr>
          <w:rFonts w:ascii="Verdana" w:hAnsi="Verdana"/>
          <w:sz w:val="17"/>
          <w:szCs w:val="17"/>
        </w:rPr>
        <w:t xml:space="preserve">; Permanent Mission of the Kingdom of Cambodia to the United Nations Office and other International Organisations at Geneva, </w:t>
      </w:r>
      <w:r w:rsidRPr="006F60C9">
        <w:rPr>
          <w:rFonts w:ascii="Verdana" w:hAnsi="Verdana"/>
          <w:i/>
          <w:sz w:val="17"/>
          <w:szCs w:val="17"/>
        </w:rPr>
        <w:t>Responses from the Ministry of Interior and the Ministry of Justice of the Kingdom of Cambodia As to the Alleged Arbitrary Arrest and Detention of Mr. Rong Chhun</w:t>
      </w:r>
      <w:r w:rsidRPr="006F60C9">
        <w:rPr>
          <w:rFonts w:ascii="Verdana" w:hAnsi="Verdana"/>
          <w:sz w:val="17"/>
          <w:szCs w:val="17"/>
        </w:rPr>
        <w:t xml:space="preserve">, No: 2020/10/947, 30 October 2020, available at: </w:t>
      </w:r>
      <w:hyperlink r:id="rId43" w:history="1">
        <w:r w:rsidRPr="006F60C9">
          <w:rPr>
            <w:rStyle w:val="Hyperlink"/>
            <w:rFonts w:ascii="Verdana" w:hAnsi="Verdana"/>
            <w:sz w:val="17"/>
            <w:szCs w:val="17"/>
          </w:rPr>
          <w:t>https://spcommreports.ohchr.org/TMResultsBase/DownLoadFile?gId=35659</w:t>
        </w:r>
      </w:hyperlink>
      <w:r w:rsidRPr="006F60C9">
        <w:rPr>
          <w:rFonts w:ascii="Verdana" w:hAnsi="Verdana"/>
          <w:sz w:val="17"/>
          <w:szCs w:val="17"/>
        </w:rPr>
        <w:t xml:space="preserve">. </w:t>
      </w:r>
    </w:p>
  </w:footnote>
  <w:footnote w:id="66">
    <w:p w14:paraId="64BA7F60" w14:textId="1D4C2E80"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w:t>
      </w:r>
      <w:r w:rsidRPr="006F60C9">
        <w:rPr>
          <w:rFonts w:ascii="Verdana" w:hAnsi="Verdana"/>
          <w:sz w:val="17"/>
          <w:szCs w:val="17"/>
          <w:lang w:val="en-US"/>
        </w:rPr>
        <w:t xml:space="preserve">Thun Ratha was sentenced to 20 months in prison and fined four million riels (approx. USD 1,000), while Phuon Keoreaksmey and Long Kunthea were sentenced to 18 months in jail and fined four million riels (approx. USD 1,000). </w:t>
      </w:r>
      <w:r w:rsidRPr="006F60C9">
        <w:rPr>
          <w:rFonts w:ascii="Verdana" w:hAnsi="Verdana"/>
          <w:sz w:val="17"/>
          <w:szCs w:val="17"/>
        </w:rPr>
        <w:t xml:space="preserve">VOD, ‘Mother Nature Environmentalists Found Guilty of Incitement’, 5 May 2021, available at: </w:t>
      </w:r>
      <w:hyperlink r:id="rId44" w:history="1">
        <w:r w:rsidRPr="006F60C9">
          <w:rPr>
            <w:rStyle w:val="Hyperlink"/>
            <w:rFonts w:ascii="Verdana" w:hAnsi="Verdana"/>
            <w:sz w:val="17"/>
            <w:szCs w:val="17"/>
          </w:rPr>
          <w:t>https://vodenglish.news/mother-nature-environmentalists-found-guilty-of-incitement/</w:t>
        </w:r>
      </w:hyperlink>
      <w:r w:rsidRPr="006F60C9">
        <w:rPr>
          <w:rFonts w:ascii="Verdana" w:hAnsi="Verdana"/>
          <w:sz w:val="17"/>
          <w:szCs w:val="17"/>
        </w:rPr>
        <w:t xml:space="preserve">; Amnesty International, ‘Cambodia: “Outrageous” conviction of five environmental activists must be overturned’, 6 May 2021, available at: </w:t>
      </w:r>
      <w:hyperlink r:id="rId45" w:history="1">
        <w:r w:rsidRPr="006F60C9">
          <w:rPr>
            <w:rStyle w:val="Hyperlink"/>
            <w:rFonts w:ascii="Verdana" w:hAnsi="Verdana"/>
            <w:sz w:val="17"/>
            <w:szCs w:val="17"/>
          </w:rPr>
          <w:t>https://www.amnesty.org/en/latest/news/2021/05/cambodia-outrageous-conviction-of-five-environmental-activists-must-be-overturned/</w:t>
        </w:r>
      </w:hyperlink>
      <w:r w:rsidRPr="006F60C9">
        <w:rPr>
          <w:rFonts w:ascii="Verdana" w:hAnsi="Verdana"/>
          <w:sz w:val="17"/>
          <w:szCs w:val="17"/>
        </w:rPr>
        <w:t xml:space="preserve">; The Diplomat, ‘Trio of Cambodian Youth Imprisoned for Environmental Activism’, 6 May 2021, available at: </w:t>
      </w:r>
      <w:hyperlink r:id="rId46" w:history="1">
        <w:r w:rsidRPr="006F60C9">
          <w:rPr>
            <w:rStyle w:val="Hyperlink"/>
            <w:rFonts w:ascii="Verdana" w:hAnsi="Verdana"/>
            <w:sz w:val="17"/>
            <w:szCs w:val="17"/>
          </w:rPr>
          <w:t>https://thediplomat.com/2021/05/trio-of-cambodian-youth-imprisoned-for-environmental-activism/</w:t>
        </w:r>
      </w:hyperlink>
      <w:r w:rsidRPr="006F60C9">
        <w:rPr>
          <w:rFonts w:ascii="Verdana" w:hAnsi="Verdana"/>
          <w:sz w:val="17"/>
          <w:szCs w:val="17"/>
        </w:rPr>
        <w:t>.</w:t>
      </w:r>
    </w:p>
  </w:footnote>
  <w:footnote w:id="67">
    <w:p w14:paraId="14361C10" w14:textId="77777777" w:rsidR="003B19EC" w:rsidRPr="006F60C9" w:rsidRDefault="003B19EC" w:rsidP="00A176F0">
      <w:pPr>
        <w:pStyle w:val="FootnoteText"/>
        <w:jc w:val="both"/>
        <w:rPr>
          <w:rFonts w:ascii="Verdana" w:hAnsi="Verdana"/>
          <w:sz w:val="17"/>
          <w:szCs w:val="17"/>
        </w:rPr>
      </w:pPr>
      <w:r w:rsidRPr="006F60C9">
        <w:rPr>
          <w:rStyle w:val="FootnoteReference"/>
          <w:rFonts w:ascii="Verdana" w:hAnsi="Verdana"/>
          <w:sz w:val="17"/>
          <w:szCs w:val="17"/>
        </w:rPr>
        <w:footnoteRef/>
      </w:r>
      <w:r w:rsidRPr="006F60C9">
        <w:rPr>
          <w:rFonts w:ascii="Verdana" w:hAnsi="Verdana"/>
          <w:sz w:val="17"/>
          <w:szCs w:val="17"/>
        </w:rPr>
        <w:t xml:space="preserve"> </w:t>
      </w:r>
      <w:r w:rsidRPr="006F60C9">
        <w:rPr>
          <w:rFonts w:ascii="Verdana" w:hAnsi="Verdana"/>
          <w:i/>
          <w:sz w:val="17"/>
          <w:szCs w:val="17"/>
        </w:rPr>
        <w:t>Ibid</w:t>
      </w:r>
      <w:r w:rsidRPr="006F60C9">
        <w:rPr>
          <w:rFonts w:ascii="Verdana" w:hAnsi="Verdana"/>
          <w:sz w:val="17"/>
          <w:szCs w:val="17"/>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50EDF"/>
    <w:multiLevelType w:val="hybridMultilevel"/>
    <w:tmpl w:val="5CD84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241FE0"/>
    <w:multiLevelType w:val="hybridMultilevel"/>
    <w:tmpl w:val="FF4A4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C63F92"/>
    <w:multiLevelType w:val="hybridMultilevel"/>
    <w:tmpl w:val="3E024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D63AAD"/>
    <w:multiLevelType w:val="hybridMultilevel"/>
    <w:tmpl w:val="205E3FC2"/>
    <w:lvl w:ilvl="0" w:tplc="48C04020">
      <w:start w:val="1"/>
      <w:numFmt w:val="upperRoman"/>
      <w:lvlText w:val="%1."/>
      <w:lvlJc w:val="left"/>
      <w:pPr>
        <w:ind w:left="720" w:hanging="720"/>
      </w:pPr>
      <w:rPr>
        <w:rFonts w:hint="default"/>
      </w:rPr>
    </w:lvl>
    <w:lvl w:ilvl="1" w:tplc="04090019">
      <w:start w:val="1"/>
      <w:numFmt w:val="lowerLetter"/>
      <w:lvlText w:val="%2."/>
      <w:lvlJc w:val="left"/>
      <w:pPr>
        <w:ind w:left="644" w:hanging="360"/>
      </w:pPr>
    </w:lvl>
    <w:lvl w:ilvl="2" w:tplc="0409001B">
      <w:start w:val="1"/>
      <w:numFmt w:val="lowerRoman"/>
      <w:lvlText w:val="%3."/>
      <w:lvlJc w:val="right"/>
      <w:pPr>
        <w:ind w:left="748" w:hanging="180"/>
      </w:pPr>
    </w:lvl>
    <w:lvl w:ilvl="3" w:tplc="04090015">
      <w:start w:val="1"/>
      <w:numFmt w:val="upperLetter"/>
      <w:lvlText w:val="%4."/>
      <w:lvlJc w:val="left"/>
      <w:pPr>
        <w:ind w:left="107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9ED6008"/>
    <w:multiLevelType w:val="hybridMultilevel"/>
    <w:tmpl w:val="9A80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6718B7"/>
    <w:multiLevelType w:val="hybridMultilevel"/>
    <w:tmpl w:val="34FE68E4"/>
    <w:lvl w:ilvl="0" w:tplc="8698162E">
      <w:start w:val="1"/>
      <w:numFmt w:val="bullet"/>
      <w:lvlText w:val="-"/>
      <w:lvlJc w:val="left"/>
      <w:pPr>
        <w:ind w:left="720" w:hanging="360"/>
      </w:pPr>
      <w:rPr>
        <w:rFonts w:ascii="Verdana" w:eastAsiaTheme="minorHAnsi" w:hAnsi="Verdan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CC6F74"/>
    <w:multiLevelType w:val="hybridMultilevel"/>
    <w:tmpl w:val="26AC1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9659B3"/>
    <w:multiLevelType w:val="hybridMultilevel"/>
    <w:tmpl w:val="85F0DEB2"/>
    <w:lvl w:ilvl="0" w:tplc="036EF4E0">
      <w:start w:val="1"/>
      <w:numFmt w:val="decimal"/>
      <w:lvlText w:val="%1."/>
      <w:lvlJc w:val="left"/>
      <w:pPr>
        <w:ind w:left="360" w:hanging="360"/>
      </w:pPr>
      <w:rPr>
        <w:rFonts w:hint="default"/>
        <w:b w:val="0"/>
        <w:sz w:val="20"/>
        <w:szCs w:val="2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5DF97628"/>
    <w:multiLevelType w:val="hybridMultilevel"/>
    <w:tmpl w:val="6316B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47597E"/>
    <w:multiLevelType w:val="multilevel"/>
    <w:tmpl w:val="91AAB7F4"/>
    <w:lvl w:ilvl="0">
      <w:start w:val="1"/>
      <w:numFmt w:val="upperRoman"/>
      <w:lvlText w:val="%1."/>
      <w:lvlJc w:val="left"/>
      <w:pPr>
        <w:ind w:left="720" w:hanging="720"/>
      </w:pPr>
      <w:rPr>
        <w:rFonts w:hint="default"/>
      </w:rPr>
    </w:lvl>
    <w:lvl w:ilvl="1">
      <w:start w:val="1"/>
      <w:numFmt w:val="lowerLetter"/>
      <w:lvlText w:val="%2."/>
      <w:lvlJc w:val="left"/>
      <w:pPr>
        <w:ind w:left="644" w:hanging="360"/>
      </w:pPr>
    </w:lvl>
    <w:lvl w:ilvl="2">
      <w:start w:val="1"/>
      <w:numFmt w:val="lowerRoman"/>
      <w:lvlText w:val="%3."/>
      <w:lvlJc w:val="right"/>
      <w:pPr>
        <w:ind w:left="748"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66F107A2"/>
    <w:multiLevelType w:val="hybridMultilevel"/>
    <w:tmpl w:val="CEE83010"/>
    <w:lvl w:ilvl="0" w:tplc="EA58B6E4">
      <w:numFmt w:val="bullet"/>
      <w:lvlText w:val="-"/>
      <w:lvlJc w:val="left"/>
      <w:pPr>
        <w:ind w:left="720" w:hanging="360"/>
      </w:pPr>
      <w:rPr>
        <w:rFonts w:ascii="Calibri" w:eastAsia="DengXi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9522E68"/>
    <w:multiLevelType w:val="hybridMultilevel"/>
    <w:tmpl w:val="01380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F33388"/>
    <w:multiLevelType w:val="hybridMultilevel"/>
    <w:tmpl w:val="EF9270F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A2F341D"/>
    <w:multiLevelType w:val="hybridMultilevel"/>
    <w:tmpl w:val="0A7C998E"/>
    <w:lvl w:ilvl="0" w:tplc="41B08932">
      <w:start w:val="1"/>
      <w:numFmt w:val="bullet"/>
      <w:lvlText w:val=""/>
      <w:lvlJc w:val="left"/>
      <w:pPr>
        <w:ind w:left="720" w:hanging="360"/>
      </w:pPr>
      <w:rPr>
        <w:rFonts w:ascii="Symbol" w:hAnsi="Symbol"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9"/>
  </w:num>
  <w:num w:numId="5">
    <w:abstractNumId w:val="0"/>
  </w:num>
  <w:num w:numId="6">
    <w:abstractNumId w:val="5"/>
  </w:num>
  <w:num w:numId="7">
    <w:abstractNumId w:val="13"/>
  </w:num>
  <w:num w:numId="8">
    <w:abstractNumId w:val="11"/>
  </w:num>
  <w:num w:numId="9">
    <w:abstractNumId w:val="6"/>
  </w:num>
  <w:num w:numId="10">
    <w:abstractNumId w:val="1"/>
  </w:num>
  <w:num w:numId="11">
    <w:abstractNumId w:val="8"/>
  </w:num>
  <w:num w:numId="12">
    <w:abstractNumId w:val="12"/>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en-SG" w:vendorID="64" w:dllVersion="131078" w:nlCheck="1" w:checkStyle="1"/>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9E7"/>
    <w:rsid w:val="00001702"/>
    <w:rsid w:val="00013339"/>
    <w:rsid w:val="000137F6"/>
    <w:rsid w:val="000149CE"/>
    <w:rsid w:val="00015F64"/>
    <w:rsid w:val="000271EF"/>
    <w:rsid w:val="00027547"/>
    <w:rsid w:val="00031937"/>
    <w:rsid w:val="00036E0B"/>
    <w:rsid w:val="00047E22"/>
    <w:rsid w:val="00057FC3"/>
    <w:rsid w:val="000617D7"/>
    <w:rsid w:val="0006403E"/>
    <w:rsid w:val="00085139"/>
    <w:rsid w:val="000876AE"/>
    <w:rsid w:val="00090B85"/>
    <w:rsid w:val="0009232B"/>
    <w:rsid w:val="000A5A29"/>
    <w:rsid w:val="000B4CF8"/>
    <w:rsid w:val="000C5AFB"/>
    <w:rsid w:val="000D281C"/>
    <w:rsid w:val="000D3F39"/>
    <w:rsid w:val="000D5265"/>
    <w:rsid w:val="000E7DC6"/>
    <w:rsid w:val="000F1D76"/>
    <w:rsid w:val="000F49F3"/>
    <w:rsid w:val="0011093B"/>
    <w:rsid w:val="00111E2C"/>
    <w:rsid w:val="00137E2E"/>
    <w:rsid w:val="001429D2"/>
    <w:rsid w:val="00143115"/>
    <w:rsid w:val="0015317B"/>
    <w:rsid w:val="00161D43"/>
    <w:rsid w:val="00162E87"/>
    <w:rsid w:val="001631DA"/>
    <w:rsid w:val="0016369A"/>
    <w:rsid w:val="001664DE"/>
    <w:rsid w:val="0017584F"/>
    <w:rsid w:val="001A112F"/>
    <w:rsid w:val="001A63D5"/>
    <w:rsid w:val="001B2DB8"/>
    <w:rsid w:val="001B3937"/>
    <w:rsid w:val="001B5118"/>
    <w:rsid w:val="001B7C11"/>
    <w:rsid w:val="001F1238"/>
    <w:rsid w:val="001F66C4"/>
    <w:rsid w:val="002004BF"/>
    <w:rsid w:val="00204A0E"/>
    <w:rsid w:val="002122EF"/>
    <w:rsid w:val="0021270B"/>
    <w:rsid w:val="002340CC"/>
    <w:rsid w:val="0023513F"/>
    <w:rsid w:val="00236713"/>
    <w:rsid w:val="00243C7E"/>
    <w:rsid w:val="00250B11"/>
    <w:rsid w:val="00260A3C"/>
    <w:rsid w:val="0026125E"/>
    <w:rsid w:val="00266DCC"/>
    <w:rsid w:val="00276CE0"/>
    <w:rsid w:val="00286E9C"/>
    <w:rsid w:val="00287960"/>
    <w:rsid w:val="00297A79"/>
    <w:rsid w:val="002B27F8"/>
    <w:rsid w:val="002B444E"/>
    <w:rsid w:val="002B4DE0"/>
    <w:rsid w:val="002C6152"/>
    <w:rsid w:val="002D1A0B"/>
    <w:rsid w:val="002E3000"/>
    <w:rsid w:val="002F0A36"/>
    <w:rsid w:val="002F5279"/>
    <w:rsid w:val="00316015"/>
    <w:rsid w:val="00316DA3"/>
    <w:rsid w:val="00324A88"/>
    <w:rsid w:val="0033663D"/>
    <w:rsid w:val="00340B12"/>
    <w:rsid w:val="003426ED"/>
    <w:rsid w:val="0036515A"/>
    <w:rsid w:val="00385D84"/>
    <w:rsid w:val="00396457"/>
    <w:rsid w:val="003B19EC"/>
    <w:rsid w:val="003B254D"/>
    <w:rsid w:val="003D2C8C"/>
    <w:rsid w:val="003D2E80"/>
    <w:rsid w:val="003E5631"/>
    <w:rsid w:val="003F45D1"/>
    <w:rsid w:val="00403A27"/>
    <w:rsid w:val="00403FFB"/>
    <w:rsid w:val="00405090"/>
    <w:rsid w:val="004117E2"/>
    <w:rsid w:val="00411EE0"/>
    <w:rsid w:val="0041562E"/>
    <w:rsid w:val="004160C3"/>
    <w:rsid w:val="0042323A"/>
    <w:rsid w:val="00443834"/>
    <w:rsid w:val="00470FCE"/>
    <w:rsid w:val="004757F9"/>
    <w:rsid w:val="0047646E"/>
    <w:rsid w:val="0048309D"/>
    <w:rsid w:val="00493753"/>
    <w:rsid w:val="004A6333"/>
    <w:rsid w:val="004A78DC"/>
    <w:rsid w:val="004C1BB1"/>
    <w:rsid w:val="004D137E"/>
    <w:rsid w:val="004D21EB"/>
    <w:rsid w:val="004D5CDD"/>
    <w:rsid w:val="004D7E46"/>
    <w:rsid w:val="004F79AD"/>
    <w:rsid w:val="00505DA8"/>
    <w:rsid w:val="0052487A"/>
    <w:rsid w:val="00526C49"/>
    <w:rsid w:val="005279D7"/>
    <w:rsid w:val="00533DCD"/>
    <w:rsid w:val="005350ED"/>
    <w:rsid w:val="00551F94"/>
    <w:rsid w:val="005623E2"/>
    <w:rsid w:val="00580518"/>
    <w:rsid w:val="00583EF2"/>
    <w:rsid w:val="0058411B"/>
    <w:rsid w:val="00593326"/>
    <w:rsid w:val="00597F51"/>
    <w:rsid w:val="005A0025"/>
    <w:rsid w:val="005A1D62"/>
    <w:rsid w:val="005C2AFA"/>
    <w:rsid w:val="005C49B1"/>
    <w:rsid w:val="005D1279"/>
    <w:rsid w:val="005D3C1D"/>
    <w:rsid w:val="005D5CDF"/>
    <w:rsid w:val="005D67AA"/>
    <w:rsid w:val="005F47D6"/>
    <w:rsid w:val="00600976"/>
    <w:rsid w:val="006130F6"/>
    <w:rsid w:val="00625108"/>
    <w:rsid w:val="00627F4A"/>
    <w:rsid w:val="0063033A"/>
    <w:rsid w:val="0063353B"/>
    <w:rsid w:val="00637618"/>
    <w:rsid w:val="006408E5"/>
    <w:rsid w:val="006421C4"/>
    <w:rsid w:val="00661DF9"/>
    <w:rsid w:val="00662A94"/>
    <w:rsid w:val="006670D1"/>
    <w:rsid w:val="0067348C"/>
    <w:rsid w:val="00674609"/>
    <w:rsid w:val="006770D4"/>
    <w:rsid w:val="00686118"/>
    <w:rsid w:val="00697191"/>
    <w:rsid w:val="006B6814"/>
    <w:rsid w:val="006C1585"/>
    <w:rsid w:val="006E353A"/>
    <w:rsid w:val="006E450A"/>
    <w:rsid w:val="006E61DB"/>
    <w:rsid w:val="006E725B"/>
    <w:rsid w:val="006E7D9D"/>
    <w:rsid w:val="006F1B83"/>
    <w:rsid w:val="006F60C9"/>
    <w:rsid w:val="00723322"/>
    <w:rsid w:val="00730115"/>
    <w:rsid w:val="0073334C"/>
    <w:rsid w:val="00737456"/>
    <w:rsid w:val="00752EB6"/>
    <w:rsid w:val="00772BA7"/>
    <w:rsid w:val="0077577F"/>
    <w:rsid w:val="0078020E"/>
    <w:rsid w:val="007805F2"/>
    <w:rsid w:val="007823FE"/>
    <w:rsid w:val="007965D7"/>
    <w:rsid w:val="007A0209"/>
    <w:rsid w:val="007C0F93"/>
    <w:rsid w:val="007C1272"/>
    <w:rsid w:val="007D213C"/>
    <w:rsid w:val="007E455C"/>
    <w:rsid w:val="00803A0E"/>
    <w:rsid w:val="00804FB6"/>
    <w:rsid w:val="008153D3"/>
    <w:rsid w:val="00817365"/>
    <w:rsid w:val="00824F73"/>
    <w:rsid w:val="00825E85"/>
    <w:rsid w:val="00832578"/>
    <w:rsid w:val="00835744"/>
    <w:rsid w:val="00842C57"/>
    <w:rsid w:val="00850466"/>
    <w:rsid w:val="00850F67"/>
    <w:rsid w:val="00852DFD"/>
    <w:rsid w:val="00855203"/>
    <w:rsid w:val="008602A2"/>
    <w:rsid w:val="00861877"/>
    <w:rsid w:val="0086275D"/>
    <w:rsid w:val="00865156"/>
    <w:rsid w:val="008715B5"/>
    <w:rsid w:val="008A25A3"/>
    <w:rsid w:val="008A686A"/>
    <w:rsid w:val="008B1B10"/>
    <w:rsid w:val="008B26E4"/>
    <w:rsid w:val="008B7D8B"/>
    <w:rsid w:val="008C410E"/>
    <w:rsid w:val="008C4CE7"/>
    <w:rsid w:val="008D1449"/>
    <w:rsid w:val="008D22D0"/>
    <w:rsid w:val="008E444F"/>
    <w:rsid w:val="008F44FA"/>
    <w:rsid w:val="008F657E"/>
    <w:rsid w:val="00901FC1"/>
    <w:rsid w:val="00903329"/>
    <w:rsid w:val="00904BFE"/>
    <w:rsid w:val="0090797D"/>
    <w:rsid w:val="00927F97"/>
    <w:rsid w:val="009317F5"/>
    <w:rsid w:val="0093419E"/>
    <w:rsid w:val="00936BFE"/>
    <w:rsid w:val="00954B70"/>
    <w:rsid w:val="009561D0"/>
    <w:rsid w:val="0095724A"/>
    <w:rsid w:val="00963771"/>
    <w:rsid w:val="009645DB"/>
    <w:rsid w:val="00971178"/>
    <w:rsid w:val="00973144"/>
    <w:rsid w:val="00975923"/>
    <w:rsid w:val="009772BA"/>
    <w:rsid w:val="009817BA"/>
    <w:rsid w:val="009958A9"/>
    <w:rsid w:val="009A090A"/>
    <w:rsid w:val="009A0C4D"/>
    <w:rsid w:val="009A330C"/>
    <w:rsid w:val="009A447C"/>
    <w:rsid w:val="009B66A4"/>
    <w:rsid w:val="009C21DB"/>
    <w:rsid w:val="009C73A0"/>
    <w:rsid w:val="009D19E6"/>
    <w:rsid w:val="009D380E"/>
    <w:rsid w:val="009F71A5"/>
    <w:rsid w:val="009F7C29"/>
    <w:rsid w:val="00A04B9E"/>
    <w:rsid w:val="00A069E7"/>
    <w:rsid w:val="00A176F0"/>
    <w:rsid w:val="00A179EE"/>
    <w:rsid w:val="00A360CD"/>
    <w:rsid w:val="00A3620C"/>
    <w:rsid w:val="00A37DC7"/>
    <w:rsid w:val="00A4132D"/>
    <w:rsid w:val="00A41422"/>
    <w:rsid w:val="00A51244"/>
    <w:rsid w:val="00A5687C"/>
    <w:rsid w:val="00A63ACC"/>
    <w:rsid w:val="00A67FD5"/>
    <w:rsid w:val="00A84185"/>
    <w:rsid w:val="00A84846"/>
    <w:rsid w:val="00A932FB"/>
    <w:rsid w:val="00A97A4F"/>
    <w:rsid w:val="00AA3F22"/>
    <w:rsid w:val="00AB0946"/>
    <w:rsid w:val="00AB377D"/>
    <w:rsid w:val="00AB43D0"/>
    <w:rsid w:val="00AB65D0"/>
    <w:rsid w:val="00AC141F"/>
    <w:rsid w:val="00AC72B9"/>
    <w:rsid w:val="00AD4F81"/>
    <w:rsid w:val="00AD7B74"/>
    <w:rsid w:val="00AF5E02"/>
    <w:rsid w:val="00B104F9"/>
    <w:rsid w:val="00B12503"/>
    <w:rsid w:val="00B12D55"/>
    <w:rsid w:val="00B1596C"/>
    <w:rsid w:val="00B22692"/>
    <w:rsid w:val="00B25928"/>
    <w:rsid w:val="00B356DD"/>
    <w:rsid w:val="00B374F9"/>
    <w:rsid w:val="00B3754A"/>
    <w:rsid w:val="00B37ED4"/>
    <w:rsid w:val="00B4504A"/>
    <w:rsid w:val="00B47320"/>
    <w:rsid w:val="00B47A99"/>
    <w:rsid w:val="00B61E14"/>
    <w:rsid w:val="00B66E5C"/>
    <w:rsid w:val="00B72D85"/>
    <w:rsid w:val="00B73A9E"/>
    <w:rsid w:val="00B75BDB"/>
    <w:rsid w:val="00B8486B"/>
    <w:rsid w:val="00B955A1"/>
    <w:rsid w:val="00BB62BC"/>
    <w:rsid w:val="00BB62E1"/>
    <w:rsid w:val="00BB680C"/>
    <w:rsid w:val="00BC637D"/>
    <w:rsid w:val="00BC6C43"/>
    <w:rsid w:val="00BD0FBF"/>
    <w:rsid w:val="00BD2D20"/>
    <w:rsid w:val="00BE6627"/>
    <w:rsid w:val="00BF3E46"/>
    <w:rsid w:val="00C063E8"/>
    <w:rsid w:val="00C07E0C"/>
    <w:rsid w:val="00C26395"/>
    <w:rsid w:val="00C31C0B"/>
    <w:rsid w:val="00C322A1"/>
    <w:rsid w:val="00C362A6"/>
    <w:rsid w:val="00C4375E"/>
    <w:rsid w:val="00C44D03"/>
    <w:rsid w:val="00C45852"/>
    <w:rsid w:val="00C510DB"/>
    <w:rsid w:val="00C526B1"/>
    <w:rsid w:val="00C57784"/>
    <w:rsid w:val="00C57DCA"/>
    <w:rsid w:val="00C67140"/>
    <w:rsid w:val="00C82624"/>
    <w:rsid w:val="00C86601"/>
    <w:rsid w:val="00C91581"/>
    <w:rsid w:val="00C92C98"/>
    <w:rsid w:val="00CC309F"/>
    <w:rsid w:val="00CD1AA7"/>
    <w:rsid w:val="00CD1D42"/>
    <w:rsid w:val="00CD3C9C"/>
    <w:rsid w:val="00CE7AAE"/>
    <w:rsid w:val="00CF2956"/>
    <w:rsid w:val="00D16E4B"/>
    <w:rsid w:val="00D344E1"/>
    <w:rsid w:val="00D35703"/>
    <w:rsid w:val="00D368AD"/>
    <w:rsid w:val="00D42E98"/>
    <w:rsid w:val="00D500FF"/>
    <w:rsid w:val="00D52E61"/>
    <w:rsid w:val="00D55A7E"/>
    <w:rsid w:val="00D618A9"/>
    <w:rsid w:val="00D62BA5"/>
    <w:rsid w:val="00D6643F"/>
    <w:rsid w:val="00D71C49"/>
    <w:rsid w:val="00D74297"/>
    <w:rsid w:val="00D8292F"/>
    <w:rsid w:val="00D82C2A"/>
    <w:rsid w:val="00D84073"/>
    <w:rsid w:val="00D94C14"/>
    <w:rsid w:val="00D95338"/>
    <w:rsid w:val="00DD042D"/>
    <w:rsid w:val="00DD51F7"/>
    <w:rsid w:val="00DE1617"/>
    <w:rsid w:val="00DE6C8E"/>
    <w:rsid w:val="00E004F7"/>
    <w:rsid w:val="00E20D6D"/>
    <w:rsid w:val="00E277B1"/>
    <w:rsid w:val="00E31605"/>
    <w:rsid w:val="00E32FA2"/>
    <w:rsid w:val="00E41885"/>
    <w:rsid w:val="00E56C2A"/>
    <w:rsid w:val="00E57DBA"/>
    <w:rsid w:val="00E60282"/>
    <w:rsid w:val="00E81CF9"/>
    <w:rsid w:val="00E854C1"/>
    <w:rsid w:val="00E86A73"/>
    <w:rsid w:val="00E87791"/>
    <w:rsid w:val="00E90949"/>
    <w:rsid w:val="00EB08D3"/>
    <w:rsid w:val="00EB370E"/>
    <w:rsid w:val="00EB3C19"/>
    <w:rsid w:val="00EB6787"/>
    <w:rsid w:val="00EC2391"/>
    <w:rsid w:val="00ED47CB"/>
    <w:rsid w:val="00ED7AB2"/>
    <w:rsid w:val="00EE1B34"/>
    <w:rsid w:val="00EF6EB9"/>
    <w:rsid w:val="00EF7EC2"/>
    <w:rsid w:val="00F0186B"/>
    <w:rsid w:val="00F05DBC"/>
    <w:rsid w:val="00F10D9E"/>
    <w:rsid w:val="00F12BAE"/>
    <w:rsid w:val="00F216BA"/>
    <w:rsid w:val="00F233A9"/>
    <w:rsid w:val="00F30961"/>
    <w:rsid w:val="00F36C2E"/>
    <w:rsid w:val="00F44F65"/>
    <w:rsid w:val="00F46D71"/>
    <w:rsid w:val="00F51337"/>
    <w:rsid w:val="00F551AE"/>
    <w:rsid w:val="00F67014"/>
    <w:rsid w:val="00F679C8"/>
    <w:rsid w:val="00F716AE"/>
    <w:rsid w:val="00F7387C"/>
    <w:rsid w:val="00F76827"/>
    <w:rsid w:val="00F83DC9"/>
    <w:rsid w:val="00F87117"/>
    <w:rsid w:val="00FB1595"/>
    <w:rsid w:val="00FC545E"/>
    <w:rsid w:val="00FD30F8"/>
    <w:rsid w:val="00FE142C"/>
    <w:rsid w:val="00FE1E65"/>
    <w:rsid w:val="00FF4F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D2551F"/>
  <w14:defaultImageDpi w14:val="32767"/>
  <w15:docId w15:val="{DCCFFCD3-925D-3745-9EB3-2DE863901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11E2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B4CF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D5CDD"/>
    <w:pPr>
      <w:ind w:left="720"/>
      <w:contextualSpacing/>
    </w:pPr>
  </w:style>
  <w:style w:type="paragraph" w:styleId="FootnoteText">
    <w:name w:val="footnote text"/>
    <w:aliases w:val="5_G,Footnote Text Char1,Footnote Text Char Char,Footnote Text Char1 Char Char,Footnote Text Char Char Char Char,Footnote Text Char Char1,Footnote Text Char3,Footnote Text Char Char Char Char Char1,Text pozn. pod čarou Char,Footnotes,FA Fu"/>
    <w:basedOn w:val="Normal"/>
    <w:link w:val="FootnoteTextChar"/>
    <w:uiPriority w:val="99"/>
    <w:unhideWhenUsed/>
    <w:qFormat/>
    <w:rsid w:val="003E5631"/>
    <w:rPr>
      <w:sz w:val="20"/>
      <w:szCs w:val="20"/>
    </w:rPr>
  </w:style>
  <w:style w:type="character" w:customStyle="1" w:styleId="FootnoteTextChar">
    <w:name w:val="Footnote Text Char"/>
    <w:aliases w:val="5_G Char,Footnote Text Char1 Char,Footnote Text Char Char Char,Footnote Text Char1 Char Char Char,Footnote Text Char Char Char Char Char,Footnote Text Char Char1 Char,Footnote Text Char3 Char,Text pozn. pod čarou Char Char,FA Fu Char"/>
    <w:basedOn w:val="DefaultParagraphFont"/>
    <w:link w:val="FootnoteText"/>
    <w:uiPriority w:val="99"/>
    <w:qFormat/>
    <w:rsid w:val="003E5631"/>
    <w:rPr>
      <w:sz w:val="20"/>
      <w:szCs w:val="20"/>
    </w:rPr>
  </w:style>
  <w:style w:type="character" w:styleId="FootnoteReference">
    <w:name w:val="footnote reference"/>
    <w:aliases w:val="4_G,a Footnote Reference,FZ,Appel note de bas de page,Footnotes refss,Footnote Ref,16 Point,Superscript 6 Point,Appel note de bas de p.,Footnote Refernece,Footnote number,ftref,Footnote text,callout,Ref,de nota al pie,Style 10,BVI fnr"/>
    <w:basedOn w:val="DefaultParagraphFont"/>
    <w:link w:val="BVIfnr"/>
    <w:uiPriority w:val="99"/>
    <w:unhideWhenUsed/>
    <w:qFormat/>
    <w:rsid w:val="003E5631"/>
    <w:rPr>
      <w:vertAlign w:val="superscript"/>
    </w:rPr>
  </w:style>
  <w:style w:type="character" w:styleId="Hyperlink">
    <w:name w:val="Hyperlink"/>
    <w:basedOn w:val="DefaultParagraphFont"/>
    <w:uiPriority w:val="99"/>
    <w:unhideWhenUsed/>
    <w:rsid w:val="003E5631"/>
    <w:rPr>
      <w:color w:val="0563C1" w:themeColor="hyperlink"/>
      <w:u w:val="single"/>
    </w:rPr>
  </w:style>
  <w:style w:type="character" w:customStyle="1" w:styleId="UnresolvedMention1">
    <w:name w:val="Unresolved Mention1"/>
    <w:basedOn w:val="DefaultParagraphFont"/>
    <w:uiPriority w:val="99"/>
    <w:rsid w:val="003E5631"/>
    <w:rPr>
      <w:color w:val="605E5C"/>
      <w:shd w:val="clear" w:color="auto" w:fill="E1DFDD"/>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rsid w:val="00E41885"/>
    <w:pPr>
      <w:spacing w:after="160" w:line="240" w:lineRule="exact"/>
      <w:jc w:val="both"/>
    </w:pPr>
    <w:rPr>
      <w:vertAlign w:val="superscript"/>
    </w:rPr>
  </w:style>
  <w:style w:type="paragraph" w:styleId="NormalWeb">
    <w:name w:val="Normal (Web)"/>
    <w:basedOn w:val="Normal"/>
    <w:uiPriority w:val="99"/>
    <w:unhideWhenUsed/>
    <w:rsid w:val="00B104F9"/>
    <w:pPr>
      <w:spacing w:before="100" w:beforeAutospacing="1" w:after="100" w:afterAutospacing="1"/>
    </w:pPr>
    <w:rPr>
      <w:rFonts w:ascii="Times" w:hAnsi="Times" w:cs="Times New Roman"/>
      <w:sz w:val="20"/>
      <w:szCs w:val="20"/>
      <w:lang w:val="en-US" w:eastAsia="en-US"/>
    </w:rPr>
  </w:style>
  <w:style w:type="character" w:styleId="FollowedHyperlink">
    <w:name w:val="FollowedHyperlink"/>
    <w:basedOn w:val="DefaultParagraphFont"/>
    <w:uiPriority w:val="99"/>
    <w:semiHidden/>
    <w:unhideWhenUsed/>
    <w:rsid w:val="00AB65D0"/>
    <w:rPr>
      <w:color w:val="954F72" w:themeColor="followedHyperlink"/>
      <w:u w:val="single"/>
    </w:rPr>
  </w:style>
  <w:style w:type="character" w:customStyle="1" w:styleId="Heading1Char">
    <w:name w:val="Heading 1 Char"/>
    <w:basedOn w:val="DefaultParagraphFont"/>
    <w:link w:val="Heading1"/>
    <w:uiPriority w:val="9"/>
    <w:rsid w:val="00111E2C"/>
    <w:rPr>
      <w:rFonts w:asciiTheme="majorHAnsi" w:eastAsiaTheme="majorEastAsia" w:hAnsiTheme="majorHAnsi" w:cstheme="majorBidi"/>
      <w:color w:val="2F5496" w:themeColor="accent1" w:themeShade="BF"/>
      <w:sz w:val="32"/>
      <w:szCs w:val="32"/>
    </w:rPr>
  </w:style>
  <w:style w:type="character" w:customStyle="1" w:styleId="ListParagraphChar">
    <w:name w:val="List Paragraph Char"/>
    <w:link w:val="ListParagraph"/>
    <w:uiPriority w:val="34"/>
    <w:qFormat/>
    <w:rsid w:val="00B25928"/>
  </w:style>
  <w:style w:type="character" w:customStyle="1" w:styleId="Heading2Char">
    <w:name w:val="Heading 2 Char"/>
    <w:basedOn w:val="DefaultParagraphFont"/>
    <w:link w:val="Heading2"/>
    <w:uiPriority w:val="9"/>
    <w:rsid w:val="000B4CF8"/>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8C410E"/>
    <w:pPr>
      <w:tabs>
        <w:tab w:val="center" w:pos="4680"/>
        <w:tab w:val="right" w:pos="9360"/>
      </w:tabs>
    </w:pPr>
  </w:style>
  <w:style w:type="character" w:customStyle="1" w:styleId="HeaderChar">
    <w:name w:val="Header Char"/>
    <w:basedOn w:val="DefaultParagraphFont"/>
    <w:link w:val="Header"/>
    <w:uiPriority w:val="99"/>
    <w:rsid w:val="008C410E"/>
  </w:style>
  <w:style w:type="paragraph" w:styleId="Footer">
    <w:name w:val="footer"/>
    <w:basedOn w:val="Normal"/>
    <w:link w:val="FooterChar"/>
    <w:uiPriority w:val="99"/>
    <w:unhideWhenUsed/>
    <w:rsid w:val="008C410E"/>
    <w:pPr>
      <w:tabs>
        <w:tab w:val="center" w:pos="4680"/>
        <w:tab w:val="right" w:pos="9360"/>
      </w:tabs>
    </w:pPr>
  </w:style>
  <w:style w:type="character" w:customStyle="1" w:styleId="FooterChar">
    <w:name w:val="Footer Char"/>
    <w:basedOn w:val="DefaultParagraphFont"/>
    <w:link w:val="Footer"/>
    <w:uiPriority w:val="99"/>
    <w:rsid w:val="008C410E"/>
  </w:style>
  <w:style w:type="character" w:styleId="PageNumber">
    <w:name w:val="page number"/>
    <w:basedOn w:val="DefaultParagraphFont"/>
    <w:uiPriority w:val="99"/>
    <w:semiHidden/>
    <w:unhideWhenUsed/>
    <w:rsid w:val="008C410E"/>
  </w:style>
  <w:style w:type="paragraph" w:styleId="Revision">
    <w:name w:val="Revision"/>
    <w:hidden/>
    <w:uiPriority w:val="99"/>
    <w:semiHidden/>
    <w:rsid w:val="00A51244"/>
  </w:style>
  <w:style w:type="character" w:styleId="CommentReference">
    <w:name w:val="annotation reference"/>
    <w:basedOn w:val="DefaultParagraphFont"/>
    <w:uiPriority w:val="99"/>
    <w:semiHidden/>
    <w:unhideWhenUsed/>
    <w:rsid w:val="00D8292F"/>
    <w:rPr>
      <w:sz w:val="16"/>
      <w:szCs w:val="16"/>
    </w:rPr>
  </w:style>
  <w:style w:type="paragraph" w:styleId="CommentText">
    <w:name w:val="annotation text"/>
    <w:basedOn w:val="Normal"/>
    <w:link w:val="CommentTextChar"/>
    <w:uiPriority w:val="99"/>
    <w:unhideWhenUsed/>
    <w:rsid w:val="00D8292F"/>
    <w:rPr>
      <w:sz w:val="20"/>
      <w:szCs w:val="20"/>
    </w:rPr>
  </w:style>
  <w:style w:type="character" w:customStyle="1" w:styleId="CommentTextChar">
    <w:name w:val="Comment Text Char"/>
    <w:basedOn w:val="DefaultParagraphFont"/>
    <w:link w:val="CommentText"/>
    <w:uiPriority w:val="99"/>
    <w:rsid w:val="00D8292F"/>
    <w:rPr>
      <w:sz w:val="20"/>
      <w:szCs w:val="20"/>
    </w:rPr>
  </w:style>
  <w:style w:type="paragraph" w:styleId="CommentSubject">
    <w:name w:val="annotation subject"/>
    <w:basedOn w:val="CommentText"/>
    <w:next w:val="CommentText"/>
    <w:link w:val="CommentSubjectChar"/>
    <w:uiPriority w:val="99"/>
    <w:semiHidden/>
    <w:unhideWhenUsed/>
    <w:rsid w:val="00D8292F"/>
    <w:rPr>
      <w:b/>
      <w:bCs/>
    </w:rPr>
  </w:style>
  <w:style w:type="character" w:customStyle="1" w:styleId="CommentSubjectChar">
    <w:name w:val="Comment Subject Char"/>
    <w:basedOn w:val="CommentTextChar"/>
    <w:link w:val="CommentSubject"/>
    <w:uiPriority w:val="99"/>
    <w:semiHidden/>
    <w:rsid w:val="00D8292F"/>
    <w:rPr>
      <w:b/>
      <w:bCs/>
      <w:sz w:val="20"/>
      <w:szCs w:val="20"/>
    </w:rPr>
  </w:style>
  <w:style w:type="paragraph" w:styleId="BalloonText">
    <w:name w:val="Balloon Text"/>
    <w:basedOn w:val="Normal"/>
    <w:link w:val="BalloonTextChar"/>
    <w:uiPriority w:val="99"/>
    <w:semiHidden/>
    <w:unhideWhenUsed/>
    <w:rsid w:val="00015F6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15F64"/>
    <w:rPr>
      <w:rFonts w:ascii="Times New Roman" w:hAnsi="Times New Roman" w:cs="Times New Roman"/>
      <w:sz w:val="18"/>
      <w:szCs w:val="18"/>
    </w:rPr>
  </w:style>
  <w:style w:type="character" w:customStyle="1" w:styleId="UnresolvedMention">
    <w:name w:val="Unresolved Mention"/>
    <w:basedOn w:val="DefaultParagraphFont"/>
    <w:uiPriority w:val="99"/>
    <w:semiHidden/>
    <w:unhideWhenUsed/>
    <w:rsid w:val="00FE1E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92415">
      <w:bodyDiv w:val="1"/>
      <w:marLeft w:val="0"/>
      <w:marRight w:val="0"/>
      <w:marTop w:val="0"/>
      <w:marBottom w:val="0"/>
      <w:divBdr>
        <w:top w:val="none" w:sz="0" w:space="0" w:color="auto"/>
        <w:left w:val="none" w:sz="0" w:space="0" w:color="auto"/>
        <w:bottom w:val="none" w:sz="0" w:space="0" w:color="auto"/>
        <w:right w:val="none" w:sz="0" w:space="0" w:color="auto"/>
      </w:divBdr>
    </w:div>
    <w:div w:id="962879037">
      <w:bodyDiv w:val="1"/>
      <w:marLeft w:val="0"/>
      <w:marRight w:val="0"/>
      <w:marTop w:val="0"/>
      <w:marBottom w:val="0"/>
      <w:divBdr>
        <w:top w:val="none" w:sz="0" w:space="0" w:color="auto"/>
        <w:left w:val="none" w:sz="0" w:space="0" w:color="auto"/>
        <w:bottom w:val="none" w:sz="0" w:space="0" w:color="auto"/>
        <w:right w:val="none" w:sz="0" w:space="0" w:color="auto"/>
      </w:divBdr>
    </w:div>
    <w:div w:id="1052778404">
      <w:bodyDiv w:val="1"/>
      <w:marLeft w:val="0"/>
      <w:marRight w:val="0"/>
      <w:marTop w:val="0"/>
      <w:marBottom w:val="0"/>
      <w:divBdr>
        <w:top w:val="none" w:sz="0" w:space="0" w:color="auto"/>
        <w:left w:val="none" w:sz="0" w:space="0" w:color="auto"/>
        <w:bottom w:val="none" w:sz="0" w:space="0" w:color="auto"/>
        <w:right w:val="none" w:sz="0" w:space="0" w:color="auto"/>
      </w:divBdr>
    </w:div>
    <w:div w:id="1291860003">
      <w:bodyDiv w:val="1"/>
      <w:marLeft w:val="0"/>
      <w:marRight w:val="0"/>
      <w:marTop w:val="0"/>
      <w:marBottom w:val="0"/>
      <w:divBdr>
        <w:top w:val="none" w:sz="0" w:space="0" w:color="auto"/>
        <w:left w:val="none" w:sz="0" w:space="0" w:color="auto"/>
        <w:bottom w:val="none" w:sz="0" w:space="0" w:color="auto"/>
        <w:right w:val="none" w:sz="0" w:space="0" w:color="auto"/>
      </w:divBdr>
    </w:div>
    <w:div w:id="1393384773">
      <w:bodyDiv w:val="1"/>
      <w:marLeft w:val="0"/>
      <w:marRight w:val="0"/>
      <w:marTop w:val="0"/>
      <w:marBottom w:val="0"/>
      <w:divBdr>
        <w:top w:val="none" w:sz="0" w:space="0" w:color="auto"/>
        <w:left w:val="none" w:sz="0" w:space="0" w:color="auto"/>
        <w:bottom w:val="none" w:sz="0" w:space="0" w:color="auto"/>
        <w:right w:val="none" w:sz="0" w:space="0" w:color="auto"/>
      </w:divBdr>
    </w:div>
    <w:div w:id="1558012385">
      <w:bodyDiv w:val="1"/>
      <w:marLeft w:val="0"/>
      <w:marRight w:val="0"/>
      <w:marTop w:val="0"/>
      <w:marBottom w:val="0"/>
      <w:divBdr>
        <w:top w:val="none" w:sz="0" w:space="0" w:color="auto"/>
        <w:left w:val="none" w:sz="0" w:space="0" w:color="auto"/>
        <w:bottom w:val="none" w:sz="0" w:space="0" w:color="auto"/>
        <w:right w:val="none" w:sz="0" w:space="0" w:color="auto"/>
      </w:divBdr>
    </w:div>
    <w:div w:id="212002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yperlink" Target="mailto:info@icj.org" TargetMode="External"/><Relationship Id="rId4" Type="http://schemas.openxmlformats.org/officeDocument/2006/relationships/settings" Target="settings.xml"/><Relationship Id="rId9" Type="http://schemas.openxmlformats.org/officeDocument/2006/relationships/hyperlink" Target="http://www.icj.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professionalinterest/pages/remedyandreparation.aspx" TargetMode="External"/><Relationship Id="rId13" Type="http://schemas.openxmlformats.org/officeDocument/2006/relationships/hyperlink" Target="https://www.phnompenhpost.com/national/bavet-quiet-sez-workers-turned-away" TargetMode="External"/><Relationship Id="rId18" Type="http://schemas.openxmlformats.org/officeDocument/2006/relationships/hyperlink" Target="https://vodenglish.news/unions-looking-for-place-within-sez-boundaries/" TargetMode="External"/><Relationship Id="rId26" Type="http://schemas.openxmlformats.org/officeDocument/2006/relationships/hyperlink" Target="https://www.unaids.org/sites/default/files/media_asset/human-rights-and-covid-19_en.pdf" TargetMode="External"/><Relationship Id="rId39" Type="http://schemas.openxmlformats.org/officeDocument/2006/relationships/hyperlink" Target="https://www.ohchr.org/en/press-releases/2020/07/covid-19-pandemic-exposes-repression-free-expression-and-right-information?LangID=E&amp;NewsID=26075" TargetMode="External"/><Relationship Id="rId3" Type="http://schemas.openxmlformats.org/officeDocument/2006/relationships/hyperlink" Target="https://opendevelopmentcambodia.net/profiles/special-economic-zones/" TargetMode="External"/><Relationship Id="rId21" Type="http://schemas.openxmlformats.org/officeDocument/2006/relationships/hyperlink" Target="https://vodenglish.news/unions-looking-for-place-within-sez-boundaries/" TargetMode="External"/><Relationship Id="rId34" Type="http://schemas.openxmlformats.org/officeDocument/2006/relationships/hyperlink" Target="https://www.icj.org/cambodia-stop-silencing-critical-commentary-on-covid-19/" TargetMode="External"/><Relationship Id="rId42" Type="http://schemas.openxmlformats.org/officeDocument/2006/relationships/hyperlink" Target="https://spcommreports.ohchr.org/TMResultsBase/DownLoadPublicCommunicationFile?gId=25497" TargetMode="External"/><Relationship Id="rId7" Type="http://schemas.openxmlformats.org/officeDocument/2006/relationships/hyperlink" Target="https://th.boell.org/sites/default/files/2021-05/SEZs%20%26%20Land%20Dispossession%20in%20the%20Mekong%20Region-Update.pdf" TargetMode="External"/><Relationship Id="rId12" Type="http://schemas.openxmlformats.org/officeDocument/2006/relationships/hyperlink" Target="https://www.icj.org/mekong-sezs-human-rights/" TargetMode="External"/><Relationship Id="rId17" Type="http://schemas.openxmlformats.org/officeDocument/2006/relationships/hyperlink" Target="https://www.dw.com/en/cambodia-human-trafficking-crisis-driven-by-cyberscams/a-63092938" TargetMode="External"/><Relationship Id="rId25" Type="http://schemas.openxmlformats.org/officeDocument/2006/relationships/hyperlink" Target="https://pressocm.gov.kh/en/archives/70015" TargetMode="External"/><Relationship Id="rId33" Type="http://schemas.openxmlformats.org/officeDocument/2006/relationships/hyperlink" Target="https://cambojanews.com/journalist-handed-18-month-sentence-for-incitement/" TargetMode="External"/><Relationship Id="rId38" Type="http://schemas.openxmlformats.org/officeDocument/2006/relationships/hyperlink" Target="https://observatoryfordefenders-reports.org/covid-19/" TargetMode="External"/><Relationship Id="rId46" Type="http://schemas.openxmlformats.org/officeDocument/2006/relationships/hyperlink" Target="https://thediplomat.com/2021/05/trio-of-cambodian-youth-imprisoned-for-environmental-activism/" TargetMode="External"/><Relationship Id="rId2" Type="http://schemas.openxmlformats.org/officeDocument/2006/relationships/hyperlink" Target="https://www.khmertimeskh.com/501193909/special-economic-zones-in-cambodia-spurring-development/" TargetMode="External"/><Relationship Id="rId16" Type="http://schemas.openxmlformats.org/officeDocument/2006/relationships/hyperlink" Target="https://vodenglish.news/from-timber-to-human-trafficking-rescued-victims-allege-major-scam-operations-in-tycoons-sez/" TargetMode="External"/><Relationship Id="rId20" Type="http://schemas.openxmlformats.org/officeDocument/2006/relationships/hyperlink" Target="https://www.hrw.org/report/2022/11/21/only-instant-noodle-unions-survive/union-busting-cambodias-garment-and-tourism" TargetMode="External"/><Relationship Id="rId29" Type="http://schemas.openxmlformats.org/officeDocument/2006/relationships/hyperlink" Target="https://www.icj.org/wp-content/uploads/2021/12/ICJ-Dictating-the-Internet_Cambodia_Engl.pdf" TargetMode="External"/><Relationship Id="rId41" Type="http://schemas.openxmlformats.org/officeDocument/2006/relationships/hyperlink" Target="https://www.rfa.org/english/news/cambodia/rong-chhun-11122021154127.html" TargetMode="External"/><Relationship Id="rId1" Type="http://schemas.openxmlformats.org/officeDocument/2006/relationships/hyperlink" Target="https://www.icj.org/mekong-sezs-human-rights/" TargetMode="External"/><Relationship Id="rId6" Type="http://schemas.openxmlformats.org/officeDocument/2006/relationships/hyperlink" Target="https://media.business-humanrights.org/media/documents/files/documents/20181219_BHR_Briefing_Note_ENG-Final.pdf" TargetMode="External"/><Relationship Id="rId11" Type="http://schemas.openxmlformats.org/officeDocument/2006/relationships/hyperlink" Target="https://www.phnompenhpost.com/national/tycoon-compensates-135-families-sez-0" TargetMode="External"/><Relationship Id="rId24" Type="http://schemas.openxmlformats.org/officeDocument/2006/relationships/hyperlink" Target="https://pressocm.gov.kh/en/archives/70015" TargetMode="External"/><Relationship Id="rId32" Type="http://schemas.openxmlformats.org/officeDocument/2006/relationships/hyperlink" Target="https://www.icj.org/wp-content/uploads/2021/04/SoutheastAsia-ICJ-OHCHR-Submission-Journalists-Safety-2021-ENG.pdf" TargetMode="External"/><Relationship Id="rId37" Type="http://schemas.openxmlformats.org/officeDocument/2006/relationships/hyperlink" Target="https://cambodianess.com/article/phnom-penh-court-indicts-rainsy-for-insulting-king-norodom-sihamoni" TargetMode="External"/><Relationship Id="rId40" Type="http://schemas.openxmlformats.org/officeDocument/2006/relationships/hyperlink" Target="https://www.phnompenhpost.com/national/chhun-sentenced-two-years" TargetMode="External"/><Relationship Id="rId45" Type="http://schemas.openxmlformats.org/officeDocument/2006/relationships/hyperlink" Target="https://www.amnesty.org/en/latest/news/2021/05/cambodia-outrageous-conviction-of-five-environmental-activists-must-be-overturned/" TargetMode="External"/><Relationship Id="rId5" Type="http://schemas.openxmlformats.org/officeDocument/2006/relationships/hyperlink" Target="https://cchrcambodia.org/admin/media/factsheet/factsheet/english/Factsheet_SEZ%20ENG_01_10_18.pdf" TargetMode="External"/><Relationship Id="rId15" Type="http://schemas.openxmlformats.org/officeDocument/2006/relationships/hyperlink" Target="https://globalinitiative.net/wp-content/uploads/2022/09/GI-TOC-report_Sihanoukville_For-upload.pdf" TargetMode="External"/><Relationship Id="rId23" Type="http://schemas.openxmlformats.org/officeDocument/2006/relationships/hyperlink" Target="https://icj2.wpenginepowered.com/wp-content/uploads/2020/09/Universal-Global-Health-COVID-19-Publications-Reports-Thematic-Reports-2020-ENG.pdf" TargetMode="External"/><Relationship Id="rId28" Type="http://schemas.openxmlformats.org/officeDocument/2006/relationships/hyperlink" Target="https://rsf.org/en/news/cambodian-reporter-facing-five-years-prison-comment-about-vaccines" TargetMode="External"/><Relationship Id="rId36" Type="http://schemas.openxmlformats.org/officeDocument/2006/relationships/hyperlink" Target="https://rsf.org/en/news/cambodian-reporter-facing-five-years-prison-comment-about-vaccines" TargetMode="External"/><Relationship Id="rId10" Type="http://schemas.openxmlformats.org/officeDocument/2006/relationships/hyperlink" Target="https://www.phnompenhpost.com/national/koh-kong-community-rep%E2%80%99s-bail-request-denied" TargetMode="External"/><Relationship Id="rId19" Type="http://schemas.openxmlformats.org/officeDocument/2006/relationships/hyperlink" Target="https://cambodia.ohchr.org/en/news/ohchr-cambodia-releases-its-human-rights-analysis-draft-trade-union-law" TargetMode="External"/><Relationship Id="rId31" Type="http://schemas.openxmlformats.org/officeDocument/2006/relationships/hyperlink" Target="https://vodenglish.news/two-deaths-ruled-unrelated-to-vaccine-covid-two-arrested-over-posts/" TargetMode="External"/><Relationship Id="rId44" Type="http://schemas.openxmlformats.org/officeDocument/2006/relationships/hyperlink" Target="https://vodenglish.news/mother-nature-environmentalists-found-guilty-of-incitement/" TargetMode="External"/><Relationship Id="rId4" Type="http://schemas.openxmlformats.org/officeDocument/2006/relationships/hyperlink" Target="https://data.opendevelopmentcambodia.net/laws_record/sub-decree-on-organization-and-management-of-special-economic-zone" TargetMode="External"/><Relationship Id="rId9" Type="http://schemas.openxmlformats.org/officeDocument/2006/relationships/hyperlink" Target="https://www.phnompenhpost.com/national/pursat-land-dispute-nearly-settled-7m-titles-out-23" TargetMode="External"/><Relationship Id="rId14" Type="http://schemas.openxmlformats.org/officeDocument/2006/relationships/hyperlink" Target="https://www.khmertimeskh.com/673467/workers-faint-in-svay-rieng-shoe-factory-officials/" TargetMode="External"/><Relationship Id="rId22" Type="http://schemas.openxmlformats.org/officeDocument/2006/relationships/hyperlink" Target="https://vodenglish.news/a-long-road-for-independent-unions-in-sezs/" TargetMode="External"/><Relationship Id="rId27" Type="http://schemas.openxmlformats.org/officeDocument/2006/relationships/hyperlink" Target="https://cambojanews.com/tiktok-users-arrested-and-charged-with-spreading-fake-news-about-covid-19-vaccines/" TargetMode="External"/><Relationship Id="rId30" Type="http://schemas.openxmlformats.org/officeDocument/2006/relationships/hyperlink" Target="https://www.rfa.org/english/news/cambodia/lockdown-04162021182510.html" TargetMode="External"/><Relationship Id="rId35" Type="http://schemas.openxmlformats.org/officeDocument/2006/relationships/hyperlink" Target="https://cpj.org/2020/11/cambodia-jails-journalist-ros-sokhet-for-criticizing-prime-minister-hun-sen/" TargetMode="External"/><Relationship Id="rId43" Type="http://schemas.openxmlformats.org/officeDocument/2006/relationships/hyperlink" Target="https://spcommreports.ohchr.org/TMResultsBase/DownLoadFile?gId=356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055E2-9E66-403D-99B7-D33259AE4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3595</Words>
  <Characters>20495</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OHCHR</dc:creator>
  <cp:keywords/>
  <dc:description/>
  <cp:lastModifiedBy>Carmen Celina Arevalo Flores</cp:lastModifiedBy>
  <cp:revision>3</cp:revision>
  <dcterms:created xsi:type="dcterms:W3CDTF">2023-01-27T14:08:00Z</dcterms:created>
  <dcterms:modified xsi:type="dcterms:W3CDTF">2023-01-27T14:08:00Z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00a603492565cd495af767abd97a600e09542396dbc9a999cfd63558924d7921</vt:lpwstr>
  </property>
</Properties>
</file>