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6B60B" w14:textId="0232709F" w:rsidR="00DB69F8" w:rsidRPr="006F58E9" w:rsidRDefault="00DB69F8" w:rsidP="00DB69F8">
      <w:pPr>
        <w:pStyle w:val="Default"/>
        <w:tabs>
          <w:tab w:val="left" w:pos="1560"/>
        </w:tabs>
        <w:spacing w:line="276" w:lineRule="auto"/>
        <w:jc w:val="center"/>
        <w:rPr>
          <w:rFonts w:ascii="Arial" w:hAnsi="Arial" w:cs="Arial"/>
        </w:rPr>
      </w:pPr>
      <w:r w:rsidRPr="006F58E9">
        <w:rPr>
          <w:rFonts w:ascii="Arial" w:hAnsi="Arial" w:cs="Arial"/>
          <w:noProof/>
        </w:rPr>
        <w:drawing>
          <wp:inline distT="0" distB="0" distL="0" distR="0" wp14:anchorId="478F70C9" wp14:editId="7487918E">
            <wp:extent cx="1581150" cy="895350"/>
            <wp:effectExtent l="0" t="0" r="0" b="0"/>
            <wp:docPr id="4" name="Image 4" descr="LogoDef_CNCDH-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Def_CNCDH-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1150" cy="895350"/>
                    </a:xfrm>
                    <a:prstGeom prst="rect">
                      <a:avLst/>
                    </a:prstGeom>
                    <a:noFill/>
                    <a:ln>
                      <a:noFill/>
                    </a:ln>
                  </pic:spPr>
                </pic:pic>
              </a:graphicData>
            </a:graphic>
          </wp:inline>
        </w:drawing>
      </w:r>
    </w:p>
    <w:p w14:paraId="01E2BAD6" w14:textId="77777777" w:rsidR="00DB69F8" w:rsidRPr="006F58E9" w:rsidRDefault="00DB69F8" w:rsidP="00DB69F8">
      <w:pPr>
        <w:pStyle w:val="Default"/>
        <w:tabs>
          <w:tab w:val="left" w:pos="1560"/>
        </w:tabs>
        <w:spacing w:line="276" w:lineRule="auto"/>
        <w:jc w:val="center"/>
        <w:rPr>
          <w:rFonts w:ascii="Arial" w:hAnsi="Arial" w:cs="Arial"/>
          <w:b/>
          <w:bCs/>
        </w:rPr>
      </w:pPr>
    </w:p>
    <w:p w14:paraId="72265A5D" w14:textId="77777777" w:rsidR="00DB69F8" w:rsidRDefault="00DB69F8" w:rsidP="00DB69F8">
      <w:pPr>
        <w:pStyle w:val="Default"/>
        <w:tabs>
          <w:tab w:val="left" w:pos="1560"/>
        </w:tabs>
        <w:spacing w:line="276" w:lineRule="auto"/>
        <w:jc w:val="center"/>
        <w:rPr>
          <w:rFonts w:ascii="Arial" w:hAnsi="Arial" w:cs="Arial"/>
          <w:b/>
          <w:bCs/>
        </w:rPr>
      </w:pPr>
      <w:r w:rsidRPr="006F58E9">
        <w:rPr>
          <w:rFonts w:ascii="Arial" w:hAnsi="Arial" w:cs="Arial"/>
          <w:b/>
          <w:bCs/>
        </w:rPr>
        <w:t xml:space="preserve">CEDAW </w:t>
      </w:r>
      <w:r w:rsidRPr="007E17F5">
        <w:rPr>
          <w:rFonts w:ascii="Arial" w:hAnsi="Arial" w:cs="Arial"/>
          <w:b/>
          <w:bCs/>
        </w:rPr>
        <w:t xml:space="preserve">- Évaluations de suivi </w:t>
      </w:r>
      <w:proofErr w:type="spellStart"/>
      <w:r w:rsidRPr="007E17F5">
        <w:rPr>
          <w:rFonts w:ascii="Arial" w:hAnsi="Arial" w:cs="Arial"/>
          <w:b/>
          <w:bCs/>
        </w:rPr>
        <w:t>intersessionnelles</w:t>
      </w:r>
      <w:proofErr w:type="spellEnd"/>
      <w:r w:rsidRPr="007E17F5">
        <w:rPr>
          <w:rFonts w:ascii="Arial" w:hAnsi="Arial" w:cs="Arial"/>
          <w:b/>
          <w:bCs/>
        </w:rPr>
        <w:t xml:space="preserve"> 2026</w:t>
      </w:r>
    </w:p>
    <w:p w14:paraId="44658B96" w14:textId="77777777" w:rsidR="00DB69F8" w:rsidRDefault="00DB69F8" w:rsidP="00DB69F8">
      <w:pPr>
        <w:pStyle w:val="Default"/>
        <w:tabs>
          <w:tab w:val="left" w:pos="1560"/>
        </w:tabs>
        <w:spacing w:line="276" w:lineRule="auto"/>
        <w:jc w:val="center"/>
        <w:rPr>
          <w:rFonts w:ascii="Arial" w:hAnsi="Arial" w:cs="Arial"/>
          <w:b/>
          <w:bCs/>
        </w:rPr>
      </w:pPr>
    </w:p>
    <w:p w14:paraId="06A8D655" w14:textId="77777777" w:rsidR="00DB69F8" w:rsidRPr="006F58E9" w:rsidRDefault="00DB69F8" w:rsidP="00DB69F8">
      <w:pPr>
        <w:pStyle w:val="Default"/>
        <w:tabs>
          <w:tab w:val="left" w:pos="1560"/>
        </w:tabs>
        <w:spacing w:line="276" w:lineRule="auto"/>
        <w:jc w:val="center"/>
        <w:rPr>
          <w:rFonts w:ascii="Arial" w:hAnsi="Arial" w:cs="Arial"/>
          <w:b/>
          <w:bCs/>
        </w:rPr>
      </w:pPr>
      <w:r w:rsidRPr="006F58E9">
        <w:rPr>
          <w:rFonts w:ascii="Arial" w:hAnsi="Arial" w:cs="Arial"/>
          <w:b/>
          <w:bCs/>
        </w:rPr>
        <w:t>Contribution CNCDH</w:t>
      </w:r>
    </w:p>
    <w:p w14:paraId="16333061" w14:textId="77777777" w:rsidR="00DB69F8" w:rsidRPr="006F58E9" w:rsidRDefault="00DB69F8" w:rsidP="00DB69F8">
      <w:pPr>
        <w:pStyle w:val="Default"/>
        <w:tabs>
          <w:tab w:val="left" w:pos="1560"/>
        </w:tabs>
        <w:spacing w:line="276" w:lineRule="auto"/>
        <w:jc w:val="center"/>
        <w:rPr>
          <w:rFonts w:ascii="Arial" w:hAnsi="Arial" w:cs="Arial"/>
          <w:i/>
          <w:iCs/>
        </w:rPr>
      </w:pPr>
    </w:p>
    <w:p w14:paraId="44D3C73D" w14:textId="77777777" w:rsidR="00DB69F8" w:rsidRPr="006F58E9" w:rsidRDefault="00DB69F8" w:rsidP="00DB69F8">
      <w:pPr>
        <w:pStyle w:val="Default"/>
        <w:spacing w:line="276" w:lineRule="auto"/>
        <w:jc w:val="both"/>
        <w:rPr>
          <w:rFonts w:ascii="Arial" w:eastAsia="Times New Roman" w:hAnsi="Arial" w:cs="Arial"/>
          <w:i/>
        </w:rPr>
      </w:pPr>
      <w:r w:rsidRPr="006F58E9">
        <w:rPr>
          <w:rFonts w:ascii="Arial" w:hAnsi="Arial" w:cs="Arial"/>
          <w:i/>
          <w:iCs/>
        </w:rPr>
        <w:t xml:space="preserve">La Commission nationale consultative des droits de l’homme (CNCDH) est l’Institution nationale française de promotion et de protection des droits de l’homme (INDH), établie conformément aux Principes de Paris et accréditée de statut A. </w:t>
      </w:r>
    </w:p>
    <w:p w14:paraId="0B8F4C60" w14:textId="77777777" w:rsidR="00DB69F8" w:rsidRPr="006F58E9" w:rsidRDefault="00DB69F8" w:rsidP="00DB69F8">
      <w:pPr>
        <w:pStyle w:val="Default"/>
        <w:spacing w:line="276" w:lineRule="auto"/>
        <w:jc w:val="both"/>
        <w:rPr>
          <w:rFonts w:ascii="Arial" w:hAnsi="Arial" w:cs="Arial"/>
          <w:i/>
          <w:iCs/>
        </w:rPr>
      </w:pPr>
    </w:p>
    <w:p w14:paraId="1371B0DB" w14:textId="77777777" w:rsidR="00DB69F8" w:rsidRPr="006F58E9" w:rsidRDefault="00DB69F8" w:rsidP="00DB69F8">
      <w:pPr>
        <w:pStyle w:val="Default"/>
        <w:spacing w:line="276" w:lineRule="auto"/>
        <w:jc w:val="both"/>
        <w:rPr>
          <w:rFonts w:ascii="Arial" w:hAnsi="Arial" w:cs="Arial"/>
          <w:i/>
          <w:iCs/>
        </w:rPr>
      </w:pPr>
      <w:r w:rsidRPr="006F58E9">
        <w:rPr>
          <w:rFonts w:ascii="Arial" w:hAnsi="Arial" w:cs="Arial"/>
          <w:i/>
          <w:iCs/>
        </w:rPr>
        <w:t xml:space="preserve">Dotée d’une composition pluraliste, elle a vocation à porter une parole indépendante et éclairée sur la politique menée par la France en matière de respect effectif des droits de l’homme et notamment les droits civils et politiques. Elle a un rôle de contrôle, de conseil, de suivi auprès du Gouvernement et du Parlement sur toutes les questions relatives aux droits de l’Homme et assure aussi une mission d’éducation et de sensibilisation aux droits humains. Elle dispose également de mandats de rapporteur national indépendant sur : la lutte contre le racisme, la lutte contre la traite des êtres humains, la mise en œuvre des Principes directeurs des Nations Unies relatifs aux droits de l’Homme et aux entreprises, les droits des personnes LGBTI+, et la mise en œuvre et l’effectivité des droits des personnes en situation de handicap. </w:t>
      </w:r>
    </w:p>
    <w:p w14:paraId="0B9A7AF5" w14:textId="77777777" w:rsidR="00DB69F8" w:rsidRPr="006F58E9" w:rsidRDefault="00DB69F8" w:rsidP="00DB69F8">
      <w:pPr>
        <w:pStyle w:val="Default"/>
        <w:spacing w:line="276" w:lineRule="auto"/>
        <w:jc w:val="both"/>
        <w:rPr>
          <w:rFonts w:ascii="Arial" w:hAnsi="Arial" w:cs="Arial"/>
          <w:i/>
          <w:iCs/>
        </w:rPr>
      </w:pPr>
    </w:p>
    <w:p w14:paraId="406BC1BA" w14:textId="77777777" w:rsidR="00DB69F8" w:rsidRPr="006F58E9" w:rsidRDefault="00DB69F8" w:rsidP="00DB69F8">
      <w:pPr>
        <w:pStyle w:val="Default"/>
        <w:spacing w:line="276" w:lineRule="auto"/>
        <w:jc w:val="both"/>
        <w:rPr>
          <w:rFonts w:ascii="Arial" w:hAnsi="Arial" w:cs="Arial"/>
          <w:i/>
          <w:iCs/>
        </w:rPr>
      </w:pPr>
      <w:r w:rsidRPr="006F58E9">
        <w:rPr>
          <w:rFonts w:ascii="Arial" w:hAnsi="Arial" w:cs="Arial"/>
          <w:i/>
          <w:iCs/>
        </w:rPr>
        <w:t xml:space="preserve">Dans le cadre son mandat international, elle conseille en toute indépendance la France lors de la rédaction de son projet de rapport aux organes internationaux de protection des droits de l’Homme, notamment les comités conventionnels des Nations Unies, et transmet à ces mêmes organes des contributions écrites sur le respect et l’effectivité des droits de l’Homme en France. Dans le cadre du Conseil de l’Europe, la CNCDH peut intervenir en amont des arrêts de la Cour européenne des droits de l’homme (CEDH) en transmettant ses observations susceptibles de l’éclairer sur des éléments de contexte factuel ou normatif propres à la France </w:t>
      </w:r>
    </w:p>
    <w:p w14:paraId="00F3C34F" w14:textId="77777777" w:rsidR="00DB69F8" w:rsidRPr="006F58E9" w:rsidRDefault="00DB69F8" w:rsidP="00DB69F8">
      <w:pPr>
        <w:pStyle w:val="Default"/>
        <w:spacing w:line="276" w:lineRule="auto"/>
        <w:jc w:val="both"/>
        <w:rPr>
          <w:rFonts w:ascii="Arial" w:hAnsi="Arial" w:cs="Arial"/>
          <w:i/>
          <w:iCs/>
        </w:rPr>
      </w:pPr>
    </w:p>
    <w:p w14:paraId="22984CCC" w14:textId="77777777" w:rsidR="00DB69F8" w:rsidRPr="006F58E9" w:rsidRDefault="00DB69F8" w:rsidP="00DB69F8">
      <w:pPr>
        <w:pStyle w:val="Default"/>
        <w:spacing w:line="276" w:lineRule="auto"/>
        <w:jc w:val="both"/>
        <w:rPr>
          <w:rFonts w:ascii="Arial" w:hAnsi="Arial" w:cs="Arial"/>
          <w:i/>
          <w:iCs/>
        </w:rPr>
      </w:pPr>
      <w:r w:rsidRPr="006F58E9">
        <w:rPr>
          <w:rFonts w:ascii="Arial" w:hAnsi="Arial" w:cs="Arial"/>
          <w:i/>
          <w:iCs/>
        </w:rPr>
        <w:t xml:space="preserve">L’ensemble des travaux de la CNCDH est consultable sur le site internet de l’institution : </w:t>
      </w:r>
      <w:hyperlink r:id="rId12" w:history="1">
        <w:r w:rsidRPr="006F58E9">
          <w:rPr>
            <w:rStyle w:val="Lienhypertexte"/>
            <w:rFonts w:ascii="Arial" w:hAnsi="Arial" w:cs="Arial"/>
          </w:rPr>
          <w:t>https://www.cncdh.fr/</w:t>
        </w:r>
      </w:hyperlink>
      <w:r w:rsidRPr="006F58E9">
        <w:rPr>
          <w:rFonts w:ascii="Arial" w:hAnsi="Arial" w:cs="Arial"/>
        </w:rPr>
        <w:t xml:space="preserve"> et </w:t>
      </w:r>
      <w:hyperlink r:id="rId13" w:history="1">
        <w:r w:rsidRPr="006F58E9">
          <w:rPr>
            <w:rStyle w:val="Lienhypertexte"/>
            <w:rFonts w:ascii="Arial" w:hAnsi="Arial" w:cs="Arial"/>
          </w:rPr>
          <w:t>https://www.cncdh.fr/fr/publications</w:t>
        </w:r>
      </w:hyperlink>
      <w:r w:rsidRPr="006F58E9">
        <w:rPr>
          <w:rFonts w:ascii="Arial" w:hAnsi="Arial" w:cs="Arial"/>
        </w:rPr>
        <w:t>.</w:t>
      </w:r>
    </w:p>
    <w:p w14:paraId="47C6F032" w14:textId="77777777" w:rsidR="00DB69F8" w:rsidRPr="006F58E9" w:rsidRDefault="00DB69F8" w:rsidP="00DB69F8">
      <w:pPr>
        <w:pStyle w:val="Default"/>
        <w:tabs>
          <w:tab w:val="left" w:pos="1560"/>
        </w:tabs>
        <w:spacing w:line="276" w:lineRule="auto"/>
        <w:rPr>
          <w:rFonts w:ascii="Arial" w:hAnsi="Arial" w:cs="Arial"/>
        </w:rPr>
      </w:pPr>
    </w:p>
    <w:p w14:paraId="35F99B73" w14:textId="77777777" w:rsidR="00DB69F8" w:rsidRDefault="00DB69F8" w:rsidP="00DB69F8">
      <w:pPr>
        <w:pStyle w:val="Default"/>
        <w:tabs>
          <w:tab w:val="left" w:pos="1560"/>
        </w:tabs>
        <w:spacing w:line="276" w:lineRule="auto"/>
        <w:rPr>
          <w:rFonts w:ascii="Arial" w:hAnsi="Arial" w:cs="Arial"/>
        </w:rPr>
      </w:pPr>
    </w:p>
    <w:p w14:paraId="43CD4E83" w14:textId="77777777" w:rsidR="00DB69F8" w:rsidRDefault="00DB69F8" w:rsidP="00DB69F8">
      <w:pPr>
        <w:pStyle w:val="Default"/>
        <w:tabs>
          <w:tab w:val="left" w:pos="1560"/>
        </w:tabs>
        <w:spacing w:line="276" w:lineRule="auto"/>
        <w:rPr>
          <w:rFonts w:ascii="Arial" w:hAnsi="Arial" w:cs="Arial"/>
        </w:rPr>
      </w:pPr>
    </w:p>
    <w:p w14:paraId="3649D939" w14:textId="77777777" w:rsidR="00DB69F8" w:rsidRDefault="00DB69F8" w:rsidP="00DB69F8">
      <w:pPr>
        <w:pStyle w:val="Default"/>
        <w:tabs>
          <w:tab w:val="left" w:pos="1560"/>
        </w:tabs>
        <w:spacing w:line="276" w:lineRule="auto"/>
        <w:rPr>
          <w:rFonts w:ascii="Arial" w:hAnsi="Arial" w:cs="Arial"/>
        </w:rPr>
      </w:pPr>
    </w:p>
    <w:p w14:paraId="4A1F2D2F" w14:textId="77777777" w:rsidR="00DB69F8" w:rsidRDefault="00DB69F8" w:rsidP="00DB69F8">
      <w:pPr>
        <w:pStyle w:val="Default"/>
        <w:tabs>
          <w:tab w:val="left" w:pos="1560"/>
        </w:tabs>
        <w:spacing w:line="276" w:lineRule="auto"/>
        <w:rPr>
          <w:rFonts w:ascii="Arial" w:hAnsi="Arial" w:cs="Arial"/>
        </w:rPr>
      </w:pPr>
    </w:p>
    <w:p w14:paraId="291536DF" w14:textId="77777777" w:rsidR="00DB69F8" w:rsidRDefault="00DB69F8" w:rsidP="00DB69F8">
      <w:pPr>
        <w:pStyle w:val="Default"/>
        <w:tabs>
          <w:tab w:val="left" w:pos="1560"/>
        </w:tabs>
        <w:spacing w:line="276" w:lineRule="auto"/>
        <w:rPr>
          <w:rFonts w:ascii="Arial" w:hAnsi="Arial" w:cs="Arial"/>
        </w:rPr>
      </w:pPr>
    </w:p>
    <w:p w14:paraId="2DE6D7D6" w14:textId="77777777" w:rsidR="00DB69F8" w:rsidRDefault="00DB69F8" w:rsidP="00DB69F8">
      <w:pPr>
        <w:pStyle w:val="Default"/>
        <w:tabs>
          <w:tab w:val="left" w:pos="1560"/>
        </w:tabs>
        <w:spacing w:line="276" w:lineRule="auto"/>
        <w:rPr>
          <w:rFonts w:ascii="Arial" w:hAnsi="Arial" w:cs="Arial"/>
        </w:rPr>
      </w:pPr>
    </w:p>
    <w:p w14:paraId="2F9780BB" w14:textId="77777777" w:rsidR="00DB69F8" w:rsidRPr="006F58E9" w:rsidRDefault="00DB69F8" w:rsidP="00DB69F8">
      <w:pPr>
        <w:pStyle w:val="Default"/>
        <w:tabs>
          <w:tab w:val="left" w:pos="1560"/>
        </w:tabs>
        <w:spacing w:line="276" w:lineRule="auto"/>
        <w:rPr>
          <w:rFonts w:ascii="Arial" w:hAnsi="Arial" w:cs="Arial"/>
        </w:rPr>
      </w:pPr>
    </w:p>
    <w:p w14:paraId="0BF309E2" w14:textId="77777777" w:rsidR="00DB69F8" w:rsidRDefault="00DB69F8" w:rsidP="00DB69F8">
      <w:pPr>
        <w:jc w:val="both"/>
        <w:rPr>
          <w:rFonts w:ascii="Arial" w:hAnsi="Arial" w:cs="Arial"/>
          <w:sz w:val="24"/>
          <w:szCs w:val="24"/>
        </w:rPr>
      </w:pPr>
      <w:r w:rsidRPr="001C47F7">
        <w:rPr>
          <w:rFonts w:ascii="Arial" w:hAnsi="Arial" w:cs="Arial"/>
          <w:sz w:val="24"/>
          <w:szCs w:val="24"/>
        </w:rPr>
        <w:lastRenderedPageBreak/>
        <w:t xml:space="preserve">À titre préliminaire, la CNCDH rappelle qu’elle interagit régulièrement avec le CEDAW. Elle a déjà adressé plusieurs contributions notamment en vue de de l’établissement de la liste de questions </w:t>
      </w:r>
      <w:r>
        <w:rPr>
          <w:rFonts w:ascii="Arial" w:hAnsi="Arial" w:cs="Arial"/>
          <w:sz w:val="24"/>
          <w:szCs w:val="24"/>
        </w:rPr>
        <w:t>(2022)</w:t>
      </w:r>
      <w:r>
        <w:rPr>
          <w:rStyle w:val="Appelnotedebasdep"/>
          <w:rFonts w:ascii="Arial" w:hAnsi="Arial" w:cs="Arial"/>
          <w:sz w:val="24"/>
          <w:szCs w:val="24"/>
        </w:rPr>
        <w:footnoteReference w:id="2"/>
      </w:r>
      <w:r>
        <w:rPr>
          <w:rFonts w:ascii="Arial" w:hAnsi="Arial" w:cs="Arial"/>
          <w:sz w:val="24"/>
          <w:szCs w:val="24"/>
        </w:rPr>
        <w:t xml:space="preserve"> </w:t>
      </w:r>
      <w:r w:rsidRPr="001C47F7">
        <w:rPr>
          <w:rFonts w:ascii="Arial" w:hAnsi="Arial" w:cs="Arial"/>
          <w:sz w:val="24"/>
          <w:szCs w:val="24"/>
        </w:rPr>
        <w:t xml:space="preserve">ainsi qu’en vue de l’examen de la </w:t>
      </w:r>
      <w:r>
        <w:rPr>
          <w:rFonts w:ascii="Arial" w:hAnsi="Arial" w:cs="Arial"/>
          <w:sz w:val="24"/>
          <w:szCs w:val="24"/>
        </w:rPr>
        <w:t>France (septembre 2023)</w:t>
      </w:r>
      <w:r>
        <w:rPr>
          <w:rStyle w:val="Appelnotedebasdep"/>
          <w:rFonts w:ascii="Arial" w:hAnsi="Arial" w:cs="Arial"/>
          <w:sz w:val="24"/>
          <w:szCs w:val="24"/>
        </w:rPr>
        <w:footnoteReference w:id="3"/>
      </w:r>
      <w:r w:rsidRPr="001C47F7">
        <w:rPr>
          <w:rFonts w:ascii="Arial" w:hAnsi="Arial" w:cs="Arial"/>
          <w:sz w:val="24"/>
          <w:szCs w:val="24"/>
        </w:rPr>
        <w:t>. Elle a également participé à l’examen</w:t>
      </w:r>
      <w:r>
        <w:rPr>
          <w:rFonts w:ascii="Arial" w:hAnsi="Arial" w:cs="Arial"/>
          <w:sz w:val="24"/>
          <w:szCs w:val="24"/>
        </w:rPr>
        <w:t xml:space="preserve"> du neuvième rapport périodique de la France</w:t>
      </w:r>
      <w:r w:rsidRPr="001C47F7">
        <w:rPr>
          <w:rFonts w:ascii="Arial" w:hAnsi="Arial" w:cs="Arial"/>
          <w:sz w:val="24"/>
          <w:szCs w:val="24"/>
        </w:rPr>
        <w:t>, conformément à son mandat</w:t>
      </w:r>
      <w:r>
        <w:rPr>
          <w:rFonts w:ascii="Arial" w:hAnsi="Arial" w:cs="Arial"/>
          <w:sz w:val="24"/>
          <w:szCs w:val="24"/>
        </w:rPr>
        <w:t xml:space="preserve"> et au règlement du CEDAW</w:t>
      </w:r>
      <w:r w:rsidRPr="001C47F7">
        <w:rPr>
          <w:rFonts w:ascii="Arial" w:hAnsi="Arial" w:cs="Arial"/>
          <w:sz w:val="24"/>
          <w:szCs w:val="24"/>
        </w:rPr>
        <w:t>.</w:t>
      </w:r>
    </w:p>
    <w:p w14:paraId="3D6F3032" w14:textId="77777777" w:rsidR="00DB69F8" w:rsidRPr="001C47F7" w:rsidRDefault="00DB69F8" w:rsidP="00DB69F8">
      <w:pPr>
        <w:jc w:val="both"/>
        <w:rPr>
          <w:rFonts w:ascii="Arial" w:hAnsi="Arial" w:cs="Arial"/>
          <w:sz w:val="24"/>
          <w:szCs w:val="24"/>
        </w:rPr>
      </w:pPr>
    </w:p>
    <w:p w14:paraId="05CECE1D" w14:textId="77777777" w:rsidR="00DB69F8" w:rsidRDefault="00DB69F8" w:rsidP="00DB69F8">
      <w:pPr>
        <w:pStyle w:val="Titre1"/>
        <w:rPr>
          <w:rFonts w:ascii="Arial" w:hAnsi="Arial" w:cs="Arial"/>
          <w:b/>
          <w:bCs/>
          <w:sz w:val="24"/>
          <w:szCs w:val="24"/>
          <w:u w:val="single"/>
        </w:rPr>
      </w:pPr>
      <w:r w:rsidRPr="0018499D">
        <w:rPr>
          <w:rFonts w:ascii="Arial" w:hAnsi="Arial" w:cs="Arial"/>
          <w:b/>
          <w:bCs/>
          <w:sz w:val="24"/>
          <w:szCs w:val="24"/>
          <w:u w:val="single"/>
        </w:rPr>
        <w:t xml:space="preserve">Remarques générales </w:t>
      </w:r>
    </w:p>
    <w:p w14:paraId="69C5EC0D" w14:textId="77777777" w:rsidR="00DB69F8" w:rsidRPr="00B87D43" w:rsidRDefault="00DB69F8" w:rsidP="00DB69F8"/>
    <w:p w14:paraId="68FD8D6E" w14:textId="2C74F12C" w:rsidR="00DB69F8" w:rsidRPr="005F0C39" w:rsidRDefault="005F0C39" w:rsidP="005F0C39">
      <w:pPr>
        <w:jc w:val="both"/>
        <w:rPr>
          <w:rFonts w:ascii="Arial" w:hAnsi="Arial" w:cs="Arial"/>
          <w:sz w:val="24"/>
          <w:szCs w:val="24"/>
        </w:rPr>
      </w:pPr>
      <w:r w:rsidRPr="005F0C39">
        <w:rPr>
          <w:rFonts w:ascii="Arial" w:hAnsi="Arial" w:cs="Arial"/>
          <w:sz w:val="24"/>
          <w:szCs w:val="24"/>
        </w:rPr>
        <w:t>1.</w:t>
      </w:r>
      <w:r>
        <w:rPr>
          <w:rFonts w:ascii="Arial" w:hAnsi="Arial" w:cs="Arial"/>
          <w:sz w:val="24"/>
          <w:szCs w:val="24"/>
        </w:rPr>
        <w:t xml:space="preserve"> </w:t>
      </w:r>
      <w:r w:rsidR="00DB69F8" w:rsidRPr="005F0C39">
        <w:rPr>
          <w:rFonts w:ascii="Arial" w:hAnsi="Arial" w:cs="Arial"/>
          <w:sz w:val="24"/>
          <w:szCs w:val="24"/>
        </w:rPr>
        <w:t>Conformément au paragraphe 22 des observations finales, le rapport de l’Etat devait être soumis dans un délai de deux ans. Il a toutefois été transmis avec un retard d’environ cinq mois et demi.</w:t>
      </w:r>
    </w:p>
    <w:p w14:paraId="55D99E06" w14:textId="77777777" w:rsidR="005F0C39" w:rsidRPr="005F0C39" w:rsidRDefault="005F0C39" w:rsidP="005F0C39"/>
    <w:p w14:paraId="6227A594" w14:textId="77777777" w:rsidR="00DB69F8" w:rsidRDefault="00DB69F8" w:rsidP="00DB69F8">
      <w:pPr>
        <w:jc w:val="both"/>
        <w:rPr>
          <w:rFonts w:ascii="Arial" w:hAnsi="Arial" w:cs="Arial"/>
          <w:sz w:val="24"/>
          <w:szCs w:val="24"/>
        </w:rPr>
      </w:pPr>
      <w:r>
        <w:rPr>
          <w:rFonts w:ascii="Arial" w:hAnsi="Arial" w:cs="Arial"/>
          <w:sz w:val="24"/>
          <w:szCs w:val="24"/>
        </w:rPr>
        <w:t xml:space="preserve">2. </w:t>
      </w:r>
      <w:r w:rsidRPr="006F58E9">
        <w:rPr>
          <w:rFonts w:ascii="Arial" w:hAnsi="Arial" w:cs="Arial"/>
          <w:sz w:val="24"/>
          <w:szCs w:val="24"/>
        </w:rPr>
        <w:t xml:space="preserve">La communication se concentre presque exclusivement sur la lutte contre les violences faites aux femmes alors que la convention aborde toutes les formes de discriminations.  </w:t>
      </w:r>
    </w:p>
    <w:p w14:paraId="4B6A36A6" w14:textId="77777777" w:rsidR="005F0C39" w:rsidRPr="006F58E9" w:rsidRDefault="005F0C39" w:rsidP="00DB69F8">
      <w:pPr>
        <w:jc w:val="both"/>
        <w:rPr>
          <w:rFonts w:ascii="Arial" w:hAnsi="Arial" w:cs="Arial"/>
          <w:sz w:val="24"/>
          <w:szCs w:val="24"/>
        </w:rPr>
      </w:pPr>
    </w:p>
    <w:p w14:paraId="2607F8D5" w14:textId="77777777" w:rsidR="00DB69F8" w:rsidRPr="006F58E9" w:rsidRDefault="00DB69F8" w:rsidP="00DB69F8">
      <w:pPr>
        <w:jc w:val="both"/>
        <w:rPr>
          <w:rFonts w:ascii="Arial" w:hAnsi="Arial" w:cs="Arial"/>
          <w:sz w:val="24"/>
          <w:szCs w:val="24"/>
        </w:rPr>
      </w:pPr>
      <w:r w:rsidRPr="006F58E9">
        <w:rPr>
          <w:rFonts w:ascii="Arial" w:hAnsi="Arial" w:cs="Arial"/>
          <w:sz w:val="24"/>
          <w:szCs w:val="24"/>
        </w:rPr>
        <w:t>3.</w:t>
      </w:r>
      <w:r>
        <w:rPr>
          <w:rFonts w:ascii="Arial" w:hAnsi="Arial" w:cs="Arial"/>
          <w:sz w:val="24"/>
          <w:szCs w:val="24"/>
        </w:rPr>
        <w:t xml:space="preserve"> </w:t>
      </w:r>
      <w:r w:rsidRPr="006F58E9">
        <w:rPr>
          <w:rFonts w:ascii="Arial" w:hAnsi="Arial" w:cs="Arial"/>
          <w:sz w:val="24"/>
          <w:szCs w:val="24"/>
        </w:rPr>
        <w:t xml:space="preserve">Les développements demeurent vagues tels que présentés dans le rapport et ne permettent pas d’apprécier concrètement la situation ni de mesurer les avancées accomplies. De plus, certains développements ne répondent pas aux observations du comité. </w:t>
      </w:r>
    </w:p>
    <w:p w14:paraId="167A7FDA" w14:textId="77777777" w:rsidR="00DB69F8" w:rsidRDefault="00DB69F8" w:rsidP="00DB69F8">
      <w:pPr>
        <w:pStyle w:val="Titre1"/>
        <w:jc w:val="both"/>
        <w:rPr>
          <w:rFonts w:ascii="Arial" w:hAnsi="Arial" w:cs="Arial"/>
          <w:b/>
          <w:bCs/>
          <w:sz w:val="24"/>
          <w:szCs w:val="24"/>
          <w:u w:val="single"/>
        </w:rPr>
      </w:pPr>
      <w:bookmarkStart w:id="0" w:name="_Hlk230876001"/>
    </w:p>
    <w:p w14:paraId="1AE1C398" w14:textId="6D98B591" w:rsidR="00DB69F8" w:rsidRDefault="00DB69F8" w:rsidP="00DB69F8">
      <w:pPr>
        <w:pStyle w:val="Titre1"/>
        <w:jc w:val="both"/>
        <w:rPr>
          <w:rFonts w:ascii="Arial" w:hAnsi="Arial" w:cs="Arial"/>
          <w:b/>
          <w:bCs/>
          <w:sz w:val="24"/>
          <w:szCs w:val="24"/>
          <w:u w:val="single"/>
        </w:rPr>
      </w:pPr>
      <w:r w:rsidRPr="0018499D">
        <w:rPr>
          <w:rFonts w:ascii="Arial" w:hAnsi="Arial" w:cs="Arial"/>
          <w:b/>
          <w:bCs/>
          <w:sz w:val="24"/>
          <w:szCs w:val="24"/>
          <w:u w:val="single"/>
        </w:rPr>
        <w:t>Activités de formation et de renforcement des capacités portant sur la Convention, le Protocole facultatif s’y rapportant et ses recommandations générales (§ 12a)</w:t>
      </w:r>
    </w:p>
    <w:p w14:paraId="62196B3E" w14:textId="77777777" w:rsidR="00DB69F8" w:rsidRPr="0017609F" w:rsidRDefault="00DB69F8" w:rsidP="00DB69F8"/>
    <w:p w14:paraId="04341F3D" w14:textId="44BF5B97" w:rsidR="00DB69F8" w:rsidRPr="006F58E9" w:rsidRDefault="00DB69F8" w:rsidP="00DB69F8">
      <w:pPr>
        <w:jc w:val="both"/>
        <w:rPr>
          <w:rFonts w:ascii="Arial" w:hAnsi="Arial" w:cs="Arial"/>
          <w:sz w:val="24"/>
          <w:szCs w:val="24"/>
        </w:rPr>
      </w:pPr>
      <w:r>
        <w:rPr>
          <w:rFonts w:ascii="Arial" w:hAnsi="Arial" w:cs="Arial"/>
          <w:sz w:val="24"/>
          <w:szCs w:val="24"/>
        </w:rPr>
        <w:t xml:space="preserve">4. </w:t>
      </w:r>
      <w:r w:rsidRPr="006F58E9">
        <w:rPr>
          <w:rFonts w:ascii="Arial" w:hAnsi="Arial" w:cs="Arial"/>
          <w:sz w:val="24"/>
          <w:szCs w:val="24"/>
        </w:rPr>
        <w:t>Dans le cadre des formations, la CNCDH recommande d’adopter une dimension intersectionnelle</w:t>
      </w:r>
      <w:r w:rsidRPr="006F58E9">
        <w:rPr>
          <w:rStyle w:val="Appelnotedebasdep"/>
          <w:rFonts w:ascii="Arial" w:hAnsi="Arial" w:cs="Arial"/>
          <w:sz w:val="24"/>
          <w:szCs w:val="24"/>
        </w:rPr>
        <w:footnoteReference w:id="4"/>
      </w:r>
      <w:r w:rsidRPr="006F58E9">
        <w:rPr>
          <w:rFonts w:ascii="Arial" w:hAnsi="Arial" w:cs="Arial"/>
          <w:sz w:val="24"/>
          <w:szCs w:val="24"/>
        </w:rPr>
        <w:t xml:space="preserve"> prenant notamment en compte les femmes en situation de handicap, </w:t>
      </w:r>
      <w:r>
        <w:rPr>
          <w:rFonts w:ascii="Arial" w:hAnsi="Arial" w:cs="Arial"/>
          <w:sz w:val="24"/>
          <w:szCs w:val="24"/>
        </w:rPr>
        <w:t xml:space="preserve">les femmes issues de l’immigration, </w:t>
      </w:r>
      <w:r w:rsidRPr="006F58E9">
        <w:rPr>
          <w:rFonts w:ascii="Arial" w:hAnsi="Arial" w:cs="Arial"/>
          <w:sz w:val="24"/>
          <w:szCs w:val="24"/>
        </w:rPr>
        <w:t>les couples de personnes de même genre et les femmes trans aux formations</w:t>
      </w:r>
      <w:r>
        <w:rPr>
          <w:rFonts w:ascii="Arial" w:hAnsi="Arial" w:cs="Arial"/>
          <w:sz w:val="24"/>
          <w:szCs w:val="24"/>
        </w:rPr>
        <w:t xml:space="preserve"> en lien avec </w:t>
      </w:r>
      <w:r w:rsidRPr="006F58E9">
        <w:rPr>
          <w:rFonts w:ascii="Arial" w:hAnsi="Arial" w:cs="Arial"/>
          <w:sz w:val="24"/>
          <w:szCs w:val="24"/>
        </w:rPr>
        <w:t>l’égalité de genre</w:t>
      </w:r>
      <w:r>
        <w:rPr>
          <w:rFonts w:ascii="Arial" w:hAnsi="Arial" w:cs="Arial"/>
          <w:sz w:val="24"/>
          <w:szCs w:val="24"/>
        </w:rPr>
        <w:t xml:space="preserve"> et </w:t>
      </w:r>
      <w:r w:rsidRPr="006F58E9">
        <w:rPr>
          <w:rFonts w:ascii="Arial" w:hAnsi="Arial" w:cs="Arial"/>
          <w:sz w:val="24"/>
          <w:szCs w:val="24"/>
        </w:rPr>
        <w:t>la lutte contre les violences intrafamiliales et conjugale</w:t>
      </w:r>
      <w:r w:rsidRPr="006F58E9">
        <w:rPr>
          <w:rStyle w:val="Appelnotedebasdep"/>
          <w:rFonts w:ascii="Arial" w:hAnsi="Arial" w:cs="Arial"/>
          <w:sz w:val="24"/>
          <w:szCs w:val="24"/>
        </w:rPr>
        <w:footnoteReference w:id="5"/>
      </w:r>
      <w:r w:rsidRPr="006F58E9">
        <w:rPr>
          <w:rFonts w:ascii="Arial" w:hAnsi="Arial" w:cs="Arial"/>
          <w:sz w:val="24"/>
          <w:szCs w:val="24"/>
        </w:rPr>
        <w:t xml:space="preserve"> </w:t>
      </w:r>
    </w:p>
    <w:p w14:paraId="24FC45BA" w14:textId="77777777" w:rsidR="005F0C39" w:rsidRDefault="005F0C39" w:rsidP="00DB69F8">
      <w:pPr>
        <w:jc w:val="both"/>
        <w:rPr>
          <w:rFonts w:ascii="Arial" w:hAnsi="Arial" w:cs="Arial"/>
          <w:sz w:val="24"/>
          <w:szCs w:val="24"/>
        </w:rPr>
      </w:pPr>
    </w:p>
    <w:p w14:paraId="5E9F2859" w14:textId="616619E5" w:rsidR="00DB69F8" w:rsidRDefault="00DB69F8" w:rsidP="00DB69F8">
      <w:pPr>
        <w:jc w:val="both"/>
        <w:rPr>
          <w:rFonts w:ascii="Arial" w:hAnsi="Arial" w:cs="Arial"/>
          <w:sz w:val="24"/>
          <w:szCs w:val="24"/>
        </w:rPr>
      </w:pPr>
      <w:r>
        <w:rPr>
          <w:rFonts w:ascii="Arial" w:hAnsi="Arial" w:cs="Arial"/>
          <w:sz w:val="24"/>
          <w:szCs w:val="24"/>
        </w:rPr>
        <w:t xml:space="preserve">5. </w:t>
      </w:r>
      <w:r w:rsidRPr="006F58E9">
        <w:rPr>
          <w:rFonts w:ascii="Arial" w:hAnsi="Arial" w:cs="Arial"/>
          <w:sz w:val="24"/>
          <w:szCs w:val="24"/>
        </w:rPr>
        <w:t>Dans le domaine de la santé, les formations doivent se focaliser sur les dynamiques discriminatoires à l’œuvre tout au long des parcours de soins, et le fait que le respect des droits fondamentaux dans le champ de la santé ne se limite pas à la question des violences sexistes et sexuelle</w:t>
      </w:r>
      <w:r w:rsidRPr="006F58E9">
        <w:rPr>
          <w:rStyle w:val="Appelnotedebasdep"/>
          <w:rFonts w:ascii="Arial" w:hAnsi="Arial" w:cs="Arial"/>
          <w:sz w:val="24"/>
          <w:szCs w:val="24"/>
        </w:rPr>
        <w:footnoteReference w:id="6"/>
      </w:r>
      <w:r w:rsidRPr="006F58E9">
        <w:rPr>
          <w:rFonts w:ascii="Arial" w:hAnsi="Arial" w:cs="Arial"/>
          <w:sz w:val="24"/>
          <w:szCs w:val="24"/>
        </w:rPr>
        <w:t xml:space="preserve">. S’agissant plus spécifiquement </w:t>
      </w:r>
      <w:r>
        <w:rPr>
          <w:rFonts w:ascii="Arial" w:hAnsi="Arial" w:cs="Arial"/>
          <w:sz w:val="24"/>
          <w:szCs w:val="24"/>
        </w:rPr>
        <w:t xml:space="preserve">de </w:t>
      </w:r>
      <w:r w:rsidRPr="006F58E9">
        <w:rPr>
          <w:rFonts w:ascii="Arial" w:hAnsi="Arial" w:cs="Arial"/>
          <w:sz w:val="24"/>
          <w:szCs w:val="24"/>
        </w:rPr>
        <w:t xml:space="preserve">la ligne d'écoute nationale destinée aux femmes victimes de violences (le 3919), la </w:t>
      </w:r>
      <w:r>
        <w:rPr>
          <w:rFonts w:ascii="Arial" w:hAnsi="Arial" w:cs="Arial"/>
          <w:sz w:val="24"/>
          <w:szCs w:val="24"/>
        </w:rPr>
        <w:t xml:space="preserve">CNCDH </w:t>
      </w:r>
      <w:r w:rsidRPr="006F58E9">
        <w:rPr>
          <w:rFonts w:ascii="Arial" w:hAnsi="Arial" w:cs="Arial"/>
          <w:sz w:val="24"/>
          <w:szCs w:val="24"/>
        </w:rPr>
        <w:t xml:space="preserve">considère qu’il convient d’assurer la formation des professionnels de cette ligne et du chat associé, et de renforcer les moyens </w:t>
      </w:r>
      <w:r w:rsidRPr="006F58E9">
        <w:rPr>
          <w:rFonts w:ascii="Arial" w:hAnsi="Arial" w:cs="Arial"/>
          <w:sz w:val="24"/>
          <w:szCs w:val="24"/>
        </w:rPr>
        <w:lastRenderedPageBreak/>
        <w:t>alloués à ce dispositif bien connu, plutôt que de créer une plateforme distincte au risque de brouiller le message</w:t>
      </w:r>
      <w:r w:rsidRPr="006F58E9">
        <w:rPr>
          <w:rStyle w:val="Appelnotedebasdep"/>
          <w:rFonts w:ascii="Arial" w:hAnsi="Arial" w:cs="Arial"/>
          <w:sz w:val="24"/>
          <w:szCs w:val="24"/>
        </w:rPr>
        <w:footnoteReference w:id="7"/>
      </w:r>
      <w:r w:rsidRPr="006F58E9">
        <w:rPr>
          <w:rFonts w:ascii="Arial" w:hAnsi="Arial" w:cs="Arial"/>
          <w:sz w:val="24"/>
          <w:szCs w:val="24"/>
        </w:rPr>
        <w:t>.</w:t>
      </w:r>
    </w:p>
    <w:p w14:paraId="1C6F0AE1" w14:textId="77777777" w:rsidR="005F0C39" w:rsidRPr="006F58E9" w:rsidRDefault="005F0C39" w:rsidP="00DB69F8">
      <w:pPr>
        <w:jc w:val="both"/>
        <w:rPr>
          <w:rFonts w:ascii="Arial" w:hAnsi="Arial" w:cs="Arial"/>
          <w:sz w:val="24"/>
          <w:szCs w:val="24"/>
        </w:rPr>
      </w:pPr>
    </w:p>
    <w:p w14:paraId="1ADBB939" w14:textId="77777777" w:rsidR="00DB69F8" w:rsidRPr="006F58E9" w:rsidRDefault="00DB69F8" w:rsidP="00DB69F8">
      <w:pPr>
        <w:jc w:val="both"/>
        <w:rPr>
          <w:rFonts w:ascii="Arial" w:hAnsi="Arial" w:cs="Arial"/>
          <w:sz w:val="24"/>
          <w:szCs w:val="24"/>
        </w:rPr>
      </w:pPr>
      <w:r>
        <w:rPr>
          <w:rFonts w:ascii="Arial" w:hAnsi="Arial" w:cs="Arial"/>
          <w:sz w:val="24"/>
          <w:szCs w:val="24"/>
        </w:rPr>
        <w:t xml:space="preserve">6. </w:t>
      </w:r>
      <w:r w:rsidRPr="0017609F">
        <w:rPr>
          <w:rFonts w:ascii="Arial" w:hAnsi="Arial" w:cs="Arial"/>
          <w:sz w:val="24"/>
          <w:szCs w:val="24"/>
        </w:rPr>
        <w:t>S’agissant des formations dans le cadre de la Cour nationale du droit d’asile (CNDA), la CNCDH relève, dans son avis du 19 mars 2026, que les questions LGBTI+, semble</w:t>
      </w:r>
      <w:r>
        <w:rPr>
          <w:rFonts w:ascii="Arial" w:hAnsi="Arial" w:cs="Arial"/>
          <w:sz w:val="24"/>
          <w:szCs w:val="24"/>
        </w:rPr>
        <w:t>nt</w:t>
      </w:r>
      <w:r w:rsidRPr="0017609F">
        <w:rPr>
          <w:rFonts w:ascii="Arial" w:hAnsi="Arial" w:cs="Arial"/>
          <w:sz w:val="24"/>
          <w:szCs w:val="24"/>
        </w:rPr>
        <w:t xml:space="preserve"> être un angle mort, puisque ni les juges, ni les rapporteurs, ni les avocats ne bénéficient d’une formation institutionnalisée et obligatoire en la matière. En outre, elle rappelle les résultats d’une enquête menée par la Confédération générale des travailleurs (CGT)</w:t>
      </w:r>
      <w:r w:rsidRPr="0017609F">
        <w:rPr>
          <w:rStyle w:val="Appelnotedebasdep"/>
          <w:rFonts w:ascii="Arial" w:hAnsi="Arial" w:cs="Arial"/>
          <w:sz w:val="24"/>
          <w:szCs w:val="24"/>
        </w:rPr>
        <w:footnoteReference w:id="8"/>
      </w:r>
      <w:r w:rsidRPr="0017609F">
        <w:rPr>
          <w:rFonts w:ascii="Arial" w:hAnsi="Arial" w:cs="Arial"/>
          <w:sz w:val="24"/>
          <w:szCs w:val="24"/>
        </w:rPr>
        <w:t>, qui révèlent un cadre de travail empreint de stéréotypes sexistes et homophobes. La CNCDH exprime ainsi sa vive inquiétude quant aux conditions dans lesquelles se déroulent les audiences des femmes et des personnes LGBTI+ devant la CNDA.</w:t>
      </w:r>
    </w:p>
    <w:p w14:paraId="22E342F7" w14:textId="77777777" w:rsidR="005F0C39" w:rsidRDefault="005F0C39" w:rsidP="00DB69F8">
      <w:pPr>
        <w:jc w:val="both"/>
        <w:rPr>
          <w:rFonts w:ascii="Arial" w:hAnsi="Arial" w:cs="Arial"/>
          <w:sz w:val="24"/>
          <w:szCs w:val="24"/>
        </w:rPr>
      </w:pPr>
    </w:p>
    <w:p w14:paraId="7A5D7FD8" w14:textId="6B011082" w:rsidR="00DB69F8" w:rsidRPr="006F58E9" w:rsidRDefault="00DB69F8" w:rsidP="00DB69F8">
      <w:pPr>
        <w:jc w:val="both"/>
        <w:rPr>
          <w:rFonts w:ascii="Arial" w:hAnsi="Arial" w:cs="Arial"/>
          <w:sz w:val="24"/>
          <w:szCs w:val="24"/>
        </w:rPr>
      </w:pPr>
      <w:r>
        <w:rPr>
          <w:rFonts w:ascii="Arial" w:hAnsi="Arial" w:cs="Arial"/>
          <w:sz w:val="24"/>
          <w:szCs w:val="24"/>
        </w:rPr>
        <w:t xml:space="preserve">7. </w:t>
      </w:r>
      <w:r w:rsidRPr="006F58E9">
        <w:rPr>
          <w:rFonts w:ascii="Arial" w:hAnsi="Arial" w:cs="Arial"/>
          <w:sz w:val="24"/>
          <w:szCs w:val="24"/>
        </w:rPr>
        <w:t>Dans le domaine de l’enseignement, la CNCDH préconise également la sensibilisation systématique de l’ensemble des enseignants, tant en formation initiale que continue, aux biais implicites qui conduisent à la reproduction d’une société inégalitaire entre femmes et hommes. Par ailleurs, dans son avis du 19 mars 2026, la CNCDH rappelle que « </w:t>
      </w:r>
      <w:r w:rsidRPr="00881C93">
        <w:rPr>
          <w:rFonts w:ascii="Arial" w:hAnsi="Arial" w:cs="Arial"/>
          <w:i/>
          <w:iCs/>
          <w:sz w:val="24"/>
          <w:szCs w:val="24"/>
        </w:rPr>
        <w:t>le principe d’organiser pour les élèves des écoles élémentaires, des collèges et lycées trois séances par an consacrées à l’éducation à la vie affective, relationnelle et sexuelle (ÉVAR/ÉVARS) a été acté par la loi du 4 juillet 2001, qui inscrit cette exigence à l’article L. 312-16 du code de l’Éducation</w:t>
      </w:r>
      <w:r w:rsidRPr="006F58E9">
        <w:rPr>
          <w:rFonts w:ascii="Arial" w:hAnsi="Arial" w:cs="Arial"/>
          <w:sz w:val="24"/>
          <w:szCs w:val="24"/>
        </w:rPr>
        <w:t xml:space="preserve">. </w:t>
      </w:r>
      <w:r>
        <w:rPr>
          <w:rFonts w:ascii="Arial" w:hAnsi="Arial" w:cs="Arial"/>
          <w:sz w:val="24"/>
          <w:szCs w:val="24"/>
        </w:rPr>
        <w:t>[</w:t>
      </w:r>
      <w:r w:rsidRPr="006F58E9">
        <w:rPr>
          <w:rFonts w:ascii="Arial" w:hAnsi="Arial" w:cs="Arial"/>
          <w:sz w:val="24"/>
          <w:szCs w:val="24"/>
        </w:rPr>
        <w:t>…</w:t>
      </w:r>
      <w:r>
        <w:rPr>
          <w:rFonts w:ascii="Arial" w:hAnsi="Arial" w:cs="Arial"/>
          <w:sz w:val="24"/>
          <w:szCs w:val="24"/>
        </w:rPr>
        <w:t>]</w:t>
      </w:r>
      <w:r w:rsidRPr="006F58E9">
        <w:rPr>
          <w:rFonts w:ascii="Arial" w:hAnsi="Arial" w:cs="Arial"/>
          <w:sz w:val="24"/>
          <w:szCs w:val="24"/>
        </w:rPr>
        <w:t xml:space="preserve"> </w:t>
      </w:r>
      <w:r w:rsidRPr="00881C93">
        <w:rPr>
          <w:rFonts w:ascii="Arial" w:hAnsi="Arial" w:cs="Arial"/>
          <w:i/>
          <w:iCs/>
          <w:sz w:val="24"/>
          <w:szCs w:val="24"/>
        </w:rPr>
        <w:t>Depuis plus de deux décennies, les appels à mettre en œuvre les séances prévues se multiplient</w:t>
      </w:r>
      <w:r w:rsidRPr="00881C93">
        <w:rPr>
          <w:rFonts w:ascii="Arial" w:hAnsi="Arial" w:cs="Arial"/>
          <w:i/>
          <w:iCs/>
          <w:sz w:val="24"/>
          <w:szCs w:val="24"/>
          <w:vertAlign w:val="superscript"/>
        </w:rPr>
        <w:footnoteReference w:id="9"/>
      </w:r>
      <w:r w:rsidRPr="00881C93">
        <w:rPr>
          <w:rFonts w:ascii="Arial" w:hAnsi="Arial" w:cs="Arial"/>
          <w:i/>
          <w:iCs/>
          <w:sz w:val="24"/>
          <w:szCs w:val="24"/>
        </w:rPr>
        <w:t>. Plusieurs travaux de la CNCDH s’en sont également fait le relais : l’Avis sur la lutte contre les violences sexuelles de 2018, le rapport « Orientation sexuelle, identité de genre et intersexuation » de 2022, ou encore l’Avis sur la protection de l’intimité des jeunes en ligne de 2025 demandaient la mise en place d’une « politique publique</w:t>
      </w:r>
      <w:r w:rsidRPr="006F58E9">
        <w:rPr>
          <w:rFonts w:ascii="Arial" w:hAnsi="Arial" w:cs="Arial"/>
          <w:sz w:val="24"/>
          <w:szCs w:val="24"/>
        </w:rPr>
        <w:t xml:space="preserve"> […] </w:t>
      </w:r>
      <w:r w:rsidRPr="00881C93">
        <w:rPr>
          <w:rFonts w:ascii="Arial" w:hAnsi="Arial" w:cs="Arial"/>
          <w:i/>
          <w:iCs/>
          <w:sz w:val="24"/>
          <w:szCs w:val="24"/>
        </w:rPr>
        <w:t xml:space="preserve">afin de garantir l’effectivité de l’obligation légale des trois séances annuelles </w:t>
      </w:r>
      <w:r w:rsidRPr="006F58E9">
        <w:rPr>
          <w:rFonts w:ascii="Arial" w:hAnsi="Arial" w:cs="Arial"/>
          <w:sz w:val="24"/>
          <w:szCs w:val="24"/>
        </w:rPr>
        <w:t xml:space="preserve">» d’ÉVAR/ÉVARS. Ce dernier avis recommandait en outre « </w:t>
      </w:r>
      <w:r w:rsidRPr="00881C93">
        <w:rPr>
          <w:rFonts w:ascii="Arial" w:hAnsi="Arial" w:cs="Arial"/>
          <w:i/>
          <w:iCs/>
          <w:sz w:val="24"/>
          <w:szCs w:val="24"/>
        </w:rPr>
        <w:t>l’incrimination de toute entrave au droit des enfants de bénéficier des séances d’éducation à la vie affective, relationnelle et sexuelle</w:t>
      </w:r>
      <w:r w:rsidRPr="006F58E9">
        <w:rPr>
          <w:rFonts w:ascii="Arial" w:hAnsi="Arial" w:cs="Arial"/>
          <w:sz w:val="24"/>
          <w:szCs w:val="24"/>
        </w:rPr>
        <w:t xml:space="preserve"> ». Enfin, le 2 décembre 2025, l’État français a été condamné par le Tribunal administratif de Paris en raison de son </w:t>
      </w:r>
      <w:r>
        <w:rPr>
          <w:rFonts w:ascii="Arial" w:hAnsi="Arial" w:cs="Arial"/>
          <w:sz w:val="24"/>
          <w:szCs w:val="24"/>
        </w:rPr>
        <w:t>« </w:t>
      </w:r>
      <w:r w:rsidRPr="006F58E9">
        <w:rPr>
          <w:rFonts w:ascii="Arial" w:hAnsi="Arial" w:cs="Arial"/>
          <w:sz w:val="24"/>
          <w:szCs w:val="24"/>
        </w:rPr>
        <w:t xml:space="preserve">inaction en la matière. » </w:t>
      </w:r>
      <w:r>
        <w:rPr>
          <w:rFonts w:ascii="Arial" w:hAnsi="Arial" w:cs="Arial"/>
          <w:sz w:val="24"/>
          <w:szCs w:val="24"/>
        </w:rPr>
        <w:t>La CNCDH</w:t>
      </w:r>
      <w:r w:rsidRPr="006F58E9">
        <w:rPr>
          <w:rFonts w:ascii="Arial" w:hAnsi="Arial" w:cs="Arial"/>
          <w:sz w:val="24"/>
          <w:szCs w:val="24"/>
        </w:rPr>
        <w:t xml:space="preserve"> recommande que le prochain Plan d’actions pour l’égalité des droits des personnes LGBTI+ se saisisse du sujet et « </w:t>
      </w:r>
      <w:r w:rsidRPr="00881C93">
        <w:rPr>
          <w:rFonts w:ascii="Arial" w:hAnsi="Arial" w:cs="Arial"/>
          <w:i/>
          <w:iCs/>
          <w:sz w:val="24"/>
          <w:szCs w:val="24"/>
        </w:rPr>
        <w:t>articule la promotion et la protection des droits des personnes LGBTI+ avec l’apprentissage scolaire et l’ÉVAR/ÉVARS</w:t>
      </w:r>
      <w:r w:rsidRPr="006F58E9">
        <w:rPr>
          <w:rFonts w:ascii="Arial" w:hAnsi="Arial" w:cs="Arial"/>
          <w:sz w:val="24"/>
          <w:szCs w:val="24"/>
        </w:rPr>
        <w:t> »</w:t>
      </w:r>
      <w:r w:rsidRPr="00881C93">
        <w:rPr>
          <w:rFonts w:ascii="Arial" w:hAnsi="Arial" w:cs="Arial"/>
          <w:sz w:val="24"/>
          <w:szCs w:val="24"/>
          <w:vertAlign w:val="superscript"/>
        </w:rPr>
        <w:footnoteReference w:id="10"/>
      </w:r>
      <w:r w:rsidRPr="006F58E9">
        <w:rPr>
          <w:rFonts w:ascii="Arial" w:hAnsi="Arial" w:cs="Arial"/>
          <w:sz w:val="24"/>
          <w:szCs w:val="24"/>
        </w:rPr>
        <w:t>.</w:t>
      </w:r>
    </w:p>
    <w:p w14:paraId="48FDFE56" w14:textId="77777777" w:rsidR="005F0C39" w:rsidRDefault="005F0C39" w:rsidP="00DB69F8">
      <w:pPr>
        <w:jc w:val="both"/>
        <w:rPr>
          <w:rFonts w:ascii="Arial" w:hAnsi="Arial" w:cs="Arial"/>
          <w:sz w:val="24"/>
          <w:szCs w:val="24"/>
        </w:rPr>
      </w:pPr>
    </w:p>
    <w:p w14:paraId="6FFE6DE3" w14:textId="038CBB67" w:rsidR="00DB69F8" w:rsidRDefault="00DB69F8" w:rsidP="00DB69F8">
      <w:pPr>
        <w:jc w:val="both"/>
        <w:rPr>
          <w:rFonts w:ascii="Arial" w:hAnsi="Arial" w:cs="Arial"/>
          <w:sz w:val="24"/>
          <w:szCs w:val="24"/>
        </w:rPr>
      </w:pPr>
      <w:r>
        <w:rPr>
          <w:rFonts w:ascii="Arial" w:hAnsi="Arial" w:cs="Arial"/>
          <w:sz w:val="24"/>
          <w:szCs w:val="24"/>
        </w:rPr>
        <w:t xml:space="preserve">8. </w:t>
      </w:r>
      <w:r w:rsidRPr="006F58E9">
        <w:rPr>
          <w:rFonts w:ascii="Arial" w:hAnsi="Arial" w:cs="Arial"/>
          <w:sz w:val="24"/>
          <w:szCs w:val="24"/>
        </w:rPr>
        <w:t xml:space="preserve">La CNCDH s’inquiète également du contenu des séances, et insiste notamment sur l’importance d’y inclure les usages numériques. Enfin, elle est préoccupée par la mise en œuvre effective des séances. Au mois de janvier 2026, au cours de son audition dans le cadre de l’évaluation par la CNCDH du « Plan LGBT+ 2023-2026 », la Délégation interministérielle à la lutte contre le racisme, l’antisémitisme et la haine anti-LGBT+ (DILCRAH) a indiqué que 56% des écoliers, et 36% des lycéens avaient reçu une séance d’EVARS sur les trois requises par an. Ces chiffres, particulièrement faibles en ce qui concerne les lycéens, inquiète quant à la mise en œuvre effective de cette obligation légale, </w:t>
      </w:r>
      <w:r w:rsidRPr="006F58E9">
        <w:rPr>
          <w:rFonts w:ascii="Arial" w:hAnsi="Arial" w:cs="Arial"/>
          <w:sz w:val="24"/>
          <w:szCs w:val="24"/>
        </w:rPr>
        <w:lastRenderedPageBreak/>
        <w:t>alors même qu’elle peut fortement contribuer à la lutte contre les stéréotypes et les discriminations, ainsi qu’au respect de la diversité et à l’épanouissement individuel et collectif.</w:t>
      </w:r>
    </w:p>
    <w:p w14:paraId="51D3F436" w14:textId="77777777" w:rsidR="005F0C39" w:rsidRPr="006F58E9" w:rsidRDefault="005F0C39" w:rsidP="00DB69F8">
      <w:pPr>
        <w:jc w:val="both"/>
        <w:rPr>
          <w:rFonts w:ascii="Arial" w:hAnsi="Arial" w:cs="Arial"/>
          <w:sz w:val="24"/>
          <w:szCs w:val="24"/>
        </w:rPr>
      </w:pPr>
    </w:p>
    <w:bookmarkEnd w:id="0"/>
    <w:p w14:paraId="0ECA9760" w14:textId="77777777" w:rsidR="00DB69F8" w:rsidRDefault="00DB69F8" w:rsidP="00DB69F8">
      <w:pPr>
        <w:pStyle w:val="Titre1"/>
        <w:rPr>
          <w:rFonts w:ascii="Arial" w:hAnsi="Arial" w:cs="Arial"/>
          <w:b/>
          <w:bCs/>
          <w:sz w:val="24"/>
          <w:szCs w:val="24"/>
          <w:u w:val="single"/>
        </w:rPr>
      </w:pPr>
      <w:r w:rsidRPr="0018499D">
        <w:rPr>
          <w:rFonts w:ascii="Arial" w:hAnsi="Arial" w:cs="Arial"/>
          <w:b/>
          <w:bCs/>
          <w:sz w:val="24"/>
          <w:szCs w:val="24"/>
          <w:u w:val="single"/>
        </w:rPr>
        <w:t>Essais nucléaires (§ 38-f)</w:t>
      </w:r>
    </w:p>
    <w:p w14:paraId="0D1E05BC" w14:textId="77777777" w:rsidR="00DB69F8" w:rsidRPr="004471FF" w:rsidRDefault="00DB69F8" w:rsidP="00DB69F8"/>
    <w:p w14:paraId="53CEB831" w14:textId="77777777" w:rsidR="00DB69F8" w:rsidRDefault="00DB69F8" w:rsidP="00DB69F8">
      <w:pPr>
        <w:jc w:val="both"/>
        <w:rPr>
          <w:rFonts w:ascii="Arial" w:hAnsi="Arial" w:cs="Arial"/>
          <w:sz w:val="24"/>
          <w:szCs w:val="24"/>
        </w:rPr>
      </w:pPr>
      <w:r>
        <w:rPr>
          <w:rFonts w:ascii="Arial" w:hAnsi="Arial" w:cs="Arial"/>
          <w:sz w:val="24"/>
          <w:szCs w:val="24"/>
        </w:rPr>
        <w:t xml:space="preserve">9. L’année </w:t>
      </w:r>
      <w:r w:rsidRPr="002269EC">
        <w:rPr>
          <w:rFonts w:ascii="Arial" w:hAnsi="Arial" w:cs="Arial"/>
          <w:sz w:val="24"/>
          <w:szCs w:val="24"/>
        </w:rPr>
        <w:t>2026</w:t>
      </w:r>
      <w:r>
        <w:rPr>
          <w:rFonts w:ascii="Arial" w:hAnsi="Arial" w:cs="Arial"/>
          <w:sz w:val="24"/>
          <w:szCs w:val="24"/>
        </w:rPr>
        <w:t xml:space="preserve"> marque les</w:t>
      </w:r>
      <w:r w:rsidRPr="002269EC">
        <w:rPr>
          <w:rFonts w:ascii="Arial" w:hAnsi="Arial" w:cs="Arial"/>
          <w:sz w:val="24"/>
          <w:szCs w:val="24"/>
        </w:rPr>
        <w:t xml:space="preserve"> 30 ans </w:t>
      </w:r>
      <w:r>
        <w:rPr>
          <w:rFonts w:ascii="Arial" w:hAnsi="Arial" w:cs="Arial"/>
          <w:sz w:val="24"/>
          <w:szCs w:val="24"/>
        </w:rPr>
        <w:t>du</w:t>
      </w:r>
      <w:r w:rsidRPr="002269EC">
        <w:rPr>
          <w:rFonts w:ascii="Arial" w:hAnsi="Arial" w:cs="Arial"/>
          <w:sz w:val="24"/>
          <w:szCs w:val="24"/>
        </w:rPr>
        <w:t xml:space="preserve"> dernier essai nucléaire</w:t>
      </w:r>
      <w:r>
        <w:rPr>
          <w:rFonts w:ascii="Arial" w:hAnsi="Arial" w:cs="Arial"/>
          <w:sz w:val="24"/>
          <w:szCs w:val="24"/>
        </w:rPr>
        <w:t xml:space="preserve"> français en Polynésie</w:t>
      </w:r>
      <w:r w:rsidRPr="002269EC">
        <w:rPr>
          <w:rFonts w:ascii="Arial" w:hAnsi="Arial" w:cs="Arial"/>
          <w:sz w:val="24"/>
          <w:szCs w:val="24"/>
        </w:rPr>
        <w:t>.</w:t>
      </w:r>
      <w:r>
        <w:rPr>
          <w:rFonts w:ascii="Arial" w:hAnsi="Arial" w:cs="Arial"/>
          <w:sz w:val="24"/>
          <w:szCs w:val="24"/>
        </w:rPr>
        <w:t xml:space="preserve"> </w:t>
      </w:r>
      <w:r w:rsidRPr="006F58E9">
        <w:rPr>
          <w:rFonts w:ascii="Arial" w:hAnsi="Arial" w:cs="Arial"/>
          <w:sz w:val="24"/>
          <w:szCs w:val="24"/>
        </w:rPr>
        <w:t xml:space="preserve">A ce jour, les conséquences des essais nucléaires continuent d’avoir des effets sur la santé. Selon l’ONG norvégienne </w:t>
      </w:r>
      <w:proofErr w:type="spellStart"/>
      <w:r w:rsidRPr="006F58E9">
        <w:rPr>
          <w:rFonts w:ascii="Arial" w:hAnsi="Arial" w:cs="Arial"/>
          <w:sz w:val="24"/>
          <w:szCs w:val="24"/>
        </w:rPr>
        <w:t>Norwegian</w:t>
      </w:r>
      <w:proofErr w:type="spellEnd"/>
      <w:r w:rsidRPr="006F58E9">
        <w:rPr>
          <w:rFonts w:ascii="Arial" w:hAnsi="Arial" w:cs="Arial"/>
          <w:sz w:val="24"/>
          <w:szCs w:val="24"/>
        </w:rPr>
        <w:t xml:space="preserve"> </w:t>
      </w:r>
      <w:proofErr w:type="spellStart"/>
      <w:r w:rsidRPr="006F58E9">
        <w:rPr>
          <w:rFonts w:ascii="Arial" w:hAnsi="Arial" w:cs="Arial"/>
          <w:sz w:val="24"/>
          <w:szCs w:val="24"/>
        </w:rPr>
        <w:t>People’s</w:t>
      </w:r>
      <w:proofErr w:type="spellEnd"/>
      <w:r w:rsidRPr="006F58E9">
        <w:rPr>
          <w:rFonts w:ascii="Arial" w:hAnsi="Arial" w:cs="Arial"/>
          <w:sz w:val="24"/>
          <w:szCs w:val="24"/>
        </w:rPr>
        <w:t xml:space="preserve"> </w:t>
      </w:r>
      <w:proofErr w:type="spellStart"/>
      <w:r w:rsidRPr="006F58E9">
        <w:rPr>
          <w:rFonts w:ascii="Arial" w:hAnsi="Arial" w:cs="Arial"/>
          <w:sz w:val="24"/>
          <w:szCs w:val="24"/>
        </w:rPr>
        <w:t>Aid</w:t>
      </w:r>
      <w:proofErr w:type="spellEnd"/>
      <w:r w:rsidRPr="006F58E9">
        <w:rPr>
          <w:rFonts w:ascii="Arial" w:hAnsi="Arial" w:cs="Arial"/>
          <w:sz w:val="24"/>
          <w:szCs w:val="24"/>
        </w:rPr>
        <w:t xml:space="preserve"> les retombées des essais nucléaires effectuées </w:t>
      </w:r>
      <w:r>
        <w:rPr>
          <w:rFonts w:ascii="Arial" w:hAnsi="Arial" w:cs="Arial"/>
          <w:sz w:val="24"/>
          <w:szCs w:val="24"/>
        </w:rPr>
        <w:t xml:space="preserve">par l’ensemble des Etats </w:t>
      </w:r>
      <w:r w:rsidRPr="006F58E9">
        <w:rPr>
          <w:rFonts w:ascii="Arial" w:hAnsi="Arial" w:cs="Arial"/>
          <w:sz w:val="24"/>
          <w:szCs w:val="24"/>
        </w:rPr>
        <w:t>entre 1945 et 2017 provoquent des millions de décès dans le monde et continuent d’affecter durablement les populations concernées</w:t>
      </w:r>
      <w:r w:rsidRPr="006F58E9">
        <w:rPr>
          <w:rStyle w:val="Appelnotedebasdep"/>
          <w:rFonts w:ascii="Arial" w:hAnsi="Arial" w:cs="Arial"/>
          <w:sz w:val="24"/>
          <w:szCs w:val="24"/>
        </w:rPr>
        <w:footnoteReference w:id="11"/>
      </w:r>
      <w:r w:rsidRPr="006F58E9">
        <w:rPr>
          <w:rFonts w:ascii="Arial" w:hAnsi="Arial" w:cs="Arial"/>
          <w:sz w:val="24"/>
          <w:szCs w:val="24"/>
        </w:rPr>
        <w:t xml:space="preserve">. Alors que les conséquences des essais nucléaires </w:t>
      </w:r>
      <w:r w:rsidRPr="00C97EEE">
        <w:rPr>
          <w:rFonts w:ascii="Arial" w:hAnsi="Arial" w:cs="Arial"/>
          <w:sz w:val="24"/>
          <w:szCs w:val="24"/>
        </w:rPr>
        <w:t>touchent</w:t>
      </w:r>
      <w:r>
        <w:rPr>
          <w:rFonts w:ascii="Arial" w:hAnsi="Arial" w:cs="Arial"/>
          <w:sz w:val="24"/>
          <w:szCs w:val="24"/>
        </w:rPr>
        <w:t>, comme le souligne le t</w:t>
      </w:r>
      <w:r w:rsidRPr="00C97EEE">
        <w:rPr>
          <w:rFonts w:ascii="Arial" w:hAnsi="Arial" w:cs="Arial"/>
          <w:sz w:val="24"/>
          <w:szCs w:val="24"/>
        </w:rPr>
        <w:t>raité sur l'interdiction des armes nucléaires</w:t>
      </w:r>
      <w:r>
        <w:rPr>
          <w:rStyle w:val="Appelnotedebasdep"/>
          <w:rFonts w:ascii="Arial" w:hAnsi="Arial" w:cs="Arial"/>
          <w:sz w:val="24"/>
          <w:szCs w:val="24"/>
        </w:rPr>
        <w:footnoteReference w:id="12"/>
      </w:r>
      <w:r>
        <w:rPr>
          <w:rFonts w:ascii="Arial" w:hAnsi="Arial" w:cs="Arial"/>
          <w:sz w:val="24"/>
          <w:szCs w:val="24"/>
        </w:rPr>
        <w:t>,</w:t>
      </w:r>
      <w:r w:rsidRPr="00C97EEE">
        <w:rPr>
          <w:rFonts w:ascii="Arial" w:hAnsi="Arial" w:cs="Arial"/>
          <w:sz w:val="24"/>
          <w:szCs w:val="24"/>
        </w:rPr>
        <w:t xml:space="preserve"> de manière disproportionnée les femmes et les filles</w:t>
      </w:r>
      <w:r w:rsidRPr="006F58E9">
        <w:rPr>
          <w:rFonts w:ascii="Arial" w:hAnsi="Arial" w:cs="Arial"/>
          <w:sz w:val="24"/>
          <w:szCs w:val="24"/>
        </w:rPr>
        <w:t xml:space="preserve">, il n’existe </w:t>
      </w:r>
      <w:r>
        <w:rPr>
          <w:rFonts w:ascii="Arial" w:hAnsi="Arial" w:cs="Arial"/>
          <w:sz w:val="24"/>
          <w:szCs w:val="24"/>
        </w:rPr>
        <w:t xml:space="preserve">toujours </w:t>
      </w:r>
      <w:r w:rsidRPr="006F58E9">
        <w:rPr>
          <w:rFonts w:ascii="Arial" w:hAnsi="Arial" w:cs="Arial"/>
          <w:sz w:val="24"/>
          <w:szCs w:val="24"/>
        </w:rPr>
        <w:t xml:space="preserve">pas en France d’études genrées sur </w:t>
      </w:r>
      <w:r>
        <w:rPr>
          <w:rFonts w:ascii="Arial" w:hAnsi="Arial" w:cs="Arial"/>
          <w:sz w:val="24"/>
          <w:szCs w:val="24"/>
        </w:rPr>
        <w:t>de telles</w:t>
      </w:r>
      <w:r w:rsidRPr="006F58E9">
        <w:rPr>
          <w:rFonts w:ascii="Arial" w:hAnsi="Arial" w:cs="Arial"/>
          <w:sz w:val="24"/>
          <w:szCs w:val="24"/>
        </w:rPr>
        <w:t xml:space="preserve"> conséquences</w:t>
      </w:r>
      <w:r>
        <w:rPr>
          <w:rFonts w:ascii="Arial" w:hAnsi="Arial" w:cs="Arial"/>
          <w:sz w:val="24"/>
          <w:szCs w:val="24"/>
        </w:rPr>
        <w:t>.</w:t>
      </w:r>
    </w:p>
    <w:p w14:paraId="6259FB58" w14:textId="77777777" w:rsidR="005F0C39" w:rsidRDefault="005F0C39" w:rsidP="00DB69F8">
      <w:pPr>
        <w:jc w:val="both"/>
        <w:rPr>
          <w:rFonts w:ascii="Arial" w:hAnsi="Arial" w:cs="Arial"/>
          <w:sz w:val="24"/>
          <w:szCs w:val="24"/>
        </w:rPr>
      </w:pPr>
    </w:p>
    <w:p w14:paraId="3C7D00CC" w14:textId="3DA0F168" w:rsidR="00DB69F8" w:rsidRPr="0017609F" w:rsidRDefault="00DB69F8" w:rsidP="00DB69F8">
      <w:pPr>
        <w:jc w:val="both"/>
        <w:rPr>
          <w:rFonts w:ascii="Arial" w:hAnsi="Arial" w:cs="Arial"/>
          <w:sz w:val="24"/>
          <w:szCs w:val="24"/>
        </w:rPr>
      </w:pPr>
      <w:r>
        <w:rPr>
          <w:rFonts w:ascii="Arial" w:hAnsi="Arial" w:cs="Arial"/>
          <w:sz w:val="24"/>
          <w:szCs w:val="24"/>
        </w:rPr>
        <w:t xml:space="preserve">10. </w:t>
      </w:r>
      <w:r w:rsidRPr="0017609F">
        <w:rPr>
          <w:rFonts w:ascii="Arial" w:hAnsi="Arial" w:cs="Arial"/>
          <w:sz w:val="24"/>
          <w:szCs w:val="24"/>
        </w:rPr>
        <w:t xml:space="preserve">En effet, les études genrées menées dans le cadre d’incidents et d’essais nucléaires démontrent que les femmes ont jusqu’à 50% de plus de risques que les hommes de faire face </w:t>
      </w:r>
      <w:r>
        <w:rPr>
          <w:rFonts w:ascii="Arial" w:hAnsi="Arial" w:cs="Arial"/>
          <w:sz w:val="24"/>
          <w:szCs w:val="24"/>
        </w:rPr>
        <w:t>à</w:t>
      </w:r>
      <w:r w:rsidRPr="0017609F">
        <w:rPr>
          <w:rFonts w:ascii="Arial" w:hAnsi="Arial" w:cs="Arial"/>
          <w:sz w:val="24"/>
          <w:szCs w:val="24"/>
        </w:rPr>
        <w:t xml:space="preserve"> un cancer ou de décéder avec les mêmes doses de radiation, qu’elles sont en outre globalement plus touchées par les conséquences de radiation (cancer de la thyroïde, infertilité</w:t>
      </w:r>
      <w:r>
        <w:rPr>
          <w:rFonts w:ascii="Arial" w:hAnsi="Arial" w:cs="Arial"/>
          <w:sz w:val="24"/>
          <w:szCs w:val="24"/>
        </w:rPr>
        <w:t>,</w:t>
      </w:r>
      <w:r w:rsidRPr="0017609F">
        <w:rPr>
          <w:rFonts w:ascii="Arial" w:hAnsi="Arial" w:cs="Arial"/>
          <w:sz w:val="24"/>
          <w:szCs w:val="24"/>
        </w:rPr>
        <w:t xml:space="preserve"> etc.)</w:t>
      </w:r>
      <w:r>
        <w:rPr>
          <w:rStyle w:val="Appelnotedebasdep"/>
          <w:rFonts w:ascii="Arial" w:hAnsi="Arial" w:cs="Arial"/>
          <w:sz w:val="24"/>
          <w:szCs w:val="24"/>
        </w:rPr>
        <w:footnoteReference w:id="13"/>
      </w:r>
      <w:r w:rsidRPr="0017609F">
        <w:rPr>
          <w:rFonts w:ascii="Arial" w:hAnsi="Arial" w:cs="Arial"/>
          <w:sz w:val="24"/>
          <w:szCs w:val="24"/>
        </w:rPr>
        <w:t xml:space="preserve">. Ces études soulignent par ailleurs que les femmes ont été ignorées dans les analyses réglementaires, cela a entraîné une sous-déclaration systématique des effets nocifs de l’exposition aux rayonnements ionisants dans la population mondiale. La CNCDH réaffirme l’importance d’établir des études marquées par des critères </w:t>
      </w:r>
      <w:r>
        <w:rPr>
          <w:rFonts w:ascii="Arial" w:hAnsi="Arial" w:cs="Arial"/>
          <w:sz w:val="24"/>
          <w:szCs w:val="24"/>
        </w:rPr>
        <w:t>(</w:t>
      </w:r>
      <w:r w:rsidRPr="0017609F">
        <w:rPr>
          <w:rFonts w:ascii="Arial" w:hAnsi="Arial" w:cs="Arial"/>
          <w:sz w:val="24"/>
          <w:szCs w:val="24"/>
        </w:rPr>
        <w:t>sexe/genre</w:t>
      </w:r>
      <w:r>
        <w:rPr>
          <w:rFonts w:ascii="Arial" w:hAnsi="Arial" w:cs="Arial"/>
          <w:sz w:val="24"/>
          <w:szCs w:val="24"/>
        </w:rPr>
        <w:t>)</w:t>
      </w:r>
      <w:r w:rsidRPr="0017609F">
        <w:rPr>
          <w:rFonts w:ascii="Arial" w:hAnsi="Arial" w:cs="Arial"/>
          <w:sz w:val="24"/>
          <w:szCs w:val="24"/>
        </w:rPr>
        <w:t xml:space="preserve"> dans l’appréciation des conséquences sanitaires des essais nucléaires. </w:t>
      </w:r>
    </w:p>
    <w:p w14:paraId="40F14093" w14:textId="77777777" w:rsidR="005F0C39" w:rsidRDefault="005F0C39" w:rsidP="00DB69F8">
      <w:pPr>
        <w:jc w:val="both"/>
        <w:rPr>
          <w:rFonts w:ascii="Arial" w:hAnsi="Arial" w:cs="Arial"/>
          <w:sz w:val="24"/>
          <w:szCs w:val="24"/>
        </w:rPr>
      </w:pPr>
    </w:p>
    <w:p w14:paraId="22947983" w14:textId="310C53A2" w:rsidR="00DB69F8" w:rsidRPr="006F58E9" w:rsidRDefault="00DB69F8" w:rsidP="00DB69F8">
      <w:pPr>
        <w:jc w:val="both"/>
        <w:rPr>
          <w:rFonts w:ascii="Arial" w:hAnsi="Arial" w:cs="Arial"/>
          <w:sz w:val="24"/>
          <w:szCs w:val="24"/>
        </w:rPr>
      </w:pPr>
      <w:r>
        <w:rPr>
          <w:rFonts w:ascii="Arial" w:hAnsi="Arial" w:cs="Arial"/>
          <w:sz w:val="24"/>
          <w:szCs w:val="24"/>
        </w:rPr>
        <w:t xml:space="preserve">11. </w:t>
      </w:r>
      <w:r w:rsidRPr="006F58E9">
        <w:rPr>
          <w:rFonts w:ascii="Arial" w:hAnsi="Arial" w:cs="Arial"/>
          <w:sz w:val="24"/>
          <w:szCs w:val="24"/>
        </w:rPr>
        <w:t xml:space="preserve">Malgré la mise en place de mesures concrètes, plusieurs rapports, travaux universitaires et enquêtes ont critiqué le caractère toujours insuffisant du dispositif d’indemnisation des victimes des essais nucléaires en Polynésie française, notamment au regard des critères de recevabilité et de la sous-évaluation alléguée des niveaux d’exposition aux radiations. </w:t>
      </w:r>
    </w:p>
    <w:p w14:paraId="7B21383B" w14:textId="77777777" w:rsidR="005F0C39" w:rsidRDefault="005F0C39" w:rsidP="00DB69F8">
      <w:pPr>
        <w:jc w:val="both"/>
        <w:rPr>
          <w:rFonts w:ascii="Arial" w:hAnsi="Arial" w:cs="Arial"/>
          <w:sz w:val="24"/>
          <w:szCs w:val="24"/>
        </w:rPr>
      </w:pPr>
    </w:p>
    <w:p w14:paraId="3506638B" w14:textId="02470F43" w:rsidR="00DB69F8" w:rsidRPr="006F58E9" w:rsidRDefault="00DB69F8" w:rsidP="00DB69F8">
      <w:pPr>
        <w:jc w:val="both"/>
        <w:rPr>
          <w:rFonts w:ascii="Arial" w:hAnsi="Arial" w:cs="Arial"/>
          <w:sz w:val="24"/>
          <w:szCs w:val="24"/>
        </w:rPr>
      </w:pPr>
      <w:r>
        <w:rPr>
          <w:rFonts w:ascii="Arial" w:hAnsi="Arial" w:cs="Arial"/>
          <w:sz w:val="24"/>
          <w:szCs w:val="24"/>
        </w:rPr>
        <w:t xml:space="preserve">12. </w:t>
      </w:r>
      <w:r w:rsidRPr="006F58E9">
        <w:rPr>
          <w:rFonts w:ascii="Arial" w:hAnsi="Arial" w:cs="Arial"/>
          <w:sz w:val="24"/>
          <w:szCs w:val="24"/>
        </w:rPr>
        <w:t>Une commission d’enquête de l’Assemblée nationale sur les essais nucléaires français dans le Pacifique a publié un rapport le 17 juin 2025</w:t>
      </w:r>
      <w:r w:rsidRPr="006F58E9">
        <w:rPr>
          <w:rStyle w:val="Appelnotedebasdep"/>
          <w:rFonts w:ascii="Arial" w:hAnsi="Arial" w:cs="Arial"/>
          <w:sz w:val="24"/>
          <w:szCs w:val="24"/>
        </w:rPr>
        <w:footnoteReference w:id="14"/>
      </w:r>
      <w:r w:rsidRPr="006F58E9">
        <w:rPr>
          <w:rFonts w:ascii="Arial" w:hAnsi="Arial" w:cs="Arial"/>
          <w:sz w:val="24"/>
          <w:szCs w:val="24"/>
        </w:rPr>
        <w:t xml:space="preserve">. Ce rapport recense les progrès accomplis et identifie les aspects à améliorer en proposant plusieurs recommandations dont l’inscription dans la loi organique n° 2004-192 du 27 février 2004 portant statut d’autonomie de la Polynésie française </w:t>
      </w:r>
      <w:r w:rsidRPr="006F58E9">
        <w:rPr>
          <w:rFonts w:ascii="Arial" w:hAnsi="Arial" w:cs="Arial"/>
          <w:i/>
          <w:iCs/>
          <w:sz w:val="24"/>
          <w:szCs w:val="24"/>
        </w:rPr>
        <w:t>« une demande de pardon sincère et sans repentance de la Nation à l’égard de la Polynésie française pour y avoir effectué 193 essais nucléaires dans les conditions qui furent les leurs</w:t>
      </w:r>
      <w:r w:rsidRPr="006F58E9">
        <w:rPr>
          <w:rFonts w:ascii="Arial" w:hAnsi="Arial" w:cs="Arial"/>
          <w:sz w:val="24"/>
          <w:szCs w:val="24"/>
        </w:rPr>
        <w:t xml:space="preserve"> ». S’agissant des mesures d’indemnisation, le dédommagement des victimes demeure restrictif. A cet égard, la commission propose </w:t>
      </w:r>
      <w:r w:rsidRPr="006F58E9">
        <w:rPr>
          <w:rFonts w:ascii="Arial" w:hAnsi="Arial" w:cs="Arial"/>
          <w:i/>
          <w:iCs/>
          <w:sz w:val="24"/>
          <w:szCs w:val="24"/>
        </w:rPr>
        <w:t>« de refonder</w:t>
      </w:r>
      <w:r w:rsidRPr="006F58E9">
        <w:rPr>
          <w:rFonts w:ascii="Arial" w:hAnsi="Arial" w:cs="Arial"/>
          <w:sz w:val="24"/>
          <w:szCs w:val="24"/>
        </w:rPr>
        <w:t xml:space="preserve"> [le cadre juridique] </w:t>
      </w:r>
      <w:r w:rsidRPr="006F58E9">
        <w:rPr>
          <w:rFonts w:ascii="Arial" w:hAnsi="Arial" w:cs="Arial"/>
          <w:i/>
          <w:iCs/>
          <w:sz w:val="24"/>
          <w:szCs w:val="24"/>
        </w:rPr>
        <w:t>pour indemniser effectivement les victimes des conséquences nucléaires </w:t>
      </w:r>
      <w:r w:rsidRPr="006F58E9">
        <w:rPr>
          <w:rFonts w:ascii="Arial" w:hAnsi="Arial" w:cs="Arial"/>
          <w:sz w:val="24"/>
          <w:szCs w:val="24"/>
        </w:rPr>
        <w:t>».</w:t>
      </w:r>
    </w:p>
    <w:p w14:paraId="2A183827" w14:textId="77777777" w:rsidR="005F0C39" w:rsidRDefault="005F0C39" w:rsidP="00DB69F8">
      <w:pPr>
        <w:jc w:val="both"/>
        <w:rPr>
          <w:rFonts w:ascii="Arial" w:hAnsi="Arial" w:cs="Arial"/>
          <w:sz w:val="24"/>
          <w:szCs w:val="24"/>
        </w:rPr>
      </w:pPr>
    </w:p>
    <w:p w14:paraId="512593E0" w14:textId="447726CC" w:rsidR="00DB69F8" w:rsidRDefault="00DB69F8" w:rsidP="00DB69F8">
      <w:pPr>
        <w:jc w:val="both"/>
        <w:rPr>
          <w:rFonts w:ascii="Arial" w:hAnsi="Arial" w:cs="Arial"/>
          <w:sz w:val="24"/>
          <w:szCs w:val="24"/>
        </w:rPr>
      </w:pPr>
      <w:r>
        <w:rPr>
          <w:rFonts w:ascii="Arial" w:hAnsi="Arial" w:cs="Arial"/>
          <w:sz w:val="24"/>
          <w:szCs w:val="24"/>
        </w:rPr>
        <w:t xml:space="preserve">13. </w:t>
      </w:r>
      <w:r w:rsidRPr="006F58E9">
        <w:rPr>
          <w:rFonts w:ascii="Arial" w:hAnsi="Arial" w:cs="Arial"/>
          <w:sz w:val="24"/>
          <w:szCs w:val="24"/>
        </w:rPr>
        <w:t>Une proposition de loi visant à reconnaître les victimes de l'exposition aux essais nucléaires français et à améliorer leur indemnisation a été déposée le 2 décembre 2025</w:t>
      </w:r>
      <w:r w:rsidRPr="006F58E9">
        <w:rPr>
          <w:rStyle w:val="Appelnotedebasdep"/>
          <w:rFonts w:ascii="Arial" w:hAnsi="Arial" w:cs="Arial"/>
          <w:sz w:val="24"/>
          <w:szCs w:val="24"/>
        </w:rPr>
        <w:footnoteReference w:id="15"/>
      </w:r>
      <w:r w:rsidRPr="006F58E9">
        <w:rPr>
          <w:rFonts w:ascii="Arial" w:hAnsi="Arial" w:cs="Arial"/>
          <w:sz w:val="24"/>
          <w:szCs w:val="24"/>
        </w:rPr>
        <w:t xml:space="preserve">. </w:t>
      </w:r>
      <w:r w:rsidRPr="006F58E9">
        <w:rPr>
          <w:rFonts w:ascii="Arial" w:hAnsi="Arial" w:cs="Arial"/>
          <w:sz w:val="24"/>
          <w:szCs w:val="24"/>
        </w:rPr>
        <w:lastRenderedPageBreak/>
        <w:t>Ce texte prévoit plusieurs mesures visant à assouplir les critères d’indemnisation notamment l’allongement des délais de prescriptions, la possibilité de réparations collective et surtout la suppression la possibilité de renverser la présomption de causalité sur le fondement d’une exposition estimée inférieure à 1 millisievert (mSv) par an. </w:t>
      </w:r>
    </w:p>
    <w:p w14:paraId="6A55864A" w14:textId="77777777" w:rsidR="005F0C39" w:rsidRPr="006F58E9" w:rsidRDefault="005F0C39" w:rsidP="00DB69F8">
      <w:pPr>
        <w:jc w:val="both"/>
        <w:rPr>
          <w:rFonts w:ascii="Arial" w:hAnsi="Arial" w:cs="Arial"/>
          <w:sz w:val="24"/>
          <w:szCs w:val="24"/>
        </w:rPr>
      </w:pPr>
    </w:p>
    <w:p w14:paraId="29A6E40C" w14:textId="77777777" w:rsidR="00DB69F8" w:rsidRDefault="00DB69F8" w:rsidP="00DB69F8">
      <w:pPr>
        <w:pStyle w:val="Titre1"/>
        <w:rPr>
          <w:rFonts w:ascii="Arial" w:hAnsi="Arial" w:cs="Arial"/>
          <w:b/>
          <w:bCs/>
          <w:sz w:val="24"/>
          <w:szCs w:val="24"/>
          <w:u w:val="single"/>
        </w:rPr>
      </w:pPr>
      <w:r w:rsidRPr="0018499D">
        <w:rPr>
          <w:rFonts w:ascii="Arial" w:hAnsi="Arial" w:cs="Arial"/>
          <w:b/>
          <w:bCs/>
          <w:sz w:val="24"/>
          <w:szCs w:val="24"/>
          <w:u w:val="single"/>
        </w:rPr>
        <w:t>Modification définition du viol (§22-c)</w:t>
      </w:r>
    </w:p>
    <w:p w14:paraId="02877AE0" w14:textId="77777777" w:rsidR="00DB69F8" w:rsidRDefault="00DB69F8" w:rsidP="00DB69F8"/>
    <w:p w14:paraId="2281A70A" w14:textId="77777777" w:rsidR="00DB69F8" w:rsidRPr="009F086A" w:rsidRDefault="00DB69F8" w:rsidP="00DB69F8">
      <w:pPr>
        <w:spacing w:after="200" w:line="276" w:lineRule="auto"/>
        <w:jc w:val="both"/>
        <w:rPr>
          <w:rFonts w:ascii="Arial" w:hAnsi="Arial" w:cs="Arial"/>
          <w:sz w:val="24"/>
          <w:szCs w:val="24"/>
        </w:rPr>
      </w:pPr>
      <w:r>
        <w:rPr>
          <w:rFonts w:ascii="Arial" w:hAnsi="Arial" w:cs="Arial"/>
          <w:sz w:val="24"/>
          <w:szCs w:val="24"/>
        </w:rPr>
        <w:t xml:space="preserve">14. </w:t>
      </w:r>
      <w:r w:rsidRPr="009F086A">
        <w:rPr>
          <w:rFonts w:ascii="Arial" w:hAnsi="Arial" w:cs="Arial"/>
          <w:sz w:val="24"/>
          <w:szCs w:val="24"/>
        </w:rPr>
        <w:t>La CNCDH souligne depuis longtemps la faillite du traitement judiciaire des violences sexuelles en France. Déjà en 2018</w:t>
      </w:r>
      <w:r w:rsidRPr="009F086A">
        <w:rPr>
          <w:rStyle w:val="Appelnotedebasdep"/>
          <w:rFonts w:ascii="Arial" w:hAnsi="Arial" w:cs="Arial"/>
          <w:sz w:val="24"/>
          <w:szCs w:val="24"/>
        </w:rPr>
        <w:footnoteReference w:id="16"/>
      </w:r>
      <w:r w:rsidRPr="009F086A">
        <w:rPr>
          <w:rFonts w:ascii="Arial" w:hAnsi="Arial" w:cs="Arial"/>
          <w:sz w:val="24"/>
          <w:szCs w:val="24"/>
        </w:rPr>
        <w:t>, elle recommandait une modification de la définition pénale du viol pour qu’elle s’articule autour de la notion de consentement ; puis en 2025, dans une déclaration sur la proposition de loi « visant à modifier la définition pénale du viol et des agressions sexuelles »</w:t>
      </w:r>
      <w:r w:rsidRPr="009F086A">
        <w:rPr>
          <w:rStyle w:val="Appelnotedebasdep"/>
          <w:rFonts w:ascii="Arial" w:hAnsi="Arial" w:cs="Arial"/>
          <w:sz w:val="24"/>
          <w:szCs w:val="24"/>
        </w:rPr>
        <w:t xml:space="preserve"> </w:t>
      </w:r>
      <w:r w:rsidRPr="009F086A">
        <w:rPr>
          <w:rStyle w:val="Appelnotedebasdep"/>
          <w:rFonts w:ascii="Arial" w:hAnsi="Arial" w:cs="Arial"/>
          <w:sz w:val="24"/>
          <w:szCs w:val="24"/>
        </w:rPr>
        <w:footnoteReference w:id="17"/>
      </w:r>
      <w:r w:rsidRPr="009F086A">
        <w:rPr>
          <w:rFonts w:ascii="Arial" w:hAnsi="Arial" w:cs="Arial"/>
          <w:sz w:val="24"/>
          <w:szCs w:val="24"/>
        </w:rPr>
        <w:t>, elle appelait de nouveau à intégrer cette notion dans le code pénal, afin de rendre la définition française conforme aux obligations internationales de la France et aux droits fondamentaux. Elle a donc salué l’adoption de la loi du 6 novembre 2025</w:t>
      </w:r>
      <w:r w:rsidRPr="009F086A">
        <w:rPr>
          <w:rStyle w:val="Appelnotedebasdep"/>
          <w:rFonts w:ascii="Arial" w:hAnsi="Arial" w:cs="Arial"/>
          <w:sz w:val="24"/>
          <w:szCs w:val="24"/>
        </w:rPr>
        <w:footnoteReference w:id="18"/>
      </w:r>
      <w:r w:rsidRPr="009F086A">
        <w:rPr>
          <w:rFonts w:ascii="Arial" w:hAnsi="Arial" w:cs="Arial"/>
          <w:sz w:val="24"/>
          <w:szCs w:val="24"/>
        </w:rPr>
        <w:t xml:space="preserve">, qui a intégré le consentement dans le code pénal. </w:t>
      </w:r>
    </w:p>
    <w:p w14:paraId="62F1DEEF" w14:textId="6A57F601" w:rsidR="005F0C39" w:rsidRDefault="00DB69F8" w:rsidP="00DB69F8">
      <w:pPr>
        <w:spacing w:after="200" w:line="276" w:lineRule="auto"/>
        <w:jc w:val="both"/>
        <w:rPr>
          <w:rFonts w:ascii="Arial" w:hAnsi="Arial" w:cs="Arial"/>
          <w:sz w:val="24"/>
          <w:szCs w:val="24"/>
        </w:rPr>
      </w:pPr>
      <w:r>
        <w:rPr>
          <w:rFonts w:ascii="Arial" w:hAnsi="Arial" w:cs="Arial"/>
          <w:sz w:val="24"/>
          <w:szCs w:val="24"/>
        </w:rPr>
        <w:t xml:space="preserve">15. </w:t>
      </w:r>
      <w:r w:rsidRPr="009F086A">
        <w:rPr>
          <w:rFonts w:ascii="Arial" w:hAnsi="Arial" w:cs="Arial"/>
          <w:sz w:val="24"/>
          <w:szCs w:val="24"/>
        </w:rPr>
        <w:t>Toutefois, s’il est encore trop tôt pour évaluer l’impact de la loi du 6 novembre 2025, la CNCDH estime que ce changement législatif n’est pas suffisant pour faire reculer les violences sexuelles et améliorer la réponse pénale qui n’est pas à la hauteur : le nombre d’affaires de violences conjugales et sexuelles, dont 84% sont commises envers les femmes, continue d’augmenter, avec des délais d’audiencement allant jusqu’à 6 ou 8 ans après le dépôt de plainte</w:t>
      </w:r>
      <w:r w:rsidRPr="009F086A">
        <w:rPr>
          <w:rStyle w:val="Appelnotedebasdep"/>
          <w:rFonts w:ascii="Arial" w:hAnsi="Arial" w:cs="Arial"/>
          <w:sz w:val="24"/>
          <w:szCs w:val="24"/>
        </w:rPr>
        <w:footnoteReference w:id="19"/>
      </w:r>
      <w:r w:rsidRPr="009F086A">
        <w:rPr>
          <w:rFonts w:ascii="Arial" w:hAnsi="Arial" w:cs="Arial"/>
          <w:sz w:val="24"/>
          <w:szCs w:val="24"/>
        </w:rPr>
        <w:t>. Le taux de dépôts de plainte demeure extrêmement faible et celui des classements sans suite très élevé </w:t>
      </w:r>
      <w:r w:rsidRPr="009F086A">
        <w:rPr>
          <w:rStyle w:val="Appelnotedebasdep"/>
          <w:rFonts w:ascii="Arial" w:hAnsi="Arial" w:cs="Arial"/>
          <w:sz w:val="24"/>
          <w:szCs w:val="24"/>
        </w:rPr>
        <w:footnoteReference w:id="20"/>
      </w:r>
      <w:r w:rsidRPr="009F086A">
        <w:rPr>
          <w:rFonts w:ascii="Arial" w:hAnsi="Arial" w:cs="Arial"/>
          <w:sz w:val="24"/>
          <w:szCs w:val="24"/>
        </w:rPr>
        <w:t>. Si les réformes récentes ou en cours tentent d’y apporter une réponse</w:t>
      </w:r>
      <w:r w:rsidR="005F0C39">
        <w:rPr>
          <w:rStyle w:val="Appelnotedebasdep"/>
          <w:rFonts w:cs="Arial"/>
          <w:szCs w:val="24"/>
        </w:rPr>
        <w:footnoteReference w:id="21"/>
      </w:r>
      <w:r w:rsidRPr="009F086A">
        <w:rPr>
          <w:rFonts w:ascii="Arial" w:hAnsi="Arial" w:cs="Arial"/>
          <w:sz w:val="24"/>
          <w:szCs w:val="24"/>
        </w:rPr>
        <w:t>, il est nécessaire d’inscrire toute réforme dans une politique pénale cohérente et ambitieuse pour que ce crime soit traité à la hauteur de sa gravité. En ce sens, la CNCDH appelle à l’adoption et la diffusion d’une circulaire de politique pénale propre à renforcer le travail policier et judiciaire autour de la plainte elle-même, de l’écoute de la victime, du recueil des éléments de preuve, suivant la technique du faisceau d’indices et de l’appréhension par les enquêteurs et les magistrats des circonstances environnantes. Elle appelle également à une réflexion sur la création d’une loi intégrale, qui concilierait éducation, prévention, moyens humains et financiers, lutte contre la culture du viol, protection des enfants ainsi que formation des professionnels.</w:t>
      </w:r>
    </w:p>
    <w:p w14:paraId="29778C8E" w14:textId="5B1C0D47" w:rsidR="00DB69F8" w:rsidRPr="009F086A" w:rsidRDefault="005F0C39" w:rsidP="005F0C39">
      <w:pPr>
        <w:suppressAutoHyphens w:val="0"/>
        <w:kinsoku/>
        <w:overflowPunct/>
        <w:autoSpaceDE/>
        <w:autoSpaceDN/>
        <w:adjustRightInd/>
        <w:snapToGrid/>
        <w:spacing w:after="200" w:line="276" w:lineRule="auto"/>
        <w:rPr>
          <w:rFonts w:ascii="Arial" w:hAnsi="Arial" w:cs="Arial"/>
          <w:sz w:val="24"/>
          <w:szCs w:val="24"/>
        </w:rPr>
      </w:pPr>
      <w:r>
        <w:rPr>
          <w:rFonts w:ascii="Arial" w:hAnsi="Arial" w:cs="Arial"/>
          <w:sz w:val="24"/>
          <w:szCs w:val="24"/>
        </w:rPr>
        <w:br w:type="page"/>
      </w:r>
    </w:p>
    <w:p w14:paraId="74025F6C" w14:textId="77777777" w:rsidR="00DB69F8" w:rsidRDefault="00DB69F8" w:rsidP="00DB69F8">
      <w:pPr>
        <w:pStyle w:val="Titre1"/>
        <w:jc w:val="both"/>
        <w:rPr>
          <w:rFonts w:ascii="Arial" w:hAnsi="Arial" w:cs="Arial"/>
          <w:b/>
          <w:bCs/>
          <w:sz w:val="24"/>
          <w:szCs w:val="24"/>
          <w:u w:val="single"/>
        </w:rPr>
      </w:pPr>
      <w:r w:rsidRPr="0018499D">
        <w:rPr>
          <w:rFonts w:ascii="Arial" w:hAnsi="Arial" w:cs="Arial"/>
          <w:b/>
          <w:bCs/>
          <w:sz w:val="24"/>
          <w:szCs w:val="24"/>
          <w:u w:val="single"/>
        </w:rPr>
        <w:lastRenderedPageBreak/>
        <w:t>Mécanismes et dispositions visant à encourager le secteur privé à appuyer les compétences et les talents sportifs des femmes (§ 40d)</w:t>
      </w:r>
    </w:p>
    <w:p w14:paraId="28C73F55" w14:textId="77777777" w:rsidR="005F0C39" w:rsidRPr="005F0C39" w:rsidRDefault="005F0C39" w:rsidP="005F0C39">
      <w:pPr>
        <w:pStyle w:val="SingleTxtG"/>
      </w:pPr>
    </w:p>
    <w:p w14:paraId="1A13A1F5" w14:textId="77777777" w:rsidR="00DB69F8" w:rsidRDefault="00DB69F8" w:rsidP="00DB69F8">
      <w:pPr>
        <w:jc w:val="both"/>
        <w:rPr>
          <w:rFonts w:ascii="Arial" w:hAnsi="Arial" w:cs="Arial"/>
          <w:sz w:val="24"/>
          <w:szCs w:val="24"/>
        </w:rPr>
      </w:pPr>
      <w:r>
        <w:rPr>
          <w:rFonts w:ascii="Arial" w:hAnsi="Arial" w:cs="Arial"/>
          <w:sz w:val="24"/>
          <w:szCs w:val="24"/>
        </w:rPr>
        <w:t xml:space="preserve">16. </w:t>
      </w:r>
      <w:r w:rsidRPr="00960E97">
        <w:rPr>
          <w:rFonts w:ascii="Arial" w:hAnsi="Arial" w:cs="Arial"/>
          <w:sz w:val="24"/>
          <w:szCs w:val="24"/>
        </w:rPr>
        <w:t>Dans son avis du 19 mars 2026, la CNCDH regrette « </w:t>
      </w:r>
      <w:r w:rsidRPr="00881C93">
        <w:rPr>
          <w:rFonts w:ascii="Arial" w:hAnsi="Arial" w:cs="Arial"/>
          <w:i/>
          <w:iCs/>
          <w:sz w:val="24"/>
          <w:szCs w:val="24"/>
        </w:rPr>
        <w:t xml:space="preserve">que la vitrine internationale qu’ont représenté les Jeux olympiques et paralympiques n’ait pas été l’occasion pour les pouvoirs publics d’adopter une position claire en faveur de l’accès des personnes trans et intersexes aux compétitions sportives et au sport amateur. Au contraire, sur ce point, les conclusions des différents groupes de travail, chargés de réfléchir aux modalités de participation des personnes trans aux compétitions sportives, ont été qualifiées de « peu innovantes » par les associations. Par ailleurs, les « débats » conduits en marge des Jeux, et surtout la vague de harcèlement transphobe et </w:t>
      </w:r>
      <w:proofErr w:type="spellStart"/>
      <w:r w:rsidRPr="00881C93">
        <w:rPr>
          <w:rFonts w:ascii="Arial" w:hAnsi="Arial" w:cs="Arial"/>
          <w:i/>
          <w:iCs/>
          <w:sz w:val="24"/>
          <w:szCs w:val="24"/>
        </w:rPr>
        <w:t>intersexophobe</w:t>
      </w:r>
      <w:proofErr w:type="spellEnd"/>
      <w:r w:rsidRPr="00881C93">
        <w:rPr>
          <w:rFonts w:ascii="Arial" w:hAnsi="Arial" w:cs="Arial"/>
          <w:i/>
          <w:iCs/>
          <w:sz w:val="24"/>
          <w:szCs w:val="24"/>
        </w:rPr>
        <w:t xml:space="preserve"> subis par certaines athlètes, ont frappé les personnes trans et intersexes de plein fouet, transformant ce moment festif en une véritable épreuve</w:t>
      </w:r>
      <w:r w:rsidRPr="00960E97">
        <w:rPr>
          <w:rFonts w:ascii="Arial" w:hAnsi="Arial" w:cs="Arial"/>
          <w:sz w:val="24"/>
          <w:szCs w:val="24"/>
        </w:rPr>
        <w:t> ». La CNCDH rappelle enfin qu’autour du monde, les personnes trans et intersexes sont exclues d’un nombre croissant de disciplines, tandis que certaines fédérations soumettent les athlètes à des tests génétiques pourtant interdits par la législation française</w:t>
      </w:r>
      <w:r>
        <w:rPr>
          <w:rStyle w:val="Appelnotedebasdep"/>
          <w:rFonts w:ascii="Arial" w:hAnsi="Arial" w:cs="Arial"/>
          <w:sz w:val="24"/>
          <w:szCs w:val="24"/>
        </w:rPr>
        <w:footnoteReference w:id="22"/>
      </w:r>
      <w:r w:rsidRPr="00960E97">
        <w:rPr>
          <w:rFonts w:ascii="Arial" w:hAnsi="Arial" w:cs="Arial"/>
          <w:sz w:val="24"/>
          <w:szCs w:val="24"/>
        </w:rPr>
        <w:t>.</w:t>
      </w:r>
    </w:p>
    <w:p w14:paraId="650DC627" w14:textId="77777777" w:rsidR="005F0C39" w:rsidRPr="00960E97" w:rsidRDefault="005F0C39" w:rsidP="00DB69F8">
      <w:pPr>
        <w:jc w:val="both"/>
        <w:rPr>
          <w:rFonts w:ascii="Arial" w:hAnsi="Arial" w:cs="Arial"/>
          <w:sz w:val="24"/>
          <w:szCs w:val="24"/>
        </w:rPr>
      </w:pPr>
    </w:p>
    <w:p w14:paraId="7E38E0E2" w14:textId="77777777" w:rsidR="00DB69F8" w:rsidRPr="00960E97" w:rsidRDefault="00DB69F8" w:rsidP="00DB69F8">
      <w:pPr>
        <w:jc w:val="both"/>
        <w:rPr>
          <w:rFonts w:ascii="Arial" w:hAnsi="Arial" w:cs="Arial"/>
          <w:sz w:val="24"/>
          <w:szCs w:val="24"/>
        </w:rPr>
      </w:pPr>
      <w:r>
        <w:rPr>
          <w:rFonts w:ascii="Arial" w:hAnsi="Arial" w:cs="Arial"/>
          <w:sz w:val="24"/>
          <w:szCs w:val="24"/>
        </w:rPr>
        <w:t xml:space="preserve">17. </w:t>
      </w:r>
      <w:r w:rsidRPr="00960E97">
        <w:rPr>
          <w:rFonts w:ascii="Arial" w:hAnsi="Arial" w:cs="Arial"/>
          <w:sz w:val="24"/>
          <w:szCs w:val="24"/>
        </w:rPr>
        <w:t>La CNCDH déplore qu’aucune action n’ait été menée s’agissant de l’émergence de rôles modèles LGBTI+ dans le sport, en dépit des ambitions du Plan LGBT+ 2023-2026 en ce sens</w:t>
      </w:r>
      <w:r>
        <w:rPr>
          <w:rStyle w:val="Appelnotedebasdep"/>
          <w:rFonts w:ascii="Arial" w:hAnsi="Arial" w:cs="Arial"/>
          <w:sz w:val="24"/>
          <w:szCs w:val="24"/>
        </w:rPr>
        <w:footnoteReference w:id="23"/>
      </w:r>
      <w:r w:rsidRPr="00960E97">
        <w:rPr>
          <w:rFonts w:ascii="Arial" w:hAnsi="Arial" w:cs="Arial"/>
          <w:sz w:val="24"/>
          <w:szCs w:val="24"/>
        </w:rPr>
        <w:t xml:space="preserve">. En 2026, il semble toujours difficile pour les sportifs et sportives, au niveau professionnel ou amateur, de faire leur </w:t>
      </w:r>
      <w:proofErr w:type="spellStart"/>
      <w:r w:rsidRPr="00960E97">
        <w:rPr>
          <w:rFonts w:ascii="Arial" w:hAnsi="Arial" w:cs="Arial"/>
          <w:sz w:val="24"/>
          <w:szCs w:val="24"/>
        </w:rPr>
        <w:t>coming</w:t>
      </w:r>
      <w:proofErr w:type="spellEnd"/>
      <w:r w:rsidRPr="00960E97">
        <w:rPr>
          <w:rFonts w:ascii="Arial" w:hAnsi="Arial" w:cs="Arial"/>
          <w:sz w:val="24"/>
          <w:szCs w:val="24"/>
        </w:rPr>
        <w:t xml:space="preserve"> out. Ce constat accentue l’urgence de mener des actions de sensibilisation dans les clubs sportifs et à destination des entraîneurs. Par ailleurs, elle relève que « les personnels sportifs sont souvent peu formés à l’accueil des personnes trans et intersexes, et les équipements inadaptés (en particulier les espaces non-mixtes tels que les douches et les vestiaires) »</w:t>
      </w:r>
      <w:r>
        <w:rPr>
          <w:rStyle w:val="Appelnotedebasdep"/>
          <w:rFonts w:ascii="Arial" w:hAnsi="Arial" w:cs="Arial"/>
          <w:sz w:val="24"/>
          <w:szCs w:val="24"/>
        </w:rPr>
        <w:footnoteReference w:id="24"/>
      </w:r>
      <w:r w:rsidRPr="00960E97">
        <w:rPr>
          <w:rFonts w:ascii="Arial" w:hAnsi="Arial" w:cs="Arial"/>
          <w:sz w:val="24"/>
          <w:szCs w:val="24"/>
        </w:rPr>
        <w:t>.</w:t>
      </w:r>
    </w:p>
    <w:p w14:paraId="671836BC" w14:textId="77777777" w:rsidR="00DB69F8" w:rsidRPr="00960E97" w:rsidRDefault="00DB69F8" w:rsidP="00DB69F8"/>
    <w:p w14:paraId="4EFB0D76" w14:textId="27540B4B" w:rsidR="003D237C" w:rsidRPr="00DB69F8" w:rsidRDefault="003D237C" w:rsidP="00DB69F8"/>
    <w:sectPr w:rsidR="003D237C" w:rsidRPr="00DB69F8" w:rsidSect="00981901">
      <w:headerReference w:type="default" r:id="rId14"/>
      <w:footerReference w:type="even" r:id="rId15"/>
      <w:footerReference w:type="defaul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85B79" w14:textId="77777777" w:rsidR="008671BF" w:rsidRDefault="008671BF" w:rsidP="00F95C08">
      <w:pPr>
        <w:spacing w:line="240" w:lineRule="auto"/>
      </w:pPr>
    </w:p>
  </w:endnote>
  <w:endnote w:type="continuationSeparator" w:id="0">
    <w:p w14:paraId="05AEBD23" w14:textId="77777777" w:rsidR="008671BF" w:rsidRPr="00AC3823" w:rsidRDefault="008671BF" w:rsidP="00AC3823">
      <w:pPr>
        <w:pStyle w:val="Pieddepage"/>
      </w:pPr>
    </w:p>
  </w:endnote>
  <w:endnote w:type="continuationNotice" w:id="1">
    <w:p w14:paraId="150CBACE" w14:textId="77777777" w:rsidR="008671BF" w:rsidRDefault="008671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7EC88" w14:textId="77777777" w:rsidR="006056E0" w:rsidRDefault="000D360A"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8525F7">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34202"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B73690">
      <w:rPr>
        <w:b/>
        <w:noProof/>
        <w:sz w:val="18"/>
      </w:rPr>
      <w:t>3</w:t>
    </w:r>
    <w:r w:rsidRPr="0072392D">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332A0" w14:textId="77777777" w:rsidR="008671BF" w:rsidRPr="00AC3823" w:rsidRDefault="008671BF" w:rsidP="00AC3823">
      <w:pPr>
        <w:pStyle w:val="Pieddepage"/>
        <w:tabs>
          <w:tab w:val="right" w:pos="2155"/>
        </w:tabs>
        <w:spacing w:after="80" w:line="240" w:lineRule="atLeast"/>
        <w:ind w:left="680"/>
        <w:rPr>
          <w:u w:val="single"/>
        </w:rPr>
      </w:pPr>
      <w:r>
        <w:rPr>
          <w:u w:val="single"/>
        </w:rPr>
        <w:tab/>
      </w:r>
    </w:p>
  </w:footnote>
  <w:footnote w:type="continuationSeparator" w:id="0">
    <w:p w14:paraId="3AE78335" w14:textId="77777777" w:rsidR="008671BF" w:rsidRPr="00AC3823" w:rsidRDefault="008671BF" w:rsidP="00AC3823">
      <w:pPr>
        <w:pStyle w:val="Pieddepage"/>
        <w:tabs>
          <w:tab w:val="right" w:pos="2155"/>
        </w:tabs>
        <w:spacing w:after="80" w:line="240" w:lineRule="atLeast"/>
        <w:ind w:left="680"/>
        <w:rPr>
          <w:u w:val="single"/>
        </w:rPr>
      </w:pPr>
      <w:r>
        <w:rPr>
          <w:u w:val="single"/>
        </w:rPr>
        <w:tab/>
      </w:r>
    </w:p>
  </w:footnote>
  <w:footnote w:type="continuationNotice" w:id="1">
    <w:p w14:paraId="6CFE49C3" w14:textId="77777777" w:rsidR="008671BF" w:rsidRPr="00AC3823" w:rsidRDefault="008671BF">
      <w:pPr>
        <w:spacing w:line="240" w:lineRule="auto"/>
        <w:rPr>
          <w:sz w:val="2"/>
          <w:szCs w:val="2"/>
        </w:rPr>
      </w:pPr>
    </w:p>
  </w:footnote>
  <w:footnote w:id="2">
    <w:p w14:paraId="26F8B539" w14:textId="77777777" w:rsidR="00DB69F8" w:rsidRPr="005F0C39" w:rsidRDefault="00DB69F8" w:rsidP="005F0C39">
      <w:r w:rsidRPr="005F0C39">
        <w:rPr>
          <w:rStyle w:val="Appelnotedebasdep"/>
          <w:rFonts w:ascii="Arial" w:hAnsi="Arial" w:cs="Arial"/>
          <w:sz w:val="20"/>
        </w:rPr>
        <w:footnoteRef/>
      </w:r>
      <w:r w:rsidRPr="005F0C39">
        <w:rPr>
          <w:rFonts w:ascii="Arial" w:hAnsi="Arial" w:cs="Arial"/>
        </w:rPr>
        <w:t xml:space="preserve"> </w:t>
      </w:r>
      <w:hyperlink r:id="rId1" w:history="1">
        <w:r w:rsidRPr="005F0C39">
          <w:rPr>
            <w:rStyle w:val="Lienhypertexte"/>
            <w:rFonts w:ascii="Arial" w:hAnsi="Arial" w:cs="Arial"/>
          </w:rPr>
          <w:t>CNCDH, Liste des points à traiter pour adoption et suggestion de questions – France</w:t>
        </w:r>
      </w:hyperlink>
      <w:r w:rsidRPr="005F0C39">
        <w:rPr>
          <w:rFonts w:ascii="Arial" w:hAnsi="Arial" w:cs="Arial"/>
        </w:rPr>
        <w:t>.</w:t>
      </w:r>
    </w:p>
  </w:footnote>
  <w:footnote w:id="3">
    <w:p w14:paraId="2E4D06E7" w14:textId="77777777" w:rsidR="00DB69F8" w:rsidRPr="005F0C39" w:rsidRDefault="00DB69F8" w:rsidP="005F0C39">
      <w:r w:rsidRPr="005F0C39">
        <w:rPr>
          <w:rStyle w:val="Appelnotedebasdep"/>
          <w:rFonts w:ascii="Arial" w:hAnsi="Arial" w:cs="Arial"/>
          <w:sz w:val="20"/>
        </w:rPr>
        <w:footnoteRef/>
      </w:r>
      <w:r w:rsidRPr="005F0C39">
        <w:rPr>
          <w:rFonts w:ascii="Arial" w:hAnsi="Arial" w:cs="Arial"/>
        </w:rPr>
        <w:t xml:space="preserve"> </w:t>
      </w:r>
      <w:hyperlink r:id="rId2" w:history="1">
        <w:r w:rsidRPr="005F0C39">
          <w:rPr>
            <w:rStyle w:val="Lienhypertexte"/>
            <w:rFonts w:ascii="Arial" w:hAnsi="Arial" w:cs="Arial"/>
          </w:rPr>
          <w:t>CNCDH, Rapport parallèle de la Commission nationale consultative des droits de l’homme, INDH française, au CEDEF</w:t>
        </w:r>
      </w:hyperlink>
      <w:r w:rsidRPr="005F0C39">
        <w:rPr>
          <w:rFonts w:ascii="Arial" w:hAnsi="Arial" w:cs="Arial"/>
        </w:rPr>
        <w:t>.</w:t>
      </w:r>
    </w:p>
  </w:footnote>
  <w:footnote w:id="4">
    <w:p w14:paraId="5C0E926D" w14:textId="77777777" w:rsidR="00DB69F8" w:rsidRPr="005F0C39" w:rsidRDefault="00DB69F8" w:rsidP="00DB69F8">
      <w:pPr>
        <w:spacing w:line="240" w:lineRule="auto"/>
        <w:jc w:val="both"/>
        <w:rPr>
          <w:rFonts w:ascii="Arial" w:hAnsi="Arial" w:cs="Arial"/>
        </w:rPr>
      </w:pPr>
      <w:r w:rsidRPr="005F0C39">
        <w:rPr>
          <w:rStyle w:val="Appelnotedebasdep"/>
          <w:rFonts w:ascii="Arial" w:hAnsi="Arial" w:cs="Arial"/>
          <w:sz w:val="20"/>
        </w:rPr>
        <w:footnoteRef/>
      </w:r>
      <w:r w:rsidRPr="005F0C39">
        <w:rPr>
          <w:rFonts w:ascii="Arial" w:hAnsi="Arial" w:cs="Arial"/>
        </w:rPr>
        <w:t xml:space="preserve"> A titre d’exemple, la CNCDH alerte sur l’absence de dimension intersectionnelle des mesures adoptées dans le domaine de la santé. En particulier, elle souligne que « les personnes lesbiennes, bisexuelles et pansexuelles montrent des taux d’anxiété, de dépression et de suicide plus élevés que les personnes homosexuelles. Les personnes lesbiennes, </w:t>
      </w:r>
      <w:proofErr w:type="spellStart"/>
      <w:r w:rsidRPr="005F0C39">
        <w:rPr>
          <w:rFonts w:ascii="Arial" w:hAnsi="Arial" w:cs="Arial"/>
        </w:rPr>
        <w:t>bies</w:t>
      </w:r>
      <w:proofErr w:type="spellEnd"/>
      <w:r w:rsidRPr="005F0C39">
        <w:rPr>
          <w:rFonts w:ascii="Arial" w:hAnsi="Arial" w:cs="Arial"/>
        </w:rPr>
        <w:t xml:space="preserve"> et pan sont surexposées aux violences physiques et sexuelles, notamment dans le contexte familial, et sont donc plus souvent contraintes de quitter leur domicile », </w:t>
      </w:r>
      <w:hyperlink r:id="rId3" w:history="1">
        <w:r w:rsidRPr="005F0C39">
          <w:rPr>
            <w:rStyle w:val="Lienhypertexte"/>
            <w:rFonts w:ascii="Arial" w:hAnsi="Arial" w:cs="Arial"/>
          </w:rPr>
          <w:t>CNCDH, Avis du 19 mars 2026</w:t>
        </w:r>
      </w:hyperlink>
      <w:r w:rsidRPr="005F0C39">
        <w:rPr>
          <w:rFonts w:ascii="Arial" w:hAnsi="Arial" w:cs="Arial"/>
        </w:rPr>
        <w:t>, § 53.</w:t>
      </w:r>
    </w:p>
  </w:footnote>
  <w:footnote w:id="5">
    <w:p w14:paraId="36143684" w14:textId="77777777" w:rsidR="00DB69F8" w:rsidRPr="005F0C39" w:rsidRDefault="00DB69F8" w:rsidP="00DB69F8">
      <w:pPr>
        <w:spacing w:line="240" w:lineRule="auto"/>
        <w:jc w:val="both"/>
        <w:rPr>
          <w:rFonts w:ascii="Arial" w:hAnsi="Arial" w:cs="Arial"/>
        </w:rPr>
      </w:pPr>
      <w:r w:rsidRPr="005F0C39">
        <w:rPr>
          <w:rStyle w:val="Appelnotedebasdep"/>
          <w:rFonts w:ascii="Arial" w:hAnsi="Arial" w:cs="Arial"/>
          <w:sz w:val="20"/>
        </w:rPr>
        <w:footnoteRef/>
      </w:r>
      <w:r w:rsidRPr="005F0C39">
        <w:rPr>
          <w:rFonts w:ascii="Arial" w:hAnsi="Arial" w:cs="Arial"/>
        </w:rPr>
        <w:t xml:space="preserve"> Dans son avis du 19 mars 2026 portant évaluation du « Plan LGBT+ 2023-2026 », la CNCDH déplore l’absence de mesure concernant les violences conjugales dans les couples de personnes de même genre, ce qu’elle regrette profondément au regard de l’urgence du sujet et du manque de visibilité dont il souffre. </w:t>
      </w:r>
    </w:p>
  </w:footnote>
  <w:footnote w:id="6">
    <w:p w14:paraId="407C3467" w14:textId="0C9084EA" w:rsidR="00DB69F8" w:rsidRPr="005F0C39" w:rsidRDefault="00DB69F8" w:rsidP="005F0C39">
      <w:r w:rsidRPr="005F0C39">
        <w:rPr>
          <w:rStyle w:val="Appelnotedebasdep"/>
          <w:rFonts w:ascii="Arial" w:hAnsi="Arial" w:cs="Arial"/>
          <w:sz w:val="20"/>
        </w:rPr>
        <w:footnoteRef/>
      </w:r>
      <w:r w:rsidRPr="005F0C39">
        <w:rPr>
          <w:rFonts w:ascii="Arial" w:hAnsi="Arial" w:cs="Arial"/>
        </w:rPr>
        <w:t xml:space="preserve"> Dans son avis du 19 mars 2026, la CNCDH souligne notamment que, parmi les femmes ayant des rapports</w:t>
      </w:r>
      <w:r w:rsidR="005F0C39" w:rsidRPr="005F0C39">
        <w:rPr>
          <w:rFonts w:ascii="Arial" w:hAnsi="Arial" w:cs="Arial"/>
        </w:rPr>
        <w:t xml:space="preserve"> </w:t>
      </w:r>
      <w:r w:rsidRPr="005F0C39">
        <w:rPr>
          <w:rFonts w:ascii="Arial" w:hAnsi="Arial" w:cs="Arial"/>
        </w:rPr>
        <w:t>sexuels avec d’autres femmes, « la perception d’une absence de risques liés à la sexualité, la présomption d’hétérosexualité par les professionnels de santé ou la crainte (vécue ou anticipée) d’être mal jugée sont décrites comme des facteurs influençant négativement le recours aux soins »</w:t>
      </w:r>
      <w:r w:rsidR="005F0C39">
        <w:rPr>
          <w:rFonts w:ascii="Arial" w:hAnsi="Arial" w:cs="Arial"/>
        </w:rPr>
        <w:t>.</w:t>
      </w:r>
    </w:p>
  </w:footnote>
  <w:footnote w:id="7">
    <w:p w14:paraId="77F33413" w14:textId="77777777" w:rsidR="00DB69F8" w:rsidRPr="005F0C39" w:rsidRDefault="00DB69F8" w:rsidP="005F0C39">
      <w:pPr>
        <w:jc w:val="both"/>
      </w:pPr>
      <w:r w:rsidRPr="005F0C39">
        <w:rPr>
          <w:rStyle w:val="Appelnotedebasdep"/>
          <w:rFonts w:ascii="Arial" w:hAnsi="Arial" w:cs="Arial"/>
          <w:sz w:val="20"/>
        </w:rPr>
        <w:footnoteRef/>
      </w:r>
      <w:r w:rsidRPr="005F0C39">
        <w:rPr>
          <w:rFonts w:ascii="Arial" w:hAnsi="Arial" w:cs="Arial"/>
        </w:rPr>
        <w:t xml:space="preserve"> CNCDH, Avis portant « Evaluation du Plan national pour l’égalité des droits, contre la haine et les discriminations anti-LGBT+ », 19 mars 2026, § 97.</w:t>
      </w:r>
    </w:p>
  </w:footnote>
  <w:footnote w:id="8">
    <w:p w14:paraId="4821A2E1" w14:textId="749D9A6A" w:rsidR="00DB69F8" w:rsidRPr="005F0C39" w:rsidRDefault="00DB69F8" w:rsidP="005F0C39">
      <w:pPr>
        <w:jc w:val="both"/>
        <w:rPr>
          <w:highlight w:val="yellow"/>
        </w:rPr>
      </w:pPr>
      <w:r w:rsidRPr="005F0C39">
        <w:rPr>
          <w:rStyle w:val="Appelnotedebasdep"/>
          <w:rFonts w:ascii="Arial" w:hAnsi="Arial" w:cs="Arial"/>
          <w:sz w:val="20"/>
        </w:rPr>
        <w:footnoteRef/>
      </w:r>
      <w:r w:rsidRPr="005F0C39">
        <w:rPr>
          <w:rFonts w:ascii="Arial" w:hAnsi="Arial" w:cs="Arial"/>
        </w:rPr>
        <w:t xml:space="preserve"> Dans son avis du 19 mars 2026, la CNCDH dénonce le défaut d’intersectionnalité du « Plan LGBT+ 2023-2026 » en particulier l’absence de toute mesure concernant l’asile et les migrations au sein du Plan. Le défaut d’action en la matière est particulièrement regrettable au regard des résultats de l’enquête menée par la Confédération générale des travailleurs (CGT) auprès des personnes employées à la CNDA</w:t>
      </w:r>
      <w:r w:rsidR="005F0C39">
        <w:rPr>
          <w:rFonts w:ascii="Arial" w:hAnsi="Arial" w:cs="Arial"/>
        </w:rPr>
        <w:t>.</w:t>
      </w:r>
    </w:p>
  </w:footnote>
  <w:footnote w:id="9">
    <w:p w14:paraId="4D7273D2" w14:textId="77777777" w:rsidR="00DB69F8" w:rsidRPr="005F0C39" w:rsidRDefault="00DB69F8" w:rsidP="005F0C39">
      <w:pPr>
        <w:jc w:val="both"/>
      </w:pPr>
      <w:r w:rsidRPr="005F0C39">
        <w:rPr>
          <w:rStyle w:val="Appelnotedebasdep"/>
          <w:rFonts w:ascii="Arial" w:hAnsi="Arial" w:cs="Arial"/>
          <w:sz w:val="20"/>
        </w:rPr>
        <w:footnoteRef/>
      </w:r>
      <w:r w:rsidRPr="005F0C39">
        <w:rPr>
          <w:rFonts w:ascii="Arial" w:hAnsi="Arial" w:cs="Arial"/>
        </w:rPr>
        <w:t xml:space="preserve"> Pour des exemples récents, voir notamment le rapport du Conseil économique, social et environnemental (CESE), </w:t>
      </w:r>
      <w:hyperlink r:id="rId4" w:history="1">
        <w:r w:rsidRPr="005F0C39">
          <w:rPr>
            <w:rStyle w:val="Lienhypertexte"/>
            <w:rFonts w:ascii="Arial" w:hAnsi="Arial" w:cs="Arial"/>
          </w:rPr>
          <w:t>« Éduquer à la vie affective, relationnelle et sexuelle : passer de l'obligation à l'application ! », 10 septembre 2024</w:t>
        </w:r>
      </w:hyperlink>
      <w:r w:rsidRPr="005F0C39">
        <w:rPr>
          <w:rFonts w:ascii="Arial" w:hAnsi="Arial" w:cs="Arial"/>
        </w:rPr>
        <w:t xml:space="preserve"> ; </w:t>
      </w:r>
      <w:hyperlink r:id="rId5" w:history="1">
        <w:r w:rsidRPr="005F0C39">
          <w:rPr>
            <w:rStyle w:val="Lienhypertexte"/>
            <w:rFonts w:ascii="Arial" w:hAnsi="Arial" w:cs="Arial"/>
          </w:rPr>
          <w:t xml:space="preserve">Haut Conseil à l’égalité entre les femmes et les hommes (HCE), « Rapport annuel 2026 sur l’état des lieux du sexisme en France. La menace </w:t>
        </w:r>
        <w:proofErr w:type="spellStart"/>
        <w:r w:rsidRPr="005F0C39">
          <w:rPr>
            <w:rStyle w:val="Lienhypertexte"/>
            <w:rFonts w:ascii="Arial" w:hAnsi="Arial" w:cs="Arial"/>
          </w:rPr>
          <w:t>masculiniste</w:t>
        </w:r>
        <w:proofErr w:type="spellEnd"/>
        <w:r w:rsidRPr="005F0C39">
          <w:rPr>
            <w:rStyle w:val="Lienhypertexte"/>
            <w:rFonts w:ascii="Arial" w:hAnsi="Arial" w:cs="Arial"/>
          </w:rPr>
          <w:t xml:space="preserve"> », 21 janvier 2026</w:t>
        </w:r>
      </w:hyperlink>
      <w:r w:rsidRPr="005F0C39">
        <w:rPr>
          <w:rFonts w:ascii="Arial" w:hAnsi="Arial" w:cs="Arial"/>
        </w:rPr>
        <w:t>.</w:t>
      </w:r>
    </w:p>
  </w:footnote>
  <w:footnote w:id="10">
    <w:p w14:paraId="3AD21036" w14:textId="77777777" w:rsidR="00DB69F8" w:rsidRPr="0024649B" w:rsidRDefault="00DB69F8" w:rsidP="005F0C39">
      <w:pPr>
        <w:pStyle w:val="Notedebasdepage"/>
        <w:spacing w:line="240" w:lineRule="auto"/>
        <w:jc w:val="both"/>
        <w:rPr>
          <w:rFonts w:ascii="Arial" w:hAnsi="Arial" w:cs="Arial"/>
        </w:rPr>
      </w:pPr>
      <w:r w:rsidRPr="005F0C39">
        <w:rPr>
          <w:rStyle w:val="Appelnotedebasdep"/>
          <w:rFonts w:ascii="Arial" w:hAnsi="Arial" w:cs="Arial"/>
          <w:sz w:val="20"/>
        </w:rPr>
        <w:footnoteRef/>
      </w:r>
      <w:r w:rsidRPr="005F0C39">
        <w:rPr>
          <w:rFonts w:ascii="Arial" w:hAnsi="Arial" w:cs="Arial"/>
          <w:sz w:val="20"/>
        </w:rPr>
        <w:t xml:space="preserve"> CNCDH, Avis du 19 mars 2026, §§ 37-40.</w:t>
      </w:r>
    </w:p>
  </w:footnote>
  <w:footnote w:id="11">
    <w:p w14:paraId="27C4C80D" w14:textId="77777777" w:rsidR="00DB69F8" w:rsidRPr="005F0C39" w:rsidRDefault="00DB69F8" w:rsidP="00DB69F8">
      <w:pPr>
        <w:pStyle w:val="Notedebasdepage"/>
        <w:spacing w:line="240" w:lineRule="auto"/>
        <w:jc w:val="both"/>
        <w:rPr>
          <w:rFonts w:ascii="Arial" w:hAnsi="Arial" w:cs="Arial"/>
          <w:sz w:val="20"/>
        </w:rPr>
      </w:pPr>
      <w:r w:rsidRPr="005F0C39">
        <w:rPr>
          <w:rStyle w:val="Appelnotedebasdep"/>
          <w:rFonts w:ascii="Arial" w:hAnsi="Arial" w:cs="Arial"/>
          <w:sz w:val="20"/>
        </w:rPr>
        <w:footnoteRef/>
      </w:r>
      <w:r w:rsidRPr="005F0C39">
        <w:rPr>
          <w:rFonts w:ascii="Arial" w:hAnsi="Arial" w:cs="Arial"/>
          <w:sz w:val="20"/>
        </w:rPr>
        <w:t xml:space="preserve"> </w:t>
      </w:r>
      <w:hyperlink r:id="rId6" w:history="1">
        <w:r w:rsidRPr="005F0C39">
          <w:rPr>
            <w:rStyle w:val="Lienhypertexte"/>
            <w:rFonts w:ascii="Arial" w:hAnsi="Arial" w:cs="Arial"/>
            <w:sz w:val="20"/>
          </w:rPr>
          <w:t>"Ils nous ont empoisonnés" : vivre après les essais nucléaires | Les Nouvelles Calédoniennes</w:t>
        </w:r>
      </w:hyperlink>
    </w:p>
  </w:footnote>
  <w:footnote w:id="12">
    <w:p w14:paraId="433B6BCC" w14:textId="094D465F" w:rsidR="00DB69F8" w:rsidRPr="005F0C39" w:rsidRDefault="00DB69F8" w:rsidP="005F0C39">
      <w:r w:rsidRPr="005F0C39">
        <w:rPr>
          <w:rStyle w:val="Appelnotedebasdep"/>
          <w:rFonts w:ascii="Arial" w:hAnsi="Arial" w:cs="Arial"/>
          <w:sz w:val="20"/>
        </w:rPr>
        <w:footnoteRef/>
      </w:r>
      <w:r w:rsidRPr="005F0C39">
        <w:rPr>
          <w:rFonts w:ascii="Arial" w:hAnsi="Arial" w:cs="Arial"/>
        </w:rPr>
        <w:t xml:space="preserve"> La France n’est pas partie au traité sur l'interdiction des armes nucléaires.</w:t>
      </w:r>
      <w:r w:rsidR="005F0C39">
        <w:rPr>
          <w:rFonts w:ascii="Arial" w:hAnsi="Arial" w:cs="Arial"/>
        </w:rPr>
        <w:t xml:space="preserve"> </w:t>
      </w:r>
      <w:r w:rsidRPr="005F0C39">
        <w:rPr>
          <w:rFonts w:ascii="Arial" w:hAnsi="Arial" w:cs="Arial"/>
        </w:rPr>
        <w:t>V. Traité sur l’interdiction des armes nucléaires (2017) § 5 du préambule « touchent de manière disproportionnée les femmes et les filles, notamment en raison des effets des rayonnements ionisants ».</w:t>
      </w:r>
    </w:p>
  </w:footnote>
  <w:footnote w:id="13">
    <w:p w14:paraId="59A3391D" w14:textId="77777777" w:rsidR="00DB69F8" w:rsidRPr="005F0C39" w:rsidRDefault="00DB69F8" w:rsidP="005F0C39">
      <w:r w:rsidRPr="005F0C39">
        <w:rPr>
          <w:rStyle w:val="Appelnotedebasdep"/>
          <w:rFonts w:ascii="Arial" w:hAnsi="Arial" w:cs="Arial"/>
          <w:sz w:val="20"/>
        </w:rPr>
        <w:footnoteRef/>
      </w:r>
      <w:r w:rsidRPr="005F0C39">
        <w:rPr>
          <w:rFonts w:ascii="Arial" w:hAnsi="Arial" w:cs="Arial"/>
          <w:lang w:val="en-US"/>
        </w:rPr>
        <w:t xml:space="preserve"> V. </w:t>
      </w:r>
      <w:proofErr w:type="spellStart"/>
      <w:r w:rsidRPr="005F0C39">
        <w:rPr>
          <w:rFonts w:ascii="Arial" w:hAnsi="Arial" w:cs="Arial"/>
          <w:lang w:val="en-US"/>
        </w:rPr>
        <w:t>notamment</w:t>
      </w:r>
      <w:proofErr w:type="spellEnd"/>
      <w:r w:rsidRPr="005F0C39">
        <w:rPr>
          <w:rFonts w:ascii="Arial" w:hAnsi="Arial" w:cs="Arial"/>
          <w:lang w:val="en-US"/>
        </w:rPr>
        <w:t xml:space="preserve"> Disproportionate impact of radiation and radiation regulation, Interdisciplinary Science Reviews, </w:t>
      </w:r>
      <w:proofErr w:type="gramStart"/>
      <w:r w:rsidRPr="005F0C39">
        <w:rPr>
          <w:rFonts w:ascii="Arial" w:hAnsi="Arial" w:cs="Arial"/>
          <w:lang w:val="en-US"/>
        </w:rPr>
        <w:t>2019 ;</w:t>
      </w:r>
      <w:proofErr w:type="gramEnd"/>
      <w:r w:rsidRPr="005F0C39">
        <w:rPr>
          <w:rFonts w:ascii="Arial" w:hAnsi="Arial" w:cs="Arial"/>
          <w:lang w:val="en-US"/>
        </w:rPr>
        <w:t xml:space="preserve"> Sex Difference of Radiation Response in Occupational and Accidental Exposure, 2019.</w:t>
      </w:r>
    </w:p>
  </w:footnote>
  <w:footnote w:id="14">
    <w:p w14:paraId="65D2FCBA" w14:textId="77777777" w:rsidR="00DB69F8" w:rsidRPr="005F0C39" w:rsidRDefault="00DB69F8" w:rsidP="005F0C39">
      <w:r w:rsidRPr="005F0C39">
        <w:rPr>
          <w:rStyle w:val="Appelnotedebasdep"/>
          <w:rFonts w:ascii="Arial" w:hAnsi="Arial" w:cs="Arial"/>
          <w:sz w:val="20"/>
        </w:rPr>
        <w:footnoteRef/>
      </w:r>
      <w:r w:rsidRPr="005F0C39">
        <w:rPr>
          <w:rFonts w:ascii="Arial" w:hAnsi="Arial" w:cs="Arial"/>
        </w:rPr>
        <w:t xml:space="preserve"> </w:t>
      </w:r>
      <w:hyperlink r:id="rId7" w:tgtFrame="_blank" w:tooltip="Nouvelle fenêtre" w:history="1">
        <w:r w:rsidRPr="005F0C39">
          <w:rPr>
            <w:rStyle w:val="Lienhypertexte"/>
            <w:rFonts w:ascii="Arial" w:hAnsi="Arial" w:cs="Arial"/>
          </w:rPr>
          <w:t>Une commission d’enquête de l’Assemblée nationale sur les essais nucléaires français dans le Pacifique</w:t>
        </w:r>
      </w:hyperlink>
    </w:p>
  </w:footnote>
  <w:footnote w:id="15">
    <w:p w14:paraId="6A365AB0" w14:textId="77777777" w:rsidR="00DB69F8" w:rsidRPr="0024649B" w:rsidRDefault="00DB69F8" w:rsidP="00DB69F8">
      <w:pPr>
        <w:pStyle w:val="Notedebasdepage"/>
        <w:spacing w:line="240" w:lineRule="auto"/>
        <w:jc w:val="both"/>
        <w:rPr>
          <w:rFonts w:ascii="Arial" w:hAnsi="Arial" w:cs="Arial"/>
        </w:rPr>
      </w:pPr>
      <w:r w:rsidRPr="005F0C39">
        <w:rPr>
          <w:rStyle w:val="Appelnotedebasdep"/>
          <w:rFonts w:ascii="Arial" w:hAnsi="Arial" w:cs="Arial"/>
          <w:sz w:val="20"/>
        </w:rPr>
        <w:footnoteRef/>
      </w:r>
      <w:r w:rsidRPr="005F0C39">
        <w:rPr>
          <w:rFonts w:ascii="Arial" w:hAnsi="Arial" w:cs="Arial"/>
          <w:sz w:val="20"/>
        </w:rPr>
        <w:t xml:space="preserve"> </w:t>
      </w:r>
      <w:hyperlink r:id="rId8" w:history="1">
        <w:r w:rsidRPr="005F0C39">
          <w:rPr>
            <w:rStyle w:val="Lienhypertexte"/>
            <w:rFonts w:ascii="Arial" w:hAnsi="Arial" w:cs="Arial"/>
            <w:sz w:val="20"/>
          </w:rPr>
          <w:t>Reconnaître les victimes de l'exposition aux essais nucléaires français</w:t>
        </w:r>
      </w:hyperlink>
    </w:p>
  </w:footnote>
  <w:footnote w:id="16">
    <w:p w14:paraId="4241FA17" w14:textId="77777777" w:rsidR="00DB69F8" w:rsidRPr="005F0C39" w:rsidRDefault="00DB69F8" w:rsidP="005F0C39">
      <w:pPr>
        <w:pStyle w:val="Pardfaut"/>
        <w:suppressAutoHyphens/>
        <w:spacing w:before="0" w:line="240" w:lineRule="auto"/>
        <w:jc w:val="both"/>
        <w:rPr>
          <w:rFonts w:ascii="Arial" w:hAnsi="Arial" w:cs="Arial"/>
          <w:color w:val="auto"/>
          <w:sz w:val="20"/>
          <w:szCs w:val="20"/>
        </w:rPr>
      </w:pPr>
      <w:r w:rsidRPr="005F0C39">
        <w:rPr>
          <w:rStyle w:val="Appelnotedebasdep"/>
          <w:rFonts w:ascii="Arial" w:hAnsi="Arial" w:cs="Arial"/>
          <w:color w:val="auto"/>
          <w:sz w:val="20"/>
          <w:szCs w:val="20"/>
        </w:rPr>
        <w:footnoteRef/>
      </w:r>
      <w:r w:rsidRPr="005F0C39">
        <w:rPr>
          <w:rFonts w:ascii="Arial" w:hAnsi="Arial" w:cs="Arial"/>
          <w:color w:val="auto"/>
          <w:sz w:val="20"/>
          <w:szCs w:val="20"/>
        </w:rPr>
        <w:t xml:space="preserve"> </w:t>
      </w:r>
      <w:hyperlink r:id="rId9" w:history="1">
        <w:r w:rsidRPr="005F0C39">
          <w:rPr>
            <w:rStyle w:val="Lienhypertexte"/>
            <w:rFonts w:ascii="Arial" w:hAnsi="Arial" w:cs="Arial"/>
            <w:sz w:val="20"/>
            <w:szCs w:val="20"/>
          </w:rPr>
          <w:t>CNCDH, Avis relatif aux violences sexuelles : une urgence sociale et de santé publique, un enjeu de droits fondamentaux, Assemblée plénière du 20 novembre 2018</w:t>
        </w:r>
      </w:hyperlink>
      <w:r w:rsidRPr="005F0C39">
        <w:rPr>
          <w:rFonts w:ascii="Arial" w:hAnsi="Arial" w:cs="Arial"/>
          <w:color w:val="auto"/>
          <w:sz w:val="20"/>
          <w:szCs w:val="20"/>
        </w:rPr>
        <w:t xml:space="preserve">.  </w:t>
      </w:r>
    </w:p>
  </w:footnote>
  <w:footnote w:id="17">
    <w:p w14:paraId="78240A43" w14:textId="77777777" w:rsidR="00DB69F8" w:rsidRPr="005F0C39" w:rsidRDefault="00DB69F8" w:rsidP="005F0C39">
      <w:r w:rsidRPr="005F0C39">
        <w:rPr>
          <w:rStyle w:val="Appelnotedebasdep"/>
          <w:rFonts w:ascii="Arial" w:hAnsi="Arial" w:cs="Arial"/>
          <w:sz w:val="20"/>
        </w:rPr>
        <w:footnoteRef/>
      </w:r>
      <w:r w:rsidRPr="005F0C39">
        <w:rPr>
          <w:rFonts w:ascii="Arial" w:hAnsi="Arial" w:cs="Arial"/>
        </w:rPr>
        <w:t xml:space="preserve"> </w:t>
      </w:r>
      <w:hyperlink r:id="rId10" w:anchor=":~:text=Dans%20une%20d%C3%A9claration%20adopt%C3%A9e%20le,viol%20et%20des%20agressions%20sexuelles." w:history="1">
        <w:r w:rsidRPr="005F0C39">
          <w:rPr>
            <w:rStyle w:val="Lienhypertexte"/>
            <w:rFonts w:ascii="Arial" w:hAnsi="Arial" w:cs="Arial"/>
          </w:rPr>
          <w:t>CNCDH, Déclaration sur la définition pénale du viol : poser le principe du consentement libre, 18 mars 2025</w:t>
        </w:r>
      </w:hyperlink>
      <w:r w:rsidRPr="005F0C39">
        <w:rPr>
          <w:rFonts w:ascii="Arial" w:hAnsi="Arial" w:cs="Arial"/>
        </w:rPr>
        <w:t>.</w:t>
      </w:r>
    </w:p>
  </w:footnote>
  <w:footnote w:id="18">
    <w:p w14:paraId="19AA983D" w14:textId="77777777" w:rsidR="00DB69F8" w:rsidRPr="005F0C39" w:rsidRDefault="00DB69F8" w:rsidP="005F0C39">
      <w:r w:rsidRPr="005F0C39">
        <w:rPr>
          <w:rStyle w:val="Appelnotedebasdep"/>
          <w:rFonts w:ascii="Arial" w:hAnsi="Arial" w:cs="Arial"/>
          <w:sz w:val="20"/>
        </w:rPr>
        <w:footnoteRef/>
      </w:r>
      <w:r w:rsidRPr="005F0C39">
        <w:rPr>
          <w:rFonts w:ascii="Arial" w:hAnsi="Arial" w:cs="Arial"/>
        </w:rPr>
        <w:t xml:space="preserve"> </w:t>
      </w:r>
      <w:hyperlink r:id="rId11" w:history="1">
        <w:r w:rsidRPr="005F0C39">
          <w:rPr>
            <w:rStyle w:val="Lienhypertexte"/>
            <w:rFonts w:ascii="Arial" w:hAnsi="Arial" w:cs="Arial"/>
          </w:rPr>
          <w:t>Loi n° 2025-1057 du 6 novembre 2025 modifiant la définition pénale du viol et des agressions sexuelles</w:t>
        </w:r>
      </w:hyperlink>
      <w:r w:rsidRPr="005F0C39">
        <w:rPr>
          <w:rFonts w:ascii="Arial" w:hAnsi="Arial" w:cs="Arial"/>
        </w:rPr>
        <w:t>.</w:t>
      </w:r>
    </w:p>
  </w:footnote>
  <w:footnote w:id="19">
    <w:p w14:paraId="409F2537" w14:textId="77777777" w:rsidR="00DB69F8" w:rsidRPr="005F0C39" w:rsidRDefault="00DB69F8" w:rsidP="005F0C39">
      <w:pPr>
        <w:jc w:val="both"/>
        <w:rPr>
          <w:rFonts w:ascii="Arial" w:hAnsi="Arial" w:cs="Arial"/>
        </w:rPr>
      </w:pPr>
      <w:r w:rsidRPr="005F0C39">
        <w:rPr>
          <w:rStyle w:val="Appelnotedebasdep"/>
          <w:rFonts w:ascii="Arial" w:hAnsi="Arial" w:cs="Arial"/>
          <w:sz w:val="20"/>
        </w:rPr>
        <w:footnoteRef/>
      </w:r>
      <w:r w:rsidRPr="005F0C39">
        <w:rPr>
          <w:rFonts w:ascii="Arial" w:hAnsi="Arial" w:cs="Arial"/>
        </w:rPr>
        <w:t xml:space="preserve"> Etude d’impact projet de loi sur la justice criminelle et le respect des victimes, NOR : JUSD2604940L/Bleue-1. </w:t>
      </w:r>
    </w:p>
  </w:footnote>
  <w:footnote w:id="20">
    <w:p w14:paraId="34638CA4" w14:textId="77777777" w:rsidR="00DB69F8" w:rsidRPr="005F0C39" w:rsidRDefault="00DB69F8" w:rsidP="005F0C39">
      <w:pPr>
        <w:ind w:left="57"/>
        <w:jc w:val="both"/>
        <w:rPr>
          <w:rFonts w:ascii="Arial" w:hAnsi="Arial" w:cs="Arial"/>
        </w:rPr>
      </w:pPr>
      <w:r w:rsidRPr="005F0C39">
        <w:rPr>
          <w:rStyle w:val="Appelnotedebasdep"/>
          <w:rFonts w:ascii="Arial" w:hAnsi="Arial" w:cs="Arial"/>
          <w:sz w:val="20"/>
        </w:rPr>
        <w:footnoteRef/>
      </w:r>
      <w:r w:rsidRPr="005F0C39">
        <w:rPr>
          <w:rFonts w:ascii="Arial" w:hAnsi="Arial" w:cs="Arial"/>
        </w:rPr>
        <w:t xml:space="preserve"> Selon </w:t>
      </w:r>
      <w:hyperlink r:id="rId12" w:tgtFrame="_blank" w:tooltip="Nouvelle fenêtre" w:history="1">
        <w:r w:rsidRPr="005F0C39">
          <w:rPr>
            <w:rStyle w:val="Lienhypertexte"/>
            <w:rFonts w:ascii="Arial" w:hAnsi="Arial" w:cs="Arial"/>
            <w:color w:val="auto"/>
          </w:rPr>
          <w:t>la dernière enquête</w:t>
        </w:r>
        <w:r w:rsidRPr="005F0C39">
          <w:rPr>
            <w:rStyle w:val="Accentuation"/>
            <w:rFonts w:ascii="Arial" w:hAnsi="Arial" w:cs="Arial"/>
          </w:rPr>
          <w:t xml:space="preserve"> </w:t>
        </w:r>
        <w:r w:rsidRPr="005F0C39">
          <w:rPr>
            <w:rStyle w:val="Lienhypertexte"/>
            <w:rFonts w:ascii="Arial" w:hAnsi="Arial" w:cs="Arial"/>
            <w:color w:val="auto"/>
          </w:rPr>
          <w:t>VRS</w:t>
        </w:r>
      </w:hyperlink>
      <w:r w:rsidRPr="005F0C39">
        <w:rPr>
          <w:rStyle w:val="Lienhypertexte"/>
          <w:rFonts w:ascii="Arial" w:hAnsi="Arial" w:cs="Arial"/>
          <w:color w:val="auto"/>
        </w:rPr>
        <w:t xml:space="preserve"> (vécu et ressenti en matière de sécurité)</w:t>
      </w:r>
      <w:r w:rsidRPr="005F0C39">
        <w:rPr>
          <w:rFonts w:ascii="Arial" w:hAnsi="Arial" w:cs="Arial"/>
        </w:rPr>
        <w:t xml:space="preserve"> de l’Insee parue fin 2023, 270 000 femmes affirment avoir été victimes de violences sexuelles, seules 6% d’entre elles ont déposé plainte. Le taux de classement sans suite est, quant à lui, extrêmement élevé : 86 % dans les affaires de violences sexuelles, atteignant</w:t>
      </w:r>
      <w:r w:rsidRPr="005F0C39">
        <w:rPr>
          <w:rStyle w:val="Accentuation"/>
          <w:rFonts w:ascii="Arial" w:hAnsi="Arial" w:cs="Arial"/>
        </w:rPr>
        <w:t xml:space="preserve"> </w:t>
      </w:r>
      <w:r w:rsidRPr="005F0C39">
        <w:rPr>
          <w:rFonts w:ascii="Arial" w:hAnsi="Arial" w:cs="Arial"/>
        </w:rPr>
        <w:t xml:space="preserve">même 94 % pour les viols. </w:t>
      </w:r>
    </w:p>
  </w:footnote>
  <w:footnote w:id="21">
    <w:p w14:paraId="60D0827F" w14:textId="7BED1780" w:rsidR="005F0C39" w:rsidRPr="005F0C39" w:rsidRDefault="005F0C39" w:rsidP="005F0C39">
      <w:pPr>
        <w:rPr>
          <w:lang w:val="fr-FR"/>
        </w:rPr>
      </w:pPr>
      <w:r w:rsidRPr="005F0C39">
        <w:rPr>
          <w:rStyle w:val="Appelnotedebasdep"/>
          <w:rFonts w:ascii="Arial" w:hAnsi="Arial" w:cs="Arial"/>
          <w:sz w:val="20"/>
        </w:rPr>
        <w:footnoteRef/>
      </w:r>
      <w:r w:rsidRPr="005F0C39">
        <w:rPr>
          <w:rFonts w:ascii="Arial" w:hAnsi="Arial" w:cs="Arial"/>
        </w:rPr>
        <w:t xml:space="preserve"> </w:t>
      </w:r>
      <w:r w:rsidRPr="005F0C39">
        <w:rPr>
          <w:rFonts w:ascii="Arial" w:hAnsi="Arial" w:cs="Arial"/>
        </w:rPr>
        <w:t>CNCDH, Avis relatif au projet de loi sur la justice criminelle et le respect des victimes,</w:t>
      </w:r>
      <w:r>
        <w:rPr>
          <w:rFonts w:ascii="Arial" w:hAnsi="Arial" w:cs="Arial"/>
        </w:rPr>
        <w:t xml:space="preserve"> </w:t>
      </w:r>
      <w:r w:rsidRPr="005F0C39">
        <w:rPr>
          <w:rFonts w:ascii="Arial" w:hAnsi="Arial" w:cs="Arial"/>
        </w:rPr>
        <w:t>28 mai</w:t>
      </w:r>
      <w:r>
        <w:rPr>
          <w:rFonts w:ascii="Arial" w:hAnsi="Arial" w:cs="Arial"/>
        </w:rPr>
        <w:t xml:space="preserve"> </w:t>
      </w:r>
      <w:r w:rsidRPr="005F0C39">
        <w:rPr>
          <w:rFonts w:ascii="Arial" w:hAnsi="Arial" w:cs="Arial"/>
        </w:rPr>
        <w:t>2026.</w:t>
      </w:r>
    </w:p>
  </w:footnote>
  <w:footnote w:id="22">
    <w:p w14:paraId="1AB31C2F" w14:textId="77777777" w:rsidR="00DB69F8" w:rsidRPr="0024649B" w:rsidRDefault="00DB69F8" w:rsidP="00DB69F8">
      <w:pPr>
        <w:pStyle w:val="Notedebasdepage"/>
        <w:jc w:val="both"/>
        <w:rPr>
          <w:rFonts w:ascii="Arial" w:hAnsi="Arial" w:cs="Arial"/>
        </w:rPr>
      </w:pPr>
      <w:r w:rsidRPr="0024649B">
        <w:rPr>
          <w:rStyle w:val="Appelnotedebasdep"/>
          <w:rFonts w:ascii="Arial" w:hAnsi="Arial" w:cs="Arial"/>
        </w:rPr>
        <w:footnoteRef/>
      </w:r>
      <w:r w:rsidRPr="0024649B">
        <w:rPr>
          <w:rFonts w:ascii="Arial" w:hAnsi="Arial" w:cs="Arial"/>
        </w:rPr>
        <w:t xml:space="preserve"> CNCDH, Avis du 19 mars 2026, § 108.</w:t>
      </w:r>
    </w:p>
  </w:footnote>
  <w:footnote w:id="23">
    <w:p w14:paraId="644CF20A" w14:textId="77777777" w:rsidR="00DB69F8" w:rsidRPr="0024649B" w:rsidRDefault="00DB69F8" w:rsidP="00DB69F8">
      <w:pPr>
        <w:pStyle w:val="Notedebasdepage"/>
        <w:jc w:val="both"/>
        <w:rPr>
          <w:rFonts w:ascii="Arial" w:hAnsi="Arial" w:cs="Arial"/>
        </w:rPr>
      </w:pPr>
      <w:r w:rsidRPr="0024649B">
        <w:rPr>
          <w:rStyle w:val="Appelnotedebasdep"/>
          <w:rFonts w:ascii="Arial" w:hAnsi="Arial" w:cs="Arial"/>
        </w:rPr>
        <w:footnoteRef/>
      </w:r>
      <w:r w:rsidRPr="0024649B">
        <w:rPr>
          <w:rFonts w:ascii="Arial" w:hAnsi="Arial" w:cs="Arial"/>
        </w:rPr>
        <w:t xml:space="preserve"> CNCDH, Avis du 19 mars 2026, § 106.</w:t>
      </w:r>
    </w:p>
  </w:footnote>
  <w:footnote w:id="24">
    <w:p w14:paraId="76EE67F5" w14:textId="77777777" w:rsidR="00DB69F8" w:rsidRPr="0024649B" w:rsidRDefault="00DB69F8" w:rsidP="00DB69F8">
      <w:pPr>
        <w:pStyle w:val="Notedebasdepage"/>
        <w:jc w:val="both"/>
        <w:rPr>
          <w:rFonts w:ascii="Arial" w:hAnsi="Arial" w:cs="Arial"/>
        </w:rPr>
      </w:pPr>
      <w:r w:rsidRPr="0024649B">
        <w:rPr>
          <w:rStyle w:val="Appelnotedebasdep"/>
          <w:rFonts w:ascii="Arial" w:hAnsi="Arial" w:cs="Arial"/>
        </w:rPr>
        <w:footnoteRef/>
      </w:r>
      <w:r w:rsidRPr="0024649B">
        <w:rPr>
          <w:rFonts w:ascii="Arial" w:hAnsi="Arial" w:cs="Arial"/>
        </w:rPr>
        <w:t xml:space="preserve"> </w:t>
      </w:r>
      <w:r w:rsidRPr="0024649B">
        <w:rPr>
          <w:rFonts w:ascii="Arial" w:hAnsi="Arial" w:cs="Arial"/>
          <w:i/>
          <w:iCs/>
        </w:rPr>
        <w:t>Ibid</w:t>
      </w:r>
      <w:r w:rsidRPr="0024649B">
        <w:rPr>
          <w:rFonts w:ascii="Arial" w:hAnsi="Arial" w:cs="Arial"/>
        </w:rPr>
        <w:t>., § 107.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87F6F" w14:textId="31FEACBD" w:rsidR="005B6BC9" w:rsidRDefault="005B6BC9" w:rsidP="005B6BC9">
    <w:pPr>
      <w:pStyle w:val="En-tt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E24C118"/>
    <w:lvl w:ilvl="0" w:tplc="588C450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372817C" w:tentative="1">
      <w:start w:val="1"/>
      <w:numFmt w:val="lowerLetter"/>
      <w:lvlText w:val="%2."/>
      <w:lvlJc w:val="left"/>
      <w:pPr>
        <w:tabs>
          <w:tab w:val="num" w:pos="1440"/>
        </w:tabs>
        <w:ind w:left="1440" w:hanging="360"/>
      </w:pPr>
    </w:lvl>
    <w:lvl w:ilvl="2" w:tplc="1154352C" w:tentative="1">
      <w:start w:val="1"/>
      <w:numFmt w:val="lowerRoman"/>
      <w:lvlText w:val="%3."/>
      <w:lvlJc w:val="right"/>
      <w:pPr>
        <w:tabs>
          <w:tab w:val="num" w:pos="2160"/>
        </w:tabs>
        <w:ind w:left="2160" w:hanging="180"/>
      </w:pPr>
    </w:lvl>
    <w:lvl w:ilvl="3" w:tplc="4B8A5C0C" w:tentative="1">
      <w:start w:val="1"/>
      <w:numFmt w:val="decimal"/>
      <w:lvlText w:val="%4."/>
      <w:lvlJc w:val="left"/>
      <w:pPr>
        <w:tabs>
          <w:tab w:val="num" w:pos="2880"/>
        </w:tabs>
        <w:ind w:left="2880" w:hanging="360"/>
      </w:pPr>
    </w:lvl>
    <w:lvl w:ilvl="4" w:tplc="B7F4901C" w:tentative="1">
      <w:start w:val="1"/>
      <w:numFmt w:val="lowerLetter"/>
      <w:lvlText w:val="%5."/>
      <w:lvlJc w:val="left"/>
      <w:pPr>
        <w:tabs>
          <w:tab w:val="num" w:pos="3600"/>
        </w:tabs>
        <w:ind w:left="3600" w:hanging="360"/>
      </w:pPr>
    </w:lvl>
    <w:lvl w:ilvl="5" w:tplc="2E2E0A76" w:tentative="1">
      <w:start w:val="1"/>
      <w:numFmt w:val="lowerRoman"/>
      <w:lvlText w:val="%6."/>
      <w:lvlJc w:val="right"/>
      <w:pPr>
        <w:tabs>
          <w:tab w:val="num" w:pos="4320"/>
        </w:tabs>
        <w:ind w:left="4320" w:hanging="180"/>
      </w:pPr>
    </w:lvl>
    <w:lvl w:ilvl="6" w:tplc="AB00897C" w:tentative="1">
      <w:start w:val="1"/>
      <w:numFmt w:val="decimal"/>
      <w:lvlText w:val="%7."/>
      <w:lvlJc w:val="left"/>
      <w:pPr>
        <w:tabs>
          <w:tab w:val="num" w:pos="5040"/>
        </w:tabs>
        <w:ind w:left="5040" w:hanging="360"/>
      </w:pPr>
    </w:lvl>
    <w:lvl w:ilvl="7" w:tplc="CB24B916" w:tentative="1">
      <w:start w:val="1"/>
      <w:numFmt w:val="lowerLetter"/>
      <w:lvlText w:val="%8."/>
      <w:lvlJc w:val="left"/>
      <w:pPr>
        <w:tabs>
          <w:tab w:val="num" w:pos="5760"/>
        </w:tabs>
        <w:ind w:left="5760" w:hanging="360"/>
      </w:pPr>
    </w:lvl>
    <w:lvl w:ilvl="8" w:tplc="F93C078E" w:tentative="1">
      <w:start w:val="1"/>
      <w:numFmt w:val="lowerRoman"/>
      <w:lvlText w:val="%9."/>
      <w:lvlJc w:val="right"/>
      <w:pPr>
        <w:tabs>
          <w:tab w:val="num" w:pos="6480"/>
        </w:tabs>
        <w:ind w:left="6480" w:hanging="180"/>
      </w:pPr>
    </w:lvl>
  </w:abstractNum>
  <w:abstractNum w:abstractNumId="11" w15:restartNumberingAfterBreak="0">
    <w:nsid w:val="1F0372E1"/>
    <w:multiLevelType w:val="hybridMultilevel"/>
    <w:tmpl w:val="5E30E58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ACF4EB2"/>
    <w:multiLevelType w:val="hybridMultilevel"/>
    <w:tmpl w:val="AE82671E"/>
    <w:lvl w:ilvl="0" w:tplc="858E0766">
      <w:start w:val="1"/>
      <w:numFmt w:val="bullet"/>
      <w:pStyle w:val="Bullet2G"/>
      <w:lvlText w:val="•"/>
      <w:lvlJc w:val="left"/>
      <w:pPr>
        <w:tabs>
          <w:tab w:val="num" w:pos="2268"/>
        </w:tabs>
        <w:ind w:left="2268" w:hanging="170"/>
      </w:pPr>
      <w:rPr>
        <w:rFonts w:ascii="Times New Roman" w:hAnsi="Times New Roman" w:cs="Times New Roman" w:hint="default"/>
      </w:rPr>
    </w:lvl>
    <w:lvl w:ilvl="1" w:tplc="3C9697B4" w:tentative="1">
      <w:start w:val="1"/>
      <w:numFmt w:val="bullet"/>
      <w:lvlText w:val="o"/>
      <w:lvlJc w:val="left"/>
      <w:pPr>
        <w:tabs>
          <w:tab w:val="num" w:pos="3708"/>
        </w:tabs>
        <w:ind w:left="3708" w:hanging="360"/>
      </w:pPr>
      <w:rPr>
        <w:rFonts w:ascii="Courier New" w:hAnsi="Courier New" w:hint="default"/>
      </w:rPr>
    </w:lvl>
    <w:lvl w:ilvl="2" w:tplc="40707DBC" w:tentative="1">
      <w:start w:val="1"/>
      <w:numFmt w:val="bullet"/>
      <w:lvlText w:val=""/>
      <w:lvlJc w:val="left"/>
      <w:pPr>
        <w:tabs>
          <w:tab w:val="num" w:pos="4428"/>
        </w:tabs>
        <w:ind w:left="4428" w:hanging="360"/>
      </w:pPr>
      <w:rPr>
        <w:rFonts w:ascii="Wingdings" w:hAnsi="Wingdings" w:hint="default"/>
      </w:rPr>
    </w:lvl>
    <w:lvl w:ilvl="3" w:tplc="1436DEDC" w:tentative="1">
      <w:start w:val="1"/>
      <w:numFmt w:val="bullet"/>
      <w:lvlText w:val=""/>
      <w:lvlJc w:val="left"/>
      <w:pPr>
        <w:tabs>
          <w:tab w:val="num" w:pos="5148"/>
        </w:tabs>
        <w:ind w:left="5148" w:hanging="360"/>
      </w:pPr>
      <w:rPr>
        <w:rFonts w:ascii="Symbol" w:hAnsi="Symbol" w:hint="default"/>
      </w:rPr>
    </w:lvl>
    <w:lvl w:ilvl="4" w:tplc="28800834" w:tentative="1">
      <w:start w:val="1"/>
      <w:numFmt w:val="bullet"/>
      <w:lvlText w:val="o"/>
      <w:lvlJc w:val="left"/>
      <w:pPr>
        <w:tabs>
          <w:tab w:val="num" w:pos="5868"/>
        </w:tabs>
        <w:ind w:left="5868" w:hanging="360"/>
      </w:pPr>
      <w:rPr>
        <w:rFonts w:ascii="Courier New" w:hAnsi="Courier New" w:hint="default"/>
      </w:rPr>
    </w:lvl>
    <w:lvl w:ilvl="5" w:tplc="ED32330C" w:tentative="1">
      <w:start w:val="1"/>
      <w:numFmt w:val="bullet"/>
      <w:lvlText w:val=""/>
      <w:lvlJc w:val="left"/>
      <w:pPr>
        <w:tabs>
          <w:tab w:val="num" w:pos="6588"/>
        </w:tabs>
        <w:ind w:left="6588" w:hanging="360"/>
      </w:pPr>
      <w:rPr>
        <w:rFonts w:ascii="Wingdings" w:hAnsi="Wingdings" w:hint="default"/>
      </w:rPr>
    </w:lvl>
    <w:lvl w:ilvl="6" w:tplc="DED29B6C" w:tentative="1">
      <w:start w:val="1"/>
      <w:numFmt w:val="bullet"/>
      <w:lvlText w:val=""/>
      <w:lvlJc w:val="left"/>
      <w:pPr>
        <w:tabs>
          <w:tab w:val="num" w:pos="7308"/>
        </w:tabs>
        <w:ind w:left="7308" w:hanging="360"/>
      </w:pPr>
      <w:rPr>
        <w:rFonts w:ascii="Symbol" w:hAnsi="Symbol" w:hint="default"/>
      </w:rPr>
    </w:lvl>
    <w:lvl w:ilvl="7" w:tplc="F0F2005C" w:tentative="1">
      <w:start w:val="1"/>
      <w:numFmt w:val="bullet"/>
      <w:lvlText w:val="o"/>
      <w:lvlJc w:val="left"/>
      <w:pPr>
        <w:tabs>
          <w:tab w:val="num" w:pos="8028"/>
        </w:tabs>
        <w:ind w:left="8028" w:hanging="360"/>
      </w:pPr>
      <w:rPr>
        <w:rFonts w:ascii="Courier New" w:hAnsi="Courier New" w:hint="default"/>
      </w:rPr>
    </w:lvl>
    <w:lvl w:ilvl="8" w:tplc="447A57C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1327814"/>
    <w:multiLevelType w:val="hybridMultilevel"/>
    <w:tmpl w:val="E788F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8AD07B2"/>
    <w:multiLevelType w:val="hybridMultilevel"/>
    <w:tmpl w:val="36D6316E"/>
    <w:lvl w:ilvl="0" w:tplc="D93451D0">
      <w:start w:val="1"/>
      <w:numFmt w:val="bullet"/>
      <w:pStyle w:val="Bullet1G"/>
      <w:lvlText w:val="•"/>
      <w:lvlJc w:val="left"/>
      <w:pPr>
        <w:tabs>
          <w:tab w:val="num" w:pos="1701"/>
        </w:tabs>
        <w:ind w:left="1701" w:hanging="170"/>
      </w:pPr>
      <w:rPr>
        <w:rFonts w:ascii="Times New Roman" w:hAnsi="Times New Roman" w:cs="Times New Roman" w:hint="default"/>
      </w:rPr>
    </w:lvl>
    <w:lvl w:ilvl="1" w:tplc="195E9B68" w:tentative="1">
      <w:start w:val="1"/>
      <w:numFmt w:val="bullet"/>
      <w:lvlText w:val="o"/>
      <w:lvlJc w:val="left"/>
      <w:pPr>
        <w:tabs>
          <w:tab w:val="num" w:pos="3141"/>
        </w:tabs>
        <w:ind w:left="3141" w:hanging="360"/>
      </w:pPr>
      <w:rPr>
        <w:rFonts w:ascii="Courier New" w:hAnsi="Courier New" w:hint="default"/>
      </w:rPr>
    </w:lvl>
    <w:lvl w:ilvl="2" w:tplc="817A8B0A" w:tentative="1">
      <w:start w:val="1"/>
      <w:numFmt w:val="bullet"/>
      <w:lvlText w:val=""/>
      <w:lvlJc w:val="left"/>
      <w:pPr>
        <w:tabs>
          <w:tab w:val="num" w:pos="3861"/>
        </w:tabs>
        <w:ind w:left="3861" w:hanging="360"/>
      </w:pPr>
      <w:rPr>
        <w:rFonts w:ascii="Wingdings" w:hAnsi="Wingdings" w:hint="default"/>
      </w:rPr>
    </w:lvl>
    <w:lvl w:ilvl="3" w:tplc="A96C3760" w:tentative="1">
      <w:start w:val="1"/>
      <w:numFmt w:val="bullet"/>
      <w:lvlText w:val=""/>
      <w:lvlJc w:val="left"/>
      <w:pPr>
        <w:tabs>
          <w:tab w:val="num" w:pos="4581"/>
        </w:tabs>
        <w:ind w:left="4581" w:hanging="360"/>
      </w:pPr>
      <w:rPr>
        <w:rFonts w:ascii="Symbol" w:hAnsi="Symbol" w:hint="default"/>
      </w:rPr>
    </w:lvl>
    <w:lvl w:ilvl="4" w:tplc="EF90E720" w:tentative="1">
      <w:start w:val="1"/>
      <w:numFmt w:val="bullet"/>
      <w:lvlText w:val="o"/>
      <w:lvlJc w:val="left"/>
      <w:pPr>
        <w:tabs>
          <w:tab w:val="num" w:pos="5301"/>
        </w:tabs>
        <w:ind w:left="5301" w:hanging="360"/>
      </w:pPr>
      <w:rPr>
        <w:rFonts w:ascii="Courier New" w:hAnsi="Courier New" w:hint="default"/>
      </w:rPr>
    </w:lvl>
    <w:lvl w:ilvl="5" w:tplc="552E1860" w:tentative="1">
      <w:start w:val="1"/>
      <w:numFmt w:val="bullet"/>
      <w:lvlText w:val=""/>
      <w:lvlJc w:val="left"/>
      <w:pPr>
        <w:tabs>
          <w:tab w:val="num" w:pos="6021"/>
        </w:tabs>
        <w:ind w:left="6021" w:hanging="360"/>
      </w:pPr>
      <w:rPr>
        <w:rFonts w:ascii="Wingdings" w:hAnsi="Wingdings" w:hint="default"/>
      </w:rPr>
    </w:lvl>
    <w:lvl w:ilvl="6" w:tplc="70AC05A6" w:tentative="1">
      <w:start w:val="1"/>
      <w:numFmt w:val="bullet"/>
      <w:lvlText w:val=""/>
      <w:lvlJc w:val="left"/>
      <w:pPr>
        <w:tabs>
          <w:tab w:val="num" w:pos="6741"/>
        </w:tabs>
        <w:ind w:left="6741" w:hanging="360"/>
      </w:pPr>
      <w:rPr>
        <w:rFonts w:ascii="Symbol" w:hAnsi="Symbol" w:hint="default"/>
      </w:rPr>
    </w:lvl>
    <w:lvl w:ilvl="7" w:tplc="03E4BB16" w:tentative="1">
      <w:start w:val="1"/>
      <w:numFmt w:val="bullet"/>
      <w:lvlText w:val="o"/>
      <w:lvlJc w:val="left"/>
      <w:pPr>
        <w:tabs>
          <w:tab w:val="num" w:pos="7461"/>
        </w:tabs>
        <w:ind w:left="7461" w:hanging="360"/>
      </w:pPr>
      <w:rPr>
        <w:rFonts w:ascii="Courier New" w:hAnsi="Courier New" w:hint="default"/>
      </w:rPr>
    </w:lvl>
    <w:lvl w:ilvl="8" w:tplc="BDAABE76"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5836B6A"/>
    <w:multiLevelType w:val="hybridMultilevel"/>
    <w:tmpl w:val="21AAFA0E"/>
    <w:lvl w:ilvl="0" w:tplc="864C8370">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277634393">
    <w:abstractNumId w:val="14"/>
  </w:num>
  <w:num w:numId="2" w16cid:durableId="1774396385">
    <w:abstractNumId w:val="12"/>
  </w:num>
  <w:num w:numId="3" w16cid:durableId="376852606">
    <w:abstractNumId w:val="10"/>
  </w:num>
  <w:num w:numId="4" w16cid:durableId="24714224">
    <w:abstractNumId w:val="8"/>
  </w:num>
  <w:num w:numId="5" w16cid:durableId="1922835353">
    <w:abstractNumId w:val="3"/>
  </w:num>
  <w:num w:numId="6" w16cid:durableId="476074291">
    <w:abstractNumId w:val="2"/>
  </w:num>
  <w:num w:numId="7" w16cid:durableId="1258245218">
    <w:abstractNumId w:val="1"/>
  </w:num>
  <w:num w:numId="8" w16cid:durableId="1219513788">
    <w:abstractNumId w:val="0"/>
  </w:num>
  <w:num w:numId="9" w16cid:durableId="662783855">
    <w:abstractNumId w:val="9"/>
  </w:num>
  <w:num w:numId="10" w16cid:durableId="1883469727">
    <w:abstractNumId w:val="7"/>
  </w:num>
  <w:num w:numId="11" w16cid:durableId="44568774">
    <w:abstractNumId w:val="6"/>
  </w:num>
  <w:num w:numId="12" w16cid:durableId="1773207566">
    <w:abstractNumId w:val="5"/>
  </w:num>
  <w:num w:numId="13" w16cid:durableId="1540817004">
    <w:abstractNumId w:val="4"/>
  </w:num>
  <w:num w:numId="14" w16cid:durableId="1227256734">
    <w:abstractNumId w:val="14"/>
  </w:num>
  <w:num w:numId="15" w16cid:durableId="2109033337">
    <w:abstractNumId w:val="12"/>
  </w:num>
  <w:num w:numId="16" w16cid:durableId="1871644869">
    <w:abstractNumId w:val="10"/>
  </w:num>
  <w:num w:numId="17" w16cid:durableId="1849782968">
    <w:abstractNumId w:val="11"/>
  </w:num>
  <w:num w:numId="18" w16cid:durableId="1317763913">
    <w:abstractNumId w:val="15"/>
  </w:num>
  <w:num w:numId="19" w16cid:durableId="14549840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1856"/>
    <w:rsid w:val="00017F94"/>
    <w:rsid w:val="00023842"/>
    <w:rsid w:val="000334F9"/>
    <w:rsid w:val="00035EA9"/>
    <w:rsid w:val="0007796D"/>
    <w:rsid w:val="000860BB"/>
    <w:rsid w:val="000A62DE"/>
    <w:rsid w:val="000B4C9F"/>
    <w:rsid w:val="000B7790"/>
    <w:rsid w:val="000C2875"/>
    <w:rsid w:val="000C390E"/>
    <w:rsid w:val="000D360A"/>
    <w:rsid w:val="000D6818"/>
    <w:rsid w:val="000F38B7"/>
    <w:rsid w:val="001067B9"/>
    <w:rsid w:val="00111F2F"/>
    <w:rsid w:val="0014365E"/>
    <w:rsid w:val="001459C9"/>
    <w:rsid w:val="00150DB2"/>
    <w:rsid w:val="00176178"/>
    <w:rsid w:val="001D64AF"/>
    <w:rsid w:val="001E498C"/>
    <w:rsid w:val="001F525A"/>
    <w:rsid w:val="00207A4B"/>
    <w:rsid w:val="00223272"/>
    <w:rsid w:val="00226940"/>
    <w:rsid w:val="0024779E"/>
    <w:rsid w:val="0028176C"/>
    <w:rsid w:val="002914E8"/>
    <w:rsid w:val="00291F1D"/>
    <w:rsid w:val="002A0540"/>
    <w:rsid w:val="002E4316"/>
    <w:rsid w:val="00353ED5"/>
    <w:rsid w:val="0037014C"/>
    <w:rsid w:val="0039005B"/>
    <w:rsid w:val="003A2FE2"/>
    <w:rsid w:val="003B070B"/>
    <w:rsid w:val="003D1AD0"/>
    <w:rsid w:val="003D237C"/>
    <w:rsid w:val="003E36EF"/>
    <w:rsid w:val="003F1369"/>
    <w:rsid w:val="0041336D"/>
    <w:rsid w:val="00437041"/>
    <w:rsid w:val="00446FE5"/>
    <w:rsid w:val="00452396"/>
    <w:rsid w:val="004562D5"/>
    <w:rsid w:val="00467BF9"/>
    <w:rsid w:val="004713CC"/>
    <w:rsid w:val="00471BC6"/>
    <w:rsid w:val="00475149"/>
    <w:rsid w:val="00546F98"/>
    <w:rsid w:val="005505B7"/>
    <w:rsid w:val="00573BE5"/>
    <w:rsid w:val="00582D63"/>
    <w:rsid w:val="00586ED3"/>
    <w:rsid w:val="005908F6"/>
    <w:rsid w:val="00596AA9"/>
    <w:rsid w:val="005B6BC9"/>
    <w:rsid w:val="005E1BBB"/>
    <w:rsid w:val="005F0C39"/>
    <w:rsid w:val="006056E0"/>
    <w:rsid w:val="00610A43"/>
    <w:rsid w:val="00640E26"/>
    <w:rsid w:val="006910CE"/>
    <w:rsid w:val="007027D0"/>
    <w:rsid w:val="00705EF3"/>
    <w:rsid w:val="00706E82"/>
    <w:rsid w:val="00713E8A"/>
    <w:rsid w:val="0071601D"/>
    <w:rsid w:val="00720B19"/>
    <w:rsid w:val="0072392D"/>
    <w:rsid w:val="00727152"/>
    <w:rsid w:val="00740B20"/>
    <w:rsid w:val="00766CEC"/>
    <w:rsid w:val="007A62E6"/>
    <w:rsid w:val="007B278B"/>
    <w:rsid w:val="007C279D"/>
    <w:rsid w:val="007F285C"/>
    <w:rsid w:val="007F5D70"/>
    <w:rsid w:val="0080684C"/>
    <w:rsid w:val="00815502"/>
    <w:rsid w:val="00830D6A"/>
    <w:rsid w:val="008463A9"/>
    <w:rsid w:val="008525F7"/>
    <w:rsid w:val="00856A10"/>
    <w:rsid w:val="008671BF"/>
    <w:rsid w:val="00867D17"/>
    <w:rsid w:val="00870940"/>
    <w:rsid w:val="00871C75"/>
    <w:rsid w:val="008776DC"/>
    <w:rsid w:val="008A0E26"/>
    <w:rsid w:val="008A1944"/>
    <w:rsid w:val="008A36BD"/>
    <w:rsid w:val="008C7952"/>
    <w:rsid w:val="008F69EF"/>
    <w:rsid w:val="009052AD"/>
    <w:rsid w:val="00957790"/>
    <w:rsid w:val="009705C8"/>
    <w:rsid w:val="009758C6"/>
    <w:rsid w:val="00981901"/>
    <w:rsid w:val="009E06AD"/>
    <w:rsid w:val="009F65C5"/>
    <w:rsid w:val="00A12E17"/>
    <w:rsid w:val="00A4620C"/>
    <w:rsid w:val="00AB2A14"/>
    <w:rsid w:val="00AC3823"/>
    <w:rsid w:val="00AC6725"/>
    <w:rsid w:val="00AC7C7A"/>
    <w:rsid w:val="00AD674F"/>
    <w:rsid w:val="00AE1EA0"/>
    <w:rsid w:val="00AE2A62"/>
    <w:rsid w:val="00AE323C"/>
    <w:rsid w:val="00AE58FC"/>
    <w:rsid w:val="00B00181"/>
    <w:rsid w:val="00B33DFE"/>
    <w:rsid w:val="00B43C66"/>
    <w:rsid w:val="00B73690"/>
    <w:rsid w:val="00B765F7"/>
    <w:rsid w:val="00B80BD3"/>
    <w:rsid w:val="00BA0CA9"/>
    <w:rsid w:val="00BA48D5"/>
    <w:rsid w:val="00BC4CFE"/>
    <w:rsid w:val="00BE4745"/>
    <w:rsid w:val="00BF08E1"/>
    <w:rsid w:val="00BF3C2C"/>
    <w:rsid w:val="00C02897"/>
    <w:rsid w:val="00C02B10"/>
    <w:rsid w:val="00C54ED5"/>
    <w:rsid w:val="00CA3912"/>
    <w:rsid w:val="00CC2887"/>
    <w:rsid w:val="00CD6A85"/>
    <w:rsid w:val="00CE09CD"/>
    <w:rsid w:val="00CF22E4"/>
    <w:rsid w:val="00D00DEE"/>
    <w:rsid w:val="00D02F73"/>
    <w:rsid w:val="00D035FD"/>
    <w:rsid w:val="00D14651"/>
    <w:rsid w:val="00D3439C"/>
    <w:rsid w:val="00D667ED"/>
    <w:rsid w:val="00D95475"/>
    <w:rsid w:val="00DA22F4"/>
    <w:rsid w:val="00DA7434"/>
    <w:rsid w:val="00DB1831"/>
    <w:rsid w:val="00DB69F8"/>
    <w:rsid w:val="00DD3BFD"/>
    <w:rsid w:val="00DF6678"/>
    <w:rsid w:val="00E018E1"/>
    <w:rsid w:val="00E22CF2"/>
    <w:rsid w:val="00E31448"/>
    <w:rsid w:val="00E506F1"/>
    <w:rsid w:val="00E52D9F"/>
    <w:rsid w:val="00E541B9"/>
    <w:rsid w:val="00E95F91"/>
    <w:rsid w:val="00EA0791"/>
    <w:rsid w:val="00EE22B5"/>
    <w:rsid w:val="00EF4916"/>
    <w:rsid w:val="00F03F41"/>
    <w:rsid w:val="00F164B0"/>
    <w:rsid w:val="00F43810"/>
    <w:rsid w:val="00F56E2A"/>
    <w:rsid w:val="00F61EB3"/>
    <w:rsid w:val="00F660DF"/>
    <w:rsid w:val="00F73502"/>
    <w:rsid w:val="00F80094"/>
    <w:rsid w:val="00F95C08"/>
    <w:rsid w:val="00FD3261"/>
    <w:rsid w:val="00FD391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F133C"/>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E1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D00DEE"/>
    <w:pPr>
      <w:keepNext/>
      <w:keepLines/>
      <w:spacing w:after="0" w:line="240" w:lineRule="auto"/>
      <w:ind w:right="0"/>
      <w:jc w:val="left"/>
      <w:outlineLvl w:val="0"/>
    </w:pPr>
  </w:style>
  <w:style w:type="paragraph" w:styleId="Titre2">
    <w:name w:val="heading 2"/>
    <w:basedOn w:val="Normal"/>
    <w:next w:val="Normal"/>
    <w:link w:val="Titre2Car"/>
    <w:semiHidden/>
    <w:qFormat/>
    <w:rsid w:val="00D00DEE"/>
    <w:pPr>
      <w:outlineLvl w:val="1"/>
    </w:pPr>
  </w:style>
  <w:style w:type="paragraph" w:styleId="Titre3">
    <w:name w:val="heading 3"/>
    <w:basedOn w:val="Normal"/>
    <w:next w:val="Normal"/>
    <w:link w:val="Titre3Car"/>
    <w:semiHidden/>
    <w:qFormat/>
    <w:rsid w:val="00D00DEE"/>
    <w:pPr>
      <w:outlineLvl w:val="2"/>
    </w:pPr>
  </w:style>
  <w:style w:type="paragraph" w:styleId="Titre4">
    <w:name w:val="heading 4"/>
    <w:basedOn w:val="Normal"/>
    <w:next w:val="Normal"/>
    <w:link w:val="Titre4Car"/>
    <w:semiHidden/>
    <w:qFormat/>
    <w:rsid w:val="00D00DEE"/>
    <w:pPr>
      <w:outlineLvl w:val="3"/>
    </w:pPr>
  </w:style>
  <w:style w:type="paragraph" w:styleId="Titre5">
    <w:name w:val="heading 5"/>
    <w:basedOn w:val="Normal"/>
    <w:next w:val="Normal"/>
    <w:link w:val="Titre5Car"/>
    <w:semiHidden/>
    <w:qFormat/>
    <w:rsid w:val="00D00DEE"/>
    <w:pPr>
      <w:outlineLvl w:val="4"/>
    </w:pPr>
  </w:style>
  <w:style w:type="paragraph" w:styleId="Titre6">
    <w:name w:val="heading 6"/>
    <w:basedOn w:val="Normal"/>
    <w:next w:val="Normal"/>
    <w:link w:val="Titre6Car"/>
    <w:semiHidden/>
    <w:qFormat/>
    <w:rsid w:val="00D00DEE"/>
    <w:pPr>
      <w:outlineLvl w:val="5"/>
    </w:pPr>
  </w:style>
  <w:style w:type="paragraph" w:styleId="Titre7">
    <w:name w:val="heading 7"/>
    <w:basedOn w:val="Normal"/>
    <w:next w:val="Normal"/>
    <w:link w:val="Titre7Car"/>
    <w:semiHidden/>
    <w:qFormat/>
    <w:rsid w:val="00D00DEE"/>
    <w:pPr>
      <w:outlineLvl w:val="6"/>
    </w:pPr>
  </w:style>
  <w:style w:type="paragraph" w:styleId="Titre8">
    <w:name w:val="heading 8"/>
    <w:basedOn w:val="Normal"/>
    <w:next w:val="Normal"/>
    <w:link w:val="Titre8Car"/>
    <w:semiHidden/>
    <w:qFormat/>
    <w:rsid w:val="00D00DEE"/>
    <w:pPr>
      <w:outlineLvl w:val="7"/>
    </w:pPr>
  </w:style>
  <w:style w:type="paragraph" w:styleId="Titre9">
    <w:name w:val="heading 9"/>
    <w:basedOn w:val="Normal"/>
    <w:next w:val="Normal"/>
    <w:link w:val="Titre9Car"/>
    <w:semiHidden/>
    <w:qFormat/>
    <w:rsid w:val="00D00DEE"/>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00DE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00DEE"/>
    <w:rPr>
      <w:rFonts w:ascii="Times New Roman" w:hAnsi="Times New Roman" w:cs="Times New Roman"/>
      <w:b/>
      <w:sz w:val="18"/>
      <w:szCs w:val="20"/>
    </w:rPr>
  </w:style>
  <w:style w:type="paragraph" w:styleId="Pieddepage">
    <w:name w:val="footer"/>
    <w:aliases w:val="3_G"/>
    <w:basedOn w:val="Normal"/>
    <w:next w:val="Normal"/>
    <w:link w:val="PieddepageCar"/>
    <w:qFormat/>
    <w:rsid w:val="00D00DEE"/>
    <w:pPr>
      <w:spacing w:line="240" w:lineRule="auto"/>
    </w:pPr>
    <w:rPr>
      <w:sz w:val="16"/>
    </w:rPr>
  </w:style>
  <w:style w:type="character" w:customStyle="1" w:styleId="PieddepageCar">
    <w:name w:val="Pied de page Car"/>
    <w:aliases w:val="3_G Car"/>
    <w:basedOn w:val="Policepardfaut"/>
    <w:link w:val="Pieddepage"/>
    <w:rsid w:val="00D00DEE"/>
    <w:rPr>
      <w:rFonts w:ascii="Times New Roman" w:hAnsi="Times New Roman" w:cs="Times New Roman"/>
      <w:sz w:val="16"/>
      <w:szCs w:val="20"/>
    </w:rPr>
  </w:style>
  <w:style w:type="paragraph" w:customStyle="1" w:styleId="HMG">
    <w:name w:val="_ H __M_G"/>
    <w:basedOn w:val="Normal"/>
    <w:next w:val="Normal"/>
    <w:qFormat/>
    <w:rsid w:val="00467BF9"/>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467BF9"/>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467BF9"/>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467BF9"/>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467BF9"/>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467BF9"/>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AB2A14"/>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D00DEE"/>
    <w:pPr>
      <w:keepNext/>
      <w:keepLines/>
      <w:spacing w:before="240" w:after="240" w:line="580" w:lineRule="exact"/>
      <w:ind w:left="1134" w:right="1134"/>
    </w:pPr>
    <w:rPr>
      <w:b/>
      <w:sz w:val="56"/>
    </w:rPr>
  </w:style>
  <w:style w:type="paragraph" w:customStyle="1" w:styleId="SMG">
    <w:name w:val="__S_M_G"/>
    <w:basedOn w:val="Normal"/>
    <w:next w:val="Normal"/>
    <w:rsid w:val="00D00DEE"/>
    <w:pPr>
      <w:keepNext/>
      <w:keepLines/>
      <w:spacing w:before="240" w:after="240" w:line="420" w:lineRule="exact"/>
      <w:ind w:left="1134" w:right="1134"/>
    </w:pPr>
    <w:rPr>
      <w:b/>
      <w:sz w:val="40"/>
    </w:rPr>
  </w:style>
  <w:style w:type="paragraph" w:customStyle="1" w:styleId="SSG">
    <w:name w:val="__S_S_G"/>
    <w:basedOn w:val="Normal"/>
    <w:next w:val="Normal"/>
    <w:rsid w:val="00D00DEE"/>
    <w:pPr>
      <w:keepNext/>
      <w:keepLines/>
      <w:spacing w:before="240" w:after="240" w:line="300" w:lineRule="exact"/>
      <w:ind w:left="1134" w:right="1134"/>
    </w:pPr>
    <w:rPr>
      <w:b/>
      <w:sz w:val="28"/>
    </w:rPr>
  </w:style>
  <w:style w:type="paragraph" w:customStyle="1" w:styleId="XLargeG">
    <w:name w:val="__XLarge_G"/>
    <w:basedOn w:val="Normal"/>
    <w:next w:val="Normal"/>
    <w:rsid w:val="00D00DEE"/>
    <w:pPr>
      <w:keepNext/>
      <w:keepLines/>
      <w:spacing w:before="240" w:after="240" w:line="420" w:lineRule="exact"/>
      <w:ind w:left="1134" w:right="1134"/>
    </w:pPr>
    <w:rPr>
      <w:b/>
      <w:sz w:val="40"/>
    </w:rPr>
  </w:style>
  <w:style w:type="paragraph" w:customStyle="1" w:styleId="Bullet1G">
    <w:name w:val="_Bullet 1_G"/>
    <w:basedOn w:val="Normal"/>
    <w:qFormat/>
    <w:rsid w:val="00D00DEE"/>
    <w:pPr>
      <w:numPr>
        <w:numId w:val="14"/>
      </w:numPr>
      <w:spacing w:after="120"/>
      <w:ind w:right="1134"/>
      <w:jc w:val="both"/>
    </w:pPr>
  </w:style>
  <w:style w:type="paragraph" w:customStyle="1" w:styleId="Bullet2G">
    <w:name w:val="_Bullet 2_G"/>
    <w:basedOn w:val="Normal"/>
    <w:qFormat/>
    <w:rsid w:val="00D00DEE"/>
    <w:pPr>
      <w:numPr>
        <w:numId w:val="15"/>
      </w:numPr>
      <w:spacing w:after="120"/>
      <w:ind w:right="1134"/>
      <w:jc w:val="both"/>
    </w:pPr>
  </w:style>
  <w:style w:type="paragraph" w:customStyle="1" w:styleId="ParNoG">
    <w:name w:val="_ParNo_G"/>
    <w:basedOn w:val="Normal"/>
    <w:qFormat/>
    <w:rsid w:val="00D00DEE"/>
    <w:pPr>
      <w:numPr>
        <w:numId w:val="16"/>
      </w:numPr>
      <w:tabs>
        <w:tab w:val="clear" w:pos="1701"/>
      </w:tabs>
      <w:spacing w:after="120"/>
      <w:ind w:right="1134"/>
      <w:jc w:val="both"/>
    </w:pPr>
  </w:style>
  <w:style w:type="character" w:styleId="Appelnotedebasdep">
    <w:name w:val="footnote reference"/>
    <w:aliases w:val="4_G"/>
    <w:basedOn w:val="Policepardfaut"/>
    <w:uiPriority w:val="99"/>
    <w:qFormat/>
    <w:rsid w:val="00D00DEE"/>
    <w:rPr>
      <w:rFonts w:ascii="Times New Roman" w:hAnsi="Times New Roman"/>
      <w:sz w:val="18"/>
      <w:vertAlign w:val="superscript"/>
      <w:lang w:val="fr-CH"/>
    </w:rPr>
  </w:style>
  <w:style w:type="character" w:styleId="Appeldenotedefin">
    <w:name w:val="endnote reference"/>
    <w:aliases w:val="1_G"/>
    <w:basedOn w:val="Appelnotedebasdep"/>
    <w:qFormat/>
    <w:rsid w:val="00D00DEE"/>
    <w:rPr>
      <w:rFonts w:ascii="Times New Roman" w:hAnsi="Times New Roman"/>
      <w:sz w:val="18"/>
      <w:vertAlign w:val="superscript"/>
      <w:lang w:val="fr-CH"/>
    </w:rPr>
  </w:style>
  <w:style w:type="table" w:styleId="Grilledutableau">
    <w:name w:val="Table Grid"/>
    <w:basedOn w:val="TableauNormal"/>
    <w:rsid w:val="00D00DEE"/>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00DEE"/>
    <w:rPr>
      <w:color w:val="0000FF"/>
      <w:u w:val="none"/>
    </w:rPr>
  </w:style>
  <w:style w:type="character" w:styleId="Lienhypertextesuivivisit">
    <w:name w:val="FollowedHyperlink"/>
    <w:basedOn w:val="Policepardfaut"/>
    <w:unhideWhenUsed/>
    <w:rsid w:val="00D00DEE"/>
    <w:rPr>
      <w:color w:val="0000FF"/>
      <w:u w:val="none"/>
    </w:rPr>
  </w:style>
  <w:style w:type="paragraph" w:styleId="Notedebasdepage">
    <w:name w:val="footnote text"/>
    <w:aliases w:val="5_G, Car, Car Char, Car Car Car Car, Car Car Car,Note de bas de page Car Car Car Car,Note de bas de page Car Car Car Car Car Car Car,Note de bas de page Car Car Car Car Car Car,Note de bas de page Car Car Car ,Car,Car Char, Carácter"/>
    <w:basedOn w:val="Normal"/>
    <w:link w:val="NotedebasdepageCar"/>
    <w:uiPriority w:val="99"/>
    <w:qFormat/>
    <w:rsid w:val="00D00DE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D00DEE"/>
    <w:rPr>
      <w:rFonts w:ascii="Times New Roman" w:hAnsi="Times New Roman" w:cs="Times New Roman"/>
      <w:sz w:val="18"/>
      <w:szCs w:val="20"/>
    </w:rPr>
  </w:style>
  <w:style w:type="paragraph" w:styleId="Notedefin">
    <w:name w:val="endnote text"/>
    <w:aliases w:val="2_G"/>
    <w:basedOn w:val="Notedebasdepage"/>
    <w:link w:val="NotedefinCar"/>
    <w:qFormat/>
    <w:rsid w:val="00D00DEE"/>
  </w:style>
  <w:style w:type="character" w:customStyle="1" w:styleId="NotedefinCar">
    <w:name w:val="Note de fin Car"/>
    <w:aliases w:val="2_G Car"/>
    <w:basedOn w:val="Policepardfaut"/>
    <w:link w:val="Notedefin"/>
    <w:rsid w:val="00D00DEE"/>
    <w:rPr>
      <w:rFonts w:ascii="Times New Roman" w:hAnsi="Times New Roman" w:cs="Times New Roman"/>
      <w:sz w:val="18"/>
      <w:szCs w:val="20"/>
    </w:rPr>
  </w:style>
  <w:style w:type="character" w:styleId="Numrodepage">
    <w:name w:val="page number"/>
    <w:aliases w:val="7_G"/>
    <w:basedOn w:val="Policepardfaut"/>
    <w:qFormat/>
    <w:rsid w:val="00D00DEE"/>
    <w:rPr>
      <w:rFonts w:ascii="Times New Roman" w:hAnsi="Times New Roman"/>
      <w:b/>
      <w:sz w:val="18"/>
      <w:lang w:val="fr-CH"/>
    </w:rPr>
  </w:style>
  <w:style w:type="character" w:customStyle="1" w:styleId="Titre1Car">
    <w:name w:val="Titre 1 Car"/>
    <w:aliases w:val="Table_G Car"/>
    <w:basedOn w:val="Policepardfaut"/>
    <w:link w:val="Titre1"/>
    <w:rsid w:val="00D00DEE"/>
    <w:rPr>
      <w:rFonts w:ascii="Times New Roman" w:hAnsi="Times New Roman" w:cs="Times New Roman"/>
      <w:sz w:val="20"/>
      <w:szCs w:val="20"/>
    </w:rPr>
  </w:style>
  <w:style w:type="character" w:customStyle="1" w:styleId="Titre2Car">
    <w:name w:val="Titre 2 Car"/>
    <w:basedOn w:val="Policepardfaut"/>
    <w:link w:val="Titre2"/>
    <w:semiHidden/>
    <w:rsid w:val="00D00DEE"/>
    <w:rPr>
      <w:rFonts w:ascii="Times New Roman" w:hAnsi="Times New Roman" w:cs="Times New Roman"/>
      <w:sz w:val="20"/>
      <w:szCs w:val="20"/>
    </w:rPr>
  </w:style>
  <w:style w:type="character" w:customStyle="1" w:styleId="Titre3Car">
    <w:name w:val="Titre 3 Car"/>
    <w:basedOn w:val="Policepardfaut"/>
    <w:link w:val="Titre3"/>
    <w:semiHidden/>
    <w:rsid w:val="00D00DEE"/>
    <w:rPr>
      <w:rFonts w:ascii="Times New Roman" w:hAnsi="Times New Roman" w:cs="Times New Roman"/>
      <w:sz w:val="20"/>
      <w:szCs w:val="20"/>
    </w:rPr>
  </w:style>
  <w:style w:type="character" w:customStyle="1" w:styleId="Titre4Car">
    <w:name w:val="Titre 4 Car"/>
    <w:basedOn w:val="Policepardfaut"/>
    <w:link w:val="Titre4"/>
    <w:semiHidden/>
    <w:rsid w:val="00D00DEE"/>
    <w:rPr>
      <w:rFonts w:ascii="Times New Roman" w:hAnsi="Times New Roman" w:cs="Times New Roman"/>
      <w:sz w:val="20"/>
      <w:szCs w:val="20"/>
    </w:rPr>
  </w:style>
  <w:style w:type="character" w:customStyle="1" w:styleId="Titre5Car">
    <w:name w:val="Titre 5 Car"/>
    <w:basedOn w:val="Policepardfaut"/>
    <w:link w:val="Titre5"/>
    <w:semiHidden/>
    <w:rsid w:val="00D00DEE"/>
    <w:rPr>
      <w:rFonts w:ascii="Times New Roman" w:hAnsi="Times New Roman" w:cs="Times New Roman"/>
      <w:sz w:val="20"/>
      <w:szCs w:val="20"/>
    </w:rPr>
  </w:style>
  <w:style w:type="character" w:customStyle="1" w:styleId="Titre6Car">
    <w:name w:val="Titre 6 Car"/>
    <w:basedOn w:val="Policepardfaut"/>
    <w:link w:val="Titre6"/>
    <w:semiHidden/>
    <w:rsid w:val="00D00DEE"/>
    <w:rPr>
      <w:rFonts w:ascii="Times New Roman" w:hAnsi="Times New Roman" w:cs="Times New Roman"/>
      <w:sz w:val="20"/>
      <w:szCs w:val="20"/>
    </w:rPr>
  </w:style>
  <w:style w:type="character" w:customStyle="1" w:styleId="Titre7Car">
    <w:name w:val="Titre 7 Car"/>
    <w:basedOn w:val="Policepardfaut"/>
    <w:link w:val="Titre7"/>
    <w:semiHidden/>
    <w:rsid w:val="00D00DEE"/>
    <w:rPr>
      <w:rFonts w:ascii="Times New Roman" w:hAnsi="Times New Roman" w:cs="Times New Roman"/>
      <w:sz w:val="20"/>
      <w:szCs w:val="20"/>
    </w:rPr>
  </w:style>
  <w:style w:type="character" w:customStyle="1" w:styleId="Titre8Car">
    <w:name w:val="Titre 8 Car"/>
    <w:basedOn w:val="Policepardfaut"/>
    <w:link w:val="Titre8"/>
    <w:semiHidden/>
    <w:rsid w:val="00D00DEE"/>
    <w:rPr>
      <w:rFonts w:ascii="Times New Roman" w:hAnsi="Times New Roman" w:cs="Times New Roman"/>
      <w:sz w:val="20"/>
      <w:szCs w:val="20"/>
    </w:rPr>
  </w:style>
  <w:style w:type="character" w:customStyle="1" w:styleId="Titre9Car">
    <w:name w:val="Titre 9 Car"/>
    <w:basedOn w:val="Policepardfaut"/>
    <w:link w:val="Titre9"/>
    <w:semiHidden/>
    <w:rsid w:val="00D00DEE"/>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styleId="Mentionnonrsolue">
    <w:name w:val="Unresolved Mention"/>
    <w:basedOn w:val="Policepardfaut"/>
    <w:uiPriority w:val="99"/>
    <w:semiHidden/>
    <w:unhideWhenUsed/>
    <w:rsid w:val="003D237C"/>
    <w:rPr>
      <w:color w:val="605E5C"/>
      <w:shd w:val="clear" w:color="auto" w:fill="E1DFDD"/>
    </w:rPr>
  </w:style>
  <w:style w:type="character" w:styleId="Marquedecommentaire">
    <w:name w:val="annotation reference"/>
    <w:basedOn w:val="Policepardfaut"/>
    <w:uiPriority w:val="99"/>
    <w:semiHidden/>
    <w:unhideWhenUsed/>
    <w:rsid w:val="00D95475"/>
    <w:rPr>
      <w:sz w:val="16"/>
      <w:szCs w:val="16"/>
    </w:rPr>
  </w:style>
  <w:style w:type="paragraph" w:styleId="Commentaire">
    <w:name w:val="annotation text"/>
    <w:basedOn w:val="Normal"/>
    <w:link w:val="CommentaireCar"/>
    <w:uiPriority w:val="99"/>
    <w:semiHidden/>
    <w:unhideWhenUsed/>
    <w:rsid w:val="00D95475"/>
    <w:pPr>
      <w:spacing w:line="240" w:lineRule="auto"/>
    </w:pPr>
  </w:style>
  <w:style w:type="character" w:customStyle="1" w:styleId="CommentaireCar">
    <w:name w:val="Commentaire Car"/>
    <w:basedOn w:val="Policepardfaut"/>
    <w:link w:val="Commentaire"/>
    <w:uiPriority w:val="99"/>
    <w:semiHidden/>
    <w:rsid w:val="00D95475"/>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D95475"/>
    <w:rPr>
      <w:b/>
      <w:bCs/>
    </w:rPr>
  </w:style>
  <w:style w:type="character" w:customStyle="1" w:styleId="ObjetducommentaireCar">
    <w:name w:val="Objet du commentaire Car"/>
    <w:basedOn w:val="CommentaireCar"/>
    <w:link w:val="Objetducommentaire"/>
    <w:uiPriority w:val="99"/>
    <w:semiHidden/>
    <w:rsid w:val="00D95475"/>
    <w:rPr>
      <w:rFonts w:ascii="Times New Roman" w:hAnsi="Times New Roman" w:cs="Times New Roman"/>
      <w:b/>
      <w:bCs/>
      <w:sz w:val="20"/>
      <w:szCs w:val="20"/>
    </w:rPr>
  </w:style>
  <w:style w:type="paragraph" w:customStyle="1" w:styleId="Default">
    <w:name w:val="Default"/>
    <w:rsid w:val="00DB69F8"/>
    <w:pPr>
      <w:autoSpaceDE w:val="0"/>
      <w:autoSpaceDN w:val="0"/>
      <w:adjustRightInd w:val="0"/>
      <w:spacing w:after="0" w:line="240" w:lineRule="auto"/>
    </w:pPr>
    <w:rPr>
      <w:rFonts w:ascii="Times New Roman" w:eastAsia="Calibri" w:hAnsi="Times New Roman" w:cs="Times New Roman"/>
      <w:color w:val="000000"/>
      <w:sz w:val="24"/>
      <w:szCs w:val="24"/>
      <w:lang w:val="fr-FR" w:eastAsia="fr-FR"/>
    </w:rPr>
  </w:style>
  <w:style w:type="paragraph" w:customStyle="1" w:styleId="Pardfaut">
    <w:name w:val="Par défaut"/>
    <w:rsid w:val="00DB69F8"/>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fr-FR" w:eastAsia="fr-FR"/>
    </w:rPr>
  </w:style>
  <w:style w:type="character" w:styleId="Accentuation">
    <w:name w:val="Emphasis"/>
    <w:uiPriority w:val="20"/>
    <w:qFormat/>
    <w:rsid w:val="00DB69F8"/>
    <w:rPr>
      <w:i/>
      <w:iCs/>
    </w:rPr>
  </w:style>
  <w:style w:type="paragraph" w:styleId="Paragraphedeliste">
    <w:name w:val="List Paragraph"/>
    <w:basedOn w:val="Normal"/>
    <w:uiPriority w:val="34"/>
    <w:semiHidden/>
    <w:qFormat/>
    <w:rsid w:val="005F0C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ncdh.fr/fr/publicatio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ncdh.f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senat.fr/leg/ppl25-324.html" TargetMode="External"/><Relationship Id="rId3" Type="http://schemas.openxmlformats.org/officeDocument/2006/relationships/hyperlink" Target="https://www.cncdh.fr/actualite/avis-portant-evaluation-du-plan-national-pour-legalite-des-droits-contre-la-haine-et-les" TargetMode="External"/><Relationship Id="rId7" Type="http://schemas.openxmlformats.org/officeDocument/2006/relationships/hyperlink" Target="https://www.assemblee-nationale.fr/dyn/17/rapports/ceesnuc/l17b1558-ti_rapport-enquete.pdf" TargetMode="External"/><Relationship Id="rId12" Type="http://schemas.openxmlformats.org/officeDocument/2006/relationships/hyperlink" Target="https://www.interieur.gouv.fr/actualites/communiques-de-presse/rapport-denquete-vecu-et-ressenti-en-matiere-de-securite-2023" TargetMode="External"/><Relationship Id="rId2" Type="http://schemas.openxmlformats.org/officeDocument/2006/relationships/hyperlink" Target="https://tbinternet.ohchr.org/_layouts/15/treatybodyexternal/Download.aspx?symbolno=INT%2FCEDAW%2FNHS%2FFRA%2F55903&amp;Lang=en" TargetMode="External"/><Relationship Id="rId1" Type="http://schemas.openxmlformats.org/officeDocument/2006/relationships/hyperlink" Target="https://tbinternet.ohchr.org/_layouts/15/treatybodyexternal/Download.aspx?symbolno=INT%2FCEDAW%2FIFN%2FFRA%2F48000&amp;Lang=en" TargetMode="External"/><Relationship Id="rId6" Type="http://schemas.openxmlformats.org/officeDocument/2006/relationships/hyperlink" Target="https://www.lnc.nc/article/monde/pacifique/polynesie-francaise/sante/environnement/ils-nous-ont-empoisonnes-vivre-apres-les-essais-nucleaires" TargetMode="External"/><Relationship Id="rId11" Type="http://schemas.openxmlformats.org/officeDocument/2006/relationships/hyperlink" Target="https://www.legifrance.gouv.fr/jorf/id/JORFTEXT000052533258" TargetMode="External"/><Relationship Id="rId5" Type="http://schemas.openxmlformats.org/officeDocument/2006/relationships/hyperlink" Target="https://www.haut-conseil-egalite.gouv.fr/rapport-2026-sur-letat-des-lieux-du-sexisme-en-france-la-menace-masculiniste" TargetMode="External"/><Relationship Id="rId10" Type="http://schemas.openxmlformats.org/officeDocument/2006/relationships/hyperlink" Target="https://www.cncdh.fr/publications/declaration-sur-la-definition-penale-du-viol-poser-le-principe-du-consentement-libre-d" TargetMode="External"/><Relationship Id="rId4" Type="http://schemas.openxmlformats.org/officeDocument/2006/relationships/hyperlink" Target="https://www.lecese.fr/actualites/eduquer-la-vie-affective-relationnelle-et-sexuelle-passer-obligation-application" TargetMode="External"/><Relationship Id="rId9" Type="http://schemas.openxmlformats.org/officeDocument/2006/relationships/hyperlink" Target="https://www.legifrance.gouv.fr/jorf/id/JORFTEXT0000376419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2026-05-04T15:01:33Z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24BBE-8E8B-48DA-A758-A999CD0F0B50}">
  <ds:schemaRefs>
    <ds:schemaRef ds:uri="http://schemas.microsoft.com/sharepoint/v3/contenttype/forms"/>
  </ds:schemaRefs>
</ds:datastoreItem>
</file>

<file path=customXml/itemProps2.xml><?xml version="1.0" encoding="utf-8"?>
<ds:datastoreItem xmlns:ds="http://schemas.openxmlformats.org/officeDocument/2006/customXml" ds:itemID="{1CBED6B2-FF97-4CAD-91E5-824566A00E13}">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EB387864-5B65-4A91-AF1F-8E01703A9D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364D1-1E07-48A1-BAE4-977B58145003}">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109</TotalTime>
  <Pages>6</Pages>
  <Words>2290</Words>
  <Characters>12596</Characters>
  <DocSecurity>0</DocSecurity>
  <Lines>104</Lines>
  <Paragraphs>29</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CEDAW/C/FRA/FCO/9</vt:lpstr>
      <vt:lpstr/>
      <vt:lpstr>a/hthhhh</vt:lpstr>
    </vt:vector>
  </TitlesOfParts>
  <LinksUpToDate>false</LinksUpToDate>
  <CharactersWithSpaces>14857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2017-02-27T14:31:00Z</cp:lastPrinted>
  <dcterms:created xsi:type="dcterms:W3CDTF">2026-05-04T13:43:00Z</dcterms:created>
  <dcterms:modified xsi:type="dcterms:W3CDTF">2026-05-29T16:27:00Z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de la France</vt:lpwstr>
  </property>
  <property fmtid="{D5CDD505-2E9C-101B-9397-08002B2CF9AE}" pid="8" name="countw">
    <vt:lpwstr>France</vt:lpwstr>
  </property>
  <property fmtid="{D5CDD505-2E9C-101B-9397-08002B2CF9AE}" pid="9" name="countwd">
    <vt:lpwstr>la France</vt:lpwstr>
  </property>
  <property fmtid="{D5CDD505-2E9C-101B-9397-08002B2CF9AE}" pid="10" name="date">
    <vt:lpwstr>4 mai 2026</vt:lpwstr>
  </property>
  <property fmtid="{D5CDD505-2E9C-101B-9397-08002B2CF9AE}" pid="11" name="Date-Generated">
    <vt:filetime>2026-05-04T12:59:32Z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199200</vt:r8>
  </property>
  <property fmtid="{D5CDD505-2E9C-101B-9397-08002B2CF9AE}" pid="21" name="Org">
    <vt:lpwstr>OHCHR</vt:lpwstr>
  </property>
  <property fmtid="{D5CDD505-2E9C-101B-9397-08002B2CF9AE}" pid="22" name="prep">
    <vt:lpwstr>neuvième rapport périodique de la France</vt:lpwstr>
  </property>
  <property fmtid="{D5CDD505-2E9C-101B-9397-08002B2CF9AE}" pid="23" name="preps">
    <vt:lpwstr>neuvième rapport périodique de la France</vt:lpwstr>
  </property>
  <property fmtid="{D5CDD505-2E9C-101B-9397-08002B2CF9AE}" pid="24" name="prepw">
    <vt:lpwstr>neuvième rapport périodique</vt:lpwstr>
  </property>
  <property fmtid="{D5CDD505-2E9C-101B-9397-08002B2CF9AE}" pid="25" name="prepwc">
    <vt:lpwstr>Neuvième rapport périodique </vt:lpwstr>
  </property>
  <property fmtid="{D5CDD505-2E9C-101B-9397-08002B2CF9AE}" pid="26" name="prepws">
    <vt:lpwstr>neuvième rapport périodique</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C/FRA/FCO/9</vt:lpwstr>
  </property>
  <property fmtid="{D5CDD505-2E9C-101B-9397-08002B2CF9AE}" pid="32" name="symh">
    <vt:lpwstr>CEDAW/C/FRA/FCO/9</vt:lpwstr>
  </property>
  <property fmtid="{D5CDD505-2E9C-101B-9397-08002B2CF9AE}" pid="33" name="Title">
    <vt:lpwstr>CEDAW/C/FRA/FCO/9</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0x010100A3CFA62B47352B44BFD11BEB9CD9FD5A</vt:lpwstr>
  </property>
</Properties>
</file>