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AAF37" w14:textId="77777777" w:rsidR="004723AD" w:rsidRPr="00076FAF" w:rsidRDefault="004723AD" w:rsidP="00076FAF">
      <w:pPr>
        <w:shd w:val="clear" w:color="auto" w:fill="FFFFFF" w:themeFill="background1"/>
        <w:spacing w:after="0" w:line="240" w:lineRule="auto"/>
        <w:jc w:val="center"/>
        <w:rPr>
          <w:rFonts w:ascii="Georgia" w:eastAsia="Open Sans" w:hAnsi="Georgia" w:cs="Open Sans"/>
          <w:b/>
          <w:color w:val="212222"/>
          <w:lang w:val="en-GB"/>
        </w:rPr>
      </w:pPr>
      <w:r w:rsidRPr="00076FAF">
        <w:rPr>
          <w:rFonts w:ascii="Georgia" w:eastAsia="Open Sans" w:hAnsi="Georgia" w:cs="Open Sans"/>
          <w:b/>
          <w:bCs/>
          <w:color w:val="212222"/>
          <w:lang w:val="en-GB"/>
        </w:rPr>
        <w:t xml:space="preserve">Submission to the </w:t>
      </w:r>
      <w:r w:rsidRPr="00076FAF">
        <w:rPr>
          <w:rFonts w:ascii="Georgia" w:eastAsia="Open Sans" w:hAnsi="Georgia" w:cs="Open Sans"/>
          <w:b/>
          <w:color w:val="212222"/>
          <w:lang w:val="en-GB"/>
        </w:rPr>
        <w:t>Committee on Economic, Social and Cultural Rights</w:t>
      </w:r>
    </w:p>
    <w:p w14:paraId="4FC09F34" w14:textId="77777777" w:rsidR="004723AD" w:rsidRPr="00076FAF" w:rsidRDefault="004723AD" w:rsidP="00076FAF">
      <w:pPr>
        <w:shd w:val="clear" w:color="auto" w:fill="FFFFFF" w:themeFill="background1"/>
        <w:spacing w:after="0" w:line="240" w:lineRule="auto"/>
        <w:jc w:val="center"/>
        <w:rPr>
          <w:rFonts w:ascii="Georgia" w:eastAsia="Open Sans" w:hAnsi="Georgia" w:cs="Open Sans"/>
          <w:b/>
          <w:color w:val="212222"/>
          <w:lang w:val="en-GB"/>
        </w:rPr>
      </w:pPr>
      <w:r w:rsidRPr="00076FAF">
        <w:rPr>
          <w:rFonts w:ascii="Georgia" w:eastAsia="Open Sans" w:hAnsi="Georgia" w:cs="Open Sans"/>
          <w:b/>
          <w:color w:val="212222"/>
          <w:lang w:val="en-GB"/>
        </w:rPr>
        <w:t>(72 Pre-sessional Working Group)</w:t>
      </w:r>
    </w:p>
    <w:p w14:paraId="2BA88002" w14:textId="77777777" w:rsidR="004723AD" w:rsidRPr="00076FAF" w:rsidRDefault="004723AD" w:rsidP="006C2305">
      <w:pPr>
        <w:shd w:val="clear" w:color="auto" w:fill="FFFFFF" w:themeFill="background1"/>
        <w:spacing w:after="0" w:line="240" w:lineRule="auto"/>
        <w:jc w:val="both"/>
        <w:rPr>
          <w:rFonts w:ascii="Georgia" w:eastAsia="Open Sans" w:hAnsi="Georgia" w:cs="Open Sans"/>
          <w:b/>
          <w:color w:val="212222"/>
          <w:lang w:val="en-GB"/>
        </w:rPr>
      </w:pPr>
    </w:p>
    <w:p w14:paraId="7A4398B3" w14:textId="77777777" w:rsidR="00E321A8" w:rsidRPr="00076FAF" w:rsidRDefault="00E321A8" w:rsidP="006C2305">
      <w:pPr>
        <w:autoSpaceDE w:val="0"/>
        <w:autoSpaceDN w:val="0"/>
        <w:adjustRightInd w:val="0"/>
        <w:spacing w:after="0" w:line="240" w:lineRule="auto"/>
        <w:jc w:val="both"/>
        <w:rPr>
          <w:rFonts w:ascii="Georgia" w:hAnsi="Georgia" w:cs="CIDFont+F2"/>
        </w:rPr>
      </w:pPr>
      <w:r w:rsidRPr="00076FAF">
        <w:rPr>
          <w:rFonts w:ascii="Georgia" w:hAnsi="Georgia"/>
          <w:bCs/>
        </w:rPr>
        <w:t xml:space="preserve">Pamoja </w:t>
      </w:r>
      <w:r w:rsidR="009F2DD8">
        <w:rPr>
          <w:rFonts w:ascii="Georgia" w:hAnsi="Georgia"/>
          <w:bCs/>
        </w:rPr>
        <w:t xml:space="preserve">Trust in collaboration with other </w:t>
      </w:r>
      <w:r w:rsidRPr="00076FAF">
        <w:rPr>
          <w:rFonts w:ascii="Georgia" w:hAnsi="Georgia"/>
          <w:bCs/>
        </w:rPr>
        <w:t xml:space="preserve">members of the Housing Coalition represented by </w:t>
      </w:r>
      <w:r w:rsidR="000869C3" w:rsidRPr="00076FAF">
        <w:rPr>
          <w:rFonts w:ascii="Georgia" w:hAnsi="Georgia"/>
          <w:bCs/>
        </w:rPr>
        <w:t>Amnesty International Kenya,</w:t>
      </w:r>
      <w:r w:rsidR="000869C3" w:rsidRPr="00076FAF">
        <w:rPr>
          <w:rFonts w:ascii="Georgia" w:hAnsi="Georgia"/>
        </w:rPr>
        <w:t xml:space="preserve"> Zizi Afrique Foundation, Oxfam Kenya, Amani Kibera, Kutoka Network, </w:t>
      </w:r>
      <w:r w:rsidR="00CD71FD" w:rsidRPr="00076FAF">
        <w:rPr>
          <w:rFonts w:ascii="Georgia" w:hAnsi="Georgia"/>
          <w:shd w:val="clear" w:color="auto" w:fill="FFFFFF"/>
        </w:rPr>
        <w:t>Eastern Africa Collaboration on Economic Social and Cultural Rights (EACOR),</w:t>
      </w:r>
      <w:r w:rsidR="000869C3" w:rsidRPr="00076FAF">
        <w:rPr>
          <w:rFonts w:ascii="Georgia" w:hAnsi="Georgia"/>
        </w:rPr>
        <w:t xml:space="preserve">East African Centre for Human Rights (EACHRights),Kituo Cha Sheria, Kijiji Yetu, </w:t>
      </w:r>
      <w:r w:rsidR="000869C3" w:rsidRPr="00076FAF">
        <w:rPr>
          <w:rFonts w:ascii="Georgia" w:hAnsi="Georgia"/>
          <w:bCs/>
          <w:shd w:val="clear" w:color="auto" w:fill="FFFFFF"/>
        </w:rPr>
        <w:t>Kenya Human Rights Commission</w:t>
      </w:r>
      <w:r w:rsidR="00CD71FD" w:rsidRPr="00076FAF">
        <w:rPr>
          <w:rFonts w:ascii="Georgia" w:hAnsi="Georgia"/>
          <w:bCs/>
          <w:shd w:val="clear" w:color="auto" w:fill="FFFFFF"/>
        </w:rPr>
        <w:t>,</w:t>
      </w:r>
      <w:r w:rsidR="00CD71FD" w:rsidRPr="00076FAF">
        <w:rPr>
          <w:rStyle w:val="Strong"/>
          <w:rFonts w:ascii="Georgia" w:hAnsi="Georgia"/>
          <w:color w:val="000000" w:themeColor="text1"/>
          <w:shd w:val="clear" w:color="auto" w:fill="FFFFFF"/>
        </w:rPr>
        <w:t xml:space="preserve"> </w:t>
      </w:r>
      <w:r w:rsidR="00737F8A" w:rsidRPr="00076FAF">
        <w:rPr>
          <w:rStyle w:val="Strong"/>
          <w:rFonts w:ascii="Georgia" w:hAnsi="Georgia"/>
          <w:b w:val="0"/>
          <w:color w:val="000000" w:themeColor="text1"/>
          <w:shd w:val="clear" w:color="auto" w:fill="FFFFFF"/>
        </w:rPr>
        <w:t>C</w:t>
      </w:r>
      <w:r w:rsidR="00CD71FD" w:rsidRPr="00076FAF">
        <w:rPr>
          <w:rStyle w:val="Strong"/>
          <w:rFonts w:ascii="Georgia" w:hAnsi="Georgia"/>
          <w:b w:val="0"/>
          <w:color w:val="000000" w:themeColor="text1"/>
          <w:shd w:val="clear" w:color="auto" w:fill="FFFFFF"/>
        </w:rPr>
        <w:t>entre for Community Development</w:t>
      </w:r>
      <w:r w:rsidR="00CD71FD" w:rsidRPr="00076FAF">
        <w:rPr>
          <w:rFonts w:ascii="Georgia" w:hAnsi="Georgia"/>
          <w:shd w:val="clear" w:color="auto" w:fill="FFFFFF"/>
        </w:rPr>
        <w:t> and Human Rights</w:t>
      </w:r>
      <w:r w:rsidR="00737F8A" w:rsidRPr="00076FAF">
        <w:rPr>
          <w:rFonts w:ascii="Georgia" w:hAnsi="Georgia"/>
          <w:b/>
          <w:shd w:val="clear" w:color="auto" w:fill="FFFFFF"/>
        </w:rPr>
        <w:t>(</w:t>
      </w:r>
      <w:r w:rsidR="00737F8A" w:rsidRPr="00076FAF">
        <w:rPr>
          <w:rStyle w:val="Strong"/>
          <w:rFonts w:ascii="Georgia" w:hAnsi="Georgia"/>
          <w:b w:val="0"/>
          <w:color w:val="000000" w:themeColor="text1"/>
          <w:shd w:val="clear" w:color="auto" w:fill="FFFFFF"/>
        </w:rPr>
        <w:t>CFCDHR),</w:t>
      </w:r>
      <w:r w:rsidR="00CD71FD" w:rsidRPr="00076FAF">
        <w:rPr>
          <w:rFonts w:ascii="Georgia" w:hAnsi="Georgia"/>
          <w:bCs/>
          <w:shd w:val="clear" w:color="auto" w:fill="FFFFFF"/>
        </w:rPr>
        <w:t xml:space="preserve"> </w:t>
      </w:r>
      <w:r w:rsidR="00CD71FD" w:rsidRPr="00076FAF">
        <w:rPr>
          <w:rFonts w:ascii="Georgia" w:eastAsia="Palatino Linotype" w:hAnsi="Georgia" w:cs="Palatino Linotype"/>
        </w:rPr>
        <w:t>Nairobi Peoples Settlement Network (N.P.S.N),</w:t>
      </w:r>
      <w:r w:rsidR="00737F8A" w:rsidRPr="00076FAF">
        <w:rPr>
          <w:rFonts w:ascii="Georgia" w:hAnsi="Georgia"/>
        </w:rPr>
        <w:t xml:space="preserve"> </w:t>
      </w:r>
      <w:r w:rsidR="00737F8A" w:rsidRPr="00076FAF">
        <w:rPr>
          <w:rFonts w:ascii="Georgia" w:eastAsia="Palatino Linotype" w:hAnsi="Georgia" w:cs="Palatino Linotype"/>
        </w:rPr>
        <w:t xml:space="preserve">International Network for Economic, Social and Cultural Rights( ESCR-Net), </w:t>
      </w:r>
      <w:r w:rsidR="00CD71FD" w:rsidRPr="00076FAF">
        <w:rPr>
          <w:rFonts w:ascii="Georgia" w:eastAsia="Palatino Linotype" w:hAnsi="Georgia" w:cs="Palatino Linotype"/>
        </w:rPr>
        <w:t>Muungano Wa Wanavijiji,</w:t>
      </w:r>
      <w:r w:rsidR="00737F8A" w:rsidRPr="00076FAF">
        <w:rPr>
          <w:rFonts w:ascii="Georgia" w:eastAsia="Palatino Linotype" w:hAnsi="Georgia" w:cs="Palatino Linotype"/>
        </w:rPr>
        <w:t xml:space="preserve"> </w:t>
      </w:r>
      <w:r w:rsidR="00CD71FD" w:rsidRPr="00076FAF">
        <w:rPr>
          <w:rFonts w:ascii="Georgia" w:eastAsia="Palatino Linotype" w:hAnsi="Georgia" w:cs="Palatino Linotype"/>
        </w:rPr>
        <w:t>Kenya Social Movement Network(</w:t>
      </w:r>
      <w:r w:rsidR="00737F8A" w:rsidRPr="00076FAF">
        <w:rPr>
          <w:rFonts w:ascii="Georgia" w:eastAsia="Palatino Linotype" w:hAnsi="Georgia" w:cs="Palatino Linotype"/>
        </w:rPr>
        <w:t xml:space="preserve"> </w:t>
      </w:r>
      <w:r w:rsidR="00CD71FD" w:rsidRPr="00076FAF">
        <w:rPr>
          <w:rFonts w:ascii="Georgia" w:eastAsia="Palatino Linotype" w:hAnsi="Georgia" w:cs="Palatino Linotype"/>
        </w:rPr>
        <w:t xml:space="preserve">Ksm-Net), Umande Trust, Just City Coalition, </w:t>
      </w:r>
      <w:r w:rsidR="00737F8A" w:rsidRPr="00076FAF">
        <w:rPr>
          <w:rFonts w:ascii="Georgia" w:eastAsia="Palatino Linotype" w:hAnsi="Georgia" w:cs="Palatino Linotype"/>
        </w:rPr>
        <w:t xml:space="preserve">Mazingira Initiative,  and Umande Trust  contributes to the drafting of </w:t>
      </w:r>
      <w:r w:rsidR="00737F8A" w:rsidRPr="00076FAF">
        <w:rPr>
          <w:rFonts w:ascii="Georgia" w:hAnsi="Georgia"/>
        </w:rPr>
        <w:t xml:space="preserve"> </w:t>
      </w:r>
      <w:r w:rsidRPr="00076FAF">
        <w:rPr>
          <w:rFonts w:ascii="Georgia" w:hAnsi="Georgia"/>
          <w:bCs/>
        </w:rPr>
        <w:t>l</w:t>
      </w:r>
      <w:r w:rsidR="00737F8A" w:rsidRPr="00076FAF">
        <w:rPr>
          <w:rFonts w:ascii="Georgia" w:hAnsi="Georgia"/>
          <w:bCs/>
        </w:rPr>
        <w:t xml:space="preserve">ist of issues in </w:t>
      </w:r>
      <w:r w:rsidRPr="00076FAF">
        <w:rPr>
          <w:rFonts w:ascii="Georgia" w:hAnsi="Georgia"/>
          <w:bCs/>
        </w:rPr>
        <w:t xml:space="preserve">response to Kenya’s </w:t>
      </w:r>
      <w:r w:rsidRPr="00076FAF">
        <w:rPr>
          <w:rFonts w:ascii="Georgia" w:hAnsi="Georgia" w:cs="CIDFont+F2"/>
        </w:rPr>
        <w:t>6</w:t>
      </w:r>
      <w:r w:rsidRPr="00076FAF">
        <w:rPr>
          <w:rFonts w:ascii="Georgia" w:hAnsi="Georgia" w:cs="CIDFont+F2"/>
          <w:vertAlign w:val="superscript"/>
        </w:rPr>
        <w:t>th</w:t>
      </w:r>
      <w:r w:rsidRPr="00076FAF">
        <w:rPr>
          <w:rFonts w:ascii="Georgia" w:hAnsi="Georgia" w:cs="CIDFont+F2"/>
        </w:rPr>
        <w:t xml:space="preserve">  periodic report on the international covenant on economic, social &amp; cultural rights.</w:t>
      </w:r>
    </w:p>
    <w:p w14:paraId="0E461247" w14:textId="77777777" w:rsidR="00E321A8" w:rsidRPr="00076FAF" w:rsidRDefault="00E321A8" w:rsidP="006C2305">
      <w:pPr>
        <w:autoSpaceDE w:val="0"/>
        <w:autoSpaceDN w:val="0"/>
        <w:adjustRightInd w:val="0"/>
        <w:spacing w:after="0" w:line="240" w:lineRule="auto"/>
        <w:jc w:val="both"/>
        <w:rPr>
          <w:rFonts w:ascii="Georgia" w:hAnsi="Georgia" w:cs="CIDFont+F2"/>
        </w:rPr>
      </w:pPr>
    </w:p>
    <w:p w14:paraId="3137DC06" w14:textId="77777777" w:rsidR="00E321A8" w:rsidRPr="00467536" w:rsidRDefault="00E321A8" w:rsidP="006C2305">
      <w:pPr>
        <w:autoSpaceDE w:val="0"/>
        <w:autoSpaceDN w:val="0"/>
        <w:adjustRightInd w:val="0"/>
        <w:spacing w:after="0" w:line="240" w:lineRule="auto"/>
        <w:jc w:val="both"/>
        <w:rPr>
          <w:rFonts w:ascii="Georgia" w:hAnsi="Georgia" w:cs="CIDFont+F2"/>
          <w:b/>
          <w:u w:val="single"/>
        </w:rPr>
      </w:pPr>
      <w:r w:rsidRPr="00467536">
        <w:rPr>
          <w:rFonts w:ascii="Georgia" w:hAnsi="Georgia" w:cs="CIDFont+F2"/>
          <w:b/>
          <w:u w:val="single"/>
        </w:rPr>
        <w:t>Introduction</w:t>
      </w:r>
    </w:p>
    <w:p w14:paraId="4700AECA" w14:textId="77777777" w:rsidR="00FB7A97" w:rsidRDefault="00694718" w:rsidP="006C2305">
      <w:pPr>
        <w:autoSpaceDE w:val="0"/>
        <w:autoSpaceDN w:val="0"/>
        <w:adjustRightInd w:val="0"/>
        <w:spacing w:after="0" w:line="240" w:lineRule="auto"/>
        <w:jc w:val="both"/>
        <w:rPr>
          <w:rFonts w:ascii="Georgia" w:hAnsi="Georgia" w:cs="Times New Roman"/>
        </w:rPr>
      </w:pPr>
      <w:r w:rsidRPr="00076FAF">
        <w:rPr>
          <w:rFonts w:ascii="Georgia" w:hAnsi="Georgia" w:cs="Times New Roman"/>
        </w:rPr>
        <w:t>This</w:t>
      </w:r>
      <w:r w:rsidR="00E321A8" w:rsidRPr="00076FAF">
        <w:rPr>
          <w:rFonts w:ascii="Georgia" w:hAnsi="Georgia" w:cs="Times New Roman"/>
        </w:rPr>
        <w:t xml:space="preserve"> submission focuses on the articles on right to work, right to food, </w:t>
      </w:r>
      <w:r w:rsidR="00A10456" w:rsidRPr="00076FAF">
        <w:rPr>
          <w:rFonts w:ascii="Georgia" w:hAnsi="Georgia" w:cs="Times New Roman"/>
        </w:rPr>
        <w:t>right to water and right to housing</w:t>
      </w:r>
      <w:r w:rsidR="00E321A8" w:rsidRPr="00076FAF">
        <w:rPr>
          <w:rFonts w:ascii="Georgia" w:hAnsi="Georgia" w:cs="Times New Roman"/>
        </w:rPr>
        <w:t xml:space="preserve"> </w:t>
      </w:r>
      <w:r w:rsidRPr="00076FAF">
        <w:rPr>
          <w:rFonts w:ascii="Georgia" w:hAnsi="Georgia" w:cs="Times New Roman"/>
        </w:rPr>
        <w:t xml:space="preserve">which are enshrined in the constitution </w:t>
      </w:r>
      <w:r w:rsidR="009B706D">
        <w:rPr>
          <w:rFonts w:ascii="Georgia" w:hAnsi="Georgia" w:cs="Times New Roman"/>
        </w:rPr>
        <w:t xml:space="preserve">of Kenya (2010). The fulfilment </w:t>
      </w:r>
      <w:r w:rsidRPr="00076FAF">
        <w:rPr>
          <w:rFonts w:ascii="Georgia" w:hAnsi="Georgia" w:cs="Times New Roman"/>
        </w:rPr>
        <w:t xml:space="preserve">and promotion </w:t>
      </w:r>
      <w:r w:rsidR="009B706D">
        <w:rPr>
          <w:rFonts w:ascii="Georgia" w:hAnsi="Georgia" w:cs="Times New Roman"/>
        </w:rPr>
        <w:t xml:space="preserve">of these rights however, has not been fully realized  by the Kenyan Government and subsequently enjoyed by the vulnerable communities </w:t>
      </w:r>
      <w:r w:rsidRPr="00076FAF">
        <w:rPr>
          <w:rFonts w:ascii="Georgia" w:hAnsi="Georgia" w:cs="Times New Roman"/>
        </w:rPr>
        <w:t xml:space="preserve"> </w:t>
      </w:r>
      <w:r w:rsidR="009B706D">
        <w:rPr>
          <w:rFonts w:ascii="Georgia" w:hAnsi="Georgia" w:cs="Times New Roman"/>
        </w:rPr>
        <w:t xml:space="preserve">especially </w:t>
      </w:r>
      <w:r w:rsidRPr="00076FAF">
        <w:rPr>
          <w:rFonts w:ascii="Georgia" w:hAnsi="Georgia" w:cs="Times New Roman"/>
        </w:rPr>
        <w:t>persons living in the informal settlements.</w:t>
      </w:r>
    </w:p>
    <w:p w14:paraId="003E68B5" w14:textId="77777777" w:rsidR="00467536" w:rsidRDefault="00467536" w:rsidP="006C2305">
      <w:pPr>
        <w:autoSpaceDE w:val="0"/>
        <w:autoSpaceDN w:val="0"/>
        <w:adjustRightInd w:val="0"/>
        <w:spacing w:after="0" w:line="240" w:lineRule="auto"/>
        <w:jc w:val="both"/>
        <w:rPr>
          <w:rFonts w:ascii="Georgia" w:hAnsi="Georgia" w:cs="Times New Roman"/>
        </w:rPr>
      </w:pPr>
    </w:p>
    <w:p w14:paraId="75439BC0" w14:textId="77777777" w:rsidR="00467536" w:rsidRDefault="00467536" w:rsidP="006C2305">
      <w:pPr>
        <w:autoSpaceDE w:val="0"/>
        <w:autoSpaceDN w:val="0"/>
        <w:adjustRightInd w:val="0"/>
        <w:spacing w:after="0" w:line="240" w:lineRule="auto"/>
        <w:jc w:val="both"/>
        <w:rPr>
          <w:rFonts w:ascii="Georgia" w:hAnsi="Georgia" w:cs="Times New Roman"/>
          <w:b/>
        </w:rPr>
      </w:pPr>
    </w:p>
    <w:p w14:paraId="3DBB1734" w14:textId="77777777" w:rsidR="00467536" w:rsidRPr="00467536" w:rsidRDefault="00467536" w:rsidP="006C2305">
      <w:pPr>
        <w:autoSpaceDE w:val="0"/>
        <w:autoSpaceDN w:val="0"/>
        <w:adjustRightInd w:val="0"/>
        <w:spacing w:after="0" w:line="240" w:lineRule="auto"/>
        <w:jc w:val="both"/>
        <w:rPr>
          <w:rFonts w:ascii="Georgia" w:hAnsi="Georgia" w:cs="Times New Roman"/>
          <w:b/>
          <w:u w:val="single"/>
        </w:rPr>
      </w:pPr>
      <w:r w:rsidRPr="00467536">
        <w:rPr>
          <w:rFonts w:ascii="Georgia" w:hAnsi="Georgia" w:cs="Times New Roman"/>
          <w:b/>
          <w:u w:val="single"/>
        </w:rPr>
        <w:t>Proposed List of issues</w:t>
      </w:r>
    </w:p>
    <w:p w14:paraId="4D75F0E5" w14:textId="77777777" w:rsidR="00A10456" w:rsidRPr="00076FAF" w:rsidRDefault="00A10456" w:rsidP="00E64AFC">
      <w:pPr>
        <w:jc w:val="center"/>
        <w:rPr>
          <w:rFonts w:ascii="Georgia" w:hAnsi="Georgia"/>
          <w:b/>
          <w:bCs/>
        </w:rPr>
      </w:pPr>
    </w:p>
    <w:p w14:paraId="40A75436" w14:textId="77777777" w:rsidR="00694718" w:rsidRPr="00076FAF" w:rsidRDefault="00FB7A97" w:rsidP="00E64AFC">
      <w:pPr>
        <w:jc w:val="center"/>
        <w:rPr>
          <w:rFonts w:ascii="Georgia" w:hAnsi="Georgia"/>
          <w:b/>
          <w:bCs/>
        </w:rPr>
      </w:pPr>
      <w:r w:rsidRPr="00076FAF">
        <w:rPr>
          <w:rFonts w:ascii="Georgia" w:hAnsi="Georgia"/>
          <w:b/>
          <w:bCs/>
        </w:rPr>
        <w:t>R</w:t>
      </w:r>
      <w:r w:rsidR="00694718" w:rsidRPr="00076FAF">
        <w:rPr>
          <w:rFonts w:ascii="Georgia" w:hAnsi="Georgia"/>
          <w:b/>
          <w:bCs/>
        </w:rPr>
        <w:t>ight to work</w:t>
      </w:r>
    </w:p>
    <w:p w14:paraId="6E567F58" w14:textId="77777777" w:rsidR="00FC7AEE" w:rsidRPr="00076FAF" w:rsidRDefault="00F270C0" w:rsidP="00FC7AEE">
      <w:pPr>
        <w:jc w:val="both"/>
        <w:rPr>
          <w:rFonts w:ascii="Georgia" w:hAnsi="Georgia"/>
        </w:rPr>
      </w:pPr>
      <w:r w:rsidRPr="00076FAF">
        <w:rPr>
          <w:rFonts w:ascii="Georgia" w:hAnsi="Georgia" w:cs="TimesNewRomanRegular"/>
        </w:rPr>
        <w:t>In the 2015 Concluding observations, the Committee had raised concerns regarding  the high unemployment rate amongst youth, women and persons with disabilities, and the little measures taken to promote 5 per cent employment quota for persons with disabilities in the public and private sector.</w:t>
      </w:r>
      <w:r w:rsidRPr="00076FAF">
        <w:rPr>
          <w:rStyle w:val="FootnoteReference"/>
          <w:rFonts w:ascii="Georgia" w:hAnsi="Georgia" w:cs="TimesNewRomanRegular"/>
        </w:rPr>
        <w:footnoteReference w:id="1"/>
      </w:r>
      <w:r w:rsidRPr="00076FAF">
        <w:rPr>
          <w:rFonts w:ascii="Georgia" w:hAnsi="Georgia" w:cs="TimesNewRomanRegular"/>
        </w:rPr>
        <w:t xml:space="preserve">In  the State report submitted in 2022, Kenya stated the initiation of </w:t>
      </w:r>
      <w:r w:rsidRPr="00076FAF">
        <w:rPr>
          <w:rFonts w:ascii="Georgia" w:hAnsi="Georgia" w:cs="Times New Roman"/>
          <w:bCs/>
        </w:rPr>
        <w:t>the National Hygiene Program (NHP) 2020, to cushion the most vulnerable citizens living in informal settlements from the effects and response strategies of the COVID-19 pandemic</w:t>
      </w:r>
      <w:r w:rsidRPr="00076FAF">
        <w:rPr>
          <w:rStyle w:val="FootnoteReference"/>
          <w:rFonts w:ascii="Georgia" w:hAnsi="Georgia" w:cs="Times New Roman"/>
          <w:bCs/>
        </w:rPr>
        <w:footnoteReference w:id="2"/>
      </w:r>
      <w:r w:rsidR="005F25B1" w:rsidRPr="00076FAF">
        <w:rPr>
          <w:rFonts w:ascii="Georgia" w:hAnsi="Georgia" w:cs="Times New Roman"/>
          <w:bCs/>
        </w:rPr>
        <w:t xml:space="preserve"> and  the efforts by </w:t>
      </w:r>
      <w:r w:rsidR="005F25B1" w:rsidRPr="00076FAF">
        <w:rPr>
          <w:rFonts w:ascii="Georgia" w:hAnsi="Georgia" w:cs="CIDFont+F3"/>
        </w:rPr>
        <w:t>Kenya Youth Opportunity Employment Project to empower and uplift the well-being of the y</w:t>
      </w:r>
      <w:r w:rsidR="00FB7A97" w:rsidRPr="00076FAF">
        <w:rPr>
          <w:rFonts w:ascii="Georgia" w:hAnsi="Georgia" w:cs="CIDFont+F3"/>
        </w:rPr>
        <w:t xml:space="preserve">outh in Kenya by equipping them </w:t>
      </w:r>
      <w:r w:rsidR="005F25B1" w:rsidRPr="00076FAF">
        <w:rPr>
          <w:rFonts w:ascii="Georgia" w:hAnsi="Georgia" w:cs="CIDFont+F3"/>
        </w:rPr>
        <w:t>with essential training, internship, and business grant opportunities</w:t>
      </w:r>
      <w:r w:rsidR="005F25B1" w:rsidRPr="00076FAF">
        <w:rPr>
          <w:rStyle w:val="FootnoteReference"/>
          <w:rFonts w:ascii="Georgia" w:hAnsi="Georgia" w:cs="CIDFont+F3"/>
        </w:rPr>
        <w:footnoteReference w:id="3"/>
      </w:r>
      <w:r w:rsidR="005F25B1" w:rsidRPr="00076FAF">
        <w:rPr>
          <w:rFonts w:ascii="Georgia" w:hAnsi="Georgia" w:cs="Times New Roman"/>
          <w:bCs/>
        </w:rPr>
        <w:t xml:space="preserve">. However, </w:t>
      </w:r>
      <w:r w:rsidR="005F25B1" w:rsidRPr="00076FAF">
        <w:rPr>
          <w:rFonts w:ascii="Georgia" w:hAnsi="Georgia"/>
        </w:rPr>
        <w:t>the initiative by the government to employ the youth evidenced exclusion to  those living with disabilities  as they felt left out of the program since it was mainly manual labor focused.</w:t>
      </w:r>
      <w:r w:rsidR="005F25B1" w:rsidRPr="00076FAF">
        <w:rPr>
          <w:rStyle w:val="FootnoteReference"/>
          <w:rFonts w:ascii="Georgia" w:hAnsi="Georgia"/>
        </w:rPr>
        <w:footnoteReference w:id="4"/>
      </w:r>
      <w:r w:rsidR="00FB7A97" w:rsidRPr="00076FAF">
        <w:rPr>
          <w:rFonts w:ascii="Georgia" w:hAnsi="Georgia"/>
        </w:rPr>
        <w:t xml:space="preserve"> The unemployment menace in the country was magnified during the Covid 19 period. In just three months (April, May and June 2020) the unemployment rate increased </w:t>
      </w:r>
      <w:r w:rsidR="00FB7A97" w:rsidRPr="00076FAF">
        <w:rPr>
          <w:rFonts w:ascii="Georgia" w:hAnsi="Georgia"/>
        </w:rPr>
        <w:lastRenderedPageBreak/>
        <w:t>from 5.2% to 10.4% with 1.8 million people reported unemployed. Report by KNBS on long term unemployment by age cohorts conveyed a higher unemployment rate in 2020 as compared to 2019.The Youth Not in Education, employment or Training increased in 2020 in comparison to the 2019 statistics. Youth aged 20 - 24   during this period recorded the highest rate of long-term</w:t>
      </w:r>
      <w:r w:rsidR="00FC7AEE" w:rsidRPr="00076FAF">
        <w:rPr>
          <w:rFonts w:ascii="Georgia" w:hAnsi="Georgia"/>
        </w:rPr>
        <w:t xml:space="preserve"> </w:t>
      </w:r>
      <w:r w:rsidR="00FB7A97" w:rsidRPr="00076FAF">
        <w:rPr>
          <w:rFonts w:ascii="Georgia" w:hAnsi="Georgia"/>
        </w:rPr>
        <w:t>unemployment at 7.3 per cent</w:t>
      </w:r>
      <w:r w:rsidR="00FB7A97" w:rsidRPr="00076FAF">
        <w:rPr>
          <w:rStyle w:val="FootnoteReference"/>
          <w:rFonts w:ascii="Georgia" w:hAnsi="Georgia"/>
        </w:rPr>
        <w:footnoteReference w:id="5"/>
      </w:r>
      <w:r w:rsidR="00FC7AEE" w:rsidRPr="00076FAF">
        <w:rPr>
          <w:rFonts w:ascii="Georgia" w:hAnsi="Georgia"/>
        </w:rPr>
        <w:t xml:space="preserve">. </w:t>
      </w:r>
    </w:p>
    <w:p w14:paraId="07604A1C" w14:textId="77777777" w:rsidR="005F25B1" w:rsidRPr="00076FAF" w:rsidRDefault="005F25B1" w:rsidP="00FC7AEE">
      <w:pPr>
        <w:jc w:val="both"/>
        <w:rPr>
          <w:rFonts w:ascii="Georgia" w:hAnsi="Georgia"/>
        </w:rPr>
      </w:pPr>
      <w:r w:rsidRPr="00076FAF">
        <w:rPr>
          <w:rFonts w:ascii="Georgia" w:hAnsi="Georgia" w:cs="Open Sans"/>
          <w:b/>
          <w:u w:val="single"/>
          <w:lang w:val="en-GB"/>
        </w:rPr>
        <w:t>Based on this observation</w:t>
      </w:r>
      <w:r w:rsidR="00FB7A97" w:rsidRPr="00076FAF">
        <w:rPr>
          <w:rFonts w:ascii="Georgia" w:hAnsi="Georgia" w:cs="Open Sans"/>
          <w:b/>
          <w:u w:val="single"/>
          <w:lang w:val="en-GB"/>
        </w:rPr>
        <w:t xml:space="preserve"> regarding right to work</w:t>
      </w:r>
      <w:r w:rsidRPr="00076FAF">
        <w:rPr>
          <w:rFonts w:ascii="Georgia" w:hAnsi="Georgia" w:cs="Open Sans"/>
          <w:b/>
          <w:u w:val="single"/>
          <w:lang w:val="en-GB"/>
        </w:rPr>
        <w:t>, p</w:t>
      </w:r>
      <w:r w:rsidRPr="00076FAF">
        <w:rPr>
          <w:rFonts w:ascii="Georgia" w:eastAsia="Palatino Linotype" w:hAnsi="Georgia" w:cs="Palatino Linotype"/>
          <w:b/>
          <w:u w:val="single"/>
        </w:rPr>
        <w:t>lease provide information on:</w:t>
      </w:r>
    </w:p>
    <w:p w14:paraId="1407C075" w14:textId="77777777" w:rsidR="00F270C0" w:rsidRPr="00076FAF" w:rsidRDefault="00F270C0" w:rsidP="006C2305">
      <w:pPr>
        <w:autoSpaceDE w:val="0"/>
        <w:autoSpaceDN w:val="0"/>
        <w:adjustRightInd w:val="0"/>
        <w:spacing w:after="0" w:line="240" w:lineRule="auto"/>
        <w:jc w:val="both"/>
        <w:rPr>
          <w:rFonts w:ascii="Georgia" w:hAnsi="Georgia" w:cs="TimesNewRomanRegular"/>
        </w:rPr>
      </w:pPr>
    </w:p>
    <w:p w14:paraId="086F0965" w14:textId="77777777" w:rsidR="00694718" w:rsidRPr="00076FAF" w:rsidRDefault="005F25B1" w:rsidP="006C2305">
      <w:pPr>
        <w:pStyle w:val="ListParagraph"/>
        <w:numPr>
          <w:ilvl w:val="0"/>
          <w:numId w:val="1"/>
        </w:numPr>
        <w:jc w:val="both"/>
        <w:rPr>
          <w:rFonts w:ascii="Georgia" w:hAnsi="Georgia"/>
        </w:rPr>
      </w:pPr>
      <w:r w:rsidRPr="00076FAF">
        <w:rPr>
          <w:rFonts w:ascii="Georgia" w:hAnsi="Georgia"/>
        </w:rPr>
        <w:t>T</w:t>
      </w:r>
      <w:r w:rsidR="00694718" w:rsidRPr="00076FAF">
        <w:rPr>
          <w:rFonts w:ascii="Georgia" w:hAnsi="Georgia"/>
        </w:rPr>
        <w:t>he measures taken to include persons with disability in t</w:t>
      </w:r>
      <w:r w:rsidRPr="00076FAF">
        <w:rPr>
          <w:rFonts w:ascii="Georgia" w:hAnsi="Georgia"/>
        </w:rPr>
        <w:t>he go</w:t>
      </w:r>
      <w:r w:rsidR="00FB7A97" w:rsidRPr="00076FAF">
        <w:rPr>
          <w:rFonts w:ascii="Georgia" w:hAnsi="Georgia"/>
        </w:rPr>
        <w:t>vernment’s employment programs</w:t>
      </w:r>
      <w:r w:rsidRPr="00076FAF">
        <w:rPr>
          <w:rFonts w:ascii="Georgia" w:hAnsi="Georgia"/>
        </w:rPr>
        <w:t>.</w:t>
      </w:r>
    </w:p>
    <w:p w14:paraId="26C826B5" w14:textId="77777777" w:rsidR="00FB7A97" w:rsidRPr="00076FAF" w:rsidRDefault="00FB7A97" w:rsidP="006C2305">
      <w:pPr>
        <w:pStyle w:val="ListParagraph"/>
        <w:numPr>
          <w:ilvl w:val="0"/>
          <w:numId w:val="1"/>
        </w:numPr>
        <w:jc w:val="both"/>
        <w:rPr>
          <w:rFonts w:ascii="Georgia" w:hAnsi="Georgia"/>
        </w:rPr>
      </w:pPr>
      <w:r w:rsidRPr="00076FAF">
        <w:rPr>
          <w:rFonts w:ascii="Georgia" w:hAnsi="Georgia"/>
        </w:rPr>
        <w:t>The actions taken by both the county and national governments to create suitable environment for entrepreneurial ventures for the youth.</w:t>
      </w:r>
    </w:p>
    <w:p w14:paraId="6781BE60" w14:textId="77777777" w:rsidR="00694718" w:rsidRPr="00076FAF" w:rsidRDefault="00694718" w:rsidP="006C2305">
      <w:pPr>
        <w:autoSpaceDE w:val="0"/>
        <w:autoSpaceDN w:val="0"/>
        <w:adjustRightInd w:val="0"/>
        <w:spacing w:after="0" w:line="240" w:lineRule="auto"/>
        <w:jc w:val="both"/>
        <w:rPr>
          <w:rFonts w:ascii="Georgia" w:hAnsi="Georgia" w:cs="CIDFont+F2"/>
        </w:rPr>
      </w:pPr>
    </w:p>
    <w:p w14:paraId="777153CB" w14:textId="77777777" w:rsidR="00860C4A" w:rsidRPr="00076FAF" w:rsidRDefault="00860C4A" w:rsidP="006C2305">
      <w:pPr>
        <w:autoSpaceDE w:val="0"/>
        <w:autoSpaceDN w:val="0"/>
        <w:adjustRightInd w:val="0"/>
        <w:spacing w:after="0" w:line="240" w:lineRule="auto"/>
        <w:jc w:val="both"/>
        <w:rPr>
          <w:rFonts w:ascii="Georgia" w:hAnsi="Georgia" w:cs="CIDFont+F2"/>
          <w:b/>
        </w:rPr>
      </w:pPr>
      <w:r w:rsidRPr="00076FAF">
        <w:rPr>
          <w:rFonts w:ascii="Georgia" w:hAnsi="Georgia" w:cs="CIDFont+F2"/>
          <w:b/>
        </w:rPr>
        <w:t>Right to Social Security</w:t>
      </w:r>
    </w:p>
    <w:p w14:paraId="51A89AAA" w14:textId="77777777" w:rsidR="00860C4A" w:rsidRPr="00076FAF" w:rsidRDefault="00860C4A" w:rsidP="006C2305">
      <w:pPr>
        <w:autoSpaceDE w:val="0"/>
        <w:autoSpaceDN w:val="0"/>
        <w:adjustRightInd w:val="0"/>
        <w:spacing w:after="0" w:line="240" w:lineRule="auto"/>
        <w:jc w:val="both"/>
        <w:rPr>
          <w:rFonts w:ascii="Georgia" w:hAnsi="Georgia" w:cs="TimesNewRomanBold"/>
          <w:b/>
          <w:bCs/>
        </w:rPr>
      </w:pPr>
      <w:r w:rsidRPr="00076FAF">
        <w:rPr>
          <w:rFonts w:ascii="Georgia" w:hAnsi="Georgia" w:cs="TimesNewRomanRegular"/>
        </w:rPr>
        <w:t xml:space="preserve">In the 2015 Concluding observations, the Committee had raised </w:t>
      </w:r>
      <w:r w:rsidR="00467536" w:rsidRPr="00076FAF">
        <w:rPr>
          <w:rFonts w:ascii="Georgia" w:hAnsi="Georgia" w:cs="TimesNewRomanRegular"/>
        </w:rPr>
        <w:t>concerns over</w:t>
      </w:r>
      <w:r w:rsidRPr="00076FAF">
        <w:rPr>
          <w:rFonts w:ascii="Georgia" w:hAnsi="Georgia" w:cs="TimesNewRomanRegular"/>
        </w:rPr>
        <w:t xml:space="preserve"> limited coverage of cash transfer programmes, leaving more than half of people eligible for the programmes unsupported, at duplication errors in beneficiary registration and overlapping benefits. The committee was also concerned that the amount of the benefits were not regularly adjusted or sufficient to ensure a decent living.</w:t>
      </w:r>
      <w:r w:rsidRPr="00076FAF">
        <w:rPr>
          <w:rStyle w:val="FootnoteReference"/>
          <w:rFonts w:ascii="Georgia" w:hAnsi="Georgia" w:cs="TimesNewRomanRegular"/>
        </w:rPr>
        <w:footnoteReference w:id="6"/>
      </w:r>
      <w:r w:rsidRPr="00076FAF">
        <w:rPr>
          <w:rFonts w:ascii="Georgia" w:hAnsi="Georgia" w:cs="TimesNewRomanBold"/>
          <w:b/>
          <w:bCs/>
        </w:rPr>
        <w:t xml:space="preserve"> </w:t>
      </w:r>
      <w:r w:rsidR="00F94963" w:rsidRPr="00076FAF">
        <w:rPr>
          <w:rFonts w:ascii="Georgia" w:hAnsi="Georgia" w:cs="TimesNewRomanBold"/>
          <w:bCs/>
        </w:rPr>
        <w:t>The CESCR</w:t>
      </w:r>
      <w:r w:rsidRPr="00076FAF">
        <w:rPr>
          <w:rFonts w:ascii="Georgia" w:hAnsi="Georgia" w:cs="TimesNewRomanBold"/>
          <w:bCs/>
        </w:rPr>
        <w:t xml:space="preserve"> recommended </w:t>
      </w:r>
      <w:r w:rsidR="00F94963" w:rsidRPr="00076FAF">
        <w:rPr>
          <w:rFonts w:ascii="Georgia" w:hAnsi="Georgia" w:cs="TimesNewRomanBold"/>
          <w:bCs/>
        </w:rPr>
        <w:t>that Kenya intensifies</w:t>
      </w:r>
      <w:r w:rsidRPr="00076FAF">
        <w:rPr>
          <w:rFonts w:ascii="Georgia" w:hAnsi="Georgia" w:cs="TimesNewRomanBold"/>
          <w:bCs/>
        </w:rPr>
        <w:t xml:space="preserve"> its efforts to ensure th</w:t>
      </w:r>
      <w:r w:rsidR="00F94963" w:rsidRPr="00076FAF">
        <w:rPr>
          <w:rFonts w:ascii="Georgia" w:hAnsi="Georgia" w:cs="TimesNewRomanBold"/>
          <w:bCs/>
        </w:rPr>
        <w:t xml:space="preserve">at the cash transfer programmes </w:t>
      </w:r>
      <w:r w:rsidRPr="00076FAF">
        <w:rPr>
          <w:rFonts w:ascii="Georgia" w:hAnsi="Georgia" w:cs="TimesNewRomanBold"/>
          <w:bCs/>
        </w:rPr>
        <w:t>cover all eligible beneficiaries, increase the amount of benefits and regularly readjus</w:t>
      </w:r>
      <w:r w:rsidR="00F94963" w:rsidRPr="00076FAF">
        <w:rPr>
          <w:rFonts w:ascii="Georgia" w:hAnsi="Georgia" w:cs="TimesNewRomanBold"/>
          <w:bCs/>
        </w:rPr>
        <w:t xml:space="preserve">t the amount to ensure a decent </w:t>
      </w:r>
      <w:r w:rsidRPr="00076FAF">
        <w:rPr>
          <w:rFonts w:ascii="Georgia" w:hAnsi="Georgia" w:cs="TimesNewRomanBold"/>
          <w:bCs/>
        </w:rPr>
        <w:t>living and timely payment for the beneficiaries.</w:t>
      </w:r>
      <w:r w:rsidR="00F94963" w:rsidRPr="00076FAF">
        <w:rPr>
          <w:rStyle w:val="FootnoteReference"/>
          <w:rFonts w:ascii="Georgia" w:hAnsi="Georgia" w:cs="TimesNewRomanBold"/>
          <w:bCs/>
        </w:rPr>
        <w:footnoteReference w:id="7"/>
      </w:r>
    </w:p>
    <w:p w14:paraId="4C4258C7" w14:textId="77777777" w:rsidR="00FF53A7" w:rsidRPr="00076FAF" w:rsidRDefault="00FF53A7" w:rsidP="006C2305">
      <w:pPr>
        <w:jc w:val="both"/>
        <w:rPr>
          <w:rFonts w:ascii="Georgia" w:hAnsi="Georgia" w:cs="Times New Roman"/>
          <w:bCs/>
          <w:color w:val="000000" w:themeColor="text1"/>
        </w:rPr>
      </w:pPr>
      <w:r w:rsidRPr="00076FAF">
        <w:rPr>
          <w:rFonts w:ascii="Georgia" w:hAnsi="Georgia"/>
          <w:color w:val="000000" w:themeColor="text1"/>
        </w:rPr>
        <w:t>The government’s budgetary allocation for social protection programs stands at approximately 2 per cent of the overall budget (analysis of FY 2016/2017 ,2017/2018). Compared to education and health, social assistance generally accounts for a relatively small portion of the national budget (less than 1%)</w:t>
      </w:r>
      <w:r w:rsidRPr="00076FAF">
        <w:rPr>
          <w:rStyle w:val="FootnoteReference"/>
          <w:rFonts w:ascii="Georgia" w:hAnsi="Georgia"/>
          <w:color w:val="000000" w:themeColor="text1"/>
        </w:rPr>
        <w:footnoteReference w:id="8"/>
      </w:r>
      <w:r w:rsidRPr="00076FAF">
        <w:rPr>
          <w:rFonts w:ascii="Georgia" w:hAnsi="Georgia"/>
          <w:color w:val="000000" w:themeColor="text1"/>
        </w:rPr>
        <w:t>. This remains a low investment priority. Only a small portion (22%) of the eligible households are being supported by social protection programmes. On cash stipends, real values of cash stipends continue to fall at an average rate of 12.5 per cent annually, due to non-adjustment of payments to inflation. On the other hand, the</w:t>
      </w:r>
      <w:r w:rsidRPr="00076FAF">
        <w:rPr>
          <w:rFonts w:ascii="Georgia" w:hAnsi="Georgia" w:cs="Times New Roman"/>
          <w:bCs/>
          <w:color w:val="000000" w:themeColor="text1"/>
        </w:rPr>
        <w:t xml:space="preserve"> Single Registry e-solution for social accountability designed to support planning, coordination, accountability and overall enhance efficiency in the social protection programmes web portal and the toll-free number 1533</w:t>
      </w:r>
      <w:r w:rsidRPr="00076FAF">
        <w:rPr>
          <w:rFonts w:ascii="Georgia" w:hAnsi="Georgia"/>
          <w:color w:val="000000" w:themeColor="text1"/>
          <w:vertAlign w:val="superscript"/>
        </w:rPr>
        <w:footnoteReference w:id="9"/>
      </w:r>
      <w:r w:rsidRPr="00076FAF">
        <w:rPr>
          <w:rFonts w:ascii="Georgia" w:hAnsi="Georgia" w:cs="Times New Roman"/>
          <w:bCs/>
          <w:color w:val="000000" w:themeColor="text1"/>
        </w:rPr>
        <w:t xml:space="preserve">is not always accessible to the public in as much as the Social Protection Secretariat says it is. </w:t>
      </w:r>
    </w:p>
    <w:p w14:paraId="2854AF26" w14:textId="77777777" w:rsidR="00FF53A7" w:rsidRPr="00076FAF" w:rsidRDefault="00FF53A7" w:rsidP="006C2305">
      <w:pPr>
        <w:autoSpaceDE w:val="0"/>
        <w:autoSpaceDN w:val="0"/>
        <w:adjustRightInd w:val="0"/>
        <w:spacing w:after="0" w:line="240" w:lineRule="auto"/>
        <w:jc w:val="both"/>
        <w:rPr>
          <w:rFonts w:ascii="Georgia" w:eastAsia="Palatino Linotype" w:hAnsi="Georgia" w:cs="Palatino Linotype"/>
          <w:b/>
          <w:u w:val="single"/>
        </w:rPr>
      </w:pPr>
      <w:r w:rsidRPr="00076FAF">
        <w:rPr>
          <w:rFonts w:ascii="Georgia" w:hAnsi="Georgia" w:cs="Open Sans"/>
          <w:b/>
          <w:u w:val="single"/>
          <w:lang w:val="en-GB"/>
        </w:rPr>
        <w:t>Based on this obs</w:t>
      </w:r>
      <w:r w:rsidR="006055D0" w:rsidRPr="00076FAF">
        <w:rPr>
          <w:rFonts w:ascii="Georgia" w:hAnsi="Georgia" w:cs="Open Sans"/>
          <w:b/>
          <w:u w:val="single"/>
          <w:lang w:val="en-GB"/>
        </w:rPr>
        <w:t>ervation regarding right to social security</w:t>
      </w:r>
      <w:r w:rsidRPr="00076FAF">
        <w:rPr>
          <w:rFonts w:ascii="Georgia" w:hAnsi="Georgia" w:cs="Open Sans"/>
          <w:b/>
          <w:u w:val="single"/>
          <w:lang w:val="en-GB"/>
        </w:rPr>
        <w:t>, p</w:t>
      </w:r>
      <w:r w:rsidRPr="00076FAF">
        <w:rPr>
          <w:rFonts w:ascii="Georgia" w:eastAsia="Palatino Linotype" w:hAnsi="Georgia" w:cs="Palatino Linotype"/>
          <w:b/>
          <w:u w:val="single"/>
        </w:rPr>
        <w:t>lease provide information on:</w:t>
      </w:r>
    </w:p>
    <w:p w14:paraId="53D00B03" w14:textId="77777777" w:rsidR="00FF53A7" w:rsidRPr="00076FAF" w:rsidRDefault="00FF53A7" w:rsidP="006C2305">
      <w:pPr>
        <w:pStyle w:val="ListParagraph"/>
        <w:numPr>
          <w:ilvl w:val="0"/>
          <w:numId w:val="2"/>
        </w:numPr>
        <w:jc w:val="both"/>
        <w:rPr>
          <w:rFonts w:ascii="Georgia" w:hAnsi="Georgia"/>
        </w:rPr>
      </w:pPr>
      <w:r w:rsidRPr="00076FAF">
        <w:rPr>
          <w:rFonts w:ascii="Georgia" w:hAnsi="Georgia"/>
        </w:rPr>
        <w:lastRenderedPageBreak/>
        <w:t>National budget allocation to the implementation of the Kenya Social Protection Programmes in comparison to other sectors.</w:t>
      </w:r>
    </w:p>
    <w:p w14:paraId="6F43537E" w14:textId="77777777" w:rsidR="00FF53A7" w:rsidRPr="00076FAF" w:rsidRDefault="00FF53A7" w:rsidP="006C2305">
      <w:pPr>
        <w:pStyle w:val="ListParagraph"/>
        <w:numPr>
          <w:ilvl w:val="0"/>
          <w:numId w:val="2"/>
        </w:numPr>
        <w:jc w:val="both"/>
        <w:rPr>
          <w:rFonts w:ascii="Georgia" w:hAnsi="Georgia"/>
        </w:rPr>
      </w:pPr>
      <w:r w:rsidRPr="00076FAF">
        <w:rPr>
          <w:rFonts w:ascii="Georgia" w:hAnsi="Georgia"/>
        </w:rPr>
        <w:t xml:space="preserve">The formula used to determine the real values of cash stipends and how it adjusts based on the inflation in the country. </w:t>
      </w:r>
    </w:p>
    <w:p w14:paraId="04E70E13" w14:textId="77777777" w:rsidR="00FF53A7" w:rsidRPr="00076FAF" w:rsidRDefault="00FF53A7" w:rsidP="006C2305">
      <w:pPr>
        <w:pStyle w:val="ListParagraph"/>
        <w:numPr>
          <w:ilvl w:val="0"/>
          <w:numId w:val="2"/>
        </w:numPr>
        <w:jc w:val="both"/>
        <w:rPr>
          <w:rFonts w:ascii="Georgia" w:hAnsi="Georgia"/>
        </w:rPr>
      </w:pPr>
      <w:r w:rsidRPr="00076FAF">
        <w:rPr>
          <w:rFonts w:ascii="Georgia" w:hAnsi="Georgia"/>
        </w:rPr>
        <w:t>The operation and management system of the single registry e-solution web portal and feedback tool</w:t>
      </w:r>
    </w:p>
    <w:p w14:paraId="2F13A7C6" w14:textId="77777777" w:rsidR="00FF53A7" w:rsidRPr="00076FAF" w:rsidRDefault="00FF53A7" w:rsidP="006C2305">
      <w:pPr>
        <w:jc w:val="both"/>
        <w:rPr>
          <w:rFonts w:ascii="Georgia" w:hAnsi="Georgia" w:cs="Times New Roman"/>
        </w:rPr>
      </w:pPr>
      <w:r w:rsidRPr="00076FAF">
        <w:rPr>
          <w:rFonts w:ascii="Georgia" w:hAnsi="Georgia"/>
        </w:rPr>
        <w:t>Please clarify on how the government intends to</w:t>
      </w:r>
      <w:r w:rsidRPr="00076FAF">
        <w:rPr>
          <w:rFonts w:ascii="Georgia" w:hAnsi="Georgia" w:cs="Times New Roman"/>
        </w:rPr>
        <w:t xml:space="preserve"> rethink the current insurance-based model of universal health coverage through NHIF which will only promote inequality and should instead embrace a tax-based model that ensures healt</w:t>
      </w:r>
      <w:r w:rsidR="006C2305" w:rsidRPr="00076FAF">
        <w:rPr>
          <w:rFonts w:ascii="Georgia" w:hAnsi="Georgia" w:cs="Times New Roman"/>
        </w:rPr>
        <w:t>hcare is available for everyone</w:t>
      </w:r>
    </w:p>
    <w:p w14:paraId="20182B9A" w14:textId="77777777" w:rsidR="006C2305" w:rsidRPr="00076FAF" w:rsidRDefault="006C2305" w:rsidP="006C2305">
      <w:pPr>
        <w:jc w:val="center"/>
        <w:rPr>
          <w:rFonts w:ascii="Georgia" w:hAnsi="Georgia" w:cs="Times New Roman"/>
          <w:b/>
        </w:rPr>
      </w:pPr>
      <w:r w:rsidRPr="00076FAF">
        <w:rPr>
          <w:rFonts w:ascii="Georgia" w:hAnsi="Georgia" w:cs="Times New Roman"/>
          <w:b/>
        </w:rPr>
        <w:t>Right to food</w:t>
      </w:r>
    </w:p>
    <w:p w14:paraId="5A4D7029" w14:textId="77777777" w:rsidR="006C2305" w:rsidRPr="00076FAF" w:rsidRDefault="006C2305" w:rsidP="006C2305">
      <w:pPr>
        <w:autoSpaceDE w:val="0"/>
        <w:autoSpaceDN w:val="0"/>
        <w:adjustRightInd w:val="0"/>
        <w:spacing w:after="0" w:line="240" w:lineRule="auto"/>
        <w:jc w:val="both"/>
        <w:rPr>
          <w:rFonts w:ascii="Georgia" w:hAnsi="Georgia" w:cs="Times New Roman"/>
        </w:rPr>
      </w:pPr>
      <w:r w:rsidRPr="00076FAF">
        <w:rPr>
          <w:rFonts w:ascii="Georgia" w:hAnsi="Georgia" w:cs="TimesNewRomanRegular"/>
        </w:rPr>
        <w:t xml:space="preserve">In the 2015 Concluding observations, the Committee had raised concerns over the prevalence of chronic malnutrition and the high level of stunting, particularly among children and those living in arid and semi-arid areas and those living in arid and semi-arid areas. The committee recommended </w:t>
      </w:r>
      <w:r w:rsidRPr="00076FAF">
        <w:rPr>
          <w:rFonts w:ascii="Georgia" w:hAnsi="Georgia" w:cs="TimesNewRomanBold"/>
          <w:bCs/>
        </w:rPr>
        <w:t>the adoption</w:t>
      </w:r>
      <w:r w:rsidRPr="00076FAF">
        <w:rPr>
          <w:rFonts w:ascii="Georgia" w:hAnsi="Georgia" w:cs="TimesNewRomanRegular"/>
        </w:rPr>
        <w:t xml:space="preserve"> </w:t>
      </w:r>
      <w:r w:rsidRPr="00076FAF">
        <w:rPr>
          <w:rFonts w:ascii="Georgia" w:hAnsi="Georgia" w:cs="TimesNewRomanBold"/>
          <w:bCs/>
        </w:rPr>
        <w:t>of a national action plan on food security and nutrition in line with the Committee’s general comment No. 12 (1999) on</w:t>
      </w:r>
      <w:r w:rsidRPr="00076FAF">
        <w:rPr>
          <w:rFonts w:ascii="Georgia" w:hAnsi="Georgia" w:cs="TimesNewRomanRegular"/>
        </w:rPr>
        <w:t xml:space="preserve"> t</w:t>
      </w:r>
      <w:r w:rsidRPr="00076FAF">
        <w:rPr>
          <w:rFonts w:ascii="Georgia" w:hAnsi="Georgia" w:cs="TimesNewRomanBold"/>
          <w:bCs/>
        </w:rPr>
        <w:t>he right to adequate food</w:t>
      </w:r>
      <w:r w:rsidRPr="00076FAF">
        <w:rPr>
          <w:rStyle w:val="FootnoteReference"/>
          <w:rFonts w:ascii="Georgia" w:hAnsi="Georgia" w:cs="TimesNewRomanBold"/>
          <w:bCs/>
        </w:rPr>
        <w:footnoteReference w:id="10"/>
      </w:r>
      <w:r w:rsidRPr="00076FAF">
        <w:rPr>
          <w:rFonts w:ascii="Georgia" w:hAnsi="Georgia" w:cs="TimesNewRomanBold"/>
          <w:bCs/>
        </w:rPr>
        <w:t>. The state</w:t>
      </w:r>
      <w:r w:rsidRPr="00076FAF">
        <w:rPr>
          <w:rFonts w:ascii="Georgia" w:hAnsi="Georgia" w:cs="TimesNewRomanBold"/>
          <w:b/>
          <w:bCs/>
        </w:rPr>
        <w:t xml:space="preserve"> </w:t>
      </w:r>
      <w:r w:rsidRPr="00076FAF">
        <w:rPr>
          <w:rFonts w:ascii="Georgia" w:hAnsi="Georgia" w:cs="Times New Roman"/>
        </w:rPr>
        <w:t>report highlights that during the reporting period, the State developed a number of policies including the Kenya Nutrition Action Plan 2018-2022</w:t>
      </w:r>
      <w:r w:rsidRPr="00076FAF">
        <w:rPr>
          <w:rStyle w:val="FootnoteReference"/>
          <w:rFonts w:ascii="Georgia" w:hAnsi="Georgia" w:cs="Times New Roman"/>
        </w:rPr>
        <w:footnoteReference w:id="11"/>
      </w:r>
      <w:r w:rsidRPr="00076FAF">
        <w:rPr>
          <w:rFonts w:ascii="Georgia" w:hAnsi="Georgia" w:cs="Times New Roman"/>
        </w:rPr>
        <w:t>. However, the report does not describe the efforts made in the implementation of the Action Plan.</w:t>
      </w:r>
    </w:p>
    <w:p w14:paraId="67D4BE17" w14:textId="77777777" w:rsidR="006C2305" w:rsidRPr="00076FAF" w:rsidRDefault="006C2305" w:rsidP="006C2305">
      <w:pPr>
        <w:jc w:val="both"/>
        <w:rPr>
          <w:rFonts w:ascii="Georgia" w:hAnsi="Georgia" w:cs="Times New Roman"/>
          <w:b/>
          <w:bCs/>
        </w:rPr>
      </w:pPr>
      <w:r w:rsidRPr="00076FAF">
        <w:rPr>
          <w:rFonts w:ascii="Georgia" w:hAnsi="Georgia" w:cs="Times New Roman"/>
        </w:rPr>
        <w:t>Comparing the 2019/2020 and 2020/2021  financial years, the budget allocation for the Agriculture and Food sector saw an  increase by 21 percent from Ksh 50.1 billion allocated in the 2019/2020 financial year to Ksh 60.7 billion</w:t>
      </w:r>
      <w:r w:rsidRPr="00076FAF">
        <w:rPr>
          <w:rFonts w:ascii="Georgia" w:hAnsi="Georgia" w:cs="Times New Roman"/>
          <w:vertAlign w:val="superscript"/>
        </w:rPr>
        <w:footnoteReference w:id="12"/>
      </w:r>
      <w:r w:rsidRPr="00076FAF">
        <w:rPr>
          <w:rFonts w:ascii="Georgia" w:hAnsi="Georgia" w:cs="Times New Roman"/>
        </w:rPr>
        <w:t>however despite this, the need for the government to invest heavily in the agricultural and  food sector presents itself as an immediate necessity owing to the change in climatic conditions and disasters as witnessed in  2021 which was characterized by drought during the first half of the year, followed by high rainfall in the second half of the year and  culminated in reduced production of selected crops and pasture for livestock, and the high locust infestation witnessed in 2020. According to the KNBS economic survey 2020, the real Gross Domestic Product (GDP) is estimated to have expanded by 5.4 per cent in 2019 compared to a growth of 6.3 per cent in 2018. The growth was spread across all sectors of the economy but was more pronounced in service-oriented sectors. The Agriculture, Forestry and Fishing sector accounted for a sizable proportion of the slowdown, from 6.0 percent growth in 2018 to 3.6 per cent in 2019.</w:t>
      </w:r>
      <w:r w:rsidRPr="00076FAF">
        <w:rPr>
          <w:rFonts w:ascii="Georgia" w:hAnsi="Georgia" w:cs="Times New Roman"/>
          <w:bCs/>
        </w:rPr>
        <w:t xml:space="preserve">This calls for the need for the country to raise productivity in the agriculture sector as this can potentially </w:t>
      </w:r>
      <w:r w:rsidRPr="00076FAF">
        <w:rPr>
          <w:rFonts w:ascii="Georgia" w:hAnsi="Georgia" w:cs="Times New Roman"/>
        </w:rPr>
        <w:t>lift households out of poverty.</w:t>
      </w:r>
    </w:p>
    <w:p w14:paraId="678D7974" w14:textId="77777777" w:rsidR="006C2305" w:rsidRPr="00076FAF" w:rsidRDefault="006C2305" w:rsidP="006C2305">
      <w:pPr>
        <w:autoSpaceDE w:val="0"/>
        <w:autoSpaceDN w:val="0"/>
        <w:adjustRightInd w:val="0"/>
        <w:spacing w:after="0" w:line="240" w:lineRule="auto"/>
        <w:jc w:val="both"/>
        <w:rPr>
          <w:rFonts w:ascii="Georgia" w:eastAsia="Palatino Linotype" w:hAnsi="Georgia" w:cs="Palatino Linotype"/>
          <w:b/>
          <w:u w:val="single"/>
        </w:rPr>
      </w:pPr>
      <w:r w:rsidRPr="00076FAF">
        <w:rPr>
          <w:rFonts w:ascii="Georgia" w:hAnsi="Georgia" w:cs="Open Sans"/>
          <w:b/>
          <w:u w:val="single"/>
          <w:lang w:val="en-GB"/>
        </w:rPr>
        <w:t>Based on this obs</w:t>
      </w:r>
      <w:r w:rsidR="006055D0" w:rsidRPr="00076FAF">
        <w:rPr>
          <w:rFonts w:ascii="Georgia" w:hAnsi="Georgia" w:cs="Open Sans"/>
          <w:b/>
          <w:u w:val="single"/>
          <w:lang w:val="en-GB"/>
        </w:rPr>
        <w:t>ervation regarding right to food</w:t>
      </w:r>
      <w:r w:rsidRPr="00076FAF">
        <w:rPr>
          <w:rFonts w:ascii="Georgia" w:hAnsi="Georgia" w:cs="Open Sans"/>
          <w:b/>
          <w:u w:val="single"/>
          <w:lang w:val="en-GB"/>
        </w:rPr>
        <w:t>, p</w:t>
      </w:r>
      <w:r w:rsidRPr="00076FAF">
        <w:rPr>
          <w:rFonts w:ascii="Georgia" w:eastAsia="Palatino Linotype" w:hAnsi="Georgia" w:cs="Palatino Linotype"/>
          <w:b/>
          <w:u w:val="single"/>
        </w:rPr>
        <w:t>lease provide information on:</w:t>
      </w:r>
    </w:p>
    <w:p w14:paraId="39795612" w14:textId="77777777" w:rsidR="006C2305" w:rsidRPr="00076FAF" w:rsidRDefault="006C2305" w:rsidP="006C2305">
      <w:pPr>
        <w:pStyle w:val="ListParagraph"/>
        <w:numPr>
          <w:ilvl w:val="0"/>
          <w:numId w:val="3"/>
        </w:numPr>
        <w:autoSpaceDE w:val="0"/>
        <w:autoSpaceDN w:val="0"/>
        <w:adjustRightInd w:val="0"/>
        <w:spacing w:after="0" w:line="240" w:lineRule="auto"/>
        <w:jc w:val="both"/>
        <w:rPr>
          <w:rFonts w:ascii="Georgia" w:eastAsia="Palatino Linotype" w:hAnsi="Georgia" w:cs="Palatino Linotype"/>
        </w:rPr>
      </w:pPr>
      <w:r w:rsidRPr="00076FAF">
        <w:rPr>
          <w:rFonts w:ascii="Georgia" w:eastAsia="Palatino Linotype" w:hAnsi="Georgia" w:cs="Palatino Linotype"/>
        </w:rPr>
        <w:t xml:space="preserve">The progress of implementation of the Kenya </w:t>
      </w:r>
      <w:r w:rsidRPr="00076FAF">
        <w:rPr>
          <w:rFonts w:ascii="Georgia" w:hAnsi="Georgia" w:cs="Times New Roman"/>
        </w:rPr>
        <w:t>Nutrition Action Plan 2018-2022</w:t>
      </w:r>
    </w:p>
    <w:p w14:paraId="7EE7BED6" w14:textId="77777777" w:rsidR="006C2305" w:rsidRPr="00076FAF" w:rsidRDefault="006C2305" w:rsidP="006C2305">
      <w:pPr>
        <w:pStyle w:val="ListParagraph"/>
        <w:numPr>
          <w:ilvl w:val="0"/>
          <w:numId w:val="3"/>
        </w:numPr>
        <w:autoSpaceDE w:val="0"/>
        <w:autoSpaceDN w:val="0"/>
        <w:adjustRightInd w:val="0"/>
        <w:spacing w:after="0" w:line="240" w:lineRule="auto"/>
        <w:jc w:val="both"/>
        <w:rPr>
          <w:rFonts w:ascii="Georgia" w:eastAsia="Palatino Linotype" w:hAnsi="Georgia" w:cs="Palatino Linotype"/>
        </w:rPr>
      </w:pPr>
      <w:r w:rsidRPr="00076FAF">
        <w:rPr>
          <w:rFonts w:ascii="Georgia" w:hAnsi="Georgia"/>
        </w:rPr>
        <w:lastRenderedPageBreak/>
        <w:t xml:space="preserve"> Annual public spend</w:t>
      </w:r>
      <w:r w:rsidR="00E64AFC" w:rsidRPr="00076FAF">
        <w:rPr>
          <w:rFonts w:ascii="Georgia" w:hAnsi="Georgia"/>
        </w:rPr>
        <w:t>ing in the areas of agriculture</w:t>
      </w:r>
      <w:r w:rsidRPr="00076FAF">
        <w:rPr>
          <w:rFonts w:ascii="Georgia" w:hAnsi="Georgia"/>
        </w:rPr>
        <w:t>, forestry and fishing and percentage of national budget.</w:t>
      </w:r>
    </w:p>
    <w:p w14:paraId="1B9110D4" w14:textId="77777777" w:rsidR="006C2305" w:rsidRPr="00076FAF" w:rsidRDefault="006C2305" w:rsidP="006C2305">
      <w:pPr>
        <w:jc w:val="both"/>
        <w:rPr>
          <w:rFonts w:ascii="Georgia" w:hAnsi="Georgia" w:cs="Times New Roman"/>
        </w:rPr>
      </w:pPr>
    </w:p>
    <w:p w14:paraId="273F5CE0" w14:textId="77777777" w:rsidR="00E64AFC" w:rsidRPr="00076FAF" w:rsidRDefault="00E64AFC" w:rsidP="00CE762A">
      <w:pPr>
        <w:jc w:val="center"/>
        <w:rPr>
          <w:rFonts w:ascii="Georgia" w:hAnsi="Georgia" w:cs="Times New Roman"/>
          <w:b/>
        </w:rPr>
      </w:pPr>
      <w:r w:rsidRPr="00076FAF">
        <w:rPr>
          <w:rFonts w:ascii="Georgia" w:hAnsi="Georgia" w:cs="Times New Roman"/>
          <w:b/>
        </w:rPr>
        <w:t>Right to water</w:t>
      </w:r>
    </w:p>
    <w:p w14:paraId="44DAB845" w14:textId="77777777" w:rsidR="006C2305" w:rsidRPr="00076FAF" w:rsidRDefault="00CE762A" w:rsidP="003C5137">
      <w:pPr>
        <w:autoSpaceDE w:val="0"/>
        <w:autoSpaceDN w:val="0"/>
        <w:adjustRightInd w:val="0"/>
        <w:spacing w:after="0" w:line="240" w:lineRule="auto"/>
        <w:jc w:val="both"/>
        <w:rPr>
          <w:rFonts w:ascii="Georgia" w:hAnsi="Georgia" w:cs="TimesNewRomanBold"/>
          <w:bCs/>
        </w:rPr>
      </w:pPr>
      <w:r w:rsidRPr="00076FAF">
        <w:rPr>
          <w:rFonts w:ascii="Georgia" w:hAnsi="Georgia" w:cs="TimesNewRomanRegular"/>
        </w:rPr>
        <w:t>In the 2015 Concluding observations, the Committee had raised concerns over insufficient access to safe drinking water and adequate sanitation with huge disparities between formal and informal settlements and was also concerned at the lack of effective regulation of water prices.</w:t>
      </w:r>
      <w:r w:rsidRPr="00076FAF">
        <w:rPr>
          <w:rFonts w:ascii="Georgia" w:hAnsi="Georgia" w:cs="TimesNewRomanBold"/>
          <w:bCs/>
        </w:rPr>
        <w:t xml:space="preserve"> The Committee recommended that the State party intensifies its efforts to effectively regulate water prices and ensure compliance, particularly by small-scale water vendors, with the tariff guidelines, which were set by the Water Services Regulatory Board</w:t>
      </w:r>
      <w:r w:rsidRPr="00076FAF">
        <w:rPr>
          <w:rStyle w:val="FootnoteReference"/>
          <w:rFonts w:ascii="Georgia" w:hAnsi="Georgia" w:cs="TimesNewRomanBold"/>
          <w:bCs/>
        </w:rPr>
        <w:footnoteReference w:id="13"/>
      </w:r>
      <w:r w:rsidRPr="00076FAF">
        <w:rPr>
          <w:rFonts w:ascii="Georgia" w:hAnsi="Georgia" w:cs="TimesNewRomanBold"/>
          <w:bCs/>
        </w:rPr>
        <w:t xml:space="preserve">. The state report highlights that there is </w:t>
      </w:r>
      <w:r w:rsidRPr="00076FAF">
        <w:rPr>
          <w:rFonts w:ascii="Georgia" w:hAnsi="Georgia" w:cs="Times New Roman"/>
        </w:rPr>
        <w:t>63% countrywide water coverage</w:t>
      </w:r>
      <w:r w:rsidRPr="00076FAF">
        <w:rPr>
          <w:rStyle w:val="FootnoteReference"/>
          <w:rFonts w:ascii="Georgia" w:hAnsi="Georgia" w:cs="Times New Roman"/>
        </w:rPr>
        <w:footnoteReference w:id="14"/>
      </w:r>
      <w:r w:rsidRPr="00076FAF">
        <w:rPr>
          <w:rFonts w:ascii="Georgia" w:hAnsi="Georgia" w:cs="Times New Roman"/>
        </w:rPr>
        <w:t>.</w:t>
      </w:r>
      <w:r w:rsidR="003C5137" w:rsidRPr="00076FAF">
        <w:rPr>
          <w:rFonts w:ascii="Georgia" w:hAnsi="Georgia"/>
        </w:rPr>
        <w:t xml:space="preserve"> It also </w:t>
      </w:r>
      <w:r w:rsidR="003C5137" w:rsidRPr="00076FAF">
        <w:rPr>
          <w:rFonts w:ascii="Georgia" w:hAnsi="Georgia" w:cs="Times New Roman"/>
        </w:rPr>
        <w:t>highlights that The National Water Policy was developed in 2018 to provide an overall guiding framework for the water sector and that it has a number of institutions in place that ensure access to clean water which include the Water Resources Authority.</w:t>
      </w:r>
      <w:r w:rsidR="003C5137" w:rsidRPr="00076FAF">
        <w:rPr>
          <w:rStyle w:val="FootnoteReference"/>
          <w:rFonts w:ascii="Georgia" w:hAnsi="Georgia" w:cs="Times New Roman"/>
        </w:rPr>
        <w:footnoteReference w:id="15"/>
      </w:r>
      <w:r w:rsidR="003C5137" w:rsidRPr="00076FAF">
        <w:rPr>
          <w:rFonts w:ascii="Georgia" w:hAnsi="Georgia" w:cs="TimesNewRomanBold"/>
          <w:bCs/>
        </w:rPr>
        <w:t xml:space="preserve"> Due to high demand for water, there is</w:t>
      </w:r>
      <w:r w:rsidR="003C5137" w:rsidRPr="00076FAF">
        <w:rPr>
          <w:rFonts w:ascii="Georgia" w:hAnsi="Georgia" w:cs="Times New Roman"/>
          <w:bCs/>
        </w:rPr>
        <w:t xml:space="preserve"> c</w:t>
      </w:r>
      <w:r w:rsidRPr="00076FAF">
        <w:rPr>
          <w:rFonts w:ascii="Georgia" w:hAnsi="Georgia" w:cs="Times New Roman"/>
          <w:bCs/>
        </w:rPr>
        <w:t xml:space="preserve">onstant water rationing in urban areas which has created business for water trucking with rural areas experiencing the broken water systems. </w:t>
      </w:r>
      <w:r w:rsidRPr="00076FAF">
        <w:rPr>
          <w:rFonts w:ascii="Georgia" w:hAnsi="Georgia" w:cs="Times New Roman"/>
        </w:rPr>
        <w:t>Th</w:t>
      </w:r>
      <w:r w:rsidRPr="00076FAF">
        <w:rPr>
          <w:rFonts w:ascii="Georgia" w:hAnsi="Georgia" w:cs="Times New Roman"/>
          <w:bCs/>
        </w:rPr>
        <w:t>e National Water Policy has not yet been operationalized; and hence there</w:t>
      </w:r>
      <w:r w:rsidRPr="00076FAF">
        <w:rPr>
          <w:rFonts w:ascii="Georgia" w:hAnsi="Georgia" w:cs="Times New Roman"/>
        </w:rPr>
        <w:t xml:space="preserve"> is no framework </w:t>
      </w:r>
      <w:r w:rsidRPr="00076FAF">
        <w:rPr>
          <w:rFonts w:ascii="Georgia" w:hAnsi="Georgia" w:cs="Times New Roman"/>
          <w:bCs/>
        </w:rPr>
        <w:t>to assess the degree to which the</w:t>
      </w:r>
      <w:r w:rsidRPr="00076FAF">
        <w:rPr>
          <w:rFonts w:ascii="Georgia" w:hAnsi="Georgia" w:cs="Times New Roman"/>
          <w:b/>
          <w:bCs/>
        </w:rPr>
        <w:t xml:space="preserve"> </w:t>
      </w:r>
      <w:r w:rsidRPr="00076FAF">
        <w:rPr>
          <w:rFonts w:ascii="Georgia" w:hAnsi="Georgia" w:cs="Times New Roman"/>
          <w:bCs/>
        </w:rPr>
        <w:t xml:space="preserve">government is meeting the goals in the Water Act since the National water policy is not operationalized. </w:t>
      </w:r>
      <w:r w:rsidRPr="00076FAF">
        <w:rPr>
          <w:rFonts w:ascii="Georgia" w:hAnsi="Georgia" w:cs="Times New Roman"/>
          <w:lang w:val="en-GB"/>
        </w:rPr>
        <w:t>Th</w:t>
      </w:r>
      <w:r w:rsidRPr="00076FAF">
        <w:rPr>
          <w:rFonts w:ascii="Georgia" w:hAnsi="Georgia" w:cs="Times New Roman"/>
          <w:bCs/>
          <w:lang w:val="en-GB"/>
        </w:rPr>
        <w:t>e sector institut</w:t>
      </w:r>
      <w:r w:rsidRPr="00076FAF">
        <w:rPr>
          <w:rFonts w:ascii="Georgia" w:hAnsi="Georgia" w:cs="Times New Roman"/>
          <w:lang w:val="en-GB"/>
        </w:rPr>
        <w:t xml:space="preserve">ions i.e. </w:t>
      </w:r>
      <w:r w:rsidRPr="00076FAF">
        <w:rPr>
          <w:rFonts w:ascii="Georgia" w:hAnsi="Georgia" w:cs="Times New Roman"/>
          <w:bCs/>
          <w:lang w:val="en-GB"/>
        </w:rPr>
        <w:t>WRA are not adequately resourced to support WRUAs to undertake their functions.</w:t>
      </w:r>
    </w:p>
    <w:p w14:paraId="15DC0011" w14:textId="77777777" w:rsidR="006C2305" w:rsidRPr="00076FAF" w:rsidRDefault="006C2305" w:rsidP="006C2305">
      <w:pPr>
        <w:jc w:val="both"/>
        <w:rPr>
          <w:rFonts w:ascii="Georgia" w:hAnsi="Georgia" w:cs="Times New Roman"/>
        </w:rPr>
      </w:pPr>
    </w:p>
    <w:p w14:paraId="33FB4D37" w14:textId="77777777" w:rsidR="003C5137" w:rsidRPr="00076FAF" w:rsidRDefault="003C5137" w:rsidP="003C5137">
      <w:pPr>
        <w:autoSpaceDE w:val="0"/>
        <w:autoSpaceDN w:val="0"/>
        <w:adjustRightInd w:val="0"/>
        <w:spacing w:after="0" w:line="240" w:lineRule="auto"/>
        <w:jc w:val="both"/>
        <w:rPr>
          <w:rFonts w:ascii="Georgia" w:eastAsia="Palatino Linotype" w:hAnsi="Georgia" w:cs="Palatino Linotype"/>
          <w:b/>
          <w:u w:val="single"/>
        </w:rPr>
      </w:pPr>
      <w:r w:rsidRPr="00076FAF">
        <w:rPr>
          <w:rFonts w:ascii="Georgia" w:hAnsi="Georgia" w:cs="Open Sans"/>
          <w:b/>
          <w:u w:val="single"/>
          <w:lang w:val="en-GB"/>
        </w:rPr>
        <w:t>Based on this observation regarding right to water, p</w:t>
      </w:r>
      <w:r w:rsidRPr="00076FAF">
        <w:rPr>
          <w:rFonts w:ascii="Georgia" w:eastAsia="Palatino Linotype" w:hAnsi="Georgia" w:cs="Palatino Linotype"/>
          <w:b/>
          <w:u w:val="single"/>
        </w:rPr>
        <w:t>lease provide information on:</w:t>
      </w:r>
    </w:p>
    <w:p w14:paraId="4ACE03EE" w14:textId="77777777" w:rsidR="003C5137" w:rsidRPr="00076FAF" w:rsidRDefault="003C5137" w:rsidP="003C5137">
      <w:pPr>
        <w:pStyle w:val="ListParagraph"/>
        <w:numPr>
          <w:ilvl w:val="0"/>
          <w:numId w:val="6"/>
        </w:numPr>
        <w:jc w:val="both"/>
        <w:rPr>
          <w:rFonts w:ascii="Georgia" w:hAnsi="Georgia" w:cs="Times New Roman"/>
          <w:lang w:val="en-GB"/>
        </w:rPr>
      </w:pPr>
      <w:r w:rsidRPr="00076FAF">
        <w:rPr>
          <w:rFonts w:ascii="Georgia" w:hAnsi="Georgia" w:cs="Times New Roman"/>
        </w:rPr>
        <w:t xml:space="preserve">The extent to which the government has implemented the National water policy </w:t>
      </w:r>
      <w:r w:rsidR="00467536" w:rsidRPr="00076FAF">
        <w:rPr>
          <w:rFonts w:ascii="Georgia" w:hAnsi="Georgia" w:cs="Times New Roman"/>
          <w:lang w:val="en-GB"/>
        </w:rPr>
        <w:t>and fully</w:t>
      </w:r>
      <w:r w:rsidRPr="00076FAF">
        <w:rPr>
          <w:rFonts w:ascii="Georgia" w:hAnsi="Georgia" w:cs="Times New Roman"/>
          <w:lang w:val="en-GB"/>
        </w:rPr>
        <w:t xml:space="preserve"> </w:t>
      </w:r>
      <w:r w:rsidR="00467536" w:rsidRPr="00076FAF">
        <w:rPr>
          <w:rFonts w:ascii="Georgia" w:hAnsi="Georgia" w:cs="Times New Roman"/>
          <w:lang w:val="en-GB"/>
        </w:rPr>
        <w:t>operationalized water</w:t>
      </w:r>
      <w:r w:rsidRPr="00076FAF">
        <w:rPr>
          <w:rFonts w:ascii="Georgia" w:hAnsi="Georgia" w:cs="Times New Roman"/>
          <w:lang w:val="en-GB"/>
        </w:rPr>
        <w:t xml:space="preserve"> act 2016</w:t>
      </w:r>
    </w:p>
    <w:p w14:paraId="5C79B034" w14:textId="77777777" w:rsidR="003C5137" w:rsidRPr="00076FAF" w:rsidRDefault="003C5137" w:rsidP="003C5137">
      <w:pPr>
        <w:pStyle w:val="ListParagraph"/>
        <w:numPr>
          <w:ilvl w:val="0"/>
          <w:numId w:val="6"/>
        </w:numPr>
        <w:jc w:val="both"/>
        <w:rPr>
          <w:rFonts w:ascii="Georgia" w:hAnsi="Georgia" w:cs="Times New Roman"/>
          <w:lang w:val="en-GB"/>
        </w:rPr>
      </w:pPr>
      <w:r w:rsidRPr="00076FAF">
        <w:rPr>
          <w:rFonts w:ascii="Georgia" w:hAnsi="Georgia" w:cs="Times New Roman"/>
          <w:lang w:val="en-GB"/>
        </w:rPr>
        <w:t xml:space="preserve">The </w:t>
      </w:r>
      <w:r w:rsidRPr="00076FAF">
        <w:rPr>
          <w:rFonts w:ascii="Georgia" w:hAnsi="Georgia" w:cs="Times New Roman"/>
          <w:bCs/>
          <w:lang w:val="en-GB"/>
        </w:rPr>
        <w:t>percentage</w:t>
      </w:r>
      <w:r w:rsidRPr="00076FAF">
        <w:rPr>
          <w:rFonts w:ascii="Georgia" w:hAnsi="Georgia" w:cs="Times New Roman"/>
          <w:lang w:val="en-GB"/>
        </w:rPr>
        <w:t xml:space="preserve"> of levies collected by WRA </w:t>
      </w:r>
      <w:r w:rsidRPr="00076FAF">
        <w:rPr>
          <w:rFonts w:ascii="Georgia" w:hAnsi="Georgia" w:cs="Times New Roman"/>
          <w:bCs/>
          <w:lang w:val="en-GB"/>
        </w:rPr>
        <w:t>ploughed back to WRUAs to support conservation works that contr</w:t>
      </w:r>
      <w:r w:rsidRPr="00076FAF">
        <w:rPr>
          <w:rFonts w:ascii="Georgia" w:hAnsi="Georgia" w:cs="Times New Roman"/>
          <w:lang w:val="en-GB"/>
        </w:rPr>
        <w:t xml:space="preserve">ibute to availability of water </w:t>
      </w:r>
    </w:p>
    <w:p w14:paraId="4369A690" w14:textId="77777777" w:rsidR="003C5137" w:rsidRPr="00076FAF" w:rsidRDefault="003C5137" w:rsidP="003C5137">
      <w:pPr>
        <w:pStyle w:val="ListParagraph"/>
        <w:numPr>
          <w:ilvl w:val="0"/>
          <w:numId w:val="6"/>
        </w:numPr>
        <w:jc w:val="both"/>
        <w:rPr>
          <w:rFonts w:ascii="Georgia" w:hAnsi="Georgia" w:cs="Times New Roman"/>
          <w:lang w:val="en-GB"/>
        </w:rPr>
      </w:pPr>
      <w:r w:rsidRPr="00076FAF">
        <w:rPr>
          <w:rFonts w:ascii="Georgia" w:hAnsi="Georgia" w:cs="Times New Roman"/>
        </w:rPr>
        <w:t>Differentiated figures of the 63% countrywide water coverage for rural and urban areas.</w:t>
      </w:r>
    </w:p>
    <w:p w14:paraId="4727BCD3" w14:textId="77777777" w:rsidR="00FF53A7" w:rsidRPr="00076FAF" w:rsidRDefault="003C5137" w:rsidP="003C5137">
      <w:pPr>
        <w:jc w:val="center"/>
        <w:rPr>
          <w:rFonts w:ascii="Georgia" w:hAnsi="Georgia" w:cs="Times New Roman"/>
          <w:b/>
        </w:rPr>
      </w:pPr>
      <w:r w:rsidRPr="00076FAF">
        <w:rPr>
          <w:rFonts w:ascii="Georgia" w:hAnsi="Georgia" w:cs="Times New Roman"/>
          <w:b/>
        </w:rPr>
        <w:t>Right to Housing</w:t>
      </w:r>
    </w:p>
    <w:p w14:paraId="5A83D4AD" w14:textId="77777777" w:rsidR="002C64FC" w:rsidRPr="00076FAF" w:rsidRDefault="002C64FC" w:rsidP="002C64FC">
      <w:pPr>
        <w:autoSpaceDE w:val="0"/>
        <w:autoSpaceDN w:val="0"/>
        <w:adjustRightInd w:val="0"/>
        <w:spacing w:after="0" w:line="240" w:lineRule="auto"/>
        <w:jc w:val="both"/>
        <w:rPr>
          <w:rFonts w:ascii="Georgia" w:hAnsi="Georgia" w:cs="TimesNewRomanRegular"/>
        </w:rPr>
      </w:pPr>
      <w:r w:rsidRPr="00076FAF">
        <w:rPr>
          <w:rFonts w:ascii="Georgia" w:hAnsi="Georgia" w:cs="TimesNewRomanRegular"/>
        </w:rPr>
        <w:t xml:space="preserve">In the 2015 Concluding observations, the Committee had raised concerns at the lack of effective measures to provide social housing for low-income families and constant threats of eviction due to the lack of legal security of tenure and that forced evictions continued without prior notice and provision of adequate alternative housing or compensation. It  also raised concerns that the State party had not yet enacted a legislative framework to recognize and protect communities’ right to land and to explicitly prohibit forced evictions and define the circumstances and safeguards subject to which evictions may be carried out and recommended that </w:t>
      </w:r>
      <w:r w:rsidR="00FC7AEE" w:rsidRPr="00076FAF">
        <w:rPr>
          <w:rFonts w:ascii="Georgia" w:hAnsi="Georgia" w:cs="TimesNewRomanRegular"/>
        </w:rPr>
        <w:t xml:space="preserve">the government provides affordable social housing and adopts the National Slum Upgrading Policy and enacts the evictions </w:t>
      </w:r>
      <w:r w:rsidR="00FC7AEE" w:rsidRPr="00076FAF">
        <w:rPr>
          <w:rFonts w:ascii="Georgia" w:hAnsi="Georgia" w:cs="TimesNewRomanRegular"/>
        </w:rPr>
        <w:lastRenderedPageBreak/>
        <w:t>and resettlement Bill</w:t>
      </w:r>
      <w:r w:rsidRPr="00076FAF">
        <w:rPr>
          <w:rStyle w:val="FootnoteReference"/>
          <w:rFonts w:ascii="Georgia" w:hAnsi="Georgia" w:cs="TimesNewRomanRegular"/>
        </w:rPr>
        <w:footnoteReference w:id="16"/>
      </w:r>
      <w:r w:rsidRPr="00076FAF">
        <w:rPr>
          <w:rFonts w:ascii="Georgia" w:hAnsi="Georgia" w:cs="TimesNewRomanRegular"/>
        </w:rPr>
        <w:t xml:space="preserve">. In the state report, the government </w:t>
      </w:r>
      <w:r w:rsidRPr="00076FAF">
        <w:rPr>
          <w:rFonts w:ascii="Georgia" w:hAnsi="Georgia" w:cs="Times New Roman"/>
        </w:rPr>
        <w:t xml:space="preserve">gave an indication to prioritize delivery of 200,000 social housing supported by allocations from the Unclaimed Financial Assets (UFA) </w:t>
      </w:r>
      <w:r w:rsidR="00FC7AEE" w:rsidRPr="00076FAF">
        <w:rPr>
          <w:rFonts w:ascii="Georgia" w:hAnsi="Georgia" w:cs="Times New Roman"/>
        </w:rPr>
        <w:t>at KES 4bn and to review the Slum Upgrading and Prevention Policy of 2016.</w:t>
      </w:r>
    </w:p>
    <w:p w14:paraId="0E82CB84" w14:textId="77777777" w:rsidR="002C64FC" w:rsidRPr="00076FAF" w:rsidRDefault="00FC7AEE" w:rsidP="002C64FC">
      <w:pPr>
        <w:autoSpaceDE w:val="0"/>
        <w:autoSpaceDN w:val="0"/>
        <w:adjustRightInd w:val="0"/>
        <w:jc w:val="both"/>
        <w:rPr>
          <w:rFonts w:ascii="Georgia" w:hAnsi="Georgia" w:cs="Times New Roman"/>
        </w:rPr>
      </w:pPr>
      <w:r w:rsidRPr="00076FAF">
        <w:rPr>
          <w:rFonts w:ascii="Georgia" w:hAnsi="Georgia" w:cs="Times New Roman"/>
        </w:rPr>
        <w:t>However,</w:t>
      </w:r>
      <w:r w:rsidR="002C64FC" w:rsidRPr="00076FAF">
        <w:rPr>
          <w:rFonts w:ascii="Georgia" w:hAnsi="Georgia" w:cs="Times New Roman"/>
        </w:rPr>
        <w:t xml:space="preserve"> Kenyan government has prioritized public Housing vis a vis social housing consumable by the larger population/citizenry. This presents a situation where the larger population who are in dire need of housing are left to wait as the government prioritizes public housing i.e. housing for civil servants</w:t>
      </w:r>
      <w:r w:rsidR="002C64FC" w:rsidRPr="00076FAF">
        <w:rPr>
          <w:rStyle w:val="FootnoteReference"/>
          <w:rFonts w:ascii="Georgia" w:hAnsi="Georgia" w:cs="Times New Roman"/>
        </w:rPr>
        <w:footnoteReference w:id="17"/>
      </w:r>
      <w:r w:rsidR="002C64FC" w:rsidRPr="00076FAF">
        <w:rPr>
          <w:rFonts w:ascii="Georgia" w:hAnsi="Georgia" w:cs="Times New Roman"/>
        </w:rPr>
        <w:t>.According to the Energy, Infrastructure, ICT sector report for FY 2018/19, 2019/20, 2020/21 only 5% of 7125 social housing units were delivered. The slum upgrading and Prevention Policy which the government had started initiatives to translate into a bill has stalled for a while with no information to the citizens on the progress. The bill was geared towards addressing the informal settlements challenges i.e. to recognize and integrate slums into the urban fabric which guarantees access to adequate housing. Hence the challenge of accessing social housing for the people living in informal settlements still remains a challenge. Displacements and dispossessions continue in Kenya as exhibited by rampant evictions i.e. On 13</w:t>
      </w:r>
      <w:r w:rsidR="002C64FC" w:rsidRPr="00076FAF">
        <w:rPr>
          <w:rFonts w:ascii="Georgia" w:hAnsi="Georgia" w:cs="Times New Roman"/>
          <w:vertAlign w:val="superscript"/>
        </w:rPr>
        <w:t>th</w:t>
      </w:r>
      <w:r w:rsidR="002C64FC" w:rsidRPr="00076FAF">
        <w:rPr>
          <w:rFonts w:ascii="Georgia" w:hAnsi="Georgia" w:cs="Times New Roman"/>
        </w:rPr>
        <w:t xml:space="preserve">   November 2021, hundreds of families from Mukuru Kwa Njenga slums in Nairobi were left homeless by violent eviction and demolition of their community. It is emerging that the demolitions went beyond the intended marked territory that was initially to be on Catherine Ndereba Road</w:t>
      </w:r>
      <w:r w:rsidR="002C64FC" w:rsidRPr="00076FAF">
        <w:rPr>
          <w:rFonts w:ascii="Georgia" w:hAnsi="Georgia" w:cs="Times New Roman"/>
          <w:vertAlign w:val="superscript"/>
        </w:rPr>
        <w:footnoteReference w:id="18"/>
      </w:r>
      <w:r w:rsidR="002C64FC" w:rsidRPr="00076FAF">
        <w:rPr>
          <w:rFonts w:ascii="Georgia" w:hAnsi="Georgia" w:cs="Times New Roman"/>
        </w:rPr>
        <w:t>. In early May,2020 Kenyan authorities evicted more than 8,000 people in two of Nairobi’s informal settlements. Deprived of their homes, hundreds of families were forced to sleep out in the open for weeks.</w:t>
      </w:r>
      <w:r w:rsidR="002C64FC" w:rsidRPr="00076FAF">
        <w:rPr>
          <w:rFonts w:ascii="Georgia" w:hAnsi="Georgia" w:cs="Times New Roman"/>
          <w:vertAlign w:val="superscript"/>
        </w:rPr>
        <w:footnoteReference w:id="19"/>
      </w:r>
    </w:p>
    <w:p w14:paraId="4AC63230" w14:textId="77777777" w:rsidR="00FC7AEE" w:rsidRPr="00076FAF" w:rsidRDefault="00FC7AEE" w:rsidP="00FC7AEE">
      <w:pPr>
        <w:autoSpaceDE w:val="0"/>
        <w:autoSpaceDN w:val="0"/>
        <w:adjustRightInd w:val="0"/>
        <w:spacing w:after="0" w:line="240" w:lineRule="auto"/>
        <w:jc w:val="both"/>
        <w:rPr>
          <w:rFonts w:ascii="Georgia" w:eastAsia="Palatino Linotype" w:hAnsi="Georgia" w:cs="Palatino Linotype"/>
          <w:b/>
          <w:u w:val="single"/>
        </w:rPr>
      </w:pPr>
      <w:r w:rsidRPr="00076FAF">
        <w:rPr>
          <w:rFonts w:ascii="Georgia" w:hAnsi="Georgia" w:cs="Open Sans"/>
          <w:b/>
          <w:u w:val="single"/>
          <w:lang w:val="en-GB"/>
        </w:rPr>
        <w:t>Based on this obse</w:t>
      </w:r>
      <w:r w:rsidR="00467536">
        <w:rPr>
          <w:rFonts w:ascii="Georgia" w:hAnsi="Georgia" w:cs="Open Sans"/>
          <w:b/>
          <w:u w:val="single"/>
          <w:lang w:val="en-GB"/>
        </w:rPr>
        <w:t>rvation regarding right to housing</w:t>
      </w:r>
      <w:r w:rsidRPr="00076FAF">
        <w:rPr>
          <w:rFonts w:ascii="Georgia" w:hAnsi="Georgia" w:cs="Open Sans"/>
          <w:b/>
          <w:u w:val="single"/>
          <w:lang w:val="en-GB"/>
        </w:rPr>
        <w:t>, p</w:t>
      </w:r>
      <w:r w:rsidRPr="00076FAF">
        <w:rPr>
          <w:rFonts w:ascii="Georgia" w:eastAsia="Palatino Linotype" w:hAnsi="Georgia" w:cs="Palatino Linotype"/>
          <w:b/>
          <w:u w:val="single"/>
        </w:rPr>
        <w:t>lease provide information on:</w:t>
      </w:r>
    </w:p>
    <w:p w14:paraId="30802DDC" w14:textId="77777777" w:rsidR="00FC7AEE" w:rsidRPr="00076FAF" w:rsidRDefault="00FC7AEE" w:rsidP="00FC7AEE">
      <w:pPr>
        <w:pStyle w:val="ListParagraph"/>
        <w:numPr>
          <w:ilvl w:val="0"/>
          <w:numId w:val="7"/>
        </w:numPr>
        <w:jc w:val="both"/>
        <w:rPr>
          <w:rFonts w:ascii="Georgia" w:hAnsi="Georgia" w:cs="Times New Roman"/>
        </w:rPr>
      </w:pPr>
      <w:r w:rsidRPr="00076FAF">
        <w:rPr>
          <w:rFonts w:ascii="Georgia" w:hAnsi="Georgia" w:cs="Times New Roman"/>
        </w:rPr>
        <w:t>The actual number of social housing units developed under the big 4 agenda and the budgetary allocations for social housing production.</w:t>
      </w:r>
    </w:p>
    <w:p w14:paraId="406C2345" w14:textId="77777777" w:rsidR="00FC7AEE" w:rsidRPr="00076FAF" w:rsidRDefault="00FC7AEE" w:rsidP="00FC7AEE">
      <w:pPr>
        <w:pStyle w:val="ListParagraph"/>
        <w:numPr>
          <w:ilvl w:val="0"/>
          <w:numId w:val="7"/>
        </w:numPr>
        <w:jc w:val="both"/>
        <w:rPr>
          <w:rFonts w:ascii="Georgia" w:hAnsi="Georgia" w:cs="Times New Roman"/>
        </w:rPr>
      </w:pPr>
      <w:r w:rsidRPr="00076FAF">
        <w:rPr>
          <w:rFonts w:ascii="Georgia" w:hAnsi="Georgia" w:cs="Times New Roman"/>
        </w:rPr>
        <w:t xml:space="preserve">The progress of enactment of the Slum Upgrading and Prevention Bill and adoption of the Evictions and Resettlement Bill  </w:t>
      </w:r>
    </w:p>
    <w:p w14:paraId="0F91D973" w14:textId="77777777" w:rsidR="00467536" w:rsidRDefault="00FC7AEE" w:rsidP="00467536">
      <w:pPr>
        <w:pStyle w:val="ListParagraph"/>
        <w:numPr>
          <w:ilvl w:val="0"/>
          <w:numId w:val="7"/>
        </w:numPr>
        <w:jc w:val="both"/>
        <w:rPr>
          <w:rFonts w:ascii="Georgia" w:hAnsi="Georgia" w:cs="Times New Roman"/>
        </w:rPr>
      </w:pPr>
      <w:r w:rsidRPr="00076FAF">
        <w:rPr>
          <w:rFonts w:ascii="Georgia" w:hAnsi="Georgia" w:cs="Times New Roman"/>
        </w:rPr>
        <w:t>The efforts made to enforce the moratorium that was passed on forced eviction</w:t>
      </w:r>
      <w:r w:rsidR="002D3244" w:rsidRPr="00076FAF">
        <w:rPr>
          <w:rFonts w:ascii="Georgia" w:hAnsi="Georgia" w:cs="Times New Roman"/>
        </w:rPr>
        <w:t>.</w:t>
      </w:r>
    </w:p>
    <w:p w14:paraId="694FB9E9" w14:textId="77777777" w:rsidR="00467536" w:rsidRPr="00467536" w:rsidRDefault="00467536" w:rsidP="00467536">
      <w:pPr>
        <w:ind w:left="360"/>
        <w:jc w:val="both"/>
        <w:rPr>
          <w:rFonts w:ascii="Georgia" w:hAnsi="Georgia" w:cs="Times New Roman"/>
        </w:rPr>
      </w:pPr>
    </w:p>
    <w:p w14:paraId="329C1522" w14:textId="77777777" w:rsidR="002D3244" w:rsidRPr="00467536" w:rsidRDefault="002D3244" w:rsidP="00467536">
      <w:pPr>
        <w:jc w:val="both"/>
        <w:rPr>
          <w:rFonts w:ascii="Georgia" w:hAnsi="Georgia" w:cs="Times New Roman"/>
        </w:rPr>
      </w:pPr>
      <w:r w:rsidRPr="00467536">
        <w:rPr>
          <w:rFonts w:ascii="Georgia" w:eastAsia="Open Sans" w:hAnsi="Georgia" w:cs="Open Sans"/>
          <w:b/>
          <w:bCs/>
        </w:rPr>
        <w:t xml:space="preserve">Submitted by: </w:t>
      </w:r>
      <w:r w:rsidRPr="00467536">
        <w:rPr>
          <w:rFonts w:ascii="Georgia" w:hAnsi="Georgia"/>
          <w:bCs/>
        </w:rPr>
        <w:t>Amnesty International Kenya,</w:t>
      </w:r>
      <w:r w:rsidRPr="00467536">
        <w:rPr>
          <w:rFonts w:ascii="Georgia" w:hAnsi="Georgia"/>
        </w:rPr>
        <w:t xml:space="preserve"> Zizi Afrique Foundation, Oxfam Kenya, Amani Kibera, Kutoka Network, </w:t>
      </w:r>
      <w:r w:rsidRPr="00467536">
        <w:rPr>
          <w:rFonts w:ascii="Georgia" w:hAnsi="Georgia"/>
          <w:shd w:val="clear" w:color="auto" w:fill="FFFFFF"/>
        </w:rPr>
        <w:t>Eastern Africa Collaboration on Economic Social and Cultural Rights (EACOR),</w:t>
      </w:r>
      <w:r w:rsidRPr="00467536">
        <w:rPr>
          <w:rFonts w:ascii="Georgia" w:hAnsi="Georgia"/>
        </w:rPr>
        <w:t xml:space="preserve">East African Centre for Human Rights (EACHRights),Kituo Cha Sheria, Kijiji Yetu, </w:t>
      </w:r>
      <w:r w:rsidRPr="00467536">
        <w:rPr>
          <w:rFonts w:ascii="Georgia" w:hAnsi="Georgia"/>
          <w:bCs/>
          <w:shd w:val="clear" w:color="auto" w:fill="FFFFFF"/>
        </w:rPr>
        <w:t>Kenya Human Rights Commission,</w:t>
      </w:r>
      <w:r w:rsidRPr="00467536">
        <w:rPr>
          <w:rStyle w:val="Strong"/>
          <w:rFonts w:ascii="Georgia" w:hAnsi="Georgia"/>
          <w:color w:val="000000" w:themeColor="text1"/>
          <w:shd w:val="clear" w:color="auto" w:fill="FFFFFF"/>
        </w:rPr>
        <w:t xml:space="preserve"> </w:t>
      </w:r>
      <w:r w:rsidRPr="00467536">
        <w:rPr>
          <w:rStyle w:val="Strong"/>
          <w:rFonts w:ascii="Georgia" w:hAnsi="Georgia"/>
          <w:b w:val="0"/>
          <w:color w:val="000000" w:themeColor="text1"/>
          <w:shd w:val="clear" w:color="auto" w:fill="FFFFFF"/>
        </w:rPr>
        <w:t>Centre for Community Development</w:t>
      </w:r>
      <w:r w:rsidRPr="00467536">
        <w:rPr>
          <w:rFonts w:ascii="Georgia" w:hAnsi="Georgia"/>
          <w:shd w:val="clear" w:color="auto" w:fill="FFFFFF"/>
        </w:rPr>
        <w:t> and Human Rights</w:t>
      </w:r>
      <w:r w:rsidRPr="00467536">
        <w:rPr>
          <w:rFonts w:ascii="Georgia" w:hAnsi="Georgia"/>
          <w:b/>
          <w:shd w:val="clear" w:color="auto" w:fill="FFFFFF"/>
        </w:rPr>
        <w:t>(</w:t>
      </w:r>
      <w:r w:rsidRPr="00467536">
        <w:rPr>
          <w:rStyle w:val="Strong"/>
          <w:rFonts w:ascii="Georgia" w:hAnsi="Georgia"/>
          <w:b w:val="0"/>
          <w:color w:val="000000" w:themeColor="text1"/>
          <w:shd w:val="clear" w:color="auto" w:fill="FFFFFF"/>
        </w:rPr>
        <w:t>CFCDHR),</w:t>
      </w:r>
      <w:r w:rsidRPr="00467536">
        <w:rPr>
          <w:rFonts w:ascii="Georgia" w:hAnsi="Georgia"/>
          <w:bCs/>
          <w:shd w:val="clear" w:color="auto" w:fill="FFFFFF"/>
        </w:rPr>
        <w:t xml:space="preserve"> </w:t>
      </w:r>
      <w:r w:rsidRPr="00467536">
        <w:rPr>
          <w:rFonts w:ascii="Georgia" w:eastAsia="Palatino Linotype" w:hAnsi="Georgia" w:cs="Palatino Linotype"/>
        </w:rPr>
        <w:t>Nairobi Peoples Settlement Network (N.P.S.N),</w:t>
      </w:r>
      <w:r w:rsidRPr="00467536">
        <w:rPr>
          <w:rFonts w:ascii="Georgia" w:hAnsi="Georgia"/>
        </w:rPr>
        <w:t xml:space="preserve"> </w:t>
      </w:r>
      <w:r w:rsidRPr="00467536">
        <w:rPr>
          <w:rFonts w:ascii="Georgia" w:eastAsia="Palatino Linotype" w:hAnsi="Georgia" w:cs="Palatino Linotype"/>
        </w:rPr>
        <w:t xml:space="preserve">International Network for Economic, Social and Cultural Rights( ESCR-Net), Muungano Wa Wanavijiji, Kenya Social </w:t>
      </w:r>
      <w:r w:rsidRPr="00467536">
        <w:rPr>
          <w:rFonts w:ascii="Georgia" w:eastAsia="Palatino Linotype" w:hAnsi="Georgia" w:cs="Palatino Linotype"/>
        </w:rPr>
        <w:lastRenderedPageBreak/>
        <w:t xml:space="preserve">Movement Network( Ksm-Net), Umande Trust, Just City Coalition, Mazingira Initiative,  and Umande Trust  </w:t>
      </w:r>
    </w:p>
    <w:p w14:paraId="28E38C00" w14:textId="77777777" w:rsidR="002D3244" w:rsidRPr="00076FAF" w:rsidRDefault="002D3244" w:rsidP="002D3244">
      <w:pPr>
        <w:pBdr>
          <w:top w:val="nil"/>
          <w:left w:val="nil"/>
          <w:bottom w:val="nil"/>
          <w:right w:val="nil"/>
          <w:between w:val="nil"/>
          <w:bar w:val="nil"/>
        </w:pBdr>
        <w:spacing w:after="0" w:line="240" w:lineRule="auto"/>
        <w:jc w:val="both"/>
        <w:rPr>
          <w:rFonts w:ascii="Georgia" w:eastAsia="Open Sans" w:hAnsi="Georgia" w:cs="Open Sans"/>
          <w:b/>
        </w:rPr>
      </w:pPr>
    </w:p>
    <w:p w14:paraId="3C7E9CE3" w14:textId="77777777" w:rsidR="00A10456" w:rsidRPr="00076FAF" w:rsidRDefault="002D3244" w:rsidP="002D3244">
      <w:pPr>
        <w:pBdr>
          <w:top w:val="nil"/>
          <w:left w:val="nil"/>
          <w:bottom w:val="nil"/>
          <w:right w:val="nil"/>
          <w:between w:val="nil"/>
          <w:bar w:val="nil"/>
        </w:pBdr>
        <w:spacing w:after="0" w:line="240" w:lineRule="auto"/>
        <w:jc w:val="both"/>
        <w:rPr>
          <w:rFonts w:ascii="Georgia" w:hAnsi="Georgia" w:cs="Open Sans"/>
          <w:color w:val="111111"/>
        </w:rPr>
      </w:pPr>
      <w:r w:rsidRPr="00076FAF">
        <w:rPr>
          <w:rFonts w:ascii="Georgia" w:eastAsia="Open Sans" w:hAnsi="Georgia" w:cs="Open Sans"/>
          <w:b/>
          <w:bCs/>
        </w:rPr>
        <w:t>Contacts:</w:t>
      </w:r>
      <w:r w:rsidRPr="00076FAF">
        <w:rPr>
          <w:rFonts w:ascii="Georgia" w:eastAsia="Open Sans" w:hAnsi="Georgia" w:cs="Open Sans"/>
        </w:rPr>
        <w:t xml:space="preserve"> </w:t>
      </w:r>
      <w:r w:rsidR="00A10456" w:rsidRPr="00076FAF">
        <w:rPr>
          <w:rFonts w:ascii="Georgia" w:eastAsia="Open Sans" w:hAnsi="Georgia" w:cs="Open Sans"/>
        </w:rPr>
        <w:t>Samuel Olando, Executive Director Pamoja Trust</w:t>
      </w:r>
      <w:r w:rsidR="00A10456" w:rsidRPr="00076FAF">
        <w:rPr>
          <w:rFonts w:ascii="Georgia" w:hAnsi="Georgia" w:cs="Open Sans"/>
          <w:color w:val="111111"/>
        </w:rPr>
        <w:t xml:space="preserve">- </w:t>
      </w:r>
      <w:hyperlink r:id="rId8" w:history="1">
        <w:r w:rsidR="00A10456" w:rsidRPr="00076FAF">
          <w:rPr>
            <w:rStyle w:val="Hyperlink"/>
            <w:rFonts w:ascii="Georgia" w:hAnsi="Georgia" w:cs="Open Sans"/>
          </w:rPr>
          <w:t>solando@pamojatrust.org</w:t>
        </w:r>
      </w:hyperlink>
      <w:r w:rsidRPr="00076FAF">
        <w:rPr>
          <w:rFonts w:ascii="Georgia" w:hAnsi="Georgia" w:cs="Open Sans"/>
          <w:color w:val="111111"/>
        </w:rPr>
        <w:t>,</w:t>
      </w:r>
      <w:r w:rsidR="00A10456" w:rsidRPr="00076FAF">
        <w:rPr>
          <w:rFonts w:ascii="Georgia" w:hAnsi="Georgia" w:cs="Open Sans"/>
          <w:color w:val="111111"/>
        </w:rPr>
        <w:t xml:space="preserve"> Irene Kinoti-</w:t>
      </w:r>
      <w:r w:rsidRPr="00076FAF">
        <w:rPr>
          <w:rFonts w:ascii="Georgia" w:hAnsi="Georgia" w:cs="Open Sans"/>
          <w:color w:val="111111"/>
        </w:rPr>
        <w:t xml:space="preserve"> Programme O</w:t>
      </w:r>
      <w:r w:rsidR="00A10456" w:rsidRPr="00076FAF">
        <w:rPr>
          <w:rFonts w:ascii="Georgia" w:hAnsi="Georgia" w:cs="Open Sans"/>
          <w:color w:val="111111"/>
        </w:rPr>
        <w:t>fficer, Action Research</w:t>
      </w:r>
      <w:r w:rsidRPr="00076FAF">
        <w:rPr>
          <w:rFonts w:ascii="Georgia" w:hAnsi="Georgia" w:cs="Open Sans"/>
          <w:color w:val="111111"/>
        </w:rPr>
        <w:t xml:space="preserve"> – </w:t>
      </w:r>
      <w:hyperlink r:id="rId9" w:history="1">
        <w:r w:rsidR="00A10456" w:rsidRPr="00076FAF">
          <w:rPr>
            <w:rStyle w:val="Hyperlink"/>
            <w:rFonts w:ascii="Georgia" w:hAnsi="Georgia" w:cs="Open Sans"/>
          </w:rPr>
          <w:t>wanjiruirene@pamojatrust.org</w:t>
        </w:r>
      </w:hyperlink>
      <w:r w:rsidR="00A10456" w:rsidRPr="00076FAF">
        <w:rPr>
          <w:rFonts w:ascii="Georgia" w:hAnsi="Georgia" w:cs="Open Sans"/>
          <w:color w:val="111111"/>
        </w:rPr>
        <w:t xml:space="preserve">; Sally Miruri Programme Officer ,Civic Engagement and advocacy - </w:t>
      </w:r>
      <w:hyperlink r:id="rId10" w:history="1">
        <w:r w:rsidR="00A10456" w:rsidRPr="00076FAF">
          <w:rPr>
            <w:rStyle w:val="Hyperlink"/>
            <w:rFonts w:ascii="Georgia" w:hAnsi="Georgia" w:cs="Open Sans"/>
          </w:rPr>
          <w:t>smiruri@pamojatrust.org</w:t>
        </w:r>
      </w:hyperlink>
    </w:p>
    <w:p w14:paraId="605595D7" w14:textId="77777777" w:rsidR="002D3244" w:rsidRPr="00076FAF" w:rsidRDefault="00A10456" w:rsidP="002D3244">
      <w:pPr>
        <w:pBdr>
          <w:top w:val="nil"/>
          <w:left w:val="nil"/>
          <w:bottom w:val="nil"/>
          <w:right w:val="nil"/>
          <w:between w:val="nil"/>
          <w:bar w:val="nil"/>
        </w:pBdr>
        <w:spacing w:after="0" w:line="240" w:lineRule="auto"/>
        <w:jc w:val="both"/>
        <w:rPr>
          <w:rFonts w:ascii="Georgia" w:hAnsi="Georgia" w:cs="Open Sans"/>
        </w:rPr>
      </w:pPr>
      <w:r w:rsidRPr="00076FAF">
        <w:rPr>
          <w:rFonts w:ascii="Georgia" w:hAnsi="Georgia" w:cs="Open Sans"/>
        </w:rPr>
        <w:t xml:space="preserve"> </w:t>
      </w:r>
    </w:p>
    <w:p w14:paraId="4E625017" w14:textId="77777777" w:rsidR="002C64FC" w:rsidRPr="00076FAF" w:rsidRDefault="002C64FC" w:rsidP="002C64FC">
      <w:pPr>
        <w:autoSpaceDE w:val="0"/>
        <w:autoSpaceDN w:val="0"/>
        <w:adjustRightInd w:val="0"/>
        <w:spacing w:after="0" w:line="240" w:lineRule="auto"/>
        <w:jc w:val="both"/>
        <w:rPr>
          <w:rFonts w:ascii="Georgia" w:hAnsi="Georgia" w:cs="TimesNewRomanRegular"/>
        </w:rPr>
      </w:pPr>
    </w:p>
    <w:sectPr w:rsidR="002C64FC" w:rsidRPr="00076FAF">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E81A7" w14:textId="77777777" w:rsidR="008C548A" w:rsidRDefault="008C548A" w:rsidP="00F270C0">
      <w:pPr>
        <w:spacing w:after="0" w:line="240" w:lineRule="auto"/>
      </w:pPr>
      <w:r>
        <w:separator/>
      </w:r>
    </w:p>
  </w:endnote>
  <w:endnote w:type="continuationSeparator" w:id="0">
    <w:p w14:paraId="5F88CC58" w14:textId="77777777" w:rsidR="008C548A" w:rsidRDefault="008C548A" w:rsidP="00F27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altName w:val="Arial"/>
    <w:charset w:val="00"/>
    <w:family w:val="swiss"/>
    <w:pitch w:val="variable"/>
    <w:sig w:usb0="00000001" w:usb1="4000205B" w:usb2="00000028" w:usb3="00000000" w:csb0="0000019F" w:csb1="00000000"/>
  </w:font>
  <w:font w:name="CIDFont+F2">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imesNewRomanRegular">
    <w:panose1 w:val="00000000000000000000"/>
    <w:charset w:val="00"/>
    <w:family w:val="auto"/>
    <w:notTrueType/>
    <w:pitch w:val="default"/>
    <w:sig w:usb0="00000003" w:usb1="00000000" w:usb2="00000000" w:usb3="00000000" w:csb0="00000001" w:csb1="00000000"/>
  </w:font>
  <w:font w:name="CIDFont+F3">
    <w:panose1 w:val="00000000000000000000"/>
    <w:charset w:val="00"/>
    <w:family w:val="auto"/>
    <w:notTrueType/>
    <w:pitch w:val="default"/>
    <w:sig w:usb0="00000003" w:usb1="00000000" w:usb2="00000000" w:usb3="00000000" w:csb0="00000001" w:csb1="00000000"/>
  </w:font>
  <w:font w:name="TimesNewRoman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76D48" w14:textId="77777777" w:rsidR="008C548A" w:rsidRDefault="008C548A" w:rsidP="00F270C0">
      <w:pPr>
        <w:spacing w:after="0" w:line="240" w:lineRule="auto"/>
      </w:pPr>
      <w:r>
        <w:separator/>
      </w:r>
    </w:p>
  </w:footnote>
  <w:footnote w:type="continuationSeparator" w:id="0">
    <w:p w14:paraId="6E512933" w14:textId="77777777" w:rsidR="008C548A" w:rsidRDefault="008C548A" w:rsidP="00F270C0">
      <w:pPr>
        <w:spacing w:after="0" w:line="240" w:lineRule="auto"/>
      </w:pPr>
      <w:r>
        <w:continuationSeparator/>
      </w:r>
    </w:p>
  </w:footnote>
  <w:footnote w:id="1">
    <w:p w14:paraId="5B119902" w14:textId="77777777" w:rsidR="00F270C0" w:rsidRPr="00076FAF" w:rsidRDefault="00F270C0" w:rsidP="00860C4A">
      <w:pPr>
        <w:pStyle w:val="FootnoteText"/>
        <w:jc w:val="both"/>
        <w:rPr>
          <w:rFonts w:cstheme="minorHAnsi"/>
          <w:sz w:val="18"/>
          <w:szCs w:val="18"/>
        </w:rPr>
      </w:pPr>
      <w:r w:rsidRPr="00FC7AEE">
        <w:rPr>
          <w:rStyle w:val="FootnoteReference"/>
          <w:rFonts w:ascii="Georgia" w:hAnsi="Georgia" w:cstheme="minorHAnsi"/>
          <w:sz w:val="22"/>
          <w:szCs w:val="22"/>
        </w:rPr>
        <w:footnoteRef/>
      </w:r>
      <w:r w:rsidRPr="00FC7AEE">
        <w:rPr>
          <w:rFonts w:ascii="Georgia" w:hAnsi="Georgia" w:cstheme="minorHAnsi"/>
          <w:sz w:val="22"/>
          <w:szCs w:val="22"/>
        </w:rPr>
        <w:t xml:space="preserve"> </w:t>
      </w:r>
      <w:r w:rsidRPr="00076FAF">
        <w:rPr>
          <w:rFonts w:cstheme="minorHAnsi"/>
          <w:sz w:val="18"/>
          <w:szCs w:val="18"/>
          <w:lang w:val="en-GB"/>
        </w:rPr>
        <w:t>Committee on Economic, Social and Cultural Rights (CESCR), Concluding observations on the combined second to fifth periodic reports of Kenya, E/C.12/KEN/CO/2-5 (April 2016) para 27</w:t>
      </w:r>
    </w:p>
  </w:footnote>
  <w:footnote w:id="2">
    <w:p w14:paraId="4D27C010" w14:textId="77777777" w:rsidR="00F270C0" w:rsidRPr="00076FAF" w:rsidRDefault="00F270C0" w:rsidP="00860C4A">
      <w:pPr>
        <w:pStyle w:val="FootnoteText"/>
        <w:jc w:val="both"/>
        <w:rPr>
          <w:rFonts w:cstheme="minorHAnsi"/>
          <w:sz w:val="18"/>
          <w:szCs w:val="18"/>
        </w:rPr>
      </w:pPr>
      <w:r w:rsidRPr="00076FAF">
        <w:rPr>
          <w:rStyle w:val="FootnoteReference"/>
          <w:rFonts w:cstheme="minorHAnsi"/>
          <w:sz w:val="18"/>
          <w:szCs w:val="18"/>
        </w:rPr>
        <w:footnoteRef/>
      </w:r>
      <w:r w:rsidRPr="00076FAF">
        <w:rPr>
          <w:rFonts w:cstheme="minorHAnsi"/>
          <w:sz w:val="18"/>
          <w:szCs w:val="18"/>
        </w:rPr>
        <w:t xml:space="preserve"> </w:t>
      </w:r>
      <w:r w:rsidRPr="00076FAF">
        <w:rPr>
          <w:rFonts w:cstheme="minorHAnsi"/>
          <w:sz w:val="18"/>
          <w:szCs w:val="18"/>
          <w:lang w:val="en-GB"/>
        </w:rPr>
        <w:t xml:space="preserve">Sixth periodic report submitted by Kenya under articles 16 and 17 of the Covenant, E/C.12/KEN/6 (September 2022) para </w:t>
      </w:r>
      <w:r w:rsidR="005F25B1" w:rsidRPr="00076FAF">
        <w:rPr>
          <w:rFonts w:cstheme="minorHAnsi"/>
          <w:sz w:val="18"/>
          <w:szCs w:val="18"/>
          <w:lang w:val="en-GB"/>
        </w:rPr>
        <w:t>41 and 42</w:t>
      </w:r>
    </w:p>
  </w:footnote>
  <w:footnote w:id="3">
    <w:p w14:paraId="08FFF397" w14:textId="77777777" w:rsidR="005F25B1" w:rsidRPr="00076FAF" w:rsidRDefault="005F25B1" w:rsidP="00860C4A">
      <w:pPr>
        <w:pStyle w:val="FootnoteText"/>
        <w:jc w:val="both"/>
        <w:rPr>
          <w:rFonts w:cstheme="minorHAnsi"/>
          <w:sz w:val="18"/>
          <w:szCs w:val="18"/>
        </w:rPr>
      </w:pPr>
      <w:r w:rsidRPr="00076FAF">
        <w:rPr>
          <w:rStyle w:val="FootnoteReference"/>
          <w:rFonts w:cstheme="minorHAnsi"/>
          <w:sz w:val="18"/>
          <w:szCs w:val="18"/>
        </w:rPr>
        <w:footnoteRef/>
      </w:r>
      <w:r w:rsidRPr="00076FAF">
        <w:rPr>
          <w:rFonts w:cstheme="minorHAnsi"/>
          <w:sz w:val="18"/>
          <w:szCs w:val="18"/>
        </w:rPr>
        <w:t xml:space="preserve"> </w:t>
      </w:r>
      <w:r w:rsidRPr="00076FAF">
        <w:rPr>
          <w:rFonts w:cstheme="minorHAnsi"/>
          <w:sz w:val="18"/>
          <w:szCs w:val="18"/>
          <w:lang w:val="en-GB"/>
        </w:rPr>
        <w:t xml:space="preserve">Ibid, p </w:t>
      </w:r>
      <w:r w:rsidR="00FB7A97" w:rsidRPr="00076FAF">
        <w:rPr>
          <w:rFonts w:cstheme="minorHAnsi"/>
          <w:sz w:val="18"/>
          <w:szCs w:val="18"/>
          <w:lang w:val="en-GB"/>
        </w:rPr>
        <w:t>45</w:t>
      </w:r>
    </w:p>
  </w:footnote>
  <w:footnote w:id="4">
    <w:p w14:paraId="5E30B029" w14:textId="77777777" w:rsidR="005F25B1" w:rsidRPr="00076FAF" w:rsidRDefault="005F25B1" w:rsidP="00860C4A">
      <w:pPr>
        <w:pStyle w:val="FootnoteText"/>
        <w:jc w:val="both"/>
        <w:rPr>
          <w:rFonts w:cstheme="minorHAnsi"/>
          <w:sz w:val="18"/>
          <w:szCs w:val="18"/>
        </w:rPr>
      </w:pPr>
      <w:r w:rsidRPr="00076FAF">
        <w:rPr>
          <w:rStyle w:val="FootnoteReference"/>
          <w:rFonts w:cstheme="minorHAnsi"/>
          <w:sz w:val="18"/>
          <w:szCs w:val="18"/>
        </w:rPr>
        <w:footnoteRef/>
      </w:r>
      <w:r w:rsidRPr="00076FAF">
        <w:rPr>
          <w:rFonts w:cstheme="minorHAnsi"/>
          <w:sz w:val="18"/>
          <w:szCs w:val="18"/>
        </w:rPr>
        <w:t xml:space="preserve"> </w:t>
      </w:r>
      <w:r w:rsidR="00860C4A" w:rsidRPr="00076FAF">
        <w:rPr>
          <w:rFonts w:cstheme="minorHAnsi"/>
          <w:sz w:val="18"/>
          <w:szCs w:val="18"/>
        </w:rPr>
        <w:t xml:space="preserve">social protection for women’s economic empowerment, lessons from </w:t>
      </w:r>
      <w:r w:rsidR="00467536" w:rsidRPr="00076FAF">
        <w:rPr>
          <w:rFonts w:cstheme="minorHAnsi"/>
          <w:sz w:val="18"/>
          <w:szCs w:val="18"/>
        </w:rPr>
        <w:t>Kazi</w:t>
      </w:r>
      <w:r w:rsidR="00860C4A" w:rsidRPr="00076FAF">
        <w:rPr>
          <w:rFonts w:cstheme="minorHAnsi"/>
          <w:sz w:val="18"/>
          <w:szCs w:val="18"/>
        </w:rPr>
        <w:t xml:space="preserve"> </w:t>
      </w:r>
      <w:r w:rsidR="00467536" w:rsidRPr="00076FAF">
        <w:rPr>
          <w:rFonts w:cstheme="minorHAnsi"/>
          <w:sz w:val="18"/>
          <w:szCs w:val="18"/>
        </w:rPr>
        <w:t>Mtaani</w:t>
      </w:r>
      <w:r w:rsidR="00860C4A" w:rsidRPr="00076FAF">
        <w:rPr>
          <w:rFonts w:cstheme="minorHAnsi"/>
          <w:sz w:val="18"/>
          <w:szCs w:val="18"/>
        </w:rPr>
        <w:t>; women’s economic empowerment hub</w:t>
      </w:r>
    </w:p>
  </w:footnote>
  <w:footnote w:id="5">
    <w:p w14:paraId="0CE2F99A" w14:textId="77777777" w:rsidR="00FB7A97" w:rsidRPr="00076FAF" w:rsidRDefault="00FB7A97" w:rsidP="00860C4A">
      <w:pPr>
        <w:pStyle w:val="FootnoteText"/>
        <w:jc w:val="both"/>
        <w:rPr>
          <w:rFonts w:cstheme="minorHAnsi"/>
          <w:sz w:val="18"/>
          <w:szCs w:val="18"/>
        </w:rPr>
      </w:pPr>
      <w:r w:rsidRPr="00076FAF">
        <w:rPr>
          <w:rStyle w:val="FootnoteReference"/>
          <w:rFonts w:cstheme="minorHAnsi"/>
          <w:sz w:val="18"/>
          <w:szCs w:val="18"/>
        </w:rPr>
        <w:footnoteRef/>
      </w:r>
      <w:r w:rsidRPr="00076FAF">
        <w:rPr>
          <w:rFonts w:cstheme="minorHAnsi"/>
          <w:sz w:val="18"/>
          <w:szCs w:val="18"/>
        </w:rPr>
        <w:t xml:space="preserve"> </w:t>
      </w:r>
      <w:r w:rsidR="00860C4A" w:rsidRPr="00076FAF">
        <w:rPr>
          <w:rFonts w:cstheme="minorHAnsi"/>
          <w:sz w:val="18"/>
          <w:szCs w:val="18"/>
        </w:rPr>
        <w:t xml:space="preserve">kenya national bureau of statistics quarterly labour force report quarter 3 </w:t>
      </w:r>
      <w:r w:rsidR="00467536" w:rsidRPr="00076FAF">
        <w:rPr>
          <w:rFonts w:cstheme="minorHAnsi"/>
          <w:sz w:val="18"/>
          <w:szCs w:val="18"/>
        </w:rPr>
        <w:t>July</w:t>
      </w:r>
      <w:r w:rsidR="00860C4A" w:rsidRPr="00076FAF">
        <w:rPr>
          <w:rFonts w:cstheme="minorHAnsi"/>
          <w:sz w:val="18"/>
          <w:szCs w:val="18"/>
        </w:rPr>
        <w:t xml:space="preserve"> – </w:t>
      </w:r>
      <w:r w:rsidR="00467536" w:rsidRPr="00076FAF">
        <w:rPr>
          <w:rFonts w:cstheme="minorHAnsi"/>
          <w:sz w:val="18"/>
          <w:szCs w:val="18"/>
        </w:rPr>
        <w:t>September</w:t>
      </w:r>
      <w:r w:rsidR="00860C4A" w:rsidRPr="00076FAF">
        <w:rPr>
          <w:rFonts w:cstheme="minorHAnsi"/>
          <w:sz w:val="18"/>
          <w:szCs w:val="18"/>
        </w:rPr>
        <w:t xml:space="preserve"> 2020</w:t>
      </w:r>
    </w:p>
  </w:footnote>
  <w:footnote w:id="6">
    <w:p w14:paraId="7A8E4137" w14:textId="77777777" w:rsidR="00F94963" w:rsidRPr="00076FAF" w:rsidRDefault="00860C4A">
      <w:pPr>
        <w:pStyle w:val="FootnoteText"/>
        <w:rPr>
          <w:rFonts w:cstheme="minorHAnsi"/>
          <w:sz w:val="18"/>
          <w:szCs w:val="18"/>
          <w:lang w:val="en-GB"/>
        </w:rPr>
      </w:pPr>
      <w:r w:rsidRPr="00076FAF">
        <w:rPr>
          <w:rStyle w:val="FootnoteReference"/>
          <w:rFonts w:cstheme="minorHAnsi"/>
          <w:sz w:val="18"/>
          <w:szCs w:val="18"/>
        </w:rPr>
        <w:footnoteRef/>
      </w:r>
      <w:r w:rsidRPr="00076FAF">
        <w:rPr>
          <w:rFonts w:cstheme="minorHAnsi"/>
          <w:sz w:val="18"/>
          <w:szCs w:val="18"/>
        </w:rPr>
        <w:t xml:space="preserve"> </w:t>
      </w:r>
      <w:r w:rsidRPr="00076FAF">
        <w:rPr>
          <w:rFonts w:cstheme="minorHAnsi"/>
          <w:sz w:val="18"/>
          <w:szCs w:val="18"/>
          <w:lang w:val="en-GB"/>
        </w:rPr>
        <w:t>Committee on Economic, Social and Cultural Rights (CESCR), Concluding observations on the combined second to fifth periodic reports of Kenya, E/C.12/KEN/CO/2-5 (April 2016) para 35</w:t>
      </w:r>
    </w:p>
  </w:footnote>
  <w:footnote w:id="7">
    <w:p w14:paraId="3E68C4A1" w14:textId="77777777" w:rsidR="00F94963" w:rsidRPr="00076FAF" w:rsidRDefault="00F94963">
      <w:pPr>
        <w:pStyle w:val="FootnoteText"/>
        <w:rPr>
          <w:rFonts w:cstheme="minorHAnsi"/>
          <w:sz w:val="18"/>
          <w:szCs w:val="18"/>
        </w:rPr>
      </w:pPr>
      <w:r w:rsidRPr="00076FAF">
        <w:rPr>
          <w:rStyle w:val="FootnoteReference"/>
          <w:rFonts w:cstheme="minorHAnsi"/>
          <w:sz w:val="18"/>
          <w:szCs w:val="18"/>
        </w:rPr>
        <w:footnoteRef/>
      </w:r>
      <w:r w:rsidRPr="00076FAF">
        <w:rPr>
          <w:rFonts w:cstheme="minorHAnsi"/>
          <w:sz w:val="18"/>
          <w:szCs w:val="18"/>
        </w:rPr>
        <w:t xml:space="preserve"> Ibid, para 36</w:t>
      </w:r>
    </w:p>
  </w:footnote>
  <w:footnote w:id="8">
    <w:p w14:paraId="544C32D2" w14:textId="77777777" w:rsidR="00FF53A7" w:rsidRPr="00076FAF" w:rsidRDefault="00FF53A7" w:rsidP="00FF53A7">
      <w:pPr>
        <w:pStyle w:val="FootnoteText"/>
        <w:rPr>
          <w:rFonts w:cstheme="minorHAnsi"/>
          <w:sz w:val="18"/>
          <w:szCs w:val="18"/>
        </w:rPr>
      </w:pPr>
      <w:r w:rsidRPr="00076FAF">
        <w:rPr>
          <w:rStyle w:val="FootnoteReference"/>
          <w:rFonts w:cstheme="minorHAnsi"/>
          <w:sz w:val="18"/>
          <w:szCs w:val="18"/>
        </w:rPr>
        <w:footnoteRef/>
      </w:r>
      <w:r w:rsidRPr="00076FAF">
        <w:rPr>
          <w:rFonts w:cstheme="minorHAnsi"/>
          <w:sz w:val="18"/>
          <w:szCs w:val="18"/>
        </w:rPr>
        <w:t xml:space="preserve">  Social Protection Budget Brief, No. 67/2018-2019</w:t>
      </w:r>
    </w:p>
  </w:footnote>
  <w:footnote w:id="9">
    <w:p w14:paraId="0A46966E" w14:textId="77777777" w:rsidR="00FF53A7" w:rsidRPr="00FC7AEE" w:rsidRDefault="00FF53A7" w:rsidP="00FF53A7">
      <w:pPr>
        <w:pStyle w:val="FootnoteText"/>
        <w:rPr>
          <w:rFonts w:ascii="Georgia" w:hAnsi="Georgia" w:cstheme="minorHAnsi"/>
          <w:sz w:val="22"/>
          <w:szCs w:val="22"/>
          <w:lang w:val="en-GB"/>
        </w:rPr>
      </w:pPr>
      <w:r w:rsidRPr="00076FAF">
        <w:rPr>
          <w:rStyle w:val="FootnoteReference"/>
          <w:rFonts w:cstheme="minorHAnsi"/>
          <w:sz w:val="18"/>
          <w:szCs w:val="18"/>
        </w:rPr>
        <w:footnoteRef/>
      </w:r>
      <w:r w:rsidRPr="00076FAF">
        <w:rPr>
          <w:rFonts w:cstheme="minorHAnsi"/>
          <w:sz w:val="18"/>
          <w:szCs w:val="18"/>
        </w:rPr>
        <w:t xml:space="preserve"> </w:t>
      </w:r>
      <w:hyperlink r:id="rId1" w:history="1">
        <w:r w:rsidRPr="00076FAF">
          <w:rPr>
            <w:rFonts w:cstheme="minorHAnsi"/>
            <w:sz w:val="18"/>
            <w:szCs w:val="18"/>
            <w:lang w:val="en-GB"/>
          </w:rPr>
          <w:t>https://mis.socialprotection.go.ke:20307/en/Identity/Account/Login/?ReturnUrl=/en/Dashboard/Dashboard</w:t>
        </w:r>
      </w:hyperlink>
      <w:r w:rsidRPr="00FC7AEE">
        <w:rPr>
          <w:rFonts w:ascii="Georgia" w:hAnsi="Georgia" w:cstheme="minorHAnsi"/>
          <w:sz w:val="22"/>
          <w:szCs w:val="22"/>
          <w:lang w:val="en-GB"/>
        </w:rPr>
        <w:t xml:space="preserve"> </w:t>
      </w:r>
    </w:p>
  </w:footnote>
  <w:footnote w:id="10">
    <w:p w14:paraId="5105C244" w14:textId="77777777" w:rsidR="006C2305" w:rsidRPr="00076FAF" w:rsidRDefault="006C2305">
      <w:pPr>
        <w:pStyle w:val="FootnoteText"/>
        <w:rPr>
          <w:rFonts w:cstheme="minorHAnsi"/>
          <w:sz w:val="18"/>
          <w:szCs w:val="18"/>
        </w:rPr>
      </w:pPr>
      <w:r w:rsidRPr="00076FAF">
        <w:rPr>
          <w:rStyle w:val="FootnoteReference"/>
          <w:rFonts w:cstheme="minorHAnsi"/>
          <w:sz w:val="18"/>
          <w:szCs w:val="18"/>
        </w:rPr>
        <w:footnoteRef/>
      </w:r>
      <w:r w:rsidRPr="00076FAF">
        <w:rPr>
          <w:rFonts w:cstheme="minorHAnsi"/>
          <w:sz w:val="18"/>
          <w:szCs w:val="18"/>
        </w:rPr>
        <w:t xml:space="preserve"> </w:t>
      </w:r>
      <w:r w:rsidRPr="00076FAF">
        <w:rPr>
          <w:rFonts w:cstheme="minorHAnsi"/>
          <w:sz w:val="18"/>
          <w:szCs w:val="18"/>
          <w:lang w:val="en-GB"/>
        </w:rPr>
        <w:t>Committee on Economic, Social and Cultural Rights (CESCR), Concluding observations on the combined second to fifth periodic reports of Kenya, E/C.12/KEN/CO/2-5 (April 2016) para 43 and 44</w:t>
      </w:r>
    </w:p>
  </w:footnote>
  <w:footnote w:id="11">
    <w:p w14:paraId="64FA8F68" w14:textId="77777777" w:rsidR="006C2305" w:rsidRPr="00076FAF" w:rsidRDefault="006C2305">
      <w:pPr>
        <w:pStyle w:val="FootnoteText"/>
        <w:rPr>
          <w:rFonts w:cstheme="minorHAnsi"/>
          <w:sz w:val="18"/>
          <w:szCs w:val="18"/>
        </w:rPr>
      </w:pPr>
      <w:r w:rsidRPr="00076FAF">
        <w:rPr>
          <w:rStyle w:val="FootnoteReference"/>
          <w:rFonts w:cstheme="minorHAnsi"/>
          <w:sz w:val="18"/>
          <w:szCs w:val="18"/>
        </w:rPr>
        <w:footnoteRef/>
      </w:r>
      <w:r w:rsidRPr="00076FAF">
        <w:rPr>
          <w:rFonts w:cstheme="minorHAnsi"/>
          <w:sz w:val="18"/>
          <w:szCs w:val="18"/>
        </w:rPr>
        <w:t xml:space="preserve"> </w:t>
      </w:r>
      <w:r w:rsidRPr="00076FAF">
        <w:rPr>
          <w:rFonts w:cstheme="minorHAnsi"/>
          <w:sz w:val="18"/>
          <w:szCs w:val="18"/>
          <w:lang w:val="en-GB"/>
        </w:rPr>
        <w:t>Sixth periodic report submitted by Kenya under articles 16 and 17 of the Covenant, E/C.12/KEN/6 (September 2022) 104</w:t>
      </w:r>
    </w:p>
  </w:footnote>
  <w:footnote w:id="12">
    <w:p w14:paraId="7B5C676A" w14:textId="77777777" w:rsidR="006C2305" w:rsidRPr="00076FAF" w:rsidRDefault="006C2305" w:rsidP="006C2305">
      <w:pPr>
        <w:pStyle w:val="FootnoteText"/>
        <w:rPr>
          <w:rFonts w:cstheme="minorHAnsi"/>
          <w:sz w:val="18"/>
          <w:szCs w:val="18"/>
        </w:rPr>
      </w:pPr>
      <w:r w:rsidRPr="00076FAF">
        <w:rPr>
          <w:rStyle w:val="FootnoteReference"/>
          <w:rFonts w:cstheme="minorHAnsi"/>
          <w:sz w:val="18"/>
          <w:szCs w:val="18"/>
        </w:rPr>
        <w:footnoteRef/>
      </w:r>
      <w:r w:rsidRPr="00076FAF">
        <w:rPr>
          <w:rFonts w:cstheme="minorHAnsi"/>
          <w:sz w:val="18"/>
          <w:szCs w:val="18"/>
        </w:rPr>
        <w:t xml:space="preserve"> https://www.theelephant.info/data-stories/2020/08/07/kenyan-budget-allocation-in-the-sector-of-agriculture-for-the-fy-2020-2021/</w:t>
      </w:r>
    </w:p>
  </w:footnote>
  <w:footnote w:id="13">
    <w:p w14:paraId="22F83729" w14:textId="77777777" w:rsidR="00CE762A" w:rsidRPr="00076FAF" w:rsidRDefault="00CE762A">
      <w:pPr>
        <w:pStyle w:val="FootnoteText"/>
        <w:rPr>
          <w:rFonts w:cstheme="minorHAnsi"/>
          <w:sz w:val="18"/>
          <w:szCs w:val="18"/>
        </w:rPr>
      </w:pPr>
      <w:r w:rsidRPr="00076FAF">
        <w:rPr>
          <w:rStyle w:val="FootnoteReference"/>
          <w:rFonts w:cstheme="minorHAnsi"/>
          <w:sz w:val="18"/>
          <w:szCs w:val="18"/>
        </w:rPr>
        <w:footnoteRef/>
      </w:r>
      <w:r w:rsidRPr="00076FAF">
        <w:rPr>
          <w:rFonts w:cstheme="minorHAnsi"/>
          <w:sz w:val="18"/>
          <w:szCs w:val="18"/>
        </w:rPr>
        <w:t xml:space="preserve"> </w:t>
      </w:r>
      <w:r w:rsidRPr="00076FAF">
        <w:rPr>
          <w:rFonts w:cstheme="minorHAnsi"/>
          <w:sz w:val="18"/>
          <w:szCs w:val="18"/>
          <w:lang w:val="en-GB"/>
        </w:rPr>
        <w:t>Committee on Economic, Social and Cultural Rights (CESCR), Concluding observations on the combined second to fifth periodic reports of Kenya, E/C.12/KEN/CO/2-5 (April 2016) para 49 and 50</w:t>
      </w:r>
    </w:p>
  </w:footnote>
  <w:footnote w:id="14">
    <w:p w14:paraId="2768D7DE" w14:textId="77777777" w:rsidR="00CE762A" w:rsidRPr="00076FAF" w:rsidRDefault="00CE762A">
      <w:pPr>
        <w:pStyle w:val="FootnoteText"/>
        <w:rPr>
          <w:rFonts w:cstheme="minorHAnsi"/>
          <w:sz w:val="18"/>
          <w:szCs w:val="18"/>
        </w:rPr>
      </w:pPr>
      <w:r w:rsidRPr="00076FAF">
        <w:rPr>
          <w:rStyle w:val="FootnoteReference"/>
          <w:rFonts w:cstheme="minorHAnsi"/>
          <w:sz w:val="18"/>
          <w:szCs w:val="18"/>
        </w:rPr>
        <w:footnoteRef/>
      </w:r>
      <w:r w:rsidRPr="00076FAF">
        <w:rPr>
          <w:rFonts w:cstheme="minorHAnsi"/>
          <w:sz w:val="18"/>
          <w:szCs w:val="18"/>
        </w:rPr>
        <w:t xml:space="preserve"> </w:t>
      </w:r>
      <w:r w:rsidRPr="00076FAF">
        <w:rPr>
          <w:rFonts w:cstheme="minorHAnsi"/>
          <w:sz w:val="18"/>
          <w:szCs w:val="18"/>
          <w:lang w:val="en-GB"/>
        </w:rPr>
        <w:t>Sixth periodic report submitted by Kenya under articles 16 and 17 of the Covenant, E/C.12/KEN/6 (September 2022) 113</w:t>
      </w:r>
    </w:p>
  </w:footnote>
  <w:footnote w:id="15">
    <w:p w14:paraId="7C2E2D6C" w14:textId="77777777" w:rsidR="003C5137" w:rsidRPr="00FC7AEE" w:rsidRDefault="003C5137">
      <w:pPr>
        <w:pStyle w:val="FootnoteText"/>
        <w:rPr>
          <w:rFonts w:ascii="Georgia" w:hAnsi="Georgia"/>
          <w:sz w:val="22"/>
          <w:szCs w:val="22"/>
        </w:rPr>
      </w:pPr>
      <w:r w:rsidRPr="00076FAF">
        <w:rPr>
          <w:rStyle w:val="FootnoteReference"/>
          <w:rFonts w:cstheme="minorHAnsi"/>
          <w:sz w:val="18"/>
          <w:szCs w:val="18"/>
        </w:rPr>
        <w:footnoteRef/>
      </w:r>
      <w:r w:rsidRPr="00076FAF">
        <w:rPr>
          <w:rFonts w:cstheme="minorHAnsi"/>
          <w:sz w:val="18"/>
          <w:szCs w:val="18"/>
        </w:rPr>
        <w:t xml:space="preserve"> Ibid, para 111 and 112</w:t>
      </w:r>
    </w:p>
  </w:footnote>
  <w:footnote w:id="16">
    <w:p w14:paraId="129176E8" w14:textId="77777777" w:rsidR="002C64FC" w:rsidRPr="00076FAF" w:rsidRDefault="002C64FC">
      <w:pPr>
        <w:pStyle w:val="FootnoteText"/>
        <w:rPr>
          <w:rFonts w:cstheme="minorHAnsi"/>
          <w:sz w:val="18"/>
          <w:szCs w:val="18"/>
          <w:vertAlign w:val="subscript"/>
        </w:rPr>
      </w:pPr>
      <w:r w:rsidRPr="00076FAF">
        <w:rPr>
          <w:rStyle w:val="FootnoteReference"/>
          <w:rFonts w:cstheme="minorHAnsi"/>
          <w:sz w:val="18"/>
          <w:szCs w:val="18"/>
          <w:vertAlign w:val="subscript"/>
        </w:rPr>
        <w:footnoteRef/>
      </w:r>
      <w:r w:rsidRPr="00076FAF">
        <w:rPr>
          <w:rFonts w:cstheme="minorHAnsi"/>
          <w:sz w:val="18"/>
          <w:szCs w:val="18"/>
          <w:vertAlign w:val="subscript"/>
        </w:rPr>
        <w:t xml:space="preserve"> </w:t>
      </w:r>
      <w:r w:rsidRPr="00076FAF">
        <w:rPr>
          <w:rFonts w:cstheme="minorHAnsi"/>
          <w:sz w:val="18"/>
          <w:szCs w:val="18"/>
          <w:vertAlign w:val="subscript"/>
          <w:lang w:val="en-GB"/>
        </w:rPr>
        <w:t>Committee on Economic, Social and Cultural Rights (CESCR), Concluding observations on the combined second to fifth periodic reports of Kenya, E/C.12/KEN/CO/2-5 (April 2016) para 45 and 47</w:t>
      </w:r>
    </w:p>
  </w:footnote>
  <w:footnote w:id="17">
    <w:p w14:paraId="718B60B2" w14:textId="77777777" w:rsidR="002C64FC" w:rsidRPr="00076FAF" w:rsidRDefault="002C64FC" w:rsidP="002C64FC">
      <w:pPr>
        <w:pStyle w:val="FootnoteText"/>
        <w:rPr>
          <w:rFonts w:cstheme="minorHAnsi"/>
          <w:sz w:val="18"/>
          <w:szCs w:val="18"/>
          <w:vertAlign w:val="subscript"/>
        </w:rPr>
      </w:pPr>
      <w:r w:rsidRPr="00076FAF">
        <w:rPr>
          <w:rStyle w:val="FootnoteReference"/>
          <w:rFonts w:cstheme="minorHAnsi"/>
          <w:sz w:val="18"/>
          <w:szCs w:val="18"/>
          <w:vertAlign w:val="subscript"/>
        </w:rPr>
        <w:footnoteRef/>
      </w:r>
      <w:r w:rsidRPr="00076FAF">
        <w:rPr>
          <w:rFonts w:cstheme="minorHAnsi"/>
          <w:sz w:val="18"/>
          <w:szCs w:val="18"/>
          <w:vertAlign w:val="subscript"/>
        </w:rPr>
        <w:t xml:space="preserve"> Energy, Infrastructure and ICT Sector Working Group Report, 2022/23-2024/25 MTEF Period</w:t>
      </w:r>
    </w:p>
  </w:footnote>
  <w:footnote w:id="18">
    <w:p w14:paraId="0B097245" w14:textId="77777777" w:rsidR="002C64FC" w:rsidRPr="00076FAF" w:rsidRDefault="002C64FC" w:rsidP="002C64FC">
      <w:pPr>
        <w:pStyle w:val="FootnoteText"/>
        <w:rPr>
          <w:rFonts w:cstheme="minorHAnsi"/>
          <w:sz w:val="18"/>
          <w:szCs w:val="18"/>
          <w:vertAlign w:val="subscript"/>
        </w:rPr>
      </w:pPr>
      <w:r w:rsidRPr="00076FAF">
        <w:rPr>
          <w:rStyle w:val="FootnoteReference"/>
          <w:rFonts w:cstheme="minorHAnsi"/>
          <w:sz w:val="18"/>
          <w:szCs w:val="18"/>
          <w:vertAlign w:val="subscript"/>
        </w:rPr>
        <w:footnoteRef/>
      </w:r>
      <w:r w:rsidRPr="00076FAF">
        <w:rPr>
          <w:rFonts w:cstheme="minorHAnsi"/>
          <w:sz w:val="18"/>
          <w:szCs w:val="18"/>
          <w:vertAlign w:val="subscript"/>
        </w:rPr>
        <w:t xml:space="preserve"> </w:t>
      </w:r>
      <w:hyperlink r:id="rId2">
        <w:r w:rsidRPr="00076FAF">
          <w:rPr>
            <w:rStyle w:val="Hyperlink"/>
            <w:rFonts w:cstheme="minorHAnsi"/>
            <w:sz w:val="18"/>
            <w:szCs w:val="18"/>
            <w:vertAlign w:val="subscript"/>
          </w:rPr>
          <w:t>https://www.hic-net.org/remedy-forced-evictions-in-mukuru-kwa-njenga-slums-nairobi/</w:t>
        </w:r>
      </w:hyperlink>
      <w:r w:rsidRPr="00076FAF">
        <w:rPr>
          <w:rFonts w:cstheme="minorHAnsi"/>
          <w:sz w:val="18"/>
          <w:szCs w:val="18"/>
          <w:vertAlign w:val="subscript"/>
        </w:rPr>
        <w:t xml:space="preserve"> </w:t>
      </w:r>
    </w:p>
  </w:footnote>
  <w:footnote w:id="19">
    <w:p w14:paraId="0471803C" w14:textId="77777777" w:rsidR="002C64FC" w:rsidRPr="00076FAF" w:rsidRDefault="002C64FC" w:rsidP="002C64FC">
      <w:pPr>
        <w:pStyle w:val="FootnoteText"/>
        <w:rPr>
          <w:rFonts w:cstheme="minorHAnsi"/>
          <w:sz w:val="18"/>
          <w:szCs w:val="18"/>
          <w:vertAlign w:val="subscript"/>
        </w:rPr>
      </w:pPr>
      <w:r w:rsidRPr="00076FAF">
        <w:rPr>
          <w:rStyle w:val="FootnoteReference"/>
          <w:rFonts w:cstheme="minorHAnsi"/>
          <w:sz w:val="18"/>
          <w:szCs w:val="18"/>
          <w:vertAlign w:val="subscript"/>
        </w:rPr>
        <w:footnoteRef/>
      </w:r>
      <w:r w:rsidRPr="00076FAF">
        <w:rPr>
          <w:rFonts w:cstheme="minorHAnsi"/>
          <w:sz w:val="18"/>
          <w:szCs w:val="18"/>
          <w:vertAlign w:val="subscript"/>
        </w:rPr>
        <w:t xml:space="preserve"> </w:t>
      </w:r>
      <w:hyperlink r:id="rId3" w:history="1">
        <w:r w:rsidRPr="00076FAF">
          <w:rPr>
            <w:rStyle w:val="Hyperlink"/>
            <w:rFonts w:cstheme="minorHAnsi"/>
            <w:sz w:val="18"/>
            <w:szCs w:val="18"/>
            <w:vertAlign w:val="subscript"/>
          </w:rPr>
          <w:t>https://www.hrw.org/news/2020/06/10/nairobi-evicts-8000-people-amidst-pandemic-and-curfew</w:t>
        </w:r>
      </w:hyperlink>
      <w:r w:rsidRPr="00076FAF">
        <w:rPr>
          <w:rFonts w:cstheme="minorHAnsi"/>
          <w:sz w:val="18"/>
          <w:szCs w:val="18"/>
          <w:vertAlign w:val="subscript"/>
        </w:rPr>
        <w:t xml:space="preserve"> </w:t>
      </w:r>
    </w:p>
    <w:p w14:paraId="115135FF" w14:textId="77777777" w:rsidR="002C64FC" w:rsidRPr="00FC7AEE" w:rsidRDefault="002C64FC" w:rsidP="002C64FC">
      <w:pPr>
        <w:pStyle w:val="FootnoteText"/>
        <w:rPr>
          <w:rFonts w:ascii="Georgia" w:hAnsi="Georgia"/>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779A6" w14:textId="77777777" w:rsidR="00B65C0A" w:rsidRDefault="00076FAF" w:rsidP="00076FAF">
    <w:pPr>
      <w:pStyle w:val="Header"/>
      <w:tabs>
        <w:tab w:val="clear" w:pos="9360"/>
        <w:tab w:val="left" w:pos="6050"/>
      </w:tabs>
    </w:pPr>
    <w:r w:rsidRPr="00076FAF">
      <w:rPr>
        <w:noProof/>
      </w:rPr>
      <w:drawing>
        <wp:inline distT="0" distB="0" distL="0" distR="0" wp14:anchorId="2C7A006F" wp14:editId="5F6F792A">
          <wp:extent cx="977900" cy="649746"/>
          <wp:effectExtent l="0" t="0" r="0" b="0"/>
          <wp:docPr id="1" name="Picture 1" descr="C:\Users\IRENE\OneDrive\Desktop\logos\P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RENE\OneDrive\Desktop\logos\PT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6095" cy="695057"/>
                  </a:xfrm>
                  <a:prstGeom prst="rect">
                    <a:avLst/>
                  </a:prstGeom>
                  <a:noFill/>
                  <a:ln>
                    <a:noFill/>
                  </a:ln>
                </pic:spPr>
              </pic:pic>
            </a:graphicData>
          </a:graphic>
        </wp:inline>
      </w:drawing>
    </w:r>
    <w:r>
      <w:rPr>
        <w:noProof/>
      </w:rPr>
      <w:drawing>
        <wp:inline distT="0" distB="0" distL="0" distR="0" wp14:anchorId="52882E1A" wp14:editId="4D5D8039">
          <wp:extent cx="1295400" cy="522705"/>
          <wp:effectExtent l="0" t="0" r="0" b="0"/>
          <wp:docPr id="2" name="Picture 2" descr="Amnesty Inte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nesty Intenation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0760" cy="545043"/>
                  </a:xfrm>
                  <a:prstGeom prst="rect">
                    <a:avLst/>
                  </a:prstGeom>
                  <a:noFill/>
                  <a:ln>
                    <a:noFill/>
                  </a:ln>
                </pic:spPr>
              </pic:pic>
            </a:graphicData>
          </a:graphic>
        </wp:inline>
      </w:drawing>
    </w:r>
    <w:r>
      <w:rPr>
        <w:noProof/>
      </w:rPr>
      <w:drawing>
        <wp:inline distT="0" distB="0" distL="0" distR="0" wp14:anchorId="170CF050" wp14:editId="666BEC3A">
          <wp:extent cx="1281935" cy="538825"/>
          <wp:effectExtent l="0" t="0" r="0" b="0"/>
          <wp:docPr id="3" name="Picture 3" descr="Zizi Afrique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izi Afrique Foundatio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0222" cy="613763"/>
                  </a:xfrm>
                  <a:prstGeom prst="rect">
                    <a:avLst/>
                  </a:prstGeom>
                  <a:noFill/>
                  <a:ln>
                    <a:noFill/>
                  </a:ln>
                </pic:spPr>
              </pic:pic>
            </a:graphicData>
          </a:graphic>
        </wp:inline>
      </w:drawing>
    </w:r>
    <w:r>
      <w:rPr>
        <w:noProof/>
      </w:rPr>
      <w:drawing>
        <wp:inline distT="0" distB="0" distL="0" distR="0" wp14:anchorId="55524BA1" wp14:editId="512C422B">
          <wp:extent cx="793750" cy="594433"/>
          <wp:effectExtent l="0" t="0" r="6350" b="0"/>
          <wp:docPr id="5" name="Picture 5" descr="Amani Kib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mani Kiber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27041" cy="619364"/>
                  </a:xfrm>
                  <a:prstGeom prst="rect">
                    <a:avLst/>
                  </a:prstGeom>
                  <a:noFill/>
                  <a:ln>
                    <a:noFill/>
                  </a:ln>
                </pic:spPr>
              </pic:pic>
            </a:graphicData>
          </a:graphic>
        </wp:inline>
      </w:drawing>
    </w:r>
    <w:r w:rsidR="00B65C0A">
      <w:t xml:space="preserve"> </w:t>
    </w:r>
    <w:r>
      <w:rPr>
        <w:noProof/>
      </w:rPr>
      <w:drawing>
        <wp:inline distT="0" distB="0" distL="0" distR="0" wp14:anchorId="29F34DEE" wp14:editId="760162EC">
          <wp:extent cx="1454150" cy="396586"/>
          <wp:effectExtent l="0" t="0" r="0" b="3810"/>
          <wp:docPr id="4" name="Picture 4" descr="EA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AC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8486" cy="433223"/>
                  </a:xfrm>
                  <a:prstGeom prst="rect">
                    <a:avLst/>
                  </a:prstGeom>
                  <a:noFill/>
                  <a:ln>
                    <a:noFill/>
                  </a:ln>
                </pic:spPr>
              </pic:pic>
            </a:graphicData>
          </a:graphic>
        </wp:inline>
      </w:drawing>
    </w:r>
    <w:r w:rsidR="00B65C0A">
      <w:rPr>
        <w:noProof/>
      </w:rPr>
      <w:drawing>
        <wp:inline distT="0" distB="0" distL="0" distR="0" wp14:anchorId="2E3CF22B" wp14:editId="73232DF7">
          <wp:extent cx="2381250" cy="819150"/>
          <wp:effectExtent l="0" t="0" r="0" b="0"/>
          <wp:docPr id="6" name="Picture 6" descr="http://upfi.info/media/cache/3b/f7/3bf74d6f637554f5e257546cbc81e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upfi.info/media/cache/3b/f7/3bf74d6f637554f5e257546cbc81e248.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1250" cy="819150"/>
                  </a:xfrm>
                  <a:prstGeom prst="rect">
                    <a:avLst/>
                  </a:prstGeom>
                  <a:noFill/>
                  <a:ln>
                    <a:noFill/>
                  </a:ln>
                </pic:spPr>
              </pic:pic>
            </a:graphicData>
          </a:graphic>
        </wp:inline>
      </w:drawing>
    </w:r>
    <w:r w:rsidR="00B65C0A">
      <w:t xml:space="preserve">  </w:t>
    </w:r>
    <w:r w:rsidR="00B65C0A">
      <w:rPr>
        <w:noProof/>
      </w:rPr>
      <w:drawing>
        <wp:inline distT="0" distB="0" distL="0" distR="0" wp14:anchorId="27A74E79" wp14:editId="587A479B">
          <wp:extent cx="1917700" cy="754295"/>
          <wp:effectExtent l="0" t="0" r="0" b="8255"/>
          <wp:docPr id="7" name="Picture 7" descr="Umande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mande Trus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36965" cy="761873"/>
                  </a:xfrm>
                  <a:prstGeom prst="rect">
                    <a:avLst/>
                  </a:prstGeom>
                  <a:noFill/>
                  <a:ln>
                    <a:noFill/>
                  </a:ln>
                </pic:spPr>
              </pic:pic>
            </a:graphicData>
          </a:graphic>
        </wp:inline>
      </w:drawing>
    </w:r>
    <w:r w:rsidR="00467536" w:rsidRPr="0046753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467536" w:rsidRPr="00467536">
      <w:rPr>
        <w:noProof/>
      </w:rPr>
      <w:drawing>
        <wp:inline distT="0" distB="0" distL="0" distR="0" wp14:anchorId="6619E25E" wp14:editId="0A0E20EB">
          <wp:extent cx="626213" cy="622300"/>
          <wp:effectExtent l="0" t="0" r="2540" b="6350"/>
          <wp:docPr id="8" name="Picture 8" descr="C:\Users\IRENE\OneDrive\Desktop\261337548_825727341477702_680643935909626464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IRENE\OneDrive\Desktop\261337548_825727341477702_6806439359096264649_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7339" cy="68304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D1B44"/>
    <w:multiLevelType w:val="hybridMultilevel"/>
    <w:tmpl w:val="61707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F82408"/>
    <w:multiLevelType w:val="hybridMultilevel"/>
    <w:tmpl w:val="1FD6BC42"/>
    <w:lvl w:ilvl="0" w:tplc="0409000F">
      <w:start w:val="1"/>
      <w:numFmt w:val="decimal"/>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2" w15:restartNumberingAfterBreak="0">
    <w:nsid w:val="47A255F1"/>
    <w:multiLevelType w:val="hybridMultilevel"/>
    <w:tmpl w:val="A1E456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FC0F91"/>
    <w:multiLevelType w:val="hybridMultilevel"/>
    <w:tmpl w:val="ADC26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4A70B5"/>
    <w:multiLevelType w:val="hybridMultilevel"/>
    <w:tmpl w:val="5426C8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CA021C"/>
    <w:multiLevelType w:val="hybridMultilevel"/>
    <w:tmpl w:val="1FD6BC42"/>
    <w:lvl w:ilvl="0" w:tplc="0409000F">
      <w:start w:val="1"/>
      <w:numFmt w:val="decimal"/>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6" w15:restartNumberingAfterBreak="0">
    <w:nsid w:val="76492677"/>
    <w:multiLevelType w:val="hybridMultilevel"/>
    <w:tmpl w:val="B2282AB8"/>
    <w:lvl w:ilvl="0" w:tplc="36EEBA64">
      <w:start w:val="1"/>
      <w:numFmt w:val="bullet"/>
      <w:lvlText w:val="•"/>
      <w:lvlJc w:val="left"/>
      <w:pPr>
        <w:tabs>
          <w:tab w:val="num" w:pos="720"/>
        </w:tabs>
        <w:ind w:left="720" w:hanging="360"/>
      </w:pPr>
      <w:rPr>
        <w:rFonts w:ascii="Arial" w:hAnsi="Arial" w:hint="default"/>
      </w:rPr>
    </w:lvl>
    <w:lvl w:ilvl="1" w:tplc="44083F2A" w:tentative="1">
      <w:start w:val="1"/>
      <w:numFmt w:val="bullet"/>
      <w:lvlText w:val="•"/>
      <w:lvlJc w:val="left"/>
      <w:pPr>
        <w:tabs>
          <w:tab w:val="num" w:pos="1440"/>
        </w:tabs>
        <w:ind w:left="1440" w:hanging="360"/>
      </w:pPr>
      <w:rPr>
        <w:rFonts w:ascii="Arial" w:hAnsi="Arial" w:hint="default"/>
      </w:rPr>
    </w:lvl>
    <w:lvl w:ilvl="2" w:tplc="97369F0A" w:tentative="1">
      <w:start w:val="1"/>
      <w:numFmt w:val="bullet"/>
      <w:lvlText w:val="•"/>
      <w:lvlJc w:val="left"/>
      <w:pPr>
        <w:tabs>
          <w:tab w:val="num" w:pos="2160"/>
        </w:tabs>
        <w:ind w:left="2160" w:hanging="360"/>
      </w:pPr>
      <w:rPr>
        <w:rFonts w:ascii="Arial" w:hAnsi="Arial" w:hint="default"/>
      </w:rPr>
    </w:lvl>
    <w:lvl w:ilvl="3" w:tplc="AE405694" w:tentative="1">
      <w:start w:val="1"/>
      <w:numFmt w:val="bullet"/>
      <w:lvlText w:val="•"/>
      <w:lvlJc w:val="left"/>
      <w:pPr>
        <w:tabs>
          <w:tab w:val="num" w:pos="2880"/>
        </w:tabs>
        <w:ind w:left="2880" w:hanging="360"/>
      </w:pPr>
      <w:rPr>
        <w:rFonts w:ascii="Arial" w:hAnsi="Arial" w:hint="default"/>
      </w:rPr>
    </w:lvl>
    <w:lvl w:ilvl="4" w:tplc="D578E328" w:tentative="1">
      <w:start w:val="1"/>
      <w:numFmt w:val="bullet"/>
      <w:lvlText w:val="•"/>
      <w:lvlJc w:val="left"/>
      <w:pPr>
        <w:tabs>
          <w:tab w:val="num" w:pos="3600"/>
        </w:tabs>
        <w:ind w:left="3600" w:hanging="360"/>
      </w:pPr>
      <w:rPr>
        <w:rFonts w:ascii="Arial" w:hAnsi="Arial" w:hint="default"/>
      </w:rPr>
    </w:lvl>
    <w:lvl w:ilvl="5" w:tplc="137CE228" w:tentative="1">
      <w:start w:val="1"/>
      <w:numFmt w:val="bullet"/>
      <w:lvlText w:val="•"/>
      <w:lvlJc w:val="left"/>
      <w:pPr>
        <w:tabs>
          <w:tab w:val="num" w:pos="4320"/>
        </w:tabs>
        <w:ind w:left="4320" w:hanging="360"/>
      </w:pPr>
      <w:rPr>
        <w:rFonts w:ascii="Arial" w:hAnsi="Arial" w:hint="default"/>
      </w:rPr>
    </w:lvl>
    <w:lvl w:ilvl="6" w:tplc="B84CBE02" w:tentative="1">
      <w:start w:val="1"/>
      <w:numFmt w:val="bullet"/>
      <w:lvlText w:val="•"/>
      <w:lvlJc w:val="left"/>
      <w:pPr>
        <w:tabs>
          <w:tab w:val="num" w:pos="5040"/>
        </w:tabs>
        <w:ind w:left="5040" w:hanging="360"/>
      </w:pPr>
      <w:rPr>
        <w:rFonts w:ascii="Arial" w:hAnsi="Arial" w:hint="default"/>
      </w:rPr>
    </w:lvl>
    <w:lvl w:ilvl="7" w:tplc="F6F00364" w:tentative="1">
      <w:start w:val="1"/>
      <w:numFmt w:val="bullet"/>
      <w:lvlText w:val="•"/>
      <w:lvlJc w:val="left"/>
      <w:pPr>
        <w:tabs>
          <w:tab w:val="num" w:pos="5760"/>
        </w:tabs>
        <w:ind w:left="5760" w:hanging="360"/>
      </w:pPr>
      <w:rPr>
        <w:rFonts w:ascii="Arial" w:hAnsi="Arial" w:hint="default"/>
      </w:rPr>
    </w:lvl>
    <w:lvl w:ilvl="8" w:tplc="8B42CB6C" w:tentative="1">
      <w:start w:val="1"/>
      <w:numFmt w:val="bullet"/>
      <w:lvlText w:val="•"/>
      <w:lvlJc w:val="left"/>
      <w:pPr>
        <w:tabs>
          <w:tab w:val="num" w:pos="6480"/>
        </w:tabs>
        <w:ind w:left="6480" w:hanging="360"/>
      </w:pPr>
      <w:rPr>
        <w:rFonts w:ascii="Arial" w:hAnsi="Arial" w:hint="default"/>
      </w:rPr>
    </w:lvl>
  </w:abstractNum>
  <w:num w:numId="1" w16cid:durableId="1255088162">
    <w:abstractNumId w:val="2"/>
  </w:num>
  <w:num w:numId="2" w16cid:durableId="1111244601">
    <w:abstractNumId w:val="4"/>
  </w:num>
  <w:num w:numId="3" w16cid:durableId="738140559">
    <w:abstractNumId w:val="1"/>
  </w:num>
  <w:num w:numId="4" w16cid:durableId="2088653018">
    <w:abstractNumId w:val="5"/>
  </w:num>
  <w:num w:numId="5" w16cid:durableId="1472409371">
    <w:abstractNumId w:val="6"/>
  </w:num>
  <w:num w:numId="6" w16cid:durableId="1826242996">
    <w:abstractNumId w:val="0"/>
  </w:num>
  <w:num w:numId="7" w16cid:durableId="14129679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3AD"/>
    <w:rsid w:val="00076FAF"/>
    <w:rsid w:val="000869C3"/>
    <w:rsid w:val="001E23B3"/>
    <w:rsid w:val="002C64FC"/>
    <w:rsid w:val="002D3244"/>
    <w:rsid w:val="00327601"/>
    <w:rsid w:val="003C5137"/>
    <w:rsid w:val="00467536"/>
    <w:rsid w:val="004723AD"/>
    <w:rsid w:val="005F25B1"/>
    <w:rsid w:val="006055D0"/>
    <w:rsid w:val="00694718"/>
    <w:rsid w:val="006C2305"/>
    <w:rsid w:val="00737F8A"/>
    <w:rsid w:val="00860C4A"/>
    <w:rsid w:val="008757BF"/>
    <w:rsid w:val="008C548A"/>
    <w:rsid w:val="009B706D"/>
    <w:rsid w:val="009F2DD8"/>
    <w:rsid w:val="00A10456"/>
    <w:rsid w:val="00B65C0A"/>
    <w:rsid w:val="00C14759"/>
    <w:rsid w:val="00CD71FD"/>
    <w:rsid w:val="00CE762A"/>
    <w:rsid w:val="00E321A8"/>
    <w:rsid w:val="00E64AFC"/>
    <w:rsid w:val="00F270C0"/>
    <w:rsid w:val="00F94963"/>
    <w:rsid w:val="00FB7A97"/>
    <w:rsid w:val="00FC7AEE"/>
    <w:rsid w:val="00FF53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B9EBE"/>
  <w15:chartTrackingRefBased/>
  <w15:docId w15:val="{EFF7EC0D-62F4-4FAC-89AB-B125E1693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3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D71FD"/>
    <w:rPr>
      <w:b/>
      <w:bCs/>
    </w:rPr>
  </w:style>
  <w:style w:type="paragraph" w:customStyle="1" w:styleId="Default">
    <w:name w:val="Default"/>
    <w:rsid w:val="00737F8A"/>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F270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70C0"/>
    <w:rPr>
      <w:sz w:val="20"/>
      <w:szCs w:val="20"/>
    </w:rPr>
  </w:style>
  <w:style w:type="character" w:styleId="FootnoteReference">
    <w:name w:val="footnote reference"/>
    <w:basedOn w:val="DefaultParagraphFont"/>
    <w:uiPriority w:val="99"/>
    <w:semiHidden/>
    <w:unhideWhenUsed/>
    <w:rsid w:val="00F270C0"/>
    <w:rPr>
      <w:vertAlign w:val="superscript"/>
    </w:rPr>
  </w:style>
  <w:style w:type="paragraph" w:styleId="ListParagraph">
    <w:name w:val="List Paragraph"/>
    <w:basedOn w:val="Normal"/>
    <w:uiPriority w:val="34"/>
    <w:qFormat/>
    <w:rsid w:val="00FB7A97"/>
    <w:pPr>
      <w:ind w:left="720"/>
      <w:contextualSpacing/>
    </w:pPr>
  </w:style>
  <w:style w:type="paragraph" w:styleId="EndnoteText">
    <w:name w:val="endnote text"/>
    <w:basedOn w:val="Normal"/>
    <w:link w:val="EndnoteTextChar"/>
    <w:uiPriority w:val="99"/>
    <w:semiHidden/>
    <w:unhideWhenUsed/>
    <w:rsid w:val="006C230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C2305"/>
    <w:rPr>
      <w:sz w:val="20"/>
      <w:szCs w:val="20"/>
    </w:rPr>
  </w:style>
  <w:style w:type="character" w:styleId="EndnoteReference">
    <w:name w:val="endnote reference"/>
    <w:basedOn w:val="DefaultParagraphFont"/>
    <w:uiPriority w:val="99"/>
    <w:semiHidden/>
    <w:unhideWhenUsed/>
    <w:rsid w:val="006C2305"/>
    <w:rPr>
      <w:vertAlign w:val="superscript"/>
    </w:rPr>
  </w:style>
  <w:style w:type="character" w:styleId="Hyperlink">
    <w:name w:val="Hyperlink"/>
    <w:basedOn w:val="DefaultParagraphFont"/>
    <w:uiPriority w:val="99"/>
    <w:unhideWhenUsed/>
    <w:rsid w:val="002C64FC"/>
    <w:rPr>
      <w:color w:val="0000FF"/>
      <w:u w:val="single"/>
    </w:rPr>
  </w:style>
  <w:style w:type="paragraph" w:styleId="Header">
    <w:name w:val="header"/>
    <w:basedOn w:val="Normal"/>
    <w:link w:val="HeaderChar"/>
    <w:uiPriority w:val="99"/>
    <w:unhideWhenUsed/>
    <w:rsid w:val="00076F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6FAF"/>
  </w:style>
  <w:style w:type="paragraph" w:styleId="Footer">
    <w:name w:val="footer"/>
    <w:basedOn w:val="Normal"/>
    <w:link w:val="FooterChar"/>
    <w:uiPriority w:val="99"/>
    <w:unhideWhenUsed/>
    <w:rsid w:val="00076F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6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48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lando@pamojatrust.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miruri@pamojatrust.org" TargetMode="External"/><Relationship Id="rId4" Type="http://schemas.openxmlformats.org/officeDocument/2006/relationships/settings" Target="settings.xml"/><Relationship Id="rId9" Type="http://schemas.openxmlformats.org/officeDocument/2006/relationships/hyperlink" Target="mailto:wanjiruirene@pamojatrust.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hrw.org/news/2020/06/10/nairobi-evicts-8000-people-amidst-pandemic-and-curfew" TargetMode="External"/><Relationship Id="rId2" Type="http://schemas.openxmlformats.org/officeDocument/2006/relationships/hyperlink" Target="https://www.hic-net.org/remedy-forced-evictions-in-mukuru-kwa-njenga-slums-nairobi/" TargetMode="External"/><Relationship Id="rId1" Type="http://schemas.openxmlformats.org/officeDocument/2006/relationships/hyperlink" Target="https://mis.socialprotection.go.ke:20307/en/Identity/Account/Login/?ReturnUrl=/en/Dashboard/Dashboard"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02CCB-7BF2-42D5-80CE-D99FEB628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2052</Words>
  <Characters>11701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Kinoti irene</dc:creator>
  <cp:keywords/>
  <dc:description/>
  <cp:lastModifiedBy>Celine Reynaud</cp:lastModifiedBy>
  <cp:revision>2</cp:revision>
  <dcterms:created xsi:type="dcterms:W3CDTF">2023-02-23T14:40:00Z</dcterms:created>
  <dcterms:modified xsi:type="dcterms:W3CDTF">2023-02-23T14:40:00Z</dcterms:modified>
</cp:coreProperties>
</file>