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B7DC0" w14:textId="77777777" w:rsidR="00FB3A17" w:rsidRDefault="00F34CF5" w:rsidP="00F34CF5">
      <w:pPr>
        <w:bidi/>
        <w:jc w:val="center"/>
      </w:pPr>
      <w:r>
        <w:rPr>
          <w:rFonts w:ascii="Simplified Arabic" w:hAnsi="Simplified Arabic" w:cs="Simplified Arabic"/>
          <w:b/>
          <w:bCs/>
          <w:noProof/>
          <w:sz w:val="48"/>
          <w:szCs w:val="48"/>
          <w:rtl/>
        </w:rPr>
        <w:drawing>
          <wp:inline distT="0" distB="0" distL="0" distR="0" wp14:anchorId="3776A9D3" wp14:editId="5E5DC7E9">
            <wp:extent cx="492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لوجو-انجليزي.jpg"/>
                    <pic:cNvPicPr/>
                  </pic:nvPicPr>
                  <pic:blipFill>
                    <a:blip r:embed="rId5">
                      <a:extLst>
                        <a:ext uri="{28A0092B-C50C-407E-A947-70E740481C1C}">
                          <a14:useLocalDpi xmlns:a14="http://schemas.microsoft.com/office/drawing/2010/main" val="0"/>
                        </a:ext>
                      </a:extLst>
                    </a:blip>
                    <a:stretch>
                      <a:fillRect/>
                    </a:stretch>
                  </pic:blipFill>
                  <pic:spPr>
                    <a:xfrm>
                      <a:off x="0" y="0"/>
                      <a:ext cx="4924425" cy="1209675"/>
                    </a:xfrm>
                    <a:prstGeom prst="rect">
                      <a:avLst/>
                    </a:prstGeom>
                  </pic:spPr>
                </pic:pic>
              </a:graphicData>
            </a:graphic>
          </wp:inline>
        </w:drawing>
      </w:r>
    </w:p>
    <w:p w14:paraId="51041B65" w14:textId="77777777" w:rsidR="00F34CF5" w:rsidRDefault="00F34CF5" w:rsidP="00F34CF5">
      <w:pPr>
        <w:bidi/>
        <w:jc w:val="center"/>
      </w:pPr>
    </w:p>
    <w:p w14:paraId="259BDA12" w14:textId="77777777" w:rsidR="00F34CF5" w:rsidRPr="00F34CF5" w:rsidRDefault="00F34CF5" w:rsidP="00F34CF5">
      <w:pPr>
        <w:bidi/>
        <w:jc w:val="center"/>
        <w:rPr>
          <w:rFonts w:ascii="Times New Roman" w:hAnsi="Times New Roman" w:cs="Times New Roman"/>
          <w:b/>
          <w:bCs/>
          <w:sz w:val="32"/>
          <w:szCs w:val="32"/>
          <w:u w:val="single"/>
        </w:rPr>
      </w:pPr>
      <w:r w:rsidRPr="00F34CF5">
        <w:rPr>
          <w:rFonts w:ascii="Times New Roman" w:hAnsi="Times New Roman" w:cs="Times New Roman"/>
          <w:b/>
          <w:bCs/>
          <w:sz w:val="32"/>
          <w:szCs w:val="32"/>
          <w:u w:val="single"/>
        </w:rPr>
        <w:t>Torture in Egypt</w:t>
      </w:r>
    </w:p>
    <w:p w14:paraId="670998FD" w14:textId="77777777" w:rsidR="00F34CF5" w:rsidRDefault="00F34CF5" w:rsidP="00F34CF5">
      <w:pPr>
        <w:bidi/>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Challenges that demand Immediate Action</w:t>
      </w:r>
    </w:p>
    <w:p w14:paraId="763F0171" w14:textId="77777777" w:rsidR="00F34CF5" w:rsidRDefault="00F34CF5" w:rsidP="00F34CF5">
      <w:pPr>
        <w:bidi/>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 shadow report submitted by EOHR to the UN Committee Against Torture</w:t>
      </w:r>
    </w:p>
    <w:p w14:paraId="6A273C97" w14:textId="77777777" w:rsidR="00F34CF5" w:rsidRDefault="00F34CF5" w:rsidP="00F34CF5">
      <w:pPr>
        <w:bidi/>
        <w:jc w:val="center"/>
        <w:rPr>
          <w:rFonts w:ascii="Times New Roman" w:hAnsi="Times New Roman" w:cs="Times New Roman"/>
          <w:b/>
          <w:bCs/>
          <w:sz w:val="24"/>
          <w:szCs w:val="24"/>
          <w:u w:val="single"/>
        </w:rPr>
      </w:pPr>
    </w:p>
    <w:p w14:paraId="7E4C6676" w14:textId="77777777" w:rsidR="00F34CF5" w:rsidRPr="00F34CF5" w:rsidRDefault="00F34CF5" w:rsidP="00F34CF5">
      <w:pPr>
        <w:rPr>
          <w:rFonts w:asciiTheme="majorBidi" w:hAnsiTheme="majorBidi" w:cstheme="majorBidi"/>
          <w:b/>
          <w:bCs/>
          <w:sz w:val="24"/>
          <w:szCs w:val="24"/>
          <w:u w:val="single"/>
        </w:rPr>
      </w:pPr>
      <w:r w:rsidRPr="00F34CF5">
        <w:rPr>
          <w:rFonts w:asciiTheme="majorBidi" w:hAnsiTheme="majorBidi" w:cstheme="majorBidi"/>
          <w:b/>
          <w:bCs/>
          <w:sz w:val="24"/>
          <w:szCs w:val="24"/>
          <w:u w:val="single"/>
        </w:rPr>
        <w:t>Who we are?</w:t>
      </w:r>
    </w:p>
    <w:p w14:paraId="5403B580" w14:textId="77777777" w:rsidR="00F34CF5" w:rsidRPr="00F34CF5" w:rsidRDefault="00F34CF5" w:rsidP="00F34CF5">
      <w:pPr>
        <w:rPr>
          <w:rFonts w:asciiTheme="majorBidi" w:hAnsiTheme="majorBidi" w:cstheme="majorBidi"/>
          <w:sz w:val="24"/>
          <w:szCs w:val="24"/>
        </w:rPr>
      </w:pPr>
      <w:r w:rsidRPr="00F34CF5">
        <w:rPr>
          <w:rFonts w:asciiTheme="majorBidi" w:hAnsiTheme="majorBidi" w:cstheme="majorBidi"/>
          <w:sz w:val="24"/>
          <w:szCs w:val="24"/>
        </w:rPr>
        <w:t>The Egyptian Organization for Human Rights (EOHR) is a Cairo based human rights association registered under number 5220 on June 24</w:t>
      </w:r>
      <w:r w:rsidRPr="00F34CF5">
        <w:rPr>
          <w:rFonts w:asciiTheme="majorBidi" w:hAnsiTheme="majorBidi" w:cstheme="majorBidi"/>
          <w:sz w:val="24"/>
          <w:szCs w:val="24"/>
          <w:vertAlign w:val="superscript"/>
        </w:rPr>
        <w:t>th</w:t>
      </w:r>
      <w:r w:rsidRPr="00F34CF5">
        <w:rPr>
          <w:rFonts w:asciiTheme="majorBidi" w:hAnsiTheme="majorBidi" w:cstheme="majorBidi"/>
          <w:sz w:val="24"/>
          <w:szCs w:val="24"/>
        </w:rPr>
        <w:t>, 2003; and its one of the oldest and most prominent human rights associations in Egypt.</w:t>
      </w:r>
    </w:p>
    <w:p w14:paraId="2D56DA6D" w14:textId="77777777" w:rsidR="00F34CF5" w:rsidRPr="00F34CF5" w:rsidRDefault="00F34CF5" w:rsidP="00F34CF5">
      <w:pPr>
        <w:rPr>
          <w:rFonts w:asciiTheme="majorBidi" w:hAnsiTheme="majorBidi" w:cstheme="majorBidi"/>
          <w:sz w:val="24"/>
          <w:szCs w:val="24"/>
        </w:rPr>
      </w:pPr>
      <w:r w:rsidRPr="00F34CF5">
        <w:rPr>
          <w:rFonts w:asciiTheme="majorBidi" w:hAnsiTheme="majorBidi" w:cstheme="majorBidi"/>
          <w:sz w:val="24"/>
          <w:szCs w:val="24"/>
        </w:rPr>
        <w:t>EOHR was founded in 1985 and executes its functions in accordance with the provisions of the Universal Declaration for Human Rights and international human rights treaties. EOHR has had a UNECOSOC consultative status since 2006 and enjoys an observer status with the African Commission on Human and People’s Rights.</w:t>
      </w:r>
    </w:p>
    <w:p w14:paraId="780642CA" w14:textId="77777777" w:rsidR="00F34CF5" w:rsidRDefault="00F34CF5" w:rsidP="00F34CF5">
      <w:pPr>
        <w:rPr>
          <w:rFonts w:asciiTheme="majorBidi" w:hAnsiTheme="majorBidi" w:cstheme="majorBidi"/>
          <w:sz w:val="24"/>
          <w:szCs w:val="24"/>
        </w:rPr>
      </w:pPr>
      <w:r w:rsidRPr="00F34CF5">
        <w:rPr>
          <w:rFonts w:asciiTheme="majorBidi" w:hAnsiTheme="majorBidi" w:cstheme="majorBidi"/>
          <w:sz w:val="24"/>
          <w:szCs w:val="24"/>
        </w:rPr>
        <w:t xml:space="preserve">EOHR is also a member of several international non-governmental human rights entities including Arab Organization for Human Rights (AOHR). </w:t>
      </w:r>
    </w:p>
    <w:p w14:paraId="233D2C41" w14:textId="77777777" w:rsidR="00F34CF5" w:rsidRPr="00F34CF5" w:rsidRDefault="00F34CF5" w:rsidP="00F34CF5">
      <w:pPr>
        <w:rPr>
          <w:rFonts w:asciiTheme="majorBidi" w:hAnsiTheme="majorBidi" w:cstheme="majorBidi"/>
          <w:b/>
          <w:bCs/>
          <w:sz w:val="24"/>
          <w:szCs w:val="24"/>
        </w:rPr>
      </w:pPr>
      <w:r>
        <w:rPr>
          <w:rFonts w:asciiTheme="majorBidi" w:hAnsiTheme="majorBidi" w:cstheme="majorBidi"/>
          <w:b/>
          <w:bCs/>
          <w:sz w:val="24"/>
          <w:szCs w:val="24"/>
        </w:rPr>
        <w:t>EOHR submits this report to the United Nations Committee Against Torture (CAT), following the Arab Republic of Egypt’s submission of its national report which is set to be reviewed during the 78</w:t>
      </w:r>
      <w:r w:rsidRPr="00F34CF5">
        <w:rPr>
          <w:rFonts w:asciiTheme="majorBidi" w:hAnsiTheme="majorBidi" w:cstheme="majorBidi"/>
          <w:b/>
          <w:bCs/>
          <w:sz w:val="24"/>
          <w:szCs w:val="24"/>
          <w:vertAlign w:val="superscript"/>
        </w:rPr>
        <w:t>th</w:t>
      </w:r>
      <w:r>
        <w:rPr>
          <w:rFonts w:asciiTheme="majorBidi" w:hAnsiTheme="majorBidi" w:cstheme="majorBidi"/>
          <w:b/>
          <w:bCs/>
          <w:sz w:val="24"/>
          <w:szCs w:val="24"/>
        </w:rPr>
        <w:t xml:space="preserve"> session of CAT. The shadow report will present EOHR’s assessment of national measure to combat torture in Egypt. This assessment will be based primarily on EOHR’s monitoring of relevant governmental policies and practices as well as petitions and complaints EOHR has received through its field work.  </w:t>
      </w:r>
    </w:p>
    <w:p w14:paraId="7CD7909A" w14:textId="77777777" w:rsidR="00F34CF5" w:rsidRPr="00F34CF5" w:rsidRDefault="00F34CF5" w:rsidP="00F34CF5">
      <w:pPr>
        <w:rPr>
          <w:rFonts w:asciiTheme="majorBidi" w:hAnsiTheme="majorBidi" w:cstheme="majorBidi"/>
          <w:b/>
          <w:bCs/>
          <w:sz w:val="28"/>
          <w:szCs w:val="28"/>
        </w:rPr>
      </w:pPr>
    </w:p>
    <w:p w14:paraId="74D35FB9" w14:textId="77777777" w:rsidR="00F34CF5" w:rsidRDefault="008676D5" w:rsidP="00F34CF5">
      <w:pPr>
        <w:rPr>
          <w:rFonts w:asciiTheme="majorBidi" w:hAnsiTheme="majorBidi" w:cstheme="majorBidi"/>
          <w:b/>
          <w:bCs/>
          <w:sz w:val="28"/>
          <w:szCs w:val="28"/>
          <w:u w:val="single"/>
        </w:rPr>
      </w:pPr>
      <w:r>
        <w:rPr>
          <w:rFonts w:asciiTheme="majorBidi" w:hAnsiTheme="majorBidi" w:cstheme="majorBidi"/>
          <w:b/>
          <w:bCs/>
          <w:sz w:val="28"/>
          <w:szCs w:val="28"/>
          <w:u w:val="single"/>
        </w:rPr>
        <w:t>Egypt’s International Obligations</w:t>
      </w:r>
    </w:p>
    <w:p w14:paraId="6C0C3F1B" w14:textId="77777777" w:rsidR="008676D5" w:rsidRDefault="008676D5" w:rsidP="00F34CF5">
      <w:pPr>
        <w:rPr>
          <w:rFonts w:asciiTheme="majorBidi" w:hAnsiTheme="majorBidi" w:cstheme="majorBidi"/>
          <w:sz w:val="24"/>
          <w:szCs w:val="24"/>
        </w:rPr>
      </w:pPr>
      <w:r>
        <w:rPr>
          <w:rFonts w:asciiTheme="majorBidi" w:hAnsiTheme="majorBidi" w:cstheme="majorBidi"/>
          <w:sz w:val="24"/>
          <w:szCs w:val="24"/>
        </w:rPr>
        <w:t xml:space="preserve">Egypt has ratified numerous international and regional human rights instruments that place several substantial treaty obligations on the government concerning combating and criminalizing torture and all forms of ill treatment on both the legislative and executive level. </w:t>
      </w:r>
    </w:p>
    <w:p w14:paraId="2CDDD53D" w14:textId="77777777" w:rsidR="008676D5" w:rsidRDefault="008676D5" w:rsidP="00F34CF5">
      <w:pPr>
        <w:rPr>
          <w:rFonts w:asciiTheme="majorBidi" w:hAnsiTheme="majorBidi" w:cstheme="majorBidi"/>
          <w:sz w:val="24"/>
          <w:szCs w:val="24"/>
        </w:rPr>
      </w:pPr>
      <w:r>
        <w:rPr>
          <w:rFonts w:asciiTheme="majorBidi" w:hAnsiTheme="majorBidi" w:cstheme="majorBidi"/>
          <w:sz w:val="24"/>
          <w:szCs w:val="24"/>
        </w:rPr>
        <w:t>Chief among these treaties are:</w:t>
      </w:r>
    </w:p>
    <w:p w14:paraId="554A4453" w14:textId="77777777" w:rsidR="008676D5" w:rsidRDefault="008676D5" w:rsidP="008676D5">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The International Covenant on Civil &amp; Political Rights</w:t>
      </w:r>
    </w:p>
    <w:p w14:paraId="1D2C02B7" w14:textId="77777777" w:rsidR="008676D5" w:rsidRPr="008676D5" w:rsidRDefault="008676D5" w:rsidP="008676D5">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r w:rsidRPr="008676D5">
        <w:rPr>
          <w:rFonts w:ascii="Times New Roman" w:eastAsia="Times New Roman" w:hAnsi="Times New Roman" w:cs="Times New Roman"/>
          <w:sz w:val="24"/>
          <w:szCs w:val="24"/>
        </w:rPr>
        <w:t>United Nations Convention against Torture</w:t>
      </w:r>
    </w:p>
    <w:p w14:paraId="3C70E2CC" w14:textId="77777777" w:rsidR="008676D5" w:rsidRDefault="008676D5" w:rsidP="008676D5">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The African Charter on Human and People’s Rights</w:t>
      </w:r>
    </w:p>
    <w:p w14:paraId="51B98E6A" w14:textId="77777777" w:rsidR="008676D5" w:rsidRDefault="008676D5" w:rsidP="008676D5">
      <w:pPr>
        <w:pStyle w:val="ListParagraph"/>
        <w:numPr>
          <w:ilvl w:val="0"/>
          <w:numId w:val="2"/>
        </w:numPr>
        <w:rPr>
          <w:rFonts w:asciiTheme="majorBidi" w:hAnsiTheme="majorBidi" w:cstheme="majorBidi"/>
          <w:sz w:val="24"/>
          <w:szCs w:val="24"/>
        </w:rPr>
      </w:pPr>
      <w:r>
        <w:rPr>
          <w:rFonts w:asciiTheme="majorBidi" w:hAnsiTheme="majorBidi" w:cstheme="majorBidi"/>
          <w:sz w:val="24"/>
          <w:szCs w:val="24"/>
        </w:rPr>
        <w:t>The Arab Charter on Human Rights</w:t>
      </w:r>
    </w:p>
    <w:p w14:paraId="56995E56" w14:textId="77777777" w:rsidR="00752D0E" w:rsidRDefault="00752D0E" w:rsidP="008676D5">
      <w:pPr>
        <w:rPr>
          <w:rFonts w:asciiTheme="majorBidi" w:hAnsiTheme="majorBidi" w:cstheme="majorBidi"/>
          <w:sz w:val="24"/>
          <w:szCs w:val="24"/>
        </w:rPr>
      </w:pPr>
      <w:r>
        <w:rPr>
          <w:rFonts w:asciiTheme="majorBidi" w:hAnsiTheme="majorBidi" w:cstheme="majorBidi"/>
          <w:sz w:val="24"/>
          <w:szCs w:val="24"/>
        </w:rPr>
        <w:t xml:space="preserve">In accordance with these international and regional treaties EOHR finds that the government of Egypt has placed upon itself obligations that require a revision of all relevant legislations and policies to ensure the existence of an environment that offers the necessary guarantees to prevent the crime of torture </w:t>
      </w:r>
      <w:r w:rsidR="00A63041">
        <w:rPr>
          <w:rFonts w:asciiTheme="majorBidi" w:hAnsiTheme="majorBidi" w:cstheme="majorBidi"/>
          <w:sz w:val="24"/>
          <w:szCs w:val="24"/>
        </w:rPr>
        <w:t xml:space="preserve">which </w:t>
      </w:r>
      <w:r>
        <w:rPr>
          <w:rFonts w:asciiTheme="majorBidi" w:hAnsiTheme="majorBidi" w:cstheme="majorBidi"/>
          <w:sz w:val="24"/>
          <w:szCs w:val="24"/>
        </w:rPr>
        <w:t>presents a blatant violation</w:t>
      </w:r>
      <w:r w:rsidR="00A63041">
        <w:rPr>
          <w:rFonts w:asciiTheme="majorBidi" w:hAnsiTheme="majorBidi" w:cstheme="majorBidi"/>
          <w:sz w:val="24"/>
          <w:szCs w:val="24"/>
        </w:rPr>
        <w:t xml:space="preserve"> basic rights and freedoms.</w:t>
      </w:r>
    </w:p>
    <w:p w14:paraId="54C4DD50" w14:textId="77777777" w:rsidR="00A63041" w:rsidRDefault="00A63041" w:rsidP="008676D5">
      <w:pPr>
        <w:rPr>
          <w:rFonts w:asciiTheme="majorBidi" w:hAnsiTheme="majorBidi" w:cstheme="majorBidi"/>
          <w:sz w:val="24"/>
          <w:szCs w:val="24"/>
        </w:rPr>
      </w:pPr>
    </w:p>
    <w:p w14:paraId="1F6B1843" w14:textId="77777777" w:rsidR="00A63041" w:rsidRDefault="00A63041" w:rsidP="008676D5">
      <w:pPr>
        <w:rPr>
          <w:rFonts w:asciiTheme="majorBidi" w:hAnsiTheme="majorBidi" w:cstheme="majorBidi"/>
          <w:b/>
          <w:bCs/>
          <w:sz w:val="28"/>
          <w:szCs w:val="28"/>
          <w:u w:val="single"/>
        </w:rPr>
      </w:pPr>
      <w:r>
        <w:rPr>
          <w:rFonts w:asciiTheme="majorBidi" w:hAnsiTheme="majorBidi" w:cstheme="majorBidi"/>
          <w:b/>
          <w:bCs/>
          <w:sz w:val="28"/>
          <w:szCs w:val="28"/>
          <w:u w:val="single"/>
        </w:rPr>
        <w:t>Torture and Current Egyptian Legislations</w:t>
      </w:r>
    </w:p>
    <w:p w14:paraId="6A8E7FC7" w14:textId="77777777" w:rsidR="00937E33" w:rsidRDefault="00A63041" w:rsidP="00A63041">
      <w:pPr>
        <w:rPr>
          <w:rFonts w:asciiTheme="majorBidi" w:hAnsiTheme="majorBidi" w:cstheme="majorBidi"/>
          <w:sz w:val="24"/>
          <w:szCs w:val="24"/>
        </w:rPr>
      </w:pPr>
      <w:r>
        <w:rPr>
          <w:rFonts w:asciiTheme="majorBidi" w:hAnsiTheme="majorBidi" w:cstheme="majorBidi"/>
          <w:sz w:val="24"/>
          <w:szCs w:val="24"/>
        </w:rPr>
        <w:t xml:space="preserve">Articles 52 and 99 of Egypt’s constitution classified all forms of torture as crime that has no statue of limitations. </w:t>
      </w:r>
    </w:p>
    <w:p w14:paraId="77C8F365" w14:textId="77777777" w:rsidR="00A63041" w:rsidRDefault="00A63041" w:rsidP="00A63041">
      <w:pPr>
        <w:rPr>
          <w:rFonts w:asciiTheme="majorBidi" w:hAnsiTheme="majorBidi" w:cstheme="majorBidi"/>
          <w:sz w:val="24"/>
          <w:szCs w:val="24"/>
        </w:rPr>
      </w:pPr>
      <w:r>
        <w:rPr>
          <w:rFonts w:asciiTheme="majorBidi" w:hAnsiTheme="majorBidi" w:cstheme="majorBidi"/>
          <w:sz w:val="24"/>
          <w:szCs w:val="24"/>
        </w:rPr>
        <w:t>The constitution also</w:t>
      </w:r>
      <w:r w:rsidR="00937E33">
        <w:rPr>
          <w:rFonts w:asciiTheme="majorBidi" w:hAnsiTheme="majorBidi" w:cstheme="majorBidi"/>
          <w:sz w:val="24"/>
          <w:szCs w:val="24"/>
        </w:rPr>
        <w:t xml:space="preserve"> established stern principles for combating the crime of torture chief among them:</w:t>
      </w:r>
    </w:p>
    <w:p w14:paraId="732E5E6D" w14:textId="77777777" w:rsidR="00937E33" w:rsidRDefault="00937E33" w:rsidP="00937E33">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Torture is crime that has no statute of limitations</w:t>
      </w:r>
    </w:p>
    <w:p w14:paraId="54E97BCD" w14:textId="77777777" w:rsidR="00937E33" w:rsidRDefault="00937E33" w:rsidP="00937E33">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 xml:space="preserve">Victims have the right to directly file lawsuits against perpetrators of torture </w:t>
      </w:r>
    </w:p>
    <w:p w14:paraId="1C3F3939" w14:textId="77777777" w:rsidR="00937E33" w:rsidRDefault="00937E33" w:rsidP="00D154EA">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The National Council for Human Rights (NCHR), Egypt’s national human rights institution is granted the constitutional authority to report crimes of torture to the Public Prosecution</w:t>
      </w:r>
      <w:r w:rsidR="00D154EA">
        <w:rPr>
          <w:rFonts w:asciiTheme="majorBidi" w:hAnsiTheme="majorBidi" w:cstheme="majorBidi"/>
          <w:sz w:val="24"/>
          <w:szCs w:val="24"/>
        </w:rPr>
        <w:t xml:space="preserve">, and it may also </w:t>
      </w:r>
      <w:r w:rsidR="00D154EA" w:rsidRPr="00D154EA">
        <w:rPr>
          <w:rFonts w:asciiTheme="majorBidi" w:hAnsiTheme="majorBidi" w:cstheme="majorBidi"/>
          <w:sz w:val="24"/>
          <w:szCs w:val="24"/>
        </w:rPr>
        <w:t xml:space="preserve">join the civil lawsuit on the victim’s side upon </w:t>
      </w:r>
      <w:r w:rsidR="00D154EA">
        <w:rPr>
          <w:rFonts w:asciiTheme="majorBidi" w:hAnsiTheme="majorBidi" w:cstheme="majorBidi"/>
          <w:sz w:val="24"/>
          <w:szCs w:val="24"/>
        </w:rPr>
        <w:t>his/</w:t>
      </w:r>
      <w:r w:rsidR="00D154EA" w:rsidRPr="00D154EA">
        <w:rPr>
          <w:rFonts w:asciiTheme="majorBidi" w:hAnsiTheme="majorBidi" w:cstheme="majorBidi"/>
          <w:sz w:val="24"/>
          <w:szCs w:val="24"/>
        </w:rPr>
        <w:t>her request.</w:t>
      </w:r>
    </w:p>
    <w:p w14:paraId="4082F9B4" w14:textId="77777777" w:rsidR="00D154EA" w:rsidRDefault="00D154EA" w:rsidP="00D154EA">
      <w:pPr>
        <w:rPr>
          <w:rFonts w:asciiTheme="majorBidi" w:hAnsiTheme="majorBidi" w:cstheme="majorBidi"/>
          <w:sz w:val="24"/>
          <w:szCs w:val="24"/>
        </w:rPr>
      </w:pPr>
      <w:r>
        <w:rPr>
          <w:rFonts w:asciiTheme="majorBidi" w:hAnsiTheme="majorBidi" w:cstheme="majorBidi"/>
          <w:sz w:val="24"/>
          <w:szCs w:val="24"/>
        </w:rPr>
        <w:t xml:space="preserve">However, despite these constitutional provisions, the criminal procedure code deprives victims of filing direct lawsuits in court against alleged perpetrators, and grants this right only to the Public Prosecution in a clear violation of the constitution. </w:t>
      </w:r>
    </w:p>
    <w:p w14:paraId="7BB2387E" w14:textId="77777777" w:rsidR="00D154EA" w:rsidRDefault="00D154EA" w:rsidP="00D154EA">
      <w:pPr>
        <w:rPr>
          <w:rFonts w:asciiTheme="majorBidi" w:hAnsiTheme="majorBidi" w:cstheme="majorBidi"/>
          <w:sz w:val="24"/>
          <w:szCs w:val="24"/>
        </w:rPr>
      </w:pPr>
      <w:r>
        <w:rPr>
          <w:rFonts w:asciiTheme="majorBidi" w:hAnsiTheme="majorBidi" w:cstheme="majorBidi"/>
          <w:sz w:val="24"/>
          <w:szCs w:val="24"/>
        </w:rPr>
        <w:t>The law also does not allow victims of torture to appeal Public Prosecution decisions to dismiss cases of torture.</w:t>
      </w:r>
    </w:p>
    <w:p w14:paraId="7F2E2C43" w14:textId="77777777" w:rsidR="00D154EA" w:rsidRDefault="00D154EA" w:rsidP="00D154EA">
      <w:pPr>
        <w:rPr>
          <w:rFonts w:asciiTheme="majorBidi" w:hAnsiTheme="majorBidi" w:cstheme="majorBidi"/>
          <w:sz w:val="24"/>
          <w:szCs w:val="24"/>
        </w:rPr>
      </w:pPr>
      <w:r>
        <w:rPr>
          <w:rFonts w:asciiTheme="majorBidi" w:hAnsiTheme="majorBidi" w:cstheme="majorBidi"/>
          <w:sz w:val="24"/>
          <w:szCs w:val="24"/>
        </w:rPr>
        <w:t>Article 126 of the penal code penalizes the perpetrators of the crime of torture, yet the article has obvious shortcomings for valid reasons explained in the following points:</w:t>
      </w:r>
    </w:p>
    <w:p w14:paraId="2964F529" w14:textId="77777777" w:rsidR="00D154EA" w:rsidRDefault="00D154EA" w:rsidP="00D154EA">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The article fails to adopt the definition of torture stated by the Convention Against Torture</w:t>
      </w:r>
    </w:p>
    <w:p w14:paraId="211DF240" w14:textId="77777777" w:rsidR="00D154EA" w:rsidRDefault="00D154EA" w:rsidP="00D154EA">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 xml:space="preserve">The article only punishes those who commit or order torture and it does not any criminal liability on a public servant who </w:t>
      </w:r>
      <w:r w:rsidR="00497504">
        <w:rPr>
          <w:rFonts w:asciiTheme="majorBidi" w:hAnsiTheme="majorBidi" w:cstheme="majorBidi"/>
          <w:sz w:val="24"/>
          <w:szCs w:val="24"/>
        </w:rPr>
        <w:t>fails to take action to stop this vile practice.</w:t>
      </w:r>
    </w:p>
    <w:p w14:paraId="14E33840" w14:textId="77777777" w:rsidR="00497504" w:rsidRDefault="00497504" w:rsidP="00D154EA">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The article does not recognize nonphysical forms of torture, and limits the crime to inflicting physical harm on the victim.</w:t>
      </w:r>
    </w:p>
    <w:p w14:paraId="6BF1AF29" w14:textId="77777777" w:rsidR="00497504" w:rsidRDefault="00497504" w:rsidP="00D154EA">
      <w:pPr>
        <w:pStyle w:val="ListParagraph"/>
        <w:numPr>
          <w:ilvl w:val="0"/>
          <w:numId w:val="6"/>
        </w:numPr>
        <w:rPr>
          <w:rFonts w:asciiTheme="majorBidi" w:hAnsiTheme="majorBidi" w:cstheme="majorBidi"/>
          <w:sz w:val="24"/>
          <w:szCs w:val="24"/>
        </w:rPr>
      </w:pPr>
      <w:r>
        <w:rPr>
          <w:rFonts w:asciiTheme="majorBidi" w:hAnsiTheme="majorBidi" w:cstheme="majorBidi"/>
          <w:sz w:val="24"/>
          <w:szCs w:val="24"/>
        </w:rPr>
        <w:t>The article ties its definition of the crime of torture with the purpose of obtaining confessions only, and does not include physical assault by public servants on victims for other purposes. The aforementioned violation is classified by article 129 of the penal code as cruel treatment, and is only punishable by a light prison sentence and a 200 EGP fine, which is a punishment that does not correspond to the gravity of the crime.</w:t>
      </w:r>
    </w:p>
    <w:p w14:paraId="31D9B5C6" w14:textId="77777777" w:rsidR="00497504" w:rsidRDefault="00497504" w:rsidP="00497504">
      <w:pPr>
        <w:rPr>
          <w:rFonts w:asciiTheme="majorBidi" w:hAnsiTheme="majorBidi" w:cstheme="majorBidi"/>
          <w:sz w:val="24"/>
          <w:szCs w:val="24"/>
        </w:rPr>
      </w:pPr>
      <w:r>
        <w:rPr>
          <w:rFonts w:asciiTheme="majorBidi" w:hAnsiTheme="majorBidi" w:cstheme="majorBidi"/>
          <w:sz w:val="24"/>
          <w:szCs w:val="24"/>
        </w:rPr>
        <w:lastRenderedPageBreak/>
        <w:t xml:space="preserve">Law no.197 of the year 2017 allows NCHR to visit prisons and other places of detention to listen to inmates and </w:t>
      </w:r>
      <w:r w:rsidR="00906FBB">
        <w:rPr>
          <w:rFonts w:asciiTheme="majorBidi" w:hAnsiTheme="majorBidi" w:cstheme="majorBidi"/>
          <w:sz w:val="24"/>
          <w:szCs w:val="24"/>
        </w:rPr>
        <w:t xml:space="preserve">make sure whether they are being well treated and accorded their rights. NCHR prepares a report after each visit containing its comments and recommendations to enhance the conditions of inmates in places of detention, and submits it to </w:t>
      </w:r>
      <w:r w:rsidR="00100EE6">
        <w:rPr>
          <w:rFonts w:asciiTheme="majorBidi" w:hAnsiTheme="majorBidi" w:cstheme="majorBidi"/>
          <w:sz w:val="24"/>
          <w:szCs w:val="24"/>
        </w:rPr>
        <w:t xml:space="preserve">lower chamber of parliament the House of Representatives and the Public Prosecutor. This law has allowed NCHR to conduct several visits to prisons and other places of detention, and EOHR views this in a positive light. </w:t>
      </w:r>
      <w:r w:rsidR="003F59FF">
        <w:rPr>
          <w:rFonts w:asciiTheme="majorBidi" w:hAnsiTheme="majorBidi" w:cstheme="majorBidi"/>
          <w:sz w:val="24"/>
          <w:szCs w:val="24"/>
        </w:rPr>
        <w:t>However,</w:t>
      </w:r>
      <w:r w:rsidR="00100EE6">
        <w:rPr>
          <w:rFonts w:asciiTheme="majorBidi" w:hAnsiTheme="majorBidi" w:cstheme="majorBidi"/>
          <w:sz w:val="24"/>
          <w:szCs w:val="24"/>
        </w:rPr>
        <w:t xml:space="preserve"> EOHR also believes that current framework of conducting these visits remains insufficient with regards to creating the necessary guarantees to prevent torture in places of detention; EOHR has reached this assessment due t</w:t>
      </w:r>
      <w:r w:rsidR="003F59FF">
        <w:rPr>
          <w:rFonts w:asciiTheme="majorBidi" w:hAnsiTheme="majorBidi" w:cstheme="majorBidi"/>
          <w:sz w:val="24"/>
          <w:szCs w:val="24"/>
        </w:rPr>
        <w:t xml:space="preserve">o restrictions placed by article 73 of the prison regulation law, which requires the NCHR to obtain a permit from the Public prosecutor to conduct any prison visit. The aforementioned law also does not have any article that clearly permits civil society organizations to visit places of detention, despite allowing several human rights NGOs including EOHR to conduct a number of prison visits. The absence of a legal article that allows civil society organizations to visit prisons may deny this important precedent sustainability. </w:t>
      </w:r>
    </w:p>
    <w:p w14:paraId="081F4CC4" w14:textId="77777777" w:rsidR="004B388E" w:rsidRDefault="004B388E" w:rsidP="00497504">
      <w:pPr>
        <w:rPr>
          <w:rFonts w:asciiTheme="majorBidi" w:hAnsiTheme="majorBidi" w:cstheme="majorBidi"/>
          <w:sz w:val="24"/>
          <w:szCs w:val="24"/>
        </w:rPr>
      </w:pPr>
    </w:p>
    <w:p w14:paraId="33D0BAE5" w14:textId="77777777" w:rsidR="004B388E" w:rsidRDefault="004B388E" w:rsidP="00497504">
      <w:pPr>
        <w:rPr>
          <w:rFonts w:asciiTheme="majorBidi" w:hAnsiTheme="majorBidi" w:cstheme="majorBidi"/>
          <w:b/>
          <w:bCs/>
          <w:sz w:val="28"/>
          <w:szCs w:val="28"/>
          <w:u w:val="single"/>
        </w:rPr>
      </w:pPr>
      <w:r>
        <w:rPr>
          <w:rFonts w:asciiTheme="majorBidi" w:hAnsiTheme="majorBidi" w:cstheme="majorBidi"/>
          <w:b/>
          <w:bCs/>
          <w:sz w:val="28"/>
          <w:szCs w:val="28"/>
          <w:u w:val="single"/>
        </w:rPr>
        <w:t>EOHR’s assessment of policies concerning the combating of torture</w:t>
      </w:r>
    </w:p>
    <w:p w14:paraId="699EA5CD" w14:textId="77777777" w:rsidR="001A69E9" w:rsidRDefault="001A69E9" w:rsidP="00497504">
      <w:pPr>
        <w:rPr>
          <w:rFonts w:asciiTheme="majorBidi" w:hAnsiTheme="majorBidi" w:cstheme="majorBidi"/>
          <w:sz w:val="24"/>
          <w:szCs w:val="24"/>
        </w:rPr>
      </w:pPr>
      <w:r>
        <w:rPr>
          <w:rFonts w:asciiTheme="majorBidi" w:hAnsiTheme="majorBidi" w:cstheme="majorBidi"/>
          <w:sz w:val="24"/>
          <w:szCs w:val="24"/>
        </w:rPr>
        <w:t>The government of Egypt launched a 5-year action plan to promote and protect human rights in Egyptian society back in September 2021 called the national human rights strategy. EOHR along with other civil society groups took part in hearing sessions in the preparatory phase of the strategy. EOHR submitted several recommendations and comments during the sessions, and many of them were taken into account by the government. The strategy in its capacity as national framework for human rights policy making has set several target results on combating torture. Those goals included legislative and executive measures to ensure prevention, strengthen accountability and further capacity building, however, as two years passed since the launch of the strategy, most of these goals have not been achieved, especially the ones concerning legislative reform.</w:t>
      </w:r>
    </w:p>
    <w:p w14:paraId="064B95AC" w14:textId="77777777" w:rsidR="001A69E9" w:rsidRDefault="001A69E9" w:rsidP="00497504">
      <w:pPr>
        <w:rPr>
          <w:rFonts w:asciiTheme="majorBidi" w:hAnsiTheme="majorBidi" w:cstheme="majorBidi"/>
          <w:sz w:val="24"/>
          <w:szCs w:val="24"/>
        </w:rPr>
      </w:pPr>
      <w:r>
        <w:rPr>
          <w:rFonts w:asciiTheme="majorBidi" w:hAnsiTheme="majorBidi" w:cstheme="majorBidi"/>
          <w:sz w:val="24"/>
          <w:szCs w:val="24"/>
        </w:rPr>
        <w:t>Over the past 5 years the field work unit of EOHR has received numerous individual petitions and complaints concerning violations of their bodily integrity by law enforcement personnel. EOHR submitted</w:t>
      </w:r>
      <w:r w:rsidR="00492DB6">
        <w:rPr>
          <w:rFonts w:asciiTheme="majorBidi" w:hAnsiTheme="majorBidi" w:cstheme="majorBidi"/>
          <w:sz w:val="24"/>
          <w:szCs w:val="24"/>
        </w:rPr>
        <w:t xml:space="preserve"> all</w:t>
      </w:r>
      <w:r>
        <w:rPr>
          <w:rFonts w:asciiTheme="majorBidi" w:hAnsiTheme="majorBidi" w:cstheme="majorBidi"/>
          <w:sz w:val="24"/>
          <w:szCs w:val="24"/>
        </w:rPr>
        <w:t xml:space="preserve"> the petitions it verified to the</w:t>
      </w:r>
      <w:r w:rsidR="00492DB6">
        <w:rPr>
          <w:rFonts w:asciiTheme="majorBidi" w:hAnsiTheme="majorBidi" w:cstheme="majorBidi"/>
          <w:sz w:val="24"/>
          <w:szCs w:val="24"/>
        </w:rPr>
        <w:t xml:space="preserve"> Ministry of Interior, the Public Prosecution and NCHR, and measures were taken by the aforementioned national agencies in some of these cases against perpetrators, either on the judicial or the administrative level. EOHR also documented over past years administrative and judicial measures taken against 400 law enforcement officials to hold them accountable for physical or verbal offenses against citizens.</w:t>
      </w:r>
    </w:p>
    <w:p w14:paraId="1CB9A60D" w14:textId="77777777" w:rsidR="00FD680E" w:rsidRDefault="00FD680E" w:rsidP="00497504">
      <w:pPr>
        <w:rPr>
          <w:rFonts w:asciiTheme="majorBidi" w:hAnsiTheme="majorBidi" w:cstheme="majorBidi"/>
          <w:sz w:val="24"/>
          <w:szCs w:val="24"/>
        </w:rPr>
      </w:pPr>
    </w:p>
    <w:p w14:paraId="19240DE7" w14:textId="77777777" w:rsidR="00FD680E" w:rsidRDefault="00FD680E" w:rsidP="00497504">
      <w:pPr>
        <w:rPr>
          <w:rFonts w:asciiTheme="majorBidi" w:hAnsiTheme="majorBidi" w:cstheme="majorBidi"/>
          <w:b/>
          <w:bCs/>
          <w:sz w:val="28"/>
          <w:szCs w:val="28"/>
          <w:u w:val="single"/>
        </w:rPr>
      </w:pPr>
      <w:r>
        <w:rPr>
          <w:rFonts w:asciiTheme="majorBidi" w:hAnsiTheme="majorBidi" w:cstheme="majorBidi"/>
          <w:b/>
          <w:bCs/>
          <w:sz w:val="28"/>
          <w:szCs w:val="28"/>
          <w:u w:val="single"/>
        </w:rPr>
        <w:t>Recommendations</w:t>
      </w:r>
    </w:p>
    <w:p w14:paraId="17360DD8" w14:textId="77777777" w:rsidR="00FD680E" w:rsidRDefault="00FD680E" w:rsidP="00497504">
      <w:pPr>
        <w:rPr>
          <w:rFonts w:asciiTheme="majorBidi" w:hAnsiTheme="majorBidi" w:cstheme="majorBidi"/>
          <w:sz w:val="24"/>
          <w:szCs w:val="24"/>
        </w:rPr>
      </w:pPr>
      <w:r>
        <w:rPr>
          <w:rFonts w:asciiTheme="majorBidi" w:hAnsiTheme="majorBidi" w:cstheme="majorBidi"/>
          <w:sz w:val="24"/>
          <w:szCs w:val="24"/>
        </w:rPr>
        <w:t xml:space="preserve">In light of the content of this report, EOHR assesses that despite national measures to combat torture mentioned in the government of Egypt’s report in the fields accountability, legal reform </w:t>
      </w:r>
      <w:r>
        <w:rPr>
          <w:rFonts w:asciiTheme="majorBidi" w:hAnsiTheme="majorBidi" w:cstheme="majorBidi"/>
          <w:sz w:val="24"/>
          <w:szCs w:val="24"/>
        </w:rPr>
        <w:lastRenderedPageBreak/>
        <w:t>and capacity building, the practices of torture and ill treatment still persist in Egypt in a manner that causes genuine concern.</w:t>
      </w:r>
    </w:p>
    <w:p w14:paraId="0FBDD06B" w14:textId="77777777" w:rsidR="00FD680E" w:rsidRDefault="00FD680E" w:rsidP="00497504">
      <w:pPr>
        <w:rPr>
          <w:rFonts w:asciiTheme="majorBidi" w:hAnsiTheme="majorBidi" w:cstheme="majorBidi"/>
          <w:b/>
          <w:bCs/>
          <w:sz w:val="24"/>
          <w:szCs w:val="24"/>
        </w:rPr>
      </w:pPr>
      <w:r>
        <w:rPr>
          <w:rFonts w:asciiTheme="majorBidi" w:hAnsiTheme="majorBidi" w:cstheme="majorBidi"/>
          <w:b/>
          <w:bCs/>
          <w:sz w:val="24"/>
          <w:szCs w:val="24"/>
        </w:rPr>
        <w:t>Therefore, EOHR presents the following recommendations to create more guarantees to further the prevention of the crime of torture and hold accountable its perpetrators:</w:t>
      </w:r>
    </w:p>
    <w:p w14:paraId="7FF14E24" w14:textId="77777777" w:rsidR="00AD069B" w:rsidRDefault="007E4810"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Adding a new article to the criminal procedure code to regulate direct law suits by torture victims against perpetrators.</w:t>
      </w:r>
    </w:p>
    <w:p w14:paraId="674FC0E6" w14:textId="77777777" w:rsidR="007E4810" w:rsidRDefault="007E4810"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Amendment of article 63 of the criminal procedure code to allow NCHR and victims of crimes stipulated in article 126 and 129 to file direct law suits against public servants implicated in such violations.</w:t>
      </w:r>
    </w:p>
    <w:p w14:paraId="79A82146" w14:textId="77777777" w:rsidR="007E4810" w:rsidRDefault="007E4810"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Amending the definition of torture in article 126 of the penal code in accordance with the definition stipulated by the United Nations Convention Against Torture</w:t>
      </w:r>
      <w:r w:rsidR="008240A2">
        <w:rPr>
          <w:rFonts w:asciiTheme="majorBidi" w:hAnsiTheme="majorBidi" w:cstheme="majorBidi"/>
          <w:sz w:val="24"/>
          <w:szCs w:val="24"/>
        </w:rPr>
        <w:t>.</w:t>
      </w:r>
    </w:p>
    <w:p w14:paraId="421185F2" w14:textId="77777777" w:rsidR="008240A2" w:rsidRDefault="008240A2"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Adding an article to the law that imposes penalties on public servants who are aware of torture crimes being committed and refrain from taking action to prevent or stop them.</w:t>
      </w:r>
    </w:p>
    <w:p w14:paraId="354C7725" w14:textId="77777777" w:rsidR="008240A2" w:rsidRDefault="008240A2"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The criminalization of torturing a third party to force a defendant to confess an alleged crime.</w:t>
      </w:r>
    </w:p>
    <w:p w14:paraId="5183A54D" w14:textId="77777777" w:rsidR="008240A2" w:rsidRDefault="008240A2"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Adding a definition of nonphysical torture to the law, and penalizing its perpetrators.</w:t>
      </w:r>
    </w:p>
    <w:p w14:paraId="4269532A" w14:textId="77777777" w:rsidR="008240A2" w:rsidRDefault="008240A2"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Adding a legal provision that dictates the removal of any public servant convicted of the crime of torture from his public post.</w:t>
      </w:r>
    </w:p>
    <w:p w14:paraId="5DA84414" w14:textId="77777777" w:rsidR="008240A2" w:rsidRDefault="008D59D5"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Amending article 73 of the prison law, to allow NCHR to conduct prison visits upon the mere notification of the Public Prosecutor, instead of obtaining a permit from him/her.</w:t>
      </w:r>
    </w:p>
    <w:p w14:paraId="1B489A98" w14:textId="77777777" w:rsidR="008D59D5" w:rsidRDefault="008D59D5"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Adding a new article to the law that allows civil society organizations to visit places of detention.</w:t>
      </w:r>
    </w:p>
    <w:p w14:paraId="4B5F7F34" w14:textId="77777777" w:rsidR="008D59D5" w:rsidRDefault="008D59D5" w:rsidP="00AD069B">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t>The establishment of national mechanism to combat torture, and its responsibilities should include the following:</w:t>
      </w:r>
    </w:p>
    <w:p w14:paraId="299FBA65" w14:textId="77777777" w:rsidR="008D59D5" w:rsidRDefault="008D59D5" w:rsidP="008D59D5">
      <w:pPr>
        <w:pStyle w:val="ListParagraph"/>
        <w:numPr>
          <w:ilvl w:val="1"/>
          <w:numId w:val="8"/>
        </w:numPr>
        <w:rPr>
          <w:rFonts w:asciiTheme="majorBidi" w:hAnsiTheme="majorBidi" w:cstheme="majorBidi"/>
          <w:sz w:val="24"/>
          <w:szCs w:val="24"/>
        </w:rPr>
      </w:pPr>
      <w:r>
        <w:rPr>
          <w:rFonts w:asciiTheme="majorBidi" w:hAnsiTheme="majorBidi" w:cstheme="majorBidi"/>
          <w:sz w:val="24"/>
          <w:szCs w:val="24"/>
        </w:rPr>
        <w:t>Training prosecutors and members of the forensic medicine authority on how to detect cases of torture</w:t>
      </w:r>
    </w:p>
    <w:p w14:paraId="6FBE799F" w14:textId="77777777" w:rsidR="008D59D5" w:rsidRDefault="008D59D5" w:rsidP="008D59D5">
      <w:pPr>
        <w:pStyle w:val="ListParagraph"/>
        <w:numPr>
          <w:ilvl w:val="1"/>
          <w:numId w:val="8"/>
        </w:numPr>
        <w:rPr>
          <w:rFonts w:asciiTheme="majorBidi" w:hAnsiTheme="majorBidi" w:cstheme="majorBidi"/>
          <w:sz w:val="24"/>
          <w:szCs w:val="24"/>
        </w:rPr>
      </w:pPr>
      <w:r>
        <w:rPr>
          <w:rFonts w:asciiTheme="majorBidi" w:hAnsiTheme="majorBidi" w:cstheme="majorBidi"/>
          <w:sz w:val="24"/>
          <w:szCs w:val="24"/>
        </w:rPr>
        <w:t>Conducting Human Rights capacity building of law enforcement personnel, and acquainting them with international human rights norms and principles</w:t>
      </w:r>
    </w:p>
    <w:p w14:paraId="794CCD28" w14:textId="77777777" w:rsidR="008D59D5" w:rsidRDefault="008D59D5" w:rsidP="008D59D5">
      <w:pPr>
        <w:pStyle w:val="ListParagraph"/>
        <w:numPr>
          <w:ilvl w:val="1"/>
          <w:numId w:val="8"/>
        </w:numPr>
        <w:rPr>
          <w:rFonts w:asciiTheme="majorBidi" w:hAnsiTheme="majorBidi" w:cstheme="majorBidi"/>
          <w:sz w:val="24"/>
          <w:szCs w:val="24"/>
        </w:rPr>
      </w:pPr>
      <w:r>
        <w:rPr>
          <w:rFonts w:asciiTheme="majorBidi" w:hAnsiTheme="majorBidi" w:cstheme="majorBidi"/>
          <w:sz w:val="24"/>
          <w:szCs w:val="24"/>
        </w:rPr>
        <w:t>Human Rights training of public servants responsible for presiding over places of detention and acquainting them with international best practices.</w:t>
      </w:r>
    </w:p>
    <w:p w14:paraId="1267763D" w14:textId="77777777" w:rsidR="008D59D5" w:rsidRDefault="008D59D5" w:rsidP="00A56084">
      <w:pPr>
        <w:pStyle w:val="ListParagraph"/>
        <w:numPr>
          <w:ilvl w:val="1"/>
          <w:numId w:val="8"/>
        </w:numPr>
        <w:rPr>
          <w:rFonts w:asciiTheme="majorBidi" w:hAnsiTheme="majorBidi" w:cstheme="majorBidi"/>
          <w:sz w:val="24"/>
          <w:szCs w:val="24"/>
        </w:rPr>
      </w:pPr>
      <w:r w:rsidRPr="008D59D5">
        <w:rPr>
          <w:rFonts w:asciiTheme="majorBidi" w:hAnsiTheme="majorBidi" w:cstheme="majorBidi"/>
          <w:sz w:val="24"/>
          <w:szCs w:val="24"/>
        </w:rPr>
        <w:t>Establishing a national registry of torture cases,</w:t>
      </w:r>
      <w:r>
        <w:rPr>
          <w:rFonts w:asciiTheme="majorBidi" w:hAnsiTheme="majorBidi" w:cstheme="majorBidi"/>
          <w:sz w:val="24"/>
          <w:szCs w:val="24"/>
        </w:rPr>
        <w:t xml:space="preserve"> </w:t>
      </w:r>
      <w:r w:rsidR="00A56084">
        <w:rPr>
          <w:rFonts w:asciiTheme="majorBidi" w:hAnsiTheme="majorBidi" w:cstheme="majorBidi"/>
          <w:sz w:val="24"/>
          <w:szCs w:val="24"/>
        </w:rPr>
        <w:t xml:space="preserve">that documents incidents, </w:t>
      </w:r>
      <w:r>
        <w:rPr>
          <w:rFonts w:asciiTheme="majorBidi" w:hAnsiTheme="majorBidi" w:cstheme="majorBidi"/>
          <w:sz w:val="24"/>
          <w:szCs w:val="24"/>
        </w:rPr>
        <w:t xml:space="preserve">measures taken by the prosecution to tackle them, </w:t>
      </w:r>
      <w:r w:rsidR="00A56084">
        <w:rPr>
          <w:rFonts w:asciiTheme="majorBidi" w:hAnsiTheme="majorBidi" w:cstheme="majorBidi"/>
          <w:sz w:val="24"/>
          <w:szCs w:val="24"/>
        </w:rPr>
        <w:t xml:space="preserve">and court verdict that were </w:t>
      </w:r>
      <w:r w:rsidRPr="008D59D5">
        <w:rPr>
          <w:rFonts w:asciiTheme="majorBidi" w:hAnsiTheme="majorBidi" w:cstheme="majorBidi"/>
          <w:sz w:val="24"/>
          <w:szCs w:val="24"/>
        </w:rPr>
        <w:t>issued</w:t>
      </w:r>
      <w:r w:rsidR="00A56084">
        <w:rPr>
          <w:rFonts w:asciiTheme="majorBidi" w:hAnsiTheme="majorBidi" w:cstheme="majorBidi"/>
          <w:sz w:val="24"/>
          <w:szCs w:val="24"/>
        </w:rPr>
        <w:t xml:space="preserve"> in this regard</w:t>
      </w:r>
      <w:r w:rsidRPr="008D59D5">
        <w:rPr>
          <w:rFonts w:asciiTheme="majorBidi" w:hAnsiTheme="majorBidi" w:cstheme="majorBidi"/>
          <w:sz w:val="24"/>
          <w:szCs w:val="24"/>
        </w:rPr>
        <w:t xml:space="preserve">. </w:t>
      </w:r>
      <w:r w:rsidR="00A56084">
        <w:rPr>
          <w:rFonts w:asciiTheme="majorBidi" w:hAnsiTheme="majorBidi" w:cstheme="majorBidi"/>
          <w:sz w:val="24"/>
          <w:szCs w:val="24"/>
        </w:rPr>
        <w:t>Registry should also list the reasons that led to the committing of torture crimes</w:t>
      </w:r>
      <w:r w:rsidRPr="008D59D5">
        <w:rPr>
          <w:rFonts w:asciiTheme="majorBidi" w:hAnsiTheme="majorBidi" w:cstheme="majorBidi"/>
          <w:sz w:val="24"/>
          <w:szCs w:val="24"/>
        </w:rPr>
        <w:t>.</w:t>
      </w:r>
    </w:p>
    <w:p w14:paraId="262FBBA2" w14:textId="77777777" w:rsidR="00A56084" w:rsidRDefault="00A56084" w:rsidP="00A56084">
      <w:pPr>
        <w:pStyle w:val="ListParagraph"/>
        <w:numPr>
          <w:ilvl w:val="1"/>
          <w:numId w:val="8"/>
        </w:numPr>
        <w:rPr>
          <w:rFonts w:asciiTheme="majorBidi" w:hAnsiTheme="majorBidi" w:cstheme="majorBidi"/>
          <w:sz w:val="24"/>
          <w:szCs w:val="24"/>
        </w:rPr>
      </w:pPr>
      <w:r>
        <w:rPr>
          <w:rFonts w:asciiTheme="majorBidi" w:hAnsiTheme="majorBidi" w:cstheme="majorBidi"/>
          <w:sz w:val="24"/>
          <w:szCs w:val="24"/>
        </w:rPr>
        <w:t>The registry should have an account that documents visits to places of detention by the public prosecution &amp; NCHR, it should also document the complaints received in each of those visits.</w:t>
      </w:r>
    </w:p>
    <w:p w14:paraId="103DF58B" w14:textId="77777777" w:rsidR="00A56084" w:rsidRDefault="00A56084" w:rsidP="00A56084">
      <w:pPr>
        <w:pStyle w:val="ListParagraph"/>
        <w:numPr>
          <w:ilvl w:val="1"/>
          <w:numId w:val="8"/>
        </w:numPr>
        <w:rPr>
          <w:rFonts w:asciiTheme="majorBidi" w:hAnsiTheme="majorBidi" w:cstheme="majorBidi"/>
          <w:sz w:val="24"/>
          <w:szCs w:val="24"/>
        </w:rPr>
      </w:pPr>
      <w:r>
        <w:rPr>
          <w:rFonts w:asciiTheme="majorBidi" w:hAnsiTheme="majorBidi" w:cstheme="majorBidi"/>
          <w:sz w:val="24"/>
          <w:szCs w:val="24"/>
        </w:rPr>
        <w:t>Submitting legislative proposals concerning the combating and prevention of torture and ill treatment</w:t>
      </w:r>
    </w:p>
    <w:p w14:paraId="3401981C" w14:textId="77777777" w:rsidR="00A56084" w:rsidRDefault="00A56084" w:rsidP="00A56084">
      <w:pPr>
        <w:pStyle w:val="ListParagraph"/>
        <w:numPr>
          <w:ilvl w:val="1"/>
          <w:numId w:val="8"/>
        </w:numPr>
        <w:rPr>
          <w:rFonts w:asciiTheme="majorBidi" w:hAnsiTheme="majorBidi" w:cstheme="majorBidi"/>
          <w:sz w:val="24"/>
          <w:szCs w:val="24"/>
        </w:rPr>
      </w:pPr>
      <w:r>
        <w:rPr>
          <w:rFonts w:asciiTheme="majorBidi" w:hAnsiTheme="majorBidi" w:cstheme="majorBidi"/>
          <w:sz w:val="24"/>
          <w:szCs w:val="24"/>
        </w:rPr>
        <w:t>Establishing a hotline to receive complaints from victims of torture and other forms of inhumane treatment.</w:t>
      </w:r>
    </w:p>
    <w:p w14:paraId="3C353001" w14:textId="77777777" w:rsidR="00A56084" w:rsidRPr="00A56084" w:rsidRDefault="00A56084" w:rsidP="00A56084">
      <w:pPr>
        <w:pStyle w:val="ListParagraph"/>
        <w:numPr>
          <w:ilvl w:val="0"/>
          <w:numId w:val="8"/>
        </w:numPr>
        <w:rPr>
          <w:rFonts w:asciiTheme="majorBidi" w:hAnsiTheme="majorBidi" w:cstheme="majorBidi"/>
          <w:sz w:val="24"/>
          <w:szCs w:val="24"/>
        </w:rPr>
      </w:pPr>
      <w:r>
        <w:rPr>
          <w:rFonts w:asciiTheme="majorBidi" w:hAnsiTheme="majorBidi" w:cstheme="majorBidi"/>
          <w:sz w:val="24"/>
          <w:szCs w:val="24"/>
        </w:rPr>
        <w:lastRenderedPageBreak/>
        <w:t xml:space="preserve"> Egypt should ratify the optional protocol of the </w:t>
      </w:r>
      <w:r w:rsidRPr="008676D5">
        <w:rPr>
          <w:rFonts w:ascii="Times New Roman" w:eastAsia="Times New Roman" w:hAnsi="Times New Roman" w:cs="Times New Roman"/>
          <w:sz w:val="24"/>
          <w:szCs w:val="24"/>
        </w:rPr>
        <w:t>United Nations Convention against Torture</w:t>
      </w:r>
    </w:p>
    <w:p w14:paraId="5F7F7B4A" w14:textId="77777777" w:rsidR="00A56084" w:rsidRPr="00A56084" w:rsidRDefault="00A56084" w:rsidP="00A56084">
      <w:pPr>
        <w:pStyle w:val="ListParagraph"/>
        <w:numPr>
          <w:ilvl w:val="0"/>
          <w:numId w:val="8"/>
        </w:numPr>
        <w:rPr>
          <w:rFonts w:asciiTheme="majorBidi" w:hAnsiTheme="majorBidi" w:cstheme="majorBidi"/>
          <w:sz w:val="24"/>
          <w:szCs w:val="24"/>
        </w:rPr>
      </w:pPr>
      <w:r>
        <w:rPr>
          <w:rFonts w:ascii="Times New Roman" w:eastAsia="Times New Roman" w:hAnsi="Times New Roman" w:cs="Times New Roman"/>
          <w:sz w:val="24"/>
          <w:szCs w:val="24"/>
        </w:rPr>
        <w:t xml:space="preserve">Increasing the Public Prosecution’s inspection of police stations, prisons and all places of detention. </w:t>
      </w:r>
    </w:p>
    <w:p w14:paraId="38A9B96C" w14:textId="77777777" w:rsidR="00A56084" w:rsidRPr="00CC5341" w:rsidRDefault="00A56084" w:rsidP="00A56084">
      <w:pPr>
        <w:pStyle w:val="ListParagraph"/>
        <w:numPr>
          <w:ilvl w:val="0"/>
          <w:numId w:val="8"/>
        </w:numPr>
        <w:rPr>
          <w:rFonts w:asciiTheme="majorBidi" w:hAnsiTheme="majorBidi" w:cstheme="majorBidi"/>
          <w:sz w:val="24"/>
          <w:szCs w:val="24"/>
        </w:rPr>
      </w:pPr>
      <w:r>
        <w:rPr>
          <w:rFonts w:ascii="Times New Roman" w:eastAsia="Times New Roman" w:hAnsi="Times New Roman" w:cs="Times New Roman"/>
          <w:sz w:val="24"/>
          <w:szCs w:val="24"/>
        </w:rPr>
        <w:t>The authorities should take more measures to cooperate to with human rights NGOs, and seriously investigate complaints related to torture submitted by the latter</w:t>
      </w:r>
      <w:r w:rsidR="00CC5341">
        <w:rPr>
          <w:rFonts w:ascii="Times New Roman" w:eastAsia="Times New Roman" w:hAnsi="Times New Roman" w:cs="Times New Roman"/>
          <w:sz w:val="24"/>
          <w:szCs w:val="24"/>
        </w:rPr>
        <w:t>, and provide them with all the information and updates pertaining to those investigations.</w:t>
      </w:r>
    </w:p>
    <w:p w14:paraId="623B4185" w14:textId="77777777" w:rsidR="00CC5341" w:rsidRDefault="00CC5341" w:rsidP="00CC5341">
      <w:pPr>
        <w:pStyle w:val="ListParagraph"/>
        <w:numPr>
          <w:ilvl w:val="0"/>
          <w:numId w:val="8"/>
        </w:numPr>
        <w:rPr>
          <w:rFonts w:ascii="Times New Roman" w:hAnsi="Times New Roman" w:cs="Times New Roman"/>
          <w:sz w:val="24"/>
          <w:szCs w:val="24"/>
        </w:rPr>
      </w:pPr>
      <w:r w:rsidRPr="00CC5341">
        <w:rPr>
          <w:rFonts w:ascii="Times New Roman" w:eastAsia="Times New Roman" w:hAnsi="Times New Roman" w:cs="Times New Roman"/>
          <w:sz w:val="24"/>
          <w:szCs w:val="24"/>
        </w:rPr>
        <w:t xml:space="preserve">Egypt must ratify the </w:t>
      </w:r>
      <w:r w:rsidRPr="00CC5341">
        <w:rPr>
          <w:rFonts w:ascii="Times New Roman" w:hAnsi="Times New Roman" w:cs="Times New Roman"/>
          <w:sz w:val="24"/>
          <w:szCs w:val="24"/>
        </w:rPr>
        <w:t>International Convention for the Protection of All Persons from Enforced Disappearance</w:t>
      </w:r>
      <w:r>
        <w:rPr>
          <w:rFonts w:ascii="Times New Roman" w:hAnsi="Times New Roman" w:cs="Times New Roman"/>
          <w:sz w:val="24"/>
          <w:szCs w:val="24"/>
        </w:rPr>
        <w:t>.</w:t>
      </w:r>
    </w:p>
    <w:p w14:paraId="164D6AA1" w14:textId="77777777" w:rsidR="00CC5341" w:rsidRDefault="00CC5341" w:rsidP="00CC5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Adding provisions that prohibit enforced disappearance to articles 280 &amp; 282 of the penal code.</w:t>
      </w:r>
    </w:p>
    <w:p w14:paraId="330057C3" w14:textId="77777777" w:rsidR="00CC5341" w:rsidRPr="00CC5341" w:rsidRDefault="00CC5341" w:rsidP="00CC5341">
      <w:pPr>
        <w:pStyle w:val="ListParagraph"/>
        <w:numPr>
          <w:ilvl w:val="0"/>
          <w:numId w:val="8"/>
        </w:numPr>
        <w:rPr>
          <w:rFonts w:asciiTheme="majorBidi" w:hAnsiTheme="majorBidi" w:cstheme="majorBidi"/>
          <w:sz w:val="24"/>
          <w:szCs w:val="24"/>
        </w:rPr>
      </w:pPr>
      <w:r w:rsidRPr="00CC5341">
        <w:rPr>
          <w:rFonts w:asciiTheme="majorBidi" w:hAnsiTheme="majorBidi" w:cstheme="majorBidi"/>
          <w:sz w:val="24"/>
          <w:szCs w:val="24"/>
        </w:rPr>
        <w:t>The government of Egypt should invite the United Nations Special Rapporteur on Torture and Other Cruel, Inhuman or Degrading Treatment or Punishment</w:t>
      </w:r>
      <w:r>
        <w:rPr>
          <w:rFonts w:asciiTheme="majorBidi" w:hAnsiTheme="majorBidi" w:cstheme="majorBidi"/>
          <w:sz w:val="24"/>
          <w:szCs w:val="24"/>
        </w:rPr>
        <w:t xml:space="preserve"> to conduct an official visit to the State Party.</w:t>
      </w:r>
    </w:p>
    <w:p w14:paraId="2F33B34D" w14:textId="77777777" w:rsidR="00CC5341" w:rsidRDefault="00CC5341" w:rsidP="00CC5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All final judicial rulings, and administrative penalties against perpetrators of the crime of torture must be published by the authorities in a quarter annual periodic report.</w:t>
      </w:r>
    </w:p>
    <w:p w14:paraId="6D72542E" w14:textId="77777777" w:rsidR="00F34CF5" w:rsidRPr="00CC5341" w:rsidRDefault="00CC5341" w:rsidP="00CC534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All national reports submitted by Egypt to international and regional human rights treaty bodies should be made accessible by the Egyptian government to the local public.</w:t>
      </w:r>
    </w:p>
    <w:p w14:paraId="5614664A" w14:textId="77777777" w:rsidR="00F34CF5" w:rsidRDefault="00F34CF5" w:rsidP="00F34CF5">
      <w:pPr>
        <w:rPr>
          <w:rFonts w:asciiTheme="majorBidi" w:hAnsiTheme="majorBidi" w:cstheme="majorBidi"/>
          <w:sz w:val="28"/>
          <w:szCs w:val="28"/>
          <w:lang w:bidi="ar-EG"/>
        </w:rPr>
      </w:pPr>
    </w:p>
    <w:p w14:paraId="67A50F34" w14:textId="77777777" w:rsidR="00F34CF5" w:rsidRDefault="00F34CF5" w:rsidP="00F34CF5">
      <w:pPr>
        <w:rPr>
          <w:rFonts w:asciiTheme="majorBidi" w:hAnsiTheme="majorBidi" w:cstheme="majorBidi"/>
          <w:sz w:val="28"/>
          <w:szCs w:val="28"/>
          <w:lang w:bidi="ar-EG"/>
        </w:rPr>
      </w:pPr>
    </w:p>
    <w:p w14:paraId="4245346D" w14:textId="77777777" w:rsidR="00F34CF5" w:rsidRPr="00DB122A" w:rsidRDefault="00F34CF5" w:rsidP="00F34CF5">
      <w:pPr>
        <w:rPr>
          <w:rFonts w:asciiTheme="majorBidi" w:hAnsiTheme="majorBidi" w:cstheme="majorBidi"/>
          <w:sz w:val="28"/>
          <w:szCs w:val="28"/>
          <w:lang w:bidi="ar-EG"/>
        </w:rPr>
      </w:pPr>
    </w:p>
    <w:p w14:paraId="73F92112" w14:textId="77777777" w:rsidR="00F34CF5" w:rsidRPr="00F34CF5" w:rsidRDefault="00F34CF5" w:rsidP="00F34CF5">
      <w:pPr>
        <w:bidi/>
        <w:jc w:val="right"/>
        <w:rPr>
          <w:rFonts w:ascii="Times New Roman" w:hAnsi="Times New Roman" w:cs="Times New Roman"/>
          <w:b/>
          <w:bCs/>
          <w:sz w:val="24"/>
          <w:szCs w:val="24"/>
          <w:u w:val="single"/>
        </w:rPr>
      </w:pPr>
    </w:p>
    <w:sectPr w:rsidR="00F34CF5" w:rsidRPr="00F34C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5F4C"/>
    <w:multiLevelType w:val="hybridMultilevel"/>
    <w:tmpl w:val="29003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457C1"/>
    <w:multiLevelType w:val="hybridMultilevel"/>
    <w:tmpl w:val="C408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885C0C"/>
    <w:multiLevelType w:val="hybridMultilevel"/>
    <w:tmpl w:val="29F88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785E7E"/>
    <w:multiLevelType w:val="hybridMultilevel"/>
    <w:tmpl w:val="89202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478DA"/>
    <w:multiLevelType w:val="hybridMultilevel"/>
    <w:tmpl w:val="246A8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257183"/>
    <w:multiLevelType w:val="hybridMultilevel"/>
    <w:tmpl w:val="EE56D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E87BF1"/>
    <w:multiLevelType w:val="hybridMultilevel"/>
    <w:tmpl w:val="594C4136"/>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 w15:restartNumberingAfterBreak="0">
    <w:nsid w:val="6D7F7470"/>
    <w:multiLevelType w:val="hybridMultilevel"/>
    <w:tmpl w:val="7FF8E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036576">
    <w:abstractNumId w:val="6"/>
  </w:num>
  <w:num w:numId="2" w16cid:durableId="1398438212">
    <w:abstractNumId w:val="1"/>
  </w:num>
  <w:num w:numId="3" w16cid:durableId="5713505">
    <w:abstractNumId w:val="5"/>
  </w:num>
  <w:num w:numId="4" w16cid:durableId="1892306401">
    <w:abstractNumId w:val="7"/>
  </w:num>
  <w:num w:numId="5" w16cid:durableId="2010062750">
    <w:abstractNumId w:val="0"/>
  </w:num>
  <w:num w:numId="6" w16cid:durableId="455638895">
    <w:abstractNumId w:val="3"/>
  </w:num>
  <w:num w:numId="7" w16cid:durableId="2145001627">
    <w:abstractNumId w:val="4"/>
  </w:num>
  <w:num w:numId="8" w16cid:durableId="1970278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CF5"/>
    <w:rsid w:val="000971A8"/>
    <w:rsid w:val="00100EE6"/>
    <w:rsid w:val="001A69E9"/>
    <w:rsid w:val="003F59FF"/>
    <w:rsid w:val="004057B6"/>
    <w:rsid w:val="00492DB6"/>
    <w:rsid w:val="00497504"/>
    <w:rsid w:val="004B388E"/>
    <w:rsid w:val="0066582C"/>
    <w:rsid w:val="00752D0E"/>
    <w:rsid w:val="007E4810"/>
    <w:rsid w:val="008240A2"/>
    <w:rsid w:val="008676D5"/>
    <w:rsid w:val="008D59D5"/>
    <w:rsid w:val="00906FBB"/>
    <w:rsid w:val="00937E33"/>
    <w:rsid w:val="00A56084"/>
    <w:rsid w:val="00A63041"/>
    <w:rsid w:val="00AD069B"/>
    <w:rsid w:val="00CC5341"/>
    <w:rsid w:val="00D154EA"/>
    <w:rsid w:val="00F34CF5"/>
    <w:rsid w:val="00F36EA8"/>
    <w:rsid w:val="00FD68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85A4A"/>
  <w15:chartTrackingRefBased/>
  <w15:docId w15:val="{05E633E7-59BA-44FD-AFD6-512140CE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676D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CF5"/>
    <w:pPr>
      <w:ind w:left="720"/>
      <w:contextualSpacing/>
    </w:pPr>
  </w:style>
  <w:style w:type="character" w:customStyle="1" w:styleId="Heading2Char">
    <w:name w:val="Heading 2 Char"/>
    <w:basedOn w:val="DefaultParagraphFont"/>
    <w:link w:val="Heading2"/>
    <w:uiPriority w:val="9"/>
    <w:rsid w:val="008676D5"/>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955865">
      <w:bodyDiv w:val="1"/>
      <w:marLeft w:val="0"/>
      <w:marRight w:val="0"/>
      <w:marTop w:val="0"/>
      <w:marBottom w:val="0"/>
      <w:divBdr>
        <w:top w:val="none" w:sz="0" w:space="0" w:color="auto"/>
        <w:left w:val="none" w:sz="0" w:space="0" w:color="auto"/>
        <w:bottom w:val="none" w:sz="0" w:space="0" w:color="auto"/>
        <w:right w:val="none" w:sz="0" w:space="0" w:color="auto"/>
      </w:divBdr>
    </w:div>
    <w:div w:id="193023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1685</Words>
  <Characters>9606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dc:creator>
  <cp:keywords/>
  <dc:description/>
  <cp:lastModifiedBy>Youssef Hamdan</cp:lastModifiedBy>
  <cp:revision>2</cp:revision>
  <dcterms:created xsi:type="dcterms:W3CDTF">2023-10-17T18:22:00Z</dcterms:created>
  <dcterms:modified xsi:type="dcterms:W3CDTF">2023-10-17T18:22:00Z</dcterms:modified>
</cp:coreProperties>
</file>