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6DC3" w:rsidRDefault="00BC7837">
      <w:pPr>
        <w:spacing w:after="0" w:line="240" w:lineRule="auto"/>
        <w:rPr>
          <w:rFonts w:ascii="Times New Roman" w:eastAsia="Times New Roman" w:hAnsi="Times New Roman" w:cs="Times New Roman"/>
        </w:rPr>
      </w:pPr>
      <w:bookmarkStart w:id="0" w:name="_GoBack"/>
      <w:bookmarkEnd w:id="0"/>
      <w:r>
        <w:rPr>
          <w:rFonts w:ascii="Times New Roman" w:eastAsia="Times New Roman" w:hAnsi="Times New Roman" w:cs="Times New Roman"/>
        </w:rPr>
        <w:t xml:space="preserve"> </w:t>
      </w:r>
    </w:p>
    <w:p w:rsidR="00836DC3" w:rsidRDefault="00BC7837">
      <w:pPr>
        <w:pBdr>
          <w:top w:val="nil"/>
          <w:left w:val="nil"/>
          <w:bottom w:val="nil"/>
          <w:right w:val="nil"/>
          <w:between w:val="nil"/>
        </w:pBdr>
        <w:spacing w:after="0" w:line="240" w:lineRule="auto"/>
        <w:ind w:left="720"/>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Informe Alternativo de la Alianza de Mujeres Indígenas Originarias de Tierras Bajas y Altas de Bolivia presentado para el 82° periodo de sesiones del Comité para la Eliminación de la Discriminación contra la Mujer (CEDAW)</w:t>
      </w:r>
    </w:p>
    <w:p w:rsidR="00836DC3" w:rsidRDefault="00BC7837">
      <w:pPr>
        <w:pBdr>
          <w:top w:val="nil"/>
          <w:left w:val="nil"/>
          <w:bottom w:val="nil"/>
          <w:right w:val="nil"/>
          <w:between w:val="nil"/>
        </w:pBdr>
        <w:spacing w:after="0" w:line="240" w:lineRule="auto"/>
        <w:ind w:left="72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Mayo 2022</w:t>
      </w:r>
    </w:p>
    <w:p w:rsidR="00836DC3" w:rsidRDefault="00836DC3">
      <w:pPr>
        <w:spacing w:after="0" w:line="240" w:lineRule="auto"/>
        <w:rPr>
          <w:rFonts w:ascii="Times New Roman" w:eastAsia="Times New Roman" w:hAnsi="Times New Roman" w:cs="Times New Roman"/>
          <w:b/>
          <w:color w:val="000000"/>
        </w:rPr>
      </w:pPr>
    </w:p>
    <w:p w:rsidR="00836DC3" w:rsidRDefault="00BC7837">
      <w:pPr>
        <w:pBdr>
          <w:top w:val="nil"/>
          <w:left w:val="nil"/>
          <w:bottom w:val="nil"/>
          <w:right w:val="nil"/>
          <w:between w:val="nil"/>
        </w:pBdr>
        <w:spacing w:after="0" w:line="240" w:lineRule="auto"/>
        <w:ind w:left="426"/>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Presentación</w:t>
      </w:r>
    </w:p>
    <w:p w:rsidR="00836DC3" w:rsidRDefault="00836DC3">
      <w:pPr>
        <w:pBdr>
          <w:top w:val="nil"/>
          <w:left w:val="nil"/>
          <w:bottom w:val="nil"/>
          <w:right w:val="nil"/>
          <w:between w:val="nil"/>
        </w:pBdr>
        <w:spacing w:after="0" w:line="240" w:lineRule="auto"/>
        <w:ind w:left="426"/>
        <w:rPr>
          <w:rFonts w:ascii="Times New Roman" w:eastAsia="Times New Roman" w:hAnsi="Times New Roman" w:cs="Times New Roman"/>
          <w:b/>
          <w:color w:val="000000"/>
          <w:sz w:val="24"/>
          <w:szCs w:val="24"/>
        </w:rPr>
      </w:pPr>
    </w:p>
    <w:p w:rsidR="006105D8" w:rsidRPr="006105D8" w:rsidRDefault="00BC7837" w:rsidP="006105D8">
      <w:pPr>
        <w:numPr>
          <w:ilvl w:val="0"/>
          <w:numId w:val="1"/>
        </w:numPr>
        <w:tabs>
          <w:tab w:val="left" w:pos="284"/>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Este informe es presentado por la Alianza de Mujeres Indígenas Originarias de Tierras Bajas y Altas de Bolivia</w:t>
      </w:r>
      <w:r>
        <w:rPr>
          <w:rFonts w:ascii="Times New Roman" w:eastAsia="Times New Roman" w:hAnsi="Times New Roman" w:cs="Times New Roman"/>
          <w:vertAlign w:val="superscript"/>
        </w:rPr>
        <w:footnoteReference w:id="1"/>
      </w:r>
      <w:r w:rsidRPr="006105D8">
        <w:rPr>
          <w:rFonts w:ascii="Times New Roman" w:eastAsia="Times New Roman" w:hAnsi="Times New Roman" w:cs="Times New Roman"/>
        </w:rPr>
        <w:t>; está conformada por la Confederación Nacional de Mujeres Indígenas de Bolivia CNAMIB</w:t>
      </w:r>
      <w:r>
        <w:rPr>
          <w:rFonts w:ascii="Times New Roman" w:eastAsia="Times New Roman" w:hAnsi="Times New Roman" w:cs="Times New Roman"/>
          <w:vertAlign w:val="superscript"/>
        </w:rPr>
        <w:footnoteReference w:id="2"/>
      </w:r>
      <w:r w:rsidRPr="006105D8">
        <w:rPr>
          <w:rFonts w:ascii="Times New Roman" w:eastAsia="Times New Roman" w:hAnsi="Times New Roman" w:cs="Times New Roman"/>
        </w:rPr>
        <w:t xml:space="preserve"> </w:t>
      </w:r>
      <w:r w:rsidR="0003362D">
        <w:rPr>
          <w:rFonts w:ascii="Times New Roman" w:eastAsia="Times New Roman" w:hAnsi="Times New Roman" w:cs="Times New Roman"/>
          <w:color w:val="202124"/>
        </w:rPr>
        <w:t xml:space="preserve">reconocida </w:t>
      </w:r>
      <w:r w:rsidRPr="006105D8">
        <w:rPr>
          <w:rFonts w:ascii="Times New Roman" w:eastAsia="Times New Roman" w:hAnsi="Times New Roman" w:cs="Times New Roman"/>
          <w:color w:val="202124"/>
        </w:rPr>
        <w:t xml:space="preserve"> como  </w:t>
      </w:r>
      <w:r w:rsidR="0003362D">
        <w:rPr>
          <w:rFonts w:ascii="Times New Roman" w:eastAsia="Times New Roman" w:hAnsi="Times New Roman" w:cs="Times New Roman"/>
        </w:rPr>
        <w:t>la organización nacional</w:t>
      </w:r>
      <w:r w:rsidRPr="006105D8">
        <w:rPr>
          <w:rFonts w:ascii="Times New Roman" w:eastAsia="Times New Roman" w:hAnsi="Times New Roman" w:cs="Times New Roman"/>
        </w:rPr>
        <w:t xml:space="preserve"> representante e  interlocutora válida de las mujeres indígenas del Oriente, Chaco y Amazonía que incluyen 34 naciones indígenas y </w:t>
      </w:r>
      <w:r w:rsidR="0003362D">
        <w:rPr>
          <w:rFonts w:ascii="Times New Roman" w:eastAsia="Times New Roman" w:hAnsi="Times New Roman" w:cs="Times New Roman"/>
        </w:rPr>
        <w:t xml:space="preserve">por </w:t>
      </w:r>
      <w:r w:rsidRPr="006105D8">
        <w:rPr>
          <w:rFonts w:ascii="Times New Roman" w:eastAsia="Times New Roman" w:hAnsi="Times New Roman" w:cs="Times New Roman"/>
        </w:rPr>
        <w:t>las Mama T’allas</w:t>
      </w:r>
      <w:r>
        <w:rPr>
          <w:rFonts w:ascii="Times New Roman" w:eastAsia="Times New Roman" w:hAnsi="Times New Roman" w:cs="Times New Roman"/>
          <w:vertAlign w:val="superscript"/>
        </w:rPr>
        <w:footnoteReference w:id="3"/>
      </w:r>
      <w:r w:rsidRPr="006105D8">
        <w:rPr>
          <w:rFonts w:ascii="Times New Roman" w:eastAsia="Times New Roman" w:hAnsi="Times New Roman" w:cs="Times New Roman"/>
        </w:rPr>
        <w:t xml:space="preserve"> de comunidades y ayllus de tierras altas de Bolivia. </w:t>
      </w:r>
    </w:p>
    <w:p w:rsidR="006105D8" w:rsidRPr="006105D8" w:rsidRDefault="006105D8" w:rsidP="006105D8">
      <w:pPr>
        <w:tabs>
          <w:tab w:val="left" w:pos="284"/>
        </w:tabs>
        <w:spacing w:after="0" w:line="240" w:lineRule="auto"/>
        <w:ind w:left="720"/>
        <w:jc w:val="both"/>
        <w:rPr>
          <w:rFonts w:ascii="Times New Roman" w:eastAsia="Times New Roman" w:hAnsi="Times New Roman" w:cs="Times New Roman"/>
          <w:color w:val="000000"/>
        </w:rPr>
      </w:pPr>
    </w:p>
    <w:p w:rsidR="00836DC3" w:rsidRPr="006105D8" w:rsidRDefault="00BC7837" w:rsidP="006105D8">
      <w:pPr>
        <w:numPr>
          <w:ilvl w:val="0"/>
          <w:numId w:val="1"/>
        </w:numPr>
        <w:tabs>
          <w:tab w:val="left" w:pos="284"/>
        </w:tabs>
        <w:spacing w:after="0" w:line="240" w:lineRule="auto"/>
        <w:jc w:val="both"/>
        <w:rPr>
          <w:rFonts w:ascii="Times New Roman" w:eastAsia="Times New Roman" w:hAnsi="Times New Roman" w:cs="Times New Roman"/>
          <w:color w:val="000000"/>
        </w:rPr>
      </w:pPr>
      <w:r w:rsidRPr="006105D8">
        <w:rPr>
          <w:rFonts w:ascii="Times New Roman" w:eastAsia="Times New Roman" w:hAnsi="Times New Roman" w:cs="Times New Roman"/>
        </w:rPr>
        <w:t>Las mujeres de esta Alianza pertenecen a pueblos indígenas que mantienen un nexo de identidad fuerte con sus territorios, siendo éste su espacio de vida, razón por la cual su preservación es fundamental para su pervivencia y desarrollo económico y social de las comunidades que pertenecen a estos pueblos indígenas. La información presentada se refuerza con testimonios de las voces de las mujeres indígenas afectadas por la discriminación.</w:t>
      </w:r>
    </w:p>
    <w:p w:rsidR="00836DC3" w:rsidRDefault="00836DC3">
      <w:pPr>
        <w:tabs>
          <w:tab w:val="left" w:pos="284"/>
        </w:tabs>
        <w:spacing w:after="0" w:line="240" w:lineRule="auto"/>
        <w:ind w:left="720"/>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Informamos al Comité, que el Estado Plurinacional de Bolivia no cuenta con información desagregada por etnia, sexo, edad y localidad; tampoco cuenta con información precisa sobre los Territorios Indígenas y Originarios (TIOCs), esto impide visibilizar la situación real de las mujeres indígenas, limitando seriamente la posibilidad de diseñar políticas diferenciadas para eliminar todas las formas de discriminación y mejorar la situación de </w:t>
      </w:r>
      <w:r w:rsidR="00240E86">
        <w:rPr>
          <w:rFonts w:ascii="Times New Roman" w:eastAsia="Times New Roman" w:hAnsi="Times New Roman" w:cs="Times New Roman"/>
          <w:color w:val="000000"/>
        </w:rPr>
        <w:t>las mujeres indígenas</w:t>
      </w:r>
      <w:r>
        <w:rPr>
          <w:rFonts w:ascii="Times New Roman" w:eastAsia="Times New Roman" w:hAnsi="Times New Roman" w:cs="Times New Roman"/>
          <w:color w:val="000000"/>
        </w:rPr>
        <w:t xml:space="preserve">. </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Solicitamos al Comité que recomiende al Estado hacer todos los esfuerzos para que </w:t>
      </w:r>
      <w:r w:rsidR="006105D8">
        <w:rPr>
          <w:rFonts w:ascii="Times New Roman" w:eastAsia="Times New Roman" w:hAnsi="Times New Roman" w:cs="Times New Roman"/>
          <w:color w:val="000000"/>
        </w:rPr>
        <w:t xml:space="preserve">en el  Censo Nacional programado para noviembre del año 2022, el Instituto Nacional de Estadísticas (INE) </w:t>
      </w:r>
      <w:r>
        <w:rPr>
          <w:rFonts w:ascii="Times New Roman" w:eastAsia="Times New Roman" w:hAnsi="Times New Roman" w:cs="Times New Roman"/>
          <w:color w:val="000000"/>
        </w:rPr>
        <w:t>levante la información pertinente y desagregada sobre los pueblos indígenas y originarios en cuanto a la información  económica y social según condición étnica, sexo, edad, territorios indígenas y comunidades rurales que permitan analizar las desigualdades de género, y además que los resultados y la base de datos estadísticos sobre las naciones indígenas sean disponibles y de fácil acceso.</w:t>
      </w:r>
    </w:p>
    <w:p w:rsidR="00836DC3" w:rsidRDefault="00836DC3">
      <w:pPr>
        <w:pBdr>
          <w:top w:val="nil"/>
          <w:left w:val="nil"/>
          <w:bottom w:val="nil"/>
          <w:right w:val="nil"/>
          <w:between w:val="nil"/>
        </w:pBdr>
        <w:spacing w:after="0" w:line="240" w:lineRule="auto"/>
        <w:ind w:left="720"/>
        <w:rPr>
          <w:rFonts w:ascii="Times New Roman" w:eastAsia="Times New Roman" w:hAnsi="Times New Roman" w:cs="Times New Roman"/>
          <w:color w:val="000000"/>
        </w:rPr>
      </w:pPr>
    </w:p>
    <w:p w:rsidR="00836DC3" w:rsidRDefault="00836DC3">
      <w:pPr>
        <w:tabs>
          <w:tab w:val="left" w:pos="284"/>
        </w:tabs>
        <w:spacing w:after="0" w:line="240" w:lineRule="auto"/>
        <w:jc w:val="both"/>
        <w:rPr>
          <w:rFonts w:ascii="Times New Roman" w:eastAsia="Times New Roman" w:hAnsi="Times New Roman" w:cs="Times New Roman"/>
          <w:color w:val="000000"/>
        </w:rPr>
      </w:pPr>
    </w:p>
    <w:p w:rsidR="00240E86" w:rsidRDefault="00240E86">
      <w:pPr>
        <w:tabs>
          <w:tab w:val="left" w:pos="284"/>
        </w:tabs>
        <w:spacing w:after="0" w:line="240" w:lineRule="auto"/>
        <w:jc w:val="both"/>
        <w:rPr>
          <w:rFonts w:ascii="Times New Roman" w:eastAsia="Times New Roman" w:hAnsi="Times New Roman" w:cs="Times New Roman"/>
          <w:color w:val="000000"/>
        </w:rPr>
      </w:pPr>
    </w:p>
    <w:p w:rsidR="00836DC3" w:rsidRDefault="00836DC3">
      <w:pPr>
        <w:tabs>
          <w:tab w:val="left" w:pos="284"/>
        </w:tabs>
        <w:spacing w:after="0" w:line="240" w:lineRule="auto"/>
        <w:jc w:val="both"/>
        <w:rPr>
          <w:rFonts w:ascii="Times New Roman" w:eastAsia="Times New Roman" w:hAnsi="Times New Roman" w:cs="Times New Roman"/>
          <w:color w:val="000000"/>
        </w:rPr>
      </w:pPr>
    </w:p>
    <w:p w:rsidR="00836DC3" w:rsidRDefault="00BC7837">
      <w:pPr>
        <w:keepNext/>
        <w:keepLines/>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40" w:lineRule="auto"/>
        <w:ind w:left="284" w:right="126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Cambio climático y reducción del riesgo de desastres</w:t>
      </w:r>
    </w:p>
    <w:p w:rsidR="00836DC3" w:rsidRDefault="00836DC3">
      <w:pPr>
        <w:spacing w:after="0" w:line="240" w:lineRule="auto"/>
        <w:rPr>
          <w:rFonts w:ascii="Times New Roman" w:eastAsia="Times New Roman" w:hAnsi="Times New Roman" w:cs="Times New Roman"/>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Si bien el Estado adhirió el año 2015 a la Agenda 2030 sobre Desarrollo Sostenible de las Naciones Unidas (ODS), los avances para la integración de los ODS a las políticas públicas en especial las referidas a los pueblos y mujeres indígenas son irrelevantes poco focalizadas y no consultadas. </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240E86">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Solicitamos</w:t>
      </w:r>
      <w:r w:rsidR="00BC7837">
        <w:rPr>
          <w:rFonts w:ascii="Times New Roman" w:eastAsia="Times New Roman" w:hAnsi="Times New Roman" w:cs="Times New Roman"/>
          <w:color w:val="000000"/>
        </w:rPr>
        <w:t xml:space="preserve"> al Comité evaluar y recomendar al Estado boliviano, incluir la participación de las mujeres  en los programas y proyectos impulsados por el Estado enfocados en los ODS relacionados a la igualdad entre los géneros y empoderar a todas las mujeres y niñas;  garantizar una vida sana; garantizar una educación inclusiva, equitativa y de calidad; garantizar la disponibilidad de agua y saneamiento; lograr la seguridad alimentaria; adoptar medidas urgentes para combatir cambio climático; luchar contra la desertificación y degradación </w:t>
      </w:r>
      <w:r w:rsidR="00BC7837">
        <w:rPr>
          <w:rFonts w:ascii="Times New Roman" w:eastAsia="Times New Roman" w:hAnsi="Times New Roman" w:cs="Times New Roman"/>
        </w:rPr>
        <w:t>de las</w:t>
      </w:r>
      <w:r w:rsidR="00BC7837">
        <w:rPr>
          <w:rFonts w:ascii="Times New Roman" w:eastAsia="Times New Roman" w:hAnsi="Times New Roman" w:cs="Times New Roman"/>
          <w:color w:val="000000"/>
        </w:rPr>
        <w:t xml:space="preserve"> tierras y poner fin a la </w:t>
      </w:r>
      <w:r w:rsidR="00BC7837">
        <w:rPr>
          <w:rFonts w:ascii="Times New Roman" w:eastAsia="Times New Roman" w:hAnsi="Times New Roman" w:cs="Times New Roman"/>
        </w:rPr>
        <w:t>pérdida</w:t>
      </w:r>
      <w:r w:rsidR="00BC7837">
        <w:rPr>
          <w:rFonts w:ascii="Times New Roman" w:eastAsia="Times New Roman" w:hAnsi="Times New Roman" w:cs="Times New Roman"/>
          <w:color w:val="000000"/>
        </w:rPr>
        <w:t xml:space="preserve"> de la diversidad biológica.</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rPr>
        <w:t xml:space="preserve">La situación de la seguridad alimentaria en las comunidades indígenas </w:t>
      </w:r>
      <w:r w:rsidR="00240E86">
        <w:rPr>
          <w:rFonts w:ascii="Times New Roman" w:eastAsia="Times New Roman" w:hAnsi="Times New Roman" w:cs="Times New Roman"/>
          <w:color w:val="000000"/>
        </w:rPr>
        <w:t>experimenta</w:t>
      </w:r>
      <w:r>
        <w:rPr>
          <w:rFonts w:ascii="Times New Roman" w:eastAsia="Times New Roman" w:hAnsi="Times New Roman" w:cs="Times New Roman"/>
          <w:color w:val="000000"/>
        </w:rPr>
        <w:t xml:space="preserve"> dificultades para la producción de alimentos</w:t>
      </w:r>
      <w:r w:rsidR="00240E86">
        <w:rPr>
          <w:rFonts w:ascii="Times New Roman" w:eastAsia="Times New Roman" w:hAnsi="Times New Roman" w:cs="Times New Roman"/>
          <w:color w:val="000000"/>
        </w:rPr>
        <w:t xml:space="preserve"> y acceso al agua</w:t>
      </w:r>
      <w:r>
        <w:rPr>
          <w:rFonts w:ascii="Times New Roman" w:eastAsia="Times New Roman" w:hAnsi="Times New Roman" w:cs="Times New Roman"/>
          <w:color w:val="000000"/>
        </w:rPr>
        <w:t xml:space="preserve">, debido a la degradación ambiental, la contaminación de sus ecosistemas y la </w:t>
      </w:r>
      <w:r>
        <w:rPr>
          <w:rFonts w:ascii="Times New Roman" w:eastAsia="Times New Roman" w:hAnsi="Times New Roman" w:cs="Times New Roman"/>
        </w:rPr>
        <w:t>pérdida</w:t>
      </w:r>
      <w:r>
        <w:rPr>
          <w:rFonts w:ascii="Times New Roman" w:eastAsia="Times New Roman" w:hAnsi="Times New Roman" w:cs="Times New Roman"/>
          <w:color w:val="000000"/>
        </w:rPr>
        <w:t xml:space="preserve"> de los medios de vida en los territorios indígenas, ocasionando que las familias se vuelvan vulnerables a la disminución de alimentos seguros y nutritivos. Es necesario tomar en cuenta que en </w:t>
      </w:r>
      <w:r>
        <w:rPr>
          <w:rFonts w:ascii="Times New Roman" w:eastAsia="Times New Roman" w:hAnsi="Times New Roman" w:cs="Times New Roman"/>
          <w:color w:val="000000"/>
          <w:highlight w:val="white"/>
        </w:rPr>
        <w:t>el caso de las “mujeres embarazadas y lactantes, una alimentación inadecuada y una nutrición deficiente suponen un riesgo de anemia, una de las principales causas de muerte durante el parto”.</w:t>
      </w:r>
      <w:r>
        <w:rPr>
          <w:rFonts w:ascii="Times New Roman" w:eastAsia="Times New Roman" w:hAnsi="Times New Roman" w:cs="Times New Roman"/>
          <w:color w:val="000000"/>
          <w:highlight w:val="white"/>
          <w:vertAlign w:val="superscript"/>
        </w:rPr>
        <w:footnoteReference w:id="4"/>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highlight w:val="white"/>
        </w:rPr>
      </w:pPr>
      <w:r>
        <w:rPr>
          <w:rFonts w:ascii="Times New Roman" w:eastAsia="Times New Roman" w:hAnsi="Times New Roman" w:cs="Times New Roman"/>
          <w:color w:val="000000"/>
          <w:highlight w:val="white"/>
        </w:rPr>
        <w:t xml:space="preserve">Bolivia aún presenta elevadas tasas de desnutrición y anemia; los datos de la </w:t>
      </w:r>
      <w:r w:rsidR="00240E86">
        <w:rPr>
          <w:rFonts w:ascii="Times New Roman" w:eastAsia="Times New Roman" w:hAnsi="Times New Roman" w:cs="Times New Roman"/>
          <w:color w:val="000000"/>
          <w:highlight w:val="white"/>
        </w:rPr>
        <w:t xml:space="preserve">Encuesta de Demografía y Salud 2016, </w:t>
      </w:r>
      <w:r>
        <w:rPr>
          <w:rFonts w:ascii="Times New Roman" w:eastAsia="Times New Roman" w:hAnsi="Times New Roman" w:cs="Times New Roman"/>
          <w:color w:val="000000"/>
          <w:highlight w:val="white"/>
        </w:rPr>
        <w:t xml:space="preserve">la prevalencia de anemia en Bolivia en niñas y niños menores de 5 años es de 53,7%, de los cuales el 60,2% vive en zonas rurales. </w:t>
      </w:r>
    </w:p>
    <w:p w:rsidR="00836DC3" w:rsidRDefault="00836DC3">
      <w:pPr>
        <w:pBdr>
          <w:top w:val="nil"/>
          <w:left w:val="nil"/>
          <w:bottom w:val="nil"/>
          <w:right w:val="nil"/>
          <w:between w:val="nil"/>
        </w:pBdr>
        <w:spacing w:after="0" w:line="240" w:lineRule="auto"/>
        <w:ind w:left="720"/>
        <w:rPr>
          <w:rFonts w:ascii="Times New Roman" w:eastAsia="Times New Roman" w:hAnsi="Times New Roman" w:cs="Times New Roman"/>
          <w:color w:val="000000"/>
          <w:highlight w:val="white"/>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rPr>
      </w:pPr>
      <w:r>
        <w:rPr>
          <w:rFonts w:ascii="Times New Roman" w:eastAsia="Times New Roman" w:hAnsi="Times New Roman" w:cs="Times New Roman"/>
          <w:i/>
          <w:color w:val="000000"/>
        </w:rPr>
        <w:t>“Hay un cambio en los hábitos alimenticios, las comunidades han dejado de consumir alimentos tradicionales, ya no producen sus propios alimentos y dependen más de alimentos traídos de otros lados. Venden sus productos nativos para tener dinero y comprar productos importados en el mercado: sodas, f</w:t>
      </w:r>
      <w:r w:rsidR="00240E86">
        <w:rPr>
          <w:rFonts w:ascii="Times New Roman" w:eastAsia="Times New Roman" w:hAnsi="Times New Roman" w:cs="Times New Roman"/>
          <w:i/>
          <w:color w:val="000000"/>
        </w:rPr>
        <w:t>ideos, azúcar y otros productos”</w:t>
      </w:r>
    </w:p>
    <w:p w:rsidR="00836DC3" w:rsidRDefault="00836DC3">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sz w:val="20"/>
          <w:szCs w:val="20"/>
          <w:highlight w:val="white"/>
        </w:rPr>
      </w:pPr>
    </w:p>
    <w:p w:rsidR="00836DC3" w:rsidRDefault="00BC7837">
      <w:pPr>
        <w:pBdr>
          <w:top w:val="nil"/>
          <w:left w:val="nil"/>
          <w:bottom w:val="nil"/>
          <w:right w:val="nil"/>
          <w:between w:val="nil"/>
        </w:pBdr>
        <w:spacing w:after="0" w:line="240" w:lineRule="auto"/>
        <w:ind w:left="720"/>
        <w:rPr>
          <w:rFonts w:ascii="Times New Roman" w:eastAsia="Times New Roman" w:hAnsi="Times New Roman" w:cs="Times New Roman"/>
          <w:i/>
          <w:color w:val="000000"/>
        </w:rPr>
      </w:pPr>
      <w:r>
        <w:rPr>
          <w:rFonts w:ascii="Times New Roman" w:eastAsia="Times New Roman" w:hAnsi="Times New Roman" w:cs="Times New Roman"/>
          <w:i/>
          <w:color w:val="000000"/>
        </w:rPr>
        <w:t>“Muchos productos están contaminados, ahora hasta el pescado es peligroso consumir por el mercurio de los mineros del oro… estos cambios en las costumbres afectan nuestra salud”</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highlight w:val="white"/>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El modelo agrícola promocionado por las políticas públicas</w:t>
      </w:r>
      <w:r>
        <w:rPr>
          <w:rFonts w:ascii="Times New Roman" w:eastAsia="Times New Roman" w:hAnsi="Times New Roman" w:cs="Times New Roman"/>
          <w:color w:val="000000"/>
          <w:vertAlign w:val="superscript"/>
        </w:rPr>
        <w:footnoteReference w:id="5"/>
      </w:r>
      <w:r>
        <w:rPr>
          <w:rFonts w:ascii="Times New Roman" w:eastAsia="Times New Roman" w:hAnsi="Times New Roman" w:cs="Times New Roman"/>
          <w:color w:val="000000"/>
        </w:rPr>
        <w:t xml:space="preserve"> de ampliación de la frontera agrícola y la introducción de semillas genéticamente modificadas está socavando la seguridad y soberanía alimentaria; el desmonte en los territorios indígenas, cuyas consecuencias son los cambios en los patrones climáticos, con presencia de prolongadas </w:t>
      </w:r>
      <w:r>
        <w:rPr>
          <w:rFonts w:ascii="Times New Roman" w:eastAsia="Times New Roman" w:hAnsi="Times New Roman" w:cs="Times New Roman"/>
        </w:rPr>
        <w:t>sequías</w:t>
      </w:r>
      <w:r>
        <w:rPr>
          <w:rFonts w:ascii="Times New Roman" w:eastAsia="Times New Roman" w:hAnsi="Times New Roman" w:cs="Times New Roman"/>
          <w:color w:val="000000"/>
        </w:rPr>
        <w:t xml:space="preserve"> o intensas lluvias e inundaciones, además de la constante  contaminación de las aguas y el aire por el uso intensivo de agroquímicos (fertilizantes, plaguicidas, herbicidas); y la introducción de semillas transgénicas (semillas genéticamente modificadas) que influyen en la contaminación genética y desaparici</w:t>
      </w:r>
      <w:r w:rsidR="00240E86">
        <w:rPr>
          <w:rFonts w:ascii="Times New Roman" w:eastAsia="Times New Roman" w:hAnsi="Times New Roman" w:cs="Times New Roman"/>
          <w:color w:val="000000"/>
        </w:rPr>
        <w:t>ón de semillas nativas, ponen</w:t>
      </w:r>
      <w:r>
        <w:rPr>
          <w:rFonts w:ascii="Times New Roman" w:eastAsia="Times New Roman" w:hAnsi="Times New Roman" w:cs="Times New Roman"/>
          <w:color w:val="000000"/>
        </w:rPr>
        <w:t xml:space="preserve"> en grave riesgo la seguridad alimentaria, la salud de las personas y los ciclos vitales en los ecosistemas de los territorios indígenas. </w:t>
      </w:r>
    </w:p>
    <w:p w:rsidR="00836DC3" w:rsidRDefault="00836DC3">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rPr>
      </w:pPr>
      <w:r>
        <w:rPr>
          <w:rFonts w:ascii="Times New Roman" w:eastAsia="Times New Roman" w:hAnsi="Times New Roman" w:cs="Times New Roman"/>
          <w:i/>
          <w:color w:val="000000"/>
        </w:rPr>
        <w:t xml:space="preserve">“En las cabeceras de las cuencas de los ríos utilizan demasiado insecticida, mercurio y </w:t>
      </w:r>
      <w:r>
        <w:rPr>
          <w:rFonts w:ascii="Times New Roman" w:eastAsia="Times New Roman" w:hAnsi="Times New Roman" w:cs="Times New Roman"/>
          <w:i/>
        </w:rPr>
        <w:t>desechos</w:t>
      </w:r>
      <w:r>
        <w:rPr>
          <w:rFonts w:ascii="Times New Roman" w:eastAsia="Times New Roman" w:hAnsi="Times New Roman" w:cs="Times New Roman"/>
          <w:i/>
          <w:color w:val="000000"/>
        </w:rPr>
        <w:t xml:space="preserve"> de la minería que contaminan las aguas y el aire” </w:t>
      </w:r>
    </w:p>
    <w:p w:rsidR="00836DC3" w:rsidRDefault="00836DC3">
      <w:pPr>
        <w:pBdr>
          <w:top w:val="nil"/>
          <w:left w:val="nil"/>
          <w:bottom w:val="nil"/>
          <w:right w:val="nil"/>
          <w:between w:val="nil"/>
        </w:pBdr>
        <w:spacing w:after="0" w:line="240" w:lineRule="auto"/>
        <w:ind w:left="720"/>
        <w:rPr>
          <w:rFonts w:ascii="Times New Roman" w:eastAsia="Times New Roman" w:hAnsi="Times New Roman" w:cs="Times New Roman"/>
          <w:i/>
          <w:color w:val="000000"/>
          <w:sz w:val="24"/>
          <w:szCs w:val="24"/>
        </w:rPr>
      </w:pPr>
    </w:p>
    <w:p w:rsidR="00836DC3" w:rsidRDefault="00BC7837">
      <w:pPr>
        <w:pBdr>
          <w:top w:val="nil"/>
          <w:left w:val="nil"/>
          <w:bottom w:val="nil"/>
          <w:right w:val="nil"/>
          <w:between w:val="nil"/>
        </w:pBdr>
        <w:spacing w:after="0" w:line="240" w:lineRule="auto"/>
        <w:ind w:left="720"/>
        <w:rPr>
          <w:rFonts w:ascii="Times New Roman" w:eastAsia="Times New Roman" w:hAnsi="Times New Roman" w:cs="Times New Roman"/>
          <w:i/>
          <w:color w:val="000000"/>
        </w:rPr>
      </w:pPr>
      <w:r>
        <w:rPr>
          <w:rFonts w:ascii="Times New Roman" w:eastAsia="Times New Roman" w:hAnsi="Times New Roman" w:cs="Times New Roman"/>
          <w:i/>
          <w:color w:val="000000"/>
        </w:rPr>
        <w:t>“En contexto de sequía aumentan las enfermedades de diarrea y en la piel de adultos, niñas y niños, porque se comparte agua con los animales y las fuentes de agua se contaminaron con el incendio…. El sol es demasiado fuerte y no se puede estar en el chaco porque duele la cabeza, se sufre más de presión alta y ya apareció la diabetes”</w:t>
      </w:r>
    </w:p>
    <w:p w:rsidR="00836DC3" w:rsidRDefault="00836DC3">
      <w:pPr>
        <w:pBdr>
          <w:top w:val="nil"/>
          <w:left w:val="nil"/>
          <w:bottom w:val="nil"/>
          <w:right w:val="nil"/>
          <w:between w:val="nil"/>
        </w:pBdr>
        <w:spacing w:after="0" w:line="240" w:lineRule="auto"/>
        <w:ind w:left="720"/>
        <w:rPr>
          <w:rFonts w:ascii="Times New Roman" w:eastAsia="Times New Roman" w:hAnsi="Times New Roman" w:cs="Times New Roman"/>
          <w:i/>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bookmarkStart w:id="1" w:name="_heading=h.gjdgxs" w:colFirst="0" w:colLast="0"/>
      <w:bookmarkEnd w:id="1"/>
      <w:r>
        <w:rPr>
          <w:rFonts w:ascii="Times New Roman" w:eastAsia="Times New Roman" w:hAnsi="Times New Roman" w:cs="Times New Roman"/>
          <w:color w:val="000000"/>
        </w:rPr>
        <w:t>Las mujeres indígenas son las que más sufren las consecuencias climáticas; el aumento de lluvias y sequ</w:t>
      </w:r>
      <w:r>
        <w:rPr>
          <w:rFonts w:ascii="Times New Roman" w:eastAsia="Times New Roman" w:hAnsi="Times New Roman" w:cs="Times New Roman"/>
        </w:rPr>
        <w:t>í</w:t>
      </w:r>
      <w:r>
        <w:rPr>
          <w:rFonts w:ascii="Times New Roman" w:eastAsia="Times New Roman" w:hAnsi="Times New Roman" w:cs="Times New Roman"/>
          <w:color w:val="000000"/>
        </w:rPr>
        <w:t>as está generando impactos en la economía de subsistencia de las familias indígenas, puesto que dependen de los recursos naturales que están expuestos a cambios meteorológicos extremos.</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b/>
          <w:color w:val="000000"/>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rPr>
      </w:pPr>
      <w:r>
        <w:rPr>
          <w:rFonts w:ascii="Times New Roman" w:eastAsia="Times New Roman" w:hAnsi="Times New Roman" w:cs="Times New Roman"/>
          <w:i/>
          <w:color w:val="000000"/>
        </w:rPr>
        <w:t>“Estos últimos años el río llega con mucha fuerza arrastrando piedras, troncos y mucho lodo. Nosotros nos explicamos que esto pasa porque en las cabeceras están deforestando demasiado, y eso ya no está en nuestras manos, nosotros vivimos abajo”</w:t>
      </w:r>
    </w:p>
    <w:p w:rsidR="00836DC3" w:rsidRDefault="00836DC3">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rPr>
      </w:pPr>
      <w:r>
        <w:rPr>
          <w:rFonts w:ascii="Times New Roman" w:eastAsia="Times New Roman" w:hAnsi="Times New Roman" w:cs="Times New Roman"/>
          <w:i/>
          <w:color w:val="000000"/>
        </w:rPr>
        <w:t>“Las crecidas de los ríos duran muy poco, así como llega el agua arrastra con mucha fuerza y luego baja rápidamente su caudal, y eso es porque erosionan los suelos con la tala indiscriminada, ya no hay árboles en los bordes de los ríos.</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Con estas crecidas</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 xml:space="preserve">perdemos cosechas de nuestros cultivos.” </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b/>
          <w:color w:val="000000"/>
        </w:rPr>
      </w:pPr>
    </w:p>
    <w:p w:rsidR="00836DC3" w:rsidRDefault="00240E86">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w:t>
      </w:r>
      <w:r w:rsidR="00BC7837">
        <w:rPr>
          <w:rFonts w:ascii="Times New Roman" w:eastAsia="Times New Roman" w:hAnsi="Times New Roman" w:cs="Times New Roman"/>
          <w:color w:val="000000"/>
        </w:rPr>
        <w:t xml:space="preserve">l cambio climático </w:t>
      </w:r>
      <w:r>
        <w:rPr>
          <w:rFonts w:ascii="Times New Roman" w:eastAsia="Times New Roman" w:hAnsi="Times New Roman" w:cs="Times New Roman"/>
          <w:color w:val="000000"/>
        </w:rPr>
        <w:t>se hace</w:t>
      </w:r>
      <w:r w:rsidR="00BC7837">
        <w:rPr>
          <w:rFonts w:ascii="Times New Roman" w:eastAsia="Times New Roman" w:hAnsi="Times New Roman" w:cs="Times New Roman"/>
          <w:color w:val="000000"/>
        </w:rPr>
        <w:t xml:space="preserve"> evidente a través de la ocurrencia de sequías extraordinaria</w:t>
      </w:r>
      <w:r>
        <w:rPr>
          <w:rFonts w:ascii="Times New Roman" w:eastAsia="Times New Roman" w:hAnsi="Times New Roman" w:cs="Times New Roman"/>
          <w:color w:val="000000"/>
        </w:rPr>
        <w:t>s</w:t>
      </w:r>
      <w:r w:rsidR="00BC7837">
        <w:rPr>
          <w:rFonts w:ascii="Times New Roman" w:eastAsia="Times New Roman" w:hAnsi="Times New Roman" w:cs="Times New Roman"/>
          <w:color w:val="000000"/>
        </w:rPr>
        <w:t>. Pese a ello, no existe apoyo financiero y técnico alguno del “Mecanismo conjunto de Mitigación y Adaptación al Cambio Climático en el marco de la Gestión Integral de Bosques y Biodiversidad” creado el 2016, para las comunidades indígenas.</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rPr>
      </w:pPr>
      <w:r>
        <w:rPr>
          <w:rFonts w:ascii="Times New Roman" w:eastAsia="Times New Roman" w:hAnsi="Times New Roman" w:cs="Times New Roman"/>
          <w:i/>
          <w:color w:val="000000"/>
        </w:rPr>
        <w:t xml:space="preserve">“En épocas de sequía de agosto a diciembre sufrimos mucho. Estamos en sequía y empezamos a ver que nuestros atajados están secando. Incluso la represa del pueblo se ha ido secando. Los ganaderos y colonos interculturales han desmontado los bosques y chaqueado (quemado) sin control, y la sequía está peor”. </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i/>
          <w:color w:val="000000"/>
        </w:rPr>
        <w:t>“Últimamente los incendios han perjudicado, las cenizas hacen que los ojos de agua se sequen y el jichi (espíritu protector) del agua se va”.</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bookmarkStart w:id="2" w:name="_heading=h.30j0zll" w:colFirst="0" w:colLast="0"/>
      <w:bookmarkEnd w:id="2"/>
      <w:r>
        <w:rPr>
          <w:rFonts w:ascii="Times New Roman" w:eastAsia="Times New Roman" w:hAnsi="Times New Roman" w:cs="Times New Roman"/>
          <w:color w:val="000000"/>
        </w:rPr>
        <w:t>Estos periodos de sequía vienen asociados con los más desastrosos y dramáticos incendios ocurridos en la Amazonía boliviana, los años 2019-2020 quemaron más de 7 millones de hectáreas de ecosistemas de bosques y sabanas naturales. Los inmensos incendios aparte de agravar el problema del calentamiento global por la emisión de miles de millones de toneladas de gases con efecto invernadero a la atmósfera; degradan gravemente los ecosistemas terrestres; generan daños a la salud (contaminación del aire y del agua); elevan la temperatura a niveles insoportables y por cierto generan una pérdida de medios de vida de las comunidades y familias indígenas que viven de los recursos de la naturaleza.</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rPr>
      </w:pPr>
      <w:r>
        <w:rPr>
          <w:rFonts w:ascii="Times New Roman" w:eastAsia="Times New Roman" w:hAnsi="Times New Roman" w:cs="Times New Roman"/>
          <w:i/>
          <w:color w:val="000000"/>
        </w:rPr>
        <w:t>“La sequía, los incendios y la pandemia nos obligó a comernos incluso las reservas de semillas; ahora tenemos que ir a trabajar a las estancias. Los Municipios no han implementado programas de emergencia; a pesar que la CNAMIB anunció una crisis de alimentación y hambre en la Chiquitania y el Chaco nunca recibimos ayuda”</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2A32D4" w:rsidRPr="00B80FF1" w:rsidRDefault="002A32D4" w:rsidP="0097603F">
      <w:pPr>
        <w:pStyle w:val="Prrafodelista"/>
        <w:numPr>
          <w:ilvl w:val="0"/>
          <w:numId w:val="1"/>
        </w:numPr>
        <w:spacing w:before="240"/>
        <w:jc w:val="both"/>
        <w:rPr>
          <w:rFonts w:eastAsia="Times New Roman" w:hAnsi="Times New Roman" w:cs="Times New Roman"/>
          <w:sz w:val="22"/>
          <w:szCs w:val="22"/>
          <w:lang w:val="es-MX"/>
        </w:rPr>
      </w:pPr>
      <w:r w:rsidRPr="00B80FF1">
        <w:rPr>
          <w:rFonts w:hAnsi="Times New Roman" w:cs="Times New Roman"/>
          <w:sz w:val="22"/>
          <w:szCs w:val="22"/>
          <w:lang w:val="es-MX"/>
        </w:rPr>
        <w:t>Uno de los lugares que está sufriendo la presión de avasallamiento de tierras y deforestación es la región de la Chiquitanía, Bolivia está en el cuarto lugar en la lista de países que tiene mayor índice de deforestación esto ha dejado en una s</w:t>
      </w:r>
      <w:r w:rsidR="00B80FF1" w:rsidRPr="00B80FF1">
        <w:rPr>
          <w:rFonts w:hAnsi="Times New Roman" w:cs="Times New Roman"/>
          <w:sz w:val="22"/>
          <w:szCs w:val="22"/>
          <w:lang w:val="es-MX"/>
        </w:rPr>
        <w:t>ituación de alta vulnerabilidad a las mujeres indígenas. E</w:t>
      </w:r>
      <w:r w:rsidRPr="00B80FF1">
        <w:rPr>
          <w:rFonts w:hAnsi="Times New Roman" w:cs="Times New Roman"/>
          <w:sz w:val="22"/>
          <w:szCs w:val="22"/>
          <w:lang w:val="es-MX"/>
        </w:rPr>
        <w:t>l año 2019 los efectos del impact</w:t>
      </w:r>
      <w:r w:rsidR="00B80FF1" w:rsidRPr="00B80FF1">
        <w:rPr>
          <w:rFonts w:hAnsi="Times New Roman" w:cs="Times New Roman"/>
          <w:sz w:val="22"/>
          <w:szCs w:val="22"/>
          <w:lang w:val="es-MX"/>
        </w:rPr>
        <w:t>o del cambio climático impactaron</w:t>
      </w:r>
      <w:r w:rsidRPr="00B80FF1">
        <w:rPr>
          <w:rFonts w:hAnsi="Times New Roman" w:cs="Times New Roman"/>
          <w:sz w:val="22"/>
          <w:szCs w:val="22"/>
          <w:lang w:val="es-MX"/>
        </w:rPr>
        <w:t xml:space="preserve"> la Chiquitanía, tuvieron heladas, seguidas de un periodo de prolongadas sequías generando un ambiente propicio para la generación de incendios forestales debido a la ampliación de chaqueos que no han sido controlados por la autoridad competente más bien han sido promovidos por el gobierno con leyes para la ampliación de la producción agrícola y ganadera para la exportación sobre todo a China. Los numerosos focos de calor se salieron de control por los fuertes vientos y la falta de lluvia, la falta de atención de los diferentes niveles de gobierno fue ineficiente y negligente.</w:t>
      </w:r>
    </w:p>
    <w:p w:rsidR="002A32D4" w:rsidRPr="002A32D4" w:rsidRDefault="002A32D4" w:rsidP="002A32D4">
      <w:pPr>
        <w:pStyle w:val="Prrafodelista"/>
        <w:rPr>
          <w:rFonts w:eastAsia="Times New Roman" w:hAnsi="Times New Roman" w:cs="Times New Roman"/>
          <w:sz w:val="22"/>
          <w:szCs w:val="22"/>
          <w:lang w:val="es-MX"/>
        </w:rPr>
      </w:pPr>
    </w:p>
    <w:p w:rsidR="002A32D4" w:rsidRPr="002A32D4" w:rsidRDefault="002A32D4" w:rsidP="002A32D4">
      <w:pPr>
        <w:pStyle w:val="Prrafodelista"/>
        <w:jc w:val="both"/>
        <w:rPr>
          <w:rFonts w:eastAsia="Times New Roman" w:hAnsi="Times New Roman" w:cs="Times New Roman"/>
          <w:i/>
          <w:sz w:val="22"/>
          <w:szCs w:val="22"/>
          <w:lang w:val="es-MX"/>
        </w:rPr>
      </w:pPr>
      <w:r w:rsidRPr="002A32D4">
        <w:rPr>
          <w:rFonts w:hAnsi="Times New Roman" w:cs="Times New Roman"/>
          <w:i/>
          <w:sz w:val="22"/>
          <w:szCs w:val="22"/>
          <w:lang w:val="es-MX"/>
        </w:rPr>
        <w:t>“La ayuda humanitaria no llegó a las comunidades más afectadas y entre comunarias y comunarios debíamos apagar con lo que podían el fuego, hasta los niños con botellas de agua intentaban apagar el fuego. Los animales quemados buscaban agua y alimento, hasta el animal más peligroso que es el tigre venía manso buscando ayuda del humano”</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En las tierras comunitarias los incendios se originaron por tres razones: 1) incendios descontrolados iniciados en las propiedades agrarias colindantes; 2) incendios causados por personas que cuentan con autorización para habilitar asentamientos de nuevas comunidades en tierras fiscales; y 3) fuego provocado por personas que buscan apropiarse de las tierras fiscales de forma ilegal”</w:t>
      </w:r>
      <w:r>
        <w:rPr>
          <w:rFonts w:ascii="Times New Roman" w:eastAsia="Times New Roman" w:hAnsi="Times New Roman" w:cs="Times New Roman"/>
          <w:i/>
          <w:color w:val="000000"/>
          <w:vertAlign w:val="superscript"/>
        </w:rPr>
        <w:t xml:space="preserve"> </w:t>
      </w:r>
      <w:r>
        <w:rPr>
          <w:rFonts w:ascii="Times New Roman" w:eastAsia="Times New Roman" w:hAnsi="Times New Roman" w:cs="Times New Roman"/>
          <w:i/>
          <w:color w:val="000000"/>
          <w:vertAlign w:val="superscript"/>
        </w:rPr>
        <w:footnoteReference w:id="6"/>
      </w:r>
      <w:r>
        <w:rPr>
          <w:rFonts w:ascii="Times New Roman" w:eastAsia="Times New Roman" w:hAnsi="Times New Roman" w:cs="Times New Roman"/>
          <w:color w:val="000000"/>
        </w:rPr>
        <w:t xml:space="preserve"> </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La ampliación de la frontera agrícola y ganadera incentivadas por políticas agrarias</w:t>
      </w:r>
      <w:r>
        <w:rPr>
          <w:rFonts w:ascii="Times New Roman" w:eastAsia="Times New Roman" w:hAnsi="Times New Roman" w:cs="Times New Roman"/>
          <w:color w:val="000000"/>
          <w:vertAlign w:val="superscript"/>
        </w:rPr>
        <w:footnoteReference w:id="7"/>
      </w:r>
      <w:r>
        <w:rPr>
          <w:rFonts w:ascii="Times New Roman" w:eastAsia="Times New Roman" w:hAnsi="Times New Roman" w:cs="Times New Roman"/>
          <w:color w:val="000000"/>
        </w:rPr>
        <w:t xml:space="preserve"> de desregulación ambiental promovidas por los últimos gobiernos, incentivan ese cambio de uso de suelo y habilitación de tierras agropecuarias a través de la deforestación de los bosques, mediante la tecnología tradicional conocida como la “roza-tumba-quema”, denominada también “chaqueo” practicada por los pequeños productores y los grandes ganaderos y agricultores industriales.</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rPr>
      </w:pPr>
      <w:r>
        <w:rPr>
          <w:rFonts w:ascii="Times New Roman" w:eastAsia="Times New Roman" w:hAnsi="Times New Roman" w:cs="Times New Roman"/>
          <w:i/>
          <w:color w:val="000000"/>
        </w:rPr>
        <w:t xml:space="preserve">“Las indígenas sabemos que, para chaquear, primero tenemos que limpiar y hacer zanjas de hasta 5 metros alrededor del chaco y recién prendemos fuego, con ayuda de toda la comunidad, controlando el fuego. Pero los “interculturales” que les dicen, son gente que no saben cómo se hace el chaqueo y le meten fuego a todo, por eso también ocurrió el incendio.  La pena que nos da es que los que somos de aquí del lugar hasta ahora no tenemos títulos de propiedad de nuestras tierras, y sin embargo los colonizadores interculturales llegan de afuera ya con sus títulos de propiedad.” </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rPr>
      </w:pPr>
      <w:r>
        <w:rPr>
          <w:rFonts w:ascii="Times New Roman" w:eastAsia="Times New Roman" w:hAnsi="Times New Roman" w:cs="Times New Roman"/>
          <w:i/>
          <w:color w:val="000000"/>
        </w:rPr>
        <w:t>“Los incendios, han generado daños, contaminando fuentes de agua, afectando la salud de las personas con infecciones oculares y respiratorias, provocando perdida de las cosechas e inseguridad alimentaria en las comunidades</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indígenas”.</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Desde tiempos inmemoriales las naciones y pueblos indígenas originarios, han manejado armónicamente su relación con la naturaleza, eso se puede evidenciar en todas las regiones del país, sobre todo territorios forestales, donde las comunidades indígenas mantienen el bosque en pie, por ser la fuente principal del sustento, la medicina natural y la reproducción de su cultura, sus sistemas productivos de recolección de productos no maderables, el aprovechamiento sostenible de la madera, la agroforestería, y el silvopastoreo. Sin embargo, son discriminados por el Estado que privilegia a sus aliados políticos colonizadores y campesinos en la  titulación de tierras y apoyo productivo.</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b/>
        </w:rPr>
      </w:pP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b/>
        </w:rPr>
      </w:pPr>
    </w:p>
    <w:p w:rsidR="00836DC3" w:rsidRDefault="00BC7837">
      <w:pPr>
        <w:pBdr>
          <w:top w:val="nil"/>
          <w:left w:val="nil"/>
          <w:bottom w:val="nil"/>
          <w:right w:val="nil"/>
          <w:between w:val="nil"/>
        </w:pBdr>
        <w:spacing w:after="0" w:line="240" w:lineRule="auto"/>
        <w:ind w:left="426"/>
        <w:jc w:val="both"/>
        <w:rPr>
          <w:rFonts w:ascii="Times New Roman" w:eastAsia="Times New Roman" w:hAnsi="Times New Roman" w:cs="Times New Roman"/>
          <w:b/>
          <w:color w:val="000000"/>
        </w:rPr>
      </w:pPr>
      <w:r>
        <w:rPr>
          <w:rFonts w:ascii="Times New Roman" w:eastAsia="Times New Roman" w:hAnsi="Times New Roman" w:cs="Times New Roman"/>
          <w:b/>
          <w:color w:val="000000"/>
        </w:rPr>
        <w:t>Actividades extractivas en territorios indígenas</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Otro problema de degradación de los ecosistemas, que las mujeres indígenas identifican en sus territorios, </w:t>
      </w:r>
      <w:r w:rsidR="00B5698F">
        <w:rPr>
          <w:rFonts w:ascii="Times New Roman" w:eastAsia="Times New Roman" w:hAnsi="Times New Roman" w:cs="Times New Roman"/>
          <w:color w:val="000000"/>
        </w:rPr>
        <w:t xml:space="preserve">son </w:t>
      </w:r>
      <w:r>
        <w:rPr>
          <w:rFonts w:ascii="Times New Roman" w:eastAsia="Times New Roman" w:hAnsi="Times New Roman" w:cs="Times New Roman"/>
          <w:color w:val="000000"/>
        </w:rPr>
        <w:t>las industrias extractivas principalmente hidrocarburos y minería. Este tipo de proyectos y operaciones obliga a los pueblos indígenas a ceder sus territorios sin un debido proceso de Consulta Previa, Libre, Informada y de buena fe, carente de compensación justa alguna. Tampoco existen mecanismos concretos para que las mujeres indígenas accedan y participen en los procesos de consulta y en los beneficios que este proyecto pueda reportar a partir de la remediación, restauración y compensación por la explotación de recursos naturales no renovables presentes en sus territorios. Más aún cuando se sabe que los medios de vida de los pueblos indígenas dependen del agua, los bosques y su biodiversidad que forman parte del sustento diario y la continuidad y reproducción de su cultura.</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rPr>
      </w:pPr>
      <w:r>
        <w:rPr>
          <w:rFonts w:ascii="Times New Roman" w:eastAsia="Times New Roman" w:hAnsi="Times New Roman" w:cs="Times New Roman"/>
          <w:i/>
          <w:color w:val="000000"/>
        </w:rPr>
        <w:t xml:space="preserve">“Las actividades hidrocarburíferas y mineras, secan fuentes de agua, contaminan los ríos con mercurio, destruyen </w:t>
      </w:r>
      <w:r>
        <w:rPr>
          <w:rFonts w:ascii="Times New Roman" w:eastAsia="Times New Roman" w:hAnsi="Times New Roman" w:cs="Times New Roman"/>
          <w:i/>
        </w:rPr>
        <w:t>á</w:t>
      </w:r>
      <w:r>
        <w:rPr>
          <w:rFonts w:ascii="Times New Roman" w:eastAsia="Times New Roman" w:hAnsi="Times New Roman" w:cs="Times New Roman"/>
          <w:i/>
          <w:color w:val="000000"/>
        </w:rPr>
        <w:t>rboles de castaña que son fuente de ingresos de las comunidades indígenas; los peces están contaminados con mercurio que son su fuente de proteína para nuestras familias; las mujeres, niñas y niños se encuentran vulnerables a la y trata y tráfico y explotación laboral con la presencia de buscadores de oro ilegales. Las empresas operan sin ninguna transparencia y omiten políticas de protección de los derechos de los pueblos indígenas”.</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La competencia territorial con las actividades extractivas de gas, petróleo y minería, degradan los suelos y generan deforestación destruyendo los medios de vida de las comunidades. Por ejemplo en el caso de la TCO </w:t>
      </w:r>
      <w:r>
        <w:rPr>
          <w:rFonts w:ascii="Times New Roman" w:eastAsia="Times New Roman" w:hAnsi="Times New Roman" w:cs="Times New Roman"/>
        </w:rPr>
        <w:t>del pueblo</w:t>
      </w:r>
      <w:r>
        <w:rPr>
          <w:rFonts w:ascii="Times New Roman" w:eastAsia="Times New Roman" w:hAnsi="Times New Roman" w:cs="Times New Roman"/>
          <w:color w:val="000000"/>
        </w:rPr>
        <w:t xml:space="preserve"> Moseten ubicada en el municipio de Palos Blancos que con 100.830 has tituladas se sobreponen concesiones petroleras y mineras en el 95% del territorio.</w:t>
      </w:r>
      <w:r>
        <w:rPr>
          <w:rFonts w:ascii="Times New Roman" w:eastAsia="Times New Roman" w:hAnsi="Times New Roman" w:cs="Times New Roman"/>
          <w:color w:val="000000"/>
          <w:vertAlign w:val="superscript"/>
        </w:rPr>
        <w:footnoteReference w:id="8"/>
      </w:r>
      <w:r>
        <w:rPr>
          <w:rFonts w:ascii="Times New Roman" w:eastAsia="Times New Roman" w:hAnsi="Times New Roman" w:cs="Times New Roman"/>
          <w:color w:val="000000"/>
        </w:rPr>
        <w:t xml:space="preserve"> Así mismo, la deforestación es elevada, alcanzando el 5% restante del territorio. </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La Defensoría, presentó un Informe sobre “Estado de implementación y cumplimiento del Convenio de Minamata sobre el Mercurio, 2017-2022</w:t>
      </w:r>
      <w:r>
        <w:rPr>
          <w:rFonts w:ascii="Times New Roman" w:eastAsia="Times New Roman" w:hAnsi="Times New Roman" w:cs="Times New Roman"/>
          <w:color w:val="000000"/>
          <w:vertAlign w:val="superscript"/>
        </w:rPr>
        <w:footnoteReference w:id="9"/>
      </w:r>
      <w:r>
        <w:rPr>
          <w:rFonts w:ascii="Times New Roman" w:eastAsia="Times New Roman" w:hAnsi="Times New Roman" w:cs="Times New Roman"/>
          <w:color w:val="000000"/>
          <w:vertAlign w:val="superscript"/>
        </w:rPr>
        <w:t xml:space="preserve"> </w:t>
      </w:r>
      <w:r>
        <w:rPr>
          <w:rFonts w:ascii="Times New Roman" w:eastAsia="Times New Roman" w:hAnsi="Times New Roman" w:cs="Times New Roman"/>
          <w:color w:val="000000"/>
        </w:rPr>
        <w:t>identificando la falta acciones estatales para controlar y reducir el uso del mercurio en la actividad minera del oro en la Amazonía boliviana, donde actualmente existen aproximadamente más de 1.500 cooperativas mineras operando a las que se agregan cientos de mineros informales ilegales. Actualmente Bolivia es el primer país importador mundial de mercurio que se usa para separar el oro de las rocas, arena u otro material; buena parte de este mercurio es distribuido por el contrabando hacia los países vecinos, mientras el Estado carece de mecanismos de control para proteger a los pueblos indígenas de la contaminación provocada por la minería del oro; hecho que se agrava por la falta de transparencia y rendición de cuentas de la Empresa Boliviana del Oro (EBO) de propiedad pública.</w:t>
      </w:r>
    </w:p>
    <w:p w:rsidR="00836DC3" w:rsidRDefault="00836DC3">
      <w:pPr>
        <w:pBdr>
          <w:top w:val="nil"/>
          <w:left w:val="nil"/>
          <w:bottom w:val="nil"/>
          <w:right w:val="nil"/>
          <w:between w:val="nil"/>
        </w:pBdr>
        <w:tabs>
          <w:tab w:val="left" w:pos="284"/>
        </w:tabs>
        <w:spacing w:after="0" w:line="240" w:lineRule="auto"/>
        <w:ind w:left="720"/>
        <w:jc w:val="both"/>
        <w:rPr>
          <w:rFonts w:ascii="Times New Roman" w:eastAsia="Times New Roman" w:hAnsi="Times New Roman" w:cs="Times New Roman"/>
        </w:rPr>
      </w:pPr>
    </w:p>
    <w:p w:rsidR="00836DC3" w:rsidRPr="00917AFC" w:rsidRDefault="00BC7837" w:rsidP="00917AFC">
      <w:pPr>
        <w:numPr>
          <w:ilvl w:val="0"/>
          <w:numId w:val="1"/>
        </w:numPr>
        <w:spacing w:after="0" w:line="240" w:lineRule="auto"/>
        <w:jc w:val="both"/>
        <w:rPr>
          <w:rFonts w:ascii="Times New Roman" w:eastAsia="Times New Roman" w:hAnsi="Times New Roman" w:cs="Times New Roman"/>
        </w:rPr>
      </w:pPr>
      <w:r w:rsidRPr="006105D8">
        <w:rPr>
          <w:rFonts w:ascii="Times New Roman" w:eastAsia="Times New Roman" w:hAnsi="Times New Roman" w:cs="Times New Roman"/>
        </w:rPr>
        <w:t>Las concentraciones de mercurio encontradas en los pueblos indígenas que viven cerca al río Beni, entre octubre y noviembre de 2021 fueron de 7 a 27 superiores a 1 ppm (parte por millón), que es el límite permitido por la Organización Mundial de la Salud (OMS</w:t>
      </w:r>
      <w:r w:rsidRPr="00917AFC">
        <w:rPr>
          <w:rFonts w:ascii="Times New Roman" w:eastAsia="Times New Roman" w:hAnsi="Times New Roman" w:cs="Times New Roman"/>
        </w:rPr>
        <w:t>)</w:t>
      </w:r>
      <w:r w:rsidR="006105D8" w:rsidRPr="00917AFC">
        <w:rPr>
          <w:rStyle w:val="Refdenotaalpie"/>
          <w:rFonts w:ascii="Times New Roman" w:eastAsia="Times New Roman" w:hAnsi="Times New Roman" w:cs="Times New Roman"/>
        </w:rPr>
        <w:footnoteReference w:id="10"/>
      </w:r>
      <w:r w:rsidR="00917AFC" w:rsidRPr="00917AFC">
        <w:rPr>
          <w:rFonts w:ascii="Times New Roman" w:eastAsia="Times New Roman" w:hAnsi="Times New Roman" w:cs="Times New Roman"/>
        </w:rPr>
        <w:t xml:space="preserve">, este nivel alarmante </w:t>
      </w:r>
      <w:r w:rsidR="00917AFC">
        <w:rPr>
          <w:rFonts w:ascii="Times New Roman" w:eastAsia="Times New Roman" w:hAnsi="Times New Roman" w:cs="Times New Roman"/>
        </w:rPr>
        <w:t xml:space="preserve">de mercurio </w:t>
      </w:r>
      <w:r w:rsidR="00917AFC" w:rsidRPr="00917AFC">
        <w:rPr>
          <w:rFonts w:ascii="Times New Roman" w:eastAsia="Times New Roman" w:hAnsi="Times New Roman" w:cs="Times New Roman"/>
        </w:rPr>
        <w:t>está afectando</w:t>
      </w:r>
      <w:r w:rsidR="00917AFC">
        <w:rPr>
          <w:rFonts w:ascii="Times New Roman" w:eastAsia="Times New Roman" w:hAnsi="Times New Roman" w:cs="Times New Roman"/>
        </w:rPr>
        <w:t xml:space="preserve"> sobre todo al pueblo</w:t>
      </w:r>
      <w:r w:rsidR="00917AFC" w:rsidRPr="00917AFC">
        <w:rPr>
          <w:rFonts w:ascii="Times New Roman" w:eastAsia="Times New Roman" w:hAnsi="Times New Roman" w:cs="Times New Roman"/>
        </w:rPr>
        <w:t xml:space="preserve"> indígena Esse Ejja</w:t>
      </w:r>
      <w:r w:rsidR="00B5698F">
        <w:rPr>
          <w:rFonts w:ascii="Times New Roman" w:eastAsia="Times New Roman" w:hAnsi="Times New Roman" w:cs="Times New Roman"/>
        </w:rPr>
        <w:t>, también a los Tacana y Movimas entre otros.</w:t>
      </w:r>
    </w:p>
    <w:p w:rsidR="00836DC3" w:rsidRDefault="00836DC3">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Solicitamos al Co</w:t>
      </w:r>
      <w:r w:rsidR="00B5698F">
        <w:rPr>
          <w:rFonts w:ascii="Times New Roman" w:eastAsia="Times New Roman" w:hAnsi="Times New Roman" w:cs="Times New Roman"/>
          <w:color w:val="000000"/>
        </w:rPr>
        <w:t>mité realice un</w:t>
      </w:r>
      <w:r>
        <w:rPr>
          <w:rFonts w:ascii="Times New Roman" w:eastAsia="Times New Roman" w:hAnsi="Times New Roman" w:cs="Times New Roman"/>
          <w:color w:val="000000"/>
        </w:rPr>
        <w:t xml:space="preserve"> monitoreo sobre las denuncias publicadas por la Defensoría del Pueblo en el caso del abuso del mercurio en la minería del oro y su impacto en las mujeres, niñas y niños indígenas, especialmente de las comunidades ribereñas de los ríos amazónicos en los departamentos de La Paz, Beni y Pando, garantizando medidas de reparación por los daños irreversibles en su salud a causa del envenenamiento. </w:t>
      </w:r>
    </w:p>
    <w:p w:rsidR="00836DC3" w:rsidRDefault="00836DC3">
      <w:pPr>
        <w:pBdr>
          <w:top w:val="nil"/>
          <w:left w:val="nil"/>
          <w:bottom w:val="nil"/>
          <w:right w:val="nil"/>
          <w:between w:val="nil"/>
        </w:pBdr>
        <w:tabs>
          <w:tab w:val="left" w:pos="284"/>
        </w:tabs>
        <w:spacing w:after="0" w:line="240" w:lineRule="auto"/>
        <w:jc w:val="both"/>
        <w:rPr>
          <w:rFonts w:ascii="Times New Roman" w:eastAsia="Times New Roman" w:hAnsi="Times New Roman" w:cs="Times New Roman"/>
          <w:color w:val="000000"/>
        </w:rPr>
      </w:pP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ind w:left="426"/>
        <w:rPr>
          <w:rFonts w:ascii="Times New Roman" w:eastAsia="Times New Roman" w:hAnsi="Times New Roman" w:cs="Times New Roman"/>
          <w:b/>
          <w:sz w:val="24"/>
          <w:szCs w:val="24"/>
        </w:rPr>
      </w:pPr>
      <w:r>
        <w:rPr>
          <w:rFonts w:ascii="Times New Roman" w:eastAsia="Times New Roman" w:hAnsi="Times New Roman" w:cs="Times New Roman"/>
          <w:b/>
          <w:sz w:val="24"/>
          <w:szCs w:val="24"/>
        </w:rPr>
        <w:t>Salud</w:t>
      </w: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Para los pueblos y las mujeres indígenas, la salud es parte de la relación armónica que tienen con su territorio, el medio ambiente, sus medios de vida y su cultura; en este sentido el control de sus territorios y mantenimiento de sus ecosistemas es fundamental para el disfrute del derecho a la salud. Las mujeres indígenas continúan teniendo obstáculos para acceder a los servicios de salud y los medicamentos, muchas de ellas viven a gran distancia, no pueden asumir el costo de los tratamientos y los medicamentos, sufren actitudes discriminatorias y no se toma en cuenta su cultura al momento de la prestación de servicios, en muchos casos solo tienen pequeñas postas de salud sin equipamiento.</w:t>
      </w:r>
    </w:p>
    <w:p w:rsidR="00836DC3" w:rsidRDefault="00836DC3">
      <w:pPr>
        <w:spacing w:after="0" w:line="240" w:lineRule="auto"/>
        <w:rPr>
          <w:rFonts w:ascii="Times New Roman" w:eastAsia="Times New Roman" w:hAnsi="Times New Roman" w:cs="Times New Roman"/>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En Bolivia, la tasa de mortalidad infantil de niños menores de 1 año es de 24 por mil nacidos vivos y la tasa de mortalidad de niñas y niños menores de 5 años es de 29 muertes por cada mil nacidos vivos</w:t>
      </w:r>
      <w:r>
        <w:rPr>
          <w:rFonts w:ascii="Times New Roman" w:eastAsia="Times New Roman" w:hAnsi="Times New Roman" w:cs="Times New Roman"/>
          <w:color w:val="000000"/>
          <w:vertAlign w:val="superscript"/>
        </w:rPr>
        <w:footnoteReference w:id="11"/>
      </w:r>
      <w:r>
        <w:rPr>
          <w:rFonts w:ascii="Times New Roman" w:eastAsia="Times New Roman" w:hAnsi="Times New Roman" w:cs="Times New Roman"/>
          <w:color w:val="000000"/>
        </w:rPr>
        <w:t xml:space="preserve">. En Municipios con presencia de pueblos indígenas la mortalidad en niñas y niños menores de 5 años </w:t>
      </w:r>
      <w:r>
        <w:rPr>
          <w:rFonts w:ascii="Times New Roman" w:eastAsia="Times New Roman" w:hAnsi="Times New Roman" w:cs="Times New Roman"/>
        </w:rPr>
        <w:t>está</w:t>
      </w:r>
      <w:r>
        <w:rPr>
          <w:rFonts w:ascii="Times New Roman" w:eastAsia="Times New Roman" w:hAnsi="Times New Roman" w:cs="Times New Roman"/>
          <w:color w:val="000000"/>
        </w:rPr>
        <w:t xml:space="preserve"> entre 34 y 48 muertes. Este dato es alarmante y esta directamente relacionado con la pobreza extrema y desnutrición infantil.</w:t>
      </w:r>
    </w:p>
    <w:p w:rsidR="00836DC3" w:rsidRDefault="00836DC3">
      <w:pPr>
        <w:spacing w:after="0" w:line="240" w:lineRule="auto"/>
        <w:rPr>
          <w:rFonts w:ascii="Times New Roman" w:eastAsia="Times New Roman" w:hAnsi="Times New Roman" w:cs="Times New Roman"/>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La tasa de mortalidad materna (TMM) es de 160 mujeres por cada cien mil nacidos vivos</w:t>
      </w:r>
      <w:r>
        <w:rPr>
          <w:rFonts w:ascii="Times New Roman" w:eastAsia="Times New Roman" w:hAnsi="Times New Roman" w:cs="Times New Roman"/>
          <w:color w:val="000000"/>
          <w:vertAlign w:val="superscript"/>
        </w:rPr>
        <w:footnoteReference w:id="12"/>
      </w:r>
      <w:r>
        <w:rPr>
          <w:rFonts w:ascii="Times New Roman" w:eastAsia="Times New Roman" w:hAnsi="Times New Roman" w:cs="Times New Roman"/>
          <w:color w:val="000000"/>
        </w:rPr>
        <w:t xml:space="preserve">, es una de las más altas entre los países latinoamericanos. Las mujeres que mueren son jóvenes, con baja escolaridad, alta fecundidad y pobreza. </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Si bien se han ido implementado políticas dirigidas a disminuir la situación de pobreza y mortalidad materna, éstas no logran llegar a la totalidad de la población en general y en particular a las mujeres indígenas, cuyas las limitantes son la distancia geográfica, falta de infraestructura adecuada, falta de acceso a la información y servicios culturalmente adecuados. Los hospitales públicos en general carecen de políticas interculturales apropiadas al origen étnico de sus pacientes, aún persiste un trato discriminatorio hacia las mujeres indígenas.</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Para las mujeres indígenas gestantes del área rural el acceso al beneficio del Estado a través del Bono Juana Azurduy es limitado. Las mujeres indígenas identifican varias dificultades para beneficiarse de este Bono; por ejemplo: difícil acceso debido a la lejanía de sus comunidades de un centro de salud donde puedan realizar sus respectivos controles; el trámite burocrático de registro que les toma muchos días, significando gastos de estadía y alimentación porque tienen que ausentarse varios días de sus comunidades; el no contar con carnet de identidad les impide registrarse como beneficiarias del bono; también mencionan el maltrato en la atención y no acorde a la cultura de las mujeres indígenas; éstos factores terminan desanimándolas de solicitar este Bono y el subsidio prenatal. El testimonio siguiente es un claro ejemplo de las dificultades que tienen las mujeres indígenas para acceder a una salud de calidad y calidez. </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i/>
          <w:color w:val="000000"/>
        </w:rPr>
        <w:t>“Cuando llegamos a los hospitales o centros médicos, tardan en atendernos, nos dicen que esperemos, nosotros no vamos por cualquier enfermedad, si llegamos al hospital es porque realmente estamos enfermas y necesitamos ayuda, nos hacen esperar mucho tiempo con nuestros dolores y malestar”</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Para las y los adultos mayores de 60 años los Municipios están encargados de distribuir el complemento nutricional denominado “Carmelo” a todas y todos los adultos que realizan sus controles médicos. Nuevamente las mujeres indígenas adultas tropiezan con obstáculos similares y no todas reciben este beneficio, porque sus comunidades son alejadas de los centros de salud para realizar sus controles, no todas tienen documento de identidad para registrarse, falta de intérpretes de sus idiomas, falta de información accesible y culturalmente adecuada.</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pBdr>
          <w:top w:val="nil"/>
          <w:left w:val="nil"/>
          <w:bottom w:val="nil"/>
          <w:right w:val="nil"/>
          <w:between w:val="nil"/>
        </w:pBdr>
        <w:spacing w:after="0" w:line="240" w:lineRule="auto"/>
        <w:ind w:left="720"/>
        <w:rPr>
          <w:rFonts w:ascii="Times New Roman" w:eastAsia="Times New Roman" w:hAnsi="Times New Roman" w:cs="Times New Roman"/>
          <w:i/>
          <w:color w:val="000000"/>
        </w:rPr>
      </w:pPr>
      <w:r>
        <w:rPr>
          <w:rFonts w:ascii="Times New Roman" w:eastAsia="Times New Roman" w:hAnsi="Times New Roman" w:cs="Times New Roman"/>
          <w:i/>
          <w:color w:val="000000"/>
        </w:rPr>
        <w:t xml:space="preserve">“Existe mucha fragmentación y burocratización en el procedimiento de atención; para que nos atiendan primero tenemos que ir a un centro de primer nivel, es decir en tu comunidad y recién de ahí te derivan a la especialidad que necesitas…. Si se </w:t>
      </w:r>
      <w:r>
        <w:rPr>
          <w:rFonts w:ascii="Times New Roman" w:eastAsia="Times New Roman" w:hAnsi="Times New Roman" w:cs="Times New Roman"/>
          <w:i/>
        </w:rPr>
        <w:t>necesita</w:t>
      </w:r>
      <w:r>
        <w:rPr>
          <w:rFonts w:ascii="Times New Roman" w:eastAsia="Times New Roman" w:hAnsi="Times New Roman" w:cs="Times New Roman"/>
          <w:i/>
          <w:color w:val="000000"/>
        </w:rPr>
        <w:t xml:space="preserve"> ambulancia, tenemos que pagar ese servicio, sino tenemos dinero no podemos trasladar a los enfermos…”</w:t>
      </w:r>
    </w:p>
    <w:p w:rsidR="00836DC3" w:rsidRDefault="00836DC3">
      <w:pPr>
        <w:pBdr>
          <w:top w:val="nil"/>
          <w:left w:val="nil"/>
          <w:bottom w:val="nil"/>
          <w:right w:val="nil"/>
          <w:between w:val="nil"/>
        </w:pBdr>
        <w:spacing w:after="0" w:line="240" w:lineRule="auto"/>
        <w:ind w:left="720"/>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Las mujeres indígenas, </w:t>
      </w:r>
      <w:r w:rsidR="00961C00">
        <w:rPr>
          <w:rFonts w:ascii="Times New Roman" w:eastAsia="Times New Roman" w:hAnsi="Times New Roman" w:cs="Times New Roman"/>
          <w:color w:val="000000"/>
        </w:rPr>
        <w:t>beneficiarias</w:t>
      </w:r>
      <w:r>
        <w:rPr>
          <w:rFonts w:ascii="Times New Roman" w:eastAsia="Times New Roman" w:hAnsi="Times New Roman" w:cs="Times New Roman"/>
          <w:color w:val="000000"/>
        </w:rPr>
        <w:t xml:space="preserve"> del Se</w:t>
      </w:r>
      <w:r w:rsidR="00961C00">
        <w:rPr>
          <w:rFonts w:ascii="Times New Roman" w:eastAsia="Times New Roman" w:hAnsi="Times New Roman" w:cs="Times New Roman"/>
          <w:color w:val="000000"/>
        </w:rPr>
        <w:t>rvicio Universal de Salud (SUS)</w:t>
      </w:r>
      <w:r>
        <w:rPr>
          <w:rFonts w:ascii="Times New Roman" w:eastAsia="Times New Roman" w:hAnsi="Times New Roman" w:cs="Times New Roman"/>
          <w:color w:val="000000"/>
        </w:rPr>
        <w:t xml:space="preserve"> consideran que no es el mejor servicio ya que no cubre todos los medica</w:t>
      </w:r>
      <w:r w:rsidR="00961C00">
        <w:rPr>
          <w:rFonts w:ascii="Times New Roman" w:eastAsia="Times New Roman" w:hAnsi="Times New Roman" w:cs="Times New Roman"/>
          <w:color w:val="000000"/>
        </w:rPr>
        <w:t>mentos necesarios para ci</w:t>
      </w:r>
      <w:r>
        <w:rPr>
          <w:rFonts w:ascii="Times New Roman" w:eastAsia="Times New Roman" w:hAnsi="Times New Roman" w:cs="Times New Roman"/>
          <w:color w:val="000000"/>
        </w:rPr>
        <w:t xml:space="preserve">rugías u otras enfermedades. </w:t>
      </w:r>
    </w:p>
    <w:p w:rsidR="00836DC3" w:rsidRDefault="00836DC3">
      <w:pPr>
        <w:pBdr>
          <w:top w:val="nil"/>
          <w:left w:val="nil"/>
          <w:bottom w:val="nil"/>
          <w:right w:val="nil"/>
          <w:between w:val="nil"/>
        </w:pBdr>
        <w:spacing w:after="0" w:line="240" w:lineRule="auto"/>
        <w:ind w:left="720"/>
        <w:rPr>
          <w:rFonts w:ascii="Times New Roman" w:eastAsia="Times New Roman" w:hAnsi="Times New Roman" w:cs="Times New Roman"/>
          <w:color w:val="000000"/>
        </w:rPr>
      </w:pPr>
    </w:p>
    <w:p w:rsidR="00836DC3" w:rsidRDefault="00BC7837">
      <w:pPr>
        <w:pBdr>
          <w:top w:val="nil"/>
          <w:left w:val="nil"/>
          <w:bottom w:val="nil"/>
          <w:right w:val="nil"/>
          <w:between w:val="nil"/>
        </w:pBdr>
        <w:spacing w:after="0" w:line="240" w:lineRule="auto"/>
        <w:ind w:left="720"/>
        <w:rPr>
          <w:rFonts w:ascii="Times New Roman" w:eastAsia="Times New Roman" w:hAnsi="Times New Roman" w:cs="Times New Roman"/>
          <w:i/>
          <w:color w:val="000000"/>
        </w:rPr>
      </w:pPr>
      <w:r>
        <w:rPr>
          <w:rFonts w:ascii="Times New Roman" w:eastAsia="Times New Roman" w:hAnsi="Times New Roman" w:cs="Times New Roman"/>
          <w:i/>
          <w:color w:val="000000"/>
        </w:rPr>
        <w:t xml:space="preserve">“Hay muchas personas que no se inscribieron </w:t>
      </w:r>
      <w:r>
        <w:rPr>
          <w:rFonts w:ascii="Times New Roman" w:eastAsia="Times New Roman" w:hAnsi="Times New Roman" w:cs="Times New Roman"/>
          <w:i/>
        </w:rPr>
        <w:t>al SUS</w:t>
      </w:r>
      <w:r>
        <w:rPr>
          <w:rFonts w:ascii="Times New Roman" w:eastAsia="Times New Roman" w:hAnsi="Times New Roman" w:cs="Times New Roman"/>
          <w:i/>
          <w:color w:val="000000"/>
        </w:rPr>
        <w:t>, porque no es muy eficiente ya que no cubre los medicamentos y eso es lo más costoso, también existe demasiada burocracia cuando la gente llega enferma”</w:t>
      </w:r>
    </w:p>
    <w:p w:rsidR="00836DC3" w:rsidRDefault="00836DC3">
      <w:pPr>
        <w:pBdr>
          <w:top w:val="nil"/>
          <w:left w:val="nil"/>
          <w:bottom w:val="nil"/>
          <w:right w:val="nil"/>
          <w:between w:val="nil"/>
        </w:pBdr>
        <w:spacing w:after="0" w:line="240" w:lineRule="auto"/>
        <w:ind w:left="720"/>
        <w:rPr>
          <w:rFonts w:ascii="Times New Roman" w:eastAsia="Times New Roman" w:hAnsi="Times New Roman" w:cs="Times New Roman"/>
          <w:i/>
          <w:color w:val="000000"/>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i/>
          <w:color w:val="000000"/>
        </w:rPr>
        <w:t xml:space="preserve">“El seguro universal, no es de mucha ayuda para los indígenas, porque llegado el momento que acudimos de emergencia al hospital nos dicen que no hay medicamentos, que solo tienen ibuprofeno o paracetamol, y en este tiempo de pandemia COVID-19 ni eso tenían…” </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Solicitamos al Comité que en sus recomendaciones al Estado boliviano </w:t>
      </w:r>
      <w:r>
        <w:rPr>
          <w:rFonts w:ascii="Times New Roman" w:eastAsia="Times New Roman" w:hAnsi="Times New Roman" w:cs="Times New Roman"/>
        </w:rPr>
        <w:t>exige</w:t>
      </w:r>
      <w:r>
        <w:rPr>
          <w:rFonts w:ascii="Times New Roman" w:eastAsia="Times New Roman" w:hAnsi="Times New Roman" w:cs="Times New Roman"/>
          <w:color w:val="000000"/>
        </w:rPr>
        <w:t xml:space="preserve"> tomar en  cuenta las necesidades de las mujeres indígenas en temas de salud, poniendo a disposición presupuesto y servicios de salud de calidad adecuados a su cultura; ampliando y facilitando el acceso en comunidades indígenas alejadas. El diseño de estas políticas públicas de salud y sus mecanismos operativos debe realizarse a partir del ejercicio del derecho a la Consulta Previa Libre e Informada para garantizar la participación de las mujeres indígenas en los asuntos que les afectan, incorporándolas  las propuestas de las mujeres indígenas para mejorar los servicios de salud en sus localidades, así mismo, solicitamos al Comité monitoree la situación de discriminación étnica y de género que aún prevalece en el sistema de salud y las desigualdades regionales que prevalecen en la asignación de los recursos.</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b/>
          <w:color w:val="000000"/>
        </w:rPr>
      </w:pPr>
    </w:p>
    <w:p w:rsidR="00836DC3" w:rsidRDefault="00BC7837">
      <w:pPr>
        <w:pBdr>
          <w:top w:val="nil"/>
          <w:left w:val="nil"/>
          <w:bottom w:val="nil"/>
          <w:right w:val="nil"/>
          <w:between w:val="nil"/>
        </w:pBdr>
        <w:spacing w:after="0" w:line="240" w:lineRule="auto"/>
        <w:ind w:left="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Efectos de la pandemia en los derechos de la mujer y la igualdad de género.</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b/>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La pandemia Covid-19, ha provocado un retroceso dramático en el índice de pobreza nacional que tiende a retroceder del 22% al 31%</w:t>
      </w:r>
      <w:r>
        <w:rPr>
          <w:rFonts w:ascii="Times New Roman" w:eastAsia="Times New Roman" w:hAnsi="Times New Roman" w:cs="Times New Roman"/>
          <w:color w:val="000000"/>
          <w:vertAlign w:val="superscript"/>
        </w:rPr>
        <w:footnoteReference w:id="13"/>
      </w:r>
      <w:r>
        <w:rPr>
          <w:rFonts w:ascii="Times New Roman" w:eastAsia="Times New Roman" w:hAnsi="Times New Roman" w:cs="Times New Roman"/>
          <w:color w:val="000000"/>
        </w:rPr>
        <w:t>, situación que se concentra en las comunidades indígenas más alejadas de los centros urbanos. Por otra parte, el Producto Interno Bruto (PIB) registró una variación acumulada de -11,11% (INE Noticias</w:t>
      </w:r>
      <w:r>
        <w:rPr>
          <w:rFonts w:ascii="Times New Roman" w:eastAsia="Times New Roman" w:hAnsi="Times New Roman" w:cs="Times New Roman"/>
        </w:rPr>
        <w:t xml:space="preserve">, </w:t>
      </w:r>
      <w:r>
        <w:rPr>
          <w:rFonts w:ascii="Times New Roman" w:eastAsia="Times New Roman" w:hAnsi="Times New Roman" w:cs="Times New Roman"/>
          <w:color w:val="000000"/>
        </w:rPr>
        <w:t>2020) y es posible que la recuperación económica demore décadas, mientras se avizora la profundización de la crisis de emergencia alimentaria en los territorios indígenas principalmente de la Chiquitania y el Chaco.</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rPr>
      </w:pPr>
      <w:r>
        <w:rPr>
          <w:rFonts w:ascii="Times New Roman" w:eastAsia="Times New Roman" w:hAnsi="Times New Roman" w:cs="Times New Roman"/>
          <w:i/>
          <w:color w:val="000000"/>
        </w:rPr>
        <w:t>“Los municipios durante la pandemia nos discriminaron a las comunidades indígenas chiquitanas, no nos dieron nada; nos dijeron que durante los incendios del año pasado ya habíamos recibido algo y que ya no podíamos seguir recibiendo nada”</w:t>
      </w:r>
    </w:p>
    <w:p w:rsidR="00836DC3" w:rsidRDefault="00836DC3">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i/>
          <w:color w:val="000000"/>
        </w:rPr>
        <w:t xml:space="preserve">“Solo atendían a los infectados con COVID-19. Las mujeres gestantes, durante la pandemia no han sido atendidas. Lo mismo pasó con las mujeres en el caso de los derechos sexuales y reproductivos no se cumplieron, aumentaron los embarazos, también se afectaron a mujeres con cáncer y VIH que quedaron postergadas”. </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La </w:t>
      </w:r>
      <w:r>
        <w:rPr>
          <w:rFonts w:ascii="Times New Roman" w:eastAsia="Times New Roman" w:hAnsi="Times New Roman" w:cs="Times New Roman"/>
        </w:rPr>
        <w:t>pandemia ha</w:t>
      </w:r>
      <w:r>
        <w:rPr>
          <w:rFonts w:ascii="Times New Roman" w:eastAsia="Times New Roman" w:hAnsi="Times New Roman" w:cs="Times New Roman"/>
          <w:color w:val="000000"/>
        </w:rPr>
        <w:t xml:space="preserve"> dejado una sensación amarga de abandono en todas las mujeres indígenas; las comunidades están viviendo una constante incertidumbre, miedo y tristeza ante este nuevo virus que pone en peligro la vida. Sienten que el gobierno las ha olvidado y que no se han tomado las medidas necesarias para garantizar el acceso a servicios de salud y alimentación en los meses de confinamiento. El cierre del transporte público y de los mercados limitó seriamente el acceso a los alimentos y productos sanitarios que las comunidades no producen y deben comprar para complementar su canasta básica tales como aceite, harina, azúcar, jabón, alcohol, entre otros. </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rPr>
      </w:pPr>
      <w:r>
        <w:rPr>
          <w:rFonts w:ascii="Times New Roman" w:eastAsia="Times New Roman" w:hAnsi="Times New Roman" w:cs="Times New Roman"/>
          <w:i/>
          <w:color w:val="000000"/>
        </w:rPr>
        <w:t>“Las mujeres tuvieron que soportar la violencia y vivir con el agresor, porque los funcionarios del Servicio Legal Integral Municipal (SLIM) se ausentaron dejándolas desprotegidas”</w:t>
      </w:r>
    </w:p>
    <w:p w:rsidR="00836DC3" w:rsidRDefault="00BC7837">
      <w:pPr>
        <w:pBdr>
          <w:top w:val="nil"/>
          <w:left w:val="nil"/>
          <w:bottom w:val="nil"/>
          <w:right w:val="nil"/>
          <w:between w:val="nil"/>
        </w:pBdr>
        <w:spacing w:after="0" w:line="240" w:lineRule="auto"/>
        <w:jc w:val="both"/>
        <w:rPr>
          <w:rFonts w:ascii="Times New Roman" w:eastAsia="Times New Roman" w:hAnsi="Times New Roman" w:cs="Times New Roman"/>
        </w:rPr>
      </w:pPr>
      <w:r>
        <w:rPr>
          <w:noProof/>
          <w:lang w:val="es-MX"/>
        </w:rPr>
        <mc:AlternateContent>
          <mc:Choice Requires="wps">
            <w:drawing>
              <wp:anchor distT="0" distB="0" distL="114300" distR="114300" simplePos="0" relativeHeight="251658240" behindDoc="0" locked="0" layoutInCell="1" hidden="0" allowOverlap="1">
                <wp:simplePos x="0" y="0"/>
                <wp:positionH relativeFrom="column">
                  <wp:posOffset>88901</wp:posOffset>
                </wp:positionH>
                <wp:positionV relativeFrom="paragraph">
                  <wp:posOffset>304800</wp:posOffset>
                </wp:positionV>
                <wp:extent cx="55244" cy="387477"/>
                <wp:effectExtent l="0" t="0" r="0" b="0"/>
                <wp:wrapNone/>
                <wp:docPr id="2" name="Rectángulo 2"/>
                <wp:cNvGraphicFramePr/>
                <a:graphic xmlns:a="http://schemas.openxmlformats.org/drawingml/2006/main">
                  <a:graphicData uri="http://schemas.microsoft.com/office/word/2010/wordprocessingShape">
                    <wps:wsp>
                      <wps:cNvSpPr/>
                      <wps:spPr>
                        <a:xfrm>
                          <a:off x="5323141" y="3591024"/>
                          <a:ext cx="45719" cy="377952"/>
                        </a:xfrm>
                        <a:prstGeom prst="rect">
                          <a:avLst/>
                        </a:prstGeom>
                        <a:noFill/>
                        <a:ln>
                          <a:noFill/>
                        </a:ln>
                      </wps:spPr>
                      <wps:txbx>
                        <w:txbxContent>
                          <w:p w:rsidR="00836DC3" w:rsidRDefault="00836DC3">
                            <w:pPr>
                              <w:spacing w:line="258" w:lineRule="auto"/>
                              <w:textDirection w:val="btLr"/>
                            </w:pPr>
                          </w:p>
                        </w:txbxContent>
                      </wps:txbx>
                      <wps:bodyPr spcFirstLastPara="1" wrap="square" lIns="45700" tIns="45700" rIns="45700" bIns="45700" anchor="t" anchorCtr="0">
                        <a:noAutofit/>
                      </wps:bodyPr>
                    </wps:wsp>
                  </a:graphicData>
                </a:graphic>
              </wp:anchor>
            </w:drawing>
          </mc:Choice>
          <mc:Fallback>
            <w:pict>
              <v:rect id="Rectángulo 2" o:spid="_x0000_s1026" style="position:absolute;left:0;text-align:left;margin-left:7pt;margin-top:24pt;width:4.35pt;height:30.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" filled="f" stroked="f">
                <v:textbox inset="1.2694mm,1.2694mm,1.2694mm,1.2694mm">
                  <w:txbxContent>
                    <w:p w:rsidR="00836DC3" w:rsidRDefault="00836DC3">
                      <w:pPr>
                        <w:spacing w:line="258" w:lineRule="auto"/>
                        <w:textDirection w:val="btLr"/>
                      </w:pPr>
                    </w:p>
                  </w:txbxContent>
                </v:textbox>
              </v:rect>
            </w:pict>
          </mc:Fallback>
        </mc:AlternateContent>
      </w: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Ante la falta de información clara y atención eficaz por parte del Estado, los pueblos indígenas de manera resiliente se organizaron para recuperar sus saberes y conocimientos ancestrales sobre la medicina tradicional y aplicarlos en sus comunidades para contrarrestar el impacto negativo del virus en su salud.</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i/>
          <w:color w:val="000000"/>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i/>
          <w:color w:val="000000"/>
        </w:rPr>
        <w:t xml:space="preserve">“Esta pandemia nos ha hecho sufrir y tener mucho, mucho miedo, pero también nos ha ayudado a unirnos como familias, </w:t>
      </w:r>
      <w:r>
        <w:rPr>
          <w:rFonts w:ascii="Times New Roman" w:eastAsia="Times New Roman" w:hAnsi="Times New Roman" w:cs="Times New Roman"/>
          <w:i/>
        </w:rPr>
        <w:t>a revalorizar</w:t>
      </w:r>
      <w:r>
        <w:rPr>
          <w:rFonts w:ascii="Times New Roman" w:eastAsia="Times New Roman" w:hAnsi="Times New Roman" w:cs="Times New Roman"/>
          <w:i/>
          <w:color w:val="000000"/>
        </w:rPr>
        <w:t xml:space="preserve"> los conocimientos y saberes de nuestros antiguos”.</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i/>
          <w:color w:val="000000"/>
        </w:rPr>
        <w:t xml:space="preserve">“Las comunidades nos organizamos en reuniones con los abuelos y conocedores de estos saberes ancestrales para identificar los lugares del territorio donde se pueden recolectar las plantas para preparar las medicinas necesarias para sobrevivir esta enfermedad; hasta ahora seguimos tomando esas </w:t>
      </w:r>
      <w:r>
        <w:rPr>
          <w:rFonts w:ascii="Times New Roman" w:eastAsia="Times New Roman" w:hAnsi="Times New Roman" w:cs="Times New Roman"/>
          <w:i/>
        </w:rPr>
        <w:t>hierbas</w:t>
      </w:r>
      <w:r>
        <w:rPr>
          <w:rFonts w:ascii="Times New Roman" w:eastAsia="Times New Roman" w:hAnsi="Times New Roman" w:cs="Times New Roman"/>
          <w:i/>
          <w:color w:val="000000"/>
        </w:rPr>
        <w:t xml:space="preserve">.” </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i/>
          <w:color w:val="000000"/>
        </w:rPr>
        <w:t xml:space="preserve">“Los médicos nos decían que dejemos de tomar nuestras </w:t>
      </w:r>
      <w:r>
        <w:rPr>
          <w:rFonts w:ascii="Times New Roman" w:eastAsia="Times New Roman" w:hAnsi="Times New Roman" w:cs="Times New Roman"/>
          <w:i/>
        </w:rPr>
        <w:t>hierbas y</w:t>
      </w:r>
      <w:r>
        <w:rPr>
          <w:rFonts w:ascii="Times New Roman" w:eastAsia="Times New Roman" w:hAnsi="Times New Roman" w:cs="Times New Roman"/>
          <w:i/>
          <w:color w:val="000000"/>
        </w:rPr>
        <w:t xml:space="preserve"> que solo nos íbamos a intoxicar. También nos decían que los temas de mujeres no eran importantes ni prioritarios”</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Es importante que el Estado, a nivel nacional, regional y local tome en cuenta la capacidad propia de prevención y mitigación que tienen las mujeres indígenas para elaborar estrategias de salud y alimentación de manera coordinada con las comunidades.</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rPr>
      </w:pPr>
      <w:r>
        <w:rPr>
          <w:rFonts w:ascii="Times New Roman" w:eastAsia="Times New Roman" w:hAnsi="Times New Roman" w:cs="Times New Roman"/>
          <w:i/>
          <w:color w:val="000000"/>
        </w:rPr>
        <w:t>“Durante la pandemia, la doble función de cuidado y reproducción aumentaron para las mujeres porque deben proveer alimentos que no hay, ya que la producción bajó porque en confinamiento no podíamos salir a trabajar”</w:t>
      </w:r>
    </w:p>
    <w:p w:rsidR="00836DC3" w:rsidRDefault="00836DC3">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sz w:val="20"/>
          <w:szCs w:val="20"/>
        </w:rPr>
      </w:pPr>
    </w:p>
    <w:p w:rsidR="00836DC3" w:rsidRDefault="00BC7837">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rPr>
      </w:pPr>
      <w:r>
        <w:rPr>
          <w:rFonts w:ascii="Times New Roman" w:eastAsia="Times New Roman" w:hAnsi="Times New Roman" w:cs="Times New Roman"/>
          <w:i/>
          <w:color w:val="000000"/>
        </w:rPr>
        <w:t>“El COVID-19 implicó la concentración de las familias, muchos hijos han regresado aumentando la presión sobre la pesca y la caza para consumo y para venta; también se prohibió la siembra para ir a cultivar y ahora faltan alimentos. Se requiere un plan de emergencia post COVID”</w:t>
      </w:r>
    </w:p>
    <w:p w:rsidR="00836DC3" w:rsidRDefault="00836DC3">
      <w:pPr>
        <w:pBdr>
          <w:top w:val="nil"/>
          <w:left w:val="nil"/>
          <w:bottom w:val="nil"/>
          <w:right w:val="nil"/>
          <w:between w:val="nil"/>
        </w:pBdr>
        <w:spacing w:after="0" w:line="240" w:lineRule="auto"/>
        <w:ind w:left="720"/>
        <w:jc w:val="both"/>
        <w:rPr>
          <w:rFonts w:ascii="Times New Roman" w:eastAsia="Times New Roman" w:hAnsi="Times New Roman" w:cs="Times New Roman"/>
          <w:i/>
          <w:color w:val="000000"/>
          <w:sz w:val="20"/>
          <w:szCs w:val="20"/>
        </w:rPr>
      </w:pPr>
    </w:p>
    <w:p w:rsidR="00836DC3" w:rsidRDefault="00BC7837" w:rsidP="00961C00">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Pedimos al Comité recomendar al Estado boliviano, potenciar los sistemas tradicionales de salud indígena e integrarlos en el sistema público de salud asignándole recursos financieros, infraestructura culturalmente apropiada y fortaleciendo sus capacidades de participación y atención comunitaria. Así mismo, solicitamos monitorear la implementación de mecanismos de protección ante la evidencia de las prácticas discriminatorias hacia las mujeres indígenas que aún persisten en el sistema de salud y las entidades públicas. </w:t>
      </w:r>
    </w:p>
    <w:p w:rsidR="00836DC3" w:rsidRDefault="00836DC3">
      <w:pPr>
        <w:pBdr>
          <w:top w:val="nil"/>
          <w:left w:val="nil"/>
          <w:bottom w:val="nil"/>
          <w:right w:val="nil"/>
          <w:between w:val="nil"/>
        </w:pBdr>
        <w:spacing w:after="0" w:line="240" w:lineRule="auto"/>
        <w:ind w:left="720"/>
        <w:rPr>
          <w:rFonts w:ascii="Times New Roman" w:eastAsia="Times New Roman" w:hAnsi="Times New Roman" w:cs="Times New Roman"/>
          <w:color w:val="000000"/>
        </w:rPr>
      </w:pPr>
    </w:p>
    <w:p w:rsidR="00836DC3" w:rsidRDefault="00BC7837">
      <w:pPr>
        <w:keepNext/>
        <w:keepLines/>
        <w:pBdr>
          <w:top w:val="nil"/>
          <w:left w:val="nil"/>
          <w:bottom w:val="nil"/>
          <w:right w:val="nil"/>
          <w:between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240" w:lineRule="auto"/>
        <w:ind w:left="426" w:right="1260"/>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Empoderamiento económico de las mujeres</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Si bien hubo un avance significativo en la titulación de territorios indígenas, se avanzó muy poco en las autonomías indígenas y en la dotación de recursos económicos para el desarrollo comunitario. Sin la seguridad jurídica sobre la tierra y sin los recursos tecnológicos y financieros suficientes, la agricultura familiar indígena es menos resiliente y más vulnerable a las crisis de los mercados y al cambio climático. </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Las comunidades indígenas siguen abandonadas por el Estado, a la vez que éste continua con sus políticas de cierres de espacios para la participación de la sociedad civil y de hostigamiento hacia las propias Organizaciones indígenas y las ONGs de desarrollo que contribuyen al empoderamiento de las mujeres indígenas. A las ONGs les condicionan su funcionamiento a través del Sistema de Registro Unico dependiente del Ministerio de Planificación del Desarrollo a través del cual limita el acceso a la Cooperación Internacional. Mientras que las organizaciones nacionales de mujeres indígenas independientes del partido político oficialista se les impone una via crucis para otorgarles Personería Jurídica. Por otra parte, el Fondo de Desarrollo Indígena que debía ser una política pública clave para la inversión en los territorios indígenas no está funcionando adecuadamente, se concentra en las tierras altas y carece de una política específica de equidad de género. La política territorial ahora “basada en las TIOCs” ha incentivado la ocupación de los territorios indígenas de tierras bajas por grupos colonizadores campesinos e interculturales, poniendo en cuestión la gobernanza de los territorios, acelerando la degradación de los recursos naturales al exponerlos a sistemas de producción intensivos que atentan contra el manejo sostenible que tradicionalmente han practicado las mujeres indígenas de tierras bajas, abriendo innumerables conflictos locales derivados de los violentos avasallamientos de los territorios indígenas.</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Pr="00EA1CE9" w:rsidRDefault="00BC7837" w:rsidP="001646A5">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sidRPr="00EA1CE9">
        <w:rPr>
          <w:rFonts w:ascii="Times New Roman" w:eastAsia="Times New Roman" w:hAnsi="Times New Roman" w:cs="Times New Roman"/>
          <w:color w:val="000000"/>
        </w:rPr>
        <w:t xml:space="preserve">La legislación forestal boliviana (Ley N°1700) ha reconocido desde hace 25 años diferentes tipos de derechos forestales para comunidades indígenas que desarrollan iniciativas </w:t>
      </w:r>
      <w:r w:rsidR="00EA1CE9" w:rsidRPr="00EA1CE9">
        <w:rPr>
          <w:rFonts w:ascii="Times New Roman" w:eastAsia="Times New Roman" w:hAnsi="Times New Roman" w:cs="Times New Roman"/>
          <w:color w:val="000000"/>
        </w:rPr>
        <w:t>de Manejo Forestal Comunitario; de la</w:t>
      </w:r>
      <w:r w:rsidRPr="00EA1CE9">
        <w:rPr>
          <w:rFonts w:ascii="Times New Roman" w:eastAsia="Times New Roman" w:hAnsi="Times New Roman" w:cs="Times New Roman"/>
          <w:color w:val="000000"/>
        </w:rPr>
        <w:t>s 5 millones de hectáreas de una gran diversidad de bosques existentes dentro d</w:t>
      </w:r>
      <w:r w:rsidR="00EA1CE9" w:rsidRPr="00EA1CE9">
        <w:rPr>
          <w:rFonts w:ascii="Times New Roman" w:eastAsia="Times New Roman" w:hAnsi="Times New Roman" w:cs="Times New Roman"/>
          <w:color w:val="000000"/>
        </w:rPr>
        <w:t>e los territorios indígenas,</w:t>
      </w:r>
      <w:r w:rsidRPr="00EA1CE9">
        <w:rPr>
          <w:rFonts w:ascii="Times New Roman" w:eastAsia="Times New Roman" w:hAnsi="Times New Roman" w:cs="Times New Roman"/>
          <w:color w:val="000000"/>
        </w:rPr>
        <w:t xml:space="preserve"> 1 millón de hectáreas está bajo manejo forestal de 16 naciones/pueblos indígenas, 148 comunidades, aproximadamente 5.000 familias o 25.000 habitantes involucrados en manejo forestal. Sin embargo, los beneficios que reciben las comunidades indígenas de este manejo forestal son muy escasos, respecto a las ganancias de los empresarios madereros, quienes compran legalmente la madera en pie a precios muy bajos. Esto debido, a que las organizaciones forestales comunitarias no han contado con el apoyo financiero y técnico necesario, para desarrollar la cadena productiva de manera autogestionaria: operación, equipamiento de corta y arrastre; centros de aserrío, almacenamiento (productos no maderables); centros de transformación de la madera en productos terminados (parquet, machimbre, muebles) o beneficiadoras de productos no maderables. Pese, a que el numeral 4 del Artículo 20 de la Ley N° 300, Madre Tierra y Desarrollo Integral para Vivir Bien, dispone que el Estado Plurinacional de Bolivia promoverá el desarrollo de complejos productivos, en el marco de la economía plural, incluyendo encadenamientos productivos entre sectores y regiones que dinamicen economías locales e iniciativas vinculadas a la micro, pequeña, mediana empresa y economía comunitaria.</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pBdr>
          <w:top w:val="nil"/>
          <w:left w:val="nil"/>
          <w:bottom w:val="nil"/>
          <w:right w:val="nil"/>
          <w:between w:val="nil"/>
        </w:pBdr>
        <w:spacing w:after="0" w:line="240" w:lineRule="auto"/>
        <w:ind w:left="720"/>
        <w:rPr>
          <w:rFonts w:ascii="Times New Roman" w:eastAsia="Times New Roman" w:hAnsi="Times New Roman" w:cs="Times New Roman"/>
          <w:i/>
          <w:color w:val="000000"/>
        </w:rPr>
      </w:pPr>
      <w:r>
        <w:rPr>
          <w:rFonts w:ascii="Times New Roman" w:eastAsia="Times New Roman" w:hAnsi="Times New Roman" w:cs="Times New Roman"/>
          <w:i/>
          <w:color w:val="000000"/>
        </w:rPr>
        <w:t>“La recolección de recursos no maderables como el majo, el asaí y otros, continúa a cargo de las mujeres; pero el Estado nunca garantizó un mercado para los productos de las iniciativas indígenas”</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De la misma manera, las comunidades indígenas </w:t>
      </w:r>
      <w:r w:rsidR="00E95731">
        <w:rPr>
          <w:rFonts w:ascii="Times New Roman" w:eastAsia="Times New Roman" w:hAnsi="Times New Roman" w:cs="Times New Roman"/>
          <w:color w:val="000000"/>
        </w:rPr>
        <w:t xml:space="preserve">son discriminadas y </w:t>
      </w:r>
      <w:r>
        <w:rPr>
          <w:rFonts w:ascii="Times New Roman" w:eastAsia="Times New Roman" w:hAnsi="Times New Roman" w:cs="Times New Roman"/>
          <w:color w:val="000000"/>
        </w:rPr>
        <w:t>no han recibido ningún apoyo en el manejo forestal, de las siguientes políticas: creación del “Programa Nacional de Forestación y Reforestación” (Decreto Supremo 2913 de 2016); la habilitación del “fideicomiso para el otorgamiento de créditos destinados a capital de operaciones y de inversión en temas de recolección, extracción, producción, procesamiento y comercialización de productos forestales maderables y no maderables” (D.S. 2912 del 2016); la creación del “Programa centros de servicios productivos de madera” (D.S 2915 del 2016); ni del Programa de monitoreo y control de la deforestación y degradación de bosque “Nuestros Bosques” (D.S. 2914 de 2016). Con ello se está perdiendo la oportunidad de generar empleo e ingresos sostenibles en las comunidades que les permitan generar un desarrollo sostenible con identidad.</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Solicitamos al Comité, recomendar al Estado boliviano fortalecer el Fondo de Desarrollo Indígena incorporando políticas de igualdad de género, facilitando el acceso de las mujeres indígenas a los recursos financieros y proyectos productivos sostenibles de seguridad alimentaria y empoderamiento económico sin discriminación alguna.</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Así mismo, requerimos las recomendaciones del Comité, para todos los niveles de gobierno nacional, departamental y local, que viabilicen el acceso al apoyo financiero y técnico de todos los programas de desarrollo con fondos públicos y de la Cooperación incluidos el Mecanismo conjunto de mitigación y adaptación del cambio climático u otros Mecanismos, tanto para la gestión forestal comunitaria, como para la prevención/control de incendios forestales. Estos programas deben implementar políticas diferenciadas de acuerdo con los planes de vida de las naciones indígenas originarias.</w:t>
      </w:r>
    </w:p>
    <w:p w:rsidR="00836DC3" w:rsidRDefault="00836DC3">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b/>
          <w:color w:val="000000"/>
        </w:rPr>
      </w:pPr>
    </w:p>
    <w:p w:rsidR="00836DC3" w:rsidRDefault="00BC7837">
      <w:pPr>
        <w:pBdr>
          <w:top w:val="nil"/>
          <w:left w:val="nil"/>
          <w:bottom w:val="nil"/>
          <w:right w:val="nil"/>
          <w:between w:val="nil"/>
        </w:pBdr>
        <w:shd w:val="clear" w:color="auto" w:fill="FFFFFF"/>
        <w:tabs>
          <w:tab w:val="left" w:pos="284"/>
        </w:tabs>
        <w:spacing w:after="0" w:line="240" w:lineRule="auto"/>
        <w:ind w:left="284"/>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Educación</w:t>
      </w:r>
    </w:p>
    <w:p w:rsidR="00836DC3" w:rsidRDefault="00836DC3">
      <w:pPr>
        <w:pBdr>
          <w:top w:val="nil"/>
          <w:left w:val="nil"/>
          <w:bottom w:val="nil"/>
          <w:right w:val="nil"/>
          <w:between w:val="nil"/>
        </w:pBdr>
        <w:shd w:val="clear" w:color="auto" w:fill="FFFFFF"/>
        <w:tabs>
          <w:tab w:val="left" w:pos="284"/>
        </w:tabs>
        <w:spacing w:after="0" w:line="240" w:lineRule="auto"/>
        <w:ind w:left="284"/>
        <w:jc w:val="both"/>
        <w:rPr>
          <w:rFonts w:ascii="Times New Roman" w:eastAsia="Times New Roman" w:hAnsi="Times New Roman" w:cs="Times New Roman"/>
          <w:b/>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La mayor parte de las comunidades indígenas de tierras bajas tienen dificultades para una educación óptima y apropiada culturalmente. Las comunidades en general solo tienen escuelas multigrado, con un solo profesor cuya instrucción educativa no es bilingüe, aspecto que incide en la pérdida del idioma nativo y la cultura.</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pBdr>
          <w:top w:val="nil"/>
          <w:left w:val="nil"/>
          <w:bottom w:val="nil"/>
          <w:right w:val="nil"/>
          <w:between w:val="nil"/>
        </w:pBdr>
        <w:spacing w:after="0" w:line="240" w:lineRule="auto"/>
        <w:ind w:left="720"/>
        <w:rPr>
          <w:rFonts w:ascii="Times New Roman" w:eastAsia="Times New Roman" w:hAnsi="Times New Roman" w:cs="Times New Roman"/>
          <w:i/>
          <w:color w:val="000000"/>
        </w:rPr>
      </w:pPr>
      <w:r>
        <w:rPr>
          <w:rFonts w:ascii="Times New Roman" w:eastAsia="Times New Roman" w:hAnsi="Times New Roman" w:cs="Times New Roman"/>
          <w:i/>
          <w:color w:val="000000"/>
        </w:rPr>
        <w:t xml:space="preserve">“Los profesores que llegan de afuera, influyen en el cambio de la cultura, no saben hablar el idioma; ya no se danza la música tradicional y se introduce otras danzas y bailes ajenos a nuestra cultura.” </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Los niveles de educación secundaria, se encuentran en centros poblados lejos de las comunidades, lo cual afecta directamente en el menor porcentaje de mujeres indígenas que termina la educación secundaria. Según datos del INE (2012) el porcentaje mujeres rurales que terminaron el ciclo secundario es de 26.5% frente al 38.3% de hombres. En los municipios con presencia </w:t>
      </w:r>
      <w:r w:rsidR="000B7DA7">
        <w:rPr>
          <w:rFonts w:ascii="Times New Roman" w:eastAsia="Times New Roman" w:hAnsi="Times New Roman" w:cs="Times New Roman"/>
          <w:color w:val="000000"/>
        </w:rPr>
        <w:t>indígena</w:t>
      </w:r>
      <w:r>
        <w:rPr>
          <w:rFonts w:ascii="Times New Roman" w:eastAsia="Times New Roman" w:hAnsi="Times New Roman" w:cs="Times New Roman"/>
          <w:color w:val="000000"/>
        </w:rPr>
        <w:t xml:space="preserve"> los datos de años escolaridad promedio para las mujeres es de 7,5 años mientras que para los hombres es 8,1</w:t>
      </w:r>
      <w:r w:rsidR="000B7DA7">
        <w:rPr>
          <w:rFonts w:ascii="Times New Roman" w:eastAsia="Times New Roman" w:hAnsi="Times New Roman" w:cs="Times New Roman"/>
          <w:color w:val="000000"/>
        </w:rPr>
        <w:t xml:space="preserve"> años, indicando que </w:t>
      </w:r>
      <w:r>
        <w:rPr>
          <w:rFonts w:ascii="Times New Roman" w:eastAsia="Times New Roman" w:hAnsi="Times New Roman" w:cs="Times New Roman"/>
          <w:color w:val="000000"/>
        </w:rPr>
        <w:t>la población no alcanza a completar el ciclo escolar completo de 12 años y con una brecha de género en contra de las mujeres.</w:t>
      </w:r>
    </w:p>
    <w:p w:rsidR="00836DC3" w:rsidRDefault="00836DC3">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p>
    <w:p w:rsidR="00836DC3" w:rsidRDefault="00BC7837">
      <w:pPr>
        <w:pBdr>
          <w:top w:val="nil"/>
          <w:left w:val="nil"/>
          <w:bottom w:val="nil"/>
          <w:right w:val="nil"/>
          <w:between w:val="nil"/>
        </w:pBdr>
        <w:spacing w:after="0" w:line="240" w:lineRule="auto"/>
        <w:ind w:left="720"/>
        <w:rPr>
          <w:rFonts w:ascii="Times New Roman" w:eastAsia="Times New Roman" w:hAnsi="Times New Roman" w:cs="Times New Roman"/>
          <w:i/>
          <w:color w:val="000000"/>
        </w:rPr>
      </w:pPr>
      <w:r>
        <w:rPr>
          <w:rFonts w:ascii="Times New Roman" w:eastAsia="Times New Roman" w:hAnsi="Times New Roman" w:cs="Times New Roman"/>
          <w:i/>
          <w:color w:val="000000"/>
        </w:rPr>
        <w:t>“Las niñas y los niños mayores sino terminan el colegio es por falta de dinero para enviar a otro lado y también está el problema del embarazo temprano, porque las niñas mayores tienen que continuar sus estudios en otros pueblos lejos del hogar y la protección de la familia”.</w:t>
      </w:r>
    </w:p>
    <w:p w:rsidR="00836DC3" w:rsidRDefault="00836DC3">
      <w:pPr>
        <w:pBdr>
          <w:top w:val="nil"/>
          <w:left w:val="nil"/>
          <w:bottom w:val="nil"/>
          <w:right w:val="nil"/>
          <w:between w:val="nil"/>
        </w:pBdr>
        <w:spacing w:after="0" w:line="240" w:lineRule="auto"/>
        <w:ind w:left="720"/>
        <w:rPr>
          <w:rFonts w:ascii="Times New Roman" w:eastAsia="Times New Roman" w:hAnsi="Times New Roman" w:cs="Times New Roman"/>
          <w:i/>
          <w:color w:val="000000"/>
          <w:sz w:val="20"/>
          <w:szCs w:val="2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El acceso a la tecnología en las escuelas es precario; falta mucho para implementar los servicios de internet y el manejo de computadoras. Durante la pandemia Covid-19, las niñas y niños rurales han quedado en desventaja, han perdido dos años de aprendizaje.</w:t>
      </w:r>
    </w:p>
    <w:p w:rsidR="00836DC3" w:rsidRDefault="00836DC3">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Estas dificultades están directamente relacionadas con la calidad de la educación y por tanto la desventaja de las y los estudiantes rurales respecto a sus</w:t>
      </w:r>
      <w:r w:rsidR="000B7DA7">
        <w:rPr>
          <w:rFonts w:ascii="Times New Roman" w:eastAsia="Times New Roman" w:hAnsi="Times New Roman" w:cs="Times New Roman"/>
          <w:color w:val="000000"/>
        </w:rPr>
        <w:t xml:space="preserve"> pares urbanos. L</w:t>
      </w:r>
      <w:r>
        <w:rPr>
          <w:rFonts w:ascii="Times New Roman" w:eastAsia="Times New Roman" w:hAnsi="Times New Roman" w:cs="Times New Roman"/>
          <w:color w:val="000000"/>
        </w:rPr>
        <w:t xml:space="preserve">a violencia de género en el ámbito educativo es una situación </w:t>
      </w:r>
      <w:r w:rsidR="000B7DA7">
        <w:rPr>
          <w:rFonts w:ascii="Times New Roman" w:eastAsia="Times New Roman" w:hAnsi="Times New Roman" w:cs="Times New Roman"/>
          <w:color w:val="000000"/>
        </w:rPr>
        <w:t>debe</w:t>
      </w:r>
      <w:r>
        <w:rPr>
          <w:rFonts w:ascii="Times New Roman" w:eastAsia="Times New Roman" w:hAnsi="Times New Roman" w:cs="Times New Roman"/>
          <w:color w:val="000000"/>
        </w:rPr>
        <w:t xml:space="preserve"> ser controlada para lograr que las niñas y jóvenes que asisten a las escuelas tengan garantizada la no discriminación y el bienestar. En el área rural se registra 69,7% de mujeres en situación de violencia de género en el ámbito educativo, muy por encima de la nacional registrada con 65%</w:t>
      </w:r>
      <w:r w:rsidR="000B7DA7">
        <w:rPr>
          <w:rFonts w:ascii="Times New Roman" w:eastAsia="Times New Roman" w:hAnsi="Times New Roman" w:cs="Times New Roman"/>
          <w:color w:val="000000"/>
        </w:rPr>
        <w:t>.</w:t>
      </w:r>
      <w:r w:rsidR="000B7DA7">
        <w:rPr>
          <w:rStyle w:val="Refdenotaalpie"/>
          <w:rFonts w:ascii="Times New Roman" w:eastAsia="Times New Roman" w:hAnsi="Times New Roman" w:cs="Times New Roman"/>
          <w:color w:val="000000"/>
        </w:rPr>
        <w:footnoteReference w:id="14"/>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Se solicita al Comité rec</w:t>
      </w:r>
      <w:r w:rsidR="000B7DA7">
        <w:rPr>
          <w:rFonts w:ascii="Times New Roman" w:eastAsia="Times New Roman" w:hAnsi="Times New Roman" w:cs="Times New Roman"/>
          <w:color w:val="000000"/>
        </w:rPr>
        <w:t>o</w:t>
      </w:r>
      <w:r>
        <w:rPr>
          <w:rFonts w:ascii="Times New Roman" w:eastAsia="Times New Roman" w:hAnsi="Times New Roman" w:cs="Times New Roman"/>
          <w:color w:val="000000"/>
        </w:rPr>
        <w:t xml:space="preserve">mendar al Estado realice campañas y socialización de los derechos de las mujeres, con el objetivo de eliminar los estereotipos discriminatorios sobre el papel y la corresponsabilidad de las mujeres y los hombres en la familia, que reafirman la discriminación contra la mujer. </w:t>
      </w:r>
      <w:r>
        <w:rPr>
          <w:rFonts w:ascii="Times New Roman" w:eastAsia="Times New Roman" w:hAnsi="Times New Roman" w:cs="Times New Roman"/>
        </w:rPr>
        <w:t>También</w:t>
      </w:r>
      <w:r>
        <w:rPr>
          <w:rFonts w:ascii="Times New Roman" w:eastAsia="Times New Roman" w:hAnsi="Times New Roman" w:cs="Times New Roman"/>
          <w:color w:val="000000"/>
        </w:rPr>
        <w:t xml:space="preserve"> que profundice y fortalezca las políticas de educación intercultural </w:t>
      </w:r>
      <w:r w:rsidR="000B7DA7">
        <w:rPr>
          <w:rFonts w:ascii="Times New Roman" w:eastAsia="Times New Roman" w:hAnsi="Times New Roman" w:cs="Times New Roman"/>
          <w:color w:val="000000"/>
        </w:rPr>
        <w:t>bilingüe</w:t>
      </w:r>
      <w:r>
        <w:rPr>
          <w:rFonts w:ascii="Times New Roman" w:eastAsia="Times New Roman" w:hAnsi="Times New Roman" w:cs="Times New Roman"/>
          <w:color w:val="000000"/>
        </w:rPr>
        <w:t xml:space="preserve"> para los 36 pueblos que conforman el Estado Plurinacional de Bolivia. La pol</w:t>
      </w:r>
      <w:r>
        <w:rPr>
          <w:rFonts w:ascii="Times New Roman" w:eastAsia="Times New Roman" w:hAnsi="Times New Roman" w:cs="Times New Roman"/>
        </w:rPr>
        <w:t>íti</w:t>
      </w:r>
      <w:r>
        <w:rPr>
          <w:rFonts w:ascii="Times New Roman" w:eastAsia="Times New Roman" w:hAnsi="Times New Roman" w:cs="Times New Roman"/>
          <w:color w:val="000000"/>
        </w:rPr>
        <w:t xml:space="preserve">ca de educación intercultural </w:t>
      </w:r>
      <w:r w:rsidR="000B7DA7">
        <w:rPr>
          <w:rFonts w:ascii="Times New Roman" w:eastAsia="Times New Roman" w:hAnsi="Times New Roman" w:cs="Times New Roman"/>
          <w:color w:val="000000"/>
        </w:rPr>
        <w:t>Bilingüe</w:t>
      </w:r>
      <w:r>
        <w:rPr>
          <w:rFonts w:ascii="Times New Roman" w:eastAsia="Times New Roman" w:hAnsi="Times New Roman" w:cs="Times New Roman"/>
          <w:color w:val="000000"/>
        </w:rPr>
        <w:t xml:space="preserve"> debe poner </w:t>
      </w:r>
      <w:r w:rsidR="000B7DA7">
        <w:rPr>
          <w:rFonts w:ascii="Times New Roman" w:eastAsia="Times New Roman" w:hAnsi="Times New Roman" w:cs="Times New Roman"/>
          <w:color w:val="000000"/>
        </w:rPr>
        <w:t>énfasis</w:t>
      </w:r>
      <w:r>
        <w:rPr>
          <w:rFonts w:ascii="Times New Roman" w:eastAsia="Times New Roman" w:hAnsi="Times New Roman" w:cs="Times New Roman"/>
          <w:color w:val="000000"/>
        </w:rPr>
        <w:t xml:space="preserve"> en el acceso a las Tecnologías de Información y Comunicación, y en la educación Técnica Profesional de manera que la educación sirva para disminuir las desigualdades socioeconómicas y de </w:t>
      </w:r>
      <w:r w:rsidR="000B7DA7">
        <w:rPr>
          <w:rFonts w:ascii="Times New Roman" w:eastAsia="Times New Roman" w:hAnsi="Times New Roman" w:cs="Times New Roman"/>
          <w:color w:val="000000"/>
        </w:rPr>
        <w:t>género</w:t>
      </w:r>
      <w:r>
        <w:rPr>
          <w:rFonts w:ascii="Times New Roman" w:eastAsia="Times New Roman" w:hAnsi="Times New Roman" w:cs="Times New Roman"/>
          <w:color w:val="000000"/>
        </w:rPr>
        <w:t>.</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pBdr>
          <w:top w:val="nil"/>
          <w:left w:val="nil"/>
          <w:bottom w:val="nil"/>
          <w:right w:val="nil"/>
          <w:between w:val="nil"/>
        </w:pBdr>
        <w:tabs>
          <w:tab w:val="left" w:pos="284"/>
        </w:tabs>
        <w:spacing w:after="0" w:line="240" w:lineRule="auto"/>
        <w:ind w:left="284"/>
        <w:jc w:val="both"/>
        <w:rPr>
          <w:rFonts w:ascii="Times New Roman" w:eastAsia="Times New Roman" w:hAnsi="Times New Roman" w:cs="Times New Roman"/>
          <w:b/>
          <w:color w:val="000000"/>
          <w:sz w:val="24"/>
          <w:szCs w:val="24"/>
        </w:rPr>
      </w:pPr>
      <w:bookmarkStart w:id="3" w:name="_heading=h.1fob9te" w:colFirst="0" w:colLast="0"/>
      <w:bookmarkEnd w:id="3"/>
      <w:r>
        <w:rPr>
          <w:rFonts w:ascii="Times New Roman" w:eastAsia="Times New Roman" w:hAnsi="Times New Roman" w:cs="Times New Roman"/>
          <w:b/>
          <w:color w:val="000000"/>
          <w:sz w:val="24"/>
          <w:szCs w:val="24"/>
        </w:rPr>
        <w:t xml:space="preserve">Violencia de género contra la mujer y Acceso de las mujeres a la justicia </w:t>
      </w:r>
    </w:p>
    <w:p w:rsidR="00836DC3" w:rsidRDefault="00836DC3">
      <w:pPr>
        <w:tabs>
          <w:tab w:val="left" w:pos="284"/>
        </w:tabs>
        <w:spacing w:after="0" w:line="240" w:lineRule="auto"/>
        <w:jc w:val="both"/>
        <w:rPr>
          <w:rFonts w:ascii="Times New Roman" w:eastAsia="Times New Roman" w:hAnsi="Times New Roman" w:cs="Times New Roman"/>
          <w:b/>
        </w:rPr>
      </w:pPr>
    </w:p>
    <w:p w:rsidR="00836DC3" w:rsidRPr="00E464C0" w:rsidRDefault="000B7DA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El Ministerio Publico, precisó</w:t>
      </w:r>
      <w:r w:rsidR="00BC7837">
        <w:rPr>
          <w:rFonts w:ascii="Times New Roman" w:eastAsia="Times New Roman" w:hAnsi="Times New Roman" w:cs="Times New Roman"/>
          <w:color w:val="000000"/>
        </w:rPr>
        <w:t xml:space="preserve"> que en los primeros cinco meses del año 2022 se han reportado 31 feminicidios y 15 infanticidios, mientras que las organizaciones de mujeres han denunciado que durante el año 2021 ocurrieron 108 feminicidios, así como 46.774 delitos registrados en el marco de la Ley 348 que garantiza una vida libre de violencia contra las mujeres. </w:t>
      </w:r>
      <w:r>
        <w:rPr>
          <w:rFonts w:ascii="Times New Roman" w:eastAsia="Times New Roman" w:hAnsi="Times New Roman" w:cs="Times New Roman"/>
        </w:rPr>
        <w:t>Estos datos reflejan</w:t>
      </w:r>
      <w:r w:rsidR="00BC7837">
        <w:rPr>
          <w:rFonts w:ascii="Times New Roman" w:eastAsia="Times New Roman" w:hAnsi="Times New Roman" w:cs="Times New Roman"/>
        </w:rPr>
        <w:t xml:space="preserve"> los delitos denunciados en áreas urbanas sin datos</w:t>
      </w:r>
      <w:r>
        <w:rPr>
          <w:rFonts w:ascii="Times New Roman" w:eastAsia="Times New Roman" w:hAnsi="Times New Roman" w:cs="Times New Roman"/>
        </w:rPr>
        <w:t xml:space="preserve"> suficientemente desagregados. </w:t>
      </w:r>
      <w:r w:rsidR="00BC7837">
        <w:rPr>
          <w:rFonts w:ascii="Times New Roman" w:eastAsia="Times New Roman" w:hAnsi="Times New Roman" w:cs="Times New Roman"/>
        </w:rPr>
        <w:t xml:space="preserve">Todavía hay una falta de datos para áreas rurales y </w:t>
      </w:r>
      <w:r>
        <w:rPr>
          <w:rFonts w:ascii="Times New Roman" w:eastAsia="Times New Roman" w:hAnsi="Times New Roman" w:cs="Times New Roman"/>
        </w:rPr>
        <w:t xml:space="preserve">mujeres </w:t>
      </w:r>
      <w:r w:rsidR="00BC7837">
        <w:rPr>
          <w:rFonts w:ascii="Times New Roman" w:eastAsia="Times New Roman" w:hAnsi="Times New Roman" w:cs="Times New Roman"/>
        </w:rPr>
        <w:t>indígenas sobre el t</w:t>
      </w:r>
      <w:r>
        <w:rPr>
          <w:rFonts w:ascii="Times New Roman" w:eastAsia="Times New Roman" w:hAnsi="Times New Roman" w:cs="Times New Roman"/>
        </w:rPr>
        <w:t>ema de violencia</w:t>
      </w:r>
      <w:r w:rsidR="00BC7837">
        <w:rPr>
          <w:rFonts w:ascii="Times New Roman" w:eastAsia="Times New Roman" w:hAnsi="Times New Roman" w:cs="Times New Roman"/>
        </w:rPr>
        <w:t>.</w:t>
      </w:r>
    </w:p>
    <w:p w:rsidR="00E464C0" w:rsidRPr="00E464C0" w:rsidRDefault="00E464C0" w:rsidP="00E464C0">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p>
    <w:p w:rsidR="00E36965" w:rsidRPr="00E36965" w:rsidRDefault="00E464C0" w:rsidP="00E36965">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hAnsi="Times New Roman" w:cs="Times New Roman"/>
        </w:rPr>
        <w:t>En el contexto de la pandemia Covid-19 l</w:t>
      </w:r>
      <w:r w:rsidRPr="00E464C0">
        <w:rPr>
          <w:rFonts w:ascii="Times New Roman" w:hAnsi="Times New Roman" w:cs="Times New Roman"/>
        </w:rPr>
        <w:t xml:space="preserve">os obstáculos </w:t>
      </w:r>
      <w:r w:rsidR="00E36965">
        <w:rPr>
          <w:rFonts w:ascii="Times New Roman" w:hAnsi="Times New Roman" w:cs="Times New Roman"/>
        </w:rPr>
        <w:t xml:space="preserve">y barreras </w:t>
      </w:r>
      <w:r w:rsidRPr="00E464C0">
        <w:rPr>
          <w:rFonts w:ascii="Times New Roman" w:hAnsi="Times New Roman" w:cs="Times New Roman"/>
        </w:rPr>
        <w:t>enfrentados por las mujeres para hacer efectiva sus denuncias</w:t>
      </w:r>
      <w:r>
        <w:rPr>
          <w:rFonts w:ascii="Times New Roman" w:hAnsi="Times New Roman" w:cs="Times New Roman"/>
        </w:rPr>
        <w:t xml:space="preserve"> de </w:t>
      </w:r>
      <w:r w:rsidR="00E36965">
        <w:rPr>
          <w:rFonts w:ascii="Times New Roman" w:hAnsi="Times New Roman" w:cs="Times New Roman"/>
        </w:rPr>
        <w:t xml:space="preserve">violencia </w:t>
      </w:r>
      <w:r w:rsidR="00E36965" w:rsidRPr="00E464C0">
        <w:rPr>
          <w:rFonts w:ascii="Times New Roman" w:hAnsi="Times New Roman" w:cs="Times New Roman"/>
        </w:rPr>
        <w:t>han</w:t>
      </w:r>
      <w:r w:rsidR="00E36965">
        <w:rPr>
          <w:rFonts w:ascii="Times New Roman" w:hAnsi="Times New Roman" w:cs="Times New Roman"/>
        </w:rPr>
        <w:t xml:space="preserve"> puesto en evidencia las </w:t>
      </w:r>
      <w:r w:rsidRPr="00E464C0">
        <w:rPr>
          <w:rFonts w:ascii="Times New Roman" w:hAnsi="Times New Roman" w:cs="Times New Roman"/>
        </w:rPr>
        <w:t xml:space="preserve">debilidades institucionales </w:t>
      </w:r>
      <w:r w:rsidR="00E36965">
        <w:rPr>
          <w:rFonts w:ascii="Times New Roman" w:hAnsi="Times New Roman" w:cs="Times New Roman"/>
        </w:rPr>
        <w:t xml:space="preserve">y falencias estructurales </w:t>
      </w:r>
      <w:r w:rsidR="008C740B">
        <w:rPr>
          <w:rFonts w:ascii="Times New Roman" w:hAnsi="Times New Roman" w:cs="Times New Roman"/>
        </w:rPr>
        <w:t>en todos los niveles del E</w:t>
      </w:r>
      <w:r w:rsidR="00E36965">
        <w:rPr>
          <w:rFonts w:ascii="Times New Roman" w:hAnsi="Times New Roman" w:cs="Times New Roman"/>
        </w:rPr>
        <w:t>stado y toda la cadena de atención a los casos de violencia</w:t>
      </w:r>
      <w:r w:rsidR="00BC6290">
        <w:rPr>
          <w:rStyle w:val="Refdenotaalpie"/>
          <w:rFonts w:ascii="Times New Roman" w:hAnsi="Times New Roman" w:cs="Times New Roman"/>
        </w:rPr>
        <w:footnoteReference w:id="15"/>
      </w:r>
      <w:r w:rsidR="00E36965">
        <w:rPr>
          <w:rFonts w:ascii="Times New Roman" w:hAnsi="Times New Roman" w:cs="Times New Roman"/>
        </w:rPr>
        <w:t xml:space="preserve">. </w:t>
      </w:r>
      <w:r w:rsidR="008C740B">
        <w:rPr>
          <w:rFonts w:ascii="Times New Roman" w:hAnsi="Times New Roman" w:cs="Times New Roman"/>
        </w:rPr>
        <w:t xml:space="preserve">Muchas mujeres continúan en situaciones de violencia, pero las </w:t>
      </w:r>
      <w:r w:rsidR="00E36965">
        <w:rPr>
          <w:rFonts w:ascii="Times New Roman" w:eastAsia="Times New Roman" w:hAnsi="Times New Roman" w:cs="Times New Roman"/>
          <w:color w:val="000000"/>
        </w:rPr>
        <w:t xml:space="preserve">barreras se agudizan </w:t>
      </w:r>
      <w:r w:rsidR="008C740B">
        <w:rPr>
          <w:rFonts w:ascii="Times New Roman" w:eastAsia="Times New Roman" w:hAnsi="Times New Roman" w:cs="Times New Roman"/>
          <w:color w:val="000000"/>
        </w:rPr>
        <w:t xml:space="preserve">más es </w:t>
      </w:r>
      <w:r w:rsidR="00E36965">
        <w:rPr>
          <w:rFonts w:ascii="Times New Roman" w:eastAsia="Times New Roman" w:hAnsi="Times New Roman" w:cs="Times New Roman"/>
          <w:color w:val="000000"/>
        </w:rPr>
        <w:t>en las comunidades rurales e indígenas.</w:t>
      </w:r>
    </w:p>
    <w:p w:rsidR="00836DC3" w:rsidRDefault="00836DC3" w:rsidP="000B7DA7">
      <w:pPr>
        <w:pBdr>
          <w:top w:val="nil"/>
          <w:left w:val="nil"/>
          <w:bottom w:val="nil"/>
          <w:right w:val="nil"/>
          <w:between w:val="nil"/>
        </w:pBdr>
        <w:spacing w:after="0" w:line="240" w:lineRule="auto"/>
        <w:jc w:val="both"/>
        <w:rPr>
          <w:rFonts w:ascii="Times New Roman" w:eastAsia="Times New Roman" w:hAnsi="Times New Roman" w:cs="Times New Roman"/>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Según datos del Relator Especial de la ONU para la Independencia de Jueces y Abogados, entre el 2013 y 2021 se produjeron 869 feminicidios, un promedio de 1 cada 3,5 días, y de los que sólo un 31% llegó a sentencia. En febrero del año 2022 estalló una crisis en el Sistema de Justicia de Bolivia  causa</w:t>
      </w:r>
      <w:r w:rsidR="00EA241B">
        <w:rPr>
          <w:rFonts w:ascii="Times New Roman" w:eastAsia="Times New Roman" w:hAnsi="Times New Roman" w:cs="Times New Roman"/>
          <w:color w:val="000000"/>
        </w:rPr>
        <w:t xml:space="preserve">do por </w:t>
      </w:r>
      <w:r>
        <w:rPr>
          <w:rFonts w:ascii="Times New Roman" w:eastAsia="Times New Roman" w:hAnsi="Times New Roman" w:cs="Times New Roman"/>
          <w:color w:val="000000"/>
        </w:rPr>
        <w:t>la otorgación del beneficio de la “detención domiciliaria” a los feminicidas con sentencia</w:t>
      </w:r>
      <w:r w:rsidR="00EA241B">
        <w:rPr>
          <w:rFonts w:ascii="Times New Roman" w:eastAsia="Times New Roman" w:hAnsi="Times New Roman" w:cs="Times New Roman"/>
          <w:color w:val="000000"/>
        </w:rPr>
        <w:t xml:space="preserve"> ejecutoriada de 30 años; hecho</w:t>
      </w:r>
      <w:r>
        <w:rPr>
          <w:rFonts w:ascii="Times New Roman" w:eastAsia="Times New Roman" w:hAnsi="Times New Roman" w:cs="Times New Roman"/>
          <w:color w:val="000000"/>
        </w:rPr>
        <w:t xml:space="preserve"> de corrupción judicial que alcanzaría a 13</w:t>
      </w:r>
      <w:r w:rsidR="00EA241B">
        <w:rPr>
          <w:rFonts w:ascii="Times New Roman" w:eastAsia="Times New Roman" w:hAnsi="Times New Roman" w:cs="Times New Roman"/>
          <w:color w:val="000000"/>
        </w:rPr>
        <w:t xml:space="preserve">5 casos de personas </w:t>
      </w:r>
      <w:r>
        <w:rPr>
          <w:rFonts w:ascii="Times New Roman" w:eastAsia="Times New Roman" w:hAnsi="Times New Roman" w:cs="Times New Roman"/>
          <w:color w:val="000000"/>
        </w:rPr>
        <w:t>sentencia</w:t>
      </w:r>
      <w:r w:rsidR="00EA241B">
        <w:rPr>
          <w:rFonts w:ascii="Times New Roman" w:eastAsia="Times New Roman" w:hAnsi="Times New Roman" w:cs="Times New Roman"/>
          <w:color w:val="000000"/>
        </w:rPr>
        <w:t>das</w:t>
      </w:r>
      <w:r>
        <w:rPr>
          <w:rFonts w:ascii="Times New Roman" w:eastAsia="Times New Roman" w:hAnsi="Times New Roman" w:cs="Times New Roman"/>
          <w:color w:val="000000"/>
        </w:rPr>
        <w:t xml:space="preserve"> por los delitos de feminicidios, violación y violación agravada, incluso cometidos contra niñas, niños y adolescentes, pero que no están recluidos en las cárceles como deberían, sino en sus domicilios que en la práctica es igual a la libertad ya que no son custodiados.</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Pr="00E464C0" w:rsidRDefault="00EA241B" w:rsidP="00E464C0">
      <w:pPr>
        <w:numPr>
          <w:ilvl w:val="0"/>
          <w:numId w:val="1"/>
        </w:numPr>
        <w:pBdr>
          <w:top w:val="nil"/>
          <w:left w:val="nil"/>
          <w:bottom w:val="nil"/>
          <w:right w:val="nil"/>
          <w:between w:val="nil"/>
        </w:pBdr>
        <w:spacing w:after="0" w:line="240" w:lineRule="auto"/>
        <w:ind w:left="709"/>
        <w:jc w:val="both"/>
        <w:rPr>
          <w:rFonts w:ascii="Times New Roman" w:eastAsia="Times New Roman" w:hAnsi="Times New Roman" w:cs="Times New Roman"/>
          <w:color w:val="000000"/>
        </w:rPr>
      </w:pPr>
      <w:r>
        <w:rPr>
          <w:rFonts w:ascii="Times New Roman" w:eastAsia="Times New Roman" w:hAnsi="Times New Roman" w:cs="Times New Roman"/>
          <w:color w:val="000000"/>
        </w:rPr>
        <w:t>La percepción social de la</w:t>
      </w:r>
      <w:r w:rsidR="00BC7837">
        <w:rPr>
          <w:rFonts w:ascii="Times New Roman" w:eastAsia="Times New Roman" w:hAnsi="Times New Roman" w:cs="Times New Roman"/>
          <w:color w:val="000000"/>
        </w:rPr>
        <w:t xml:space="preserve"> violencia contra las mujeres y de impunidad se han visto agravados por las recientes denuncias de estupro, pedofilia y trata y trafico impuestas contra el ex presidente del Estado Plurinacional de Bolivia, Evo Morales, a quien el Ministerio de Justicia formalizó una denuncia penal, cuyo pr</w:t>
      </w:r>
      <w:r>
        <w:rPr>
          <w:rFonts w:ascii="Times New Roman" w:eastAsia="Times New Roman" w:hAnsi="Times New Roman" w:cs="Times New Roman"/>
          <w:color w:val="000000"/>
        </w:rPr>
        <w:t xml:space="preserve">oceso carece de transparencia, </w:t>
      </w:r>
      <w:r w:rsidR="00BC7837">
        <w:rPr>
          <w:rFonts w:ascii="Times New Roman" w:eastAsia="Times New Roman" w:hAnsi="Times New Roman" w:cs="Times New Roman"/>
          <w:color w:val="000000"/>
        </w:rPr>
        <w:t>desconociéndose sus pormenores. El Estado boliviano está en crisis a causa del Sistema Judicial porque no garantiza la vigencia de los derechos, las libertades y las garantías constitucionales de las y los ciudadanos, con equidad, ecuanimidad e independencia; entre los problemas más relevantes, se señalan la injerencia política, la desinstitucionalización, la falta de una carrera judicial y fiscal, el congestionamiento de casos, el bajísimo presupuesto y la falta de una infraestructura y tecnología adecuada del sistema judicial;  a esto se agrega la falta de honestidad, convicción y transparencia de los operadores de justicia, corrupción en diferentes niveles, burocracia, y en definitiva el Órgano Judicial no es independiente y no cumple rol de control al resto de los Órganos del estado: Poderes Ejecutivo y Legislativo, debilitando el estado de derecho. “Un Estado donde su Sistema Judicial no le garantice los derechos humanos de las personas, sus libertades públicas y resolver los conflictos con equidad, con ecuanimidad, es un Estado en Crisis, porque hay gente que ya no quiere acudir a los tribunales de j</w:t>
      </w:r>
      <w:r>
        <w:rPr>
          <w:rFonts w:ascii="Times New Roman" w:eastAsia="Times New Roman" w:hAnsi="Times New Roman" w:cs="Times New Roman"/>
          <w:color w:val="000000"/>
        </w:rPr>
        <w:t>usticia”.</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En Bolivia es el Poder Ejecutivo el que asigna el presupuesto del Poder Judicial y éste no supera el 0,5% del presupuesto General de la Nación, siendo el más bajo </w:t>
      </w:r>
      <w:r w:rsidR="00EA241B">
        <w:rPr>
          <w:rFonts w:ascii="Times New Roman" w:eastAsia="Times New Roman" w:hAnsi="Times New Roman" w:cs="Times New Roman"/>
          <w:color w:val="000000"/>
        </w:rPr>
        <w:t>en</w:t>
      </w:r>
      <w:r>
        <w:rPr>
          <w:rFonts w:ascii="Times New Roman" w:eastAsia="Times New Roman" w:hAnsi="Times New Roman" w:cs="Times New Roman"/>
          <w:color w:val="000000"/>
        </w:rPr>
        <w:t xml:space="preserve"> Latinoamérica, que en promedio alcanza el 3% o al 6% en los países de más alto presupuesto. Un ejemplo dramático de esta situación es la precariedad de los Servicios Legales Integrales Municipales (SLIM) donde las mujeres indígenas tienen que acudir en busca de protección en los casos de violencia contra la mujer.</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La crisis Judicial y del</w:t>
      </w:r>
      <w:r w:rsidR="00EA241B">
        <w:rPr>
          <w:rFonts w:ascii="Times New Roman" w:eastAsia="Times New Roman" w:hAnsi="Times New Roman" w:cs="Times New Roman"/>
          <w:color w:val="000000"/>
        </w:rPr>
        <w:t xml:space="preserve"> E</w:t>
      </w:r>
      <w:r>
        <w:rPr>
          <w:rFonts w:ascii="Times New Roman" w:eastAsia="Times New Roman" w:hAnsi="Times New Roman" w:cs="Times New Roman"/>
          <w:color w:val="000000"/>
        </w:rPr>
        <w:t xml:space="preserve">stado Plurinacional de Bolivia en materia de justica, es </w:t>
      </w:r>
      <w:r w:rsidR="00EA241B">
        <w:rPr>
          <w:rFonts w:ascii="Times New Roman" w:eastAsia="Times New Roman" w:hAnsi="Times New Roman" w:cs="Times New Roman"/>
          <w:color w:val="000000"/>
        </w:rPr>
        <w:t>grave</w:t>
      </w:r>
      <w:r>
        <w:rPr>
          <w:rFonts w:ascii="Times New Roman" w:eastAsia="Times New Roman" w:hAnsi="Times New Roman" w:cs="Times New Roman"/>
          <w:color w:val="000000"/>
        </w:rPr>
        <w:t xml:space="preserve"> en el caso de la Jurisdicción Indígena Originario Campesina (JIOCC), donde los recursos son aún más limitados que en la justicia ordinaria y que carece de jurisdicción sobre los asuntos de gran importancia para las mujeres indígenas tales como: la  trata y tráfico de personas, los delitos cometidos contra la integridad corporal de niñas, niños y adolescentes, los delitos de violación, feminicidio, </w:t>
      </w:r>
      <w:r w:rsidR="00EA241B">
        <w:rPr>
          <w:rFonts w:ascii="Times New Roman" w:eastAsia="Times New Roman" w:hAnsi="Times New Roman" w:cs="Times New Roman"/>
          <w:color w:val="000000"/>
        </w:rPr>
        <w:t>asesinato u homicidio. La JIOCC</w:t>
      </w:r>
      <w:r>
        <w:rPr>
          <w:rFonts w:ascii="Times New Roman" w:eastAsia="Times New Roman" w:hAnsi="Times New Roman" w:cs="Times New Roman"/>
          <w:color w:val="000000"/>
        </w:rPr>
        <w:t xml:space="preserve"> se limita a la resolución de conflictos simples y a la distribución interna de tierras en las comunidades que tengan posesión legal o derecho propietario colectivo sobre las mismas: en este último caso las mujeres indígenas quedan expuestas a las decisiones de autoridades tradicionales masculinas que aplican el derecho consuetudinario que muchas veces no reconoce el derecho de las mujeres indígenas a la tierra.</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Solicitamos al Comité que recomiende al Estado boliviano, que cualquier reforma del Sistema de Justicia, aplique el enfoque de género, en todos los niveles de funcionamiento garantizando el acceso a la justicia, la no discriminación y el cumplimiento de las sentencias contra la violencia y los feminicidios. Además, que asigne mayores recursos, especialmente al sistema de protección contra la violencia, fortalezca los SLIM locales, el monitoreo cuantificado sobre los delitos contra las mujeres indígenas y la conciensación sobre los derechos de las mujeres indígenas.</w:t>
      </w: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836DC3">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rsidR="00836DC3" w:rsidRDefault="00BC7837">
      <w:pPr>
        <w:pBdr>
          <w:top w:val="nil"/>
          <w:left w:val="nil"/>
          <w:bottom w:val="nil"/>
          <w:right w:val="nil"/>
          <w:between w:val="nil"/>
        </w:pBdr>
        <w:spacing w:after="0" w:line="240" w:lineRule="auto"/>
        <w:ind w:left="720"/>
        <w:jc w:val="center"/>
        <w:rPr>
          <w:rFonts w:ascii="Times New Roman" w:eastAsia="Times New Roman" w:hAnsi="Times New Roman" w:cs="Times New Roman"/>
          <w:color w:val="000000"/>
        </w:rPr>
      </w:pPr>
      <w:r>
        <w:rPr>
          <w:rFonts w:ascii="Times New Roman" w:eastAsia="Times New Roman" w:hAnsi="Times New Roman" w:cs="Times New Roman"/>
          <w:color w:val="000000"/>
        </w:rPr>
        <w:t>----o----</w:t>
      </w:r>
    </w:p>
    <w:sectPr w:rsidR="00836DC3">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15D" w:rsidRDefault="0056515D">
      <w:pPr>
        <w:spacing w:after="0" w:line="240" w:lineRule="auto"/>
      </w:pPr>
      <w:r>
        <w:separator/>
      </w:r>
    </w:p>
  </w:endnote>
  <w:endnote w:type="continuationSeparator" w:id="0">
    <w:p w:rsidR="0056515D" w:rsidRDefault="00565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DC3" w:rsidRDefault="00836DC3">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DC3" w:rsidRDefault="00836DC3">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i/>
        <w:color w:val="000000"/>
        <w:sz w:val="8"/>
        <w:szCs w:val="8"/>
      </w:rPr>
    </w:pPr>
  </w:p>
  <w:p w:rsidR="00836DC3" w:rsidRDefault="00BC7837">
    <w:pPr>
      <w:pBdr>
        <w:top w:val="nil"/>
        <w:left w:val="nil"/>
        <w:bottom w:val="nil"/>
        <w:right w:val="nil"/>
        <w:between w:val="nil"/>
      </w:pBdr>
      <w:tabs>
        <w:tab w:val="center" w:pos="4513"/>
        <w:tab w:val="right" w:pos="9026"/>
      </w:tabs>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Página </w:t>
    </w:r>
    <w:r>
      <w:rPr>
        <w:rFonts w:ascii="Times New Roman" w:eastAsia="Times New Roman" w:hAnsi="Times New Roman" w:cs="Times New Roman"/>
        <w:b/>
        <w:color w:val="000000"/>
        <w:sz w:val="16"/>
        <w:szCs w:val="16"/>
      </w:rPr>
      <w:fldChar w:fldCharType="begin"/>
    </w:r>
    <w:r>
      <w:rPr>
        <w:rFonts w:ascii="Times New Roman" w:eastAsia="Times New Roman" w:hAnsi="Times New Roman" w:cs="Times New Roman"/>
        <w:b/>
        <w:color w:val="000000"/>
        <w:sz w:val="16"/>
        <w:szCs w:val="16"/>
      </w:rPr>
      <w:instrText>PAGE</w:instrText>
    </w:r>
    <w:r>
      <w:rPr>
        <w:rFonts w:ascii="Times New Roman" w:eastAsia="Times New Roman" w:hAnsi="Times New Roman" w:cs="Times New Roman"/>
        <w:b/>
        <w:color w:val="000000"/>
        <w:sz w:val="16"/>
        <w:szCs w:val="16"/>
      </w:rPr>
      <w:fldChar w:fldCharType="separate"/>
    </w:r>
    <w:r w:rsidR="00FB6B07">
      <w:rPr>
        <w:rFonts w:ascii="Times New Roman" w:eastAsia="Times New Roman" w:hAnsi="Times New Roman" w:cs="Times New Roman"/>
        <w:b/>
        <w:noProof/>
        <w:color w:val="000000"/>
        <w:sz w:val="16"/>
        <w:szCs w:val="16"/>
      </w:rPr>
      <w:t>1</w:t>
    </w:r>
    <w:r>
      <w:rPr>
        <w:rFonts w:ascii="Times New Roman" w:eastAsia="Times New Roman" w:hAnsi="Times New Roman" w:cs="Times New Roman"/>
        <w:b/>
        <w:color w:val="000000"/>
        <w:sz w:val="16"/>
        <w:szCs w:val="16"/>
      </w:rPr>
      <w:fldChar w:fldCharType="end"/>
    </w:r>
    <w:r>
      <w:rPr>
        <w:rFonts w:ascii="Times New Roman" w:eastAsia="Times New Roman" w:hAnsi="Times New Roman" w:cs="Times New Roman"/>
        <w:color w:val="000000"/>
        <w:sz w:val="16"/>
        <w:szCs w:val="16"/>
      </w:rPr>
      <w:t xml:space="preserve"> de </w:t>
    </w:r>
    <w:r>
      <w:rPr>
        <w:rFonts w:ascii="Times New Roman" w:eastAsia="Times New Roman" w:hAnsi="Times New Roman" w:cs="Times New Roman"/>
        <w:b/>
        <w:color w:val="000000"/>
        <w:sz w:val="16"/>
        <w:szCs w:val="16"/>
      </w:rPr>
      <w:fldChar w:fldCharType="begin"/>
    </w:r>
    <w:r>
      <w:rPr>
        <w:rFonts w:ascii="Times New Roman" w:eastAsia="Times New Roman" w:hAnsi="Times New Roman" w:cs="Times New Roman"/>
        <w:b/>
        <w:color w:val="000000"/>
        <w:sz w:val="16"/>
        <w:szCs w:val="16"/>
      </w:rPr>
      <w:instrText>NUMPAGES</w:instrText>
    </w:r>
    <w:r>
      <w:rPr>
        <w:rFonts w:ascii="Times New Roman" w:eastAsia="Times New Roman" w:hAnsi="Times New Roman" w:cs="Times New Roman"/>
        <w:b/>
        <w:color w:val="000000"/>
        <w:sz w:val="16"/>
        <w:szCs w:val="16"/>
      </w:rPr>
      <w:fldChar w:fldCharType="separate"/>
    </w:r>
    <w:r w:rsidR="00FB6B07">
      <w:rPr>
        <w:rFonts w:ascii="Times New Roman" w:eastAsia="Times New Roman" w:hAnsi="Times New Roman" w:cs="Times New Roman"/>
        <w:b/>
        <w:noProof/>
        <w:color w:val="000000"/>
        <w:sz w:val="16"/>
        <w:szCs w:val="16"/>
      </w:rPr>
      <w:t>3</w:t>
    </w:r>
    <w:r>
      <w:rPr>
        <w:rFonts w:ascii="Times New Roman" w:eastAsia="Times New Roman" w:hAnsi="Times New Roman" w:cs="Times New Roman"/>
        <w:b/>
        <w:color w:val="000000"/>
        <w:sz w:val="16"/>
        <w:szCs w:val="16"/>
      </w:rPr>
      <w:fldChar w:fldCharType="end"/>
    </w:r>
  </w:p>
  <w:p w:rsidR="00836DC3" w:rsidRDefault="00836DC3">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DC3" w:rsidRDefault="00836DC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15D" w:rsidRDefault="0056515D">
      <w:pPr>
        <w:spacing w:after="0" w:line="240" w:lineRule="auto"/>
      </w:pPr>
      <w:r>
        <w:separator/>
      </w:r>
    </w:p>
  </w:footnote>
  <w:footnote w:type="continuationSeparator" w:id="0">
    <w:p w:rsidR="0056515D" w:rsidRDefault="0056515D">
      <w:pPr>
        <w:spacing w:after="0" w:line="240" w:lineRule="auto"/>
      </w:pPr>
      <w:r>
        <w:continuationSeparator/>
      </w:r>
    </w:p>
  </w:footnote>
  <w:footnote w:id="1">
    <w:p w:rsidR="00836DC3" w:rsidRDefault="00BC7837">
      <w:pPr>
        <w:spacing w:after="0" w:line="240" w:lineRule="auto"/>
        <w:jc w:val="both"/>
        <w:rPr>
          <w:color w:val="000000"/>
          <w:sz w:val="18"/>
          <w:szCs w:val="18"/>
        </w:rPr>
      </w:pPr>
      <w:r>
        <w:rPr>
          <w:vertAlign w:val="superscript"/>
        </w:rPr>
        <w:footnoteRef/>
      </w:r>
      <w:r>
        <w:rPr>
          <w:sz w:val="18"/>
          <w:szCs w:val="18"/>
        </w:rPr>
        <w:t xml:space="preserve"> La Alianza de Mujeres Indígenas y Originarias de Bolivia, es</w:t>
      </w:r>
      <w:r>
        <w:rPr>
          <w:color w:val="000000"/>
          <w:sz w:val="18"/>
          <w:szCs w:val="18"/>
        </w:rPr>
        <w:t xml:space="preserve"> un espacio de empoderamiento de las mujeres indígenas y originarias, donde comparten experiencias, retos y problemas del día a día en sus territorios, uniendo fuerzas para defender y exigir el cumplimiento de sus derechos, a través de la incidencia nacional e internacional para lograr el ejercicio pleno de los derechos individuales y colectivos de las mujeres indígenas y originarias de Bolivia. </w:t>
      </w:r>
    </w:p>
  </w:footnote>
  <w:footnote w:id="2">
    <w:p w:rsidR="00836DC3" w:rsidRDefault="00BC7837">
      <w:pPr>
        <w:pBdr>
          <w:top w:val="nil"/>
          <w:left w:val="nil"/>
          <w:bottom w:val="nil"/>
          <w:right w:val="nil"/>
          <w:between w:val="nil"/>
        </w:pBdr>
        <w:spacing w:after="0" w:line="240" w:lineRule="auto"/>
        <w:jc w:val="both"/>
        <w:rPr>
          <w:color w:val="000000"/>
          <w:sz w:val="18"/>
          <w:szCs w:val="18"/>
        </w:rPr>
      </w:pPr>
      <w:r>
        <w:rPr>
          <w:vertAlign w:val="superscript"/>
        </w:rPr>
        <w:footnoteRef/>
      </w:r>
      <w:r>
        <w:rPr>
          <w:b/>
          <w:color w:val="000000"/>
          <w:sz w:val="18"/>
          <w:szCs w:val="18"/>
        </w:rPr>
        <w:t xml:space="preserve"> </w:t>
      </w:r>
      <w:r>
        <w:rPr>
          <w:color w:val="000000"/>
          <w:sz w:val="18"/>
          <w:szCs w:val="18"/>
        </w:rPr>
        <w:t xml:space="preserve">Confederación Nacional de Mujeres Indígenas de Bolivia (CNAMIB), fundada el 23 de noviembre de 2007 y constituida según sus propias normas, usos y costumbres, como única interlocutora válida en su relacionamiento con el entorno social, político y económico, tanto a nivel local, regional, nacional e internacional. Está conformada por </w:t>
      </w:r>
      <w:r w:rsidR="00240E86">
        <w:rPr>
          <w:color w:val="000000"/>
          <w:sz w:val="18"/>
          <w:szCs w:val="18"/>
        </w:rPr>
        <w:t>34 naciones indígenas del Oriente, Chaco y Amazonía.</w:t>
      </w:r>
    </w:p>
  </w:footnote>
  <w:footnote w:id="3">
    <w:p w:rsidR="00836DC3" w:rsidRDefault="00BC783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Mama T</w:t>
      </w:r>
      <w:r>
        <w:rPr>
          <w:sz w:val="18"/>
          <w:szCs w:val="18"/>
        </w:rPr>
        <w:t>’a</w:t>
      </w:r>
      <w:r>
        <w:rPr>
          <w:color w:val="000000"/>
          <w:sz w:val="18"/>
          <w:szCs w:val="18"/>
        </w:rPr>
        <w:t>llas, se denominan a las mujeres que junto a sus esposos son autoridad en sus comunidades y ayllus de las tierras altas.</w:t>
      </w:r>
    </w:p>
  </w:footnote>
  <w:footnote w:id="4">
    <w:p w:rsidR="00836DC3" w:rsidRDefault="00BC783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20"/>
          <w:szCs w:val="20"/>
        </w:rPr>
        <w:t xml:space="preserve"> </w:t>
      </w:r>
      <w:hyperlink r:id="rId1">
        <w:r>
          <w:rPr>
            <w:color w:val="0000FF"/>
            <w:sz w:val="18"/>
            <w:szCs w:val="18"/>
            <w:u w:val="single"/>
          </w:rPr>
          <w:t>https://www.unwomen.org/es/news/in-focus/women-and-the-sdgs/sdg-2-zero-hunger</w:t>
        </w:r>
      </w:hyperlink>
      <w:r>
        <w:rPr>
          <w:color w:val="000000"/>
          <w:sz w:val="18"/>
          <w:szCs w:val="18"/>
        </w:rPr>
        <w:t xml:space="preserve"> </w:t>
      </w:r>
    </w:p>
  </w:footnote>
  <w:footnote w:id="5">
    <w:p w:rsidR="00836DC3" w:rsidRDefault="00BC7837">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D.S: 3874 promulgado en agosto 2019, autoriza de manera excepcional se autoriza al Comité Nacional de Bioseguridad establecer procedimientos abreviados para la evaluación de la Soya transgénica, destinados a la producción de Aditivos de Origen Vegetal - Biodiesel y;</w:t>
      </w:r>
    </w:p>
    <w:p w:rsidR="00836DC3" w:rsidRDefault="00BC7837">
      <w:pPr>
        <w:pBdr>
          <w:top w:val="nil"/>
          <w:left w:val="nil"/>
          <w:bottom w:val="nil"/>
          <w:right w:val="nil"/>
          <w:between w:val="nil"/>
        </w:pBdr>
        <w:spacing w:after="0" w:line="240" w:lineRule="auto"/>
        <w:jc w:val="both"/>
        <w:rPr>
          <w:color w:val="000000"/>
          <w:sz w:val="20"/>
          <w:szCs w:val="20"/>
        </w:rPr>
      </w:pPr>
      <w:r>
        <w:rPr>
          <w:color w:val="000000"/>
          <w:sz w:val="18"/>
          <w:szCs w:val="18"/>
        </w:rPr>
        <w:t>D.S. 4232 promulgado mayo 2020, que de manera excepcional autoriza al Comité Nacional de Bioseguridad establecer procedimientos abreviados para la evaluación del maíz, caña de azúcar, algodón, trigo y soya, genéticamente modificados en sus diferentes eventos, destinados al abastecimiento del consumo interno y comercialización externa.</w:t>
      </w:r>
    </w:p>
  </w:footnote>
  <w:footnote w:id="6">
    <w:p w:rsidR="00836DC3" w:rsidRDefault="00BC783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20"/>
          <w:szCs w:val="20"/>
        </w:rPr>
        <w:t xml:space="preserve"> </w:t>
      </w:r>
      <w:r w:rsidR="00B80FF1" w:rsidRPr="00B80FF1">
        <w:rPr>
          <w:rFonts w:asciiTheme="minorHAnsi" w:eastAsia="Times New Roman" w:hAnsiTheme="minorHAnsi" w:cstheme="minorHAnsi"/>
          <w:i/>
          <w:color w:val="000000"/>
          <w:sz w:val="20"/>
        </w:rPr>
        <w:t>Fuego en Santa Cruz. Balance de los incendios forestales 2019 y su relación con la tenencia</w:t>
      </w:r>
      <w:r w:rsidR="00B80FF1">
        <w:rPr>
          <w:rFonts w:asciiTheme="minorHAnsi" w:eastAsia="Times New Roman" w:hAnsiTheme="minorHAnsi" w:cstheme="minorHAnsi"/>
          <w:i/>
          <w:color w:val="000000"/>
          <w:sz w:val="20"/>
        </w:rPr>
        <w:t xml:space="preserve"> de la tierra. Fundación Tierra </w:t>
      </w:r>
      <w:r>
        <w:rPr>
          <w:color w:val="4472C4"/>
          <w:sz w:val="18"/>
          <w:szCs w:val="18"/>
          <w:u w:val="single"/>
        </w:rPr>
        <w:t>http://www.ftierra.org/index.php/component/attachments/download/194#:~:text=Entre%20agosto%20y%20septiembre%20de,%2C6%25%20del%20territorio%20cruce%C3%B1o.</w:t>
      </w:r>
    </w:p>
  </w:footnote>
  <w:footnote w:id="7">
    <w:p w:rsidR="00836DC3" w:rsidRDefault="00BC7837">
      <w:pPr>
        <w:pBdr>
          <w:top w:val="nil"/>
          <w:left w:val="nil"/>
          <w:bottom w:val="nil"/>
          <w:right w:val="nil"/>
          <w:between w:val="nil"/>
        </w:pBdr>
        <w:shd w:val="clear" w:color="auto" w:fill="FFFFFF"/>
        <w:spacing w:after="0" w:line="240" w:lineRule="auto"/>
        <w:jc w:val="both"/>
        <w:rPr>
          <w:color w:val="202122"/>
          <w:sz w:val="18"/>
          <w:szCs w:val="18"/>
        </w:rPr>
      </w:pPr>
      <w:r>
        <w:rPr>
          <w:vertAlign w:val="superscript"/>
        </w:rPr>
        <w:footnoteRef/>
      </w:r>
      <w:r>
        <w:rPr>
          <w:color w:val="000000"/>
          <w:sz w:val="18"/>
          <w:szCs w:val="18"/>
        </w:rPr>
        <w:t xml:space="preserve"> </w:t>
      </w:r>
      <w:r>
        <w:rPr>
          <w:color w:val="202122"/>
          <w:sz w:val="18"/>
          <w:szCs w:val="18"/>
        </w:rPr>
        <w:t xml:space="preserve">Ley N°741 del 2015, en la que se aprobó la ampliación de desmonte de 5 a 20 hectáreas por comunario La Ley 1098 de Etanol y Aditivos de origen vegetal y Biodiesel (septiembre 2018); </w:t>
      </w:r>
    </w:p>
    <w:p w:rsidR="00836DC3" w:rsidRDefault="00BC7837">
      <w:pPr>
        <w:pBdr>
          <w:top w:val="nil"/>
          <w:left w:val="nil"/>
          <w:bottom w:val="nil"/>
          <w:right w:val="nil"/>
          <w:between w:val="nil"/>
        </w:pBdr>
        <w:shd w:val="clear" w:color="auto" w:fill="FFFFFF"/>
        <w:spacing w:after="0" w:line="240" w:lineRule="auto"/>
        <w:jc w:val="both"/>
        <w:rPr>
          <w:color w:val="000000"/>
          <w:sz w:val="18"/>
          <w:szCs w:val="18"/>
        </w:rPr>
      </w:pPr>
      <w:r>
        <w:rPr>
          <w:color w:val="000000"/>
          <w:sz w:val="18"/>
          <w:szCs w:val="18"/>
        </w:rPr>
        <w:t xml:space="preserve">D.S. 3973 de 2019 de Modificación y Ampliación del Desmonte para actividades agropecuarias en tierras privadas y comunitarias en los departamentos de Santa Cruz y Beni, permitiendo quemas controladas en áreas clasificadas por el PLUS. </w:t>
      </w:r>
    </w:p>
  </w:footnote>
  <w:footnote w:id="8">
    <w:p w:rsidR="00836DC3" w:rsidRDefault="00BC783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20"/>
          <w:szCs w:val="20"/>
        </w:rPr>
        <w:t xml:space="preserve"> </w:t>
      </w:r>
      <w:r>
        <w:rPr>
          <w:color w:val="000000"/>
          <w:sz w:val="18"/>
          <w:szCs w:val="18"/>
        </w:rPr>
        <w:t>Bolivia: Atlas socio-político sobre los territorios indígenas en las tierras bajas de Bolivia. CEJIS, Bolivia, 2019.</w:t>
      </w:r>
    </w:p>
  </w:footnote>
  <w:footnote w:id="9">
    <w:p w:rsidR="00836DC3" w:rsidRDefault="00BC783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w:t>
      </w:r>
      <w:hyperlink r:id="rId2" w:history="1">
        <w:r w:rsidR="0014195B" w:rsidRPr="00694DCF">
          <w:rPr>
            <w:rStyle w:val="Hipervnculo"/>
            <w:sz w:val="18"/>
            <w:szCs w:val="18"/>
          </w:rPr>
          <w:t>https://www.defensoria.gob.bo/noticias/defensoria-del-pueblo-identifica-falta-de-acciones-estatales-para-controlar-y-reducir-el-uso-del-mercurio-en-la-actividad-minera-aurifera</w:t>
        </w:r>
      </w:hyperlink>
      <w:r w:rsidR="0014195B">
        <w:rPr>
          <w:color w:val="000000"/>
          <w:sz w:val="18"/>
          <w:szCs w:val="18"/>
        </w:rPr>
        <w:t xml:space="preserve"> </w:t>
      </w:r>
    </w:p>
  </w:footnote>
  <w:footnote w:id="10">
    <w:p w:rsidR="006105D8" w:rsidRPr="00917AFC" w:rsidRDefault="006105D8">
      <w:pPr>
        <w:pStyle w:val="Textonotapie"/>
        <w:rPr>
          <w:rFonts w:asciiTheme="minorHAnsi" w:hAnsiTheme="minorHAnsi" w:cstheme="minorHAnsi"/>
          <w:sz w:val="18"/>
          <w:szCs w:val="18"/>
        </w:rPr>
      </w:pPr>
      <w:r>
        <w:rPr>
          <w:rStyle w:val="Refdenotaalpie"/>
        </w:rPr>
        <w:footnoteRef/>
      </w:r>
      <w:r>
        <w:t xml:space="preserve"> </w:t>
      </w:r>
      <w:hyperlink r:id="rId3">
        <w:r w:rsidRPr="00917AFC">
          <w:rPr>
            <w:rFonts w:asciiTheme="minorHAnsi" w:eastAsia="Times New Roman" w:hAnsiTheme="minorHAnsi" w:cstheme="minorHAnsi"/>
            <w:color w:val="1155CC"/>
            <w:sz w:val="18"/>
            <w:szCs w:val="18"/>
            <w:u w:val="single"/>
          </w:rPr>
          <w:t>https://eldeber.com.bo/pais/denuncian-ante-la-cidh-contaminacion-por-mercurio-que-golpea-a-comunidades-indigenas-de-bolivia_270871</w:t>
        </w:r>
      </w:hyperlink>
    </w:p>
  </w:footnote>
  <w:footnote w:id="11">
    <w:p w:rsidR="00836DC3" w:rsidRDefault="00BC783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20"/>
          <w:szCs w:val="20"/>
        </w:rPr>
        <w:t xml:space="preserve"> </w:t>
      </w:r>
      <w:r>
        <w:rPr>
          <w:color w:val="000000"/>
          <w:sz w:val="18"/>
          <w:szCs w:val="18"/>
        </w:rPr>
        <w:t>Encuesta de Demografía y Salud EDSA, INE 2016</w:t>
      </w:r>
    </w:p>
  </w:footnote>
  <w:footnote w:id="12">
    <w:p w:rsidR="00836DC3" w:rsidRDefault="00BC7837">
      <w:pPr>
        <w:pBdr>
          <w:top w:val="nil"/>
          <w:left w:val="nil"/>
          <w:bottom w:val="nil"/>
          <w:right w:val="nil"/>
          <w:between w:val="nil"/>
        </w:pBdr>
        <w:spacing w:after="0" w:line="240" w:lineRule="auto"/>
        <w:rPr>
          <w:color w:val="000000"/>
          <w:sz w:val="18"/>
          <w:szCs w:val="18"/>
        </w:rPr>
      </w:pPr>
      <w:r>
        <w:rPr>
          <w:vertAlign w:val="superscript"/>
        </w:rPr>
        <w:footnoteRef/>
      </w:r>
      <w:r>
        <w:rPr>
          <w:color w:val="000000"/>
          <w:sz w:val="18"/>
          <w:szCs w:val="18"/>
        </w:rPr>
        <w:t xml:space="preserve"> </w:t>
      </w:r>
      <w:r>
        <w:rPr>
          <w:color w:val="000000"/>
          <w:sz w:val="18"/>
          <w:szCs w:val="18"/>
          <w:highlight w:val="white"/>
        </w:rPr>
        <w:t>Estudio Nacional de mortalidad materna 2011</w:t>
      </w:r>
      <w:r>
        <w:rPr>
          <w:i/>
          <w:color w:val="000000"/>
          <w:sz w:val="18"/>
          <w:szCs w:val="18"/>
          <w:highlight w:val="white"/>
        </w:rPr>
        <w:t>,</w:t>
      </w:r>
      <w:r>
        <w:rPr>
          <w:color w:val="000000"/>
          <w:sz w:val="18"/>
          <w:szCs w:val="18"/>
          <w:highlight w:val="white"/>
        </w:rPr>
        <w:t xml:space="preserve"> Ministerio de Salud. Bolivia.</w:t>
      </w:r>
    </w:p>
  </w:footnote>
  <w:footnote w:id="13">
    <w:p w:rsidR="00836DC3" w:rsidRDefault="00BC7837">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4" w:anchor="1" w:history="1">
        <w:r w:rsidR="008C760D" w:rsidRPr="00694DCF">
          <w:rPr>
            <w:rStyle w:val="Hipervnculo"/>
            <w:sz w:val="18"/>
            <w:szCs w:val="18"/>
          </w:rPr>
          <w:t>https://www.bancomundial.org/es/country/bolivia/overview#1</w:t>
        </w:r>
      </w:hyperlink>
      <w:r w:rsidR="008C760D">
        <w:rPr>
          <w:color w:val="000000"/>
          <w:sz w:val="18"/>
          <w:szCs w:val="18"/>
        </w:rPr>
        <w:t xml:space="preserve"> </w:t>
      </w:r>
    </w:p>
  </w:footnote>
  <w:footnote w:id="14">
    <w:p w:rsidR="000B7DA7" w:rsidRPr="0014195B" w:rsidRDefault="000B7DA7" w:rsidP="000B7DA7">
      <w:pPr>
        <w:pStyle w:val="Textonotapie"/>
        <w:rPr>
          <w:rFonts w:asciiTheme="minorHAnsi" w:hAnsiTheme="minorHAnsi" w:cstheme="minorHAnsi"/>
          <w:sz w:val="16"/>
        </w:rPr>
      </w:pPr>
      <w:r>
        <w:rPr>
          <w:rStyle w:val="Refdenotaalpie"/>
        </w:rPr>
        <w:footnoteRef/>
      </w:r>
      <w:r>
        <w:t xml:space="preserve"> </w:t>
      </w:r>
      <w:r w:rsidRPr="0014195B">
        <w:rPr>
          <w:rFonts w:asciiTheme="minorHAnsi" w:eastAsia="Times New Roman" w:hAnsiTheme="minorHAnsi" w:cstheme="minorHAnsi"/>
          <w:color w:val="000000"/>
          <w:sz w:val="18"/>
          <w:szCs w:val="22"/>
        </w:rPr>
        <w:t>Encuesta de Prevalencia y características de la Violencia contra la Mujer. INE y Ministerio de Justicia, 2016</w:t>
      </w:r>
    </w:p>
  </w:footnote>
  <w:footnote w:id="15">
    <w:p w:rsidR="00BC6290" w:rsidRPr="00BC6290" w:rsidRDefault="00BC6290">
      <w:pPr>
        <w:pStyle w:val="Textonotapie"/>
        <w:rPr>
          <w:lang w:val="es-MX"/>
        </w:rPr>
      </w:pPr>
      <w:r w:rsidRPr="0014195B">
        <w:rPr>
          <w:rStyle w:val="Refdenotaalpie"/>
          <w:sz w:val="18"/>
        </w:rPr>
        <w:footnoteRef/>
      </w:r>
      <w:r w:rsidRPr="0014195B">
        <w:rPr>
          <w:sz w:val="18"/>
        </w:rPr>
        <w:t xml:space="preserve"> </w:t>
      </w:r>
      <w:hyperlink r:id="rId5" w:history="1">
        <w:r w:rsidRPr="0014195B">
          <w:rPr>
            <w:rStyle w:val="Hipervnculo"/>
            <w:sz w:val="18"/>
          </w:rPr>
          <w:t>https://www.alianzaporlasolidaridad.org/axs2020/wp-content/uploads/Estudio-DVLV-y-Covid19_-Diagramado_Para-Web.pdf</w:t>
        </w:r>
      </w:hyperlink>
      <w: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DC3" w:rsidRDefault="00836DC3">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DC3" w:rsidRDefault="00BC7837">
    <w:pPr>
      <w:pBdr>
        <w:top w:val="nil"/>
        <w:left w:val="nil"/>
        <w:bottom w:val="single" w:sz="4" w:space="1" w:color="000000"/>
        <w:right w:val="nil"/>
        <w:between w:val="nil"/>
      </w:pBdr>
      <w:tabs>
        <w:tab w:val="center" w:pos="4513"/>
        <w:tab w:val="right" w:pos="9026"/>
      </w:tabs>
      <w:spacing w:after="0" w:line="240" w:lineRule="auto"/>
      <w:jc w:val="both"/>
      <w:rPr>
        <w:rFonts w:ascii="Times New Roman" w:eastAsia="Times New Roman" w:hAnsi="Times New Roman" w:cs="Times New Roman"/>
        <w:i/>
        <w:color w:val="000000"/>
        <w:sz w:val="8"/>
        <w:szCs w:val="8"/>
      </w:rPr>
    </w:pPr>
    <w:bookmarkStart w:id="4" w:name="_heading=h.3znysh7" w:colFirst="0" w:colLast="0"/>
    <w:bookmarkEnd w:id="4"/>
    <w:r>
      <w:rPr>
        <w:rFonts w:ascii="Times New Roman" w:eastAsia="Times New Roman" w:hAnsi="Times New Roman" w:cs="Times New Roman"/>
        <w:i/>
        <w:color w:val="000000"/>
        <w:sz w:val="14"/>
        <w:szCs w:val="14"/>
      </w:rPr>
      <w:t>Informe Alternativo de la Alianza de Mujeres Indígenas de Tierras Bajas y Altas de Bolivia presentado para el 82° periodo de sesiones del Comité para la Eliminación de la Discriminación contra la Mujer (CEDAW), mayo 2022</w:t>
    </w:r>
  </w:p>
  <w:p w:rsidR="00836DC3" w:rsidRDefault="00836DC3">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DC3" w:rsidRDefault="00836DC3">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000D"/>
    <w:multiLevelType w:val="hybridMultilevel"/>
    <w:tmpl w:val="9C423CBA"/>
    <w:lvl w:ilvl="0" w:tplc="00CAB00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0295336"/>
    <w:multiLevelType w:val="multilevel"/>
    <w:tmpl w:val="F65A89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DC3"/>
    <w:rsid w:val="0003362D"/>
    <w:rsid w:val="000B7DA7"/>
    <w:rsid w:val="0014195B"/>
    <w:rsid w:val="00240E86"/>
    <w:rsid w:val="002A32D4"/>
    <w:rsid w:val="0056515D"/>
    <w:rsid w:val="006105D8"/>
    <w:rsid w:val="00836DC3"/>
    <w:rsid w:val="00871829"/>
    <w:rsid w:val="008C740B"/>
    <w:rsid w:val="008C760D"/>
    <w:rsid w:val="00917AFC"/>
    <w:rsid w:val="00961C00"/>
    <w:rsid w:val="00B5698F"/>
    <w:rsid w:val="00B80FF1"/>
    <w:rsid w:val="00BC6290"/>
    <w:rsid w:val="00BC7837"/>
    <w:rsid w:val="00E36965"/>
    <w:rsid w:val="00E464C0"/>
    <w:rsid w:val="00E5434E"/>
    <w:rsid w:val="00E95731"/>
    <w:rsid w:val="00EA1CE9"/>
    <w:rsid w:val="00EA241B"/>
    <w:rsid w:val="00FB6B0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D6900F-8770-418B-AA6F-56CE3779F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_tradnl" w:eastAsia="es-MX"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Ninguno">
    <w:name w:val="Ninguno"/>
    <w:rsid w:val="00B66BC0"/>
    <w:rPr>
      <w:lang w:val="es-ES_tradnl"/>
    </w:rPr>
  </w:style>
  <w:style w:type="paragraph" w:customStyle="1" w:styleId="CuerpoA">
    <w:name w:val="Cuerpo A"/>
    <w:rsid w:val="00B66BC0"/>
    <w:pPr>
      <w:pBdr>
        <w:top w:val="nil"/>
        <w:left w:val="nil"/>
        <w:bottom w:val="nil"/>
        <w:right w:val="nil"/>
        <w:between w:val="nil"/>
        <w:bar w:val="nil"/>
      </w:pBdr>
      <w:spacing w:after="200" w:line="276" w:lineRule="auto"/>
    </w:pPr>
    <w:rPr>
      <w:rFonts w:eastAsia="Arial Unicode MS" w:cs="Arial Unicode MS"/>
      <w:color w:val="000000"/>
      <w:u w:color="000000"/>
      <w:bdr w:val="nil"/>
      <w:lang w:eastAsia="es-ES"/>
      <w14:textOutline w14:w="12700" w14:cap="flat" w14:cmpd="sng" w14:algn="ctr">
        <w14:noFill/>
        <w14:prstDash w14:val="solid"/>
        <w14:miter w14:lim="400000"/>
      </w14:textOutline>
    </w:rPr>
  </w:style>
  <w:style w:type="character" w:styleId="Refdenotaalpie">
    <w:name w:val="footnote reference"/>
    <w:basedOn w:val="Fuentedeprrafopredeter"/>
    <w:uiPriority w:val="99"/>
    <w:unhideWhenUsed/>
    <w:rsid w:val="00B66BC0"/>
    <w:rPr>
      <w:vertAlign w:val="superscript"/>
    </w:rPr>
  </w:style>
  <w:style w:type="paragraph" w:styleId="Textonotapie">
    <w:name w:val="footnote text"/>
    <w:basedOn w:val="Normal"/>
    <w:link w:val="TextonotapieCar"/>
    <w:unhideWhenUsed/>
    <w:rsid w:val="00B66BC0"/>
    <w:pPr>
      <w:spacing w:after="0" w:line="240" w:lineRule="auto"/>
    </w:pPr>
    <w:rPr>
      <w:sz w:val="20"/>
      <w:szCs w:val="20"/>
    </w:rPr>
  </w:style>
  <w:style w:type="character" w:customStyle="1" w:styleId="TextonotapieCar">
    <w:name w:val="Texto nota pie Car"/>
    <w:basedOn w:val="Fuentedeprrafopredeter"/>
    <w:link w:val="Textonotapie"/>
    <w:uiPriority w:val="99"/>
    <w:rsid w:val="00B66BC0"/>
    <w:rPr>
      <w:sz w:val="20"/>
      <w:szCs w:val="20"/>
    </w:rPr>
  </w:style>
  <w:style w:type="paragraph" w:styleId="Prrafodelista">
    <w:name w:val="List Paragraph"/>
    <w:basedOn w:val="Normal"/>
    <w:link w:val="PrrafodelistaCar"/>
    <w:uiPriority w:val="34"/>
    <w:qFormat/>
    <w:rsid w:val="00B83617"/>
    <w:pPr>
      <w:pBdr>
        <w:top w:val="nil"/>
        <w:left w:val="nil"/>
        <w:bottom w:val="nil"/>
        <w:right w:val="nil"/>
        <w:between w:val="nil"/>
        <w:bar w:val="nil"/>
      </w:pBdr>
      <w:spacing w:after="0" w:line="240" w:lineRule="auto"/>
      <w:ind w:left="720"/>
      <w:contextualSpacing/>
    </w:pPr>
    <w:rPr>
      <w:rFonts w:ascii="Times New Roman" w:eastAsia="Arial Unicode MS" w:hAnsi="Arial Unicode MS" w:cs="Arial Unicode MS"/>
      <w:color w:val="000000"/>
      <w:sz w:val="24"/>
      <w:szCs w:val="24"/>
      <w:u w:color="000000"/>
      <w:bdr w:val="nil"/>
      <w:lang w:val="en-US"/>
    </w:rPr>
  </w:style>
  <w:style w:type="paragraph" w:customStyle="1" w:styleId="Default">
    <w:name w:val="Default"/>
    <w:rsid w:val="0063351D"/>
    <w:pPr>
      <w:autoSpaceDE w:val="0"/>
      <w:autoSpaceDN w:val="0"/>
      <w:adjustRightInd w:val="0"/>
      <w:spacing w:after="0" w:line="240" w:lineRule="auto"/>
    </w:pPr>
    <w:rPr>
      <w:rFonts w:ascii="Times New Roman" w:hAnsi="Times New Roman" w:cs="Times New Roman"/>
      <w:color w:val="000000"/>
      <w:sz w:val="24"/>
      <w:szCs w:val="24"/>
      <w:lang w:val="es-ES"/>
    </w:rPr>
  </w:style>
  <w:style w:type="paragraph" w:customStyle="1" w:styleId="H23">
    <w:name w:val="_ H_2/3"/>
    <w:basedOn w:val="Normal"/>
    <w:next w:val="Normal"/>
    <w:qFormat/>
    <w:rsid w:val="00F95492"/>
    <w:pPr>
      <w:keepNext/>
      <w:keepLines/>
      <w:suppressAutoHyphens/>
      <w:spacing w:after="0" w:line="240" w:lineRule="exact"/>
      <w:outlineLvl w:val="1"/>
    </w:pPr>
    <w:rPr>
      <w:rFonts w:ascii="Times New Roman" w:hAnsi="Times New Roman" w:cs="Times New Roman"/>
      <w:b/>
      <w:spacing w:val="2"/>
      <w:w w:val="103"/>
      <w:kern w:val="14"/>
      <w:sz w:val="20"/>
      <w:lang w:val="es-ES"/>
    </w:rPr>
  </w:style>
  <w:style w:type="paragraph" w:customStyle="1" w:styleId="Cuerpo">
    <w:name w:val="Cuerpo"/>
    <w:rsid w:val="006E4720"/>
    <w:pPr>
      <w:pBdr>
        <w:top w:val="nil"/>
        <w:left w:val="nil"/>
        <w:bottom w:val="nil"/>
        <w:right w:val="nil"/>
        <w:between w:val="nil"/>
        <w:bar w:val="nil"/>
      </w:pBdr>
    </w:pPr>
    <w:rPr>
      <w:rFonts w:ascii="Century Gothic" w:eastAsia="Century Gothic" w:hAnsi="Century Gothic" w:cs="Century Gothic"/>
      <w:color w:val="000000"/>
      <w:u w:color="000000"/>
      <w:bdr w:val="nil"/>
      <w:lang w:val="es-ES" w:eastAsia="es-ES"/>
      <w14:textOutline w14:w="0" w14:cap="flat" w14:cmpd="sng" w14:algn="ctr">
        <w14:noFill/>
        <w14:prstDash w14:val="solid"/>
        <w14:bevel/>
      </w14:textOutline>
    </w:rPr>
  </w:style>
  <w:style w:type="paragraph" w:styleId="NormalWeb">
    <w:name w:val="Normal (Web)"/>
    <w:rsid w:val="006E4720"/>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eastAsia="es-ES"/>
    </w:rPr>
  </w:style>
  <w:style w:type="paragraph" w:customStyle="1" w:styleId="rtejustify">
    <w:name w:val="rtejustify"/>
    <w:rsid w:val="006E4720"/>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eastAsia="es-ES"/>
    </w:rPr>
  </w:style>
  <w:style w:type="paragraph" w:customStyle="1" w:styleId="SingleTxt">
    <w:name w:val="__Single Txt"/>
    <w:basedOn w:val="Normal"/>
    <w:qFormat/>
    <w:rsid w:val="00933B2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lang w:val="es-ES"/>
    </w:rPr>
  </w:style>
  <w:style w:type="character" w:customStyle="1" w:styleId="PrrafodelistaCar">
    <w:name w:val="Párrafo de lista Car"/>
    <w:link w:val="Prrafodelista"/>
    <w:uiPriority w:val="34"/>
    <w:rsid w:val="00933B20"/>
    <w:rPr>
      <w:rFonts w:ascii="Times New Roman" w:eastAsia="Arial Unicode MS" w:hAnsi="Arial Unicode MS" w:cs="Arial Unicode MS"/>
      <w:color w:val="000000"/>
      <w:sz w:val="24"/>
      <w:szCs w:val="24"/>
      <w:u w:color="000000"/>
      <w:bdr w:val="nil"/>
      <w:lang w:val="en-US"/>
    </w:rPr>
  </w:style>
  <w:style w:type="paragraph" w:styleId="Textocomentario">
    <w:name w:val="annotation text"/>
    <w:link w:val="TextocomentarioCar"/>
    <w:rsid w:val="0033242E"/>
    <w:pPr>
      <w:pBdr>
        <w:top w:val="nil"/>
        <w:left w:val="nil"/>
        <w:bottom w:val="nil"/>
        <w:right w:val="nil"/>
        <w:between w:val="nil"/>
        <w:bar w:val="nil"/>
      </w:pBdr>
      <w:spacing w:line="240" w:lineRule="auto"/>
    </w:pPr>
    <w:rPr>
      <w:rFonts w:ascii="Century Gothic" w:eastAsia="Arial Unicode MS" w:hAnsi="Century Gothic" w:cs="Arial Unicode MS"/>
      <w:color w:val="000000"/>
      <w:sz w:val="20"/>
      <w:szCs w:val="20"/>
      <w:u w:color="000000"/>
      <w:bdr w:val="nil"/>
      <w:lang w:eastAsia="es-ES"/>
    </w:rPr>
  </w:style>
  <w:style w:type="character" w:customStyle="1" w:styleId="TextocomentarioCar">
    <w:name w:val="Texto comentario Car"/>
    <w:basedOn w:val="Fuentedeprrafopredeter"/>
    <w:link w:val="Textocomentario"/>
    <w:rsid w:val="0033242E"/>
    <w:rPr>
      <w:rFonts w:ascii="Century Gothic" w:eastAsia="Arial Unicode MS" w:hAnsi="Century Gothic" w:cs="Arial Unicode MS"/>
      <w:color w:val="000000"/>
      <w:sz w:val="20"/>
      <w:szCs w:val="20"/>
      <w:u w:color="000000"/>
      <w:bdr w:val="nil"/>
      <w:lang w:val="es-ES_tradnl" w:eastAsia="es-ES"/>
    </w:rPr>
  </w:style>
  <w:style w:type="character" w:customStyle="1" w:styleId="Hyperlink0">
    <w:name w:val="Hyperlink.0"/>
    <w:basedOn w:val="Fuentedeprrafopredeter"/>
    <w:rsid w:val="0033242E"/>
    <w:rPr>
      <w:rFonts w:ascii="Times New Roman" w:eastAsia="Times New Roman" w:hAnsi="Times New Roman" w:cs="Times New Roman"/>
      <w:color w:val="0000FF"/>
      <w:u w:val="single" w:color="0000FF"/>
      <w:lang w:val="es-ES_tradnl"/>
      <w14:textOutline w14:w="0" w14:cap="rnd" w14:cmpd="sng" w14:algn="ctr">
        <w14:noFill/>
        <w14:prstDash w14:val="solid"/>
        <w14:bevel/>
      </w14:textOutline>
    </w:rPr>
  </w:style>
  <w:style w:type="paragraph" w:styleId="Textonotaalfinal">
    <w:name w:val="endnote text"/>
    <w:basedOn w:val="Normal"/>
    <w:link w:val="TextonotaalfinalCar"/>
    <w:uiPriority w:val="99"/>
    <w:semiHidden/>
    <w:unhideWhenUsed/>
    <w:rsid w:val="0017118F"/>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17118F"/>
    <w:rPr>
      <w:sz w:val="20"/>
      <w:szCs w:val="20"/>
    </w:rPr>
  </w:style>
  <w:style w:type="character" w:styleId="Refdenotaalfinal">
    <w:name w:val="endnote reference"/>
    <w:basedOn w:val="Fuentedeprrafopredeter"/>
    <w:uiPriority w:val="99"/>
    <w:semiHidden/>
    <w:unhideWhenUsed/>
    <w:rsid w:val="0017118F"/>
    <w:rPr>
      <w:vertAlign w:val="superscript"/>
    </w:rPr>
  </w:style>
  <w:style w:type="paragraph" w:styleId="Textodeglobo">
    <w:name w:val="Balloon Text"/>
    <w:basedOn w:val="Normal"/>
    <w:link w:val="TextodegloboCar"/>
    <w:uiPriority w:val="99"/>
    <w:semiHidden/>
    <w:unhideWhenUsed/>
    <w:rsid w:val="00EC2E8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2E8B"/>
    <w:rPr>
      <w:rFonts w:ascii="Segoe UI" w:hAnsi="Segoe UI" w:cs="Segoe UI"/>
      <w:sz w:val="18"/>
      <w:szCs w:val="18"/>
    </w:rPr>
  </w:style>
  <w:style w:type="paragraph" w:styleId="Encabezado">
    <w:name w:val="header"/>
    <w:basedOn w:val="Normal"/>
    <w:link w:val="EncabezadoCar"/>
    <w:uiPriority w:val="99"/>
    <w:unhideWhenUsed/>
    <w:rsid w:val="002C1799"/>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2C1799"/>
  </w:style>
  <w:style w:type="paragraph" w:styleId="Piedepgina">
    <w:name w:val="footer"/>
    <w:basedOn w:val="Normal"/>
    <w:link w:val="PiedepginaCar"/>
    <w:uiPriority w:val="99"/>
    <w:unhideWhenUsed/>
    <w:rsid w:val="002C1799"/>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2C1799"/>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Hipervnculo">
    <w:name w:val="Hyperlink"/>
    <w:basedOn w:val="Fuentedeprrafopredeter"/>
    <w:uiPriority w:val="99"/>
    <w:unhideWhenUsed/>
    <w:rsid w:val="00BC62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eldeber.com.bo/pais/denuncian-ante-la-cidh-contaminacion-por-mercurio-que-golpea-a-comunidades-indigenas-de-bolivia_270871" TargetMode="External"/><Relationship Id="rId2" Type="http://schemas.openxmlformats.org/officeDocument/2006/relationships/hyperlink" Target="https://www.defensoria.gob.bo/noticias/defensoria-del-pueblo-identifica-falta-de-acciones-estatales-para-controlar-y-reducir-el-uso-del-mercurio-en-la-actividad-minera-aurifera" TargetMode="External"/><Relationship Id="rId1" Type="http://schemas.openxmlformats.org/officeDocument/2006/relationships/hyperlink" Target="https://www.unwomen.org/es/news/in-focus/women-and-the-sdgs/sdg-2-zero-hunger" TargetMode="External"/><Relationship Id="rId5" Type="http://schemas.openxmlformats.org/officeDocument/2006/relationships/hyperlink" Target="https://www.alianzaporlasolidaridad.org/axs2020/wp-content/uploads/Estudio-DVLV-y-Covid19_-Diagramado_Para-Web.pdf" TargetMode="External"/><Relationship Id="rId4" Type="http://schemas.openxmlformats.org/officeDocument/2006/relationships/hyperlink" Target="https://www.bancomundial.org/es/country/bolivia/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fE46VgbHHrpgzanG0VYDQVqtaQA==">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ABBD7EE-0446-4BB7-9E70-D0A56A7F4F31}">
  <ds:schemaRefs>
    <ds:schemaRef ds:uri="http://schemas.openxmlformats.org/officeDocument/2006/bibliography"/>
  </ds:schemaRefs>
</ds:datastoreItem>
</file>

<file path=customXml/itemProps3.xml><?xml version="1.0" encoding="utf-8"?>
<ds:datastoreItem xmlns:ds="http://schemas.openxmlformats.org/officeDocument/2006/customXml" ds:itemID="{F27D42FE-97E8-4DEF-85B1-16B18A85190A}"/>
</file>

<file path=customXml/itemProps4.xml><?xml version="1.0" encoding="utf-8"?>
<ds:datastoreItem xmlns:ds="http://schemas.openxmlformats.org/officeDocument/2006/customXml" ds:itemID="{79352D6B-DF28-4261-B8C5-BDC89F7FA5FD}"/>
</file>

<file path=customXml/itemProps5.xml><?xml version="1.0" encoding="utf-8"?>
<ds:datastoreItem xmlns:ds="http://schemas.openxmlformats.org/officeDocument/2006/customXml" ds:itemID="{37ED192E-7C06-421B-9AF2-5683E44DD645}"/>
</file>

<file path=docProps/app.xml><?xml version="1.0" encoding="utf-8"?>
<Properties xmlns="http://schemas.openxmlformats.org/officeDocument/2006/extended-properties" xmlns:vt="http://schemas.openxmlformats.org/officeDocument/2006/docPropsVTypes">
  <Template>Normal</Template>
  <TotalTime>108</TotalTime>
  <Pages>3</Pages>
  <Words>6106</Words>
  <Characters>33589</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dc:creator>
  <cp:lastModifiedBy>Adriana</cp:lastModifiedBy>
  <cp:revision>13</cp:revision>
  <cp:lastPrinted>2022-05-15T17:40:00Z</cp:lastPrinted>
  <dcterms:created xsi:type="dcterms:W3CDTF">2022-05-14T00:51:00Z</dcterms:created>
  <dcterms:modified xsi:type="dcterms:W3CDTF">2022-05-15T17:40:00Z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