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6C17E" w14:textId="77777777" w:rsidR="00793F11" w:rsidRDefault="00793F11">
      <w:pPr>
        <w:pStyle w:val="Body"/>
        <w:spacing w:after="160" w:line="259" w:lineRule="auto"/>
        <w:jc w:val="center"/>
      </w:pPr>
    </w:p>
    <w:p w14:paraId="4109DBC2" w14:textId="77777777" w:rsidR="00793F11" w:rsidRDefault="00000000">
      <w:pPr>
        <w:pStyle w:val="Body"/>
        <w:spacing w:after="160" w:line="259" w:lineRule="auto"/>
        <w:jc w:val="center"/>
      </w:pPr>
      <w:r>
        <w:rPr>
          <w:rFonts w:ascii="Arial Black" w:hAnsi="Arial Black"/>
          <w:sz w:val="36"/>
          <w:szCs w:val="36"/>
          <w:lang w:val="de-DE"/>
        </w:rPr>
        <w:t>Alternative Report On</w:t>
      </w:r>
    </w:p>
    <w:p w14:paraId="32408B47" w14:textId="77777777" w:rsidR="00793F11" w:rsidRDefault="00000000">
      <w:pPr>
        <w:pStyle w:val="Body"/>
        <w:spacing w:after="160" w:line="259" w:lineRule="auto"/>
        <w:jc w:val="center"/>
      </w:pPr>
      <w:r>
        <w:rPr>
          <w:rFonts w:ascii="Arial Black" w:hAnsi="Arial Black"/>
          <w:sz w:val="36"/>
          <w:szCs w:val="36"/>
          <w:lang w:val="fr-FR"/>
        </w:rPr>
        <w:t>Qatar</w:t>
      </w:r>
      <w:r>
        <w:rPr>
          <w:rFonts w:ascii="Arial Black" w:hAnsi="Arial Black"/>
          <w:sz w:val="36"/>
          <w:szCs w:val="36"/>
        </w:rPr>
        <w:t xml:space="preserve">’s </w:t>
      </w:r>
    </w:p>
    <w:p w14:paraId="712BE88C" w14:textId="77777777" w:rsidR="00793F11" w:rsidRDefault="00000000">
      <w:pPr>
        <w:pStyle w:val="Body"/>
        <w:spacing w:after="160" w:line="259" w:lineRule="auto"/>
        <w:jc w:val="center"/>
      </w:pPr>
      <w:r>
        <w:rPr>
          <w:rFonts w:ascii="Arial Black" w:hAnsi="Arial Black"/>
          <w:sz w:val="36"/>
          <w:szCs w:val="36"/>
        </w:rPr>
        <w:t xml:space="preserve">Compliance with </w:t>
      </w:r>
      <w:proofErr w:type="spellStart"/>
      <w:r>
        <w:rPr>
          <w:rFonts w:ascii="Arial Black" w:hAnsi="Arial Black"/>
          <w:sz w:val="36"/>
          <w:szCs w:val="36"/>
        </w:rPr>
        <w:t>Labour</w:t>
      </w:r>
      <w:proofErr w:type="spellEnd"/>
      <w:r>
        <w:rPr>
          <w:rFonts w:ascii="Arial Black" w:hAnsi="Arial Black"/>
          <w:sz w:val="36"/>
          <w:szCs w:val="36"/>
        </w:rPr>
        <w:t xml:space="preserve"> Obligations</w:t>
      </w:r>
    </w:p>
    <w:p w14:paraId="3C85472F" w14:textId="77777777" w:rsidR="00793F11" w:rsidRDefault="00000000">
      <w:pPr>
        <w:pStyle w:val="Body"/>
        <w:spacing w:after="160" w:line="259" w:lineRule="auto"/>
        <w:jc w:val="center"/>
      </w:pPr>
      <w:r>
        <w:rPr>
          <w:rFonts w:ascii="Arial Black" w:hAnsi="Arial Black"/>
          <w:sz w:val="36"/>
          <w:szCs w:val="36"/>
        </w:rPr>
        <w:t xml:space="preserve"> under the</w:t>
      </w:r>
    </w:p>
    <w:p w14:paraId="6008A785" w14:textId="77777777" w:rsidR="00793F11" w:rsidRDefault="00000000">
      <w:pPr>
        <w:pStyle w:val="Body"/>
        <w:spacing w:after="160" w:line="259" w:lineRule="auto"/>
        <w:jc w:val="center"/>
      </w:pPr>
      <w:r>
        <w:rPr>
          <w:rFonts w:ascii="Arial Black" w:hAnsi="Arial Black"/>
          <w:sz w:val="36"/>
          <w:szCs w:val="36"/>
        </w:rPr>
        <w:t>International Convention on the Elimination of all Forms of Racial Discrimination (CERD)</w:t>
      </w:r>
    </w:p>
    <w:p w14:paraId="470F842A" w14:textId="77777777" w:rsidR="00793F11" w:rsidRDefault="00793F11">
      <w:pPr>
        <w:pStyle w:val="BodyA"/>
      </w:pPr>
    </w:p>
    <w:p w14:paraId="394E19D9" w14:textId="77777777" w:rsidR="00793F11" w:rsidRDefault="00000000">
      <w:pPr>
        <w:pStyle w:val="BodyA"/>
        <w:jc w:val="center"/>
      </w:pPr>
      <w:r>
        <w:rPr>
          <w:b/>
          <w:bCs/>
          <w:sz w:val="28"/>
          <w:szCs w:val="28"/>
        </w:rPr>
        <w:t>March 2024</w:t>
      </w:r>
    </w:p>
    <w:p w14:paraId="04426477" w14:textId="77777777" w:rsidR="00793F11" w:rsidRDefault="00793F11">
      <w:pPr>
        <w:pStyle w:val="BodyA"/>
      </w:pPr>
    </w:p>
    <w:p w14:paraId="0214D96A" w14:textId="77777777" w:rsidR="00793F11" w:rsidRDefault="00793F11">
      <w:pPr>
        <w:pStyle w:val="BodyA"/>
      </w:pPr>
    </w:p>
    <w:p w14:paraId="74E5631D" w14:textId="77777777" w:rsidR="00793F11" w:rsidRDefault="00793F11">
      <w:pPr>
        <w:pStyle w:val="BodyA"/>
      </w:pPr>
    </w:p>
    <w:p w14:paraId="1F1844CD" w14:textId="77777777" w:rsidR="00793F11" w:rsidRDefault="00000000">
      <w:pPr>
        <w:pStyle w:val="BodyA"/>
      </w:pPr>
      <w:r>
        <w:rPr>
          <w:b/>
          <w:bCs/>
          <w:sz w:val="24"/>
          <w:szCs w:val="24"/>
        </w:rPr>
        <w:t xml:space="preserve">                                  </w:t>
      </w:r>
      <w:r>
        <w:rPr>
          <w:rFonts w:ascii="Times New Roman" w:eastAsia="Times New Roman" w:hAnsi="Times New Roman" w:cs="Times New Roman"/>
          <w:b/>
          <w:bCs/>
          <w:noProof/>
          <w:sz w:val="24"/>
          <w:szCs w:val="24"/>
        </w:rPr>
        <w:drawing>
          <wp:inline distT="0" distB="0" distL="0" distR="0" wp14:anchorId="76834BAD" wp14:editId="25FB33C5">
            <wp:extent cx="2584450" cy="1644843"/>
            <wp:effectExtent l="0" t="0" r="0" b="0"/>
            <wp:docPr id="1073741825" name="officeArt object" descr="Picture 3"/>
            <wp:cNvGraphicFramePr/>
            <a:graphic xmlns:a="http://schemas.openxmlformats.org/drawingml/2006/main">
              <a:graphicData uri="http://schemas.openxmlformats.org/drawingml/2006/picture">
                <pic:pic xmlns:pic="http://schemas.openxmlformats.org/drawingml/2006/picture">
                  <pic:nvPicPr>
                    <pic:cNvPr id="1073741825" name="Picture 3" descr="Picture 3"/>
                    <pic:cNvPicPr>
                      <a:picLocks noChangeAspect="1"/>
                    </pic:cNvPicPr>
                  </pic:nvPicPr>
                  <pic:blipFill>
                    <a:blip r:embed="rId7"/>
                    <a:stretch>
                      <a:fillRect/>
                    </a:stretch>
                  </pic:blipFill>
                  <pic:spPr>
                    <a:xfrm>
                      <a:off x="0" y="0"/>
                      <a:ext cx="2584450" cy="1644843"/>
                    </a:xfrm>
                    <a:prstGeom prst="rect">
                      <a:avLst/>
                    </a:prstGeom>
                    <a:ln w="12700" cap="flat">
                      <a:noFill/>
                      <a:miter lim="400000"/>
                    </a:ln>
                    <a:effectLst/>
                  </pic:spPr>
                </pic:pic>
              </a:graphicData>
            </a:graphic>
          </wp:inline>
        </w:drawing>
      </w:r>
    </w:p>
    <w:p w14:paraId="01144139" w14:textId="77777777" w:rsidR="00793F11" w:rsidRDefault="00000000">
      <w:pPr>
        <w:pStyle w:val="BodyA"/>
      </w:pPr>
      <w:r>
        <w:rPr>
          <w:b/>
          <w:bCs/>
          <w:sz w:val="24"/>
          <w:szCs w:val="24"/>
        </w:rPr>
        <w:t xml:space="preserve">    </w:t>
      </w:r>
      <w:r>
        <w:rPr>
          <w:rFonts w:ascii="Times New Roman" w:eastAsia="Times New Roman" w:hAnsi="Times New Roman" w:cs="Times New Roman"/>
          <w:b/>
          <w:bCs/>
          <w:noProof/>
          <w:sz w:val="24"/>
          <w:szCs w:val="24"/>
        </w:rPr>
        <w:drawing>
          <wp:inline distT="0" distB="0" distL="0" distR="0" wp14:anchorId="30FDD33A" wp14:editId="149D1690">
            <wp:extent cx="1765144" cy="1107144"/>
            <wp:effectExtent l="0" t="0" r="0" b="0"/>
            <wp:docPr id="1073741826" name="officeArt object" descr="Picture 2"/>
            <wp:cNvGraphicFramePr/>
            <a:graphic xmlns:a="http://schemas.openxmlformats.org/drawingml/2006/main">
              <a:graphicData uri="http://schemas.openxmlformats.org/drawingml/2006/picture">
                <pic:pic xmlns:pic="http://schemas.openxmlformats.org/drawingml/2006/picture">
                  <pic:nvPicPr>
                    <pic:cNvPr id="1073741826" name="Picture 2" descr="Picture 2"/>
                    <pic:cNvPicPr>
                      <a:picLocks noChangeAspect="1"/>
                    </pic:cNvPicPr>
                  </pic:nvPicPr>
                  <pic:blipFill>
                    <a:blip r:embed="rId8"/>
                    <a:stretch>
                      <a:fillRect/>
                    </a:stretch>
                  </pic:blipFill>
                  <pic:spPr>
                    <a:xfrm>
                      <a:off x="0" y="0"/>
                      <a:ext cx="1765144" cy="1107144"/>
                    </a:xfrm>
                    <a:prstGeom prst="rect">
                      <a:avLst/>
                    </a:prstGeom>
                    <a:ln w="12700" cap="flat">
                      <a:noFill/>
                      <a:miter lim="400000"/>
                    </a:ln>
                    <a:effectLst/>
                  </pic:spPr>
                </pic:pic>
              </a:graphicData>
            </a:graphic>
          </wp:inline>
        </w:drawing>
      </w:r>
      <w:r>
        <w:t xml:space="preserve">                                  </w:t>
      </w:r>
      <w:r>
        <w:rPr>
          <w:rFonts w:ascii="Times New Roman" w:eastAsia="Times New Roman" w:hAnsi="Times New Roman" w:cs="Times New Roman"/>
          <w:b/>
          <w:bCs/>
          <w:noProof/>
        </w:rPr>
        <w:drawing>
          <wp:inline distT="0" distB="0" distL="0" distR="0" wp14:anchorId="69775885" wp14:editId="228BC7BA">
            <wp:extent cx="2743200" cy="916746"/>
            <wp:effectExtent l="0" t="0" r="0" b="0"/>
            <wp:docPr id="1073741827" name="officeArt object" descr="Picture 1"/>
            <wp:cNvGraphicFramePr/>
            <a:graphic xmlns:a="http://schemas.openxmlformats.org/drawingml/2006/main">
              <a:graphicData uri="http://schemas.openxmlformats.org/drawingml/2006/picture">
                <pic:pic xmlns:pic="http://schemas.openxmlformats.org/drawingml/2006/picture">
                  <pic:nvPicPr>
                    <pic:cNvPr id="1073741827" name="Picture 1" descr="Picture 1"/>
                    <pic:cNvPicPr>
                      <a:picLocks noChangeAspect="1"/>
                    </pic:cNvPicPr>
                  </pic:nvPicPr>
                  <pic:blipFill>
                    <a:blip r:embed="rId9"/>
                    <a:stretch>
                      <a:fillRect/>
                    </a:stretch>
                  </pic:blipFill>
                  <pic:spPr>
                    <a:xfrm>
                      <a:off x="0" y="0"/>
                      <a:ext cx="2743200" cy="916746"/>
                    </a:xfrm>
                    <a:prstGeom prst="rect">
                      <a:avLst/>
                    </a:prstGeom>
                    <a:ln w="12700" cap="flat">
                      <a:noFill/>
                      <a:miter lim="400000"/>
                    </a:ln>
                    <a:effectLst/>
                  </pic:spPr>
                </pic:pic>
              </a:graphicData>
            </a:graphic>
          </wp:inline>
        </w:drawing>
      </w:r>
    </w:p>
    <w:p w14:paraId="0116C588" w14:textId="77777777" w:rsidR="00793F11" w:rsidRDefault="00793F11">
      <w:pPr>
        <w:pStyle w:val="BodyA"/>
      </w:pPr>
    </w:p>
    <w:p w14:paraId="61A4B11F" w14:textId="77777777" w:rsidR="00793F11" w:rsidRDefault="00793F11">
      <w:pPr>
        <w:pStyle w:val="BodyA"/>
      </w:pPr>
    </w:p>
    <w:p w14:paraId="062BD8E1" w14:textId="77777777" w:rsidR="00793F11" w:rsidRDefault="00793F11">
      <w:pPr>
        <w:pStyle w:val="BodyA"/>
      </w:pPr>
    </w:p>
    <w:p w14:paraId="5B2BD61A" w14:textId="77777777" w:rsidR="00793F11" w:rsidRDefault="00793F11">
      <w:pPr>
        <w:pStyle w:val="BodyA"/>
      </w:pPr>
    </w:p>
    <w:p w14:paraId="3BC17D49" w14:textId="77777777" w:rsidR="00793F11" w:rsidRDefault="00793F11">
      <w:pPr>
        <w:pStyle w:val="BodyA"/>
      </w:pPr>
    </w:p>
    <w:p w14:paraId="08F02B32" w14:textId="77777777" w:rsidR="00793F11" w:rsidRDefault="00793F11">
      <w:pPr>
        <w:pStyle w:val="BodyA"/>
      </w:pPr>
    </w:p>
    <w:p w14:paraId="00B5D032" w14:textId="77777777" w:rsidR="00793F11" w:rsidRDefault="00793F11">
      <w:pPr>
        <w:pStyle w:val="BodyA"/>
      </w:pPr>
    </w:p>
    <w:p w14:paraId="5A00B606" w14:textId="77777777" w:rsidR="00793F11" w:rsidRDefault="00793F11">
      <w:pPr>
        <w:pStyle w:val="BodyA"/>
      </w:pPr>
    </w:p>
    <w:p w14:paraId="6853F64B" w14:textId="77777777" w:rsidR="00793F11" w:rsidRDefault="00000000">
      <w:pPr>
        <w:pStyle w:val="BodyA"/>
      </w:pPr>
      <w:r>
        <w:rPr>
          <w:rFonts w:ascii="Times New Roman" w:hAnsi="Times New Roman"/>
          <w:b/>
          <w:bCs/>
          <w:sz w:val="24"/>
          <w:szCs w:val="24"/>
        </w:rPr>
        <w:t xml:space="preserve">Introduction </w:t>
      </w:r>
    </w:p>
    <w:p w14:paraId="781C990C" w14:textId="77777777" w:rsidR="00793F11" w:rsidRDefault="00000000">
      <w:pPr>
        <w:pStyle w:val="BodyA"/>
        <w:jc w:val="both"/>
      </w:pPr>
      <w:r>
        <w:rPr>
          <w:rFonts w:ascii="Times New Roman" w:hAnsi="Times New Roman"/>
          <w:sz w:val="24"/>
          <w:szCs w:val="24"/>
        </w:rPr>
        <w:t xml:space="preserve">Qatar, a constitutional monarchy which provides for hereditary rule by men in the emir’s branch of the Al Thani family has been at the forefront of allegations of human rights abuses for decades. The political, socio-cultural context of Qatar is deeply embedded in its religious beliefs which impacts and re-defines western perceived democratic practices to align with Qatari culture. Despite the first ever elections in October 2021 for the Shura (Consultative) Council, a legislative body with limited authorities, absolute executive power resides with Emir Sheikh Tamim bin Hamad Al Thani. The concept of citizens ability to change their government peacefully in free and fair elections coupled with public participation in political processes is an alien concept. </w:t>
      </w:r>
    </w:p>
    <w:p w14:paraId="7C286096" w14:textId="77777777" w:rsidR="00793F11" w:rsidRDefault="00000000">
      <w:pPr>
        <w:pStyle w:val="BodyA"/>
        <w:jc w:val="both"/>
      </w:pPr>
      <w:r>
        <w:rPr>
          <w:rFonts w:ascii="Times New Roman" w:hAnsi="Times New Roman"/>
          <w:sz w:val="24"/>
          <w:szCs w:val="24"/>
        </w:rPr>
        <w:t>Against that backdrop there have been numerous and credible reports of violations of fundamental human rights in Qatar ranging from serious restrictions on free expression, including the existence of criminal libel laws. Violations of freedom of association, freedom of movement and the ability to organize, protest and petition the government through nongovernmental organizations and civil society organizations is severely incapacitated. In addition, because of its regional economic strength, Qatar is attractive to many migrant workers as a destination hub to work in ‘unskilled jobs’ and send remittances to their countries. As is the pattern throughout most of the middle east, workers operate within the constraints and consequences of the Kafala system which is believed to be an enabling factor in labor rights violations, inadequate trade union representation and gender-based violence. The Government of Qatar has insisted that only Qatari nationals can form associations and trade unions, thereby preventing migrant workers from acting and bargaining collectively to improve their dire working conditions.</w:t>
      </w:r>
      <w:r>
        <w:rPr>
          <w:rFonts w:ascii="Times New Roman" w:eastAsia="Times New Roman" w:hAnsi="Times New Roman" w:cs="Times New Roman"/>
          <w:sz w:val="24"/>
          <w:szCs w:val="24"/>
          <w:vertAlign w:val="superscript"/>
        </w:rPr>
        <w:footnoteReference w:id="2"/>
      </w:r>
      <w:r>
        <w:rPr>
          <w:rFonts w:ascii="Times New Roman" w:hAnsi="Times New Roman"/>
          <w:sz w:val="24"/>
          <w:szCs w:val="24"/>
        </w:rPr>
        <w:t xml:space="preserve"> Restrictions on workers’ rights increases their vulnerability to discriminatory based practices including racial discrimination which is structural and systemic. This also impedes their ability to access justice and even then, to be heard before a fair and impartial judicial body despite some laws adopting a friendlier approach towards supporting workers’ rights.</w:t>
      </w:r>
    </w:p>
    <w:p w14:paraId="340E44D1" w14:textId="77777777" w:rsidR="00793F11" w:rsidRDefault="00000000">
      <w:pPr>
        <w:pStyle w:val="BodyA"/>
        <w:jc w:val="both"/>
      </w:pPr>
      <w:r>
        <w:rPr>
          <w:rFonts w:ascii="Times New Roman" w:hAnsi="Times New Roman"/>
          <w:sz w:val="24"/>
          <w:szCs w:val="24"/>
        </w:rPr>
        <w:t xml:space="preserve">In 2018, Qatar joined </w:t>
      </w:r>
      <w:proofErr w:type="gramStart"/>
      <w:r>
        <w:rPr>
          <w:rFonts w:ascii="Times New Roman" w:hAnsi="Times New Roman"/>
          <w:sz w:val="24"/>
          <w:szCs w:val="24"/>
        </w:rPr>
        <w:t>the majority of</w:t>
      </w:r>
      <w:proofErr w:type="gramEnd"/>
      <w:r>
        <w:rPr>
          <w:rFonts w:ascii="Times New Roman" w:hAnsi="Times New Roman"/>
          <w:sz w:val="24"/>
          <w:szCs w:val="24"/>
        </w:rPr>
        <w:t xml:space="preserve"> nations by ratifying two key treaties that underpin much of today’s international human rights law. It ratified the International Covenant on Civil and Political Rights (ICCPR) and the International Covenant on Economic, Social and Cultural Rights (ICESCR). This means that Qatar is legally obliged to respect, protect and fulfil the range of rights </w:t>
      </w:r>
      <w:r>
        <w:rPr>
          <w:rFonts w:ascii="Times New Roman" w:hAnsi="Times New Roman"/>
          <w:sz w:val="24"/>
          <w:szCs w:val="24"/>
        </w:rPr>
        <w:lastRenderedPageBreak/>
        <w:t>guaranteed by both treaties for everybody within its territory, without discrimination. Qatar also ratified CEDAW in 2009 albeit with reservations to Articles 2(a), 9(2), 15(1), 15(4), 16(1)(a), (c), and (f)</w:t>
      </w:r>
      <w:r>
        <w:rPr>
          <w:rFonts w:ascii="Times New Roman" w:eastAsia="Times New Roman" w:hAnsi="Times New Roman" w:cs="Times New Roman"/>
          <w:sz w:val="24"/>
          <w:szCs w:val="24"/>
          <w:vertAlign w:val="superscript"/>
        </w:rPr>
        <w:footnoteReference w:id="3"/>
      </w:r>
      <w:r>
        <w:rPr>
          <w:rFonts w:ascii="Times New Roman" w:hAnsi="Times New Roman"/>
          <w:sz w:val="24"/>
          <w:szCs w:val="24"/>
        </w:rPr>
        <w:t>.  Qatar is very aware of its obligations under international human rights law and in fact Qatar instituted a series of inter-State complaints before the Committee on the Elimination of Racial Discrimination and the International Court of Justice alleging a violation of the International Convention on the Elimination of All Forms of Racial Discrimination.</w:t>
      </w:r>
      <w:r>
        <w:rPr>
          <w:rFonts w:ascii="Times New Roman" w:eastAsia="Times New Roman" w:hAnsi="Times New Roman" w:cs="Times New Roman"/>
          <w:sz w:val="24"/>
          <w:szCs w:val="24"/>
          <w:vertAlign w:val="superscript"/>
        </w:rPr>
        <w:footnoteReference w:id="4"/>
      </w:r>
      <w:r>
        <w:rPr>
          <w:rFonts w:ascii="Times New Roman" w:hAnsi="Times New Roman"/>
          <w:sz w:val="24"/>
          <w:szCs w:val="24"/>
        </w:rPr>
        <w:t xml:space="preserve">  </w:t>
      </w:r>
    </w:p>
    <w:p w14:paraId="2272D62D" w14:textId="77777777" w:rsidR="00793F11" w:rsidRDefault="00000000">
      <w:pPr>
        <w:pStyle w:val="BodyA"/>
        <w:jc w:val="both"/>
      </w:pPr>
      <w:r>
        <w:rPr>
          <w:rFonts w:ascii="Times New Roman" w:hAnsi="Times New Roman"/>
          <w:sz w:val="24"/>
          <w:szCs w:val="24"/>
        </w:rPr>
        <w:t>Whilst Qatar has made some positive changes to the Kafala system,</w:t>
      </w:r>
      <w:r>
        <w:rPr>
          <w:rFonts w:ascii="Times New Roman" w:eastAsia="Times New Roman" w:hAnsi="Times New Roman" w:cs="Times New Roman"/>
          <w:sz w:val="24"/>
          <w:szCs w:val="24"/>
          <w:vertAlign w:val="superscript"/>
        </w:rPr>
        <w:footnoteReference w:id="5"/>
      </w:r>
      <w:r>
        <w:rPr>
          <w:rFonts w:ascii="Times New Roman" w:hAnsi="Times New Roman"/>
          <w:sz w:val="24"/>
          <w:szCs w:val="24"/>
        </w:rPr>
        <w:t xml:space="preserve"> there still exists significant challenges for workers </w:t>
      </w:r>
      <w:proofErr w:type="gramStart"/>
      <w:r>
        <w:rPr>
          <w:rFonts w:ascii="Times New Roman" w:hAnsi="Times New Roman"/>
          <w:sz w:val="24"/>
          <w:szCs w:val="24"/>
        </w:rPr>
        <w:t>basic fundamental</w:t>
      </w:r>
      <w:proofErr w:type="gramEnd"/>
      <w:r>
        <w:rPr>
          <w:rFonts w:ascii="Times New Roman" w:hAnsi="Times New Roman"/>
          <w:sz w:val="24"/>
          <w:szCs w:val="24"/>
        </w:rPr>
        <w:t xml:space="preserve"> rights which manifest in various ways including racial discrimination.</w:t>
      </w:r>
      <w:r>
        <w:t xml:space="preserve"> W</w:t>
      </w:r>
      <w:r>
        <w:rPr>
          <w:color w:val="221F1F"/>
          <w:u w:color="221F1F"/>
        </w:rPr>
        <w:t xml:space="preserve">hether these labor reforms will be a catalyst for other reforms in the </w:t>
      </w:r>
      <w:proofErr w:type="gramStart"/>
      <w:r>
        <w:rPr>
          <w:color w:val="221F1F"/>
          <w:u w:color="221F1F"/>
        </w:rPr>
        <w:t>GCC ,remains</w:t>
      </w:r>
      <w:proofErr w:type="gramEnd"/>
      <w:r>
        <w:rPr>
          <w:color w:val="221F1F"/>
          <w:u w:color="221F1F"/>
        </w:rPr>
        <w:t xml:space="preserve"> to be seen. However, there has been a gradual movement to reform in terms of affording more labor mobility for migrant workers within labor markets, “which is in line with the priorities in national vision plans such as the Qatar Vision 20307 and Saudi Arabia Vision 20308 to further economic growth and development.”</w:t>
      </w:r>
      <w:r>
        <w:rPr>
          <w:color w:val="221F1F"/>
          <w:u w:color="221F1F"/>
          <w:vertAlign w:val="superscript"/>
        </w:rPr>
        <w:footnoteReference w:id="6"/>
      </w:r>
    </w:p>
    <w:p w14:paraId="2A8F446E" w14:textId="77777777" w:rsidR="00793F11" w:rsidRDefault="00793F11">
      <w:pPr>
        <w:pStyle w:val="BodyA"/>
        <w:jc w:val="both"/>
      </w:pPr>
    </w:p>
    <w:p w14:paraId="5540FFC2" w14:textId="77777777" w:rsidR="00793F11" w:rsidRDefault="00000000">
      <w:pPr>
        <w:pStyle w:val="BodyA"/>
        <w:jc w:val="both"/>
      </w:pPr>
      <w:r>
        <w:rPr>
          <w:rFonts w:ascii="Times New Roman" w:hAnsi="Times New Roman"/>
          <w:b/>
          <w:bCs/>
          <w:sz w:val="24"/>
          <w:szCs w:val="24"/>
        </w:rPr>
        <w:t>Reporting on the Covenant on Elimination of all Forms of Racial Dis</w:t>
      </w:r>
      <w:r>
        <w:rPr>
          <w:rFonts w:ascii="Times New Roman" w:hAnsi="Times New Roman"/>
          <w:b/>
          <w:bCs/>
          <w:sz w:val="24"/>
          <w:szCs w:val="24"/>
          <w:lang w:val="fr-FR"/>
        </w:rPr>
        <w:t>crimination (CERD)</w:t>
      </w:r>
    </w:p>
    <w:p w14:paraId="39A0A07A" w14:textId="77777777" w:rsidR="00793F11" w:rsidRDefault="00000000">
      <w:pPr>
        <w:pStyle w:val="BodyA"/>
        <w:numPr>
          <w:ilvl w:val="0"/>
          <w:numId w:val="2"/>
        </w:numPr>
        <w:spacing w:after="0"/>
        <w:jc w:val="both"/>
        <w:rPr>
          <w:rFonts w:ascii="Times New Roman" w:hAnsi="Times New Roman"/>
          <w:b/>
          <w:bCs/>
          <w:sz w:val="24"/>
          <w:szCs w:val="24"/>
        </w:rPr>
      </w:pPr>
      <w:r>
        <w:rPr>
          <w:rFonts w:ascii="Times New Roman" w:hAnsi="Times New Roman"/>
          <w:b/>
          <w:bCs/>
          <w:sz w:val="24"/>
          <w:szCs w:val="24"/>
        </w:rPr>
        <w:t>Information on Demographics</w:t>
      </w:r>
    </w:p>
    <w:p w14:paraId="62392A7B" w14:textId="77777777" w:rsidR="00793F11" w:rsidRDefault="00000000">
      <w:pPr>
        <w:pStyle w:val="BodyA"/>
        <w:spacing w:after="0"/>
        <w:jc w:val="both"/>
      </w:pPr>
      <w:r>
        <w:rPr>
          <w:rFonts w:ascii="Times New Roman" w:hAnsi="Times New Roman"/>
          <w:sz w:val="24"/>
          <w:szCs w:val="24"/>
        </w:rPr>
        <w:t>Qatar, a small country in the Arabian Peninsula ranks the highest in the world for its gross domestic product per capita, backed mostly by natural gas reserves. Qatar has seen an increase in its total population since the mid-1980s with foreign nationals representing an estimated 85.7 per cent of all residents and up to 94.1 per cent of all employed population in 2013. Out of a total population of approximately 2.8 million about 2.5 million are non-citizens, who are identified in the Qatar National Vision 2030 Framework</w:t>
      </w:r>
      <w:r>
        <w:rPr>
          <w:rFonts w:ascii="Times New Roman" w:eastAsia="Times New Roman" w:hAnsi="Times New Roman" w:cs="Times New Roman"/>
          <w:sz w:val="24"/>
          <w:szCs w:val="24"/>
          <w:vertAlign w:val="superscript"/>
        </w:rPr>
        <w:footnoteReference w:id="7"/>
      </w:r>
      <w:r>
        <w:rPr>
          <w:rFonts w:ascii="Times New Roman" w:hAnsi="Times New Roman"/>
          <w:sz w:val="24"/>
          <w:szCs w:val="24"/>
        </w:rPr>
        <w:t xml:space="preserve"> as central to the nation’s economic growth, development and global ambitions. In short, about 90 per cent of the population are non-citizens and they represent over 70 nationalities.</w:t>
      </w:r>
      <w:r>
        <w:rPr>
          <w:rFonts w:ascii="Times New Roman" w:eastAsia="Times New Roman" w:hAnsi="Times New Roman" w:cs="Times New Roman"/>
          <w:sz w:val="24"/>
          <w:szCs w:val="24"/>
          <w:vertAlign w:val="superscript"/>
        </w:rPr>
        <w:footnoteReference w:id="8"/>
      </w:r>
      <w:r>
        <w:rPr>
          <w:rStyle w:val="None"/>
          <w:rFonts w:ascii="Times New Roman" w:hAnsi="Times New Roman"/>
          <w:sz w:val="24"/>
          <w:szCs w:val="24"/>
        </w:rPr>
        <w:t xml:space="preserve"> As a regional economic hub, Qatar attracts migrant workers from across the global south and has the highest proportion of migrants in the world;</w:t>
      </w:r>
      <w:r>
        <w:rPr>
          <w:rStyle w:val="None"/>
          <w:rFonts w:ascii="Times New Roman" w:eastAsia="Times New Roman" w:hAnsi="Times New Roman" w:cs="Times New Roman"/>
          <w:sz w:val="24"/>
          <w:szCs w:val="24"/>
          <w:vertAlign w:val="superscript"/>
        </w:rPr>
        <w:footnoteReference w:id="9"/>
      </w:r>
      <w:r>
        <w:rPr>
          <w:rStyle w:val="None"/>
          <w:rFonts w:ascii="Times New Roman" w:hAnsi="Times New Roman"/>
          <w:sz w:val="24"/>
          <w:szCs w:val="24"/>
        </w:rPr>
        <w:t xml:space="preserve">  in fact at least 71 per cent of the national population is comprised of low-income migrant workers.</w:t>
      </w:r>
      <w:r>
        <w:rPr>
          <w:rStyle w:val="None"/>
          <w:rFonts w:ascii="Times New Roman" w:eastAsia="Times New Roman" w:hAnsi="Times New Roman" w:cs="Times New Roman"/>
          <w:sz w:val="24"/>
          <w:szCs w:val="24"/>
          <w:vertAlign w:val="superscript"/>
        </w:rPr>
        <w:footnoteReference w:id="10"/>
      </w:r>
      <w:r>
        <w:rPr>
          <w:rStyle w:val="None"/>
          <w:rFonts w:ascii="Times New Roman" w:hAnsi="Times New Roman"/>
          <w:sz w:val="24"/>
          <w:szCs w:val="24"/>
        </w:rPr>
        <w:t xml:space="preserve"> There is usually a large representation of labor migrants hailing from South Asia (India, Pakistan, Bangladesh and Nepal) </w:t>
      </w:r>
      <w:r>
        <w:rPr>
          <w:rStyle w:val="None"/>
          <w:rFonts w:ascii="Times New Roman" w:hAnsi="Times New Roman"/>
          <w:sz w:val="24"/>
          <w:szCs w:val="24"/>
        </w:rPr>
        <w:lastRenderedPageBreak/>
        <w:t>and Southeast Asia. For example, male laborer’s often possessing little or no vocational training, who are employed in the construction sector or oil-and-gas industry.</w:t>
      </w:r>
    </w:p>
    <w:p w14:paraId="461F996F" w14:textId="77777777" w:rsidR="00793F11" w:rsidRDefault="00793F11">
      <w:pPr>
        <w:pStyle w:val="BodyA"/>
        <w:spacing w:after="0"/>
        <w:jc w:val="both"/>
      </w:pPr>
    </w:p>
    <w:p w14:paraId="454E0E9E" w14:textId="77777777" w:rsidR="00793F11" w:rsidRDefault="00000000">
      <w:pPr>
        <w:pStyle w:val="BodyA"/>
        <w:jc w:val="both"/>
      </w:pPr>
      <w:r>
        <w:rPr>
          <w:rStyle w:val="None"/>
          <w:rFonts w:ascii="Times New Roman" w:hAnsi="Times New Roman"/>
          <w:sz w:val="24"/>
          <w:szCs w:val="24"/>
        </w:rPr>
        <w:t xml:space="preserve">In addition to the unprecedented growth in its economy in the past decade, winning the right to host the 2022 FIFA World Cup has increased the country’s reliance on migrants to build the necessary infrastructure.  As </w:t>
      </w:r>
      <w:proofErr w:type="gramStart"/>
      <w:r>
        <w:rPr>
          <w:rStyle w:val="None"/>
          <w:rFonts w:ascii="Times New Roman" w:hAnsi="Times New Roman"/>
          <w:sz w:val="24"/>
          <w:szCs w:val="24"/>
        </w:rPr>
        <w:t>at</w:t>
      </w:r>
      <w:proofErr w:type="gramEnd"/>
      <w:r>
        <w:rPr>
          <w:rStyle w:val="None"/>
          <w:rFonts w:ascii="Times New Roman" w:hAnsi="Times New Roman"/>
          <w:sz w:val="24"/>
          <w:szCs w:val="24"/>
        </w:rPr>
        <w:t xml:space="preserve"> 2 December 2019, among migrant workers, about 1.7 million were men and about 140,000 were women. The majority were from India (737,050), followed by Bangladesh (430,739), Nepal (352,911), the Philippines (240,721), Egypt (212,223), Pakistan (156,285), the Sudan (68,547), Jordan (56,114) and the Syrian Arab Republic (54,630). Sub-Saharan Africans are also increasingly represented and include approximately 40,000 Kenyans.</w:t>
      </w:r>
      <w:r>
        <w:rPr>
          <w:rStyle w:val="None"/>
          <w:rFonts w:ascii="Times New Roman" w:eastAsia="Times New Roman" w:hAnsi="Times New Roman" w:cs="Times New Roman"/>
          <w:sz w:val="24"/>
          <w:szCs w:val="24"/>
          <w:vertAlign w:val="superscript"/>
        </w:rPr>
        <w:footnoteReference w:id="11"/>
      </w:r>
    </w:p>
    <w:p w14:paraId="5E938E53" w14:textId="77777777" w:rsidR="00793F11" w:rsidRDefault="00793F11">
      <w:pPr>
        <w:pStyle w:val="BodyA"/>
        <w:spacing w:after="0"/>
        <w:ind w:left="1080"/>
        <w:jc w:val="both"/>
      </w:pPr>
    </w:p>
    <w:p w14:paraId="5DC7F891" w14:textId="77777777" w:rsidR="00793F11" w:rsidRDefault="00000000">
      <w:pPr>
        <w:pStyle w:val="BodyA"/>
        <w:spacing w:after="0"/>
        <w:jc w:val="both"/>
      </w:pPr>
      <w:r>
        <w:rPr>
          <w:rStyle w:val="None"/>
          <w:rFonts w:ascii="Times New Roman" w:hAnsi="Times New Roman"/>
          <w:sz w:val="24"/>
          <w:szCs w:val="24"/>
        </w:rPr>
        <w:t>Demographic data also indicate that a growing share of foreigners live with their families, give birth in the country, and intermarry with Qataris.</w:t>
      </w:r>
      <w:r>
        <w:rPr>
          <w:rStyle w:val="None"/>
          <w:rFonts w:ascii="Times New Roman" w:eastAsia="Times New Roman" w:hAnsi="Times New Roman" w:cs="Times New Roman"/>
          <w:sz w:val="24"/>
          <w:szCs w:val="24"/>
          <w:vertAlign w:val="superscript"/>
        </w:rPr>
        <w:footnoteReference w:id="12"/>
      </w:r>
      <w:r>
        <w:rPr>
          <w:rStyle w:val="None"/>
          <w:rFonts w:ascii="Times New Roman" w:hAnsi="Times New Roman"/>
          <w:sz w:val="24"/>
          <w:szCs w:val="24"/>
        </w:rPr>
        <w:t xml:space="preserve"> </w:t>
      </w:r>
    </w:p>
    <w:p w14:paraId="5B97BA86" w14:textId="77777777" w:rsidR="00793F11" w:rsidRDefault="00793F11">
      <w:pPr>
        <w:pStyle w:val="BodyA"/>
        <w:spacing w:after="0"/>
        <w:ind w:left="1080"/>
        <w:jc w:val="both"/>
      </w:pPr>
    </w:p>
    <w:p w14:paraId="66DB9D70" w14:textId="77777777" w:rsidR="00793F11" w:rsidRDefault="00000000">
      <w:pPr>
        <w:pStyle w:val="BodyA"/>
        <w:spacing w:after="0"/>
      </w:pPr>
      <w:r>
        <w:rPr>
          <w:rStyle w:val="None"/>
          <w:b/>
          <w:bCs/>
          <w:sz w:val="24"/>
          <w:szCs w:val="24"/>
        </w:rPr>
        <w:t>2.</w:t>
      </w:r>
      <w:r>
        <w:rPr>
          <w:rStyle w:val="None"/>
          <w:b/>
          <w:bCs/>
          <w:sz w:val="24"/>
          <w:szCs w:val="24"/>
        </w:rPr>
        <w:tab/>
        <w:t xml:space="preserve">Broad description of Legal framework: </w:t>
      </w:r>
    </w:p>
    <w:p w14:paraId="1233CE12" w14:textId="77777777" w:rsidR="00793F11" w:rsidRDefault="00000000">
      <w:pPr>
        <w:pStyle w:val="BodyA"/>
        <w:jc w:val="both"/>
      </w:pPr>
      <w:r>
        <w:rPr>
          <w:rStyle w:val="None"/>
          <w:rFonts w:ascii="Times New Roman" w:hAnsi="Times New Roman"/>
          <w:sz w:val="24"/>
          <w:szCs w:val="24"/>
        </w:rPr>
        <w:t xml:space="preserve">Article 1 of the CERD defines Racial discrimination to mean “any distinction, exclusion, restriction, preference based on </w:t>
      </w:r>
      <w:r>
        <w:rPr>
          <w:rStyle w:val="None"/>
          <w:rFonts w:ascii="Times New Roman" w:hAnsi="Times New Roman"/>
          <w:b/>
          <w:bCs/>
          <w:sz w:val="24"/>
          <w:szCs w:val="24"/>
        </w:rPr>
        <w:t xml:space="preserve">race, </w:t>
      </w:r>
      <w:proofErr w:type="spellStart"/>
      <w:r>
        <w:rPr>
          <w:rStyle w:val="None"/>
          <w:rFonts w:ascii="Times New Roman" w:hAnsi="Times New Roman"/>
          <w:b/>
          <w:bCs/>
          <w:sz w:val="24"/>
          <w:szCs w:val="24"/>
        </w:rPr>
        <w:t>colour</w:t>
      </w:r>
      <w:proofErr w:type="spellEnd"/>
      <w:r>
        <w:rPr>
          <w:rStyle w:val="None"/>
          <w:rFonts w:ascii="Times New Roman" w:hAnsi="Times New Roman"/>
          <w:b/>
          <w:bCs/>
          <w:sz w:val="24"/>
          <w:szCs w:val="24"/>
        </w:rPr>
        <w:t>, descent, or national or ethnic origin</w:t>
      </w:r>
      <w:r>
        <w:rPr>
          <w:rStyle w:val="None"/>
          <w:rFonts w:ascii="Times New Roman" w:hAnsi="Times New Roman"/>
          <w:sz w:val="24"/>
          <w:szCs w:val="24"/>
        </w:rPr>
        <w:t xml:space="preserve">, which has the purpose or effect of nullifying or impairing the recognition, enjoyment or exercise, on an equal footing of human rights and fundamental freedoms in the political, economic, social, cultural or any other field of public life.” </w:t>
      </w:r>
    </w:p>
    <w:p w14:paraId="68755018" w14:textId="77777777" w:rsidR="00793F11" w:rsidRDefault="00000000">
      <w:pPr>
        <w:pStyle w:val="BodyA"/>
        <w:jc w:val="both"/>
      </w:pPr>
      <w:r>
        <w:rPr>
          <w:rStyle w:val="None"/>
          <w:rFonts w:ascii="Times New Roman" w:hAnsi="Times New Roman"/>
          <w:sz w:val="24"/>
          <w:szCs w:val="24"/>
        </w:rPr>
        <w:t>On the face of it parts of the</w:t>
      </w:r>
      <w:r>
        <w:t xml:space="preserve"> Qatari </w:t>
      </w:r>
      <w:r>
        <w:rPr>
          <w:rStyle w:val="None"/>
          <w:rFonts w:ascii="Times New Roman" w:hAnsi="Times New Roman"/>
          <w:sz w:val="24"/>
          <w:szCs w:val="24"/>
        </w:rPr>
        <w:t>Constitution are aligned to article 1 of the CERD. Article 35 of the Permanent Constitution of Qatar enshrines rights to racial equality and non-discrimination: “All persons are equal before the law and there shall be no discrimination whatsoever on grounds of gender, race, language or religion.” In addition, articles 18, 19 and 34 contain several legal guarantees of equality. Justice, freedom and equality, along with benevolence and high moral standards, are highlighted as core societal values under article 18. Articles 19 and 34 include provisions for equal rights, opportunities and duties for all citizens.</w:t>
      </w:r>
    </w:p>
    <w:p w14:paraId="778E9476" w14:textId="77777777" w:rsidR="00793F11" w:rsidRDefault="00000000">
      <w:pPr>
        <w:pStyle w:val="BodyA"/>
        <w:jc w:val="both"/>
      </w:pPr>
      <w:r>
        <w:rPr>
          <w:rStyle w:val="None"/>
          <w:rFonts w:ascii="Times New Roman" w:hAnsi="Times New Roman"/>
          <w:sz w:val="24"/>
          <w:szCs w:val="24"/>
        </w:rPr>
        <w:t>Qatar is party to several United Nations human rights treaties, including the International Convention on the Elimination of All Forms of Racial Discrimination and the Convention on the Elimination of All Forms of Discrimination against Women. In 2018, Qatar acceded to the International Covenant on Civil and Political Rights and the International Covenant on Economic, Social and Cultural Rights. This accession significantly expanded the State’s existing human rights treaty commitments. Furthermore, the country also established a section within the Ministry of Foreign Affairs responsible for the follow-up of treaty body recommendations.</w:t>
      </w:r>
      <w:r>
        <w:t xml:space="preserve"> </w:t>
      </w:r>
      <w:r>
        <w:rPr>
          <w:rStyle w:val="None"/>
          <w:rFonts w:ascii="Times New Roman" w:hAnsi="Times New Roman"/>
          <w:sz w:val="24"/>
          <w:szCs w:val="24"/>
        </w:rPr>
        <w:t xml:space="preserve">Qatar also ratified the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Inspection Convention, 1947 (No. 81).</w:t>
      </w:r>
    </w:p>
    <w:p w14:paraId="33E27AB7" w14:textId="77777777" w:rsidR="00793F11" w:rsidRDefault="00000000">
      <w:pPr>
        <w:pStyle w:val="BodyA"/>
        <w:spacing w:after="0"/>
        <w:jc w:val="both"/>
      </w:pPr>
      <w:r>
        <w:rPr>
          <w:rStyle w:val="None"/>
          <w:rFonts w:ascii="Times New Roman" w:hAnsi="Times New Roman"/>
          <w:sz w:val="24"/>
          <w:szCs w:val="24"/>
        </w:rPr>
        <w:t xml:space="preserve">Whilst it has adopted the International Convention on the Elimination of All Forms of Racial Discrimination Qatar has not adopted a legal definition of racial discrimination that fully </w:t>
      </w:r>
      <w:r>
        <w:rPr>
          <w:rStyle w:val="None"/>
          <w:rFonts w:ascii="Times New Roman" w:hAnsi="Times New Roman"/>
          <w:sz w:val="24"/>
          <w:szCs w:val="24"/>
        </w:rPr>
        <w:lastRenderedPageBreak/>
        <w:t>implements article 1 of the International Convention on the Elimination of All Forms of Racial Discrimination.</w:t>
      </w:r>
      <w:r>
        <w:rPr>
          <w:rStyle w:val="None"/>
          <w:rFonts w:ascii="Times New Roman" w:eastAsia="Times New Roman" w:hAnsi="Times New Roman" w:cs="Times New Roman"/>
          <w:sz w:val="24"/>
          <w:szCs w:val="24"/>
          <w:vertAlign w:val="superscript"/>
        </w:rPr>
        <w:footnoteReference w:id="13"/>
      </w:r>
      <w:r>
        <w:rPr>
          <w:rStyle w:val="None"/>
          <w:rFonts w:ascii="Times New Roman" w:hAnsi="Times New Roman"/>
          <w:sz w:val="24"/>
          <w:szCs w:val="24"/>
        </w:rPr>
        <w:t xml:space="preserve">  Further, there is no reference to direct and indirect discrimination.</w:t>
      </w:r>
    </w:p>
    <w:p w14:paraId="128A7E19" w14:textId="77777777" w:rsidR="00793F11" w:rsidRDefault="00793F11">
      <w:pPr>
        <w:pStyle w:val="BodyA"/>
        <w:spacing w:after="0"/>
        <w:jc w:val="both"/>
      </w:pPr>
    </w:p>
    <w:p w14:paraId="661440B9" w14:textId="77777777" w:rsidR="00793F11" w:rsidRDefault="00000000">
      <w:pPr>
        <w:pStyle w:val="BodyA"/>
        <w:numPr>
          <w:ilvl w:val="0"/>
          <w:numId w:val="2"/>
        </w:numPr>
        <w:jc w:val="both"/>
        <w:rPr>
          <w:rFonts w:ascii="Times New Roman" w:hAnsi="Times New Roman"/>
          <w:sz w:val="24"/>
          <w:szCs w:val="24"/>
        </w:rPr>
      </w:pPr>
      <w:r>
        <w:rPr>
          <w:rStyle w:val="None"/>
          <w:rFonts w:ascii="Times New Roman" w:hAnsi="Times New Roman"/>
          <w:b/>
          <w:bCs/>
          <w:sz w:val="24"/>
          <w:szCs w:val="24"/>
        </w:rPr>
        <w:t>Specific measures to condemn and prohibit racial discrimination: Are there legislative, judicial, administrative measures to ensure that?</w:t>
      </w:r>
    </w:p>
    <w:p w14:paraId="3203E987" w14:textId="77777777" w:rsidR="00793F11" w:rsidRDefault="00000000">
      <w:pPr>
        <w:pStyle w:val="BodyA"/>
        <w:jc w:val="both"/>
      </w:pPr>
      <w:r>
        <w:rPr>
          <w:rStyle w:val="None"/>
          <w:rFonts w:ascii="Times New Roman" w:hAnsi="Times New Roman"/>
          <w:b/>
          <w:bCs/>
          <w:sz w:val="24"/>
          <w:szCs w:val="24"/>
        </w:rPr>
        <w:t>National Action Plan for Human Rights</w:t>
      </w:r>
    </w:p>
    <w:p w14:paraId="5B229E3B" w14:textId="77777777" w:rsidR="00793F11" w:rsidRDefault="00000000">
      <w:pPr>
        <w:pStyle w:val="BodyA"/>
        <w:jc w:val="both"/>
      </w:pPr>
      <w:r>
        <w:rPr>
          <w:rStyle w:val="None"/>
          <w:rFonts w:ascii="Times New Roman" w:hAnsi="Times New Roman"/>
          <w:sz w:val="24"/>
          <w:szCs w:val="24"/>
        </w:rPr>
        <w:t>Whilst Qatar established a national action plan for human rights it has not developed an action plan to combat racism.</w:t>
      </w:r>
      <w:r>
        <w:rPr>
          <w:rStyle w:val="None"/>
          <w:rFonts w:ascii="Times New Roman" w:eastAsia="Times New Roman" w:hAnsi="Times New Roman" w:cs="Times New Roman"/>
          <w:sz w:val="24"/>
          <w:szCs w:val="24"/>
          <w:vertAlign w:val="superscript"/>
        </w:rPr>
        <w:footnoteReference w:id="14"/>
      </w:r>
      <w:r>
        <w:rPr>
          <w:rStyle w:val="None"/>
          <w:rFonts w:ascii="Times New Roman" w:hAnsi="Times New Roman"/>
          <w:sz w:val="24"/>
          <w:szCs w:val="24"/>
        </w:rPr>
        <w:t xml:space="preserve"> The national action plan is understood to be in accordance with the State’s obligations and commitments to international, regional and national human rights standards. This does not exclude </w:t>
      </w:r>
      <w:proofErr w:type="spellStart"/>
      <w:proofErr w:type="gramStart"/>
      <w:r>
        <w:rPr>
          <w:rStyle w:val="None"/>
          <w:rFonts w:ascii="Times New Roman" w:hAnsi="Times New Roman"/>
          <w:sz w:val="24"/>
          <w:szCs w:val="24"/>
        </w:rPr>
        <w:t>it’s</w:t>
      </w:r>
      <w:proofErr w:type="spellEnd"/>
      <w:proofErr w:type="gramEnd"/>
      <w:r>
        <w:rPr>
          <w:rStyle w:val="None"/>
          <w:rFonts w:ascii="Times New Roman" w:hAnsi="Times New Roman"/>
          <w:sz w:val="24"/>
          <w:szCs w:val="24"/>
        </w:rPr>
        <w:t xml:space="preserve"> commitments under the CERD given that it is a signatory to the CERD. </w:t>
      </w:r>
      <w:bookmarkStart w:id="0" w:name="_Hlk161388742"/>
      <w:r>
        <w:rPr>
          <w:rStyle w:val="None"/>
          <w:rFonts w:ascii="Times New Roman" w:hAnsi="Times New Roman"/>
          <w:sz w:val="24"/>
          <w:szCs w:val="24"/>
        </w:rPr>
        <w:t xml:space="preserve">A national action plan addressing racial discrimination would provide a framework for Qatar to take effective measures to review government, national, local policies, and to amend, rescind or nullify laws, regulations that have the effect of creating or perpetuating racial discrimination wherever it occurs. </w:t>
      </w:r>
      <w:bookmarkEnd w:id="0"/>
    </w:p>
    <w:p w14:paraId="5A1D347E" w14:textId="77777777" w:rsidR="00793F11" w:rsidRDefault="00000000">
      <w:pPr>
        <w:pStyle w:val="BodyA"/>
        <w:jc w:val="both"/>
      </w:pPr>
      <w:r>
        <w:rPr>
          <w:rStyle w:val="None"/>
          <w:rFonts w:ascii="Times New Roman" w:hAnsi="Times New Roman"/>
          <w:b/>
          <w:bCs/>
          <w:sz w:val="24"/>
          <w:szCs w:val="24"/>
        </w:rPr>
        <w:t>Special Rapporteur on Contemporary Forms of Racism, Racial Discrimination, Xenophobia and Related Intolerance</w:t>
      </w:r>
    </w:p>
    <w:p w14:paraId="2D73B7AA" w14:textId="77777777" w:rsidR="00793F11" w:rsidRDefault="00000000">
      <w:pPr>
        <w:pStyle w:val="BodyA"/>
        <w:jc w:val="both"/>
      </w:pPr>
      <w:r>
        <w:rPr>
          <w:rStyle w:val="None"/>
          <w:rFonts w:ascii="Times New Roman" w:hAnsi="Times New Roman"/>
          <w:sz w:val="24"/>
          <w:szCs w:val="24"/>
        </w:rPr>
        <w:t>In her 2020 report, the Special Rapporteur on Contemporary Forms of Racism, Racial Discrimination, Xenophobia and Related Intolerance noted that the work of the National Human Rights Committee and its impact on racial equality and the combating of racism and xenophobia remained limited.</w:t>
      </w:r>
      <w:r>
        <w:rPr>
          <w:rStyle w:val="None"/>
          <w:rFonts w:ascii="Times New Roman" w:eastAsia="Times New Roman" w:hAnsi="Times New Roman" w:cs="Times New Roman"/>
          <w:sz w:val="24"/>
          <w:szCs w:val="24"/>
          <w:vertAlign w:val="superscript"/>
        </w:rPr>
        <w:footnoteReference w:id="15"/>
      </w:r>
      <w:r>
        <w:rPr>
          <w:rStyle w:val="None"/>
          <w:rFonts w:ascii="Times New Roman" w:hAnsi="Times New Roman"/>
          <w:sz w:val="24"/>
          <w:szCs w:val="24"/>
        </w:rPr>
        <w:t xml:space="preserve"> She observed further that although the National Human Rights Committee is empowered to receive complaints, none of the complaints that it had received related to allegations of racial discrimination. She also reported that the National Human Rights Committee had not </w:t>
      </w:r>
      <w:bookmarkStart w:id="1" w:name="_Hlk161393486"/>
      <w:r>
        <w:rPr>
          <w:rStyle w:val="None"/>
          <w:rFonts w:ascii="Times New Roman" w:hAnsi="Times New Roman"/>
          <w:sz w:val="24"/>
          <w:szCs w:val="24"/>
        </w:rPr>
        <w:t xml:space="preserve">taken steps to determine the extent of nationality-based discrimination, </w:t>
      </w:r>
      <w:bookmarkEnd w:id="1"/>
      <w:r>
        <w:rPr>
          <w:rStyle w:val="None"/>
          <w:rFonts w:ascii="Times New Roman" w:hAnsi="Times New Roman"/>
          <w:sz w:val="24"/>
          <w:szCs w:val="24"/>
        </w:rPr>
        <w:t>although it was an issue of serious concern in Qatar.</w:t>
      </w:r>
    </w:p>
    <w:p w14:paraId="4B59D231" w14:textId="77777777" w:rsidR="00793F11" w:rsidRDefault="00000000">
      <w:pPr>
        <w:pStyle w:val="BodyA"/>
        <w:jc w:val="both"/>
      </w:pPr>
      <w:r>
        <w:rPr>
          <w:rStyle w:val="None"/>
          <w:rFonts w:ascii="Times New Roman" w:hAnsi="Times New Roman"/>
          <w:b/>
          <w:bCs/>
          <w:sz w:val="24"/>
          <w:szCs w:val="24"/>
        </w:rPr>
        <w:t>Media campaign</w:t>
      </w:r>
    </w:p>
    <w:p w14:paraId="4FE18F0C" w14:textId="77777777" w:rsidR="00793F11" w:rsidRDefault="00000000">
      <w:pPr>
        <w:pStyle w:val="BodyA"/>
        <w:jc w:val="both"/>
      </w:pPr>
      <w:r>
        <w:rPr>
          <w:rStyle w:val="None"/>
          <w:rFonts w:ascii="Times New Roman" w:hAnsi="Times New Roman"/>
          <w:sz w:val="24"/>
          <w:szCs w:val="24"/>
        </w:rPr>
        <w:t xml:space="preserve">On the International Day for the Elimination of Racial Discrimination, Qatar hosted a media campaign yet there is still a lack of awareness among the population and State institutions on what constitutes prohibited racial discrimination. This suggests that Qatar needs to ensure that these awareness raising activities are not mere once off events but a continuous and ongoing process. </w:t>
      </w:r>
    </w:p>
    <w:p w14:paraId="1B3992C2" w14:textId="77777777" w:rsidR="00793F11" w:rsidRDefault="00000000">
      <w:pPr>
        <w:pStyle w:val="BodyA"/>
        <w:jc w:val="both"/>
      </w:pPr>
      <w:r>
        <w:rPr>
          <w:rStyle w:val="None"/>
          <w:rFonts w:ascii="Times New Roman" w:hAnsi="Times New Roman"/>
          <w:b/>
          <w:bCs/>
          <w:sz w:val="24"/>
          <w:szCs w:val="24"/>
        </w:rPr>
        <w:t>Qatar Foundation for Combating Human Trafficking</w:t>
      </w:r>
    </w:p>
    <w:p w14:paraId="0ABFD653" w14:textId="77777777" w:rsidR="00793F11" w:rsidRDefault="00000000">
      <w:pPr>
        <w:pStyle w:val="BodyA"/>
        <w:jc w:val="both"/>
      </w:pPr>
      <w:r>
        <w:rPr>
          <w:rStyle w:val="None"/>
          <w:rFonts w:ascii="Times New Roman" w:hAnsi="Times New Roman"/>
          <w:sz w:val="24"/>
          <w:szCs w:val="24"/>
        </w:rPr>
        <w:t xml:space="preserve">In 2008, Qatar founded Qatar Foundation for Combating Human Trafficking which is also a member of the Qatar Foundation for Education, Science, and Community Development. Its mission is based on protecting the society from human trafficking and providing integrated care </w:t>
      </w:r>
      <w:r>
        <w:rPr>
          <w:rStyle w:val="None"/>
          <w:rFonts w:ascii="Times New Roman" w:hAnsi="Times New Roman"/>
          <w:sz w:val="24"/>
          <w:szCs w:val="24"/>
        </w:rPr>
        <w:lastRenderedPageBreak/>
        <w:t>for victims</w:t>
      </w:r>
      <w:r>
        <w:rPr>
          <w:rStyle w:val="None"/>
          <w:rFonts w:ascii="Times New Roman" w:hAnsi="Times New Roman"/>
          <w:b/>
          <w:bCs/>
          <w:sz w:val="24"/>
          <w:szCs w:val="24"/>
        </w:rPr>
        <w:t xml:space="preserve">. </w:t>
      </w:r>
      <w:r>
        <w:rPr>
          <w:rStyle w:val="None"/>
          <w:rFonts w:ascii="Times New Roman" w:hAnsi="Times New Roman"/>
          <w:sz w:val="24"/>
          <w:szCs w:val="24"/>
        </w:rPr>
        <w:t>Ideally, this is a very important organization which could potentially help groups and individuals benefitting from special measures taken in social, economic, cultural and other fields.</w:t>
      </w:r>
    </w:p>
    <w:p w14:paraId="7C8DEA51" w14:textId="77777777" w:rsidR="00793F11" w:rsidRDefault="00793F11">
      <w:pPr>
        <w:pStyle w:val="BodyA"/>
        <w:spacing w:after="0"/>
        <w:ind w:left="1800"/>
      </w:pPr>
    </w:p>
    <w:p w14:paraId="6B632028" w14:textId="77777777" w:rsidR="00793F11" w:rsidRDefault="00000000">
      <w:pPr>
        <w:pStyle w:val="BodyA"/>
        <w:numPr>
          <w:ilvl w:val="0"/>
          <w:numId w:val="2"/>
        </w:numPr>
        <w:rPr>
          <w:b/>
          <w:bCs/>
          <w:sz w:val="24"/>
          <w:szCs w:val="24"/>
        </w:rPr>
      </w:pPr>
      <w:r>
        <w:rPr>
          <w:rStyle w:val="None"/>
          <w:b/>
          <w:bCs/>
          <w:sz w:val="24"/>
          <w:szCs w:val="24"/>
        </w:rPr>
        <w:t>Segregation and apartheid-like practices</w:t>
      </w:r>
      <w:r>
        <w:rPr>
          <w:rStyle w:val="None"/>
          <w:b/>
          <w:bCs/>
          <w:sz w:val="24"/>
          <w:szCs w:val="24"/>
          <w:lang w:val="fr-FR"/>
        </w:rPr>
        <w:t xml:space="preserve"> (Article 3):</w:t>
      </w:r>
    </w:p>
    <w:p w14:paraId="54D58CC0" w14:textId="77777777" w:rsidR="00793F11" w:rsidRDefault="00000000">
      <w:pPr>
        <w:pStyle w:val="BodyA"/>
        <w:jc w:val="both"/>
      </w:pPr>
      <w:r>
        <w:rPr>
          <w:rStyle w:val="None"/>
          <w:rFonts w:ascii="Times New Roman" w:hAnsi="Times New Roman"/>
          <w:sz w:val="24"/>
          <w:szCs w:val="24"/>
        </w:rPr>
        <w:t xml:space="preserve">Discrimination </w:t>
      </w:r>
      <w:proofErr w:type="gramStart"/>
      <w:r>
        <w:rPr>
          <w:rStyle w:val="None"/>
          <w:rFonts w:ascii="Times New Roman" w:hAnsi="Times New Roman"/>
          <w:sz w:val="24"/>
          <w:szCs w:val="24"/>
        </w:rPr>
        <w:t>on the basis of</w:t>
      </w:r>
      <w:proofErr w:type="gramEnd"/>
      <w:r>
        <w:rPr>
          <w:rStyle w:val="None"/>
          <w:rFonts w:ascii="Times New Roman" w:hAnsi="Times New Roman"/>
          <w:sz w:val="24"/>
          <w:szCs w:val="24"/>
        </w:rPr>
        <w:t xml:space="preserve"> nationality that impedes equal enjoyment of human rights is prohibited under the International Convention on the Elimination of All Forms of Racial Discrimination. Under international law, Qatar has a sovereign right, as do all nations, to draw distinctions between citizens and non-citizens, however, this right is limited in order to ensure the inherent dignity of all human beings, irrespective of race, national origin and ethnicity. In its General Recommendation No. 30 (2004) on discrimination against non-citizens, the Committee on the Elimination of Racial Discrimination made clear that distinctions between citizens and non-citizens must not undermine racial equality and non-discrimination. </w:t>
      </w:r>
    </w:p>
    <w:p w14:paraId="1F858316" w14:textId="77777777" w:rsidR="00793F11" w:rsidRDefault="00000000">
      <w:pPr>
        <w:pStyle w:val="BodyA"/>
        <w:jc w:val="both"/>
      </w:pPr>
      <w:r>
        <w:rPr>
          <w:rStyle w:val="None"/>
          <w:rFonts w:ascii="Times New Roman" w:hAnsi="Times New Roman"/>
          <w:sz w:val="24"/>
          <w:szCs w:val="24"/>
        </w:rPr>
        <w:t xml:space="preserve">In Qatar, national origin and nationality determines the extent of the enjoyment of the human rights of nationals. Other factors such as class, gender and disability status are also salient, but stratification of quality of life according to nationality and national origin on the scale. or Qatar is structural forms of racial discrimination against non-nationals because of the way that bilateral agreements, transnational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recruitment practices, Qatari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and residency laws, private sector contracts and practices, and other factors combine in complex ways to condition human rights significantly </w:t>
      </w:r>
      <w:proofErr w:type="gramStart"/>
      <w:r>
        <w:rPr>
          <w:rStyle w:val="None"/>
          <w:rFonts w:ascii="Times New Roman" w:hAnsi="Times New Roman"/>
          <w:sz w:val="24"/>
          <w:szCs w:val="24"/>
        </w:rPr>
        <w:t>on the basis of</w:t>
      </w:r>
      <w:proofErr w:type="gramEnd"/>
      <w:r>
        <w:rPr>
          <w:rStyle w:val="None"/>
          <w:rFonts w:ascii="Times New Roman" w:hAnsi="Times New Roman"/>
          <w:sz w:val="24"/>
          <w:szCs w:val="24"/>
        </w:rPr>
        <w:t xml:space="preserve"> national origin and nationality. It practices a quasi-caste system based on national origin. </w:t>
      </w:r>
    </w:p>
    <w:p w14:paraId="60029498" w14:textId="77777777" w:rsidR="00793F11" w:rsidRDefault="00000000">
      <w:pPr>
        <w:pStyle w:val="BodyA"/>
        <w:jc w:val="both"/>
      </w:pPr>
      <w:r>
        <w:rPr>
          <w:rStyle w:val="None"/>
          <w:rFonts w:ascii="Times New Roman" w:hAnsi="Times New Roman"/>
          <w:sz w:val="24"/>
          <w:szCs w:val="24"/>
        </w:rPr>
        <w:t>Discriminatory housing policies prevent migrant workers from residing in urban areas and hinder them from exercising their right to freedom of movement and residence, enshrined in article 5 (d) (</w:t>
      </w:r>
      <w:proofErr w:type="spellStart"/>
      <w:r>
        <w:rPr>
          <w:rStyle w:val="None"/>
          <w:rFonts w:ascii="Times New Roman" w:hAnsi="Times New Roman"/>
          <w:sz w:val="24"/>
          <w:szCs w:val="24"/>
        </w:rPr>
        <w:t>i</w:t>
      </w:r>
      <w:proofErr w:type="spellEnd"/>
      <w:r>
        <w:rPr>
          <w:rStyle w:val="None"/>
          <w:rFonts w:ascii="Times New Roman" w:hAnsi="Times New Roman"/>
          <w:sz w:val="24"/>
          <w:szCs w:val="24"/>
        </w:rPr>
        <w:t>) of the International Convention on the Elimination of All Forms of Racial Discrimination.</w:t>
      </w:r>
    </w:p>
    <w:p w14:paraId="5E0B6E7F" w14:textId="77777777" w:rsidR="00793F11" w:rsidRDefault="00000000">
      <w:pPr>
        <w:pStyle w:val="BodyA"/>
        <w:jc w:val="both"/>
      </w:pPr>
      <w:r>
        <w:rPr>
          <w:rStyle w:val="None"/>
          <w:rFonts w:ascii="Times New Roman" w:hAnsi="Times New Roman"/>
          <w:sz w:val="24"/>
          <w:szCs w:val="24"/>
        </w:rPr>
        <w:t xml:space="preserve">National and municipal laws in Doha, including Law No. 15 of 2010 on the </w:t>
      </w:r>
      <w:bookmarkStart w:id="2" w:name="_Hlk162189349"/>
      <w:r>
        <w:rPr>
          <w:rStyle w:val="None"/>
          <w:rFonts w:ascii="Times New Roman" w:hAnsi="Times New Roman"/>
          <w:sz w:val="24"/>
          <w:szCs w:val="24"/>
        </w:rPr>
        <w:t>prohibition of workers’ camps within family residential areas</w:t>
      </w:r>
      <w:bookmarkEnd w:id="2"/>
      <w:r>
        <w:rPr>
          <w:rStyle w:val="None"/>
          <w:rFonts w:ascii="Times New Roman" w:hAnsi="Times New Roman"/>
          <w:sz w:val="24"/>
          <w:szCs w:val="24"/>
        </w:rPr>
        <w:t>, and resolution No. 83 of 2011 of the Minister of Municipalities and Urban Planning determine family residential areas. These laws designate certain zones as “family” zones and prohibit the rental of properties in these zones to migrant workers, which raises serious concerns of racial discrimination in housing.</w:t>
      </w:r>
      <w:r>
        <w:rPr>
          <w:rStyle w:val="None"/>
          <w:rFonts w:ascii="Times New Roman" w:eastAsia="Times New Roman" w:hAnsi="Times New Roman" w:cs="Times New Roman"/>
          <w:sz w:val="24"/>
          <w:szCs w:val="24"/>
          <w:vertAlign w:val="superscript"/>
        </w:rPr>
        <w:footnoteReference w:id="16"/>
      </w:r>
      <w:r>
        <w:rPr>
          <w:rStyle w:val="None"/>
          <w:rFonts w:ascii="Times New Roman" w:hAnsi="Times New Roman"/>
          <w:sz w:val="24"/>
          <w:szCs w:val="24"/>
        </w:rPr>
        <w:t xml:space="preserve"> This designation bars residential rentals by low-income workers, who, due to visa restrictions and other factors, are in the country without their families. Furthermore, because the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force is stratified according to nationality, this zoning designation essentially relegates many South Asians and sub-Saharan Africans to the outskirts or industrial areas of the city.</w:t>
      </w:r>
    </w:p>
    <w:p w14:paraId="779AF1D3" w14:textId="77777777" w:rsidR="00793F11" w:rsidRDefault="00000000">
      <w:pPr>
        <w:pStyle w:val="BodyA"/>
        <w:jc w:val="both"/>
      </w:pP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accommodations, in practice, tend to be segregated along nationality or national origin lines. Low-income workers have reported, however, that the quality of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accommodations vary significantly according to nationality and national origin. This raises serious concerns about racial discrimination in the provision of the right to adequate housing. Differential treatment in </w:t>
      </w:r>
      <w:r>
        <w:rPr>
          <w:rStyle w:val="None"/>
          <w:rFonts w:ascii="Times New Roman" w:hAnsi="Times New Roman"/>
          <w:sz w:val="24"/>
          <w:szCs w:val="24"/>
        </w:rPr>
        <w:lastRenderedPageBreak/>
        <w:t>housing based on citizenship or immigration status also reinforces discriminatory stereotypes and promotes racial segregation.</w:t>
      </w:r>
    </w:p>
    <w:p w14:paraId="0E3C16E1" w14:textId="77777777" w:rsidR="00793F11" w:rsidRDefault="00000000">
      <w:pPr>
        <w:pStyle w:val="BodyA"/>
        <w:jc w:val="both"/>
      </w:pPr>
      <w:r>
        <w:rPr>
          <w:rStyle w:val="None"/>
          <w:rFonts w:ascii="Times New Roman" w:hAnsi="Times New Roman"/>
          <w:sz w:val="24"/>
          <w:szCs w:val="24"/>
        </w:rPr>
        <w:t>In her 2020 report, the Special Rapporteur learned that low-income workers, mainly South Asian or sub-Saharan African males, were prevented from accessing certain public spaces, including malls and beaches, by police officers or private security officers recruited by the municipality. During the visit, the Central Municipal Council confirmed that specific days were designated for access by families or singles to certain public spaces, including public parks. The Special Rapporteur is concerned that the implementation of such restrictions affects low-income migrants’ non-discriminatory access to leisure and cultural activities as guaranteed under article 5 (e) (vi) of the International Convention on the Elimination of All Forms of Racial Discrimination.</w:t>
      </w:r>
    </w:p>
    <w:p w14:paraId="32466685" w14:textId="77777777" w:rsidR="00793F11" w:rsidRDefault="00000000">
      <w:pPr>
        <w:pStyle w:val="BodyA"/>
        <w:jc w:val="both"/>
      </w:pPr>
      <w:r>
        <w:rPr>
          <w:rStyle w:val="None"/>
          <w:rFonts w:ascii="Times New Roman" w:hAnsi="Times New Roman"/>
          <w:sz w:val="24"/>
          <w:szCs w:val="24"/>
        </w:rPr>
        <w:t xml:space="preserve">There are also distinctions made between single low-income workers of South Asian or sub-Saharan African origin and single high-income white males’ access to accommodation and the quality thereof.  Low-income workers of South Asian or sub-Saharan African origin are unable to rent accommodation in certain areas, whilst single high-income white males have no trouble finding accommodation in a designated family zone. </w:t>
      </w:r>
    </w:p>
    <w:p w14:paraId="51D7B94F" w14:textId="77777777" w:rsidR="00793F11" w:rsidRDefault="00000000">
      <w:pPr>
        <w:pStyle w:val="BodyA"/>
        <w:jc w:val="both"/>
      </w:pPr>
      <w:r>
        <w:rPr>
          <w:rStyle w:val="None"/>
          <w:rFonts w:ascii="Times New Roman" w:hAnsi="Times New Roman"/>
          <w:sz w:val="24"/>
          <w:szCs w:val="24"/>
        </w:rPr>
        <w:t xml:space="preserve">There are therefore inadequate measures to prevent, prohibit, eradicate racial segregation, </w:t>
      </w:r>
      <w:proofErr w:type="gramStart"/>
      <w:r>
        <w:rPr>
          <w:rStyle w:val="None"/>
          <w:rFonts w:ascii="Times New Roman" w:hAnsi="Times New Roman"/>
          <w:sz w:val="24"/>
          <w:szCs w:val="24"/>
        </w:rPr>
        <w:t>in particular in</w:t>
      </w:r>
      <w:proofErr w:type="gramEnd"/>
      <w:r>
        <w:rPr>
          <w:rStyle w:val="None"/>
          <w:rFonts w:ascii="Times New Roman" w:hAnsi="Times New Roman"/>
          <w:sz w:val="24"/>
          <w:szCs w:val="24"/>
        </w:rPr>
        <w:t xml:space="preserve"> cities where residential patterns may result from multiple discrimination based on low income, and race, color, descent, national or ethnic origin. North Americans, Europeans and Australians are presumed superior, and whites in general are presumed to be inherently competent in various contexts, such as hiring and promotion decisions.</w:t>
      </w:r>
      <w:r>
        <w:rPr>
          <w:rStyle w:val="None"/>
          <w:rFonts w:ascii="Times New Roman" w:eastAsia="Times New Roman" w:hAnsi="Times New Roman" w:cs="Times New Roman"/>
          <w:sz w:val="24"/>
          <w:szCs w:val="24"/>
          <w:vertAlign w:val="superscript"/>
        </w:rPr>
        <w:footnoteReference w:id="17"/>
      </w:r>
    </w:p>
    <w:p w14:paraId="5BECDFFE" w14:textId="77777777" w:rsidR="00793F11" w:rsidRDefault="00000000">
      <w:pPr>
        <w:pStyle w:val="BodyA"/>
        <w:jc w:val="both"/>
      </w:pPr>
      <w:r>
        <w:rPr>
          <w:rStyle w:val="None"/>
          <w:rFonts w:ascii="Times New Roman" w:hAnsi="Times New Roman"/>
          <w:sz w:val="24"/>
          <w:szCs w:val="24"/>
        </w:rPr>
        <w:t>The Special Rapporteur received reports on the prevalence of racial and ethnic profiling by police and traffic authorities, and even private security forces working in public parks and in shopping malls across Doha. South Asians and sub-Saharan Africans reported denial of access to these locations.</w:t>
      </w:r>
      <w:r>
        <w:rPr>
          <w:rStyle w:val="None"/>
          <w:rFonts w:ascii="Times New Roman" w:eastAsia="Times New Roman" w:hAnsi="Times New Roman" w:cs="Times New Roman"/>
          <w:sz w:val="24"/>
          <w:szCs w:val="24"/>
          <w:vertAlign w:val="superscript"/>
        </w:rPr>
        <w:footnoteReference w:id="18"/>
      </w:r>
    </w:p>
    <w:p w14:paraId="2959FA60" w14:textId="77777777" w:rsidR="00793F11" w:rsidRDefault="00000000">
      <w:pPr>
        <w:pStyle w:val="BodyA"/>
        <w:jc w:val="both"/>
      </w:pPr>
      <w:r>
        <w:rPr>
          <w:rStyle w:val="None"/>
          <w:rFonts w:ascii="Times New Roman" w:hAnsi="Times New Roman"/>
          <w:sz w:val="24"/>
          <w:szCs w:val="24"/>
        </w:rPr>
        <w:t>Any measures to prevent and avoid segregation of groups, communities, non-citizens in housing and education are either non-existent or poorly implemented.</w:t>
      </w:r>
    </w:p>
    <w:p w14:paraId="7BE70C50" w14:textId="77777777" w:rsidR="00793F11" w:rsidRDefault="00000000">
      <w:pPr>
        <w:pStyle w:val="BodyA"/>
      </w:pPr>
      <w:r>
        <w:rPr>
          <w:rStyle w:val="None"/>
          <w:b/>
          <w:bCs/>
          <w:sz w:val="24"/>
          <w:szCs w:val="24"/>
        </w:rPr>
        <w:t>6.</w:t>
      </w:r>
      <w:r>
        <w:rPr>
          <w:rStyle w:val="None"/>
          <w:b/>
          <w:bCs/>
          <w:sz w:val="24"/>
          <w:szCs w:val="24"/>
        </w:rPr>
        <w:tab/>
        <w:t>Specific Rights (Article 5):</w:t>
      </w:r>
    </w:p>
    <w:p w14:paraId="69D0584A" w14:textId="77777777" w:rsidR="00793F11" w:rsidRDefault="00000000">
      <w:pPr>
        <w:pStyle w:val="BodyA"/>
      </w:pPr>
      <w:r>
        <w:rPr>
          <w:rStyle w:val="None"/>
          <w:b/>
          <w:bCs/>
          <w:sz w:val="24"/>
          <w:szCs w:val="24"/>
        </w:rPr>
        <w:t xml:space="preserve">State parties undertake to prohibit and eliminate racial discrimination in all its forms and to guarantee the rights to everyone, without distinction as to race, </w:t>
      </w:r>
      <w:proofErr w:type="spellStart"/>
      <w:r>
        <w:rPr>
          <w:rStyle w:val="None"/>
          <w:b/>
          <w:bCs/>
          <w:sz w:val="24"/>
          <w:szCs w:val="24"/>
        </w:rPr>
        <w:t>colour</w:t>
      </w:r>
      <w:proofErr w:type="spellEnd"/>
      <w:r>
        <w:rPr>
          <w:rStyle w:val="None"/>
          <w:b/>
          <w:bCs/>
          <w:sz w:val="24"/>
          <w:szCs w:val="24"/>
        </w:rPr>
        <w:t xml:space="preserve"> or national ethnic origin, to equality before the law, notably in the enjoyment of the following rights:</w:t>
      </w:r>
    </w:p>
    <w:p w14:paraId="78D7F934" w14:textId="77777777" w:rsidR="00793F11" w:rsidRDefault="00000000">
      <w:pPr>
        <w:pStyle w:val="BodyA"/>
        <w:numPr>
          <w:ilvl w:val="0"/>
          <w:numId w:val="4"/>
        </w:numPr>
        <w:jc w:val="both"/>
        <w:rPr>
          <w:rFonts w:ascii="Times New Roman" w:hAnsi="Times New Roman"/>
          <w:sz w:val="24"/>
          <w:szCs w:val="24"/>
        </w:rPr>
      </w:pPr>
      <w:r>
        <w:rPr>
          <w:rStyle w:val="None"/>
          <w:rFonts w:ascii="Times New Roman" w:hAnsi="Times New Roman"/>
          <w:sz w:val="24"/>
          <w:szCs w:val="24"/>
          <w:shd w:val="clear" w:color="auto" w:fill="FFFFFF"/>
        </w:rPr>
        <w:t xml:space="preserve">The right to nationality </w:t>
      </w:r>
      <w:r>
        <w:rPr>
          <w:rStyle w:val="None"/>
          <w:rFonts w:ascii="Times New Roman" w:hAnsi="Times New Roman"/>
          <w:i/>
          <w:iCs/>
          <w:sz w:val="24"/>
          <w:szCs w:val="24"/>
          <w:shd w:val="clear" w:color="auto" w:fill="FFFFFF"/>
        </w:rPr>
        <w:t>(are there different standards for accessing citizenship applied to male v female non-citizen spouses?</w:t>
      </w:r>
    </w:p>
    <w:p w14:paraId="1080366E" w14:textId="77777777" w:rsidR="00793F11" w:rsidRDefault="00000000">
      <w:pPr>
        <w:pStyle w:val="BodyA"/>
        <w:jc w:val="both"/>
      </w:pPr>
      <w:r>
        <w:rPr>
          <w:rStyle w:val="None"/>
          <w:rFonts w:ascii="Times New Roman" w:hAnsi="Times New Roman"/>
          <w:sz w:val="24"/>
          <w:szCs w:val="24"/>
          <w:shd w:val="clear" w:color="auto" w:fill="FFFFFF"/>
        </w:rPr>
        <w:t>Law No. 38 of 2005, on the acquisition of Qatari nationality</w:t>
      </w:r>
      <w:r>
        <w:rPr>
          <w:rStyle w:val="None"/>
          <w:rFonts w:ascii="Times New Roman" w:eastAsia="Times New Roman" w:hAnsi="Times New Roman" w:cs="Times New Roman"/>
          <w:sz w:val="24"/>
          <w:szCs w:val="24"/>
          <w:shd w:val="clear" w:color="auto" w:fill="FFFFFF"/>
          <w:vertAlign w:val="superscript"/>
        </w:rPr>
        <w:footnoteReference w:id="19"/>
      </w:r>
      <w:r>
        <w:rPr>
          <w:rStyle w:val="None"/>
          <w:rFonts w:ascii="Times New Roman" w:hAnsi="Times New Roman"/>
          <w:sz w:val="24"/>
          <w:szCs w:val="24"/>
          <w:shd w:val="clear" w:color="auto" w:fill="FFFFFF"/>
        </w:rPr>
        <w:t xml:space="preserve"> regulates access to citizenship. The Special Rapporteur commends the adoption of Law No. 10 of 2018, which permits children of </w:t>
      </w:r>
      <w:r>
        <w:rPr>
          <w:rStyle w:val="None"/>
          <w:rFonts w:ascii="Times New Roman" w:hAnsi="Times New Roman"/>
          <w:sz w:val="24"/>
          <w:szCs w:val="24"/>
          <w:shd w:val="clear" w:color="auto" w:fill="FFFFFF"/>
        </w:rPr>
        <w:lastRenderedPageBreak/>
        <w:t>Qatari women with foreign spouses as well as their foreign spouses to obtain permanent residence</w:t>
      </w:r>
      <w:r>
        <w:rPr>
          <w:rStyle w:val="None"/>
          <w:rFonts w:ascii="Times New Roman" w:eastAsia="Times New Roman" w:hAnsi="Times New Roman" w:cs="Times New Roman"/>
          <w:sz w:val="24"/>
          <w:szCs w:val="24"/>
          <w:shd w:val="clear" w:color="auto" w:fill="FFFFFF"/>
          <w:vertAlign w:val="superscript"/>
        </w:rPr>
        <w:footnoteReference w:id="20"/>
      </w:r>
      <w:r>
        <w:rPr>
          <w:rStyle w:val="None"/>
          <w:rFonts w:ascii="Times New Roman" w:hAnsi="Times New Roman"/>
          <w:sz w:val="24"/>
          <w:szCs w:val="24"/>
          <w:shd w:val="clear" w:color="auto" w:fill="FFFFFF"/>
        </w:rPr>
        <w:t xml:space="preserve">.57 However, she notes with concern that citizenship through birth is still conferred in a manner that discriminates </w:t>
      </w:r>
      <w:proofErr w:type="gramStart"/>
      <w:r>
        <w:rPr>
          <w:rStyle w:val="None"/>
          <w:rFonts w:ascii="Times New Roman" w:hAnsi="Times New Roman"/>
          <w:sz w:val="24"/>
          <w:szCs w:val="24"/>
          <w:shd w:val="clear" w:color="auto" w:fill="FFFFFF"/>
        </w:rPr>
        <w:t>on the basis of</w:t>
      </w:r>
      <w:proofErr w:type="gramEnd"/>
      <w:r>
        <w:rPr>
          <w:rStyle w:val="None"/>
          <w:rFonts w:ascii="Times New Roman" w:hAnsi="Times New Roman"/>
          <w:sz w:val="24"/>
          <w:szCs w:val="24"/>
          <w:shd w:val="clear" w:color="auto" w:fill="FFFFFF"/>
        </w:rPr>
        <w:t xml:space="preserve"> gender. </w:t>
      </w:r>
    </w:p>
    <w:p w14:paraId="21B4DB3A" w14:textId="77777777" w:rsidR="00793F11" w:rsidRDefault="00000000">
      <w:pPr>
        <w:pStyle w:val="BodyA"/>
        <w:jc w:val="both"/>
      </w:pPr>
      <w:r>
        <w:rPr>
          <w:rStyle w:val="None"/>
          <w:rFonts w:ascii="Times New Roman" w:hAnsi="Times New Roman"/>
          <w:sz w:val="24"/>
          <w:szCs w:val="24"/>
        </w:rPr>
        <w:t xml:space="preserve">Under Law No. 38 of 2005, citizenship through naturalization is available only through Emiri decree and </w:t>
      </w:r>
      <w:bookmarkStart w:id="3" w:name="_Hlk161489985"/>
      <w:r>
        <w:rPr>
          <w:rStyle w:val="None"/>
          <w:rFonts w:ascii="Times New Roman" w:hAnsi="Times New Roman"/>
          <w:sz w:val="24"/>
          <w:szCs w:val="24"/>
        </w:rPr>
        <w:t xml:space="preserve">naturalized Qatari </w:t>
      </w:r>
      <w:bookmarkEnd w:id="3"/>
      <w:r>
        <w:rPr>
          <w:rStyle w:val="None"/>
          <w:rFonts w:ascii="Times New Roman" w:hAnsi="Times New Roman"/>
          <w:sz w:val="24"/>
          <w:szCs w:val="24"/>
        </w:rPr>
        <w:t>do not enjoy the same rights as Qatari citizens born in the country. For example, naturalized Qatari do not have the same rights to work, housing, and public and political life as Qatari born citizens. Similar concerns were raised by the Committee on the Elimination of Racial Discrimination and the Qatar National Human Rights Commission.</w:t>
      </w:r>
      <w:r>
        <w:rPr>
          <w:rStyle w:val="None"/>
          <w:rFonts w:ascii="Times New Roman" w:eastAsia="Times New Roman" w:hAnsi="Times New Roman" w:cs="Times New Roman"/>
          <w:sz w:val="24"/>
          <w:szCs w:val="24"/>
          <w:vertAlign w:val="superscript"/>
        </w:rPr>
        <w:footnoteReference w:id="21"/>
      </w:r>
      <w:r>
        <w:rPr>
          <w:rStyle w:val="None"/>
          <w:rFonts w:ascii="Times New Roman" w:hAnsi="Times New Roman"/>
          <w:sz w:val="24"/>
          <w:szCs w:val="24"/>
        </w:rPr>
        <w:t xml:space="preserve"> </w:t>
      </w:r>
    </w:p>
    <w:p w14:paraId="324AFB91" w14:textId="77777777" w:rsidR="00793F11" w:rsidRDefault="00000000">
      <w:pPr>
        <w:pStyle w:val="BodyA"/>
        <w:jc w:val="both"/>
      </w:pPr>
      <w:r>
        <w:rPr>
          <w:rStyle w:val="None"/>
          <w:rFonts w:ascii="Times New Roman" w:hAnsi="Times New Roman"/>
          <w:sz w:val="24"/>
          <w:szCs w:val="24"/>
        </w:rPr>
        <w:t>Article 16 of Law No. 38 of 2005 stresses that naturalized Qataris are not equated with Qatari nationals in terms of the right to work in public positions or work in general until five years after the date of naturalization. Naturalized Qataris are not entitled to participate in elections or nominations or be appointed in any legislative body. Regarding housing, by a decision of the Council of Ministers (No. 16 of 2007), naturalized Qatari can be granted a housing loan in accordance with article 2, paragraph 2, of Law No. 2 of 2007, or an appropriate housing unit by resolution of the Council of Ministers, only after the expiration of a period of 15 years from the date of obtaining Qatari nationality.</w:t>
      </w:r>
      <w:r>
        <w:rPr>
          <w:rStyle w:val="None"/>
          <w:rFonts w:ascii="Times New Roman" w:eastAsia="Times New Roman" w:hAnsi="Times New Roman" w:cs="Times New Roman"/>
          <w:sz w:val="24"/>
          <w:szCs w:val="24"/>
          <w:vertAlign w:val="superscript"/>
        </w:rPr>
        <w:footnoteReference w:id="22"/>
      </w:r>
    </w:p>
    <w:p w14:paraId="01A1A5B3" w14:textId="77777777" w:rsidR="00793F11" w:rsidRDefault="00000000">
      <w:pPr>
        <w:pStyle w:val="BodyA"/>
        <w:jc w:val="both"/>
      </w:pPr>
      <w:r>
        <w:rPr>
          <w:rStyle w:val="None"/>
          <w:rFonts w:ascii="Times New Roman" w:hAnsi="Times New Roman"/>
          <w:sz w:val="24"/>
          <w:szCs w:val="24"/>
          <w:shd w:val="clear" w:color="auto" w:fill="FFFFFF"/>
        </w:rPr>
        <w:t>Although non-nationals may apply for nationality or permanent residence, the very restrictive legal requirements make it difficult for low-income migrant workers to obtain citizenship or a permanent resident permit. The residence requirement is 25 years of continuous residence for access to citizenship (Law No. 38 of 2005) and between 10 and 20 years of residence for the permanent residency permit (Law No. 10 of 2018), which negatively affects many low-income workers.</w:t>
      </w:r>
    </w:p>
    <w:p w14:paraId="315E6419" w14:textId="77777777" w:rsidR="00793F11" w:rsidRDefault="00000000">
      <w:pPr>
        <w:pStyle w:val="BodyA"/>
        <w:jc w:val="both"/>
      </w:pPr>
      <w:r>
        <w:rPr>
          <w:rStyle w:val="None"/>
          <w:rFonts w:ascii="Times New Roman" w:hAnsi="Times New Roman"/>
          <w:sz w:val="24"/>
          <w:szCs w:val="24"/>
          <w:shd w:val="clear" w:color="auto" w:fill="FFFFFF"/>
        </w:rPr>
        <w:t>The annual cap on grants of permanent residence, not including those who received it through birth and marriage, was 100.  In accordance with Law No. 38 of 2005 (art. 17), citizenship through naturalization is not to be granted to more than 50 foreigners each year.</w:t>
      </w:r>
      <w:r>
        <w:t xml:space="preserve"> </w:t>
      </w:r>
      <w:r>
        <w:rPr>
          <w:rStyle w:val="None"/>
          <w:rFonts w:ascii="Times New Roman" w:hAnsi="Times New Roman"/>
          <w:sz w:val="24"/>
          <w:szCs w:val="24"/>
        </w:rPr>
        <w:t>T</w:t>
      </w:r>
      <w:r>
        <w:rPr>
          <w:rStyle w:val="None"/>
          <w:rFonts w:ascii="Times New Roman" w:hAnsi="Times New Roman"/>
          <w:sz w:val="24"/>
          <w:szCs w:val="24"/>
          <w:shd w:val="clear" w:color="auto" w:fill="FFFFFF"/>
        </w:rPr>
        <w:t xml:space="preserve">he kafala system significantly limits </w:t>
      </w:r>
      <w:proofErr w:type="spellStart"/>
      <w:r>
        <w:rPr>
          <w:rStyle w:val="None"/>
          <w:rFonts w:ascii="Times New Roman" w:hAnsi="Times New Roman"/>
          <w:sz w:val="24"/>
          <w:szCs w:val="24"/>
          <w:shd w:val="clear" w:color="auto" w:fill="FFFFFF"/>
        </w:rPr>
        <w:t>naturalisation</w:t>
      </w:r>
      <w:proofErr w:type="spellEnd"/>
      <w:r>
        <w:rPr>
          <w:rStyle w:val="None"/>
          <w:rFonts w:ascii="Times New Roman" w:hAnsi="Times New Roman"/>
          <w:sz w:val="24"/>
          <w:szCs w:val="24"/>
          <w:shd w:val="clear" w:color="auto" w:fill="FFFFFF"/>
        </w:rPr>
        <w:t xml:space="preserve"> or permanent settlement, as migrants arrive in Gulf states on time-bound work and residence permits and are required to leave the country upon expiration of the permit if the permit is not renewed.</w:t>
      </w:r>
      <w:r>
        <w:rPr>
          <w:rStyle w:val="None"/>
          <w:rFonts w:ascii="Times New Roman" w:eastAsia="Times New Roman" w:hAnsi="Times New Roman" w:cs="Times New Roman"/>
          <w:sz w:val="24"/>
          <w:szCs w:val="24"/>
          <w:shd w:val="clear" w:color="auto" w:fill="FFFFFF"/>
          <w:vertAlign w:val="superscript"/>
        </w:rPr>
        <w:footnoteReference w:id="23"/>
      </w:r>
    </w:p>
    <w:p w14:paraId="0D32E309" w14:textId="77777777" w:rsidR="00793F11" w:rsidRDefault="00000000">
      <w:pPr>
        <w:pStyle w:val="BodyA"/>
        <w:jc w:val="both"/>
      </w:pPr>
      <w:r>
        <w:rPr>
          <w:rStyle w:val="None"/>
          <w:rFonts w:ascii="Times New Roman" w:hAnsi="Times New Roman"/>
          <w:b/>
          <w:bCs/>
          <w:sz w:val="24"/>
          <w:szCs w:val="24"/>
          <w:shd w:val="clear" w:color="auto" w:fill="FFFFFF"/>
        </w:rPr>
        <w:t>Statelessness</w:t>
      </w:r>
    </w:p>
    <w:p w14:paraId="743C87FA" w14:textId="77777777" w:rsidR="00793F11" w:rsidRDefault="00000000">
      <w:pPr>
        <w:pStyle w:val="BodyA"/>
        <w:jc w:val="both"/>
      </w:pPr>
      <w:r>
        <w:rPr>
          <w:rStyle w:val="None"/>
          <w:rFonts w:ascii="Times New Roman" w:hAnsi="Times New Roman"/>
          <w:sz w:val="24"/>
          <w:szCs w:val="24"/>
        </w:rPr>
        <w:t>According to the Office of the United Nations High Commissioner for Human Rights, there were 1,200 stateless persons in Qatar at the end of 2017. Among this population are some members of the Al-</w:t>
      </w:r>
      <w:proofErr w:type="spellStart"/>
      <w:r>
        <w:rPr>
          <w:rStyle w:val="None"/>
          <w:rFonts w:ascii="Times New Roman" w:hAnsi="Times New Roman"/>
          <w:sz w:val="24"/>
          <w:szCs w:val="24"/>
        </w:rPr>
        <w:t>Ghufran</w:t>
      </w:r>
      <w:proofErr w:type="spellEnd"/>
      <w:r>
        <w:rPr>
          <w:rStyle w:val="None"/>
          <w:rFonts w:ascii="Times New Roman" w:hAnsi="Times New Roman"/>
          <w:sz w:val="24"/>
          <w:szCs w:val="24"/>
        </w:rPr>
        <w:t xml:space="preserve"> clan whose citizenship was revoked in the aftermath of the failed coup in 1996 and has yet to be reinstated. Under article 7 of Law No. 38 of 2005, Qatari nationality may be reinstated, by an Emiri decision, to a person who proves to be of Qatari origin provided that the person has resided in Qatar for at least three consecutive years, has a lawful means of income </w:t>
      </w:r>
      <w:r>
        <w:rPr>
          <w:rStyle w:val="None"/>
          <w:rFonts w:ascii="Times New Roman" w:hAnsi="Times New Roman"/>
          <w:sz w:val="24"/>
          <w:szCs w:val="24"/>
        </w:rPr>
        <w:lastRenderedPageBreak/>
        <w:t>sufficient to meet his or her needs and is of good reputation. Although the Government has taken measures to restore the citizenship of many who were affected in that period, the process and extent of citizenship restoration remains opaque, making it difficult to determine how many remain stateless, and how many have had their nationality reinstated. Their lack of documentation also deprives them of the panoply of government benefits afforded to other Qatari citizens, including government jobs and social benefits.</w:t>
      </w:r>
    </w:p>
    <w:p w14:paraId="513970C0" w14:textId="77777777" w:rsidR="00793F11" w:rsidRDefault="00000000">
      <w:pPr>
        <w:pStyle w:val="BodyA"/>
        <w:jc w:val="both"/>
      </w:pPr>
      <w:r>
        <w:rPr>
          <w:rStyle w:val="None"/>
          <w:rFonts w:ascii="Times New Roman" w:hAnsi="Times New Roman"/>
          <w:b/>
          <w:bCs/>
          <w:sz w:val="24"/>
          <w:szCs w:val="24"/>
          <w:shd w:val="clear" w:color="auto" w:fill="FFFFFF"/>
        </w:rPr>
        <w:t>Undocumented foreign nationals</w:t>
      </w:r>
    </w:p>
    <w:p w14:paraId="23A75FC7" w14:textId="77777777" w:rsidR="00793F11" w:rsidRDefault="00000000">
      <w:pPr>
        <w:pStyle w:val="BodyA"/>
        <w:jc w:val="both"/>
      </w:pPr>
      <w:r>
        <w:rPr>
          <w:rStyle w:val="None"/>
          <w:rFonts w:ascii="Times New Roman" w:hAnsi="Times New Roman"/>
          <w:sz w:val="24"/>
          <w:szCs w:val="24"/>
          <w:shd w:val="clear" w:color="auto" w:fill="FFFFFF"/>
        </w:rPr>
        <w:t xml:space="preserve">Reports that there is a population of undocumented foreign nationals in Qatar as a result of violations of the entry, exit and residence regulations. This population includes children who were born to undocumented parents or to migrant parents whose visas prevent them from conferring legal status on children in the country. Reports received indicate that migrant workers become undocumented due to various factors that are out of their control, such as: their company went bankrupt; their employer failed to renew their residency permit. </w:t>
      </w:r>
    </w:p>
    <w:p w14:paraId="67120997" w14:textId="77777777" w:rsidR="00793F11" w:rsidRDefault="00000000">
      <w:pPr>
        <w:pStyle w:val="BodyA"/>
        <w:jc w:val="both"/>
      </w:pPr>
      <w:r>
        <w:rPr>
          <w:rStyle w:val="None"/>
          <w:rFonts w:ascii="Times New Roman" w:hAnsi="Times New Roman"/>
          <w:b/>
          <w:bCs/>
          <w:sz w:val="24"/>
          <w:szCs w:val="24"/>
          <w:shd w:val="clear" w:color="auto" w:fill="FFFFFF"/>
        </w:rPr>
        <w:t>Recruitment Agencies and Migrant Workers</w:t>
      </w:r>
    </w:p>
    <w:p w14:paraId="3A06DDD1" w14:textId="77777777" w:rsidR="00793F11" w:rsidRDefault="00000000">
      <w:pPr>
        <w:pStyle w:val="BodyA"/>
        <w:jc w:val="both"/>
      </w:pPr>
      <w:r>
        <w:rPr>
          <w:rStyle w:val="None"/>
          <w:rFonts w:ascii="Times New Roman" w:hAnsi="Times New Roman"/>
          <w:sz w:val="24"/>
          <w:szCs w:val="24"/>
          <w:shd w:val="clear" w:color="auto" w:fill="FFFFFF"/>
        </w:rPr>
        <w:t xml:space="preserve">To reduce the risk of recruitment fees being charged, Qatar opened 14 visa </w:t>
      </w:r>
      <w:proofErr w:type="spellStart"/>
      <w:r>
        <w:rPr>
          <w:rStyle w:val="None"/>
          <w:rFonts w:ascii="Times New Roman" w:hAnsi="Times New Roman"/>
          <w:sz w:val="24"/>
          <w:szCs w:val="24"/>
          <w:shd w:val="clear" w:color="auto" w:fill="FFFFFF"/>
        </w:rPr>
        <w:t>centres</w:t>
      </w:r>
      <w:proofErr w:type="spellEnd"/>
      <w:r>
        <w:rPr>
          <w:rStyle w:val="None"/>
          <w:rFonts w:ascii="Times New Roman" w:hAnsi="Times New Roman"/>
          <w:sz w:val="24"/>
          <w:szCs w:val="24"/>
          <w:shd w:val="clear" w:color="auto" w:fill="FFFFFF"/>
        </w:rPr>
        <w:t xml:space="preserve"> in </w:t>
      </w:r>
      <w:proofErr w:type="spellStart"/>
      <w:r>
        <w:rPr>
          <w:rStyle w:val="None"/>
          <w:rFonts w:ascii="Times New Roman" w:hAnsi="Times New Roman"/>
          <w:sz w:val="24"/>
          <w:szCs w:val="24"/>
          <w:shd w:val="clear" w:color="auto" w:fill="FFFFFF"/>
        </w:rPr>
        <w:t>labour</w:t>
      </w:r>
      <w:proofErr w:type="spellEnd"/>
      <w:r>
        <w:rPr>
          <w:rStyle w:val="None"/>
          <w:rFonts w:ascii="Times New Roman" w:hAnsi="Times New Roman"/>
          <w:sz w:val="24"/>
          <w:szCs w:val="24"/>
          <w:shd w:val="clear" w:color="auto" w:fill="FFFFFF"/>
        </w:rPr>
        <w:t>-sending countries. Recruitment fees are prohibited, and recruitment agencies are required to improve their knowledge and application of the latest regulations, conduct due diligence, and conflict prevention in order to be licensed.  However, abusive recruitment practice sill occurs particularly with Recruiting Agencies who were facilitating free visas under which they had to secure their own jobs leading to the FIFA world cup.</w:t>
      </w:r>
      <w:r>
        <w:rPr>
          <w:rStyle w:val="None"/>
          <w:rFonts w:ascii="Times New Roman" w:eastAsia="Times New Roman" w:hAnsi="Times New Roman" w:cs="Times New Roman"/>
          <w:sz w:val="24"/>
          <w:szCs w:val="24"/>
          <w:shd w:val="clear" w:color="auto" w:fill="FFFFFF"/>
          <w:vertAlign w:val="superscript"/>
        </w:rPr>
        <w:footnoteReference w:id="24"/>
      </w:r>
      <w:r>
        <w:rPr>
          <w:rStyle w:val="None"/>
          <w:rFonts w:ascii="Times New Roman" w:hAnsi="Times New Roman"/>
          <w:sz w:val="24"/>
          <w:szCs w:val="24"/>
          <w:shd w:val="clear" w:color="auto" w:fill="FFFFFF"/>
        </w:rPr>
        <w:t xml:space="preserve"> Workers from many African countries, including Nigeria were duped into paying vast sums to enter Qatar on </w:t>
      </w:r>
      <w:proofErr w:type="spellStart"/>
      <w:r>
        <w:rPr>
          <w:rStyle w:val="None"/>
          <w:rFonts w:ascii="Times New Roman" w:hAnsi="Times New Roman"/>
          <w:sz w:val="24"/>
          <w:szCs w:val="24"/>
          <w:shd w:val="clear" w:color="auto" w:fill="FFFFFF"/>
        </w:rPr>
        <w:t>Hayya</w:t>
      </w:r>
      <w:proofErr w:type="spellEnd"/>
      <w:r>
        <w:rPr>
          <w:rStyle w:val="None"/>
          <w:rFonts w:ascii="Times New Roman" w:hAnsi="Times New Roman"/>
          <w:sz w:val="24"/>
          <w:szCs w:val="24"/>
          <w:shd w:val="clear" w:color="auto" w:fill="FFFFFF"/>
        </w:rPr>
        <w:t xml:space="preserve"> cards. Many were left stranded, destitute and jobless in Qatar just 100 days after the end of the World Cup, despite claims that the tournament would leave a legacy of better workers’ rights in the country.</w:t>
      </w:r>
      <w:r>
        <w:rPr>
          <w:rStyle w:val="None"/>
          <w:rFonts w:ascii="Times New Roman" w:hAnsi="Times New Roman"/>
          <w:color w:val="121212"/>
          <w:sz w:val="24"/>
          <w:szCs w:val="24"/>
          <w:u w:color="121212"/>
          <w:shd w:val="clear" w:color="auto" w:fill="FFFFFF"/>
        </w:rPr>
        <w:t xml:space="preserve"> Whilst the</w:t>
      </w:r>
      <w:r>
        <w:rPr>
          <w:rStyle w:val="None"/>
          <w:rFonts w:ascii="Times New Roman" w:hAnsi="Times New Roman"/>
          <w:sz w:val="24"/>
          <w:szCs w:val="24"/>
          <w:shd w:val="clear" w:color="auto" w:fill="FFFFFF"/>
        </w:rPr>
        <w:t xml:space="preserve"> validity of the card was extended until 2024, it can be used only for tourism, leaving the victims deep in debt, unable to legally work and struggling to return home.</w:t>
      </w:r>
    </w:p>
    <w:p w14:paraId="34786D59" w14:textId="77777777" w:rsidR="00793F11" w:rsidRDefault="00793F11">
      <w:pPr>
        <w:pStyle w:val="Body"/>
      </w:pPr>
    </w:p>
    <w:p w14:paraId="0B07C1AF" w14:textId="77777777" w:rsidR="00793F11" w:rsidRDefault="00000000">
      <w:pPr>
        <w:pStyle w:val="Body"/>
      </w:pPr>
      <w:r>
        <w:rPr>
          <w:rStyle w:val="None"/>
          <w:b/>
          <w:bCs/>
        </w:rPr>
        <w:t xml:space="preserve">The right to work and exit permits. </w:t>
      </w:r>
    </w:p>
    <w:p w14:paraId="439DFB97" w14:textId="77777777" w:rsidR="00793F11" w:rsidRDefault="00793F11">
      <w:pPr>
        <w:pStyle w:val="Body"/>
      </w:pPr>
    </w:p>
    <w:p w14:paraId="1EC99F5B" w14:textId="77777777" w:rsidR="00793F11" w:rsidRDefault="00000000">
      <w:pPr>
        <w:pStyle w:val="Body"/>
        <w:jc w:val="both"/>
      </w:pPr>
      <w:r>
        <w:t xml:space="preserve">The right to work and to fair labor conditions is enshrined in several Conventions. In addition, the CERD Committee makes regular reference to the Migrant Worker Convention and the ILO including the ILO on Indigenous People’s Rights. The Committee has expressed concern about the recruitment and conditions of employment of indigenous and tribal people as well as domestic workers. </w:t>
      </w:r>
    </w:p>
    <w:p w14:paraId="37F3352F" w14:textId="77777777" w:rsidR="00793F11" w:rsidRDefault="00793F11">
      <w:pPr>
        <w:pStyle w:val="Body"/>
        <w:jc w:val="both"/>
      </w:pPr>
    </w:p>
    <w:p w14:paraId="084C1EB9" w14:textId="77777777" w:rsidR="00793F11" w:rsidRDefault="00000000">
      <w:pPr>
        <w:pStyle w:val="Body"/>
        <w:jc w:val="both"/>
      </w:pPr>
      <w:r>
        <w:t xml:space="preserve">A significant challenge in Qatar is that the transnational economic and legal regime that structures the country’s </w:t>
      </w:r>
      <w:proofErr w:type="spellStart"/>
      <w:r>
        <w:t>labour</w:t>
      </w:r>
      <w:proofErr w:type="spellEnd"/>
      <w:r>
        <w:t xml:space="preserve"> recruitment reinforces and consolidates some racial and ethnic stereotypes. Visas issued in blocks function as an informal quota system according to which different nationalities are given permission to enter the country. Most non-nationals are recruited for </w:t>
      </w:r>
      <w:r>
        <w:lastRenderedPageBreak/>
        <w:t xml:space="preserve">specific jobs, and private companies will commonly meet the need for specific types of workers by bringing in co-nationals, the result of which is a firm societal association between certain types of work and specific nationalities. </w:t>
      </w:r>
    </w:p>
    <w:p w14:paraId="6B436018" w14:textId="77777777" w:rsidR="00793F11" w:rsidRDefault="00793F11">
      <w:pPr>
        <w:pStyle w:val="Body"/>
        <w:jc w:val="both"/>
      </w:pPr>
    </w:p>
    <w:p w14:paraId="12CA5E1A" w14:textId="77777777" w:rsidR="00793F11" w:rsidRDefault="00000000">
      <w:pPr>
        <w:pStyle w:val="Body"/>
        <w:jc w:val="both"/>
      </w:pPr>
      <w:r>
        <w:t xml:space="preserve">For example, the Special Rapporteur learned that Bangladeshis, Sri Lankans and Nepalis are among the </w:t>
      </w:r>
      <w:proofErr w:type="gramStart"/>
      <w:r>
        <w:t>most commonly employed</w:t>
      </w:r>
      <w:proofErr w:type="gramEnd"/>
      <w:r>
        <w:t xml:space="preserve"> in low-income jobs such as construction. Consultations with South Asian migrant workers typically recruited for low-income jobs reported that their nationality often functions as a barrier to their advancement to </w:t>
      </w:r>
      <w:proofErr w:type="spellStart"/>
      <w:r>
        <w:t>higherpaying</w:t>
      </w:r>
      <w:proofErr w:type="spellEnd"/>
      <w:r>
        <w:t xml:space="preserve"> jobs, even when they possess the necessary skills, in part because of stereotypes and implicit judgments by employers and others that fix Bangladeshis, Nepalis and Sri Lankans to low-income roles. For Western and Arab nationalities, their passports confer upon them privilege that results in better contractual benefits, even when they are performing the same tasks as certain South Asian and sub-Saharan African nationalities.</w:t>
      </w:r>
      <w:r>
        <w:rPr>
          <w:rStyle w:val="FootnoteReference"/>
        </w:rPr>
        <w:footnoteReference w:id="25"/>
      </w:r>
    </w:p>
    <w:p w14:paraId="7888B5C7" w14:textId="77777777" w:rsidR="00793F11" w:rsidRDefault="00793F11">
      <w:pPr>
        <w:pStyle w:val="Body"/>
      </w:pPr>
    </w:p>
    <w:p w14:paraId="2FB2852F" w14:textId="77777777" w:rsidR="00793F11" w:rsidRDefault="00000000">
      <w:pPr>
        <w:pStyle w:val="Body"/>
        <w:jc w:val="both"/>
      </w:pPr>
      <w:r>
        <w:t>The Committee on the Elimination of Racial Discrimination expressed concern that the existing entry, exit and residence law allowed the kafala system to continue operating in practice.</w:t>
      </w:r>
      <w:r>
        <w:rPr>
          <w:rStyle w:val="FootnoteReference"/>
        </w:rPr>
        <w:footnoteReference w:id="26"/>
      </w:r>
      <w:r>
        <w:t xml:space="preserve"> </w:t>
      </w:r>
    </w:p>
    <w:p w14:paraId="6EAC3982" w14:textId="77777777" w:rsidR="00793F11" w:rsidRDefault="00793F11">
      <w:pPr>
        <w:pStyle w:val="Body"/>
      </w:pPr>
    </w:p>
    <w:p w14:paraId="60271D78" w14:textId="77777777" w:rsidR="00793F11" w:rsidRDefault="00000000">
      <w:pPr>
        <w:pStyle w:val="Body"/>
        <w:jc w:val="both"/>
      </w:pPr>
      <w:r>
        <w:t>The Qatari government passed Law No. 13 of 2018, which addressed barriers to expatriate freedom of movement by permitting workers who had completed their contract period (or worked for five</w:t>
      </w:r>
    </w:p>
    <w:p w14:paraId="57A27E80" w14:textId="77777777" w:rsidR="00793F11" w:rsidRDefault="00000000">
      <w:pPr>
        <w:pStyle w:val="Body"/>
        <w:jc w:val="both"/>
      </w:pPr>
      <w:r>
        <w:t>years if no duration was specified) to change jobs without first obtaining a no-objection certificate from their sponsor. The law was certainly a significant step forward in reducing the power of sponsors to control a migrant’s mobility. However, it overlooked the country’s roughly 175,000 domestic workers, one of the most vulnerable working populations. The Government then passed Ministerial Decision no. 95 relating to the right to leave the country without an exit permit which extended this right to other categories of workers not covered under the previous law, like domestic workers and government employees</w:t>
      </w:r>
      <w:r>
        <w:rPr>
          <w:rStyle w:val="FootnoteReference"/>
        </w:rPr>
        <w:footnoteReference w:id="27"/>
      </w:r>
      <w:r>
        <w:t xml:space="preserve">. The Ministry of the Interior’s social then followed up with </w:t>
      </w:r>
    </w:p>
    <w:p w14:paraId="0FDBE2A6" w14:textId="77777777" w:rsidR="00793F11" w:rsidRDefault="00000000">
      <w:pPr>
        <w:pStyle w:val="Body"/>
        <w:jc w:val="both"/>
      </w:pPr>
      <w:r>
        <w:t>a financial penalty and four-year ban on working in Qatar for those who failed to provide seventy-two-hour notice to employers.</w:t>
      </w:r>
    </w:p>
    <w:p w14:paraId="0192AE3C" w14:textId="77777777" w:rsidR="00793F11" w:rsidRDefault="00793F11">
      <w:pPr>
        <w:pStyle w:val="Body"/>
        <w:jc w:val="both"/>
      </w:pPr>
    </w:p>
    <w:p w14:paraId="7332E28D" w14:textId="77777777" w:rsidR="00793F11" w:rsidRDefault="00000000">
      <w:pPr>
        <w:pStyle w:val="Body"/>
        <w:jc w:val="both"/>
      </w:pPr>
      <w:r>
        <w:t xml:space="preserve">Immense power imbalances persist between employers and migrant workers, imbalances rooted in the kafala (sponsorship) system that has historically structured </w:t>
      </w:r>
      <w:proofErr w:type="spellStart"/>
      <w:r>
        <w:t>labour</w:t>
      </w:r>
      <w:proofErr w:type="spellEnd"/>
      <w:r>
        <w:t xml:space="preserve"> relations and conditions of residency for low-income workers in Qatar.</w:t>
      </w:r>
      <w:r>
        <w:rPr>
          <w:rStyle w:val="FootnoteReference"/>
        </w:rPr>
        <w:footnoteReference w:id="28"/>
      </w:r>
      <w:r>
        <w:t xml:space="preserve"> This is despite law reforms because the piecemeal approach “have simply put a bandage on the problem without addressing root causes</w:t>
      </w:r>
      <w:r>
        <w:rPr>
          <w:rStyle w:val="FootnoteReference"/>
        </w:rPr>
        <w:footnoteReference w:id="29"/>
      </w:r>
      <w:r>
        <w:t>.”</w:t>
      </w:r>
    </w:p>
    <w:p w14:paraId="022A2241" w14:textId="77777777" w:rsidR="00793F11" w:rsidRDefault="00793F11">
      <w:pPr>
        <w:pStyle w:val="Body"/>
      </w:pPr>
    </w:p>
    <w:p w14:paraId="2570CD57" w14:textId="77777777" w:rsidR="00793F11" w:rsidRDefault="00000000">
      <w:pPr>
        <w:pStyle w:val="BodyA"/>
        <w:spacing w:after="0"/>
        <w:jc w:val="both"/>
      </w:pPr>
      <w:r>
        <w:rPr>
          <w:rStyle w:val="None"/>
          <w:rFonts w:ascii="Times New Roman" w:hAnsi="Times New Roman"/>
          <w:sz w:val="24"/>
          <w:szCs w:val="24"/>
        </w:rPr>
        <w:t xml:space="preserve">Because of the content of the law and the power it confers upon employers over employees, many low-income workers are too afraid to seek justice for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violations, and reasonably so. Migrant workers, especially low-wage earners in the construction, service and domestic work sectors, </w:t>
      </w:r>
      <w:r>
        <w:rPr>
          <w:rStyle w:val="None"/>
          <w:rFonts w:ascii="Times New Roman" w:hAnsi="Times New Roman"/>
          <w:sz w:val="24"/>
          <w:szCs w:val="24"/>
        </w:rPr>
        <w:lastRenderedPageBreak/>
        <w:t xml:space="preserve">frequently experience non-payment or delayed payment of salaries. One worker in the service industry reported receiving only one month’s salary after four months of not being paid. Another, a domestic worker, reported working for 10 months without pay. A construction worker testified with resignation that he had been waiting for over a year to receive 60,000 Qatari riyals in back wages, even after receiving a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judgment in his </w:t>
      </w:r>
      <w:proofErr w:type="spellStart"/>
      <w:r>
        <w:rPr>
          <w:rStyle w:val="None"/>
          <w:rFonts w:ascii="Times New Roman" w:hAnsi="Times New Roman"/>
          <w:sz w:val="24"/>
          <w:szCs w:val="24"/>
        </w:rPr>
        <w:t>favour</w:t>
      </w:r>
      <w:proofErr w:type="spellEnd"/>
      <w:r>
        <w:rPr>
          <w:rStyle w:val="None"/>
          <w:rFonts w:ascii="Times New Roman" w:hAnsi="Times New Roman"/>
          <w:sz w:val="24"/>
          <w:szCs w:val="24"/>
        </w:rPr>
        <w:t xml:space="preserve">. Some expressed a desire to report their employers to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authorities but feared their employers would retaliate by terminating their contracts or falsely accusing them of leaving work, which is popularly referred to as “absconding” and is an offence punishable by imprisonment under Law No. 21 of 2015. The very use of this terminology of “absconding”, even if it is not present in the law, points to the indentured or coercive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conditions that are the reality for too many low-income workers in Qatar. It also recalls the historical reliance on enslaved and coerced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in the region.</w:t>
      </w:r>
    </w:p>
    <w:p w14:paraId="73823F26" w14:textId="77777777" w:rsidR="00793F11" w:rsidRDefault="00793F11">
      <w:pPr>
        <w:pStyle w:val="BodyA"/>
        <w:spacing w:after="0"/>
        <w:jc w:val="both"/>
      </w:pPr>
    </w:p>
    <w:p w14:paraId="66BD7CA7" w14:textId="77777777" w:rsidR="00793F11" w:rsidRDefault="00000000">
      <w:pPr>
        <w:pStyle w:val="Body"/>
      </w:pPr>
      <w:r>
        <w:rPr>
          <w:rStyle w:val="None"/>
          <w:b/>
          <w:bCs/>
        </w:rPr>
        <w:t>Low-income (and even high-income) migrant workers</w:t>
      </w:r>
    </w:p>
    <w:p w14:paraId="0E640995" w14:textId="77777777" w:rsidR="00793F11" w:rsidRDefault="00000000">
      <w:pPr>
        <w:pStyle w:val="BodyA"/>
        <w:spacing w:after="0"/>
        <w:jc w:val="both"/>
      </w:pPr>
      <w:r>
        <w:rPr>
          <w:rStyle w:val="None"/>
          <w:rFonts w:ascii="Times New Roman" w:hAnsi="Times New Roman"/>
          <w:sz w:val="24"/>
          <w:szCs w:val="24"/>
        </w:rPr>
        <w:t xml:space="preserve">Low-income (and even high-income) migrant workers reported that salaries greatly depended on their countries of origin, such that workers performing the same tasks often earned significantly different salaries. This is partly due to poor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regulations regarding pay equity as well as national origin discrimination and racial and ethnic stereotyping. For example, despite possessing professional degrees, some migrant workers are relegated to low-income jobs </w:t>
      </w:r>
      <w:proofErr w:type="gramStart"/>
      <w:r>
        <w:rPr>
          <w:rStyle w:val="None"/>
          <w:rFonts w:ascii="Times New Roman" w:hAnsi="Times New Roman"/>
          <w:sz w:val="24"/>
          <w:szCs w:val="24"/>
        </w:rPr>
        <w:t>most commonly linked</w:t>
      </w:r>
      <w:proofErr w:type="gramEnd"/>
      <w:r>
        <w:rPr>
          <w:rStyle w:val="None"/>
          <w:rFonts w:ascii="Times New Roman" w:hAnsi="Times New Roman"/>
          <w:sz w:val="24"/>
          <w:szCs w:val="24"/>
        </w:rPr>
        <w:t xml:space="preserve"> to and occupied by workers of their racial or ethnic group. The visa regimes of Qatar establish a nationality-driven informal quota system where companies and employers recruit mainly from one nationality group, resulting in a strong association of certain positions with </w:t>
      </w:r>
      <w:proofErr w:type="gramStart"/>
      <w:r>
        <w:rPr>
          <w:rStyle w:val="None"/>
          <w:rFonts w:ascii="Times New Roman" w:hAnsi="Times New Roman"/>
          <w:sz w:val="24"/>
          <w:szCs w:val="24"/>
        </w:rPr>
        <w:t>particular nationalities</w:t>
      </w:r>
      <w:proofErr w:type="gramEnd"/>
      <w:r>
        <w:rPr>
          <w:rStyle w:val="None"/>
          <w:rFonts w:ascii="Times New Roman" w:hAnsi="Times New Roman"/>
          <w:sz w:val="24"/>
          <w:szCs w:val="24"/>
        </w:rPr>
        <w:t xml:space="preserve"> or racial identities, that is, racial stereotyping.</w:t>
      </w:r>
      <w:r>
        <w:rPr>
          <w:rStyle w:val="None"/>
          <w:rFonts w:ascii="Times New Roman" w:eastAsia="Times New Roman" w:hAnsi="Times New Roman" w:cs="Times New Roman"/>
          <w:sz w:val="24"/>
          <w:szCs w:val="24"/>
          <w:vertAlign w:val="superscript"/>
        </w:rPr>
        <w:footnoteReference w:id="30"/>
      </w:r>
    </w:p>
    <w:p w14:paraId="2ED056B9" w14:textId="77777777" w:rsidR="00793F11" w:rsidRDefault="00793F11">
      <w:pPr>
        <w:pStyle w:val="BodyA"/>
        <w:spacing w:after="0"/>
        <w:jc w:val="both"/>
      </w:pPr>
    </w:p>
    <w:p w14:paraId="099BB686" w14:textId="77777777" w:rsidR="00793F11" w:rsidRDefault="00000000">
      <w:pPr>
        <w:pStyle w:val="BodyA"/>
        <w:spacing w:after="0"/>
        <w:jc w:val="both"/>
      </w:pPr>
      <w:r>
        <w:rPr>
          <w:rStyle w:val="None"/>
          <w:rFonts w:ascii="Times New Roman" w:hAnsi="Times New Roman"/>
          <w:b/>
          <w:bCs/>
          <w:sz w:val="24"/>
          <w:szCs w:val="24"/>
        </w:rPr>
        <w:t>“No Objection” Certificates</w:t>
      </w:r>
    </w:p>
    <w:p w14:paraId="35B5F8D0" w14:textId="77777777" w:rsidR="00793F11" w:rsidRDefault="00000000">
      <w:pPr>
        <w:pStyle w:val="BodyA"/>
        <w:spacing w:after="0"/>
        <w:jc w:val="both"/>
      </w:pPr>
      <w:r>
        <w:rPr>
          <w:rStyle w:val="None"/>
          <w:rFonts w:ascii="Times New Roman" w:hAnsi="Times New Roman"/>
          <w:sz w:val="24"/>
          <w:szCs w:val="24"/>
        </w:rPr>
        <w:t xml:space="preserve">Low-income migrant workers also face prohibitive hurdles when seeking to change employment due to the requirements of </w:t>
      </w:r>
      <w:bookmarkStart w:id="4" w:name="_Hlk161890847"/>
      <w:r>
        <w:rPr>
          <w:rStyle w:val="None"/>
          <w:rFonts w:ascii="Times New Roman" w:hAnsi="Times New Roman"/>
          <w:sz w:val="24"/>
          <w:szCs w:val="24"/>
        </w:rPr>
        <w:t>“no objection” certificates</w:t>
      </w:r>
      <w:bookmarkEnd w:id="4"/>
      <w:r>
        <w:rPr>
          <w:rStyle w:val="None"/>
          <w:rFonts w:ascii="Times New Roman" w:hAnsi="Times New Roman"/>
          <w:sz w:val="24"/>
          <w:szCs w:val="24"/>
        </w:rPr>
        <w:t xml:space="preserve">, which employees must secure from their sponsoring employer before they can legally terminate their employment and seek alternatives. The new legal reforms which remove the requirement of exit permits have not clarified </w:t>
      </w:r>
      <w:proofErr w:type="gramStart"/>
      <w:r>
        <w:rPr>
          <w:rStyle w:val="None"/>
          <w:rFonts w:ascii="Times New Roman" w:hAnsi="Times New Roman"/>
          <w:sz w:val="24"/>
          <w:szCs w:val="24"/>
        </w:rPr>
        <w:t>whether or not</w:t>
      </w:r>
      <w:proofErr w:type="gramEnd"/>
      <w:r>
        <w:rPr>
          <w:rStyle w:val="None"/>
          <w:rFonts w:ascii="Times New Roman" w:hAnsi="Times New Roman"/>
          <w:sz w:val="24"/>
          <w:szCs w:val="24"/>
        </w:rPr>
        <w:t xml:space="preserve"> this also apples to the “no objection” certificate. Under Law No. 21 of 2015, an employee who leaves her employment without a “no objection” certificate is required to leave the country, or face detention and deportation. During the visit, the Special Rapporteur noted that a climate of fear affected the ability of migrants, especially domestic workers, to lodge valid and even pressing complaints against employers for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violations due to reasonable concerns that employers could retaliate by reporting employees to authorities on false claims of “absconding.”</w:t>
      </w:r>
      <w:r>
        <w:rPr>
          <w:rStyle w:val="None"/>
          <w:rFonts w:ascii="Times New Roman" w:eastAsia="Times New Roman" w:hAnsi="Times New Roman" w:cs="Times New Roman"/>
          <w:sz w:val="24"/>
          <w:szCs w:val="24"/>
          <w:vertAlign w:val="superscript"/>
        </w:rPr>
        <w:footnoteReference w:id="31"/>
      </w:r>
    </w:p>
    <w:p w14:paraId="21171E01" w14:textId="77777777" w:rsidR="00793F11" w:rsidRDefault="00793F11">
      <w:pPr>
        <w:pStyle w:val="BodyA"/>
        <w:spacing w:after="0"/>
        <w:jc w:val="both"/>
      </w:pPr>
    </w:p>
    <w:p w14:paraId="0EE6C90F" w14:textId="77777777" w:rsidR="00793F11" w:rsidRDefault="00000000">
      <w:pPr>
        <w:pStyle w:val="BodyA"/>
        <w:spacing w:after="0"/>
        <w:jc w:val="both"/>
      </w:pPr>
      <w:r>
        <w:rPr>
          <w:rStyle w:val="None"/>
          <w:rFonts w:ascii="Times New Roman" w:hAnsi="Times New Roman"/>
          <w:b/>
          <w:bCs/>
          <w:sz w:val="24"/>
          <w:szCs w:val="24"/>
        </w:rPr>
        <w:t>Domestic workers and Labor Inspectors</w:t>
      </w:r>
    </w:p>
    <w:p w14:paraId="46BBFCDF" w14:textId="77777777" w:rsidR="00793F11" w:rsidRDefault="00000000">
      <w:pPr>
        <w:pStyle w:val="BodyA"/>
        <w:spacing w:after="0"/>
        <w:jc w:val="both"/>
      </w:pPr>
      <w:r>
        <w:rPr>
          <w:rStyle w:val="None"/>
          <w:rFonts w:ascii="Times New Roman" w:hAnsi="Times New Roman"/>
          <w:sz w:val="24"/>
          <w:szCs w:val="24"/>
        </w:rPr>
        <w:lastRenderedPageBreak/>
        <w:t>Many domestic workers, who are predominantly women, confront distinct and extreme difficulties in Qatar, and face multiple and intersecting forms of discrimination, including extreme human rights violations due to their gender, nationality, temporary worker status and low income.</w:t>
      </w:r>
      <w:r>
        <w:rPr>
          <w:rStyle w:val="None"/>
          <w:rFonts w:ascii="Times New Roman" w:eastAsia="Times New Roman" w:hAnsi="Times New Roman" w:cs="Times New Roman"/>
          <w:sz w:val="24"/>
          <w:szCs w:val="24"/>
          <w:vertAlign w:val="superscript"/>
        </w:rPr>
        <w:footnoteReference w:id="32"/>
      </w:r>
    </w:p>
    <w:p w14:paraId="34E0C83C" w14:textId="77777777" w:rsidR="00793F11" w:rsidRDefault="00793F11">
      <w:pPr>
        <w:pStyle w:val="BodyA"/>
        <w:spacing w:after="0"/>
        <w:jc w:val="both"/>
      </w:pPr>
    </w:p>
    <w:p w14:paraId="2E6E7BBE" w14:textId="77777777" w:rsidR="00793F11" w:rsidRDefault="00000000">
      <w:pPr>
        <w:pStyle w:val="BodyA"/>
        <w:spacing w:after="0"/>
        <w:jc w:val="both"/>
      </w:pPr>
      <w:r>
        <w:rPr>
          <w:rStyle w:val="None"/>
          <w:rFonts w:ascii="Times New Roman" w:hAnsi="Times New Roman"/>
          <w:sz w:val="24"/>
          <w:szCs w:val="24"/>
        </w:rPr>
        <w:t xml:space="preserve">The Special Rapporteur in her 2020 report received reports that it is not uncommon for domestic workers to be confined by their employers – Qatari and non-Qatari alike – to the private homes in which these women work. Many are subjected to harsh working conditions: excessively long workdays with no rest and no days off; passport and mobile phone confiscation; physical and social isolation; and, in some cases, physical, verbal or sexual assault by employers and their teenage or adult children. The Special Rapporteur heard testimonies from domestic workers who reported being denied food for prolonged periods, being regularly forced to subsist on leftovers or insufficiently nutritious food, and, in some cases, starvation. </w:t>
      </w:r>
    </w:p>
    <w:p w14:paraId="5F8DE89C" w14:textId="77777777" w:rsidR="00793F11" w:rsidRDefault="00000000">
      <w:pPr>
        <w:pStyle w:val="BodyA"/>
        <w:spacing w:after="0"/>
        <w:jc w:val="both"/>
      </w:pPr>
      <w:r>
        <w:rPr>
          <w:rStyle w:val="None"/>
          <w:rFonts w:ascii="Times New Roman" w:hAnsi="Times New Roman"/>
          <w:sz w:val="24"/>
          <w:szCs w:val="24"/>
        </w:rPr>
        <w:t>Two sub-Saharan domestic workers testified regarding their experiences of chilling and horrifying sexual abuse – one reported being regularly raped by her male employer for over a year, before she was able to escape from his home.</w:t>
      </w:r>
    </w:p>
    <w:p w14:paraId="6221988A" w14:textId="77777777" w:rsidR="00793F11" w:rsidRDefault="00000000">
      <w:pPr>
        <w:pStyle w:val="BodyA"/>
        <w:jc w:val="both"/>
      </w:pPr>
      <w:r>
        <w:rPr>
          <w:rStyle w:val="None"/>
          <w:rFonts w:ascii="Times New Roman" w:hAnsi="Times New Roman"/>
          <w:sz w:val="24"/>
          <w:szCs w:val="24"/>
        </w:rPr>
        <w:t xml:space="preserve">Employers are generally prohibited from forcing domestic workers to work while on sick </w:t>
      </w:r>
      <w:proofErr w:type="gramStart"/>
      <w:r>
        <w:rPr>
          <w:rStyle w:val="None"/>
          <w:rFonts w:ascii="Times New Roman" w:hAnsi="Times New Roman"/>
          <w:sz w:val="24"/>
          <w:szCs w:val="24"/>
        </w:rPr>
        <w:t>leave</w:t>
      </w:r>
      <w:proofErr w:type="gramEnd"/>
      <w:r>
        <w:rPr>
          <w:rStyle w:val="None"/>
          <w:rFonts w:ascii="Times New Roman" w:hAnsi="Times New Roman"/>
          <w:sz w:val="24"/>
          <w:szCs w:val="24"/>
        </w:rPr>
        <w:t xml:space="preserve"> but the law does not contain provisions for sick leave itself. This is in stark contrast to the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Law, which provides for two weeks of sick leave at full pay, four weeks at half pay and unpaid leave thereafter. </w:t>
      </w:r>
    </w:p>
    <w:p w14:paraId="3DE5C73E" w14:textId="77777777" w:rsidR="00793F11" w:rsidRDefault="00000000">
      <w:pPr>
        <w:pStyle w:val="BodyA"/>
        <w:jc w:val="both"/>
      </w:pP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Inspection Convention, 1947 (No. 81) and the related 1995 Protocol articulate States’ responsibility to establish and maintain a system of labor inspection to enforce legal protections regarding conditions of work and the protection of workers in industrial, commercial and non-commercial workplaces.</w:t>
      </w:r>
    </w:p>
    <w:p w14:paraId="33195896" w14:textId="77777777" w:rsidR="00793F11" w:rsidRDefault="00000000">
      <w:pPr>
        <w:pStyle w:val="BodyA"/>
        <w:jc w:val="both"/>
      </w:pPr>
      <w:r>
        <w:rPr>
          <w:rStyle w:val="None"/>
          <w:rFonts w:ascii="Times New Roman" w:hAnsi="Times New Roman"/>
          <w:sz w:val="24"/>
          <w:szCs w:val="24"/>
        </w:rPr>
        <w:t xml:space="preserve">In Qatar, a national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inspection policy with a strong focus on strategic, evidence-based planning was adopted in April 2019, to increase efficiency and achieve sustained compliance with national and international standards. The policy was informed by an assessment of the Qatar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inspection system, conducted by the MOL and the ILO.</w:t>
      </w:r>
      <w:r>
        <w:rPr>
          <w:rStyle w:val="None"/>
          <w:rFonts w:ascii="Times New Roman" w:eastAsia="Times New Roman" w:hAnsi="Times New Roman" w:cs="Times New Roman"/>
          <w:sz w:val="24"/>
          <w:szCs w:val="24"/>
          <w:vertAlign w:val="superscript"/>
        </w:rPr>
        <w:footnoteReference w:id="33"/>
      </w:r>
      <w:r>
        <w:t xml:space="preserve"> </w:t>
      </w:r>
      <w:r>
        <w:rPr>
          <w:rStyle w:val="None"/>
          <w:rFonts w:ascii="Times New Roman" w:hAnsi="Times New Roman"/>
          <w:sz w:val="24"/>
          <w:szCs w:val="24"/>
        </w:rPr>
        <w:t xml:space="preserve">Between 2019 and 2022,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inspectors received training on the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law, forced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and trafficking, accident investigation, OSH in construction and gender-responsive approaches to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inspection</w:t>
      </w:r>
      <w:r>
        <w:t>.</w:t>
      </w:r>
      <w:r>
        <w:rPr>
          <w:rStyle w:val="None"/>
          <w:rFonts w:ascii="Times New Roman" w:hAnsi="Times New Roman"/>
          <w:sz w:val="24"/>
          <w:szCs w:val="24"/>
        </w:rPr>
        <w:t xml:space="preserve"> The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Inspection Department was also exposed to the systems and approaches adopted in several countries, including Australia, the Netherlands, Portugal, Sweden, the United Kingdom and the United States. The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Inspection Department conducted targeted campaigns in response to identified priorities. This included campaigns to ensure compliance with the heat stress legislation, on conditions in shared accommodation, conducted as part of the COVID-19 response, as well as on the top causes of occupational injuries.</w:t>
      </w:r>
    </w:p>
    <w:p w14:paraId="6E683BC5" w14:textId="77777777" w:rsidR="00793F11" w:rsidRDefault="00793F11">
      <w:pPr>
        <w:pStyle w:val="BodyA"/>
        <w:spacing w:after="0"/>
        <w:jc w:val="both"/>
      </w:pPr>
    </w:p>
    <w:p w14:paraId="2FC9E722" w14:textId="77777777" w:rsidR="00793F11" w:rsidRDefault="00000000">
      <w:pPr>
        <w:pStyle w:val="BodyA"/>
        <w:spacing w:after="0"/>
        <w:jc w:val="both"/>
      </w:pPr>
      <w:r>
        <w:rPr>
          <w:rStyle w:val="None"/>
          <w:rFonts w:ascii="Times New Roman" w:hAnsi="Times New Roman"/>
          <w:b/>
          <w:bCs/>
          <w:sz w:val="24"/>
          <w:szCs w:val="24"/>
        </w:rPr>
        <w:t xml:space="preserve">Minimum Wage Reforms </w:t>
      </w:r>
    </w:p>
    <w:p w14:paraId="6FB4D2D9" w14:textId="77777777" w:rsidR="00793F11" w:rsidRDefault="00000000">
      <w:pPr>
        <w:pStyle w:val="BodyA"/>
        <w:spacing w:after="0"/>
        <w:jc w:val="both"/>
      </w:pPr>
      <w:r>
        <w:rPr>
          <w:rStyle w:val="None"/>
          <w:rFonts w:ascii="Times New Roman" w:hAnsi="Times New Roman"/>
          <w:b/>
          <w:bCs/>
          <w:sz w:val="24"/>
          <w:szCs w:val="24"/>
        </w:rPr>
        <w:lastRenderedPageBreak/>
        <w:t xml:space="preserve"> </w:t>
      </w:r>
    </w:p>
    <w:p w14:paraId="0709C453" w14:textId="77777777" w:rsidR="00793F11" w:rsidRDefault="00000000">
      <w:pPr>
        <w:pStyle w:val="BodyA"/>
        <w:jc w:val="both"/>
      </w:pPr>
      <w:r>
        <w:rPr>
          <w:rStyle w:val="None"/>
          <w:rFonts w:ascii="Times New Roman" w:hAnsi="Times New Roman"/>
          <w:sz w:val="24"/>
          <w:szCs w:val="24"/>
        </w:rPr>
        <w:t xml:space="preserve">The </w:t>
      </w:r>
      <w:bookmarkStart w:id="5" w:name="_Hlk162182122"/>
      <w:r>
        <w:rPr>
          <w:rStyle w:val="None"/>
          <w:rFonts w:ascii="Times New Roman" w:hAnsi="Times New Roman"/>
          <w:sz w:val="24"/>
          <w:szCs w:val="24"/>
        </w:rPr>
        <w:t xml:space="preserve">Minimum Wage </w:t>
      </w:r>
      <w:bookmarkEnd w:id="5"/>
      <w:r>
        <w:rPr>
          <w:rStyle w:val="None"/>
          <w:rFonts w:ascii="Times New Roman" w:hAnsi="Times New Roman"/>
          <w:sz w:val="24"/>
          <w:szCs w:val="24"/>
        </w:rPr>
        <w:t>Law to protect workers against unduly low pay came into effect in March 2021. In addition to this minimum wage of QAR 1,000, (which applies to all employees across all sectors in Qatar, including domestic workers) the employer must also provide QAR 500 per month for accommodation and QAR 300 per month for food unless provided by their employer. There was a high degree of compliance with this legislation that resulted in a 13 percent adjustment in workforce wages and other allowances.</w:t>
      </w:r>
    </w:p>
    <w:p w14:paraId="1CBD5070" w14:textId="77777777" w:rsidR="00793F11" w:rsidRDefault="00000000">
      <w:pPr>
        <w:pStyle w:val="BodyA"/>
        <w:jc w:val="both"/>
      </w:pPr>
      <w:r>
        <w:rPr>
          <w:rStyle w:val="None"/>
          <w:rFonts w:ascii="Times New Roman" w:hAnsi="Times New Roman"/>
          <w:sz w:val="24"/>
          <w:szCs w:val="24"/>
        </w:rPr>
        <w:t xml:space="preserve">The minimum wage was decided following extensive consultations with a </w:t>
      </w:r>
      <w:proofErr w:type="spellStart"/>
      <w:r>
        <w:rPr>
          <w:rStyle w:val="None"/>
          <w:rFonts w:ascii="Times New Roman" w:hAnsi="Times New Roman"/>
          <w:sz w:val="24"/>
          <w:szCs w:val="24"/>
        </w:rPr>
        <w:t>specialised</w:t>
      </w:r>
      <w:proofErr w:type="spellEnd"/>
      <w:r>
        <w:rPr>
          <w:rStyle w:val="None"/>
          <w:rFonts w:ascii="Times New Roman" w:hAnsi="Times New Roman"/>
          <w:sz w:val="24"/>
          <w:szCs w:val="24"/>
        </w:rPr>
        <w:t xml:space="preserve"> national committee composed of relevant authorities in Qatar. A Minimum Wage Committee was established and tasked with periodically reviewing the impact and application of the minimum wage of workers and domestic workers as well as a Wage Protection System to detect violations.</w:t>
      </w:r>
    </w:p>
    <w:p w14:paraId="25C39994" w14:textId="77777777" w:rsidR="00793F11" w:rsidRDefault="00000000">
      <w:pPr>
        <w:pStyle w:val="BodyA"/>
        <w:spacing w:after="0"/>
        <w:jc w:val="both"/>
      </w:pPr>
      <w:r>
        <w:rPr>
          <w:rStyle w:val="None"/>
          <w:rFonts w:ascii="Times New Roman" w:hAnsi="Times New Roman"/>
          <w:sz w:val="24"/>
          <w:szCs w:val="24"/>
        </w:rPr>
        <w:t xml:space="preserve">This non-discriminatory minimum wage </w:t>
      </w:r>
      <w:proofErr w:type="gramStart"/>
      <w:r>
        <w:rPr>
          <w:rStyle w:val="None"/>
          <w:rFonts w:ascii="Times New Roman" w:hAnsi="Times New Roman"/>
          <w:sz w:val="24"/>
          <w:szCs w:val="24"/>
        </w:rPr>
        <w:t>is considered to be</w:t>
      </w:r>
      <w:proofErr w:type="gramEnd"/>
      <w:r>
        <w:rPr>
          <w:rStyle w:val="None"/>
          <w:rFonts w:ascii="Times New Roman" w:hAnsi="Times New Roman"/>
          <w:sz w:val="24"/>
          <w:szCs w:val="24"/>
        </w:rPr>
        <w:t xml:space="preserve"> the first law of its kind in the GCC region.</w:t>
      </w:r>
    </w:p>
    <w:p w14:paraId="5BE781C7" w14:textId="77777777" w:rsidR="00793F11" w:rsidRDefault="00793F11">
      <w:pPr>
        <w:pStyle w:val="BodyA"/>
        <w:spacing w:after="0"/>
        <w:jc w:val="both"/>
      </w:pPr>
    </w:p>
    <w:p w14:paraId="5B6AA647" w14:textId="77777777" w:rsidR="00793F11" w:rsidRDefault="00000000">
      <w:pPr>
        <w:pStyle w:val="BodyA"/>
        <w:spacing w:after="0"/>
        <w:jc w:val="both"/>
      </w:pPr>
      <w:r>
        <w:rPr>
          <w:rStyle w:val="None"/>
          <w:rFonts w:ascii="Times New Roman" w:hAnsi="Times New Roman"/>
          <w:b/>
          <w:bCs/>
          <w:sz w:val="24"/>
          <w:szCs w:val="24"/>
        </w:rPr>
        <w:t>Contract substitution</w:t>
      </w:r>
    </w:p>
    <w:p w14:paraId="2579DCB8" w14:textId="77777777" w:rsidR="00793F11" w:rsidRDefault="00000000">
      <w:pPr>
        <w:pStyle w:val="BodyA"/>
        <w:spacing w:after="0"/>
        <w:jc w:val="both"/>
      </w:pPr>
      <w:r>
        <w:rPr>
          <w:rStyle w:val="None"/>
          <w:rFonts w:ascii="Times New Roman" w:hAnsi="Times New Roman"/>
          <w:sz w:val="24"/>
          <w:szCs w:val="24"/>
        </w:rPr>
        <w:t xml:space="preserve">Contract substitution is when workers sign contracts in their native language only to later discover that the Arabic versions of their contracts has </w:t>
      </w:r>
      <w:proofErr w:type="spellStart"/>
      <w:r>
        <w:rPr>
          <w:rStyle w:val="None"/>
          <w:rFonts w:ascii="Times New Roman" w:hAnsi="Times New Roman"/>
          <w:sz w:val="24"/>
          <w:szCs w:val="24"/>
        </w:rPr>
        <w:t>unfavourable</w:t>
      </w:r>
      <w:proofErr w:type="spellEnd"/>
      <w:r>
        <w:rPr>
          <w:rStyle w:val="None"/>
          <w:rFonts w:ascii="Times New Roman" w:hAnsi="Times New Roman"/>
          <w:sz w:val="24"/>
          <w:szCs w:val="24"/>
        </w:rPr>
        <w:t xml:space="preserve"> terms. This is a common practice affecting all migrant workers. In such cases, there is no recourse for workers since both the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Law and the domestic workers law state that the Arabic text is authoritative. However, the Ministry produced and distributed ‘Know Your Rights’ pamphlets in 12 languages and another for employers titled Guide to Employing Migrant Domestic Workers in Qatar in 2 languages. </w:t>
      </w:r>
    </w:p>
    <w:p w14:paraId="4F153A09" w14:textId="77777777" w:rsidR="00793F11" w:rsidRDefault="00793F11">
      <w:pPr>
        <w:pStyle w:val="BodyA"/>
        <w:spacing w:after="0"/>
        <w:jc w:val="both"/>
      </w:pPr>
    </w:p>
    <w:p w14:paraId="7C605823" w14:textId="77777777" w:rsidR="00793F11" w:rsidRDefault="00000000">
      <w:pPr>
        <w:pStyle w:val="BodyA"/>
        <w:spacing w:after="0"/>
        <w:jc w:val="both"/>
      </w:pPr>
      <w:r>
        <w:rPr>
          <w:rStyle w:val="None"/>
          <w:rFonts w:ascii="Times New Roman" w:hAnsi="Times New Roman"/>
          <w:sz w:val="24"/>
          <w:szCs w:val="24"/>
        </w:rPr>
        <w:t xml:space="preserve">The isolation of domestic workers still makes it impossible for many to even access the different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justice mechanisms that may be available to them in principle. The most vulnerable live in abject terror, reinforced by the threat of “absconding” charges and the reasonable fear that their abusers will use morality laws, which criminalize premarital sex, to accuse them of zina (consensual illicit sexual acts). According to the information received, while the national committee for combating trafficking in persons is planning to operate shelters for victims of trafficking, there is no government-run shelter for domestic workers in Qatar.</w:t>
      </w:r>
    </w:p>
    <w:p w14:paraId="172233FF" w14:textId="77777777" w:rsidR="00793F11" w:rsidRDefault="00793F11">
      <w:pPr>
        <w:pStyle w:val="BodyA"/>
        <w:spacing w:after="0"/>
      </w:pPr>
    </w:p>
    <w:p w14:paraId="16318C17" w14:textId="77777777" w:rsidR="00793F11" w:rsidRDefault="00000000">
      <w:pPr>
        <w:pStyle w:val="BodyA"/>
      </w:pPr>
      <w:r>
        <w:rPr>
          <w:rStyle w:val="None"/>
          <w:b/>
          <w:bCs/>
          <w:sz w:val="24"/>
          <w:szCs w:val="24"/>
        </w:rPr>
        <w:t>7.</w:t>
      </w:r>
      <w:r>
        <w:rPr>
          <w:rStyle w:val="None"/>
          <w:b/>
          <w:bCs/>
          <w:sz w:val="24"/>
          <w:szCs w:val="24"/>
        </w:rPr>
        <w:tab/>
        <w:t xml:space="preserve">Do </w:t>
      </w:r>
      <w:proofErr w:type="gramStart"/>
      <w:r>
        <w:rPr>
          <w:rStyle w:val="None"/>
          <w:b/>
          <w:bCs/>
          <w:sz w:val="24"/>
          <w:szCs w:val="24"/>
        </w:rPr>
        <w:t>particular groups</w:t>
      </w:r>
      <w:proofErr w:type="gramEnd"/>
      <w:r>
        <w:rPr>
          <w:rStyle w:val="None"/>
          <w:b/>
          <w:bCs/>
          <w:sz w:val="24"/>
          <w:szCs w:val="24"/>
        </w:rPr>
        <w:t xml:space="preserve"> of victims or potential victims of racial discrimination in practice enjoy rights and freedoms in Article 5? Looking for qualitative assessment and progress over time?</w:t>
      </w:r>
    </w:p>
    <w:p w14:paraId="05D808A7" w14:textId="77777777" w:rsidR="00793F11" w:rsidRDefault="00000000">
      <w:pPr>
        <w:pStyle w:val="BodyA"/>
        <w:jc w:val="both"/>
      </w:pPr>
      <w:r>
        <w:rPr>
          <w:rStyle w:val="None"/>
          <w:b/>
          <w:bCs/>
          <w:u w:color="FF0000"/>
        </w:rPr>
        <w:t xml:space="preserve">Detention and deportation </w:t>
      </w:r>
    </w:p>
    <w:p w14:paraId="4BD0AE48" w14:textId="77777777" w:rsidR="00793F11" w:rsidRDefault="00000000">
      <w:pPr>
        <w:pStyle w:val="BodyA"/>
        <w:jc w:val="both"/>
      </w:pPr>
      <w:r>
        <w:rPr>
          <w:rStyle w:val="None"/>
          <w:rFonts w:ascii="Times New Roman" w:hAnsi="Times New Roman"/>
          <w:sz w:val="24"/>
          <w:szCs w:val="24"/>
        </w:rPr>
        <w:t>The Ministerial Decision No. 95 in 2020 brought some much-needed reforms to Qatar’s Kafala system, its primary foreign worker sponsorship.</w:t>
      </w:r>
      <w:r>
        <w:t xml:space="preserve"> </w:t>
      </w:r>
    </w:p>
    <w:p w14:paraId="1FBAE22A" w14:textId="77777777" w:rsidR="00793F11" w:rsidRDefault="00000000">
      <w:pPr>
        <w:pStyle w:val="BodyA"/>
        <w:jc w:val="both"/>
      </w:pPr>
      <w:r>
        <w:rPr>
          <w:rStyle w:val="None"/>
          <w:rFonts w:ascii="Times New Roman" w:hAnsi="Times New Roman"/>
          <w:sz w:val="24"/>
          <w:szCs w:val="24"/>
        </w:rPr>
        <w:t>Prior to the above reforms, migrant workers in</w:t>
      </w:r>
      <w:r>
        <w:t xml:space="preserve"> </w:t>
      </w:r>
      <w:r>
        <w:rPr>
          <w:rStyle w:val="None"/>
          <w:rFonts w:ascii="Times New Roman" w:hAnsi="Times New Roman"/>
          <w:sz w:val="24"/>
          <w:szCs w:val="24"/>
        </w:rPr>
        <w:t xml:space="preserve">Qatar were subjected to Law No. 21 of 2015 which prohibited workers from leaving their employment prior to the fulfilment of their contracts; doing so is punishable by imprisonment (a minimum of 30 days and a maximum of three years) or a fine of no less than 20,000 Qatari riyals. The gravity of these penalties mean that employers can use </w:t>
      </w:r>
      <w:r>
        <w:rPr>
          <w:rStyle w:val="None"/>
          <w:rFonts w:ascii="Times New Roman" w:hAnsi="Times New Roman"/>
          <w:sz w:val="24"/>
          <w:szCs w:val="24"/>
        </w:rPr>
        <w:lastRenderedPageBreak/>
        <w:t>the threat of detention and deportation to force migrant workers to work in exploitative conditions, enduring a range of abuses, including non-payment or delayed payment of salaries, excessive workloads, unsafe and unhealthy working conditions, and severe psychological, physical and sexual abuse. The immense power employers wield is a significant barrier to migrant workers’ access to justice, undermines the rule of law, and fosters a culture of impunity.</w:t>
      </w:r>
    </w:p>
    <w:p w14:paraId="5F832F36" w14:textId="77777777" w:rsidR="00793F11" w:rsidRDefault="00000000">
      <w:pPr>
        <w:pStyle w:val="BodyA"/>
        <w:jc w:val="both"/>
      </w:pPr>
      <w:r>
        <w:rPr>
          <w:rStyle w:val="None"/>
          <w:rFonts w:ascii="Times New Roman" w:hAnsi="Times New Roman"/>
          <w:sz w:val="24"/>
          <w:szCs w:val="24"/>
        </w:rPr>
        <w:t xml:space="preserve">Law enforcement officers can no longer detain or deport migrant workers for changing jobs without their employer’s permission and charge them with absconding.  There has as a result been an increase in labor mobility. Workers </w:t>
      </w:r>
      <w:proofErr w:type="gramStart"/>
      <w:r>
        <w:rPr>
          <w:rStyle w:val="None"/>
          <w:rFonts w:ascii="Times New Roman" w:hAnsi="Times New Roman"/>
          <w:sz w:val="24"/>
          <w:szCs w:val="24"/>
        </w:rPr>
        <w:t>have to</w:t>
      </w:r>
      <w:proofErr w:type="gramEnd"/>
      <w:r>
        <w:rPr>
          <w:rStyle w:val="None"/>
          <w:rFonts w:ascii="Times New Roman" w:hAnsi="Times New Roman"/>
          <w:sz w:val="24"/>
          <w:szCs w:val="24"/>
        </w:rPr>
        <w:t xml:space="preserve"> submit an application to change employers to the Ministry of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and over 348,450 applications to change jobs have been approved between 1 November 2020 and 31 August 2022. However, over 183,000 applications were rejected in the same time period, for different reasons.</w:t>
      </w:r>
    </w:p>
    <w:p w14:paraId="46B70F2C" w14:textId="77777777" w:rsidR="00793F11" w:rsidRDefault="00000000">
      <w:pPr>
        <w:pStyle w:val="BodyA"/>
        <w:jc w:val="both"/>
      </w:pPr>
      <w:r>
        <w:rPr>
          <w:rStyle w:val="None"/>
          <w:rFonts w:ascii="Times New Roman" w:hAnsi="Times New Roman"/>
          <w:sz w:val="24"/>
          <w:szCs w:val="24"/>
        </w:rPr>
        <w:t xml:space="preserve">The situation of undocumented migrant workers is more unclear. It is reported that such workers are also at risk of detention and deportation when undocumented. </w:t>
      </w:r>
      <w:bookmarkStart w:id="6" w:name="_Hlk162188067"/>
      <w:r>
        <w:rPr>
          <w:rStyle w:val="None"/>
          <w:rFonts w:ascii="Times New Roman" w:hAnsi="Times New Roman"/>
          <w:sz w:val="24"/>
          <w:szCs w:val="24"/>
        </w:rPr>
        <w:t xml:space="preserve">Investigations with respect to their immigration status are conducted by immigration authorities, not the labor inspectorate, </w:t>
      </w:r>
      <w:bookmarkEnd w:id="6"/>
      <w:r>
        <w:rPr>
          <w:rStyle w:val="None"/>
          <w:rFonts w:ascii="Times New Roman" w:hAnsi="Times New Roman"/>
          <w:sz w:val="24"/>
          <w:szCs w:val="24"/>
        </w:rPr>
        <w:t>although instances of collaboration between labor inspectorates and immigration enforcement authorities have been recorded</w:t>
      </w:r>
      <w:r>
        <w:rPr>
          <w:rStyle w:val="None"/>
          <w:rFonts w:ascii="Times New Roman" w:eastAsia="Times New Roman" w:hAnsi="Times New Roman" w:cs="Times New Roman"/>
          <w:sz w:val="24"/>
          <w:szCs w:val="24"/>
          <w:vertAlign w:val="superscript"/>
        </w:rPr>
        <w:footnoteReference w:id="34"/>
      </w:r>
      <w:r>
        <w:rPr>
          <w:rStyle w:val="None"/>
          <w:rFonts w:ascii="Times New Roman" w:hAnsi="Times New Roman"/>
          <w:sz w:val="24"/>
          <w:szCs w:val="24"/>
        </w:rPr>
        <w:t>.</w:t>
      </w:r>
    </w:p>
    <w:p w14:paraId="77CDDBAE" w14:textId="77777777" w:rsidR="00793F11" w:rsidRDefault="00793F11">
      <w:pPr>
        <w:pStyle w:val="BodyA"/>
        <w:jc w:val="both"/>
      </w:pPr>
    </w:p>
    <w:p w14:paraId="2F71941A" w14:textId="77777777" w:rsidR="00793F11" w:rsidRDefault="00000000">
      <w:pPr>
        <w:pStyle w:val="BodyA"/>
        <w:jc w:val="both"/>
      </w:pPr>
      <w:r>
        <w:rPr>
          <w:rStyle w:val="None"/>
          <w:rFonts w:ascii="Times New Roman" w:hAnsi="Times New Roman"/>
          <w:b/>
          <w:bCs/>
          <w:sz w:val="24"/>
          <w:szCs w:val="24"/>
        </w:rPr>
        <w:t>Criminalization of extramarital relationships</w:t>
      </w:r>
    </w:p>
    <w:p w14:paraId="334B86E2" w14:textId="77777777" w:rsidR="00793F11" w:rsidRDefault="00000000">
      <w:pPr>
        <w:pStyle w:val="BodyA"/>
        <w:jc w:val="both"/>
      </w:pPr>
      <w:r>
        <w:rPr>
          <w:rStyle w:val="None"/>
          <w:rFonts w:ascii="Times New Roman" w:hAnsi="Times New Roman"/>
          <w:sz w:val="24"/>
          <w:szCs w:val="24"/>
        </w:rPr>
        <w:t>Articles 281 and 282 of the Penal Code criminalize extramarital relationships. Domestic workers, including those reporting sexual violence, are particularly affected by such criminalization. Because Islamic legal tradition treats any intimate relations outside of marriage as a crime, the specific circumstances of unmarried women’s pregnancies are deemed irrelevant. Women, including migrant women, who become pregnant outside of marriage are subject to imprisonment both during and after their pregnancies.</w:t>
      </w:r>
    </w:p>
    <w:p w14:paraId="738252FB" w14:textId="77777777" w:rsidR="00793F11" w:rsidRDefault="00000000">
      <w:pPr>
        <w:pStyle w:val="BodyA"/>
        <w:spacing w:after="0"/>
        <w:jc w:val="both"/>
      </w:pPr>
      <w:bookmarkStart w:id="7" w:name="_headingh.2et92p0"/>
      <w:bookmarkEnd w:id="7"/>
      <w:r>
        <w:rPr>
          <w:rStyle w:val="None"/>
          <w:rFonts w:ascii="Times New Roman" w:hAnsi="Times New Roman"/>
          <w:b/>
          <w:bCs/>
          <w:sz w:val="24"/>
          <w:szCs w:val="24"/>
        </w:rPr>
        <w:t xml:space="preserve">Access to Health and medical facilities </w:t>
      </w:r>
    </w:p>
    <w:p w14:paraId="69B660F1" w14:textId="77777777" w:rsidR="00793F11" w:rsidRDefault="00793F11">
      <w:pPr>
        <w:pStyle w:val="BodyA"/>
        <w:spacing w:after="0"/>
        <w:jc w:val="both"/>
      </w:pPr>
    </w:p>
    <w:p w14:paraId="14B1DDD6" w14:textId="77777777" w:rsidR="00793F11" w:rsidRDefault="00000000">
      <w:pPr>
        <w:pStyle w:val="BodyA"/>
        <w:jc w:val="both"/>
      </w:pPr>
      <w:r>
        <w:rPr>
          <w:rStyle w:val="None"/>
          <w:rFonts w:ascii="Times New Roman" w:hAnsi="Times New Roman"/>
          <w:sz w:val="24"/>
          <w:szCs w:val="24"/>
        </w:rPr>
        <w:t>Healthcare standards in Qatar are generally high. Its health care is dominated primarily by the public sector. Hamad Medical Corporation (HMC) and Primary Health Care Service (PHCC) are the main health service providers. While the HMC charges a minimum fee for visiting the doctors, the PHCC provides this health service free of charge.</w:t>
      </w:r>
      <w:r>
        <w:rPr>
          <w:rStyle w:val="None"/>
          <w:rFonts w:ascii="Times New Roman" w:eastAsia="Times New Roman" w:hAnsi="Times New Roman" w:cs="Times New Roman"/>
          <w:sz w:val="24"/>
          <w:szCs w:val="24"/>
          <w:vertAlign w:val="superscript"/>
        </w:rPr>
        <w:footnoteReference w:id="35"/>
      </w:r>
      <w:r>
        <w:rPr>
          <w:rStyle w:val="None"/>
          <w:rFonts w:ascii="Times New Roman" w:hAnsi="Times New Roman"/>
          <w:sz w:val="24"/>
          <w:szCs w:val="24"/>
        </w:rPr>
        <w:t xml:space="preserve"> It is reported that</w:t>
      </w:r>
      <w:r>
        <w:t xml:space="preserve"> Q</w:t>
      </w:r>
      <w:r>
        <w:rPr>
          <w:rStyle w:val="None"/>
          <w:rFonts w:ascii="Times New Roman" w:hAnsi="Times New Roman"/>
          <w:sz w:val="24"/>
          <w:szCs w:val="24"/>
        </w:rPr>
        <w:t xml:space="preserve">atar stood out during the pandemic by providing free health care for those infected by the virus according to the best international standards. Treatment to every resident, including those who had no valid work permits and health cards was provided in congruence with international instruments, namely International Convention on the Protection of the Rights of All Migrant Workers and Members of </w:t>
      </w:r>
      <w:r>
        <w:rPr>
          <w:rStyle w:val="None"/>
          <w:rFonts w:ascii="Times New Roman" w:hAnsi="Times New Roman"/>
          <w:sz w:val="24"/>
          <w:szCs w:val="24"/>
        </w:rPr>
        <w:lastRenderedPageBreak/>
        <w:t>Their Families, 1990; Migrant Workers (Supplementary Provision) Convention, 1975; and ILO’s Decent Work Agenda, 2008.</w:t>
      </w:r>
    </w:p>
    <w:p w14:paraId="06981DE2" w14:textId="77777777" w:rsidR="00793F11" w:rsidRDefault="00000000">
      <w:pPr>
        <w:pStyle w:val="BodyA"/>
        <w:spacing w:after="0"/>
        <w:jc w:val="both"/>
      </w:pPr>
      <w:r>
        <w:rPr>
          <w:rStyle w:val="None"/>
          <w:rFonts w:ascii="Times New Roman" w:hAnsi="Times New Roman"/>
          <w:sz w:val="24"/>
          <w:szCs w:val="24"/>
        </w:rPr>
        <w:t>However, other reports note that low-income workers experience serious barriers to accessing health care, which is a human right. In some cases, private employers fail to secure the health card that employees require to access public health-care facilities. Some low-income workers reported that even when they are in possession of the requisite health cards, lengthy queues for service are prohibitive, requiring them to arrive at the respective hospital as early as 2 a.m. to join the lines if they expect to receive treatment by 8 or 9 a.m., in advance of work hours. They also reported encountering racially and ethnically discriminatory treatment in the provision of health care, including on account of racial, ethnic and national stereotypes.</w:t>
      </w:r>
    </w:p>
    <w:p w14:paraId="14BF10FD" w14:textId="77777777" w:rsidR="00793F11" w:rsidRDefault="00793F11">
      <w:pPr>
        <w:pStyle w:val="BodyA"/>
        <w:spacing w:after="0"/>
        <w:jc w:val="both"/>
      </w:pPr>
    </w:p>
    <w:p w14:paraId="00FB81FF" w14:textId="77777777" w:rsidR="00793F11" w:rsidRDefault="00000000">
      <w:pPr>
        <w:pStyle w:val="BodyA"/>
        <w:spacing w:after="0"/>
        <w:jc w:val="both"/>
      </w:pPr>
      <w:r>
        <w:rPr>
          <w:rStyle w:val="None"/>
          <w:rFonts w:ascii="Times New Roman" w:hAnsi="Times New Roman"/>
          <w:b/>
          <w:bCs/>
          <w:sz w:val="24"/>
          <w:szCs w:val="24"/>
        </w:rPr>
        <w:t>Health Rights and Climate Change</w:t>
      </w:r>
    </w:p>
    <w:p w14:paraId="4BB6BD12" w14:textId="77777777" w:rsidR="00793F11" w:rsidRDefault="00000000">
      <w:pPr>
        <w:pStyle w:val="BodyA"/>
        <w:jc w:val="both"/>
      </w:pPr>
      <w:r>
        <w:rPr>
          <w:rStyle w:val="None"/>
          <w:rFonts w:ascii="Times New Roman" w:hAnsi="Times New Roman"/>
          <w:sz w:val="24"/>
          <w:szCs w:val="24"/>
        </w:rPr>
        <w:t>Climate conditions in Qatar expose numerous laborers’ including those in the construction sector, to heat strain and put them at high risk of heat-related illness or death. The deaths of hundreds of young men between the ages of 25 and 35 years in Qatar is attributed to cardiovascular causes or “natural death” by Qatari authorities.</w:t>
      </w:r>
      <w:r>
        <w:rPr>
          <w:rStyle w:val="None"/>
          <w:rFonts w:ascii="Times New Roman" w:eastAsia="Times New Roman" w:hAnsi="Times New Roman" w:cs="Times New Roman"/>
          <w:sz w:val="24"/>
          <w:szCs w:val="24"/>
          <w:vertAlign w:val="superscript"/>
        </w:rPr>
        <w:footnoteReference w:id="36"/>
      </w:r>
      <w:r>
        <w:rPr>
          <w:rStyle w:val="None"/>
          <w:rFonts w:ascii="Times New Roman" w:hAnsi="Times New Roman"/>
          <w:sz w:val="24"/>
          <w:szCs w:val="24"/>
        </w:rPr>
        <w:t xml:space="preserve"> However, multiple research studies, including research published in Cardiology in July 2019, reported a strong correlation between average monthly afternoon heat levels and cardiovascular mortality. The group of climatologists and cardiologists reviewed mortality data of 1,354 Nepali migrant workers for the period 2009 and 2017, retrieved from government institutions in Nepal. They concluded that many deaths that were attributed to vague causes, such as cardiac arrest, were most likely due to severe heat stress. </w:t>
      </w:r>
    </w:p>
    <w:p w14:paraId="3C80468A" w14:textId="77777777" w:rsidR="00793F11" w:rsidRDefault="00000000">
      <w:pPr>
        <w:pStyle w:val="BodyA"/>
        <w:jc w:val="both"/>
      </w:pPr>
      <w:r>
        <w:t>O</w:t>
      </w:r>
      <w:r>
        <w:rPr>
          <w:rStyle w:val="None"/>
          <w:rFonts w:ascii="Times New Roman" w:hAnsi="Times New Roman"/>
          <w:sz w:val="24"/>
          <w:szCs w:val="24"/>
        </w:rPr>
        <w:t>n 26 May, a Ministerial Decree (17) of 2021, extended the legal working hours in outdoor spaces from 1 June to 15 September, with work not being allowed between 10:00 to 15:30</w:t>
      </w:r>
      <w:r>
        <w:rPr>
          <w:rStyle w:val="None"/>
          <w:rFonts w:ascii="Times New Roman" w:eastAsia="Times New Roman" w:hAnsi="Times New Roman" w:cs="Times New Roman"/>
          <w:sz w:val="24"/>
          <w:szCs w:val="24"/>
          <w:vertAlign w:val="superscript"/>
        </w:rPr>
        <w:footnoteReference w:id="37"/>
      </w:r>
      <w:r>
        <w:rPr>
          <w:rStyle w:val="None"/>
          <w:rFonts w:ascii="Times New Roman" w:hAnsi="Times New Roman"/>
          <w:sz w:val="24"/>
          <w:szCs w:val="24"/>
        </w:rPr>
        <w:t>.  Prior to this, the prohibited outdoor hours in unshaded outdoor areas between 11:30 a.m. and 3 p.m. from mid-June to August. The 2021 legislation also extends the summer working regulations by six weeks, providing workers with greater protection from heat stress. It further states that workers must have access to heat stress training, access to personal protection equipment, and annual health checks. Similarly, all work must stop if the wet-bulb globe temperature (WBGT) rises beyond 32.1, taking into consideration more than ambient temperature.</w:t>
      </w:r>
    </w:p>
    <w:p w14:paraId="201EE9C3" w14:textId="77777777" w:rsidR="00793F11" w:rsidRDefault="00000000">
      <w:pPr>
        <w:pStyle w:val="BodyA"/>
        <w:jc w:val="both"/>
      </w:pPr>
      <w:r>
        <w:rPr>
          <w:rStyle w:val="None"/>
          <w:rFonts w:ascii="Times New Roman" w:hAnsi="Times New Roman"/>
          <w:sz w:val="24"/>
          <w:szCs w:val="24"/>
        </w:rPr>
        <w:t xml:space="preserve">In 2013, the Government also commissioned an international firm to review migrant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issues. The firm recommended that the Government reform laws to require autopsies for “unexpected sudden deaths”, and that it conduct an independent investigation to examine the cause of death and ascertain the reason for the “seemingly high” number of deaths blamed on cardiac arrest. To date, the Government has not implemented these measures.</w:t>
      </w:r>
    </w:p>
    <w:p w14:paraId="5CFA9835" w14:textId="77777777" w:rsidR="00793F11" w:rsidRDefault="00000000">
      <w:pPr>
        <w:pStyle w:val="BodyA"/>
        <w:jc w:val="both"/>
      </w:pPr>
      <w:r>
        <w:rPr>
          <w:rStyle w:val="None"/>
          <w:rFonts w:ascii="Times New Roman" w:hAnsi="Times New Roman"/>
          <w:b/>
          <w:bCs/>
          <w:sz w:val="24"/>
          <w:szCs w:val="24"/>
        </w:rPr>
        <w:t>Changes to the Kafala system?</w:t>
      </w:r>
    </w:p>
    <w:p w14:paraId="14AE1634" w14:textId="77777777" w:rsidR="00793F11" w:rsidRDefault="00000000">
      <w:pPr>
        <w:pStyle w:val="Body"/>
        <w:jc w:val="both"/>
      </w:pPr>
      <w:r>
        <w:rPr>
          <w:rStyle w:val="None"/>
          <w:color w:val="221F1F"/>
          <w:u w:color="221F1F"/>
        </w:rPr>
        <w:lastRenderedPageBreak/>
        <w:t xml:space="preserve">Around September 2020, Qatar introduced changes to its Kafala system which enabled all workers in all sectors, including domestic work, to change employers by giving the appropriate notice, which could be one or two months. Qatar also abolished the </w:t>
      </w:r>
      <w:r>
        <w:rPr>
          <w:rStyle w:val="None"/>
          <w:u w:color="FF0000"/>
        </w:rPr>
        <w:t>exit permit requirement</w:t>
      </w:r>
      <w:r>
        <w:rPr>
          <w:rStyle w:val="None"/>
          <w:u w:color="221F1F"/>
        </w:rPr>
        <w:t>,</w:t>
      </w:r>
      <w:r>
        <w:rPr>
          <w:rStyle w:val="None"/>
          <w:color w:val="221F1F"/>
          <w:u w:color="221F1F"/>
        </w:rPr>
        <w:t xml:space="preserve"> which allowed employers to prevent workers from leaving the country. This reform goes further than in countries like Saudi Arabia and Bahrain, where it is only possible to change employer without the current employer’s permission after one year, a rule which itself does not apply to domestic workers.</w:t>
      </w:r>
      <w:r>
        <w:rPr>
          <w:rStyle w:val="None"/>
          <w:color w:val="221F1F"/>
          <w:u w:color="221F1F"/>
          <w:vertAlign w:val="superscript"/>
        </w:rPr>
        <w:footnoteReference w:id="38"/>
      </w:r>
    </w:p>
    <w:p w14:paraId="75968069" w14:textId="77777777" w:rsidR="00793F11" w:rsidRDefault="00793F11">
      <w:pPr>
        <w:pStyle w:val="Body"/>
        <w:jc w:val="both"/>
      </w:pPr>
    </w:p>
    <w:p w14:paraId="29C92CD7" w14:textId="77777777" w:rsidR="00793F11" w:rsidRDefault="00000000">
      <w:pPr>
        <w:pStyle w:val="BodyA"/>
        <w:jc w:val="both"/>
      </w:pPr>
      <w:r>
        <w:rPr>
          <w:rStyle w:val="None"/>
          <w:rFonts w:ascii="Times New Roman" w:hAnsi="Times New Roman"/>
          <w:sz w:val="24"/>
          <w:szCs w:val="24"/>
        </w:rPr>
        <w:t>However, there is a problem of implementation and lack of awareness of the law reforms as well as general resistance from the private sector.</w:t>
      </w:r>
      <w:r>
        <w:rPr>
          <w:rStyle w:val="None"/>
          <w:rFonts w:ascii="Times New Roman" w:eastAsia="Times New Roman" w:hAnsi="Times New Roman" w:cs="Times New Roman"/>
          <w:sz w:val="24"/>
          <w:szCs w:val="24"/>
          <w:vertAlign w:val="superscript"/>
        </w:rPr>
        <w:footnoteReference w:id="39"/>
      </w:r>
    </w:p>
    <w:p w14:paraId="25C9EEC7" w14:textId="77777777" w:rsidR="00793F11" w:rsidRDefault="00793F11">
      <w:pPr>
        <w:pStyle w:val="BodyA"/>
        <w:jc w:val="both"/>
      </w:pPr>
    </w:p>
    <w:p w14:paraId="4EDA0463" w14:textId="77777777" w:rsidR="00793F11" w:rsidRDefault="00793F11">
      <w:pPr>
        <w:pStyle w:val="BodyA"/>
        <w:ind w:left="1080"/>
      </w:pPr>
    </w:p>
    <w:p w14:paraId="1CE7175E" w14:textId="77777777" w:rsidR="00793F11" w:rsidRDefault="00000000">
      <w:pPr>
        <w:pStyle w:val="BodyA"/>
        <w:ind w:left="1080"/>
      </w:pPr>
      <w:r>
        <w:rPr>
          <w:rStyle w:val="None"/>
          <w:rFonts w:ascii="Times New Roman" w:hAnsi="Times New Roman"/>
          <w:b/>
          <w:bCs/>
          <w:sz w:val="24"/>
          <w:szCs w:val="24"/>
        </w:rPr>
        <w:t>Recommendations</w:t>
      </w:r>
    </w:p>
    <w:p w14:paraId="68783CF9" w14:textId="77777777" w:rsidR="00793F11" w:rsidRDefault="00000000">
      <w:pPr>
        <w:pStyle w:val="BodyA"/>
        <w:numPr>
          <w:ilvl w:val="3"/>
          <w:numId w:val="6"/>
        </w:numPr>
        <w:jc w:val="both"/>
        <w:rPr>
          <w:rFonts w:ascii="Times New Roman" w:hAnsi="Times New Roman"/>
          <w:sz w:val="24"/>
          <w:szCs w:val="24"/>
        </w:rPr>
      </w:pPr>
      <w:r>
        <w:rPr>
          <w:rFonts w:ascii="Times New Roman" w:hAnsi="Times New Roman"/>
          <w:sz w:val="24"/>
          <w:szCs w:val="24"/>
        </w:rPr>
        <w:t xml:space="preserve">Adopt a national action plan addressing racial discrimination. This would provide a framework for Qatar to take effective measures to review govt, national, local policies, and to amend, rescind or nullify laws, regulations that have the effect of creating or perpetuating racial discrimination wherever it occurs. </w:t>
      </w:r>
    </w:p>
    <w:p w14:paraId="67C815C4" w14:textId="77777777" w:rsidR="00793F11" w:rsidRDefault="00000000">
      <w:pPr>
        <w:pStyle w:val="BodyA"/>
        <w:numPr>
          <w:ilvl w:val="3"/>
          <w:numId w:val="6"/>
        </w:numPr>
        <w:jc w:val="both"/>
        <w:rPr>
          <w:rFonts w:ascii="Times New Roman" w:hAnsi="Times New Roman"/>
          <w:sz w:val="24"/>
          <w:szCs w:val="24"/>
        </w:rPr>
      </w:pPr>
      <w:r>
        <w:rPr>
          <w:rFonts w:ascii="Times New Roman" w:hAnsi="Times New Roman"/>
          <w:sz w:val="24"/>
          <w:szCs w:val="24"/>
        </w:rPr>
        <w:t xml:space="preserve">Take clear, measurable steps to </w:t>
      </w:r>
      <w:proofErr w:type="gramStart"/>
      <w:r>
        <w:rPr>
          <w:rFonts w:ascii="Times New Roman" w:hAnsi="Times New Roman"/>
          <w:sz w:val="24"/>
          <w:szCs w:val="24"/>
        </w:rPr>
        <w:t>determine  the</w:t>
      </w:r>
      <w:proofErr w:type="gramEnd"/>
      <w:r>
        <w:rPr>
          <w:rFonts w:ascii="Times New Roman" w:hAnsi="Times New Roman"/>
          <w:sz w:val="24"/>
          <w:szCs w:val="24"/>
        </w:rPr>
        <w:t xml:space="preserve"> extent of nationality-based discrimination and prohibit it.</w:t>
      </w:r>
    </w:p>
    <w:p w14:paraId="01F7DCF8" w14:textId="77777777" w:rsidR="00793F11" w:rsidRDefault="00000000">
      <w:pPr>
        <w:pStyle w:val="BodyA"/>
        <w:numPr>
          <w:ilvl w:val="3"/>
          <w:numId w:val="6"/>
        </w:numPr>
        <w:jc w:val="both"/>
        <w:rPr>
          <w:rFonts w:ascii="Times New Roman" w:hAnsi="Times New Roman"/>
          <w:sz w:val="24"/>
          <w:szCs w:val="24"/>
        </w:rPr>
      </w:pPr>
      <w:r>
        <w:rPr>
          <w:rFonts w:ascii="Times New Roman" w:hAnsi="Times New Roman"/>
          <w:sz w:val="24"/>
          <w:szCs w:val="24"/>
        </w:rPr>
        <w:t>Ensure the effective independence of the National Human Rights Committee through provision of sufficient human and financial resources.</w:t>
      </w:r>
    </w:p>
    <w:p w14:paraId="1CE4C4A0" w14:textId="77777777" w:rsidR="00793F11" w:rsidRDefault="00000000">
      <w:pPr>
        <w:pStyle w:val="BodyA"/>
        <w:numPr>
          <w:ilvl w:val="3"/>
          <w:numId w:val="6"/>
        </w:numPr>
        <w:jc w:val="both"/>
        <w:rPr>
          <w:rFonts w:ascii="Times New Roman" w:hAnsi="Times New Roman"/>
          <w:sz w:val="24"/>
          <w:szCs w:val="24"/>
        </w:rPr>
      </w:pPr>
      <w:r>
        <w:rPr>
          <w:rFonts w:ascii="Times New Roman" w:hAnsi="Times New Roman"/>
          <w:sz w:val="24"/>
          <w:szCs w:val="24"/>
        </w:rPr>
        <w:t>Enact special measures targeted to achieve and protect racial equality throughout the public and private sphere.</w:t>
      </w:r>
    </w:p>
    <w:p w14:paraId="0F580041" w14:textId="77777777" w:rsidR="00793F11" w:rsidRDefault="00000000">
      <w:pPr>
        <w:pStyle w:val="BodyA"/>
        <w:numPr>
          <w:ilvl w:val="3"/>
          <w:numId w:val="6"/>
        </w:numPr>
        <w:jc w:val="both"/>
        <w:rPr>
          <w:rFonts w:ascii="Times New Roman" w:hAnsi="Times New Roman"/>
          <w:sz w:val="24"/>
          <w:szCs w:val="24"/>
        </w:rPr>
      </w:pPr>
      <w:r>
        <w:rPr>
          <w:rFonts w:ascii="Times New Roman" w:hAnsi="Times New Roman"/>
          <w:sz w:val="24"/>
          <w:szCs w:val="24"/>
        </w:rPr>
        <w:t>Provide migrant workers access to legal aid, shelters and health and rehabilitation services.</w:t>
      </w:r>
    </w:p>
    <w:p w14:paraId="3E0E64BA" w14:textId="77777777" w:rsidR="00793F11" w:rsidRDefault="00000000">
      <w:pPr>
        <w:pStyle w:val="BodyA"/>
        <w:numPr>
          <w:ilvl w:val="3"/>
          <w:numId w:val="6"/>
        </w:numPr>
        <w:jc w:val="both"/>
        <w:rPr>
          <w:rFonts w:ascii="Times New Roman" w:hAnsi="Times New Roman"/>
          <w:sz w:val="24"/>
          <w:szCs w:val="24"/>
        </w:rPr>
      </w:pPr>
      <w:r>
        <w:rPr>
          <w:rFonts w:ascii="Times New Roman" w:hAnsi="Times New Roman"/>
          <w:sz w:val="24"/>
          <w:szCs w:val="24"/>
        </w:rPr>
        <w:t>Educational and media campaigns to educate about protected groups and respect for human rights.</w:t>
      </w:r>
    </w:p>
    <w:p w14:paraId="493B065E" w14:textId="77777777" w:rsidR="00793F11" w:rsidRDefault="00000000">
      <w:pPr>
        <w:pStyle w:val="BodyA"/>
        <w:numPr>
          <w:ilvl w:val="3"/>
          <w:numId w:val="6"/>
        </w:numPr>
        <w:jc w:val="both"/>
        <w:rPr>
          <w:rFonts w:ascii="Times New Roman" w:hAnsi="Times New Roman"/>
          <w:sz w:val="24"/>
          <w:szCs w:val="24"/>
        </w:rPr>
      </w:pPr>
      <w:r>
        <w:rPr>
          <w:rFonts w:ascii="Times New Roman" w:hAnsi="Times New Roman"/>
          <w:sz w:val="24"/>
          <w:szCs w:val="24"/>
        </w:rPr>
        <w:t>Countries of origin that have overseas employment policies without national employment policies is a continuous problematic disconnect.</w:t>
      </w:r>
    </w:p>
    <w:p w14:paraId="787012F8" w14:textId="77777777" w:rsidR="00793F11" w:rsidRDefault="00000000">
      <w:pPr>
        <w:pStyle w:val="BodyA"/>
        <w:numPr>
          <w:ilvl w:val="3"/>
          <w:numId w:val="6"/>
        </w:numPr>
        <w:jc w:val="both"/>
        <w:rPr>
          <w:rFonts w:ascii="Times New Roman" w:hAnsi="Times New Roman"/>
          <w:sz w:val="24"/>
          <w:szCs w:val="24"/>
        </w:rPr>
      </w:pPr>
      <w:r>
        <w:rPr>
          <w:rFonts w:ascii="Times New Roman" w:hAnsi="Times New Roman"/>
          <w:sz w:val="24"/>
          <w:szCs w:val="24"/>
        </w:rPr>
        <w:t>The government and larger Qatari-based companies should initiate a widespread campaign to cultivate a formal network of vendors and suppliers engaged in best practices, rewarding businesses across the migration supply chain doing their utmost to protect the rights and welfare of workers.</w:t>
      </w:r>
    </w:p>
    <w:p w14:paraId="7E94B797" w14:textId="77777777" w:rsidR="00793F11" w:rsidRDefault="00000000">
      <w:pPr>
        <w:pStyle w:val="BodyA"/>
        <w:numPr>
          <w:ilvl w:val="3"/>
          <w:numId w:val="6"/>
        </w:numPr>
        <w:jc w:val="both"/>
        <w:rPr>
          <w:rFonts w:ascii="Times New Roman" w:hAnsi="Times New Roman"/>
          <w:sz w:val="24"/>
          <w:szCs w:val="24"/>
        </w:rPr>
      </w:pPr>
      <w:r>
        <w:rPr>
          <w:rFonts w:ascii="Times New Roman" w:hAnsi="Times New Roman"/>
          <w:sz w:val="24"/>
          <w:szCs w:val="24"/>
        </w:rPr>
        <w:lastRenderedPageBreak/>
        <w:t>Clarify who is penalized where Employers fail to renew employees’ residency permits because the Kafala system whilst slightly revised is still the legal system.</w:t>
      </w:r>
    </w:p>
    <w:p w14:paraId="2A5413AB" w14:textId="77777777" w:rsidR="00793F11" w:rsidRDefault="00000000">
      <w:pPr>
        <w:pStyle w:val="BodyA"/>
        <w:numPr>
          <w:ilvl w:val="3"/>
          <w:numId w:val="6"/>
        </w:numPr>
        <w:jc w:val="both"/>
        <w:rPr>
          <w:rFonts w:ascii="Times New Roman" w:hAnsi="Times New Roman"/>
          <w:sz w:val="24"/>
          <w:szCs w:val="24"/>
        </w:rPr>
      </w:pPr>
      <w:r>
        <w:rPr>
          <w:rFonts w:ascii="Times New Roman" w:hAnsi="Times New Roman"/>
          <w:sz w:val="24"/>
          <w:szCs w:val="24"/>
        </w:rPr>
        <w:t>Enhanced collaboration of investigations with respect to migrant workers immigration status by immigration authorities and the labor inspectorate.</w:t>
      </w:r>
    </w:p>
    <w:sectPr w:rsidR="00793F11">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D16EE" w14:textId="77777777" w:rsidR="007859AC" w:rsidRDefault="007859AC">
      <w:r>
        <w:separator/>
      </w:r>
    </w:p>
  </w:endnote>
  <w:endnote w:type="continuationSeparator" w:id="0">
    <w:p w14:paraId="49E5E3AC" w14:textId="77777777" w:rsidR="007859AC" w:rsidRDefault="00785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400A0" w14:textId="77777777" w:rsidR="00793F11" w:rsidRDefault="00000000">
    <w:pPr>
      <w:pStyle w:val="Footer"/>
      <w:tabs>
        <w:tab w:val="clear" w:pos="9360"/>
        <w:tab w:val="right" w:pos="9340"/>
      </w:tabs>
      <w:jc w:val="center"/>
    </w:pPr>
    <w:r>
      <w:fldChar w:fldCharType="begin"/>
    </w:r>
    <w:r>
      <w:instrText xml:space="preserve"> PAGE </w:instrText>
    </w:r>
    <w:r>
      <w:fldChar w:fldCharType="separate"/>
    </w:r>
    <w:r>
      <w:t>16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9B34B" w14:textId="77777777" w:rsidR="007859AC" w:rsidRDefault="007859AC">
      <w:r>
        <w:separator/>
      </w:r>
    </w:p>
  </w:footnote>
  <w:footnote w:type="continuationSeparator" w:id="0">
    <w:p w14:paraId="0C794E54" w14:textId="77777777" w:rsidR="007859AC" w:rsidRDefault="007859AC">
      <w:r>
        <w:continuationSeparator/>
      </w:r>
    </w:p>
  </w:footnote>
  <w:footnote w:type="continuationNotice" w:id="1">
    <w:p w14:paraId="4190B37D" w14:textId="77777777" w:rsidR="007859AC" w:rsidRDefault="007859AC"/>
  </w:footnote>
  <w:footnote w:id="2">
    <w:p w14:paraId="5B6594F3" w14:textId="77777777" w:rsidR="00793F11" w:rsidRDefault="00000000">
      <w:pPr>
        <w:pStyle w:val="FootnoteText"/>
        <w:jc w:val="both"/>
      </w:pPr>
      <w:r>
        <w:rPr>
          <w:sz w:val="24"/>
          <w:szCs w:val="24"/>
          <w:vertAlign w:val="superscript"/>
        </w:rPr>
        <w:footnoteRef/>
      </w:r>
      <w:r>
        <w:t xml:space="preserve"> Amnesty International, Qatar finally joins two key human rights treaties – but what does it really mean for migrant workers? (June 13, 2018) </w:t>
      </w:r>
      <w:hyperlink r:id="rId1" w:history="1">
        <w:r>
          <w:rPr>
            <w:rStyle w:val="Hyperlink0"/>
          </w:rPr>
          <w:t>https://www.amnesty.org/en/latest/news/2018/06/qatar-finally-joins-two-key-human-rights-treaties-but-what-does-it-really-mean-for-migrant-workers/#:~:text=By%20ratifying%20the%20International%20Covenant,everybody%20within%20its%20territory%2C%20without</w:t>
        </w:r>
      </w:hyperlink>
      <w:r>
        <w:t xml:space="preserve"> </w:t>
      </w:r>
    </w:p>
  </w:footnote>
  <w:footnote w:id="3">
    <w:p w14:paraId="63100F88" w14:textId="77777777" w:rsidR="00793F11" w:rsidRDefault="00000000">
      <w:pPr>
        <w:pStyle w:val="FootnoteText"/>
      </w:pPr>
      <w:r>
        <w:rPr>
          <w:sz w:val="24"/>
          <w:szCs w:val="24"/>
          <w:vertAlign w:val="superscript"/>
        </w:rPr>
        <w:footnoteRef/>
      </w:r>
      <w:r>
        <w:rPr>
          <w:rFonts w:eastAsia="Arial Unicode MS" w:cs="Arial Unicode MS"/>
        </w:rPr>
        <w:t xml:space="preserve"> Qatar also included several declarations, including that Article 5(a) must not be understood as encouraging women to abandon their role as mothers and their role in child-rearing.</w:t>
      </w:r>
    </w:p>
  </w:footnote>
  <w:footnote w:id="4">
    <w:p w14:paraId="7A30CBC4" w14:textId="77777777" w:rsidR="00793F11" w:rsidRDefault="00000000">
      <w:pPr>
        <w:pStyle w:val="FootnoteText"/>
        <w:jc w:val="both"/>
      </w:pPr>
      <w:r>
        <w:rPr>
          <w:sz w:val="24"/>
          <w:szCs w:val="24"/>
          <w:vertAlign w:val="superscript"/>
        </w:rPr>
        <w:footnoteRef/>
      </w:r>
      <w:r>
        <w:t xml:space="preserve"> See www.ohchr.org/EN/HRBodies/CERD/Pages/InterstateCommunications.aspx and www.icjcij.org/en/case/172. </w:t>
      </w:r>
    </w:p>
  </w:footnote>
  <w:footnote w:id="5">
    <w:p w14:paraId="3D06059B" w14:textId="77777777" w:rsidR="00793F11" w:rsidRDefault="00000000">
      <w:pPr>
        <w:pStyle w:val="FootnoteText"/>
      </w:pPr>
      <w:r>
        <w:rPr>
          <w:sz w:val="24"/>
          <w:szCs w:val="24"/>
          <w:vertAlign w:val="superscript"/>
        </w:rPr>
        <w:footnoteRef/>
      </w:r>
      <w:r>
        <w:rPr>
          <w:rFonts w:eastAsia="Arial Unicode MS" w:cs="Arial Unicode MS"/>
        </w:rPr>
        <w:t xml:space="preserve"> “Overview of Qatar’s </w:t>
      </w:r>
      <w:proofErr w:type="spellStart"/>
      <w:r>
        <w:rPr>
          <w:rFonts w:eastAsia="Arial Unicode MS" w:cs="Arial Unicode MS"/>
        </w:rPr>
        <w:t>Labour</w:t>
      </w:r>
      <w:proofErr w:type="spellEnd"/>
      <w:r>
        <w:rPr>
          <w:rFonts w:eastAsia="Arial Unicode MS" w:cs="Arial Unicode MS"/>
        </w:rPr>
        <w:t xml:space="preserve"> Reforms,” International </w:t>
      </w:r>
      <w:proofErr w:type="spellStart"/>
      <w:r>
        <w:rPr>
          <w:rFonts w:eastAsia="Arial Unicode MS" w:cs="Arial Unicode MS"/>
        </w:rPr>
        <w:t>Labour</w:t>
      </w:r>
      <w:proofErr w:type="spellEnd"/>
      <w:r>
        <w:rPr>
          <w:rFonts w:eastAsia="Arial Unicode MS" w:cs="Arial Unicode MS"/>
        </w:rPr>
        <w:t xml:space="preserve"> Organization, April 7, 2022, </w:t>
      </w:r>
      <w:hyperlink r:id="rId2" w:history="1">
        <w:r>
          <w:rPr>
            <w:rStyle w:val="Hyperlink0"/>
            <w:rFonts w:eastAsia="Arial Unicode MS" w:cs="Arial Unicode MS"/>
          </w:rPr>
          <w:t>https://www.ilo.org/beirut/countries/qatar/</w:t>
        </w:r>
      </w:hyperlink>
      <w:r>
        <w:rPr>
          <w:rFonts w:eastAsia="Arial Unicode MS" w:cs="Arial Unicode MS"/>
        </w:rPr>
        <w:t xml:space="preserve"> WCMS_760466/lang--</w:t>
      </w:r>
      <w:proofErr w:type="spellStart"/>
      <w:r>
        <w:rPr>
          <w:rFonts w:eastAsia="Arial Unicode MS" w:cs="Arial Unicode MS"/>
        </w:rPr>
        <w:t>en</w:t>
      </w:r>
      <w:proofErr w:type="spellEnd"/>
      <w:r>
        <w:rPr>
          <w:rFonts w:eastAsia="Arial Unicode MS" w:cs="Arial Unicode MS"/>
        </w:rPr>
        <w:t>/index.htm.</w:t>
      </w:r>
    </w:p>
  </w:footnote>
  <w:footnote w:id="6">
    <w:p w14:paraId="2B11D843" w14:textId="77777777" w:rsidR="00793F11" w:rsidRDefault="00000000">
      <w:pPr>
        <w:pStyle w:val="FootnoteText"/>
        <w:jc w:val="both"/>
      </w:pPr>
      <w:r>
        <w:rPr>
          <w:color w:val="221F1F"/>
          <w:u w:color="221F1F"/>
          <w:vertAlign w:val="superscript"/>
        </w:rPr>
        <w:footnoteRef/>
      </w:r>
      <w:r>
        <w:t xml:space="preserve"> “Saudi Vision 2030.” Vision 2030. Kingdom of Saudi Arabia. Accessed February 12, 2023.</w:t>
      </w:r>
    </w:p>
    <w:p w14:paraId="66A24AB8" w14:textId="77777777" w:rsidR="00793F11" w:rsidRDefault="00000000">
      <w:pPr>
        <w:pStyle w:val="FootnoteText"/>
        <w:jc w:val="both"/>
      </w:pPr>
      <w:hyperlink r:id="rId3" w:history="1">
        <w:r>
          <w:rPr>
            <w:rStyle w:val="Hyperlink0"/>
          </w:rPr>
          <w:t>https://www.vision2030.gov.sa/v2030/overview/</w:t>
        </w:r>
      </w:hyperlink>
      <w:r>
        <w:t xml:space="preserve">. See also Ryszard Cholewinski, Uri Guttman, </w:t>
      </w:r>
      <w:r>
        <w:rPr>
          <w:i/>
          <w:iCs/>
        </w:rPr>
        <w:t xml:space="preserve">Understanding the Kafala Migrant Labor System in Qatar and the Middle East at Large, with ILO Senior Migration Specialist Ryszard Cholewinski </w:t>
      </w:r>
      <w:r>
        <w:t>Georgetown Journal of International Affairs, Volume 24, Number 1, Spring 2023, pp. 72-77.</w:t>
      </w:r>
    </w:p>
  </w:footnote>
  <w:footnote w:id="7">
    <w:p w14:paraId="7B196083" w14:textId="77777777" w:rsidR="00793F11" w:rsidRDefault="00000000">
      <w:pPr>
        <w:pStyle w:val="FootnoteText"/>
      </w:pPr>
      <w:r>
        <w:rPr>
          <w:sz w:val="24"/>
          <w:szCs w:val="24"/>
          <w:vertAlign w:val="superscript"/>
        </w:rPr>
        <w:footnoteRef/>
      </w:r>
      <w:r>
        <w:rPr>
          <w:rFonts w:eastAsia="Arial Unicode MS" w:cs="Arial Unicode MS"/>
        </w:rPr>
        <w:t xml:space="preserve"> </w:t>
      </w:r>
      <w:hyperlink r:id="rId4" w:history="1">
        <w:r>
          <w:rPr>
            <w:rStyle w:val="Hyperlink0"/>
            <w:rFonts w:eastAsia="Arial Unicode MS" w:cs="Arial Unicode MS"/>
          </w:rPr>
          <w:t>https://www.gco.gov.qa/en/about-qatar/national-vision2030/</w:t>
        </w:r>
      </w:hyperlink>
      <w:r>
        <w:rPr>
          <w:rFonts w:eastAsia="Arial Unicode MS" w:cs="Arial Unicode MS"/>
        </w:rPr>
        <w:t xml:space="preserve"> </w:t>
      </w:r>
    </w:p>
  </w:footnote>
  <w:footnote w:id="8">
    <w:p w14:paraId="17988278" w14:textId="77777777" w:rsidR="00793F11" w:rsidRDefault="00000000">
      <w:pPr>
        <w:pStyle w:val="FootnoteText"/>
      </w:pPr>
      <w:r>
        <w:rPr>
          <w:sz w:val="24"/>
          <w:szCs w:val="24"/>
          <w:vertAlign w:val="superscript"/>
        </w:rPr>
        <w:footnoteRef/>
      </w:r>
      <w:r>
        <w:rPr>
          <w:rFonts w:eastAsia="Arial Unicode MS" w:cs="Arial Unicode MS"/>
        </w:rPr>
        <w:t xml:space="preserve"> </w:t>
      </w:r>
      <w:hyperlink r:id="rId5" w:history="1">
        <w:r>
          <w:rPr>
            <w:rStyle w:val="Hyperlink1"/>
            <w:rFonts w:eastAsia="Arial Unicode MS" w:cs="Arial Unicode MS"/>
          </w:rPr>
          <w:t>Monthly Figures on Total Population (psa.gov.qa)</w:t>
        </w:r>
      </w:hyperlink>
      <w:r>
        <w:rPr>
          <w:rStyle w:val="None"/>
          <w:rFonts w:eastAsia="Arial Unicode MS" w:cs="Arial Unicode MS"/>
          <w:sz w:val="24"/>
          <w:szCs w:val="24"/>
        </w:rPr>
        <w:t xml:space="preserve"> </w:t>
      </w:r>
    </w:p>
  </w:footnote>
  <w:footnote w:id="9">
    <w:p w14:paraId="50D1F941" w14:textId="77777777" w:rsidR="00793F11" w:rsidRDefault="00000000">
      <w:pPr>
        <w:pStyle w:val="FootnoteText"/>
      </w:pPr>
      <w:r>
        <w:rPr>
          <w:rStyle w:val="None"/>
          <w:sz w:val="24"/>
          <w:szCs w:val="24"/>
          <w:vertAlign w:val="superscript"/>
        </w:rPr>
        <w:footnoteRef/>
      </w:r>
      <w:r>
        <w:rPr>
          <w:rFonts w:eastAsia="Arial Unicode MS" w:cs="Arial Unicode MS"/>
        </w:rPr>
        <w:t xml:space="preserve"> </w:t>
      </w:r>
      <w:proofErr w:type="spellStart"/>
      <w:r>
        <w:rPr>
          <w:rFonts w:eastAsia="Arial Unicode MS" w:cs="Arial Unicode MS"/>
        </w:rPr>
        <w:t>Kamrava</w:t>
      </w:r>
      <w:proofErr w:type="spellEnd"/>
      <w:r>
        <w:rPr>
          <w:rFonts w:eastAsia="Arial Unicode MS" w:cs="Arial Unicode MS"/>
        </w:rPr>
        <w:t xml:space="preserve"> &amp; Babar, 2012.</w:t>
      </w:r>
    </w:p>
  </w:footnote>
  <w:footnote w:id="10">
    <w:p w14:paraId="22540D47" w14:textId="77777777" w:rsidR="00793F11" w:rsidRDefault="00000000">
      <w:pPr>
        <w:pStyle w:val="FootnoteText"/>
      </w:pPr>
      <w:r>
        <w:rPr>
          <w:rStyle w:val="None"/>
          <w:sz w:val="24"/>
          <w:szCs w:val="24"/>
          <w:vertAlign w:val="superscript"/>
        </w:rPr>
        <w:footnoteRef/>
      </w:r>
      <w:r>
        <w:rPr>
          <w:rFonts w:eastAsia="Arial Unicode MS" w:cs="Arial Unicode MS"/>
        </w:rPr>
        <w:t xml:space="preserve"> Qatar, Ministry of Development Planning and Statistics, Measuring the Standard of Living in Qatar: Household Expenditure and Income Survey 2012/2013. Available at www.psa.gov.qa/en/statistics/Statistical%20Releases/Social/HouseholdIncomeAndExpenditure/2013/ Living-Conditions-2012-2013-En.pdf. </w:t>
      </w:r>
    </w:p>
  </w:footnote>
  <w:footnote w:id="11">
    <w:p w14:paraId="0D8E2E65" w14:textId="77777777" w:rsidR="00793F11" w:rsidRDefault="00000000">
      <w:pPr>
        <w:pStyle w:val="FootnoteText"/>
      </w:pPr>
      <w:r>
        <w:rPr>
          <w:rStyle w:val="None"/>
          <w:sz w:val="24"/>
          <w:szCs w:val="24"/>
          <w:vertAlign w:val="superscript"/>
        </w:rPr>
        <w:footnoteRef/>
      </w:r>
      <w:r>
        <w:rPr>
          <w:rFonts w:eastAsia="Arial Unicode MS" w:cs="Arial Unicode MS"/>
        </w:rPr>
        <w:t xml:space="preserve"> Qatar Ministry of Administrative Development, </w:t>
      </w:r>
      <w:proofErr w:type="spellStart"/>
      <w:r>
        <w:rPr>
          <w:rFonts w:eastAsia="Arial Unicode MS" w:cs="Arial Unicode MS"/>
        </w:rPr>
        <w:t>Labour</w:t>
      </w:r>
      <w:proofErr w:type="spellEnd"/>
      <w:r>
        <w:rPr>
          <w:rFonts w:eastAsia="Arial Unicode MS" w:cs="Arial Unicode MS"/>
        </w:rPr>
        <w:t xml:space="preserve"> and Social Affairs</w:t>
      </w:r>
    </w:p>
  </w:footnote>
  <w:footnote w:id="12">
    <w:p w14:paraId="229684C0" w14:textId="77777777" w:rsidR="00793F11" w:rsidRDefault="00000000">
      <w:pPr>
        <w:pStyle w:val="FootnoteText"/>
        <w:jc w:val="both"/>
      </w:pPr>
      <w:r>
        <w:rPr>
          <w:rStyle w:val="None"/>
          <w:sz w:val="24"/>
          <w:szCs w:val="24"/>
          <w:vertAlign w:val="superscript"/>
        </w:rPr>
        <w:footnoteRef/>
      </w:r>
      <w:r>
        <w:t xml:space="preserve"> European University Institute, Demography, migration, and </w:t>
      </w:r>
      <w:proofErr w:type="spellStart"/>
      <w:r>
        <w:t>labour</w:t>
      </w:r>
      <w:proofErr w:type="spellEnd"/>
      <w:r>
        <w:t xml:space="preserve"> market in in Qatar, </w:t>
      </w:r>
    </w:p>
    <w:p w14:paraId="036F8C1A" w14:textId="77777777" w:rsidR="00793F11" w:rsidRDefault="00000000">
      <w:pPr>
        <w:pStyle w:val="FootnoteText"/>
        <w:jc w:val="both"/>
      </w:pPr>
      <w:r>
        <w:t xml:space="preserve">    </w:t>
      </w:r>
      <w:hyperlink r:id="rId6" w:history="1">
        <w:r>
          <w:rPr>
            <w:rStyle w:val="Hyperlink0"/>
          </w:rPr>
          <w:t>https://cadmus.eui.eu/handle/1814/32431</w:t>
        </w:r>
      </w:hyperlink>
      <w:r>
        <w:t xml:space="preserve"> </w:t>
      </w:r>
    </w:p>
  </w:footnote>
  <w:footnote w:id="13">
    <w:p w14:paraId="695E6675" w14:textId="77777777" w:rsidR="00793F11" w:rsidRDefault="00000000">
      <w:pPr>
        <w:pStyle w:val="FootnoteText"/>
      </w:pPr>
      <w:r>
        <w:rPr>
          <w:rStyle w:val="None"/>
          <w:sz w:val="24"/>
          <w:szCs w:val="24"/>
          <w:vertAlign w:val="superscript"/>
        </w:rPr>
        <w:footnoteRef/>
      </w:r>
      <w:r>
        <w:rPr>
          <w:rFonts w:eastAsia="Arial Unicode MS" w:cs="Arial Unicode MS"/>
        </w:rPr>
        <w:t xml:space="preserve"> CERD/C/QAT/CO/17-21, para. 7.</w:t>
      </w:r>
    </w:p>
  </w:footnote>
  <w:footnote w:id="14">
    <w:p w14:paraId="658D8C5D" w14:textId="77777777" w:rsidR="00793F11" w:rsidRDefault="00000000">
      <w:pPr>
        <w:pStyle w:val="FootnoteText"/>
      </w:pPr>
      <w:r>
        <w:rPr>
          <w:rStyle w:val="None"/>
          <w:sz w:val="24"/>
          <w:szCs w:val="24"/>
          <w:vertAlign w:val="superscript"/>
        </w:rPr>
        <w:footnoteRef/>
      </w:r>
      <w:r>
        <w:rPr>
          <w:rFonts w:eastAsia="Arial Unicode MS" w:cs="Arial Unicode MS"/>
        </w:rPr>
        <w:t xml:space="preserve"> National Human Rights Action Plan in Qatar Concept and Characteristics, </w:t>
      </w:r>
      <w:hyperlink r:id="rId7" w:history="1">
        <w:r>
          <w:rPr>
            <w:rStyle w:val="Hyperlink0"/>
            <w:rFonts w:eastAsia="Arial Unicode MS" w:cs="Arial Unicode MS"/>
          </w:rPr>
          <w:t>https://www.mofa.gov.qa/docs/default-source/human-rights/english-new2.pdf</w:t>
        </w:r>
      </w:hyperlink>
      <w:r>
        <w:rPr>
          <w:rFonts w:eastAsia="Arial Unicode MS" w:cs="Arial Unicode MS"/>
        </w:rPr>
        <w:t xml:space="preserve"> </w:t>
      </w:r>
    </w:p>
  </w:footnote>
  <w:footnote w:id="15">
    <w:p w14:paraId="024EC147" w14:textId="77777777" w:rsidR="00793F11" w:rsidRDefault="00000000">
      <w:pPr>
        <w:pStyle w:val="FootnoteText"/>
        <w:jc w:val="both"/>
      </w:pPr>
      <w:r>
        <w:rPr>
          <w:rStyle w:val="None"/>
          <w:sz w:val="24"/>
          <w:szCs w:val="24"/>
          <w:vertAlign w:val="superscript"/>
        </w:rPr>
        <w:footnoteRef/>
      </w:r>
      <w:r>
        <w:t xml:space="preserve"> Human Rights Council Forty-fourth session 15 June–3 July 2020 Agenda item 9 Racism, racial discrimination, xenophobia and related forms of intolerance, follow-up to and implementation of the Durban Declaration and </w:t>
      </w:r>
      <w:proofErr w:type="spellStart"/>
      <w:r>
        <w:t>Programme</w:t>
      </w:r>
      <w:proofErr w:type="spellEnd"/>
      <w:r>
        <w:t xml:space="preserve"> of Action.</w:t>
      </w:r>
    </w:p>
  </w:footnote>
  <w:footnote w:id="16">
    <w:p w14:paraId="22596D14" w14:textId="77777777" w:rsidR="00793F11" w:rsidRDefault="00000000">
      <w:pPr>
        <w:pStyle w:val="FootnoteText"/>
      </w:pPr>
      <w:r>
        <w:rPr>
          <w:rStyle w:val="None"/>
          <w:sz w:val="24"/>
          <w:szCs w:val="24"/>
          <w:vertAlign w:val="superscript"/>
        </w:rPr>
        <w:footnoteRef/>
      </w:r>
      <w:r>
        <w:rPr>
          <w:rFonts w:eastAsia="Arial Unicode MS" w:cs="Arial Unicode MS"/>
        </w:rPr>
        <w:t xml:space="preserve"> See Amnesty International, The Dark Side of Migration: Spotlight on Qatar’s Construction Sector ahead of the World Cup (London, 2013). See also Pete Pattisson, “Qatar’s ‘families only’ zones entrench segregation of migrant workers”, The Guardian, 13 April 2016. </w:t>
      </w:r>
    </w:p>
  </w:footnote>
  <w:footnote w:id="17">
    <w:p w14:paraId="5BBA5928" w14:textId="77777777" w:rsidR="00793F11" w:rsidRDefault="00000000">
      <w:pPr>
        <w:pStyle w:val="FootnoteText"/>
      </w:pPr>
      <w:r>
        <w:rPr>
          <w:rStyle w:val="None"/>
          <w:sz w:val="24"/>
          <w:szCs w:val="24"/>
          <w:vertAlign w:val="superscript"/>
        </w:rPr>
        <w:footnoteRef/>
      </w:r>
      <w:r>
        <w:rPr>
          <w:rFonts w:eastAsia="Arial Unicode MS" w:cs="Arial Unicode MS"/>
        </w:rPr>
        <w:t xml:space="preserve"> Para 19 SR Report. </w:t>
      </w:r>
    </w:p>
  </w:footnote>
  <w:footnote w:id="18">
    <w:p w14:paraId="16FB298D" w14:textId="77777777" w:rsidR="00793F11" w:rsidRDefault="00000000">
      <w:pPr>
        <w:pStyle w:val="FootnoteText"/>
      </w:pPr>
      <w:r>
        <w:rPr>
          <w:rStyle w:val="None"/>
          <w:sz w:val="24"/>
          <w:szCs w:val="24"/>
          <w:vertAlign w:val="superscript"/>
        </w:rPr>
        <w:footnoteRef/>
      </w:r>
      <w:r>
        <w:rPr>
          <w:rFonts w:eastAsia="Arial Unicode MS" w:cs="Arial Unicode MS"/>
        </w:rPr>
        <w:t xml:space="preserve"> Para 20 SR Report.</w:t>
      </w:r>
    </w:p>
  </w:footnote>
  <w:footnote w:id="19">
    <w:p w14:paraId="3C75CDC8" w14:textId="77777777" w:rsidR="00793F11" w:rsidRDefault="00000000">
      <w:pPr>
        <w:pStyle w:val="FootnoteText"/>
      </w:pPr>
      <w:r>
        <w:rPr>
          <w:rStyle w:val="None"/>
          <w:sz w:val="24"/>
          <w:szCs w:val="24"/>
          <w:shd w:val="clear" w:color="auto" w:fill="FFFFFF"/>
          <w:vertAlign w:val="superscript"/>
        </w:rPr>
        <w:footnoteRef/>
      </w:r>
      <w:r>
        <w:rPr>
          <w:rFonts w:eastAsia="Arial Unicode MS" w:cs="Arial Unicode MS"/>
        </w:rPr>
        <w:t xml:space="preserve"> Available at www.refworld.org/pdfid/542975124.pdf. 57 See, inter alia, CEDAW/C/QAT/CO/2, para. 33. </w:t>
      </w:r>
    </w:p>
  </w:footnote>
  <w:footnote w:id="20">
    <w:p w14:paraId="0E64370B" w14:textId="77777777" w:rsidR="00793F11" w:rsidRDefault="00000000">
      <w:pPr>
        <w:pStyle w:val="FootnoteText"/>
      </w:pPr>
      <w:r>
        <w:rPr>
          <w:rStyle w:val="None"/>
          <w:sz w:val="24"/>
          <w:szCs w:val="24"/>
          <w:shd w:val="clear" w:color="auto" w:fill="FFFFFF"/>
          <w:vertAlign w:val="superscript"/>
        </w:rPr>
        <w:footnoteRef/>
      </w:r>
      <w:r>
        <w:rPr>
          <w:rFonts w:eastAsia="Arial Unicode MS" w:cs="Arial Unicode MS"/>
        </w:rPr>
        <w:t xml:space="preserve"> Ibid., para. 33</w:t>
      </w:r>
    </w:p>
  </w:footnote>
  <w:footnote w:id="21">
    <w:p w14:paraId="35A05C1E" w14:textId="77777777" w:rsidR="00793F11" w:rsidRDefault="00000000">
      <w:pPr>
        <w:pStyle w:val="FootnoteText"/>
      </w:pPr>
      <w:r>
        <w:rPr>
          <w:rStyle w:val="None"/>
          <w:sz w:val="24"/>
          <w:szCs w:val="24"/>
          <w:vertAlign w:val="superscript"/>
        </w:rPr>
        <w:footnoteRef/>
      </w:r>
      <w:r>
        <w:rPr>
          <w:rFonts w:eastAsia="Arial Unicode MS" w:cs="Arial Unicode MS"/>
        </w:rPr>
        <w:t xml:space="preserve"> CERD/C/QAT/CO/17-21, paras. 21–22 and National Human Rights Committee, Fourteenth Annual Report: 2018. </w:t>
      </w:r>
    </w:p>
  </w:footnote>
  <w:footnote w:id="22">
    <w:p w14:paraId="63FAAA70" w14:textId="77777777" w:rsidR="00793F11" w:rsidRDefault="00000000">
      <w:pPr>
        <w:pStyle w:val="FootnoteText"/>
      </w:pPr>
      <w:r>
        <w:rPr>
          <w:rStyle w:val="None"/>
          <w:sz w:val="24"/>
          <w:szCs w:val="24"/>
          <w:vertAlign w:val="superscript"/>
        </w:rPr>
        <w:footnoteRef/>
      </w:r>
      <w:r>
        <w:rPr>
          <w:rFonts w:eastAsia="Arial Unicode MS" w:cs="Arial Unicode MS"/>
        </w:rPr>
        <w:t xml:space="preserve"> See National Human Rights Committee, shadow report submitted to the Committee on the Elimination of Racial Discrimination (2018). </w:t>
      </w:r>
    </w:p>
  </w:footnote>
  <w:footnote w:id="23">
    <w:p w14:paraId="226965BA" w14:textId="77777777" w:rsidR="00793F11" w:rsidRDefault="00000000">
      <w:pPr>
        <w:pStyle w:val="FootnoteText"/>
      </w:pPr>
      <w:r>
        <w:rPr>
          <w:rStyle w:val="None"/>
          <w:sz w:val="24"/>
          <w:szCs w:val="24"/>
          <w:shd w:val="clear" w:color="auto" w:fill="FFFFFF"/>
          <w:vertAlign w:val="superscript"/>
        </w:rPr>
        <w:footnoteRef/>
      </w:r>
      <w:r>
        <w:rPr>
          <w:rFonts w:eastAsia="Arial Unicode MS" w:cs="Arial Unicode MS"/>
        </w:rPr>
        <w:t xml:space="preserve"> </w:t>
      </w:r>
      <w:proofErr w:type="spellStart"/>
      <w:r>
        <w:rPr>
          <w:rFonts w:eastAsia="Arial Unicode MS" w:cs="Arial Unicode MS"/>
        </w:rPr>
        <w:t>Favour</w:t>
      </w:r>
      <w:proofErr w:type="spellEnd"/>
      <w:r>
        <w:rPr>
          <w:rFonts w:eastAsia="Arial Unicode MS" w:cs="Arial Unicode MS"/>
        </w:rPr>
        <w:t xml:space="preserve"> </w:t>
      </w:r>
      <w:proofErr w:type="spellStart"/>
      <w:r>
        <w:rPr>
          <w:rFonts w:eastAsia="Arial Unicode MS" w:cs="Arial Unicode MS"/>
        </w:rPr>
        <w:t>Ogbugo</w:t>
      </w:r>
      <w:proofErr w:type="spellEnd"/>
      <w:r>
        <w:rPr>
          <w:rFonts w:eastAsia="Arial Unicode MS" w:cs="Arial Unicode MS"/>
        </w:rPr>
        <w:t xml:space="preserve"> </w:t>
      </w:r>
      <w:proofErr w:type="spellStart"/>
      <w:r>
        <w:rPr>
          <w:rFonts w:eastAsia="Arial Unicode MS" w:cs="Arial Unicode MS"/>
        </w:rPr>
        <w:t>Offia</w:t>
      </w:r>
      <w:proofErr w:type="spellEnd"/>
      <w:r>
        <w:rPr>
          <w:rFonts w:eastAsia="Arial Unicode MS" w:cs="Arial Unicode MS"/>
        </w:rPr>
        <w:t xml:space="preserve">, </w:t>
      </w:r>
      <w:r>
        <w:rPr>
          <w:rStyle w:val="None"/>
          <w:rFonts w:eastAsia="Arial Unicode MS" w:cs="Arial Unicode MS"/>
          <w:i/>
          <w:iCs/>
        </w:rPr>
        <w:t xml:space="preserve">Exploring the Links Between Racial Exclusion and Human Trafficking of Migrant Workers in Qatar, </w:t>
      </w:r>
      <w:hyperlink r:id="rId8" w:history="1">
        <w:r>
          <w:rPr>
            <w:rStyle w:val="Hyperlink0"/>
            <w:rFonts w:eastAsia="Arial Unicode MS" w:cs="Arial Unicode MS"/>
          </w:rPr>
          <w:t>https://journals.sagepub.com/doi/full/10.1177/09646639231214725</w:t>
        </w:r>
      </w:hyperlink>
      <w:r>
        <w:rPr>
          <w:rFonts w:eastAsia="Arial Unicode MS" w:cs="Arial Unicode MS"/>
        </w:rPr>
        <w:t xml:space="preserve"> 2023.</w:t>
      </w:r>
    </w:p>
  </w:footnote>
  <w:footnote w:id="24">
    <w:p w14:paraId="40705EA5" w14:textId="77777777" w:rsidR="00793F11" w:rsidRDefault="00000000">
      <w:pPr>
        <w:pStyle w:val="FootnoteText"/>
      </w:pPr>
      <w:r>
        <w:rPr>
          <w:rStyle w:val="None"/>
          <w:sz w:val="24"/>
          <w:szCs w:val="24"/>
          <w:shd w:val="clear" w:color="auto" w:fill="FFFFFF"/>
          <w:vertAlign w:val="superscript"/>
        </w:rPr>
        <w:footnoteRef/>
      </w:r>
      <w:r>
        <w:rPr>
          <w:rFonts w:eastAsia="Arial Unicode MS" w:cs="Arial Unicode MS"/>
        </w:rPr>
        <w:t xml:space="preserve"> </w:t>
      </w:r>
      <w:r>
        <w:rPr>
          <w:rStyle w:val="None"/>
          <w:rFonts w:eastAsia="Arial Unicode MS" w:cs="Arial Unicode MS"/>
          <w:smallCaps/>
        </w:rPr>
        <w:t>The Guardian</w:t>
      </w:r>
      <w:r>
        <w:rPr>
          <w:rFonts w:eastAsia="Arial Unicode MS" w:cs="Arial Unicode MS"/>
        </w:rPr>
        <w:t xml:space="preserve"> </w:t>
      </w:r>
      <w:r>
        <w:rPr>
          <w:rStyle w:val="None"/>
          <w:rFonts w:eastAsia="Arial Unicode MS" w:cs="Arial Unicode MS"/>
          <w:b/>
          <w:bCs/>
        </w:rPr>
        <w:t xml:space="preserve">‘I haven’t earned a single rial’: Qatar migrant laborers left stranded and jobless after the World Cup, (Mar 27 2023) </w:t>
      </w:r>
      <w:hyperlink r:id="rId9" w:history="1">
        <w:r>
          <w:rPr>
            <w:rStyle w:val="Hyperlink0"/>
            <w:rFonts w:eastAsia="Arial Unicode MS" w:cs="Arial Unicode MS"/>
          </w:rPr>
          <w:t xml:space="preserve">I haven’t earned a single rial’: Qatar migrant </w:t>
        </w:r>
        <w:proofErr w:type="spellStart"/>
        <w:r>
          <w:rPr>
            <w:rStyle w:val="Hyperlink0"/>
            <w:rFonts w:eastAsia="Arial Unicode MS" w:cs="Arial Unicode MS"/>
          </w:rPr>
          <w:t>labourers</w:t>
        </w:r>
        <w:proofErr w:type="spellEnd"/>
        <w:r>
          <w:rPr>
            <w:rStyle w:val="Hyperlink0"/>
            <w:rFonts w:eastAsia="Arial Unicode MS" w:cs="Arial Unicode MS"/>
          </w:rPr>
          <w:t xml:space="preserve"> left stranded and jobless after the World Cup | World Cup | The Guardian</w:t>
        </w:r>
      </w:hyperlink>
      <w:r>
        <w:rPr>
          <w:rFonts w:eastAsia="Arial Unicode MS" w:cs="Arial Unicode MS"/>
        </w:rPr>
        <w:t xml:space="preserve">  </w:t>
      </w:r>
    </w:p>
  </w:footnote>
  <w:footnote w:id="25">
    <w:p w14:paraId="31EBC41F" w14:textId="77777777" w:rsidR="00793F11" w:rsidRDefault="00000000">
      <w:pPr>
        <w:pStyle w:val="FootnoteText"/>
        <w:jc w:val="both"/>
      </w:pPr>
      <w:r>
        <w:rPr>
          <w:rStyle w:val="FootnoteReference"/>
        </w:rPr>
        <w:footnoteRef/>
      </w:r>
      <w:r>
        <w:t xml:space="preserve"> Para 24 SR Report.</w:t>
      </w:r>
    </w:p>
  </w:footnote>
  <w:footnote w:id="26">
    <w:p w14:paraId="3CCFAD7B" w14:textId="77777777" w:rsidR="00793F11" w:rsidRDefault="00000000">
      <w:pPr>
        <w:pStyle w:val="FootnoteText"/>
        <w:jc w:val="both"/>
      </w:pPr>
      <w:r>
        <w:rPr>
          <w:rStyle w:val="FootnoteReference"/>
        </w:rPr>
        <w:footnoteRef/>
      </w:r>
      <w:r>
        <w:t xml:space="preserve"> CERD/C/QAT/CO/17-21, para. 15 (a). See also Human Rights Watch, “Qatar: end all migrant worker exit visas” (September 2018), available at www.hrw.org/news/2018/09/06/qatar-end-all-migrantworker-exit-visas; and Amnesty International, “Qatar: partial abolition of ‘exit permit’ lifts travel restrictions for most migrant workers” (September 2018), available at www.amnesty.org/en/latest/ news/2018/09/</w:t>
      </w:r>
      <w:proofErr w:type="spellStart"/>
      <w:r>
        <w:t>qatar</w:t>
      </w:r>
      <w:proofErr w:type="spellEnd"/>
      <w:r>
        <w:t>-exit-system-reform-</w:t>
      </w:r>
      <w:proofErr w:type="gramStart"/>
      <w:r>
        <w:t>first-step</w:t>
      </w:r>
      <w:proofErr w:type="gramEnd"/>
      <w:r>
        <w:t xml:space="preserve">/. </w:t>
      </w:r>
    </w:p>
  </w:footnote>
  <w:footnote w:id="27">
    <w:p w14:paraId="063F27D2" w14:textId="77777777" w:rsidR="00793F11" w:rsidRDefault="00000000">
      <w:pPr>
        <w:pStyle w:val="FootnoteText"/>
      </w:pPr>
      <w:r>
        <w:rPr>
          <w:rStyle w:val="FootnoteReference"/>
        </w:rPr>
        <w:footnoteRef/>
      </w:r>
      <w:r>
        <w:rPr>
          <w:rStyle w:val="None"/>
          <w:rFonts w:eastAsia="Arial Unicode MS" w:cs="Arial Unicode MS"/>
          <w:smallCaps/>
        </w:rPr>
        <w:t>The Peninsula,</w:t>
      </w:r>
      <w:r>
        <w:rPr>
          <w:rFonts w:eastAsia="Arial Unicode MS" w:cs="Arial Unicode MS"/>
        </w:rPr>
        <w:t xml:space="preserve"> </w:t>
      </w:r>
      <w:r>
        <w:rPr>
          <w:rStyle w:val="None"/>
          <w:rFonts w:eastAsia="Arial Unicode MS" w:cs="Arial Unicode MS"/>
          <w:i/>
          <w:iCs/>
        </w:rPr>
        <w:t xml:space="preserve">Qatar Announces New </w:t>
      </w:r>
      <w:proofErr w:type="spellStart"/>
      <w:r>
        <w:rPr>
          <w:rStyle w:val="None"/>
          <w:rFonts w:eastAsia="Arial Unicode MS" w:cs="Arial Unicode MS"/>
          <w:i/>
          <w:iCs/>
        </w:rPr>
        <w:t>Labour</w:t>
      </w:r>
      <w:proofErr w:type="spellEnd"/>
      <w:r>
        <w:rPr>
          <w:rStyle w:val="None"/>
          <w:rFonts w:eastAsia="Arial Unicode MS" w:cs="Arial Unicode MS"/>
          <w:i/>
          <w:iCs/>
        </w:rPr>
        <w:t xml:space="preserve"> Reforms for Expatriates,</w:t>
      </w:r>
      <w:r>
        <w:rPr>
          <w:rFonts w:eastAsia="Arial Unicode MS" w:cs="Arial Unicode MS"/>
        </w:rPr>
        <w:t xml:space="preserve"> (Jan. 16, 2020) </w:t>
      </w:r>
    </w:p>
    <w:p w14:paraId="3FE7587D" w14:textId="77777777" w:rsidR="00793F11" w:rsidRDefault="00000000">
      <w:pPr>
        <w:pStyle w:val="FootnoteText"/>
      </w:pPr>
      <w:hyperlink r:id="rId10" w:history="1">
        <w:r>
          <w:rPr>
            <w:rStyle w:val="Hyperlink0"/>
            <w:rFonts w:eastAsia="Arial Unicode MS" w:cs="Arial Unicode MS"/>
          </w:rPr>
          <w:t>https://thepeninsulaqatar.com/article/16/01</w:t>
        </w:r>
      </w:hyperlink>
      <w:r>
        <w:rPr>
          <w:rFonts w:eastAsia="Arial Unicode MS" w:cs="Arial Unicode MS"/>
        </w:rPr>
        <w:t xml:space="preserve"> /2020/Qatar-announces-new-</w:t>
      </w:r>
      <w:proofErr w:type="spellStart"/>
      <w:r>
        <w:rPr>
          <w:rFonts w:eastAsia="Arial Unicode MS" w:cs="Arial Unicode MS"/>
        </w:rPr>
        <w:t>labour</w:t>
      </w:r>
      <w:proofErr w:type="spellEnd"/>
      <w:r>
        <w:rPr>
          <w:rFonts w:eastAsia="Arial Unicode MS" w:cs="Arial Unicode MS"/>
        </w:rPr>
        <w:t>-reforms-for-expatriates.</w:t>
      </w:r>
    </w:p>
  </w:footnote>
  <w:footnote w:id="28">
    <w:p w14:paraId="293A8BE7" w14:textId="77777777" w:rsidR="00793F11" w:rsidRDefault="00000000">
      <w:pPr>
        <w:pStyle w:val="FootnoteText"/>
        <w:jc w:val="both"/>
      </w:pPr>
      <w:r>
        <w:rPr>
          <w:rStyle w:val="FootnoteReference"/>
        </w:rPr>
        <w:footnoteRef/>
      </w:r>
      <w:r>
        <w:t xml:space="preserve"> Available at </w:t>
      </w:r>
      <w:hyperlink r:id="rId11" w:history="1">
        <w:r>
          <w:rPr>
            <w:rStyle w:val="Hyperlink0"/>
          </w:rPr>
          <w:t>www.ilo.org/dyn/natlex/natlex4.detail?p_lang=en&amp;p_isn=102231</w:t>
        </w:r>
      </w:hyperlink>
      <w:r>
        <w:t xml:space="preserve">. </w:t>
      </w:r>
    </w:p>
  </w:footnote>
  <w:footnote w:id="29">
    <w:p w14:paraId="4615E440" w14:textId="77777777" w:rsidR="00793F11" w:rsidRDefault="00000000">
      <w:pPr>
        <w:pStyle w:val="FootnoteText"/>
        <w:jc w:val="both"/>
      </w:pPr>
      <w:r>
        <w:rPr>
          <w:rStyle w:val="FootnoteReference"/>
        </w:rPr>
        <w:footnoteRef/>
      </w:r>
      <w:r>
        <w:t xml:space="preserve"> Amanda Garrett, </w:t>
      </w:r>
      <w:r>
        <w:rPr>
          <w:rStyle w:val="None"/>
          <w:i/>
          <w:iCs/>
        </w:rPr>
        <w:t xml:space="preserve">The End of Kafala? Evaluating Recent Migrant Labor Reforms in Qatar, </w:t>
      </w:r>
      <w:r>
        <w:t>Georgetown Journal of International Affairs, Volume 21, Fall 2020, pp. 201-208.</w:t>
      </w:r>
    </w:p>
  </w:footnote>
  <w:footnote w:id="30">
    <w:p w14:paraId="50E24217" w14:textId="77777777" w:rsidR="00793F11" w:rsidRDefault="00000000">
      <w:pPr>
        <w:pStyle w:val="FootnoteText"/>
      </w:pPr>
      <w:r>
        <w:rPr>
          <w:rStyle w:val="None"/>
          <w:sz w:val="24"/>
          <w:szCs w:val="24"/>
          <w:vertAlign w:val="superscript"/>
        </w:rPr>
        <w:footnoteRef/>
      </w:r>
      <w:r>
        <w:rPr>
          <w:rFonts w:eastAsia="Arial Unicode MS" w:cs="Arial Unicode MS"/>
        </w:rPr>
        <w:t xml:space="preserve"> </w:t>
      </w:r>
      <w:proofErr w:type="spellStart"/>
      <w:r>
        <w:rPr>
          <w:rFonts w:eastAsia="Arial Unicode MS" w:cs="Arial Unicode MS"/>
        </w:rPr>
        <w:t>Favour</w:t>
      </w:r>
      <w:proofErr w:type="spellEnd"/>
      <w:r>
        <w:rPr>
          <w:rFonts w:eastAsia="Arial Unicode MS" w:cs="Arial Unicode MS"/>
        </w:rPr>
        <w:t xml:space="preserve"> </w:t>
      </w:r>
      <w:proofErr w:type="spellStart"/>
      <w:r>
        <w:rPr>
          <w:rFonts w:eastAsia="Arial Unicode MS" w:cs="Arial Unicode MS"/>
        </w:rPr>
        <w:t>Ogbugo</w:t>
      </w:r>
      <w:proofErr w:type="spellEnd"/>
      <w:r>
        <w:rPr>
          <w:rFonts w:eastAsia="Arial Unicode MS" w:cs="Arial Unicode MS"/>
        </w:rPr>
        <w:t xml:space="preserve"> </w:t>
      </w:r>
      <w:proofErr w:type="spellStart"/>
      <w:r>
        <w:rPr>
          <w:rFonts w:eastAsia="Arial Unicode MS" w:cs="Arial Unicode MS"/>
        </w:rPr>
        <w:t>Offia</w:t>
      </w:r>
      <w:proofErr w:type="spellEnd"/>
      <w:r>
        <w:rPr>
          <w:rFonts w:eastAsia="Arial Unicode MS" w:cs="Arial Unicode MS"/>
        </w:rPr>
        <w:t xml:space="preserve">, </w:t>
      </w:r>
      <w:r>
        <w:rPr>
          <w:rStyle w:val="None"/>
          <w:rFonts w:eastAsia="Arial Unicode MS" w:cs="Arial Unicode MS"/>
          <w:i/>
          <w:iCs/>
        </w:rPr>
        <w:t>Exploring the Links Between Racial Exclusion and Human Trafficking of Migrant Workers in Qatar,</w:t>
      </w:r>
      <w:r>
        <w:rPr>
          <w:rFonts w:eastAsia="Arial Unicode MS" w:cs="Arial Unicode MS"/>
        </w:rPr>
        <w:t xml:space="preserve">  </w:t>
      </w:r>
      <w:hyperlink r:id="rId12" w:history="1">
        <w:r>
          <w:rPr>
            <w:rStyle w:val="Hyperlink0"/>
            <w:rFonts w:eastAsia="Arial Unicode MS" w:cs="Arial Unicode MS"/>
          </w:rPr>
          <w:t>https://journals.sagepub.com/doi/full/10.1177/09646639231214725</w:t>
        </w:r>
      </w:hyperlink>
      <w:r>
        <w:rPr>
          <w:rFonts w:eastAsia="Arial Unicode MS" w:cs="Arial Unicode MS"/>
        </w:rPr>
        <w:t xml:space="preserve"> </w:t>
      </w:r>
      <w:proofErr w:type="gramStart"/>
      <w:r>
        <w:rPr>
          <w:rFonts w:eastAsia="Arial Unicode MS" w:cs="Arial Unicode MS"/>
        </w:rPr>
        <w:t>2023</w:t>
      </w:r>
      <w:proofErr w:type="gramEnd"/>
    </w:p>
  </w:footnote>
  <w:footnote w:id="31">
    <w:p w14:paraId="130E5A34" w14:textId="77777777" w:rsidR="00793F11" w:rsidRDefault="00000000">
      <w:pPr>
        <w:pStyle w:val="FootnoteText"/>
      </w:pPr>
      <w:r>
        <w:rPr>
          <w:rStyle w:val="None"/>
          <w:sz w:val="24"/>
          <w:szCs w:val="24"/>
          <w:vertAlign w:val="superscript"/>
        </w:rPr>
        <w:footnoteRef/>
      </w:r>
      <w:r>
        <w:rPr>
          <w:rFonts w:eastAsia="Arial Unicode MS" w:cs="Arial Unicode MS"/>
        </w:rPr>
        <w:t xml:space="preserve"> See Amnesty International, All Work, No Pay: The Struggle of Qatar’s Migrant Workers for Justice (London, 2019). Available at www.amnesty.org/download/Documents/ MDE2207932019ENGLISH.PDF. </w:t>
      </w:r>
    </w:p>
  </w:footnote>
  <w:footnote w:id="32">
    <w:p w14:paraId="28A73B4F" w14:textId="77777777" w:rsidR="00793F11" w:rsidRDefault="00000000">
      <w:pPr>
        <w:pStyle w:val="FootnoteText"/>
      </w:pPr>
      <w:r>
        <w:rPr>
          <w:rStyle w:val="None"/>
          <w:sz w:val="24"/>
          <w:szCs w:val="24"/>
          <w:vertAlign w:val="superscript"/>
        </w:rPr>
        <w:footnoteRef/>
      </w:r>
      <w:r>
        <w:rPr>
          <w:rFonts w:eastAsia="Arial Unicode MS" w:cs="Arial Unicode MS"/>
        </w:rPr>
        <w:t xml:space="preserve"> See Human Rights Watch, “Domestic workers’ rights in Qatar” (2018). Available at </w:t>
      </w:r>
      <w:hyperlink r:id="rId13" w:history="1">
        <w:r>
          <w:rPr>
            <w:rStyle w:val="Hyperlink0"/>
            <w:rFonts w:eastAsia="Arial Unicode MS" w:cs="Arial Unicode MS"/>
          </w:rPr>
          <w:t>www.hrw.org/news/2018/06/26/domestic-workers-rights-qatar</w:t>
        </w:r>
      </w:hyperlink>
      <w:r>
        <w:rPr>
          <w:rFonts w:eastAsia="Arial Unicode MS" w:cs="Arial Unicode MS"/>
        </w:rPr>
        <w:t xml:space="preserve">. </w:t>
      </w:r>
    </w:p>
  </w:footnote>
  <w:footnote w:id="33">
    <w:p w14:paraId="329B04F1" w14:textId="77777777" w:rsidR="00793F11" w:rsidRDefault="00000000">
      <w:pPr>
        <w:pStyle w:val="FootnoteText"/>
      </w:pPr>
      <w:r>
        <w:rPr>
          <w:rStyle w:val="None"/>
          <w:sz w:val="24"/>
          <w:szCs w:val="24"/>
          <w:vertAlign w:val="superscript"/>
        </w:rPr>
        <w:footnoteRef/>
      </w:r>
      <w:r>
        <w:rPr>
          <w:rFonts w:eastAsia="Arial Unicode MS" w:cs="Arial Unicode MS"/>
        </w:rPr>
        <w:t xml:space="preserve">     ILO,   </w:t>
      </w:r>
      <w:proofErr w:type="spellStart"/>
      <w:r>
        <w:rPr>
          <w:rFonts w:eastAsia="Arial Unicode MS" w:cs="Arial Unicode MS"/>
        </w:rPr>
        <w:t>Labour</w:t>
      </w:r>
      <w:proofErr w:type="spellEnd"/>
      <w:r>
        <w:rPr>
          <w:rFonts w:eastAsia="Arial Unicode MS" w:cs="Arial Unicode MS"/>
        </w:rPr>
        <w:t xml:space="preserve"> reforms in the State of Qatar </w:t>
      </w:r>
      <w:hyperlink r:id="rId14" w:history="1">
        <w:r>
          <w:rPr>
            <w:rStyle w:val="Hyperlink0"/>
            <w:rFonts w:eastAsia="Arial Unicode MS" w:cs="Arial Unicode MS"/>
          </w:rPr>
          <w:t>https://www.ilo.org/wcmsp5/groups/public/---</w:t>
        </w:r>
        <w:proofErr w:type="spellStart"/>
        <w:r>
          <w:rPr>
            <w:rStyle w:val="Hyperlink0"/>
            <w:rFonts w:eastAsia="Arial Unicode MS" w:cs="Arial Unicode MS"/>
          </w:rPr>
          <w:t>arabstates</w:t>
        </w:r>
        <w:proofErr w:type="spellEnd"/>
        <w:r>
          <w:rPr>
            <w:rStyle w:val="Hyperlink0"/>
            <w:rFonts w:eastAsia="Arial Unicode MS" w:cs="Arial Unicode MS"/>
          </w:rPr>
          <w:t>/---</w:t>
        </w:r>
        <w:proofErr w:type="spellStart"/>
        <w:r>
          <w:rPr>
            <w:rStyle w:val="Hyperlink0"/>
            <w:rFonts w:eastAsia="Arial Unicode MS" w:cs="Arial Unicode MS"/>
          </w:rPr>
          <w:t>ro-beirut</w:t>
        </w:r>
        <w:proofErr w:type="spellEnd"/>
        <w:r>
          <w:rPr>
            <w:rStyle w:val="Hyperlink0"/>
            <w:rFonts w:eastAsia="Arial Unicode MS" w:cs="Arial Unicode MS"/>
          </w:rPr>
          <w:t>/---</w:t>
        </w:r>
        <w:proofErr w:type="spellStart"/>
        <w:r>
          <w:rPr>
            <w:rStyle w:val="Hyperlink0"/>
            <w:rFonts w:eastAsia="Arial Unicode MS" w:cs="Arial Unicode MS"/>
          </w:rPr>
          <w:t>ilo-qatar</w:t>
        </w:r>
        <w:proofErr w:type="spellEnd"/>
        <w:r>
          <w:rPr>
            <w:rStyle w:val="Hyperlink0"/>
            <w:rFonts w:eastAsia="Arial Unicode MS" w:cs="Arial Unicode MS"/>
          </w:rPr>
          <w:t>/documents/publication/wcms_859843.pdf</w:t>
        </w:r>
      </w:hyperlink>
      <w:r>
        <w:rPr>
          <w:rFonts w:eastAsia="Arial Unicode MS" w:cs="Arial Unicode MS"/>
        </w:rPr>
        <w:t xml:space="preserve"> </w:t>
      </w:r>
    </w:p>
  </w:footnote>
  <w:footnote w:id="34">
    <w:p w14:paraId="001950B8" w14:textId="77777777" w:rsidR="00793F11" w:rsidRDefault="00000000">
      <w:pPr>
        <w:pStyle w:val="FootnoteText"/>
      </w:pPr>
      <w:r>
        <w:rPr>
          <w:rStyle w:val="None"/>
          <w:sz w:val="24"/>
          <w:szCs w:val="24"/>
          <w:vertAlign w:val="superscript"/>
        </w:rPr>
        <w:footnoteRef/>
      </w:r>
      <w:r>
        <w:rPr>
          <w:rFonts w:eastAsia="Arial Unicode MS" w:cs="Arial Unicode MS"/>
        </w:rPr>
        <w:t xml:space="preserve"> Fay Faraday, </w:t>
      </w:r>
      <w:r>
        <w:rPr>
          <w:rStyle w:val="None"/>
          <w:rFonts w:eastAsia="Arial Unicode MS" w:cs="Arial Unicode MS"/>
          <w:i/>
          <w:iCs/>
        </w:rPr>
        <w:t>The Empowerment of Migrant Workers in A Precarious Situation: Labor Inspection</w:t>
      </w:r>
      <w:r>
        <w:rPr>
          <w:rFonts w:eastAsia="Arial Unicode MS" w:cs="Arial Unicode MS"/>
        </w:rPr>
        <w:t xml:space="preserve"> KNOMAD PAPER 43 (Sept. 2022).</w:t>
      </w:r>
    </w:p>
  </w:footnote>
  <w:footnote w:id="35">
    <w:p w14:paraId="663A5B0A" w14:textId="77777777" w:rsidR="00793F11" w:rsidRDefault="00000000">
      <w:pPr>
        <w:pStyle w:val="FootnoteText"/>
      </w:pPr>
      <w:r>
        <w:rPr>
          <w:rStyle w:val="None"/>
          <w:sz w:val="24"/>
          <w:szCs w:val="24"/>
          <w:vertAlign w:val="superscript"/>
        </w:rPr>
        <w:footnoteRef/>
      </w:r>
      <w:r>
        <w:rPr>
          <w:rFonts w:eastAsia="Arial Unicode MS" w:cs="Arial Unicode MS"/>
        </w:rPr>
        <w:t xml:space="preserve"> Md </w:t>
      </w:r>
      <w:proofErr w:type="spellStart"/>
      <w:r>
        <w:rPr>
          <w:rFonts w:eastAsia="Arial Unicode MS" w:cs="Arial Unicode MS"/>
        </w:rPr>
        <w:t>Mizanur</w:t>
      </w:r>
      <w:proofErr w:type="spellEnd"/>
      <w:r>
        <w:rPr>
          <w:rFonts w:eastAsia="Arial Unicode MS" w:cs="Arial Unicode MS"/>
        </w:rPr>
        <w:t xml:space="preserve"> Rahman, </w:t>
      </w:r>
      <w:r>
        <w:rPr>
          <w:rStyle w:val="None"/>
          <w:rFonts w:eastAsia="Arial Unicode MS" w:cs="Arial Unicode MS"/>
          <w:i/>
          <w:iCs/>
        </w:rPr>
        <w:t>Social Change in the Gulf Region Multidisciplinary Perspectives Gulf Studies Center, College of Arts and Sciences</w:t>
      </w:r>
      <w:r>
        <w:rPr>
          <w:rFonts w:eastAsia="Arial Unicode MS" w:cs="Arial Unicode MS"/>
        </w:rPr>
        <w:t xml:space="preserve">, Qatar University, Doha, </w:t>
      </w:r>
      <w:proofErr w:type="gramStart"/>
      <w:r>
        <w:rPr>
          <w:rFonts w:eastAsia="Arial Unicode MS" w:cs="Arial Unicode MS"/>
        </w:rPr>
        <w:t>Qatar ,</w:t>
      </w:r>
      <w:proofErr w:type="gramEnd"/>
      <w:r>
        <w:rPr>
          <w:rFonts w:eastAsia="Arial Unicode MS" w:cs="Arial Unicode MS"/>
        </w:rPr>
        <w:t xml:space="preserve"> 2023.</w:t>
      </w:r>
    </w:p>
  </w:footnote>
  <w:footnote w:id="36">
    <w:p w14:paraId="67C37150" w14:textId="77777777" w:rsidR="00793F11" w:rsidRDefault="00000000">
      <w:pPr>
        <w:pStyle w:val="FootnoteText"/>
      </w:pPr>
      <w:r>
        <w:rPr>
          <w:rStyle w:val="None"/>
          <w:sz w:val="24"/>
          <w:szCs w:val="24"/>
          <w:vertAlign w:val="superscript"/>
        </w:rPr>
        <w:footnoteRef/>
      </w:r>
      <w:r>
        <w:rPr>
          <w:rFonts w:eastAsia="Arial Unicode MS" w:cs="Arial Unicode MS"/>
        </w:rPr>
        <w:t xml:space="preserve"> Human Rights Watch, “Qatar: urgently investigate migrant worker deaths” (October 2019). Available at </w:t>
      </w:r>
      <w:hyperlink r:id="rId15" w:history="1">
        <w:r>
          <w:rPr>
            <w:rStyle w:val="Hyperlink0"/>
            <w:rFonts w:eastAsia="Arial Unicode MS" w:cs="Arial Unicode MS"/>
          </w:rPr>
          <w:t>www.hrw.org/news/2019/10/10/qatar-urgently-investigate-migrant-worker-deaths</w:t>
        </w:r>
      </w:hyperlink>
      <w:r>
        <w:rPr>
          <w:rFonts w:eastAsia="Arial Unicode MS" w:cs="Arial Unicode MS"/>
        </w:rPr>
        <w:t xml:space="preserve">. </w:t>
      </w:r>
    </w:p>
  </w:footnote>
  <w:footnote w:id="37">
    <w:p w14:paraId="4FDEFA01" w14:textId="77777777" w:rsidR="00793F11" w:rsidRDefault="00000000">
      <w:pPr>
        <w:pStyle w:val="FootnoteText"/>
      </w:pPr>
      <w:r>
        <w:rPr>
          <w:rStyle w:val="None"/>
          <w:sz w:val="24"/>
          <w:szCs w:val="24"/>
          <w:vertAlign w:val="superscript"/>
        </w:rPr>
        <w:footnoteRef/>
      </w:r>
      <w:r>
        <w:rPr>
          <w:rFonts w:eastAsia="Arial Unicode MS" w:cs="Arial Unicode MS"/>
        </w:rPr>
        <w:t xml:space="preserve"> </w:t>
      </w:r>
      <w:hyperlink r:id="rId16" w:history="1">
        <w:r>
          <w:rPr>
            <w:rStyle w:val="Hyperlink0"/>
            <w:rFonts w:eastAsia="Arial Unicode MS" w:cs="Arial Unicode MS"/>
          </w:rPr>
          <w:t>https://www.gco.gov.qa/en/focus/labour-reform/#:~:text=On%2016%20January%202020%2C%20the,subject%20to%20Qatar%27s%20Labour%20Law</w:t>
        </w:r>
      </w:hyperlink>
      <w:r>
        <w:rPr>
          <w:rFonts w:eastAsia="Arial Unicode MS" w:cs="Arial Unicode MS"/>
        </w:rPr>
        <w:t xml:space="preserve">. </w:t>
      </w:r>
    </w:p>
  </w:footnote>
  <w:footnote w:id="38">
    <w:p w14:paraId="3829E071" w14:textId="77777777" w:rsidR="00793F11" w:rsidRDefault="00000000">
      <w:pPr>
        <w:pStyle w:val="FootnoteText"/>
      </w:pPr>
      <w:r>
        <w:rPr>
          <w:rStyle w:val="None"/>
          <w:color w:val="221F1F"/>
          <w:u w:color="221F1F"/>
          <w:vertAlign w:val="superscript"/>
        </w:rPr>
        <w:footnoteRef/>
      </w:r>
      <w:r>
        <w:rPr>
          <w:rFonts w:eastAsia="Arial Unicode MS" w:cs="Arial Unicode MS"/>
        </w:rPr>
        <w:t xml:space="preserve"> Ryszard Cholewinski, Uri Guttman, </w:t>
      </w:r>
      <w:r>
        <w:rPr>
          <w:rStyle w:val="None"/>
          <w:rFonts w:eastAsia="Arial Unicode MS" w:cs="Arial Unicode MS"/>
          <w:i/>
          <w:iCs/>
        </w:rPr>
        <w:t>Understanding the Kafala Migrant Labor System in Qatar and the Middle East at Large, with ILO Senior Migration Specialist Ryszard Cholewinski</w:t>
      </w:r>
      <w:r>
        <w:rPr>
          <w:rFonts w:eastAsia="Arial Unicode MS" w:cs="Arial Unicode MS"/>
        </w:rPr>
        <w:t>, 24 Georgetown Journal of International Affairs, Spring 2023, pp. 72-77.</w:t>
      </w:r>
    </w:p>
  </w:footnote>
  <w:footnote w:id="39">
    <w:p w14:paraId="39940DFE" w14:textId="77777777" w:rsidR="00793F11" w:rsidRDefault="00000000">
      <w:pPr>
        <w:pStyle w:val="FootnoteText"/>
      </w:pPr>
      <w:r>
        <w:rPr>
          <w:rStyle w:val="None"/>
          <w:sz w:val="24"/>
          <w:szCs w:val="24"/>
          <w:vertAlign w:val="superscript"/>
        </w:rPr>
        <w:footnoteRef/>
      </w:r>
      <w:r>
        <w:rPr>
          <w:rFonts w:eastAsia="Arial Unicode MS" w:cs="Arial Unicode MS"/>
        </w:rPr>
        <w:t xml:space="preserve"> Id.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86653" w14:textId="77777777" w:rsidR="00793F11" w:rsidRDefault="00793F11">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B6124"/>
    <w:multiLevelType w:val="hybridMultilevel"/>
    <w:tmpl w:val="FE6E7906"/>
    <w:styleLink w:val="ImportedStyle8"/>
    <w:lvl w:ilvl="0" w:tplc="6D302A0A">
      <w:start w:val="1"/>
      <w:numFmt w:val="lowerRoman"/>
      <w:lvlText w:val="(%1)"/>
      <w:lvlJc w:val="left"/>
      <w:pPr>
        <w:ind w:left="180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237EE34E">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21680EE">
      <w:start w:val="1"/>
      <w:numFmt w:val="lowerRoman"/>
      <w:lvlText w:val="%3."/>
      <w:lvlJc w:val="left"/>
      <w:pPr>
        <w:ind w:left="2880" w:hanging="306"/>
      </w:pPr>
      <w:rPr>
        <w:rFonts w:hAnsi="Arial Unicode MS"/>
        <w:caps w:val="0"/>
        <w:smallCaps w:val="0"/>
        <w:strike w:val="0"/>
        <w:dstrike w:val="0"/>
        <w:outline w:val="0"/>
        <w:emboss w:val="0"/>
        <w:imprint w:val="0"/>
        <w:spacing w:val="0"/>
        <w:w w:val="100"/>
        <w:kern w:val="0"/>
        <w:position w:val="0"/>
        <w:highlight w:val="none"/>
        <w:vertAlign w:val="baseline"/>
      </w:rPr>
    </w:lvl>
    <w:lvl w:ilvl="3" w:tplc="8A681B06">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1A4518E">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248AEA2">
      <w:start w:val="1"/>
      <w:numFmt w:val="lowerRoman"/>
      <w:lvlText w:val="%6."/>
      <w:lvlJc w:val="left"/>
      <w:pPr>
        <w:ind w:left="5040" w:hanging="306"/>
      </w:pPr>
      <w:rPr>
        <w:rFonts w:hAnsi="Arial Unicode MS"/>
        <w:caps w:val="0"/>
        <w:smallCaps w:val="0"/>
        <w:strike w:val="0"/>
        <w:dstrike w:val="0"/>
        <w:outline w:val="0"/>
        <w:emboss w:val="0"/>
        <w:imprint w:val="0"/>
        <w:spacing w:val="0"/>
        <w:w w:val="100"/>
        <w:kern w:val="0"/>
        <w:position w:val="0"/>
        <w:highlight w:val="none"/>
        <w:vertAlign w:val="baseline"/>
      </w:rPr>
    </w:lvl>
    <w:lvl w:ilvl="6" w:tplc="0F2A35B0">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98222CC">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69623DA">
      <w:start w:val="1"/>
      <w:numFmt w:val="lowerRoman"/>
      <w:lvlText w:val="%9."/>
      <w:lvlJc w:val="left"/>
      <w:pPr>
        <w:ind w:left="7200" w:hanging="3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6222617"/>
    <w:multiLevelType w:val="hybridMultilevel"/>
    <w:tmpl w:val="EE96B174"/>
    <w:styleLink w:val="ImportedStyle1"/>
    <w:lvl w:ilvl="0" w:tplc="43E03CAA">
      <w:start w:val="1"/>
      <w:numFmt w:val="decimal"/>
      <w:lvlText w:val="%1."/>
      <w:lvlJc w:val="left"/>
      <w:pPr>
        <w:ind w:left="1080" w:hanging="72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1" w:tplc="D81AED0E">
      <w:start w:val="1"/>
      <w:numFmt w:val="lowerLetter"/>
      <w:lvlText w:val="%2."/>
      <w:lvlJc w:val="left"/>
      <w:pPr>
        <w:ind w:left="144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2" w:tplc="F02A20B0">
      <w:start w:val="1"/>
      <w:numFmt w:val="lowerRoman"/>
      <w:lvlText w:val="%3."/>
      <w:lvlJc w:val="left"/>
      <w:pPr>
        <w:ind w:left="2160" w:hanging="321"/>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3" w:tplc="68B0ADDC">
      <w:start w:val="1"/>
      <w:numFmt w:val="decimal"/>
      <w:lvlText w:val="%4."/>
      <w:lvlJc w:val="left"/>
      <w:pPr>
        <w:ind w:left="288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4" w:tplc="3BEC53AC">
      <w:start w:val="1"/>
      <w:numFmt w:val="lowerLetter"/>
      <w:lvlText w:val="%5."/>
      <w:lvlJc w:val="left"/>
      <w:pPr>
        <w:ind w:left="360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5" w:tplc="3CE81686">
      <w:start w:val="1"/>
      <w:numFmt w:val="lowerRoman"/>
      <w:lvlText w:val="%6."/>
      <w:lvlJc w:val="left"/>
      <w:pPr>
        <w:ind w:left="4320" w:hanging="321"/>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6" w:tplc="8AB02AC0">
      <w:start w:val="1"/>
      <w:numFmt w:val="decimal"/>
      <w:lvlText w:val="%7."/>
      <w:lvlJc w:val="left"/>
      <w:pPr>
        <w:ind w:left="504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7" w:tplc="53C88BDC">
      <w:start w:val="1"/>
      <w:numFmt w:val="lowerLetter"/>
      <w:lvlText w:val="%8."/>
      <w:lvlJc w:val="left"/>
      <w:pPr>
        <w:ind w:left="576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8" w:tplc="FBCC664E">
      <w:start w:val="1"/>
      <w:numFmt w:val="lowerRoman"/>
      <w:lvlText w:val="%9."/>
      <w:lvlJc w:val="left"/>
      <w:pPr>
        <w:ind w:left="6480" w:hanging="321"/>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47C3E58"/>
    <w:multiLevelType w:val="hybridMultilevel"/>
    <w:tmpl w:val="FE6E7906"/>
    <w:numStyleLink w:val="ImportedStyle8"/>
  </w:abstractNum>
  <w:abstractNum w:abstractNumId="3" w15:restartNumberingAfterBreak="0">
    <w:nsid w:val="4CA34FC1"/>
    <w:multiLevelType w:val="hybridMultilevel"/>
    <w:tmpl w:val="B89019BA"/>
    <w:numStyleLink w:val="ImportedStyle11"/>
  </w:abstractNum>
  <w:abstractNum w:abstractNumId="4" w15:restartNumberingAfterBreak="0">
    <w:nsid w:val="7E3506F9"/>
    <w:multiLevelType w:val="hybridMultilevel"/>
    <w:tmpl w:val="EE96B174"/>
    <w:numStyleLink w:val="ImportedStyle1"/>
  </w:abstractNum>
  <w:abstractNum w:abstractNumId="5" w15:restartNumberingAfterBreak="0">
    <w:nsid w:val="7E625677"/>
    <w:multiLevelType w:val="hybridMultilevel"/>
    <w:tmpl w:val="B89019BA"/>
    <w:styleLink w:val="ImportedStyle11"/>
    <w:lvl w:ilvl="0" w:tplc="32F4490C">
      <w:start w:val="1"/>
      <w:numFmt w:val="lowerRoman"/>
      <w:lvlText w:val="(%1)"/>
      <w:lvlJc w:val="left"/>
      <w:pPr>
        <w:ind w:left="189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A01CD59E">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A608A6">
      <w:start w:val="1"/>
      <w:numFmt w:val="lowerRoman"/>
      <w:lvlText w:val="%3."/>
      <w:lvlJc w:val="left"/>
      <w:pPr>
        <w:ind w:left="2880" w:hanging="321"/>
      </w:pPr>
      <w:rPr>
        <w:rFonts w:hAnsi="Arial Unicode MS"/>
        <w:caps w:val="0"/>
        <w:smallCaps w:val="0"/>
        <w:strike w:val="0"/>
        <w:dstrike w:val="0"/>
        <w:outline w:val="0"/>
        <w:emboss w:val="0"/>
        <w:imprint w:val="0"/>
        <w:spacing w:val="0"/>
        <w:w w:val="100"/>
        <w:kern w:val="0"/>
        <w:position w:val="0"/>
        <w:highlight w:val="none"/>
        <w:vertAlign w:val="baseline"/>
      </w:rPr>
    </w:lvl>
    <w:lvl w:ilvl="3" w:tplc="21AA0398">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D84A632">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21C72A8">
      <w:start w:val="1"/>
      <w:numFmt w:val="lowerRoman"/>
      <w:lvlText w:val="%6."/>
      <w:lvlJc w:val="left"/>
      <w:pPr>
        <w:ind w:left="5040" w:hanging="306"/>
      </w:pPr>
      <w:rPr>
        <w:rFonts w:hAnsi="Arial Unicode MS"/>
        <w:caps w:val="0"/>
        <w:smallCaps w:val="0"/>
        <w:strike w:val="0"/>
        <w:dstrike w:val="0"/>
        <w:outline w:val="0"/>
        <w:emboss w:val="0"/>
        <w:imprint w:val="0"/>
        <w:spacing w:val="0"/>
        <w:w w:val="100"/>
        <w:kern w:val="0"/>
        <w:position w:val="0"/>
        <w:highlight w:val="none"/>
        <w:vertAlign w:val="baseline"/>
      </w:rPr>
    </w:lvl>
    <w:lvl w:ilvl="6" w:tplc="F2E607BA">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DDAD188">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AEA1E62">
      <w:start w:val="1"/>
      <w:numFmt w:val="lowerRoman"/>
      <w:lvlText w:val="%9."/>
      <w:lvlJc w:val="left"/>
      <w:pPr>
        <w:ind w:left="7200" w:hanging="30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896891209">
    <w:abstractNumId w:val="1"/>
  </w:num>
  <w:num w:numId="2" w16cid:durableId="1677465174">
    <w:abstractNumId w:val="4"/>
  </w:num>
  <w:num w:numId="3" w16cid:durableId="1888831288">
    <w:abstractNumId w:val="0"/>
  </w:num>
  <w:num w:numId="4" w16cid:durableId="770786116">
    <w:abstractNumId w:val="2"/>
  </w:num>
  <w:num w:numId="5" w16cid:durableId="2110151918">
    <w:abstractNumId w:val="5"/>
  </w:num>
  <w:num w:numId="6" w16cid:durableId="2150468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formatting="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F11"/>
    <w:rsid w:val="00561285"/>
    <w:rsid w:val="007859AC"/>
    <w:rsid w:val="00793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BAF68"/>
  <w15:docId w15:val="{6931C105-9EF9-4653-AEA8-14155085C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pPr>
      <w:tabs>
        <w:tab w:val="center" w:pos="4680"/>
        <w:tab w:val="right" w:pos="9360"/>
      </w:tabs>
    </w:pPr>
    <w:rPr>
      <w:rFonts w:cs="Arial Unicode MS"/>
      <w:color w:val="000000"/>
      <w:sz w:val="24"/>
      <w:szCs w:val="24"/>
      <w:u w:color="000000"/>
    </w:rPr>
  </w:style>
  <w:style w:type="paragraph" w:customStyle="1" w:styleId="Body">
    <w:name w:val="Body"/>
    <w:rPr>
      <w:rFonts w:cs="Arial Unicode MS"/>
      <w:color w:val="000000"/>
      <w:sz w:val="24"/>
      <w:szCs w:val="24"/>
      <w:u w:color="000000"/>
    </w:rPr>
  </w:style>
  <w:style w:type="paragraph" w:customStyle="1" w:styleId="BodyA">
    <w:name w:val="Body A"/>
    <w:pPr>
      <w:spacing w:after="160" w:line="259" w:lineRule="auto"/>
    </w:pPr>
    <w:rPr>
      <w:rFonts w:ascii="Calibri" w:eastAsia="Calibri" w:hAnsi="Calibri" w:cs="Calibri"/>
      <w:color w:val="000000"/>
      <w:sz w:val="22"/>
      <w:szCs w:val="22"/>
      <w:u w:color="000000"/>
    </w:rPr>
  </w:style>
  <w:style w:type="paragraph" w:styleId="FootnoteText">
    <w:name w:val="footnote text"/>
    <w:rPr>
      <w:rFonts w:eastAsia="Times New Roman"/>
      <w:color w:val="000000"/>
      <w:u w:color="000000"/>
    </w:rPr>
  </w:style>
  <w:style w:type="character" w:customStyle="1" w:styleId="Link">
    <w:name w:val="Link"/>
    <w:rPr>
      <w:color w:val="0000FF"/>
      <w:u w:val="single" w:color="0000FF"/>
    </w:rPr>
  </w:style>
  <w:style w:type="character" w:customStyle="1" w:styleId="Hyperlink0">
    <w:name w:val="Hyperlink.0"/>
    <w:basedOn w:val="Link"/>
    <w:rPr>
      <w:color w:val="000000"/>
      <w:u w:val="single" w:color="000000"/>
    </w:rPr>
  </w:style>
  <w:style w:type="numbering" w:customStyle="1" w:styleId="ImportedStyle1">
    <w:name w:val="Imported Style 1"/>
    <w:pPr>
      <w:numPr>
        <w:numId w:val="1"/>
      </w:numPr>
    </w:pPr>
  </w:style>
  <w:style w:type="character" w:customStyle="1" w:styleId="None">
    <w:name w:val="None"/>
  </w:style>
  <w:style w:type="character" w:customStyle="1" w:styleId="Hyperlink1">
    <w:name w:val="Hyperlink.1"/>
    <w:basedOn w:val="None"/>
    <w:rPr>
      <w:color w:val="0000FF"/>
      <w:sz w:val="24"/>
      <w:szCs w:val="24"/>
      <w:u w:val="single" w:color="0000FF"/>
    </w:rPr>
  </w:style>
  <w:style w:type="numbering" w:customStyle="1" w:styleId="ImportedStyle8">
    <w:name w:val="Imported Style 8"/>
    <w:pPr>
      <w:numPr>
        <w:numId w:val="3"/>
      </w:numPr>
    </w:pPr>
  </w:style>
  <w:style w:type="character" w:styleId="FootnoteReference">
    <w:name w:val="footnote reference"/>
    <w:rPr>
      <w:vertAlign w:val="superscript"/>
    </w:rPr>
  </w:style>
  <w:style w:type="numbering" w:customStyle="1" w:styleId="ImportedStyle11">
    <w:name w:val="Imported Style 11"/>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footnotes.xml.rels><?xml version="1.0" encoding="UTF-8" standalone="yes"?>
<Relationships xmlns="http://schemas.openxmlformats.org/package/2006/relationships"><Relationship Id="rId8" Type="http://schemas.openxmlformats.org/officeDocument/2006/relationships/hyperlink" Target="https://journals.sagepub.com/doi/full/10.1177/09646639231214725" TargetMode="External"/><Relationship Id="rId13" Type="http://schemas.openxmlformats.org/officeDocument/2006/relationships/hyperlink" Target="http://www.hrw.org/news/2018/06/26/domestic-workers-rights-qatar" TargetMode="External"/><Relationship Id="rId3" Type="http://schemas.openxmlformats.org/officeDocument/2006/relationships/hyperlink" Target="https://www.vision2030.gov.sa/v2030/overview/" TargetMode="External"/><Relationship Id="rId7" Type="http://schemas.openxmlformats.org/officeDocument/2006/relationships/hyperlink" Target="https://www.mofa.gov.qa/docs/default-source/human-rights/english-new2.pdf" TargetMode="External"/><Relationship Id="rId12" Type="http://schemas.openxmlformats.org/officeDocument/2006/relationships/hyperlink" Target="https://journals.sagepub.com/doi/full/10.1177/09646639231214725" TargetMode="External"/><Relationship Id="rId2" Type="http://schemas.openxmlformats.org/officeDocument/2006/relationships/hyperlink" Target="https://www.ilo.org/beirut/countries/qatar/" TargetMode="External"/><Relationship Id="rId16" Type="http://schemas.openxmlformats.org/officeDocument/2006/relationships/hyperlink" Target="https://www.gco.gov.qa/en/focus/labour-reform/#:~:text=On%252016%2520January%25202020%252C%2520the,subject%2520to%2520Qatar%2527s%2520Labour%2520Law" TargetMode="External"/><Relationship Id="rId1" Type="http://schemas.openxmlformats.org/officeDocument/2006/relationships/hyperlink" Target="https://www.amnesty.org/en/latest/news/2018/06/qatar-finally-joins-two-key-human-rights-treaties-but-what-does-it-really-mean-for-migrant-workers/#:~:text=By%2520ratifying%2520the%2520International%2520Covenant,everybody%2520within%2520its%2520territory%252C%2520without" TargetMode="External"/><Relationship Id="rId6" Type="http://schemas.openxmlformats.org/officeDocument/2006/relationships/hyperlink" Target="https://cadmus.eui.eu/handle/1814/32431" TargetMode="External"/><Relationship Id="rId11" Type="http://schemas.openxmlformats.org/officeDocument/2006/relationships/hyperlink" Target="http://www.ilo.org/dyn/natlex/natlex4.detail?p_lang=en&amp;p_isn=102231" TargetMode="External"/><Relationship Id="rId5" Type="http://schemas.openxmlformats.org/officeDocument/2006/relationships/hyperlink" Target="https://www.psa.gov.qa/en/statistics1/StatisticsSite/Pages/Population.aspx" TargetMode="External"/><Relationship Id="rId15" Type="http://schemas.openxmlformats.org/officeDocument/2006/relationships/hyperlink" Target="http://www.hrw.org/news/2019/10/10/qatar-urgently-investigate-migrant-worker-deaths" TargetMode="External"/><Relationship Id="rId10" Type="http://schemas.openxmlformats.org/officeDocument/2006/relationships/hyperlink" Target="https://thepeninsulaqatar.com/article/16/01" TargetMode="External"/><Relationship Id="rId4" Type="http://schemas.openxmlformats.org/officeDocument/2006/relationships/hyperlink" Target="https://www.gco.gov.qa/en/about-qatar/national-vision2030/" TargetMode="External"/><Relationship Id="rId9" Type="http://schemas.openxmlformats.org/officeDocument/2006/relationships/hyperlink" Target="https://www.theguardian.com/global-development/2023/mar/27/qatar-world-cup-migrant-workers-stranded-jobless" TargetMode="External"/><Relationship Id="rId14" Type="http://schemas.openxmlformats.org/officeDocument/2006/relationships/hyperlink" Target="https://www.ilo.org/wcmsp5/groups/public/---arabstates/---ro-beirut/---ilo-qatar/documents/publication/wcms_859843.pdf"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6357</Words>
  <Characters>36235</Characters>
  <Application>Microsoft Office Word</Application>
  <DocSecurity>0</DocSecurity>
  <Lines>301</Lines>
  <Paragraphs>85</Paragraphs>
  <ScaleCrop>false</ScaleCrop>
  <Company>IMF</Company>
  <LinksUpToDate>false</LinksUpToDate>
  <CharactersWithSpaces>42507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Saungweme, Sekai</dc:creator>
  <cp:lastModifiedBy>Saungweme, Sekai</cp:lastModifiedBy>
  <cp:revision>2</cp:revision>
  <dcterms:created xsi:type="dcterms:W3CDTF">2024-03-26T15:10:00Z</dcterms:created>
  <dcterms:modified xsi:type="dcterms:W3CDTF">2024-03-26T15:10:00Z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07ed86-5dc5-4593-ad03-a8684b843815_Enabled">
    <vt:lpwstr>true</vt:lpwstr>
  </property>
  <property fmtid="{D5CDD505-2E9C-101B-9397-08002B2CF9AE}" pid="3" name="MSIP_Label_0c07ed86-5dc5-4593-ad03-a8684b843815_SetDate">
    <vt:lpwstr>2024-03-26T15:10:13Z</vt:lpwstr>
  </property>
  <property fmtid="{D5CDD505-2E9C-101B-9397-08002B2CF9AE}" pid="4" name="MSIP_Label_0c07ed86-5dc5-4593-ad03-a8684b843815_Method">
    <vt:lpwstr>Standard</vt:lpwstr>
  </property>
  <property fmtid="{D5CDD505-2E9C-101B-9397-08002B2CF9AE}" pid="5" name="MSIP_Label_0c07ed86-5dc5-4593-ad03-a8684b843815_Name">
    <vt:lpwstr>0c07ed86-5dc5-4593-ad03-a8684b843815</vt:lpwstr>
  </property>
  <property fmtid="{D5CDD505-2E9C-101B-9397-08002B2CF9AE}" pid="6" name="MSIP_Label_0c07ed86-5dc5-4593-ad03-a8684b843815_SiteId">
    <vt:lpwstr>8085fa43-302e-45bd-b171-a6648c3b6be7</vt:lpwstr>
  </property>
  <property fmtid="{D5CDD505-2E9C-101B-9397-08002B2CF9AE}" pid="7" name="MSIP_Label_0c07ed86-5dc5-4593-ad03-a8684b843815_ActionId">
    <vt:lpwstr>45fd8580-7be0-40e9-8121-d2b793f34e65</vt:lpwstr>
  </property>
  <property fmtid="{D5CDD505-2E9C-101B-9397-08002B2CF9AE}" pid="8" name="MSIP_Label_0c07ed86-5dc5-4593-ad03-a8684b843815_ContentBits">
    <vt:lpwstr>0</vt:lpwstr>
  </property>
</Properties>
</file>