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7E44" w:rsidRPr="009F7C3F" w:rsidRDefault="00687E44" w:rsidP="00853E02">
      <w:pPr>
        <w:rPr>
          <w:lang w:val="en-GB"/>
        </w:rPr>
      </w:pPr>
    </w:p>
    <w:p w:rsidR="00354C38" w:rsidRPr="009F7C3F" w:rsidRDefault="00354C38" w:rsidP="00853E02">
      <w:pPr>
        <w:rPr>
          <w:lang w:val="en-GB"/>
        </w:rPr>
        <w:sectPr w:rsidR="00354C38" w:rsidRPr="009F7C3F" w:rsidSect="00852F81">
          <w:headerReference w:type="default" r:id="rId9"/>
          <w:footerReference w:type="default" r:id="rId10"/>
          <w:headerReference w:type="first" r:id="rId11"/>
          <w:footerReference w:type="first" r:id="rId12"/>
          <w:endnotePr>
            <w:numFmt w:val="decimal"/>
          </w:endnotePr>
          <w:pgSz w:w="11906" w:h="16838" w:code="9"/>
          <w:pgMar w:top="2211" w:right="1418" w:bottom="1418" w:left="2036" w:header="709" w:footer="709" w:gutter="0"/>
          <w:cols w:space="708"/>
          <w:titlePg/>
          <w:docGrid w:linePitch="360"/>
        </w:sectPr>
      </w:pPr>
    </w:p>
    <w:p w:rsidR="00FD0F50" w:rsidRPr="009F7C3F" w:rsidRDefault="00206728" w:rsidP="00B62459">
      <w:pPr>
        <w:pStyle w:val="Titregnral"/>
        <w:rPr>
          <w:lang w:val="en-GB"/>
        </w:rPr>
      </w:pPr>
      <w:r w:rsidRPr="009F7C3F">
        <w:rPr>
          <w:lang w:val="en-GB"/>
        </w:rPr>
        <w:lastRenderedPageBreak/>
        <w:t xml:space="preserve">UN </w:t>
      </w:r>
      <w:r w:rsidR="00EB014C" w:rsidRPr="009F7C3F">
        <w:rPr>
          <w:lang w:val="en-GB"/>
        </w:rPr>
        <w:t>Human Rights Committee</w:t>
      </w:r>
      <w:r w:rsidR="00EB014C" w:rsidRPr="009F7C3F">
        <w:rPr>
          <w:lang w:val="en-GB"/>
        </w:rPr>
        <w:br/>
      </w:r>
      <w:r w:rsidR="00B62459" w:rsidRPr="009F7C3F">
        <w:rPr>
          <w:lang w:val="en-GB"/>
        </w:rPr>
        <w:t>118</w:t>
      </w:r>
      <w:r w:rsidR="00EB014C" w:rsidRPr="009F7C3F">
        <w:rPr>
          <w:vertAlign w:val="superscript"/>
          <w:lang w:val="en-GB"/>
        </w:rPr>
        <w:t>th</w:t>
      </w:r>
      <w:r w:rsidR="00EB014C" w:rsidRPr="009F7C3F">
        <w:rPr>
          <w:lang w:val="en-GB"/>
        </w:rPr>
        <w:t xml:space="preserve"> Session (</w:t>
      </w:r>
      <w:r w:rsidR="00B62459" w:rsidRPr="009F7C3F">
        <w:rPr>
          <w:lang w:val="en-GB"/>
        </w:rPr>
        <w:t>17</w:t>
      </w:r>
      <w:r w:rsidR="00B62459" w:rsidRPr="009F7C3F">
        <w:rPr>
          <w:vertAlign w:val="superscript"/>
          <w:lang w:val="en-GB"/>
        </w:rPr>
        <w:t>th</w:t>
      </w:r>
      <w:r w:rsidR="00B62459" w:rsidRPr="009F7C3F">
        <w:rPr>
          <w:lang w:val="en-GB"/>
        </w:rPr>
        <w:t xml:space="preserve"> Oct –</w:t>
      </w:r>
      <w:r w:rsidR="00AB54C9">
        <w:rPr>
          <w:lang w:val="en-GB"/>
        </w:rPr>
        <w:t xml:space="preserve"> </w:t>
      </w:r>
      <w:r w:rsidR="00B62459" w:rsidRPr="009F7C3F">
        <w:rPr>
          <w:lang w:val="en-GB"/>
        </w:rPr>
        <w:t>4</w:t>
      </w:r>
      <w:r w:rsidR="00B62459" w:rsidRPr="009F7C3F">
        <w:rPr>
          <w:vertAlign w:val="superscript"/>
          <w:lang w:val="en-GB"/>
        </w:rPr>
        <w:t>th</w:t>
      </w:r>
      <w:r w:rsidR="00B62459" w:rsidRPr="009F7C3F">
        <w:rPr>
          <w:lang w:val="en-GB"/>
        </w:rPr>
        <w:t xml:space="preserve"> Nov 2016</w:t>
      </w:r>
      <w:r w:rsidR="00EB014C" w:rsidRPr="009F7C3F">
        <w:rPr>
          <w:lang w:val="en-GB"/>
        </w:rPr>
        <w:t>)</w:t>
      </w:r>
    </w:p>
    <w:p w:rsidR="001808F4" w:rsidRPr="009F7C3F" w:rsidRDefault="00206728" w:rsidP="00B62459">
      <w:pPr>
        <w:pStyle w:val="Titresujet"/>
        <w:rPr>
          <w:lang w:val="en-GB"/>
        </w:rPr>
      </w:pPr>
      <w:r w:rsidRPr="009F7C3F">
        <w:rPr>
          <w:lang w:val="en-GB"/>
        </w:rPr>
        <w:t xml:space="preserve">APT submission on </w:t>
      </w:r>
      <w:r w:rsidR="00B62459" w:rsidRPr="009F7C3F">
        <w:rPr>
          <w:lang w:val="en-GB"/>
        </w:rPr>
        <w:t>Morocco</w:t>
      </w:r>
    </w:p>
    <w:p w:rsidR="00FD0F50" w:rsidRPr="009F7C3F" w:rsidRDefault="00AB54C9" w:rsidP="00846E93">
      <w:pPr>
        <w:pStyle w:val="Datedecration"/>
        <w:rPr>
          <w:lang w:val="en-GB"/>
        </w:rPr>
      </w:pPr>
      <w:r>
        <w:rPr>
          <w:lang w:val="en-GB"/>
        </w:rPr>
        <w:t xml:space="preserve">19 </w:t>
      </w:r>
      <w:r w:rsidR="00A74CB1" w:rsidRPr="009F7C3F">
        <w:rPr>
          <w:lang w:val="en-GB"/>
        </w:rPr>
        <w:t>September 2016</w:t>
      </w:r>
    </w:p>
    <w:p w:rsidR="001B7FA4" w:rsidRPr="009F7C3F" w:rsidRDefault="001B7FA4" w:rsidP="00206728">
      <w:pPr>
        <w:rPr>
          <w:lang w:val="en-GB"/>
        </w:rPr>
      </w:pPr>
    </w:p>
    <w:p w:rsidR="00EB014C" w:rsidRPr="009F7C3F" w:rsidRDefault="00206728" w:rsidP="00A74CB1">
      <w:pPr>
        <w:rPr>
          <w:lang w:val="en-GB"/>
        </w:rPr>
      </w:pPr>
      <w:r w:rsidRPr="009F7C3F">
        <w:rPr>
          <w:lang w:val="en-GB"/>
        </w:rPr>
        <w:t xml:space="preserve">Alternative report from the Association for the Prevention of Torture (APT) to the </w:t>
      </w:r>
      <w:r w:rsidR="00EB014C" w:rsidRPr="009F7C3F">
        <w:rPr>
          <w:lang w:val="en-GB"/>
        </w:rPr>
        <w:t xml:space="preserve">Human Rights Committee on the national implementation of articles 2(2) and 7 of the Covenant in relation to </w:t>
      </w:r>
      <w:r w:rsidR="00A74CB1" w:rsidRPr="009F7C3F">
        <w:rPr>
          <w:b/>
          <w:lang w:val="en-GB"/>
        </w:rPr>
        <w:t>Morocco</w:t>
      </w:r>
      <w:r w:rsidR="00EB014C" w:rsidRPr="009F7C3F">
        <w:rPr>
          <w:lang w:val="en-GB"/>
        </w:rPr>
        <w:t xml:space="preserve">, whose </w:t>
      </w:r>
      <w:r w:rsidR="00A74CB1" w:rsidRPr="009F7C3F">
        <w:rPr>
          <w:lang w:val="en-GB"/>
        </w:rPr>
        <w:t>sixth</w:t>
      </w:r>
      <w:r w:rsidR="00EB014C" w:rsidRPr="009F7C3F">
        <w:rPr>
          <w:lang w:val="en-GB"/>
        </w:rPr>
        <w:t xml:space="preserve"> report will be considered by the Committee during its </w:t>
      </w:r>
      <w:r w:rsidR="00A74CB1" w:rsidRPr="009F7C3F">
        <w:rPr>
          <w:lang w:val="en-GB"/>
        </w:rPr>
        <w:t>118</w:t>
      </w:r>
      <w:r w:rsidR="00EB014C" w:rsidRPr="009F7C3F">
        <w:rPr>
          <w:vertAlign w:val="superscript"/>
          <w:lang w:val="en-GB"/>
        </w:rPr>
        <w:t>th</w:t>
      </w:r>
      <w:r w:rsidR="00EB014C" w:rsidRPr="009F7C3F">
        <w:rPr>
          <w:lang w:val="en-GB"/>
        </w:rPr>
        <w:t xml:space="preserve"> session in Geneva.</w:t>
      </w:r>
    </w:p>
    <w:p w:rsidR="001B7FA4" w:rsidRPr="009F7C3F" w:rsidRDefault="001B7FA4" w:rsidP="00206728">
      <w:pPr>
        <w:rPr>
          <w:lang w:val="en-GB"/>
        </w:rPr>
      </w:pPr>
    </w:p>
    <w:p w:rsidR="00852F81" w:rsidRPr="009F7C3F" w:rsidRDefault="00852F81" w:rsidP="00206728">
      <w:pPr>
        <w:rPr>
          <w:lang w:val="en-GB"/>
        </w:rPr>
      </w:pPr>
    </w:p>
    <w:p w:rsidR="00852F81" w:rsidRPr="009F7C3F" w:rsidRDefault="00852F81" w:rsidP="00206728">
      <w:pPr>
        <w:rPr>
          <w:lang w:val="en-GB"/>
        </w:rPr>
      </w:pPr>
    </w:p>
    <w:p w:rsidR="00AB09E6" w:rsidRPr="009F7C3F" w:rsidRDefault="00AB09E6" w:rsidP="00206728">
      <w:pPr>
        <w:rPr>
          <w:lang w:val="en-GB"/>
        </w:rPr>
      </w:pPr>
    </w:p>
    <w:p w:rsidR="00853E02" w:rsidRPr="009F7C3F" w:rsidRDefault="00853E02" w:rsidP="00853E02">
      <w:pPr>
        <w:rPr>
          <w:lang w:val="en-GB"/>
        </w:rPr>
      </w:pPr>
    </w:p>
    <w:p w:rsidR="00206728" w:rsidRPr="009F7C3F" w:rsidRDefault="00206728">
      <w:pPr>
        <w:spacing w:after="200" w:line="276" w:lineRule="auto"/>
        <w:jc w:val="left"/>
        <w:rPr>
          <w:rFonts w:eastAsia="Times New Roman"/>
          <w:b/>
          <w:bCs/>
          <w:kern w:val="36"/>
          <w:sz w:val="24"/>
          <w:szCs w:val="24"/>
          <w:lang w:val="en-GB" w:eastAsia="fr-FR"/>
        </w:rPr>
      </w:pPr>
      <w:r w:rsidRPr="009F7C3F">
        <w:rPr>
          <w:lang w:val="en-GB"/>
        </w:rPr>
        <w:br w:type="page"/>
      </w:r>
    </w:p>
    <w:p w:rsidR="00C17749" w:rsidRPr="009F7C3F" w:rsidRDefault="00EB014C" w:rsidP="009F7C3F">
      <w:pPr>
        <w:pStyle w:val="Heading1"/>
      </w:pPr>
      <w:r w:rsidRPr="009F7C3F">
        <w:lastRenderedPageBreak/>
        <w:t>Summary</w:t>
      </w:r>
    </w:p>
    <w:p w:rsidR="00CA5907" w:rsidRPr="009F7C3F" w:rsidRDefault="00EB014C" w:rsidP="00EB014C">
      <w:pPr>
        <w:rPr>
          <w:lang w:val="en-GB"/>
        </w:rPr>
      </w:pPr>
      <w:r w:rsidRPr="009F7C3F">
        <w:rPr>
          <w:lang w:val="en-GB"/>
        </w:rPr>
        <w:t xml:space="preserve">The Optional Protocol to the UN Convention against Torture and other Cruel, Inhuman or Degrading Treatment or Punishment (OPCAT) is </w:t>
      </w:r>
      <w:r w:rsidR="005763F7" w:rsidRPr="009F7C3F">
        <w:rPr>
          <w:lang w:val="en-GB"/>
        </w:rPr>
        <w:t>recognised</w:t>
      </w:r>
      <w:r w:rsidRPr="009F7C3F">
        <w:rPr>
          <w:lang w:val="en-GB"/>
        </w:rPr>
        <w:t xml:space="preserve"> as a particularly effective way of preventing torture.</w:t>
      </w:r>
    </w:p>
    <w:p w:rsidR="00CA5907" w:rsidRPr="009F7C3F" w:rsidRDefault="00CA5907" w:rsidP="00EB014C">
      <w:pPr>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7208"/>
      </w:tblGrid>
      <w:tr w:rsidR="004B12E1" w:rsidRPr="009F7C3F" w:rsidTr="00852F81">
        <w:tc>
          <w:tcPr>
            <w:tcW w:w="1384" w:type="dxa"/>
          </w:tcPr>
          <w:p w:rsidR="004B12E1" w:rsidRPr="009F7C3F" w:rsidRDefault="004B12E1" w:rsidP="00EB014C">
            <w:pPr>
              <w:rPr>
                <w:b/>
                <w:bCs/>
                <w:lang w:val="en-GB"/>
              </w:rPr>
            </w:pPr>
            <w:r w:rsidRPr="009F7C3F">
              <w:rPr>
                <w:b/>
                <w:bCs/>
                <w:lang w:val="en-GB"/>
              </w:rPr>
              <w:t>OPCAT</w:t>
            </w:r>
          </w:p>
        </w:tc>
        <w:tc>
          <w:tcPr>
            <w:tcW w:w="7208" w:type="dxa"/>
          </w:tcPr>
          <w:p w:rsidR="004B12E1" w:rsidRPr="009F7C3F" w:rsidRDefault="00852F81" w:rsidP="00852F81">
            <w:pPr>
              <w:rPr>
                <w:lang w:val="en-GB"/>
              </w:rPr>
            </w:pPr>
            <w:r w:rsidRPr="009F7C3F">
              <w:rPr>
                <w:lang w:val="en-GB"/>
              </w:rPr>
              <w:t>R</w:t>
            </w:r>
            <w:r w:rsidR="004B12E1" w:rsidRPr="009F7C3F">
              <w:rPr>
                <w:lang w:val="en-GB"/>
              </w:rPr>
              <w:t>atified on 24</w:t>
            </w:r>
            <w:r w:rsidR="004B12E1" w:rsidRPr="009F7C3F">
              <w:rPr>
                <w:vertAlign w:val="superscript"/>
                <w:lang w:val="en-GB"/>
              </w:rPr>
              <w:t>th</w:t>
            </w:r>
            <w:r w:rsidR="004B12E1" w:rsidRPr="009F7C3F">
              <w:rPr>
                <w:lang w:val="en-GB"/>
              </w:rPr>
              <w:t xml:space="preserve"> November 2014. </w:t>
            </w:r>
          </w:p>
        </w:tc>
      </w:tr>
      <w:tr w:rsidR="004B12E1" w:rsidRPr="009F7C3F" w:rsidTr="00852F81">
        <w:tc>
          <w:tcPr>
            <w:tcW w:w="1384" w:type="dxa"/>
          </w:tcPr>
          <w:p w:rsidR="004B12E1" w:rsidRPr="009F7C3F" w:rsidRDefault="00852F81" w:rsidP="00EB014C">
            <w:pPr>
              <w:rPr>
                <w:b/>
                <w:bCs/>
                <w:lang w:val="en-GB"/>
              </w:rPr>
            </w:pPr>
            <w:r w:rsidRPr="009F7C3F">
              <w:rPr>
                <w:b/>
                <w:bCs/>
                <w:lang w:val="en-GB"/>
              </w:rPr>
              <w:t>UN</w:t>
            </w:r>
            <w:r w:rsidR="004B12E1" w:rsidRPr="009F7C3F">
              <w:rPr>
                <w:b/>
                <w:bCs/>
                <w:lang w:val="en-GB"/>
              </w:rPr>
              <w:t>CAT</w:t>
            </w:r>
          </w:p>
        </w:tc>
        <w:tc>
          <w:tcPr>
            <w:tcW w:w="7208" w:type="dxa"/>
          </w:tcPr>
          <w:p w:rsidR="004B12E1" w:rsidRPr="009F7C3F" w:rsidRDefault="00CA5907" w:rsidP="00CA5907">
            <w:pPr>
              <w:rPr>
                <w:lang w:val="en-GB"/>
              </w:rPr>
            </w:pPr>
            <w:r w:rsidRPr="009F7C3F">
              <w:rPr>
                <w:lang w:val="en-GB"/>
              </w:rPr>
              <w:t>Ratified 21</w:t>
            </w:r>
            <w:r w:rsidRPr="009F7C3F">
              <w:rPr>
                <w:vertAlign w:val="superscript"/>
                <w:lang w:val="en-GB"/>
              </w:rPr>
              <w:t>st</w:t>
            </w:r>
            <w:r w:rsidRPr="009F7C3F">
              <w:rPr>
                <w:lang w:val="en-GB"/>
              </w:rPr>
              <w:t xml:space="preserve"> June 1993. </w:t>
            </w:r>
            <w:r w:rsidR="004B12E1" w:rsidRPr="009F7C3F">
              <w:rPr>
                <w:lang w:val="en-GB"/>
              </w:rPr>
              <w:t xml:space="preserve">Fifth periodic report </w:t>
            </w:r>
            <w:r w:rsidRPr="009F7C3F">
              <w:rPr>
                <w:lang w:val="en-GB"/>
              </w:rPr>
              <w:t>examined in</w:t>
            </w:r>
            <w:r w:rsidR="004B12E1" w:rsidRPr="009F7C3F">
              <w:rPr>
                <w:lang w:val="en-GB"/>
              </w:rPr>
              <w:t xml:space="preserve"> May 2013.</w:t>
            </w:r>
          </w:p>
        </w:tc>
      </w:tr>
      <w:tr w:rsidR="004B12E1" w:rsidRPr="009F7C3F" w:rsidTr="00852F81">
        <w:tc>
          <w:tcPr>
            <w:tcW w:w="1384" w:type="dxa"/>
          </w:tcPr>
          <w:p w:rsidR="004B12E1" w:rsidRPr="009F7C3F" w:rsidRDefault="004B12E1" w:rsidP="00EB014C">
            <w:pPr>
              <w:rPr>
                <w:b/>
                <w:bCs/>
                <w:lang w:val="en-GB"/>
              </w:rPr>
            </w:pPr>
            <w:r w:rsidRPr="009F7C3F">
              <w:rPr>
                <w:b/>
                <w:bCs/>
                <w:lang w:val="en-GB"/>
              </w:rPr>
              <w:t>SRT</w:t>
            </w:r>
          </w:p>
        </w:tc>
        <w:tc>
          <w:tcPr>
            <w:tcW w:w="7208" w:type="dxa"/>
          </w:tcPr>
          <w:p w:rsidR="004B12E1" w:rsidRPr="009F7C3F" w:rsidRDefault="00CA5907" w:rsidP="00BA418D">
            <w:pPr>
              <w:rPr>
                <w:lang w:val="en-GB"/>
              </w:rPr>
            </w:pPr>
            <w:r w:rsidRPr="009F7C3F">
              <w:rPr>
                <w:lang w:val="en-GB"/>
              </w:rPr>
              <w:t>Last v</w:t>
            </w:r>
            <w:r w:rsidR="004B12E1" w:rsidRPr="009F7C3F">
              <w:rPr>
                <w:lang w:val="en-GB"/>
              </w:rPr>
              <w:t xml:space="preserve">isit of Special Rapporteur on torture, Juan Méndez, </w:t>
            </w:r>
            <w:r w:rsidRPr="009F7C3F">
              <w:rPr>
                <w:lang w:val="en-GB"/>
              </w:rPr>
              <w:t xml:space="preserve">from </w:t>
            </w:r>
            <w:r w:rsidR="004B12E1" w:rsidRPr="009F7C3F">
              <w:rPr>
                <w:lang w:val="en-GB"/>
              </w:rPr>
              <w:t>15 to 22 September 2012.</w:t>
            </w:r>
          </w:p>
        </w:tc>
      </w:tr>
    </w:tbl>
    <w:p w:rsidR="00206728" w:rsidRPr="009F7C3F" w:rsidRDefault="00EB014C" w:rsidP="009F7C3F">
      <w:pPr>
        <w:pStyle w:val="Heading1"/>
      </w:pPr>
      <w:r w:rsidRPr="009F7C3F">
        <w:t>The role of the OPCAT in the prevention of torture</w:t>
      </w:r>
    </w:p>
    <w:p w:rsidR="00EB014C" w:rsidRPr="009F7C3F" w:rsidRDefault="00EB014C" w:rsidP="00EB014C">
      <w:pPr>
        <w:rPr>
          <w:lang w:val="en-GB"/>
        </w:rPr>
      </w:pPr>
      <w:r w:rsidRPr="009F7C3F">
        <w:rPr>
          <w:lang w:val="en-GB"/>
        </w:rPr>
        <w:t>The risk of torture and other ill-treatment exist in all situations where people are deprived of their liberty, particularly in places closed to the outside world.</w:t>
      </w:r>
    </w:p>
    <w:p w:rsidR="00EB014C" w:rsidRPr="009F7C3F" w:rsidRDefault="00EB014C" w:rsidP="00EB014C">
      <w:pPr>
        <w:rPr>
          <w:lang w:val="en-GB"/>
        </w:rPr>
      </w:pPr>
      <w:r w:rsidRPr="009F7C3F">
        <w:rPr>
          <w:lang w:val="en-GB"/>
        </w:rPr>
        <w:t>The Optional Protocol to the UN Convention against Torture and other Cruel, Inhuman or Degrading Treatment or Punishment (OPCAT) was adopted by the UN General Assembly in 2002 and came into force in 2006. It aims to minimise the risks of abuse by opening up prisons, police stations, mental health institutions and all other places of detention to examination by independent watchdogs.</w:t>
      </w:r>
    </w:p>
    <w:p w:rsidR="00EB014C" w:rsidRPr="009F7C3F" w:rsidRDefault="00EB014C" w:rsidP="00852F81">
      <w:pPr>
        <w:rPr>
          <w:lang w:val="en-GB"/>
        </w:rPr>
      </w:pPr>
      <w:r w:rsidRPr="009F7C3F">
        <w:rPr>
          <w:lang w:val="en-GB"/>
        </w:rPr>
        <w:t>The basic premise behind the OPCAT is that the more open and transparent places of detention are, the lesser the risk for abuse.</w:t>
      </w:r>
    </w:p>
    <w:p w:rsidR="00EB014C" w:rsidRPr="009F7C3F" w:rsidRDefault="00EB014C" w:rsidP="009F7C3F">
      <w:pPr>
        <w:pStyle w:val="Heading1"/>
        <w:rPr>
          <w:lang w:eastAsia="en-US"/>
        </w:rPr>
      </w:pPr>
      <w:r w:rsidRPr="009F7C3F">
        <w:t xml:space="preserve">Background information on </w:t>
      </w:r>
      <w:r w:rsidR="005763F7" w:rsidRPr="009F7C3F">
        <w:t>Morocco</w:t>
      </w:r>
    </w:p>
    <w:p w:rsidR="005763F7" w:rsidRPr="009F7C3F" w:rsidRDefault="005763F7" w:rsidP="005763F7">
      <w:pPr>
        <w:rPr>
          <w:lang w:val="en-GB"/>
        </w:rPr>
      </w:pPr>
      <w:r w:rsidRPr="009F7C3F">
        <w:rPr>
          <w:lang w:val="en-GB"/>
        </w:rPr>
        <w:t>Morocco ratified</w:t>
      </w:r>
      <w:r w:rsidR="00564F8C" w:rsidRPr="009F7C3F">
        <w:rPr>
          <w:lang w:val="en-GB"/>
        </w:rPr>
        <w:t xml:space="preserve"> the OPCAT</w:t>
      </w:r>
      <w:r w:rsidRPr="009F7C3F">
        <w:rPr>
          <w:lang w:val="en-GB"/>
        </w:rPr>
        <w:t xml:space="preserve"> </w:t>
      </w:r>
      <w:r w:rsidR="00CA5907" w:rsidRPr="009F7C3F">
        <w:rPr>
          <w:lang w:val="en-GB"/>
        </w:rPr>
        <w:t>in</w:t>
      </w:r>
      <w:r w:rsidRPr="009F7C3F">
        <w:rPr>
          <w:lang w:val="en-GB"/>
        </w:rPr>
        <w:t xml:space="preserve"> November 2014. </w:t>
      </w:r>
      <w:r w:rsidR="00852F81" w:rsidRPr="009F7C3F">
        <w:rPr>
          <w:lang w:val="en-GB"/>
        </w:rPr>
        <w:t>T</w:t>
      </w:r>
      <w:r w:rsidRPr="009F7C3F">
        <w:rPr>
          <w:lang w:val="en-GB"/>
        </w:rPr>
        <w:t xml:space="preserve">he Kingdom of Morocco is hence </w:t>
      </w:r>
      <w:r w:rsidR="00852F81" w:rsidRPr="009F7C3F">
        <w:rPr>
          <w:lang w:val="en-GB"/>
        </w:rPr>
        <w:t>committed to the creation of a national mechanism for the prevention of t</w:t>
      </w:r>
      <w:r w:rsidRPr="009F7C3F">
        <w:rPr>
          <w:lang w:val="en-GB"/>
        </w:rPr>
        <w:t>orture (NPM)</w:t>
      </w:r>
      <w:r w:rsidR="00852F81" w:rsidRPr="009F7C3F">
        <w:rPr>
          <w:lang w:val="en-GB"/>
        </w:rPr>
        <w:t xml:space="preserve"> and was required t</w:t>
      </w:r>
      <w:r w:rsidRPr="009F7C3F">
        <w:rPr>
          <w:lang w:val="en-GB"/>
        </w:rPr>
        <w:t>o fulfil its obligations under the OPCAT by 25</w:t>
      </w:r>
      <w:r w:rsidRPr="009F7C3F">
        <w:rPr>
          <w:vertAlign w:val="superscript"/>
          <w:lang w:val="en-GB"/>
        </w:rPr>
        <w:t>th</w:t>
      </w:r>
      <w:r w:rsidRPr="009F7C3F">
        <w:rPr>
          <w:lang w:val="en-GB"/>
        </w:rPr>
        <w:t xml:space="preserve"> December 2015.</w:t>
      </w:r>
    </w:p>
    <w:p w:rsidR="005763F7" w:rsidRPr="009F7C3F" w:rsidRDefault="005763F7" w:rsidP="005763F7">
      <w:pPr>
        <w:rPr>
          <w:lang w:val="en-GB"/>
        </w:rPr>
      </w:pPr>
      <w:r w:rsidRPr="009F7C3F">
        <w:rPr>
          <w:lang w:val="en-GB"/>
        </w:rPr>
        <w:t xml:space="preserve">The Moroccan National Council for Human Rights Institution (CNDH) has submitted a </w:t>
      </w:r>
      <w:r w:rsidR="00CA5907" w:rsidRPr="009F7C3F">
        <w:rPr>
          <w:lang w:val="en-GB"/>
        </w:rPr>
        <w:t>draft</w:t>
      </w:r>
      <w:r w:rsidRPr="009F7C3F">
        <w:rPr>
          <w:lang w:val="en-GB"/>
        </w:rPr>
        <w:t xml:space="preserve"> law to the Government suggesting to incorporate the NPM mandate within the structure of the CNDH;</w:t>
      </w:r>
      <w:r w:rsidR="00CA5907" w:rsidRPr="009F7C3F">
        <w:rPr>
          <w:lang w:val="en-GB"/>
        </w:rPr>
        <w:t xml:space="preserve"> a s</w:t>
      </w:r>
      <w:r w:rsidRPr="009F7C3F">
        <w:rPr>
          <w:lang w:val="en-GB"/>
        </w:rPr>
        <w:t xml:space="preserve">tatus </w:t>
      </w:r>
      <w:r w:rsidR="00CA5907" w:rsidRPr="009F7C3F">
        <w:rPr>
          <w:lang w:val="en-GB"/>
        </w:rPr>
        <w:t>‘A’</w:t>
      </w:r>
      <w:r w:rsidRPr="009F7C3F">
        <w:rPr>
          <w:lang w:val="en-GB"/>
        </w:rPr>
        <w:t xml:space="preserve"> national human rights institution (NHRI) according to the UN GANHRI. </w:t>
      </w:r>
    </w:p>
    <w:p w:rsidR="00CA0296" w:rsidRPr="009F7C3F" w:rsidRDefault="005763F7" w:rsidP="00EC6DF1">
      <w:pPr>
        <w:rPr>
          <w:lang w:val="en-GB"/>
        </w:rPr>
      </w:pPr>
      <w:r w:rsidRPr="009F7C3F">
        <w:rPr>
          <w:lang w:val="en-GB"/>
        </w:rPr>
        <w:t>T</w:t>
      </w:r>
      <w:r w:rsidR="00852F81" w:rsidRPr="009F7C3F">
        <w:rPr>
          <w:lang w:val="en-GB"/>
        </w:rPr>
        <w:t>he Moroccan Minister of J</w:t>
      </w:r>
      <w:r w:rsidRPr="009F7C3F">
        <w:rPr>
          <w:lang w:val="en-GB"/>
        </w:rPr>
        <w:t>ustice</w:t>
      </w:r>
      <w:r w:rsidR="00EC6DF1" w:rsidRPr="009F7C3F">
        <w:rPr>
          <w:lang w:val="en-GB"/>
        </w:rPr>
        <w:t xml:space="preserve"> announced</w:t>
      </w:r>
      <w:r w:rsidRPr="009F7C3F">
        <w:rPr>
          <w:lang w:val="en-GB"/>
        </w:rPr>
        <w:t xml:space="preserve"> in January 2016</w:t>
      </w:r>
      <w:r w:rsidR="00EC6DF1" w:rsidRPr="009F7C3F">
        <w:rPr>
          <w:lang w:val="en-GB"/>
        </w:rPr>
        <w:t xml:space="preserve"> </w:t>
      </w:r>
      <w:r w:rsidR="00852F81" w:rsidRPr="009F7C3F">
        <w:rPr>
          <w:lang w:val="en-GB"/>
        </w:rPr>
        <w:t>that the NPM will be</w:t>
      </w:r>
      <w:r w:rsidRPr="009F7C3F">
        <w:rPr>
          <w:lang w:val="en-GB"/>
        </w:rPr>
        <w:t xml:space="preserve"> integrated within the CNDH, however </w:t>
      </w:r>
      <w:r w:rsidR="00CA5907" w:rsidRPr="009F7C3F">
        <w:rPr>
          <w:lang w:val="en-GB"/>
        </w:rPr>
        <w:t>the proposed</w:t>
      </w:r>
      <w:r w:rsidRPr="009F7C3F">
        <w:rPr>
          <w:lang w:val="en-GB"/>
        </w:rPr>
        <w:t xml:space="preserve"> law could</w:t>
      </w:r>
      <w:r w:rsidR="00CA5907" w:rsidRPr="009F7C3F">
        <w:rPr>
          <w:lang w:val="en-GB"/>
        </w:rPr>
        <w:t xml:space="preserve"> no</w:t>
      </w:r>
      <w:r w:rsidRPr="009F7C3F">
        <w:rPr>
          <w:lang w:val="en-GB"/>
        </w:rPr>
        <w:t>t be transferred to the parliament</w:t>
      </w:r>
      <w:r w:rsidR="00CA5907" w:rsidRPr="009F7C3F">
        <w:rPr>
          <w:lang w:val="en-GB"/>
        </w:rPr>
        <w:t xml:space="preserve"> for adoption before the end of the </w:t>
      </w:r>
      <w:r w:rsidRPr="009F7C3F">
        <w:rPr>
          <w:lang w:val="en-GB"/>
        </w:rPr>
        <w:t>legislative term and will now have to wait until a new parliament is elected (</w:t>
      </w:r>
      <w:r w:rsidR="00E116F9" w:rsidRPr="009F7C3F">
        <w:rPr>
          <w:lang w:val="en-GB"/>
        </w:rPr>
        <w:t>7</w:t>
      </w:r>
      <w:r w:rsidR="00E116F9" w:rsidRPr="009F7C3F">
        <w:rPr>
          <w:vertAlign w:val="superscript"/>
          <w:lang w:val="en-GB"/>
        </w:rPr>
        <w:t>th</w:t>
      </w:r>
      <w:r w:rsidR="00E116F9" w:rsidRPr="009F7C3F">
        <w:rPr>
          <w:lang w:val="en-GB"/>
        </w:rPr>
        <w:t xml:space="preserve"> </w:t>
      </w:r>
      <w:r w:rsidRPr="009F7C3F">
        <w:rPr>
          <w:lang w:val="en-GB"/>
        </w:rPr>
        <w:t>October 2016).</w:t>
      </w:r>
    </w:p>
    <w:p w:rsidR="00CA5907" w:rsidRPr="009F7C3F" w:rsidRDefault="00CA5907" w:rsidP="00EC6DF1">
      <w:pPr>
        <w:rPr>
          <w:lang w:val="en-GB"/>
        </w:rPr>
      </w:pPr>
      <w:r w:rsidRPr="009F7C3F">
        <w:rPr>
          <w:lang w:val="en-GB"/>
        </w:rPr>
        <w:t>Consequently, the designation of the NPM remains outstanding.</w:t>
      </w:r>
    </w:p>
    <w:p w:rsidR="00CA0296" w:rsidRPr="009F7C3F" w:rsidRDefault="00CA0296" w:rsidP="009F7C3F">
      <w:pPr>
        <w:pStyle w:val="Heading1"/>
      </w:pPr>
      <w:r w:rsidRPr="009F7C3F">
        <w:t>Legal framework for tor</w:t>
      </w:r>
      <w:r w:rsidR="00CA5907" w:rsidRPr="009F7C3F">
        <w:t>ture prohibition and prevention</w:t>
      </w:r>
    </w:p>
    <w:p w:rsidR="00CA5907" w:rsidRPr="009F7C3F" w:rsidRDefault="00CA5907" w:rsidP="009F7C3F">
      <w:pPr>
        <w:ind w:left="360"/>
        <w:rPr>
          <w:b/>
          <w:bCs/>
          <w:lang w:val="en-GB"/>
        </w:rPr>
      </w:pPr>
      <w:r w:rsidRPr="009F7C3F">
        <w:rPr>
          <w:b/>
          <w:bCs/>
          <w:lang w:val="en-GB"/>
        </w:rPr>
        <w:t>4.1. The Constitution</w:t>
      </w:r>
    </w:p>
    <w:p w:rsidR="00CA5907" w:rsidRPr="009F7C3F" w:rsidRDefault="00CA5907" w:rsidP="00CA0296">
      <w:pPr>
        <w:rPr>
          <w:lang w:val="en-GB"/>
        </w:rPr>
      </w:pPr>
      <w:r w:rsidRPr="009F7C3F">
        <w:rPr>
          <w:lang w:val="en-GB"/>
        </w:rPr>
        <w:t>A</w:t>
      </w:r>
      <w:r w:rsidRPr="009F7C3F">
        <w:rPr>
          <w:lang w:val="en-GB"/>
        </w:rPr>
        <w:t>rticle 22</w:t>
      </w:r>
      <w:r w:rsidRPr="009F7C3F">
        <w:rPr>
          <w:lang w:val="en-GB"/>
        </w:rPr>
        <w:t xml:space="preserve"> of the Moroccan constitution of 2011</w:t>
      </w:r>
      <w:r w:rsidR="00CA0296" w:rsidRPr="009F7C3F">
        <w:rPr>
          <w:lang w:val="en-GB"/>
        </w:rPr>
        <w:t xml:space="preserve"> prohibits all acts of torture and ill-treatment: </w:t>
      </w:r>
    </w:p>
    <w:p w:rsidR="00CA0296" w:rsidRPr="009F7C3F" w:rsidRDefault="00CA0296" w:rsidP="00CA5907">
      <w:pPr>
        <w:pStyle w:val="Quote"/>
        <w:ind w:left="426" w:right="372"/>
        <w:rPr>
          <w:lang w:val="en-GB"/>
        </w:rPr>
      </w:pPr>
      <w:r w:rsidRPr="009F7C3F">
        <w:rPr>
          <w:lang w:val="en-GB"/>
        </w:rPr>
        <w:lastRenderedPageBreak/>
        <w:t>The physical or moral integrity of anyone may not be infringed, in whatever circumstance that may be, and by any party that may be, public or private. No one may inflict on others, under whatever pretext there may be, cruel, inhuman, [or] degrading treatments or infringements of human dignity. The practice of torture, under any of its forms and by anyone, is</w:t>
      </w:r>
      <w:r w:rsidR="00CA5907" w:rsidRPr="009F7C3F">
        <w:rPr>
          <w:lang w:val="en-GB"/>
        </w:rPr>
        <w:t xml:space="preserve"> a crime punishable by the law.</w:t>
      </w:r>
    </w:p>
    <w:p w:rsidR="00CA5907" w:rsidRPr="009F7C3F" w:rsidRDefault="00CA5907" w:rsidP="009F7C3F">
      <w:pPr>
        <w:ind w:left="426"/>
        <w:rPr>
          <w:lang w:val="en-GB"/>
        </w:rPr>
      </w:pPr>
      <w:r w:rsidRPr="009F7C3F">
        <w:rPr>
          <w:b/>
          <w:bCs/>
          <w:lang w:val="en-GB"/>
        </w:rPr>
        <w:t xml:space="preserve">4.2. </w:t>
      </w:r>
      <w:r w:rsidR="00CA0296" w:rsidRPr="009F7C3F">
        <w:rPr>
          <w:b/>
          <w:bCs/>
          <w:lang w:val="en-GB"/>
        </w:rPr>
        <w:t>The Pen</w:t>
      </w:r>
      <w:r w:rsidRPr="009F7C3F">
        <w:rPr>
          <w:b/>
          <w:bCs/>
          <w:lang w:val="en-GB"/>
        </w:rPr>
        <w:t>al Code</w:t>
      </w:r>
      <w:r w:rsidR="00CA0296" w:rsidRPr="009F7C3F">
        <w:rPr>
          <w:lang w:val="en-GB"/>
        </w:rPr>
        <w:t xml:space="preserve"> </w:t>
      </w:r>
    </w:p>
    <w:p w:rsidR="00CA0296" w:rsidRPr="009F7C3F" w:rsidRDefault="00CA0296" w:rsidP="00CA0296">
      <w:pPr>
        <w:rPr>
          <w:lang w:val="en-GB"/>
        </w:rPr>
      </w:pPr>
      <w:r w:rsidRPr="009F7C3F">
        <w:rPr>
          <w:lang w:val="en-GB"/>
        </w:rPr>
        <w:t>On 14 February 2006, the Moroccan Criminal Code was amended by Law No. 43-04, to broaden the definition of torture</w:t>
      </w:r>
      <w:r w:rsidR="00CA5907" w:rsidRPr="009F7C3F">
        <w:rPr>
          <w:lang w:val="en-GB"/>
        </w:rPr>
        <w:t xml:space="preserve"> to comply with the Convention a</w:t>
      </w:r>
      <w:r w:rsidRPr="009F7C3F">
        <w:rPr>
          <w:lang w:val="en-GB"/>
        </w:rPr>
        <w:t>gainst Torture’s definition. According to Article 231-1 of the Moroccan Criminal Code, torture is</w:t>
      </w:r>
      <w:r w:rsidR="00CA5907" w:rsidRPr="009F7C3F">
        <w:rPr>
          <w:lang w:val="en-GB"/>
        </w:rPr>
        <w:t xml:space="preserve"> prohibited in the following way</w:t>
      </w:r>
      <w:r w:rsidRPr="009F7C3F">
        <w:rPr>
          <w:lang w:val="en-GB"/>
        </w:rPr>
        <w:t>:</w:t>
      </w:r>
    </w:p>
    <w:p w:rsidR="00CA0296" w:rsidRPr="009F7C3F" w:rsidRDefault="00CA5907" w:rsidP="00CA5907">
      <w:pPr>
        <w:pStyle w:val="Quote"/>
        <w:ind w:left="426" w:right="372"/>
        <w:rPr>
          <w:lang w:val="en-GB"/>
        </w:rPr>
      </w:pPr>
      <w:r w:rsidRPr="009F7C3F">
        <w:rPr>
          <w:lang w:val="en-GB"/>
        </w:rPr>
        <w:t>[A]</w:t>
      </w:r>
      <w:proofErr w:type="spellStart"/>
      <w:r w:rsidR="00CA0296" w:rsidRPr="009F7C3F">
        <w:rPr>
          <w:lang w:val="en-GB"/>
        </w:rPr>
        <w:t>ny</w:t>
      </w:r>
      <w:proofErr w:type="spellEnd"/>
      <w:r w:rsidR="00CA0296" w:rsidRPr="009F7C3F">
        <w:rPr>
          <w:lang w:val="en-GB"/>
        </w:rPr>
        <w:t xml:space="preserve"> act that causes severe physical or mental pain or suffering intentionally inflicted by a public agent or upon his instigation or with his express or tacit consent, upon a person for the purpose of intimidating or pressuring him or for pressuring a third person, to obtain information or a confession, to punish him for an act that he or a third party committed or is suspected of having committed, or when such pain or suffering is inflicted for any other objective base</w:t>
      </w:r>
      <w:r w:rsidRPr="009F7C3F">
        <w:rPr>
          <w:lang w:val="en-GB"/>
        </w:rPr>
        <w:t>d on any form of discrimination</w:t>
      </w:r>
      <w:r w:rsidR="00CA0296" w:rsidRPr="009F7C3F">
        <w:rPr>
          <w:lang w:val="en-GB"/>
        </w:rPr>
        <w:t>.</w:t>
      </w:r>
    </w:p>
    <w:p w:rsidR="00CA0296" w:rsidRPr="009F7C3F" w:rsidRDefault="00CA5907" w:rsidP="00CA0296">
      <w:pPr>
        <w:rPr>
          <w:lang w:val="en-GB"/>
        </w:rPr>
      </w:pPr>
      <w:r w:rsidRPr="009F7C3F">
        <w:rPr>
          <w:lang w:val="en-GB"/>
        </w:rPr>
        <w:t>F</w:t>
      </w:r>
      <w:r w:rsidRPr="009F7C3F">
        <w:rPr>
          <w:lang w:val="en-GB"/>
        </w:rPr>
        <w:t>ollowing his visit in September 2012</w:t>
      </w:r>
      <w:r w:rsidRPr="009F7C3F">
        <w:rPr>
          <w:lang w:val="en-GB"/>
        </w:rPr>
        <w:t>, t</w:t>
      </w:r>
      <w:r w:rsidR="00CA0296" w:rsidRPr="009F7C3F">
        <w:rPr>
          <w:lang w:val="en-GB"/>
        </w:rPr>
        <w:t xml:space="preserve">he </w:t>
      </w:r>
      <w:r w:rsidRPr="009F7C3F">
        <w:rPr>
          <w:lang w:val="en-GB"/>
        </w:rPr>
        <w:t>Special Rapporteur a</w:t>
      </w:r>
      <w:r w:rsidR="00CA0296" w:rsidRPr="009F7C3F">
        <w:rPr>
          <w:lang w:val="en-GB"/>
        </w:rPr>
        <w:t>gainst torture re</w:t>
      </w:r>
      <w:r w:rsidRPr="009F7C3F">
        <w:rPr>
          <w:lang w:val="en-GB"/>
        </w:rPr>
        <w:t>commended</w:t>
      </w:r>
      <w:r w:rsidR="00CA0296" w:rsidRPr="009F7C3F">
        <w:rPr>
          <w:lang w:val="en-GB"/>
        </w:rPr>
        <w:t xml:space="preserve"> a modification of the definition of torture in the penal code in order to f</w:t>
      </w:r>
      <w:r w:rsidR="009F7C3F" w:rsidRPr="009F7C3F">
        <w:rPr>
          <w:lang w:val="en-GB"/>
        </w:rPr>
        <w:t>ully comply with the Convention, to take account of other forms of participation by public officials not covered in the Moroccan provision</w:t>
      </w:r>
      <w:r w:rsidR="00E30900">
        <w:rPr>
          <w:lang w:val="en-GB"/>
        </w:rPr>
        <w:t>,</w:t>
      </w:r>
      <w:r w:rsidR="00E30900" w:rsidRPr="00E30900">
        <w:rPr>
          <w:lang w:val="en-GB"/>
        </w:rPr>
        <w:t xml:space="preserve"> including instigation, consent and acquiescence</w:t>
      </w:r>
      <w:r w:rsidR="009F7C3F" w:rsidRPr="009F7C3F">
        <w:rPr>
          <w:lang w:val="en-GB"/>
        </w:rPr>
        <w:t>.</w:t>
      </w:r>
    </w:p>
    <w:p w:rsidR="009F7C3F" w:rsidRPr="009F7C3F" w:rsidRDefault="009F7C3F" w:rsidP="009F7C3F">
      <w:pPr>
        <w:ind w:left="426"/>
        <w:rPr>
          <w:b/>
        </w:rPr>
      </w:pPr>
      <w:r>
        <w:rPr>
          <w:b/>
        </w:rPr>
        <w:t xml:space="preserve">4.3 </w:t>
      </w:r>
      <w:r w:rsidRPr="009F7C3F">
        <w:rPr>
          <w:b/>
        </w:rPr>
        <w:t xml:space="preserve">The </w:t>
      </w:r>
      <w:r w:rsidRPr="009F7C3F">
        <w:rPr>
          <w:b/>
          <w:bCs/>
          <w:lang w:val="en-GB"/>
        </w:rPr>
        <w:t>Criminal</w:t>
      </w:r>
      <w:r w:rsidRPr="009F7C3F">
        <w:rPr>
          <w:b/>
        </w:rPr>
        <w:t xml:space="preserve"> </w:t>
      </w:r>
      <w:r w:rsidRPr="009F7C3F">
        <w:rPr>
          <w:b/>
        </w:rPr>
        <w:t>Procedure</w:t>
      </w:r>
      <w:r w:rsidRPr="009F7C3F">
        <w:rPr>
          <w:b/>
        </w:rPr>
        <w:t xml:space="preserve"> Code</w:t>
      </w:r>
    </w:p>
    <w:p w:rsidR="00A42497" w:rsidRPr="009F7C3F" w:rsidRDefault="009F7C3F" w:rsidP="009F7C3F">
      <w:pPr>
        <w:rPr>
          <w:lang w:val="en-GB"/>
        </w:rPr>
      </w:pPr>
      <w:r w:rsidRPr="009F7C3F">
        <w:rPr>
          <w:lang w:val="en-GB"/>
        </w:rPr>
        <w:t>O</w:t>
      </w:r>
      <w:r w:rsidR="00143624" w:rsidRPr="009F7C3F">
        <w:rPr>
          <w:lang w:val="en-GB"/>
        </w:rPr>
        <w:t>n 19</w:t>
      </w:r>
      <w:r w:rsidR="00143624" w:rsidRPr="009F7C3F">
        <w:rPr>
          <w:vertAlign w:val="superscript"/>
          <w:lang w:val="en-GB"/>
        </w:rPr>
        <w:t>th</w:t>
      </w:r>
      <w:r w:rsidRPr="009F7C3F">
        <w:rPr>
          <w:lang w:val="en-GB"/>
        </w:rPr>
        <w:t xml:space="preserve"> May 2014, the G</w:t>
      </w:r>
      <w:r w:rsidR="00143624" w:rsidRPr="009F7C3F">
        <w:rPr>
          <w:lang w:val="en-GB"/>
        </w:rPr>
        <w:t>overnment</w:t>
      </w:r>
      <w:r w:rsidRPr="009F7C3F">
        <w:rPr>
          <w:lang w:val="en-GB"/>
        </w:rPr>
        <w:t xml:space="preserve"> </w:t>
      </w:r>
      <w:r w:rsidR="00143624" w:rsidRPr="009F7C3F">
        <w:rPr>
          <w:lang w:val="en-GB"/>
        </w:rPr>
        <w:t>prepared a draft</w:t>
      </w:r>
      <w:r w:rsidRPr="009F7C3F">
        <w:rPr>
          <w:lang w:val="en-GB"/>
        </w:rPr>
        <w:t xml:space="preserve"> law</w:t>
      </w:r>
      <w:r w:rsidR="00143624" w:rsidRPr="009F7C3F">
        <w:rPr>
          <w:lang w:val="en-GB"/>
        </w:rPr>
        <w:t xml:space="preserve"> amend</w:t>
      </w:r>
      <w:r w:rsidRPr="009F7C3F">
        <w:rPr>
          <w:lang w:val="en-GB"/>
        </w:rPr>
        <w:t>ing</w:t>
      </w:r>
      <w:r w:rsidR="00143624" w:rsidRPr="009F7C3F">
        <w:rPr>
          <w:lang w:val="en-GB"/>
        </w:rPr>
        <w:t xml:space="preserve"> the Moroccan criminal code of procedure. The Moroccan CNDH reacted to the draft by sen</w:t>
      </w:r>
      <w:r>
        <w:rPr>
          <w:lang w:val="en-GB"/>
        </w:rPr>
        <w:t>ding a full proposition to the Ministry of J</w:t>
      </w:r>
      <w:r w:rsidR="00143624" w:rsidRPr="009F7C3F">
        <w:rPr>
          <w:lang w:val="en-GB"/>
        </w:rPr>
        <w:t xml:space="preserve">ustice </w:t>
      </w:r>
      <w:r>
        <w:rPr>
          <w:lang w:val="en-GB"/>
        </w:rPr>
        <w:t xml:space="preserve">and </w:t>
      </w:r>
      <w:r w:rsidR="00143624" w:rsidRPr="009F7C3F">
        <w:rPr>
          <w:lang w:val="en-GB"/>
        </w:rPr>
        <w:t>summarising their suggestions</w:t>
      </w:r>
      <w:r>
        <w:rPr>
          <w:lang w:val="en-GB"/>
        </w:rPr>
        <w:t xml:space="preserve"> in a related publication</w:t>
      </w:r>
      <w:r w:rsidR="00143624" w:rsidRPr="009F7C3F">
        <w:rPr>
          <w:lang w:val="en-GB"/>
        </w:rPr>
        <w:t xml:space="preserve">. </w:t>
      </w:r>
    </w:p>
    <w:p w:rsidR="003178A5" w:rsidRPr="009F7C3F" w:rsidRDefault="009F7C3F" w:rsidP="009F7C3F">
      <w:pPr>
        <w:pStyle w:val="Heading1"/>
      </w:pPr>
      <w:r>
        <w:t>OPCAT I</w:t>
      </w:r>
      <w:r w:rsidR="003178A5" w:rsidRPr="009F7C3F">
        <w:t>mplementation:</w:t>
      </w:r>
    </w:p>
    <w:p w:rsidR="004F1662" w:rsidRPr="009F7C3F" w:rsidRDefault="004F1662" w:rsidP="004F1662">
      <w:pPr>
        <w:rPr>
          <w:lang w:val="en-GB"/>
        </w:rPr>
      </w:pPr>
      <w:r w:rsidRPr="009F7C3F">
        <w:rPr>
          <w:lang w:val="en-GB"/>
        </w:rPr>
        <w:t>The internal process of ratification has been completed wit</w:t>
      </w:r>
      <w:r w:rsidR="00E30900">
        <w:rPr>
          <w:lang w:val="en-GB"/>
        </w:rPr>
        <w:t>h the publication of the Royal D</w:t>
      </w:r>
      <w:r w:rsidRPr="009F7C3F">
        <w:rPr>
          <w:lang w:val="en-GB"/>
        </w:rPr>
        <w:t>ecree (</w:t>
      </w:r>
      <w:proofErr w:type="spellStart"/>
      <w:r w:rsidRPr="009F7C3F">
        <w:rPr>
          <w:lang w:val="en-GB"/>
        </w:rPr>
        <w:t>dahir</w:t>
      </w:r>
      <w:proofErr w:type="spellEnd"/>
      <w:r w:rsidRPr="009F7C3F">
        <w:rPr>
          <w:lang w:val="en-GB"/>
        </w:rPr>
        <w:t>) n° 1-13-63 of 17 June 2013</w:t>
      </w:r>
      <w:r w:rsidR="009F7C3F">
        <w:rPr>
          <w:lang w:val="en-GB"/>
        </w:rPr>
        <w:t>,</w:t>
      </w:r>
      <w:r w:rsidRPr="009F7C3F">
        <w:rPr>
          <w:lang w:val="en-GB"/>
        </w:rPr>
        <w:t xml:space="preserve"> on the adoption of the law n°124-12 on the ratification of the OPCAT in the Official Gazette n° 6166 of 4 July 2013.</w:t>
      </w:r>
    </w:p>
    <w:p w:rsidR="004F1662" w:rsidRPr="009F7C3F" w:rsidRDefault="004F1662" w:rsidP="004F1662">
      <w:pPr>
        <w:rPr>
          <w:lang w:val="en-GB"/>
        </w:rPr>
      </w:pPr>
      <w:r w:rsidRPr="009F7C3F">
        <w:rPr>
          <w:lang w:val="en-GB"/>
        </w:rPr>
        <w:t>Morocco deposited the instrument of ratification with the office of the United Nations in New York on 24 November 2014.</w:t>
      </w:r>
    </w:p>
    <w:p w:rsidR="004F1662" w:rsidRPr="009F7C3F" w:rsidRDefault="004F1662" w:rsidP="004F1662">
      <w:pPr>
        <w:rPr>
          <w:lang w:val="en-GB"/>
        </w:rPr>
      </w:pPr>
      <w:r w:rsidRPr="009F7C3F">
        <w:rPr>
          <w:lang w:val="en-GB"/>
        </w:rPr>
        <w:t>According to arti</w:t>
      </w:r>
      <w:r w:rsidR="009F7C3F">
        <w:rPr>
          <w:lang w:val="en-GB"/>
        </w:rPr>
        <w:t>cle 17 of the OPCAT, Morocco has</w:t>
      </w:r>
      <w:r w:rsidRPr="009F7C3F">
        <w:rPr>
          <w:lang w:val="en-GB"/>
        </w:rPr>
        <w:t xml:space="preserve"> one yea</w:t>
      </w:r>
      <w:r w:rsidR="009F7C3F">
        <w:rPr>
          <w:lang w:val="en-GB"/>
        </w:rPr>
        <w:t>r in which t</w:t>
      </w:r>
      <w:r w:rsidRPr="009F7C3F">
        <w:rPr>
          <w:lang w:val="en-GB"/>
        </w:rPr>
        <w:t>o establish its National Preventive Mechanism (NPM)</w:t>
      </w:r>
      <w:r w:rsidR="009F7C3F">
        <w:rPr>
          <w:lang w:val="en-GB"/>
        </w:rPr>
        <w:t xml:space="preserve">. </w:t>
      </w:r>
      <w:r w:rsidRPr="009F7C3F">
        <w:rPr>
          <w:lang w:val="en-GB"/>
        </w:rPr>
        <w:t xml:space="preserve">Morocco’s deadline was </w:t>
      </w:r>
      <w:r w:rsidR="009F7C3F">
        <w:rPr>
          <w:lang w:val="en-GB"/>
        </w:rPr>
        <w:t xml:space="preserve">therefore </w:t>
      </w:r>
      <w:r w:rsidRPr="009F7C3F">
        <w:rPr>
          <w:lang w:val="en-GB"/>
        </w:rPr>
        <w:t>25</w:t>
      </w:r>
      <w:r w:rsidRPr="009F7C3F">
        <w:rPr>
          <w:vertAlign w:val="superscript"/>
          <w:lang w:val="en-GB"/>
        </w:rPr>
        <w:t>th</w:t>
      </w:r>
      <w:r w:rsidRPr="009F7C3F">
        <w:rPr>
          <w:lang w:val="en-GB"/>
        </w:rPr>
        <w:t xml:space="preserve"> December 2015.</w:t>
      </w:r>
      <w:r w:rsidR="00C817FE">
        <w:rPr>
          <w:lang w:val="en-GB"/>
        </w:rPr>
        <w:t xml:space="preserve"> T</w:t>
      </w:r>
      <w:r w:rsidR="00C817FE" w:rsidRPr="00C817FE">
        <w:rPr>
          <w:lang w:val="en-GB"/>
        </w:rPr>
        <w:t>o date</w:t>
      </w:r>
      <w:r w:rsidR="00C817FE">
        <w:rPr>
          <w:lang w:val="en-GB"/>
        </w:rPr>
        <w:t>,</w:t>
      </w:r>
      <w:r w:rsidR="00C817FE" w:rsidRPr="00C817FE">
        <w:rPr>
          <w:lang w:val="en-GB"/>
        </w:rPr>
        <w:t xml:space="preserve"> Morocco has not complied with its obligation of establishing the NPM under the OPCAT.</w:t>
      </w:r>
    </w:p>
    <w:p w:rsidR="004F1662" w:rsidRPr="009F7C3F" w:rsidRDefault="004F1662" w:rsidP="004F1662">
      <w:pPr>
        <w:rPr>
          <w:lang w:val="en-GB"/>
        </w:rPr>
      </w:pPr>
      <w:r w:rsidRPr="009F7C3F">
        <w:rPr>
          <w:lang w:val="en-GB"/>
        </w:rPr>
        <w:t>In May 2015, The Moroccan National Council for Human Rights (CNDH</w:t>
      </w:r>
      <w:r w:rsidR="009F7C3F">
        <w:rPr>
          <w:lang w:val="en-GB"/>
        </w:rPr>
        <w:t>) submitted a draft law to the M</w:t>
      </w:r>
      <w:r w:rsidRPr="009F7C3F">
        <w:rPr>
          <w:lang w:val="en-GB"/>
        </w:rPr>
        <w:t xml:space="preserve">inistry of </w:t>
      </w:r>
      <w:r w:rsidR="009F7C3F">
        <w:rPr>
          <w:lang w:val="en-GB"/>
        </w:rPr>
        <w:t>J</w:t>
      </w:r>
      <w:r w:rsidRPr="009F7C3F">
        <w:rPr>
          <w:lang w:val="en-GB"/>
        </w:rPr>
        <w:t>ustice, in order to acquire the constitutional status and integrate the mandate of the NPM within its s</w:t>
      </w:r>
      <w:r w:rsidR="007A6442">
        <w:rPr>
          <w:lang w:val="en-GB"/>
        </w:rPr>
        <w:t>tructure, along with three</w:t>
      </w:r>
      <w:r w:rsidRPr="009F7C3F">
        <w:rPr>
          <w:lang w:val="en-GB"/>
        </w:rPr>
        <w:t xml:space="preserve"> complaints mechanisms (non-discrimination, persons with disabilities and children).</w:t>
      </w:r>
    </w:p>
    <w:p w:rsidR="004F1662" w:rsidRPr="009F7C3F" w:rsidRDefault="004F1662" w:rsidP="004F1662">
      <w:pPr>
        <w:rPr>
          <w:lang w:val="en-GB"/>
        </w:rPr>
      </w:pPr>
      <w:r w:rsidRPr="009F7C3F">
        <w:rPr>
          <w:lang w:val="en-GB"/>
        </w:rPr>
        <w:lastRenderedPageBreak/>
        <w:t xml:space="preserve">Currently, the law integrating the NPM within the structure of the CNDH is </w:t>
      </w:r>
      <w:r w:rsidR="009F7C3F">
        <w:rPr>
          <w:lang w:val="en-GB"/>
        </w:rPr>
        <w:t xml:space="preserve">pending after the </w:t>
      </w:r>
      <w:r w:rsidRPr="009F7C3F">
        <w:rPr>
          <w:lang w:val="en-GB"/>
        </w:rPr>
        <w:t xml:space="preserve">parliamentary term elapsed </w:t>
      </w:r>
      <w:r w:rsidR="009F7C3F">
        <w:rPr>
          <w:lang w:val="en-GB"/>
        </w:rPr>
        <w:t xml:space="preserve">in </w:t>
      </w:r>
      <w:r w:rsidRPr="009F7C3F">
        <w:rPr>
          <w:lang w:val="en-GB"/>
        </w:rPr>
        <w:t>mid-July 2016</w:t>
      </w:r>
      <w:r w:rsidR="009F7C3F">
        <w:rPr>
          <w:lang w:val="en-GB"/>
        </w:rPr>
        <w:t>.</w:t>
      </w:r>
      <w:r w:rsidRPr="009F7C3F">
        <w:rPr>
          <w:lang w:val="en-GB"/>
        </w:rPr>
        <w:t xml:space="preserve"> </w:t>
      </w:r>
      <w:r w:rsidR="009F7C3F">
        <w:rPr>
          <w:lang w:val="en-GB"/>
        </w:rPr>
        <w:t>L</w:t>
      </w:r>
      <w:r w:rsidRPr="009F7C3F">
        <w:rPr>
          <w:lang w:val="en-GB"/>
        </w:rPr>
        <w:t xml:space="preserve">egislative elections </w:t>
      </w:r>
      <w:r w:rsidR="009F7C3F">
        <w:rPr>
          <w:lang w:val="en-GB"/>
        </w:rPr>
        <w:t>have been planned for 7</w:t>
      </w:r>
      <w:r w:rsidR="009F7C3F" w:rsidRPr="009F7C3F">
        <w:rPr>
          <w:vertAlign w:val="superscript"/>
          <w:lang w:val="en-GB"/>
        </w:rPr>
        <w:t>th</w:t>
      </w:r>
      <w:r w:rsidR="009F7C3F">
        <w:rPr>
          <w:lang w:val="en-GB"/>
        </w:rPr>
        <w:t xml:space="preserve"> </w:t>
      </w:r>
      <w:r w:rsidRPr="009F7C3F">
        <w:rPr>
          <w:lang w:val="en-GB"/>
        </w:rPr>
        <w:t>October.</w:t>
      </w:r>
    </w:p>
    <w:p w:rsidR="003178A5" w:rsidRPr="009F7C3F" w:rsidRDefault="009F7C3F" w:rsidP="00961FAE">
      <w:pPr>
        <w:rPr>
          <w:b/>
          <w:bCs/>
          <w:lang w:val="en-GB"/>
        </w:rPr>
      </w:pPr>
      <w:r>
        <w:rPr>
          <w:lang w:val="en-GB"/>
        </w:rPr>
        <w:t xml:space="preserve">It should be noted that </w:t>
      </w:r>
      <w:r w:rsidR="00341648" w:rsidRPr="009F7C3F">
        <w:rPr>
          <w:lang w:val="en-GB"/>
        </w:rPr>
        <w:t xml:space="preserve">the </w:t>
      </w:r>
      <w:r>
        <w:rPr>
          <w:lang w:val="en-GB"/>
        </w:rPr>
        <w:t xml:space="preserve">CNDH </w:t>
      </w:r>
      <w:r w:rsidR="00341648" w:rsidRPr="009F7C3F">
        <w:rPr>
          <w:lang w:val="en-GB"/>
        </w:rPr>
        <w:t>was established</w:t>
      </w:r>
      <w:r>
        <w:rPr>
          <w:lang w:val="en-GB"/>
        </w:rPr>
        <w:t xml:space="preserve"> in 2011</w:t>
      </w:r>
      <w:r w:rsidR="00341648" w:rsidRPr="009F7C3F">
        <w:rPr>
          <w:lang w:val="en-GB"/>
        </w:rPr>
        <w:t xml:space="preserve">, </w:t>
      </w:r>
      <w:r>
        <w:rPr>
          <w:lang w:val="en-GB"/>
        </w:rPr>
        <w:t>by</w:t>
      </w:r>
      <w:r w:rsidR="00AE0158">
        <w:rPr>
          <w:lang w:val="en-GB"/>
        </w:rPr>
        <w:t xml:space="preserve"> Royal D</w:t>
      </w:r>
      <w:r w:rsidR="00341648" w:rsidRPr="009F7C3F">
        <w:rPr>
          <w:lang w:val="en-GB"/>
        </w:rPr>
        <w:t>ecree (</w:t>
      </w:r>
      <w:proofErr w:type="spellStart"/>
      <w:r w:rsidR="00341648" w:rsidRPr="009F7C3F">
        <w:rPr>
          <w:lang w:val="en-GB"/>
        </w:rPr>
        <w:t>Dahir</w:t>
      </w:r>
      <w:proofErr w:type="spellEnd"/>
      <w:r w:rsidR="00341648" w:rsidRPr="009F7C3F">
        <w:rPr>
          <w:lang w:val="en-GB"/>
        </w:rPr>
        <w:t xml:space="preserve">) No. 1.11.19, </w:t>
      </w:r>
      <w:r>
        <w:rPr>
          <w:lang w:val="en-GB"/>
        </w:rPr>
        <w:t xml:space="preserve">which </w:t>
      </w:r>
      <w:r w:rsidR="00341648" w:rsidRPr="009F7C3F">
        <w:rPr>
          <w:lang w:val="en-GB"/>
        </w:rPr>
        <w:t xml:space="preserve">gives the CNDH </w:t>
      </w:r>
      <w:r>
        <w:rPr>
          <w:lang w:val="en-GB"/>
        </w:rPr>
        <w:t xml:space="preserve">some financial and functional </w:t>
      </w:r>
      <w:r w:rsidR="00341648" w:rsidRPr="009F7C3F">
        <w:rPr>
          <w:lang w:val="en-GB"/>
        </w:rPr>
        <w:t>independence</w:t>
      </w:r>
      <w:r w:rsidR="001747EB">
        <w:rPr>
          <w:lang w:val="en-GB"/>
        </w:rPr>
        <w:t xml:space="preserve">. The CNDH has </w:t>
      </w:r>
      <w:r>
        <w:rPr>
          <w:lang w:val="en-GB"/>
        </w:rPr>
        <w:t>the right</w:t>
      </w:r>
      <w:r w:rsidR="00341648" w:rsidRPr="009F7C3F">
        <w:rPr>
          <w:lang w:val="en-GB"/>
        </w:rPr>
        <w:t xml:space="preserve"> to visit places of detention, prisons, child protection centres, reintegrat</w:t>
      </w:r>
      <w:r>
        <w:rPr>
          <w:lang w:val="en-GB"/>
        </w:rPr>
        <w:t>ion centres, hospitals specialised in treating mental and ph</w:t>
      </w:r>
      <w:r w:rsidR="00341648" w:rsidRPr="009F7C3F">
        <w:rPr>
          <w:lang w:val="en-GB"/>
        </w:rPr>
        <w:t>y</w:t>
      </w:r>
      <w:r>
        <w:rPr>
          <w:lang w:val="en-GB"/>
        </w:rPr>
        <w:t xml:space="preserve">sical </w:t>
      </w:r>
      <w:r w:rsidR="00341648" w:rsidRPr="009F7C3F">
        <w:rPr>
          <w:lang w:val="en-GB"/>
        </w:rPr>
        <w:t xml:space="preserve">illness and places of detention of foreigners in illegal situation, </w:t>
      </w:r>
      <w:r w:rsidR="001747EB">
        <w:rPr>
          <w:lang w:val="en-GB"/>
        </w:rPr>
        <w:t xml:space="preserve">and it </w:t>
      </w:r>
      <w:r w:rsidR="00961FAE" w:rsidRPr="009F7C3F">
        <w:rPr>
          <w:lang w:val="en-GB"/>
        </w:rPr>
        <w:t>prepare</w:t>
      </w:r>
      <w:r w:rsidR="001747EB">
        <w:rPr>
          <w:lang w:val="en-GB"/>
        </w:rPr>
        <w:t>s</w:t>
      </w:r>
      <w:r w:rsidR="00961FAE" w:rsidRPr="009F7C3F">
        <w:rPr>
          <w:lang w:val="en-GB"/>
        </w:rPr>
        <w:t xml:space="preserve"> relevant reports </w:t>
      </w:r>
      <w:r w:rsidR="001747EB">
        <w:rPr>
          <w:lang w:val="en-GB"/>
        </w:rPr>
        <w:t>for</w:t>
      </w:r>
      <w:r w:rsidR="00341648" w:rsidRPr="009F7C3F">
        <w:rPr>
          <w:lang w:val="en-GB"/>
        </w:rPr>
        <w:t xml:space="preserve"> the competent authorities</w:t>
      </w:r>
      <w:r w:rsidR="00961FAE" w:rsidRPr="009F7C3F">
        <w:rPr>
          <w:lang w:val="en-GB"/>
        </w:rPr>
        <w:t>.</w:t>
      </w:r>
    </w:p>
    <w:p w:rsidR="00206728" w:rsidRPr="009F7C3F" w:rsidRDefault="00206728" w:rsidP="009F7C3F">
      <w:pPr>
        <w:pStyle w:val="Heading1"/>
      </w:pPr>
      <w:r w:rsidRPr="009F7C3F">
        <w:t>Suggested recommendations</w:t>
      </w:r>
    </w:p>
    <w:p w:rsidR="00EA4B08" w:rsidRPr="009F7C3F" w:rsidRDefault="00EA4B08" w:rsidP="009D2A10">
      <w:pPr>
        <w:rPr>
          <w:lang w:val="en-GB"/>
        </w:rPr>
      </w:pPr>
      <w:r w:rsidRPr="009F7C3F">
        <w:rPr>
          <w:lang w:val="en-GB"/>
        </w:rPr>
        <w:t xml:space="preserve">In light of the background material above, the APT proposes that the </w:t>
      </w:r>
      <w:r w:rsidR="00EB014C" w:rsidRPr="009F7C3F">
        <w:rPr>
          <w:lang w:val="en-GB"/>
        </w:rPr>
        <w:t xml:space="preserve">Human Rights </w:t>
      </w:r>
      <w:r w:rsidRPr="009F7C3F">
        <w:rPr>
          <w:lang w:val="en-GB"/>
        </w:rPr>
        <w:t xml:space="preserve">Committee </w:t>
      </w:r>
      <w:r w:rsidR="00EB014C" w:rsidRPr="009F7C3F">
        <w:rPr>
          <w:lang w:val="en-GB"/>
        </w:rPr>
        <w:t xml:space="preserve">make the following </w:t>
      </w:r>
      <w:r w:rsidRPr="009F7C3F">
        <w:rPr>
          <w:lang w:val="en-GB"/>
        </w:rPr>
        <w:t xml:space="preserve">recommendations to </w:t>
      </w:r>
      <w:r w:rsidR="00EB014C" w:rsidRPr="009F7C3F">
        <w:rPr>
          <w:lang w:val="en-GB"/>
        </w:rPr>
        <w:t xml:space="preserve">the delegation from </w:t>
      </w:r>
      <w:r w:rsidR="009D2A10" w:rsidRPr="009F7C3F">
        <w:rPr>
          <w:lang w:val="en-GB"/>
        </w:rPr>
        <w:t>Morocco</w:t>
      </w:r>
      <w:r w:rsidRPr="009F7C3F">
        <w:rPr>
          <w:lang w:val="en-GB"/>
        </w:rPr>
        <w:t>:</w:t>
      </w:r>
    </w:p>
    <w:p w:rsidR="00E30900" w:rsidRDefault="00E30900" w:rsidP="00EA4B08">
      <w:pPr>
        <w:rPr>
          <w:b/>
          <w:lang w:val="en-GB"/>
        </w:rPr>
      </w:pPr>
    </w:p>
    <w:p w:rsidR="00EA4B08" w:rsidRPr="009F7C3F" w:rsidRDefault="00EA4B08" w:rsidP="00EA4B08">
      <w:pPr>
        <w:rPr>
          <w:b/>
          <w:lang w:val="en-GB"/>
        </w:rPr>
      </w:pPr>
      <w:r w:rsidRPr="009F7C3F">
        <w:rPr>
          <w:b/>
          <w:lang w:val="en-GB"/>
        </w:rPr>
        <w:t>Article</w:t>
      </w:r>
      <w:r w:rsidR="001747EB">
        <w:rPr>
          <w:b/>
          <w:lang w:val="en-GB"/>
        </w:rPr>
        <w:t>s</w:t>
      </w:r>
      <w:r w:rsidR="00EB014C" w:rsidRPr="009F7C3F">
        <w:rPr>
          <w:b/>
          <w:lang w:val="en-GB"/>
        </w:rPr>
        <w:t xml:space="preserve"> 2</w:t>
      </w:r>
      <w:r w:rsidR="001747EB">
        <w:rPr>
          <w:b/>
          <w:lang w:val="en-GB"/>
        </w:rPr>
        <w:t>(2), 6, 7 and 10</w:t>
      </w:r>
    </w:p>
    <w:p w:rsidR="001747EB" w:rsidRPr="009F7C3F" w:rsidRDefault="001747EB" w:rsidP="001747EB">
      <w:pPr>
        <w:pStyle w:val="ListParagraph"/>
        <w:numPr>
          <w:ilvl w:val="0"/>
          <w:numId w:val="15"/>
        </w:numPr>
        <w:rPr>
          <w:lang w:val="en-GB"/>
        </w:rPr>
      </w:pPr>
      <w:r w:rsidRPr="009F7C3F">
        <w:rPr>
          <w:b/>
          <w:bCs/>
          <w:lang w:val="en-GB"/>
        </w:rPr>
        <w:t>Recommend</w:t>
      </w:r>
      <w:r w:rsidRPr="009F7C3F">
        <w:rPr>
          <w:lang w:val="en-GB"/>
        </w:rPr>
        <w:t xml:space="preserve"> the revision of the definition of torture in the Moroccan Penal Code Article 231-1 of to include all situations of involvement in torture cases including instigation, consent and acquiescence of public officials.</w:t>
      </w:r>
      <w:r>
        <w:rPr>
          <w:rStyle w:val="FootnoteReference"/>
          <w:lang w:val="en-GB"/>
        </w:rPr>
        <w:footnoteReference w:id="1"/>
      </w:r>
    </w:p>
    <w:p w:rsidR="001747EB" w:rsidRPr="009F7C3F" w:rsidRDefault="001747EB" w:rsidP="001747EB">
      <w:pPr>
        <w:pStyle w:val="Puce"/>
        <w:numPr>
          <w:ilvl w:val="0"/>
          <w:numId w:val="15"/>
        </w:numPr>
        <w:rPr>
          <w:lang w:val="en-GB"/>
        </w:rPr>
      </w:pPr>
      <w:r w:rsidRPr="009F7C3F">
        <w:rPr>
          <w:b/>
          <w:bCs/>
          <w:lang w:val="en-GB"/>
        </w:rPr>
        <w:t>Recommend</w:t>
      </w:r>
      <w:r w:rsidRPr="009F7C3F">
        <w:rPr>
          <w:lang w:val="en-GB"/>
        </w:rPr>
        <w:t xml:space="preserve"> the adoption of the proposed Criminal Code of Procedures drafted in May 2014, while taking into consideration the recommendations of the CNDH, concerning articles 61, 108, 80, 67, and 116, covering guarantees in detention (custody detention, immediate access to a lawyer even in terrorism crimes, contact with the family, right to medical examination in custody by an independent doctor upo</w:t>
      </w:r>
      <w:r>
        <w:rPr>
          <w:lang w:val="en-GB"/>
        </w:rPr>
        <w:t>n the detainee’s request, etc.)</w:t>
      </w:r>
      <w:r w:rsidR="00E30900">
        <w:rPr>
          <w:rStyle w:val="FootnoteReference"/>
          <w:lang w:val="en-GB"/>
        </w:rPr>
        <w:footnoteReference w:id="2"/>
      </w:r>
    </w:p>
    <w:p w:rsidR="00D63318" w:rsidRPr="009F7C3F" w:rsidRDefault="00460DF2" w:rsidP="00852F81">
      <w:pPr>
        <w:pStyle w:val="ListParagraph"/>
        <w:numPr>
          <w:ilvl w:val="0"/>
          <w:numId w:val="15"/>
        </w:numPr>
        <w:rPr>
          <w:lang w:val="en-GB"/>
        </w:rPr>
      </w:pPr>
      <w:r w:rsidRPr="009F7C3F">
        <w:rPr>
          <w:b/>
          <w:bCs/>
          <w:lang w:val="en-GB"/>
        </w:rPr>
        <w:t>Urging</w:t>
      </w:r>
      <w:r w:rsidRPr="009F7C3F">
        <w:rPr>
          <w:lang w:val="en-GB"/>
        </w:rPr>
        <w:t xml:space="preserve"> Morocco to establish the National Preventive Mechanism in compliance with the OPCAT; ensuring financial and functional independence to implement its mandate without interference from the State authorities, granting full access to all places of detention, detainees and information related to detainees and </w:t>
      </w:r>
      <w:r w:rsidR="001747EB">
        <w:rPr>
          <w:lang w:val="en-GB"/>
        </w:rPr>
        <w:t xml:space="preserve">to </w:t>
      </w:r>
      <w:r w:rsidRPr="009F7C3F">
        <w:rPr>
          <w:lang w:val="en-GB"/>
        </w:rPr>
        <w:t>revise law n° 23-98 on the organisation and operation of prisons in Morocco (articles 75-88 related to visits) in order to guarantee the right to conduct private interviews with detainees.</w:t>
      </w:r>
      <w:r w:rsidR="001747EB">
        <w:rPr>
          <w:rStyle w:val="FootnoteReference"/>
          <w:lang w:val="en-GB"/>
        </w:rPr>
        <w:footnoteReference w:id="3"/>
      </w:r>
      <w:r w:rsidRPr="009F7C3F">
        <w:rPr>
          <w:lang w:val="en-GB"/>
        </w:rPr>
        <w:t xml:space="preserve"> </w:t>
      </w:r>
      <w:bookmarkStart w:id="0" w:name="_GoBack"/>
      <w:bookmarkEnd w:id="0"/>
    </w:p>
    <w:p w:rsidR="00C17749" w:rsidRPr="009F7C3F" w:rsidRDefault="00C17749" w:rsidP="00853E02">
      <w:pPr>
        <w:rPr>
          <w:lang w:val="en-GB"/>
        </w:rPr>
      </w:pPr>
    </w:p>
    <w:p w:rsidR="00854069" w:rsidRPr="009F7C3F" w:rsidRDefault="00854069" w:rsidP="00853E02">
      <w:pPr>
        <w:rPr>
          <w:lang w:val="en-GB"/>
        </w:rPr>
      </w:pPr>
    </w:p>
    <w:sectPr w:rsidR="00854069" w:rsidRPr="009F7C3F" w:rsidSect="00433A28">
      <w:headerReference w:type="default" r:id="rId13"/>
      <w:footerReference w:type="default" r:id="rId14"/>
      <w:endnotePr>
        <w:numFmt w:val="decimal"/>
      </w:endnotePr>
      <w:type w:val="continuous"/>
      <w:pgSz w:w="11906" w:h="16838" w:code="9"/>
      <w:pgMar w:top="1418" w:right="1418" w:bottom="1134" w:left="2036"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8BC" w:rsidRDefault="00FA58BC" w:rsidP="00853E02">
      <w:r>
        <w:separator/>
      </w:r>
    </w:p>
    <w:p w:rsidR="00FA58BC" w:rsidRDefault="00FA58BC" w:rsidP="00853E02"/>
  </w:endnote>
  <w:endnote w:type="continuationSeparator" w:id="0">
    <w:p w:rsidR="00FA58BC" w:rsidRDefault="00FA58BC" w:rsidP="00853E02">
      <w:r>
        <w:continuationSeparator/>
      </w:r>
    </w:p>
    <w:p w:rsidR="00FA58BC" w:rsidRDefault="00FA58BC" w:rsidP="00853E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F81" w:rsidRDefault="00852F81" w:rsidP="00852F81">
    <w:pPr>
      <w:rPr>
        <w:i/>
        <w:sz w:val="20"/>
        <w:szCs w:val="20"/>
        <w:lang w:val="en-US" w:eastAsia="fr-CH"/>
      </w:rPr>
    </w:pPr>
    <w:r w:rsidRPr="00946361">
      <w:rPr>
        <w:i/>
        <w:sz w:val="20"/>
        <w:szCs w:val="20"/>
        <w:lang w:val="en-US" w:eastAsia="fr-CH"/>
      </w:rPr>
      <w:t xml:space="preserve">The Association for the Prevention of Torture (APT) is an independent NGO based in Geneva. We work for a world free from torture, where the rights and dignity of all persons deprived of liberty are respected. </w:t>
    </w:r>
  </w:p>
  <w:p w:rsidR="00852F81" w:rsidRPr="00946361" w:rsidRDefault="00852F81" w:rsidP="00852F81">
    <w:pPr>
      <w:rPr>
        <w:i/>
        <w:sz w:val="20"/>
        <w:szCs w:val="20"/>
        <w:lang w:val="en-US" w:eastAsia="fr-CH"/>
      </w:rPr>
    </w:pPr>
    <w:r w:rsidRPr="00946361">
      <w:rPr>
        <w:i/>
        <w:sz w:val="20"/>
        <w:szCs w:val="20"/>
        <w:lang w:val="en-US" w:eastAsia="fr-CH"/>
      </w:rPr>
      <w:t xml:space="preserve">To achieve this vision we: </w:t>
    </w:r>
  </w:p>
  <w:p w:rsidR="00852F81" w:rsidRPr="00183F0E" w:rsidRDefault="00852F81" w:rsidP="00852F81">
    <w:pPr>
      <w:pStyle w:val="Puce"/>
      <w:numPr>
        <w:ilvl w:val="0"/>
        <w:numId w:val="17"/>
      </w:numPr>
      <w:spacing w:after="200" w:line="276" w:lineRule="auto"/>
      <w:jc w:val="left"/>
      <w:rPr>
        <w:i/>
        <w:sz w:val="20"/>
        <w:szCs w:val="20"/>
        <w:lang w:val="en-US"/>
      </w:rPr>
    </w:pPr>
    <w:r w:rsidRPr="00183F0E">
      <w:rPr>
        <w:i/>
        <w:sz w:val="20"/>
        <w:szCs w:val="20"/>
        <w:lang w:val="en-US"/>
      </w:rPr>
      <w:t>Advocate for strengthened legal and policy frameworks,</w:t>
    </w:r>
  </w:p>
  <w:p w:rsidR="00852F81" w:rsidRPr="00183F0E" w:rsidRDefault="00852F81" w:rsidP="00852F81">
    <w:pPr>
      <w:pStyle w:val="Puce"/>
      <w:numPr>
        <w:ilvl w:val="0"/>
        <w:numId w:val="17"/>
      </w:numPr>
      <w:spacing w:after="200" w:line="276" w:lineRule="auto"/>
      <w:jc w:val="left"/>
      <w:rPr>
        <w:i/>
        <w:sz w:val="20"/>
        <w:szCs w:val="20"/>
        <w:lang w:val="en-US"/>
      </w:rPr>
    </w:pPr>
    <w:r w:rsidRPr="00183F0E">
      <w:rPr>
        <w:i/>
        <w:sz w:val="20"/>
        <w:szCs w:val="20"/>
        <w:lang w:val="en-US"/>
      </w:rPr>
      <w:t>Promote improved detention practices, and</w:t>
    </w:r>
  </w:p>
  <w:p w:rsidR="00AB09E6" w:rsidRPr="00852F81" w:rsidRDefault="00852F81" w:rsidP="00852F81">
    <w:pPr>
      <w:pStyle w:val="ListParagraph"/>
      <w:numPr>
        <w:ilvl w:val="0"/>
        <w:numId w:val="17"/>
      </w:numPr>
      <w:rPr>
        <w:lang w:val="en-US"/>
      </w:rPr>
    </w:pPr>
    <w:r w:rsidRPr="001057F3">
      <w:rPr>
        <w:i/>
        <w:sz w:val="20"/>
        <w:szCs w:val="20"/>
        <w:lang w:val="en-US"/>
      </w:rPr>
      <w:t>Advise on effective public oversight.</w:t>
    </w:r>
  </w:p>
  <w:p w:rsidR="00AE6787" w:rsidRPr="00AE6787" w:rsidRDefault="00AE6787">
    <w:pPr>
      <w:pStyle w:val="Footer"/>
      <w:rPr>
        <w:lang w:val="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F81" w:rsidRDefault="00852F81" w:rsidP="00852F81">
    <w:pPr>
      <w:rPr>
        <w:i/>
        <w:sz w:val="20"/>
        <w:szCs w:val="20"/>
        <w:lang w:val="en-US" w:eastAsia="fr-CH"/>
      </w:rPr>
    </w:pPr>
    <w:r w:rsidRPr="00946361">
      <w:rPr>
        <w:i/>
        <w:sz w:val="20"/>
        <w:szCs w:val="20"/>
        <w:lang w:val="en-US" w:eastAsia="fr-CH"/>
      </w:rPr>
      <w:t xml:space="preserve">The Association for the Prevention of Torture (APT) is an independent NGO based in Geneva. We work for a world free from torture, where the rights and dignity of all persons deprived of liberty are respected. </w:t>
    </w:r>
  </w:p>
  <w:p w:rsidR="00852F81" w:rsidRPr="00946361" w:rsidRDefault="00852F81" w:rsidP="00852F81">
    <w:pPr>
      <w:rPr>
        <w:i/>
        <w:sz w:val="20"/>
        <w:szCs w:val="20"/>
        <w:lang w:val="en-US" w:eastAsia="fr-CH"/>
      </w:rPr>
    </w:pPr>
    <w:r w:rsidRPr="00946361">
      <w:rPr>
        <w:i/>
        <w:sz w:val="20"/>
        <w:szCs w:val="20"/>
        <w:lang w:val="en-US" w:eastAsia="fr-CH"/>
      </w:rPr>
      <w:t xml:space="preserve">To achieve this vision we: </w:t>
    </w:r>
  </w:p>
  <w:p w:rsidR="00852F81" w:rsidRPr="00183F0E" w:rsidRDefault="00852F81" w:rsidP="00852F81">
    <w:pPr>
      <w:pStyle w:val="Puce"/>
      <w:numPr>
        <w:ilvl w:val="0"/>
        <w:numId w:val="17"/>
      </w:numPr>
      <w:spacing w:after="200" w:line="276" w:lineRule="auto"/>
      <w:jc w:val="left"/>
      <w:rPr>
        <w:i/>
        <w:sz w:val="20"/>
        <w:szCs w:val="20"/>
        <w:lang w:val="en-US"/>
      </w:rPr>
    </w:pPr>
    <w:r w:rsidRPr="00183F0E">
      <w:rPr>
        <w:i/>
        <w:sz w:val="20"/>
        <w:szCs w:val="20"/>
        <w:lang w:val="en-US"/>
      </w:rPr>
      <w:t>Advocate for strengthened legal and policy frameworks,</w:t>
    </w:r>
  </w:p>
  <w:p w:rsidR="00852F81" w:rsidRPr="00183F0E" w:rsidRDefault="00852F81" w:rsidP="00852F81">
    <w:pPr>
      <w:pStyle w:val="Puce"/>
      <w:numPr>
        <w:ilvl w:val="0"/>
        <w:numId w:val="17"/>
      </w:numPr>
      <w:spacing w:after="200" w:line="276" w:lineRule="auto"/>
      <w:jc w:val="left"/>
      <w:rPr>
        <w:i/>
        <w:sz w:val="20"/>
        <w:szCs w:val="20"/>
        <w:lang w:val="en-US"/>
      </w:rPr>
    </w:pPr>
    <w:r w:rsidRPr="00183F0E">
      <w:rPr>
        <w:i/>
        <w:sz w:val="20"/>
        <w:szCs w:val="20"/>
        <w:lang w:val="en-US"/>
      </w:rPr>
      <w:t>Promote improved detention practices, and</w:t>
    </w:r>
  </w:p>
  <w:p w:rsidR="00852F81" w:rsidRPr="00852F81" w:rsidRDefault="00852F81" w:rsidP="00852F81">
    <w:pPr>
      <w:pStyle w:val="ListParagraph"/>
      <w:numPr>
        <w:ilvl w:val="0"/>
        <w:numId w:val="17"/>
      </w:numPr>
      <w:rPr>
        <w:lang w:val="en-US"/>
      </w:rPr>
    </w:pPr>
    <w:r w:rsidRPr="00852F81">
      <w:rPr>
        <w:i/>
        <w:sz w:val="20"/>
        <w:szCs w:val="20"/>
        <w:lang w:val="en-US"/>
      </w:rPr>
      <w:t>Advise on effective public oversight.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787" w:rsidRDefault="00AE6787">
    <w:pPr>
      <w:pStyle w:val="Footer"/>
    </w:pPr>
  </w:p>
  <w:p w:rsidR="000A21C2" w:rsidRDefault="000A21C2" w:rsidP="00CF60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8BC" w:rsidRPr="00BE1AAF" w:rsidRDefault="00FA58BC" w:rsidP="00047FC6">
      <w:pPr>
        <w:pStyle w:val="Sparateurdenote"/>
      </w:pPr>
      <w:r w:rsidRPr="00BE1AAF">
        <w:separator/>
      </w:r>
    </w:p>
  </w:footnote>
  <w:footnote w:type="continuationSeparator" w:id="0">
    <w:p w:rsidR="00FA58BC" w:rsidRDefault="00FA58BC" w:rsidP="00853E02">
      <w:r>
        <w:continuationSeparator/>
      </w:r>
    </w:p>
    <w:p w:rsidR="00FA58BC" w:rsidRDefault="00FA58BC" w:rsidP="00853E02"/>
  </w:footnote>
  <w:footnote w:id="1">
    <w:p w:rsidR="001747EB" w:rsidRPr="001747EB" w:rsidRDefault="001747EB">
      <w:pPr>
        <w:pStyle w:val="FootnoteText"/>
        <w:rPr>
          <w:lang w:val="en-GB"/>
        </w:rPr>
      </w:pPr>
      <w:r>
        <w:rPr>
          <w:rStyle w:val="FootnoteReference"/>
        </w:rPr>
        <w:footnoteRef/>
      </w:r>
      <w:r w:rsidRPr="001747EB">
        <w:rPr>
          <w:lang w:val="en-GB"/>
        </w:rPr>
        <w:t xml:space="preserve"> </w:t>
      </w:r>
      <w:r>
        <w:rPr>
          <w:lang w:val="en-GB"/>
        </w:rPr>
        <w:t>See p</w:t>
      </w:r>
      <w:r w:rsidRPr="001747EB">
        <w:rPr>
          <w:lang w:val="en-GB"/>
        </w:rPr>
        <w:t xml:space="preserve">ara.13 in LOI of Morocco, dated 9 May 2016 </w:t>
      </w:r>
      <w:r>
        <w:rPr>
          <w:lang w:val="en-GB"/>
        </w:rPr>
        <w:t>(</w:t>
      </w:r>
      <w:r w:rsidRPr="001747EB">
        <w:rPr>
          <w:lang w:val="en-GB"/>
        </w:rPr>
        <w:t>CCPR/C/MAR/Q/6</w:t>
      </w:r>
      <w:r>
        <w:rPr>
          <w:lang w:val="en-GB"/>
        </w:rPr>
        <w:t>)</w:t>
      </w:r>
    </w:p>
  </w:footnote>
  <w:footnote w:id="2">
    <w:p w:rsidR="00E30900" w:rsidRPr="00E30900" w:rsidRDefault="00E30900">
      <w:pPr>
        <w:pStyle w:val="FootnoteText"/>
        <w:rPr>
          <w:lang w:val="en-GB"/>
        </w:rPr>
      </w:pPr>
      <w:r>
        <w:rPr>
          <w:rStyle w:val="FootnoteReference"/>
        </w:rPr>
        <w:footnoteRef/>
      </w:r>
      <w:r w:rsidRPr="00E30900">
        <w:rPr>
          <w:lang w:val="en-GB"/>
        </w:rPr>
        <w:t xml:space="preserve"> </w:t>
      </w:r>
      <w:r>
        <w:rPr>
          <w:lang w:val="en-GB"/>
        </w:rPr>
        <w:t xml:space="preserve">See para.14 of LOI, </w:t>
      </w:r>
      <w:r w:rsidRPr="00E30900">
        <w:rPr>
          <w:i/>
          <w:lang w:val="en-GB"/>
        </w:rPr>
        <w:t>supra</w:t>
      </w:r>
      <w:r>
        <w:rPr>
          <w:lang w:val="en-GB"/>
        </w:rPr>
        <w:t>.</w:t>
      </w:r>
    </w:p>
  </w:footnote>
  <w:footnote w:id="3">
    <w:p w:rsidR="001747EB" w:rsidRPr="001747EB" w:rsidRDefault="001747EB">
      <w:pPr>
        <w:pStyle w:val="FootnoteText"/>
        <w:rPr>
          <w:lang w:val="en-GB"/>
        </w:rPr>
      </w:pPr>
      <w:r>
        <w:rPr>
          <w:rStyle w:val="FootnoteReference"/>
        </w:rPr>
        <w:footnoteRef/>
      </w:r>
      <w:r w:rsidRPr="001747EB">
        <w:rPr>
          <w:lang w:val="en-GB"/>
        </w:rPr>
        <w:t xml:space="preserve"> See paras.13 and 15 in LOI</w:t>
      </w:r>
      <w:r w:rsidR="00E30900">
        <w:rPr>
          <w:lang w:val="en-GB"/>
        </w:rPr>
        <w:t xml:space="preserve">, </w:t>
      </w:r>
      <w:r w:rsidRPr="001747EB">
        <w:rPr>
          <w:i/>
          <w:lang w:val="en-GB"/>
        </w:rPr>
        <w:t>supra</w:t>
      </w:r>
      <w:r w:rsidRPr="001747EB">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5A9B" w:rsidRDefault="00205A9B" w:rsidP="00853E02">
    <w:pPr>
      <w:pStyle w:val="Header"/>
    </w:pPr>
    <w:r w:rsidRPr="00FD0F50">
      <w:rPr>
        <w:noProof/>
        <w:lang w:eastAsia="fr-CH"/>
      </w:rPr>
      <w:drawing>
        <wp:anchor distT="0" distB="0" distL="114300" distR="114300" simplePos="0" relativeHeight="251659264" behindDoc="1" locked="1" layoutInCell="1" allowOverlap="1" wp14:anchorId="2A5501F2" wp14:editId="1A387390">
          <wp:simplePos x="0" y="0"/>
          <wp:positionH relativeFrom="column">
            <wp:posOffset>-1172210</wp:posOffset>
          </wp:positionH>
          <wp:positionV relativeFrom="page">
            <wp:posOffset>115570</wp:posOffset>
          </wp:positionV>
          <wp:extent cx="4510800" cy="1267200"/>
          <wp:effectExtent l="0" t="0" r="4445" b="9525"/>
          <wp:wrapTight wrapText="bothSides">
            <wp:wrapPolygon edited="0">
              <wp:start x="0" y="0"/>
              <wp:lineTo x="0" y="21438"/>
              <wp:lineTo x="21530" y="21438"/>
              <wp:lineTo x="21530"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_logo 3 languages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0800" cy="12672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C2A" w:rsidRDefault="00285C2A">
    <w:pPr>
      <w:pStyle w:val="Header"/>
    </w:pPr>
    <w:r w:rsidRPr="00FD0F50">
      <w:rPr>
        <w:noProof/>
        <w:lang w:eastAsia="fr-CH"/>
      </w:rPr>
      <w:drawing>
        <wp:anchor distT="0" distB="0" distL="114300" distR="114300" simplePos="0" relativeHeight="251661312" behindDoc="1" locked="1" layoutInCell="1" allowOverlap="1" wp14:anchorId="45AEE1C4" wp14:editId="6118063A">
          <wp:simplePos x="0" y="0"/>
          <wp:positionH relativeFrom="column">
            <wp:posOffset>-1311275</wp:posOffset>
          </wp:positionH>
          <wp:positionV relativeFrom="page">
            <wp:posOffset>-8255</wp:posOffset>
          </wp:positionV>
          <wp:extent cx="4510405" cy="1266825"/>
          <wp:effectExtent l="0" t="0" r="4445" b="9525"/>
          <wp:wrapTight wrapText="bothSides">
            <wp:wrapPolygon edited="0">
              <wp:start x="0" y="0"/>
              <wp:lineTo x="0" y="21438"/>
              <wp:lineTo x="21530" y="21438"/>
              <wp:lineTo x="21530" y="0"/>
              <wp:lineTo x="0" y="0"/>
            </wp:wrapPolygon>
          </wp:wrapTight>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t_logo 3 languages 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0405" cy="126682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890" w:rsidRPr="00A75241" w:rsidRDefault="000D26FF" w:rsidP="00853E02">
    <w:pPr>
      <w:pStyle w:val="Header"/>
      <w:rPr>
        <w:color w:val="0039A6"/>
      </w:rPr>
    </w:pPr>
    <w:r w:rsidRPr="00A75241">
      <w:rPr>
        <w:color w:val="0039A6"/>
      </w:rPr>
      <w:fldChar w:fldCharType="begin"/>
    </w:r>
    <w:r w:rsidRPr="00A75241">
      <w:rPr>
        <w:color w:val="0039A6"/>
      </w:rPr>
      <w:instrText xml:space="preserve"> STYLEREF  "Titre sujet"  \* MERGEFORMAT </w:instrText>
    </w:r>
    <w:r w:rsidRPr="00A75241">
      <w:rPr>
        <w:color w:val="0039A6"/>
      </w:rPr>
      <w:fldChar w:fldCharType="separate"/>
    </w:r>
    <w:r w:rsidR="00CE6158">
      <w:rPr>
        <w:noProof/>
        <w:color w:val="0039A6"/>
      </w:rPr>
      <w:t>APT submission on Morocco</w:t>
    </w:r>
    <w:r w:rsidRPr="00A75241">
      <w:rPr>
        <w:noProof/>
        <w:color w:val="0039A6"/>
      </w:rPr>
      <w:fldChar w:fldCharType="end"/>
    </w:r>
  </w:p>
  <w:p w:rsidR="000A21C2" w:rsidRDefault="000A21C2" w:rsidP="00853E0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C14B21"/>
    <w:multiLevelType w:val="multilevel"/>
    <w:tmpl w:val="5D0E5D4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nsid w:val="15296C0F"/>
    <w:multiLevelType w:val="multilevel"/>
    <w:tmpl w:val="03ECD494"/>
    <w:styleLink w:val="Style1"/>
    <w:lvl w:ilvl="0">
      <w:start w:val="1"/>
      <w:numFmt w:val="decimal"/>
      <w:lvlText w:val="%1."/>
      <w:lvlJc w:val="left"/>
      <w:pPr>
        <w:ind w:left="360" w:hanging="360"/>
      </w:pPr>
      <w:rPr>
        <w:rFonts w:hint="default"/>
      </w:rPr>
    </w:lvl>
    <w:lvl w:ilvl="1">
      <w:start w:val="1"/>
      <w:numFmt w:val="decimal"/>
      <w:lvlText w:val="%1.%2."/>
      <w:lvlJc w:val="left"/>
      <w:pPr>
        <w:ind w:left="567" w:hanging="207"/>
      </w:pPr>
      <w:rPr>
        <w:rFonts w:hint="default"/>
      </w:rPr>
    </w:lvl>
    <w:lvl w:ilvl="2">
      <w:start w:val="1"/>
      <w:numFmt w:val="decimal"/>
      <w:pStyle w:val="Heading3"/>
      <w:lvlText w:val="%3.%2.%1"/>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17C76D96"/>
    <w:multiLevelType w:val="hybridMultilevel"/>
    <w:tmpl w:val="B0AEB384"/>
    <w:lvl w:ilvl="0" w:tplc="100C0001">
      <w:start w:val="1"/>
      <w:numFmt w:val="bullet"/>
      <w:lvlText w:val=""/>
      <w:lvlJc w:val="left"/>
      <w:pPr>
        <w:ind w:left="1080" w:hanging="360"/>
      </w:pPr>
      <w:rPr>
        <w:rFonts w:ascii="Symbol" w:hAnsi="Symbol"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3">
    <w:nsid w:val="1B776508"/>
    <w:multiLevelType w:val="multilevel"/>
    <w:tmpl w:val="08ECAE2A"/>
    <w:lvl w:ilvl="0">
      <w:start w:val="1"/>
      <w:numFmt w:val="bullet"/>
      <w:lvlText w:val=""/>
      <w:lvlJc w:val="left"/>
      <w:pPr>
        <w:ind w:left="720" w:hanging="360"/>
      </w:pPr>
      <w:rPr>
        <w:rFonts w:ascii="Symbol" w:hAnsi="Symbol" w:hint="default"/>
        <w:sz w:val="18"/>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
    <w:nsid w:val="1C040A77"/>
    <w:multiLevelType w:val="multilevel"/>
    <w:tmpl w:val="CB564376"/>
    <w:lvl w:ilvl="0">
      <w:start w:val="1"/>
      <w:numFmt w:val="bullet"/>
      <w:lvlText w:val=""/>
      <w:lvlJc w:val="left"/>
      <w:pPr>
        <w:ind w:left="720" w:hanging="360"/>
      </w:pPr>
      <w:rPr>
        <w:rFonts w:ascii="Symbol" w:hAnsi="Symbol" w:hint="default"/>
        <w:sz w:val="22"/>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
    <w:nsid w:val="1F9834E1"/>
    <w:multiLevelType w:val="hybridMultilevel"/>
    <w:tmpl w:val="D8221562"/>
    <w:lvl w:ilvl="0" w:tplc="D7186C22">
      <w:start w:val="1"/>
      <w:numFmt w:val="decimal"/>
      <w:lvlText w:val="%1."/>
      <w:lvlJc w:val="left"/>
      <w:pPr>
        <w:ind w:left="360" w:hanging="360"/>
      </w:pPr>
    </w:lvl>
    <w:lvl w:ilvl="1" w:tplc="B33CAF4C">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6">
    <w:nsid w:val="34C10606"/>
    <w:multiLevelType w:val="hybridMultilevel"/>
    <w:tmpl w:val="9F64488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364B06C7"/>
    <w:multiLevelType w:val="multilevel"/>
    <w:tmpl w:val="B4CA5E7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DF80DF1"/>
    <w:multiLevelType w:val="hybridMultilevel"/>
    <w:tmpl w:val="92DC79E6"/>
    <w:lvl w:ilvl="0" w:tplc="E550B27A">
      <w:start w:val="1"/>
      <w:numFmt w:val="decimal"/>
      <w:pStyle w:val="Heading1"/>
      <w:lvlText w:val="%1."/>
      <w:lvlJc w:val="left"/>
      <w:pPr>
        <w:ind w:left="360" w:hanging="360"/>
      </w:p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9">
    <w:nsid w:val="3E9F0D5B"/>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226693D"/>
    <w:multiLevelType w:val="hybridMultilevel"/>
    <w:tmpl w:val="486838C6"/>
    <w:lvl w:ilvl="0" w:tplc="100C0001">
      <w:start w:val="1"/>
      <w:numFmt w:val="bullet"/>
      <w:lvlText w:val=""/>
      <w:lvlJc w:val="left"/>
      <w:pPr>
        <w:ind w:left="1080" w:hanging="360"/>
      </w:pPr>
      <w:rPr>
        <w:rFonts w:ascii="Symbol" w:hAnsi="Symbol" w:hint="default"/>
      </w:rPr>
    </w:lvl>
    <w:lvl w:ilvl="1" w:tplc="100C0003" w:tentative="1">
      <w:start w:val="1"/>
      <w:numFmt w:val="bullet"/>
      <w:lvlText w:val="o"/>
      <w:lvlJc w:val="left"/>
      <w:pPr>
        <w:ind w:left="1800" w:hanging="360"/>
      </w:pPr>
      <w:rPr>
        <w:rFonts w:ascii="Courier New" w:hAnsi="Courier New" w:cs="Courier New" w:hint="default"/>
      </w:rPr>
    </w:lvl>
    <w:lvl w:ilvl="2" w:tplc="100C0005" w:tentative="1">
      <w:start w:val="1"/>
      <w:numFmt w:val="bullet"/>
      <w:lvlText w:val=""/>
      <w:lvlJc w:val="left"/>
      <w:pPr>
        <w:ind w:left="2520" w:hanging="360"/>
      </w:pPr>
      <w:rPr>
        <w:rFonts w:ascii="Wingdings" w:hAnsi="Wingdings" w:hint="default"/>
      </w:rPr>
    </w:lvl>
    <w:lvl w:ilvl="3" w:tplc="100C0001" w:tentative="1">
      <w:start w:val="1"/>
      <w:numFmt w:val="bullet"/>
      <w:lvlText w:val=""/>
      <w:lvlJc w:val="left"/>
      <w:pPr>
        <w:ind w:left="3240" w:hanging="360"/>
      </w:pPr>
      <w:rPr>
        <w:rFonts w:ascii="Symbol" w:hAnsi="Symbol" w:hint="default"/>
      </w:rPr>
    </w:lvl>
    <w:lvl w:ilvl="4" w:tplc="100C0003" w:tentative="1">
      <w:start w:val="1"/>
      <w:numFmt w:val="bullet"/>
      <w:lvlText w:val="o"/>
      <w:lvlJc w:val="left"/>
      <w:pPr>
        <w:ind w:left="3960" w:hanging="360"/>
      </w:pPr>
      <w:rPr>
        <w:rFonts w:ascii="Courier New" w:hAnsi="Courier New" w:cs="Courier New" w:hint="default"/>
      </w:rPr>
    </w:lvl>
    <w:lvl w:ilvl="5" w:tplc="100C0005" w:tentative="1">
      <w:start w:val="1"/>
      <w:numFmt w:val="bullet"/>
      <w:lvlText w:val=""/>
      <w:lvlJc w:val="left"/>
      <w:pPr>
        <w:ind w:left="4680" w:hanging="360"/>
      </w:pPr>
      <w:rPr>
        <w:rFonts w:ascii="Wingdings" w:hAnsi="Wingdings" w:hint="default"/>
      </w:rPr>
    </w:lvl>
    <w:lvl w:ilvl="6" w:tplc="100C0001" w:tentative="1">
      <w:start w:val="1"/>
      <w:numFmt w:val="bullet"/>
      <w:lvlText w:val=""/>
      <w:lvlJc w:val="left"/>
      <w:pPr>
        <w:ind w:left="5400" w:hanging="360"/>
      </w:pPr>
      <w:rPr>
        <w:rFonts w:ascii="Symbol" w:hAnsi="Symbol" w:hint="default"/>
      </w:rPr>
    </w:lvl>
    <w:lvl w:ilvl="7" w:tplc="100C0003" w:tentative="1">
      <w:start w:val="1"/>
      <w:numFmt w:val="bullet"/>
      <w:lvlText w:val="o"/>
      <w:lvlJc w:val="left"/>
      <w:pPr>
        <w:ind w:left="6120" w:hanging="360"/>
      </w:pPr>
      <w:rPr>
        <w:rFonts w:ascii="Courier New" w:hAnsi="Courier New" w:cs="Courier New" w:hint="default"/>
      </w:rPr>
    </w:lvl>
    <w:lvl w:ilvl="8" w:tplc="100C0005" w:tentative="1">
      <w:start w:val="1"/>
      <w:numFmt w:val="bullet"/>
      <w:lvlText w:val=""/>
      <w:lvlJc w:val="left"/>
      <w:pPr>
        <w:ind w:left="6840" w:hanging="360"/>
      </w:pPr>
      <w:rPr>
        <w:rFonts w:ascii="Wingdings" w:hAnsi="Wingdings" w:hint="default"/>
      </w:rPr>
    </w:lvl>
  </w:abstractNum>
  <w:abstractNum w:abstractNumId="11">
    <w:nsid w:val="45ED456C"/>
    <w:multiLevelType w:val="multilevel"/>
    <w:tmpl w:val="799E444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49C675DE"/>
    <w:multiLevelType w:val="multilevel"/>
    <w:tmpl w:val="08ECAE2A"/>
    <w:lvl w:ilvl="0">
      <w:start w:val="1"/>
      <w:numFmt w:val="bullet"/>
      <w:lvlText w:val=""/>
      <w:lvlJc w:val="left"/>
      <w:pPr>
        <w:ind w:left="360" w:hanging="360"/>
      </w:pPr>
      <w:rPr>
        <w:rFonts w:ascii="Symbol" w:hAnsi="Symbol" w:hint="default"/>
        <w:sz w:val="1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0C548EE"/>
    <w:multiLevelType w:val="multilevel"/>
    <w:tmpl w:val="CB564376"/>
    <w:lvl w:ilvl="0">
      <w:start w:val="1"/>
      <w:numFmt w:val="bullet"/>
      <w:lvlText w:val=""/>
      <w:lvlJc w:val="left"/>
      <w:pPr>
        <w:ind w:left="360" w:hanging="360"/>
      </w:pPr>
      <w:rPr>
        <w:rFonts w:ascii="Symbol" w:hAnsi="Symbol" w:hint="default"/>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5AF07F70"/>
    <w:multiLevelType w:val="hybridMultilevel"/>
    <w:tmpl w:val="880CC26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nsid w:val="5E802BF1"/>
    <w:multiLevelType w:val="hybridMultilevel"/>
    <w:tmpl w:val="BA46886E"/>
    <w:lvl w:ilvl="0" w:tplc="C6B8FF38">
      <w:numFmt w:val="bullet"/>
      <w:lvlText w:val="-"/>
      <w:lvlJc w:val="left"/>
      <w:pPr>
        <w:ind w:left="720" w:hanging="360"/>
      </w:pPr>
      <w:rPr>
        <w:rFonts w:ascii="Segoe UI" w:eastAsia="Times New Roman" w:hAnsi="Segoe UI" w:cs="Segoe UI"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nsid w:val="72C82414"/>
    <w:multiLevelType w:val="hybridMultilevel"/>
    <w:tmpl w:val="940E894C"/>
    <w:lvl w:ilvl="0" w:tplc="100C0001">
      <w:start w:val="1"/>
      <w:numFmt w:val="bullet"/>
      <w:lvlText w:val=""/>
      <w:lvlJc w:val="left"/>
      <w:pPr>
        <w:ind w:left="36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nsid w:val="74344AB1"/>
    <w:multiLevelType w:val="hybridMultilevel"/>
    <w:tmpl w:val="6A0E300E"/>
    <w:lvl w:ilvl="0" w:tplc="05B8A368">
      <w:numFmt w:val="bullet"/>
      <w:lvlText w:val="•"/>
      <w:lvlJc w:val="left"/>
      <w:pPr>
        <w:ind w:left="720" w:hanging="360"/>
      </w:pPr>
      <w:rPr>
        <w:rFonts w:ascii="Segoe UI" w:eastAsiaTheme="minorHAnsi" w:hAnsi="Segoe UI" w:cs="Segoe UI" w:hint="default"/>
        <w:i w:val="0"/>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7"/>
  </w:num>
  <w:num w:numId="4">
    <w:abstractNumId w:val="4"/>
  </w:num>
  <w:num w:numId="5">
    <w:abstractNumId w:val="1"/>
  </w:num>
  <w:num w:numId="6">
    <w:abstractNumId w:val="6"/>
  </w:num>
  <w:num w:numId="7">
    <w:abstractNumId w:val="4"/>
  </w:num>
  <w:num w:numId="8">
    <w:abstractNumId w:val="4"/>
  </w:num>
  <w:num w:numId="9">
    <w:abstractNumId w:val="2"/>
  </w:num>
  <w:num w:numId="10">
    <w:abstractNumId w:val="10"/>
  </w:num>
  <w:num w:numId="11">
    <w:abstractNumId w:val="13"/>
  </w:num>
  <w:num w:numId="12">
    <w:abstractNumId w:val="12"/>
  </w:num>
  <w:num w:numId="13">
    <w:abstractNumId w:val="3"/>
  </w:num>
  <w:num w:numId="14">
    <w:abstractNumId w:val="15"/>
  </w:num>
  <w:num w:numId="15">
    <w:abstractNumId w:val="14"/>
  </w:num>
  <w:num w:numId="16">
    <w:abstractNumId w:val="16"/>
  </w:num>
  <w:num w:numId="17">
    <w:abstractNumId w:val="17"/>
  </w:num>
  <w:num w:numId="18">
    <w:abstractNumId w:val="5"/>
  </w:num>
  <w:num w:numId="19">
    <w:abstractNumId w:val="1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styleLockTheme/>
  <w:styleLockQFSet/>
  <w:defaultTabStop w:val="709"/>
  <w:hyphenationZone w:val="425"/>
  <w:drawingGridHorizontalSpacing w:val="90"/>
  <w:displayHorizontalDrawingGridEvery w:val="2"/>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624"/>
    <w:rsid w:val="000026BE"/>
    <w:rsid w:val="0000777A"/>
    <w:rsid w:val="00015FD4"/>
    <w:rsid w:val="00020FCC"/>
    <w:rsid w:val="00024859"/>
    <w:rsid w:val="000356DC"/>
    <w:rsid w:val="00047FC6"/>
    <w:rsid w:val="00052B71"/>
    <w:rsid w:val="000A21C2"/>
    <w:rsid w:val="000D26FF"/>
    <w:rsid w:val="00143624"/>
    <w:rsid w:val="00170CB5"/>
    <w:rsid w:val="00172A3C"/>
    <w:rsid w:val="001747EB"/>
    <w:rsid w:val="001808F4"/>
    <w:rsid w:val="001B7FA4"/>
    <w:rsid w:val="001C69E9"/>
    <w:rsid w:val="001F00A0"/>
    <w:rsid w:val="00205A9B"/>
    <w:rsid w:val="00206728"/>
    <w:rsid w:val="002209C7"/>
    <w:rsid w:val="00226686"/>
    <w:rsid w:val="0027009A"/>
    <w:rsid w:val="00274397"/>
    <w:rsid w:val="00285C2A"/>
    <w:rsid w:val="002A40E6"/>
    <w:rsid w:val="002F6C10"/>
    <w:rsid w:val="003178A5"/>
    <w:rsid w:val="00322C8C"/>
    <w:rsid w:val="00333C64"/>
    <w:rsid w:val="00341648"/>
    <w:rsid w:val="00345E22"/>
    <w:rsid w:val="00354C38"/>
    <w:rsid w:val="003818DB"/>
    <w:rsid w:val="003C112F"/>
    <w:rsid w:val="003C5B27"/>
    <w:rsid w:val="003C6EFF"/>
    <w:rsid w:val="003E43FE"/>
    <w:rsid w:val="003F39EE"/>
    <w:rsid w:val="00433A28"/>
    <w:rsid w:val="00457608"/>
    <w:rsid w:val="00460DF2"/>
    <w:rsid w:val="004743C2"/>
    <w:rsid w:val="004B12E1"/>
    <w:rsid w:val="004B62C1"/>
    <w:rsid w:val="004F1662"/>
    <w:rsid w:val="005460B9"/>
    <w:rsid w:val="00552EAD"/>
    <w:rsid w:val="005556BE"/>
    <w:rsid w:val="00564F8C"/>
    <w:rsid w:val="005763F7"/>
    <w:rsid w:val="00582B21"/>
    <w:rsid w:val="00584943"/>
    <w:rsid w:val="005C61DF"/>
    <w:rsid w:val="005F0411"/>
    <w:rsid w:val="0063473A"/>
    <w:rsid w:val="0063660C"/>
    <w:rsid w:val="00687E44"/>
    <w:rsid w:val="006918AB"/>
    <w:rsid w:val="006B49F2"/>
    <w:rsid w:val="006E4287"/>
    <w:rsid w:val="006E74DD"/>
    <w:rsid w:val="006F2F47"/>
    <w:rsid w:val="007A4C7B"/>
    <w:rsid w:val="007A6442"/>
    <w:rsid w:val="007D0918"/>
    <w:rsid w:val="007F2A71"/>
    <w:rsid w:val="007F4EAA"/>
    <w:rsid w:val="0081374C"/>
    <w:rsid w:val="008410EC"/>
    <w:rsid w:val="00841CD4"/>
    <w:rsid w:val="00846E93"/>
    <w:rsid w:val="00852F81"/>
    <w:rsid w:val="00853E02"/>
    <w:rsid w:val="00854069"/>
    <w:rsid w:val="0089793D"/>
    <w:rsid w:val="00961FAE"/>
    <w:rsid w:val="00964C7C"/>
    <w:rsid w:val="009D2A10"/>
    <w:rsid w:val="009F7C3F"/>
    <w:rsid w:val="00A119CD"/>
    <w:rsid w:val="00A12743"/>
    <w:rsid w:val="00A14C97"/>
    <w:rsid w:val="00A1654E"/>
    <w:rsid w:val="00A22F07"/>
    <w:rsid w:val="00A42497"/>
    <w:rsid w:val="00A43890"/>
    <w:rsid w:val="00A663F3"/>
    <w:rsid w:val="00A74CB1"/>
    <w:rsid w:val="00A75241"/>
    <w:rsid w:val="00A806E2"/>
    <w:rsid w:val="00AB09E6"/>
    <w:rsid w:val="00AB54C9"/>
    <w:rsid w:val="00AD5E54"/>
    <w:rsid w:val="00AE0158"/>
    <w:rsid w:val="00AE6787"/>
    <w:rsid w:val="00B00CED"/>
    <w:rsid w:val="00B049D5"/>
    <w:rsid w:val="00B57750"/>
    <w:rsid w:val="00B62459"/>
    <w:rsid w:val="00B84260"/>
    <w:rsid w:val="00BA418D"/>
    <w:rsid w:val="00BB584C"/>
    <w:rsid w:val="00BD0378"/>
    <w:rsid w:val="00BE1AAF"/>
    <w:rsid w:val="00BF659F"/>
    <w:rsid w:val="00C03A68"/>
    <w:rsid w:val="00C101D2"/>
    <w:rsid w:val="00C17749"/>
    <w:rsid w:val="00C409CF"/>
    <w:rsid w:val="00C80896"/>
    <w:rsid w:val="00C817FE"/>
    <w:rsid w:val="00C84340"/>
    <w:rsid w:val="00C970F5"/>
    <w:rsid w:val="00CA0296"/>
    <w:rsid w:val="00CA5907"/>
    <w:rsid w:val="00CA67EC"/>
    <w:rsid w:val="00CC5DE5"/>
    <w:rsid w:val="00CD0047"/>
    <w:rsid w:val="00CE1FB1"/>
    <w:rsid w:val="00CE6158"/>
    <w:rsid w:val="00CF60F8"/>
    <w:rsid w:val="00D546B8"/>
    <w:rsid w:val="00D55B36"/>
    <w:rsid w:val="00D63318"/>
    <w:rsid w:val="00D90800"/>
    <w:rsid w:val="00E011F5"/>
    <w:rsid w:val="00E052F7"/>
    <w:rsid w:val="00E116F9"/>
    <w:rsid w:val="00E30660"/>
    <w:rsid w:val="00E30900"/>
    <w:rsid w:val="00E4335C"/>
    <w:rsid w:val="00E519C9"/>
    <w:rsid w:val="00E80068"/>
    <w:rsid w:val="00E87435"/>
    <w:rsid w:val="00E93F7A"/>
    <w:rsid w:val="00EA4B08"/>
    <w:rsid w:val="00EB014C"/>
    <w:rsid w:val="00EC21C8"/>
    <w:rsid w:val="00EC6DF1"/>
    <w:rsid w:val="00F40911"/>
    <w:rsid w:val="00F51E5F"/>
    <w:rsid w:val="00F90528"/>
    <w:rsid w:val="00FA58BC"/>
    <w:rsid w:val="00FC1331"/>
    <w:rsid w:val="00FC6229"/>
    <w:rsid w:val="00FD0F50"/>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locked="0" w:uiPriority="9" w:qFormat="1"/>
    <w:lsdException w:name="heading 4" w:locked="0" w:uiPriority="9"/>
    <w:lsdException w:name="heading 5" w:locked="0" w:uiPriority="9" w:qFormat="1"/>
    <w:lsdException w:name="heading 6" w:uiPriority="9" w:qFormat="1"/>
    <w:lsdException w:name="heading 7" w:uiPriority="9" w:qFormat="1"/>
    <w:lsdException w:name="heading 8" w:uiPriority="9" w:qFormat="1"/>
    <w:lsdException w:name="heading 9" w:uiPriority="9" w:qFormat="1"/>
    <w:lsdException w:name="index 1" w:locked="0"/>
    <w:lsdException w:name="index 2" w:locked="0"/>
    <w:lsdException w:name="index 3" w:locked="0"/>
    <w:lsdException w:name="index 4" w:locked="0"/>
    <w:lsdException w:name="toc 1" w:locked="0" w:uiPriority="39"/>
    <w:lsdException w:name="toc 2" w:locked="0" w:uiPriority="39"/>
    <w:lsdException w:name="toc 3" w:locked="0" w:uiPriority="39"/>
    <w:lsdException w:name="toc 4" w:locked="0" w:uiPriority="39"/>
    <w:lsdException w:name="toc 5" w:locked="0" w:uiPriority="39"/>
    <w:lsdException w:name="toc 6" w:uiPriority="39"/>
    <w:lsdException w:name="toc 7" w:uiPriority="39"/>
    <w:lsdException w:name="toc 8" w:uiPriority="39"/>
    <w:lsdException w:name="toc 9" w:uiPriority="39"/>
    <w:lsdException w:name="Normal Indent" w:locked="0"/>
    <w:lsdException w:name="footnote text" w:locked="0"/>
    <w:lsdException w:name="annotation text" w:locked="0"/>
    <w:lsdException w:name="header" w:locked="0"/>
    <w:lsdException w:name="footer" w:locked="0"/>
    <w:lsdException w:name="caption" w:uiPriority="35" w:qFormat="1"/>
    <w:lsdException w:name="table of figures" w:locked="0"/>
    <w:lsdException w:name="envelope address" w:locked="0"/>
    <w:lsdException w:name="envelope return" w:locked="0"/>
    <w:lsdException w:name="footnote reference" w:locked="0" w:uiPriority="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Bullet 2" w:locked="0"/>
    <w:lsdException w:name="List Bullet 3" w:locked="0"/>
    <w:lsdException w:name="List Bullet 4" w:locked="0"/>
    <w:lsdException w:name="List Bullet 5" w:locked="0"/>
    <w:lsdException w:name="Title" w:locked="0" w:semiHidden="0" w:uiPriority="10" w:unhideWhenUsed="0"/>
    <w:lsdException w:name="Closing" w:locked="0"/>
    <w:lsdException w:name="Signature" w:locked="0"/>
    <w:lsdException w:name="Default Paragraph Font" w:locked="0" w:uiPriority="1"/>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lsdException w:name="Salutation" w:locked="0"/>
    <w:lsdException w:name="Date" w:locked="0"/>
    <w:lsdException w:name="Body Text First Indent" w:locked="0"/>
    <w:lsdException w:name="Body Text First Indent 2" w:locked="0"/>
    <w:lsdException w:name="Body Text Indent 2" w:locked="0"/>
    <w:lsdException w:name="Body Text Indent 3" w:locked="0"/>
    <w:lsdException w:name="Block Text" w:locked="0"/>
    <w:lsdException w:name="Hyperlink" w:locked="0"/>
    <w:lsdException w:name="FollowedHyperlink" w:locked="0"/>
    <w:lsdException w:name="Strong" w:locked="0" w:semiHidden="0" w:uiPriority="22" w:unhideWhenUsed="0"/>
    <w:lsdException w:name="Emphasis" w:locked="0" w:semiHidden="0" w:uiPriority="20" w:unhideWhenUsed="0"/>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locked="0" w:semiHidden="0" w:uiPriority="31" w:unhideWhenUsed="0" w:qFormat="1"/>
    <w:lsdException w:name="Intense Reference" w:locked="0" w:semiHidden="0" w:uiPriority="32" w:unhideWhenUsed="0" w:qFormat="1"/>
    <w:lsdException w:name="Book Title" w:semiHidden="0" w:uiPriority="33" w:unhideWhenUsed="0"/>
    <w:lsdException w:name="Bibliography" w:locked="0" w:uiPriority="37"/>
    <w:lsdException w:name="TOC Heading" w:locked="0" w:uiPriority="39" w:qFormat="1"/>
  </w:latentStyles>
  <w:style w:type="paragraph" w:default="1" w:styleId="Normal">
    <w:name w:val="Normal"/>
    <w:qFormat/>
    <w:rsid w:val="00853E02"/>
    <w:pPr>
      <w:spacing w:after="120" w:line="240" w:lineRule="auto"/>
      <w:jc w:val="both"/>
    </w:pPr>
    <w:rPr>
      <w:rFonts w:ascii="Segoe UI" w:hAnsi="Segoe UI" w:cs="Segoe UI"/>
    </w:rPr>
  </w:style>
  <w:style w:type="paragraph" w:styleId="Heading1">
    <w:name w:val="heading 1"/>
    <w:basedOn w:val="Normal"/>
    <w:link w:val="Heading1Char"/>
    <w:autoRedefine/>
    <w:uiPriority w:val="9"/>
    <w:qFormat/>
    <w:rsid w:val="009F7C3F"/>
    <w:pPr>
      <w:numPr>
        <w:numId w:val="20"/>
      </w:numPr>
      <w:spacing w:before="240" w:after="240"/>
      <w:outlineLvl w:val="0"/>
    </w:pPr>
    <w:rPr>
      <w:rFonts w:eastAsia="Times New Roman"/>
      <w:b/>
      <w:bCs/>
      <w:kern w:val="36"/>
      <w:lang w:val="en-GB" w:eastAsia="fr-FR"/>
    </w:rPr>
  </w:style>
  <w:style w:type="paragraph" w:styleId="Heading2">
    <w:name w:val="heading 2"/>
    <w:basedOn w:val="Normal"/>
    <w:next w:val="Normal"/>
    <w:link w:val="Heading2Char"/>
    <w:autoRedefine/>
    <w:uiPriority w:val="9"/>
    <w:unhideWhenUsed/>
    <w:qFormat/>
    <w:rsid w:val="00CA5907"/>
    <w:pPr>
      <w:keepNext/>
      <w:keepLines/>
      <w:spacing w:before="240" w:after="240"/>
      <w:outlineLvl w:val="1"/>
    </w:pPr>
    <w:rPr>
      <w:rFonts w:eastAsiaTheme="majorEastAsia"/>
      <w:b/>
      <w:bCs/>
      <w:lang w:val="en-GB"/>
    </w:rPr>
  </w:style>
  <w:style w:type="paragraph" w:styleId="Heading3">
    <w:name w:val="heading 3"/>
    <w:basedOn w:val="Normal"/>
    <w:next w:val="Normal"/>
    <w:link w:val="Heading3Char"/>
    <w:autoRedefine/>
    <w:uiPriority w:val="9"/>
    <w:unhideWhenUsed/>
    <w:qFormat/>
    <w:rsid w:val="003F39EE"/>
    <w:pPr>
      <w:keepNext/>
      <w:keepLines/>
      <w:numPr>
        <w:ilvl w:val="2"/>
        <w:numId w:val="5"/>
      </w:numPr>
      <w:spacing w:before="240" w:after="240"/>
      <w:ind w:left="1276" w:hanging="709"/>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C3F"/>
    <w:rPr>
      <w:rFonts w:ascii="Segoe UI" w:eastAsia="Times New Roman" w:hAnsi="Segoe UI" w:cs="Segoe UI"/>
      <w:b/>
      <w:bCs/>
      <w:kern w:val="36"/>
      <w:lang w:val="en-GB" w:eastAsia="fr-FR"/>
    </w:rPr>
  </w:style>
  <w:style w:type="paragraph" w:styleId="BalloonText">
    <w:name w:val="Balloon Text"/>
    <w:basedOn w:val="Normal"/>
    <w:link w:val="BalloonTextChar"/>
    <w:uiPriority w:val="99"/>
    <w:semiHidden/>
    <w:unhideWhenUsed/>
    <w:rsid w:val="00552E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EAD"/>
    <w:rPr>
      <w:rFonts w:ascii="Tahoma" w:hAnsi="Tahoma" w:cs="Tahoma"/>
      <w:sz w:val="16"/>
      <w:szCs w:val="16"/>
    </w:rPr>
  </w:style>
  <w:style w:type="paragraph" w:styleId="Header">
    <w:name w:val="header"/>
    <w:basedOn w:val="Normal"/>
    <w:link w:val="HeaderChar"/>
    <w:uiPriority w:val="99"/>
    <w:unhideWhenUsed/>
    <w:rsid w:val="00846E93"/>
    <w:pPr>
      <w:spacing w:after="0"/>
      <w:ind w:right="-620"/>
      <w:jc w:val="right"/>
    </w:pPr>
    <w:rPr>
      <w:sz w:val="20"/>
      <w:szCs w:val="20"/>
    </w:rPr>
  </w:style>
  <w:style w:type="character" w:customStyle="1" w:styleId="HeaderChar">
    <w:name w:val="Header Char"/>
    <w:basedOn w:val="DefaultParagraphFont"/>
    <w:link w:val="Header"/>
    <w:uiPriority w:val="99"/>
    <w:rsid w:val="00846E93"/>
    <w:rPr>
      <w:rFonts w:ascii="Segoe UI" w:hAnsi="Segoe UI" w:cs="Segoe UI"/>
      <w:sz w:val="20"/>
      <w:szCs w:val="20"/>
    </w:rPr>
  </w:style>
  <w:style w:type="paragraph" w:styleId="Footer">
    <w:name w:val="footer"/>
    <w:basedOn w:val="Normal"/>
    <w:link w:val="FooterChar"/>
    <w:uiPriority w:val="99"/>
    <w:unhideWhenUsed/>
    <w:rsid w:val="00433A28"/>
    <w:pPr>
      <w:tabs>
        <w:tab w:val="center" w:pos="4536"/>
        <w:tab w:val="right" w:pos="9072"/>
      </w:tabs>
      <w:spacing w:after="0"/>
      <w:ind w:right="-620"/>
    </w:pPr>
    <w:rPr>
      <w:color w:val="0039A6"/>
      <w:sz w:val="20"/>
      <w:szCs w:val="16"/>
    </w:rPr>
  </w:style>
  <w:style w:type="character" w:customStyle="1" w:styleId="FooterChar">
    <w:name w:val="Footer Char"/>
    <w:basedOn w:val="DefaultParagraphFont"/>
    <w:link w:val="Footer"/>
    <w:uiPriority w:val="99"/>
    <w:rsid w:val="00433A28"/>
    <w:rPr>
      <w:rFonts w:ascii="Segoe UI" w:hAnsi="Segoe UI" w:cs="Segoe UI"/>
      <w:color w:val="0039A6"/>
      <w:sz w:val="20"/>
      <w:szCs w:val="16"/>
    </w:rPr>
  </w:style>
  <w:style w:type="character" w:styleId="Hyperlink">
    <w:name w:val="Hyperlink"/>
    <w:basedOn w:val="DefaultParagraphFont"/>
    <w:uiPriority w:val="99"/>
    <w:unhideWhenUsed/>
    <w:rsid w:val="00552EAD"/>
    <w:rPr>
      <w:color w:val="0000FF" w:themeColor="hyperlink"/>
      <w:u w:val="single"/>
    </w:rPr>
  </w:style>
  <w:style w:type="paragraph" w:styleId="NoSpacing">
    <w:name w:val="No Spacing"/>
    <w:uiPriority w:val="1"/>
    <w:qFormat/>
    <w:rsid w:val="00E87435"/>
    <w:pPr>
      <w:spacing w:after="0" w:line="240" w:lineRule="auto"/>
    </w:pPr>
    <w:rPr>
      <w:rFonts w:ascii="Arial" w:hAnsi="Arial" w:cs="Arial"/>
    </w:rPr>
  </w:style>
  <w:style w:type="character" w:customStyle="1" w:styleId="Heading2Char">
    <w:name w:val="Heading 2 Char"/>
    <w:basedOn w:val="DefaultParagraphFont"/>
    <w:link w:val="Heading2"/>
    <w:uiPriority w:val="9"/>
    <w:rsid w:val="00CA5907"/>
    <w:rPr>
      <w:rFonts w:ascii="Segoe UI" w:eastAsiaTheme="majorEastAsia" w:hAnsi="Segoe UI" w:cs="Segoe UI"/>
      <w:b/>
      <w:bCs/>
      <w:lang w:val="en-GB"/>
    </w:rPr>
  </w:style>
  <w:style w:type="character" w:customStyle="1" w:styleId="Heading3Char">
    <w:name w:val="Heading 3 Char"/>
    <w:basedOn w:val="DefaultParagraphFont"/>
    <w:link w:val="Heading3"/>
    <w:uiPriority w:val="9"/>
    <w:rsid w:val="003F39EE"/>
    <w:rPr>
      <w:rFonts w:ascii="Segoe UI" w:eastAsiaTheme="majorEastAsia" w:hAnsi="Segoe UI" w:cs="Segoe UI"/>
      <w:b/>
      <w:bCs/>
    </w:rPr>
  </w:style>
  <w:style w:type="character" w:styleId="PlaceholderText">
    <w:name w:val="Placeholder Text"/>
    <w:basedOn w:val="DefaultParagraphFont"/>
    <w:uiPriority w:val="99"/>
    <w:semiHidden/>
    <w:rsid w:val="005C61DF"/>
    <w:rPr>
      <w:color w:val="808080"/>
    </w:rPr>
  </w:style>
  <w:style w:type="paragraph" w:customStyle="1" w:styleId="Titregnral">
    <w:name w:val="Titre général"/>
    <w:qFormat/>
    <w:rsid w:val="00846E93"/>
    <w:pPr>
      <w:spacing w:before="480"/>
    </w:pPr>
    <w:rPr>
      <w:rFonts w:ascii="Segoe UI" w:eastAsiaTheme="majorEastAsia" w:hAnsi="Segoe UI" w:cs="Segoe UI"/>
      <w:color w:val="0039A6"/>
      <w:spacing w:val="5"/>
      <w:kern w:val="28"/>
      <w:sz w:val="40"/>
      <w:szCs w:val="40"/>
    </w:rPr>
  </w:style>
  <w:style w:type="paragraph" w:customStyle="1" w:styleId="Puce">
    <w:name w:val="Puce"/>
    <w:basedOn w:val="Normal"/>
    <w:qFormat/>
    <w:rsid w:val="00846E93"/>
  </w:style>
  <w:style w:type="paragraph" w:styleId="EndnoteText">
    <w:name w:val="endnote text"/>
    <w:basedOn w:val="Normal"/>
    <w:link w:val="EndnoteTextChar"/>
    <w:uiPriority w:val="99"/>
    <w:semiHidden/>
    <w:unhideWhenUsed/>
    <w:rsid w:val="00D90800"/>
    <w:pPr>
      <w:spacing w:after="0"/>
    </w:pPr>
    <w:rPr>
      <w:sz w:val="20"/>
      <w:szCs w:val="20"/>
    </w:rPr>
  </w:style>
  <w:style w:type="character" w:customStyle="1" w:styleId="EndnoteTextChar">
    <w:name w:val="Endnote Text Char"/>
    <w:basedOn w:val="DefaultParagraphFont"/>
    <w:link w:val="EndnoteText"/>
    <w:uiPriority w:val="99"/>
    <w:semiHidden/>
    <w:rsid w:val="00D90800"/>
    <w:rPr>
      <w:rFonts w:ascii="Arial" w:hAnsi="Arial" w:cs="Arial"/>
      <w:sz w:val="20"/>
      <w:szCs w:val="20"/>
    </w:rPr>
  </w:style>
  <w:style w:type="character" w:styleId="EndnoteReference">
    <w:name w:val="endnote reference"/>
    <w:basedOn w:val="DefaultParagraphFont"/>
    <w:uiPriority w:val="99"/>
    <w:semiHidden/>
    <w:unhideWhenUsed/>
    <w:rsid w:val="00D90800"/>
    <w:rPr>
      <w:vertAlign w:val="superscript"/>
    </w:rPr>
  </w:style>
  <w:style w:type="paragraph" w:styleId="FootnoteText">
    <w:name w:val="footnote text"/>
    <w:basedOn w:val="Normal"/>
    <w:link w:val="FootnoteTextChar"/>
    <w:uiPriority w:val="99"/>
    <w:semiHidden/>
    <w:unhideWhenUsed/>
    <w:rsid w:val="00D90800"/>
    <w:pPr>
      <w:spacing w:after="0"/>
    </w:pPr>
    <w:rPr>
      <w:sz w:val="20"/>
      <w:szCs w:val="20"/>
    </w:rPr>
  </w:style>
  <w:style w:type="character" w:customStyle="1" w:styleId="FootnoteTextChar">
    <w:name w:val="Footnote Text Char"/>
    <w:basedOn w:val="DefaultParagraphFont"/>
    <w:link w:val="FootnoteText"/>
    <w:uiPriority w:val="99"/>
    <w:semiHidden/>
    <w:rsid w:val="00D90800"/>
    <w:rPr>
      <w:rFonts w:ascii="Arial" w:hAnsi="Arial" w:cs="Arial"/>
      <w:sz w:val="20"/>
      <w:szCs w:val="20"/>
    </w:rPr>
  </w:style>
  <w:style w:type="character" w:styleId="FootnoteReference">
    <w:name w:val="footnote reference"/>
    <w:basedOn w:val="DefaultParagraphFont"/>
    <w:semiHidden/>
    <w:unhideWhenUsed/>
    <w:rsid w:val="00D90800"/>
    <w:rPr>
      <w:vertAlign w:val="superscript"/>
    </w:rPr>
  </w:style>
  <w:style w:type="numbering" w:customStyle="1" w:styleId="Style1">
    <w:name w:val="Style1"/>
    <w:uiPriority w:val="99"/>
    <w:rsid w:val="002F6C10"/>
    <w:pPr>
      <w:numPr>
        <w:numId w:val="5"/>
      </w:numPr>
    </w:pPr>
  </w:style>
  <w:style w:type="paragraph" w:customStyle="1" w:styleId="Datedecration">
    <w:name w:val="Date de création"/>
    <w:next w:val="Normal"/>
    <w:rsid w:val="00846E93"/>
    <w:pPr>
      <w:pBdr>
        <w:top w:val="single" w:sz="4" w:space="15" w:color="0039A6"/>
      </w:pBdr>
      <w:spacing w:after="600"/>
      <w:jc w:val="right"/>
    </w:pPr>
    <w:rPr>
      <w:rFonts w:ascii="Segoe UI" w:hAnsi="Segoe UI" w:cs="Segoe UI"/>
      <w:b/>
      <w:color w:val="0039A6"/>
    </w:rPr>
  </w:style>
  <w:style w:type="paragraph" w:customStyle="1" w:styleId="Sparateurdenote">
    <w:name w:val="Séparateur de note"/>
    <w:rsid w:val="00047FC6"/>
    <w:rPr>
      <w:rFonts w:ascii="Arial" w:hAnsi="Arial" w:cs="Arial"/>
      <w:color w:val="ED2939"/>
    </w:rPr>
  </w:style>
  <w:style w:type="paragraph" w:customStyle="1" w:styleId="Notedebasdepageapt">
    <w:name w:val="Note de bas de page apt"/>
    <w:basedOn w:val="FootnoteText"/>
    <w:rsid w:val="00846E93"/>
  </w:style>
  <w:style w:type="paragraph" w:customStyle="1" w:styleId="Titresujet">
    <w:name w:val="Titre sujet"/>
    <w:basedOn w:val="Normal"/>
    <w:next w:val="Normal"/>
    <w:qFormat/>
    <w:rsid w:val="00846E93"/>
    <w:pPr>
      <w:spacing w:before="600" w:after="300" w:line="276" w:lineRule="auto"/>
      <w:contextualSpacing/>
      <w:jc w:val="left"/>
    </w:pPr>
    <w:rPr>
      <w:rFonts w:eastAsiaTheme="majorEastAsia"/>
      <w:b/>
      <w:color w:val="0039A6"/>
      <w:spacing w:val="5"/>
      <w:kern w:val="28"/>
      <w:sz w:val="40"/>
      <w:szCs w:val="40"/>
    </w:rPr>
  </w:style>
  <w:style w:type="paragraph" w:styleId="TOCHeading">
    <w:name w:val="TOC Heading"/>
    <w:basedOn w:val="Heading1"/>
    <w:next w:val="Normal"/>
    <w:uiPriority w:val="39"/>
    <w:semiHidden/>
    <w:unhideWhenUsed/>
    <w:qFormat/>
    <w:rsid w:val="000356DC"/>
    <w:pPr>
      <w:keepNext/>
      <w:keepLines/>
      <w:spacing w:before="480" w:after="0" w:line="276" w:lineRule="auto"/>
      <w:jc w:val="left"/>
      <w:outlineLvl w:val="9"/>
    </w:pPr>
    <w:rPr>
      <w:rFonts w:eastAsiaTheme="majorEastAsia" w:cstheme="majorBidi"/>
      <w:color w:val="0039A6"/>
      <w:kern w:val="0"/>
      <w:sz w:val="28"/>
      <w:szCs w:val="28"/>
      <w:lang w:val="fr-CH" w:eastAsia="fr-CH"/>
    </w:rPr>
  </w:style>
  <w:style w:type="paragraph" w:styleId="TOC1">
    <w:name w:val="toc 1"/>
    <w:basedOn w:val="Normal"/>
    <w:next w:val="Normal"/>
    <w:autoRedefine/>
    <w:uiPriority w:val="39"/>
    <w:unhideWhenUsed/>
    <w:rsid w:val="00E011F5"/>
    <w:pPr>
      <w:tabs>
        <w:tab w:val="left" w:pos="440"/>
        <w:tab w:val="right" w:leader="dot" w:pos="8442"/>
      </w:tabs>
      <w:spacing w:after="100"/>
    </w:pPr>
    <w:rPr>
      <w:noProof/>
      <w:sz w:val="24"/>
      <w:szCs w:val="24"/>
    </w:rPr>
  </w:style>
  <w:style w:type="paragraph" w:styleId="TOC2">
    <w:name w:val="toc 2"/>
    <w:basedOn w:val="Normal"/>
    <w:next w:val="Normal"/>
    <w:autoRedefine/>
    <w:uiPriority w:val="39"/>
    <w:unhideWhenUsed/>
    <w:rsid w:val="00E011F5"/>
    <w:pPr>
      <w:tabs>
        <w:tab w:val="left" w:pos="880"/>
        <w:tab w:val="right" w:leader="dot" w:pos="8442"/>
      </w:tabs>
      <w:spacing w:after="100"/>
      <w:ind w:left="220"/>
    </w:pPr>
    <w:rPr>
      <w:noProof/>
      <w:sz w:val="20"/>
      <w:szCs w:val="20"/>
    </w:rPr>
  </w:style>
  <w:style w:type="paragraph" w:styleId="TOC3">
    <w:name w:val="toc 3"/>
    <w:basedOn w:val="Normal"/>
    <w:next w:val="Normal"/>
    <w:autoRedefine/>
    <w:uiPriority w:val="39"/>
    <w:unhideWhenUsed/>
    <w:rsid w:val="000356DC"/>
    <w:pPr>
      <w:tabs>
        <w:tab w:val="left" w:pos="1320"/>
        <w:tab w:val="right" w:leader="dot" w:pos="8442"/>
      </w:tabs>
      <w:spacing w:after="100"/>
      <w:ind w:left="440"/>
    </w:pPr>
    <w:rPr>
      <w:noProof/>
      <w:sz w:val="20"/>
    </w:rPr>
  </w:style>
  <w:style w:type="table" w:styleId="TableGrid">
    <w:name w:val="Table Grid"/>
    <w:basedOn w:val="TableNormal"/>
    <w:uiPriority w:val="59"/>
    <w:locked/>
    <w:rsid w:val="004B1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0DF2"/>
    <w:pPr>
      <w:ind w:left="720"/>
      <w:contextualSpacing/>
    </w:pPr>
  </w:style>
  <w:style w:type="paragraph" w:styleId="Quote">
    <w:name w:val="Quote"/>
    <w:basedOn w:val="Normal"/>
    <w:next w:val="Normal"/>
    <w:link w:val="QuoteChar"/>
    <w:uiPriority w:val="29"/>
    <w:qFormat/>
    <w:rsid w:val="00CA5907"/>
    <w:rPr>
      <w:i/>
      <w:iCs/>
      <w:color w:val="000000" w:themeColor="text1"/>
    </w:rPr>
  </w:style>
  <w:style w:type="character" w:customStyle="1" w:styleId="QuoteChar">
    <w:name w:val="Quote Char"/>
    <w:basedOn w:val="DefaultParagraphFont"/>
    <w:link w:val="Quote"/>
    <w:uiPriority w:val="29"/>
    <w:rsid w:val="00CA5907"/>
    <w:rPr>
      <w:rFonts w:ascii="Segoe UI" w:hAnsi="Segoe UI" w:cs="Segoe UI"/>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9" w:unhideWhenUsed="0" w:qFormat="1"/>
    <w:lsdException w:name="heading 2" w:locked="0" w:uiPriority="9" w:qFormat="1"/>
    <w:lsdException w:name="heading 3" w:locked="0" w:uiPriority="9" w:qFormat="1"/>
    <w:lsdException w:name="heading 4" w:locked="0" w:uiPriority="9"/>
    <w:lsdException w:name="heading 5" w:locked="0" w:uiPriority="9" w:qFormat="1"/>
    <w:lsdException w:name="heading 6" w:uiPriority="9" w:qFormat="1"/>
    <w:lsdException w:name="heading 7" w:uiPriority="9" w:qFormat="1"/>
    <w:lsdException w:name="heading 8" w:uiPriority="9" w:qFormat="1"/>
    <w:lsdException w:name="heading 9" w:uiPriority="9" w:qFormat="1"/>
    <w:lsdException w:name="index 1" w:locked="0"/>
    <w:lsdException w:name="index 2" w:locked="0"/>
    <w:lsdException w:name="index 3" w:locked="0"/>
    <w:lsdException w:name="index 4" w:locked="0"/>
    <w:lsdException w:name="toc 1" w:locked="0" w:uiPriority="39"/>
    <w:lsdException w:name="toc 2" w:locked="0" w:uiPriority="39"/>
    <w:lsdException w:name="toc 3" w:locked="0" w:uiPriority="39"/>
    <w:lsdException w:name="toc 4" w:locked="0" w:uiPriority="39"/>
    <w:lsdException w:name="toc 5" w:locked="0" w:uiPriority="39"/>
    <w:lsdException w:name="toc 6" w:uiPriority="39"/>
    <w:lsdException w:name="toc 7" w:uiPriority="39"/>
    <w:lsdException w:name="toc 8" w:uiPriority="39"/>
    <w:lsdException w:name="toc 9" w:uiPriority="39"/>
    <w:lsdException w:name="Normal Indent" w:locked="0"/>
    <w:lsdException w:name="footnote text" w:locked="0"/>
    <w:lsdException w:name="annotation text" w:locked="0"/>
    <w:lsdException w:name="header" w:locked="0"/>
    <w:lsdException w:name="footer" w:locked="0"/>
    <w:lsdException w:name="caption" w:uiPriority="35" w:qFormat="1"/>
    <w:lsdException w:name="table of figures" w:locked="0"/>
    <w:lsdException w:name="envelope address" w:locked="0"/>
    <w:lsdException w:name="envelope return" w:locked="0"/>
    <w:lsdException w:name="footnote reference" w:locked="0" w:uiPriority="0"/>
    <w:lsdException w:name="annotation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Bullet 2" w:locked="0"/>
    <w:lsdException w:name="List Bullet 3" w:locked="0"/>
    <w:lsdException w:name="List Bullet 4" w:locked="0"/>
    <w:lsdException w:name="List Bullet 5" w:locked="0"/>
    <w:lsdException w:name="Title" w:locked="0" w:semiHidden="0" w:uiPriority="10" w:unhideWhenUsed="0"/>
    <w:lsdException w:name="Closing" w:locked="0"/>
    <w:lsdException w:name="Signature" w:locked="0"/>
    <w:lsdException w:name="Default Paragraph Font" w:locked="0" w:uiPriority="1"/>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lsdException w:name="Salutation" w:locked="0"/>
    <w:lsdException w:name="Date" w:locked="0"/>
    <w:lsdException w:name="Body Text First Indent" w:locked="0"/>
    <w:lsdException w:name="Body Text First Indent 2" w:locked="0"/>
    <w:lsdException w:name="Body Text Indent 2" w:locked="0"/>
    <w:lsdException w:name="Body Text Indent 3" w:locked="0"/>
    <w:lsdException w:name="Block Text" w:locked="0"/>
    <w:lsdException w:name="Hyperlink" w:locked="0"/>
    <w:lsdException w:name="FollowedHyperlink" w:locked="0"/>
    <w:lsdException w:name="Strong" w:locked="0" w:semiHidden="0" w:uiPriority="22" w:unhideWhenUsed="0"/>
    <w:lsdException w:name="Emphasis" w:locked="0" w:semiHidden="0" w:uiPriority="20" w:unhideWhenUsed="0"/>
    <w:lsdException w:name="Document Map" w:locked="0"/>
    <w:lsdException w:name="Plain Text" w:locked="0"/>
    <w:lsdException w:name="E-mail Signature" w:locked="0"/>
    <w:lsdException w:name="HTML Top of Form" w:locked="0"/>
    <w:lsdException w:name="HTML Bottom of Form" w:locked="0"/>
    <w:lsdException w:name="Normal (Web)" w:locked="0"/>
    <w:lsdException w:name="HTML Acronym" w:locked="0"/>
    <w:lsdException w:name="HTML Address" w:locked="0"/>
    <w:lsdException w:name="HTML Cite" w:locked="0"/>
    <w:lsdException w:name="HTML Code" w:locked="0"/>
    <w:lsdException w:name="HTML Definition" w:locked="0"/>
    <w:lsdException w:name="HTML Keyboard" w:locked="0"/>
    <w:lsdException w:name="HTML Preformatted" w:locked="0"/>
    <w:lsdException w:name="HTML Sample" w:locked="0"/>
    <w:lsdException w:name="HTML Typewriter" w:locked="0"/>
    <w:lsdException w:name="HTML Variable" w:locked="0"/>
    <w:lsdException w:name="Normal Table" w:locked="0"/>
    <w:lsdException w:name="annotation subject" w:locked="0"/>
    <w:lsdException w:name="No List" w:locked="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locked="0" w:semiHidden="0" w:uiPriority="31" w:unhideWhenUsed="0" w:qFormat="1"/>
    <w:lsdException w:name="Intense Reference" w:locked="0" w:semiHidden="0" w:uiPriority="32" w:unhideWhenUsed="0" w:qFormat="1"/>
    <w:lsdException w:name="Book Title" w:semiHidden="0" w:uiPriority="33" w:unhideWhenUsed="0"/>
    <w:lsdException w:name="Bibliography" w:locked="0" w:uiPriority="37"/>
    <w:lsdException w:name="TOC Heading" w:locked="0" w:uiPriority="39" w:qFormat="1"/>
  </w:latentStyles>
  <w:style w:type="paragraph" w:default="1" w:styleId="Normal">
    <w:name w:val="Normal"/>
    <w:qFormat/>
    <w:rsid w:val="00853E02"/>
    <w:pPr>
      <w:spacing w:after="120" w:line="240" w:lineRule="auto"/>
      <w:jc w:val="both"/>
    </w:pPr>
    <w:rPr>
      <w:rFonts w:ascii="Segoe UI" w:hAnsi="Segoe UI" w:cs="Segoe UI"/>
    </w:rPr>
  </w:style>
  <w:style w:type="paragraph" w:styleId="Heading1">
    <w:name w:val="heading 1"/>
    <w:basedOn w:val="Normal"/>
    <w:link w:val="Heading1Char"/>
    <w:autoRedefine/>
    <w:uiPriority w:val="9"/>
    <w:qFormat/>
    <w:rsid w:val="009F7C3F"/>
    <w:pPr>
      <w:numPr>
        <w:numId w:val="20"/>
      </w:numPr>
      <w:spacing w:before="240" w:after="240"/>
      <w:outlineLvl w:val="0"/>
    </w:pPr>
    <w:rPr>
      <w:rFonts w:eastAsia="Times New Roman"/>
      <w:b/>
      <w:bCs/>
      <w:kern w:val="36"/>
      <w:lang w:val="en-GB" w:eastAsia="fr-FR"/>
    </w:rPr>
  </w:style>
  <w:style w:type="paragraph" w:styleId="Heading2">
    <w:name w:val="heading 2"/>
    <w:basedOn w:val="Normal"/>
    <w:next w:val="Normal"/>
    <w:link w:val="Heading2Char"/>
    <w:autoRedefine/>
    <w:uiPriority w:val="9"/>
    <w:unhideWhenUsed/>
    <w:qFormat/>
    <w:rsid w:val="00CA5907"/>
    <w:pPr>
      <w:keepNext/>
      <w:keepLines/>
      <w:spacing w:before="240" w:after="240"/>
      <w:outlineLvl w:val="1"/>
    </w:pPr>
    <w:rPr>
      <w:rFonts w:eastAsiaTheme="majorEastAsia"/>
      <w:b/>
      <w:bCs/>
      <w:lang w:val="en-GB"/>
    </w:rPr>
  </w:style>
  <w:style w:type="paragraph" w:styleId="Heading3">
    <w:name w:val="heading 3"/>
    <w:basedOn w:val="Normal"/>
    <w:next w:val="Normal"/>
    <w:link w:val="Heading3Char"/>
    <w:autoRedefine/>
    <w:uiPriority w:val="9"/>
    <w:unhideWhenUsed/>
    <w:qFormat/>
    <w:rsid w:val="003F39EE"/>
    <w:pPr>
      <w:keepNext/>
      <w:keepLines/>
      <w:numPr>
        <w:ilvl w:val="2"/>
        <w:numId w:val="5"/>
      </w:numPr>
      <w:spacing w:before="240" w:after="240"/>
      <w:ind w:left="1276" w:hanging="709"/>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C3F"/>
    <w:rPr>
      <w:rFonts w:ascii="Segoe UI" w:eastAsia="Times New Roman" w:hAnsi="Segoe UI" w:cs="Segoe UI"/>
      <w:b/>
      <w:bCs/>
      <w:kern w:val="36"/>
      <w:lang w:val="en-GB" w:eastAsia="fr-FR"/>
    </w:rPr>
  </w:style>
  <w:style w:type="paragraph" w:styleId="BalloonText">
    <w:name w:val="Balloon Text"/>
    <w:basedOn w:val="Normal"/>
    <w:link w:val="BalloonTextChar"/>
    <w:uiPriority w:val="99"/>
    <w:semiHidden/>
    <w:unhideWhenUsed/>
    <w:rsid w:val="00552EA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EAD"/>
    <w:rPr>
      <w:rFonts w:ascii="Tahoma" w:hAnsi="Tahoma" w:cs="Tahoma"/>
      <w:sz w:val="16"/>
      <w:szCs w:val="16"/>
    </w:rPr>
  </w:style>
  <w:style w:type="paragraph" w:styleId="Header">
    <w:name w:val="header"/>
    <w:basedOn w:val="Normal"/>
    <w:link w:val="HeaderChar"/>
    <w:uiPriority w:val="99"/>
    <w:unhideWhenUsed/>
    <w:rsid w:val="00846E93"/>
    <w:pPr>
      <w:spacing w:after="0"/>
      <w:ind w:right="-620"/>
      <w:jc w:val="right"/>
    </w:pPr>
    <w:rPr>
      <w:sz w:val="20"/>
      <w:szCs w:val="20"/>
    </w:rPr>
  </w:style>
  <w:style w:type="character" w:customStyle="1" w:styleId="HeaderChar">
    <w:name w:val="Header Char"/>
    <w:basedOn w:val="DefaultParagraphFont"/>
    <w:link w:val="Header"/>
    <w:uiPriority w:val="99"/>
    <w:rsid w:val="00846E93"/>
    <w:rPr>
      <w:rFonts w:ascii="Segoe UI" w:hAnsi="Segoe UI" w:cs="Segoe UI"/>
      <w:sz w:val="20"/>
      <w:szCs w:val="20"/>
    </w:rPr>
  </w:style>
  <w:style w:type="paragraph" w:styleId="Footer">
    <w:name w:val="footer"/>
    <w:basedOn w:val="Normal"/>
    <w:link w:val="FooterChar"/>
    <w:uiPriority w:val="99"/>
    <w:unhideWhenUsed/>
    <w:rsid w:val="00433A28"/>
    <w:pPr>
      <w:tabs>
        <w:tab w:val="center" w:pos="4536"/>
        <w:tab w:val="right" w:pos="9072"/>
      </w:tabs>
      <w:spacing w:after="0"/>
      <w:ind w:right="-620"/>
    </w:pPr>
    <w:rPr>
      <w:color w:val="0039A6"/>
      <w:sz w:val="20"/>
      <w:szCs w:val="16"/>
    </w:rPr>
  </w:style>
  <w:style w:type="character" w:customStyle="1" w:styleId="FooterChar">
    <w:name w:val="Footer Char"/>
    <w:basedOn w:val="DefaultParagraphFont"/>
    <w:link w:val="Footer"/>
    <w:uiPriority w:val="99"/>
    <w:rsid w:val="00433A28"/>
    <w:rPr>
      <w:rFonts w:ascii="Segoe UI" w:hAnsi="Segoe UI" w:cs="Segoe UI"/>
      <w:color w:val="0039A6"/>
      <w:sz w:val="20"/>
      <w:szCs w:val="16"/>
    </w:rPr>
  </w:style>
  <w:style w:type="character" w:styleId="Hyperlink">
    <w:name w:val="Hyperlink"/>
    <w:basedOn w:val="DefaultParagraphFont"/>
    <w:uiPriority w:val="99"/>
    <w:unhideWhenUsed/>
    <w:rsid w:val="00552EAD"/>
    <w:rPr>
      <w:color w:val="0000FF" w:themeColor="hyperlink"/>
      <w:u w:val="single"/>
    </w:rPr>
  </w:style>
  <w:style w:type="paragraph" w:styleId="NoSpacing">
    <w:name w:val="No Spacing"/>
    <w:uiPriority w:val="1"/>
    <w:qFormat/>
    <w:rsid w:val="00E87435"/>
    <w:pPr>
      <w:spacing w:after="0" w:line="240" w:lineRule="auto"/>
    </w:pPr>
    <w:rPr>
      <w:rFonts w:ascii="Arial" w:hAnsi="Arial" w:cs="Arial"/>
    </w:rPr>
  </w:style>
  <w:style w:type="character" w:customStyle="1" w:styleId="Heading2Char">
    <w:name w:val="Heading 2 Char"/>
    <w:basedOn w:val="DefaultParagraphFont"/>
    <w:link w:val="Heading2"/>
    <w:uiPriority w:val="9"/>
    <w:rsid w:val="00CA5907"/>
    <w:rPr>
      <w:rFonts w:ascii="Segoe UI" w:eastAsiaTheme="majorEastAsia" w:hAnsi="Segoe UI" w:cs="Segoe UI"/>
      <w:b/>
      <w:bCs/>
      <w:lang w:val="en-GB"/>
    </w:rPr>
  </w:style>
  <w:style w:type="character" w:customStyle="1" w:styleId="Heading3Char">
    <w:name w:val="Heading 3 Char"/>
    <w:basedOn w:val="DefaultParagraphFont"/>
    <w:link w:val="Heading3"/>
    <w:uiPriority w:val="9"/>
    <w:rsid w:val="003F39EE"/>
    <w:rPr>
      <w:rFonts w:ascii="Segoe UI" w:eastAsiaTheme="majorEastAsia" w:hAnsi="Segoe UI" w:cs="Segoe UI"/>
      <w:b/>
      <w:bCs/>
    </w:rPr>
  </w:style>
  <w:style w:type="character" w:styleId="PlaceholderText">
    <w:name w:val="Placeholder Text"/>
    <w:basedOn w:val="DefaultParagraphFont"/>
    <w:uiPriority w:val="99"/>
    <w:semiHidden/>
    <w:rsid w:val="005C61DF"/>
    <w:rPr>
      <w:color w:val="808080"/>
    </w:rPr>
  </w:style>
  <w:style w:type="paragraph" w:customStyle="1" w:styleId="Titregnral">
    <w:name w:val="Titre général"/>
    <w:qFormat/>
    <w:rsid w:val="00846E93"/>
    <w:pPr>
      <w:spacing w:before="480"/>
    </w:pPr>
    <w:rPr>
      <w:rFonts w:ascii="Segoe UI" w:eastAsiaTheme="majorEastAsia" w:hAnsi="Segoe UI" w:cs="Segoe UI"/>
      <w:color w:val="0039A6"/>
      <w:spacing w:val="5"/>
      <w:kern w:val="28"/>
      <w:sz w:val="40"/>
      <w:szCs w:val="40"/>
    </w:rPr>
  </w:style>
  <w:style w:type="paragraph" w:customStyle="1" w:styleId="Puce">
    <w:name w:val="Puce"/>
    <w:basedOn w:val="Normal"/>
    <w:qFormat/>
    <w:rsid w:val="00846E93"/>
  </w:style>
  <w:style w:type="paragraph" w:styleId="EndnoteText">
    <w:name w:val="endnote text"/>
    <w:basedOn w:val="Normal"/>
    <w:link w:val="EndnoteTextChar"/>
    <w:uiPriority w:val="99"/>
    <w:semiHidden/>
    <w:unhideWhenUsed/>
    <w:rsid w:val="00D90800"/>
    <w:pPr>
      <w:spacing w:after="0"/>
    </w:pPr>
    <w:rPr>
      <w:sz w:val="20"/>
      <w:szCs w:val="20"/>
    </w:rPr>
  </w:style>
  <w:style w:type="character" w:customStyle="1" w:styleId="EndnoteTextChar">
    <w:name w:val="Endnote Text Char"/>
    <w:basedOn w:val="DefaultParagraphFont"/>
    <w:link w:val="EndnoteText"/>
    <w:uiPriority w:val="99"/>
    <w:semiHidden/>
    <w:rsid w:val="00D90800"/>
    <w:rPr>
      <w:rFonts w:ascii="Arial" w:hAnsi="Arial" w:cs="Arial"/>
      <w:sz w:val="20"/>
      <w:szCs w:val="20"/>
    </w:rPr>
  </w:style>
  <w:style w:type="character" w:styleId="EndnoteReference">
    <w:name w:val="endnote reference"/>
    <w:basedOn w:val="DefaultParagraphFont"/>
    <w:uiPriority w:val="99"/>
    <w:semiHidden/>
    <w:unhideWhenUsed/>
    <w:rsid w:val="00D90800"/>
    <w:rPr>
      <w:vertAlign w:val="superscript"/>
    </w:rPr>
  </w:style>
  <w:style w:type="paragraph" w:styleId="FootnoteText">
    <w:name w:val="footnote text"/>
    <w:basedOn w:val="Normal"/>
    <w:link w:val="FootnoteTextChar"/>
    <w:uiPriority w:val="99"/>
    <w:semiHidden/>
    <w:unhideWhenUsed/>
    <w:rsid w:val="00D90800"/>
    <w:pPr>
      <w:spacing w:after="0"/>
    </w:pPr>
    <w:rPr>
      <w:sz w:val="20"/>
      <w:szCs w:val="20"/>
    </w:rPr>
  </w:style>
  <w:style w:type="character" w:customStyle="1" w:styleId="FootnoteTextChar">
    <w:name w:val="Footnote Text Char"/>
    <w:basedOn w:val="DefaultParagraphFont"/>
    <w:link w:val="FootnoteText"/>
    <w:uiPriority w:val="99"/>
    <w:semiHidden/>
    <w:rsid w:val="00D90800"/>
    <w:rPr>
      <w:rFonts w:ascii="Arial" w:hAnsi="Arial" w:cs="Arial"/>
      <w:sz w:val="20"/>
      <w:szCs w:val="20"/>
    </w:rPr>
  </w:style>
  <w:style w:type="character" w:styleId="FootnoteReference">
    <w:name w:val="footnote reference"/>
    <w:basedOn w:val="DefaultParagraphFont"/>
    <w:semiHidden/>
    <w:unhideWhenUsed/>
    <w:rsid w:val="00D90800"/>
    <w:rPr>
      <w:vertAlign w:val="superscript"/>
    </w:rPr>
  </w:style>
  <w:style w:type="numbering" w:customStyle="1" w:styleId="Style1">
    <w:name w:val="Style1"/>
    <w:uiPriority w:val="99"/>
    <w:rsid w:val="002F6C10"/>
    <w:pPr>
      <w:numPr>
        <w:numId w:val="5"/>
      </w:numPr>
    </w:pPr>
  </w:style>
  <w:style w:type="paragraph" w:customStyle="1" w:styleId="Datedecration">
    <w:name w:val="Date de création"/>
    <w:next w:val="Normal"/>
    <w:rsid w:val="00846E93"/>
    <w:pPr>
      <w:pBdr>
        <w:top w:val="single" w:sz="4" w:space="15" w:color="0039A6"/>
      </w:pBdr>
      <w:spacing w:after="600"/>
      <w:jc w:val="right"/>
    </w:pPr>
    <w:rPr>
      <w:rFonts w:ascii="Segoe UI" w:hAnsi="Segoe UI" w:cs="Segoe UI"/>
      <w:b/>
      <w:color w:val="0039A6"/>
    </w:rPr>
  </w:style>
  <w:style w:type="paragraph" w:customStyle="1" w:styleId="Sparateurdenote">
    <w:name w:val="Séparateur de note"/>
    <w:rsid w:val="00047FC6"/>
    <w:rPr>
      <w:rFonts w:ascii="Arial" w:hAnsi="Arial" w:cs="Arial"/>
      <w:color w:val="ED2939"/>
    </w:rPr>
  </w:style>
  <w:style w:type="paragraph" w:customStyle="1" w:styleId="Notedebasdepageapt">
    <w:name w:val="Note de bas de page apt"/>
    <w:basedOn w:val="FootnoteText"/>
    <w:rsid w:val="00846E93"/>
  </w:style>
  <w:style w:type="paragraph" w:customStyle="1" w:styleId="Titresujet">
    <w:name w:val="Titre sujet"/>
    <w:basedOn w:val="Normal"/>
    <w:next w:val="Normal"/>
    <w:qFormat/>
    <w:rsid w:val="00846E93"/>
    <w:pPr>
      <w:spacing w:before="600" w:after="300" w:line="276" w:lineRule="auto"/>
      <w:contextualSpacing/>
      <w:jc w:val="left"/>
    </w:pPr>
    <w:rPr>
      <w:rFonts w:eastAsiaTheme="majorEastAsia"/>
      <w:b/>
      <w:color w:val="0039A6"/>
      <w:spacing w:val="5"/>
      <w:kern w:val="28"/>
      <w:sz w:val="40"/>
      <w:szCs w:val="40"/>
    </w:rPr>
  </w:style>
  <w:style w:type="paragraph" w:styleId="TOCHeading">
    <w:name w:val="TOC Heading"/>
    <w:basedOn w:val="Heading1"/>
    <w:next w:val="Normal"/>
    <w:uiPriority w:val="39"/>
    <w:semiHidden/>
    <w:unhideWhenUsed/>
    <w:qFormat/>
    <w:rsid w:val="000356DC"/>
    <w:pPr>
      <w:keepNext/>
      <w:keepLines/>
      <w:spacing w:before="480" w:after="0" w:line="276" w:lineRule="auto"/>
      <w:jc w:val="left"/>
      <w:outlineLvl w:val="9"/>
    </w:pPr>
    <w:rPr>
      <w:rFonts w:eastAsiaTheme="majorEastAsia" w:cstheme="majorBidi"/>
      <w:color w:val="0039A6"/>
      <w:kern w:val="0"/>
      <w:sz w:val="28"/>
      <w:szCs w:val="28"/>
      <w:lang w:val="fr-CH" w:eastAsia="fr-CH"/>
    </w:rPr>
  </w:style>
  <w:style w:type="paragraph" w:styleId="TOC1">
    <w:name w:val="toc 1"/>
    <w:basedOn w:val="Normal"/>
    <w:next w:val="Normal"/>
    <w:autoRedefine/>
    <w:uiPriority w:val="39"/>
    <w:unhideWhenUsed/>
    <w:rsid w:val="00E011F5"/>
    <w:pPr>
      <w:tabs>
        <w:tab w:val="left" w:pos="440"/>
        <w:tab w:val="right" w:leader="dot" w:pos="8442"/>
      </w:tabs>
      <w:spacing w:after="100"/>
    </w:pPr>
    <w:rPr>
      <w:noProof/>
      <w:sz w:val="24"/>
      <w:szCs w:val="24"/>
    </w:rPr>
  </w:style>
  <w:style w:type="paragraph" w:styleId="TOC2">
    <w:name w:val="toc 2"/>
    <w:basedOn w:val="Normal"/>
    <w:next w:val="Normal"/>
    <w:autoRedefine/>
    <w:uiPriority w:val="39"/>
    <w:unhideWhenUsed/>
    <w:rsid w:val="00E011F5"/>
    <w:pPr>
      <w:tabs>
        <w:tab w:val="left" w:pos="880"/>
        <w:tab w:val="right" w:leader="dot" w:pos="8442"/>
      </w:tabs>
      <w:spacing w:after="100"/>
      <w:ind w:left="220"/>
    </w:pPr>
    <w:rPr>
      <w:noProof/>
      <w:sz w:val="20"/>
      <w:szCs w:val="20"/>
    </w:rPr>
  </w:style>
  <w:style w:type="paragraph" w:styleId="TOC3">
    <w:name w:val="toc 3"/>
    <w:basedOn w:val="Normal"/>
    <w:next w:val="Normal"/>
    <w:autoRedefine/>
    <w:uiPriority w:val="39"/>
    <w:unhideWhenUsed/>
    <w:rsid w:val="000356DC"/>
    <w:pPr>
      <w:tabs>
        <w:tab w:val="left" w:pos="1320"/>
        <w:tab w:val="right" w:leader="dot" w:pos="8442"/>
      </w:tabs>
      <w:spacing w:after="100"/>
      <w:ind w:left="440"/>
    </w:pPr>
    <w:rPr>
      <w:noProof/>
      <w:sz w:val="20"/>
    </w:rPr>
  </w:style>
  <w:style w:type="table" w:styleId="TableGrid">
    <w:name w:val="Table Grid"/>
    <w:basedOn w:val="TableNormal"/>
    <w:uiPriority w:val="59"/>
    <w:locked/>
    <w:rsid w:val="004B1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0DF2"/>
    <w:pPr>
      <w:ind w:left="720"/>
      <w:contextualSpacing/>
    </w:pPr>
  </w:style>
  <w:style w:type="paragraph" w:styleId="Quote">
    <w:name w:val="Quote"/>
    <w:basedOn w:val="Normal"/>
    <w:next w:val="Normal"/>
    <w:link w:val="QuoteChar"/>
    <w:uiPriority w:val="29"/>
    <w:qFormat/>
    <w:rsid w:val="00CA5907"/>
    <w:rPr>
      <w:i/>
      <w:iCs/>
      <w:color w:val="000000" w:themeColor="text1"/>
    </w:rPr>
  </w:style>
  <w:style w:type="character" w:customStyle="1" w:styleId="QuoteChar">
    <w:name w:val="Quote Char"/>
    <w:basedOn w:val="DefaultParagraphFont"/>
    <w:link w:val="Quote"/>
    <w:uiPriority w:val="29"/>
    <w:rsid w:val="00CA5907"/>
    <w:rPr>
      <w:rFonts w:ascii="Segoe UI" w:hAnsi="Segoe UI" w:cs="Segoe UI"/>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P:\Working%20Program%20Folders\Middle%20East%20and%20North%20Africa\Yasmine\Maroc\UN%20reports\APT%20alternative%20report%20-%20CCPR%20Morocco%202016.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958A4F-5A55-43F9-BB02-BA3062105CAE}"/>
</file>

<file path=customXml/itemProps2.xml><?xml version="1.0" encoding="utf-8"?>
<ds:datastoreItem xmlns:ds="http://schemas.openxmlformats.org/officeDocument/2006/customXml" ds:itemID="{AD0C3943-A7D7-442C-900E-607415025AA5}"/>
</file>

<file path=customXml/itemProps3.xml><?xml version="1.0" encoding="utf-8"?>
<ds:datastoreItem xmlns:ds="http://schemas.openxmlformats.org/officeDocument/2006/customXml" ds:itemID="{4323525E-48DA-40CC-BCAD-82112B1EFFAA}"/>
</file>

<file path=customXml/itemProps4.xml><?xml version="1.0" encoding="utf-8"?>
<ds:datastoreItem xmlns:ds="http://schemas.openxmlformats.org/officeDocument/2006/customXml" ds:itemID="{DBFFD433-DAAC-44BA-8C7D-075A3B910368}"/>
</file>

<file path=docProps/app.xml><?xml version="1.0" encoding="utf-8"?>
<Properties xmlns="http://schemas.openxmlformats.org/officeDocument/2006/extended-properties" xmlns:vt="http://schemas.openxmlformats.org/officeDocument/2006/docPropsVTypes">
  <Template>APT alternative report - CCPR Morocco 2016.dotx</Template>
  <TotalTime>73</TotalTime>
  <Pages>4</Pages>
  <Words>1155</Words>
  <Characters>6357</Characters>
  <Application>Microsoft Office Word</Application>
  <DocSecurity>0</DocSecurity>
  <Lines>52</Lines>
  <Paragraphs>14</Paragraphs>
  <ScaleCrop>false</ScaleCrop>
  <HeadingPairs>
    <vt:vector size="6" baseType="variant">
      <vt:variant>
        <vt:lpstr>Title</vt:lpstr>
      </vt:variant>
      <vt:variant>
        <vt:i4>1</vt:i4>
      </vt:variant>
      <vt:variant>
        <vt:lpstr>Titre</vt:lpstr>
      </vt:variant>
      <vt:variant>
        <vt:i4>1</vt:i4>
      </vt:variant>
      <vt:variant>
        <vt:lpstr>Titres</vt:lpstr>
      </vt:variant>
      <vt:variant>
        <vt:i4>3</vt:i4>
      </vt:variant>
    </vt:vector>
  </HeadingPairs>
  <TitlesOfParts>
    <vt:vector size="5" baseType="lpstr">
      <vt:lpstr/>
      <vt:lpstr/>
      <vt:lpstr>Titre 1</vt:lpstr>
      <vt:lpstr>    Titre 2</vt:lpstr>
      <vt:lpstr>        Titre3</vt:lpstr>
    </vt:vector>
  </TitlesOfParts>
  <Company>HP</Company>
  <LinksUpToDate>false</LinksUpToDate>
  <CharactersWithSpaces>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Yasmine Shams</dc:creator>
  <cp:lastModifiedBy>Matthew Sands</cp:lastModifiedBy>
  <cp:revision>7</cp:revision>
  <cp:lastPrinted>2016-09-19T11:32:00Z</cp:lastPrinted>
  <dcterms:created xsi:type="dcterms:W3CDTF">2016-09-19T10:17:00Z</dcterms:created>
  <dcterms:modified xsi:type="dcterms:W3CDTF">2016-09-19T11:34:00Z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