
<file path=[Content_Types].xml><?xml version="1.0" encoding="utf-8"?>
<Types xmlns="http://schemas.openxmlformats.org/package/2006/content-types">
  <Default ContentType="image/jpeg" Extension="jpg"/>
  <Default ContentType="image/gif" Extension="gif"/>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before="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spacing w:after="200" w:before="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3">
      <w:pPr>
        <w:spacing w:after="200" w:before="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INFORME ALTERNATIVO DE LA SOCIEDAD CIVIL ARGENTINA PARA EL COMITÉ </w:t>
      </w:r>
      <w:r w:rsidDel="00000000" w:rsidR="00000000" w:rsidRPr="00000000">
        <w:rPr>
          <w:rFonts w:ascii="Times New Roman" w:cs="Times New Roman" w:eastAsia="Times New Roman" w:hAnsi="Times New Roman"/>
          <w:b w:val="1"/>
          <w:bCs w:val="1"/>
          <w:sz w:val="24"/>
          <w:szCs w:val="24"/>
          <w:rtl w:val="0"/>
        </w:rPr>
        <w:t xml:space="preserve">CEDAW</w:t>
      </w:r>
    </w:p>
    <w:p w:rsidR="00000000" w:rsidDel="00000000" w:rsidP="00000000" w:rsidRDefault="00000000" w:rsidRPr="00000000" w14:paraId="00000004">
      <w:pPr>
        <w:spacing w:after="200" w:before="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92° período de sesiones | Febrero de 2026</w:t>
      </w:r>
    </w:p>
    <w:p w:rsidR="00000000" w:rsidDel="00000000" w:rsidP="00000000" w:rsidRDefault="00000000" w:rsidRPr="00000000" w14:paraId="00000005">
      <w:pPr>
        <w:spacing w:after="200" w:before="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after="200" w:before="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 </w:t>
      </w:r>
      <w:r w:rsidDel="00000000" w:rsidR="00000000" w:rsidRPr="00000000">
        <w:rPr>
          <w:rFonts w:ascii="Times New Roman" w:cs="Times New Roman" w:eastAsia="Times New Roman" w:hAnsi="Times New Roman"/>
          <w:sz w:val="24"/>
          <w:szCs w:val="24"/>
          <w:rtl w:val="0"/>
        </w:rPr>
        <w:t xml:space="preserve">organizaciones firmantes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presentamos este Informe Sombra al Comité de la CEDAW sobre</w:t>
      </w:r>
      <w:r w:rsidDel="00000000" w:rsidR="00000000" w:rsidRPr="00000000">
        <w:rPr>
          <w:rFonts w:ascii="Times New Roman" w:cs="Times New Roman" w:eastAsia="Times New Roman" w:hAnsi="Times New Roman"/>
          <w:sz w:val="24"/>
          <w:szCs w:val="24"/>
          <w:rtl w:val="0"/>
        </w:rPr>
        <w:t xml:space="preserve"> el estado de cumplimiento de las obligaciones del art. 5 por parte de Argentina.</w:t>
      </w:r>
      <w:r w:rsidDel="00000000" w:rsidR="00000000" w:rsidRPr="00000000">
        <w:rPr>
          <w:rtl w:val="0"/>
        </w:rPr>
      </w:r>
    </w:p>
    <w:p w:rsidR="00000000" w:rsidDel="00000000" w:rsidP="00000000" w:rsidRDefault="00000000" w:rsidRPr="00000000" w14:paraId="00000007">
      <w:pPr>
        <w:spacing w:after="200" w:before="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el EPU 2023, se instó al Estado a ajustar la organización judicial a las necesidades de las mujeres víctimas de violencia de género, destinar presupuesto para patrocinio jurídico gratuito y especializado, y crear refugios adecuados para mujeres y sus hijos.</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8">
      <w:pPr>
        <w:spacing w:after="200" w:before="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2024 el Estado informó la publicación periódica de datos, la implementación de políticas de atención y asistencia, la creación del Gabinete para la Transversalización de las Políticas de Género y la implementación de políticas y capacitaciones en diversas agendas con perspectiva de interseccionalidad</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También vinculó el Plan Nacional de Igualdad de Oportunidades y Derechos con la Agenda 2030, la Plataforma de Acción de Beijing, la Estrategia de Montevideo y el Plan Nacional de Acción creado por Resolución 1325/2000</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9">
      <w:pPr>
        <w:spacing w:after="200" w:before="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 embargo, todos los avances reportados han sido revertidos desde diciembre de 2023 cuando comenzó la </w:t>
      </w:r>
      <w:r w:rsidDel="00000000" w:rsidR="00000000" w:rsidRPr="00000000">
        <w:rPr>
          <w:rFonts w:ascii="Times New Roman" w:cs="Times New Roman" w:eastAsia="Times New Roman" w:hAnsi="Times New Roman"/>
          <w:sz w:val="24"/>
          <w:szCs w:val="24"/>
          <w:rtl w:val="0"/>
        </w:rPr>
        <w:t xml:space="preserve">desarticulación y el desfinanciamiento de políticas de protección y prevención de las violencias</w:t>
      </w:r>
      <w:r w:rsidDel="00000000" w:rsidR="00000000" w:rsidRPr="00000000">
        <w:rPr>
          <w:rFonts w:ascii="Times New Roman" w:cs="Times New Roman" w:eastAsia="Times New Roman" w:hAnsi="Times New Roman"/>
          <w:sz w:val="24"/>
          <w:szCs w:val="24"/>
          <w:rtl w:val="0"/>
        </w:rPr>
        <w:t xml:space="preserve"> que han dejado desprotegidas a </w:t>
      </w:r>
      <w:r w:rsidDel="00000000" w:rsidR="00000000" w:rsidRPr="00000000">
        <w:rPr>
          <w:rFonts w:ascii="Times New Roman" w:cs="Times New Roman" w:eastAsia="Times New Roman" w:hAnsi="Times New Roman"/>
          <w:sz w:val="24"/>
          <w:szCs w:val="24"/>
          <w:rtl w:val="0"/>
        </w:rPr>
        <w:t xml:space="preserve">mujeres, niñas y adolescentes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0A">
      <w:pPr>
        <w:pStyle w:val="Heading1"/>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sz w:val="24"/>
          <w:szCs w:val="24"/>
        </w:rPr>
      </w:pPr>
      <w:bookmarkStart w:colFirst="0" w:colLast="0" w:name="_4svj96kfygnm" w:id="0"/>
      <w:bookmarkEnd w:id="0"/>
      <w:r w:rsidDel="00000000" w:rsidR="00000000" w:rsidRPr="00000000">
        <w:rPr>
          <w:rFonts w:ascii="Times New Roman" w:cs="Times New Roman" w:eastAsia="Times New Roman" w:hAnsi="Times New Roman"/>
          <w:b w:val="1"/>
          <w:bCs w:val="1"/>
          <w:sz w:val="24"/>
          <w:szCs w:val="24"/>
          <w:rtl w:val="0"/>
        </w:rPr>
        <w:t xml:space="preserve">Ausencia de políticas públicas articuladas a nivel nacional para enfrentar, sancionar y prevenir situaciones de violencia basada en género</w:t>
      </w:r>
    </w:p>
    <w:p w:rsidR="00000000" w:rsidDel="00000000" w:rsidP="00000000" w:rsidRDefault="00000000" w:rsidRPr="00000000" w14:paraId="0000000B">
      <w:pPr>
        <w:spacing w:after="200" w:before="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Bajo el argumento de que “la violencia no tiene género”</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desde diciembre de 2023 se desarticularon y eliminaron áreas programáticas y políticas públicas creadas en cumplimiento de la Ley 26.485 (de Protección Integral para Prevenir, Sancionar y Erradicar la Violencia Contra las Mujeres), que designa un organismo rector en el ámbito del Poder Ejecutivo Nacional (PEN) encargado de efectivizar sus disposiciones.</w:t>
      </w:r>
    </w:p>
    <w:p w:rsidR="00000000" w:rsidDel="00000000" w:rsidP="00000000" w:rsidRDefault="00000000" w:rsidRPr="00000000" w14:paraId="0000000C">
      <w:pPr>
        <w:spacing w:after="200" w:before="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t>
      </w:r>
      <w:r w:rsidDel="00000000" w:rsidR="00000000" w:rsidRPr="00000000">
        <w:rPr>
          <w:rFonts w:ascii="Times New Roman" w:cs="Times New Roman" w:eastAsia="Times New Roman" w:hAnsi="Times New Roman"/>
          <w:sz w:val="24"/>
          <w:szCs w:val="24"/>
          <w:rtl w:val="0"/>
        </w:rPr>
        <w:t xml:space="preserve">e disolvió</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e</w:t>
      </w:r>
      <w:r w:rsidDel="00000000" w:rsidR="00000000" w:rsidRPr="00000000">
        <w:rPr>
          <w:rFonts w:ascii="Times New Roman" w:cs="Times New Roman" w:eastAsia="Times New Roman" w:hAnsi="Times New Roman"/>
          <w:sz w:val="24"/>
          <w:szCs w:val="24"/>
          <w:rtl w:val="0"/>
        </w:rPr>
        <w:t xml:space="preserve">l Ministerio de las Mujeres, Géneros y Diversidad (MMGyD)</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Sus competencias pasaron a una subsecretaría del Ministerio de Capital Humano y luego se eliminó definitivamente toda articulación nacional para prevenir, sancionar y erradicar la violencia de género</w:t>
      </w:r>
      <w:r w:rsidDel="00000000" w:rsidR="00000000" w:rsidRPr="00000000">
        <w:rPr>
          <w:rFonts w:ascii="Times New Roman" w:cs="Times New Roman" w:eastAsia="Times New Roman" w:hAnsi="Times New Roman"/>
          <w:sz w:val="24"/>
          <w:szCs w:val="24"/>
          <w:rtl w:val="0"/>
        </w:rPr>
        <w:t xml:space="preserve">, con el despido de la mayoría del personal técnico.</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La ausencia de un organismo rector vulnera la normativa local e internacional y significa un retroceso institucional de casi 40 años que acarreó una regresión sin precedentes en la respuesta estatal</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Varias áreas de género provinciales perdieron jerarquía</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agravando desigualdades territoriales</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Fonts w:ascii="Times New Roman" w:cs="Times New Roman" w:eastAsia="Times New Roman" w:hAnsi="Times New Roman"/>
          <w:sz w:val="24"/>
          <w:szCs w:val="24"/>
          <w:rtl w:val="0"/>
        </w:rPr>
        <w:t xml:space="preserve"> y </w:t>
      </w:r>
      <w:r w:rsidDel="00000000" w:rsidR="00000000" w:rsidRPr="00000000">
        <w:rPr>
          <w:rFonts w:ascii="Times New Roman" w:cs="Times New Roman" w:eastAsia="Times New Roman" w:hAnsi="Times New Roman"/>
          <w:sz w:val="24"/>
          <w:szCs w:val="24"/>
          <w:rtl w:val="0"/>
        </w:rPr>
        <w:t xml:space="preserve">las desigualdades estructurales que enfrentan históricamente las mujeres atravesadas por condiciones de interseccionalidad, como las mujeres con discapacidad.</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2024, un grupo de organizaciones presentó una acción judicial contra el PEN para exigir el cumplimiento de las obligaciones del Estado según los tratados internacionales (especialmente la CEDAW y la Convención de Belém do Pará) y la legislación nacional (Ley 26.485, Ley 27.499 y Ley 27.210 que crea el Cuerpo de Abogadas y Abogados para el patrocinio de víctimas de violencia de género).</w:t>
      </w:r>
      <w:r w:rsidDel="00000000" w:rsidR="00000000" w:rsidRPr="00000000">
        <w:rPr>
          <w:rFonts w:ascii="Times New Roman" w:cs="Times New Roman" w:eastAsia="Times New Roman" w:hAnsi="Times New Roman"/>
          <w:sz w:val="24"/>
          <w:szCs w:val="24"/>
          <w:vertAlign w:val="superscript"/>
        </w:rPr>
        <w:footnoteReference w:customMarkFollows="0" w:id="10"/>
      </w:r>
      <w:r w:rsidDel="00000000" w:rsidR="00000000" w:rsidRPr="00000000">
        <w:rPr>
          <w:rFonts w:ascii="Times New Roman" w:cs="Times New Roman" w:eastAsia="Times New Roman" w:hAnsi="Times New Roman"/>
          <w:sz w:val="24"/>
          <w:szCs w:val="24"/>
          <w:rtl w:val="0"/>
        </w:rPr>
        <w:t xml:space="preserve"> El Estado no ha demostrado la existencia de un plan de acción ni de políticas públicas para cumplir con sus compromisos legales.</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De acuerdo con la Ley de Presupuesto 2026, las principales políticas destinadas a prevenir la violencia y promover la igualdad de género perderán en conjunto el 89% de su presupuesto</w:t>
      </w:r>
      <w:r w:rsidDel="00000000" w:rsidR="00000000" w:rsidRPr="00000000">
        <w:rPr>
          <w:rFonts w:ascii="Times New Roman" w:cs="Times New Roman" w:eastAsia="Times New Roman" w:hAnsi="Times New Roman"/>
          <w:sz w:val="24"/>
          <w:szCs w:val="24"/>
          <w:highlight w:val="white"/>
          <w:vertAlign w:val="superscript"/>
        </w:rPr>
        <w:footnoteReference w:customMarkFollows="0" w:id="11"/>
      </w:r>
      <w:r w:rsidDel="00000000" w:rsidR="00000000" w:rsidRPr="00000000">
        <w:rPr>
          <w:rFonts w:ascii="Times New Roman" w:cs="Times New Roman" w:eastAsia="Times New Roman" w:hAnsi="Times New Roman"/>
          <w:sz w:val="24"/>
          <w:szCs w:val="24"/>
          <w:highlight w:val="white"/>
          <w:rtl w:val="0"/>
        </w:rPr>
        <w:t xml:space="preserve">, triplicando el ajuste realizado sobre el resto del presupuesto de la Administración Pública Nacional. La situación es particularmente problemática en algunas políticas públicas</w:t>
      </w:r>
      <w:r w:rsidDel="00000000" w:rsidR="00000000" w:rsidRPr="00000000">
        <w:rPr>
          <w:rFonts w:ascii="Times New Roman" w:cs="Times New Roman" w:eastAsia="Times New Roman" w:hAnsi="Times New Roman"/>
          <w:sz w:val="24"/>
          <w:szCs w:val="24"/>
          <w:highlight w:val="white"/>
          <w:vertAlign w:val="superscript"/>
        </w:rPr>
        <w:footnoteReference w:customMarkFollows="0" w:id="12"/>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0F">
      <w:pPr>
        <w:numPr>
          <w:ilvl w:val="0"/>
          <w:numId w:val="2"/>
        </w:numPr>
        <w:spacing w:after="20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Programa Acompañar:</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política de transferencia de ingresos </w:t>
      </w:r>
      <w:r w:rsidDel="00000000" w:rsidR="00000000" w:rsidRPr="00000000">
        <w:rPr>
          <w:rFonts w:ascii="Times New Roman" w:cs="Times New Roman" w:eastAsia="Times New Roman" w:hAnsi="Times New Roman"/>
          <w:sz w:val="24"/>
          <w:szCs w:val="24"/>
          <w:highlight w:val="white"/>
          <w:rtl w:val="0"/>
        </w:rPr>
        <w:t xml:space="preserve">fundamental para promover la autonomía económica de víctimas de violencias</w:t>
      </w:r>
      <w:r w:rsidDel="00000000" w:rsidR="00000000" w:rsidRPr="00000000">
        <w:rPr>
          <w:rFonts w:ascii="Times New Roman" w:cs="Times New Roman" w:eastAsia="Times New Roman" w:hAnsi="Times New Roman"/>
          <w:sz w:val="24"/>
          <w:szCs w:val="24"/>
          <w:highlight w:val="white"/>
          <w:vertAlign w:val="superscript"/>
        </w:rPr>
        <w:footnoteReference w:customMarkFollows="0" w:id="13"/>
      </w:r>
      <w:r w:rsidDel="00000000" w:rsidR="00000000" w:rsidRPr="00000000">
        <w:rPr>
          <w:rFonts w:ascii="Times New Roman" w:cs="Times New Roman" w:eastAsia="Times New Roman" w:hAnsi="Times New Roman"/>
          <w:sz w:val="24"/>
          <w:szCs w:val="24"/>
          <w:highlight w:val="white"/>
          <w:rtl w:val="0"/>
        </w:rPr>
        <w:t xml:space="preserve">. Alcanzó a 102.510 personas en 2023 y su alcance se redujo en un 96,5% en 2024 con sólo 3.572 personas. En 2025 no se registraron nuevas altas, el programa perdió su partida presupuestaria, su sitio web está desactualizado y el tablero de monitoreo, antes accesible para la ciudadanía, fue desactivado. Se redujo su cobertura de seis a tres meses y se agregó como requisito la denuncia policial, lo que incrementa el riesgo para las víctimas.</w:t>
      </w:r>
      <w:r w:rsidDel="00000000" w:rsidR="00000000" w:rsidRPr="00000000">
        <w:rPr>
          <w:rFonts w:ascii="Times New Roman" w:cs="Times New Roman" w:eastAsia="Times New Roman" w:hAnsi="Times New Roman"/>
          <w:sz w:val="24"/>
          <w:szCs w:val="24"/>
          <w:highlight w:val="white"/>
          <w:vertAlign w:val="superscript"/>
        </w:rPr>
        <w:footnoteReference w:customMarkFollows="0" w:id="14"/>
      </w:r>
      <w:r w:rsidDel="00000000" w:rsidR="00000000" w:rsidRPr="00000000">
        <w:rPr>
          <w:rtl w:val="0"/>
        </w:rPr>
      </w:r>
    </w:p>
    <w:p w:rsidR="00000000" w:rsidDel="00000000" w:rsidP="00000000" w:rsidRDefault="00000000" w:rsidRPr="00000000" w14:paraId="00000010">
      <w:pPr>
        <w:numPr>
          <w:ilvl w:val="0"/>
          <w:numId w:val="2"/>
        </w:numPr>
        <w:spacing w:after="200" w:before="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Programa Acercar Derechos (PAD)</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dedicado a fortalecer el acceso a derechos y a la justicia mediante equipos interdisciplinarios en todo el país. Fue desmantelado con la </w:t>
      </w:r>
      <w:r w:rsidDel="00000000" w:rsidR="00000000" w:rsidRPr="00000000">
        <w:rPr>
          <w:rFonts w:ascii="Times New Roman" w:cs="Times New Roman" w:eastAsia="Times New Roman" w:hAnsi="Times New Roman"/>
          <w:sz w:val="24"/>
          <w:szCs w:val="24"/>
          <w:highlight w:val="white"/>
          <w:rtl w:val="0"/>
        </w:rPr>
        <w:t xml:space="preserve">reducción de más de la mitad de las personas asistidas entre el </w:t>
      </w:r>
      <w:r w:rsidDel="00000000" w:rsidR="00000000" w:rsidRPr="00000000">
        <w:rPr>
          <w:rFonts w:ascii="Times New Roman" w:cs="Times New Roman" w:eastAsia="Times New Roman" w:hAnsi="Times New Roman"/>
          <w:sz w:val="24"/>
          <w:szCs w:val="24"/>
          <w:highlight w:val="white"/>
          <w:rtl w:val="0"/>
        </w:rPr>
        <w:t xml:space="preserve">primer trimestre de 2023 y 2024</w:t>
      </w:r>
      <w:r w:rsidDel="00000000" w:rsidR="00000000" w:rsidRPr="00000000">
        <w:rPr>
          <w:rFonts w:ascii="Times New Roman" w:cs="Times New Roman" w:eastAsia="Times New Roman" w:hAnsi="Times New Roman"/>
          <w:sz w:val="24"/>
          <w:szCs w:val="24"/>
          <w:highlight w:val="white"/>
          <w:rtl w:val="0"/>
        </w:rPr>
        <w:t xml:space="preserve"> y el tablero interactivo público con sus datos ya no está disponible.</w:t>
      </w:r>
      <w:r w:rsidDel="00000000" w:rsidR="00000000" w:rsidRPr="00000000">
        <w:rPr>
          <w:rFonts w:ascii="Times New Roman" w:cs="Times New Roman" w:eastAsia="Times New Roman" w:hAnsi="Times New Roman"/>
          <w:sz w:val="24"/>
          <w:szCs w:val="24"/>
          <w:highlight w:val="white"/>
          <w:rtl w:val="0"/>
        </w:rPr>
        <w:t xml:space="preserve"> En julio de 2025, mediante la Resolución 466/2025, el gobierno eliminó el PAD.</w:t>
      </w:r>
      <w:r w:rsidDel="00000000" w:rsidR="00000000" w:rsidRPr="00000000">
        <w:rPr>
          <w:rFonts w:ascii="Times New Roman" w:cs="Times New Roman" w:eastAsia="Times New Roman" w:hAnsi="Times New Roman"/>
          <w:sz w:val="24"/>
          <w:szCs w:val="24"/>
          <w:highlight w:val="white"/>
          <w:vertAlign w:val="superscript"/>
        </w:rPr>
        <w:footnoteReference w:customMarkFollows="0" w:id="15"/>
      </w: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Centros Territoriales Integrales</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hasta fines de 2023 se había impulsado la construcción de 30 Centros Territoriales Integrales en 21 provincias y la Ciudad de Buenos Aires. Buscaban articular servicios de prevención, asistencia, protección y acceso a la justicia en coordinación con distintos niveles de gobierno y organizaciones comunitarias. Desde la disolución del MMGyD,</w:t>
      </w:r>
      <w:r w:rsidDel="00000000" w:rsidR="00000000" w:rsidRPr="00000000">
        <w:rPr>
          <w:rFonts w:ascii="Times New Roman" w:cs="Times New Roman" w:eastAsia="Times New Roman" w:hAnsi="Times New Roman"/>
          <w:sz w:val="24"/>
          <w:szCs w:val="24"/>
          <w:rtl w:val="0"/>
        </w:rPr>
        <w:t xml:space="preserve"> no se registraron nuevos avances ni inauguraciones, quedando la continuidad de los centros en una situación de incertidumbre institucional y presupuestaria</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Programa para el Apoyo Urgente y la Asistencia Integral Inmediata ante Casos de Violencias Extremas por Motivos de Género (PAU)</w:t>
      </w:r>
      <w:r w:rsidDel="00000000" w:rsidR="00000000" w:rsidRPr="00000000">
        <w:rPr>
          <w:rFonts w:ascii="Times New Roman" w:cs="Times New Roman" w:eastAsia="Times New Roman" w:hAnsi="Times New Roman"/>
          <w:sz w:val="24"/>
          <w:szCs w:val="24"/>
          <w:rtl w:val="0"/>
        </w:rPr>
        <w:t xml:space="preserve">: destinado a la contención y asistencia integral de familiares o personas cercanas a víctimas de femicidios en todo el país. Entre sus prestaciones se encontraba el asesoramiento legal, el acompañamiento psicosocial y apoyo económico</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highlight w:val="white"/>
          <w:rtl w:val="0"/>
        </w:rPr>
        <w:t xml:space="preserve"> Fue uno de los compromisos adoptados por el Estado en el proceso de solución amistosa por Ivana Rosales ante la CIDH</w:t>
      </w:r>
      <w:r w:rsidDel="00000000" w:rsidR="00000000" w:rsidRPr="00000000">
        <w:rPr>
          <w:rFonts w:ascii="Times New Roman" w:cs="Times New Roman" w:eastAsia="Times New Roman" w:hAnsi="Times New Roman"/>
          <w:sz w:val="24"/>
          <w:szCs w:val="24"/>
          <w:highlight w:val="white"/>
          <w:vertAlign w:val="superscript"/>
        </w:rPr>
        <w:footnoteReference w:customMarkFollows="0" w:id="16"/>
      </w:r>
      <w:r w:rsidDel="00000000" w:rsidR="00000000" w:rsidRPr="00000000">
        <w:rPr>
          <w:rFonts w:ascii="Times New Roman" w:cs="Times New Roman" w:eastAsia="Times New Roman" w:hAnsi="Times New Roman"/>
          <w:sz w:val="24"/>
          <w:szCs w:val="24"/>
          <w:highlight w:val="white"/>
          <w:rtl w:val="0"/>
        </w:rPr>
        <w:t xml:space="preserve">. Se eliminó en mayo de 2025, mediante </w:t>
      </w:r>
      <w:r w:rsidDel="00000000" w:rsidR="00000000" w:rsidRPr="00000000">
        <w:rPr>
          <w:rFonts w:ascii="Times New Roman" w:cs="Times New Roman" w:eastAsia="Times New Roman" w:hAnsi="Times New Roman"/>
          <w:sz w:val="24"/>
          <w:szCs w:val="24"/>
          <w:rtl w:val="0"/>
        </w:rPr>
        <w:t xml:space="preserve">Resolución 291/2025</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Programa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Generar</w:t>
      </w:r>
      <w:r w:rsidDel="00000000" w:rsidR="00000000" w:rsidRPr="00000000">
        <w:rPr>
          <w:rFonts w:ascii="Times New Roman" w:cs="Times New Roman" w:eastAsia="Times New Roman" w:hAnsi="Times New Roman"/>
          <w:sz w:val="24"/>
          <w:szCs w:val="24"/>
          <w:rtl w:val="0"/>
        </w:rPr>
        <w:t xml:space="preserve">: tenía por objeto fortalecer la institucionalidad de género y diversidad desde el Estado nacional a través de apoyo económico, capacitación y asistencia técnica para la creación y consolidación de áreas especializadas a nivel provincial y municipal</w:t>
      </w:r>
      <w:r w:rsidDel="00000000" w:rsidR="00000000" w:rsidRPr="00000000">
        <w:rPr>
          <w:rFonts w:ascii="Times New Roman" w:cs="Times New Roman" w:eastAsia="Times New Roman" w:hAnsi="Times New Roman"/>
          <w:sz w:val="24"/>
          <w:szCs w:val="24"/>
          <w:highlight w:val="white"/>
          <w:rtl w:val="0"/>
        </w:rPr>
        <w:t xml:space="preserve">. Su</w:t>
      </w:r>
      <w:r w:rsidDel="00000000" w:rsidR="00000000" w:rsidRPr="00000000">
        <w:rPr>
          <w:rFonts w:ascii="Times New Roman" w:cs="Times New Roman" w:eastAsia="Times New Roman" w:hAnsi="Times New Roman"/>
          <w:sz w:val="24"/>
          <w:szCs w:val="24"/>
          <w:highlight w:val="white"/>
          <w:rtl w:val="0"/>
        </w:rPr>
        <w:t xml:space="preserve"> ejecución presupuestaria cayó un 56% en 2024 y ese año</w:t>
      </w:r>
      <w:r w:rsidDel="00000000" w:rsidR="00000000" w:rsidRPr="00000000">
        <w:rPr>
          <w:rFonts w:ascii="Times New Roman" w:cs="Times New Roman" w:eastAsia="Times New Roman" w:hAnsi="Times New Roman"/>
          <w:sz w:val="24"/>
          <w:szCs w:val="24"/>
          <w:highlight w:val="white"/>
          <w:rtl w:val="0"/>
        </w:rPr>
        <w:t xml:space="preserve"> sólo se financiaron 2 proyectos.</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En mayo de 2025 fue eliminado mediante Resolución 292/2025.</w:t>
      </w:r>
    </w:p>
    <w:p w:rsidR="00000000" w:rsidDel="00000000" w:rsidP="00000000" w:rsidRDefault="00000000" w:rsidRPr="00000000" w14:paraId="0000001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Línea 144</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línea telefónica creada para atender a mujeres en situación de violencia de género con alcance nacional. En 2024 fue transformada en un servicio genérico que atiende a “cualquier persona en situación de violencia”</w:t>
      </w:r>
      <w:r w:rsidDel="00000000" w:rsidR="00000000" w:rsidRPr="00000000">
        <w:rPr>
          <w:rFonts w:ascii="Times New Roman" w:cs="Times New Roman" w:eastAsia="Times New Roman" w:hAnsi="Times New Roman"/>
          <w:sz w:val="24"/>
          <w:szCs w:val="24"/>
          <w:vertAlign w:val="superscript"/>
        </w:rPr>
        <w:footnoteReference w:customMarkFollows="0" w:id="17"/>
      </w:r>
      <w:r w:rsidDel="00000000" w:rsidR="00000000" w:rsidRPr="00000000">
        <w:rPr>
          <w:rFonts w:ascii="Times New Roman" w:cs="Times New Roman" w:eastAsia="Times New Roman" w:hAnsi="Times New Roman"/>
          <w:sz w:val="24"/>
          <w:szCs w:val="24"/>
          <w:rtl w:val="0"/>
        </w:rPr>
        <w:t xml:space="preserve"> desdibujando su especificidad</w:t>
      </w:r>
      <w:r w:rsidDel="00000000" w:rsidR="00000000" w:rsidRPr="00000000">
        <w:rPr>
          <w:rFonts w:ascii="Times New Roman" w:cs="Times New Roman" w:eastAsia="Times New Roman" w:hAnsi="Times New Roman"/>
          <w:sz w:val="24"/>
          <w:szCs w:val="24"/>
          <w:highlight w:val="white"/>
          <w:rtl w:val="0"/>
        </w:rPr>
        <w:t xml:space="preserve"> y f</w:t>
      </w:r>
      <w:r w:rsidDel="00000000" w:rsidR="00000000" w:rsidRPr="00000000">
        <w:rPr>
          <w:rFonts w:ascii="Times New Roman" w:cs="Times New Roman" w:eastAsia="Times New Roman" w:hAnsi="Times New Roman"/>
          <w:sz w:val="24"/>
          <w:szCs w:val="24"/>
          <w:highlight w:val="white"/>
          <w:rtl w:val="0"/>
        </w:rPr>
        <w:t xml:space="preserve">ue degradada en la estructura estatal quedando como un área dentro de la Dirección de Fortalecimiento para el acompañamiento a las víctimas (dos niveles más abajo en el escalafón ministerial). Las operadoras de la Línea 144 reportan a la “Coordinación de Atención Inmediata”, de menor jerarquía que una dirección nacional. La misma dirección tiene a su cargo la Línea 137, de atención telefónica para personas víctimas de violencia sexual, grooming y familiar; y la Línea 149 de asistencia a personas víctimas de delitos y sus grupos familiares</w:t>
      </w:r>
      <w:r w:rsidDel="00000000" w:rsidR="00000000" w:rsidRPr="00000000">
        <w:rPr>
          <w:rFonts w:ascii="Times New Roman" w:cs="Times New Roman" w:eastAsia="Times New Roman" w:hAnsi="Times New Roman"/>
          <w:sz w:val="24"/>
          <w:szCs w:val="24"/>
          <w:highlight w:val="white"/>
          <w:vertAlign w:val="superscript"/>
        </w:rPr>
        <w:footnoteReference w:customMarkFollows="0" w:id="18"/>
      </w:r>
      <w:r w:rsidDel="00000000" w:rsidR="00000000" w:rsidRPr="00000000">
        <w:rPr>
          <w:rFonts w:ascii="Arial Narrow" w:cs="Arial Narrow" w:eastAsia="Arial Narrow" w:hAnsi="Arial Narrow"/>
          <w:sz w:val="24"/>
          <w:szCs w:val="24"/>
          <w:highlight w:val="white"/>
          <w:rtl w:val="0"/>
        </w:rPr>
        <w:t xml:space="preserve">.</w:t>
      </w:r>
      <w:r w:rsidDel="00000000" w:rsidR="00000000" w:rsidRPr="00000000">
        <w:rPr>
          <w:rFonts w:ascii="Arial Narrow" w:cs="Arial Narrow" w:eastAsia="Arial Narrow" w:hAnsi="Arial Narrow"/>
          <w:sz w:val="24"/>
          <w:szCs w:val="24"/>
          <w:rtl w:val="0"/>
        </w:rPr>
        <w:t xml:space="preserve"> </w:t>
      </w:r>
      <w:r w:rsidDel="00000000" w:rsidR="00000000" w:rsidRPr="00000000">
        <w:rPr>
          <w:rFonts w:ascii="Times New Roman" w:cs="Times New Roman" w:eastAsia="Times New Roman" w:hAnsi="Times New Roman"/>
          <w:sz w:val="24"/>
          <w:szCs w:val="24"/>
          <w:rtl w:val="0"/>
        </w:rPr>
        <w:t xml:space="preserve">E</w:t>
      </w:r>
      <w:r w:rsidDel="00000000" w:rsidR="00000000" w:rsidRPr="00000000">
        <w:rPr>
          <w:rFonts w:ascii="Times New Roman" w:cs="Times New Roman" w:eastAsia="Times New Roman" w:hAnsi="Times New Roman"/>
          <w:sz w:val="24"/>
          <w:szCs w:val="24"/>
          <w:rtl w:val="0"/>
        </w:rPr>
        <w:t xml:space="preserve">ntre el primer trimestre de 2024 y noviembre de 2025 pasó de 138 a 79 trabajadoras, una reducción del 42,7% de la planta. </w:t>
      </w:r>
      <w:r w:rsidDel="00000000" w:rsidR="00000000" w:rsidRPr="00000000">
        <w:rPr>
          <w:rFonts w:ascii="Times New Roman" w:cs="Times New Roman" w:eastAsia="Times New Roman" w:hAnsi="Times New Roman"/>
          <w:sz w:val="24"/>
          <w:szCs w:val="24"/>
          <w:highlight w:val="white"/>
          <w:rtl w:val="0"/>
        </w:rPr>
        <w:t xml:space="preserve">Algunos turnos experimentaron reducciones de más del 60% y el servicio de videollamadas para personas hipoacúsicas fue eliminado</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rtl w:val="0"/>
        </w:rPr>
        <w:t xml:space="preserve">Esto ocasionó una caída significativa de su alcance y capacidad operativa</w:t>
      </w:r>
      <w:r w:rsidDel="00000000" w:rsidR="00000000" w:rsidRPr="00000000">
        <w:rPr>
          <w:rFonts w:ascii="Times New Roman" w:cs="Times New Roman" w:eastAsia="Times New Roman" w:hAnsi="Times New Roman"/>
          <w:sz w:val="24"/>
          <w:szCs w:val="24"/>
          <w:highlight w:val="white"/>
          <w:rtl w:val="0"/>
        </w:rPr>
        <w:t xml:space="preserve">: e</w:t>
      </w:r>
      <w:r w:rsidDel="00000000" w:rsidR="00000000" w:rsidRPr="00000000">
        <w:rPr>
          <w:rFonts w:ascii="Times New Roman" w:cs="Times New Roman" w:eastAsia="Times New Roman" w:hAnsi="Times New Roman"/>
          <w:sz w:val="24"/>
          <w:szCs w:val="24"/>
          <w:highlight w:val="white"/>
          <w:rtl w:val="0"/>
        </w:rPr>
        <w:t xml:space="preserve">n el segundo trimestre de 2024 </w:t>
      </w:r>
      <w:r w:rsidDel="00000000" w:rsidR="00000000" w:rsidRPr="00000000">
        <w:rPr>
          <w:rFonts w:ascii="Times New Roman" w:cs="Times New Roman" w:eastAsia="Times New Roman" w:hAnsi="Times New Roman"/>
          <w:sz w:val="24"/>
          <w:szCs w:val="24"/>
          <w:highlight w:val="white"/>
          <w:rtl w:val="0"/>
        </w:rPr>
        <w:t xml:space="preserve">l</w:t>
      </w:r>
      <w:r w:rsidDel="00000000" w:rsidR="00000000" w:rsidRPr="00000000">
        <w:rPr>
          <w:rFonts w:ascii="Times New Roman" w:cs="Times New Roman" w:eastAsia="Times New Roman" w:hAnsi="Times New Roman"/>
          <w:sz w:val="24"/>
          <w:szCs w:val="24"/>
          <w:rtl w:val="0"/>
        </w:rPr>
        <w:t xml:space="preserve">as intervenciones por violencia de género disminuyeron un 48,7% y las comunicaciones reportadas entre el 3er trimestre de 2024 y el 3er trimestre de 2025 disminuyeron un 29.6%. </w:t>
      </w:r>
      <w:r w:rsidDel="00000000" w:rsidR="00000000" w:rsidRPr="00000000">
        <w:rPr>
          <w:rFonts w:ascii="Times New Roman" w:cs="Times New Roman" w:eastAsia="Times New Roman" w:hAnsi="Times New Roman"/>
          <w:sz w:val="24"/>
          <w:szCs w:val="24"/>
          <w:rtl w:val="0"/>
        </w:rPr>
        <w:t xml:space="preserve">Dejó de tener una partida presupuestaria que permita su monitoreo. También se registran reducciones en la atención de casos en l</w:t>
      </w:r>
      <w:r w:rsidDel="00000000" w:rsidR="00000000" w:rsidRPr="00000000">
        <w:rPr>
          <w:rFonts w:ascii="Times New Roman" w:cs="Times New Roman" w:eastAsia="Times New Roman" w:hAnsi="Times New Roman"/>
          <w:sz w:val="24"/>
          <w:szCs w:val="24"/>
          <w:rtl w:val="0"/>
        </w:rPr>
        <w:t xml:space="preserve">as sedes de la provincia de Buenos Aires y de la CABA, del 19,2% y del 5,4% respectivamente.</w:t>
      </w:r>
    </w:p>
    <w:p w:rsidR="00000000" w:rsidDel="00000000" w:rsidP="00000000" w:rsidRDefault="00000000" w:rsidRPr="00000000" w14:paraId="0000001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Capacitaciones de la Ley Micaela</w:t>
      </w:r>
      <w:r w:rsidDel="00000000" w:rsidR="00000000" w:rsidRPr="00000000">
        <w:rPr>
          <w:rFonts w:ascii="Times New Roman" w:cs="Times New Roman" w:eastAsia="Times New Roman" w:hAnsi="Times New Roman"/>
          <w:sz w:val="24"/>
          <w:szCs w:val="24"/>
          <w:rtl w:val="0"/>
        </w:rPr>
        <w:t xml:space="preserve">: mientras que entre 2020 y 2023 se capacitaron a 234.710 personas del sector público nacional</w:t>
      </w:r>
      <w:r w:rsidDel="00000000" w:rsidR="00000000" w:rsidRPr="00000000">
        <w:rPr>
          <w:rFonts w:ascii="Times New Roman" w:cs="Times New Roman" w:eastAsia="Times New Roman" w:hAnsi="Times New Roman"/>
          <w:sz w:val="24"/>
          <w:szCs w:val="24"/>
          <w:vertAlign w:val="superscript"/>
        </w:rPr>
        <w:footnoteReference w:customMarkFollows="0" w:id="19"/>
      </w:r>
      <w:r w:rsidDel="00000000" w:rsidR="00000000" w:rsidRPr="00000000">
        <w:rPr>
          <w:rFonts w:ascii="Times New Roman" w:cs="Times New Roman" w:eastAsia="Times New Roman" w:hAnsi="Times New Roman"/>
          <w:sz w:val="24"/>
          <w:szCs w:val="24"/>
          <w:rtl w:val="0"/>
        </w:rPr>
        <w:t xml:space="preserve">, hasta noviembre de 2024 no se había realizado ninguna capacitación. En septiembre de 2025 se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informaron 44 certificaciones de altas autoridades, 311 de agentes de la Administración Pública Nacional y 914 del público en general. </w:t>
      </w:r>
      <w:r w:rsidDel="00000000" w:rsidR="00000000" w:rsidRPr="00000000">
        <w:rPr>
          <w:rFonts w:ascii="Times New Roman" w:cs="Times New Roman" w:eastAsia="Times New Roman" w:hAnsi="Times New Roman"/>
          <w:sz w:val="24"/>
          <w:szCs w:val="24"/>
          <w:rtl w:val="0"/>
        </w:rPr>
        <w:t xml:space="preserve">El PEN impulsó un proyecto de </w:t>
      </w:r>
      <w:r w:rsidDel="00000000" w:rsidR="00000000" w:rsidRPr="00000000">
        <w:rPr>
          <w:rFonts w:ascii="Times New Roman" w:cs="Times New Roman" w:eastAsia="Times New Roman" w:hAnsi="Times New Roman"/>
          <w:sz w:val="24"/>
          <w:szCs w:val="24"/>
          <w:rtl w:val="0"/>
        </w:rPr>
        <w:t xml:space="preserve">Ley</w:t>
      </w:r>
      <w:r w:rsidDel="00000000" w:rsidR="00000000" w:rsidRPr="00000000">
        <w:rPr>
          <w:rFonts w:ascii="Times New Roman" w:cs="Times New Roman" w:eastAsia="Times New Roman" w:hAnsi="Times New Roman"/>
          <w:sz w:val="24"/>
          <w:szCs w:val="24"/>
          <w:vertAlign w:val="superscript"/>
        </w:rPr>
        <w:footnoteReference w:customMarkFollows="0" w:id="20"/>
      </w:r>
      <w:r w:rsidDel="00000000" w:rsidR="00000000" w:rsidRPr="00000000">
        <w:rPr>
          <w:rFonts w:ascii="Times New Roman" w:cs="Times New Roman" w:eastAsia="Times New Roman" w:hAnsi="Times New Roman"/>
          <w:sz w:val="24"/>
          <w:szCs w:val="24"/>
          <w:rtl w:val="0"/>
        </w:rPr>
        <w:t xml:space="preserve">, que intentó modificar la Ley Micaela eliminando la obligatoriedad de la formación para todos los ministerios y organismos estatales, restringiéndola solo a “organismos competentes” y acotando los contenidos a la problemática de “violencia familiar".</w:t>
      </w:r>
      <w:r w:rsidDel="00000000" w:rsidR="00000000" w:rsidRPr="00000000">
        <w:rPr>
          <w:rFonts w:ascii="Times New Roman" w:cs="Times New Roman" w:eastAsia="Times New Roman" w:hAnsi="Times New Roman"/>
          <w:sz w:val="24"/>
          <w:szCs w:val="24"/>
          <w:highlight w:val="white"/>
          <w:vertAlign w:val="superscript"/>
        </w:rPr>
        <w:footnoteReference w:customMarkFollows="0" w:id="21"/>
      </w: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01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Régimen de Reparación Económica Para las Niñas, Niños y Adolescentes </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b w:val="1"/>
          <w:bCs w:val="1"/>
          <w:sz w:val="24"/>
          <w:szCs w:val="24"/>
          <w:rtl w:val="0"/>
        </w:rPr>
        <w:t xml:space="preserve">RENNYA)</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con base en la La Ley N° 27.452 (Ley Brisa) que establece una reparación económica para hijos de mujeres víctimas de femicidio o de homicidio en contexto de violencia intrafamiliar y/o de género, esta política busca garantizar protección estatal, salud integral y acompañamiento para una crianza sana y libre de violencias. Mientras que en 2023 se registraron 270 dictámenes favorables</w:t>
      </w:r>
      <w:r w:rsidDel="00000000" w:rsidR="00000000" w:rsidRPr="00000000">
        <w:rPr>
          <w:rFonts w:ascii="Times New Roman" w:cs="Times New Roman" w:eastAsia="Times New Roman" w:hAnsi="Times New Roman"/>
          <w:sz w:val="24"/>
          <w:szCs w:val="24"/>
          <w:vertAlign w:val="superscript"/>
        </w:rPr>
        <w:footnoteReference w:customMarkFollows="0" w:id="22"/>
      </w:r>
      <w:r w:rsidDel="00000000" w:rsidR="00000000" w:rsidRPr="00000000">
        <w:rPr>
          <w:rFonts w:ascii="Times New Roman" w:cs="Times New Roman" w:eastAsia="Times New Roman" w:hAnsi="Times New Roman"/>
          <w:sz w:val="24"/>
          <w:szCs w:val="24"/>
          <w:rtl w:val="0"/>
        </w:rPr>
        <w:t xml:space="preserve">, al 1er semestre de 2024 ese indicador se redujo a 67 y bajó a 57 en 2025</w:t>
      </w:r>
      <w:r w:rsidDel="00000000" w:rsidR="00000000" w:rsidRPr="00000000">
        <w:rPr>
          <w:rFonts w:ascii="Times New Roman" w:cs="Times New Roman" w:eastAsia="Times New Roman" w:hAnsi="Times New Roman"/>
          <w:sz w:val="24"/>
          <w:szCs w:val="24"/>
          <w:vertAlign w:val="superscript"/>
        </w:rPr>
        <w:footnoteReference w:customMarkFollows="0" w:id="23"/>
      </w:r>
      <w:r w:rsidDel="00000000" w:rsidR="00000000" w:rsidRPr="00000000">
        <w:rPr>
          <w:rFonts w:ascii="Times New Roman" w:cs="Times New Roman" w:eastAsia="Times New Roman" w:hAnsi="Times New Roman"/>
          <w:sz w:val="24"/>
          <w:szCs w:val="24"/>
          <w:rtl w:val="0"/>
        </w:rPr>
        <w:t xml:space="preserve"> a pesar de que durante el 1er semestre de 2025 hubo 127 víctimas de femicidio</w:t>
      </w:r>
      <w:r w:rsidDel="00000000" w:rsidR="00000000" w:rsidRPr="00000000">
        <w:rPr>
          <w:rFonts w:ascii="Times New Roman" w:cs="Times New Roman" w:eastAsia="Times New Roman" w:hAnsi="Times New Roman"/>
          <w:sz w:val="24"/>
          <w:szCs w:val="24"/>
          <w:highlight w:val="white"/>
          <w:rtl w:val="0"/>
        </w:rPr>
        <w:t xml:space="preserve">s y 116 hijos/as quedaron sin madre, de los cuales el 50% eran menores de edad</w:t>
      </w:r>
      <w:r w:rsidDel="00000000" w:rsidR="00000000" w:rsidRPr="00000000">
        <w:rPr>
          <w:rFonts w:ascii="Times New Roman" w:cs="Times New Roman" w:eastAsia="Times New Roman" w:hAnsi="Times New Roman"/>
          <w:sz w:val="24"/>
          <w:szCs w:val="24"/>
          <w:highlight w:val="white"/>
          <w:vertAlign w:val="superscript"/>
        </w:rPr>
        <w:footnoteReference w:customMarkFollows="0" w:id="24"/>
      </w:r>
      <w:r w:rsidDel="00000000" w:rsidR="00000000" w:rsidRPr="00000000">
        <w:rPr>
          <w:rFonts w:ascii="Times New Roman" w:cs="Times New Roman" w:eastAsia="Times New Roman" w:hAnsi="Times New Roman"/>
          <w:sz w:val="24"/>
          <w:szCs w:val="24"/>
          <w:highlight w:val="white"/>
          <w:rtl w:val="0"/>
        </w:rPr>
        <w:t xml:space="preserve">. La cantidad de titulares a diciembre de 2023 era de 1298 y tras procesar 2067 solicitudes acumuladas, sólo se asignaron 51 más. A julio de 2025 había apenas 1349 titulares, cayendo el promedio de solicitudes mensuales a la mitad que en 2024</w:t>
      </w:r>
      <w:r w:rsidDel="00000000" w:rsidR="00000000" w:rsidRPr="00000000">
        <w:rPr>
          <w:rFonts w:ascii="Times New Roman" w:cs="Times New Roman" w:eastAsia="Times New Roman" w:hAnsi="Times New Roman"/>
          <w:sz w:val="24"/>
          <w:szCs w:val="24"/>
          <w:highlight w:val="white"/>
          <w:vertAlign w:val="superscript"/>
        </w:rPr>
        <w:footnoteReference w:customMarkFollows="0" w:id="25"/>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En 2024, s</w:t>
      </w:r>
      <w:r w:rsidDel="00000000" w:rsidR="00000000" w:rsidRPr="00000000">
        <w:rPr>
          <w:rFonts w:ascii="Times New Roman" w:cs="Times New Roman" w:eastAsia="Times New Roman" w:hAnsi="Times New Roman"/>
          <w:sz w:val="24"/>
          <w:szCs w:val="24"/>
          <w:rtl w:val="0"/>
        </w:rPr>
        <w:t xml:space="preserve">u presupuesto fue reducido en un 68,8% y hasta octubre de 2025 el 96,06% de su presupuesto anual había sido ejecutado sin perjuicio de que en mayo de 2025 fue eliminado.</w:t>
      </w:r>
    </w:p>
    <w:p w:rsidR="00000000" w:rsidDel="00000000" w:rsidP="00000000" w:rsidRDefault="00000000" w:rsidRPr="00000000" w14:paraId="0000001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Programa Patrocinar</w:t>
      </w:r>
      <w:r w:rsidDel="00000000" w:rsidR="00000000" w:rsidRPr="00000000">
        <w:rPr>
          <w:rFonts w:ascii="Times New Roman" w:cs="Times New Roman" w:eastAsia="Times New Roman" w:hAnsi="Times New Roman"/>
          <w:sz w:val="24"/>
          <w:szCs w:val="24"/>
          <w:rtl w:val="0"/>
        </w:rPr>
        <w:t xml:space="preserve">: brinda patrocinio y asesoramiento gratuito a víctimas de abuso sexual durante la niñez o adolescencia. </w:t>
      </w:r>
      <w:r w:rsidDel="00000000" w:rsidR="00000000" w:rsidRPr="00000000">
        <w:rPr>
          <w:rFonts w:ascii="Times New Roman" w:cs="Times New Roman" w:eastAsia="Times New Roman" w:hAnsi="Times New Roman"/>
          <w:sz w:val="24"/>
          <w:szCs w:val="24"/>
          <w:rtl w:val="0"/>
        </w:rPr>
        <w:t xml:space="preserve">Mientras que durante 2023 se habían admitido 283 personas, en 2024 se admitieron 67 y durante el 1er semestre del 2025 no hubo nuevos ingresos. Hubo una reducción del 76,3% entre 2023 y 2024, para agravarse con el cierre en 2025 que cae 100%. El programa redujo su personal en un 58% y actualmente no hay claridad sobre la cantidad de trabajadoras/es que continúan ya que el Ministerio de Justicia informó dos datos diferentes: en una respuesta reportó 23 trabajadores/as, y en otra informó 32 trabajadores/as distribuidos en 20 provincias.</w:t>
      </w:r>
    </w:p>
    <w:p w:rsidR="00000000" w:rsidDel="00000000" w:rsidP="00000000" w:rsidRDefault="00000000" w:rsidRPr="00000000" w14:paraId="0000001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Centros de Acceso a la Justicia (</w:t>
      </w:r>
      <w:r w:rsidDel="00000000" w:rsidR="00000000" w:rsidRPr="00000000">
        <w:rPr>
          <w:rFonts w:ascii="Times New Roman" w:cs="Times New Roman" w:eastAsia="Times New Roman" w:hAnsi="Times New Roman"/>
          <w:b w:val="1"/>
          <w:bCs w:val="1"/>
          <w:sz w:val="24"/>
          <w:szCs w:val="24"/>
          <w:rtl w:val="0"/>
        </w:rPr>
        <w:t xml:space="preserve">CAJ)</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dispositivos territoriales que buscaron descentralizar el acceso a la justicia, facilitando información sobre derechos y recursos estatales, y brindando asesoramiento y patrocinio jurídico.</w:t>
      </w:r>
      <w:r w:rsidDel="00000000" w:rsidR="00000000" w:rsidRPr="00000000">
        <w:rPr>
          <w:rFonts w:ascii="Times New Roman" w:cs="Times New Roman" w:eastAsia="Times New Roman" w:hAnsi="Times New Roman"/>
          <w:sz w:val="24"/>
          <w:szCs w:val="24"/>
          <w:vertAlign w:val="superscript"/>
        </w:rPr>
        <w:footnoteReference w:customMarkFollows="0" w:id="26"/>
      </w:r>
      <w:r w:rsidDel="00000000" w:rsidR="00000000" w:rsidRPr="00000000">
        <w:rPr>
          <w:rFonts w:ascii="Times New Roman" w:cs="Times New Roman" w:eastAsia="Times New Roman" w:hAnsi="Times New Roman"/>
          <w:sz w:val="24"/>
          <w:szCs w:val="24"/>
          <w:rtl w:val="0"/>
        </w:rPr>
        <w:t xml:space="preserve"> El Estado nacional informó que se cerraron sólo 8 de los 105 existentes a 2023</w:t>
      </w:r>
      <w:r w:rsidDel="00000000" w:rsidR="00000000" w:rsidRPr="00000000">
        <w:rPr>
          <w:rFonts w:ascii="Times New Roman" w:cs="Times New Roman" w:eastAsia="Times New Roman" w:hAnsi="Times New Roman"/>
          <w:sz w:val="24"/>
          <w:szCs w:val="24"/>
          <w:vertAlign w:val="superscript"/>
        </w:rPr>
        <w:footnoteReference w:customMarkFollows="0" w:id="27"/>
      </w:r>
      <w:r w:rsidDel="00000000" w:rsidR="00000000" w:rsidRPr="00000000">
        <w:rPr>
          <w:rFonts w:ascii="Times New Roman" w:cs="Times New Roman" w:eastAsia="Times New Roman" w:hAnsi="Times New Roman"/>
          <w:sz w:val="24"/>
          <w:szCs w:val="24"/>
          <w:rtl w:val="0"/>
        </w:rPr>
        <w:t xml:space="preserve">, pero la página oficial del Ministerio de Justicia indica que a septiembre de 2025 sólamente hay operativos 30 CAJ</w:t>
      </w:r>
      <w:r w:rsidDel="00000000" w:rsidR="00000000" w:rsidRPr="00000000">
        <w:rPr>
          <w:rFonts w:ascii="Times New Roman" w:cs="Times New Roman" w:eastAsia="Times New Roman" w:hAnsi="Times New Roman"/>
          <w:sz w:val="24"/>
          <w:szCs w:val="24"/>
          <w:vertAlign w:val="superscript"/>
        </w:rPr>
        <w:footnoteReference w:customMarkFollows="0" w:id="28"/>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Mapa federal de experiencias con varones y masculinidades: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tenía por objeto relevar y sistematizar programas y organizaciones que trabajan con varones para transformar masculinidades hegemónicas, promover la igualdad de género y prevenir violencias.</w:t>
      </w:r>
      <w:r w:rsidDel="00000000" w:rsidR="00000000" w:rsidRPr="00000000">
        <w:rPr>
          <w:rFonts w:ascii="Times New Roman" w:cs="Times New Roman" w:eastAsia="Times New Roman" w:hAnsi="Times New Roman"/>
          <w:sz w:val="24"/>
          <w:szCs w:val="24"/>
          <w:vertAlign w:val="superscript"/>
        </w:rPr>
        <w:footnoteReference w:customMarkFollows="0" w:id="29"/>
      </w:r>
      <w:r w:rsidDel="00000000" w:rsidR="00000000" w:rsidRPr="00000000">
        <w:rPr>
          <w:rFonts w:ascii="Times New Roman" w:cs="Times New Roman" w:eastAsia="Times New Roman" w:hAnsi="Times New Roman"/>
          <w:sz w:val="24"/>
          <w:szCs w:val="24"/>
          <w:rtl w:val="0"/>
        </w:rPr>
        <w:t xml:space="preserve"> El Estado nacional dejó de actualizar y apoyar esta política.</w:t>
      </w:r>
      <w:r w:rsidDel="00000000" w:rsidR="00000000" w:rsidRPr="00000000">
        <w:rPr>
          <w:rFonts w:ascii="Times New Roman" w:cs="Times New Roman" w:eastAsia="Times New Roman" w:hAnsi="Times New Roman"/>
          <w:sz w:val="24"/>
          <w:szCs w:val="24"/>
          <w:vertAlign w:val="superscript"/>
        </w:rPr>
        <w:footnoteReference w:customMarkFollows="0" w:id="30"/>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pStyle w:val="Heading1"/>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sz w:val="24"/>
          <w:szCs w:val="24"/>
        </w:rPr>
      </w:pPr>
      <w:bookmarkStart w:colFirst="0" w:colLast="0" w:name="_j16jkus7yio4" w:id="1"/>
      <w:bookmarkEnd w:id="1"/>
      <w:r w:rsidDel="00000000" w:rsidR="00000000" w:rsidRPr="00000000">
        <w:rPr>
          <w:rFonts w:ascii="Times New Roman" w:cs="Times New Roman" w:eastAsia="Times New Roman" w:hAnsi="Times New Roman"/>
          <w:b w:val="1"/>
          <w:bCs w:val="1"/>
          <w:sz w:val="24"/>
          <w:szCs w:val="24"/>
          <w:rtl w:val="0"/>
        </w:rPr>
        <w:t xml:space="preserve">Barreras y retrocesos en el acceso a la justicia de mujeres en situación de violencia por razones de género.</w:t>
      </w:r>
    </w:p>
    <w:p w:rsidR="00000000" w:rsidDel="00000000" w:rsidP="00000000" w:rsidRDefault="00000000" w:rsidRPr="00000000" w14:paraId="0000001C">
      <w:pPr>
        <w:spacing w:after="200" w:before="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Aunque el Estado reportó dispositivos relevantes –PAD, Cuerpo de Abogadas/os, Red Federal de Patrocinio Jurídico Gratuito de la Dirección Nacional de Promoción y Fortalecimiento para el Acceso a la Justicia, la </w:t>
      </w:r>
      <w:r w:rsidDel="00000000" w:rsidR="00000000" w:rsidRPr="00000000">
        <w:rPr>
          <w:rFonts w:ascii="Times New Roman" w:cs="Times New Roman" w:eastAsia="Times New Roman" w:hAnsi="Times New Roman"/>
          <w:sz w:val="24"/>
          <w:szCs w:val="24"/>
          <w:rtl w:val="0"/>
        </w:rPr>
        <w:t xml:space="preserve">Comisión Permanente de Seguimiento </w:t>
      </w:r>
      <w:r w:rsidDel="00000000" w:rsidR="00000000" w:rsidRPr="00000000">
        <w:rPr>
          <w:rFonts w:ascii="Times New Roman" w:cs="Times New Roman" w:eastAsia="Times New Roman" w:hAnsi="Times New Roman"/>
          <w:sz w:val="24"/>
          <w:szCs w:val="24"/>
          <w:rtl w:val="0"/>
        </w:rPr>
        <w:t xml:space="preserve">para la Ley Brisa, ampliación de la Línea 137 y articulación con CAJ y fuerzas de seguridad,  Programa Acompañar–</w:t>
      </w:r>
      <w:r w:rsidDel="00000000" w:rsidR="00000000" w:rsidRPr="00000000">
        <w:rPr>
          <w:rFonts w:ascii="Times New Roman" w:cs="Times New Roman" w:eastAsia="Times New Roman" w:hAnsi="Times New Roman"/>
          <w:sz w:val="24"/>
          <w:szCs w:val="24"/>
          <w:vertAlign w:val="superscript"/>
        </w:rPr>
        <w:footnoteReference w:customMarkFollows="0" w:id="31"/>
      </w:r>
      <w:r w:rsidDel="00000000" w:rsidR="00000000" w:rsidRPr="00000000">
        <w:rPr>
          <w:rFonts w:ascii="Times New Roman" w:cs="Times New Roman" w:eastAsia="Times New Roman" w:hAnsi="Times New Roman"/>
          <w:sz w:val="24"/>
          <w:szCs w:val="24"/>
          <w:rtl w:val="0"/>
        </w:rPr>
        <w:t xml:space="preserve">, muchos de estos programas y dispositivos se han desfinanciado y </w:t>
      </w:r>
      <w:r w:rsidDel="00000000" w:rsidR="00000000" w:rsidRPr="00000000">
        <w:rPr>
          <w:rFonts w:ascii="Times New Roman" w:cs="Times New Roman" w:eastAsia="Times New Roman" w:hAnsi="Times New Roman"/>
          <w:sz w:val="24"/>
          <w:szCs w:val="24"/>
          <w:rtl w:val="0"/>
        </w:rPr>
        <w:t xml:space="preserve">desarticulado</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D">
      <w:pPr>
        <w:spacing w:after="200" w:before="0" w:lineRule="auto"/>
        <w:ind w:left="0"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Resulta especialmente preocupante el cierre de los CAJ y la desarticulación del programa Patrocinar y del Cuerpo de Abogadas/os que </w:t>
      </w:r>
      <w:r w:rsidDel="00000000" w:rsidR="00000000" w:rsidRPr="00000000">
        <w:rPr>
          <w:rFonts w:ascii="Times New Roman" w:cs="Times New Roman" w:eastAsia="Times New Roman" w:hAnsi="Times New Roman"/>
          <w:sz w:val="24"/>
          <w:szCs w:val="24"/>
          <w:rtl w:val="0"/>
        </w:rPr>
        <w:t xml:space="preserve">son claves</w:t>
      </w:r>
      <w:r w:rsidDel="00000000" w:rsidR="00000000" w:rsidRPr="00000000">
        <w:rPr>
          <w:rFonts w:ascii="Times New Roman" w:cs="Times New Roman" w:eastAsia="Times New Roman" w:hAnsi="Times New Roman"/>
          <w:sz w:val="24"/>
          <w:szCs w:val="24"/>
          <w:rtl w:val="0"/>
        </w:rPr>
        <w:t xml:space="preserve"> para el asesoramiento, patrocinio y articulación con otros dispositivos en casos de violencia doméstica, reclamos de alimentos y regímenes de responsabilidad parental</w:t>
      </w:r>
      <w:r w:rsidDel="00000000" w:rsidR="00000000" w:rsidRPr="00000000">
        <w:rPr>
          <w:rFonts w:ascii="Times New Roman" w:cs="Times New Roman" w:eastAsia="Times New Roman" w:hAnsi="Times New Roman"/>
          <w:sz w:val="24"/>
          <w:szCs w:val="24"/>
          <w:vertAlign w:val="superscript"/>
        </w:rPr>
        <w:footnoteReference w:customMarkFollows="0" w:id="32"/>
      </w:r>
      <w:r w:rsidDel="00000000" w:rsidR="00000000" w:rsidRPr="00000000">
        <w:rPr>
          <w:rFonts w:ascii="Times New Roman" w:cs="Times New Roman" w:eastAsia="Times New Roman" w:hAnsi="Times New Roman"/>
          <w:sz w:val="24"/>
          <w:szCs w:val="24"/>
          <w:rtl w:val="0"/>
        </w:rPr>
        <w:t xml:space="preserve">. En línea con lo ya advertido por el Comité sobre las barreras persistentes en el acceso a la justicia, el desmantelamiento de estas políticas recrudece las barreras institucionales, procedimentales y prácticas que ya afectaban el acceso efectivo a la justicia.</w:t>
      </w:r>
      <w:r w:rsidDel="00000000" w:rsidR="00000000" w:rsidRPr="00000000">
        <w:rPr>
          <w:rFonts w:ascii="Times New Roman" w:cs="Times New Roman" w:eastAsia="Times New Roman" w:hAnsi="Times New Roman"/>
          <w:sz w:val="24"/>
          <w:szCs w:val="24"/>
          <w:vertAlign w:val="superscript"/>
        </w:rPr>
        <w:footnoteReference w:customMarkFollows="0" w:id="33"/>
      </w:r>
      <w:r w:rsidDel="00000000" w:rsidR="00000000" w:rsidRPr="00000000">
        <w:rPr>
          <w:rFonts w:ascii="Times New Roman" w:cs="Times New Roman" w:eastAsia="Times New Roman" w:hAnsi="Times New Roman"/>
          <w:sz w:val="24"/>
          <w:szCs w:val="24"/>
          <w:rtl w:val="0"/>
        </w:rPr>
        <w:t xml:space="preserve"> Estas se </w:t>
      </w:r>
      <w:r w:rsidDel="00000000" w:rsidR="00000000" w:rsidRPr="00000000">
        <w:rPr>
          <w:rFonts w:ascii="Times New Roman" w:cs="Times New Roman" w:eastAsia="Times New Roman" w:hAnsi="Times New Roman"/>
          <w:sz w:val="24"/>
          <w:szCs w:val="24"/>
          <w:rtl w:val="0"/>
        </w:rPr>
        <w:t xml:space="preserve">refuerzan</w:t>
      </w:r>
      <w:r w:rsidDel="00000000" w:rsidR="00000000" w:rsidRPr="00000000">
        <w:rPr>
          <w:rFonts w:ascii="Times New Roman" w:cs="Times New Roman" w:eastAsia="Times New Roman" w:hAnsi="Times New Roman"/>
          <w:sz w:val="24"/>
          <w:szCs w:val="24"/>
          <w:rtl w:val="0"/>
        </w:rPr>
        <w:t xml:space="preserve"> en la actualidad debido a la proliferación de narrativas impulsadas desde el PEN que pretenden criminalizar a las mujeres que denuncian situaciones de violencia con la acusación de que se trata de supuestas “falsas denuncias” y desincentivan la búsqueda de ayuda de las víctimas.</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En este sentido, el Ministerio de Justicia de la Nación apoyó un proyecto de ley que propone agravar las penas para quienes se considere que han interpuesto “denuncias falsas”</w:t>
      </w:r>
      <w:r w:rsidDel="00000000" w:rsidR="00000000" w:rsidRPr="00000000">
        <w:rPr>
          <w:rFonts w:ascii="Times New Roman" w:cs="Times New Roman" w:eastAsia="Times New Roman" w:hAnsi="Times New Roman"/>
          <w:sz w:val="24"/>
          <w:szCs w:val="24"/>
          <w:vertAlign w:val="superscript"/>
        </w:rPr>
        <w:footnoteReference w:customMarkFollows="0" w:id="34"/>
      </w:r>
      <w:r w:rsidDel="00000000" w:rsidR="00000000" w:rsidRPr="00000000">
        <w:rPr>
          <w:rFonts w:ascii="Times New Roman" w:cs="Times New Roman" w:eastAsia="Times New Roman" w:hAnsi="Times New Roman"/>
          <w:sz w:val="24"/>
          <w:szCs w:val="24"/>
          <w:rtl w:val="0"/>
        </w:rPr>
        <w:t xml:space="preserve"> de violencia de género.</w:t>
      </w:r>
      <w:r w:rsidDel="00000000" w:rsidR="00000000" w:rsidRPr="00000000">
        <w:rPr>
          <w:rFonts w:ascii="Times New Roman" w:cs="Times New Roman" w:eastAsia="Times New Roman" w:hAnsi="Times New Roman"/>
          <w:sz w:val="24"/>
          <w:szCs w:val="24"/>
          <w:vertAlign w:val="superscript"/>
        </w:rPr>
        <w:footnoteReference w:customMarkFollows="0" w:id="35"/>
      </w:r>
      <w:r w:rsidDel="00000000" w:rsidR="00000000" w:rsidRPr="00000000">
        <w:rPr>
          <w:rFonts w:ascii="Times New Roman" w:cs="Times New Roman" w:eastAsia="Times New Roman" w:hAnsi="Times New Roman"/>
          <w:sz w:val="24"/>
          <w:szCs w:val="24"/>
          <w:rtl w:val="0"/>
        </w:rPr>
        <w:t xml:space="preserve"> Paralelamente, el Ministerio de Seguridad de la Nación ha responsabilizado al movimiento feminista por los niveles de violencia de género.</w:t>
      </w:r>
      <w:r w:rsidDel="00000000" w:rsidR="00000000" w:rsidRPr="00000000">
        <w:rPr>
          <w:rFonts w:ascii="Times New Roman" w:cs="Times New Roman" w:eastAsia="Times New Roman" w:hAnsi="Times New Roman"/>
          <w:sz w:val="24"/>
          <w:szCs w:val="24"/>
          <w:vertAlign w:val="superscript"/>
        </w:rPr>
        <w:footnoteReference w:customMarkFollows="0" w:id="36"/>
      </w:r>
      <w:r w:rsidDel="00000000" w:rsidR="00000000" w:rsidRPr="00000000">
        <w:rPr>
          <w:rtl w:val="0"/>
        </w:rPr>
      </w:r>
    </w:p>
    <w:p w:rsidR="00000000" w:rsidDel="00000000" w:rsidP="00000000" w:rsidRDefault="00000000" w:rsidRPr="00000000" w14:paraId="0000001E">
      <w:pPr>
        <w:spacing w:after="200" w:before="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Este </w:t>
      </w:r>
      <w:r w:rsidDel="00000000" w:rsidR="00000000" w:rsidRPr="00000000">
        <w:rPr>
          <w:rFonts w:ascii="Times New Roman" w:cs="Times New Roman" w:eastAsia="Times New Roman" w:hAnsi="Times New Roman"/>
          <w:sz w:val="24"/>
          <w:szCs w:val="24"/>
          <w:rtl w:val="0"/>
        </w:rPr>
        <w:t xml:space="preserve">tipo de iniciativas desconoce la realidad: la evidencia disponible muestra que, aun cuando la violencia por razones de género es masiva, una proporción muy baja de mujeres llega efectivamente a buscar ayuda de las instituciones. A nivel nacional, 1 de cada 2 mujeres sufrió violencia por parte de su pareja pero solo 1 de cada 4 buscó ayuda o denunció la situación.</w:t>
      </w:r>
      <w:r w:rsidDel="00000000" w:rsidR="00000000" w:rsidRPr="00000000">
        <w:rPr>
          <w:rFonts w:ascii="Times New Roman" w:cs="Times New Roman" w:eastAsia="Times New Roman" w:hAnsi="Times New Roman"/>
          <w:sz w:val="24"/>
          <w:szCs w:val="24"/>
          <w:vertAlign w:val="superscript"/>
        </w:rPr>
        <w:footnoteReference w:customMarkFollows="0" w:id="37"/>
      </w:r>
      <w:r w:rsidDel="00000000" w:rsidR="00000000" w:rsidRPr="00000000">
        <w:rPr>
          <w:rFonts w:ascii="Times New Roman" w:cs="Times New Roman" w:eastAsia="Times New Roman" w:hAnsi="Times New Roman"/>
          <w:sz w:val="24"/>
          <w:szCs w:val="24"/>
          <w:rtl w:val="0"/>
        </w:rPr>
        <w:t xml:space="preserve"> En el caso de la Ciudad de Buenos Aires, el porcentaje de mujeres que vivieron violencia doméstica y recurrieron a alguna institución pública pasó del 22% en 2018 a casi el 30% en 2023, lo que indicó una mejora relativa, pero sigue significando que la mayoría no llega a realizar consultas o denuncias.</w:t>
      </w:r>
      <w:r w:rsidDel="00000000" w:rsidR="00000000" w:rsidRPr="00000000">
        <w:rPr>
          <w:rFonts w:ascii="Times New Roman" w:cs="Times New Roman" w:eastAsia="Times New Roman" w:hAnsi="Times New Roman"/>
          <w:sz w:val="24"/>
          <w:szCs w:val="24"/>
          <w:vertAlign w:val="superscript"/>
        </w:rPr>
        <w:footnoteReference w:customMarkFollows="0" w:id="38"/>
      </w:r>
      <w:r w:rsidDel="00000000" w:rsidR="00000000" w:rsidRPr="00000000">
        <w:rPr>
          <w:rFonts w:ascii="Times New Roman" w:cs="Times New Roman" w:eastAsia="Times New Roman" w:hAnsi="Times New Roman"/>
          <w:sz w:val="24"/>
          <w:szCs w:val="24"/>
          <w:rtl w:val="0"/>
        </w:rPr>
        <w:t xml:space="preserve"> En los casos más extremos, los datos oficiales de 2024</w:t>
      </w:r>
      <w:r w:rsidDel="00000000" w:rsidR="00000000" w:rsidRPr="00000000">
        <w:rPr>
          <w:rFonts w:ascii="Times New Roman" w:cs="Times New Roman" w:eastAsia="Times New Roman" w:hAnsi="Times New Roman"/>
          <w:sz w:val="24"/>
          <w:szCs w:val="24"/>
          <w:vertAlign w:val="superscript"/>
        </w:rPr>
        <w:footnoteReference w:customMarkFollows="0" w:id="39"/>
      </w:r>
      <w:r w:rsidDel="00000000" w:rsidR="00000000" w:rsidRPr="00000000">
        <w:rPr>
          <w:rFonts w:ascii="Times New Roman" w:cs="Times New Roman" w:eastAsia="Times New Roman" w:hAnsi="Times New Roman"/>
          <w:sz w:val="24"/>
          <w:szCs w:val="24"/>
          <w:rtl w:val="0"/>
        </w:rPr>
        <w:t xml:space="preserve"> indican que solo el 18% de las víctimas de femicidio había denunciado y menos del 5% contaba con medidas de protección vigentes.</w:t>
      </w:r>
    </w:p>
    <w:p w:rsidR="00000000" w:rsidDel="00000000" w:rsidP="00000000" w:rsidRDefault="00000000" w:rsidRPr="00000000" w14:paraId="0000001F">
      <w:pPr>
        <w:spacing w:after="2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Argentina cerca del 20% de las mujeres manifiestan haber sufrido algún episodio de violencia sexual, pero entre éstas, el 88% no lo denunció</w:t>
      </w:r>
      <w:r w:rsidDel="00000000" w:rsidR="00000000" w:rsidRPr="00000000">
        <w:rPr>
          <w:rFonts w:ascii="Times New Roman" w:cs="Times New Roman" w:eastAsia="Times New Roman" w:hAnsi="Times New Roman"/>
          <w:sz w:val="24"/>
          <w:szCs w:val="24"/>
          <w:vertAlign w:val="superscript"/>
        </w:rPr>
        <w:footnoteReference w:customMarkFollows="0" w:id="40"/>
      </w:r>
      <w:r w:rsidDel="00000000" w:rsidR="00000000" w:rsidRPr="00000000">
        <w:rPr>
          <w:rFonts w:ascii="Times New Roman" w:cs="Times New Roman" w:eastAsia="Times New Roman" w:hAnsi="Times New Roman"/>
          <w:sz w:val="24"/>
          <w:szCs w:val="24"/>
          <w:rtl w:val="0"/>
        </w:rPr>
        <w:t xml:space="preserve">. El propio Ministerio de Seguridad</w:t>
      </w:r>
      <w:r w:rsidDel="00000000" w:rsidR="00000000" w:rsidRPr="00000000">
        <w:rPr>
          <w:rFonts w:ascii="Times New Roman" w:cs="Times New Roman" w:eastAsia="Times New Roman" w:hAnsi="Times New Roman"/>
          <w:sz w:val="24"/>
          <w:szCs w:val="24"/>
          <w:vertAlign w:val="superscript"/>
        </w:rPr>
        <w:footnoteReference w:customMarkFollows="0" w:id="41"/>
      </w:r>
      <w:r w:rsidDel="00000000" w:rsidR="00000000" w:rsidRPr="00000000">
        <w:rPr>
          <w:rFonts w:ascii="Times New Roman" w:cs="Times New Roman" w:eastAsia="Times New Roman" w:hAnsi="Times New Roman"/>
          <w:sz w:val="24"/>
          <w:szCs w:val="24"/>
          <w:rtl w:val="0"/>
        </w:rPr>
        <w:t xml:space="preserve"> reconoce que los delitos contra la integridad sexual, por sus características, presentan un alto nivel de subregistro debido a la estigmatización de las víctimas,  los cambios en la percepción social sobre la violencia sexual, así como a las respuestas institucionales que impactan directamente en los niveles de </w:t>
      </w:r>
      <w:r w:rsidDel="00000000" w:rsidR="00000000" w:rsidRPr="00000000">
        <w:rPr>
          <w:rFonts w:ascii="Times New Roman" w:cs="Times New Roman" w:eastAsia="Times New Roman" w:hAnsi="Times New Roman"/>
          <w:sz w:val="24"/>
          <w:szCs w:val="24"/>
          <w:rtl w:val="0"/>
        </w:rPr>
        <w:t xml:space="preserve">denuncia</w:t>
      </w:r>
      <w:r w:rsidDel="00000000" w:rsidR="00000000" w:rsidRPr="00000000">
        <w:rPr>
          <w:rFonts w:ascii="Times New Roman" w:cs="Times New Roman" w:eastAsia="Times New Roman" w:hAnsi="Times New Roman"/>
          <w:sz w:val="24"/>
          <w:szCs w:val="24"/>
          <w:rtl w:val="0"/>
        </w:rPr>
        <w:t xml:space="preserve">. Este patrón de baja denuncia se agrava en el contexto de desmantelamiento de políticas públicas y de un discurso oficial que desvaloriza y niega la violencia de género.</w:t>
      </w:r>
    </w:p>
    <w:p w:rsidR="00000000" w:rsidDel="00000000" w:rsidP="00000000" w:rsidRDefault="00000000" w:rsidRPr="00000000" w14:paraId="00000020">
      <w:pPr>
        <w:spacing w:after="200" w:before="0" w:lineRule="auto"/>
        <w:ind w:left="0" w:firstLine="72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3.1. Denuncias previas, medidas de protección e ineficacia estatal</w:t>
      </w:r>
    </w:p>
    <w:p w:rsidR="00000000" w:rsidDel="00000000" w:rsidP="00000000" w:rsidRDefault="00000000" w:rsidRPr="00000000" w14:paraId="00000021">
      <w:pPr>
        <w:spacing w:after="200" w:before="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información sobre femicidios revela fallas sistemáticas en la capacidad del Estado para proteger a las mujeres. En 2022, el 88% de las </w:t>
      </w:r>
      <w:r w:rsidDel="00000000" w:rsidR="00000000" w:rsidRPr="00000000">
        <w:rPr>
          <w:rFonts w:ascii="Times New Roman" w:cs="Times New Roman" w:eastAsia="Times New Roman" w:hAnsi="Times New Roman"/>
          <w:sz w:val="24"/>
          <w:szCs w:val="24"/>
          <w:rtl w:val="0"/>
        </w:rPr>
        <w:t xml:space="preserve">víctimas</w:t>
      </w:r>
      <w:r w:rsidDel="00000000" w:rsidR="00000000" w:rsidRPr="00000000">
        <w:rPr>
          <w:rFonts w:ascii="Times New Roman" w:cs="Times New Roman" w:eastAsia="Times New Roman" w:hAnsi="Times New Roman"/>
          <w:sz w:val="24"/>
          <w:szCs w:val="24"/>
          <w:rtl w:val="0"/>
        </w:rPr>
        <w:t xml:space="preserve"> registradas por la Corte Suprema de Justicia de la Nación (CSJN)</w:t>
      </w:r>
      <w:r w:rsidDel="00000000" w:rsidR="00000000" w:rsidRPr="00000000">
        <w:rPr>
          <w:rFonts w:ascii="Times New Roman" w:cs="Times New Roman" w:eastAsia="Times New Roman" w:hAnsi="Times New Roman"/>
          <w:sz w:val="24"/>
          <w:szCs w:val="24"/>
          <w:vertAlign w:val="superscript"/>
        </w:rPr>
        <w:footnoteReference w:customMarkFollows="0" w:id="42"/>
      </w:r>
      <w:r w:rsidDel="00000000" w:rsidR="00000000" w:rsidRPr="00000000">
        <w:rPr>
          <w:rFonts w:ascii="Times New Roman" w:cs="Times New Roman" w:eastAsia="Times New Roman" w:hAnsi="Times New Roman"/>
          <w:sz w:val="24"/>
          <w:szCs w:val="24"/>
          <w:rtl w:val="0"/>
        </w:rPr>
        <w:t xml:space="preserve"> conocía al victimario, el 15% había realizado denuncias previas y en el 24% se registraron hechos de violencia en sede judicial sin denuncia previa. El 8% de las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víctimas que habían denunciado obtuvieron alguna medida de protección, pero sólo el 5% de las </w:t>
      </w:r>
      <w:r w:rsidDel="00000000" w:rsidR="00000000" w:rsidRPr="00000000">
        <w:rPr>
          <w:rFonts w:ascii="Times New Roman" w:cs="Times New Roman" w:eastAsia="Times New Roman" w:hAnsi="Times New Roman"/>
          <w:sz w:val="24"/>
          <w:szCs w:val="24"/>
          <w:rtl w:val="0"/>
        </w:rPr>
        <w:t xml:space="preserve">medidas estaban vigentes al momento del hecho y casi el 3% estaban vencidas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22">
      <w:pPr>
        <w:spacing w:after="200" w:before="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2023</w:t>
      </w:r>
      <w:r w:rsidDel="00000000" w:rsidR="00000000" w:rsidRPr="00000000">
        <w:rPr>
          <w:rFonts w:ascii="Times New Roman" w:cs="Times New Roman" w:eastAsia="Times New Roman" w:hAnsi="Times New Roman"/>
          <w:sz w:val="24"/>
          <w:szCs w:val="24"/>
          <w:vertAlign w:val="superscript"/>
        </w:rPr>
        <w:footnoteReference w:customMarkFollows="0" w:id="43"/>
      </w:r>
      <w:r w:rsidDel="00000000" w:rsidR="00000000" w:rsidRPr="00000000">
        <w:rPr>
          <w:rFonts w:ascii="Times New Roman" w:cs="Times New Roman" w:eastAsia="Times New Roman" w:hAnsi="Times New Roman"/>
          <w:sz w:val="24"/>
          <w:szCs w:val="24"/>
          <w:rtl w:val="0"/>
        </w:rPr>
        <w:t xml:space="preserve"> esto se agravó: en </w:t>
      </w:r>
      <w:r w:rsidDel="00000000" w:rsidR="00000000" w:rsidRPr="00000000">
        <w:rPr>
          <w:rFonts w:ascii="Times New Roman" w:cs="Times New Roman" w:eastAsia="Times New Roman" w:hAnsi="Times New Roman"/>
          <w:sz w:val="24"/>
          <w:szCs w:val="24"/>
          <w:rtl w:val="0"/>
        </w:rPr>
        <w:t xml:space="preserve">casi el 40% de los femicidios directos había antecedentes de violencia</w:t>
      </w:r>
      <w:r w:rsidDel="00000000" w:rsidR="00000000" w:rsidRPr="00000000">
        <w:rPr>
          <w:rFonts w:ascii="Times New Roman" w:cs="Times New Roman" w:eastAsia="Times New Roman" w:hAnsi="Times New Roman"/>
          <w:sz w:val="24"/>
          <w:szCs w:val="24"/>
          <w:rtl w:val="0"/>
        </w:rPr>
        <w:t xml:space="preserve">. Del total de </w:t>
      </w:r>
      <w:r w:rsidDel="00000000" w:rsidR="00000000" w:rsidRPr="00000000">
        <w:rPr>
          <w:rFonts w:ascii="Times New Roman" w:cs="Times New Roman" w:eastAsia="Times New Roman" w:hAnsi="Times New Roman"/>
          <w:sz w:val="24"/>
          <w:szCs w:val="24"/>
          <w:rtl w:val="0"/>
        </w:rPr>
        <w:t xml:space="preserve">víctimas</w:t>
      </w:r>
      <w:r w:rsidDel="00000000" w:rsidR="00000000" w:rsidRPr="00000000">
        <w:rPr>
          <w:rFonts w:ascii="Times New Roman" w:cs="Times New Roman" w:eastAsia="Times New Roman" w:hAnsi="Times New Roman"/>
          <w:sz w:val="24"/>
          <w:szCs w:val="24"/>
          <w:rtl w:val="0"/>
        </w:rPr>
        <w:t xml:space="preserve"> que </w:t>
      </w:r>
      <w:r w:rsidDel="00000000" w:rsidR="00000000" w:rsidRPr="00000000">
        <w:rPr>
          <w:rFonts w:ascii="Times New Roman" w:cs="Times New Roman" w:eastAsia="Times New Roman" w:hAnsi="Times New Roman"/>
          <w:sz w:val="24"/>
          <w:szCs w:val="24"/>
          <w:rtl w:val="0"/>
        </w:rPr>
        <w:t xml:space="preserve">había</w:t>
      </w:r>
      <w:r w:rsidDel="00000000" w:rsidR="00000000" w:rsidRPr="00000000">
        <w:rPr>
          <w:rFonts w:ascii="Times New Roman" w:cs="Times New Roman" w:eastAsia="Times New Roman" w:hAnsi="Times New Roman"/>
          <w:sz w:val="24"/>
          <w:szCs w:val="24"/>
          <w:rtl w:val="0"/>
        </w:rPr>
        <w:t xml:space="preserve"> denunciado al agresor (poco </w:t>
      </w:r>
      <w:r w:rsidDel="00000000" w:rsidR="00000000" w:rsidRPr="00000000">
        <w:rPr>
          <w:rFonts w:ascii="Times New Roman" w:cs="Times New Roman" w:eastAsia="Times New Roman" w:hAnsi="Times New Roman"/>
          <w:sz w:val="24"/>
          <w:szCs w:val="24"/>
          <w:rtl w:val="0"/>
        </w:rPr>
        <w:t xml:space="preserve">más</w:t>
      </w:r>
      <w:r w:rsidDel="00000000" w:rsidR="00000000" w:rsidRPr="00000000">
        <w:rPr>
          <w:rFonts w:ascii="Times New Roman" w:cs="Times New Roman" w:eastAsia="Times New Roman" w:hAnsi="Times New Roman"/>
          <w:sz w:val="24"/>
          <w:szCs w:val="24"/>
          <w:rtl w:val="0"/>
        </w:rPr>
        <w:t xml:space="preserve"> del 20%) casi el 13% accedieron a medidas de protección. Poco </w:t>
      </w:r>
      <w:r w:rsidDel="00000000" w:rsidR="00000000" w:rsidRPr="00000000">
        <w:rPr>
          <w:rFonts w:ascii="Times New Roman" w:cs="Times New Roman" w:eastAsia="Times New Roman" w:hAnsi="Times New Roman"/>
          <w:sz w:val="24"/>
          <w:szCs w:val="24"/>
          <w:rtl w:val="0"/>
        </w:rPr>
        <w:t xml:space="preserve">más</w:t>
      </w:r>
      <w:r w:rsidDel="00000000" w:rsidR="00000000" w:rsidRPr="00000000">
        <w:rPr>
          <w:rFonts w:ascii="Times New Roman" w:cs="Times New Roman" w:eastAsia="Times New Roman" w:hAnsi="Times New Roman"/>
          <w:sz w:val="24"/>
          <w:szCs w:val="24"/>
          <w:rtl w:val="0"/>
        </w:rPr>
        <w:t xml:space="preserve"> del 6% de las medidas estaban vigentes al momento del femicidio, casi el 6% estaban vencidas y 3 víctimas habían solicitado medidas que nunca les fueron otorgadas. En 2024</w:t>
      </w:r>
      <w:r w:rsidDel="00000000" w:rsidR="00000000" w:rsidRPr="00000000">
        <w:rPr>
          <w:rFonts w:ascii="Times New Roman" w:cs="Times New Roman" w:eastAsia="Times New Roman" w:hAnsi="Times New Roman"/>
          <w:sz w:val="24"/>
          <w:szCs w:val="24"/>
          <w:vertAlign w:val="superscript"/>
        </w:rPr>
        <w:footnoteReference w:customMarkFollows="0" w:id="44"/>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los</w:t>
      </w:r>
      <w:r w:rsidDel="00000000" w:rsidR="00000000" w:rsidRPr="00000000">
        <w:rPr>
          <w:rFonts w:ascii="Times New Roman" w:cs="Times New Roman" w:eastAsia="Times New Roman" w:hAnsi="Times New Roman"/>
          <w:sz w:val="24"/>
          <w:szCs w:val="24"/>
          <w:rtl w:val="0"/>
        </w:rPr>
        <w:t xml:space="preserve"> datos confirmaron la persistencia de este patrón: en al menos el 86% de los casos la víctima tenía vínculo previo con el sujeto activo y en el 48% había antecedentes de violencia, pero apenas el 17% había denunciado al agresor. Entre quienes denunciaron, poco </w:t>
      </w:r>
      <w:r w:rsidDel="00000000" w:rsidR="00000000" w:rsidRPr="00000000">
        <w:rPr>
          <w:rFonts w:ascii="Times New Roman" w:cs="Times New Roman" w:eastAsia="Times New Roman" w:hAnsi="Times New Roman"/>
          <w:sz w:val="24"/>
          <w:szCs w:val="24"/>
          <w:rtl w:val="0"/>
        </w:rPr>
        <w:t xml:space="preserve">más</w:t>
      </w:r>
      <w:r w:rsidDel="00000000" w:rsidR="00000000" w:rsidRPr="00000000">
        <w:rPr>
          <w:rFonts w:ascii="Times New Roman" w:cs="Times New Roman" w:eastAsia="Times New Roman" w:hAnsi="Times New Roman"/>
          <w:sz w:val="24"/>
          <w:szCs w:val="24"/>
          <w:rtl w:val="0"/>
        </w:rPr>
        <w:t xml:space="preserve"> del 8% de las </w:t>
      </w:r>
      <w:r w:rsidDel="00000000" w:rsidR="00000000" w:rsidRPr="00000000">
        <w:rPr>
          <w:rFonts w:ascii="Times New Roman" w:cs="Times New Roman" w:eastAsia="Times New Roman" w:hAnsi="Times New Roman"/>
          <w:sz w:val="24"/>
          <w:szCs w:val="24"/>
          <w:rtl w:val="0"/>
        </w:rPr>
        <w:t xml:space="preserve">víctimas</w:t>
      </w:r>
      <w:r w:rsidDel="00000000" w:rsidR="00000000" w:rsidRPr="00000000">
        <w:rPr>
          <w:rFonts w:ascii="Times New Roman" w:cs="Times New Roman" w:eastAsia="Times New Roman" w:hAnsi="Times New Roman"/>
          <w:sz w:val="24"/>
          <w:szCs w:val="24"/>
          <w:rtl w:val="0"/>
        </w:rPr>
        <w:t xml:space="preserve"> tenía alguna medida;</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casi el 5%</w:t>
      </w:r>
      <w:r w:rsidDel="00000000" w:rsidR="00000000" w:rsidRPr="00000000">
        <w:rPr>
          <w:rFonts w:ascii="Times New Roman" w:cs="Times New Roman" w:eastAsia="Times New Roman" w:hAnsi="Times New Roman"/>
          <w:sz w:val="24"/>
          <w:szCs w:val="24"/>
          <w:rtl w:val="0"/>
        </w:rPr>
        <w:t xml:space="preserve"> estaban vigentes al momento del hecho, otro casi 5%</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tenían</w:t>
      </w:r>
      <w:r w:rsidDel="00000000" w:rsidR="00000000" w:rsidRPr="00000000">
        <w:rPr>
          <w:rFonts w:ascii="Times New Roman" w:cs="Times New Roman" w:eastAsia="Times New Roman" w:hAnsi="Times New Roman"/>
          <w:sz w:val="24"/>
          <w:szCs w:val="24"/>
          <w:rtl w:val="0"/>
        </w:rPr>
        <w:t xml:space="preserve"> medidas</w:t>
      </w:r>
      <w:r w:rsidDel="00000000" w:rsidR="00000000" w:rsidRPr="00000000">
        <w:rPr>
          <w:rFonts w:ascii="Times New Roman" w:cs="Times New Roman" w:eastAsia="Times New Roman" w:hAnsi="Times New Roman"/>
          <w:sz w:val="24"/>
          <w:szCs w:val="24"/>
          <w:rtl w:val="0"/>
        </w:rPr>
        <w:t xml:space="preserve"> vencidas. </w:t>
      </w:r>
      <w:r w:rsidDel="00000000" w:rsidR="00000000" w:rsidRPr="00000000">
        <w:rPr>
          <w:rFonts w:ascii="Times New Roman" w:cs="Times New Roman" w:eastAsia="Times New Roman" w:hAnsi="Times New Roman"/>
          <w:sz w:val="24"/>
          <w:szCs w:val="24"/>
          <w:rtl w:val="0"/>
        </w:rPr>
        <w:t xml:space="preserve">En síntesis, muchas potenciales víctimas de femicidio no llegan a denunciar formalmente y, cuando lo hacen, las medidas otorgadas no garantizan su seguridad.</w:t>
      </w:r>
      <w:r w:rsidDel="00000000" w:rsidR="00000000" w:rsidRPr="00000000">
        <w:rPr>
          <w:rtl w:val="0"/>
        </w:rPr>
      </w:r>
    </w:p>
    <w:p w:rsidR="00000000" w:rsidDel="00000000" w:rsidP="00000000" w:rsidRDefault="00000000" w:rsidRPr="00000000" w14:paraId="00000023">
      <w:pPr>
        <w:spacing w:after="200" w:before="0" w:lineRule="auto"/>
        <w:ind w:firstLine="72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3.2. Demoras en los procesos judiciales e impunidad</w:t>
      </w:r>
    </w:p>
    <w:p w:rsidR="00000000" w:rsidDel="00000000" w:rsidP="00000000" w:rsidRDefault="00000000" w:rsidRPr="00000000" w14:paraId="00000024">
      <w:pPr>
        <w:spacing w:after="200" w:before="0" w:lineRule="auto"/>
        <w:ind w:left="0" w:firstLine="0"/>
        <w:jc w:val="both"/>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sz w:val="24"/>
          <w:szCs w:val="24"/>
          <w:rtl w:val="0"/>
        </w:rPr>
        <w:t xml:space="preserve">Según el </w:t>
      </w:r>
      <w:r w:rsidDel="00000000" w:rsidR="00000000" w:rsidRPr="00000000">
        <w:rPr>
          <w:rFonts w:ascii="Times New Roman" w:cs="Times New Roman" w:eastAsia="Times New Roman" w:hAnsi="Times New Roman"/>
          <w:sz w:val="24"/>
          <w:szCs w:val="24"/>
          <w:rtl w:val="0"/>
        </w:rPr>
        <w:t xml:space="preserve">Registro Nacional de Femicidios de la Justicia Argentina (RNFJA</w:t>
      </w:r>
      <w:r w:rsidDel="00000000" w:rsidR="00000000" w:rsidRPr="00000000">
        <w:rPr>
          <w:rFonts w:ascii="Times New Roman" w:cs="Times New Roman" w:eastAsia="Times New Roman" w:hAnsi="Times New Roman"/>
          <w:sz w:val="24"/>
          <w:szCs w:val="24"/>
          <w:rtl w:val="0"/>
        </w:rPr>
        <w:t xml:space="preserve">), entre 2022 y 2024 sólo entre el </w:t>
      </w:r>
      <w:r w:rsidDel="00000000" w:rsidR="00000000" w:rsidRPr="00000000">
        <w:rPr>
          <w:rFonts w:ascii="Times New Roman" w:cs="Times New Roman" w:eastAsia="Times New Roman" w:hAnsi="Times New Roman"/>
          <w:sz w:val="24"/>
          <w:szCs w:val="24"/>
          <w:rtl w:val="0"/>
        </w:rPr>
        <w:t xml:space="preserve">2 y el 3% de las causas</w:t>
      </w:r>
      <w:r w:rsidDel="00000000" w:rsidR="00000000" w:rsidRPr="00000000">
        <w:rPr>
          <w:rFonts w:ascii="Times New Roman" w:cs="Times New Roman" w:eastAsia="Times New Roman" w:hAnsi="Times New Roman"/>
          <w:sz w:val="24"/>
          <w:szCs w:val="24"/>
          <w:rtl w:val="0"/>
        </w:rPr>
        <w:t xml:space="preserve"> de femicidio había concluido con sentencias condenatorias.</w:t>
      </w:r>
      <w:r w:rsidDel="00000000" w:rsidR="00000000" w:rsidRPr="00000000">
        <w:rPr>
          <w:rFonts w:ascii="Times New Roman" w:cs="Times New Roman" w:eastAsia="Times New Roman" w:hAnsi="Times New Roman"/>
          <w:sz w:val="24"/>
          <w:szCs w:val="24"/>
          <w:vertAlign w:val="superscript"/>
        </w:rPr>
        <w:footnoteReference w:customMarkFollows="0" w:id="45"/>
      </w:r>
      <w:r w:rsidDel="00000000" w:rsidR="00000000" w:rsidRPr="00000000">
        <w:rPr>
          <w:rFonts w:ascii="Times New Roman" w:cs="Times New Roman" w:eastAsia="Times New Roman" w:hAnsi="Times New Roman"/>
          <w:sz w:val="24"/>
          <w:szCs w:val="24"/>
          <w:rtl w:val="0"/>
        </w:rPr>
        <w:t xml:space="preserve"> Una gran proporción de las causas permanecen en etapas preliminares durante períodos prolongados y aproximadamente el 15% son archivados anualmente. Según datos de la UFEM, en promedio, el tiempo transcurrido entre el femicidio y la sentencia es de 22 meses (un mínimo de 6 meses y un máximo de 3 años y medio de trámite).</w:t>
      </w:r>
      <w:r w:rsidDel="00000000" w:rsidR="00000000" w:rsidRPr="00000000">
        <w:rPr>
          <w:rFonts w:ascii="Times New Roman" w:cs="Times New Roman" w:eastAsia="Times New Roman" w:hAnsi="Times New Roman"/>
          <w:sz w:val="24"/>
          <w:szCs w:val="24"/>
          <w:vertAlign w:val="superscript"/>
        </w:rPr>
        <w:footnoteReference w:customMarkFollows="0" w:id="46"/>
      </w:r>
      <w:r w:rsidDel="00000000" w:rsidR="00000000" w:rsidRPr="00000000">
        <w:rPr>
          <w:rtl w:val="0"/>
        </w:rPr>
      </w:r>
    </w:p>
    <w:p w:rsidR="00000000" w:rsidDel="00000000" w:rsidP="00000000" w:rsidRDefault="00000000" w:rsidRPr="00000000" w14:paraId="00000025">
      <w:pPr>
        <w:spacing w:after="200" w:before="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acceso a la justicia en casos de violencia de género sigue atravesado por múltiples barreras: pocas denuncias; desincentivos discursivos y normativos para denunciar; debilidades en las medidas de protección; procesos judiciales prolongados; poco acompañamiento emocional y jurídico; y tasas reducidas de condena. Todo esto en un contexto en el que el propio Estado cuestiona la legitimidad de las denuncias y promueve iniciativas para criminalizar a las mujeres que recurren al sistema de justicia.</w:t>
      </w:r>
    </w:p>
    <w:p w:rsidR="00000000" w:rsidDel="00000000" w:rsidP="00000000" w:rsidRDefault="00000000" w:rsidRPr="00000000" w14:paraId="00000026">
      <w:pPr>
        <w:spacing w:after="200" w:before="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pStyle w:val="Heading1"/>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sz w:val="24"/>
          <w:szCs w:val="24"/>
        </w:rPr>
      </w:pPr>
      <w:bookmarkStart w:colFirst="0" w:colLast="0" w:name="_wvbmibicqcer" w:id="2"/>
      <w:bookmarkEnd w:id="2"/>
      <w:r w:rsidDel="00000000" w:rsidR="00000000" w:rsidRPr="00000000">
        <w:rPr>
          <w:rFonts w:ascii="Times New Roman" w:cs="Times New Roman" w:eastAsia="Times New Roman" w:hAnsi="Times New Roman"/>
          <w:b w:val="1"/>
          <w:bCs w:val="1"/>
          <w:sz w:val="24"/>
          <w:szCs w:val="24"/>
          <w:rtl w:val="0"/>
        </w:rPr>
        <w:t xml:space="preserve">Desinformación, opacidad y ausencia de datos </w:t>
      </w:r>
      <w:r w:rsidDel="00000000" w:rsidR="00000000" w:rsidRPr="00000000">
        <w:rPr>
          <w:rFonts w:ascii="Times New Roman" w:cs="Times New Roman" w:eastAsia="Times New Roman" w:hAnsi="Times New Roman"/>
          <w:b w:val="1"/>
          <w:bCs w:val="1"/>
          <w:sz w:val="24"/>
          <w:szCs w:val="24"/>
          <w:rtl w:val="0"/>
        </w:rPr>
        <w:t xml:space="preserve">sobre</w:t>
      </w:r>
      <w:r w:rsidDel="00000000" w:rsidR="00000000" w:rsidRPr="00000000">
        <w:rPr>
          <w:rFonts w:ascii="Times New Roman" w:cs="Times New Roman" w:eastAsia="Times New Roman" w:hAnsi="Times New Roman"/>
          <w:b w:val="1"/>
          <w:bCs w:val="1"/>
          <w:sz w:val="24"/>
          <w:szCs w:val="24"/>
          <w:rtl w:val="0"/>
        </w:rPr>
        <w:t xml:space="preserve"> las políticas contra la violencia de género.</w:t>
      </w:r>
      <w:r w:rsidDel="00000000" w:rsidR="00000000" w:rsidRPr="00000000">
        <w:rPr>
          <w:rtl w:val="0"/>
        </w:rPr>
      </w:r>
    </w:p>
    <w:p w:rsidR="00000000" w:rsidDel="00000000" w:rsidP="00000000" w:rsidRDefault="00000000" w:rsidRPr="00000000" w14:paraId="00000028">
      <w:pPr>
        <w:spacing w:after="200" w:before="0" w:lineRule="auto"/>
        <w:ind w:left="720"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4.1. </w:t>
      </w:r>
      <w:r w:rsidDel="00000000" w:rsidR="00000000" w:rsidRPr="00000000">
        <w:rPr>
          <w:rFonts w:ascii="Times New Roman" w:cs="Times New Roman" w:eastAsia="Times New Roman" w:hAnsi="Times New Roman"/>
          <w:b w:val="1"/>
          <w:bCs w:val="1"/>
          <w:sz w:val="24"/>
          <w:szCs w:val="24"/>
          <w:rtl w:val="0"/>
        </w:rPr>
        <w:t xml:space="preserve">Actualización de datos ofrecidos por el Estado.</w:t>
      </w:r>
      <w:r w:rsidDel="00000000" w:rsidR="00000000" w:rsidRPr="00000000">
        <w:rPr>
          <w:rFonts w:ascii="Times New Roman" w:cs="Times New Roman" w:eastAsia="Times New Roman" w:hAnsi="Times New Roman"/>
          <w:sz w:val="24"/>
          <w:szCs w:val="24"/>
          <w:vertAlign w:val="superscript"/>
        </w:rPr>
        <w:footnoteReference w:customMarkFollows="0" w:id="47"/>
      </w:r>
      <w:r w:rsidDel="00000000" w:rsidR="00000000" w:rsidRPr="00000000">
        <w:rPr>
          <w:rtl w:val="0"/>
        </w:rPr>
      </w:r>
    </w:p>
    <w:p w:rsidR="00000000" w:rsidDel="00000000" w:rsidP="00000000" w:rsidRDefault="00000000" w:rsidRPr="00000000" w14:paraId="00000029">
      <w:pPr>
        <w:spacing w:after="200" w:before="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cuanto a las violencias letales, si bien la tasa nacional de femicidios directos mostró oscilaciones, se mantuvo en niveles cercanos a 1 víctima cada 100.000 mujeres. En 2022 la tasa fue de 0,96; en 2023 se elevó a 1,05; y en 2024 descendió nuevamente a 0,95. Pese a esta estabilidad, el impacto territorial es desigual, con provincias con tasas que ascienden a más de 2,0. Hubo 252 víctimas de femicidio en 2022, 272 en 2023 y 247 en 2024, una víctima cada 32 a 36 horas. Para el período 2017–2024, se contabilizan 2.145 víctimas letales, con un promedio anual de 268.</w:t>
      </w:r>
    </w:p>
    <w:p w:rsidR="00000000" w:rsidDel="00000000" w:rsidP="00000000" w:rsidRDefault="00000000" w:rsidRPr="00000000" w14:paraId="0000002A">
      <w:pPr>
        <w:spacing w:after="200" w:before="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análisis interseccional muestra una realidad más alarmante en los travesticidios y transfemicidios. Aunque representan porcentajes menores del total de víctimas (3% en 2022, 2% en 2023 y 4% en 2024), la tasa específica revela una magnitud mucho más grave: en 2024 hubo 13,18 víctimas directas de travesticidio/transfemicidio cada 100.000 mujeres trans/travestis, una cifra 12 veces mayor a la tasa general de femicidios. Entre 2016 y 2024 se documentaron 52 víctimas directas en 52 causas judiciales, con mayor concentración en las provincias de Buenos Aires, Tucumán, Santa Fe y Ciudad de Buenos Aires. La brecha entre la tasa general y la tasa específica confirma la extrema vulnerabilidad de las mujeres travestis y trans y la necesidad de respuestas especializadas.</w:t>
      </w:r>
    </w:p>
    <w:p w:rsidR="00000000" w:rsidDel="00000000" w:rsidP="00000000" w:rsidRDefault="00000000" w:rsidRPr="00000000" w14:paraId="0000002B">
      <w:pPr>
        <w:spacing w:after="200" w:before="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76% de las causas judiciales de femicidio directo en 2022, el 75% en 2023 y el 77% en 2024 se dieron en situaciones domésticas y la vivienda concentra la mayoría de los hechos. Respecto del perfil de los agresores, el vínculo predominante con la víctima fue sexo–afectivo. Dentro de ellos, en 2022 se registraron 18 agresores pertenecientes a fuerzas de seguridad (8 de policías provinciales, 5 de fuerzas federales, 2 de las Fuerzas Armadas y 3 de seguridad privada), de los cuales la mayoría utilizó armas reglamentarias. </w:t>
      </w:r>
    </w:p>
    <w:p w:rsidR="00000000" w:rsidDel="00000000" w:rsidP="00000000" w:rsidRDefault="00000000" w:rsidRPr="00000000" w14:paraId="0000002C">
      <w:pPr>
        <w:spacing w:after="200" w:before="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2023 al menos 17 de los agresores (6,5%) integraban fuerzas de seguridad y casi 4 de cada 10 vínculos presentaban antecedentes de violencia. En 2024 hubo una cifra similar de agresores vinculados a fuerzas de seguridad,</w:t>
      </w:r>
      <w:r w:rsidDel="00000000" w:rsidR="00000000" w:rsidRPr="00000000">
        <w:rPr>
          <w:rFonts w:ascii="Times New Roman" w:cs="Times New Roman" w:eastAsia="Times New Roman" w:hAnsi="Times New Roman"/>
          <w:sz w:val="24"/>
          <w:szCs w:val="24"/>
          <w:rtl w:val="0"/>
        </w:rPr>
        <w:t xml:space="preserve"> lo que evidencia la necesidad de reforzar los mecanismos de control y prevención en este sector y restringir el acceso a armas en el hogar</w:t>
      </w:r>
      <w:r w:rsidDel="00000000" w:rsidR="00000000" w:rsidRPr="00000000">
        <w:rPr>
          <w:rFonts w:ascii="Times New Roman" w:cs="Times New Roman" w:eastAsia="Times New Roman" w:hAnsi="Times New Roman"/>
          <w:sz w:val="24"/>
          <w:szCs w:val="24"/>
          <w:vertAlign w:val="superscript"/>
        </w:rPr>
        <w:footnoteReference w:customMarkFollows="0" w:id="48"/>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Pese a que Argentina cuenta desde 2015 con una ley modelo que creó la Agencia Nacional de Materiales Controlados (ANMaC), mediante el Decreto 445/2025</w:t>
      </w:r>
      <w:r w:rsidDel="00000000" w:rsidR="00000000" w:rsidRPr="00000000">
        <w:rPr>
          <w:rFonts w:ascii="Times New Roman" w:cs="Times New Roman" w:eastAsia="Times New Roman" w:hAnsi="Times New Roman"/>
          <w:sz w:val="24"/>
          <w:szCs w:val="24"/>
          <w:vertAlign w:val="superscript"/>
        </w:rPr>
        <w:footnoteReference w:customMarkFollows="0" w:id="49"/>
      </w:r>
      <w:r w:rsidDel="00000000" w:rsidR="00000000" w:rsidRPr="00000000">
        <w:rPr>
          <w:rFonts w:ascii="Times New Roman" w:cs="Times New Roman" w:eastAsia="Times New Roman" w:hAnsi="Times New Roman"/>
          <w:sz w:val="24"/>
          <w:szCs w:val="24"/>
          <w:rtl w:val="0"/>
        </w:rPr>
        <w:t xml:space="preserve">, el gobierno modificó la ley de creación de la ANMaC, eliminó sus funciones de prevención y control y avanzó hacia una desregulación de facto que retrotrae el modelo al del antiguo Registro Nacional de Armas.</w:t>
      </w:r>
      <w:r w:rsidDel="00000000" w:rsidR="00000000" w:rsidRPr="00000000">
        <w:rPr>
          <w:rFonts w:ascii="Times New Roman" w:cs="Times New Roman" w:eastAsia="Times New Roman" w:hAnsi="Times New Roman"/>
          <w:sz w:val="24"/>
          <w:szCs w:val="24"/>
          <w:vertAlign w:val="superscript"/>
        </w:rPr>
        <w:footnoteReference w:customMarkFollows="0" w:id="50"/>
      </w:r>
      <w:r w:rsidDel="00000000" w:rsidR="00000000" w:rsidRPr="00000000">
        <w:rPr>
          <w:rtl w:val="0"/>
        </w:rPr>
      </w:r>
    </w:p>
    <w:p w:rsidR="00000000" w:rsidDel="00000000" w:rsidP="00000000" w:rsidRDefault="00000000" w:rsidRPr="00000000" w14:paraId="0000002D">
      <w:pPr>
        <w:spacing w:after="200" w:before="0" w:lineRule="auto"/>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Un aspecto crítico son las condiciones de interseccionalidad que aumentan las vulnerabilidades frente a la violencia. En 2022, el 27% de las víctimas presentaban al menos una condición de este tipo (migración, consumo problemático de sustancias, problemas de salud mental, discapacidad, embarazo, situación de prostitución, situación de calle y pertenencia a pueblos originarios). En 2023 y 2024 este indicador ascendió al 33%.</w:t>
      </w:r>
      <w:r w:rsidDel="00000000" w:rsidR="00000000" w:rsidRPr="00000000">
        <w:rPr>
          <w:rFonts w:ascii="Times New Roman" w:cs="Times New Roman" w:eastAsia="Times New Roman" w:hAnsi="Times New Roman"/>
          <w:sz w:val="24"/>
          <w:szCs w:val="24"/>
          <w:vertAlign w:val="superscript"/>
        </w:rPr>
        <w:footnoteReference w:customMarkFollows="0" w:id="51"/>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highlight w:val="white"/>
          <w:rtl w:val="0"/>
        </w:rPr>
        <w:t xml:space="preserve">Existen casos particulares que ejemplifican con crudeza la situación de desamparo en que viven algunas poblaciones. La Fundación MXM ha denunciado graves violaciones de derechos humanos en el Dispositivo de Cuidado de las Infancias “Santa María Goretti” de Tucumán, incluido el suicidio de una adolescente trans con el arma reglamentaria policial dentro de la institución, y actualmente interviene como querellante para impulsar la investigación de responsabilidades y la elaboración de un protocolo interinstitucional de cuidado alternativo para NNyA institucionalizados.</w:t>
      </w:r>
      <w:r w:rsidDel="00000000" w:rsidR="00000000" w:rsidRPr="00000000">
        <w:rPr>
          <w:rFonts w:ascii="Times New Roman" w:cs="Times New Roman" w:eastAsia="Times New Roman" w:hAnsi="Times New Roman"/>
          <w:sz w:val="24"/>
          <w:szCs w:val="24"/>
          <w:highlight w:val="white"/>
          <w:vertAlign w:val="superscript"/>
        </w:rPr>
        <w:footnoteReference w:customMarkFollows="0" w:id="52"/>
      </w:r>
      <w:r w:rsidDel="00000000" w:rsidR="00000000" w:rsidRPr="00000000">
        <w:rPr>
          <w:rtl w:val="0"/>
        </w:rPr>
      </w:r>
    </w:p>
    <w:p w:rsidR="00000000" w:rsidDel="00000000" w:rsidP="00000000" w:rsidRDefault="00000000" w:rsidRPr="00000000" w14:paraId="0000002E">
      <w:pPr>
        <w:spacing w:after="2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También se han relevado cifras crecientes de femicidios en contexto de criminalidad organizada.</w:t>
      </w:r>
      <w:r w:rsidDel="00000000" w:rsidR="00000000" w:rsidRPr="00000000">
        <w:rPr>
          <w:rFonts w:ascii="Times New Roman" w:cs="Times New Roman" w:eastAsia="Times New Roman" w:hAnsi="Times New Roman"/>
          <w:sz w:val="24"/>
          <w:szCs w:val="24"/>
          <w:highlight w:val="white"/>
          <w:rtl w:val="0"/>
        </w:rPr>
        <w:t xml:space="preserve"> Entre 2020 y 2025 se registraron 196 feminicidios relacionados con contextos de crimen organizado en todo el país y 128 de ellos ocurrieron en la provincia de Santa Fe, la mayoría en la zona metropolitana de Rosario</w:t>
      </w:r>
      <w:r w:rsidDel="00000000" w:rsidR="00000000" w:rsidRPr="00000000">
        <w:rPr>
          <w:rFonts w:ascii="Times New Roman" w:cs="Times New Roman" w:eastAsia="Times New Roman" w:hAnsi="Times New Roman"/>
          <w:sz w:val="24"/>
          <w:szCs w:val="24"/>
          <w:highlight w:val="white"/>
          <w:vertAlign w:val="superscript"/>
        </w:rPr>
        <w:footnoteReference w:customMarkFollows="0" w:id="53"/>
      </w:r>
      <w:r w:rsidDel="00000000" w:rsidR="00000000" w:rsidRPr="00000000">
        <w:rPr>
          <w:rFonts w:ascii="Times New Roman" w:cs="Times New Roman" w:eastAsia="Times New Roman" w:hAnsi="Times New Roman"/>
          <w:sz w:val="24"/>
          <w:szCs w:val="24"/>
          <w:highlight w:val="white"/>
          <w:rtl w:val="0"/>
        </w:rPr>
        <w:t xml:space="preserve">.</w:t>
      </w:r>
      <w:r w:rsidDel="00000000" w:rsidR="00000000" w:rsidRPr="00000000">
        <w:rPr>
          <w:rtl w:val="0"/>
        </w:rPr>
      </w:r>
    </w:p>
    <w:p w:rsidR="00000000" w:rsidDel="00000000" w:rsidP="00000000" w:rsidRDefault="00000000" w:rsidRPr="00000000" w14:paraId="0000002F">
      <w:pPr>
        <w:spacing w:after="200" w:before="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 respecto a otros tipos y modalidades de violencia, la única encuesta oficial realizada a nivel nacional es de 2022</w:t>
      </w:r>
      <w:r w:rsidDel="00000000" w:rsidR="00000000" w:rsidRPr="00000000">
        <w:rPr>
          <w:rFonts w:ascii="Times New Roman" w:cs="Times New Roman" w:eastAsia="Times New Roman" w:hAnsi="Times New Roman"/>
          <w:sz w:val="24"/>
          <w:szCs w:val="24"/>
          <w:vertAlign w:val="superscript"/>
        </w:rPr>
        <w:footnoteReference w:customMarkFollows="0" w:id="54"/>
      </w:r>
      <w:r w:rsidDel="00000000" w:rsidR="00000000" w:rsidRPr="00000000">
        <w:rPr>
          <w:rFonts w:ascii="Times New Roman" w:cs="Times New Roman" w:eastAsia="Times New Roman" w:hAnsi="Times New Roman"/>
          <w:sz w:val="24"/>
          <w:szCs w:val="24"/>
          <w:rtl w:val="0"/>
        </w:rPr>
        <w:t xml:space="preserve"> y evidencia que el 45% de las mujeres sufrió violencia doméstica pero solo 1 de cada 4 buscó ayuda o denunció. El tipo de violencia que se reporta como más frecuente es la psicológica (42%), mientras que el 23% de las mujeres indica haber vivido violencia económica y patrimonial, el 23% violencia física y una proporción menor (18%) declara situaciones de violencia sexual por parte de su pareja actual o expareja.</w:t>
      </w:r>
    </w:p>
    <w:p w:rsidR="00000000" w:rsidDel="00000000" w:rsidP="00000000" w:rsidRDefault="00000000" w:rsidRPr="00000000" w14:paraId="00000030">
      <w:pPr>
        <w:spacing w:after="200" w:before="0" w:lineRule="auto"/>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w:t>
      </w:r>
      <w:r w:rsidDel="00000000" w:rsidR="00000000" w:rsidRPr="00000000">
        <w:rPr>
          <w:rFonts w:ascii="Times New Roman" w:cs="Times New Roman" w:eastAsia="Times New Roman" w:hAnsi="Times New Roman"/>
          <w:sz w:val="24"/>
          <w:szCs w:val="24"/>
          <w:highlight w:val="white"/>
          <w:rtl w:val="0"/>
        </w:rPr>
        <w:t xml:space="preserve">a violencia digital se ha consolidado como una de las formas más extendidas que afecta de forma desproporcionada a mujeres y diversidades. 1 de cada 3 mujeres ha sufrido violencia en redes en Argentina</w:t>
      </w:r>
      <w:r w:rsidDel="00000000" w:rsidR="00000000" w:rsidRPr="00000000">
        <w:rPr>
          <w:rFonts w:ascii="Times New Roman" w:cs="Times New Roman" w:eastAsia="Times New Roman" w:hAnsi="Times New Roman"/>
          <w:sz w:val="24"/>
          <w:szCs w:val="24"/>
          <w:highlight w:val="white"/>
          <w:vertAlign w:val="superscript"/>
        </w:rPr>
        <w:footnoteReference w:customMarkFollows="0" w:id="55"/>
      </w:r>
      <w:r w:rsidDel="00000000" w:rsidR="00000000" w:rsidRPr="00000000">
        <w:rPr>
          <w:rFonts w:ascii="Times New Roman" w:cs="Times New Roman" w:eastAsia="Times New Roman" w:hAnsi="Times New Roman"/>
          <w:sz w:val="24"/>
          <w:szCs w:val="24"/>
          <w:highlight w:val="white"/>
          <w:rtl w:val="0"/>
        </w:rPr>
        <w:t xml:space="preserve">, 9 de cada 10 deepfakes online son imágenes pornográficas no consentidas de mujeres</w:t>
      </w:r>
      <w:r w:rsidDel="00000000" w:rsidR="00000000" w:rsidRPr="00000000">
        <w:rPr>
          <w:rFonts w:ascii="Times New Roman" w:cs="Times New Roman" w:eastAsia="Times New Roman" w:hAnsi="Times New Roman"/>
          <w:sz w:val="24"/>
          <w:szCs w:val="24"/>
          <w:highlight w:val="white"/>
          <w:vertAlign w:val="superscript"/>
        </w:rPr>
        <w:footnoteReference w:customMarkFollows="0" w:id="56"/>
      </w:r>
      <w:r w:rsidDel="00000000" w:rsidR="00000000" w:rsidRPr="00000000">
        <w:rPr>
          <w:rFonts w:ascii="Times New Roman" w:cs="Times New Roman" w:eastAsia="Times New Roman" w:hAnsi="Times New Roman"/>
          <w:sz w:val="24"/>
          <w:szCs w:val="24"/>
          <w:highlight w:val="white"/>
          <w:rtl w:val="0"/>
        </w:rPr>
        <w:t xml:space="preserve"> y más de la mitad de las niñas y jóvenes del mundo sufrió acoso o abuso en línea.</w:t>
      </w:r>
      <w:r w:rsidDel="00000000" w:rsidR="00000000" w:rsidRPr="00000000">
        <w:rPr>
          <w:rFonts w:ascii="Times New Roman" w:cs="Times New Roman" w:eastAsia="Times New Roman" w:hAnsi="Times New Roman"/>
          <w:sz w:val="24"/>
          <w:szCs w:val="24"/>
          <w:highlight w:val="white"/>
          <w:vertAlign w:val="superscript"/>
        </w:rPr>
        <w:footnoteReference w:customMarkFollows="0" w:id="57"/>
      </w:r>
      <w:r w:rsidDel="00000000" w:rsidR="00000000" w:rsidRPr="00000000">
        <w:rPr>
          <w:rFonts w:ascii="Times New Roman" w:cs="Times New Roman" w:eastAsia="Times New Roman" w:hAnsi="Times New Roman"/>
          <w:sz w:val="24"/>
          <w:szCs w:val="24"/>
          <w:highlight w:val="white"/>
          <w:rtl w:val="0"/>
        </w:rPr>
        <w:t xml:space="preserve"> En el caso de las mujeres periodistas, voceras públicas y defensoras de derechos humanos, la situación es aún más crítica: 6 de cada 10 periodistas mujeres sufrieron violencia de género digital en Argentina en los últimos seis años. De ellas, un 85,6% fue víctima de hostigamiento o trolleo y casi la mitad de acoso sexual o amenazas de violencia sexual.</w:t>
      </w:r>
      <w:r w:rsidDel="00000000" w:rsidR="00000000" w:rsidRPr="00000000">
        <w:rPr>
          <w:rFonts w:ascii="Times New Roman" w:cs="Times New Roman" w:eastAsia="Times New Roman" w:hAnsi="Times New Roman"/>
          <w:sz w:val="24"/>
          <w:szCs w:val="24"/>
          <w:highlight w:val="white"/>
          <w:vertAlign w:val="superscript"/>
        </w:rPr>
        <w:footnoteReference w:customMarkFollows="0" w:id="58"/>
      </w:r>
      <w:r w:rsidDel="00000000" w:rsidR="00000000" w:rsidRPr="00000000">
        <w:rPr>
          <w:rFonts w:ascii="Times New Roman" w:cs="Times New Roman" w:eastAsia="Times New Roman" w:hAnsi="Times New Roman"/>
          <w:sz w:val="24"/>
          <w:szCs w:val="24"/>
          <w:highlight w:val="white"/>
          <w:rtl w:val="0"/>
        </w:rPr>
        <w:t xml:space="preserve"> Las agresiones se desencadenan especialmente tras coberturas sobre aborto, femicidios y violencia de género, derechos humanos, política y educación sexual integral, lo que evidencia ataques dirigidos a silenciar voces que abordan agendas centrales de derechos humanos. Las consecuencias son severas: la mitad se autocensura, el 89% modifica su práctica profesional y se registran afectaciones graves a la salud mental. Muchas de estas agresiones provienen de representantes del PEN en un contexto de intolerancia estatal hacia la crítica y </w:t>
      </w:r>
      <w:r w:rsidDel="00000000" w:rsidR="00000000" w:rsidRPr="00000000">
        <w:rPr>
          <w:rFonts w:ascii="Times New Roman" w:cs="Times New Roman" w:eastAsia="Times New Roman" w:hAnsi="Times New Roman"/>
          <w:sz w:val="24"/>
          <w:szCs w:val="24"/>
          <w:highlight w:val="white"/>
          <w:rtl w:val="0"/>
        </w:rPr>
        <w:t xml:space="preserve">estigmatización y hostigamiento a la prensa</w:t>
      </w:r>
      <w:r w:rsidDel="00000000" w:rsidR="00000000" w:rsidRPr="00000000">
        <w:rPr>
          <w:rFonts w:ascii="Times New Roman" w:cs="Times New Roman" w:eastAsia="Times New Roman" w:hAnsi="Times New Roman"/>
          <w:sz w:val="24"/>
          <w:szCs w:val="24"/>
          <w:highlight w:val="white"/>
          <w:vertAlign w:val="superscript"/>
        </w:rPr>
        <w:footnoteReference w:customMarkFollows="0" w:id="59"/>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31">
      <w:pPr>
        <w:spacing w:after="200" w:before="0" w:lineRule="auto"/>
        <w:ind w:left="0" w:firstLine="566.9291338582677"/>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4.2. Sistemas de registro, monitoreo y publicación de información.</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Aunque el Estado reporta avances en transparencia mediante el Sistema Integrado de Casos de Violencia por Motivos de Género (SICVG)</w:t>
      </w:r>
      <w:r w:rsidDel="00000000" w:rsidR="00000000" w:rsidRPr="00000000">
        <w:rPr>
          <w:rFonts w:ascii="Times New Roman" w:cs="Times New Roman" w:eastAsia="Times New Roman" w:hAnsi="Times New Roman"/>
          <w:sz w:val="24"/>
          <w:szCs w:val="24"/>
          <w:vertAlign w:val="superscript"/>
        </w:rPr>
        <w:footnoteReference w:customMarkFollows="0" w:id="60"/>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d</w:t>
      </w:r>
      <w:r w:rsidDel="00000000" w:rsidR="00000000" w:rsidRPr="00000000">
        <w:rPr>
          <w:rFonts w:ascii="Times New Roman" w:cs="Times New Roman" w:eastAsia="Times New Roman" w:hAnsi="Times New Roman"/>
          <w:sz w:val="24"/>
          <w:szCs w:val="24"/>
          <w:rtl w:val="0"/>
        </w:rPr>
        <w:t xml:space="preserve">esde 2024 se dejó de publicar información vinculada con este sistema, que integraba denuncias y consultas de áreas provinciales y municipales, organismos judiciales, dispositivos territoriales y programas nacionales. Este sistema permitió contar con un registro unificado y oficial de casos de violencia de género a nivel nacional. Tras la disolución del MMGyD, el equipo técnico se redujo drásticamente (de más de 20 a 2 profesionales) y la cantidad de personas asistidas registradas cayó un 89,6% y un 96% para personas LGBTIQ+.</w:t>
      </w:r>
      <w:r w:rsidDel="00000000" w:rsidR="00000000" w:rsidRPr="00000000">
        <w:rPr>
          <w:rFonts w:ascii="Times New Roman" w:cs="Times New Roman" w:eastAsia="Times New Roman" w:hAnsi="Times New Roman"/>
          <w:sz w:val="24"/>
          <w:szCs w:val="24"/>
          <w:rtl w:val="0"/>
        </w:rPr>
        <w:t xml:space="preserve"> Esta situación agrava las brechas de cobertura, actualización y cruce de información que impiden contar con un sistema nacional robusto y sistemático para dimensionar el alcance real de la violencia de género.</w:t>
      </w:r>
      <w:r w:rsidDel="00000000" w:rsidR="00000000" w:rsidRPr="00000000">
        <w:rPr>
          <w:rFonts w:ascii="Times New Roman" w:cs="Times New Roman" w:eastAsia="Times New Roman" w:hAnsi="Times New Roman"/>
          <w:sz w:val="24"/>
          <w:szCs w:val="24"/>
          <w:vertAlign w:val="superscript"/>
        </w:rPr>
        <w:footnoteReference w:customMarkFollows="0" w:id="61"/>
      </w:r>
      <w:r w:rsidDel="00000000" w:rsidR="00000000" w:rsidRPr="00000000">
        <w:rPr>
          <w:rtl w:val="0"/>
        </w:rPr>
      </w:r>
    </w:p>
    <w:p w:rsidR="00000000" w:rsidDel="00000000" w:rsidP="00000000" w:rsidRDefault="00000000" w:rsidRPr="00000000" w14:paraId="00000033">
      <w:pPr>
        <w:spacing w:after="2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Tampoco existen encuestas de prevalencia periódicas, sólo se cuenta con la encuesta realizada por el MMGyD en 2022, que alcanzó a 12 provincias.</w:t>
      </w:r>
      <w:r w:rsidDel="00000000" w:rsidR="00000000" w:rsidRPr="00000000">
        <w:rPr>
          <w:rFonts w:ascii="Times New Roman" w:cs="Times New Roman" w:eastAsia="Times New Roman" w:hAnsi="Times New Roman"/>
          <w:sz w:val="24"/>
          <w:szCs w:val="24"/>
          <w:vertAlign w:val="superscript"/>
        </w:rPr>
        <w:footnoteReference w:customMarkFollows="0" w:id="62"/>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Se destaca el caso de la Ciudad de Buenos Aires que realizó encuestas de percepción</w:t>
      </w:r>
      <w:r w:rsidDel="00000000" w:rsidR="00000000" w:rsidRPr="00000000">
        <w:rPr>
          <w:rFonts w:ascii="Times New Roman" w:cs="Times New Roman" w:eastAsia="Times New Roman" w:hAnsi="Times New Roman"/>
          <w:sz w:val="24"/>
          <w:szCs w:val="24"/>
          <w:rtl w:val="0"/>
        </w:rPr>
        <w:t xml:space="preserve"> e incidencia de violencia en 2018</w:t>
      </w:r>
      <w:r w:rsidDel="00000000" w:rsidR="00000000" w:rsidRPr="00000000">
        <w:rPr>
          <w:rFonts w:ascii="Times New Roman" w:cs="Times New Roman" w:eastAsia="Times New Roman" w:hAnsi="Times New Roman"/>
          <w:sz w:val="24"/>
          <w:szCs w:val="24"/>
          <w:vertAlign w:val="superscript"/>
        </w:rPr>
        <w:footnoteReference w:customMarkFollows="0" w:id="63"/>
      </w:r>
      <w:r w:rsidDel="00000000" w:rsidR="00000000" w:rsidRPr="00000000">
        <w:rPr>
          <w:rFonts w:ascii="Times New Roman" w:cs="Times New Roman" w:eastAsia="Times New Roman" w:hAnsi="Times New Roman"/>
          <w:sz w:val="24"/>
          <w:szCs w:val="24"/>
          <w:rtl w:val="0"/>
        </w:rPr>
        <w:t xml:space="preserve"> y 2023</w:t>
      </w:r>
      <w:r w:rsidDel="00000000" w:rsidR="00000000" w:rsidRPr="00000000">
        <w:rPr>
          <w:rFonts w:ascii="Times New Roman" w:cs="Times New Roman" w:eastAsia="Times New Roman" w:hAnsi="Times New Roman"/>
          <w:sz w:val="24"/>
          <w:szCs w:val="24"/>
          <w:vertAlign w:val="superscript"/>
        </w:rPr>
        <w:footnoteReference w:customMarkFollows="0" w:id="64"/>
      </w:r>
      <w:r w:rsidDel="00000000" w:rsidR="00000000" w:rsidRPr="00000000">
        <w:rPr>
          <w:rFonts w:ascii="Times New Roman" w:cs="Times New Roman" w:eastAsia="Times New Roman" w:hAnsi="Times New Roman"/>
          <w:sz w:val="24"/>
          <w:szCs w:val="24"/>
          <w:rtl w:val="0"/>
        </w:rPr>
        <w:t xml:space="preserve">, fundamentales para comparar la prevalencia real con las denuncias registradas y caracterizar las principales barreras de acceso a la justicia.</w:t>
      </w:r>
    </w:p>
    <w:p w:rsidR="00000000" w:rsidDel="00000000" w:rsidP="00000000" w:rsidRDefault="00000000" w:rsidRPr="00000000" w14:paraId="00000034">
      <w:pPr>
        <w:spacing w:after="200" w:before="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Desde diciembre de 2023, el PEN también dejó de publicar información sobre Presupuesto con Perspectiva de Género (PPG)</w:t>
      </w:r>
      <w:r w:rsidDel="00000000" w:rsidR="00000000" w:rsidRPr="00000000">
        <w:rPr>
          <w:rFonts w:ascii="Times New Roman" w:cs="Times New Roman" w:eastAsia="Times New Roman" w:hAnsi="Times New Roman"/>
          <w:sz w:val="24"/>
          <w:szCs w:val="24"/>
          <w:vertAlign w:val="superscript"/>
        </w:rPr>
        <w:footnoteReference w:customMarkFollows="0" w:id="65"/>
      </w:r>
      <w:r w:rsidDel="00000000" w:rsidR="00000000" w:rsidRPr="00000000">
        <w:rPr>
          <w:rFonts w:ascii="Times New Roman" w:cs="Times New Roman" w:eastAsia="Times New Roman" w:hAnsi="Times New Roman"/>
          <w:sz w:val="24"/>
          <w:szCs w:val="24"/>
          <w:rtl w:val="0"/>
        </w:rPr>
        <w:t xml:space="preserve">, una herramienta creada hace más de 7 años que permitió identificar y monitorear los recursos destinados a reducir desigualdades de género, mejorar y eficientizar el proceso de formulación y control presupuestario.</w:t>
      </w:r>
    </w:p>
    <w:p w:rsidR="00000000" w:rsidDel="00000000" w:rsidP="00000000" w:rsidRDefault="00000000" w:rsidRPr="00000000" w14:paraId="00000035">
      <w:pPr>
        <w:spacing w:after="200" w:before="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el ámbito del Poder Judicial se sostienen sistemas de registro y producción estadística que permiten dimensionar el fenómeno de las violencias de género, monitorear su evolución y dar cumplimiento a compromisos normativos e internacionales. Sin embargo, estos sistemas presentan una gran dispersión en el territorio federal y evidencian algunos problemas para la recopilación de información a nivel provincial.</w:t>
      </w:r>
    </w:p>
    <w:p w:rsidR="00000000" w:rsidDel="00000000" w:rsidP="00000000" w:rsidRDefault="00000000" w:rsidRPr="00000000" w14:paraId="00000036">
      <w:pPr>
        <w:spacing w:after="200" w:before="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OM-CSJN elabora desde 2015 el </w:t>
      </w:r>
      <w:r w:rsidDel="00000000" w:rsidR="00000000" w:rsidRPr="00000000">
        <w:rPr>
          <w:rFonts w:ascii="Times New Roman" w:cs="Times New Roman" w:eastAsia="Times New Roman" w:hAnsi="Times New Roman"/>
          <w:sz w:val="24"/>
          <w:szCs w:val="24"/>
          <w:rtl w:val="0"/>
        </w:rPr>
        <w:t xml:space="preserve">RNFJA</w:t>
      </w:r>
      <w:r w:rsidDel="00000000" w:rsidR="00000000" w:rsidRPr="00000000">
        <w:rPr>
          <w:rFonts w:ascii="Times New Roman" w:cs="Times New Roman" w:eastAsia="Times New Roman" w:hAnsi="Times New Roman"/>
          <w:sz w:val="24"/>
          <w:szCs w:val="24"/>
          <w:rtl w:val="0"/>
        </w:rPr>
        <w:t xml:space="preserve"> antes citado. La Corte publica anualmente informes, documentos del Observatorio de causas y sentencias, así como bases de datos abiertos sobre femicidio</w:t>
      </w:r>
      <w:r w:rsidDel="00000000" w:rsidR="00000000" w:rsidRPr="00000000">
        <w:rPr>
          <w:rFonts w:ascii="Times New Roman" w:cs="Times New Roman" w:eastAsia="Times New Roman" w:hAnsi="Times New Roman"/>
          <w:sz w:val="24"/>
          <w:szCs w:val="24"/>
          <w:rtl w:val="0"/>
        </w:rPr>
        <w:t xml:space="preserve">. Asimismo, la Junta Federal de Cortes y Superiores Tribunales, en conjunto con la OM trabajan desde 2022 para construir un sistema federal de indicadores que permita responder a las solicitudes del MESECVI.</w:t>
      </w:r>
      <w:r w:rsidDel="00000000" w:rsidR="00000000" w:rsidRPr="00000000">
        <w:rPr>
          <w:rFonts w:ascii="Times New Roman" w:cs="Times New Roman" w:eastAsia="Times New Roman" w:hAnsi="Times New Roman"/>
          <w:sz w:val="24"/>
          <w:szCs w:val="24"/>
          <w:vertAlign w:val="superscript"/>
        </w:rPr>
        <w:footnoteReference w:customMarkFollows="0" w:id="66"/>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 nivel subnacional, la OM ha firmado convenios con todos los Tribunales Superiores de las provincias para replicar el esquema de la Oficina de Violencia Doméstica (OVD) de la CSJN, un modelo de recepción especializada, abordaje interdisciplinario, evaluación inicial y derivación de casos, acompañado por estándares comunes de registro y sistemas de información.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De esta manera, cada provincia aporta sus registros a los informes integrados nacionales.</w:t>
      </w:r>
    </w:p>
    <w:p w:rsidR="00000000" w:rsidDel="00000000" w:rsidP="00000000" w:rsidRDefault="00000000" w:rsidRPr="00000000" w14:paraId="00000037">
      <w:pPr>
        <w:spacing w:after="200" w:before="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Retrocesos en política exterior </w:t>
      </w:r>
      <w:r w:rsidDel="00000000" w:rsidR="00000000" w:rsidRPr="00000000">
        <w:rPr>
          <w:rtl w:val="0"/>
        </w:rPr>
      </w:r>
    </w:p>
    <w:p w:rsidR="00000000" w:rsidDel="00000000" w:rsidP="00000000" w:rsidRDefault="00000000" w:rsidRPr="00000000" w14:paraId="00000039">
      <w:pPr>
        <w:spacing w:after="2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los últimos dos años el Estado ha deslegitimado y desconocido la trayectoria histórica que tenía el país en materia de género y derechos humanos ante la comunidad internacional y los organismos multilaterales</w:t>
      </w:r>
      <w:r w:rsidDel="00000000" w:rsidR="00000000" w:rsidRPr="00000000">
        <w:rPr>
          <w:rFonts w:ascii="Times New Roman" w:cs="Times New Roman" w:eastAsia="Times New Roman" w:hAnsi="Times New Roman"/>
          <w:sz w:val="24"/>
          <w:szCs w:val="24"/>
          <w:rtl w:val="0"/>
        </w:rPr>
        <w:t xml:space="preserve">. Esta situación se reflejó tanto en ataques discursivos a las políticas de género y discursos de odio en foros internacionales</w:t>
      </w:r>
      <w:r w:rsidDel="00000000" w:rsidR="00000000" w:rsidRPr="00000000">
        <w:rPr>
          <w:rFonts w:ascii="Times New Roman" w:cs="Times New Roman" w:eastAsia="Times New Roman" w:hAnsi="Times New Roman"/>
          <w:sz w:val="24"/>
          <w:szCs w:val="24"/>
          <w:vertAlign w:val="superscript"/>
        </w:rPr>
        <w:footnoteReference w:customMarkFollows="0" w:id="67"/>
      </w:r>
      <w:r w:rsidDel="00000000" w:rsidR="00000000" w:rsidRPr="00000000">
        <w:rPr>
          <w:rFonts w:ascii="Times New Roman" w:cs="Times New Roman" w:eastAsia="Times New Roman" w:hAnsi="Times New Roman"/>
          <w:sz w:val="24"/>
          <w:szCs w:val="24"/>
          <w:rtl w:val="0"/>
        </w:rPr>
        <w:t xml:space="preserve"> como en el giro regresivo que se ha impulsado en la política exterior de derechos humanos, particularmente en lo que respecta a los derechos de las mujeres y de las personas LGBTI+. </w:t>
      </w:r>
    </w:p>
    <w:p w:rsidR="00000000" w:rsidDel="00000000" w:rsidP="00000000" w:rsidRDefault="00000000" w:rsidRPr="00000000" w14:paraId="0000003A">
      <w:pPr>
        <w:spacing w:after="2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Argentina se retiró de espacios clave como la Conferencia de Estados Parte del MESECVI en 2024 y 2025</w:t>
      </w:r>
      <w:r w:rsidDel="00000000" w:rsidR="00000000" w:rsidRPr="00000000">
        <w:rPr>
          <w:rFonts w:ascii="Times New Roman" w:cs="Times New Roman" w:eastAsia="Times New Roman" w:hAnsi="Times New Roman"/>
          <w:sz w:val="24"/>
          <w:szCs w:val="24"/>
          <w:vertAlign w:val="superscript"/>
        </w:rPr>
        <w:footnoteReference w:customMarkFollows="0" w:id="68"/>
      </w:r>
      <w:r w:rsidDel="00000000" w:rsidR="00000000" w:rsidRPr="00000000">
        <w:rPr>
          <w:rFonts w:ascii="Times New Roman" w:cs="Times New Roman" w:eastAsia="Times New Roman" w:hAnsi="Times New Roman"/>
          <w:sz w:val="24"/>
          <w:szCs w:val="24"/>
          <w:rtl w:val="0"/>
        </w:rPr>
        <w:t xml:space="preserve">, y de la evaluación ante el Comité de los Derechos del Niño, que debió limitarse por falta de participación estatal presencial.</w:t>
      </w:r>
      <w:r w:rsidDel="00000000" w:rsidR="00000000" w:rsidRPr="00000000">
        <w:rPr>
          <w:rFonts w:ascii="Times New Roman" w:cs="Times New Roman" w:eastAsia="Times New Roman" w:hAnsi="Times New Roman"/>
          <w:sz w:val="24"/>
          <w:szCs w:val="24"/>
          <w:vertAlign w:val="superscript"/>
        </w:rPr>
        <w:footnoteReference w:customMarkFollows="0" w:id="69"/>
      </w:r>
      <w:r w:rsidDel="00000000" w:rsidR="00000000" w:rsidRPr="00000000">
        <w:rPr>
          <w:rFonts w:ascii="Times New Roman" w:cs="Times New Roman" w:eastAsia="Times New Roman" w:hAnsi="Times New Roman"/>
          <w:sz w:val="24"/>
          <w:szCs w:val="24"/>
          <w:rtl w:val="0"/>
        </w:rPr>
        <w:t xml:space="preserve"> Argentina solicitó el retiro de la Opinión Consultiva que había impulsado el propio Estado ante la Corte Interamericana sobre el derecho al cuidado.</w:t>
      </w:r>
      <w:r w:rsidDel="00000000" w:rsidR="00000000" w:rsidRPr="00000000">
        <w:rPr>
          <w:rFonts w:ascii="Times New Roman" w:cs="Times New Roman" w:eastAsia="Times New Roman" w:hAnsi="Times New Roman"/>
          <w:sz w:val="24"/>
          <w:szCs w:val="24"/>
          <w:vertAlign w:val="superscript"/>
        </w:rPr>
        <w:footnoteReference w:customMarkFollows="0" w:id="70"/>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B">
      <w:pPr>
        <w:spacing w:after="2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También </w:t>
      </w:r>
      <w:r w:rsidDel="00000000" w:rsidR="00000000" w:rsidRPr="00000000">
        <w:rPr>
          <w:rFonts w:ascii="Times New Roman" w:cs="Times New Roman" w:eastAsia="Times New Roman" w:hAnsi="Times New Roman"/>
          <w:sz w:val="24"/>
          <w:szCs w:val="24"/>
          <w:rtl w:val="0"/>
        </w:rPr>
        <w:t xml:space="preserve">se opuso a términos como “género” o “población LGBT” y se alineó con países que objetan la inclusión de referencias a derechos sexuales y reproductivos.</w:t>
      </w:r>
      <w:r w:rsidDel="00000000" w:rsidR="00000000" w:rsidRPr="00000000">
        <w:rPr>
          <w:rFonts w:ascii="Times New Roman" w:cs="Times New Roman" w:eastAsia="Times New Roman" w:hAnsi="Times New Roman"/>
          <w:sz w:val="24"/>
          <w:szCs w:val="24"/>
          <w:vertAlign w:val="superscript"/>
        </w:rPr>
        <w:footnoteReference w:customMarkFollows="0" w:id="71"/>
      </w:r>
      <w:r w:rsidDel="00000000" w:rsidR="00000000" w:rsidRPr="00000000">
        <w:rPr>
          <w:rFonts w:ascii="Times New Roman" w:cs="Times New Roman" w:eastAsia="Times New Roman" w:hAnsi="Times New Roman"/>
          <w:sz w:val="24"/>
          <w:szCs w:val="24"/>
          <w:rtl w:val="0"/>
        </w:rPr>
        <w:t xml:space="preserve"> Fue el único país que se opuso a la Declaración del G20 sobre igualdad de género y empoderamiento de las mujeres</w:t>
      </w:r>
      <w:r w:rsidDel="00000000" w:rsidR="00000000" w:rsidRPr="00000000">
        <w:rPr>
          <w:rFonts w:ascii="Times New Roman" w:cs="Times New Roman" w:eastAsia="Times New Roman" w:hAnsi="Times New Roman"/>
          <w:sz w:val="24"/>
          <w:szCs w:val="24"/>
          <w:vertAlign w:val="superscript"/>
        </w:rPr>
        <w:footnoteReference w:customMarkFollows="0" w:id="72"/>
      </w:r>
      <w:r w:rsidDel="00000000" w:rsidR="00000000" w:rsidRPr="00000000">
        <w:rPr>
          <w:rFonts w:ascii="Times New Roman" w:cs="Times New Roman" w:eastAsia="Times New Roman" w:hAnsi="Times New Roman"/>
          <w:sz w:val="24"/>
          <w:szCs w:val="24"/>
          <w:rtl w:val="0"/>
        </w:rPr>
        <w:t xml:space="preserve">  y </w:t>
      </w:r>
      <w:r w:rsidDel="00000000" w:rsidR="00000000" w:rsidRPr="00000000">
        <w:rPr>
          <w:rFonts w:ascii="Times New Roman" w:cs="Times New Roman" w:eastAsia="Times New Roman" w:hAnsi="Times New Roman"/>
          <w:sz w:val="24"/>
          <w:szCs w:val="24"/>
          <w:rtl w:val="0"/>
        </w:rPr>
        <w:t xml:space="preserve">el único Estado de 184 en votar en contra de una resolución que llama a combatir la violencia contra mujeres y niñas en entornos digitales, debiendo luego modificar su voto.</w:t>
      </w:r>
      <w:r w:rsidDel="00000000" w:rsidR="00000000" w:rsidRPr="00000000">
        <w:rPr>
          <w:rFonts w:ascii="Times New Roman" w:cs="Times New Roman" w:eastAsia="Times New Roman" w:hAnsi="Times New Roman"/>
          <w:sz w:val="24"/>
          <w:szCs w:val="24"/>
          <w:vertAlign w:val="superscript"/>
        </w:rPr>
        <w:footnoteReference w:customMarkFollows="0" w:id="73"/>
      </w:r>
      <w:r w:rsidDel="00000000" w:rsidR="00000000" w:rsidRPr="00000000">
        <w:rPr>
          <w:rtl w:val="0"/>
        </w:rPr>
      </w:r>
    </w:p>
    <w:p w:rsidR="00000000" w:rsidDel="00000000" w:rsidP="00000000" w:rsidRDefault="00000000" w:rsidRPr="00000000" w14:paraId="0000003C">
      <w:pPr>
        <w:spacing w:after="2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Estos</w:t>
      </w:r>
      <w:r w:rsidDel="00000000" w:rsidR="00000000" w:rsidRPr="00000000">
        <w:rPr>
          <w:rFonts w:ascii="Times New Roman" w:cs="Times New Roman" w:eastAsia="Times New Roman" w:hAnsi="Times New Roman"/>
          <w:sz w:val="24"/>
          <w:szCs w:val="24"/>
          <w:rtl w:val="0"/>
        </w:rPr>
        <w:t xml:space="preserve"> retrocesos han generado preocupación al Comité de Expertas del MESECVI</w:t>
      </w:r>
      <w:r w:rsidDel="00000000" w:rsidR="00000000" w:rsidRPr="00000000">
        <w:rPr>
          <w:rFonts w:ascii="Times New Roman" w:cs="Times New Roman" w:eastAsia="Times New Roman" w:hAnsi="Times New Roman"/>
          <w:sz w:val="24"/>
          <w:szCs w:val="24"/>
          <w:vertAlign w:val="superscript"/>
        </w:rPr>
        <w:footnoteReference w:customMarkFollows="0" w:id="74"/>
      </w:r>
      <w:r w:rsidDel="00000000" w:rsidR="00000000" w:rsidRPr="00000000">
        <w:rPr>
          <w:rFonts w:ascii="Times New Roman" w:cs="Times New Roman" w:eastAsia="Times New Roman" w:hAnsi="Times New Roman"/>
          <w:sz w:val="24"/>
          <w:szCs w:val="24"/>
          <w:highlight w:val="white"/>
          <w:rtl w:val="0"/>
        </w:rPr>
        <w:t xml:space="preserve"> quien </w:t>
      </w:r>
      <w:r w:rsidDel="00000000" w:rsidR="00000000" w:rsidRPr="00000000">
        <w:rPr>
          <w:rFonts w:ascii="Times New Roman" w:cs="Times New Roman" w:eastAsia="Times New Roman" w:hAnsi="Times New Roman"/>
          <w:sz w:val="24"/>
          <w:szCs w:val="24"/>
          <w:rtl w:val="0"/>
        </w:rPr>
        <w:t xml:space="preserve">e</w:t>
      </w:r>
      <w:r w:rsidDel="00000000" w:rsidR="00000000" w:rsidRPr="00000000">
        <w:rPr>
          <w:rFonts w:ascii="Times New Roman" w:cs="Times New Roman" w:eastAsia="Times New Roman" w:hAnsi="Times New Roman"/>
          <w:sz w:val="24"/>
          <w:szCs w:val="24"/>
          <w:rtl w:val="0"/>
        </w:rPr>
        <w:t xml:space="preserve">n conjunto con la Relatora sobre los Derechos de las Mujeres de la CIDH condenaron los ataques contra defensoras de derechos humanos en Argentina y manifestaron preocupación por la falta de garantías de protección a las mujeres.</w:t>
      </w:r>
      <w:r w:rsidDel="00000000" w:rsidR="00000000" w:rsidRPr="00000000">
        <w:rPr>
          <w:rFonts w:ascii="Times New Roman" w:cs="Times New Roman" w:eastAsia="Times New Roman" w:hAnsi="Times New Roman"/>
          <w:sz w:val="24"/>
          <w:szCs w:val="24"/>
          <w:vertAlign w:val="superscript"/>
        </w:rPr>
        <w:footnoteReference w:customMarkFollows="0" w:id="75"/>
      </w:r>
      <w:r w:rsidDel="00000000" w:rsidR="00000000" w:rsidRPr="00000000">
        <w:rPr>
          <w:rtl w:val="0"/>
        </w:rPr>
      </w:r>
    </w:p>
    <w:p w:rsidR="00000000" w:rsidDel="00000000" w:rsidP="00000000" w:rsidRDefault="00000000" w:rsidRPr="00000000" w14:paraId="0000003D">
      <w:pPr>
        <w:spacing w:after="2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este contexto, las organizaciones de la sociedad civil solicitamos al Comité que refuerce la supervisión sobre Argentina, dado que el giro regresivo en política exterior afecta los estándares internos de prevención, protección y acceso a la justicia. Pedimos recomendaciones claras y exigibles, información sobre las decisiones de retiro, voto u objeción en foros internacionales sobre igualdad de género y derechos LGBTI+, y un seguimiento reforzado, incluyendo un informe de medio término, para monitorear el cumplimiento de las obligaciones internacionales del Estado.</w:t>
      </w:r>
    </w:p>
    <w:p w:rsidR="00000000" w:rsidDel="00000000" w:rsidP="00000000" w:rsidRDefault="00000000" w:rsidRPr="00000000" w14:paraId="0000003E">
      <w:pPr>
        <w:spacing w:after="2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numPr>
          <w:ilvl w:val="0"/>
          <w:numId w:val="3"/>
        </w:numPr>
        <w:spacing w:after="200" w:before="0" w:lineRule="auto"/>
        <w:ind w:left="72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Recomendaciones</w:t>
      </w:r>
      <w:r w:rsidDel="00000000" w:rsidR="00000000" w:rsidRPr="00000000">
        <w:rPr>
          <w:rtl w:val="0"/>
        </w:rPr>
      </w:r>
    </w:p>
    <w:p w:rsidR="00000000" w:rsidDel="00000000" w:rsidP="00000000" w:rsidRDefault="00000000" w:rsidRPr="00000000" w14:paraId="00000040">
      <w:pPr>
        <w:spacing w:after="200" w:before="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Sobre la base de los retrocesos que experimentó la Argentina en la agenda de protección frente a las violencias basadas en género y las barreras de acceso a la justicia, sugerimos al Comité considerar las siguientes recomendaciones:</w:t>
      </w:r>
    </w:p>
    <w:p w:rsidR="00000000" w:rsidDel="00000000" w:rsidP="00000000" w:rsidRDefault="00000000" w:rsidRPr="00000000" w14:paraId="00000041">
      <w:pPr>
        <w:numPr>
          <w:ilvl w:val="0"/>
          <w:numId w:val="1"/>
        </w:numPr>
        <w:spacing w:after="200" w:before="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Reafirmar la vigencia y exigibilidad de las normas, políticas públicas y compromisos del Estado en materia de violencia de género.</w:t>
      </w:r>
    </w:p>
    <w:p w:rsidR="00000000" w:rsidDel="00000000" w:rsidP="00000000" w:rsidRDefault="00000000" w:rsidRPr="00000000" w14:paraId="00000042">
      <w:pPr>
        <w:spacing w:after="200" w:before="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Estado nacional debe abstenerse de promover mensajes que niegan la existencia de la violencia por razones de género, reafirmar y fortalecer la vigencia y exigibilidad de las normas, políticas públicas y compromisos internacionales del Estado en ese tema, acompañado de los necesarios recursos humanos, técnicos y financieros para asegurar un piso de igualdad en el acceso a las políticas públicas de prevención, atención y abordaje de las violencias en todo el territorio nacional. </w:t>
      </w:r>
      <w:r w:rsidDel="00000000" w:rsidR="00000000" w:rsidRPr="00000000">
        <w:rPr>
          <w:rtl w:val="0"/>
        </w:rPr>
      </w:r>
    </w:p>
    <w:p w:rsidR="00000000" w:rsidDel="00000000" w:rsidP="00000000" w:rsidRDefault="00000000" w:rsidRPr="00000000" w14:paraId="00000043">
      <w:pPr>
        <w:numPr>
          <w:ilvl w:val="0"/>
          <w:numId w:val="1"/>
        </w:numPr>
        <w:spacing w:after="200" w:before="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Garantizar políticas y dispositivos integrales de atención y prevención de la violencia por razones de género. </w:t>
      </w:r>
      <w:r w:rsidDel="00000000" w:rsidR="00000000" w:rsidRPr="00000000">
        <w:rPr>
          <w:rtl w:val="0"/>
        </w:rPr>
      </w:r>
    </w:p>
    <w:p w:rsidR="00000000" w:rsidDel="00000000" w:rsidP="00000000" w:rsidRDefault="00000000" w:rsidRPr="00000000" w14:paraId="00000044">
      <w:pPr>
        <w:spacing w:after="200" w:before="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Diseñar, financiar y monitorear un Plan Nacional de Acción y programas integrales para todas las formas de violencia de género, asegurando apoyo económico sostenido para las víctimas, patrocinio jurídico gratuito y especializado, acceso a la justicia sin revictimización, y monitoreo efectivo de las medidas de protección. Incluir servicios de salud mental y acceso a vivienda para las víctimas y sus hijas/os. </w:t>
      </w:r>
    </w:p>
    <w:p w:rsidR="00000000" w:rsidDel="00000000" w:rsidP="00000000" w:rsidRDefault="00000000" w:rsidRPr="00000000" w14:paraId="00000045">
      <w:pPr>
        <w:spacing w:after="200" w:before="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Garantizar la accesibilidad de estos dispositivos, con recursos humanos suficientes, estabilidad institucional y coordinación efectiva entre los distintos poderes del Estado y niveles de gobierno.</w:t>
      </w:r>
      <w:r w:rsidDel="00000000" w:rsidR="00000000" w:rsidRPr="00000000">
        <w:rPr>
          <w:rtl w:val="0"/>
        </w:rPr>
      </w:r>
    </w:p>
    <w:p w:rsidR="00000000" w:rsidDel="00000000" w:rsidP="00000000" w:rsidRDefault="00000000" w:rsidRPr="00000000" w14:paraId="00000046">
      <w:pPr>
        <w:numPr>
          <w:ilvl w:val="0"/>
          <w:numId w:val="1"/>
        </w:numPr>
        <w:spacing w:after="200" w:before="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Fortalecer la institucionalidad de género para el abordaje de la violencia de género y el acceso a la justicia.</w:t>
      </w:r>
    </w:p>
    <w:p w:rsidR="00000000" w:rsidDel="00000000" w:rsidP="00000000" w:rsidRDefault="00000000" w:rsidRPr="00000000" w14:paraId="00000047">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Restablecer el organismo rector de la Ley 26.485, consolidar mecanismos de articulación interinstitucional y asignarles recursos humanos, técnicos y financieros suficientes para garantizar un mínimo de protección. Fortalecer su capacidad para promover y supervisar políticas de igualdad de género. </w:t>
      </w:r>
    </w:p>
    <w:p w:rsidR="00000000" w:rsidDel="00000000" w:rsidP="00000000" w:rsidRDefault="00000000" w:rsidRPr="00000000" w14:paraId="00000048">
      <w:pPr>
        <w:widowControl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Garantizar formación continua y obligatoria en perspectiva de género y diversidad para funcionarias/os del poder judicial, fuerzas de seguridad, personal de salud y equipos de atención, con énfasis en la debida diligencia reforzada. </w:t>
      </w:r>
    </w:p>
    <w:p w:rsidR="00000000" w:rsidDel="00000000" w:rsidP="00000000" w:rsidRDefault="00000000" w:rsidRPr="00000000" w14:paraId="0000004A">
      <w:pPr>
        <w:widowControl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Reforzar las áreas de género en provincias y municipios, asegurando mandatos claros, presupuesto adecuado y equipos capacitados, así como la coordinación entre el Estado nacional, los consejos provinciales de mujeres y las oficinas municipales de la mujer.</w:t>
      </w:r>
      <w:r w:rsidDel="00000000" w:rsidR="00000000" w:rsidRPr="00000000">
        <w:rPr>
          <w:rtl w:val="0"/>
        </w:rPr>
      </w:r>
    </w:p>
    <w:p w:rsidR="00000000" w:rsidDel="00000000" w:rsidP="00000000" w:rsidRDefault="00000000" w:rsidRPr="00000000" w14:paraId="0000004C">
      <w:pPr>
        <w:widowControl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numPr>
          <w:ilvl w:val="0"/>
          <w:numId w:val="1"/>
        </w:numPr>
        <w:spacing w:after="200" w:before="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Desarrollar sistemas robustos de información, estadísticas y monitoreo sobre violencias y acceso a la justicia.</w:t>
      </w:r>
      <w:r w:rsidDel="00000000" w:rsidR="00000000" w:rsidRPr="00000000">
        <w:rPr>
          <w:rtl w:val="0"/>
        </w:rPr>
      </w:r>
    </w:p>
    <w:p w:rsidR="00000000" w:rsidDel="00000000" w:rsidP="00000000" w:rsidRDefault="00000000" w:rsidRPr="00000000" w14:paraId="0000004E">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Recuperar </w:t>
      </w:r>
      <w:r w:rsidDel="00000000" w:rsidR="00000000" w:rsidRPr="00000000">
        <w:rPr>
          <w:rFonts w:ascii="Times New Roman" w:cs="Times New Roman" w:eastAsia="Times New Roman" w:hAnsi="Times New Roman"/>
          <w:sz w:val="24"/>
          <w:szCs w:val="24"/>
          <w:rtl w:val="0"/>
        </w:rPr>
        <w:t xml:space="preserve">la implementación del SICVG y </w:t>
      </w:r>
      <w:r w:rsidDel="00000000" w:rsidR="00000000" w:rsidRPr="00000000">
        <w:rPr>
          <w:rFonts w:ascii="Times New Roman" w:cs="Times New Roman" w:eastAsia="Times New Roman" w:hAnsi="Times New Roman"/>
          <w:sz w:val="24"/>
          <w:szCs w:val="24"/>
          <w:rtl w:val="0"/>
        </w:rPr>
        <w:t xml:space="preserve">generar evidencia empírica sistemática sobre las distintas formas de violencia, los obstáculos en la ruta crítica y las necesidades específicas de las mujeres en situación de violencia, para ajustar las políticas de prevención y acceso a la justicia.</w:t>
      </w:r>
    </w:p>
    <w:p w:rsidR="00000000" w:rsidDel="00000000" w:rsidP="00000000" w:rsidRDefault="00000000" w:rsidRPr="00000000" w14:paraId="0000004F">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Restablecer el PPG y los tableros de monitoreo con enfoque de género, con datos abiertos y desagregados (por género, edad, territorio, discapacidad, origen étnico-racial, nacionalidad e identidad de género, entre otros) que permitan evaluar impactos, identificar brechas y reorientar políticas.</w:t>
      </w:r>
    </w:p>
    <w:p w:rsidR="00000000" w:rsidDel="00000000" w:rsidP="00000000" w:rsidRDefault="00000000" w:rsidRPr="00000000" w14:paraId="00000050">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Implementar una nueva encuesta nacional de prevalencia de las violencias basadas en género, con mayor alcance territorial (incluyendo zonas rurales y localidades pequeñas) y datos desagregados.</w:t>
      </w:r>
    </w:p>
    <w:p w:rsidR="00000000" w:rsidDel="00000000" w:rsidP="00000000" w:rsidRDefault="00000000" w:rsidRPr="00000000" w14:paraId="00000051">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Crear y fortalecer observatorios provinciales de género que integren datos oficiales y de la sociedad civil sobre violencias y acceso a la justicia, con asistencia técnica, apoyo financiero y capacitación para la recolección, análisis y uso de datos.</w:t>
      </w:r>
    </w:p>
    <w:p w:rsidR="00000000" w:rsidDel="00000000" w:rsidP="00000000" w:rsidRDefault="00000000" w:rsidRPr="00000000" w14:paraId="00000052">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Establecer mecanismos de rendición de cuentas con enfoque de género para supervisar la aplicación de la legislación sobre atención, asistencia y erradicación de la violencia por razones de género, destinando recursos humanos, técnicos y presupuestarios suficientes.</w:t>
      </w:r>
    </w:p>
    <w:p w:rsidR="00000000" w:rsidDel="00000000" w:rsidP="00000000" w:rsidRDefault="00000000" w:rsidRPr="00000000" w14:paraId="00000053">
      <w:pPr>
        <w:numPr>
          <w:ilvl w:val="0"/>
          <w:numId w:val="1"/>
        </w:numPr>
        <w:spacing w:after="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Asegurar accesibilidad y enfoques interseccionales en los servicios de atención.</w:t>
      </w:r>
    </w:p>
    <w:p w:rsidR="00000000" w:rsidDel="00000000" w:rsidP="00000000" w:rsidRDefault="00000000" w:rsidRPr="00000000" w14:paraId="00000054">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Garantizar que los dispositivos de atención y protección sean accesibles para mujeres con discapacidad, indígenas, afrodescendientes, migrantes y de diversas edades. Elaborar guías de actuación específicas, co-diseñadas con organizaciones especializadas y representantes de estos grupos, para formar a todos los actores desde una perspectiva interseccional y reparadora, incorporando adecuaciones físicas, comunicacionales y culturales.</w:t>
      </w:r>
    </w:p>
    <w:p w:rsidR="00000000" w:rsidDel="00000000" w:rsidP="00000000" w:rsidRDefault="00000000" w:rsidRPr="00000000" w14:paraId="00000055">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Implementar campañas de información y sensibilización sobre derechos y recursos disponibles, en formatos comprensibles y accesibles.</w:t>
      </w:r>
    </w:p>
    <w:p w:rsidR="00000000" w:rsidDel="00000000" w:rsidP="00000000" w:rsidRDefault="00000000" w:rsidRPr="00000000" w14:paraId="00000056">
      <w:pPr>
        <w:numPr>
          <w:ilvl w:val="0"/>
          <w:numId w:val="1"/>
        </w:numPr>
        <w:spacing w:after="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Reconocer y sostener el rol de las organizaciones de la sociedad civil.</w:t>
      </w:r>
    </w:p>
    <w:p w:rsidR="00000000" w:rsidDel="00000000" w:rsidP="00000000" w:rsidRDefault="00000000" w:rsidRPr="00000000" w14:paraId="00000057">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Establecer mecanismos formales y permanentes de articulación entre organizaciones de la sociedad civil y gobiernos locales y provinciales, para co-crear políticas públicas basadas en evidencia y en experiencias territoriales.</w:t>
      </w:r>
    </w:p>
    <w:p w:rsidR="00000000" w:rsidDel="00000000" w:rsidP="00000000" w:rsidRDefault="00000000" w:rsidRPr="00000000" w14:paraId="00000058">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Fortalecer a las organizaciones de la sociedad civil mediante asistencia técnica para diseñar e implementar proyectos con anclaje territorial, acceso a financiamiento previsible y sostenible, promoción de redes nacionales y regionales con actores estratégicos y desarrollo de módulos de capacitación en incidencia en políticas públicas con enfoque de género.</w:t>
      </w:r>
      <w:r w:rsidDel="00000000" w:rsidR="00000000" w:rsidRPr="00000000">
        <w:rPr>
          <w:rtl w:val="0"/>
        </w:rPr>
      </w:r>
    </w:p>
    <w:p w:rsidR="00000000" w:rsidDel="00000000" w:rsidP="00000000" w:rsidRDefault="00000000" w:rsidRPr="00000000" w14:paraId="00000059">
      <w:pPr>
        <w:numPr>
          <w:ilvl w:val="0"/>
          <w:numId w:val="1"/>
        </w:numPr>
        <w:spacing w:after="200" w:before="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Trabajar con varones y evaluar los programas dirigidos a masculinidades violentas.</w:t>
      </w:r>
    </w:p>
    <w:p w:rsidR="00000000" w:rsidDel="00000000" w:rsidP="00000000" w:rsidRDefault="00000000" w:rsidRPr="00000000" w14:paraId="0000005A">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Fortalecer y ampliar los dispositivos de trabajo con varones para promover masculinidades no violentas, mediante sensibilización y formación sobre conductas sexistas y violentas, abordajes integrales en servicios con alto contacto con varones y estrategias de comunicación dirigidas a distintos grupos etarios.</w:t>
      </w:r>
    </w:p>
    <w:p w:rsidR="00000000" w:rsidDel="00000000" w:rsidP="00000000" w:rsidRDefault="00000000" w:rsidRPr="00000000" w14:paraId="0000005B">
      <w:pPr>
        <w:numPr>
          <w:ilvl w:val="0"/>
          <w:numId w:val="1"/>
        </w:numPr>
        <w:spacing w:after="200" w:before="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bCs w:val="1"/>
          <w:sz w:val="24"/>
          <w:szCs w:val="24"/>
          <w:rtl w:val="0"/>
        </w:rPr>
        <w:t xml:space="preserve">Reforzar la prevención y el control de armas para reducir la violencia de género. </w:t>
      </w:r>
    </w:p>
    <w:p w:rsidR="00000000" w:rsidDel="00000000" w:rsidP="00000000" w:rsidRDefault="00000000" w:rsidRPr="00000000" w14:paraId="0000005C">
      <w:pPr>
        <w:spacing w:after="200" w:before="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Restablecer las funciones de prevención y control de la violencia de género cometida con armas de fuego, revirtiendo los efectos regresivos de la normativa vigente. Adoptar medidas para prevenir estos delitos, incluyendo controles reforzados sobre fuerzas de seguridad y restricciones efectivas al acceso a armas en el hogar.</w:t>
      </w:r>
    </w:p>
    <w:p w:rsidR="00000000" w:rsidDel="00000000" w:rsidP="00000000" w:rsidRDefault="00000000" w:rsidRPr="00000000" w14:paraId="0000005D">
      <w:pPr>
        <w:numPr>
          <w:ilvl w:val="0"/>
          <w:numId w:val="1"/>
        </w:numPr>
        <w:spacing w:after="200" w:before="0" w:lineRule="auto"/>
        <w:ind w:left="720" w:hanging="360"/>
        <w:jc w:val="both"/>
        <w:rPr>
          <w:rFonts w:ascii="Times New Roman" w:cs="Times New Roman" w:eastAsia="Times New Roman" w:hAnsi="Times New Roman"/>
          <w:b w:val="1"/>
          <w:bCs w:val="1"/>
          <w:sz w:val="24"/>
          <w:szCs w:val="24"/>
          <w:u w:val="none"/>
        </w:rPr>
      </w:pPr>
      <w:r w:rsidDel="00000000" w:rsidR="00000000" w:rsidRPr="00000000">
        <w:rPr>
          <w:rFonts w:ascii="Times New Roman" w:cs="Times New Roman" w:eastAsia="Times New Roman" w:hAnsi="Times New Roman"/>
          <w:b w:val="1"/>
          <w:bCs w:val="1"/>
          <w:sz w:val="24"/>
          <w:szCs w:val="24"/>
          <w:rtl w:val="0"/>
        </w:rPr>
        <w:t xml:space="preserve">Garantizar el acceso a la justicia y reparación integral ante casos de violencia de género digital.</w:t>
      </w:r>
    </w:p>
    <w:p w:rsidR="00000000" w:rsidDel="00000000" w:rsidP="00000000" w:rsidRDefault="00000000" w:rsidRPr="00000000" w14:paraId="0000005E">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Fortalecer las capacidades de los organismos que asesoran y acompañan a víctimas, garantizando recursos humanos, técnicos y económicos suficientes, y asegurando su formación continua para brindar respuestas efectivas.</w:t>
      </w:r>
    </w:p>
    <w:p w:rsidR="00000000" w:rsidDel="00000000" w:rsidP="00000000" w:rsidRDefault="00000000" w:rsidRPr="00000000" w14:paraId="0000005F">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Desarrollar campañas de sensibilización sobre la violencia en entornos digitales y elaborar protocolos y pautas de investigación que permitan actuar con eficacia ante estas denuncias.</w:t>
      </w:r>
    </w:p>
    <w:p w:rsidR="00000000" w:rsidDel="00000000" w:rsidP="00000000" w:rsidRDefault="00000000" w:rsidRPr="00000000" w14:paraId="00000060">
      <w:pPr>
        <w:spacing w:after="240" w:before="240" w:lineRule="auto"/>
        <w:jc w:val="both"/>
        <w:rPr>
          <w:rFonts w:ascii="Times New Roman" w:cs="Times New Roman" w:eastAsia="Times New Roman" w:hAnsi="Times New Roman"/>
          <w:highlight w:val="white"/>
        </w:rPr>
      </w:pPr>
      <w:r w:rsidDel="00000000" w:rsidR="00000000" w:rsidRPr="00000000">
        <w:rPr>
          <w:rtl w:val="0"/>
        </w:rPr>
      </w:r>
    </w:p>
    <w:tbl>
      <w:tblPr>
        <w:tblStyle w:val="Table1"/>
        <w:tblW w:w="10140.0" w:type="dxa"/>
        <w:jc w:val="left"/>
        <w:tblInd w:w="-34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30"/>
        <w:gridCol w:w="2145"/>
        <w:gridCol w:w="2520"/>
        <w:gridCol w:w="2745"/>
        <w:tblGridChange w:id="0">
          <w:tblGrid>
            <w:gridCol w:w="2730"/>
            <w:gridCol w:w="2145"/>
            <w:gridCol w:w="2520"/>
            <w:gridCol w:w="2745"/>
          </w:tblGrid>
        </w:tblGridChange>
      </w:tblGrid>
      <w:tr>
        <w:trPr>
          <w:cantSplit w:val="0"/>
          <w:trHeight w:val="2434.9414062499995" w:hRule="atLeast"/>
          <w:tblHeader w:val="0"/>
        </w:trPr>
        <w:tc>
          <w:tcPr>
            <w:tcBorders>
              <w:top w:color="fafafa" w:space="0" w:sz="8" w:val="single"/>
              <w:left w:color="fafafa" w:space="0" w:sz="8" w:val="single"/>
              <w:bottom w:color="fafafa" w:space="0" w:sz="8" w:val="single"/>
              <w:right w:color="fafafa"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61">
            <w:pPr>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Pr>
              <w:drawing>
                <wp:inline distB="114300" distT="114300" distL="114300" distR="114300">
                  <wp:extent cx="1285875" cy="685800"/>
                  <wp:effectExtent b="0" l="0" r="0" t="0"/>
                  <wp:docPr id="10"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1285875" cy="685800"/>
                          </a:xfrm>
                          <a:prstGeom prst="rect"/>
                          <a:ln/>
                        </pic:spPr>
                      </pic:pic>
                    </a:graphicData>
                  </a:graphic>
                </wp:inline>
              </w:drawing>
            </w:r>
            <w:r w:rsidDel="00000000" w:rsidR="00000000" w:rsidRPr="00000000">
              <w:rPr>
                <w:rtl w:val="0"/>
              </w:rPr>
            </w:r>
          </w:p>
          <w:p w:rsidR="00000000" w:rsidDel="00000000" w:rsidP="00000000" w:rsidRDefault="00000000" w:rsidRPr="00000000" w14:paraId="00000062">
            <w:pPr>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3">
            <w:pPr>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4">
            <w:pPr>
              <w:spacing w:line="240" w:lineRule="auto"/>
              <w:jc w:val="center"/>
              <w:rPr>
                <w:rFonts w:ascii="Times New Roman" w:cs="Times New Roman" w:eastAsia="Times New Roman" w:hAnsi="Times New Roman"/>
                <w:sz w:val="10"/>
                <w:szCs w:val="10"/>
              </w:rPr>
            </w:pPr>
            <w:r w:rsidDel="00000000" w:rsidR="00000000" w:rsidRPr="00000000">
              <w:rPr>
                <w:rtl w:val="0"/>
              </w:rPr>
            </w:r>
          </w:p>
          <w:p w:rsidR="00000000" w:rsidDel="00000000" w:rsidP="00000000" w:rsidRDefault="00000000" w:rsidRPr="00000000" w14:paraId="00000065">
            <w:pPr>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Natalia Gherardi </w:t>
            </w:r>
          </w:p>
          <w:p w:rsidR="00000000" w:rsidDel="00000000" w:rsidP="00000000" w:rsidRDefault="00000000" w:rsidRPr="00000000" w14:paraId="00000066">
            <w:pPr>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ELA</w:t>
            </w:r>
          </w:p>
        </w:tc>
        <w:tc>
          <w:tcPr>
            <w:tcBorders>
              <w:top w:color="fafafa" w:space="0" w:sz="8" w:val="single"/>
              <w:left w:color="fafafa" w:space="0" w:sz="8" w:val="single"/>
              <w:bottom w:color="fafafa" w:space="0" w:sz="8" w:val="single"/>
              <w:right w:color="fafafa"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67">
            <w:pPr>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Pr>
              <w:drawing>
                <wp:inline distB="114300" distT="114300" distL="114300" distR="114300">
                  <wp:extent cx="1364401" cy="854137"/>
                  <wp:effectExtent b="0" l="0" r="0" t="0"/>
                  <wp:docPr id="11" name="image7.png"/>
                  <a:graphic>
                    <a:graphicData uri="http://schemas.openxmlformats.org/drawingml/2006/picture">
                      <pic:pic>
                        <pic:nvPicPr>
                          <pic:cNvPr id="0" name="image7.png"/>
                          <pic:cNvPicPr preferRelativeResize="0"/>
                        </pic:nvPicPr>
                        <pic:blipFill>
                          <a:blip r:embed="rId8"/>
                          <a:srcRect b="0" l="0" r="0" t="0"/>
                          <a:stretch>
                            <a:fillRect/>
                          </a:stretch>
                        </pic:blipFill>
                        <pic:spPr>
                          <a:xfrm>
                            <a:off x="0" y="0"/>
                            <a:ext cx="1364401" cy="854137"/>
                          </a:xfrm>
                          <a:prstGeom prst="rect"/>
                          <a:ln/>
                        </pic:spPr>
                      </pic:pic>
                    </a:graphicData>
                  </a:graphic>
                </wp:inline>
              </w:drawing>
            </w:r>
            <w:r w:rsidDel="00000000" w:rsidR="00000000" w:rsidRPr="00000000">
              <w:rPr>
                <w:rtl w:val="0"/>
              </w:rPr>
            </w:r>
          </w:p>
          <w:p w:rsidR="00000000" w:rsidDel="00000000" w:rsidP="00000000" w:rsidRDefault="00000000" w:rsidRPr="00000000" w14:paraId="00000068">
            <w:pPr>
              <w:spacing w:line="240" w:lineRule="auto"/>
              <w:jc w:val="center"/>
              <w:rPr>
                <w:rFonts w:ascii="Times New Roman" w:cs="Times New Roman" w:eastAsia="Times New Roman" w:hAnsi="Times New Roman"/>
                <w:sz w:val="10"/>
                <w:szCs w:val="10"/>
              </w:rPr>
            </w:pPr>
            <w:r w:rsidDel="00000000" w:rsidR="00000000" w:rsidRPr="00000000">
              <w:rPr>
                <w:rtl w:val="0"/>
              </w:rPr>
            </w:r>
          </w:p>
          <w:p w:rsidR="00000000" w:rsidDel="00000000" w:rsidP="00000000" w:rsidRDefault="00000000" w:rsidRPr="00000000" w14:paraId="00000069">
            <w:pPr>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A">
            <w:pPr>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Diego R. Morales CELS</w:t>
            </w:r>
          </w:p>
        </w:tc>
        <w:tc>
          <w:tcPr>
            <w:tcBorders>
              <w:top w:color="fafafa" w:space="0" w:sz="8" w:val="single"/>
              <w:left w:color="fafafa" w:space="0" w:sz="8" w:val="single"/>
              <w:bottom w:color="fafafa" w:space="0" w:sz="8" w:val="single"/>
              <w:right w:color="fafafa"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6B">
            <w:pPr>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C">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Pr>
              <w:drawing>
                <wp:inline distB="114300" distT="114300" distL="114300" distR="114300">
                  <wp:extent cx="1152525" cy="495300"/>
                  <wp:effectExtent b="0" l="0" r="0" t="0"/>
                  <wp:docPr id="21" name="image18.jpg"/>
                  <a:graphic>
                    <a:graphicData uri="http://schemas.openxmlformats.org/drawingml/2006/picture">
                      <pic:pic>
                        <pic:nvPicPr>
                          <pic:cNvPr id="0" name="image18.jpg"/>
                          <pic:cNvPicPr preferRelativeResize="0"/>
                        </pic:nvPicPr>
                        <pic:blipFill>
                          <a:blip r:embed="rId9"/>
                          <a:srcRect b="0" l="0" r="0" t="0"/>
                          <a:stretch>
                            <a:fillRect/>
                          </a:stretch>
                        </pic:blipFill>
                        <pic:spPr>
                          <a:xfrm>
                            <a:off x="0" y="0"/>
                            <a:ext cx="1152525" cy="495300"/>
                          </a:xfrm>
                          <a:prstGeom prst="rect"/>
                          <a:ln/>
                        </pic:spPr>
                      </pic:pic>
                    </a:graphicData>
                  </a:graphic>
                </wp:inline>
              </w:drawing>
            </w:r>
            <w:r w:rsidDel="00000000" w:rsidR="00000000" w:rsidRPr="00000000">
              <w:rPr>
                <w:rtl w:val="0"/>
              </w:rPr>
            </w:r>
          </w:p>
          <w:p w:rsidR="00000000" w:rsidDel="00000000" w:rsidP="00000000" w:rsidRDefault="00000000" w:rsidRPr="00000000" w14:paraId="0000006D">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E">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F">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0">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Soledad Deza</w:t>
            </w:r>
          </w:p>
          <w:p w:rsidR="00000000" w:rsidDel="00000000" w:rsidP="00000000" w:rsidRDefault="00000000" w:rsidRPr="00000000" w14:paraId="00000071">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MxM</w:t>
            </w:r>
          </w:p>
        </w:tc>
        <w:tc>
          <w:tcPr>
            <w:tcBorders>
              <w:top w:color="fafafa" w:space="0" w:sz="8" w:val="single"/>
              <w:left w:color="fafafa" w:space="0" w:sz="8" w:val="single"/>
              <w:bottom w:color="fafafa" w:space="0" w:sz="8" w:val="single"/>
              <w:right w:color="fafafa"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spacing w:line="240" w:lineRule="auto"/>
              <w:jc w:val="center"/>
              <w:rPr>
                <w:rFonts w:ascii="Times New Roman" w:cs="Times New Roman" w:eastAsia="Times New Roman" w:hAnsi="Times New Roman"/>
                <w:sz w:val="20"/>
                <w:szCs w:val="20"/>
              </w:rPr>
            </w:pPr>
            <w:r w:rsidDel="00000000" w:rsidR="00000000" w:rsidRPr="00000000">
              <w:rPr>
                <w:rFonts w:ascii="Calibri" w:cs="Calibri" w:eastAsia="Calibri" w:hAnsi="Calibri"/>
                <w:sz w:val="20"/>
                <w:szCs w:val="20"/>
              </w:rPr>
              <w:drawing>
                <wp:inline distB="114300" distT="114300" distL="114300" distR="114300">
                  <wp:extent cx="1300163" cy="1133475"/>
                  <wp:effectExtent b="0" l="0" r="0" t="0"/>
                  <wp:docPr id="3" name="image24.png"/>
                  <a:graphic>
                    <a:graphicData uri="http://schemas.openxmlformats.org/drawingml/2006/picture">
                      <pic:pic>
                        <pic:nvPicPr>
                          <pic:cNvPr id="0" name="image24.png"/>
                          <pic:cNvPicPr preferRelativeResize="0"/>
                        </pic:nvPicPr>
                        <pic:blipFill>
                          <a:blip r:embed="rId10">
                            <a:alphaModFix amt="65000"/>
                          </a:blip>
                          <a:srcRect b="0" l="0" r="0" t="0"/>
                          <a:stretch>
                            <a:fillRect/>
                          </a:stretch>
                        </pic:blipFill>
                        <pic:spPr>
                          <a:xfrm>
                            <a:off x="0" y="0"/>
                            <a:ext cx="1300163" cy="1133475"/>
                          </a:xfrm>
                          <a:prstGeom prst="rect"/>
                          <a:ln/>
                        </pic:spPr>
                      </pic:pic>
                    </a:graphicData>
                  </a:graphic>
                </wp:inline>
              </w:drawing>
            </w:r>
            <w:r w:rsidDel="00000000" w:rsidR="00000000" w:rsidRPr="00000000">
              <w:rPr>
                <w:rtl w:val="0"/>
              </w:rPr>
            </w:r>
          </w:p>
          <w:p w:rsidR="00000000" w:rsidDel="00000000" w:rsidP="00000000" w:rsidRDefault="00000000" w:rsidRPr="00000000" w14:paraId="00000073">
            <w:pPr>
              <w:widowControl w:val="0"/>
              <w:spacing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María Luisa Storani</w:t>
            </w:r>
          </w:p>
          <w:p w:rsidR="00000000" w:rsidDel="00000000" w:rsidP="00000000" w:rsidRDefault="00000000" w:rsidRPr="00000000" w14:paraId="00000074">
            <w:pPr>
              <w:widowControl w:val="0"/>
              <w:spacing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        CEDEM</w:t>
            </w:r>
          </w:p>
          <w:p w:rsidR="00000000" w:rsidDel="00000000" w:rsidP="00000000" w:rsidRDefault="00000000" w:rsidRPr="00000000" w14:paraId="00000075">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5340" w:hRule="atLeast"/>
          <w:tblHeader w:val="0"/>
        </w:trPr>
        <w:tc>
          <w:tcPr>
            <w:tcBorders>
              <w:top w:color="fafafa" w:space="0" w:sz="8" w:val="single"/>
              <w:left w:color="fafafa" w:space="0" w:sz="8" w:val="single"/>
              <w:bottom w:color="fafafa" w:space="0" w:sz="8" w:val="single"/>
              <w:right w:color="fafafa"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6">
            <w:pPr>
              <w:pBdr>
                <w:top w:color="auto" w:space="0" w:sz="0" w:val="none"/>
                <w:left w:color="auto" w:space="0" w:sz="0" w:val="none"/>
                <w:bottom w:color="auto" w:space="0" w:sz="0" w:val="none"/>
                <w:right w:color="auto" w:space="0" w:sz="0" w:val="none"/>
                <w:between w:color="auto" w:space="0" w:sz="0" w:val="none"/>
              </w:pBdr>
              <w:shd w:fill="ffffff" w:val="clear"/>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219075</wp:posOffset>
                  </wp:positionH>
                  <wp:positionV relativeFrom="paragraph">
                    <wp:posOffset>95251</wp:posOffset>
                  </wp:positionV>
                  <wp:extent cx="1038338" cy="828675"/>
                  <wp:effectExtent b="0" l="0" r="0" t="0"/>
                  <wp:wrapNone/>
                  <wp:docPr id="17" name="image11.jpg"/>
                  <a:graphic>
                    <a:graphicData uri="http://schemas.openxmlformats.org/drawingml/2006/picture">
                      <pic:pic>
                        <pic:nvPicPr>
                          <pic:cNvPr id="0" name="image11.jpg"/>
                          <pic:cNvPicPr preferRelativeResize="0"/>
                        </pic:nvPicPr>
                        <pic:blipFill>
                          <a:blip r:embed="rId11"/>
                          <a:srcRect b="0" l="0" r="0" t="0"/>
                          <a:stretch>
                            <a:fillRect/>
                          </a:stretch>
                        </pic:blipFill>
                        <pic:spPr>
                          <a:xfrm>
                            <a:off x="0" y="0"/>
                            <a:ext cx="1038338" cy="828675"/>
                          </a:xfrm>
                          <a:prstGeom prst="rect"/>
                          <a:ln/>
                        </pic:spPr>
                      </pic:pic>
                    </a:graphicData>
                  </a:graphic>
                </wp:anchor>
              </w:drawing>
            </w:r>
          </w:p>
          <w:p w:rsidR="00000000" w:rsidDel="00000000" w:rsidP="00000000" w:rsidRDefault="00000000" w:rsidRPr="00000000" w14:paraId="00000077">
            <w:pPr>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8">
            <w:pPr>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9">
            <w:pPr>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A">
            <w:pPr>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B">
            <w:pPr>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C">
            <w:pPr>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D">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Mayca Balaguer            </w:t>
            </w:r>
          </w:p>
          <w:p w:rsidR="00000000" w:rsidDel="00000000" w:rsidP="00000000" w:rsidRDefault="00000000" w:rsidRPr="00000000" w14:paraId="0000007E">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Fundeps</w:t>
            </w:r>
          </w:p>
          <w:p w:rsidR="00000000" w:rsidDel="00000000" w:rsidP="00000000" w:rsidRDefault="00000000" w:rsidRPr="00000000" w14:paraId="0000007F">
            <w:pPr>
              <w:widowControl w:val="0"/>
              <w:spacing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0">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1">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Pr>
              <w:drawing>
                <wp:inline distB="114300" distT="114300" distL="114300" distR="114300">
                  <wp:extent cx="1352550" cy="990600"/>
                  <wp:effectExtent b="0" l="0" r="0" t="0"/>
                  <wp:docPr id="2" name="image14.png"/>
                  <a:graphic>
                    <a:graphicData uri="http://schemas.openxmlformats.org/drawingml/2006/picture">
                      <pic:pic>
                        <pic:nvPicPr>
                          <pic:cNvPr id="0" name="image14.png"/>
                          <pic:cNvPicPr preferRelativeResize="0"/>
                        </pic:nvPicPr>
                        <pic:blipFill>
                          <a:blip r:embed="rId12"/>
                          <a:srcRect b="0" l="0" r="0" t="0"/>
                          <a:stretch>
                            <a:fillRect/>
                          </a:stretch>
                        </pic:blipFill>
                        <pic:spPr>
                          <a:xfrm>
                            <a:off x="0" y="0"/>
                            <a:ext cx="1352550" cy="990600"/>
                          </a:xfrm>
                          <a:prstGeom prst="rect"/>
                          <a:ln/>
                        </pic:spPr>
                      </pic:pic>
                    </a:graphicData>
                  </a:graphic>
                </wp:inline>
              </w:drawing>
            </w:r>
            <w:r w:rsidDel="00000000" w:rsidR="00000000" w:rsidRPr="00000000">
              <w:rPr>
                <w:rtl w:val="0"/>
              </w:rPr>
            </w:r>
          </w:p>
          <w:p w:rsidR="00000000" w:rsidDel="00000000" w:rsidP="00000000" w:rsidRDefault="00000000" w:rsidRPr="00000000" w14:paraId="00000082">
            <w:pPr>
              <w:widowControl w:val="0"/>
              <w:spacing w:line="24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Sandra Chaer</w:t>
            </w:r>
          </w:p>
          <w:p w:rsidR="00000000" w:rsidDel="00000000" w:rsidP="00000000" w:rsidRDefault="00000000" w:rsidRPr="00000000" w14:paraId="00000083">
            <w:pPr>
              <w:widowControl w:val="0"/>
              <w:spacing w:line="24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Comunicación para la Igualdad</w:t>
            </w:r>
          </w:p>
        </w:tc>
        <w:tc>
          <w:tcPr>
            <w:tcBorders>
              <w:top w:color="fafafa" w:space="0" w:sz="8" w:val="single"/>
              <w:left w:color="fafafa" w:space="0" w:sz="8" w:val="single"/>
              <w:bottom w:color="fafafa" w:space="0" w:sz="8" w:val="single"/>
              <w:right w:color="fafafa"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4">
            <w:pPr>
              <w:spacing w:after="240" w:before="24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Pr>
              <w:drawing>
                <wp:inline distB="114300" distT="114300" distL="114300" distR="114300">
                  <wp:extent cx="1403596" cy="738188"/>
                  <wp:effectExtent b="0" l="0" r="0" t="0"/>
                  <wp:docPr id="9" name="image12.jpg"/>
                  <a:graphic>
                    <a:graphicData uri="http://schemas.openxmlformats.org/drawingml/2006/picture">
                      <pic:pic>
                        <pic:nvPicPr>
                          <pic:cNvPr id="0" name="image12.jpg"/>
                          <pic:cNvPicPr preferRelativeResize="0"/>
                        </pic:nvPicPr>
                        <pic:blipFill>
                          <a:blip r:embed="rId13"/>
                          <a:srcRect b="0" l="0" r="0" t="0"/>
                          <a:stretch>
                            <a:fillRect/>
                          </a:stretch>
                        </pic:blipFill>
                        <pic:spPr>
                          <a:xfrm>
                            <a:off x="0" y="0"/>
                            <a:ext cx="1403596" cy="738188"/>
                          </a:xfrm>
                          <a:prstGeom prst="rect"/>
                          <a:ln/>
                        </pic:spPr>
                      </pic:pic>
                    </a:graphicData>
                  </a:graphic>
                </wp:inline>
              </w:drawing>
            </w:r>
            <w:r w:rsidDel="00000000" w:rsidR="00000000" w:rsidRPr="00000000">
              <w:rPr>
                <w:rtl w:val="0"/>
              </w:rPr>
            </w:r>
          </w:p>
          <w:p w:rsidR="00000000" w:rsidDel="00000000" w:rsidP="00000000" w:rsidRDefault="00000000" w:rsidRPr="00000000" w14:paraId="00000085">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Leandro Cahn</w:t>
            </w:r>
          </w:p>
          <w:p w:rsidR="00000000" w:rsidDel="00000000" w:rsidP="00000000" w:rsidRDefault="00000000" w:rsidRPr="00000000" w14:paraId="00000086">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Fundación Huésped</w:t>
            </w:r>
          </w:p>
          <w:p w:rsidR="00000000" w:rsidDel="00000000" w:rsidP="00000000" w:rsidRDefault="00000000" w:rsidRPr="00000000" w14:paraId="00000087">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8">
            <w:pPr>
              <w:widowControl w:val="0"/>
              <w:spacing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9">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Pr>
              <w:drawing>
                <wp:inline distB="114300" distT="114300" distL="114300" distR="114300">
                  <wp:extent cx="1152525" cy="622300"/>
                  <wp:effectExtent b="0" l="0" r="0" t="0"/>
                  <wp:docPr id="1" name="image16.jpg"/>
                  <a:graphic>
                    <a:graphicData uri="http://schemas.openxmlformats.org/drawingml/2006/picture">
                      <pic:pic>
                        <pic:nvPicPr>
                          <pic:cNvPr id="0" name="image16.jpg"/>
                          <pic:cNvPicPr preferRelativeResize="0"/>
                        </pic:nvPicPr>
                        <pic:blipFill>
                          <a:blip r:embed="rId14"/>
                          <a:srcRect b="0" l="0" r="0" t="0"/>
                          <a:stretch>
                            <a:fillRect/>
                          </a:stretch>
                        </pic:blipFill>
                        <pic:spPr>
                          <a:xfrm>
                            <a:off x="0" y="0"/>
                            <a:ext cx="1152525" cy="622300"/>
                          </a:xfrm>
                          <a:prstGeom prst="rect"/>
                          <a:ln/>
                        </pic:spPr>
                      </pic:pic>
                    </a:graphicData>
                  </a:graphic>
                </wp:inline>
              </w:drawing>
            </w:r>
            <w:r w:rsidDel="00000000" w:rsidR="00000000" w:rsidRPr="00000000">
              <w:rPr>
                <w:rtl w:val="0"/>
              </w:rPr>
            </w:r>
          </w:p>
          <w:p w:rsidR="00000000" w:rsidDel="00000000" w:rsidP="00000000" w:rsidRDefault="00000000" w:rsidRPr="00000000" w14:paraId="0000008A">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B">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C">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Julian Alfie</w:t>
            </w:r>
          </w:p>
          <w:p w:rsidR="00000000" w:rsidDel="00000000" w:rsidP="00000000" w:rsidRDefault="00000000" w:rsidRPr="00000000" w14:paraId="0000008D">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INECIP</w:t>
            </w:r>
          </w:p>
        </w:tc>
        <w:tc>
          <w:tcPr>
            <w:tcBorders>
              <w:top w:color="fafafa" w:space="0" w:sz="8" w:val="single"/>
              <w:left w:color="fafafa" w:space="0" w:sz="8" w:val="single"/>
              <w:bottom w:color="fafafa" w:space="0" w:sz="8" w:val="single"/>
              <w:right w:color="fafafa"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E">
            <w:pPr>
              <w:widowControl w:val="0"/>
              <w:spacing w:line="24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rPr>
              <w:drawing>
                <wp:inline distB="114300" distT="114300" distL="114300" distR="114300">
                  <wp:extent cx="1118627" cy="1100138"/>
                  <wp:effectExtent b="0" l="0" r="0" t="0"/>
                  <wp:docPr id="24" name="image19.png"/>
                  <a:graphic>
                    <a:graphicData uri="http://schemas.openxmlformats.org/drawingml/2006/picture">
                      <pic:pic>
                        <pic:nvPicPr>
                          <pic:cNvPr id="0" name="image19.png"/>
                          <pic:cNvPicPr preferRelativeResize="0"/>
                        </pic:nvPicPr>
                        <pic:blipFill>
                          <a:blip r:embed="rId15"/>
                          <a:srcRect b="0" l="0" r="0" t="0"/>
                          <a:stretch>
                            <a:fillRect/>
                          </a:stretch>
                        </pic:blipFill>
                        <pic:spPr>
                          <a:xfrm>
                            <a:off x="0" y="0"/>
                            <a:ext cx="1118627" cy="1100138"/>
                          </a:xfrm>
                          <a:prstGeom prst="rect"/>
                          <a:ln/>
                        </pic:spPr>
                      </pic:pic>
                    </a:graphicData>
                  </a:graphic>
                </wp:inline>
              </w:drawing>
            </w:r>
            <w:r w:rsidDel="00000000" w:rsidR="00000000" w:rsidRPr="00000000">
              <w:rPr>
                <w:rFonts w:ascii="Times New Roman" w:cs="Times New Roman" w:eastAsia="Times New Roman" w:hAnsi="Times New Roman"/>
                <w:sz w:val="20"/>
                <w:szCs w:val="20"/>
                <w:highlight w:val="white"/>
                <w:rtl w:val="0"/>
              </w:rPr>
              <w:t xml:space="preserve">Florencia Abed Dickson</w:t>
            </w:r>
          </w:p>
          <w:p w:rsidR="00000000" w:rsidDel="00000000" w:rsidP="00000000" w:rsidRDefault="00000000" w:rsidRPr="00000000" w14:paraId="0000008F">
            <w:pPr>
              <w:widowControl w:val="0"/>
              <w:spacing w:line="24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ACIJ </w:t>
            </w:r>
          </w:p>
          <w:p w:rsidR="00000000" w:rsidDel="00000000" w:rsidP="00000000" w:rsidRDefault="00000000" w:rsidRPr="00000000" w14:paraId="00000090">
            <w:pPr>
              <w:widowControl w:val="0"/>
              <w:spacing w:line="240" w:lineRule="auto"/>
              <w:jc w:val="center"/>
              <w:rPr>
                <w:rFonts w:ascii="Times New Roman" w:cs="Times New Roman" w:eastAsia="Times New Roman" w:hAnsi="Times New Roman"/>
                <w:sz w:val="20"/>
                <w:szCs w:val="20"/>
                <w:shd w:fill="ffe599" w:val="clear"/>
              </w:rPr>
            </w:pPr>
            <w:r w:rsidDel="00000000" w:rsidR="00000000" w:rsidRPr="00000000">
              <w:rPr>
                <w:rtl w:val="0"/>
              </w:rPr>
            </w:r>
          </w:p>
          <w:p w:rsidR="00000000" w:rsidDel="00000000" w:rsidP="00000000" w:rsidRDefault="00000000" w:rsidRPr="00000000" w14:paraId="00000091">
            <w:pPr>
              <w:widowControl w:val="0"/>
              <w:spacing w:line="240" w:lineRule="auto"/>
              <w:jc w:val="center"/>
              <w:rPr>
                <w:rFonts w:ascii="Times New Roman" w:cs="Times New Roman" w:eastAsia="Times New Roman" w:hAnsi="Times New Roman"/>
                <w:sz w:val="20"/>
                <w:szCs w:val="20"/>
                <w:shd w:fill="ffe599" w:val="clea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1428750</wp:posOffset>
                  </wp:positionH>
                  <wp:positionV relativeFrom="paragraph">
                    <wp:posOffset>152400</wp:posOffset>
                  </wp:positionV>
                  <wp:extent cx="1590675" cy="812800"/>
                  <wp:effectExtent b="0" l="0" r="0" t="0"/>
                  <wp:wrapNone/>
                  <wp:docPr id="5" name="image13.png"/>
                  <a:graphic>
                    <a:graphicData uri="http://schemas.openxmlformats.org/drawingml/2006/picture">
                      <pic:pic>
                        <pic:nvPicPr>
                          <pic:cNvPr id="0" name="image13.png"/>
                          <pic:cNvPicPr preferRelativeResize="0"/>
                        </pic:nvPicPr>
                        <pic:blipFill>
                          <a:blip r:embed="rId16"/>
                          <a:srcRect b="0" l="0" r="0" t="0"/>
                          <a:stretch>
                            <a:fillRect/>
                          </a:stretch>
                        </pic:blipFill>
                        <pic:spPr>
                          <a:xfrm>
                            <a:off x="0" y="0"/>
                            <a:ext cx="1590675" cy="812800"/>
                          </a:xfrm>
                          <a:prstGeom prst="rect"/>
                          <a:ln/>
                        </pic:spPr>
                      </pic:pic>
                    </a:graphicData>
                  </a:graphic>
                </wp:anchor>
              </w:drawing>
            </w:r>
          </w:p>
          <w:p w:rsidR="00000000" w:rsidDel="00000000" w:rsidP="00000000" w:rsidRDefault="00000000" w:rsidRPr="00000000" w14:paraId="00000092">
            <w:pPr>
              <w:widowControl w:val="0"/>
              <w:spacing w:line="240" w:lineRule="auto"/>
              <w:jc w:val="center"/>
              <w:rPr>
                <w:rFonts w:ascii="Times New Roman" w:cs="Times New Roman" w:eastAsia="Times New Roman" w:hAnsi="Times New Roman"/>
                <w:sz w:val="20"/>
                <w:szCs w:val="20"/>
                <w:shd w:fill="ffe599" w:val="clear"/>
              </w:rPr>
            </w:pPr>
            <w:r w:rsidDel="00000000" w:rsidR="00000000" w:rsidRPr="00000000">
              <w:rPr>
                <w:rFonts w:ascii="Times New Roman" w:cs="Times New Roman" w:eastAsia="Times New Roman" w:hAnsi="Times New Roman"/>
                <w:sz w:val="20"/>
                <w:szCs w:val="20"/>
              </w:rPr>
              <w:drawing>
                <wp:inline distB="114300" distT="114300" distL="114300" distR="114300">
                  <wp:extent cx="1016000" cy="927100"/>
                  <wp:effectExtent b="0" l="0" r="0" t="0"/>
                  <wp:docPr id="15" name="image15.gif"/>
                  <a:graphic>
                    <a:graphicData uri="http://schemas.openxmlformats.org/drawingml/2006/picture">
                      <pic:pic>
                        <pic:nvPicPr>
                          <pic:cNvPr id="0" name="image15.gif"/>
                          <pic:cNvPicPr preferRelativeResize="0"/>
                        </pic:nvPicPr>
                        <pic:blipFill>
                          <a:blip r:embed="rId17"/>
                          <a:srcRect b="0" l="0" r="0" t="0"/>
                          <a:stretch>
                            <a:fillRect/>
                          </a:stretch>
                        </pic:blipFill>
                        <pic:spPr>
                          <a:xfrm>
                            <a:off x="0" y="0"/>
                            <a:ext cx="1016000" cy="927100"/>
                          </a:xfrm>
                          <a:prstGeom prst="rect"/>
                          <a:ln/>
                        </pic:spPr>
                      </pic:pic>
                    </a:graphicData>
                  </a:graphic>
                </wp:inline>
              </w:drawing>
            </w:r>
            <w:r w:rsidDel="00000000" w:rsidR="00000000" w:rsidRPr="00000000">
              <w:rPr>
                <w:rtl w:val="0"/>
              </w:rPr>
            </w:r>
          </w:p>
          <w:p w:rsidR="00000000" w:rsidDel="00000000" w:rsidP="00000000" w:rsidRDefault="00000000" w:rsidRPr="00000000" w14:paraId="00000093">
            <w:pPr>
              <w:shd w:fill="ffffff" w:val="clear"/>
              <w:spacing w:line="240" w:lineRule="auto"/>
              <w:ind w:left="-140" w:firstLine="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Mariela Belski</w:t>
            </w:r>
          </w:p>
          <w:p w:rsidR="00000000" w:rsidDel="00000000" w:rsidP="00000000" w:rsidRDefault="00000000" w:rsidRPr="00000000" w14:paraId="00000094">
            <w:pPr>
              <w:shd w:fill="ffffff" w:val="clear"/>
              <w:spacing w:line="240" w:lineRule="auto"/>
              <w:ind w:left="-140" w:firstLine="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rtl w:val="0"/>
              </w:rPr>
              <w:t xml:space="preserve">Amnistía Internacional Argentina</w:t>
            </w:r>
            <w:r w:rsidDel="00000000" w:rsidR="00000000" w:rsidRPr="00000000">
              <w:rPr>
                <w:rtl w:val="0"/>
              </w:rPr>
            </w:r>
          </w:p>
        </w:tc>
        <w:tc>
          <w:tcPr>
            <w:tcBorders>
              <w:top w:color="fafafa" w:space="0" w:sz="8" w:val="single"/>
              <w:left w:color="fafafa" w:space="0" w:sz="8" w:val="single"/>
              <w:bottom w:color="fafafa" w:space="0" w:sz="8" w:val="single"/>
              <w:right w:color="fafafa"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96">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Pr>
              <w:drawing>
                <wp:inline distB="114300" distT="114300" distL="114300" distR="114300">
                  <wp:extent cx="1409700" cy="330200"/>
                  <wp:effectExtent b="0" l="0" r="0" t="0"/>
                  <wp:docPr id="8" name="image9.jpg"/>
                  <a:graphic>
                    <a:graphicData uri="http://schemas.openxmlformats.org/drawingml/2006/picture">
                      <pic:pic>
                        <pic:nvPicPr>
                          <pic:cNvPr id="0" name="image9.jpg"/>
                          <pic:cNvPicPr preferRelativeResize="0"/>
                        </pic:nvPicPr>
                        <pic:blipFill>
                          <a:blip r:embed="rId18"/>
                          <a:srcRect b="0" l="0" r="0" t="0"/>
                          <a:stretch>
                            <a:fillRect/>
                          </a:stretch>
                        </pic:blipFill>
                        <pic:spPr>
                          <a:xfrm>
                            <a:off x="0" y="0"/>
                            <a:ext cx="1409700" cy="330200"/>
                          </a:xfrm>
                          <a:prstGeom prst="rect"/>
                          <a:ln/>
                        </pic:spPr>
                      </pic:pic>
                    </a:graphicData>
                  </a:graphic>
                </wp:inline>
              </w:drawing>
            </w:r>
            <w:r w:rsidDel="00000000" w:rsidR="00000000" w:rsidRPr="00000000">
              <w:rPr>
                <w:rtl w:val="0"/>
              </w:rPr>
            </w:r>
          </w:p>
          <w:p w:rsidR="00000000" w:rsidDel="00000000" w:rsidP="00000000" w:rsidRDefault="00000000" w:rsidRPr="00000000" w14:paraId="00000097">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98">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99">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9A">
            <w:pPr>
              <w:widowControl w:val="0"/>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highlight w:val="white"/>
                <w:rtl w:val="0"/>
              </w:rPr>
              <w:t xml:space="preserve">Monique Thiteux Altschul</w:t>
            </w:r>
            <w:r w:rsidDel="00000000" w:rsidR="00000000" w:rsidRPr="00000000">
              <w:rPr>
                <w:rtl w:val="0"/>
              </w:rPr>
            </w:r>
          </w:p>
          <w:p w:rsidR="00000000" w:rsidDel="00000000" w:rsidP="00000000" w:rsidRDefault="00000000" w:rsidRPr="00000000" w14:paraId="0000009B">
            <w:pPr>
              <w:widowControl w:val="0"/>
              <w:shd w:fill="ffffff" w:val="clea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MEI</w:t>
            </w:r>
          </w:p>
          <w:p w:rsidR="00000000" w:rsidDel="00000000" w:rsidP="00000000" w:rsidRDefault="00000000" w:rsidRPr="00000000" w14:paraId="0000009C">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9D">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9E">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9F">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A0">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A1">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A2">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A3">
            <w:pPr>
              <w:widowControl w:val="0"/>
              <w:spacing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A4">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A5">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A6">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Mabel Bianco</w:t>
            </w:r>
          </w:p>
          <w:p w:rsidR="00000000" w:rsidDel="00000000" w:rsidP="00000000" w:rsidRDefault="00000000" w:rsidRPr="00000000" w14:paraId="000000A7">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FEIM</w:t>
            </w:r>
          </w:p>
        </w:tc>
      </w:tr>
      <w:tr>
        <w:trPr>
          <w:cantSplit w:val="0"/>
          <w:trHeight w:val="1230.5664062500002" w:hRule="atLeast"/>
          <w:tblHeader w:val="0"/>
        </w:trPr>
        <w:tc>
          <w:tcPr>
            <w:tcBorders>
              <w:top w:color="fafafa" w:space="0" w:sz="8" w:val="single"/>
              <w:left w:color="fafafa" w:space="0" w:sz="8" w:val="single"/>
              <w:bottom w:color="fafafa" w:space="0" w:sz="8" w:val="single"/>
              <w:right w:color="fafafa"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8">
            <w:pPr>
              <w:spacing w:after="240" w:before="240" w:line="240" w:lineRule="auto"/>
              <w:jc w:val="center"/>
              <w:rPr>
                <w:rFonts w:ascii="Times New Roman" w:cs="Times New Roman" w:eastAsia="Times New Roman" w:hAnsi="Times New Roman"/>
                <w:sz w:val="20"/>
                <w:szCs w:val="2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133350</wp:posOffset>
                  </wp:positionH>
                  <wp:positionV relativeFrom="paragraph">
                    <wp:posOffset>171450</wp:posOffset>
                  </wp:positionV>
                  <wp:extent cx="1335600" cy="392617"/>
                  <wp:effectExtent b="0" l="0" r="0" t="0"/>
                  <wp:wrapSquare wrapText="bothSides" distB="114300" distT="114300" distL="114300" distR="114300"/>
                  <wp:docPr id="19" name="image22.png"/>
                  <a:graphic>
                    <a:graphicData uri="http://schemas.openxmlformats.org/drawingml/2006/picture">
                      <pic:pic>
                        <pic:nvPicPr>
                          <pic:cNvPr id="0" name="image22.png"/>
                          <pic:cNvPicPr preferRelativeResize="0"/>
                        </pic:nvPicPr>
                        <pic:blipFill>
                          <a:blip r:embed="rId19"/>
                          <a:srcRect b="0" l="0" r="0" t="0"/>
                          <a:stretch>
                            <a:fillRect/>
                          </a:stretch>
                        </pic:blipFill>
                        <pic:spPr>
                          <a:xfrm>
                            <a:off x="0" y="0"/>
                            <a:ext cx="1335600" cy="392617"/>
                          </a:xfrm>
                          <a:prstGeom prst="rect"/>
                          <a:ln/>
                        </pic:spPr>
                      </pic:pic>
                    </a:graphicData>
                  </a:graphic>
                </wp:anchor>
              </w:drawing>
            </w:r>
          </w:p>
          <w:p w:rsidR="00000000" w:rsidDel="00000000" w:rsidP="00000000" w:rsidRDefault="00000000" w:rsidRPr="00000000" w14:paraId="000000A9">
            <w:pPr>
              <w:spacing w:after="240" w:before="240" w:line="240" w:lineRule="auto"/>
              <w:rPr>
                <w:rFonts w:ascii="Times New Roman" w:cs="Times New Roman" w:eastAsia="Times New Roman" w:hAnsi="Times New Roman"/>
                <w:sz w:val="20"/>
                <w:szCs w:val="20"/>
              </w:rPr>
            </w:pPr>
            <w:r w:rsidDel="00000000" w:rsidR="00000000" w:rsidRPr="00000000">
              <w:rPr>
                <w:rtl w:val="0"/>
              </w:rPr>
            </w:r>
          </w:p>
        </w:tc>
        <w:tc>
          <w:tcPr>
            <w:tcBorders>
              <w:top w:color="fafafa" w:space="0" w:sz="8" w:val="single"/>
              <w:left w:color="fafafa" w:space="0" w:sz="8" w:val="single"/>
              <w:bottom w:color="fafafa" w:space="0" w:sz="8" w:val="single"/>
              <w:right w:color="fafafa"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A">
            <w:pPr>
              <w:spacing w:after="240" w:before="240" w:line="240"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fafafa" w:space="0" w:sz="8" w:val="single"/>
              <w:left w:color="fafafa" w:space="0" w:sz="8" w:val="single"/>
              <w:bottom w:color="fafafa" w:space="0" w:sz="8" w:val="single"/>
              <w:right w:color="fafafa"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B">
            <w:pPr>
              <w:spacing w:after="240" w:before="240" w:line="240"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fafafa" w:space="0" w:sz="8" w:val="single"/>
              <w:left w:color="fafafa" w:space="0" w:sz="8" w:val="single"/>
              <w:bottom w:color="fafafa" w:space="0" w:sz="8" w:val="single"/>
              <w:right w:color="fafafa"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0AD">
      <w:pPr>
        <w:widowControl w:val="0"/>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Carmen Adelina Storani </w:t>
      </w:r>
    </w:p>
    <w:p w:rsidR="00000000" w:rsidDel="00000000" w:rsidP="00000000" w:rsidRDefault="00000000" w:rsidRPr="00000000" w14:paraId="000000AE">
      <w:pPr>
        <w:widowControl w:val="0"/>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Fundación Sergio Karakachof</w:t>
      </w:r>
    </w:p>
    <w:p w:rsidR="00000000" w:rsidDel="00000000" w:rsidP="00000000" w:rsidRDefault="00000000" w:rsidRPr="00000000" w14:paraId="000000AF">
      <w:pPr>
        <w:widowControl w:val="0"/>
        <w:spacing w:line="240" w:lineRule="auto"/>
        <w:ind w:left="72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FUTENA</w:t>
      </w:r>
    </w:p>
    <w:p w:rsidR="00000000" w:rsidDel="00000000" w:rsidP="00000000" w:rsidRDefault="00000000" w:rsidRPr="00000000" w14:paraId="000000B0">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0"/>
          <w:szCs w:val="20"/>
          <w:rtl w:val="0"/>
        </w:rPr>
        <w:tab/>
        <w:tab/>
        <w:tab/>
        <w:t xml:space="preserve">                                                                  </w:t>
      </w:r>
      <w:r w:rsidDel="00000000" w:rsidR="00000000" w:rsidRPr="00000000">
        <w:rPr>
          <w:rtl w:val="0"/>
        </w:rPr>
      </w:r>
    </w:p>
    <w:p w:rsidR="00000000" w:rsidDel="00000000" w:rsidP="00000000" w:rsidRDefault="00000000" w:rsidRPr="00000000" w14:paraId="000000B1">
      <w:pPr>
        <w:spacing w:after="240" w:before="240" w:lineRule="auto"/>
        <w:jc w:val="both"/>
        <w:rPr>
          <w:rFonts w:ascii="Times New Roman" w:cs="Times New Roman" w:eastAsia="Times New Roman" w:hAnsi="Times New Roman"/>
          <w:sz w:val="24"/>
          <w:szCs w:val="24"/>
        </w:rPr>
      </w:pPr>
      <w:r w:rsidDel="00000000" w:rsidR="00000000" w:rsidRPr="00000000">
        <w:rPr>
          <w:rtl w:val="0"/>
        </w:rPr>
      </w:r>
    </w:p>
    <w:sectPr>
      <w:headerReference r:id="rId20" w:type="default"/>
      <w:headerReference r:id="rId21" w:type="first"/>
      <w:footerReference r:id="rId22" w:type="default"/>
      <w:footerReference r:id="rId23" w:type="first"/>
      <w:pgSz w:h="16834" w:w="11909"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alibri"/>
  <w:font w:name="Ubuntu">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Arial Narrow">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7">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A">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B2">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A/HRC/53/5.</w:t>
      </w:r>
    </w:p>
  </w:footnote>
  <w:footnote w:id="2">
    <w:p w:rsidR="00000000" w:rsidDel="00000000" w:rsidP="00000000" w:rsidRDefault="00000000" w:rsidRPr="00000000" w14:paraId="000000B3">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CEDAW/C/ARG/CO/7/Add.1, párr. 3.</w:t>
      </w:r>
    </w:p>
  </w:footnote>
  <w:footnote w:id="33">
    <w:p w:rsidR="00000000" w:rsidDel="00000000" w:rsidP="00000000" w:rsidRDefault="00000000" w:rsidRPr="00000000" w14:paraId="000000B4">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CEDAW/C/ARG/CO/7, párr. 12(a), (e).</w:t>
      </w:r>
    </w:p>
  </w:footnote>
  <w:footnote w:id="7">
    <w:p w:rsidR="00000000" w:rsidDel="00000000" w:rsidP="00000000" w:rsidRDefault="00000000" w:rsidRPr="00000000" w14:paraId="000000B5">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1">
        <w:r w:rsidDel="00000000" w:rsidR="00000000" w:rsidRPr="00000000">
          <w:rPr>
            <w:rFonts w:ascii="Times New Roman" w:cs="Times New Roman" w:eastAsia="Times New Roman" w:hAnsi="Times New Roman"/>
            <w:color w:val="1155cc"/>
            <w:sz w:val="20"/>
            <w:szCs w:val="20"/>
            <w:u w:val="single"/>
            <w:rtl w:val="0"/>
          </w:rPr>
          <w:t xml:space="preserve">https://www.letrap.com.ar/generos/la-libertad-retrocede-la-era-javier-milei-la-mayoria-las-provincias-degrado-sus-areas-genero-n5408962</w:t>
        </w:r>
      </w:hyperlink>
      <w:r w:rsidDel="00000000" w:rsidR="00000000" w:rsidRPr="00000000">
        <w:rPr>
          <w:rFonts w:ascii="Times New Roman" w:cs="Times New Roman" w:eastAsia="Times New Roman" w:hAnsi="Times New Roman"/>
          <w:sz w:val="20"/>
          <w:szCs w:val="20"/>
          <w:rtl w:val="0"/>
        </w:rPr>
        <w:t xml:space="preserve"> </w:t>
      </w:r>
    </w:p>
  </w:footnote>
  <w:footnote w:id="66">
    <w:p w:rsidR="00000000" w:rsidDel="00000000" w:rsidP="00000000" w:rsidRDefault="00000000" w:rsidRPr="00000000" w14:paraId="000000B6">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2">
        <w:r w:rsidDel="00000000" w:rsidR="00000000" w:rsidRPr="00000000">
          <w:rPr>
            <w:rFonts w:ascii="Times New Roman" w:cs="Times New Roman" w:eastAsia="Times New Roman" w:hAnsi="Times New Roman"/>
            <w:color w:val="1155cc"/>
            <w:sz w:val="20"/>
            <w:szCs w:val="20"/>
            <w:u w:val="single"/>
            <w:rtl w:val="0"/>
          </w:rPr>
          <w:t xml:space="preserve">https://www.csjn.gov.ar/novedades/detalle/7476</w:t>
        </w:r>
      </w:hyperlink>
      <w:r w:rsidDel="00000000" w:rsidR="00000000" w:rsidRPr="00000000">
        <w:rPr>
          <w:rFonts w:ascii="Times New Roman" w:cs="Times New Roman" w:eastAsia="Times New Roman" w:hAnsi="Times New Roman"/>
          <w:sz w:val="20"/>
          <w:szCs w:val="20"/>
          <w:rtl w:val="0"/>
        </w:rPr>
        <w:t xml:space="preserve"> </w:t>
      </w:r>
    </w:p>
  </w:footnote>
  <w:footnote w:id="1">
    <w:p w:rsidR="00000000" w:rsidDel="00000000" w:rsidP="00000000" w:rsidRDefault="00000000" w:rsidRPr="00000000" w14:paraId="000000B7">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CEDAW/C/ARG/8, párrs 12, 32, 202, 203 y 210.</w:t>
      </w:r>
    </w:p>
  </w:footnote>
  <w:footnote w:id="3">
    <w:p w:rsidR="00000000" w:rsidDel="00000000" w:rsidP="00000000" w:rsidRDefault="00000000" w:rsidRPr="00000000" w14:paraId="000000B8">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highlight w:val="white"/>
          <w:rtl w:val="0"/>
        </w:rPr>
        <w:t xml:space="preserve"> El 27 de agosto de 2024, el ministro de Justicia de la Nación fue citado por la Comisión de Mujeres y Diversidad de la Cámara de Diputados para que brindara información sobre el abordaje de las problemáticas de violencia luego del cierre de la Subsecretaría de Protección contra la Violencia de Género que estaba a su cargo. En su</w:t>
      </w:r>
      <w:hyperlink r:id="rId3">
        <w:r w:rsidDel="00000000" w:rsidR="00000000" w:rsidRPr="00000000">
          <w:rPr>
            <w:rFonts w:ascii="Times New Roman" w:cs="Times New Roman" w:eastAsia="Times New Roman" w:hAnsi="Times New Roman"/>
            <w:color w:val="538135"/>
            <w:sz w:val="20"/>
            <w:szCs w:val="20"/>
            <w:highlight w:val="white"/>
            <w:rtl w:val="0"/>
          </w:rPr>
          <w:t xml:space="preserve"> </w:t>
        </w:r>
      </w:hyperlink>
      <w:hyperlink r:id="rId4">
        <w:r w:rsidDel="00000000" w:rsidR="00000000" w:rsidRPr="00000000">
          <w:rPr>
            <w:rFonts w:ascii="Times New Roman" w:cs="Times New Roman" w:eastAsia="Times New Roman" w:hAnsi="Times New Roman"/>
            <w:color w:val="0563c1"/>
            <w:sz w:val="20"/>
            <w:szCs w:val="20"/>
            <w:highlight w:val="white"/>
            <w:u w:val="single"/>
            <w:rtl w:val="0"/>
          </w:rPr>
          <w:t xml:space="preserve">alocución</w:t>
        </w:r>
      </w:hyperlink>
      <w:r w:rsidDel="00000000" w:rsidR="00000000" w:rsidRPr="00000000">
        <w:rPr>
          <w:rFonts w:ascii="Times New Roman" w:cs="Times New Roman" w:eastAsia="Times New Roman" w:hAnsi="Times New Roman"/>
          <w:sz w:val="20"/>
          <w:szCs w:val="20"/>
          <w:highlight w:val="white"/>
          <w:rtl w:val="0"/>
        </w:rPr>
        <w:t xml:space="preserve">,</w:t>
      </w:r>
      <w:r w:rsidDel="00000000" w:rsidR="00000000" w:rsidRPr="00000000">
        <w:rPr>
          <w:rFonts w:ascii="Times New Roman" w:cs="Times New Roman" w:eastAsia="Times New Roman" w:hAnsi="Times New Roman"/>
          <w:color w:val="538135"/>
          <w:sz w:val="20"/>
          <w:szCs w:val="20"/>
          <w:highlight w:val="white"/>
          <w:rtl w:val="0"/>
        </w:rPr>
        <w:t xml:space="preserve"> </w:t>
      </w:r>
      <w:r w:rsidDel="00000000" w:rsidR="00000000" w:rsidRPr="00000000">
        <w:rPr>
          <w:rFonts w:ascii="Times New Roman" w:cs="Times New Roman" w:eastAsia="Times New Roman" w:hAnsi="Times New Roman"/>
          <w:sz w:val="20"/>
          <w:szCs w:val="20"/>
          <w:highlight w:val="white"/>
          <w:rtl w:val="0"/>
        </w:rPr>
        <w:t xml:space="preserve">el funcionario defendió el cierre de la estructura y aseguró que desde el gobierno “rechazamos la diversidad y la identidad sexual que no se alineen con la biología”. </w:t>
      </w:r>
      <w:r w:rsidDel="00000000" w:rsidR="00000000" w:rsidRPr="00000000">
        <w:rPr>
          <w:rFonts w:ascii="Times New Roman" w:cs="Times New Roman" w:eastAsia="Times New Roman" w:hAnsi="Times New Roman"/>
          <w:sz w:val="20"/>
          <w:szCs w:val="20"/>
          <w:rtl w:val="0"/>
        </w:rPr>
        <w:t xml:space="preserve">Ver </w:t>
      </w:r>
      <w:hyperlink r:id="rId5">
        <w:r w:rsidDel="00000000" w:rsidR="00000000" w:rsidRPr="00000000">
          <w:rPr>
            <w:rFonts w:ascii="Times New Roman" w:cs="Times New Roman" w:eastAsia="Times New Roman" w:hAnsi="Times New Roman"/>
            <w:color w:val="1155cc"/>
            <w:sz w:val="20"/>
            <w:szCs w:val="20"/>
            <w:u w:val="single"/>
            <w:rtl w:val="0"/>
          </w:rPr>
          <w:t xml:space="preserve">www.clarin.com/sociedad/ahora-gobierno-dice-politicas-genero-excusas_0_NaIzCSNO9W.html</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8">
    <w:p w:rsidR="00000000" w:rsidDel="00000000" w:rsidP="00000000" w:rsidRDefault="00000000" w:rsidRPr="00000000" w14:paraId="000000B9">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CEDAW/C/ARG/CO/7, párr. 20(c).</w:t>
      </w:r>
    </w:p>
  </w:footnote>
  <w:footnote w:id="6">
    <w:p w:rsidR="00000000" w:rsidDel="00000000" w:rsidP="00000000" w:rsidRDefault="00000000" w:rsidRPr="00000000" w14:paraId="000000BA">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Ubuntu" w:cs="Ubuntu" w:eastAsia="Ubuntu" w:hAnsi="Ubuntu"/>
          <w:sz w:val="20"/>
          <w:szCs w:val="20"/>
          <w:rtl w:val="0"/>
        </w:rPr>
        <w:t xml:space="preserve"> </w:t>
      </w:r>
      <w:hyperlink r:id="rId6">
        <w:r w:rsidDel="00000000" w:rsidR="00000000" w:rsidRPr="00000000">
          <w:rPr>
            <w:rFonts w:ascii="Times New Roman" w:cs="Times New Roman" w:eastAsia="Times New Roman" w:hAnsi="Times New Roman"/>
            <w:color w:val="1155cc"/>
            <w:sz w:val="20"/>
            <w:szCs w:val="20"/>
            <w:u w:val="single"/>
            <w:rtl w:val="0"/>
          </w:rPr>
          <w:t xml:space="preserve">https://ela.org.ar/publicaciones-documentos/mas-alla-de-los-numeros-el-impacto-del-desmantelamiento-de-las-politicas-de-genero-en-argentina-2023-2025/</w:t>
        </w:r>
      </w:hyperlink>
      <w:r w:rsidDel="00000000" w:rsidR="00000000" w:rsidRPr="00000000">
        <w:rPr>
          <w:rFonts w:ascii="Times New Roman" w:cs="Times New Roman" w:eastAsia="Times New Roman" w:hAnsi="Times New Roman"/>
          <w:sz w:val="20"/>
          <w:szCs w:val="20"/>
          <w:rtl w:val="0"/>
        </w:rPr>
        <w:t xml:space="preserve"> </w:t>
      </w:r>
    </w:p>
  </w:footnote>
  <w:footnote w:id="10">
    <w:p w:rsidR="00000000" w:rsidDel="00000000" w:rsidP="00000000" w:rsidRDefault="00000000" w:rsidRPr="00000000" w14:paraId="000000BB">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7">
        <w:r w:rsidDel="00000000" w:rsidR="00000000" w:rsidRPr="00000000">
          <w:rPr>
            <w:rFonts w:ascii="Times New Roman" w:cs="Times New Roman" w:eastAsia="Times New Roman" w:hAnsi="Times New Roman"/>
            <w:color w:val="1155cc"/>
            <w:sz w:val="20"/>
            <w:szCs w:val="20"/>
            <w:u w:val="single"/>
            <w:rtl w:val="0"/>
          </w:rPr>
          <w:t xml:space="preserve">https://ela.org.ar/wp-content/uploads/2024/07/Gacetilla-de-prensa-Presentacion-judicial-contra-el-Poder-Ejecutivo-por-el-incumplimiento-de-leyes-y-tratados-internacionales-en-materia-de-genero.pdf</w:t>
        </w:r>
      </w:hyperlink>
      <w:r w:rsidDel="00000000" w:rsidR="00000000" w:rsidRPr="00000000">
        <w:rPr>
          <w:rFonts w:ascii="Times New Roman" w:cs="Times New Roman" w:eastAsia="Times New Roman" w:hAnsi="Times New Roman"/>
          <w:sz w:val="20"/>
          <w:szCs w:val="20"/>
          <w:rtl w:val="0"/>
        </w:rPr>
        <w:t xml:space="preserve"> </w:t>
      </w:r>
    </w:p>
  </w:footnote>
  <w:footnote w:id="5">
    <w:p w:rsidR="00000000" w:rsidDel="00000000" w:rsidP="00000000" w:rsidRDefault="00000000" w:rsidRPr="00000000" w14:paraId="000000BC">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8">
        <w:r w:rsidDel="00000000" w:rsidR="00000000" w:rsidRPr="00000000">
          <w:rPr>
            <w:rFonts w:ascii="Times New Roman" w:cs="Times New Roman" w:eastAsia="Times New Roman" w:hAnsi="Times New Roman"/>
            <w:color w:val="1155cc"/>
            <w:sz w:val="20"/>
            <w:szCs w:val="20"/>
            <w:u w:val="single"/>
            <w:rtl w:val="0"/>
          </w:rPr>
          <w:t xml:space="preserve">https://ela.org.ar/publicaciones-documentos/libradas-a-su-suerte-actualizacion-noviembre-2024/</w:t>
        </w:r>
      </w:hyperlink>
      <w:r w:rsidDel="00000000" w:rsidR="00000000" w:rsidRPr="00000000">
        <w:rPr>
          <w:rFonts w:ascii="Times New Roman" w:cs="Times New Roman" w:eastAsia="Times New Roman" w:hAnsi="Times New Roman"/>
          <w:sz w:val="20"/>
          <w:szCs w:val="20"/>
          <w:rtl w:val="0"/>
        </w:rPr>
        <w:t xml:space="preserve"> </w:t>
      </w:r>
    </w:p>
  </w:footnote>
  <w:footnote w:id="14">
    <w:p w:rsidR="00000000" w:rsidDel="00000000" w:rsidP="00000000" w:rsidRDefault="00000000" w:rsidRPr="00000000" w14:paraId="000000BD">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rtl w:val="0"/>
        </w:rPr>
        <w:t xml:space="preserve">Las modificaciones al Programa dejaron en total incertidumbre las solicitudes pendientes de aprobación previas al </w:t>
      </w:r>
      <w:hyperlink r:id="rId9">
        <w:r w:rsidDel="00000000" w:rsidR="00000000" w:rsidRPr="00000000">
          <w:rPr>
            <w:rFonts w:ascii="Times New Roman" w:cs="Times New Roman" w:eastAsia="Times New Roman" w:hAnsi="Times New Roman"/>
            <w:color w:val="1155cc"/>
            <w:sz w:val="20"/>
            <w:szCs w:val="20"/>
            <w:u w:val="single"/>
            <w:rtl w:val="0"/>
          </w:rPr>
          <w:t xml:space="preserve">Decreto 755/2024</w:t>
        </w:r>
      </w:hyperlink>
      <w:r w:rsidDel="00000000" w:rsidR="00000000" w:rsidRPr="00000000">
        <w:rPr>
          <w:rFonts w:ascii="Times New Roman" w:cs="Times New Roman" w:eastAsia="Times New Roman" w:hAnsi="Times New Roman"/>
          <w:sz w:val="20"/>
          <w:szCs w:val="20"/>
          <w:rtl w:val="0"/>
        </w:rPr>
        <w:t xml:space="preserve">. A través de la </w:t>
      </w:r>
      <w:hyperlink r:id="rId10">
        <w:r w:rsidDel="00000000" w:rsidR="00000000" w:rsidRPr="00000000">
          <w:rPr>
            <w:rFonts w:ascii="Times New Roman" w:cs="Times New Roman" w:eastAsia="Times New Roman" w:hAnsi="Times New Roman"/>
            <w:color w:val="1155cc"/>
            <w:sz w:val="20"/>
            <w:szCs w:val="20"/>
            <w:u w:val="single"/>
            <w:rtl w:val="0"/>
          </w:rPr>
          <w:t xml:space="preserve">Resolución 401/2025</w:t>
        </w:r>
      </w:hyperlink>
      <w:r w:rsidDel="00000000" w:rsidR="00000000" w:rsidRPr="00000000">
        <w:rPr>
          <w:rFonts w:ascii="Times New Roman" w:cs="Times New Roman" w:eastAsia="Times New Roman" w:hAnsi="Times New Roman"/>
          <w:sz w:val="20"/>
          <w:szCs w:val="20"/>
          <w:rtl w:val="0"/>
        </w:rPr>
        <w:t xml:space="preserve">, el Gobierno llamó a revisar más de 80.000 solicitudes</w:t>
      </w:r>
      <w:r w:rsidDel="00000000" w:rsidR="00000000" w:rsidRPr="00000000">
        <w:rPr>
          <w:rFonts w:ascii="Times New Roman" w:cs="Times New Roman" w:eastAsia="Times New Roman" w:hAnsi="Times New Roman"/>
          <w:sz w:val="20"/>
          <w:szCs w:val="20"/>
          <w:rtl w:val="0"/>
        </w:rPr>
        <w:t xml:space="preserve">.</w:t>
      </w:r>
    </w:p>
  </w:footnote>
  <w:footnote w:id="21">
    <w:p w:rsidR="00000000" w:rsidDel="00000000" w:rsidP="00000000" w:rsidRDefault="00000000" w:rsidRPr="00000000" w14:paraId="000000BE">
      <w:pPr>
        <w:spacing w:line="240" w:lineRule="auto"/>
        <w:jc w:val="both"/>
        <w:rPr>
          <w:rFonts w:ascii="Times New Roman" w:cs="Times New Roman" w:eastAsia="Times New Roman" w:hAnsi="Times New Roman"/>
          <w:sz w:val="20"/>
          <w:szCs w:val="20"/>
          <w:highlight w:val="whit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11">
        <w:r w:rsidDel="00000000" w:rsidR="00000000" w:rsidRPr="00000000">
          <w:rPr>
            <w:rFonts w:ascii="Times New Roman" w:cs="Times New Roman" w:eastAsia="Times New Roman" w:hAnsi="Times New Roman"/>
            <w:color w:val="1155cc"/>
            <w:sz w:val="20"/>
            <w:szCs w:val="20"/>
            <w:u w:val="single"/>
            <w:rtl w:val="0"/>
          </w:rPr>
          <w:t xml:space="preserve">https://ela.org.ar/wp-content/uploads/2024/01/Ley-Omnibus-Ley-Micaela_ELA.pdf</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22">
    <w:p w:rsidR="00000000" w:rsidDel="00000000" w:rsidP="00000000" w:rsidRDefault="00000000" w:rsidRPr="00000000" w14:paraId="000000BF">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Según datos publicados por SENAF, a diciembre de 2023 se alcanzó a un total de 1.298 de niñas/os y adolescentes más los retroactivos, 270 corresponden al año 2023. </w:t>
      </w:r>
    </w:p>
  </w:footnote>
  <w:footnote w:id="23">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rtl w:val="0"/>
        </w:rPr>
        <w:t xml:space="preserve">EX-2025-106141020- -APN-DNPAIP#AAIP, </w:t>
      </w:r>
      <w:r w:rsidDel="00000000" w:rsidR="00000000" w:rsidRPr="00000000">
        <w:rPr>
          <w:rFonts w:ascii="Times New Roman" w:cs="Times New Roman" w:eastAsia="Times New Roman" w:hAnsi="Times New Roman"/>
          <w:sz w:val="20"/>
          <w:szCs w:val="20"/>
          <w:rtl w:val="0"/>
        </w:rPr>
        <w:t xml:space="preserve">respuesta del 15/09/2025.</w:t>
      </w:r>
    </w:p>
  </w:footnote>
  <w:footnote w:id="24">
    <w:p w:rsidR="00000000" w:rsidDel="00000000" w:rsidP="00000000" w:rsidRDefault="00000000" w:rsidRPr="00000000" w14:paraId="000000C1">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12">
        <w:r w:rsidDel="00000000" w:rsidR="00000000" w:rsidRPr="00000000">
          <w:rPr>
            <w:rFonts w:ascii="Times New Roman" w:cs="Times New Roman" w:eastAsia="Times New Roman" w:hAnsi="Times New Roman"/>
            <w:color w:val="1155cc"/>
            <w:sz w:val="20"/>
            <w:szCs w:val="20"/>
            <w:u w:val="single"/>
            <w:rtl w:val="0"/>
          </w:rPr>
          <w:t xml:space="preserve">https://www.instagram.com/p/DLkG908OTz4/</w:t>
        </w:r>
      </w:hyperlink>
      <w:r w:rsidDel="00000000" w:rsidR="00000000" w:rsidRPr="00000000">
        <w:rPr>
          <w:rFonts w:ascii="Times New Roman" w:cs="Times New Roman" w:eastAsia="Times New Roman" w:hAnsi="Times New Roman"/>
          <w:sz w:val="20"/>
          <w:szCs w:val="20"/>
          <w:rtl w:val="0"/>
        </w:rPr>
        <w:t xml:space="preserve"> </w:t>
      </w:r>
    </w:p>
  </w:footnote>
  <w:footnote w:id="13">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13">
        <w:r w:rsidDel="00000000" w:rsidR="00000000" w:rsidRPr="00000000">
          <w:rPr>
            <w:rFonts w:ascii="Times New Roman" w:cs="Times New Roman" w:eastAsia="Times New Roman" w:hAnsi="Times New Roman"/>
            <w:color w:val="1155cc"/>
            <w:sz w:val="20"/>
            <w:szCs w:val="20"/>
            <w:u w:val="single"/>
            <w:rtl w:val="0"/>
          </w:rPr>
          <w:t xml:space="preserve">https://ela.org.ar/wp-content/uploads/2023/06/5.-Es-por-aca.pdf.pdf</w:t>
        </w:r>
      </w:hyperlink>
      <w:r w:rsidDel="00000000" w:rsidR="00000000" w:rsidRPr="00000000">
        <w:rPr>
          <w:rFonts w:ascii="Times New Roman" w:cs="Times New Roman" w:eastAsia="Times New Roman" w:hAnsi="Times New Roman"/>
          <w:sz w:val="20"/>
          <w:szCs w:val="20"/>
          <w:rtl w:val="0"/>
        </w:rPr>
        <w:t xml:space="preserve"> </w:t>
      </w:r>
    </w:p>
  </w:footnote>
  <w:footnote w:id="19">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14">
        <w:r w:rsidDel="00000000" w:rsidR="00000000" w:rsidRPr="00000000">
          <w:rPr>
            <w:rFonts w:ascii="Times New Roman" w:cs="Times New Roman" w:eastAsia="Times New Roman" w:hAnsi="Times New Roman"/>
            <w:color w:val="1155cc"/>
            <w:sz w:val="20"/>
            <w:szCs w:val="20"/>
            <w:u w:val="single"/>
            <w:rtl w:val="0"/>
          </w:rPr>
          <w:t xml:space="preserve">https://www.argentina.gob.ar/sites/default/files/2020/12/libro_informe_de_gestion_2023-hoja_por_hoja-v4.pdf</w:t>
        </w:r>
      </w:hyperlink>
      <w:r w:rsidDel="00000000" w:rsidR="00000000" w:rsidRPr="00000000">
        <w:rPr>
          <w:rFonts w:ascii="Times New Roman" w:cs="Times New Roman" w:eastAsia="Times New Roman" w:hAnsi="Times New Roman"/>
          <w:sz w:val="20"/>
          <w:szCs w:val="20"/>
          <w:rtl w:val="0"/>
        </w:rPr>
        <w:t xml:space="preserve"> </w:t>
      </w:r>
    </w:p>
  </w:footnote>
  <w:footnote w:id="32">
    <w:p w:rsidR="00000000" w:rsidDel="00000000" w:rsidP="00000000" w:rsidRDefault="00000000" w:rsidRPr="00000000" w14:paraId="000000C4">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15">
        <w:r w:rsidDel="00000000" w:rsidR="00000000" w:rsidRPr="00000000">
          <w:rPr>
            <w:rFonts w:ascii="Times New Roman" w:cs="Times New Roman" w:eastAsia="Times New Roman" w:hAnsi="Times New Roman"/>
            <w:color w:val="1155cc"/>
            <w:sz w:val="20"/>
            <w:szCs w:val="20"/>
            <w:u w:val="single"/>
            <w:rtl w:val="0"/>
          </w:rPr>
          <w:t xml:space="preserve">https://ela.org.ar/wp-content/uploads/2023/12/2023-Cadenas-invisibles.pdf</w:t>
        </w:r>
      </w:hyperlink>
      <w:r w:rsidDel="00000000" w:rsidR="00000000" w:rsidRPr="00000000">
        <w:rPr>
          <w:rFonts w:ascii="Times New Roman" w:cs="Times New Roman" w:eastAsia="Times New Roman" w:hAnsi="Times New Roman"/>
          <w:sz w:val="20"/>
          <w:szCs w:val="20"/>
          <w:rtl w:val="0"/>
        </w:rPr>
        <w:t xml:space="preserve">, </w:t>
      </w:r>
      <w:hyperlink r:id="rId16">
        <w:r w:rsidDel="00000000" w:rsidR="00000000" w:rsidRPr="00000000">
          <w:rPr>
            <w:rFonts w:ascii="Times New Roman" w:cs="Times New Roman" w:eastAsia="Times New Roman" w:hAnsi="Times New Roman"/>
            <w:color w:val="1155cc"/>
            <w:sz w:val="20"/>
            <w:szCs w:val="20"/>
            <w:u w:val="single"/>
            <w:rtl w:val="0"/>
          </w:rPr>
          <w:t xml:space="preserve">https://ela.org.ar/wp-content/uploads/2024/03/Documento-Numeros-en-rojo.pdf</w:t>
        </w:r>
      </w:hyperlink>
      <w:r w:rsidDel="00000000" w:rsidR="00000000" w:rsidRPr="00000000">
        <w:rPr>
          <w:rFonts w:ascii="Times New Roman" w:cs="Times New Roman" w:eastAsia="Times New Roman" w:hAnsi="Times New Roman"/>
          <w:sz w:val="20"/>
          <w:szCs w:val="20"/>
          <w:rtl w:val="0"/>
        </w:rPr>
        <w:t xml:space="preserve"> </w:t>
      </w:r>
    </w:p>
  </w:footnote>
  <w:footnote w:id="35">
    <w:p w:rsidR="00000000" w:rsidDel="00000000" w:rsidP="00000000" w:rsidRDefault="00000000" w:rsidRPr="00000000" w14:paraId="000000C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17">
        <w:r w:rsidDel="00000000" w:rsidR="00000000" w:rsidRPr="00000000">
          <w:rPr>
            <w:rFonts w:ascii="Times New Roman" w:cs="Times New Roman" w:eastAsia="Times New Roman" w:hAnsi="Times New Roman"/>
            <w:color w:val="1155cc"/>
            <w:sz w:val="20"/>
            <w:szCs w:val="20"/>
            <w:u w:val="single"/>
            <w:rtl w:val="0"/>
          </w:rPr>
          <w:t xml:space="preserve">https://www.senado.gob.ar/prensa/22319/noticias</w:t>
        </w:r>
      </w:hyperlink>
      <w:r w:rsidDel="00000000" w:rsidR="00000000" w:rsidRPr="00000000">
        <w:rPr>
          <w:rFonts w:ascii="Times New Roman" w:cs="Times New Roman" w:eastAsia="Times New Roman" w:hAnsi="Times New Roman"/>
          <w:sz w:val="20"/>
          <w:szCs w:val="20"/>
          <w:rtl w:val="0"/>
        </w:rPr>
        <w:t xml:space="preserve"> </w:t>
      </w:r>
    </w:p>
  </w:footnote>
  <w:footnote w:id="36">
    <w:p w:rsidR="00000000" w:rsidDel="00000000" w:rsidP="00000000" w:rsidRDefault="00000000" w:rsidRPr="00000000" w14:paraId="000000C6">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18">
        <w:r w:rsidDel="00000000" w:rsidR="00000000" w:rsidRPr="00000000">
          <w:rPr>
            <w:rFonts w:ascii="Times New Roman" w:cs="Times New Roman" w:eastAsia="Times New Roman" w:hAnsi="Times New Roman"/>
            <w:color w:val="1155cc"/>
            <w:sz w:val="20"/>
            <w:szCs w:val="20"/>
            <w:u w:val="single"/>
            <w:rtl w:val="0"/>
          </w:rPr>
          <w:t xml:space="preserve">https://www.perfil.com/noticias/bravotv/patricia-bullrich-culpo-al-feminismo-por-la-ola-de-femicidios-y-desato-el-repudio-de-organizaciones-de-mujeres.phtml</w:t>
        </w:r>
      </w:hyperlink>
      <w:r w:rsidDel="00000000" w:rsidR="00000000" w:rsidRPr="00000000">
        <w:rPr>
          <w:rFonts w:ascii="Times New Roman" w:cs="Times New Roman" w:eastAsia="Times New Roman" w:hAnsi="Times New Roman"/>
          <w:sz w:val="20"/>
          <w:szCs w:val="20"/>
          <w:rtl w:val="0"/>
        </w:rPr>
        <w:t xml:space="preserve"> </w:t>
      </w:r>
    </w:p>
  </w:footnote>
  <w:footnote w:id="60">
    <w:p w:rsidR="00000000" w:rsidDel="00000000" w:rsidP="00000000" w:rsidRDefault="00000000" w:rsidRPr="00000000" w14:paraId="000000C7">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CEDAW/C/ARG/8, párr. 78. Este sistema operaba mediante una aplicación web y un padrón unificado por documento nacional de identidad, lo que permitía la trazabilidad de los casos, el registro de múltiples agresores y la clasificación de los hechos según los tipos y modalidades previstos en la Ley 26.485.</w:t>
      </w:r>
    </w:p>
  </w:footnote>
  <w:footnote w:id="61">
    <w:p w:rsidR="00000000" w:rsidDel="00000000" w:rsidP="00000000" w:rsidRDefault="00000000" w:rsidRPr="00000000" w14:paraId="000000C8">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CEDAW/C/ARG/8, párr. 80.</w:t>
      </w:r>
    </w:p>
  </w:footnote>
  <w:footnote w:id="67">
    <w:p w:rsidR="00000000" w:rsidDel="00000000" w:rsidP="00000000" w:rsidRDefault="00000000" w:rsidRPr="00000000" w14:paraId="000000C9">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19">
        <w:r w:rsidDel="00000000" w:rsidR="00000000" w:rsidRPr="00000000">
          <w:rPr>
            <w:rFonts w:ascii="Times New Roman" w:cs="Times New Roman" w:eastAsia="Times New Roman" w:hAnsi="Times New Roman"/>
            <w:color w:val="1155cc"/>
            <w:sz w:val="20"/>
            <w:szCs w:val="20"/>
            <w:u w:val="single"/>
            <w:rtl w:val="0"/>
          </w:rPr>
          <w:t xml:space="preserve">https://www.casarosada.gob.ar/informacion/discursos/50299-palabras-del-presidente-de-la-nacion-javier-milei-en-el-54-reunion-anual-del-foro-economico-mundial-de-davos%7D</w:t>
        </w:r>
      </w:hyperlink>
      <w:r w:rsidDel="00000000" w:rsidR="00000000" w:rsidRPr="00000000">
        <w:rPr>
          <w:rFonts w:ascii="Times New Roman" w:cs="Times New Roman" w:eastAsia="Times New Roman" w:hAnsi="Times New Roman"/>
          <w:sz w:val="20"/>
          <w:szCs w:val="20"/>
          <w:rtl w:val="0"/>
        </w:rPr>
        <w:t xml:space="preserve"> </w:t>
      </w:r>
    </w:p>
  </w:footnote>
  <w:footnote w:id="68">
    <w:p w:rsidR="00000000" w:rsidDel="00000000" w:rsidP="00000000" w:rsidRDefault="00000000" w:rsidRPr="00000000" w14:paraId="000000CA">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20">
        <w:r w:rsidDel="00000000" w:rsidR="00000000" w:rsidRPr="00000000">
          <w:rPr>
            <w:rFonts w:ascii="Times New Roman" w:cs="Times New Roman" w:eastAsia="Times New Roman" w:hAnsi="Times New Roman"/>
            <w:color w:val="1155cc"/>
            <w:sz w:val="20"/>
            <w:szCs w:val="20"/>
            <w:u w:val="single"/>
            <w:rtl w:val="0"/>
          </w:rPr>
          <w:t xml:space="preserve">https://www.oas.org/es/mesecvi/docs/MESECVI-IX_CE_doc.152_24.ListaParticipantes.pdf</w:t>
        </w:r>
      </w:hyperlink>
      <w:r w:rsidDel="00000000" w:rsidR="00000000" w:rsidRPr="00000000">
        <w:rPr>
          <w:rFonts w:ascii="Times New Roman" w:cs="Times New Roman" w:eastAsia="Times New Roman" w:hAnsi="Times New Roman"/>
          <w:color w:val="1155cc"/>
          <w:sz w:val="20"/>
          <w:szCs w:val="20"/>
          <w:u w:val="single"/>
          <w:rtl w:val="0"/>
        </w:rPr>
        <w:t xml:space="preserve"> </w:t>
      </w:r>
      <w:r w:rsidDel="00000000" w:rsidR="00000000" w:rsidRPr="00000000">
        <w:rPr>
          <w:rtl w:val="0"/>
        </w:rPr>
      </w:r>
    </w:p>
  </w:footnote>
  <w:footnote w:id="69">
    <w:p w:rsidR="00000000" w:rsidDel="00000000" w:rsidP="00000000" w:rsidRDefault="00000000" w:rsidRPr="00000000" w14:paraId="000000CB">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21">
        <w:r w:rsidDel="00000000" w:rsidR="00000000" w:rsidRPr="00000000">
          <w:rPr>
            <w:rFonts w:ascii="Times New Roman" w:cs="Times New Roman" w:eastAsia="Times New Roman" w:hAnsi="Times New Roman"/>
            <w:color w:val="1155cc"/>
            <w:sz w:val="20"/>
            <w:szCs w:val="20"/>
            <w:u w:val="single"/>
            <w:rtl w:val="0"/>
          </w:rPr>
          <w:t xml:space="preserve">https://webtv.un.org/es/asset/k1j/k1j48i2h92</w:t>
        </w:r>
      </w:hyperlink>
      <w:r w:rsidDel="00000000" w:rsidR="00000000" w:rsidRPr="00000000">
        <w:rPr>
          <w:rtl w:val="0"/>
        </w:rPr>
      </w:r>
    </w:p>
  </w:footnote>
  <w:footnote w:id="70">
    <w:p w:rsidR="00000000" w:rsidDel="00000000" w:rsidP="00000000" w:rsidRDefault="00000000" w:rsidRPr="00000000" w14:paraId="000000CC">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22">
        <w:r w:rsidDel="00000000" w:rsidR="00000000" w:rsidRPr="00000000">
          <w:rPr>
            <w:rFonts w:ascii="Times New Roman" w:cs="Times New Roman" w:eastAsia="Times New Roman" w:hAnsi="Times New Roman"/>
            <w:color w:val="1155cc"/>
            <w:sz w:val="20"/>
            <w:szCs w:val="20"/>
            <w:u w:val="single"/>
            <w:rtl w:val="0"/>
          </w:rPr>
          <w:t xml:space="preserve">https://ela.org.ar/novedades/la-corte-idh-rechaza-el-pedido-del-estado-argentino-de-retirar-la-opinion-consultiva-sobre-cuidados/</w:t>
        </w:r>
      </w:hyperlink>
      <w:r w:rsidDel="00000000" w:rsidR="00000000" w:rsidRPr="00000000">
        <w:rPr>
          <w:rFonts w:ascii="Times New Roman" w:cs="Times New Roman" w:eastAsia="Times New Roman" w:hAnsi="Times New Roman"/>
          <w:sz w:val="20"/>
          <w:szCs w:val="20"/>
          <w:rtl w:val="0"/>
        </w:rPr>
        <w:t xml:space="preserve"> </w:t>
      </w:r>
    </w:p>
  </w:footnote>
  <w:footnote w:id="65">
    <w:p w:rsidR="00000000" w:rsidDel="00000000" w:rsidP="00000000" w:rsidRDefault="00000000" w:rsidRPr="00000000" w14:paraId="000000CD">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23">
        <w:r w:rsidDel="00000000" w:rsidR="00000000" w:rsidRPr="00000000">
          <w:rPr>
            <w:rFonts w:ascii="Times New Roman" w:cs="Times New Roman" w:eastAsia="Times New Roman" w:hAnsi="Times New Roman"/>
            <w:color w:val="1155cc"/>
            <w:sz w:val="20"/>
            <w:szCs w:val="20"/>
            <w:u w:val="single"/>
            <w:rtl w:val="0"/>
          </w:rPr>
          <w:t xml:space="preserve">www.presupuestoabierto.gob.ar/sici/analisis-transversal-genero</w:t>
        </w:r>
      </w:hyperlink>
      <w:r w:rsidDel="00000000" w:rsidR="00000000" w:rsidRPr="00000000">
        <w:rPr>
          <w:rFonts w:ascii="Times New Roman" w:cs="Times New Roman" w:eastAsia="Times New Roman" w:hAnsi="Times New Roman"/>
          <w:sz w:val="20"/>
          <w:szCs w:val="20"/>
          <w:rtl w:val="0"/>
        </w:rPr>
        <w:t xml:space="preserve"> </w:t>
      </w:r>
    </w:p>
  </w:footnote>
  <w:footnote w:id="74">
    <w:p w:rsidR="00000000" w:rsidDel="00000000" w:rsidP="00000000" w:rsidRDefault="00000000" w:rsidRPr="00000000" w14:paraId="000000CE">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24">
        <w:r w:rsidDel="00000000" w:rsidR="00000000" w:rsidRPr="00000000">
          <w:rPr>
            <w:rFonts w:ascii="Times New Roman" w:cs="Times New Roman" w:eastAsia="Times New Roman" w:hAnsi="Times New Roman"/>
            <w:color w:val="1155cc"/>
            <w:sz w:val="20"/>
            <w:szCs w:val="20"/>
            <w:u w:val="single"/>
            <w:rtl w:val="0"/>
          </w:rPr>
          <w:t xml:space="preserve">https://belemdopara.org/wp-content/uploads/2024/02/Comunicado-Argentina-Institucionalidad.pdf</w:t>
        </w:r>
      </w:hyperlink>
      <w:r w:rsidDel="00000000" w:rsidR="00000000" w:rsidRPr="00000000">
        <w:rPr>
          <w:rFonts w:ascii="Times New Roman" w:cs="Times New Roman" w:eastAsia="Times New Roman" w:hAnsi="Times New Roman"/>
          <w:sz w:val="20"/>
          <w:szCs w:val="20"/>
          <w:rtl w:val="0"/>
        </w:rPr>
        <w:t xml:space="preserve">, </w:t>
      </w:r>
      <w:hyperlink r:id="rId25">
        <w:r w:rsidDel="00000000" w:rsidR="00000000" w:rsidRPr="00000000">
          <w:rPr>
            <w:rFonts w:ascii="Times New Roman" w:cs="Times New Roman" w:eastAsia="Times New Roman" w:hAnsi="Times New Roman"/>
            <w:color w:val="1155cc"/>
            <w:sz w:val="20"/>
            <w:szCs w:val="20"/>
            <w:u w:val="single"/>
            <w:rtl w:val="0"/>
          </w:rPr>
          <w:t xml:space="preserve">https://belemdopara.org/wp-content/uploads/2024/06/Comunicado-IX-CEP.pdf</w:t>
        </w:r>
      </w:hyperlink>
      <w:r w:rsidDel="00000000" w:rsidR="00000000" w:rsidRPr="00000000">
        <w:rPr>
          <w:rFonts w:ascii="Times New Roman" w:cs="Times New Roman" w:eastAsia="Times New Roman" w:hAnsi="Times New Roman"/>
          <w:sz w:val="20"/>
          <w:szCs w:val="20"/>
          <w:rtl w:val="0"/>
        </w:rPr>
        <w:t xml:space="preserve">, </w:t>
      </w:r>
      <w:hyperlink r:id="rId26">
        <w:r w:rsidDel="00000000" w:rsidR="00000000" w:rsidRPr="00000000">
          <w:rPr>
            <w:rFonts w:ascii="Times New Roman" w:cs="Times New Roman" w:eastAsia="Times New Roman" w:hAnsi="Times New Roman"/>
            <w:color w:val="1155cc"/>
            <w:sz w:val="20"/>
            <w:szCs w:val="20"/>
            <w:u w:val="single"/>
            <w:rtl w:val="0"/>
          </w:rPr>
          <w:t xml:space="preserve">https://belemdopara.org/wp-content/uploads/2024/08/Comunicado-Argentina-Agosto-2024-.pdf</w:t>
        </w:r>
      </w:hyperlink>
      <w:r w:rsidDel="00000000" w:rsidR="00000000" w:rsidRPr="00000000">
        <w:rPr>
          <w:rFonts w:ascii="Times New Roman" w:cs="Times New Roman" w:eastAsia="Times New Roman" w:hAnsi="Times New Roman"/>
          <w:sz w:val="20"/>
          <w:szCs w:val="20"/>
          <w:rtl w:val="0"/>
        </w:rPr>
        <w:t xml:space="preserve"> </w:t>
      </w:r>
    </w:p>
  </w:footnote>
  <w:footnote w:id="75">
    <w:p w:rsidR="00000000" w:rsidDel="00000000" w:rsidP="00000000" w:rsidRDefault="00000000" w:rsidRPr="00000000" w14:paraId="000000CF">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27">
        <w:r w:rsidDel="00000000" w:rsidR="00000000" w:rsidRPr="00000000">
          <w:rPr>
            <w:rFonts w:ascii="Times New Roman" w:cs="Times New Roman" w:eastAsia="Times New Roman" w:hAnsi="Times New Roman"/>
            <w:color w:val="1155cc"/>
            <w:sz w:val="20"/>
            <w:szCs w:val="20"/>
            <w:u w:val="single"/>
            <w:rtl w:val="0"/>
          </w:rPr>
          <w:t xml:space="preserve">https://belemdopara.org/wp-content/uploads/2024/04/Comunicado-Argentina.pdf</w:t>
        </w:r>
      </w:hyperlink>
      <w:r w:rsidDel="00000000" w:rsidR="00000000" w:rsidRPr="00000000">
        <w:rPr>
          <w:rFonts w:ascii="Times New Roman" w:cs="Times New Roman" w:eastAsia="Times New Roman" w:hAnsi="Times New Roman"/>
          <w:sz w:val="20"/>
          <w:szCs w:val="20"/>
          <w:rtl w:val="0"/>
        </w:rPr>
        <w:t xml:space="preserve"> </w:t>
      </w:r>
    </w:p>
  </w:footnote>
  <w:footnote w:id="15">
    <w:p w:rsidR="00000000" w:rsidDel="00000000" w:rsidP="00000000" w:rsidRDefault="00000000" w:rsidRPr="00000000" w14:paraId="000000D0">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28">
        <w:r w:rsidDel="00000000" w:rsidR="00000000" w:rsidRPr="00000000">
          <w:rPr>
            <w:rFonts w:ascii="Times New Roman" w:cs="Times New Roman" w:eastAsia="Times New Roman" w:hAnsi="Times New Roman"/>
            <w:color w:val="1155cc"/>
            <w:sz w:val="20"/>
            <w:szCs w:val="20"/>
            <w:u w:val="single"/>
            <w:rtl w:val="0"/>
          </w:rPr>
          <w:t xml:space="preserve">https://www.google.com/url?q=https://www.boletinoficial.gob.ar/detalleAviso/primera/328414/20250716&amp;sa=D&amp;source=docs&amp;ust=1767392787309689&amp;usg=AOvVaw3rBif4sxyfZt3C59NlKRUq</w:t>
        </w:r>
      </w:hyperlink>
      <w:r w:rsidDel="00000000" w:rsidR="00000000" w:rsidRPr="00000000">
        <w:rPr>
          <w:rFonts w:ascii="Times New Roman" w:cs="Times New Roman" w:eastAsia="Times New Roman" w:hAnsi="Times New Roman"/>
          <w:sz w:val="20"/>
          <w:szCs w:val="20"/>
          <w:rtl w:val="0"/>
        </w:rPr>
        <w:t xml:space="preserve"> </w:t>
      </w:r>
    </w:p>
  </w:footnote>
  <w:footnote w:id="20">
    <w:p w:rsidR="00000000" w:rsidDel="00000000" w:rsidP="00000000" w:rsidRDefault="00000000" w:rsidRPr="00000000" w14:paraId="000000D1">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29">
        <w:r w:rsidDel="00000000" w:rsidR="00000000" w:rsidRPr="00000000">
          <w:rPr>
            <w:rFonts w:ascii="Times New Roman" w:cs="Times New Roman" w:eastAsia="Times New Roman" w:hAnsi="Times New Roman"/>
            <w:color w:val="1155cc"/>
            <w:sz w:val="20"/>
            <w:szCs w:val="20"/>
            <w:u w:val="single"/>
            <w:rtl w:val="0"/>
          </w:rPr>
          <w:t xml:space="preserve">https://servicios.infoleg.gob.ar/infolegInternet/verNorma.do?id=401266</w:t>
        </w:r>
      </w:hyperlink>
      <w:r w:rsidDel="00000000" w:rsidR="00000000" w:rsidRPr="00000000">
        <w:rPr>
          <w:rFonts w:ascii="Times New Roman" w:cs="Times New Roman" w:eastAsia="Times New Roman" w:hAnsi="Times New Roman"/>
          <w:sz w:val="20"/>
          <w:szCs w:val="20"/>
          <w:rtl w:val="0"/>
        </w:rPr>
        <w:t xml:space="preserve"> </w:t>
      </w:r>
    </w:p>
  </w:footnote>
  <w:footnote w:id="34">
    <w:p w:rsidR="00000000" w:rsidDel="00000000" w:rsidP="00000000" w:rsidRDefault="00000000" w:rsidRPr="00000000" w14:paraId="000000D2">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30">
        <w:r w:rsidDel="00000000" w:rsidR="00000000" w:rsidRPr="00000000">
          <w:rPr>
            <w:rFonts w:ascii="Times New Roman" w:cs="Times New Roman" w:eastAsia="Times New Roman" w:hAnsi="Times New Roman"/>
            <w:color w:val="1155cc"/>
            <w:sz w:val="20"/>
            <w:szCs w:val="20"/>
            <w:u w:val="single"/>
            <w:rtl w:val="0"/>
          </w:rPr>
          <w:t xml:space="preserve">https://www.senado.gob.ar/prensa/22319/noticias</w:t>
        </w:r>
      </w:hyperlink>
      <w:r w:rsidDel="00000000" w:rsidR="00000000" w:rsidRPr="00000000">
        <w:rPr>
          <w:rFonts w:ascii="Times New Roman" w:cs="Times New Roman" w:eastAsia="Times New Roman" w:hAnsi="Times New Roman"/>
          <w:sz w:val="20"/>
          <w:szCs w:val="20"/>
          <w:rtl w:val="0"/>
        </w:rPr>
        <w:t xml:space="preserve"> </w:t>
      </w:r>
    </w:p>
  </w:footnote>
  <w:footnote w:id="26">
    <w:p w:rsidR="00000000" w:rsidDel="00000000" w:rsidP="00000000" w:rsidRDefault="00000000" w:rsidRPr="00000000" w14:paraId="000000D3">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31">
        <w:r w:rsidDel="00000000" w:rsidR="00000000" w:rsidRPr="00000000">
          <w:rPr>
            <w:rFonts w:ascii="Times New Roman" w:cs="Times New Roman" w:eastAsia="Times New Roman" w:hAnsi="Times New Roman"/>
            <w:color w:val="1155cc"/>
            <w:sz w:val="20"/>
            <w:szCs w:val="20"/>
            <w:u w:val="single"/>
            <w:rtl w:val="0"/>
          </w:rPr>
          <w:t xml:space="preserve">https://acij.org.ar/wp-content/uploads/2022/02/ACIJ-CELS-INECIP-_Investigacion-CAJ_RESUMEN-ESPANOL.pdf</w:t>
        </w:r>
      </w:hyperlink>
      <w:r w:rsidDel="00000000" w:rsidR="00000000" w:rsidRPr="00000000">
        <w:rPr>
          <w:rFonts w:ascii="Times New Roman" w:cs="Times New Roman" w:eastAsia="Times New Roman" w:hAnsi="Times New Roman"/>
          <w:sz w:val="20"/>
          <w:szCs w:val="20"/>
          <w:rtl w:val="0"/>
        </w:rPr>
        <w:t xml:space="preserve"> </w:t>
      </w:r>
    </w:p>
  </w:footnote>
  <w:footnote w:id="27">
    <w:p w:rsidR="00000000" w:rsidDel="00000000" w:rsidP="00000000" w:rsidRDefault="00000000" w:rsidRPr="00000000" w14:paraId="000000D4">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Información proporcionada en la causa judicial iniciada por ELA y otras organizaciones de la sociedad civil. </w:t>
      </w:r>
    </w:p>
  </w:footnote>
  <w:footnote w:id="28">
    <w:p w:rsidR="00000000" w:rsidDel="00000000" w:rsidP="00000000" w:rsidRDefault="00000000" w:rsidRPr="00000000" w14:paraId="000000D5">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32">
        <w:r w:rsidDel="00000000" w:rsidR="00000000" w:rsidRPr="00000000">
          <w:rPr>
            <w:rFonts w:ascii="Times New Roman" w:cs="Times New Roman" w:eastAsia="Times New Roman" w:hAnsi="Times New Roman"/>
            <w:color w:val="1155cc"/>
            <w:sz w:val="20"/>
            <w:szCs w:val="20"/>
            <w:u w:val="single"/>
            <w:rtl w:val="0"/>
          </w:rPr>
          <w:t xml:space="preserve">https://www.argentina.gob.ar/justicia/afianzar/caj/listado</w:t>
        </w:r>
      </w:hyperlink>
      <w:r w:rsidDel="00000000" w:rsidR="00000000" w:rsidRPr="00000000">
        <w:rPr>
          <w:rFonts w:ascii="Times New Roman" w:cs="Times New Roman" w:eastAsia="Times New Roman" w:hAnsi="Times New Roman"/>
          <w:sz w:val="20"/>
          <w:szCs w:val="20"/>
          <w:rtl w:val="0"/>
        </w:rPr>
        <w:t xml:space="preserve"> </w:t>
      </w:r>
    </w:p>
  </w:footnote>
  <w:footnote w:id="37">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33">
        <w:r w:rsidDel="00000000" w:rsidR="00000000" w:rsidRPr="00000000">
          <w:rPr>
            <w:rFonts w:ascii="Times New Roman" w:cs="Times New Roman" w:eastAsia="Times New Roman" w:hAnsi="Times New Roman"/>
            <w:color w:val="1155cc"/>
            <w:sz w:val="20"/>
            <w:szCs w:val="20"/>
            <w:u w:val="single"/>
            <w:rtl w:val="0"/>
          </w:rPr>
          <w:t xml:space="preserve">https://www.argentina.gob.ar/generos/encuesta-de-prevalencia-de-violencia-contra-las-mujeres</w:t>
        </w:r>
      </w:hyperlink>
      <w:r w:rsidDel="00000000" w:rsidR="00000000" w:rsidRPr="00000000">
        <w:rPr>
          <w:rFonts w:ascii="Times New Roman" w:cs="Times New Roman" w:eastAsia="Times New Roman" w:hAnsi="Times New Roman"/>
          <w:sz w:val="20"/>
          <w:szCs w:val="20"/>
          <w:rtl w:val="0"/>
        </w:rPr>
        <w:t xml:space="preserve"> </w:t>
      </w:r>
    </w:p>
  </w:footnote>
  <w:footnote w:id="38">
    <w:p w:rsidR="00000000" w:rsidDel="00000000" w:rsidP="00000000" w:rsidRDefault="00000000" w:rsidRPr="00000000" w14:paraId="000000D7">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34">
        <w:r w:rsidDel="00000000" w:rsidR="00000000" w:rsidRPr="00000000">
          <w:rPr>
            <w:rFonts w:ascii="Times New Roman" w:cs="Times New Roman" w:eastAsia="Times New Roman" w:hAnsi="Times New Roman"/>
            <w:color w:val="1155cc"/>
            <w:sz w:val="20"/>
            <w:szCs w:val="20"/>
            <w:u w:val="single"/>
            <w:rtl w:val="0"/>
          </w:rPr>
          <w:t xml:space="preserve">https://ela.org.ar/publicaciones-documentos/percepcion-e-incidencia-de-la-violencia-contra-las-mujeres-ciudad-de-buenos-aires-ano-2023/</w:t>
        </w:r>
      </w:hyperlink>
      <w:r w:rsidDel="00000000" w:rsidR="00000000" w:rsidRPr="00000000">
        <w:rPr>
          <w:rFonts w:ascii="Times New Roman" w:cs="Times New Roman" w:eastAsia="Times New Roman" w:hAnsi="Times New Roman"/>
          <w:sz w:val="20"/>
          <w:szCs w:val="20"/>
          <w:rtl w:val="0"/>
        </w:rPr>
        <w:t xml:space="preserve"> </w:t>
      </w:r>
    </w:p>
  </w:footnote>
  <w:footnote w:id="54">
    <w:p w:rsidR="00000000" w:rsidDel="00000000" w:rsidP="00000000" w:rsidRDefault="00000000" w:rsidRPr="00000000" w14:paraId="000000D8">
      <w:pPr>
        <w:spacing w:line="240" w:lineRule="auto"/>
        <w:jc w:val="both"/>
        <w:rPr>
          <w:rFonts w:ascii="Times New Roman" w:cs="Times New Roman" w:eastAsia="Times New Roman" w:hAnsi="Times New Roman"/>
          <w:sz w:val="20"/>
          <w:szCs w:val="20"/>
          <w:highlight w:val="whit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highlight w:val="white"/>
          <w:rtl w:val="0"/>
        </w:rPr>
        <w:t xml:space="preserve"> Ver nota nro. 39.</w:t>
      </w:r>
      <w:r w:rsidDel="00000000" w:rsidR="00000000" w:rsidRPr="00000000">
        <w:rPr>
          <w:rtl w:val="0"/>
        </w:rPr>
      </w:r>
    </w:p>
  </w:footnote>
  <w:footnote w:id="12">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0"/>
          <w:szCs w:val="20"/>
          <w:highlight w:val="whit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La información que se enumera a continuación usa como fuentes los informes </w:t>
      </w:r>
      <w:hyperlink r:id="rId35">
        <w:r w:rsidDel="00000000" w:rsidR="00000000" w:rsidRPr="00000000">
          <w:rPr>
            <w:rFonts w:ascii="Times New Roman" w:cs="Times New Roman" w:eastAsia="Times New Roman" w:hAnsi="Times New Roman"/>
            <w:color w:val="1155cc"/>
            <w:sz w:val="20"/>
            <w:szCs w:val="20"/>
            <w:u w:val="single"/>
            <w:rtl w:val="0"/>
          </w:rPr>
          <w:t xml:space="preserve">https://ela.org.ar/publicaciones-documentos/libradas-a-su-suerte-actualizacion-noviembre-2024/</w:t>
        </w:r>
      </w:hyperlink>
      <w:r w:rsidDel="00000000" w:rsidR="00000000" w:rsidRPr="00000000">
        <w:rPr>
          <w:rFonts w:ascii="Times New Roman" w:cs="Times New Roman" w:eastAsia="Times New Roman" w:hAnsi="Times New Roman"/>
          <w:sz w:val="20"/>
          <w:szCs w:val="20"/>
          <w:rtl w:val="0"/>
        </w:rPr>
        <w:t xml:space="preserve">, </w:t>
      </w:r>
      <w:hyperlink r:id="rId36">
        <w:r w:rsidDel="00000000" w:rsidR="00000000" w:rsidRPr="00000000">
          <w:rPr>
            <w:rFonts w:ascii="Times New Roman" w:cs="Times New Roman" w:eastAsia="Times New Roman" w:hAnsi="Times New Roman"/>
            <w:color w:val="1155cc"/>
            <w:sz w:val="20"/>
            <w:szCs w:val="20"/>
            <w:u w:val="single"/>
            <w:rtl w:val="0"/>
          </w:rPr>
          <w:t xml:space="preserve">https://ela.org.ar/wp-content/uploads/2025/11/Politicas-nacionales-de-abordaje-a-las-violencias-noviembre-2025-1.pdf</w:t>
        </w:r>
      </w:hyperlink>
      <w:r w:rsidDel="00000000" w:rsidR="00000000" w:rsidRPr="00000000">
        <w:rPr>
          <w:rFonts w:ascii="Times New Roman" w:cs="Times New Roman" w:eastAsia="Times New Roman" w:hAnsi="Times New Roman"/>
          <w:sz w:val="20"/>
          <w:szCs w:val="20"/>
          <w:highlight w:val="white"/>
          <w:rtl w:val="0"/>
        </w:rPr>
        <w:t xml:space="preserve">; </w:t>
      </w:r>
      <w:hyperlink r:id="rId37">
        <w:r w:rsidDel="00000000" w:rsidR="00000000" w:rsidRPr="00000000">
          <w:rPr>
            <w:rFonts w:ascii="Times New Roman" w:cs="Times New Roman" w:eastAsia="Times New Roman" w:hAnsi="Times New Roman"/>
            <w:color w:val="1155cc"/>
            <w:sz w:val="20"/>
            <w:szCs w:val="20"/>
            <w:highlight w:val="white"/>
            <w:u w:val="single"/>
            <w:rtl w:val="0"/>
          </w:rPr>
          <w:t xml:space="preserve">https://ela.org.ar/wp-content/uploads/2025/12/Cronologia-del-derrumbre_ELA-2025.pdf</w:t>
        </w:r>
      </w:hyperlink>
      <w:r w:rsidDel="00000000" w:rsidR="00000000" w:rsidRPr="00000000">
        <w:rPr>
          <w:rFonts w:ascii="Times New Roman" w:cs="Times New Roman" w:eastAsia="Times New Roman" w:hAnsi="Times New Roman"/>
          <w:sz w:val="20"/>
          <w:szCs w:val="20"/>
          <w:highlight w:val="white"/>
          <w:rtl w:val="0"/>
        </w:rPr>
        <w:t xml:space="preserve"> </w:t>
      </w:r>
      <w:r w:rsidDel="00000000" w:rsidR="00000000" w:rsidRPr="00000000">
        <w:rPr>
          <w:rtl w:val="0"/>
        </w:rPr>
      </w:r>
    </w:p>
  </w:footnote>
  <w:footnote w:id="49">
    <w:p w:rsidR="00000000" w:rsidDel="00000000" w:rsidP="00000000" w:rsidRDefault="00000000" w:rsidRPr="00000000" w14:paraId="000000DA">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38">
        <w:r w:rsidDel="00000000" w:rsidR="00000000" w:rsidRPr="00000000">
          <w:rPr>
            <w:rFonts w:ascii="Times New Roman" w:cs="Times New Roman" w:eastAsia="Times New Roman" w:hAnsi="Times New Roman"/>
            <w:color w:val="1155cc"/>
            <w:sz w:val="20"/>
            <w:szCs w:val="20"/>
            <w:u w:val="single"/>
            <w:rtl w:val="0"/>
          </w:rPr>
          <w:t xml:space="preserve">https://www.boletinoficial.gob.ar/detalleAviso/primera/327658/20250701</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50">
    <w:p w:rsidR="00000000" w:rsidDel="00000000" w:rsidP="00000000" w:rsidRDefault="00000000" w:rsidRPr="00000000" w14:paraId="000000DB">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39">
        <w:r w:rsidDel="00000000" w:rsidR="00000000" w:rsidRPr="00000000">
          <w:rPr>
            <w:rFonts w:ascii="Times New Roman" w:cs="Times New Roman" w:eastAsia="Times New Roman" w:hAnsi="Times New Roman"/>
            <w:color w:val="1155cc"/>
            <w:sz w:val="20"/>
            <w:szCs w:val="20"/>
            <w:highlight w:val="white"/>
            <w:u w:val="single"/>
            <w:rtl w:val="0"/>
          </w:rPr>
          <w:t xml:space="preserve">https://inecip.org/prensa/comunicados/un-retroceso-de-medio-siglo-milei-elimina-por-decreto-la-agencia-de-control-de-armas-en-argentina/</w:t>
        </w:r>
      </w:hyperlink>
      <w:r w:rsidDel="00000000" w:rsidR="00000000" w:rsidRPr="00000000">
        <w:rPr>
          <w:rFonts w:ascii="Times New Roman" w:cs="Times New Roman" w:eastAsia="Times New Roman" w:hAnsi="Times New Roman"/>
          <w:sz w:val="20"/>
          <w:szCs w:val="20"/>
          <w:highlight w:val="white"/>
          <w:rtl w:val="0"/>
        </w:rPr>
        <w:t xml:space="preserve"> </w:t>
      </w:r>
      <w:r w:rsidDel="00000000" w:rsidR="00000000" w:rsidRPr="00000000">
        <w:rPr>
          <w:rtl w:val="0"/>
        </w:rPr>
      </w:r>
    </w:p>
  </w:footnote>
  <w:footnote w:id="62">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highlight w:val="whit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Ver nota nro. 39.</w:t>
      </w:r>
      <w:r w:rsidDel="00000000" w:rsidR="00000000" w:rsidRPr="00000000">
        <w:rPr>
          <w:rtl w:val="0"/>
        </w:rPr>
      </w:r>
    </w:p>
  </w:footnote>
  <w:footnote w:id="64">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40">
        <w:r w:rsidDel="00000000" w:rsidR="00000000" w:rsidRPr="00000000">
          <w:rPr>
            <w:rFonts w:ascii="Times New Roman" w:cs="Times New Roman" w:eastAsia="Times New Roman" w:hAnsi="Times New Roman"/>
            <w:color w:val="1155cc"/>
            <w:sz w:val="20"/>
            <w:szCs w:val="20"/>
            <w:u w:val="single"/>
            <w:rtl w:val="0"/>
          </w:rPr>
          <w:t xml:space="preserve">https://ela.org.ar/publicaciones-documentos/percepcion-e-incidencia-de-la-violencia-contra-las-mujeres-analisis-de-la-encuesta-sobre-la-situacion-de-las-mujeres-en-la-ciudad-de-buenos-aires/</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63">
    <w:p w:rsidR="00000000" w:rsidDel="00000000" w:rsidP="00000000" w:rsidRDefault="00000000" w:rsidRPr="00000000" w14:paraId="000000DE">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41">
        <w:r w:rsidDel="00000000" w:rsidR="00000000" w:rsidRPr="00000000">
          <w:rPr>
            <w:rFonts w:ascii="Times New Roman" w:cs="Times New Roman" w:eastAsia="Times New Roman" w:hAnsi="Times New Roman"/>
            <w:color w:val="1155cc"/>
            <w:sz w:val="20"/>
            <w:szCs w:val="20"/>
            <w:u w:val="single"/>
            <w:rtl w:val="0"/>
          </w:rPr>
          <w:t xml:space="preserve">https://ela.org.ar/publicaciones-documentos/percepcion-e-incidencia-de-la-violencia-contra-las-mujeres-analisis-de-la-encuesta-sobre-la-situacion-de-las-mujeres-en-la-ciudad-de-buenos-aires/</w:t>
        </w:r>
      </w:hyperlink>
      <w:r w:rsidDel="00000000" w:rsidR="00000000" w:rsidRPr="00000000">
        <w:rPr>
          <w:rFonts w:ascii="Times New Roman" w:cs="Times New Roman" w:eastAsia="Times New Roman" w:hAnsi="Times New Roman"/>
          <w:sz w:val="20"/>
          <w:szCs w:val="20"/>
          <w:rtl w:val="0"/>
        </w:rPr>
        <w:t xml:space="preserve"> </w:t>
      </w:r>
    </w:p>
  </w:footnote>
  <w:footnote w:id="48">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42">
        <w:r w:rsidDel="00000000" w:rsidR="00000000" w:rsidRPr="00000000">
          <w:rPr>
            <w:rFonts w:ascii="Times New Roman" w:cs="Times New Roman" w:eastAsia="Times New Roman" w:hAnsi="Times New Roman"/>
            <w:color w:val="1155cc"/>
            <w:sz w:val="20"/>
            <w:szCs w:val="20"/>
            <w:u w:val="single"/>
            <w:rtl w:val="0"/>
          </w:rPr>
          <w:t xml:space="preserve">https://inecip.org/publicaciones/cuando-el-macho-dispara-armas-de-fuego-y-violencias-de-genero-en-argentina/</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73">
    <w:p w:rsidR="00000000" w:rsidDel="00000000" w:rsidP="00000000" w:rsidRDefault="00000000" w:rsidRPr="00000000" w14:paraId="000000E0">
      <w:pPr>
        <w:spacing w:line="240" w:lineRule="auto"/>
        <w:jc w:val="both"/>
        <w:rPr>
          <w:rFonts w:ascii="Times New Roman" w:cs="Times New Roman" w:eastAsia="Times New Roman" w:hAnsi="Times New Roman"/>
          <w:sz w:val="20"/>
          <w:szCs w:val="20"/>
          <w:highlight w:val="whit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43">
        <w:r w:rsidDel="00000000" w:rsidR="00000000" w:rsidRPr="00000000">
          <w:rPr>
            <w:rFonts w:ascii="Times New Roman" w:cs="Times New Roman" w:eastAsia="Times New Roman" w:hAnsi="Times New Roman"/>
            <w:color w:val="1155cc"/>
            <w:sz w:val="20"/>
            <w:szCs w:val="20"/>
            <w:u w:val="single"/>
            <w:rtl w:val="0"/>
          </w:rPr>
          <w:t xml:space="preserve">https://docs.un.org/es/A/C.3/79/L.17/Rev.1</w:t>
        </w:r>
      </w:hyperlink>
      <w:r w:rsidDel="00000000" w:rsidR="00000000" w:rsidRPr="00000000">
        <w:rPr>
          <w:rFonts w:ascii="Times New Roman" w:cs="Times New Roman" w:eastAsia="Times New Roman" w:hAnsi="Times New Roman"/>
          <w:sz w:val="20"/>
          <w:szCs w:val="20"/>
          <w:rtl w:val="0"/>
        </w:rPr>
        <w:t xml:space="preserve">, </w:t>
      </w:r>
      <w:hyperlink r:id="rId44">
        <w:r w:rsidDel="00000000" w:rsidR="00000000" w:rsidRPr="00000000">
          <w:rPr>
            <w:rFonts w:ascii="Times New Roman" w:cs="Times New Roman" w:eastAsia="Times New Roman" w:hAnsi="Times New Roman"/>
            <w:color w:val="1155cc"/>
            <w:sz w:val="20"/>
            <w:szCs w:val="20"/>
            <w:u w:val="single"/>
            <w:rtl w:val="0"/>
          </w:rPr>
          <w:t xml:space="preserve">https://www.infobae.com/politica/2024/12/19/argentina-modifico-su-voto-y-acompano-en-la-onu-la-resolucion-para-prevenir-la-violencia-contra-las-mujeres/#:~:text=Francisco%20Tropepi%20modific%C3%B3%20el%20voto%20de%20Argentina,y%20eliminaci%C3%B3n%20de%20todas%20las%20formas%20de</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72">
    <w:p w:rsidR="00000000" w:rsidDel="00000000" w:rsidP="00000000" w:rsidRDefault="00000000" w:rsidRPr="00000000" w14:paraId="000000E1">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45">
        <w:r w:rsidDel="00000000" w:rsidR="00000000" w:rsidRPr="00000000">
          <w:rPr>
            <w:rFonts w:ascii="Times New Roman" w:cs="Times New Roman" w:eastAsia="Times New Roman" w:hAnsi="Times New Roman"/>
            <w:color w:val="1155cc"/>
            <w:sz w:val="20"/>
            <w:szCs w:val="20"/>
            <w:u w:val="single"/>
            <w:rtl w:val="0"/>
          </w:rPr>
          <w:t xml:space="preserve">https://g7g20-documents.org/database/document/2024-g20-brazil-sherpa-track-womens-empowerment-ministers-ministers-language-documento-final</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71">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En la sesión 79° en la Asamblea General, Argentina abandonó el interés de participar del consenso internacional en las agendas de cambio climático, igualdad de género y regulación sobre la inteligencia artificial.</w:t>
      </w:r>
    </w:p>
  </w:footnote>
  <w:footnote w:id="29">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46">
        <w:r w:rsidDel="00000000" w:rsidR="00000000" w:rsidRPr="00000000">
          <w:rPr>
            <w:rFonts w:ascii="Times New Roman" w:cs="Times New Roman" w:eastAsia="Times New Roman" w:hAnsi="Times New Roman"/>
            <w:color w:val="1155cc"/>
            <w:sz w:val="20"/>
            <w:szCs w:val="20"/>
            <w:u w:val="single"/>
            <w:rtl w:val="0"/>
          </w:rPr>
          <w:t xml:space="preserve">https://www.argentina.gob.ar/generos/mapa-federal-de-experiencias-con-varones-y-masculinidades-en-argentina</w:t>
        </w:r>
      </w:hyperlink>
      <w:r w:rsidDel="00000000" w:rsidR="00000000" w:rsidRPr="00000000">
        <w:rPr>
          <w:rFonts w:ascii="Times New Roman" w:cs="Times New Roman" w:eastAsia="Times New Roman" w:hAnsi="Times New Roman"/>
          <w:sz w:val="20"/>
          <w:szCs w:val="20"/>
          <w:rtl w:val="0"/>
        </w:rPr>
        <w:t xml:space="preserve"> </w:t>
      </w:r>
    </w:p>
  </w:footnote>
  <w:footnote w:id="30">
    <w:p w:rsidR="00000000" w:rsidDel="00000000" w:rsidP="00000000" w:rsidRDefault="00000000" w:rsidRPr="00000000" w14:paraId="000000E4">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47">
        <w:r w:rsidDel="00000000" w:rsidR="00000000" w:rsidRPr="00000000">
          <w:rPr>
            <w:rFonts w:ascii="Times New Roman" w:cs="Times New Roman" w:eastAsia="Times New Roman" w:hAnsi="Times New Roman"/>
            <w:color w:val="1155cc"/>
            <w:sz w:val="20"/>
            <w:szCs w:val="20"/>
            <w:u w:val="single"/>
            <w:rtl w:val="0"/>
          </w:rPr>
          <w:t xml:space="preserve">https://www.diputados.gov.ar/avisos/9a32c3d2-6a2f-11ef-acdb-00505689ffd4/</w:t>
        </w:r>
      </w:hyperlink>
      <w:r w:rsidDel="00000000" w:rsidR="00000000" w:rsidRPr="00000000">
        <w:rPr>
          <w:rFonts w:ascii="Times New Roman" w:cs="Times New Roman" w:eastAsia="Times New Roman" w:hAnsi="Times New Roman"/>
          <w:sz w:val="20"/>
          <w:szCs w:val="20"/>
          <w:rtl w:val="0"/>
        </w:rPr>
        <w:t xml:space="preserve"> </w:t>
      </w:r>
    </w:p>
  </w:footnote>
  <w:footnote w:id="55">
    <w:p w:rsidR="00000000" w:rsidDel="00000000" w:rsidP="00000000" w:rsidRDefault="00000000" w:rsidRPr="00000000" w14:paraId="000000E5">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48">
        <w:r w:rsidDel="00000000" w:rsidR="00000000" w:rsidRPr="00000000">
          <w:rPr>
            <w:rFonts w:ascii="Times New Roman" w:cs="Times New Roman" w:eastAsia="Times New Roman" w:hAnsi="Times New Roman"/>
            <w:color w:val="1155cc"/>
            <w:sz w:val="20"/>
            <w:szCs w:val="20"/>
            <w:u w:val="single"/>
            <w:rtl w:val="0"/>
          </w:rPr>
          <w:t xml:space="preserve">https://amnistia.org.ar/corazonesverdes/informe-corazones-verdes</w:t>
        </w:r>
      </w:hyperlink>
      <w:r w:rsidDel="00000000" w:rsidR="00000000" w:rsidRPr="00000000">
        <w:rPr>
          <w:rFonts w:ascii="Times New Roman" w:cs="Times New Roman" w:eastAsia="Times New Roman" w:hAnsi="Times New Roman"/>
          <w:sz w:val="20"/>
          <w:szCs w:val="20"/>
          <w:rtl w:val="0"/>
        </w:rPr>
        <w:t xml:space="preserve"> </w:t>
      </w:r>
    </w:p>
  </w:footnote>
  <w:footnote w:id="56">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A/79/500.</w:t>
      </w:r>
    </w:p>
  </w:footnote>
  <w:footnote w:id="58">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49">
        <w:r w:rsidDel="00000000" w:rsidR="00000000" w:rsidRPr="00000000">
          <w:rPr>
            <w:rFonts w:ascii="Times New Roman" w:cs="Times New Roman" w:eastAsia="Times New Roman" w:hAnsi="Times New Roman"/>
            <w:color w:val="1155cc"/>
            <w:sz w:val="20"/>
            <w:szCs w:val="20"/>
            <w:u w:val="single"/>
            <w:rtl w:val="0"/>
          </w:rPr>
          <w:t xml:space="preserve">https://amnistia.org.ar/wp-content/uploads/delightful-downloads/2024/10/Muteadas_InformeCompleto.pdf</w:t>
        </w:r>
      </w:hyperlink>
      <w:r w:rsidDel="00000000" w:rsidR="00000000" w:rsidRPr="00000000">
        <w:rPr>
          <w:rFonts w:ascii="Times New Roman" w:cs="Times New Roman" w:eastAsia="Times New Roman" w:hAnsi="Times New Roman"/>
          <w:sz w:val="20"/>
          <w:szCs w:val="20"/>
          <w:rtl w:val="0"/>
        </w:rPr>
        <w:t xml:space="preserve"> </w:t>
      </w:r>
    </w:p>
  </w:footnote>
  <w:footnote w:id="17">
    <w:p w:rsidR="00000000" w:rsidDel="00000000" w:rsidP="00000000" w:rsidRDefault="00000000" w:rsidRPr="00000000" w14:paraId="000000E9">
      <w:pPr>
        <w:spacing w:line="240" w:lineRule="auto"/>
        <w:jc w:val="both"/>
        <w:rPr>
          <w:rFonts w:ascii="Times New Roman" w:cs="Times New Roman" w:eastAsia="Times New Roman" w:hAnsi="Times New Roman"/>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50">
        <w:r w:rsidDel="00000000" w:rsidR="00000000" w:rsidRPr="00000000">
          <w:rPr>
            <w:rFonts w:ascii="Times New Roman" w:cs="Times New Roman" w:eastAsia="Times New Roman" w:hAnsi="Times New Roman"/>
            <w:color w:val="1155cc"/>
            <w:sz w:val="20"/>
            <w:szCs w:val="20"/>
            <w:u w:val="single"/>
            <w:rtl w:val="0"/>
          </w:rPr>
          <w:t xml:space="preserve">https://amnistia.org.ar/wp-content/uploads/delightful-downloads/2024/11/Pedido-de-informaci%C3%B3n-p%C3%BAblica-al-Ministerio-de-Justicia-de-Naci%C3%B3n.pdf?utm_source=perfit&amp;utm_medium=emai%20l</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57">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51">
        <w:r w:rsidDel="00000000" w:rsidR="00000000" w:rsidRPr="00000000">
          <w:rPr>
            <w:rFonts w:ascii="Times New Roman" w:cs="Times New Roman" w:eastAsia="Times New Roman" w:hAnsi="Times New Roman"/>
            <w:color w:val="1155cc"/>
            <w:sz w:val="20"/>
            <w:szCs w:val="20"/>
            <w:u w:val="single"/>
            <w:rtl w:val="0"/>
          </w:rPr>
          <w:t xml:space="preserve">https://plan.org.ec/wp-content/uploads/2017/03/Libres-Para-Estar-En-Linea.pdf</w:t>
        </w:r>
      </w:hyperlink>
      <w:r w:rsidDel="00000000" w:rsidR="00000000" w:rsidRPr="00000000">
        <w:rPr>
          <w:rFonts w:ascii="Times New Roman" w:cs="Times New Roman" w:eastAsia="Times New Roman" w:hAnsi="Times New Roman"/>
          <w:sz w:val="20"/>
          <w:szCs w:val="20"/>
          <w:rtl w:val="0"/>
        </w:rPr>
        <w:t xml:space="preserve"> </w:t>
      </w:r>
    </w:p>
  </w:footnote>
  <w:footnote w:id="40">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52">
        <w:r w:rsidDel="00000000" w:rsidR="00000000" w:rsidRPr="00000000">
          <w:rPr>
            <w:rFonts w:ascii="Times New Roman" w:cs="Times New Roman" w:eastAsia="Times New Roman" w:hAnsi="Times New Roman"/>
            <w:color w:val="1155cc"/>
            <w:sz w:val="20"/>
            <w:szCs w:val="20"/>
            <w:u w:val="single"/>
            <w:rtl w:val="0"/>
          </w:rPr>
          <w:t xml:space="preserve">https://www.mpf.gob.ar/ufem/files/2023/05/Informe_Relevamiento-de-fuentes-secundarias-de-datos-sobre-violencia-sexual.pdf</w:t>
        </w:r>
      </w:hyperlink>
      <w:r w:rsidDel="00000000" w:rsidR="00000000" w:rsidRPr="00000000">
        <w:rPr>
          <w:rFonts w:ascii="Times New Roman" w:cs="Times New Roman" w:eastAsia="Times New Roman" w:hAnsi="Times New Roman"/>
          <w:sz w:val="20"/>
          <w:szCs w:val="20"/>
          <w:rtl w:val="0"/>
        </w:rPr>
        <w:t xml:space="preserve"> </w:t>
      </w:r>
    </w:p>
  </w:footnote>
  <w:footnote w:id="42">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53">
        <w:r w:rsidDel="00000000" w:rsidR="00000000" w:rsidRPr="00000000">
          <w:rPr>
            <w:rFonts w:ascii="Times New Roman" w:cs="Times New Roman" w:eastAsia="Times New Roman" w:hAnsi="Times New Roman"/>
            <w:color w:val="1155cc"/>
            <w:sz w:val="20"/>
            <w:szCs w:val="20"/>
            <w:u w:val="single"/>
            <w:rtl w:val="0"/>
          </w:rPr>
          <w:t xml:space="preserve">https://om.csjn.gob.ar/consultaTalleresWeb/public/documentoConsulta/verDocumentoById?idDocumento=169</w:t>
        </w:r>
      </w:hyperlink>
      <w:r w:rsidDel="00000000" w:rsidR="00000000" w:rsidRPr="00000000">
        <w:rPr>
          <w:rFonts w:ascii="Times New Roman" w:cs="Times New Roman" w:eastAsia="Times New Roman" w:hAnsi="Times New Roman"/>
          <w:sz w:val="20"/>
          <w:szCs w:val="20"/>
          <w:rtl w:val="0"/>
        </w:rPr>
        <w:t xml:space="preserve"> </w:t>
      </w:r>
    </w:p>
  </w:footnote>
  <w:footnote w:id="9">
    <w:p w:rsidR="00000000" w:rsidDel="00000000" w:rsidP="00000000" w:rsidRDefault="00000000" w:rsidRPr="00000000" w14:paraId="000000ED">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54">
        <w:r w:rsidDel="00000000" w:rsidR="00000000" w:rsidRPr="00000000">
          <w:rPr>
            <w:rFonts w:ascii="Times New Roman" w:cs="Times New Roman" w:eastAsia="Times New Roman" w:hAnsi="Times New Roman"/>
            <w:color w:val="1155cc"/>
            <w:sz w:val="20"/>
            <w:szCs w:val="20"/>
            <w:u w:val="single"/>
            <w:rtl w:val="0"/>
          </w:rPr>
          <w:t xml:space="preserve">https://ela.org.ar/wp-content/uploads/2025/02/Retrocesos-en-la-inclusion_-doble-desafio-para-las-mujeres-con-discapacidad.pdf</w:t>
        </w:r>
      </w:hyperlink>
      <w:r w:rsidDel="00000000" w:rsidR="00000000" w:rsidRPr="00000000">
        <w:rPr>
          <w:rFonts w:ascii="Times New Roman" w:cs="Times New Roman" w:eastAsia="Times New Roman" w:hAnsi="Times New Roman"/>
          <w:sz w:val="20"/>
          <w:szCs w:val="20"/>
          <w:rtl w:val="0"/>
        </w:rPr>
        <w:t xml:space="preserve"> </w:t>
      </w:r>
    </w:p>
  </w:footnote>
  <w:footnote w:id="46">
    <w:p w:rsidR="00000000" w:rsidDel="00000000" w:rsidP="00000000" w:rsidRDefault="00000000" w:rsidRPr="00000000" w14:paraId="000000EE">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55">
        <w:r w:rsidDel="00000000" w:rsidR="00000000" w:rsidRPr="00000000">
          <w:rPr>
            <w:rFonts w:ascii="Times New Roman" w:cs="Times New Roman" w:eastAsia="Times New Roman" w:hAnsi="Times New Roman"/>
            <w:color w:val="1155cc"/>
            <w:sz w:val="20"/>
            <w:szCs w:val="20"/>
            <w:u w:val="single"/>
            <w:rtl w:val="0"/>
          </w:rPr>
          <w:t xml:space="preserve">https://www.fiscales.gob.ar/wp-content/uploads/2024/11/UFEM-Femicidios-no-intimos-en-Argentina.pdf</w:t>
        </w:r>
      </w:hyperlink>
      <w:r w:rsidDel="00000000" w:rsidR="00000000" w:rsidRPr="00000000">
        <w:rPr>
          <w:rFonts w:ascii="Times New Roman" w:cs="Times New Roman" w:eastAsia="Times New Roman" w:hAnsi="Times New Roman"/>
          <w:sz w:val="20"/>
          <w:szCs w:val="20"/>
          <w:rtl w:val="0"/>
        </w:rPr>
        <w:t xml:space="preserve"> </w:t>
      </w:r>
    </w:p>
  </w:footnote>
  <w:footnote w:id="51">
    <w:p w:rsidR="00000000" w:rsidDel="00000000" w:rsidP="00000000" w:rsidRDefault="00000000" w:rsidRPr="00000000" w14:paraId="000000EF">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56">
        <w:r w:rsidDel="00000000" w:rsidR="00000000" w:rsidRPr="00000000">
          <w:rPr>
            <w:rFonts w:ascii="Times New Roman" w:cs="Times New Roman" w:eastAsia="Times New Roman" w:hAnsi="Times New Roman"/>
            <w:color w:val="1155cc"/>
            <w:sz w:val="20"/>
            <w:szCs w:val="20"/>
            <w:u w:val="single"/>
            <w:rtl w:val="0"/>
          </w:rPr>
          <w:t xml:space="preserve">https://ela.org.ar/publicaciones-documentos/hallazgos-y-reflexiones-en-torno-al-cumplimiento-de-la-convencion-belem-do-para-en-argentina-2022-2024/</w:t>
        </w:r>
      </w:hyperlink>
      <w:r w:rsidDel="00000000" w:rsidR="00000000" w:rsidRPr="00000000">
        <w:rPr>
          <w:rFonts w:ascii="Times New Roman" w:cs="Times New Roman" w:eastAsia="Times New Roman" w:hAnsi="Times New Roman"/>
          <w:sz w:val="20"/>
          <w:szCs w:val="20"/>
          <w:rtl w:val="0"/>
        </w:rPr>
        <w:t xml:space="preserve"> </w:t>
      </w:r>
    </w:p>
  </w:footnote>
  <w:footnote w:id="44">
    <w:p w:rsidR="00000000" w:rsidDel="00000000" w:rsidP="00000000" w:rsidRDefault="00000000" w:rsidRPr="00000000" w14:paraId="000000F0">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57">
        <w:r w:rsidDel="00000000" w:rsidR="00000000" w:rsidRPr="00000000">
          <w:rPr>
            <w:rFonts w:ascii="Times New Roman" w:cs="Times New Roman" w:eastAsia="Times New Roman" w:hAnsi="Times New Roman"/>
            <w:color w:val="1155cc"/>
            <w:sz w:val="20"/>
            <w:szCs w:val="20"/>
            <w:u w:val="single"/>
            <w:rtl w:val="0"/>
          </w:rPr>
          <w:t xml:space="preserve">https://om.csjn.gob.ar/consultaTalleresWeb/public/documentoConsulta/verDocumentoById?idDocumento=333</w:t>
        </w:r>
      </w:hyperlink>
      <w:r w:rsidDel="00000000" w:rsidR="00000000" w:rsidRPr="00000000">
        <w:rPr>
          <w:rFonts w:ascii="Times New Roman" w:cs="Times New Roman" w:eastAsia="Times New Roman" w:hAnsi="Times New Roman"/>
          <w:sz w:val="20"/>
          <w:szCs w:val="20"/>
          <w:rtl w:val="0"/>
        </w:rPr>
        <w:t xml:space="preserve"> </w:t>
      </w:r>
    </w:p>
  </w:footnote>
  <w:footnote w:id="43">
    <w:p w:rsidR="00000000" w:rsidDel="00000000" w:rsidP="00000000" w:rsidRDefault="00000000" w:rsidRPr="00000000" w14:paraId="000000F1">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58">
        <w:r w:rsidDel="00000000" w:rsidR="00000000" w:rsidRPr="00000000">
          <w:rPr>
            <w:rFonts w:ascii="Times New Roman" w:cs="Times New Roman" w:eastAsia="Times New Roman" w:hAnsi="Times New Roman"/>
            <w:color w:val="1155cc"/>
            <w:sz w:val="20"/>
            <w:szCs w:val="20"/>
            <w:u w:val="single"/>
            <w:rtl w:val="0"/>
          </w:rPr>
          <w:t xml:space="preserve">https://om.csjn.gob.ar/consultaTalleresWeb/public/documentoConsulta/verDocumentoById?idDocumento=240</w:t>
        </w:r>
      </w:hyperlink>
      <w:r w:rsidDel="00000000" w:rsidR="00000000" w:rsidRPr="00000000">
        <w:rPr>
          <w:rFonts w:ascii="Times New Roman" w:cs="Times New Roman" w:eastAsia="Times New Roman" w:hAnsi="Times New Roman"/>
          <w:sz w:val="20"/>
          <w:szCs w:val="20"/>
          <w:rtl w:val="0"/>
        </w:rPr>
        <w:t xml:space="preserve"> </w:t>
      </w:r>
    </w:p>
  </w:footnote>
  <w:footnote w:id="39">
    <w:p w:rsidR="00000000" w:rsidDel="00000000" w:rsidP="00000000" w:rsidRDefault="00000000" w:rsidRPr="00000000" w14:paraId="000000F2">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59">
        <w:r w:rsidDel="00000000" w:rsidR="00000000" w:rsidRPr="00000000">
          <w:rPr>
            <w:rFonts w:ascii="Times New Roman" w:cs="Times New Roman" w:eastAsia="Times New Roman" w:hAnsi="Times New Roman"/>
            <w:color w:val="1155cc"/>
            <w:sz w:val="20"/>
            <w:szCs w:val="20"/>
            <w:u w:val="single"/>
            <w:rtl w:val="0"/>
          </w:rPr>
          <w:t xml:space="preserve">https://www.csjn.gov.ar/omrecopilacion/omfemicidio/homefemicidio.html?_gl=1*1r2izfw*_ga*MTUxMTkwOTkxOC4xNzY0OTUyMjIy*_ga_EFYJ5G9K5T*czE3NjQ5NTIyMjIkbzEkZzEkdDE3NjQ5NTIyMzEkajUxJGwwJGgw</w:t>
        </w:r>
      </w:hyperlink>
      <w:r w:rsidDel="00000000" w:rsidR="00000000" w:rsidRPr="00000000">
        <w:rPr>
          <w:rFonts w:ascii="Times New Roman" w:cs="Times New Roman" w:eastAsia="Times New Roman" w:hAnsi="Times New Roman"/>
          <w:sz w:val="20"/>
          <w:szCs w:val="20"/>
          <w:rtl w:val="0"/>
        </w:rPr>
        <w:t xml:space="preserve"> </w:t>
      </w:r>
    </w:p>
  </w:footnote>
  <w:footnote w:id="52">
    <w:p w:rsidR="00000000" w:rsidDel="00000000" w:rsidP="00000000" w:rsidRDefault="00000000" w:rsidRPr="00000000" w14:paraId="000000F3">
      <w:pPr>
        <w:spacing w:line="240" w:lineRule="auto"/>
        <w:jc w:val="both"/>
        <w:rPr>
          <w:rFonts w:ascii="Times New Roman" w:cs="Times New Roman" w:eastAsia="Times New Roman" w:hAnsi="Times New Roman"/>
          <w:sz w:val="20"/>
          <w:szCs w:val="20"/>
          <w:highlight w:val="whit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highlight w:val="white"/>
          <w:rtl w:val="0"/>
        </w:rPr>
        <w:t xml:space="preserve"> MXM ha documentado medicalización psiquiátrica coaccionada, lógicas de encierro y castigo, trato indigno hacia personas trans y presencia de custodia policial armada en el marco de la causa “G.R.A. s/ Muerte dudosa, Legajo S-039410/2025”, Fiscalía de Homicidios Nº 2 de Tucumán.</w:t>
      </w:r>
    </w:p>
  </w:footnote>
  <w:footnote w:id="16">
    <w:p w:rsidR="00000000" w:rsidDel="00000000" w:rsidP="00000000" w:rsidRDefault="00000000" w:rsidRPr="00000000" w14:paraId="000000F4">
      <w:pPr>
        <w:spacing w:line="240" w:lineRule="auto"/>
        <w:rPr>
          <w:sz w:val="20"/>
          <w:szCs w:val="20"/>
          <w:highlight w:val="whit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Comisión Interamericana de Derechos Humanos.</w:t>
      </w:r>
      <w:r w:rsidDel="00000000" w:rsidR="00000000" w:rsidRPr="00000000">
        <w:rPr>
          <w:rFonts w:ascii="Times New Roman" w:cs="Times New Roman" w:eastAsia="Times New Roman" w:hAnsi="Times New Roman"/>
          <w:sz w:val="20"/>
          <w:szCs w:val="20"/>
          <w:highlight w:val="white"/>
          <w:rtl w:val="0"/>
        </w:rPr>
        <w:t xml:space="preserve">Petición 1256-05 Ivana y Abril Rosales c. Argentina.</w:t>
      </w:r>
      <w:r w:rsidDel="00000000" w:rsidR="00000000" w:rsidRPr="00000000">
        <w:rPr>
          <w:rtl w:val="0"/>
        </w:rPr>
      </w:r>
    </w:p>
  </w:footnote>
  <w:footnote w:id="25">
    <w:p w:rsidR="00000000" w:rsidDel="00000000" w:rsidP="00000000" w:rsidRDefault="00000000" w:rsidRPr="00000000" w14:paraId="000000F5">
      <w:pPr>
        <w:spacing w:line="240" w:lineRule="auto"/>
        <w:rPr>
          <w:sz w:val="20"/>
          <w:szCs w:val="20"/>
          <w:highlight w:val="whit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shd w:fill="f3f3f3" w:val="clear"/>
          <w:rtl w:val="0"/>
        </w:rPr>
        <w:t xml:space="preserve"> </w:t>
      </w:r>
      <w:hyperlink r:id="rId60">
        <w:r w:rsidDel="00000000" w:rsidR="00000000" w:rsidRPr="00000000">
          <w:rPr>
            <w:rFonts w:ascii="Times New Roman" w:cs="Times New Roman" w:eastAsia="Times New Roman" w:hAnsi="Times New Roman"/>
            <w:color w:val="1155cc"/>
            <w:sz w:val="20"/>
            <w:szCs w:val="20"/>
            <w:highlight w:val="white"/>
            <w:u w:val="single"/>
            <w:rtl w:val="0"/>
          </w:rPr>
          <w:t xml:space="preserve">https://www.cels.org.ar/web/wp-content/uploads/2025/09/LDC-informe-6-Final_.pdf</w:t>
        </w:r>
      </w:hyperlink>
      <w:r w:rsidDel="00000000" w:rsidR="00000000" w:rsidRPr="00000000">
        <w:rPr>
          <w:rFonts w:ascii="Times New Roman" w:cs="Times New Roman" w:eastAsia="Times New Roman" w:hAnsi="Times New Roman"/>
          <w:sz w:val="20"/>
          <w:szCs w:val="20"/>
          <w:highlight w:val="white"/>
          <w:rtl w:val="0"/>
        </w:rPr>
        <w:t xml:space="preserve"> </w:t>
      </w:r>
      <w:r w:rsidDel="00000000" w:rsidR="00000000" w:rsidRPr="00000000">
        <w:rPr>
          <w:rtl w:val="0"/>
        </w:rPr>
      </w:r>
    </w:p>
  </w:footnote>
  <w:footnote w:id="18">
    <w:p w:rsidR="00000000" w:rsidDel="00000000" w:rsidP="00000000" w:rsidRDefault="00000000" w:rsidRPr="00000000" w14:paraId="000000F6">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61">
        <w:r w:rsidDel="00000000" w:rsidR="00000000" w:rsidRPr="00000000">
          <w:rPr>
            <w:rFonts w:ascii="Times New Roman" w:cs="Times New Roman" w:eastAsia="Times New Roman" w:hAnsi="Times New Roman"/>
            <w:color w:val="1155cc"/>
            <w:sz w:val="20"/>
            <w:szCs w:val="20"/>
            <w:u w:val="single"/>
            <w:rtl w:val="0"/>
          </w:rPr>
          <w:t xml:space="preserve">https://www.boletinoficial.gob.ar/detalleAviso/primera/312338/20240816</w:t>
        </w:r>
      </w:hyperlink>
      <w:r w:rsidDel="00000000" w:rsidR="00000000" w:rsidRPr="00000000">
        <w:rPr>
          <w:rFonts w:ascii="Times New Roman" w:cs="Times New Roman" w:eastAsia="Times New Roman" w:hAnsi="Times New Roman"/>
          <w:color w:val="1155cc"/>
          <w:sz w:val="20"/>
          <w:szCs w:val="20"/>
          <w:u w:val="single"/>
          <w:rtl w:val="0"/>
        </w:rPr>
        <w:t xml:space="preserve"> </w:t>
      </w:r>
      <w:r w:rsidDel="00000000" w:rsidR="00000000" w:rsidRPr="00000000">
        <w:rPr>
          <w:rtl w:val="0"/>
        </w:rPr>
      </w:r>
    </w:p>
  </w:footnote>
  <w:footnote w:id="59">
    <w:p w:rsidR="00000000" w:rsidDel="00000000" w:rsidP="00000000" w:rsidRDefault="00000000" w:rsidRPr="00000000" w14:paraId="000000F7">
      <w:pPr>
        <w:spacing w:line="240" w:lineRule="auto"/>
        <w:jc w:val="both"/>
        <w:rPr>
          <w:sz w:val="20"/>
          <w:szCs w:val="20"/>
          <w:highlight w:val="whit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highlight w:val="white"/>
          <w:rtl w:val="0"/>
        </w:rPr>
        <w:t xml:space="preserve"> El caso de la periodista Julia Mengolini es un ejemplo de ello. El Presidente fue parte de un proceso de hostigamiento y persecución a través de medios digitales y la denunció por un informe presentado durante la campaña electoral. Él y funcionarios de su gobierno difundieron y celebraron la circulación de noticias falsas sobre la periodista. La investigación penal por este ataque está actualmente en curso. Ver: </w:t>
      </w:r>
      <w:hyperlink r:id="rId62">
        <w:r w:rsidDel="00000000" w:rsidR="00000000" w:rsidRPr="00000000">
          <w:rPr>
            <w:rFonts w:ascii="Times New Roman" w:cs="Times New Roman" w:eastAsia="Times New Roman" w:hAnsi="Times New Roman"/>
            <w:color w:val="1155cc"/>
            <w:sz w:val="20"/>
            <w:szCs w:val="20"/>
            <w:highlight w:val="white"/>
            <w:u w:val="single"/>
            <w:rtl w:val="0"/>
          </w:rPr>
          <w:t xml:space="preserve">https://www.cels.org.ar/web/2025/11/argentina-ante-la-cidh-el-deterioro-de-la-libertad-de-expresion/</w:t>
        </w:r>
      </w:hyperlink>
      <w:r w:rsidDel="00000000" w:rsidR="00000000" w:rsidRPr="00000000">
        <w:rPr>
          <w:rtl w:val="0"/>
        </w:rPr>
      </w:r>
    </w:p>
  </w:footnote>
  <w:footnote w:id="31">
    <w:p w:rsidR="00000000" w:rsidDel="00000000" w:rsidP="00000000" w:rsidRDefault="00000000" w:rsidRPr="00000000" w14:paraId="000000FB">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CEDAW/C/ARG/8, párrs. 41-44, 46, 47, 85, 92-95.</w:t>
      </w:r>
    </w:p>
  </w:footnote>
  <w:footnote w:id="45">
    <w:p w:rsidR="00000000" w:rsidDel="00000000" w:rsidP="00000000" w:rsidRDefault="00000000" w:rsidRPr="00000000" w14:paraId="000000FC">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63">
        <w:r w:rsidDel="00000000" w:rsidR="00000000" w:rsidRPr="00000000">
          <w:rPr>
            <w:rFonts w:ascii="Times New Roman" w:cs="Times New Roman" w:eastAsia="Times New Roman" w:hAnsi="Times New Roman"/>
            <w:color w:val="1155cc"/>
            <w:sz w:val="20"/>
            <w:szCs w:val="20"/>
            <w:u w:val="single"/>
            <w:rtl w:val="0"/>
          </w:rPr>
          <w:t xml:space="preserve">https://www.csjn.gov.ar/omrecopilacion/omfemicidio/homefemicidio.html</w:t>
        </w:r>
      </w:hyperlink>
      <w:r w:rsidDel="00000000" w:rsidR="00000000" w:rsidRPr="00000000">
        <w:rPr>
          <w:rFonts w:ascii="Times New Roman" w:cs="Times New Roman" w:eastAsia="Times New Roman" w:hAnsi="Times New Roman"/>
          <w:sz w:val="20"/>
          <w:szCs w:val="20"/>
          <w:rtl w:val="0"/>
        </w:rPr>
        <w:t xml:space="preserve"> </w:t>
      </w:r>
    </w:p>
  </w:footnote>
  <w:footnote w:id="4">
    <w:p w:rsidR="00000000" w:rsidDel="00000000" w:rsidP="00000000" w:rsidRDefault="00000000" w:rsidRPr="00000000" w14:paraId="000000FD">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64">
        <w:r w:rsidDel="00000000" w:rsidR="00000000" w:rsidRPr="00000000">
          <w:rPr>
            <w:rFonts w:ascii="Times New Roman" w:cs="Times New Roman" w:eastAsia="Times New Roman" w:hAnsi="Times New Roman"/>
            <w:color w:val="1155cc"/>
            <w:sz w:val="20"/>
            <w:szCs w:val="20"/>
            <w:u w:val="single"/>
            <w:rtl w:val="0"/>
          </w:rPr>
          <w:t xml:space="preserve">https://www.boletinoficial.gob.ar/detalleAviso/primera/300727/20231211</w:t>
        </w:r>
      </w:hyperlink>
      <w:r w:rsidDel="00000000" w:rsidR="00000000" w:rsidRPr="00000000">
        <w:rPr>
          <w:rFonts w:ascii="Times New Roman" w:cs="Times New Roman" w:eastAsia="Times New Roman" w:hAnsi="Times New Roman"/>
          <w:sz w:val="20"/>
          <w:szCs w:val="20"/>
          <w:rtl w:val="0"/>
        </w:rPr>
        <w:t xml:space="preserve"> </w:t>
      </w:r>
    </w:p>
  </w:footnote>
  <w:footnote w:id="11">
    <w:p w:rsidR="00000000" w:rsidDel="00000000" w:rsidP="00000000" w:rsidRDefault="00000000" w:rsidRPr="00000000" w14:paraId="000000FE">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65">
        <w:r w:rsidDel="00000000" w:rsidR="00000000" w:rsidRPr="00000000">
          <w:rPr>
            <w:rFonts w:ascii="Times New Roman" w:cs="Times New Roman" w:eastAsia="Times New Roman" w:hAnsi="Times New Roman"/>
            <w:color w:val="1155cc"/>
            <w:sz w:val="20"/>
            <w:szCs w:val="20"/>
            <w:u w:val="single"/>
            <w:rtl w:val="0"/>
          </w:rPr>
          <w:t xml:space="preserve">https://acij.org.ar/wp-content/uploads/2025/11/Analisis-de-las-partidas-vinculadas-a-genero-en-el-Proyecto-de-Presupuesto-2026-ACIJ-ELA.pdf</w:t>
        </w:r>
      </w:hyperlink>
      <w:r w:rsidDel="00000000" w:rsidR="00000000" w:rsidRPr="00000000">
        <w:rPr>
          <w:rFonts w:ascii="Times New Roman" w:cs="Times New Roman" w:eastAsia="Times New Roman" w:hAnsi="Times New Roman"/>
          <w:sz w:val="20"/>
          <w:szCs w:val="20"/>
          <w:rtl w:val="0"/>
        </w:rPr>
        <w:t xml:space="preserve"> </w:t>
      </w:r>
    </w:p>
  </w:footnote>
  <w:footnote w:id="41">
    <w:p w:rsidR="00000000" w:rsidDel="00000000" w:rsidP="00000000" w:rsidRDefault="00000000" w:rsidRPr="00000000" w14:paraId="000000FF">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66">
        <w:r w:rsidDel="00000000" w:rsidR="00000000" w:rsidRPr="00000000">
          <w:rPr>
            <w:rFonts w:ascii="Times New Roman" w:cs="Times New Roman" w:eastAsia="Times New Roman" w:hAnsi="Times New Roman"/>
            <w:color w:val="1155cc"/>
            <w:sz w:val="20"/>
            <w:szCs w:val="20"/>
            <w:u w:val="single"/>
            <w:rtl w:val="0"/>
          </w:rPr>
          <w:t xml:space="preserve">https://cloud-snic.minseg.gob.ar/Informes/SNIC/Informe_SNIC_Nacional_2024.pdf</w:t>
        </w:r>
      </w:hyperlink>
      <w:r w:rsidDel="00000000" w:rsidR="00000000" w:rsidRPr="00000000">
        <w:rPr>
          <w:rFonts w:ascii="Times New Roman" w:cs="Times New Roman" w:eastAsia="Times New Roman" w:hAnsi="Times New Roman"/>
          <w:sz w:val="20"/>
          <w:szCs w:val="20"/>
          <w:rtl w:val="0"/>
        </w:rPr>
        <w:t xml:space="preserve"> </w:t>
      </w:r>
    </w:p>
  </w:footnote>
  <w:footnote w:id="47">
    <w:p w:rsidR="00000000" w:rsidDel="00000000" w:rsidP="00000000" w:rsidRDefault="00000000" w:rsidRPr="00000000" w14:paraId="00000100">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Fuentes utilizadas: Sistema Integrado de Casos de Violencia por Motivos de Género (SICVG) – Informe Estadístico 2023, elaborado por la Dirección Técnica de Registros y Bases de Datos del Ministerio de las Mujeres, Géneros y Diversidad de la Nación; y de los registros y publicaciones de la OM - CSJN: Femicidios directos – Evolución de femicidios directos por jurisdicción (2017–2024), Registro Nacional de Femicidios de la Justicia Argentina (ediciones 2022, 2023 y 2024), Informe de Indicadores de Seguimiento de Femicidios para la Iniciativa Spotlight (2022, con datos 2021), Ficha Técnica del Registro Nacional de Femicidios (actualización diciembre 2023), y el Observatorio de Seguimiento de Causas Judiciales y Sentencias de Femicidio Directo – Infografías y bases de datos jurisdiccionales (</w:t>
      </w:r>
      <w:r w:rsidDel="00000000" w:rsidR="00000000" w:rsidRPr="00000000">
        <w:rPr>
          <w:rFonts w:ascii="Times New Roman" w:cs="Times New Roman" w:eastAsia="Times New Roman" w:hAnsi="Times New Roman"/>
          <w:sz w:val="20"/>
          <w:szCs w:val="20"/>
          <w:rtl w:val="0"/>
        </w:rPr>
        <w:t xml:space="preserve">RNFJA</w:t>
      </w:r>
      <w:r w:rsidDel="00000000" w:rsidR="00000000" w:rsidRPr="00000000">
        <w:rPr>
          <w:rFonts w:ascii="Times New Roman" w:cs="Times New Roman" w:eastAsia="Times New Roman" w:hAnsi="Times New Roman"/>
          <w:sz w:val="20"/>
          <w:szCs w:val="20"/>
          <w:rtl w:val="0"/>
        </w:rPr>
        <w:t xml:space="preserve"> 2017–2022, actualización a junio 2024).</w:t>
      </w:r>
    </w:p>
  </w:footnote>
  <w:footnote w:id="53">
    <w:p w:rsidR="00000000" w:rsidDel="00000000" w:rsidP="00000000" w:rsidRDefault="00000000" w:rsidRPr="00000000" w14:paraId="00000101">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67">
        <w:r w:rsidDel="00000000" w:rsidR="00000000" w:rsidRPr="00000000">
          <w:rPr>
            <w:rFonts w:ascii="Times New Roman" w:cs="Times New Roman" w:eastAsia="Times New Roman" w:hAnsi="Times New Roman"/>
            <w:color w:val="1155cc"/>
            <w:sz w:val="20"/>
            <w:szCs w:val="20"/>
            <w:u w:val="single"/>
            <w:rtl w:val="0"/>
          </w:rPr>
          <w:t xml:space="preserve">https://libresdelsur.org.ar/wp-content/uploads/No-estamos-todas-nos-faltan-las-vi%CC%81ctimas-del-narcotra%CC%81fico-en-Santa-Fe-1.Reporte-de-Feminicidios-en-contexto-de-narcotra%CC%81fico-y-crimen-organizado-del-Observatorio-Nacional-MuMaLa-2020-2025.pdf</w:t>
        </w:r>
      </w:hyperlink>
      <w:r w:rsidDel="00000000" w:rsidR="00000000" w:rsidRPr="00000000">
        <w:rPr>
          <w:rFonts w:ascii="Times New Roman" w:cs="Times New Roman" w:eastAsia="Times New Roman" w:hAnsi="Times New Roman"/>
          <w:sz w:val="20"/>
          <w:szCs w:val="20"/>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8">
    <w:pPr>
      <w:jc w:val="cente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9">
    <w:pPr>
      <w:jc w:val="center"/>
      <w:rPr/>
    </w:pPr>
    <w:r w:rsidDel="00000000" w:rsidR="00000000" w:rsidRPr="00000000">
      <w:rPr/>
      <w:drawing>
        <wp:inline distB="114300" distT="114300" distL="114300" distR="114300">
          <wp:extent cx="947738" cy="624882"/>
          <wp:effectExtent b="0" l="0" r="0" t="0"/>
          <wp:docPr id="18" name="image6.png"/>
          <a:graphic>
            <a:graphicData uri="http://schemas.openxmlformats.org/drawingml/2006/picture">
              <pic:pic>
                <pic:nvPicPr>
                  <pic:cNvPr id="0" name="image6.png"/>
                  <pic:cNvPicPr preferRelativeResize="0"/>
                </pic:nvPicPr>
                <pic:blipFill>
                  <a:blip r:embed="rId1"/>
                  <a:srcRect b="0" l="0" r="0" t="0"/>
                  <a:stretch>
                    <a:fillRect/>
                  </a:stretch>
                </pic:blipFill>
                <pic:spPr>
                  <a:xfrm>
                    <a:off x="0" y="0"/>
                    <a:ext cx="947738" cy="624882"/>
                  </a:xfrm>
                  <a:prstGeom prst="rect"/>
                  <a:ln/>
                </pic:spPr>
              </pic:pic>
            </a:graphicData>
          </a:graphic>
        </wp:inline>
      </w:drawing>
    </w:r>
    <w:r w:rsidDel="00000000" w:rsidR="00000000" w:rsidRPr="00000000">
      <w:rPr/>
      <w:drawing>
        <wp:inline distB="114300" distT="114300" distL="114300" distR="114300">
          <wp:extent cx="1304925" cy="504825"/>
          <wp:effectExtent b="0" l="0" r="0" t="0"/>
          <wp:docPr id="4" name="image25.jpg"/>
          <a:graphic>
            <a:graphicData uri="http://schemas.openxmlformats.org/drawingml/2006/picture">
              <pic:pic>
                <pic:nvPicPr>
                  <pic:cNvPr id="0" name="image25.jpg"/>
                  <pic:cNvPicPr preferRelativeResize="0"/>
                </pic:nvPicPr>
                <pic:blipFill>
                  <a:blip r:embed="rId2"/>
                  <a:srcRect b="16438" l="12637" r="12087" t="10958"/>
                  <a:stretch>
                    <a:fillRect/>
                  </a:stretch>
                </pic:blipFill>
                <pic:spPr>
                  <a:xfrm>
                    <a:off x="0" y="0"/>
                    <a:ext cx="1304925" cy="504825"/>
                  </a:xfrm>
                  <a:prstGeom prst="rect"/>
                  <a:ln/>
                </pic:spPr>
              </pic:pic>
            </a:graphicData>
          </a:graphic>
        </wp:inline>
      </w:drawing>
    </w:r>
    <w:r w:rsidDel="00000000" w:rsidR="00000000" w:rsidRPr="00000000">
      <w:rPr>
        <w:rFonts w:ascii="Calibri" w:cs="Calibri" w:eastAsia="Calibri" w:hAnsi="Calibri"/>
        <w:b w:val="1"/>
        <w:bCs w:val="1"/>
      </w:rPr>
      <w:drawing>
        <wp:inline distB="114300" distT="114300" distL="114300" distR="114300">
          <wp:extent cx="1392075" cy="679061"/>
          <wp:effectExtent b="0" l="0" r="0" t="0"/>
          <wp:docPr id="25" name="image21.png"/>
          <a:graphic>
            <a:graphicData uri="http://schemas.openxmlformats.org/drawingml/2006/picture">
              <pic:pic>
                <pic:nvPicPr>
                  <pic:cNvPr id="0" name="image21.png"/>
                  <pic:cNvPicPr preferRelativeResize="0"/>
                </pic:nvPicPr>
                <pic:blipFill>
                  <a:blip r:embed="rId3"/>
                  <a:srcRect b="0" l="0" r="0" t="0"/>
                  <a:stretch>
                    <a:fillRect/>
                  </a:stretch>
                </pic:blipFill>
                <pic:spPr>
                  <a:xfrm>
                    <a:off x="0" y="0"/>
                    <a:ext cx="1392075" cy="679061"/>
                  </a:xfrm>
                  <a:prstGeom prst="rect"/>
                  <a:ln/>
                </pic:spPr>
              </pic:pic>
            </a:graphicData>
          </a:graphic>
        </wp:inline>
      </w:drawing>
    </w:r>
    <w:r w:rsidDel="00000000" w:rsidR="00000000" w:rsidRPr="00000000">
      <w:rPr>
        <w:rFonts w:ascii="Times New Roman" w:cs="Times New Roman" w:eastAsia="Times New Roman" w:hAnsi="Times New Roman"/>
        <w:sz w:val="24"/>
        <w:szCs w:val="24"/>
      </w:rPr>
      <w:drawing>
        <wp:inline distB="114300" distT="114300" distL="114300" distR="114300">
          <wp:extent cx="1290638" cy="657225"/>
          <wp:effectExtent b="0" l="0" r="0" t="0"/>
          <wp:docPr id="12" name="image4.png"/>
          <a:graphic>
            <a:graphicData uri="http://schemas.openxmlformats.org/drawingml/2006/picture">
              <pic:pic>
                <pic:nvPicPr>
                  <pic:cNvPr id="0" name="image4.png"/>
                  <pic:cNvPicPr preferRelativeResize="0"/>
                </pic:nvPicPr>
                <pic:blipFill>
                  <a:blip r:embed="rId4"/>
                  <a:srcRect b="0" l="0" r="0" t="0"/>
                  <a:stretch>
                    <a:fillRect/>
                  </a:stretch>
                </pic:blipFill>
                <pic:spPr>
                  <a:xfrm>
                    <a:off x="0" y="0"/>
                    <a:ext cx="1290638" cy="657225"/>
                  </a:xfrm>
                  <a:prstGeom prst="rect"/>
                  <a:ln/>
                </pic:spPr>
              </pic:pic>
            </a:graphicData>
          </a:graphic>
        </wp:inline>
      </w:drawing>
    </w:r>
    <w:r w:rsidDel="00000000" w:rsidR="00000000" w:rsidRPr="00000000">
      <w:rPr>
        <w:rFonts w:ascii="Times New Roman" w:cs="Times New Roman" w:eastAsia="Times New Roman" w:hAnsi="Times New Roman"/>
        <w:sz w:val="24"/>
        <w:szCs w:val="24"/>
      </w:rPr>
      <w:drawing>
        <wp:inline distB="114300" distT="114300" distL="114300" distR="114300">
          <wp:extent cx="1509165" cy="599668"/>
          <wp:effectExtent b="0" l="0" r="0" t="0"/>
          <wp:docPr id="7" name="image1.png"/>
          <a:graphic>
            <a:graphicData uri="http://schemas.openxmlformats.org/drawingml/2006/picture">
              <pic:pic>
                <pic:nvPicPr>
                  <pic:cNvPr id="0" name="image1.png"/>
                  <pic:cNvPicPr preferRelativeResize="0"/>
                </pic:nvPicPr>
                <pic:blipFill>
                  <a:blip r:embed="rId5"/>
                  <a:srcRect b="0" l="0" r="0" t="0"/>
                  <a:stretch>
                    <a:fillRect/>
                  </a:stretch>
                </pic:blipFill>
                <pic:spPr>
                  <a:xfrm>
                    <a:off x="0" y="0"/>
                    <a:ext cx="1509165" cy="599668"/>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Pr>
      <w:drawing>
        <wp:inline distB="114300" distT="114300" distL="114300" distR="114300">
          <wp:extent cx="1276350" cy="695325"/>
          <wp:effectExtent b="0" l="0" r="0" t="0"/>
          <wp:docPr id="13" name="image8.png"/>
          <a:graphic>
            <a:graphicData uri="http://schemas.openxmlformats.org/drawingml/2006/picture">
              <pic:pic>
                <pic:nvPicPr>
                  <pic:cNvPr id="0" name="image8.png"/>
                  <pic:cNvPicPr preferRelativeResize="0"/>
                </pic:nvPicPr>
                <pic:blipFill>
                  <a:blip r:embed="rId6"/>
                  <a:srcRect b="0" l="0" r="0" t="0"/>
                  <a:stretch>
                    <a:fillRect/>
                  </a:stretch>
                </pic:blipFill>
                <pic:spPr>
                  <a:xfrm>
                    <a:off x="0" y="0"/>
                    <a:ext cx="1276350" cy="695325"/>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Calibri" w:cs="Calibri" w:eastAsia="Calibri" w:hAnsi="Calibri"/>
        <w:b w:val="1"/>
        <w:bCs w:val="1"/>
      </w:rPr>
      <w:drawing>
        <wp:inline distB="114300" distT="114300" distL="114300" distR="114300">
          <wp:extent cx="731584" cy="675308"/>
          <wp:effectExtent b="0" l="0" r="0" t="0"/>
          <wp:docPr id="6"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731584" cy="675308"/>
                  </a:xfrm>
                  <a:prstGeom prst="rect"/>
                  <a:ln/>
                </pic:spPr>
              </pic:pic>
            </a:graphicData>
          </a:graphic>
        </wp:inline>
      </w:drawing>
    </w:r>
    <w:r w:rsidDel="00000000" w:rsidR="00000000" w:rsidRPr="00000000">
      <w:rPr>
        <w:rFonts w:ascii="Calibri" w:cs="Calibri" w:eastAsia="Calibri" w:hAnsi="Calibri"/>
        <w:b w:val="1"/>
        <w:bCs w:val="1"/>
        <w:rtl w:val="0"/>
      </w:rPr>
      <w:t xml:space="preserve"> </w:t>
    </w:r>
    <w:r w:rsidDel="00000000" w:rsidR="00000000" w:rsidRPr="00000000">
      <w:rPr>
        <w:rFonts w:ascii="Calibri" w:cs="Calibri" w:eastAsia="Calibri" w:hAnsi="Calibri"/>
        <w:b w:val="1"/>
        <w:bCs w:val="1"/>
      </w:rPr>
      <w:drawing>
        <wp:inline distB="114300" distT="114300" distL="114300" distR="114300">
          <wp:extent cx="1520662" cy="467191"/>
          <wp:effectExtent b="0" l="0" r="0" t="0"/>
          <wp:docPr id="16"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520662" cy="467191"/>
                  </a:xfrm>
                  <a:prstGeom prst="rect"/>
                  <a:ln/>
                </pic:spPr>
              </pic:pic>
            </a:graphicData>
          </a:graphic>
        </wp:inline>
      </w:drawing>
    </w:r>
    <w:r w:rsidDel="00000000" w:rsidR="00000000" w:rsidRPr="00000000">
      <w:rPr>
        <w:rFonts w:ascii="Calibri" w:cs="Calibri" w:eastAsia="Calibri" w:hAnsi="Calibri"/>
        <w:b w:val="1"/>
        <w:bCs w:val="1"/>
      </w:rPr>
      <w:drawing>
        <wp:inline distB="114300" distT="114300" distL="114300" distR="114300">
          <wp:extent cx="1074652" cy="926764"/>
          <wp:effectExtent b="0" l="0" r="0" t="0"/>
          <wp:docPr id="22" name="image17.png"/>
          <a:graphic>
            <a:graphicData uri="http://schemas.openxmlformats.org/drawingml/2006/picture">
              <pic:pic>
                <pic:nvPicPr>
                  <pic:cNvPr id="0" name="image17.png"/>
                  <pic:cNvPicPr preferRelativeResize="0"/>
                </pic:nvPicPr>
                <pic:blipFill>
                  <a:blip r:embed="rId9"/>
                  <a:srcRect b="0" l="0" r="0" t="0"/>
                  <a:stretch>
                    <a:fillRect/>
                  </a:stretch>
                </pic:blipFill>
                <pic:spPr>
                  <a:xfrm>
                    <a:off x="0" y="0"/>
                    <a:ext cx="1074652" cy="926764"/>
                  </a:xfrm>
                  <a:prstGeom prst="rect"/>
                  <a:ln/>
                </pic:spPr>
              </pic:pic>
            </a:graphicData>
          </a:graphic>
        </wp:inline>
      </w:drawing>
    </w:r>
    <w:r w:rsidDel="00000000" w:rsidR="00000000" w:rsidRPr="00000000">
      <w:rPr>
        <w:rFonts w:ascii="Calibri" w:cs="Calibri" w:eastAsia="Calibri" w:hAnsi="Calibri"/>
        <w:b w:val="1"/>
        <w:bCs w:val="1"/>
      </w:rPr>
      <w:drawing>
        <wp:inline distB="114300" distT="114300" distL="114300" distR="114300">
          <wp:extent cx="1628703" cy="683875"/>
          <wp:effectExtent b="0" l="0" r="0" t="0"/>
          <wp:docPr id="20" name="image23.jpg"/>
          <a:graphic>
            <a:graphicData uri="http://schemas.openxmlformats.org/drawingml/2006/picture">
              <pic:pic>
                <pic:nvPicPr>
                  <pic:cNvPr id="0" name="image23.jpg"/>
                  <pic:cNvPicPr preferRelativeResize="0"/>
                </pic:nvPicPr>
                <pic:blipFill>
                  <a:blip r:embed="rId10"/>
                  <a:srcRect b="0" l="0" r="0" t="0"/>
                  <a:stretch>
                    <a:fillRect/>
                  </a:stretch>
                </pic:blipFill>
                <pic:spPr>
                  <a:xfrm>
                    <a:off x="0" y="0"/>
                    <a:ext cx="1628703" cy="683875"/>
                  </a:xfrm>
                  <a:prstGeom prst="rect"/>
                  <a:ln/>
                </pic:spPr>
              </pic:pic>
            </a:graphicData>
          </a:graphic>
        </wp:inline>
      </w:drawing>
    </w:r>
    <w:r w:rsidDel="00000000" w:rsidR="00000000" w:rsidRPr="00000000">
      <w:rPr>
        <w:rFonts w:ascii="Times New Roman" w:cs="Times New Roman" w:eastAsia="Times New Roman" w:hAnsi="Times New Roman"/>
        <w:sz w:val="24"/>
        <w:szCs w:val="24"/>
      </w:rPr>
      <w:drawing>
        <wp:inline distB="114300" distT="114300" distL="114300" distR="114300">
          <wp:extent cx="1209675" cy="528638"/>
          <wp:effectExtent b="0" l="0" r="0" t="0"/>
          <wp:docPr id="14" name="image10.png"/>
          <a:graphic>
            <a:graphicData uri="http://schemas.openxmlformats.org/drawingml/2006/picture">
              <pic:pic>
                <pic:nvPicPr>
                  <pic:cNvPr id="0" name="image10.png"/>
                  <pic:cNvPicPr preferRelativeResize="0"/>
                </pic:nvPicPr>
                <pic:blipFill>
                  <a:blip r:embed="rId11"/>
                  <a:srcRect b="0" l="0" r="0" t="0"/>
                  <a:stretch>
                    <a:fillRect/>
                  </a:stretch>
                </pic:blipFill>
                <pic:spPr>
                  <a:xfrm>
                    <a:off x="0" y="0"/>
                    <a:ext cx="1209675" cy="528638"/>
                  </a:xfrm>
                  <a:prstGeom prst="rect"/>
                  <a:ln/>
                </pic:spPr>
              </pic:pic>
            </a:graphicData>
          </a:graphic>
        </wp:inline>
      </w:drawing>
    </w:r>
    <w:r w:rsidDel="00000000" w:rsidR="00000000" w:rsidRPr="00000000">
      <w:rPr>
        <w:rFonts w:ascii="Calibri" w:cs="Calibri" w:eastAsia="Calibri" w:hAnsi="Calibri"/>
        <w:b w:val="1"/>
        <w:bCs w:val="1"/>
      </w:rPr>
      <w:drawing>
        <wp:inline distB="114300" distT="114300" distL="114300" distR="114300">
          <wp:extent cx="1583826" cy="559461"/>
          <wp:effectExtent b="0" l="0" r="0" t="0"/>
          <wp:docPr id="23" name="image20.jpg"/>
          <a:graphic>
            <a:graphicData uri="http://schemas.openxmlformats.org/drawingml/2006/picture">
              <pic:pic>
                <pic:nvPicPr>
                  <pic:cNvPr id="0" name="image20.jpg"/>
                  <pic:cNvPicPr preferRelativeResize="0"/>
                </pic:nvPicPr>
                <pic:blipFill>
                  <a:blip r:embed="rId12"/>
                  <a:srcRect b="0" l="0" r="0" t="0"/>
                  <a:stretch>
                    <a:fillRect/>
                  </a:stretch>
                </pic:blipFill>
                <pic:spPr>
                  <a:xfrm>
                    <a:off x="0" y="0"/>
                    <a:ext cx="1583826" cy="559461"/>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Letter"/>
      <w:lvlText w:val="%1."/>
      <w:lvlJc w:val="left"/>
      <w:pPr>
        <w:ind w:left="720" w:hanging="360"/>
      </w:pPr>
      <w:rPr>
        <w:rFonts w:ascii="Arial" w:cs="Arial" w:eastAsia="Arial" w:hAnsi="Arial"/>
        <w:b w:val="1"/>
        <w:bCs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rFonts w:ascii="Times New Roman" w:cs="Times New Roman" w:eastAsia="Times New Roman" w:hAnsi="Times New Roman"/>
        <w:b w:val="1"/>
        <w:bCs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18.jp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5.png"/><Relationship Id="rId8" Type="http://schemas.openxmlformats.org/officeDocument/2006/relationships/image" Target="media/image7.png"/><Relationship Id="rId20" Type="http://schemas.openxmlformats.org/officeDocument/2006/relationships/header" Target="header1.xml"/><Relationship Id="rId22" Type="http://schemas.openxmlformats.org/officeDocument/2006/relationships/footer" Target="footer1.xml"/><Relationship Id="rId21" Type="http://schemas.openxmlformats.org/officeDocument/2006/relationships/header" Target="header2.xml"/><Relationship Id="rId23" Type="http://schemas.openxmlformats.org/officeDocument/2006/relationships/footer" Target="footer2.xml"/><Relationship Id="rId11" Type="http://schemas.openxmlformats.org/officeDocument/2006/relationships/image" Target="media/image11.jpg"/><Relationship Id="rId10" Type="http://schemas.openxmlformats.org/officeDocument/2006/relationships/image" Target="media/image24.png"/><Relationship Id="rId13" Type="http://schemas.openxmlformats.org/officeDocument/2006/relationships/image" Target="media/image12.jpg"/><Relationship Id="rId12" Type="http://schemas.openxmlformats.org/officeDocument/2006/relationships/image" Target="media/image14.png"/><Relationship Id="rId15" Type="http://schemas.openxmlformats.org/officeDocument/2006/relationships/image" Target="media/image19.png"/><Relationship Id="rId14" Type="http://schemas.openxmlformats.org/officeDocument/2006/relationships/image" Target="media/image16.jpg"/><Relationship Id="rId17" Type="http://schemas.openxmlformats.org/officeDocument/2006/relationships/image" Target="media/image15.gif"/><Relationship Id="rId16" Type="http://schemas.openxmlformats.org/officeDocument/2006/relationships/image" Target="media/image13.png"/><Relationship Id="rId19" Type="http://schemas.openxmlformats.org/officeDocument/2006/relationships/image" Target="media/image22.png"/><Relationship Id="rId18" Type="http://schemas.openxmlformats.org/officeDocument/2006/relationships/image" Target="media/image9.jpg"/></Relationships>
</file>

<file path=word/_rels/fontTable.xml.rels><?xml version="1.0" encoding="UTF-8" standalone="yes"?><Relationships xmlns="http://schemas.openxmlformats.org/package/2006/relationships"><Relationship Id="rId1" Type="http://schemas.openxmlformats.org/officeDocument/2006/relationships/font" Target="fonts/Ubuntu-regular.ttf"/><Relationship Id="rId2" Type="http://schemas.openxmlformats.org/officeDocument/2006/relationships/font" Target="fonts/Ubuntu-bold.ttf"/><Relationship Id="rId3" Type="http://schemas.openxmlformats.org/officeDocument/2006/relationships/font" Target="fonts/Ubuntu-italic.ttf"/><Relationship Id="rId4" Type="http://schemas.openxmlformats.org/officeDocument/2006/relationships/font" Target="fonts/Ubuntu-boldItalic.ttf"/><Relationship Id="rId5" Type="http://schemas.openxmlformats.org/officeDocument/2006/relationships/font" Target="fonts/ArialNarrow-regular.ttf"/><Relationship Id="rId6" Type="http://schemas.openxmlformats.org/officeDocument/2006/relationships/font" Target="fonts/ArialNarrow-bold.ttf"/><Relationship Id="rId7" Type="http://schemas.openxmlformats.org/officeDocument/2006/relationships/font" Target="fonts/ArialNarrow-italic.ttf"/><Relationship Id="rId8" Type="http://schemas.openxmlformats.org/officeDocument/2006/relationships/font" Target="fonts/ArialNarrow-boldItalic.ttf"/></Relationships>
</file>

<file path=word/_rels/footnotes.xml.rels><?xml version="1.0" encoding="UTF-8" standalone="yes"?><Relationships xmlns="http://schemas.openxmlformats.org/package/2006/relationships"><Relationship Id="rId40" Type="http://schemas.openxmlformats.org/officeDocument/2006/relationships/hyperlink" Target="https://ela.org.ar/publicaciones-documentos/percepcion-e-incidencia-de-la-violencia-contra-las-mujeres-analisis-de-la-encuesta-sobre-la-situacion-de-las-mujeres-en-la-ciudad-de-buenos-aires/" TargetMode="External"/><Relationship Id="rId42" Type="http://schemas.openxmlformats.org/officeDocument/2006/relationships/hyperlink" Target="https://inecip.org/publicaciones/cuando-el-macho-dispara-armas-de-fuego-y-violencias-de-genero-en-argentina/" TargetMode="External"/><Relationship Id="rId41" Type="http://schemas.openxmlformats.org/officeDocument/2006/relationships/hyperlink" Target="https://ela.org.ar/publicaciones-documentos/percepcion-e-incidencia-de-la-violencia-contra-las-mujeres-analisis-de-la-encuesta-sobre-la-situacion-de-las-mujeres-en-la-ciudad-de-buenos-aires/" TargetMode="External"/><Relationship Id="rId44" Type="http://schemas.openxmlformats.org/officeDocument/2006/relationships/hyperlink" Target="https://www.infobae.com/politica/2024/12/19/argentina-modifico-su-voto-y-acompano-en-la-onu-la-resolucion-para-prevenir-la-violencia-contra-las-mujeres/#:~:text=Francisco%20Tropepi%20modific%C3%B3%20el%20voto%20de%20Argentina,y%20eliminaci%C3%B3n%20de%20todas%20las%20formas%20de" TargetMode="External"/><Relationship Id="rId43" Type="http://schemas.openxmlformats.org/officeDocument/2006/relationships/hyperlink" Target="https://docs.un.org/es/A/C.3/79/L.17/Rev.1" TargetMode="External"/><Relationship Id="rId46" Type="http://schemas.openxmlformats.org/officeDocument/2006/relationships/hyperlink" Target="https://www.argentina.gob.ar/generos/mapa-federal-de-experiencias-con-varones-y-masculinidades-en-argentina" TargetMode="External"/><Relationship Id="rId45" Type="http://schemas.openxmlformats.org/officeDocument/2006/relationships/hyperlink" Target="https://g7g20-documents.org/database/document/2024-g20-brazil-sherpa-track-womens-empowerment-ministers-ministers-language-documento-final" TargetMode="External"/><Relationship Id="rId1" Type="http://schemas.openxmlformats.org/officeDocument/2006/relationships/hyperlink" Target="https://www.letrap.com.ar/generos/la-libertad-retrocede-la-era-javier-milei-la-mayoria-las-provincias-degrado-sus-areas-genero-n5408962" TargetMode="External"/><Relationship Id="rId2" Type="http://schemas.openxmlformats.org/officeDocument/2006/relationships/hyperlink" Target="https://www.csjn.gov.ar/novedades/detalle/7476" TargetMode="External"/><Relationship Id="rId3" Type="http://schemas.openxmlformats.org/officeDocument/2006/relationships/hyperlink" Target="https://www.diputados.gob.ar/comisiones/noticias/06c4370e-63d9-11ef-a710-00505689ffd4" TargetMode="External"/><Relationship Id="rId4" Type="http://schemas.openxmlformats.org/officeDocument/2006/relationships/hyperlink" Target="https://www.diputados.gob.ar/comisiones/noticias/06c4370e-63d9-11ef-a710-00505689ffd4" TargetMode="External"/><Relationship Id="rId9" Type="http://schemas.openxmlformats.org/officeDocument/2006/relationships/hyperlink" Target="https://www.boletinoficial.gob.ar/detalleAviso/primera/312767/20240826" TargetMode="External"/><Relationship Id="rId48" Type="http://schemas.openxmlformats.org/officeDocument/2006/relationships/hyperlink" Target="https://amnistia.org.ar/corazonesverdes/informe-corazones-verdes" TargetMode="External"/><Relationship Id="rId47" Type="http://schemas.openxmlformats.org/officeDocument/2006/relationships/hyperlink" Target="https://www.diputados.gov.ar/avisos/9a32c3d2-6a2f-11ef-acdb-00505689ffd4/" TargetMode="External"/><Relationship Id="rId49" Type="http://schemas.openxmlformats.org/officeDocument/2006/relationships/hyperlink" Target="https://amnistia.org.ar/wp-content/uploads/delightful-downloads/2024/10/Muteadas_InformeCompleto.pdf" TargetMode="External"/><Relationship Id="rId5" Type="http://schemas.openxmlformats.org/officeDocument/2006/relationships/hyperlink" Target="http://www.clarin.com/sociedad/ahora-gobierno-dice-politicas-genero-excusas_0_NaIzCSNO9W.html" TargetMode="External"/><Relationship Id="rId6" Type="http://schemas.openxmlformats.org/officeDocument/2006/relationships/hyperlink" Target="https://ela.org.ar/publicaciones-documentos/mas-alla-de-los-numeros-el-impacto-del-desmantelamiento-de-las-politicas-de-genero-en-argentina-2023-2025/" TargetMode="External"/><Relationship Id="rId7" Type="http://schemas.openxmlformats.org/officeDocument/2006/relationships/hyperlink" Target="https://ela.org.ar/wp-content/uploads/2024/07/Gacetilla-de-prensa-Presentacion-judicial-contra-el-Poder-Ejecutivo-por-el-incumplimiento-de-leyes-y-tratados-internacionales-en-materia-de-genero.pdf" TargetMode="External"/><Relationship Id="rId8" Type="http://schemas.openxmlformats.org/officeDocument/2006/relationships/hyperlink" Target="https://ela.org.ar/publicaciones-documentos/libradas-a-su-suerte-actualizacion-noviembre-2024/" TargetMode="External"/><Relationship Id="rId31" Type="http://schemas.openxmlformats.org/officeDocument/2006/relationships/hyperlink" Target="https://acij.org.ar/wp-content/uploads/2022/02/ACIJ-CELS-INECIP-_Investigacion-CAJ_RESUMEN-ESPANOL.pdf" TargetMode="External"/><Relationship Id="rId30" Type="http://schemas.openxmlformats.org/officeDocument/2006/relationships/hyperlink" Target="https://www.senado.gob.ar/prensa/22319/noticias" TargetMode="External"/><Relationship Id="rId33" Type="http://schemas.openxmlformats.org/officeDocument/2006/relationships/hyperlink" Target="https://www.argentina.gob.ar/generos/encuesta-de-prevalencia-de-violencia-contra-las-mujeres" TargetMode="External"/><Relationship Id="rId32" Type="http://schemas.openxmlformats.org/officeDocument/2006/relationships/hyperlink" Target="https://www.argentina.gob.ar/justicia/afianzar/caj/listado" TargetMode="External"/><Relationship Id="rId35" Type="http://schemas.openxmlformats.org/officeDocument/2006/relationships/hyperlink" Target="https://ela.org.ar/publicaciones-documentos/libradas-a-su-suerte-actualizacion-noviembre-2024/" TargetMode="External"/><Relationship Id="rId34" Type="http://schemas.openxmlformats.org/officeDocument/2006/relationships/hyperlink" Target="https://ela.org.ar/publicaciones-documentos/percepcion-e-incidencia-de-la-violencia-contra-las-mujeres-ciudad-de-buenos-aires-ano-2023/" TargetMode="External"/><Relationship Id="rId37" Type="http://schemas.openxmlformats.org/officeDocument/2006/relationships/hyperlink" Target="https://ela.org.ar/wp-content/uploads/2025/12/Cronologia-del-derrumbre_ELA-2025.pdf" TargetMode="External"/><Relationship Id="rId36" Type="http://schemas.openxmlformats.org/officeDocument/2006/relationships/hyperlink" Target="https://ela.org.ar/wp-content/uploads/2025/11/Politicas-nacionales-de-abordaje-a-las-violencias-noviembre-2025-1.pdf" TargetMode="External"/><Relationship Id="rId39" Type="http://schemas.openxmlformats.org/officeDocument/2006/relationships/hyperlink" Target="https://inecip.org/prensa/comunicados/un-retroceso-de-medio-siglo-milei-elimina-por-decreto-la-agencia-de-control-de-armas-en-argentina/" TargetMode="External"/><Relationship Id="rId38" Type="http://schemas.openxmlformats.org/officeDocument/2006/relationships/hyperlink" Target="https://www.boletinoficial.gob.ar/detalleAviso/primera/327658/20250701" TargetMode="External"/><Relationship Id="rId62" Type="http://schemas.openxmlformats.org/officeDocument/2006/relationships/hyperlink" Target="https://www.cels.org.ar/web/2025/11/argentina-ante-la-cidh-el-deterioro-de-la-libertad-de-expresion/" TargetMode="External"/><Relationship Id="rId61" Type="http://schemas.openxmlformats.org/officeDocument/2006/relationships/hyperlink" Target="https://www.boletinoficial.gob.ar/detalleAviso/primera/312338/20240816" TargetMode="External"/><Relationship Id="rId20" Type="http://schemas.openxmlformats.org/officeDocument/2006/relationships/hyperlink" Target="https://www.oas.org/es/mesecvi/docs/MESECVI-IX_CE_doc.152_24.ListaParticipantes.pdf" TargetMode="External"/><Relationship Id="rId64" Type="http://schemas.openxmlformats.org/officeDocument/2006/relationships/hyperlink" Target="https://www.boletinoficial.gob.ar/detalleAviso/primera/300727/20231211" TargetMode="External"/><Relationship Id="rId63" Type="http://schemas.openxmlformats.org/officeDocument/2006/relationships/hyperlink" Target="https://www.csjn.gov.ar/omrecopilacion/omfemicidio/homefemicidio.html" TargetMode="External"/><Relationship Id="rId22" Type="http://schemas.openxmlformats.org/officeDocument/2006/relationships/hyperlink" Target="https://ela.org.ar/novedades/la-corte-idh-rechaza-el-pedido-del-estado-argentino-de-retirar-la-opinion-consultiva-sobre-cuidados/" TargetMode="External"/><Relationship Id="rId66" Type="http://schemas.openxmlformats.org/officeDocument/2006/relationships/hyperlink" Target="https://cloud-snic.minseg.gob.ar/Informes/SNIC/Informe_SNIC_Nacional_2024.pdf" TargetMode="External"/><Relationship Id="rId21" Type="http://schemas.openxmlformats.org/officeDocument/2006/relationships/hyperlink" Target="https://webtv.un.org/es/asset/k1j/k1j48i2h92" TargetMode="External"/><Relationship Id="rId65" Type="http://schemas.openxmlformats.org/officeDocument/2006/relationships/hyperlink" Target="https://acij.org.ar/wp-content/uploads/2025/11/Analisis-de-las-partidas-vinculadas-a-genero-en-el-Proyecto-de-Presupuesto-2026-ACIJ-ELA.pdf" TargetMode="External"/><Relationship Id="rId24" Type="http://schemas.openxmlformats.org/officeDocument/2006/relationships/hyperlink" Target="https://belemdopara.org/wp-content/uploads/2024/02/Comunicado-Argentina-Institucionalidad.pdf" TargetMode="External"/><Relationship Id="rId23" Type="http://schemas.openxmlformats.org/officeDocument/2006/relationships/hyperlink" Target="http://www.presupuestoabierto.gob.ar/sici/analisis-transversal-genero" TargetMode="External"/><Relationship Id="rId67" Type="http://schemas.openxmlformats.org/officeDocument/2006/relationships/hyperlink" Target="https://libresdelsur.org.ar/wp-content/uploads/No-estamos-todas-nos-faltan-las-vi%CC%81ctimas-del-narcotra%CC%81fico-en-Santa-Fe-1.Reporte-de-Feminicidios-en-contexto-de-narcotra%CC%81fico-y-crimen-organizado-del-Observatorio-Nacional-MuMaLa-2020-2025.pdf" TargetMode="External"/><Relationship Id="rId60" Type="http://schemas.openxmlformats.org/officeDocument/2006/relationships/hyperlink" Target="https://www.cels.org.ar/web/wp-content/uploads/2025/09/LDC-informe-6-Final_.pdf" TargetMode="External"/><Relationship Id="rId26" Type="http://schemas.openxmlformats.org/officeDocument/2006/relationships/hyperlink" Target="https://belemdopara.org/wp-content/uploads/2024/08/Comunicado-Argentina-Agosto-2024-.pdf" TargetMode="External"/><Relationship Id="rId25" Type="http://schemas.openxmlformats.org/officeDocument/2006/relationships/hyperlink" Target="https://belemdopara.org/wp-content/uploads/2024/06/Comunicado-IX-CEP.pdf" TargetMode="External"/><Relationship Id="rId28" Type="http://schemas.openxmlformats.org/officeDocument/2006/relationships/hyperlink" Target="https://www.google.com/url?q=https://www.boletinoficial.gob.ar/detalleAviso/primera/328414/20250716&amp;sa=D&amp;source=docs&amp;ust=1767392787309689&amp;usg=AOvVaw3rBif4sxyfZt3C59NlKRUq" TargetMode="External"/><Relationship Id="rId27" Type="http://schemas.openxmlformats.org/officeDocument/2006/relationships/hyperlink" Target="https://belemdopara.org/wp-content/uploads/2024/04/Comunicado-Argentina.pdf" TargetMode="External"/><Relationship Id="rId29" Type="http://schemas.openxmlformats.org/officeDocument/2006/relationships/hyperlink" Target="https://servicios.infoleg.gob.ar/infolegInternet/verNorma.do?id=401266" TargetMode="External"/><Relationship Id="rId51" Type="http://schemas.openxmlformats.org/officeDocument/2006/relationships/hyperlink" Target="https://plan.org.ec/wp-content/uploads/2017/03/Libres-Para-Estar-En-Linea.pdf" TargetMode="External"/><Relationship Id="rId50" Type="http://schemas.openxmlformats.org/officeDocument/2006/relationships/hyperlink" Target="https://amnistia.org.ar/wp-content/uploads/delightful-downloads/2024/11/Pedido-de-informaci%C3%B3n-p%C3%BAblica-al-Ministerio-de-Justicia-de-Naci%C3%B3n.pdf?utm_source=perfit&amp;utm_medium=emai%20l" TargetMode="External"/><Relationship Id="rId53" Type="http://schemas.openxmlformats.org/officeDocument/2006/relationships/hyperlink" Target="https://om.csjn.gob.ar/consultaTalleresWeb/public/documentoConsulta/verDocumentoById?idDocumento=169" TargetMode="External"/><Relationship Id="rId52" Type="http://schemas.openxmlformats.org/officeDocument/2006/relationships/hyperlink" Target="https://www.mpf.gob.ar/ufem/files/2023/05/Informe_Relevamiento-de-fuentes-secundarias-de-datos-sobre-violencia-sexual.pdf" TargetMode="External"/><Relationship Id="rId11" Type="http://schemas.openxmlformats.org/officeDocument/2006/relationships/hyperlink" Target="https://ela.org.ar/wp-content/uploads/2024/01/Ley-Omnibus-Ley-Micaela_ELA.pdf" TargetMode="External"/><Relationship Id="rId55" Type="http://schemas.openxmlformats.org/officeDocument/2006/relationships/hyperlink" Target="https://www.fiscales.gob.ar/wp-content/uploads/2024/11/UFEM-Femicidios-no-intimos-en-Argentina.pdf" TargetMode="External"/><Relationship Id="rId10" Type="http://schemas.openxmlformats.org/officeDocument/2006/relationships/hyperlink" Target="https://www.boletinoficial.gob.ar/detalleAviso/primera/327433/20250625" TargetMode="External"/><Relationship Id="rId54" Type="http://schemas.openxmlformats.org/officeDocument/2006/relationships/hyperlink" Target="https://ela.org.ar/wp-content/uploads/2025/02/Retrocesos-en-la-inclusion_-doble-desafio-para-las-mujeres-con-discapacidad.pdf" TargetMode="External"/><Relationship Id="rId13" Type="http://schemas.openxmlformats.org/officeDocument/2006/relationships/hyperlink" Target="https://ela.org.ar/wp-content/uploads/2023/06/5.-Es-por-aca.pdf.pdf" TargetMode="External"/><Relationship Id="rId57" Type="http://schemas.openxmlformats.org/officeDocument/2006/relationships/hyperlink" Target="https://om.csjn.gob.ar/consultaTalleresWeb/public/documentoConsulta/verDocumentoById?idDocumento=333" TargetMode="External"/><Relationship Id="rId12" Type="http://schemas.openxmlformats.org/officeDocument/2006/relationships/hyperlink" Target="https://www.instagram.com/p/DLkG908OTz4/" TargetMode="External"/><Relationship Id="rId56" Type="http://schemas.openxmlformats.org/officeDocument/2006/relationships/hyperlink" Target="https://ela.org.ar/publicaciones-documentos/hallazgos-y-reflexiones-en-torno-al-cumplimiento-de-la-convencion-belem-do-para-en-argentina-2022-2024/" TargetMode="External"/><Relationship Id="rId15" Type="http://schemas.openxmlformats.org/officeDocument/2006/relationships/hyperlink" Target="https://ela.org.ar/wp-content/uploads/2023/12/2023-Cadenas-invisibles.pdf" TargetMode="External"/><Relationship Id="rId59" Type="http://schemas.openxmlformats.org/officeDocument/2006/relationships/hyperlink" Target="https://www.csjn.gov.ar/omrecopilacion/omfemicidio/homefemicidio.html?_gl=1*1r2izfw*_ga*MTUxMTkwOTkxOC4xNzY0OTUyMjIy*_ga_EFYJ5G9K5T*czE3NjQ5NTIyMjIkbzEkZzEkdDE3NjQ5NTIyMzEkajUxJGwwJGgw" TargetMode="External"/><Relationship Id="rId14" Type="http://schemas.openxmlformats.org/officeDocument/2006/relationships/hyperlink" Target="https://www.argentina.gob.ar/sites/default/files/2020/12/libro_informe_de_gestion_2023-hoja_por_hoja-v4.pdf" TargetMode="External"/><Relationship Id="rId58" Type="http://schemas.openxmlformats.org/officeDocument/2006/relationships/hyperlink" Target="https://om.csjn.gob.ar/consultaTalleresWeb/public/documentoConsulta/verDocumentoById?idDocumento=240" TargetMode="External"/><Relationship Id="rId17" Type="http://schemas.openxmlformats.org/officeDocument/2006/relationships/hyperlink" Target="https://www.senado.gob.ar/prensa/22319/noticias" TargetMode="External"/><Relationship Id="rId16" Type="http://schemas.openxmlformats.org/officeDocument/2006/relationships/hyperlink" Target="https://ela.org.ar/wp-content/uploads/2024/03/Documento-Numeros-en-rojo.pdf" TargetMode="External"/><Relationship Id="rId19" Type="http://schemas.openxmlformats.org/officeDocument/2006/relationships/hyperlink" Target="https://www.casarosada.gob.ar/informacion/discursos/50299-palabras-del-presidente-de-la-nacion-javier-milei-en-el-54-reunion-anual-del-foro-economico-mundial-de-davos%7D" TargetMode="External"/><Relationship Id="rId18" Type="http://schemas.openxmlformats.org/officeDocument/2006/relationships/hyperlink" Target="https://www.perfil.com/noticias/bravotv/patricia-bullrich-culpo-al-feminismo-por-la-ola-de-femicidios-y-desato-el-repudio-de-organizaciones-de-mujeres.p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 Id="rId2" Type="http://schemas.openxmlformats.org/officeDocument/2006/relationships/image" Target="media/image25.jpg"/><Relationship Id="rId3" Type="http://schemas.openxmlformats.org/officeDocument/2006/relationships/image" Target="media/image21.png"/><Relationship Id="rId4" Type="http://schemas.openxmlformats.org/officeDocument/2006/relationships/image" Target="media/image4.png"/><Relationship Id="rId11" Type="http://schemas.openxmlformats.org/officeDocument/2006/relationships/image" Target="media/image10.png"/><Relationship Id="rId10" Type="http://schemas.openxmlformats.org/officeDocument/2006/relationships/image" Target="media/image23.jpg"/><Relationship Id="rId12" Type="http://schemas.openxmlformats.org/officeDocument/2006/relationships/image" Target="media/image20.jpg"/><Relationship Id="rId9" Type="http://schemas.openxmlformats.org/officeDocument/2006/relationships/image" Target="media/image17.png"/><Relationship Id="rId5" Type="http://schemas.openxmlformats.org/officeDocument/2006/relationships/image" Target="media/image1.png"/><Relationship Id="rId6" Type="http://schemas.openxmlformats.org/officeDocument/2006/relationships/image" Target="media/image8.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