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B5683" w14:textId="77777777" w:rsidR="00FE6B0B" w:rsidRDefault="00FE6B0B">
      <w:pPr>
        <w:spacing w:line="360" w:lineRule="auto"/>
        <w:rPr>
          <w:rFonts w:ascii="Times New Roman" w:eastAsia="Times New Roman" w:hAnsi="Times New Roman" w:cs="Times New Roman"/>
          <w:b/>
          <w:sz w:val="24"/>
          <w:szCs w:val="24"/>
        </w:rPr>
      </w:pPr>
    </w:p>
    <w:p w14:paraId="3372C2DF" w14:textId="77777777" w:rsidR="00FE6B0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RELATÓRIO SOMBRA PARA A 88ª SESSÃO DO COMITÊ PARA ELIMINAÇÃO DE TODAS AS FORMAS DE DISCRIMINAÇÃO CONTRA A MULHER (CEDAW) DE REVISÃO DO BRASIL, MAIO DE 2024</w:t>
      </w:r>
    </w:p>
    <w:p w14:paraId="54AAB256" w14:textId="77777777" w:rsidR="00FE6B0B" w:rsidRDefault="00FE6B0B">
      <w:pPr>
        <w:spacing w:line="360" w:lineRule="auto"/>
        <w:jc w:val="center"/>
        <w:rPr>
          <w:rFonts w:ascii="Times New Roman" w:eastAsia="Times New Roman" w:hAnsi="Times New Roman" w:cs="Times New Roman"/>
          <w:b/>
          <w:sz w:val="24"/>
          <w:szCs w:val="24"/>
        </w:rPr>
      </w:pPr>
    </w:p>
    <w:p w14:paraId="33887877" w14:textId="77777777" w:rsidR="00FE6B0B" w:rsidRDefault="00FE6B0B">
      <w:pPr>
        <w:spacing w:line="360" w:lineRule="auto"/>
        <w:jc w:val="center"/>
        <w:rPr>
          <w:rFonts w:ascii="Times New Roman" w:eastAsia="Times New Roman" w:hAnsi="Times New Roman" w:cs="Times New Roman"/>
          <w:b/>
          <w:sz w:val="24"/>
          <w:szCs w:val="24"/>
        </w:rPr>
      </w:pPr>
    </w:p>
    <w:p w14:paraId="1582444D" w14:textId="77777777" w:rsidR="00FE6B0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Relatório: Análise do cumprimento das obrigações estabelecidas pela CEDAW pelo Brasil</w:t>
      </w:r>
    </w:p>
    <w:p w14:paraId="4182F3FF" w14:textId="77777777" w:rsidR="00FE6B0B" w:rsidRDefault="00FE6B0B">
      <w:pPr>
        <w:spacing w:line="360" w:lineRule="auto"/>
        <w:jc w:val="center"/>
        <w:rPr>
          <w:rFonts w:ascii="Times New Roman" w:eastAsia="Times New Roman" w:hAnsi="Times New Roman" w:cs="Times New Roman"/>
          <w:b/>
          <w:sz w:val="24"/>
          <w:szCs w:val="24"/>
        </w:rPr>
      </w:pPr>
    </w:p>
    <w:p w14:paraId="57D7560D" w14:textId="77777777" w:rsidR="00FE6B0B" w:rsidRDefault="00FE6B0B">
      <w:pPr>
        <w:spacing w:line="360" w:lineRule="auto"/>
        <w:rPr>
          <w:rFonts w:ascii="Times New Roman" w:eastAsia="Times New Roman" w:hAnsi="Times New Roman" w:cs="Times New Roman"/>
          <w:sz w:val="24"/>
          <w:szCs w:val="24"/>
        </w:rPr>
      </w:pPr>
    </w:p>
    <w:p w14:paraId="7B0D1772" w14:textId="77777777" w:rsidR="00FE6B0B"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Elaborado e assinado por: </w:t>
      </w:r>
    </w:p>
    <w:p w14:paraId="404971BE" w14:textId="77777777" w:rsidR="00FE6B0B" w:rsidRDefault="00FE6B0B">
      <w:pPr>
        <w:spacing w:line="360" w:lineRule="auto"/>
        <w:rPr>
          <w:rFonts w:ascii="Times New Roman" w:eastAsia="Times New Roman" w:hAnsi="Times New Roman" w:cs="Times New Roman"/>
          <w:b/>
          <w:sz w:val="24"/>
          <w:szCs w:val="24"/>
        </w:rPr>
      </w:pPr>
    </w:p>
    <w:p w14:paraId="5C9D4D21"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DEFENSORIA PÚBLICA DO ESTADO DO PARANÁ</w:t>
      </w:r>
    </w:p>
    <w:p w14:paraId="19A4D34B"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Rua Benjamin Lins, nº 779, Batel, na Cidade de Curitiba, Estado do Paraná, Brasil</w:t>
      </w:r>
    </w:p>
    <w:p w14:paraId="634A91BA" w14:textId="77777777" w:rsidR="00FE6B0B" w:rsidRDefault="00000000">
      <w:pPr>
        <w:spacing w:line="360" w:lineRule="auto"/>
        <w:ind w:left="1133"/>
        <w:rPr>
          <w:rFonts w:ascii="Times New Roman" w:eastAsia="Times New Roman" w:hAnsi="Times New Roman" w:cs="Times New Roman"/>
          <w:b/>
          <w:sz w:val="24"/>
          <w:szCs w:val="24"/>
        </w:rPr>
      </w:pPr>
      <w:hyperlink r:id="rId7">
        <w:r>
          <w:rPr>
            <w:rFonts w:ascii="Times New Roman" w:eastAsia="Times New Roman" w:hAnsi="Times New Roman" w:cs="Times New Roman"/>
            <w:b/>
            <w:sz w:val="24"/>
            <w:szCs w:val="24"/>
            <w:u w:val="single"/>
          </w:rPr>
          <w:t>nudem@defensoria.pr.def.br</w:t>
        </w:r>
      </w:hyperlink>
      <w:r>
        <w:rPr>
          <w:rFonts w:ascii="Times New Roman" w:eastAsia="Times New Roman" w:hAnsi="Times New Roman" w:cs="Times New Roman"/>
          <w:b/>
          <w:sz w:val="24"/>
          <w:szCs w:val="24"/>
        </w:rPr>
        <w:t xml:space="preserve">    </w:t>
      </w:r>
    </w:p>
    <w:p w14:paraId="3EC5703A" w14:textId="77777777" w:rsidR="00FE6B0B" w:rsidRDefault="00FE6B0B">
      <w:pPr>
        <w:spacing w:line="360" w:lineRule="auto"/>
        <w:ind w:left="1133"/>
        <w:rPr>
          <w:rFonts w:ascii="Times New Roman" w:eastAsia="Times New Roman" w:hAnsi="Times New Roman" w:cs="Times New Roman"/>
          <w:b/>
          <w:sz w:val="24"/>
          <w:szCs w:val="24"/>
        </w:rPr>
      </w:pPr>
    </w:p>
    <w:p w14:paraId="376F2AE0" w14:textId="77777777" w:rsidR="00FE6B0B" w:rsidRDefault="00000000">
      <w:pPr>
        <w:spacing w:line="360" w:lineRule="auto"/>
        <w:ind w:left="1140"/>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DEFENSORIA PÚBLICA DO ESTADO DE SÃO PAULO</w:t>
      </w:r>
    </w:p>
    <w:p w14:paraId="3ECCA9FE" w14:textId="77777777" w:rsidR="00FE6B0B" w:rsidRDefault="00000000">
      <w:pPr>
        <w:spacing w:line="360" w:lineRule="auto"/>
        <w:ind w:left="1140"/>
        <w:rPr>
          <w:rFonts w:ascii="Times New Roman" w:eastAsia="Times New Roman" w:hAnsi="Times New Roman" w:cs="Times New Roman"/>
          <w:b/>
          <w:sz w:val="24"/>
          <w:szCs w:val="24"/>
        </w:rPr>
      </w:pPr>
      <w:r>
        <w:rPr>
          <w:rFonts w:ascii="Times New Roman" w:eastAsia="Times New Roman" w:hAnsi="Times New Roman" w:cs="Times New Roman"/>
          <w:b/>
          <w:sz w:val="24"/>
          <w:szCs w:val="24"/>
        </w:rPr>
        <w:t>Rua Boa Vista, nº 150, Centro da Cidade de São Paulo, Estado de São Paulo, Brasil</w:t>
      </w:r>
    </w:p>
    <w:p w14:paraId="4CA24E36" w14:textId="77777777" w:rsidR="00FE6B0B" w:rsidRDefault="00000000">
      <w:pPr>
        <w:spacing w:line="360" w:lineRule="auto"/>
        <w:ind w:left="1140"/>
        <w:rPr>
          <w:rFonts w:ascii="Times New Roman" w:eastAsia="Times New Roman" w:hAnsi="Times New Roman" w:cs="Times New Roman"/>
          <w:b/>
          <w:color w:val="1155CC"/>
          <w:sz w:val="24"/>
          <w:szCs w:val="24"/>
        </w:rPr>
      </w:pPr>
      <w:hyperlink r:id="rId8">
        <w:r>
          <w:rPr>
            <w:rFonts w:ascii="Times New Roman" w:eastAsia="Times New Roman" w:hAnsi="Times New Roman" w:cs="Times New Roman"/>
            <w:b/>
            <w:color w:val="1155CC"/>
            <w:sz w:val="24"/>
            <w:szCs w:val="24"/>
            <w:u w:val="single"/>
          </w:rPr>
          <w:t>nucleo.mulheres@defensoria.sp.def.br</w:t>
        </w:r>
      </w:hyperlink>
    </w:p>
    <w:p w14:paraId="099F5EC3" w14:textId="77777777" w:rsidR="00FE6B0B" w:rsidRDefault="00FE6B0B">
      <w:pPr>
        <w:spacing w:line="360" w:lineRule="auto"/>
        <w:ind w:left="1133"/>
        <w:rPr>
          <w:rFonts w:ascii="Times New Roman" w:eastAsia="Times New Roman" w:hAnsi="Times New Roman" w:cs="Times New Roman"/>
          <w:b/>
          <w:color w:val="1155CC"/>
          <w:sz w:val="24"/>
          <w:szCs w:val="24"/>
        </w:rPr>
      </w:pPr>
    </w:p>
    <w:p w14:paraId="42031CF5"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DEFENSORIA PÚBLICA DO ESTADO DE SANTA CATARINA</w:t>
      </w:r>
    </w:p>
    <w:p w14:paraId="0C7AACBD"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Avenida Rio Branco, n. 919, Centro da cidade de Florianópolis, Estado de Santa Catarina, Brasil</w:t>
      </w:r>
    </w:p>
    <w:p w14:paraId="594177F2" w14:textId="77777777" w:rsidR="00FE6B0B" w:rsidRDefault="00000000">
      <w:pPr>
        <w:spacing w:line="360" w:lineRule="auto"/>
        <w:ind w:left="1133"/>
        <w:rPr>
          <w:rFonts w:ascii="Times New Roman" w:eastAsia="Times New Roman" w:hAnsi="Times New Roman" w:cs="Times New Roman"/>
          <w:sz w:val="24"/>
          <w:szCs w:val="24"/>
          <w:highlight w:val="yellow"/>
        </w:rPr>
      </w:pPr>
      <w:hyperlink r:id="rId9">
        <w:r>
          <w:rPr>
            <w:rFonts w:ascii="Times New Roman" w:eastAsia="Times New Roman" w:hAnsi="Times New Roman" w:cs="Times New Roman"/>
            <w:b/>
            <w:sz w:val="24"/>
            <w:szCs w:val="24"/>
            <w:u w:val="single"/>
          </w:rPr>
          <w:t>nudem@defensoria.sc.def.br</w:t>
        </w:r>
      </w:hyperlink>
    </w:p>
    <w:p w14:paraId="3FA35BFA" w14:textId="77777777" w:rsidR="00FE6B0B" w:rsidRDefault="00FE6B0B">
      <w:pPr>
        <w:spacing w:line="360" w:lineRule="auto"/>
        <w:ind w:left="1133"/>
        <w:rPr>
          <w:rFonts w:ascii="Times New Roman" w:eastAsia="Times New Roman" w:hAnsi="Times New Roman" w:cs="Times New Roman"/>
          <w:sz w:val="24"/>
          <w:szCs w:val="24"/>
          <w:highlight w:val="yellow"/>
        </w:rPr>
      </w:pPr>
    </w:p>
    <w:p w14:paraId="790C5039" w14:textId="77777777" w:rsidR="00FE6B0B" w:rsidRDefault="00FE6B0B">
      <w:pPr>
        <w:spacing w:line="360" w:lineRule="auto"/>
        <w:ind w:left="1133"/>
        <w:rPr>
          <w:rFonts w:ascii="Times New Roman" w:eastAsia="Times New Roman" w:hAnsi="Times New Roman" w:cs="Times New Roman"/>
          <w:b/>
          <w:sz w:val="24"/>
          <w:szCs w:val="24"/>
        </w:rPr>
      </w:pPr>
    </w:p>
    <w:p w14:paraId="686E82B5"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DEFENSORIA PÚBLICA DO ESTADO DE MATO GROSSO DO SUL</w:t>
      </w:r>
    </w:p>
    <w:p w14:paraId="72993816"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Avenida Afonso Pena, nº 3850, Jardim dos Estados</w:t>
      </w:r>
    </w:p>
    <w:p w14:paraId="7B099821"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Campo Grande/MS</w:t>
      </w:r>
    </w:p>
    <w:p w14:paraId="3A1E18A8" w14:textId="77777777" w:rsidR="00FE6B0B" w:rsidRDefault="00000000">
      <w:pPr>
        <w:spacing w:line="360" w:lineRule="auto"/>
        <w:ind w:left="1133"/>
        <w:rPr>
          <w:rFonts w:ascii="Times New Roman" w:eastAsia="Times New Roman" w:hAnsi="Times New Roman" w:cs="Times New Roman"/>
          <w:b/>
          <w:sz w:val="24"/>
          <w:szCs w:val="24"/>
        </w:rPr>
      </w:pPr>
      <w:hyperlink r:id="rId10">
        <w:r>
          <w:rPr>
            <w:rFonts w:ascii="Times New Roman" w:eastAsia="Times New Roman" w:hAnsi="Times New Roman" w:cs="Times New Roman"/>
            <w:b/>
            <w:color w:val="1155CC"/>
            <w:sz w:val="24"/>
            <w:szCs w:val="24"/>
            <w:u w:val="single"/>
          </w:rPr>
          <w:t>nudem@defensoria.ms.def.br</w:t>
        </w:r>
      </w:hyperlink>
    </w:p>
    <w:p w14:paraId="2FA4C9D0" w14:textId="77777777" w:rsidR="00FE6B0B" w:rsidRDefault="00FE6B0B">
      <w:pPr>
        <w:spacing w:line="360" w:lineRule="auto"/>
        <w:ind w:left="1133"/>
        <w:rPr>
          <w:rFonts w:ascii="Times New Roman" w:eastAsia="Times New Roman" w:hAnsi="Times New Roman" w:cs="Times New Roman"/>
          <w:b/>
          <w:sz w:val="24"/>
          <w:szCs w:val="24"/>
        </w:rPr>
      </w:pPr>
    </w:p>
    <w:p w14:paraId="5FDEEFCD"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DEFENSORIA PÚBLICA DO ESTADO DE RORAIMA</w:t>
      </w:r>
    </w:p>
    <w:p w14:paraId="06A27101"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Av. </w:t>
      </w:r>
      <w:proofErr w:type="spellStart"/>
      <w:r>
        <w:rPr>
          <w:rFonts w:ascii="Times New Roman" w:eastAsia="Times New Roman" w:hAnsi="Times New Roman" w:cs="Times New Roman"/>
          <w:b/>
          <w:sz w:val="24"/>
          <w:szCs w:val="24"/>
        </w:rPr>
        <w:t>Ville</w:t>
      </w:r>
      <w:proofErr w:type="spellEnd"/>
      <w:r>
        <w:rPr>
          <w:rFonts w:ascii="Times New Roman" w:eastAsia="Times New Roman" w:hAnsi="Times New Roman" w:cs="Times New Roman"/>
          <w:b/>
          <w:sz w:val="24"/>
          <w:szCs w:val="24"/>
        </w:rPr>
        <w:t xml:space="preserve"> Roy, nº 4308, bairro Aparecida</w:t>
      </w:r>
    </w:p>
    <w:p w14:paraId="20D5EB90"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Boa Vista - Roraima Cep. 69306-405</w:t>
      </w:r>
    </w:p>
    <w:p w14:paraId="49BAAFA1" w14:textId="77777777" w:rsidR="00FE6B0B" w:rsidRDefault="00000000">
      <w:pPr>
        <w:spacing w:line="360" w:lineRule="auto"/>
        <w:ind w:left="1133"/>
        <w:rPr>
          <w:rFonts w:ascii="Times New Roman" w:eastAsia="Times New Roman" w:hAnsi="Times New Roman" w:cs="Times New Roman"/>
          <w:b/>
          <w:sz w:val="24"/>
          <w:szCs w:val="24"/>
        </w:rPr>
      </w:pPr>
      <w:hyperlink r:id="rId11">
        <w:r>
          <w:rPr>
            <w:rFonts w:ascii="Times New Roman" w:eastAsia="Times New Roman" w:hAnsi="Times New Roman" w:cs="Times New Roman"/>
            <w:b/>
            <w:color w:val="1155CC"/>
            <w:sz w:val="24"/>
            <w:szCs w:val="24"/>
            <w:u w:val="single"/>
          </w:rPr>
          <w:t>dpe.mulher@def.rr.br</w:t>
        </w:r>
      </w:hyperlink>
    </w:p>
    <w:p w14:paraId="19F095CC" w14:textId="77777777" w:rsidR="00FE6B0B" w:rsidRDefault="00FE6B0B">
      <w:pPr>
        <w:spacing w:line="360" w:lineRule="auto"/>
        <w:rPr>
          <w:rFonts w:ascii="Times New Roman" w:eastAsia="Times New Roman" w:hAnsi="Times New Roman" w:cs="Times New Roman"/>
          <w:sz w:val="24"/>
          <w:szCs w:val="24"/>
          <w:highlight w:val="yellow"/>
        </w:rPr>
      </w:pPr>
    </w:p>
    <w:p w14:paraId="3DAF7293" w14:textId="77777777" w:rsidR="00FE6B0B" w:rsidRDefault="00000000">
      <w:pPr>
        <w:spacing w:line="360" w:lineRule="auto"/>
        <w:ind w:left="1133"/>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 CLÍNICA DE DIREITOS HUMANOS|BIOTECJUS (CDH|UFPR)</w:t>
      </w:r>
    </w:p>
    <w:p w14:paraId="0ECB457A"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Praça Santos Andrade, 50, Térreo, Centro, CEP: 81531-900, na Cidade de Curitiba, Estado do Paraná, Brasil</w:t>
      </w:r>
    </w:p>
    <w:p w14:paraId="27350528" w14:textId="77777777" w:rsidR="00FE6B0B" w:rsidRDefault="00000000">
      <w:pPr>
        <w:spacing w:line="360" w:lineRule="auto"/>
        <w:ind w:left="1133"/>
        <w:rPr>
          <w:rFonts w:ascii="Times New Roman" w:eastAsia="Times New Roman" w:hAnsi="Times New Roman" w:cs="Times New Roman"/>
          <w:b/>
          <w:sz w:val="24"/>
          <w:szCs w:val="24"/>
        </w:rPr>
      </w:pPr>
      <w:hyperlink r:id="rId12">
        <w:r>
          <w:rPr>
            <w:rFonts w:ascii="Times New Roman" w:eastAsia="Times New Roman" w:hAnsi="Times New Roman" w:cs="Times New Roman"/>
            <w:b/>
            <w:sz w:val="24"/>
            <w:szCs w:val="24"/>
            <w:u w:val="single"/>
          </w:rPr>
          <w:t>contato.cdhufpr@gmail.com</w:t>
        </w:r>
      </w:hyperlink>
      <w:r>
        <w:rPr>
          <w:rFonts w:ascii="Times New Roman" w:eastAsia="Times New Roman" w:hAnsi="Times New Roman" w:cs="Times New Roman"/>
          <w:b/>
          <w:sz w:val="24"/>
          <w:szCs w:val="24"/>
        </w:rPr>
        <w:t xml:space="preserve"> </w:t>
      </w:r>
    </w:p>
    <w:p w14:paraId="38138CF9" w14:textId="77777777" w:rsidR="00FE6B0B" w:rsidRDefault="00FE6B0B">
      <w:pPr>
        <w:spacing w:line="360" w:lineRule="auto"/>
        <w:ind w:left="1133"/>
        <w:rPr>
          <w:rFonts w:ascii="Times New Roman" w:eastAsia="Times New Roman" w:hAnsi="Times New Roman" w:cs="Times New Roman"/>
          <w:b/>
          <w:sz w:val="24"/>
          <w:szCs w:val="24"/>
        </w:rPr>
      </w:pPr>
    </w:p>
    <w:p w14:paraId="61140432"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REDE NACIONAL FEMINISTA DE SAÚDE, DIREITOS SEXUAIS E DIREITOS REPRODUTIVOS (RFS)</w:t>
      </w:r>
    </w:p>
    <w:p w14:paraId="57F1E6E7" w14:textId="77777777" w:rsidR="00FE6B0B" w:rsidRDefault="00000000">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Rua </w:t>
      </w:r>
      <w:proofErr w:type="spellStart"/>
      <w:r>
        <w:rPr>
          <w:rFonts w:ascii="Times New Roman" w:eastAsia="Times New Roman" w:hAnsi="Times New Roman" w:cs="Times New Roman"/>
          <w:b/>
          <w:sz w:val="24"/>
          <w:szCs w:val="24"/>
        </w:rPr>
        <w:t>Hermílio</w:t>
      </w:r>
      <w:proofErr w:type="spellEnd"/>
      <w:r>
        <w:rPr>
          <w:rFonts w:ascii="Times New Roman" w:eastAsia="Times New Roman" w:hAnsi="Times New Roman" w:cs="Times New Roman"/>
          <w:b/>
          <w:sz w:val="24"/>
          <w:szCs w:val="24"/>
        </w:rPr>
        <w:t xml:space="preserve"> Alves, 34, Santa </w:t>
      </w:r>
      <w:proofErr w:type="spellStart"/>
      <w:r>
        <w:rPr>
          <w:rFonts w:ascii="Times New Roman" w:eastAsia="Times New Roman" w:hAnsi="Times New Roman" w:cs="Times New Roman"/>
          <w:b/>
          <w:sz w:val="24"/>
          <w:szCs w:val="24"/>
        </w:rPr>
        <w:t>Terea</w:t>
      </w:r>
      <w:proofErr w:type="spellEnd"/>
      <w:r>
        <w:rPr>
          <w:rFonts w:ascii="Times New Roman" w:eastAsia="Times New Roman" w:hAnsi="Times New Roman" w:cs="Times New Roman"/>
          <w:b/>
          <w:sz w:val="24"/>
          <w:szCs w:val="24"/>
        </w:rPr>
        <w:t>, na cidade de Belo Horizonte, Estado de Minas Gerais, Brasil. CNPJ 00.956.757/0001-53</w:t>
      </w:r>
    </w:p>
    <w:p w14:paraId="7634059B" w14:textId="77777777" w:rsidR="00FE6B0B" w:rsidRDefault="00000000">
      <w:pPr>
        <w:spacing w:line="360" w:lineRule="auto"/>
        <w:ind w:left="1133"/>
        <w:rPr>
          <w:rFonts w:ascii="Times New Roman" w:eastAsia="Times New Roman" w:hAnsi="Times New Roman" w:cs="Times New Roman"/>
          <w:b/>
          <w:sz w:val="24"/>
          <w:szCs w:val="24"/>
        </w:rPr>
      </w:pPr>
      <w:hyperlink r:id="rId13">
        <w:r>
          <w:rPr>
            <w:rFonts w:ascii="Times New Roman" w:eastAsia="Times New Roman" w:hAnsi="Times New Roman" w:cs="Times New Roman"/>
            <w:b/>
            <w:color w:val="1155CC"/>
            <w:sz w:val="24"/>
            <w:szCs w:val="24"/>
            <w:u w:val="single"/>
          </w:rPr>
          <w:t>https://www.redesaude.org.br</w:t>
        </w:r>
      </w:hyperlink>
    </w:p>
    <w:p w14:paraId="44C7F568" w14:textId="77777777" w:rsidR="00FE6B0B" w:rsidRDefault="00FE6B0B">
      <w:pPr>
        <w:spacing w:line="360" w:lineRule="auto"/>
        <w:ind w:left="1133"/>
        <w:rPr>
          <w:rFonts w:ascii="Times New Roman" w:eastAsia="Times New Roman" w:hAnsi="Times New Roman" w:cs="Times New Roman"/>
          <w:b/>
          <w:sz w:val="24"/>
          <w:szCs w:val="24"/>
        </w:rPr>
      </w:pPr>
    </w:p>
    <w:p w14:paraId="461E786A" w14:textId="77777777" w:rsidR="00FE6B0B" w:rsidRDefault="00000000">
      <w:pPr>
        <w:spacing w:line="360" w:lineRule="auto"/>
        <w:ind w:left="1133"/>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14:paraId="19FE47FC" w14:textId="77777777" w:rsidR="00FE6B0B" w:rsidRDefault="00000000">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Data: </w:t>
      </w:r>
      <w:r>
        <w:rPr>
          <w:rFonts w:ascii="Times New Roman" w:eastAsia="Times New Roman" w:hAnsi="Times New Roman" w:cs="Times New Roman"/>
          <w:sz w:val="24"/>
          <w:szCs w:val="24"/>
          <w:u w:val="single"/>
        </w:rPr>
        <w:t>15/04/2024</w:t>
      </w:r>
    </w:p>
    <w:p w14:paraId="4B1C6158" w14:textId="77777777" w:rsidR="00FE6B0B" w:rsidRDefault="00FE6B0B">
      <w:pPr>
        <w:spacing w:line="360" w:lineRule="auto"/>
        <w:rPr>
          <w:rFonts w:ascii="Times New Roman" w:eastAsia="Times New Roman" w:hAnsi="Times New Roman" w:cs="Times New Roman"/>
          <w:sz w:val="24"/>
          <w:szCs w:val="24"/>
          <w:u w:val="single"/>
        </w:rPr>
      </w:pPr>
    </w:p>
    <w:p w14:paraId="1ACF3BCC" w14:textId="77777777" w:rsidR="00FE6B0B" w:rsidRDefault="00FE6B0B">
      <w:pPr>
        <w:spacing w:line="360" w:lineRule="auto"/>
        <w:jc w:val="right"/>
        <w:rPr>
          <w:rFonts w:ascii="Times New Roman" w:eastAsia="Times New Roman" w:hAnsi="Times New Roman" w:cs="Times New Roman"/>
          <w:b/>
          <w:sz w:val="24"/>
          <w:szCs w:val="24"/>
        </w:rPr>
      </w:pPr>
    </w:p>
    <w:p w14:paraId="1B35B7E2" w14:textId="77777777" w:rsidR="00FE6B0B" w:rsidRDefault="00FE6B0B">
      <w:pPr>
        <w:spacing w:line="360" w:lineRule="auto"/>
        <w:jc w:val="right"/>
        <w:rPr>
          <w:rFonts w:ascii="Times New Roman" w:eastAsia="Times New Roman" w:hAnsi="Times New Roman" w:cs="Times New Roman"/>
          <w:b/>
          <w:sz w:val="24"/>
          <w:szCs w:val="24"/>
        </w:rPr>
      </w:pPr>
    </w:p>
    <w:p w14:paraId="76DC2A78" w14:textId="77777777" w:rsidR="00FE6B0B" w:rsidRDefault="00FE6B0B">
      <w:pPr>
        <w:spacing w:line="360" w:lineRule="auto"/>
        <w:jc w:val="right"/>
        <w:rPr>
          <w:rFonts w:ascii="Times New Roman" w:eastAsia="Times New Roman" w:hAnsi="Times New Roman" w:cs="Times New Roman"/>
          <w:b/>
          <w:sz w:val="24"/>
          <w:szCs w:val="24"/>
        </w:rPr>
      </w:pPr>
    </w:p>
    <w:p w14:paraId="775647D5" w14:textId="77777777" w:rsidR="00FE6B0B" w:rsidRDefault="00FE6B0B">
      <w:pPr>
        <w:spacing w:line="360" w:lineRule="auto"/>
        <w:jc w:val="right"/>
        <w:rPr>
          <w:rFonts w:ascii="Times New Roman" w:eastAsia="Times New Roman" w:hAnsi="Times New Roman" w:cs="Times New Roman"/>
          <w:b/>
          <w:sz w:val="24"/>
          <w:szCs w:val="24"/>
        </w:rPr>
      </w:pPr>
    </w:p>
    <w:p w14:paraId="440EBB87" w14:textId="77777777" w:rsidR="00FE6B0B" w:rsidRDefault="00FE6B0B">
      <w:pPr>
        <w:spacing w:line="360" w:lineRule="auto"/>
        <w:jc w:val="right"/>
        <w:rPr>
          <w:rFonts w:ascii="Times New Roman" w:eastAsia="Times New Roman" w:hAnsi="Times New Roman" w:cs="Times New Roman"/>
          <w:b/>
          <w:sz w:val="24"/>
          <w:szCs w:val="24"/>
        </w:rPr>
      </w:pPr>
    </w:p>
    <w:p w14:paraId="043CFB58" w14:textId="77777777" w:rsidR="00FE6B0B" w:rsidRDefault="00FE6B0B">
      <w:pPr>
        <w:spacing w:line="360" w:lineRule="auto"/>
        <w:jc w:val="right"/>
        <w:rPr>
          <w:rFonts w:ascii="Times New Roman" w:eastAsia="Times New Roman" w:hAnsi="Times New Roman" w:cs="Times New Roman"/>
          <w:b/>
          <w:sz w:val="24"/>
          <w:szCs w:val="24"/>
        </w:rPr>
      </w:pPr>
    </w:p>
    <w:p w14:paraId="32831585" w14:textId="77777777" w:rsidR="00FE6B0B" w:rsidRDefault="00FE6B0B">
      <w:pPr>
        <w:spacing w:line="360" w:lineRule="auto"/>
        <w:jc w:val="right"/>
        <w:rPr>
          <w:rFonts w:ascii="Times New Roman" w:eastAsia="Times New Roman" w:hAnsi="Times New Roman" w:cs="Times New Roman"/>
          <w:b/>
          <w:sz w:val="24"/>
          <w:szCs w:val="24"/>
        </w:rPr>
      </w:pPr>
    </w:p>
    <w:p w14:paraId="69DD4BC8" w14:textId="77777777" w:rsidR="00FE6B0B" w:rsidRDefault="00FE6B0B">
      <w:pPr>
        <w:spacing w:line="360" w:lineRule="auto"/>
        <w:jc w:val="right"/>
        <w:rPr>
          <w:rFonts w:ascii="Times New Roman" w:eastAsia="Times New Roman" w:hAnsi="Times New Roman" w:cs="Times New Roman"/>
          <w:b/>
          <w:sz w:val="24"/>
          <w:szCs w:val="24"/>
        </w:rPr>
      </w:pPr>
    </w:p>
    <w:p w14:paraId="69B127E6" w14:textId="77777777" w:rsidR="00FE6B0B" w:rsidRDefault="00FE6B0B">
      <w:pPr>
        <w:spacing w:line="360" w:lineRule="auto"/>
        <w:jc w:val="right"/>
        <w:rPr>
          <w:rFonts w:ascii="Times New Roman" w:eastAsia="Times New Roman" w:hAnsi="Times New Roman" w:cs="Times New Roman"/>
          <w:b/>
          <w:sz w:val="24"/>
          <w:szCs w:val="24"/>
        </w:rPr>
      </w:pPr>
    </w:p>
    <w:p w14:paraId="4C548024" w14:textId="77777777" w:rsidR="00FE6B0B" w:rsidRDefault="00000000">
      <w:pPr>
        <w:spacing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Brasil, 15 de </w:t>
      </w:r>
      <w:proofErr w:type="gramStart"/>
      <w:r>
        <w:rPr>
          <w:rFonts w:ascii="Times New Roman" w:eastAsia="Times New Roman" w:hAnsi="Times New Roman" w:cs="Times New Roman"/>
          <w:b/>
          <w:sz w:val="24"/>
          <w:szCs w:val="24"/>
        </w:rPr>
        <w:t>Abril</w:t>
      </w:r>
      <w:proofErr w:type="gramEnd"/>
      <w:r>
        <w:rPr>
          <w:rFonts w:ascii="Times New Roman" w:eastAsia="Times New Roman" w:hAnsi="Times New Roman" w:cs="Times New Roman"/>
          <w:b/>
          <w:sz w:val="24"/>
          <w:szCs w:val="24"/>
        </w:rPr>
        <w:t xml:space="preserve"> de 2024. </w:t>
      </w:r>
    </w:p>
    <w:p w14:paraId="60C4B9E5" w14:textId="77777777" w:rsidR="00FE6B0B" w:rsidRDefault="00FE6B0B">
      <w:pPr>
        <w:rPr>
          <w:rFonts w:ascii="Times New Roman" w:eastAsia="Times New Roman" w:hAnsi="Times New Roman" w:cs="Times New Roman"/>
          <w:sz w:val="24"/>
          <w:szCs w:val="24"/>
        </w:rPr>
      </w:pPr>
    </w:p>
    <w:p w14:paraId="761C77B4" w14:textId="77777777" w:rsidR="00FE6B0B"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Comitê para Eliminação de Todas as Formas de Discriminação contra a Mulher (CEDAW)</w:t>
      </w:r>
    </w:p>
    <w:p w14:paraId="3D293BB6" w14:textId="77777777" w:rsidR="00FE6B0B" w:rsidRDefault="00FE6B0B">
      <w:pPr>
        <w:rPr>
          <w:rFonts w:ascii="Times New Roman" w:eastAsia="Times New Roman" w:hAnsi="Times New Roman" w:cs="Times New Roman"/>
          <w:sz w:val="24"/>
          <w:szCs w:val="24"/>
        </w:rPr>
      </w:pPr>
    </w:p>
    <w:p w14:paraId="71E4909A" w14:textId="77777777" w:rsidR="00FE6B0B" w:rsidRDefault="00FE6B0B">
      <w:pPr>
        <w:rPr>
          <w:rFonts w:ascii="Times New Roman" w:eastAsia="Times New Roman" w:hAnsi="Times New Roman" w:cs="Times New Roman"/>
          <w:sz w:val="24"/>
          <w:szCs w:val="24"/>
        </w:rPr>
      </w:pPr>
    </w:p>
    <w:p w14:paraId="688C5BD4" w14:textId="77777777" w:rsidR="00FE6B0B"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 </w:t>
      </w:r>
      <w:r>
        <w:rPr>
          <w:rFonts w:ascii="Times New Roman" w:eastAsia="Times New Roman" w:hAnsi="Times New Roman" w:cs="Times New Roman"/>
          <w:b/>
          <w:sz w:val="24"/>
          <w:szCs w:val="24"/>
          <w:highlight w:val="white"/>
        </w:rPr>
        <w:t>DEFENSORIA PÚBLICA</w:t>
      </w:r>
      <w:r>
        <w:rPr>
          <w:rFonts w:ascii="Times New Roman" w:eastAsia="Times New Roman" w:hAnsi="Times New Roman" w:cs="Times New Roman"/>
          <w:sz w:val="24"/>
          <w:szCs w:val="24"/>
          <w:highlight w:val="white"/>
        </w:rPr>
        <w:t xml:space="preserve"> é instituição permanente, essencial à função jurisdicional do Estado, incumbindo-lhe, como expressão e instrumento do regime democrático, fundamentalmente, a orientação jurídica, a promoção dos direitos humanos e a defesa, em todos os graus, judicial e extrajudicial, dos direitos individuais e coletivos, de forma integral e gratuita, aos necessitados, assim considerados na forma da lei. Como instituição autônoma, à Defensoria Pública é garantida a autonomia funcional e administrativa pela Constituição Federal, garantindo aos seus membros independência funcional, o que o torna um órgão independente de monitoramento dos direitos humanos. Neste sentido, consta dentre as suas funções institucionais representar aos sistemas internacionais de proteção dos direitos humanos, postulando perante seus órgãos (art. 4º, VI, da Lei Complementar n° 80/94). As Defensorias Públicas possuem ainda Núcleos de Promoção e Defesa dos Direitos das Mulheres (</w:t>
      </w:r>
      <w:proofErr w:type="spellStart"/>
      <w:r>
        <w:rPr>
          <w:rFonts w:ascii="Times New Roman" w:eastAsia="Times New Roman" w:hAnsi="Times New Roman" w:cs="Times New Roman"/>
          <w:sz w:val="24"/>
          <w:szCs w:val="24"/>
          <w:highlight w:val="white"/>
        </w:rPr>
        <w:t>NUDEMs</w:t>
      </w:r>
      <w:proofErr w:type="spellEnd"/>
      <w:r>
        <w:rPr>
          <w:rFonts w:ascii="Times New Roman" w:eastAsia="Times New Roman" w:hAnsi="Times New Roman" w:cs="Times New Roman"/>
          <w:sz w:val="24"/>
          <w:szCs w:val="24"/>
          <w:highlight w:val="white"/>
        </w:rPr>
        <w:t xml:space="preserve">), que </w:t>
      </w:r>
      <w:r>
        <w:rPr>
          <w:rFonts w:ascii="Times New Roman" w:eastAsia="Times New Roman" w:hAnsi="Times New Roman" w:cs="Times New Roman"/>
          <w:sz w:val="24"/>
          <w:szCs w:val="24"/>
        </w:rPr>
        <w:t xml:space="preserve">são órgãos especializados, de caráter permanente, e com a missão primordial de promover, monitorar e fiscalizar as políticas públicas voltadas às mulheres, especialmente as mais vulneráveis, objetivando a garantia e consolidação dos seus direitos a partir da atuação judicial e extrajudicial, e possuindo atuação relevante na defesa dos direitos sexuais e reprodutivas de mulheres e meninas no Brasil. </w:t>
      </w:r>
    </w:p>
    <w:p w14:paraId="6BABC5D4" w14:textId="77777777" w:rsidR="00FE6B0B"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mallCaps/>
          <w:sz w:val="24"/>
          <w:szCs w:val="24"/>
        </w:rPr>
        <w:t xml:space="preserve">CLÍNICA DE DIREITOS HUMANOS|BIOTECJUS (CDH|UFPR) </w:t>
      </w:r>
      <w:r>
        <w:rPr>
          <w:rFonts w:ascii="Times New Roman" w:eastAsia="Times New Roman" w:hAnsi="Times New Roman" w:cs="Times New Roman"/>
          <w:sz w:val="24"/>
          <w:szCs w:val="24"/>
        </w:rPr>
        <w:t xml:space="preserve">é um grupo de pesquisa vinculado ao Diretório de Grupos de Pesquisa do CNPq e ao Núcleo de Prática Jurídica da Faculdade de Direito, do Setor de Ciências Jurídicas da Universidade Federal do Paraná, que vem se dedicando a pesquisas que tematizam os direitos sexuais e reprodutivos e, em especial, o aborto legal. Atualmente, a CDH|UFPR possui em andamento 4 projetos de pesquisa e extensão sobre o tema, sendo eles: i) Exercício de direitos sexuais e reprodutivos por mulheres e meninas no SUS: melhorias no acesso à saúde a partir de demandas por direitos </w:t>
      </w:r>
      <w:r>
        <w:rPr>
          <w:rFonts w:ascii="Times New Roman" w:eastAsia="Times New Roman" w:hAnsi="Times New Roman" w:cs="Times New Roman"/>
          <w:sz w:val="24"/>
          <w:szCs w:val="24"/>
        </w:rPr>
        <w:lastRenderedPageBreak/>
        <w:t xml:space="preserve">(PPSUS Edição 2020/2021), financiado pela Fundação Araucária; </w:t>
      </w:r>
      <w:proofErr w:type="spellStart"/>
      <w:r>
        <w:rPr>
          <w:rFonts w:ascii="Times New Roman" w:eastAsia="Times New Roman" w:hAnsi="Times New Roman" w:cs="Times New Roman"/>
          <w:sz w:val="24"/>
          <w:szCs w:val="24"/>
        </w:rPr>
        <w:t>ii</w:t>
      </w:r>
      <w:proofErr w:type="spellEnd"/>
      <w:r>
        <w:rPr>
          <w:rFonts w:ascii="Times New Roman" w:eastAsia="Times New Roman" w:hAnsi="Times New Roman" w:cs="Times New Roman"/>
          <w:sz w:val="24"/>
          <w:szCs w:val="24"/>
        </w:rPr>
        <w:t xml:space="preserve">) Litigância e </w:t>
      </w:r>
      <w:proofErr w:type="spellStart"/>
      <w:r>
        <w:rPr>
          <w:rFonts w:ascii="Times New Roman" w:eastAsia="Times New Roman" w:hAnsi="Times New Roman" w:cs="Times New Roman"/>
          <w:i/>
          <w:sz w:val="24"/>
          <w:szCs w:val="24"/>
        </w:rPr>
        <w:t>advocacy</w:t>
      </w:r>
      <w:proofErr w:type="spellEnd"/>
      <w:r>
        <w:rPr>
          <w:rFonts w:ascii="Times New Roman" w:eastAsia="Times New Roman" w:hAnsi="Times New Roman" w:cs="Times New Roman"/>
          <w:sz w:val="24"/>
          <w:szCs w:val="24"/>
        </w:rPr>
        <w:t xml:space="preserve"> como estratégia de pesquisa e popularização dos direitos sexuais e reprodutivos (Chamada CNPq/MCTI/FNDCT nº 18/2021), financiamento pelo CNPq; </w:t>
      </w:r>
      <w:proofErr w:type="spellStart"/>
      <w:r>
        <w:rPr>
          <w:rFonts w:ascii="Times New Roman" w:eastAsia="Times New Roman" w:hAnsi="Times New Roman" w:cs="Times New Roman"/>
          <w:sz w:val="24"/>
          <w:szCs w:val="24"/>
        </w:rPr>
        <w:t>iii</w:t>
      </w:r>
      <w:proofErr w:type="spellEnd"/>
      <w:r>
        <w:rPr>
          <w:rFonts w:ascii="Times New Roman" w:eastAsia="Times New Roman" w:hAnsi="Times New Roman" w:cs="Times New Roman"/>
          <w:sz w:val="24"/>
          <w:szCs w:val="24"/>
        </w:rPr>
        <w:t xml:space="preserve">) Aborto legal, </w:t>
      </w:r>
      <w:proofErr w:type="spellStart"/>
      <w:r>
        <w:rPr>
          <w:rFonts w:ascii="Times New Roman" w:eastAsia="Times New Roman" w:hAnsi="Times New Roman" w:cs="Times New Roman"/>
          <w:sz w:val="24"/>
          <w:szCs w:val="24"/>
        </w:rPr>
        <w:t>advocacy</w:t>
      </w:r>
      <w:proofErr w:type="spellEnd"/>
      <w:r>
        <w:rPr>
          <w:rFonts w:ascii="Times New Roman" w:eastAsia="Times New Roman" w:hAnsi="Times New Roman" w:cs="Times New Roman"/>
          <w:sz w:val="24"/>
          <w:szCs w:val="24"/>
        </w:rPr>
        <w:t xml:space="preserve"> e litigância estratégica junto ao Supremo Tribunal Federal (Edital n. 06/2021 – Pesquisa/PRPPG/UFPR), financiado pela FUNPAR; e </w:t>
      </w:r>
      <w:proofErr w:type="spellStart"/>
      <w:r>
        <w:rPr>
          <w:rFonts w:ascii="Times New Roman" w:eastAsia="Times New Roman" w:hAnsi="Times New Roman" w:cs="Times New Roman"/>
          <w:sz w:val="24"/>
          <w:szCs w:val="24"/>
        </w:rPr>
        <w:t>iv</w:t>
      </w:r>
      <w:proofErr w:type="spellEnd"/>
      <w:r>
        <w:rPr>
          <w:rFonts w:ascii="Times New Roman" w:eastAsia="Times New Roman" w:hAnsi="Times New Roman" w:cs="Times New Roman"/>
          <w:sz w:val="24"/>
          <w:szCs w:val="24"/>
        </w:rPr>
        <w:t>) Impactos da pandemia do Covid-19 no acesso ao aborto legal por meninas e mulheres usuárias do SUS: avaliação diagnóstica e estratégias de atuação na perspectiva dos direitos sexuais e reprodutivos (Edital CAPES n. 12/2021), financiado pela CAPES. As diversas ações e metas nesses projetos confluem para que nossa intervenção seja propositiva em relação ao relatório proposto.</w:t>
      </w:r>
    </w:p>
    <w:p w14:paraId="37D152D9" w14:textId="77777777" w:rsidR="00FE6B0B"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 xml:space="preserve">REDE NACIONAL FEMINISTA DE SAÚDE DIREITOS SEXUAIS E DIREITOS REPRODUTIVOS (RFS) </w:t>
      </w:r>
      <w:r>
        <w:rPr>
          <w:rFonts w:ascii="Times New Roman" w:eastAsia="Times New Roman" w:hAnsi="Times New Roman" w:cs="Times New Roman"/>
          <w:sz w:val="24"/>
          <w:szCs w:val="24"/>
        </w:rPr>
        <w:t xml:space="preserve">é uma articulação política nacional do movimento de mulheres, feminista e antirracista, fundada em 1991, com abrangência nacional e organização em 8 Regionais, com representação em cerca de 30 instâncias nacionais, governamentais e não-governamentais de controle social, que incidem sobre as políticas públicas de saúde. Desde a sua criação, a Rede Feminista vem envolvendo ações e incidência política junto às diferentes instâncias públicas do país visando garantir o acesso e assistência à saúde integral das mulheres e assegurar os direitos sexuais e reprodutivos como direitos humanos das mulheres. A Rede Feminista é fundadora e faz parte das Jornadas Brasileiras pelo Aborto Legal e Seguro e da Frente Nacional pelo Fim da Criminalização das Mulheres e pela Legalização do Aborto e filiada à Rede de Saúde das Mulheres </w:t>
      </w:r>
      <w:proofErr w:type="spellStart"/>
      <w:r>
        <w:rPr>
          <w:rFonts w:ascii="Times New Roman" w:eastAsia="Times New Roman" w:hAnsi="Times New Roman" w:cs="Times New Roman"/>
          <w:sz w:val="24"/>
          <w:szCs w:val="24"/>
        </w:rPr>
        <w:t>Latinoamericanas</w:t>
      </w:r>
      <w:proofErr w:type="spellEnd"/>
      <w:r>
        <w:rPr>
          <w:rFonts w:ascii="Times New Roman" w:eastAsia="Times New Roman" w:hAnsi="Times New Roman" w:cs="Times New Roman"/>
          <w:sz w:val="24"/>
          <w:szCs w:val="24"/>
        </w:rPr>
        <w:t xml:space="preserve"> e do Caribe – RSMLAC e à Rede Mundial de Mulheres pelos Direitos Reprodutivos.</w:t>
      </w:r>
    </w:p>
    <w:p w14:paraId="746419D5" w14:textId="77777777" w:rsidR="00FE6B0B"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Diante da aproximação da 88ª Sessão do Comitê CEDAW e da identificação de diversas barreiras existentes no Brasil para o acesso ao aborto legal, enquanto importante dimensão dos direitos sexuais e reprodutivos, as </w:t>
      </w:r>
      <w:r>
        <w:rPr>
          <w:rFonts w:ascii="Times New Roman" w:eastAsia="Times New Roman" w:hAnsi="Times New Roman" w:cs="Times New Roman"/>
          <w:b/>
          <w:sz w:val="24"/>
          <w:szCs w:val="24"/>
        </w:rPr>
        <w:t>DEFENSORIAS PÚBLICAS DOS ESTADOS DO PARANÁ, SÃO PAULO</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SANTA CATARINA, MATO GROSSO DO SUL E RORAIMA</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A REDE FEMINISTA DE SAÚDE </w:t>
      </w:r>
      <w:r>
        <w:rPr>
          <w:rFonts w:ascii="Times New Roman" w:eastAsia="Times New Roman" w:hAnsi="Times New Roman" w:cs="Times New Roman"/>
          <w:sz w:val="24"/>
          <w:szCs w:val="24"/>
        </w:rPr>
        <w:t xml:space="preserve">e a </w:t>
      </w:r>
      <w:r>
        <w:rPr>
          <w:rFonts w:ascii="Times New Roman" w:eastAsia="Times New Roman" w:hAnsi="Times New Roman" w:cs="Times New Roman"/>
          <w:b/>
          <w:smallCaps/>
          <w:sz w:val="24"/>
          <w:szCs w:val="24"/>
        </w:rPr>
        <w:t>CLÍNICA DE DIREITOS HUMANOS|BIOTECJUS (CDH|UFPR)</w:t>
      </w:r>
      <w:r>
        <w:rPr>
          <w:rFonts w:ascii="Times New Roman" w:eastAsia="Times New Roman" w:hAnsi="Times New Roman" w:cs="Times New Roman"/>
          <w:sz w:val="24"/>
          <w:szCs w:val="24"/>
        </w:rPr>
        <w:t xml:space="preserve">, vem, respeitosamente, perante o </w:t>
      </w:r>
      <w:r>
        <w:rPr>
          <w:rFonts w:ascii="Times New Roman" w:eastAsia="Times New Roman" w:hAnsi="Times New Roman" w:cs="Times New Roman"/>
          <w:b/>
          <w:sz w:val="24"/>
          <w:szCs w:val="24"/>
        </w:rPr>
        <w:t>COMITÊ DA CEDAW</w:t>
      </w:r>
      <w:r>
        <w:rPr>
          <w:rFonts w:ascii="Times New Roman" w:eastAsia="Times New Roman" w:hAnsi="Times New Roman" w:cs="Times New Roman"/>
          <w:sz w:val="24"/>
          <w:szCs w:val="24"/>
        </w:rPr>
        <w:t xml:space="preserve">, apresentar este breve informe, esperando contribuir com a revisão do relatório do Brasil com relação ao cumprimento de suas obrigações internacionais. </w:t>
      </w:r>
    </w:p>
    <w:p w14:paraId="3F3FF9C3" w14:textId="77777777" w:rsidR="00FE6B0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DIREITOS SEXUAIS E REPRODUTIVOS (RECOMENDAÇÃO 35 CEDAW) </w:t>
      </w:r>
    </w:p>
    <w:p w14:paraId="145D9193" w14:textId="77777777" w:rsidR="00FE6B0B" w:rsidRDefault="00FE6B0B">
      <w:pPr>
        <w:spacing w:line="360" w:lineRule="auto"/>
        <w:ind w:firstLine="720"/>
        <w:jc w:val="both"/>
        <w:rPr>
          <w:rFonts w:ascii="Times New Roman" w:eastAsia="Times New Roman" w:hAnsi="Times New Roman" w:cs="Times New Roman"/>
          <w:b/>
          <w:sz w:val="24"/>
          <w:szCs w:val="24"/>
        </w:rPr>
      </w:pPr>
    </w:p>
    <w:p w14:paraId="64A65ECF"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relatório encaminhado pelo Brasil ao Comitê </w:t>
      </w:r>
      <w:proofErr w:type="spellStart"/>
      <w:r>
        <w:rPr>
          <w:rFonts w:ascii="Times New Roman" w:eastAsia="Times New Roman" w:hAnsi="Times New Roman" w:cs="Times New Roman"/>
          <w:sz w:val="24"/>
          <w:szCs w:val="24"/>
        </w:rPr>
        <w:t>Cedaw</w:t>
      </w:r>
      <w:proofErr w:type="spellEnd"/>
      <w:r>
        <w:rPr>
          <w:rFonts w:ascii="Times New Roman" w:eastAsia="Times New Roman" w:hAnsi="Times New Roman" w:cs="Times New Roman"/>
          <w:sz w:val="24"/>
          <w:szCs w:val="24"/>
        </w:rPr>
        <w:t xml:space="preserve">, consta do capítulo XIV, item 221 que </w:t>
      </w:r>
      <w:r>
        <w:rPr>
          <w:rFonts w:ascii="Times New Roman" w:eastAsia="Times New Roman" w:hAnsi="Times New Roman" w:cs="Times New Roman"/>
          <w:i/>
          <w:sz w:val="24"/>
          <w:szCs w:val="24"/>
        </w:rPr>
        <w:t>“o Brasil tem se esforçado para manter todos os serviços oferecidos pelo Sistema Único de Saúde, incluindo o acesso ao aborto seguro e legal, dentro dos limites legais estabelecidos na legislação vigente do país”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
      </w:r>
    </w:p>
    <w:p w14:paraId="5D90240F" w14:textId="77777777" w:rsidR="00FE6B0B" w:rsidRDefault="00000000">
      <w:pPr>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Contudo, não obstante a obrigação geral assumida pelo Estado brasileiro, a realidade do acesso ao aborto legal no Brasil revela um cenário complexo, sendo diversas as barreiras empíricas impostas às mulheres e meninas para acessarem este direito, como se pretende demonstrar.</w:t>
      </w:r>
    </w:p>
    <w:p w14:paraId="7DC42CC3"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Embora o aborto seja considerado crime pelo Código Penal (art. 124 a 126), existem três hipóteses nas quais é autorizado, quais sejam: i) quando a gravidez é decorrente de estupro; </w:t>
      </w:r>
      <w:proofErr w:type="spellStart"/>
      <w:r>
        <w:rPr>
          <w:rFonts w:ascii="Times New Roman" w:eastAsia="Times New Roman" w:hAnsi="Times New Roman" w:cs="Times New Roman"/>
          <w:sz w:val="24"/>
          <w:szCs w:val="24"/>
        </w:rPr>
        <w:t>ii</w:t>
      </w:r>
      <w:proofErr w:type="spellEnd"/>
      <w:r>
        <w:rPr>
          <w:rFonts w:ascii="Times New Roman" w:eastAsia="Times New Roman" w:hAnsi="Times New Roman" w:cs="Times New Roman"/>
          <w:sz w:val="24"/>
          <w:szCs w:val="24"/>
        </w:rPr>
        <w:t xml:space="preserve">) quando há risco de vida para a gestante (art. 128, I e II, Código Penal) e; </w:t>
      </w:r>
      <w:proofErr w:type="spellStart"/>
      <w:r>
        <w:rPr>
          <w:rFonts w:ascii="Times New Roman" w:eastAsia="Times New Roman" w:hAnsi="Times New Roman" w:cs="Times New Roman"/>
          <w:sz w:val="24"/>
          <w:szCs w:val="24"/>
        </w:rPr>
        <w:t>iii</w:t>
      </w:r>
      <w:proofErr w:type="spellEnd"/>
      <w:r>
        <w:rPr>
          <w:rFonts w:ascii="Times New Roman" w:eastAsia="Times New Roman" w:hAnsi="Times New Roman" w:cs="Times New Roman"/>
          <w:sz w:val="24"/>
          <w:szCs w:val="24"/>
        </w:rPr>
        <w:t xml:space="preserve">) desde o julgamento da Ação de Descumprimento de Preceito Fundamental 54, nos casos de feto </w:t>
      </w:r>
      <w:proofErr w:type="spellStart"/>
      <w:r>
        <w:rPr>
          <w:rFonts w:ascii="Times New Roman" w:eastAsia="Times New Roman" w:hAnsi="Times New Roman" w:cs="Times New Roman"/>
          <w:sz w:val="24"/>
          <w:szCs w:val="24"/>
        </w:rPr>
        <w:t>anencéfalo</w:t>
      </w:r>
      <w:proofErr w:type="spellEnd"/>
      <w:r>
        <w:rPr>
          <w:rFonts w:ascii="Times New Roman" w:eastAsia="Times New Roman" w:hAnsi="Times New Roman" w:cs="Times New Roman"/>
          <w:sz w:val="24"/>
          <w:szCs w:val="24"/>
        </w:rPr>
        <w:t xml:space="preserve">. No entanto, mesmo dentro deste contexto de legalidade, enfrenta-se uma série de obstáculos para a efetivação desse direito, o que perpassa pelo acesso </w:t>
      </w:r>
      <w:proofErr w:type="spellStart"/>
      <w:r>
        <w:rPr>
          <w:rFonts w:ascii="Times New Roman" w:eastAsia="Times New Roman" w:hAnsi="Times New Roman" w:cs="Times New Roman"/>
          <w:sz w:val="24"/>
          <w:szCs w:val="24"/>
        </w:rPr>
        <w:t>inequânime</w:t>
      </w:r>
      <w:proofErr w:type="spellEnd"/>
      <w:r>
        <w:rPr>
          <w:rFonts w:ascii="Times New Roman" w:eastAsia="Times New Roman" w:hAnsi="Times New Roman" w:cs="Times New Roman"/>
          <w:sz w:val="24"/>
          <w:szCs w:val="24"/>
        </w:rPr>
        <w:t xml:space="preserve"> à saúde no país, marcado, especificamente, pela criminalização e pelos estigmas relacionados ao aborto. </w:t>
      </w:r>
    </w:p>
    <w:p w14:paraId="69F62275"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 efeito, o primeiro serviço de abortamento legal somente foi instalado no país em 1989</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após longo período de estagnação regulatória, já que as hipóteses do artigo 128, I e II do Código Penal estão previstas desde a década de 1940. Porém, até hoje, há diversos estados que não possuem nenhum serviço de referência para interrupção de gestação em caso de violência sexual</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Os poucos serviços disponíveis se concentram nas grandes cidades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e </w:t>
      </w:r>
      <w:r>
        <w:rPr>
          <w:rFonts w:ascii="Times New Roman" w:eastAsia="Times New Roman" w:hAnsi="Times New Roman" w:cs="Times New Roman"/>
          <w:sz w:val="24"/>
          <w:szCs w:val="24"/>
        </w:rPr>
        <w:lastRenderedPageBreak/>
        <w:t>calcula-se que, até 2019, 58,3% das mulheres em idade fértil viviam em municípios sem oferta de serviço de aborto legal</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2294D8D1"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quantidade insuficiente de serviços de aborto legal faz com que pessoas que necessitem do procedimento tenham que se deslocar para realizá-lo, enfrentando barreiras relacionadas às distâncias a serem percorridas e à forma como tal percurso é realizado. Tal condição impacta principalmente mulheres pobres e moradoras de áreas rurais ou longe dos centros urbanos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w:t>
      </w:r>
    </w:p>
    <w:p w14:paraId="434E9C7F" w14:textId="77777777" w:rsidR="00FE6B0B" w:rsidRDefault="00000000">
      <w:pPr>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 falta de serviços torna-se mais dramática na medida em que se analisam os dados de violência sexual no Brasil e a estimativa de gestações decorrentes desta violência. Em estudo recente publicado pelo Instituto de Pesquisa Econômica Aplicada (Ipea)</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a partir de uma análise conjunta da Pesquisa Nacional da Saúde (PNS/IBGE) e do Sistema de Informação de Agravos de Notificação (SINAN/Ministério da Saúde), foi possível estimar que o limite inferior do número de estupros no país no ano de 2019 se situaria num patamar de 822 mil por ano</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o que corresponde à ocorrência de quase dois casos por minuto. Deste montante, apenas </w:t>
      </w:r>
      <w:r>
        <w:rPr>
          <w:rFonts w:ascii="Times New Roman" w:eastAsia="Times New Roman" w:hAnsi="Times New Roman" w:cs="Times New Roman"/>
          <w:sz w:val="24"/>
          <w:szCs w:val="24"/>
          <w:highlight w:val="white"/>
        </w:rPr>
        <w:t>8,5% chegaram ao conhecimento da polícia e 4,2% foram identificados pelo sistema de saúde.</w:t>
      </w:r>
    </w:p>
    <w:p w14:paraId="39D6946C"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acordo com outro estudo realizado pelo referido instituto, a partir de dados de 2011, dentre as consequências sofridas pelas vítimas do estupro, a terceira maior prevalência diz respeito à gravidez (7,1%). Deve-se salientar, entretanto, que, se considerados apenas os casos em que houve penetração vaginal e a faixa etária entre 14 </w:t>
      </w:r>
      <w:r>
        <w:rPr>
          <w:rFonts w:ascii="Times New Roman" w:eastAsia="Times New Roman" w:hAnsi="Times New Roman" w:cs="Times New Roman"/>
          <w:sz w:val="24"/>
          <w:szCs w:val="24"/>
          <w:highlight w:val="white"/>
        </w:rPr>
        <w:t xml:space="preserve">e 17 anos, </w:t>
      </w:r>
      <w:r>
        <w:rPr>
          <w:rFonts w:ascii="Times New Roman" w:eastAsia="Times New Roman" w:hAnsi="Times New Roman" w:cs="Times New Roman"/>
          <w:sz w:val="24"/>
          <w:szCs w:val="24"/>
        </w:rPr>
        <w:t>a proporção de vítimas que ficam grávidas como consequência do estupro cresce para 15%.</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O estudo também </w:t>
      </w:r>
      <w:r>
        <w:rPr>
          <w:rFonts w:ascii="Times New Roman" w:eastAsia="Times New Roman" w:hAnsi="Times New Roman" w:cs="Times New Roman"/>
          <w:sz w:val="24"/>
          <w:szCs w:val="24"/>
        </w:rPr>
        <w:lastRenderedPageBreak/>
        <w:t>constatou que o aborto previsto em lei foi realizado em apenas 1,7% das vítimas adolescentes e em 2,4% das vítimas adultas,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o que revela que é ínfimo o número de mulheres e meninas que acessam o serviço de aborto legal. </w:t>
      </w:r>
    </w:p>
    <w:p w14:paraId="7808B65E" w14:textId="77777777" w:rsidR="00FE6B0B" w:rsidRDefault="00000000">
      <w:pPr>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O baixo acesso ao procedimento confirma-se pelos dados registrados no </w:t>
      </w:r>
      <w:proofErr w:type="spellStart"/>
      <w:r>
        <w:rPr>
          <w:rFonts w:ascii="Times New Roman" w:eastAsia="Times New Roman" w:hAnsi="Times New Roman" w:cs="Times New Roman"/>
          <w:sz w:val="24"/>
          <w:szCs w:val="24"/>
        </w:rPr>
        <w:t>DataSUS</w:t>
      </w:r>
      <w:proofErr w:type="spellEnd"/>
      <w:r>
        <w:rPr>
          <w:rFonts w:ascii="Times New Roman" w:eastAsia="Times New Roman" w:hAnsi="Times New Roman" w:cs="Times New Roman"/>
          <w:sz w:val="24"/>
          <w:szCs w:val="24"/>
        </w:rPr>
        <w:t xml:space="preserve">, segundo o qual </w:t>
      </w:r>
      <w:r>
        <w:rPr>
          <w:rFonts w:ascii="Times New Roman" w:eastAsia="Times New Roman" w:hAnsi="Times New Roman" w:cs="Times New Roman"/>
          <w:sz w:val="24"/>
          <w:szCs w:val="24"/>
          <w:highlight w:val="white"/>
        </w:rPr>
        <w:t>entre os anos de 2015 e 2023, houve uma média anual de 1.800 diagnósticos de “abortos por razões médicas e legais”</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highlight w:val="white"/>
        </w:rPr>
        <w:t xml:space="preserve">, o que no ano de 2019 representou 3% das gestações decorrentes de estupro, de acordo com </w:t>
      </w:r>
      <w:r>
        <w:rPr>
          <w:rFonts w:ascii="Times New Roman" w:eastAsia="Times New Roman" w:hAnsi="Times New Roman" w:cs="Times New Roman"/>
          <w:sz w:val="24"/>
          <w:szCs w:val="24"/>
        </w:rPr>
        <w:t>a análise conjunta PNS/IBGE e SINAN/Ministério da Saúde.</w:t>
      </w:r>
      <w:r>
        <w:rPr>
          <w:rFonts w:ascii="Times New Roman" w:eastAsia="Times New Roman" w:hAnsi="Times New Roman" w:cs="Times New Roman"/>
          <w:sz w:val="24"/>
          <w:szCs w:val="24"/>
          <w:highlight w:val="white"/>
        </w:rPr>
        <w:t xml:space="preserve"> Sabe-se que nem todas as pessoas que engravidam em decorrência de estupro optam por realizar um aborto, contudo, a discrepância entre o número estimado de gestações decorrentes de violência sexual e a quantidade de abortos legais realizados indica que tal opção é limitada diante das barreiras de acesso ao serviço. </w:t>
      </w:r>
    </w:p>
    <w:p w14:paraId="01492AC4" w14:textId="77777777" w:rsidR="00FE6B0B" w:rsidRDefault="00000000">
      <w:pPr>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Destaca-se, ademais, que mulheres </w:t>
      </w:r>
      <w:r>
        <w:rPr>
          <w:rFonts w:ascii="Times New Roman" w:eastAsia="Times New Roman" w:hAnsi="Times New Roman" w:cs="Times New Roman"/>
          <w:sz w:val="24"/>
          <w:szCs w:val="24"/>
        </w:rPr>
        <w:t xml:space="preserve">negras </w:t>
      </w:r>
      <w:r>
        <w:rPr>
          <w:rFonts w:ascii="Times New Roman" w:eastAsia="Times New Roman" w:hAnsi="Times New Roman" w:cs="Times New Roman"/>
          <w:sz w:val="24"/>
          <w:szCs w:val="24"/>
          <w:highlight w:val="white"/>
        </w:rPr>
        <w:t>são mais atingidas pela insuficiência de serviços e pelas barreiras impostas no acesso ao aborto. A esse respeito, o Anuário de Segurança Pública de 2022 constatou que a maioria de vítimas de estupro e estupro de vulnerável é negra</w:t>
      </w:r>
      <w:r>
        <w:rPr>
          <w:rFonts w:ascii="Times New Roman" w:eastAsia="Times New Roman" w:hAnsi="Times New Roman" w:cs="Times New Roman"/>
          <w:sz w:val="24"/>
          <w:szCs w:val="24"/>
          <w:highlight w:val="white"/>
          <w:vertAlign w:val="superscript"/>
        </w:rPr>
        <w:footnoteReference w:id="12"/>
      </w:r>
      <w:r>
        <w:rPr>
          <w:rFonts w:ascii="Times New Roman" w:eastAsia="Times New Roman" w:hAnsi="Times New Roman" w:cs="Times New Roman"/>
          <w:sz w:val="24"/>
          <w:szCs w:val="24"/>
          <w:highlight w:val="white"/>
        </w:rPr>
        <w:t>. Já uma pesquisa realizada pela Defensoria Pública do Rio de Janeiro indicou que mulheres em situação de pobreza, a maioria negras (60%), são as que mais se submetem a procedimentos de aborto inseguros</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A Pesquisa Nacional do Aborto revelou, ainda, que 74% das mulheres que já realizaram um aborto em sua vida eram negras</w:t>
      </w:r>
      <w:r>
        <w:rPr>
          <w:rFonts w:ascii="Times New Roman" w:eastAsia="Times New Roman" w:hAnsi="Times New Roman" w:cs="Times New Roman"/>
          <w:sz w:val="24"/>
          <w:szCs w:val="24"/>
          <w:highlight w:val="white"/>
          <w:vertAlign w:val="superscript"/>
        </w:rPr>
        <w:footnoteReference w:id="14"/>
      </w:r>
      <w:r>
        <w:rPr>
          <w:rFonts w:ascii="Times New Roman" w:eastAsia="Times New Roman" w:hAnsi="Times New Roman" w:cs="Times New Roman"/>
          <w:sz w:val="24"/>
          <w:szCs w:val="24"/>
          <w:highlight w:val="white"/>
        </w:rPr>
        <w:t>. Ainda, nos termos do Dossiê “Mulheres Negras e Justiça Reprodutiva”</w:t>
      </w:r>
      <w:r>
        <w:rPr>
          <w:rFonts w:ascii="Times New Roman" w:eastAsia="Times New Roman" w:hAnsi="Times New Roman" w:cs="Times New Roman"/>
          <w:i/>
          <w:sz w:val="24"/>
          <w:szCs w:val="24"/>
          <w:highlight w:val="white"/>
          <w:vertAlign w:val="superscript"/>
        </w:rPr>
        <w:footnoteReference w:id="15"/>
      </w:r>
      <w:r>
        <w:rPr>
          <w:rFonts w:ascii="Times New Roman" w:eastAsia="Times New Roman" w:hAnsi="Times New Roman" w:cs="Times New Roman"/>
          <w:i/>
          <w:sz w:val="24"/>
          <w:szCs w:val="24"/>
          <w:highlight w:val="white"/>
        </w:rPr>
        <w:t>,</w:t>
      </w:r>
      <w:r>
        <w:rPr>
          <w:rFonts w:ascii="Times New Roman" w:eastAsia="Times New Roman" w:hAnsi="Times New Roman" w:cs="Times New Roman"/>
          <w:sz w:val="24"/>
          <w:szCs w:val="24"/>
          <w:highlight w:val="white"/>
        </w:rPr>
        <w:t xml:space="preserve"> as mulheres negras representam 45,21% das que morrem por aborto, contra 17,81% de mulheres brancas (Jan/2020 </w:t>
      </w:r>
      <w:r>
        <w:rPr>
          <w:rFonts w:ascii="Times New Roman" w:eastAsia="Times New Roman" w:hAnsi="Times New Roman" w:cs="Times New Roman"/>
          <w:sz w:val="24"/>
          <w:szCs w:val="24"/>
          <w:highlight w:val="white"/>
        </w:rPr>
        <w:lastRenderedPageBreak/>
        <w:t xml:space="preserve">a </w:t>
      </w:r>
      <w:proofErr w:type="spellStart"/>
      <w:r>
        <w:rPr>
          <w:rFonts w:ascii="Times New Roman" w:eastAsia="Times New Roman" w:hAnsi="Times New Roman" w:cs="Times New Roman"/>
          <w:sz w:val="24"/>
          <w:szCs w:val="24"/>
          <w:highlight w:val="white"/>
        </w:rPr>
        <w:t>Fev</w:t>
      </w:r>
      <w:proofErr w:type="spellEnd"/>
      <w:r>
        <w:rPr>
          <w:rFonts w:ascii="Times New Roman" w:eastAsia="Times New Roman" w:hAnsi="Times New Roman" w:cs="Times New Roman"/>
          <w:sz w:val="24"/>
          <w:szCs w:val="24"/>
          <w:highlight w:val="white"/>
        </w:rPr>
        <w:t>/2021). Os dados indicam, assim, tanto maior dificuldade de acesso aos serviços de aborto nos casos permitidos em lei, como uma maior exposição de mulheres negras às violências sexuais e aos riscos e agravos à saúde decorrentes do abortamento inseguro em comparação às mulheres brancas.</w:t>
      </w:r>
    </w:p>
    <w:p w14:paraId="6EFA42FE"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As crianças e adolescentes também se encontram em especial situação de vulnerabilidade no que diz respeito à violência sexual e ao acesso ao aborto legal. Aproximadamente 08 em cada 10 vítimas de violência sexual em 2022 eram menores de idade e nos termos do que prevê o art. </w:t>
      </w:r>
      <w:r>
        <w:rPr>
          <w:rFonts w:ascii="Times New Roman" w:eastAsia="Times New Roman" w:hAnsi="Times New Roman" w:cs="Times New Roman"/>
          <w:sz w:val="24"/>
          <w:szCs w:val="24"/>
        </w:rPr>
        <w:t>217-A do Código Penal a gestação de meninas com idade inferior a 14 anos é considerada estupro de vulnerável, sendo, portanto, hipótese autorizadora do aborto legal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De 2010 a 2019, mais de 252 mil meninas entre 10 e 14 anos tiveram filhos nascidos vivos no Brasil</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sendo uma média de aproximadamente 25 mil casos por ano e, aproximadamente, uma criança sendo mãe a cada 20 minutos no Brasil. Além das consequências a médio e longo prazo na vida dessas meninas, em análise dos indicadores de saúde aferidos, os piores dados correspondiam às gestações nos corpos das crianças quando comparados com as gestações nas demais faixas etárias, como: maior mortalidade materna e óbitos fetais, maior prematuridade e menor peso fetal, além de taxas mais altas de cesáreas. Importante frisar, ainda, que, das 252 mil meninas mães, 71,1% eram negras (pretas e pardas), acima, portanto, do percentual de negros/as na população em geral de aproximadamente 56%</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w:t>
      </w:r>
    </w:p>
    <w:p w14:paraId="11E90768"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À precariedade de serviços, soma-se como grande barreira ao acesso ao aborto legal a imposição de limite gestacional de 22 semanas, conforme previsto na Nota Técnica “Atenção Técnica para Prevenção, Avaliação e Conduta nos Casos de Abortamento” do Ministério da Saúde, que embora tenha sido retirada dos canais oficiais diante do novo posicionamento do órgão, exarado na Nota Técnica Conjunta 37/2023</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continua pautando a atuação dos serviços </w:t>
      </w:r>
      <w:r>
        <w:rPr>
          <w:rFonts w:ascii="Times New Roman" w:eastAsia="Times New Roman" w:hAnsi="Times New Roman" w:cs="Times New Roman"/>
          <w:sz w:val="24"/>
          <w:szCs w:val="24"/>
        </w:rPr>
        <w:lastRenderedPageBreak/>
        <w:t xml:space="preserve">e gerando desinformação e insegurança jurídica aos profissionais de saúde, restringindo indevidamente o direito das mulheres. </w:t>
      </w:r>
    </w:p>
    <w:p w14:paraId="33CDECD6"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gravidade de referida restrição é evidente quando se observa que cerca de 30% das pessoas que buscam os serviços de abortamento legal no Brasil se encontram no segundo trimestre gestacional</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e que este número é ainda mais elevado quando se fala em crianças, adolescentes e em pessoas com menor escolaridade, com deficiência mental, em situação de precariedade econômica e/ou que possuem relação de parentesco com o agressor, as quais, em razão da sua situação de especial vulnerabilidade, acabam por terem tardiamente descoberta a gestação</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ou por não conseguirem chegar antes aos serviços. </w:t>
      </w:r>
    </w:p>
    <w:p w14:paraId="7E038F3A"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Atualmente, no Brasil, somente 03 hospitais localizados em 03 estados da Federação realizam o procedimento de interrupção de gestação acima de 22 semanas, sendo que o hospital que absorvia tal demanda no estado de São Paulo - o estado mais populoso do Brasil, frise-se -, interrompeu o serviço de forma abrupta e inesperada.</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O prejuízo dessa interrupção é tamanho, tanto para as mulheres e meninas que residem no estado de São Paulo, quanto para residentes dos demais estados da Federação que não disponibilizavam de serviço para a interrupção de gestação avançada e encaminhavam para São Paulo. Sabe-se, no entanto, que foi proposta Ação Popular</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visando o restabelecimento do serviço no hospital, a qual ainda está em trâmite.</w:t>
      </w:r>
    </w:p>
    <w:p w14:paraId="699A9AD4" w14:textId="77777777" w:rsidR="00FE6B0B" w:rsidRDefault="00000000">
      <w:pPr>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Sobre esse ponto, indica-se que a diferenciação entre aborto e interrupção antecipada da gestação a partir do critério gestacional de 22 semanas no âmbito médico é definido apenas para casos de aborto espontâneo, com a finalidade de investigar e estabelecer a causa da perda gestacional. Tal diferenciação não faz sentido, no entanto, para abortos provocados, já que sua causa já é conhecida. Neste sentido, a Informativa da Federação Brasileira das Associações de </w:t>
      </w:r>
      <w:r>
        <w:rPr>
          <w:rFonts w:ascii="Times New Roman" w:eastAsia="Times New Roman" w:hAnsi="Times New Roman" w:cs="Times New Roman"/>
          <w:sz w:val="24"/>
          <w:szCs w:val="24"/>
          <w:highlight w:val="white"/>
        </w:rPr>
        <w:lastRenderedPageBreak/>
        <w:t>Ginecologia e Obstetrícia - FEBRASGO - dispõe que o aborto induzido é “perda intencional da gravidez intrauterina por meios medicamentosos ou cirúrgicos” e não possui “relação com viabilidade fetal, ou seja, não está atrelado à idade gestacional ou peso fetal”.</w:t>
      </w:r>
      <w:r>
        <w:rPr>
          <w:rFonts w:ascii="Times New Roman" w:eastAsia="Times New Roman" w:hAnsi="Times New Roman" w:cs="Times New Roman"/>
          <w:sz w:val="24"/>
          <w:szCs w:val="24"/>
          <w:highlight w:val="white"/>
          <w:vertAlign w:val="superscript"/>
        </w:rPr>
        <w:footnoteReference w:id="23"/>
      </w:r>
    </w:p>
    <w:p w14:paraId="6B32B378"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Paralelamente à restrição da idade gestacional, </w:t>
      </w:r>
      <w:proofErr w:type="spellStart"/>
      <w:r>
        <w:rPr>
          <w:rFonts w:ascii="Times New Roman" w:eastAsia="Times New Roman" w:hAnsi="Times New Roman" w:cs="Times New Roman"/>
          <w:sz w:val="24"/>
          <w:szCs w:val="24"/>
          <w:highlight w:val="white"/>
        </w:rPr>
        <w:t>verfica-se</w:t>
      </w:r>
      <w:proofErr w:type="spellEnd"/>
      <w:r>
        <w:rPr>
          <w:rFonts w:ascii="Times New Roman" w:eastAsia="Times New Roman" w:hAnsi="Times New Roman" w:cs="Times New Roman"/>
          <w:sz w:val="24"/>
          <w:szCs w:val="24"/>
          <w:highlight w:val="white"/>
        </w:rPr>
        <w:t xml:space="preserve"> que, nos serviços de referência ao aborto legal, existe uma tendência de perpetuação de </w:t>
      </w:r>
      <w:r>
        <w:rPr>
          <w:rFonts w:ascii="Times New Roman" w:eastAsia="Times New Roman" w:hAnsi="Times New Roman" w:cs="Times New Roman"/>
          <w:sz w:val="24"/>
          <w:szCs w:val="24"/>
        </w:rPr>
        <w:t>práticas obsoletas, que não representam métodos mais seguros e amparados cientificamente para a realização do procedimento. Em estudos sistematizados pela FEBRASGO</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observa-se que a curetagem ainda vem sendo utilizada amplamente, muito embora seja de conhecimento que a prática pode suscitar acidentes, como perfuração do útero, sangramento excessivo e infecções. Por outro lado, procedimentos caracterizados como seguros e eficazes, como a Aspiração Manual </w:t>
      </w:r>
      <w:proofErr w:type="spellStart"/>
      <w:proofErr w:type="gramStart"/>
      <w:r>
        <w:rPr>
          <w:rFonts w:ascii="Times New Roman" w:eastAsia="Times New Roman" w:hAnsi="Times New Roman" w:cs="Times New Roman"/>
          <w:sz w:val="24"/>
          <w:szCs w:val="24"/>
        </w:rPr>
        <w:t>Intra</w:t>
      </w:r>
      <w:proofErr w:type="spellEnd"/>
      <w:r>
        <w:rPr>
          <w:rFonts w:ascii="Times New Roman" w:eastAsia="Times New Roman" w:hAnsi="Times New Roman" w:cs="Times New Roman"/>
          <w:sz w:val="24"/>
          <w:szCs w:val="24"/>
        </w:rPr>
        <w:t xml:space="preserve"> Uterina</w:t>
      </w:r>
      <w:proofErr w:type="gramEnd"/>
      <w:r>
        <w:rPr>
          <w:rFonts w:ascii="Times New Roman" w:eastAsia="Times New Roman" w:hAnsi="Times New Roman" w:cs="Times New Roman"/>
          <w:sz w:val="24"/>
          <w:szCs w:val="24"/>
        </w:rPr>
        <w:t xml:space="preserve"> (AMIU) e o abortamento por </w:t>
      </w:r>
      <w:proofErr w:type="spellStart"/>
      <w:r>
        <w:rPr>
          <w:rFonts w:ascii="Times New Roman" w:eastAsia="Times New Roman" w:hAnsi="Times New Roman" w:cs="Times New Roman"/>
          <w:sz w:val="24"/>
          <w:szCs w:val="24"/>
        </w:rPr>
        <w:t>telessaúde</w:t>
      </w:r>
      <w:proofErr w:type="spellEnd"/>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são dificultados, na prática, pela falta de capacitação dos profissionais e desinteresse de investimento público na demanda.</w:t>
      </w:r>
    </w:p>
    <w:p w14:paraId="131BF77C" w14:textId="77777777" w:rsidR="00FE6B0B" w:rsidRDefault="00000000">
      <w:pPr>
        <w:spacing w:line="360" w:lineRule="auto"/>
        <w:ind w:firstLine="85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Como se não bastassem todas as dificuldades de acesso já descritas, o Conselho Federal de Medicina editou norma (Resolução nº 2.378/2024), pela qual se </w:t>
      </w:r>
      <w:proofErr w:type="spellStart"/>
      <w:r>
        <w:rPr>
          <w:rFonts w:ascii="Times New Roman" w:eastAsia="Times New Roman" w:hAnsi="Times New Roman" w:cs="Times New Roman"/>
          <w:sz w:val="24"/>
          <w:szCs w:val="24"/>
        </w:rPr>
        <w:t>proibe</w:t>
      </w:r>
      <w:proofErr w:type="spellEnd"/>
      <w:r>
        <w:rPr>
          <w:rFonts w:ascii="Times New Roman" w:eastAsia="Times New Roman" w:hAnsi="Times New Roman" w:cs="Times New Roman"/>
          <w:sz w:val="24"/>
          <w:szCs w:val="24"/>
        </w:rPr>
        <w:t xml:space="preserve"> a médicos e médicas, nos casos decorrentes de estupro, a aplicação da assistolia fetal em gestações acima de 22 semanas, </w:t>
      </w:r>
      <w:r>
        <w:rPr>
          <w:rFonts w:ascii="Times New Roman" w:eastAsia="Times New Roman" w:hAnsi="Times New Roman" w:cs="Times New Roman"/>
          <w:b/>
          <w:sz w:val="24"/>
          <w:szCs w:val="24"/>
        </w:rPr>
        <w:t>inviabilizando, de uma vez por todas, a realização do aborto legal quando este for o procedimento recomendado.</w:t>
      </w:r>
    </w:p>
    <w:p w14:paraId="32F2114F"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indução da assistolia fetal, como se sabe, perfaz técnica segura e eficaz </w:t>
      </w:r>
      <w:proofErr w:type="gramStart"/>
      <w:r>
        <w:rPr>
          <w:rFonts w:ascii="Times New Roman" w:eastAsia="Times New Roman" w:hAnsi="Times New Roman" w:cs="Times New Roman"/>
          <w:sz w:val="24"/>
          <w:szCs w:val="24"/>
        </w:rPr>
        <w:t>que,  por</w:t>
      </w:r>
      <w:proofErr w:type="gramEnd"/>
      <w:r>
        <w:rPr>
          <w:rFonts w:ascii="Times New Roman" w:eastAsia="Times New Roman" w:hAnsi="Times New Roman" w:cs="Times New Roman"/>
          <w:sz w:val="24"/>
          <w:szCs w:val="24"/>
        </w:rPr>
        <w:t xml:space="preserve"> sua vez, é recomendada como a </w:t>
      </w:r>
      <w:proofErr w:type="spellStart"/>
      <w:r>
        <w:rPr>
          <w:rFonts w:ascii="Times New Roman" w:eastAsia="Times New Roman" w:hAnsi="Times New Roman" w:cs="Times New Roman"/>
          <w:sz w:val="24"/>
          <w:szCs w:val="24"/>
        </w:rPr>
        <w:t>mehor</w:t>
      </w:r>
      <w:proofErr w:type="spellEnd"/>
      <w:r>
        <w:rPr>
          <w:rFonts w:ascii="Times New Roman" w:eastAsia="Times New Roman" w:hAnsi="Times New Roman" w:cs="Times New Roman"/>
          <w:sz w:val="24"/>
          <w:szCs w:val="24"/>
        </w:rPr>
        <w:t xml:space="preserve"> prática do cuidado em aborto pela Organização Mundial </w:t>
      </w:r>
      <w:r>
        <w:rPr>
          <w:rFonts w:ascii="Times New Roman" w:eastAsia="Times New Roman" w:hAnsi="Times New Roman" w:cs="Times New Roman"/>
          <w:sz w:val="24"/>
          <w:szCs w:val="24"/>
        </w:rPr>
        <w:lastRenderedPageBreak/>
        <w:t>de Saúde (OMS), pela Federação Brasileira de Ginecologia e Obstetrícia (</w:t>
      </w:r>
      <w:proofErr w:type="spellStart"/>
      <w:r>
        <w:rPr>
          <w:rFonts w:ascii="Times New Roman" w:eastAsia="Times New Roman" w:hAnsi="Times New Roman" w:cs="Times New Roman"/>
          <w:sz w:val="24"/>
          <w:szCs w:val="24"/>
        </w:rPr>
        <w:t>Febrasgo</w:t>
      </w:r>
      <w:proofErr w:type="spellEnd"/>
      <w:r>
        <w:rPr>
          <w:rFonts w:ascii="Times New Roman" w:eastAsia="Times New Roman" w:hAnsi="Times New Roman" w:cs="Times New Roman"/>
          <w:sz w:val="24"/>
          <w:szCs w:val="24"/>
        </w:rPr>
        <w:t>) e pela Federação Internacional de Ginecologia e Obstetrícia (FIGO), entre outras tantas reconhecidas sociedades.</w:t>
      </w:r>
      <w:r>
        <w:rPr>
          <w:rFonts w:ascii="Times New Roman" w:eastAsia="Times New Roman" w:hAnsi="Times New Roman" w:cs="Times New Roman"/>
          <w:sz w:val="24"/>
          <w:szCs w:val="24"/>
          <w:vertAlign w:val="superscript"/>
        </w:rPr>
        <w:footnoteReference w:id="27"/>
      </w:r>
    </w:p>
    <w:p w14:paraId="0B8EE58F" w14:textId="77777777" w:rsidR="00FE6B0B" w:rsidRDefault="00000000">
      <w:pPr>
        <w:spacing w:line="360" w:lineRule="auto"/>
        <w:ind w:firstLine="85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Por fim, outro fator central que obstaculiza a busca pelo procedimento aborto é o estigma moral reforçado pela sua criminalização, o que não apenas dificulta o acesso a informações corretas sobre direitos e serviços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mas coloca </w:t>
      </w:r>
      <w:proofErr w:type="gramStart"/>
      <w:r>
        <w:rPr>
          <w:rFonts w:ascii="Times New Roman" w:eastAsia="Times New Roman" w:hAnsi="Times New Roman" w:cs="Times New Roman"/>
          <w:sz w:val="24"/>
          <w:szCs w:val="24"/>
        </w:rPr>
        <w:t>as/os profissionais</w:t>
      </w:r>
      <w:proofErr w:type="gramEnd"/>
      <w:r>
        <w:rPr>
          <w:rFonts w:ascii="Times New Roman" w:eastAsia="Times New Roman" w:hAnsi="Times New Roman" w:cs="Times New Roman"/>
          <w:sz w:val="24"/>
          <w:szCs w:val="24"/>
        </w:rPr>
        <w:t xml:space="preserve"> em posição de desconfiança e as vítimas em posição de suspeitas. A não presunção de veracidade do relato das vítimas e a exigência de que estas se submetam a burocracias e procedimentos desnecessários para acessar o direito ao aborto, como apresentação de boletim de ocorrência, laudo </w:t>
      </w:r>
      <w:proofErr w:type="gramStart"/>
      <w:r>
        <w:rPr>
          <w:rFonts w:ascii="Times New Roman" w:eastAsia="Times New Roman" w:hAnsi="Times New Roman" w:cs="Times New Roman"/>
          <w:sz w:val="24"/>
          <w:szCs w:val="24"/>
        </w:rPr>
        <w:t>pericial, etc.</w:t>
      </w:r>
      <w:proofErr w:type="gramEnd"/>
      <w:r>
        <w:rPr>
          <w:rFonts w:ascii="Times New Roman" w:eastAsia="Times New Roman" w:hAnsi="Times New Roman" w:cs="Times New Roman"/>
          <w:sz w:val="24"/>
          <w:szCs w:val="24"/>
        </w:rPr>
        <w:t>, são violações de direitos que, na prática, continuam a permear a estrutura dos serviços de saúde no Brasil.</w:t>
      </w:r>
      <w:r>
        <w:rPr>
          <w:rFonts w:ascii="Times New Roman" w:eastAsia="Times New Roman" w:hAnsi="Times New Roman" w:cs="Times New Roman"/>
          <w:sz w:val="24"/>
          <w:szCs w:val="24"/>
          <w:vertAlign w:val="superscript"/>
        </w:rPr>
        <w:footnoteReference w:id="29"/>
      </w:r>
    </w:p>
    <w:p w14:paraId="04095AF9"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Verifica-se, assim, que a garantia constitucional de acesso à saúde de maneira universal e equânime não tem sido cumprida em relação ao aborto legal, sendo possível afirmar, portanto, que o </w:t>
      </w:r>
      <w:r>
        <w:rPr>
          <w:rFonts w:ascii="Times New Roman" w:eastAsia="Times New Roman" w:hAnsi="Times New Roman" w:cs="Times New Roman"/>
          <w:sz w:val="24"/>
          <w:szCs w:val="24"/>
        </w:rPr>
        <w:t>Estado brasileiro figura como autor de violência grave aos direitos reprodutivos e sexuais de mulheres, meninas e demais pessoas que gestam.</w:t>
      </w:r>
    </w:p>
    <w:p w14:paraId="75F3A286" w14:textId="77777777" w:rsidR="00FE6B0B" w:rsidRDefault="00FE6B0B">
      <w:pPr>
        <w:spacing w:line="360" w:lineRule="auto"/>
        <w:ind w:firstLine="850"/>
        <w:jc w:val="both"/>
        <w:rPr>
          <w:rFonts w:ascii="Times New Roman" w:eastAsia="Times New Roman" w:hAnsi="Times New Roman" w:cs="Times New Roman"/>
          <w:sz w:val="24"/>
          <w:szCs w:val="24"/>
        </w:rPr>
      </w:pPr>
    </w:p>
    <w:p w14:paraId="1EAEE4FE" w14:textId="77777777" w:rsidR="00FE6B0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PANORAMAS ESTADUAIS O QUADRO NACIONAL DE SISTEMÁTICA VIOLAÇÃO AOS DIREITOS SEXUAIS E REPRODUTIVOS </w:t>
      </w:r>
    </w:p>
    <w:p w14:paraId="3693B6EC" w14:textId="77777777" w:rsidR="00FE6B0B" w:rsidRDefault="00FE6B0B">
      <w:pPr>
        <w:spacing w:line="360" w:lineRule="auto"/>
        <w:jc w:val="both"/>
        <w:rPr>
          <w:rFonts w:ascii="Times New Roman" w:eastAsia="Times New Roman" w:hAnsi="Times New Roman" w:cs="Times New Roman"/>
          <w:b/>
          <w:sz w:val="24"/>
          <w:szCs w:val="24"/>
        </w:rPr>
      </w:pPr>
    </w:p>
    <w:p w14:paraId="5BDD3C9F"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fim de reforçar a gravidade da situação, destacamos uma seleção de dados segregados de Unidades da Federação de algumas das postulantes que confirmam o cenário nacional de negativa de acesso ao aborto legal e alguns casos emblemáticos que ilustram a repercussões trágicas da inefetividade do aborto legal na vida de mulheres, meninas e pessoas que gestam.</w:t>
      </w:r>
    </w:p>
    <w:p w14:paraId="516B8524" w14:textId="77777777" w:rsidR="00FE6B0B" w:rsidRDefault="00000000">
      <w:pPr>
        <w:spacing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 Estado do Paraná, por exemplo, possui em seus 399 municípios, quatro serviços de aborto legal, confirmando os achados referentes às barreiras geográficas de acesso. Ademais, a partir dos dados apresentados pelos serviços de referência no âmbito do Fórum de </w:t>
      </w:r>
      <w:proofErr w:type="spellStart"/>
      <w:r>
        <w:rPr>
          <w:rFonts w:ascii="Times New Roman" w:eastAsia="Times New Roman" w:hAnsi="Times New Roman" w:cs="Times New Roman"/>
          <w:sz w:val="24"/>
          <w:szCs w:val="24"/>
        </w:rPr>
        <w:t>ABorto</w:t>
      </w:r>
      <w:proofErr w:type="spellEnd"/>
      <w:r>
        <w:rPr>
          <w:rFonts w:ascii="Times New Roman" w:eastAsia="Times New Roman" w:hAnsi="Times New Roman" w:cs="Times New Roman"/>
          <w:sz w:val="24"/>
          <w:szCs w:val="24"/>
        </w:rPr>
        <w:t xml:space="preserve"> Legal do Paraná (FAL-PR), foi possível elaborar estudo comparativo em relação aos dados de mulheres que acessaram os serviços de aborto legal e as estimativas de casos de estupro e gravidez por estupro levantados no SINAN referente às macrorregiões de Saúde no Paraná</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Com o levantamento observou-se importante discrepância entre o número estimado de gestações decorrentes de estupros num total aproximado de 3.401 gestações decorrentes de estupro</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sendo que os serviços atenderam, na média anual, apenas 69 mulheres para realização do procedimento, gerando a estimativa de que apenas 2% das gestantes que tinham direito conseguiram acessar os serviços, o que corrobora com os achados de que a maioria das possíveis beneficiárias do serviço não são atendidas e têm negada a possibilidade de acessar o procedimento de aborto legal. </w:t>
      </w:r>
    </w:p>
    <w:p w14:paraId="24DF86B4"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Dentre os casos emblemáticos do Estado, o primeiro deles diz respeito a M.B.S, uma mulher indígena de 35 anos da etnia Kaingang que, após peregrinação na tentativa de interromper gestação decorrente de estupro, teve seu direito ao aborto legal obstado pelo Estado, e ao levar a gestação a termo para realização de entrega voluntária para adoção, faleceu durante o parto, deixando dois filhos pequenos.</w:t>
      </w:r>
    </w:p>
    <w:p w14:paraId="2E3F6BF4"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M.B.S. descobriu a gestação quando estava com 26 semanas </w:t>
      </w:r>
      <w:proofErr w:type="gramStart"/>
      <w:r>
        <w:rPr>
          <w:rFonts w:ascii="Times New Roman" w:eastAsia="Times New Roman" w:hAnsi="Times New Roman" w:cs="Times New Roman"/>
          <w:sz w:val="24"/>
          <w:szCs w:val="24"/>
        </w:rPr>
        <w:t>e  procurou</w:t>
      </w:r>
      <w:proofErr w:type="gramEnd"/>
      <w:r>
        <w:rPr>
          <w:rFonts w:ascii="Times New Roman" w:eastAsia="Times New Roman" w:hAnsi="Times New Roman" w:cs="Times New Roman"/>
          <w:sz w:val="24"/>
          <w:szCs w:val="24"/>
        </w:rPr>
        <w:t xml:space="preserve"> o Hospital de Clínicas da Universidade Federal do Paraná (CHC-UFPR), referência para aborto legal, que no entanto se negou a realizar o procedimento em razão da idade gestacional, o que foi </w:t>
      </w:r>
      <w:r>
        <w:rPr>
          <w:rFonts w:ascii="Times New Roman" w:eastAsia="Times New Roman" w:hAnsi="Times New Roman" w:cs="Times New Roman"/>
          <w:sz w:val="24"/>
          <w:szCs w:val="24"/>
        </w:rPr>
        <w:lastRenderedPageBreak/>
        <w:t xml:space="preserve">referendado pela Secretaria Estadual de Saúde (SESA), que a orientou a realizar a entrega voluntária do bebê para adoção. </w:t>
      </w:r>
    </w:p>
    <w:p w14:paraId="521D2AD5"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Atendida pelo NUDEM-PR, no entanto, M.B.S. foi informada da possibilidade de encaminhamento para realização do aborto legal no hospital de referência localizado no Estado de São Paulo, e diante da sua manifestação de interesse, foi agendado o procedimento para a mesma semana, com a ajuda de custo de uma Organização Não Governamental. A partir deste momento, no entanto, verificou-se uma série de interferências por parte do serviço municipal de assistência social no encaminhamento de M.B.S., bem como a criação de novas barreiras que terminaram por impedir que ela conseguisse ter acesso ao </w:t>
      </w:r>
      <w:proofErr w:type="spellStart"/>
      <w:r>
        <w:rPr>
          <w:rFonts w:ascii="Times New Roman" w:eastAsia="Times New Roman" w:hAnsi="Times New Roman" w:cs="Times New Roman"/>
          <w:sz w:val="24"/>
          <w:szCs w:val="24"/>
        </w:rPr>
        <w:t>ao</w:t>
      </w:r>
      <w:proofErr w:type="spellEnd"/>
      <w:r>
        <w:rPr>
          <w:rFonts w:ascii="Times New Roman" w:eastAsia="Times New Roman" w:hAnsi="Times New Roman" w:cs="Times New Roman"/>
          <w:sz w:val="24"/>
          <w:szCs w:val="24"/>
        </w:rPr>
        <w:t xml:space="preserve"> aborto legal. O desconhecimento e a incompreensão dos profissionais da saúde e da assistência quanto às possibilidades de encaminhamento nestes casos, conjuntamente ao temor de responsabilização criminal que permeiam o tema, fizeram com que fosse incutido medo, culpa e dúvida em M.B.S., que na véspera do procedimento, desistiu de realizá-lo e optou por levar a gestação a termo. No dia 15 de novembro de 2023, M.B.S. faleceu logo após o parto, trazendo ao caso, já dramático pela existência de violência sexual e violência institucional, o evitável desfecho de morte materna.</w:t>
      </w:r>
    </w:p>
    <w:p w14:paraId="44011A40"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Outro caso, atendido pelo NUDEM-SP em dezembro de 2023, trata-se do acompanhamento da adolescente M.K de A., de 15 anos, que foi estuprada pelo marido de sua avó, resultando em gravidez. Tendo em vista o convívio que possuía com o agressor e o medo de represália, a adolescente não reportou o ocorrido. Quando sua genitora percebeu mudanças físicas na adolescente, realizou-se teste de gravidez, que foi confirmada. M., então,</w:t>
      </w:r>
      <w:r>
        <w:rPr>
          <w:rFonts w:ascii="Times New Roman" w:eastAsia="Times New Roman" w:hAnsi="Times New Roman" w:cs="Times New Roman"/>
          <w:sz w:val="24"/>
          <w:szCs w:val="24"/>
          <w:highlight w:val="white"/>
        </w:rPr>
        <w:t xml:space="preserve"> dirigiu-se ao Hospital da Mulher (hospital referência em atendimento a vítimas de violência sexual em São Paulo) para realização de aborto legal, onde teve o procedimento negado diante da idade gestacional (que, à época, era de 28 semanas). </w:t>
      </w:r>
    </w:p>
    <w:p w14:paraId="7958E02A"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Orientada sobre a negativa do procedimento, procurou o Hospital Vila Nova Cachoeirinha (hospital que até então realizava interrupções em idades gestacionais avançadas), e obteve três agendamentos para iniciar o procedimento, sendo um deles para o dia 24/11/23.  No entanto, com a abrupta decisão da prefeitura de fechar o serviço (conforme relatado acima), teve seu atendimento interrompido. </w:t>
      </w:r>
    </w:p>
    <w:p w14:paraId="619CA012"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Por não ter nenhuma opção para a realização do procedimento em São </w:t>
      </w:r>
      <w:proofErr w:type="gramStart"/>
      <w:r>
        <w:rPr>
          <w:rFonts w:ascii="Times New Roman" w:eastAsia="Times New Roman" w:hAnsi="Times New Roman" w:cs="Times New Roman"/>
          <w:sz w:val="24"/>
          <w:szCs w:val="24"/>
          <w:highlight w:val="white"/>
        </w:rPr>
        <w:t>Paulo,  a</w:t>
      </w:r>
      <w:proofErr w:type="gramEnd"/>
      <w:r>
        <w:rPr>
          <w:rFonts w:ascii="Times New Roman" w:eastAsia="Times New Roman" w:hAnsi="Times New Roman" w:cs="Times New Roman"/>
          <w:sz w:val="24"/>
          <w:szCs w:val="24"/>
          <w:highlight w:val="white"/>
        </w:rPr>
        <w:t xml:space="preserve"> menina teve de procurar alternativas, obtendo apoio de uma Organização não Governamental, que realizou a articulação com a Maternidade da Universidade Federal da Bahia,  localizada em Salvador (que dista 1996,8 km de onde residia) e providenciou passagens para que o procedimento fosse realizado lá. O deslocamento, realizado por ônibus, durou dois dias, período no qual se agravou o estado de extrema fragilidade e vulnerabilidade da adolescente. A interrupção da gestação foi realizada com idade gestacional de 31 semanas, sendo que o risco à saúde da adolescente foi potencializado pelas omissões estatais.</w:t>
      </w:r>
    </w:p>
    <w:p w14:paraId="50B5B345" w14:textId="77777777" w:rsidR="00FE6B0B" w:rsidRDefault="00000000">
      <w:pPr>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Em Santa Catarina, os dados da Vigilância Epidemiológica mostram que, de 2018 a 2022, houve notificação de 6.313 casos de violência sexual entre crianças e adolescentes, sendo que a maior taxa ocorre na faixa etária de 10 a 14 anos. Dentre as meninas de 10 a 14 anos que sofreram violência sexual nesse período, 15,5% estavam gestantes no momento da notificação à autoridade sanitária - é dizer, 359 meninas, entre 10 e 14 anos, buscaram os serviços de saúde catarinenses entre 2018 e 2022 grávidas após terem sido estupradas</w:t>
      </w:r>
      <w:r>
        <w:rPr>
          <w:rFonts w:ascii="Times New Roman" w:eastAsia="Times New Roman" w:hAnsi="Times New Roman" w:cs="Times New Roman"/>
          <w:color w:val="222222"/>
          <w:sz w:val="24"/>
          <w:szCs w:val="24"/>
          <w:highlight w:val="white"/>
          <w:vertAlign w:val="superscript"/>
        </w:rPr>
        <w:footnoteReference w:id="32"/>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Por se configurar hipótese penal de estupro de vulnerável (art. 217-A, CP), a essas crianças deveriam ser ofertados os serviços de atenção à violência sexual e ao aborto </w:t>
      </w:r>
      <w:proofErr w:type="gramStart"/>
      <w:r>
        <w:rPr>
          <w:rFonts w:ascii="Times New Roman" w:eastAsia="Times New Roman" w:hAnsi="Times New Roman" w:cs="Times New Roman"/>
          <w:sz w:val="24"/>
          <w:szCs w:val="24"/>
        </w:rPr>
        <w:t>legal .</w:t>
      </w:r>
      <w:proofErr w:type="gramEnd"/>
      <w:r>
        <w:rPr>
          <w:rFonts w:ascii="Times New Roman" w:eastAsia="Times New Roman" w:hAnsi="Times New Roman" w:cs="Times New Roman"/>
          <w:sz w:val="24"/>
          <w:szCs w:val="24"/>
        </w:rPr>
        <w:t xml:space="preserve"> No entanto, </w:t>
      </w:r>
      <w:r>
        <w:rPr>
          <w:rFonts w:ascii="Times New Roman" w:eastAsia="Times New Roman" w:hAnsi="Times New Roman" w:cs="Times New Roman"/>
          <w:sz w:val="24"/>
          <w:szCs w:val="24"/>
          <w:highlight w:val="white"/>
        </w:rPr>
        <w:t>como demonstrado anteriormente, há no país uma média de apenas 1.800 abortos legais por ano, número que compreende pessoas de todas as idades, demonstrando grande lacuna em relação aos aproximados 17 mil casos de estupros de vulneráveis por ano que chegaram ao conhecimento dos Sistemas de Saúde, sem se falar na subnotificação de mais de 90% dos casos.</w:t>
      </w:r>
      <w:r>
        <w:rPr>
          <w:rFonts w:ascii="Times New Roman" w:eastAsia="Times New Roman" w:hAnsi="Times New Roman" w:cs="Times New Roman"/>
          <w:sz w:val="24"/>
          <w:szCs w:val="24"/>
          <w:highlight w:val="white"/>
          <w:vertAlign w:val="superscript"/>
        </w:rPr>
        <w:footnoteReference w:id="33"/>
      </w:r>
      <w:r>
        <w:rPr>
          <w:rFonts w:ascii="Times New Roman" w:eastAsia="Times New Roman" w:hAnsi="Times New Roman" w:cs="Times New Roman"/>
          <w:sz w:val="24"/>
          <w:szCs w:val="24"/>
          <w:vertAlign w:val="superscript"/>
        </w:rPr>
        <w:footnoteReference w:id="34"/>
      </w:r>
    </w:p>
    <w:p w14:paraId="65AB4B03"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Os casos emblemáticos, novamente, confirmam os dados analisados. Em Santa Catarina, repercutiu na imprensa nacional o caso de uma menina de 11 anos, que engravidou </w:t>
      </w:r>
      <w:r>
        <w:rPr>
          <w:rFonts w:ascii="Times New Roman" w:eastAsia="Times New Roman" w:hAnsi="Times New Roman" w:cs="Times New Roman"/>
          <w:sz w:val="24"/>
          <w:szCs w:val="24"/>
          <w:highlight w:val="white"/>
        </w:rPr>
        <w:lastRenderedPageBreak/>
        <w:t>após ter sido vítima de estupro.</w:t>
      </w:r>
      <w:r>
        <w:rPr>
          <w:rFonts w:ascii="Times New Roman" w:eastAsia="Times New Roman" w:hAnsi="Times New Roman" w:cs="Times New Roman"/>
          <w:sz w:val="24"/>
          <w:szCs w:val="24"/>
          <w:highlight w:val="white"/>
          <w:vertAlign w:val="superscript"/>
        </w:rPr>
        <w:footnoteReference w:id="35"/>
      </w:r>
      <w:r>
        <w:rPr>
          <w:rFonts w:ascii="Times New Roman" w:eastAsia="Times New Roman" w:hAnsi="Times New Roman" w:cs="Times New Roman"/>
          <w:sz w:val="24"/>
          <w:szCs w:val="24"/>
          <w:highlight w:val="white"/>
        </w:rPr>
        <w:t xml:space="preserve"> Muito embora a menina e sua mãe tenham buscado ajuda dois dias após descobrirem a gestação, o hospital de referência de Florianópolis considerou que era tarde demais: a equipe técnica negou a realização do procedimento em razão da idade gestacional, que chegava a 22 semanas e 2 dias. </w:t>
      </w:r>
    </w:p>
    <w:p w14:paraId="77698FF9"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intervenção do sistema de justiça catarinense, no caso, contribuiu para potencializar a violação a direitos e a </w:t>
      </w:r>
      <w:proofErr w:type="spellStart"/>
      <w:r>
        <w:rPr>
          <w:rFonts w:ascii="Times New Roman" w:eastAsia="Times New Roman" w:hAnsi="Times New Roman" w:cs="Times New Roman"/>
          <w:sz w:val="24"/>
          <w:szCs w:val="24"/>
          <w:highlight w:val="white"/>
        </w:rPr>
        <w:t>revitimização</w:t>
      </w:r>
      <w:proofErr w:type="spellEnd"/>
      <w:r>
        <w:rPr>
          <w:rFonts w:ascii="Times New Roman" w:eastAsia="Times New Roman" w:hAnsi="Times New Roman" w:cs="Times New Roman"/>
          <w:sz w:val="24"/>
          <w:szCs w:val="24"/>
          <w:highlight w:val="white"/>
        </w:rPr>
        <w:t xml:space="preserve"> da menina. A Justiça da Infância e Juventude de Tijucas/SC (onde a menina residia com a mãe) determinou o acolhimento institucional da criança, supostamente para protegê-la da violência sexual e para “proteger o bebê em gestação”. Afastada da mãe, a menina permaneceu acolhida e foi submetida a audiência judicial na qual juíza e promotora, ao arrepio da legislação processual e protetiva à infância </w:t>
      </w:r>
      <w:proofErr w:type="gramStart"/>
      <w:r>
        <w:rPr>
          <w:rFonts w:ascii="Times New Roman" w:eastAsia="Times New Roman" w:hAnsi="Times New Roman" w:cs="Times New Roman"/>
          <w:sz w:val="24"/>
          <w:szCs w:val="24"/>
          <w:highlight w:val="white"/>
        </w:rPr>
        <w:t>brasileira,  tentaram</w:t>
      </w:r>
      <w:proofErr w:type="gramEnd"/>
      <w:r>
        <w:rPr>
          <w:rFonts w:ascii="Times New Roman" w:eastAsia="Times New Roman" w:hAnsi="Times New Roman" w:cs="Times New Roman"/>
          <w:sz w:val="24"/>
          <w:szCs w:val="24"/>
          <w:highlight w:val="white"/>
        </w:rPr>
        <w:t xml:space="preserve"> convencê-la a manter a gestação, contra a sua vontade, e entregar a criança para adoção após nascimento. Conforme trecho de audiência divulgado pela imprensa, a juíza chega a perguntar à menina se ela gostaria de dar um nome para o seu bebê</w:t>
      </w:r>
      <w:r>
        <w:rPr>
          <w:rFonts w:ascii="Times New Roman" w:eastAsia="Times New Roman" w:hAnsi="Times New Roman" w:cs="Times New Roman"/>
          <w:sz w:val="24"/>
          <w:szCs w:val="24"/>
          <w:highlight w:val="white"/>
          <w:vertAlign w:val="superscript"/>
        </w:rPr>
        <w:footnoteReference w:id="36"/>
      </w:r>
      <w:r>
        <w:rPr>
          <w:rFonts w:ascii="Times New Roman" w:eastAsia="Times New Roman" w:hAnsi="Times New Roman" w:cs="Times New Roman"/>
          <w:sz w:val="24"/>
          <w:szCs w:val="24"/>
          <w:highlight w:val="white"/>
        </w:rPr>
        <w:t>, mesmo a criança manifestando interesse em interromper a gestação.</w:t>
      </w:r>
    </w:p>
    <w:p w14:paraId="27C53427"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Após o caso repercutir nacionalmente e a superveniência de decisões judiciais contraditórias na Justiça Estadual, houve intervenção do Ministério Público Federal, que recomendou ao hospital de Florianópolis (vinculado a uma universidade federal) que procedesse à interrupção da gestação da menina e não impusesse nenhum tipo de obstáculo ao pleno acesso de mulheres e meninas ao aborto legal nos casos previstos em lei.</w:t>
      </w:r>
    </w:p>
    <w:p w14:paraId="536E76D6"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Ainda em Santa Catarina, no final do ano de 2023, o NUDEM da DPE-SC se habilitou como</w:t>
      </w:r>
      <w:r>
        <w:rPr>
          <w:rFonts w:ascii="Times New Roman" w:eastAsia="Times New Roman" w:hAnsi="Times New Roman" w:cs="Times New Roman"/>
          <w:i/>
          <w:sz w:val="24"/>
          <w:szCs w:val="24"/>
          <w:highlight w:val="white"/>
        </w:rPr>
        <w:t xml:space="preserve"> custos </w:t>
      </w:r>
      <w:proofErr w:type="spellStart"/>
      <w:r>
        <w:rPr>
          <w:rFonts w:ascii="Times New Roman" w:eastAsia="Times New Roman" w:hAnsi="Times New Roman" w:cs="Times New Roman"/>
          <w:i/>
          <w:sz w:val="24"/>
          <w:szCs w:val="24"/>
          <w:highlight w:val="white"/>
        </w:rPr>
        <w:t>vulnerabilis</w:t>
      </w:r>
      <w:proofErr w:type="spellEnd"/>
      <w:r>
        <w:rPr>
          <w:rFonts w:ascii="Times New Roman" w:eastAsia="Times New Roman" w:hAnsi="Times New Roman" w:cs="Times New Roman"/>
          <w:sz w:val="24"/>
          <w:szCs w:val="24"/>
          <w:highlight w:val="white"/>
        </w:rPr>
        <w:t xml:space="preserve"> em ação que tramitava no Superior Tribunal de Justiça e buscava garantir o acesso à interrupção da gestação a uma menina de 13 anos, vítima de violência sexual. Após descobrir a gestação, a menina e sua mãe buscaram um serviço de saúde da região da Grande Florianópolis para realização do aborto legal, mas passaram a ser assediadas por integrantes de uma organização da sociedade civil que tentavam constrangê-las a desistir do procedimento. Sem êxito, membros de tal organização acionaram o pai da menina, com o qual </w:t>
      </w:r>
      <w:r>
        <w:rPr>
          <w:rFonts w:ascii="Times New Roman" w:eastAsia="Times New Roman" w:hAnsi="Times New Roman" w:cs="Times New Roman"/>
          <w:sz w:val="24"/>
          <w:szCs w:val="24"/>
          <w:highlight w:val="white"/>
        </w:rPr>
        <w:lastRenderedPageBreak/>
        <w:t xml:space="preserve">ela sequer tinha proximidade, garantindo assessoramento jurídico para que ele pudesse se opor à interrupção da gestação da filha judicialmente. </w:t>
      </w:r>
    </w:p>
    <w:p w14:paraId="4FD1D233" w14:textId="77777777" w:rsidR="00FE6B0B" w:rsidRDefault="00000000">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Em razão do assédio e do constrangimento promovido por militantes “</w:t>
      </w:r>
      <w:proofErr w:type="spellStart"/>
      <w:r>
        <w:rPr>
          <w:rFonts w:ascii="Times New Roman" w:eastAsia="Times New Roman" w:hAnsi="Times New Roman" w:cs="Times New Roman"/>
          <w:sz w:val="24"/>
          <w:szCs w:val="24"/>
          <w:highlight w:val="white"/>
        </w:rPr>
        <w:t>pró-vida</w:t>
      </w:r>
      <w:proofErr w:type="spellEnd"/>
      <w:r>
        <w:rPr>
          <w:rFonts w:ascii="Times New Roman" w:eastAsia="Times New Roman" w:hAnsi="Times New Roman" w:cs="Times New Roman"/>
          <w:sz w:val="24"/>
          <w:szCs w:val="24"/>
          <w:highlight w:val="white"/>
        </w:rPr>
        <w:t xml:space="preserve">”, a menina precisou ser acolhida em abrigo sigiloso até que, semanas após buscar o serviço pela primeira vez, depois de batalhas judiciais travadas em primeiro e segundo graus de jurisdição, obteve decisão do Superior Tribunal de Justiça, autorizando a realização do aborto legal. Também, neste caso, a gestação ultrapassava as 20 semanas e, em razão de uma atuação violadora de direitos por parte do Sistema de Saúde e do Sistema de Justiça, prolongou-se por ainda mais tempo, em evidente prejuízo à saúde física e emocional da adolescente. </w:t>
      </w:r>
    </w:p>
    <w:p w14:paraId="3F79BBEE"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 Roraima, dados do Sistema de Informações sobre Nascidos Vivos - SINASC, do Ministério da Saúde, e da projeção de População, do </w:t>
      </w:r>
      <w:proofErr w:type="gramStart"/>
      <w:r>
        <w:rPr>
          <w:rFonts w:ascii="Times New Roman" w:eastAsia="Times New Roman" w:hAnsi="Times New Roman" w:cs="Times New Roman"/>
          <w:sz w:val="24"/>
          <w:szCs w:val="24"/>
        </w:rPr>
        <w:t>IBGE,  apontam</w:t>
      </w:r>
      <w:proofErr w:type="gramEnd"/>
      <w:r>
        <w:rPr>
          <w:rFonts w:ascii="Times New Roman" w:eastAsia="Times New Roman" w:hAnsi="Times New Roman" w:cs="Times New Roman"/>
          <w:sz w:val="24"/>
          <w:szCs w:val="24"/>
        </w:rPr>
        <w:t xml:space="preserve"> que entre 2018 a 2021, para cada menina que teve acesso ao aborto legal, 31 deram a luz. Nesse período, 251 crianças de 10 a 13 anos </w:t>
      </w:r>
      <w:proofErr w:type="spellStart"/>
      <w:r>
        <w:rPr>
          <w:rFonts w:ascii="Times New Roman" w:eastAsia="Times New Roman" w:hAnsi="Times New Roman" w:cs="Times New Roman"/>
          <w:sz w:val="24"/>
          <w:szCs w:val="24"/>
        </w:rPr>
        <w:t>maternaram</w:t>
      </w:r>
      <w:proofErr w:type="spellEnd"/>
      <w:r>
        <w:rPr>
          <w:rFonts w:ascii="Times New Roman" w:eastAsia="Times New Roman" w:hAnsi="Times New Roman" w:cs="Times New Roman"/>
          <w:sz w:val="24"/>
          <w:szCs w:val="24"/>
        </w:rPr>
        <w:t xml:space="preserve">, e, somente 08 interromperam a gestação de acordo com a lei. Detentor </w:t>
      </w:r>
      <w:proofErr w:type="gramStart"/>
      <w:r>
        <w:rPr>
          <w:rFonts w:ascii="Times New Roman" w:eastAsia="Times New Roman" w:hAnsi="Times New Roman" w:cs="Times New Roman"/>
          <w:sz w:val="24"/>
          <w:szCs w:val="24"/>
        </w:rPr>
        <w:t>da  maior</w:t>
      </w:r>
      <w:proofErr w:type="gramEnd"/>
      <w:r>
        <w:rPr>
          <w:rFonts w:ascii="Times New Roman" w:eastAsia="Times New Roman" w:hAnsi="Times New Roman" w:cs="Times New Roman"/>
          <w:sz w:val="24"/>
          <w:szCs w:val="24"/>
        </w:rPr>
        <w:t xml:space="preserve"> taxa de fecundidade no país entre meninas de 10 a 14 anos, Roraima tem em sua composição populacional 11% de pessoas indígenas, sendo que, entre 2017 a 2021, 51% das meninas que foram mães com idade entre 10 a 14 anos, eram indígenas. Roraima conta com uma única equipe para realizar o serviço de aborto legal, atendendo na Maternidade Nossa Senhora de Nazaré, localizada em Boa Vista, o que acaba por dificultar acesso ao serviço de interrupção legal de gravidez a grande parcela de meninas e mulheres detentoras desse direito, notadamente às meninas e mulheres </w:t>
      </w:r>
      <w:proofErr w:type="spellStart"/>
      <w:r>
        <w:rPr>
          <w:rFonts w:ascii="Times New Roman" w:eastAsia="Times New Roman" w:hAnsi="Times New Roman" w:cs="Times New Roman"/>
          <w:sz w:val="24"/>
          <w:szCs w:val="24"/>
        </w:rPr>
        <w:t>indigenas</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residentes  em</w:t>
      </w:r>
      <w:proofErr w:type="gramEnd"/>
      <w:r>
        <w:rPr>
          <w:rFonts w:ascii="Times New Roman" w:eastAsia="Times New Roman" w:hAnsi="Times New Roman" w:cs="Times New Roman"/>
          <w:sz w:val="24"/>
          <w:szCs w:val="24"/>
        </w:rPr>
        <w:t xml:space="preserve"> comunidades de difícil acesso à capital do estado.</w:t>
      </w:r>
    </w:p>
    <w:p w14:paraId="3C2B654A" w14:textId="77777777" w:rsidR="00FE6B0B" w:rsidRDefault="00000000">
      <w:pPr>
        <w:tabs>
          <w:tab w:val="left" w:pos="-142"/>
          <w:tab w:val="left" w:pos="834"/>
          <w:tab w:val="left" w:pos="4536"/>
          <w:tab w:val="left" w:pos="5103"/>
        </w:tabs>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rPr>
        <w:t xml:space="preserve">Verifica-se, assim, que as barreiras impostas para se acessar o serviço de aborto legal </w:t>
      </w:r>
      <w:r>
        <w:rPr>
          <w:rFonts w:ascii="Times New Roman" w:eastAsia="Times New Roman" w:hAnsi="Times New Roman" w:cs="Times New Roman"/>
          <w:color w:val="4D5156"/>
          <w:sz w:val="24"/>
          <w:szCs w:val="24"/>
        </w:rPr>
        <w:t>–</w:t>
      </w:r>
      <w:r>
        <w:rPr>
          <w:rFonts w:ascii="Times New Roman" w:eastAsia="Times New Roman" w:hAnsi="Times New Roman" w:cs="Times New Roman"/>
          <w:sz w:val="24"/>
          <w:szCs w:val="24"/>
        </w:rPr>
        <w:t xml:space="preserve"> digam elas a respeito da insuficiência de serviços dispostos no território, da falta de informação quanto a este direito, do julgamento moral que o cerca e das limitações que se colocam para que ele seja exercido</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w:t>
      </w:r>
      <w:r>
        <w:rPr>
          <w:rFonts w:ascii="Times New Roman" w:eastAsia="Times New Roman" w:hAnsi="Times New Roman" w:cs="Times New Roman"/>
          <w:color w:val="4D5156"/>
          <w:sz w:val="24"/>
          <w:szCs w:val="24"/>
        </w:rPr>
        <w:t>–</w:t>
      </w:r>
      <w:r>
        <w:rPr>
          <w:rFonts w:ascii="Times New Roman" w:eastAsia="Times New Roman" w:hAnsi="Times New Roman" w:cs="Times New Roman"/>
          <w:sz w:val="24"/>
          <w:szCs w:val="24"/>
        </w:rPr>
        <w:t xml:space="preserve"> atingem mulheres, meninas e outras pessoas com capacidade de gestar em todo o país, causando danos à sua integridade física, psicológica e moral, e até mesmo </w:t>
      </w:r>
      <w:proofErr w:type="spellStart"/>
      <w:r>
        <w:rPr>
          <w:rFonts w:ascii="Times New Roman" w:eastAsia="Times New Roman" w:hAnsi="Times New Roman" w:cs="Times New Roman"/>
          <w:sz w:val="24"/>
          <w:szCs w:val="24"/>
        </w:rPr>
        <w:t>ceifando-lhes</w:t>
      </w:r>
      <w:proofErr w:type="spellEnd"/>
      <w:r>
        <w:rPr>
          <w:rFonts w:ascii="Times New Roman" w:eastAsia="Times New Roman" w:hAnsi="Times New Roman" w:cs="Times New Roman"/>
          <w:sz w:val="24"/>
          <w:szCs w:val="24"/>
        </w:rPr>
        <w:t xml:space="preserve"> a vida.</w:t>
      </w:r>
    </w:p>
    <w:p w14:paraId="67D99AD4" w14:textId="77777777" w:rsidR="00FE6B0B" w:rsidRDefault="00FE6B0B">
      <w:pPr>
        <w:jc w:val="both"/>
        <w:rPr>
          <w:rFonts w:ascii="Times New Roman" w:eastAsia="Times New Roman" w:hAnsi="Times New Roman" w:cs="Times New Roman"/>
          <w:sz w:val="24"/>
          <w:szCs w:val="24"/>
        </w:rPr>
      </w:pPr>
    </w:p>
    <w:p w14:paraId="221593C7" w14:textId="77777777" w:rsidR="00FE6B0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CONCLUSÃO: RECOMENDAÇÕES SUGERIDAS</w:t>
      </w:r>
    </w:p>
    <w:p w14:paraId="30D30E30" w14:textId="77777777" w:rsidR="00FE6B0B" w:rsidRDefault="00FE6B0B">
      <w:pPr>
        <w:jc w:val="both"/>
        <w:rPr>
          <w:rFonts w:ascii="Times New Roman" w:eastAsia="Times New Roman" w:hAnsi="Times New Roman" w:cs="Times New Roman"/>
          <w:sz w:val="24"/>
          <w:szCs w:val="24"/>
        </w:rPr>
      </w:pPr>
    </w:p>
    <w:p w14:paraId="2BD4198F" w14:textId="77777777" w:rsidR="00FE6B0B"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conclusão, levando em consideração as informações e argumentos acima, os Núcleos Especializados das Defensorias Públicas Estaduais, a Rede Feminista de Saúde e a CDH|UFPR, respeitosamente, instam o Comitê de Direitos Humanos a adotar as seguintes recomendações:</w:t>
      </w:r>
    </w:p>
    <w:p w14:paraId="02E55FCA" w14:textId="77777777" w:rsidR="00FE6B0B" w:rsidRDefault="00FE6B0B">
      <w:pPr>
        <w:spacing w:line="360" w:lineRule="auto"/>
        <w:ind w:firstLine="850"/>
        <w:jc w:val="both"/>
        <w:rPr>
          <w:rFonts w:ascii="Times New Roman" w:eastAsia="Times New Roman" w:hAnsi="Times New Roman" w:cs="Times New Roman"/>
          <w:sz w:val="24"/>
          <w:szCs w:val="24"/>
        </w:rPr>
      </w:pPr>
    </w:p>
    <w:p w14:paraId="34987DE2"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Revogação da regulamentação </w:t>
      </w:r>
      <w:proofErr w:type="spellStart"/>
      <w:proofErr w:type="gramStart"/>
      <w:r>
        <w:rPr>
          <w:rFonts w:ascii="Times New Roman" w:eastAsia="Times New Roman" w:hAnsi="Times New Roman" w:cs="Times New Roman"/>
          <w:sz w:val="24"/>
          <w:szCs w:val="24"/>
        </w:rPr>
        <w:t>pre-existente</w:t>
      </w:r>
      <w:proofErr w:type="spellEnd"/>
      <w:proofErr w:type="gramEnd"/>
      <w:r>
        <w:rPr>
          <w:rFonts w:ascii="Times New Roman" w:eastAsia="Times New Roman" w:hAnsi="Times New Roman" w:cs="Times New Roman"/>
          <w:sz w:val="24"/>
          <w:szCs w:val="24"/>
        </w:rPr>
        <w:t xml:space="preserve"> que restringe o acesso ao aborto legal, como a Resolução nº 2.378/2024 do Conselho Federal de Medicina, que inviabiliza a aplicação do procedimento de assistolia fetal para a interrupção de gravidez decorrente de estupro acima de 22 semanas, indicando de forma expressa a desnecessidade de apresentação de decisão judicial e/ou boletim de ocorrência para a realização do aborto legal, bem como a ausência de condicionamentos à idade gestacional;</w:t>
      </w:r>
    </w:p>
    <w:p w14:paraId="5922151A"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Elaboração de normativa com diretrizes e orientações, baseadas nas melhores evidências científicas, aos serviços de aborto legal;</w:t>
      </w:r>
    </w:p>
    <w:p w14:paraId="0B907AAA"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Treinamento e capacitação das equipes de saúde com o fomento à prática da AMIU, cientificamente mais eficaz e menos arriscada que a prática da curetagem, largamente adotada no Brasil;</w:t>
      </w:r>
    </w:p>
    <w:p w14:paraId="40BE74AB"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Garantia de acesso à informação, tanto em relação ao direito ao aborto legal, quanto em relação aos serviços de referência, como acessá-los e quais os fluxos para atendimento;</w:t>
      </w:r>
    </w:p>
    <w:p w14:paraId="658EA4B4"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Sistematização e monitoramento dos dados de violência sexual e aborto legal (a exemplo da falta de taxinomia para o procedimento de aborto legal no SUS e da ausência de dados continuamente monitorados de violência sexual e aborto legal, inclusive com a </w:t>
      </w:r>
      <w:proofErr w:type="spellStart"/>
      <w:r>
        <w:rPr>
          <w:rFonts w:ascii="Times New Roman" w:eastAsia="Times New Roman" w:hAnsi="Times New Roman" w:cs="Times New Roman"/>
          <w:sz w:val="24"/>
          <w:szCs w:val="24"/>
        </w:rPr>
        <w:t>ratio</w:t>
      </w:r>
      <w:proofErr w:type="spellEnd"/>
      <w:r>
        <w:rPr>
          <w:rFonts w:ascii="Times New Roman" w:eastAsia="Times New Roman" w:hAnsi="Times New Roman" w:cs="Times New Roman"/>
          <w:sz w:val="24"/>
          <w:szCs w:val="24"/>
        </w:rPr>
        <w:t xml:space="preserve"> entre eles);</w:t>
      </w:r>
    </w:p>
    <w:p w14:paraId="2C516C67"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Ampliação dos serviços de referência para o abortamento no país, a fim de superar barreiras geográficas no acesso ao aborto legal, e fomento aos serviços de telemedicina;</w:t>
      </w:r>
    </w:p>
    <w:p w14:paraId="4AB86B2E"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Estabelecimento de fluxos para atenção ao abortamento em casos de risco de morte materna e feto </w:t>
      </w:r>
      <w:proofErr w:type="spellStart"/>
      <w:r>
        <w:rPr>
          <w:rFonts w:ascii="Times New Roman" w:eastAsia="Times New Roman" w:hAnsi="Times New Roman" w:cs="Times New Roman"/>
          <w:sz w:val="24"/>
          <w:szCs w:val="24"/>
        </w:rPr>
        <w:t>anencéfalo</w:t>
      </w:r>
      <w:proofErr w:type="spellEnd"/>
      <w:r>
        <w:rPr>
          <w:rFonts w:ascii="Times New Roman" w:eastAsia="Times New Roman" w:hAnsi="Times New Roman" w:cs="Times New Roman"/>
          <w:sz w:val="24"/>
          <w:szCs w:val="24"/>
        </w:rPr>
        <w:t>;</w:t>
      </w:r>
    </w:p>
    <w:p w14:paraId="1FF4B3A8" w14:textId="77777777" w:rsidR="00FE6B0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Investimento em formação e capacitação das(os) profissionais da rede de atendimento às pessoas em situação de aborto legal.</w:t>
      </w:r>
    </w:p>
    <w:p w14:paraId="099CF5BF" w14:textId="77777777" w:rsidR="00FE6B0B" w:rsidRDefault="00FE6B0B">
      <w:pPr>
        <w:spacing w:line="360" w:lineRule="auto"/>
        <w:jc w:val="both"/>
        <w:rPr>
          <w:rFonts w:ascii="Times New Roman" w:eastAsia="Times New Roman" w:hAnsi="Times New Roman" w:cs="Times New Roman"/>
          <w:color w:val="1F352F"/>
          <w:sz w:val="24"/>
          <w:szCs w:val="24"/>
        </w:rPr>
      </w:pPr>
    </w:p>
    <w:p w14:paraId="658C5F53" w14:textId="77777777" w:rsidR="00FE6B0B" w:rsidRDefault="00FE6B0B">
      <w:pPr>
        <w:rPr>
          <w:rFonts w:ascii="Times New Roman" w:eastAsia="Times New Roman" w:hAnsi="Times New Roman" w:cs="Times New Roman"/>
          <w:sz w:val="24"/>
          <w:szCs w:val="24"/>
        </w:rPr>
      </w:pPr>
    </w:p>
    <w:p w14:paraId="5531E32B" w14:textId="77777777" w:rsidR="00FE6B0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Mariana Martins Nunes</w:t>
      </w:r>
    </w:p>
    <w:p w14:paraId="75E4D7A9" w14:textId="77777777" w:rsidR="00FE6B0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Defensora Pública do Estado do Paraná e Coordenadora do Núcleo de Promoção e Defesa dos Direitos das Mulheres (NUDEM/DPE/PR)</w:t>
      </w:r>
    </w:p>
    <w:p w14:paraId="673275F0" w14:textId="77777777" w:rsidR="00FE6B0B" w:rsidRDefault="00FE6B0B">
      <w:pPr>
        <w:spacing w:line="240" w:lineRule="auto"/>
        <w:rPr>
          <w:rFonts w:ascii="Times New Roman" w:eastAsia="Times New Roman" w:hAnsi="Times New Roman" w:cs="Times New Roman"/>
        </w:rPr>
      </w:pPr>
    </w:p>
    <w:p w14:paraId="15E368A8"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Patrícia Rodrigues Mendes</w:t>
      </w:r>
    </w:p>
    <w:p w14:paraId="5032C128"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Defensora Pública do Estado do Paraná e colaboradora do NUDEM/DPE/PR</w:t>
      </w:r>
    </w:p>
    <w:p w14:paraId="46290A5A" w14:textId="77777777" w:rsidR="00FE6B0B" w:rsidRDefault="00FE6B0B">
      <w:pPr>
        <w:spacing w:line="240" w:lineRule="auto"/>
        <w:rPr>
          <w:rFonts w:ascii="Times New Roman" w:eastAsia="Times New Roman" w:hAnsi="Times New Roman" w:cs="Times New Roman"/>
        </w:rPr>
      </w:pPr>
    </w:p>
    <w:p w14:paraId="2F7EEAF9"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Camila Mafioletti </w:t>
      </w:r>
      <w:proofErr w:type="spellStart"/>
      <w:r>
        <w:rPr>
          <w:rFonts w:ascii="Times New Roman" w:eastAsia="Times New Roman" w:hAnsi="Times New Roman" w:cs="Times New Roman"/>
          <w:sz w:val="24"/>
          <w:szCs w:val="24"/>
        </w:rPr>
        <w:t>Daltoé</w:t>
      </w:r>
      <w:proofErr w:type="spellEnd"/>
    </w:p>
    <w:p w14:paraId="330928DA"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Coordenadora da Rede Feminista de Saúde, Direitos Sexuais e Reprodutivos do Estado do Paraná (RFS-PR)</w:t>
      </w:r>
    </w:p>
    <w:p w14:paraId="0170F73C" w14:textId="77777777" w:rsidR="00FE6B0B" w:rsidRDefault="00FE6B0B">
      <w:pPr>
        <w:rPr>
          <w:rFonts w:ascii="Times New Roman" w:eastAsia="Times New Roman" w:hAnsi="Times New Roman" w:cs="Times New Roman"/>
          <w:b/>
          <w:sz w:val="24"/>
          <w:szCs w:val="24"/>
        </w:rPr>
      </w:pPr>
    </w:p>
    <w:p w14:paraId="65C96993"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Tatiana Campos Bias Fortes</w:t>
      </w:r>
    </w:p>
    <w:p w14:paraId="7AE40FC1"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Defensora Pública do Estado de São Paulo e Coordenadora do Núcleo de Promoção e Defesa dos Direitos das Mulheres </w:t>
      </w:r>
      <w:proofErr w:type="gramStart"/>
      <w:r>
        <w:rPr>
          <w:rFonts w:ascii="Times New Roman" w:eastAsia="Times New Roman" w:hAnsi="Times New Roman" w:cs="Times New Roman"/>
          <w:sz w:val="24"/>
          <w:szCs w:val="24"/>
        </w:rPr>
        <w:t>( NUDEM</w:t>
      </w:r>
      <w:proofErr w:type="gramEnd"/>
      <w:r>
        <w:rPr>
          <w:rFonts w:ascii="Times New Roman" w:eastAsia="Times New Roman" w:hAnsi="Times New Roman" w:cs="Times New Roman"/>
          <w:sz w:val="24"/>
          <w:szCs w:val="24"/>
        </w:rPr>
        <w:t>/DPE/SP)</w:t>
      </w:r>
    </w:p>
    <w:p w14:paraId="1A3D653D" w14:textId="77777777" w:rsidR="00FE6B0B" w:rsidRDefault="00FE6B0B">
      <w:pPr>
        <w:spacing w:line="240" w:lineRule="auto"/>
        <w:rPr>
          <w:rFonts w:ascii="Times New Roman" w:eastAsia="Times New Roman" w:hAnsi="Times New Roman" w:cs="Times New Roman"/>
          <w:sz w:val="24"/>
          <w:szCs w:val="24"/>
        </w:rPr>
      </w:pPr>
    </w:p>
    <w:p w14:paraId="40618DE2"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Fernanda Costa </w:t>
      </w:r>
      <w:proofErr w:type="spellStart"/>
      <w:r>
        <w:rPr>
          <w:rFonts w:ascii="Times New Roman" w:eastAsia="Times New Roman" w:hAnsi="Times New Roman" w:cs="Times New Roman"/>
          <w:sz w:val="24"/>
          <w:szCs w:val="24"/>
        </w:rPr>
        <w:t>Hueso</w:t>
      </w:r>
      <w:proofErr w:type="spellEnd"/>
    </w:p>
    <w:p w14:paraId="798CDDD5"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Defensora Pública do Estado de São Paulo e Coordenadora do Núcleo de Promoção e Defesa dos Direitos das Mulheres </w:t>
      </w:r>
      <w:proofErr w:type="gramStart"/>
      <w:r>
        <w:rPr>
          <w:rFonts w:ascii="Times New Roman" w:eastAsia="Times New Roman" w:hAnsi="Times New Roman" w:cs="Times New Roman"/>
          <w:sz w:val="24"/>
          <w:szCs w:val="24"/>
        </w:rPr>
        <w:t>( NUDEM</w:t>
      </w:r>
      <w:proofErr w:type="gramEnd"/>
      <w:r>
        <w:rPr>
          <w:rFonts w:ascii="Times New Roman" w:eastAsia="Times New Roman" w:hAnsi="Times New Roman" w:cs="Times New Roman"/>
          <w:sz w:val="24"/>
          <w:szCs w:val="24"/>
        </w:rPr>
        <w:t>/DPE/SP)</w:t>
      </w:r>
    </w:p>
    <w:p w14:paraId="2C272034" w14:textId="77777777" w:rsidR="00FE6B0B" w:rsidRDefault="00FE6B0B">
      <w:pPr>
        <w:spacing w:line="240" w:lineRule="auto"/>
        <w:rPr>
          <w:rFonts w:ascii="Times New Roman" w:eastAsia="Times New Roman" w:hAnsi="Times New Roman" w:cs="Times New Roman"/>
          <w:sz w:val="24"/>
          <w:szCs w:val="24"/>
        </w:rPr>
      </w:pPr>
    </w:p>
    <w:p w14:paraId="740B2D0D"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Paula Sant’Anna Machado de Souza</w:t>
      </w:r>
    </w:p>
    <w:p w14:paraId="6BCC3478"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Defensora Pública do Estado de São Paulo e Coordenadora do Núcleo de Promoção e Defesa dos Direitos das Mulheres </w:t>
      </w:r>
      <w:proofErr w:type="gramStart"/>
      <w:r>
        <w:rPr>
          <w:rFonts w:ascii="Times New Roman" w:eastAsia="Times New Roman" w:hAnsi="Times New Roman" w:cs="Times New Roman"/>
          <w:sz w:val="24"/>
          <w:szCs w:val="24"/>
        </w:rPr>
        <w:t>( NUDEM</w:t>
      </w:r>
      <w:proofErr w:type="gramEnd"/>
      <w:r>
        <w:rPr>
          <w:rFonts w:ascii="Times New Roman" w:eastAsia="Times New Roman" w:hAnsi="Times New Roman" w:cs="Times New Roman"/>
          <w:sz w:val="24"/>
          <w:szCs w:val="24"/>
        </w:rPr>
        <w:t>/DPE/SP)</w:t>
      </w:r>
    </w:p>
    <w:p w14:paraId="1405DD40" w14:textId="77777777" w:rsidR="00FE6B0B" w:rsidRDefault="00FE6B0B">
      <w:pPr>
        <w:spacing w:line="240" w:lineRule="auto"/>
        <w:rPr>
          <w:rFonts w:ascii="Times New Roman" w:eastAsia="Times New Roman" w:hAnsi="Times New Roman" w:cs="Times New Roman"/>
          <w:sz w:val="24"/>
          <w:szCs w:val="24"/>
        </w:rPr>
      </w:pPr>
    </w:p>
    <w:p w14:paraId="4005AB41"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Anne </w:t>
      </w:r>
      <w:proofErr w:type="spellStart"/>
      <w:r>
        <w:rPr>
          <w:rFonts w:ascii="Times New Roman" w:eastAsia="Times New Roman" w:hAnsi="Times New Roman" w:cs="Times New Roman"/>
          <w:sz w:val="24"/>
          <w:szCs w:val="24"/>
        </w:rPr>
        <w:t>Teive</w:t>
      </w:r>
      <w:proofErr w:type="spellEnd"/>
      <w:r>
        <w:rPr>
          <w:rFonts w:ascii="Times New Roman" w:eastAsia="Times New Roman" w:hAnsi="Times New Roman" w:cs="Times New Roman"/>
          <w:sz w:val="24"/>
          <w:szCs w:val="24"/>
        </w:rPr>
        <w:t xml:space="preserve"> Auras</w:t>
      </w:r>
    </w:p>
    <w:p w14:paraId="3487AFA3"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Defensora Pública do Estado de Santa Catarina e Coordenadora do Núcleo de Promoção e Defesa dos Direitos das Mulheres (NUDEM/DPE-SC)</w:t>
      </w:r>
    </w:p>
    <w:p w14:paraId="5469BD95" w14:textId="77777777" w:rsidR="00FE6B0B" w:rsidRDefault="00FE6B0B">
      <w:pPr>
        <w:spacing w:line="240" w:lineRule="auto"/>
        <w:rPr>
          <w:rFonts w:ascii="Times New Roman" w:eastAsia="Times New Roman" w:hAnsi="Times New Roman" w:cs="Times New Roman"/>
          <w:sz w:val="24"/>
          <w:szCs w:val="24"/>
        </w:rPr>
      </w:pPr>
    </w:p>
    <w:p w14:paraId="779ACDE6" w14:textId="77777777" w:rsidR="00FE6B0B"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Zeliana</w:t>
      </w:r>
      <w:proofErr w:type="spellEnd"/>
      <w:r>
        <w:rPr>
          <w:rFonts w:ascii="Times New Roman" w:eastAsia="Times New Roman" w:hAnsi="Times New Roman" w:cs="Times New Roman"/>
          <w:sz w:val="24"/>
          <w:szCs w:val="24"/>
        </w:rPr>
        <w:t xml:space="preserve"> Luzia </w:t>
      </w:r>
      <w:proofErr w:type="spellStart"/>
      <w:r>
        <w:rPr>
          <w:rFonts w:ascii="Times New Roman" w:eastAsia="Times New Roman" w:hAnsi="Times New Roman" w:cs="Times New Roman"/>
          <w:sz w:val="24"/>
          <w:szCs w:val="24"/>
        </w:rPr>
        <w:t>Delarissa</w:t>
      </w:r>
      <w:proofErr w:type="spellEnd"/>
      <w:r>
        <w:rPr>
          <w:rFonts w:ascii="Times New Roman" w:eastAsia="Times New Roman" w:hAnsi="Times New Roman" w:cs="Times New Roman"/>
          <w:sz w:val="24"/>
          <w:szCs w:val="24"/>
        </w:rPr>
        <w:t xml:space="preserve"> Sabala</w:t>
      </w:r>
    </w:p>
    <w:p w14:paraId="08D9E96B"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Defensora Pública do Estado de Mato Grosso do Sul e Coordenadora do Núcleo de Promoção e Defesa dos Direitos da Mulher (NUDEM/DPE/MS)</w:t>
      </w:r>
    </w:p>
    <w:p w14:paraId="2ADC60E6" w14:textId="77777777" w:rsidR="00FE6B0B" w:rsidRDefault="00FE6B0B">
      <w:pPr>
        <w:spacing w:line="240" w:lineRule="auto"/>
        <w:rPr>
          <w:rFonts w:ascii="Times New Roman" w:eastAsia="Times New Roman" w:hAnsi="Times New Roman" w:cs="Times New Roman"/>
          <w:sz w:val="24"/>
          <w:szCs w:val="24"/>
        </w:rPr>
      </w:pPr>
    </w:p>
    <w:p w14:paraId="637E25C7" w14:textId="77777777" w:rsidR="00FE6B0B"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Taysa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Schiocchet</w:t>
      </w:r>
      <w:proofErr w:type="spellEnd"/>
    </w:p>
    <w:p w14:paraId="797C3568"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Coordenadora da CDH|UFPR e Advogada inscrita na OAB/PR 80.232</w:t>
      </w:r>
    </w:p>
    <w:p w14:paraId="2D19C920" w14:textId="77777777" w:rsidR="00FE6B0B" w:rsidRDefault="00FE6B0B">
      <w:pPr>
        <w:spacing w:line="240" w:lineRule="auto"/>
        <w:rPr>
          <w:rFonts w:ascii="Times New Roman" w:eastAsia="Times New Roman" w:hAnsi="Times New Roman" w:cs="Times New Roman"/>
          <w:sz w:val="24"/>
          <w:szCs w:val="24"/>
        </w:rPr>
      </w:pPr>
    </w:p>
    <w:p w14:paraId="51458B25" w14:textId="77777777" w:rsidR="00FE6B0B"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Francielle</w:t>
      </w:r>
      <w:proofErr w:type="spellEnd"/>
      <w:r>
        <w:rPr>
          <w:rFonts w:ascii="Times New Roman" w:eastAsia="Times New Roman" w:hAnsi="Times New Roman" w:cs="Times New Roman"/>
          <w:sz w:val="24"/>
          <w:szCs w:val="24"/>
        </w:rPr>
        <w:t xml:space="preserve"> Elisabet Nogueira Lima</w:t>
      </w:r>
    </w:p>
    <w:p w14:paraId="73F7DEF5"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Pesquisadora vinculada à CDH|UFPR e Advogada inscrita na OAB/PR 98.301</w:t>
      </w:r>
    </w:p>
    <w:p w14:paraId="07315904" w14:textId="77777777" w:rsidR="00FE6B0B" w:rsidRDefault="00FE6B0B">
      <w:pPr>
        <w:spacing w:line="240" w:lineRule="auto"/>
        <w:rPr>
          <w:rFonts w:ascii="Times New Roman" w:eastAsia="Times New Roman" w:hAnsi="Times New Roman" w:cs="Times New Roman"/>
          <w:sz w:val="24"/>
          <w:szCs w:val="24"/>
        </w:rPr>
      </w:pPr>
    </w:p>
    <w:p w14:paraId="0B30933F"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Terezinha Muniz de Souza Cruz</w:t>
      </w:r>
    </w:p>
    <w:p w14:paraId="618D927B" w14:textId="77777777" w:rsidR="00FE6B0B"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Defensora Pública do Estado de Roraima e Chefe da Defensoria Especializada de Promoção e Defesa dos Direitos das Mulheres.</w:t>
      </w:r>
    </w:p>
    <w:p w14:paraId="0F39542D" w14:textId="77777777" w:rsidR="00FE6B0B" w:rsidRDefault="00FE6B0B">
      <w:pPr>
        <w:spacing w:line="240" w:lineRule="auto"/>
        <w:rPr>
          <w:rFonts w:ascii="Times New Roman" w:eastAsia="Times New Roman" w:hAnsi="Times New Roman" w:cs="Times New Roman"/>
          <w:sz w:val="24"/>
          <w:szCs w:val="24"/>
        </w:rPr>
      </w:pPr>
    </w:p>
    <w:p w14:paraId="255EED82" w14:textId="77777777" w:rsidR="00FE6B0B" w:rsidRDefault="00FE6B0B">
      <w:pPr>
        <w:spacing w:line="360" w:lineRule="auto"/>
        <w:jc w:val="both"/>
        <w:rPr>
          <w:rFonts w:ascii="Times New Roman" w:eastAsia="Times New Roman" w:hAnsi="Times New Roman" w:cs="Times New Roman"/>
          <w:sz w:val="24"/>
          <w:szCs w:val="24"/>
        </w:rPr>
      </w:pPr>
    </w:p>
    <w:sectPr w:rsidR="00FE6B0B">
      <w:headerReference w:type="default" r:id="rId1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85554" w14:textId="77777777" w:rsidR="002B28CA" w:rsidRDefault="002B28CA">
      <w:pPr>
        <w:spacing w:line="240" w:lineRule="auto"/>
      </w:pPr>
      <w:r>
        <w:separator/>
      </w:r>
    </w:p>
  </w:endnote>
  <w:endnote w:type="continuationSeparator" w:id="0">
    <w:p w14:paraId="4B74B521" w14:textId="77777777" w:rsidR="002B28CA" w:rsidRDefault="002B28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76D65ECB-F827-044D-B090-DF978B7CF52E}"/>
    <w:embedBold r:id="rId2" w:fontKey="{5023752A-BE30-BF4F-9B86-D41453C95AAD}"/>
    <w:embedItalic r:id="rId3" w:fontKey="{C1902FB2-66E6-6543-9873-636A37896F0C}"/>
  </w:font>
  <w:font w:name="Arial">
    <w:panose1 w:val="020B0604020202020204"/>
    <w:charset w:val="00"/>
    <w:family w:val="swiss"/>
    <w:pitch w:val="variable"/>
    <w:sig w:usb0="E0002AFF" w:usb1="C0007843" w:usb2="00000009" w:usb3="00000000" w:csb0="000001FF" w:csb1="00000000"/>
    <w:embedRegular r:id="rId4" w:fontKey="{855768E7-8DBF-AE4E-8908-9B678B7A9356}"/>
    <w:embedItalic r:id="rId5" w:fontKey="{44F216EA-DF54-5E4E-8D12-7580400809C9}"/>
  </w:font>
  <w:font w:name="Candara">
    <w:panose1 w:val="020E0502030303020204"/>
    <w:charset w:val="00"/>
    <w:family w:val="swiss"/>
    <w:pitch w:val="variable"/>
    <w:sig w:usb0="A00002EF" w:usb1="4000A44B" w:usb2="00000000" w:usb3="00000000" w:csb0="0000019F" w:csb1="00000000"/>
    <w:embedRegular r:id="rId6" w:fontKey="{7BA0D050-7953-4045-9E5F-B562279BBF35}"/>
  </w:font>
  <w:font w:name="Calibri">
    <w:panose1 w:val="020F0502020204030204"/>
    <w:charset w:val="00"/>
    <w:family w:val="swiss"/>
    <w:pitch w:val="variable"/>
    <w:sig w:usb0="E0002AFF" w:usb1="C000247B" w:usb2="00000009" w:usb3="00000000" w:csb0="000001FF" w:csb1="00000000"/>
    <w:embedRegular r:id="rId7" w:fontKey="{1C9FCF41-94C8-EB47-BB22-DDE725A03ADE}"/>
  </w:font>
  <w:font w:name="Cambria">
    <w:panose1 w:val="02040503050406030204"/>
    <w:charset w:val="00"/>
    <w:family w:val="roman"/>
    <w:pitch w:val="variable"/>
    <w:sig w:usb0="E00006FF" w:usb1="420024FF" w:usb2="02000000" w:usb3="00000000" w:csb0="0000019F" w:csb1="00000000"/>
    <w:embedRegular r:id="rId8" w:fontKey="{5654A13A-03E6-414A-916D-3FA7BD48E7A5}"/>
    <w:embedBold r:id="rId9" w:fontKey="{B99B13D8-4E5D-1B4E-863C-116383BF99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D8A6B" w14:textId="77777777" w:rsidR="00FE6B0B" w:rsidRDefault="00FE6B0B">
    <w:pPr>
      <w:tabs>
        <w:tab w:val="center" w:pos="4252"/>
        <w:tab w:val="right" w:pos="8504"/>
      </w:tabs>
      <w:spacing w:line="240" w:lineRule="auto"/>
      <w:ind w:right="-85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0FEB5" w14:textId="77777777" w:rsidR="002B28CA" w:rsidRDefault="002B28CA">
      <w:pPr>
        <w:spacing w:line="240" w:lineRule="auto"/>
      </w:pPr>
      <w:r>
        <w:separator/>
      </w:r>
    </w:p>
  </w:footnote>
  <w:footnote w:type="continuationSeparator" w:id="0">
    <w:p w14:paraId="522EF616" w14:textId="77777777" w:rsidR="002B28CA" w:rsidRDefault="002B28CA">
      <w:pPr>
        <w:spacing w:line="240" w:lineRule="auto"/>
      </w:pPr>
      <w:r>
        <w:continuationSeparator/>
      </w:r>
    </w:p>
  </w:footnote>
  <w:footnote w:id="1">
    <w:p w14:paraId="3651E07E"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Disponível em: </w:t>
      </w:r>
      <w:hyperlink r:id="rId1">
        <w:r>
          <w:rPr>
            <w:rFonts w:ascii="Times New Roman" w:eastAsia="Times New Roman" w:hAnsi="Times New Roman" w:cs="Times New Roman"/>
            <w:color w:val="1155CC"/>
            <w:sz w:val="20"/>
            <w:szCs w:val="20"/>
            <w:u w:val="single"/>
          </w:rPr>
          <w:t>https://tbinternet.ohchr.org/_layouts/15/treatybodyexternal/Download.aspx?symbolno=CEDAW%2FC%2FBRA%2F8-9&amp;Lang=en</w:t>
        </w:r>
      </w:hyperlink>
      <w:r>
        <w:rPr>
          <w:rFonts w:ascii="Times New Roman" w:eastAsia="Times New Roman" w:hAnsi="Times New Roman" w:cs="Times New Roman"/>
          <w:sz w:val="20"/>
          <w:szCs w:val="20"/>
        </w:rPr>
        <w:t xml:space="preserve">. </w:t>
      </w:r>
    </w:p>
  </w:footnote>
  <w:footnote w:id="2">
    <w:p w14:paraId="7E1E1CF5"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Apesar do serviço ter sido instalado, no município de São Paulo, em 1989, a primeira norma que regulamentava o procedimento de abortamento surgiu em 1999. </w:t>
      </w:r>
    </w:p>
  </w:footnote>
  <w:footnote w:id="3">
    <w:p w14:paraId="6449E56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Em 2019, iniciativa da Artigo 19 detectou que apenas 76 serviços, dos 176 cadastrados no CNES, efetivamente afirmaram realizar aborto legal. Esse número caiu para 42 em junho de 2020. Ver em https://mapaabortolegal.org/sobre-o-mapa/. Acesso em 12.09.2020. </w:t>
      </w:r>
    </w:p>
  </w:footnote>
  <w:footnote w:id="4">
    <w:p w14:paraId="01F1962E"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JACOBS, M. Oferta e realização de interrupção legal de gravidez no Brasil: análise dos Sistemas de Informações Ambulatoriais e Hospitalares e do Cadastro Nacional de Estabelecimentos de Saúde. Tese (Doutorado)  </w:t>
      </w:r>
      <w:r>
        <w:rPr>
          <w:rFonts w:ascii="Times New Roman" w:eastAsia="Times New Roman" w:hAnsi="Times New Roman" w:cs="Times New Roman"/>
          <w:color w:val="222222"/>
          <w:sz w:val="20"/>
          <w:szCs w:val="20"/>
          <w:highlight w:val="white"/>
        </w:rPr>
        <w:t>– Programa de Pós-graduação em Saúde Coletiva, Universidade Federal de Santa Catarina, Florianópolis, 2022, pp. 77.</w:t>
      </w:r>
    </w:p>
  </w:footnote>
  <w:footnote w:id="5">
    <w:p w14:paraId="2C1B115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JACOBS, M.G, BOING, A. C. O que os dados nacionais indicam sobre a oferta e a realização de aborto previsto em lei no Brasil em 2019? Cadernos de Saúde Pública, v. 37, n. 12, 2021. Disponível em: </w:t>
      </w:r>
      <w:hyperlink r:id="rId2">
        <w:r>
          <w:rPr>
            <w:rFonts w:ascii="Times New Roman" w:eastAsia="Times New Roman" w:hAnsi="Times New Roman" w:cs="Times New Roman"/>
            <w:color w:val="0563C1"/>
            <w:sz w:val="20"/>
            <w:szCs w:val="20"/>
            <w:u w:val="single"/>
          </w:rPr>
          <w:t>https://www.scielo.br/j/csp/a/KBWbtPcQww6KYSSGhYJ9YxG/?format=pdf&amp;lang=pt</w:t>
        </w:r>
      </w:hyperlink>
      <w:r>
        <w:rPr>
          <w:rFonts w:ascii="Times New Roman" w:eastAsia="Times New Roman" w:hAnsi="Times New Roman" w:cs="Times New Roman"/>
          <w:sz w:val="20"/>
          <w:szCs w:val="20"/>
        </w:rPr>
        <w:t>.</w:t>
      </w:r>
    </w:p>
  </w:footnote>
  <w:footnote w:id="6">
    <w:p w14:paraId="25742985"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Candara" w:eastAsia="Candara" w:hAnsi="Candara" w:cs="Candara"/>
          <w:sz w:val="20"/>
          <w:szCs w:val="20"/>
        </w:rPr>
        <w:t xml:space="preserve"> </w:t>
      </w:r>
      <w:r>
        <w:rPr>
          <w:rFonts w:ascii="Times New Roman" w:eastAsia="Times New Roman" w:hAnsi="Times New Roman" w:cs="Times New Roman"/>
          <w:sz w:val="20"/>
          <w:szCs w:val="20"/>
        </w:rPr>
        <w:t>JACOBS, M.</w:t>
      </w:r>
      <w:r>
        <w:rPr>
          <w:rFonts w:ascii="Times New Roman" w:eastAsia="Times New Roman" w:hAnsi="Times New Roman" w:cs="Times New Roman"/>
          <w:color w:val="222222"/>
          <w:sz w:val="20"/>
          <w:szCs w:val="20"/>
          <w:highlight w:val="white"/>
        </w:rPr>
        <w:t xml:space="preserve">, </w:t>
      </w:r>
      <w:r>
        <w:rPr>
          <w:rFonts w:ascii="Times New Roman" w:eastAsia="Times New Roman" w:hAnsi="Times New Roman" w:cs="Times New Roman"/>
          <w:b/>
          <w:sz w:val="20"/>
          <w:szCs w:val="20"/>
        </w:rPr>
        <w:t>Oferta e realização de interrupção legal de gravidez no Brasil</w:t>
      </w:r>
      <w:r>
        <w:rPr>
          <w:rFonts w:ascii="Times New Roman" w:eastAsia="Times New Roman" w:hAnsi="Times New Roman" w:cs="Times New Roman"/>
          <w:sz w:val="20"/>
          <w:szCs w:val="20"/>
        </w:rPr>
        <w:t xml:space="preserve">: análise dos Sistemas de Informações Ambulatoriais e Hospitalares e do Cadastro Nacional de Estabelecimentos de Saúde. Tese (Doutorado)  </w:t>
      </w:r>
      <w:r>
        <w:rPr>
          <w:rFonts w:ascii="Times New Roman" w:eastAsia="Times New Roman" w:hAnsi="Times New Roman" w:cs="Times New Roman"/>
          <w:color w:val="222222"/>
          <w:sz w:val="20"/>
          <w:szCs w:val="20"/>
          <w:highlight w:val="white"/>
        </w:rPr>
        <w:t>– Programa de Pós-graduação em Saúde Coletiva, Universidade Federal de Santa Catarina, Florianópolis, 2022, p. 74-75.</w:t>
      </w:r>
    </w:p>
  </w:footnote>
  <w:footnote w:id="7">
    <w:p w14:paraId="74699CAB"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Instituto de Pesquisa Econômica Aplicada (Ipea), Elucidando a Prevalência de Estupro no Brasil a Partir de Diferentes Bases de Dados, 2023, p. 22. Disponível em: </w:t>
      </w:r>
      <w:hyperlink r:id="rId3">
        <w:r>
          <w:rPr>
            <w:rFonts w:ascii="Times New Roman" w:eastAsia="Times New Roman" w:hAnsi="Times New Roman" w:cs="Times New Roman"/>
            <w:color w:val="1155CC"/>
            <w:sz w:val="20"/>
            <w:szCs w:val="20"/>
            <w:u w:val="single"/>
          </w:rPr>
          <w:t>https://repositorio.ipea.gov.br/bitstream/11058/11814/1/Publicacao_preliminar_TD_Elucidando_a_prevalencia_de_estupro.pdf</w:t>
        </w:r>
      </w:hyperlink>
      <w:r>
        <w:rPr>
          <w:rFonts w:ascii="Times New Roman" w:eastAsia="Times New Roman" w:hAnsi="Times New Roman" w:cs="Times New Roman"/>
          <w:sz w:val="20"/>
          <w:szCs w:val="20"/>
        </w:rPr>
        <w:t>. Acesso em 10 nov. 2023.</w:t>
      </w:r>
    </w:p>
  </w:footnote>
  <w:footnote w:id="8">
    <w:p w14:paraId="12AC45A8"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Ibidem. Os cálculos realizados pelo estudo  revelam que o número de estupro no país deve se situar entre os limites inferior e superior de 822 mil e 2,2 milhões, tomando como referência o ano de 2019. p. 16-17.</w:t>
      </w:r>
    </w:p>
  </w:footnote>
  <w:footnote w:id="9">
    <w:p w14:paraId="75F90955"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Idem. Estupro no Brasil: Uma radiografia segundo os dados da Saúde, 2014, p. 15-16. Disponível em: </w:t>
      </w:r>
      <w:hyperlink r:id="rId4">
        <w:r>
          <w:rPr>
            <w:rFonts w:ascii="Times New Roman" w:eastAsia="Times New Roman" w:hAnsi="Times New Roman" w:cs="Times New Roman"/>
            <w:color w:val="1155CC"/>
            <w:sz w:val="20"/>
            <w:szCs w:val="20"/>
            <w:u w:val="single"/>
          </w:rPr>
          <w:t>https://www.ipea.gov.br/atlasviolencia/artigo/75/estupro-no-brasil-uma-radiografia-segundo-os-dados-da-saude</w:t>
        </w:r>
      </w:hyperlink>
      <w:r>
        <w:rPr>
          <w:rFonts w:ascii="Times New Roman" w:eastAsia="Times New Roman" w:hAnsi="Times New Roman" w:cs="Times New Roman"/>
          <w:sz w:val="20"/>
          <w:szCs w:val="20"/>
        </w:rPr>
        <w:t>. Acesso em: 10 nov. 2023.</w:t>
      </w:r>
    </w:p>
  </w:footnote>
  <w:footnote w:id="10">
    <w:p w14:paraId="6DE7F0C5"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Ibidem, p. 17.</w:t>
      </w:r>
    </w:p>
  </w:footnote>
  <w:footnote w:id="11">
    <w:p w14:paraId="760CAF2C"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Instituto AzMina. Panorama do Aborto no Brasil. 2023. Disponível em: </w:t>
      </w:r>
      <w:hyperlink r:id="rId5" w:anchor="abortolegal">
        <w:r>
          <w:rPr>
            <w:rFonts w:ascii="Times New Roman" w:eastAsia="Times New Roman" w:hAnsi="Times New Roman" w:cs="Times New Roman"/>
            <w:color w:val="1155CC"/>
            <w:sz w:val="20"/>
            <w:szCs w:val="20"/>
            <w:u w:val="single"/>
          </w:rPr>
          <w:t>https://abortonobrasil.info/#abortolegal</w:t>
        </w:r>
      </w:hyperlink>
      <w:r>
        <w:rPr>
          <w:rFonts w:ascii="Times New Roman" w:eastAsia="Times New Roman" w:hAnsi="Times New Roman" w:cs="Times New Roman"/>
          <w:sz w:val="20"/>
          <w:szCs w:val="20"/>
        </w:rPr>
        <w:t xml:space="preserve">. </w:t>
      </w:r>
    </w:p>
  </w:footnote>
  <w:footnote w:id="12">
    <w:p w14:paraId="5FA923B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Fórum Brasileiro de Segurança Pública. Anuário Brasileiro de Segurança Pública 2022. São Paulo: FBSP, 2022. Disponível em: </w:t>
      </w:r>
      <w:hyperlink r:id="rId6">
        <w:r>
          <w:rPr>
            <w:rFonts w:ascii="Times New Roman" w:eastAsia="Times New Roman" w:hAnsi="Times New Roman" w:cs="Times New Roman"/>
            <w:color w:val="4A86E8"/>
            <w:sz w:val="20"/>
            <w:szCs w:val="20"/>
            <w:u w:val="single"/>
          </w:rPr>
          <w:t>https://forumseguranca.org.br/anuario-brasileiro-seguranca-publica/</w:t>
        </w:r>
      </w:hyperlink>
      <w:r>
        <w:rPr>
          <w:rFonts w:ascii="Times New Roman" w:eastAsia="Times New Roman" w:hAnsi="Times New Roman" w:cs="Times New Roman"/>
          <w:sz w:val="20"/>
          <w:szCs w:val="20"/>
        </w:rPr>
        <w:t>. Acesso em 26 de março de 2024.</w:t>
      </w:r>
    </w:p>
  </w:footnote>
  <w:footnote w:id="13">
    <w:p w14:paraId="76CB2F1D"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Candara" w:eastAsia="Candara" w:hAnsi="Candara" w:cs="Candara"/>
          <w:sz w:val="20"/>
          <w:szCs w:val="20"/>
        </w:rPr>
        <w:t xml:space="preserve"> </w:t>
      </w:r>
      <w:r>
        <w:rPr>
          <w:rFonts w:ascii="Times New Roman" w:eastAsia="Times New Roman" w:hAnsi="Times New Roman" w:cs="Times New Roman"/>
          <w:sz w:val="20"/>
          <w:szCs w:val="20"/>
        </w:rPr>
        <w:t xml:space="preserve">Defensoria Pública do Estado do Rio de Janeiro. Entre a morte e a prisão: quem são as mulheres criminalizadas pela prática do aborto no Rio de Janeiro. Rio de Janeiro, 2013. Disponível em: </w:t>
      </w:r>
      <w:hyperlink r:id="rId7">
        <w:r>
          <w:rPr>
            <w:rFonts w:ascii="Times New Roman" w:eastAsia="Times New Roman" w:hAnsi="Times New Roman" w:cs="Times New Roman"/>
            <w:color w:val="4A86E8"/>
            <w:sz w:val="20"/>
            <w:szCs w:val="20"/>
            <w:u w:val="single"/>
          </w:rPr>
          <w:t>https://defensoria.rj.def.br/uploads/arquivos/c70b9c7926f145c1ab4cfa7807d4f52b.pdf</w:t>
        </w:r>
      </w:hyperlink>
      <w:r>
        <w:rPr>
          <w:rFonts w:ascii="Times New Roman" w:eastAsia="Times New Roman" w:hAnsi="Times New Roman" w:cs="Times New Roman"/>
          <w:sz w:val="20"/>
          <w:szCs w:val="20"/>
        </w:rPr>
        <w:t>. Acesso em 26 de março de 2024.</w:t>
      </w:r>
    </w:p>
  </w:footnote>
  <w:footnote w:id="14">
    <w:p w14:paraId="6BDB685D"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DINIZ, D., MEDEIROS, M., MADEIRO, A. Pesquisa Nacional de Aborto 2016. Ciência &amp; Saúde Coletiva, 22(2), 2017. p. 653–660. Disponível em: </w:t>
      </w:r>
      <w:hyperlink r:id="rId8">
        <w:r>
          <w:rPr>
            <w:rFonts w:ascii="Times New Roman" w:eastAsia="Times New Roman" w:hAnsi="Times New Roman" w:cs="Times New Roman"/>
            <w:color w:val="4A86E8"/>
            <w:sz w:val="20"/>
            <w:szCs w:val="20"/>
            <w:u w:val="single"/>
          </w:rPr>
          <w:t>https://www.scielo.br/j/csc/a/8LRYdgSMzMW4SDDQ65zzFHx/</w:t>
        </w:r>
      </w:hyperlink>
      <w:r>
        <w:rPr>
          <w:rFonts w:ascii="Times New Roman" w:eastAsia="Times New Roman" w:hAnsi="Times New Roman" w:cs="Times New Roman"/>
          <w:sz w:val="20"/>
          <w:szCs w:val="20"/>
        </w:rPr>
        <w:t>. Acesso em 26 de março de 2024.</w:t>
      </w:r>
    </w:p>
  </w:footnote>
  <w:footnote w:id="15">
    <w:p w14:paraId="5B3FA926"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SIQUEIRA, Lia Maria Manso Siqueira (coord. Criola). Mulheres Negras e Justiça Reprodutiva. Disponível em: </w:t>
      </w:r>
      <w:hyperlink r:id="rId9">
        <w:r>
          <w:rPr>
            <w:rFonts w:ascii="Times New Roman" w:eastAsia="Times New Roman" w:hAnsi="Times New Roman" w:cs="Times New Roman"/>
            <w:color w:val="1155CC"/>
            <w:sz w:val="20"/>
            <w:szCs w:val="20"/>
            <w:u w:val="single"/>
          </w:rPr>
          <w:t>https://docs.google.com/document/d/1Ow2ZO-dqqbCwcwgSrNsL3YajbhGHic6khoKkgU5VdZI/edit</w:t>
        </w:r>
      </w:hyperlink>
      <w:r>
        <w:rPr>
          <w:rFonts w:ascii="Times New Roman" w:eastAsia="Times New Roman" w:hAnsi="Times New Roman" w:cs="Times New Roman"/>
          <w:sz w:val="20"/>
          <w:szCs w:val="20"/>
        </w:rPr>
        <w:t xml:space="preserve">. Acesso em 27 de fev. 2024. </w:t>
      </w:r>
    </w:p>
  </w:footnote>
  <w:footnote w:id="16">
    <w:p w14:paraId="34491044"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REDE FEMINISTA DE SAÚDE. Estupro Presumido no Brasil: caracterização de meninas mães no país, em um período de dez anos(2010-2019), com detalamento pelas cinco regiões geográficas e estados brasileiros. Curitiba, 2021. Disponível em: </w:t>
      </w:r>
      <w:hyperlink r:id="rId10">
        <w:r>
          <w:rPr>
            <w:rFonts w:ascii="Times New Roman" w:eastAsia="Times New Roman" w:hAnsi="Times New Roman" w:cs="Times New Roman"/>
            <w:color w:val="1155CC"/>
            <w:sz w:val="20"/>
            <w:szCs w:val="20"/>
            <w:u w:val="single"/>
          </w:rPr>
          <w:t>https://redesaude.org.br/wp-content/uploads/2021/10/Estudo-meninas-maes.pdf</w:t>
        </w:r>
      </w:hyperlink>
      <w:r>
        <w:rPr>
          <w:rFonts w:ascii="Times New Roman" w:eastAsia="Times New Roman" w:hAnsi="Times New Roman" w:cs="Times New Roman"/>
          <w:sz w:val="20"/>
          <w:szCs w:val="20"/>
        </w:rPr>
        <w:t>. Acesso em 26 de março de 2024.</w:t>
      </w:r>
    </w:p>
  </w:footnote>
  <w:footnote w:id="17">
    <w:p w14:paraId="7201C509"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REDE FEMINISTA DE SAÚDE. Estupro Presumido no Brasil: caracterização de meninas mães no país, em um período de dez anos(2010-2019), com detalamento pelas cinco regiões geográficas e estados brasileiros. Curitiba, 2021. Disponível em: </w:t>
      </w:r>
      <w:hyperlink r:id="rId11">
        <w:r>
          <w:rPr>
            <w:rFonts w:ascii="Times New Roman" w:eastAsia="Times New Roman" w:hAnsi="Times New Roman" w:cs="Times New Roman"/>
            <w:color w:val="1155CC"/>
            <w:sz w:val="20"/>
            <w:szCs w:val="20"/>
            <w:u w:val="single"/>
          </w:rPr>
          <w:t>https://redesaude.org.br/wp-content/uploads/2021/10/Estudo-meninas-maes.pdf</w:t>
        </w:r>
      </w:hyperlink>
      <w:r>
        <w:rPr>
          <w:rFonts w:ascii="Times New Roman" w:eastAsia="Times New Roman" w:hAnsi="Times New Roman" w:cs="Times New Roman"/>
          <w:sz w:val="20"/>
          <w:szCs w:val="20"/>
        </w:rPr>
        <w:t>. Acesso em 26 de março de 2024.</w:t>
      </w:r>
    </w:p>
  </w:footnote>
  <w:footnote w:id="18">
    <w:p w14:paraId="48F0DD49"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MINISTÉRIO DA SAÚDE. Nota Técnica Conjunta nº 37/2023-SAPS/SAES/MS. Disponível em: https://static.aosfatos.org/media/cke_uploads/2024/02/29/nota-tecnica-conjunta-no-37_2023-saps_saes_ms-2.pdf. Acesso em: 11 de abril de 2024.</w:t>
      </w:r>
    </w:p>
  </w:footnote>
  <w:footnote w:id="19">
    <w:p w14:paraId="5B660C77"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MADEIRO, A.P.; DINIZ, D. Serviços de aborto legal no Brasil – um estudo nacional. Ciência e Saúde Coletiva 2016; 21(2):563-572. </w:t>
      </w:r>
    </w:p>
  </w:footnote>
  <w:footnote w:id="20">
    <w:p w14:paraId="74F90DFD"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JACOBS, Marina. </w:t>
      </w:r>
      <w:r>
        <w:rPr>
          <w:rFonts w:ascii="Times New Roman" w:eastAsia="Times New Roman" w:hAnsi="Times New Roman" w:cs="Times New Roman"/>
          <w:b/>
          <w:sz w:val="20"/>
          <w:szCs w:val="20"/>
        </w:rPr>
        <w:t>Oferta e realização de interrupção legal de gravidez no Brasil</w:t>
      </w:r>
      <w:r>
        <w:rPr>
          <w:rFonts w:ascii="Times New Roman" w:eastAsia="Times New Roman" w:hAnsi="Times New Roman" w:cs="Times New Roman"/>
          <w:sz w:val="20"/>
          <w:szCs w:val="20"/>
        </w:rPr>
        <w:t xml:space="preserve">: análise dos Sistemas de Informações Ambulatoriais e Hospitalares e do Cadastro Nacional de Estabelecimentos de Saúde. Tese (Doutorado)  </w:t>
      </w:r>
      <w:r>
        <w:rPr>
          <w:rFonts w:ascii="Times New Roman" w:eastAsia="Times New Roman" w:hAnsi="Times New Roman" w:cs="Times New Roman"/>
          <w:color w:val="222222"/>
          <w:sz w:val="20"/>
          <w:szCs w:val="20"/>
          <w:highlight w:val="white"/>
        </w:rPr>
        <w:t>– Programa de Pós-graduação em Saúde Coletiva, Universidade Federal de Santa Catarina, Florianópolis, 2022, p. 78.</w:t>
      </w:r>
    </w:p>
  </w:footnote>
  <w:footnote w:id="21">
    <w:p w14:paraId="119A9E2C"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AGÊNCIA BRASIL. </w:t>
      </w:r>
      <w:r>
        <w:rPr>
          <w:rFonts w:ascii="Times New Roman" w:eastAsia="Times New Roman" w:hAnsi="Times New Roman" w:cs="Times New Roman"/>
          <w:b/>
          <w:sz w:val="20"/>
          <w:szCs w:val="20"/>
        </w:rPr>
        <w:t>Hospital de referência suspende procedimentos de aborto legal em SP</w:t>
      </w:r>
      <w:r>
        <w:rPr>
          <w:rFonts w:ascii="Times New Roman" w:eastAsia="Times New Roman" w:hAnsi="Times New Roman" w:cs="Times New Roman"/>
          <w:sz w:val="20"/>
          <w:szCs w:val="20"/>
        </w:rPr>
        <w:t xml:space="preserve">, 20 de dez de 2023. Disponível em: </w:t>
      </w:r>
      <w:hyperlink r:id="rId12">
        <w:r>
          <w:rPr>
            <w:rFonts w:ascii="Times New Roman" w:eastAsia="Times New Roman" w:hAnsi="Times New Roman" w:cs="Times New Roman"/>
            <w:color w:val="1155CC"/>
            <w:sz w:val="20"/>
            <w:szCs w:val="20"/>
            <w:u w:val="single"/>
          </w:rPr>
          <w:t>https://agenciabrasil.ebc.com.br/saude/noticia/2023-12/hospital-de-referencia-suspende-realizacao-de-aborto-legal-em-sp</w:t>
        </w:r>
      </w:hyperlink>
      <w:r>
        <w:rPr>
          <w:rFonts w:ascii="Times New Roman" w:eastAsia="Times New Roman" w:hAnsi="Times New Roman" w:cs="Times New Roman"/>
          <w:sz w:val="20"/>
          <w:szCs w:val="20"/>
        </w:rPr>
        <w:t>. Acesso em: 12 de abril de 2024.</w:t>
      </w:r>
    </w:p>
  </w:footnote>
  <w:footnote w:id="22">
    <w:p w14:paraId="73B2A9D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Ação Popular nº </w:t>
      </w:r>
      <w:r>
        <w:rPr>
          <w:rFonts w:ascii="Times New Roman" w:eastAsia="Times New Roman" w:hAnsi="Times New Roman" w:cs="Times New Roman"/>
          <w:sz w:val="20"/>
          <w:szCs w:val="20"/>
          <w:highlight w:val="white"/>
        </w:rPr>
        <w:t>1089518-19.2023.8.26.0053 que tramita no Tribunal de Justiça do Estado de São Paulo</w:t>
      </w:r>
    </w:p>
  </w:footnote>
  <w:footnote w:id="23">
    <w:p w14:paraId="28299ABB"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FEBRASGO. Nota informativa aos tocoginecologistas brasileiros sobre o aborto legal na gestação decorrente de estupro de vulnerável. 22 jun. 2022. Disponível em: </w:t>
      </w:r>
      <w:hyperlink r:id="rId13">
        <w:r>
          <w:rPr>
            <w:rFonts w:ascii="Times New Roman" w:eastAsia="Times New Roman" w:hAnsi="Times New Roman" w:cs="Times New Roman"/>
            <w:color w:val="4A86E8"/>
            <w:sz w:val="20"/>
            <w:szCs w:val="20"/>
            <w:u w:val="single"/>
          </w:rPr>
          <w:t>https://www.febrasgo.org.br/pt/noticias/item/1470-nota-informativa-aos-tocoginecologistas-brasileiros-sobre-o-aborto-legal-na-gestacao-decorrente-de-estupro-de-vulneravel</w:t>
        </w:r>
      </w:hyperlink>
      <w:r>
        <w:rPr>
          <w:rFonts w:ascii="Times New Roman" w:eastAsia="Times New Roman" w:hAnsi="Times New Roman" w:cs="Times New Roman"/>
          <w:sz w:val="20"/>
          <w:szCs w:val="20"/>
        </w:rPr>
        <w:t>. Acesso em 26 de março de 2024.</w:t>
      </w:r>
    </w:p>
  </w:footnote>
  <w:footnote w:id="24">
    <w:p w14:paraId="5F21CFAC" w14:textId="77777777" w:rsidR="00FE6B0B" w:rsidRDefault="00000000">
      <w:pPr>
        <w:spacing w:line="240" w:lineRule="auto"/>
        <w:jc w:val="both"/>
        <w:rPr>
          <w:rFonts w:ascii="Times New Roman" w:eastAsia="Times New Roman" w:hAnsi="Times New Roman" w:cs="Times New Roman"/>
          <w:color w:val="4A86E8"/>
          <w:sz w:val="20"/>
          <w:szCs w:val="20"/>
        </w:rPr>
      </w:pPr>
      <w:r>
        <w:rPr>
          <w:vertAlign w:val="superscript"/>
        </w:rPr>
        <w:footnoteRef/>
      </w:r>
      <w:r>
        <w:rPr>
          <w:rFonts w:ascii="Times New Roman" w:eastAsia="Times New Roman" w:hAnsi="Times New Roman" w:cs="Times New Roman"/>
          <w:sz w:val="20"/>
          <w:szCs w:val="20"/>
        </w:rPr>
        <w:t xml:space="preserve"> MORAES FILHO, O.B. Aborto: classificação, diagnóstico e conduta. São Paulo: Federação Brasileira das Associações de Ginecologia e Obstetrícia (FEBRASGO); 2018. (Protocolo FEBRASGO - Obstetrícia, nº 21/ Comissão Nacional Especializada em Assistência Pré-Natal). Disponível em: </w:t>
      </w:r>
      <w:hyperlink r:id="rId14">
        <w:r>
          <w:rPr>
            <w:rFonts w:ascii="Times New Roman" w:eastAsia="Times New Roman" w:hAnsi="Times New Roman" w:cs="Times New Roman"/>
            <w:color w:val="4A86E8"/>
            <w:sz w:val="20"/>
            <w:szCs w:val="20"/>
            <w:u w:val="single"/>
          </w:rPr>
          <w:t>https://www.febrasgo.org.br/images/pec/Protocolos-assistenciais/Protocolos-assistenciais-obstetricia.pdf/Aborto-Classificao-diagnstico-e-conduta.pdf</w:t>
        </w:r>
      </w:hyperlink>
      <w:r>
        <w:rPr>
          <w:rFonts w:ascii="Times New Roman" w:eastAsia="Times New Roman" w:hAnsi="Times New Roman" w:cs="Times New Roman"/>
          <w:color w:val="4A86E8"/>
          <w:sz w:val="20"/>
          <w:szCs w:val="20"/>
        </w:rPr>
        <w:t xml:space="preserve">. </w:t>
      </w:r>
      <w:r>
        <w:rPr>
          <w:rFonts w:ascii="Times New Roman" w:eastAsia="Times New Roman" w:hAnsi="Times New Roman" w:cs="Times New Roman"/>
          <w:sz w:val="20"/>
          <w:szCs w:val="20"/>
        </w:rPr>
        <w:t>Acesso em 26 de março de 2024.</w:t>
      </w:r>
    </w:p>
  </w:footnote>
  <w:footnote w:id="25">
    <w:p w14:paraId="2F28EE39"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INTERNATIONAL FEDERATION OF GYNECOLOGY AND OBSTETRICS. FIGO endorses the permanent adoption of telemedicine abortion services. Posicionamento de 18 de março de 2021. Disponível em: </w:t>
      </w:r>
      <w:hyperlink r:id="rId15">
        <w:r>
          <w:rPr>
            <w:rFonts w:ascii="Times New Roman" w:eastAsia="Times New Roman" w:hAnsi="Times New Roman" w:cs="Times New Roman"/>
            <w:color w:val="4A86E8"/>
            <w:sz w:val="20"/>
            <w:szCs w:val="20"/>
            <w:u w:val="single"/>
          </w:rPr>
          <w:t>https://www.figo.org/FIGO-endorses-telemedicine-abortion-services</w:t>
        </w:r>
      </w:hyperlink>
      <w:r>
        <w:rPr>
          <w:rFonts w:ascii="Times New Roman" w:eastAsia="Times New Roman" w:hAnsi="Times New Roman" w:cs="Times New Roman"/>
          <w:sz w:val="20"/>
          <w:szCs w:val="20"/>
        </w:rPr>
        <w:t xml:space="preserve">. Acesso em: 09 nov. 2023.  </w:t>
      </w:r>
    </w:p>
  </w:footnote>
  <w:footnote w:id="26">
    <w:p w14:paraId="5047DA65"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Informações mais detalhadas sobre os fundamentos científicos e jurídicos que atestam a sobre a segurança do procedimento podem ser consultadas na cartilha “Aborto legal via telessaúde: orientações para serviços de saúde 2021”, realizada através de parceria entre a Anis - Instituto de Bioética, a Global Doctors for Choice Brasil e o Núcleo de Atenção Integral a Vítimas de Agressão Sexual (Nuavidas), disponível em: </w:t>
      </w:r>
      <w:hyperlink r:id="rId16">
        <w:r>
          <w:rPr>
            <w:rFonts w:ascii="Times New Roman" w:eastAsia="Times New Roman" w:hAnsi="Times New Roman" w:cs="Times New Roman"/>
            <w:color w:val="4A86E8"/>
            <w:sz w:val="20"/>
            <w:szCs w:val="20"/>
            <w:u w:val="single"/>
          </w:rPr>
          <w:t>https://anis.org.br/wp-content/uploads/2022/10/Aborto-legal-via-telessaude-orientacoes-para-servicos-de-saude-1.pdf</w:t>
        </w:r>
      </w:hyperlink>
      <w:r>
        <w:rPr>
          <w:rFonts w:ascii="Times New Roman" w:eastAsia="Times New Roman" w:hAnsi="Times New Roman" w:cs="Times New Roman"/>
          <w:sz w:val="20"/>
          <w:szCs w:val="20"/>
        </w:rPr>
        <w:t>. Acesso em 26 de março de 2024.</w:t>
      </w:r>
    </w:p>
  </w:footnote>
  <w:footnote w:id="27">
    <w:p w14:paraId="6F923ECA"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WORLD HEALTH ORGANIZATION. </w:t>
      </w:r>
      <w:r>
        <w:rPr>
          <w:rFonts w:ascii="Times New Roman" w:eastAsia="Times New Roman" w:hAnsi="Times New Roman" w:cs="Times New Roman"/>
          <w:b/>
          <w:sz w:val="20"/>
          <w:szCs w:val="20"/>
          <w:highlight w:val="white"/>
        </w:rPr>
        <w:t>Clinical practice handbook for quality abortion care</w:t>
      </w:r>
      <w:r>
        <w:rPr>
          <w:rFonts w:ascii="Times New Roman" w:eastAsia="Times New Roman" w:hAnsi="Times New Roman" w:cs="Times New Roman"/>
          <w:sz w:val="20"/>
          <w:szCs w:val="20"/>
          <w:highlight w:val="white"/>
        </w:rPr>
        <w:t xml:space="preserve">. Geneva: 2023. Licence: CC BY-NC-SA 3.0 IGO. </w:t>
      </w:r>
      <w:hyperlink r:id="rId17">
        <w:r>
          <w:rPr>
            <w:rFonts w:ascii="Times New Roman" w:eastAsia="Times New Roman" w:hAnsi="Times New Roman" w:cs="Times New Roman"/>
            <w:sz w:val="20"/>
            <w:szCs w:val="20"/>
            <w:highlight w:val="white"/>
          </w:rPr>
          <w:t>https://www.who.int/publications/i/item/9789240075207</w:t>
        </w:r>
      </w:hyperlink>
      <w:r>
        <w:rPr>
          <w:rFonts w:ascii="Times New Roman" w:eastAsia="Times New Roman" w:hAnsi="Times New Roman" w:cs="Times New Roman"/>
          <w:sz w:val="20"/>
          <w:szCs w:val="20"/>
          <w:highlight w:val="white"/>
        </w:rPr>
        <w:t>.</w:t>
      </w:r>
    </w:p>
  </w:footnote>
  <w:footnote w:id="28">
    <w:p w14:paraId="587FAD03"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 direito de saber: acesso à informação e aborto legal. Disponível em: </w:t>
      </w:r>
      <w:hyperlink r:id="rId18">
        <w:r>
          <w:rPr>
            <w:rFonts w:ascii="Times New Roman" w:eastAsia="Times New Roman" w:hAnsi="Times New Roman" w:cs="Times New Roman"/>
            <w:color w:val="4A86E8"/>
            <w:sz w:val="20"/>
            <w:szCs w:val="20"/>
            <w:u w:val="single"/>
          </w:rPr>
          <w:t>https://catarinas.info/o-direito-de-saber-acesso-a-informacao-e-aborto-legal-no-brasil/</w:t>
        </w:r>
      </w:hyperlink>
      <w:r>
        <w:rPr>
          <w:rFonts w:ascii="Times New Roman" w:eastAsia="Times New Roman" w:hAnsi="Times New Roman" w:cs="Times New Roman"/>
          <w:sz w:val="20"/>
          <w:szCs w:val="20"/>
        </w:rPr>
        <w:t>. Acesso em 26 de março de 2024.</w:t>
      </w:r>
    </w:p>
  </w:footnote>
  <w:footnote w:id="29">
    <w:p w14:paraId="351D400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JACOBS, Marina. </w:t>
      </w:r>
      <w:r>
        <w:rPr>
          <w:rFonts w:ascii="Times New Roman" w:eastAsia="Times New Roman" w:hAnsi="Times New Roman" w:cs="Times New Roman"/>
          <w:b/>
          <w:sz w:val="20"/>
          <w:szCs w:val="20"/>
        </w:rPr>
        <w:t>Oferta e realização de interrupção legal de gravidez no Brasil</w:t>
      </w:r>
      <w:r>
        <w:rPr>
          <w:rFonts w:ascii="Times New Roman" w:eastAsia="Times New Roman" w:hAnsi="Times New Roman" w:cs="Times New Roman"/>
          <w:sz w:val="20"/>
          <w:szCs w:val="20"/>
        </w:rPr>
        <w:t xml:space="preserve">: análise dos Sistemas de Informações Ambulatoriais e Hospitalares e do Cadastro Nacional de Estabelecimentos de Saúde. Tese (Doutorado)  </w:t>
      </w:r>
      <w:r>
        <w:rPr>
          <w:rFonts w:ascii="Times New Roman" w:eastAsia="Times New Roman" w:hAnsi="Times New Roman" w:cs="Times New Roman"/>
          <w:color w:val="222222"/>
          <w:sz w:val="20"/>
          <w:szCs w:val="20"/>
          <w:highlight w:val="white"/>
        </w:rPr>
        <w:t>– Programa de Pós-graduação em Saúde Coletiva, Universidade Federal de Santa Catarina, Florianópolis, 2022, p. 123-124.</w:t>
      </w:r>
    </w:p>
  </w:footnote>
  <w:footnote w:id="30">
    <w:p w14:paraId="3E2D402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Rede Feminista de Saúde, Regional Paraná. Demanda estimada de casos de estupro para atendimento nos serviços de referência à violência sexual e ao aborto legal, a partir de dados do Sinan, Paraná. Curitiba, 08 de março de 2023.</w:t>
      </w:r>
    </w:p>
  </w:footnote>
  <w:footnote w:id="31">
    <w:p w14:paraId="6901FCB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Os dados se referem à média de nascidos vivos de meninas de 10 a 14 anos entre 2010-2019. No Brasil, conforme decisão do Supremo Tribunal de Federal, o abuso sexual de crianças e adolescentes até 14 anos de idade constitui estupro presumido. Logo, o sexo ou ato libidinoso com menor de 14 anos é estupro de vulnerável, independentemente de ter havido consentimento, como define a súmula 593 do STF/2017: “O crime de estupro de vulnerável se configura com a conjunção carnal ou prática de ato libidinoso com menor de 14 anos, sendo irrelevante eventual consentimento da vítima para a prática do ato, sua experiência sexual anterior ou existência de relacionamento amoroso com o agente”. Rede Feminista de Saúde, Direitos Sexuais e Reprodutivos. </w:t>
      </w:r>
      <w:r>
        <w:rPr>
          <w:rFonts w:ascii="Times New Roman" w:eastAsia="Times New Roman" w:hAnsi="Times New Roman" w:cs="Times New Roman"/>
          <w:b/>
          <w:sz w:val="20"/>
          <w:szCs w:val="20"/>
        </w:rPr>
        <w:t>Caracterização de meninas mães no país em um período de dez anos (2010-2019), com detalhamento pelas cinco regiões geográficas e Estados Brasileiros.</w:t>
      </w:r>
      <w:r>
        <w:rPr>
          <w:rFonts w:ascii="Times New Roman" w:eastAsia="Times New Roman" w:hAnsi="Times New Roman" w:cs="Times New Roman"/>
          <w:sz w:val="20"/>
          <w:szCs w:val="20"/>
        </w:rPr>
        <w:t xml:space="preserve"> Rede Feminista de Saúde, Curitiba, jun/agos/2021. Disponível em: </w:t>
      </w:r>
      <w:hyperlink r:id="rId19">
        <w:r>
          <w:rPr>
            <w:rFonts w:ascii="Times New Roman" w:eastAsia="Times New Roman" w:hAnsi="Times New Roman" w:cs="Times New Roman"/>
            <w:color w:val="1155CC"/>
            <w:sz w:val="20"/>
            <w:szCs w:val="20"/>
            <w:u w:val="single"/>
          </w:rPr>
          <w:t>https://bit.ly/3y6xtz5</w:t>
        </w:r>
      </w:hyperlink>
      <w:r>
        <w:rPr>
          <w:rFonts w:ascii="Times New Roman" w:eastAsia="Times New Roman" w:hAnsi="Times New Roman" w:cs="Times New Roman"/>
          <w:sz w:val="20"/>
          <w:szCs w:val="20"/>
        </w:rPr>
        <w:t>. Acesso em 22 de jun. de 2022.</w:t>
      </w:r>
    </w:p>
  </w:footnote>
  <w:footnote w:id="32">
    <w:p w14:paraId="0C47EFD1"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Infográfico Violência sexual contra crianças e adolescentes em Santa Catarina (2018-2022). Disponível em </w:t>
      </w:r>
      <w:hyperlink r:id="rId20">
        <w:r>
          <w:rPr>
            <w:rFonts w:ascii="Times New Roman" w:eastAsia="Times New Roman" w:hAnsi="Times New Roman" w:cs="Times New Roman"/>
            <w:color w:val="1155CC"/>
            <w:sz w:val="20"/>
            <w:szCs w:val="20"/>
            <w:u w:val="single"/>
          </w:rPr>
          <w:t>https://dive.sc.gov.br/phocadownload/doencas-agravos/Violencias/infografico-maio-laranja.pdf</w:t>
        </w:r>
      </w:hyperlink>
      <w:r>
        <w:rPr>
          <w:rFonts w:ascii="Times New Roman" w:eastAsia="Times New Roman" w:hAnsi="Times New Roman" w:cs="Times New Roman"/>
          <w:sz w:val="20"/>
          <w:szCs w:val="20"/>
        </w:rPr>
        <w:t xml:space="preserve">. Acesso em 11 de abril de 2024. </w:t>
      </w:r>
    </w:p>
  </w:footnote>
  <w:footnote w:id="33">
    <w:p w14:paraId="3EC7CC6A"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Nos termos dos dados do Instituto de Pesquisa Econômica Aplicada apenas 8,5% dos casos chegam ao conhecimento da polícia, e só 4,2% são identificados pelo sistema de saúde (Instituto De Pesquisa Econômica Aplicada (IPEA). Elucidando a prevalência de estupro no Brasil a partir de diferentes bases de dados. Rio de Janeiro: Ipea, 2023. Disponível em: </w:t>
      </w:r>
      <w:hyperlink r:id="rId21">
        <w:r>
          <w:rPr>
            <w:rFonts w:ascii="Times New Roman" w:eastAsia="Times New Roman" w:hAnsi="Times New Roman" w:cs="Times New Roman"/>
            <w:color w:val="1155CC"/>
            <w:sz w:val="20"/>
            <w:szCs w:val="20"/>
            <w:u w:val="single"/>
          </w:rPr>
          <w:t>https://repositorio.ipea.gov.br/handle/11058/11814</w:t>
        </w:r>
      </w:hyperlink>
      <w:r>
        <w:rPr>
          <w:rFonts w:ascii="Times New Roman" w:eastAsia="Times New Roman" w:hAnsi="Times New Roman" w:cs="Times New Roman"/>
          <w:sz w:val="20"/>
          <w:szCs w:val="20"/>
        </w:rPr>
        <w:t>. Acesso em 01 de dezembro de 2023).</w:t>
      </w:r>
    </w:p>
  </w:footnote>
  <w:footnote w:id="34">
    <w:p w14:paraId="11F9CDC9"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Instituto de Pesquisa Econômica Aplicada (Ipea), 2023.</w:t>
      </w:r>
    </w:p>
  </w:footnote>
  <w:footnote w:id="35">
    <w:p w14:paraId="3758523D"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Importante salientar que, no Brasil, a prática de ato libidinoso com menor de 14 anos configura o crime de estupro de vulnerável, conforme artigo 217-A do Código Penal.</w:t>
      </w:r>
    </w:p>
  </w:footnote>
  <w:footnote w:id="36">
    <w:p w14:paraId="5257CD2B"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‘Suportaria ficar mais um pouquinho?’ Vídeo: em audiência, juíza de SC induz menina de 11 anos grávida após estupro a desistir de aborto legal. Disponível em </w:t>
      </w:r>
      <w:hyperlink r:id="rId22">
        <w:r>
          <w:rPr>
            <w:rFonts w:ascii="Times New Roman" w:eastAsia="Times New Roman" w:hAnsi="Times New Roman" w:cs="Times New Roman"/>
            <w:color w:val="1155CC"/>
            <w:sz w:val="20"/>
            <w:szCs w:val="20"/>
            <w:u w:val="single"/>
          </w:rPr>
          <w:t>https://www.intercept.com.br/2022/06/20/video-juiza-sc-menina-11-anos-estupro-aborto/</w:t>
        </w:r>
      </w:hyperlink>
      <w:r>
        <w:rPr>
          <w:rFonts w:ascii="Times New Roman" w:eastAsia="Times New Roman" w:hAnsi="Times New Roman" w:cs="Times New Roman"/>
          <w:sz w:val="20"/>
          <w:szCs w:val="20"/>
        </w:rPr>
        <w:t>. Acesso em 11.04.2024.</w:t>
      </w:r>
    </w:p>
  </w:footnote>
  <w:footnote w:id="37">
    <w:p w14:paraId="0D66D0C0" w14:textId="77777777" w:rsidR="00FE6B0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JACOBS, Marina</w:t>
      </w:r>
      <w:r>
        <w:rPr>
          <w:rFonts w:ascii="Times New Roman" w:eastAsia="Times New Roman" w:hAnsi="Times New Roman" w:cs="Times New Roman"/>
          <w:color w:val="222222"/>
          <w:sz w:val="20"/>
          <w:szCs w:val="20"/>
          <w:highlight w:val="white"/>
        </w:rPr>
        <w:t xml:space="preserve">. </w:t>
      </w:r>
      <w:r>
        <w:rPr>
          <w:rFonts w:ascii="Times New Roman" w:eastAsia="Times New Roman" w:hAnsi="Times New Roman" w:cs="Times New Roman"/>
          <w:b/>
          <w:sz w:val="20"/>
          <w:szCs w:val="20"/>
        </w:rPr>
        <w:t>Oferta e realização de interrupção legal de gravidez no Brasil</w:t>
      </w:r>
      <w:r>
        <w:rPr>
          <w:rFonts w:ascii="Times New Roman" w:eastAsia="Times New Roman" w:hAnsi="Times New Roman" w:cs="Times New Roman"/>
          <w:sz w:val="20"/>
          <w:szCs w:val="20"/>
        </w:rPr>
        <w:t xml:space="preserve">: análise dos Sistemas de Informações Ambulatoriais e Hospitalares e do Cadastro Nacional de Estabelecimentos de Saúde. Tese (Doutorado)  </w:t>
      </w:r>
      <w:r>
        <w:rPr>
          <w:rFonts w:ascii="Times New Roman" w:eastAsia="Times New Roman" w:hAnsi="Times New Roman" w:cs="Times New Roman"/>
          <w:color w:val="222222"/>
          <w:sz w:val="20"/>
          <w:szCs w:val="20"/>
          <w:highlight w:val="white"/>
        </w:rPr>
        <w:t>– Programa de Pós-graduação em Saúde Coletiva, Universidade Federal de Santa Catarina, Florianópolis,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E00F" w14:textId="77777777" w:rsidR="00FE6B0B" w:rsidRDefault="00000000">
    <w:r>
      <w:rPr>
        <w:noProof/>
      </w:rPr>
      <w:drawing>
        <wp:anchor distT="0" distB="0" distL="0" distR="0" simplePos="0" relativeHeight="251658240" behindDoc="0" locked="0" layoutInCell="1" hidden="0" allowOverlap="1" wp14:anchorId="404107C5" wp14:editId="19D3FA25">
          <wp:simplePos x="0" y="0"/>
          <wp:positionH relativeFrom="column">
            <wp:posOffset>76200</wp:posOffset>
          </wp:positionH>
          <wp:positionV relativeFrom="paragraph">
            <wp:posOffset>-457199</wp:posOffset>
          </wp:positionV>
          <wp:extent cx="1457623" cy="561975"/>
          <wp:effectExtent l="0" t="0" r="0" b="0"/>
          <wp:wrapNone/>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457623" cy="56197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4301BEE" wp14:editId="74AC6607">
          <wp:simplePos x="0" y="0"/>
          <wp:positionH relativeFrom="column">
            <wp:posOffset>1962150</wp:posOffset>
          </wp:positionH>
          <wp:positionV relativeFrom="paragraph">
            <wp:posOffset>-328612</wp:posOffset>
          </wp:positionV>
          <wp:extent cx="1209675" cy="609600"/>
          <wp:effectExtent l="0" t="0" r="0" b="0"/>
          <wp:wrapNone/>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
                  <a:srcRect t="4901" b="-4901"/>
                  <a:stretch>
                    <a:fillRect/>
                  </a:stretch>
                </pic:blipFill>
                <pic:spPr>
                  <a:xfrm>
                    <a:off x="0" y="0"/>
                    <a:ext cx="1209675" cy="60960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4D32264" wp14:editId="02DB15F2">
          <wp:simplePos x="0" y="0"/>
          <wp:positionH relativeFrom="column">
            <wp:posOffset>3352800</wp:posOffset>
          </wp:positionH>
          <wp:positionV relativeFrom="paragraph">
            <wp:posOffset>-361949</wp:posOffset>
          </wp:positionV>
          <wp:extent cx="1710359" cy="561975"/>
          <wp:effectExtent l="0" t="0" r="0" b="0"/>
          <wp:wrapNone/>
          <wp:docPr id="2" name="image10.png"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0.png" descr="Logotipo&#10;&#10;Descrição gerada automaticamente"/>
                  <pic:cNvPicPr preferRelativeResize="0"/>
                </pic:nvPicPr>
                <pic:blipFill>
                  <a:blip r:embed="rId3"/>
                  <a:srcRect/>
                  <a:stretch>
                    <a:fillRect/>
                  </a:stretch>
                </pic:blipFill>
                <pic:spPr>
                  <a:xfrm>
                    <a:off x="0" y="0"/>
                    <a:ext cx="1710359" cy="561975"/>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29E5A08F" wp14:editId="694D57E7">
          <wp:simplePos x="0" y="0"/>
          <wp:positionH relativeFrom="column">
            <wp:posOffset>5400675</wp:posOffset>
          </wp:positionH>
          <wp:positionV relativeFrom="paragraph">
            <wp:posOffset>-342899</wp:posOffset>
          </wp:positionV>
          <wp:extent cx="657225" cy="657225"/>
          <wp:effectExtent l="0" t="0" r="0" b="0"/>
          <wp:wrapNone/>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
                  <a:srcRect/>
                  <a:stretch>
                    <a:fillRect/>
                  </a:stretch>
                </pic:blipFill>
                <pic:spPr>
                  <a:xfrm>
                    <a:off x="0" y="0"/>
                    <a:ext cx="657225" cy="657225"/>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57323479" wp14:editId="3C13F3F4">
          <wp:simplePos x="0" y="0"/>
          <wp:positionH relativeFrom="column">
            <wp:posOffset>3600450</wp:posOffset>
          </wp:positionH>
          <wp:positionV relativeFrom="paragraph">
            <wp:posOffset>292394</wp:posOffset>
          </wp:positionV>
          <wp:extent cx="3018726" cy="443226"/>
          <wp:effectExtent l="0" t="0" r="0" b="0"/>
          <wp:wrapNone/>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
                  <a:srcRect/>
                  <a:stretch>
                    <a:fillRect/>
                  </a:stretch>
                </pic:blipFill>
                <pic:spPr>
                  <a:xfrm>
                    <a:off x="0" y="0"/>
                    <a:ext cx="3018726" cy="443226"/>
                  </a:xfrm>
                  <a:prstGeom prst="rect">
                    <a:avLst/>
                  </a:prstGeom>
                  <a:ln/>
                </pic:spPr>
              </pic:pic>
            </a:graphicData>
          </a:graphic>
        </wp:anchor>
      </w:drawing>
    </w:r>
  </w:p>
  <w:p w14:paraId="0F6A55ED" w14:textId="77777777" w:rsidR="00FE6B0B" w:rsidRDefault="00000000">
    <w:r>
      <w:rPr>
        <w:noProof/>
      </w:rPr>
      <w:drawing>
        <wp:inline distT="114300" distB="114300" distL="114300" distR="114300" wp14:anchorId="6482A3FE" wp14:editId="02DA24A3">
          <wp:extent cx="1919288" cy="376511"/>
          <wp:effectExtent l="0" t="0" r="0" b="0"/>
          <wp:docPr id="4" name="image3.png" descr="logo_defensoria2.jpg"/>
          <wp:cNvGraphicFramePr/>
          <a:graphic xmlns:a="http://schemas.openxmlformats.org/drawingml/2006/main">
            <a:graphicData uri="http://schemas.openxmlformats.org/drawingml/2006/picture">
              <pic:pic xmlns:pic="http://schemas.openxmlformats.org/drawingml/2006/picture">
                <pic:nvPicPr>
                  <pic:cNvPr id="0" name="image3.png" descr="logo_defensoria2.jpg"/>
                  <pic:cNvPicPr preferRelativeResize="0"/>
                </pic:nvPicPr>
                <pic:blipFill>
                  <a:blip r:embed="rId6"/>
                  <a:srcRect/>
                  <a:stretch>
                    <a:fillRect/>
                  </a:stretch>
                </pic:blipFill>
                <pic:spPr>
                  <a:xfrm>
                    <a:off x="0" y="0"/>
                    <a:ext cx="1919288" cy="376511"/>
                  </a:xfrm>
                  <a:prstGeom prst="rect">
                    <a:avLst/>
                  </a:prstGeom>
                  <a:ln/>
                </pic:spPr>
              </pic:pic>
            </a:graphicData>
          </a:graphic>
        </wp:inline>
      </w:drawing>
    </w:r>
    <w:r>
      <w:rPr>
        <w:noProof/>
      </w:rPr>
      <w:drawing>
        <wp:inline distT="114300" distB="114300" distL="114300" distR="114300" wp14:anchorId="05BC4122" wp14:editId="221B6682">
          <wp:extent cx="1822395" cy="484775"/>
          <wp:effectExtent l="0" t="0" r="0" b="0"/>
          <wp:docPr id="5" name="image2.png" descr="Desenho com traços pretos em fundo branc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2.png" descr="Desenho com traços pretos em fundo branco&#10;&#10;Descrição gerada automaticamente com confiança média"/>
                  <pic:cNvPicPr preferRelativeResize="0"/>
                </pic:nvPicPr>
                <pic:blipFill>
                  <a:blip r:embed="rId7"/>
                  <a:srcRect l="6282" r="-6282"/>
                  <a:stretch>
                    <a:fillRect/>
                  </a:stretch>
                </pic:blipFill>
                <pic:spPr>
                  <a:xfrm>
                    <a:off x="0" y="0"/>
                    <a:ext cx="1822395" cy="484775"/>
                  </a:xfrm>
                  <a:prstGeom prst="rect">
                    <a:avLst/>
                  </a:prstGeom>
                  <a:ln/>
                </pic:spPr>
              </pic:pic>
            </a:graphicData>
          </a:graphic>
        </wp:inline>
      </w:drawing>
    </w:r>
    <w:r>
      <w:rPr>
        <w:noProof/>
      </w:rPr>
      <w:drawing>
        <wp:anchor distT="114300" distB="114300" distL="114300" distR="114300" simplePos="0" relativeHeight="251663360" behindDoc="0" locked="0" layoutInCell="1" hidden="0" allowOverlap="1" wp14:anchorId="103859B3" wp14:editId="5CD5D702">
          <wp:simplePos x="0" y="0"/>
          <wp:positionH relativeFrom="column">
            <wp:posOffset>5133975</wp:posOffset>
          </wp:positionH>
          <wp:positionV relativeFrom="paragraph">
            <wp:posOffset>558212</wp:posOffset>
          </wp:positionV>
          <wp:extent cx="1192696" cy="609600"/>
          <wp:effectExtent l="0" t="0" r="0" b="0"/>
          <wp:wrapNone/>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1192696" cy="609600"/>
                  </a:xfrm>
                  <a:prstGeom prst="rect">
                    <a:avLst/>
                  </a:prstGeom>
                  <a:ln/>
                </pic:spPr>
              </pic:pic>
            </a:graphicData>
          </a:graphic>
        </wp:anchor>
      </w:drawing>
    </w:r>
  </w:p>
  <w:p w14:paraId="7D6F1A98" w14:textId="77777777" w:rsidR="00FE6B0B" w:rsidRDefault="00000000">
    <w:pPr>
      <w:spacing w:after="160" w:line="259" w:lineRule="auto"/>
    </w:pPr>
    <w:r>
      <w:rPr>
        <w:rFonts w:ascii="Cambria" w:eastAsia="Cambria" w:hAnsi="Cambria" w:cs="Cambria"/>
        <w:b/>
        <w:smallCaps/>
        <w:noProof/>
        <w:sz w:val="24"/>
        <w:szCs w:val="24"/>
      </w:rPr>
      <w:drawing>
        <wp:inline distT="114300" distB="114300" distL="114300" distR="114300" wp14:anchorId="12A63D4C" wp14:editId="0E8A50B9">
          <wp:extent cx="1762290" cy="528687"/>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762290" cy="528687"/>
                  </a:xfrm>
                  <a:prstGeom prst="rect">
                    <a:avLst/>
                  </a:prstGeom>
                  <a:ln/>
                </pic:spPr>
              </pic:pic>
            </a:graphicData>
          </a:graphic>
        </wp:inline>
      </w:drawing>
    </w:r>
    <w:r>
      <w:rPr>
        <w:noProof/>
      </w:rPr>
      <w:drawing>
        <wp:inline distT="114300" distB="114300" distL="114300" distR="114300" wp14:anchorId="6B4780F4" wp14:editId="312AEFE0">
          <wp:extent cx="1557338" cy="55025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57338" cy="550259"/>
                  </a:xfrm>
                  <a:prstGeom prst="rect">
                    <a:avLst/>
                  </a:prstGeom>
                  <a:ln/>
                </pic:spPr>
              </pic:pic>
            </a:graphicData>
          </a:graphic>
        </wp:inline>
      </w:drawing>
    </w:r>
    <w:r>
      <w:rPr>
        <w:noProof/>
      </w:rPr>
      <w:drawing>
        <wp:anchor distT="114300" distB="114300" distL="114300" distR="114300" simplePos="0" relativeHeight="251664384" behindDoc="0" locked="0" layoutInCell="1" hidden="0" allowOverlap="1" wp14:anchorId="5741391E" wp14:editId="7C391E71">
          <wp:simplePos x="0" y="0"/>
          <wp:positionH relativeFrom="column">
            <wp:posOffset>3714750</wp:posOffset>
          </wp:positionH>
          <wp:positionV relativeFrom="paragraph">
            <wp:posOffset>140562</wp:posOffset>
          </wp:positionV>
          <wp:extent cx="1890280" cy="561975"/>
          <wp:effectExtent l="0" t="0" r="0" b="0"/>
          <wp:wrapNone/>
          <wp:docPr id="1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r="-21882" b="-21882"/>
                  <a:stretch>
                    <a:fillRect/>
                  </a:stretch>
                </pic:blipFill>
                <pic:spPr>
                  <a:xfrm>
                    <a:off x="0" y="0"/>
                    <a:ext cx="1890280" cy="5619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1795C"/>
    <w:multiLevelType w:val="multilevel"/>
    <w:tmpl w:val="0C6A7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504781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B0B"/>
    <w:rsid w:val="002B28CA"/>
    <w:rsid w:val="00851F41"/>
    <w:rsid w:val="00FE6B0B"/>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decimalSymbol w:val=","/>
  <w:listSeparator w:val=","/>
  <w14:docId w14:val="74D0A328"/>
  <w15:docId w15:val="{7151D33D-C272-7049-9881-EF6E998DF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nucleo.mulheres@defensoria.sp.def.br" TargetMode="External"/><Relationship Id="rId13" Type="http://schemas.openxmlformats.org/officeDocument/2006/relationships/hyperlink" Target="https://www.redesaude.org.br" TargetMode="External"/><Relationship Id="rId3" Type="http://schemas.openxmlformats.org/officeDocument/2006/relationships/settings" Target="settings.xml"/><Relationship Id="rId7" Type="http://schemas.openxmlformats.org/officeDocument/2006/relationships/hyperlink" Target="mailto:nudem@defensoria.pr.def.br" TargetMode="External"/><Relationship Id="rId12" Type="http://schemas.openxmlformats.org/officeDocument/2006/relationships/hyperlink" Target="mailto:contato.cdhufpr@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e.mulher@def.rr.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nudem@defensoria.ms.def.br" TargetMode="External"/><Relationship Id="rId4" Type="http://schemas.openxmlformats.org/officeDocument/2006/relationships/webSettings" Target="webSettings.xml"/><Relationship Id="rId9" Type="http://schemas.openxmlformats.org/officeDocument/2006/relationships/hyperlink" Target="mailto:nudem@defensoria.sc.def.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scielo.br/j/csc/a/8LRYdgSMzMW4SDDQ65zzFHx/" TargetMode="External"/><Relationship Id="rId13" Type="http://schemas.openxmlformats.org/officeDocument/2006/relationships/hyperlink" Target="https://www.febrasgo.org.br/pt/noticias/item/1470-nota-informativa-aos-tocoginecologistas-brasileiros-sobre-o-aborto-legal-na-gestacao-decorrente-de-estupro-de-vulneravel" TargetMode="External"/><Relationship Id="rId18" Type="http://schemas.openxmlformats.org/officeDocument/2006/relationships/hyperlink" Target="https://catarinas.info/o-direito-de-saber-acesso-a-informacao-e-aborto-legal-no-brasil/" TargetMode="External"/><Relationship Id="rId3" Type="http://schemas.openxmlformats.org/officeDocument/2006/relationships/hyperlink" Target="https://repositorio.ipea.gov.br/bitstream/11058/11814/1/Publicacao_preliminar_TD_Elucidando_a_prevalencia_de_estupro.pdf" TargetMode="External"/><Relationship Id="rId21" Type="http://schemas.openxmlformats.org/officeDocument/2006/relationships/hyperlink" Target="https://repositorio.ipea.gov.br/handle/11058/11814" TargetMode="External"/><Relationship Id="rId7" Type="http://schemas.openxmlformats.org/officeDocument/2006/relationships/hyperlink" Target="https://defensoria.rj.def.br/uploads/arquivos/c70b9c7926f145c1ab4cfa7807d4f52b.pdf" TargetMode="External"/><Relationship Id="rId12" Type="http://schemas.openxmlformats.org/officeDocument/2006/relationships/hyperlink" Target="https://agenciabrasil.ebc.com.br/saude/noticia/2023-12/hospital-de-referencia-suspende-realizacao-de-aborto-legal-em-sp" TargetMode="External"/><Relationship Id="rId17" Type="http://schemas.openxmlformats.org/officeDocument/2006/relationships/hyperlink" Target="https://www.who.int/publications/i/item/9789240075207" TargetMode="External"/><Relationship Id="rId2" Type="http://schemas.openxmlformats.org/officeDocument/2006/relationships/hyperlink" Target="https://www.scielo.br/j/csp/a/KBWbtPcQww6KYSSGhYJ9YxG/?format=pdf&amp;lang=pt" TargetMode="External"/><Relationship Id="rId16" Type="http://schemas.openxmlformats.org/officeDocument/2006/relationships/hyperlink" Target="https://anis.org.br/wp-content/uploads/2022/10/Aborto-legal-via-telessaude-orientacoes-para-servicos-de-saude-1.pdf" TargetMode="External"/><Relationship Id="rId20" Type="http://schemas.openxmlformats.org/officeDocument/2006/relationships/hyperlink" Target="https://dive.sc.gov.br/phocadownload/doencas-agravos/Violencias/infografico-maio-laranja.pdf" TargetMode="External"/><Relationship Id="rId1" Type="http://schemas.openxmlformats.org/officeDocument/2006/relationships/hyperlink" Target="https://tbinternet.ohchr.org/_layouts/15/treatybodyexternal/Download.aspx?symbolno=CEDAW%2FC%2FBRA%2F8-9&amp;Lang=en" TargetMode="External"/><Relationship Id="rId6" Type="http://schemas.openxmlformats.org/officeDocument/2006/relationships/hyperlink" Target="https://forumseguranca.org.br/anuario-brasileiro-seguranca-publica/" TargetMode="External"/><Relationship Id="rId11" Type="http://schemas.openxmlformats.org/officeDocument/2006/relationships/hyperlink" Target="https://redesaude.org.br/wp-content/uploads/2021/10/Estudo-meninas-maes.pdf" TargetMode="External"/><Relationship Id="rId5" Type="http://schemas.openxmlformats.org/officeDocument/2006/relationships/hyperlink" Target="https://abortonobrasil.info/" TargetMode="External"/><Relationship Id="rId15" Type="http://schemas.openxmlformats.org/officeDocument/2006/relationships/hyperlink" Target="https://www.figo.org/FIGO-endorses-telemedicine-abortion-services" TargetMode="External"/><Relationship Id="rId10" Type="http://schemas.openxmlformats.org/officeDocument/2006/relationships/hyperlink" Target="https://redesaude.org.br/wp-content/uploads/2021/10/Estudo-meninas-maes.pdf" TargetMode="External"/><Relationship Id="rId19" Type="http://schemas.openxmlformats.org/officeDocument/2006/relationships/hyperlink" Target="https://bit.ly/3y6xtz5" TargetMode="External"/><Relationship Id="rId4" Type="http://schemas.openxmlformats.org/officeDocument/2006/relationships/hyperlink" Target="https://www.ipea.gov.br/atlasviolencia/artigo/75/estupro-no-brasil-uma-radiografia-segundo-os-dados-da-saude" TargetMode="External"/><Relationship Id="rId9" Type="http://schemas.openxmlformats.org/officeDocument/2006/relationships/hyperlink" Target="https://docs.google.com/document/d/1Ow2ZO-dqqbCwcwgSrNsL3YajbhGHic6khoKkgU5VdZI/edit" TargetMode="External"/><Relationship Id="rId14" Type="http://schemas.openxmlformats.org/officeDocument/2006/relationships/hyperlink" Target="https://www.febrasgo.org.br/images/pec/Protocolos-assistenciais/Protocolos-assistenciais-obstetricia.pdf/Aborto-Classificao-diagnstico-e-conduta.pdf" TargetMode="External"/><Relationship Id="rId22" Type="http://schemas.openxmlformats.org/officeDocument/2006/relationships/hyperlink" Target="https://www.intercept.com.br/2022/06/20/video-juiza-sc-menina-11-anos-estupro-aborto/"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jp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jp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4851</Words>
  <Characters>27657</Characters>
  <Application>Microsoft Office Word</Application>
  <DocSecurity>0</DocSecurity>
  <Lines>230</Lines>
  <Paragraphs>64</Paragraphs>
  <ScaleCrop>false</ScaleCrop>
  <Company/>
  <LinksUpToDate>false</LinksUpToDate>
  <CharactersWithSpaces>32444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Camila Mafioletti Daltoé</cp:lastModifiedBy>
  <cp:revision>2</cp:revision>
  <dcterms:created xsi:type="dcterms:W3CDTF">2024-04-15T13:52:00Z</dcterms:created>
  <dcterms:modified xsi:type="dcterms:W3CDTF">2024-04-15T13:52:00Z</dcterms:modified>
</cp:coreProperties>
</file>