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8BBF" w14:textId="77777777" w:rsidR="00CE5085" w:rsidRDefault="00E663DE" w:rsidP="00E663DE">
      <w:pPr>
        <w:spacing w:after="0" w:line="240" w:lineRule="auto"/>
        <w:jc w:val="center"/>
        <w:rPr>
          <w:b/>
          <w:sz w:val="28"/>
          <w:szCs w:val="24"/>
        </w:rPr>
      </w:pPr>
      <w:r w:rsidRPr="00E663DE">
        <w:rPr>
          <w:b/>
          <w:sz w:val="28"/>
          <w:szCs w:val="24"/>
        </w:rPr>
        <w:t>PRESENTACIÓN INICIAL DE ECUADOR ANTE</w:t>
      </w:r>
    </w:p>
    <w:p w14:paraId="017E1394" w14:textId="77777777" w:rsidR="00182D5A" w:rsidRPr="00E663DE" w:rsidRDefault="00E663DE" w:rsidP="00E663DE">
      <w:pPr>
        <w:spacing w:after="0" w:line="240" w:lineRule="auto"/>
        <w:jc w:val="center"/>
        <w:rPr>
          <w:b/>
          <w:sz w:val="28"/>
          <w:szCs w:val="24"/>
        </w:rPr>
      </w:pPr>
      <w:r w:rsidRPr="00E663DE">
        <w:rPr>
          <w:b/>
          <w:sz w:val="28"/>
          <w:szCs w:val="24"/>
        </w:rPr>
        <w:t>EL COMITÉ DE LOS DERECHOS DEL NIÑO</w:t>
      </w:r>
    </w:p>
    <w:p w14:paraId="5CC1CB89" w14:textId="77777777" w:rsidR="00E663DE" w:rsidRPr="00E663DE" w:rsidRDefault="00E663DE" w:rsidP="00E663DE">
      <w:pPr>
        <w:spacing w:after="0" w:line="240" w:lineRule="auto"/>
        <w:jc w:val="both"/>
        <w:rPr>
          <w:sz w:val="28"/>
          <w:szCs w:val="24"/>
        </w:rPr>
      </w:pPr>
    </w:p>
    <w:p w14:paraId="09B897B9" w14:textId="2E905AD6" w:rsidR="001B468E" w:rsidRDefault="001B468E" w:rsidP="00E663D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Señor Presidente, señoras y señores miembros del Comité de los Derechos del Niño de Naciones Unidas:</w:t>
      </w:r>
    </w:p>
    <w:p w14:paraId="1D2BA61D" w14:textId="77777777" w:rsidR="001B468E" w:rsidRDefault="001B468E" w:rsidP="00E663DE">
      <w:pPr>
        <w:spacing w:after="0" w:line="240" w:lineRule="auto"/>
        <w:jc w:val="both"/>
        <w:rPr>
          <w:sz w:val="28"/>
          <w:szCs w:val="24"/>
        </w:rPr>
      </w:pPr>
    </w:p>
    <w:p w14:paraId="11AA3E82" w14:textId="15942B82" w:rsidR="00CE5085" w:rsidRDefault="00E663DE" w:rsidP="00E663D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La Constitución de la República del Ecuador recoge en </w:t>
      </w:r>
      <w:r w:rsidR="00575D7C">
        <w:rPr>
          <w:sz w:val="28"/>
          <w:szCs w:val="24"/>
        </w:rPr>
        <w:t>su</w:t>
      </w:r>
      <w:r>
        <w:rPr>
          <w:sz w:val="28"/>
          <w:szCs w:val="24"/>
        </w:rPr>
        <w:t xml:space="preserve"> artículo</w:t>
      </w:r>
      <w:r w:rsidR="00B37363">
        <w:rPr>
          <w:sz w:val="28"/>
          <w:szCs w:val="24"/>
        </w:rPr>
        <w:t xml:space="preserve"> 44, </w:t>
      </w:r>
      <w:r w:rsidR="00575D7C">
        <w:rPr>
          <w:sz w:val="28"/>
          <w:szCs w:val="24"/>
        </w:rPr>
        <w:t xml:space="preserve">de manera explícita, </w:t>
      </w:r>
      <w:r w:rsidR="00B37363">
        <w:rPr>
          <w:sz w:val="28"/>
          <w:szCs w:val="24"/>
        </w:rPr>
        <w:t>el principio del interés superior del niño</w:t>
      </w:r>
      <w:r w:rsidR="00575D7C">
        <w:rPr>
          <w:sz w:val="28"/>
          <w:szCs w:val="24"/>
        </w:rPr>
        <w:t xml:space="preserve">, en correspondencia con el artículo tercero de la Convención de los Derechos del Niño. Esto es una muestra de la decisión del pueblo ecuatoriano de </w:t>
      </w:r>
      <w:r w:rsidR="0029010B">
        <w:rPr>
          <w:sz w:val="28"/>
          <w:szCs w:val="24"/>
        </w:rPr>
        <w:t>tener</w:t>
      </w:r>
      <w:r w:rsidR="00575D7C">
        <w:rPr>
          <w:sz w:val="28"/>
          <w:szCs w:val="24"/>
        </w:rPr>
        <w:t xml:space="preserve"> una sociedad y un Estado constitucional de derechos. En el ámbito normativo este principio se ha reflejado en más de 30 códigos y leyes de diverso tipo</w:t>
      </w:r>
      <w:r w:rsidR="005030A9">
        <w:rPr>
          <w:sz w:val="28"/>
          <w:szCs w:val="24"/>
        </w:rPr>
        <w:t xml:space="preserve"> y se encuentran otras más en construcción, hasta completar un cuerpo legal nuevo, acorde con el Estado de Derechos</w:t>
      </w:r>
      <w:r w:rsidR="00575D7C">
        <w:rPr>
          <w:sz w:val="28"/>
          <w:szCs w:val="24"/>
        </w:rPr>
        <w:t xml:space="preserve">. En el </w:t>
      </w:r>
      <w:r w:rsidR="00480ADC">
        <w:rPr>
          <w:sz w:val="28"/>
          <w:szCs w:val="24"/>
        </w:rPr>
        <w:t>campo</w:t>
      </w:r>
      <w:r w:rsidR="00575D7C">
        <w:rPr>
          <w:sz w:val="28"/>
          <w:szCs w:val="24"/>
        </w:rPr>
        <w:t xml:space="preserve"> institucional contamos tanto con </w:t>
      </w:r>
      <w:r w:rsidR="00480ADC">
        <w:rPr>
          <w:sz w:val="28"/>
          <w:szCs w:val="24"/>
        </w:rPr>
        <w:t>entidades</w:t>
      </w:r>
      <w:r w:rsidR="00575D7C">
        <w:rPr>
          <w:sz w:val="28"/>
          <w:szCs w:val="24"/>
        </w:rPr>
        <w:t xml:space="preserve"> específica</w:t>
      </w:r>
      <w:r w:rsidR="00480ADC">
        <w:rPr>
          <w:sz w:val="28"/>
          <w:szCs w:val="24"/>
        </w:rPr>
        <w:t>s</w:t>
      </w:r>
      <w:r w:rsidR="00575D7C">
        <w:rPr>
          <w:sz w:val="28"/>
          <w:szCs w:val="24"/>
        </w:rPr>
        <w:t>, donde es necesari</w:t>
      </w:r>
      <w:r w:rsidR="00480ADC">
        <w:rPr>
          <w:sz w:val="28"/>
          <w:szCs w:val="24"/>
        </w:rPr>
        <w:t>o</w:t>
      </w:r>
      <w:r w:rsidR="00575D7C">
        <w:rPr>
          <w:sz w:val="28"/>
          <w:szCs w:val="24"/>
        </w:rPr>
        <w:t xml:space="preserve">, </w:t>
      </w:r>
      <w:r w:rsidR="00CE5085">
        <w:rPr>
          <w:sz w:val="28"/>
          <w:szCs w:val="24"/>
        </w:rPr>
        <w:t>como</w:t>
      </w:r>
      <w:r w:rsidR="00480ADC">
        <w:rPr>
          <w:sz w:val="28"/>
          <w:szCs w:val="24"/>
        </w:rPr>
        <w:t xml:space="preserve"> c</w:t>
      </w:r>
      <w:r w:rsidR="00575D7C">
        <w:rPr>
          <w:sz w:val="28"/>
          <w:szCs w:val="24"/>
        </w:rPr>
        <w:t>on protocolos especializados dirigidos a la niñez y adolescencia</w:t>
      </w:r>
      <w:r w:rsidR="00480ADC">
        <w:rPr>
          <w:sz w:val="28"/>
          <w:szCs w:val="24"/>
        </w:rPr>
        <w:t xml:space="preserve"> en </w:t>
      </w:r>
      <w:r w:rsidR="00D41FBC">
        <w:rPr>
          <w:sz w:val="28"/>
          <w:szCs w:val="24"/>
        </w:rPr>
        <w:t>los demás espacios públicos</w:t>
      </w:r>
      <w:r w:rsidR="00575D7C">
        <w:rPr>
          <w:sz w:val="28"/>
          <w:szCs w:val="24"/>
        </w:rPr>
        <w:t xml:space="preserve">. En </w:t>
      </w:r>
      <w:r w:rsidR="00480ADC">
        <w:rPr>
          <w:sz w:val="28"/>
          <w:szCs w:val="24"/>
        </w:rPr>
        <w:t>la función</w:t>
      </w:r>
      <w:r w:rsidR="00575D7C">
        <w:rPr>
          <w:sz w:val="28"/>
          <w:szCs w:val="24"/>
        </w:rPr>
        <w:t xml:space="preserve"> judicial tenemos juzgados especializados de niñez y familia en </w:t>
      </w:r>
      <w:r w:rsidR="00D41FBC">
        <w:rPr>
          <w:sz w:val="28"/>
          <w:szCs w:val="24"/>
        </w:rPr>
        <w:t>diversos cantones del</w:t>
      </w:r>
      <w:r w:rsidR="00575D7C">
        <w:rPr>
          <w:sz w:val="28"/>
          <w:szCs w:val="24"/>
        </w:rPr>
        <w:t xml:space="preserve"> pa</w:t>
      </w:r>
      <w:r w:rsidR="00CC14D2">
        <w:rPr>
          <w:sz w:val="28"/>
          <w:szCs w:val="24"/>
        </w:rPr>
        <w:t>ís.</w:t>
      </w:r>
    </w:p>
    <w:p w14:paraId="4B2CCA35" w14:textId="77777777" w:rsidR="00CC14D2" w:rsidRDefault="00CC14D2" w:rsidP="00E663DE">
      <w:pPr>
        <w:spacing w:after="0" w:line="240" w:lineRule="auto"/>
        <w:jc w:val="both"/>
        <w:rPr>
          <w:sz w:val="28"/>
          <w:szCs w:val="24"/>
        </w:rPr>
      </w:pPr>
    </w:p>
    <w:p w14:paraId="105629F3" w14:textId="2DFEF13C" w:rsidR="00955C8A" w:rsidRDefault="00955C8A" w:rsidP="00E663D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El Estado ecuatoriano cuenta con una amplia gama de políticas públicas </w:t>
      </w:r>
      <w:proofErr w:type="gramStart"/>
      <w:r>
        <w:rPr>
          <w:sz w:val="28"/>
          <w:szCs w:val="24"/>
        </w:rPr>
        <w:t>relacionadas</w:t>
      </w:r>
      <w:proofErr w:type="gramEnd"/>
      <w:r>
        <w:rPr>
          <w:sz w:val="28"/>
          <w:szCs w:val="24"/>
        </w:rPr>
        <w:t xml:space="preserve"> con niñez y adolescencia en los ámbitos de derechos, violencia, justicia, educación, salud, género, discapacidades, movilidad humana, protección especial, justicia, embarazo adolescente, menores privados de libertad, y otras. Todas con una visión inclusiva común y formas de coordinación interinstitucional.</w:t>
      </w:r>
    </w:p>
    <w:p w14:paraId="549408D2" w14:textId="77777777" w:rsidR="00955C8A" w:rsidRDefault="00955C8A" w:rsidP="00E663DE">
      <w:pPr>
        <w:spacing w:after="0" w:line="240" w:lineRule="auto"/>
        <w:jc w:val="both"/>
        <w:rPr>
          <w:sz w:val="28"/>
          <w:szCs w:val="24"/>
        </w:rPr>
      </w:pPr>
    </w:p>
    <w:p w14:paraId="4E234D4F" w14:textId="48CF60FB" w:rsidR="003E6F5E" w:rsidRDefault="00955C8A" w:rsidP="00E663DE">
      <w:pPr>
        <w:spacing w:after="0" w:line="240" w:lineRule="auto"/>
        <w:jc w:val="both"/>
        <w:rPr>
          <w:rFonts w:eastAsia="Verdana" w:cstheme="minorHAnsi"/>
          <w:sz w:val="28"/>
          <w:szCs w:val="28"/>
        </w:rPr>
      </w:pPr>
      <w:r w:rsidRPr="003E6F5E">
        <w:rPr>
          <w:rFonts w:cstheme="minorHAnsi"/>
          <w:sz w:val="28"/>
          <w:szCs w:val="28"/>
        </w:rPr>
        <w:t xml:space="preserve">Existe una importante articulación alrededor de las políticas públicas y de programas específicos dirigidos a la niñez y adolescencia como son </w:t>
      </w:r>
      <w:r w:rsidR="0087292B" w:rsidRPr="003E6F5E">
        <w:rPr>
          <w:rFonts w:eastAsia="Times New Roman" w:cstheme="minorHAnsi"/>
          <w:sz w:val="28"/>
          <w:szCs w:val="28"/>
        </w:rPr>
        <w:t xml:space="preserve">el Acuerdo Nacional de Erradicación de la Violencia de Género hacia Niñez, Adolescencia y Mujeres, el Plan Toda una Vida con su Misión Ternura, el Plan de Convivencia Armónica en el Sistema Escolar y la construcción del Sistema de Protección de Derechos establecido en la Constitución. Esta articulación compete a más de </w:t>
      </w:r>
      <w:r w:rsidR="00157B6A" w:rsidRPr="003E6F5E">
        <w:rPr>
          <w:rFonts w:eastAsia="Times New Roman" w:cstheme="minorHAnsi"/>
          <w:sz w:val="28"/>
          <w:szCs w:val="28"/>
        </w:rPr>
        <w:t>20</w:t>
      </w:r>
      <w:r w:rsidR="0087292B" w:rsidRPr="003E6F5E">
        <w:rPr>
          <w:rFonts w:eastAsia="Times New Roman" w:cstheme="minorHAnsi"/>
          <w:sz w:val="28"/>
          <w:szCs w:val="28"/>
        </w:rPr>
        <w:t xml:space="preserve"> instituciones estatales como son (disculpas por enumerarlas a todas, pero es muy importante</w:t>
      </w:r>
      <w:r w:rsidR="0091562F">
        <w:rPr>
          <w:rFonts w:eastAsia="Times New Roman" w:cstheme="minorHAnsi"/>
          <w:sz w:val="28"/>
          <w:szCs w:val="28"/>
        </w:rPr>
        <w:t>)</w:t>
      </w:r>
      <w:r w:rsidR="0087292B" w:rsidRPr="003E6F5E">
        <w:rPr>
          <w:rFonts w:eastAsia="Times New Roman" w:cstheme="minorHAnsi"/>
          <w:sz w:val="28"/>
          <w:szCs w:val="28"/>
        </w:rPr>
        <w:t xml:space="preserve">: </w:t>
      </w:r>
      <w:r w:rsidR="0091562F">
        <w:rPr>
          <w:rFonts w:eastAsia="Times New Roman" w:cstheme="minorHAnsi"/>
          <w:sz w:val="28"/>
          <w:szCs w:val="28"/>
        </w:rPr>
        <w:t>Los m</w:t>
      </w:r>
      <w:r w:rsidR="0087292B" w:rsidRPr="003E6F5E">
        <w:rPr>
          <w:rFonts w:eastAsia="Verdana" w:cstheme="minorHAnsi"/>
          <w:sz w:val="28"/>
          <w:szCs w:val="28"/>
        </w:rPr>
        <w:t xml:space="preserve">inisterios de </w:t>
      </w:r>
      <w:r w:rsidR="0091562F">
        <w:rPr>
          <w:rFonts w:eastAsia="Verdana" w:cstheme="minorHAnsi"/>
          <w:sz w:val="28"/>
          <w:szCs w:val="28"/>
        </w:rPr>
        <w:t xml:space="preserve">Justicia, </w:t>
      </w:r>
      <w:r w:rsidR="0087292B" w:rsidRPr="003E6F5E">
        <w:rPr>
          <w:rFonts w:eastAsia="Verdana" w:cstheme="minorHAnsi"/>
          <w:sz w:val="28"/>
          <w:szCs w:val="28"/>
        </w:rPr>
        <w:t xml:space="preserve">Educación, Salud, Inclusión Económica y Social, </w:t>
      </w:r>
      <w:r w:rsidR="005030A9" w:rsidRPr="003E6F5E">
        <w:rPr>
          <w:rFonts w:eastAsia="Verdana" w:cstheme="minorHAnsi"/>
          <w:sz w:val="28"/>
          <w:szCs w:val="28"/>
        </w:rPr>
        <w:t xml:space="preserve">Trabajo, </w:t>
      </w:r>
      <w:r w:rsidR="0087292B" w:rsidRPr="003E6F5E">
        <w:rPr>
          <w:rFonts w:eastAsia="Verdana" w:cstheme="minorHAnsi"/>
          <w:sz w:val="28"/>
          <w:szCs w:val="28"/>
        </w:rPr>
        <w:t>Interior, Turismo</w:t>
      </w:r>
      <w:r w:rsidR="00157B6A" w:rsidRPr="003E6F5E">
        <w:rPr>
          <w:rFonts w:eastAsia="Verdana" w:cstheme="minorHAnsi"/>
          <w:sz w:val="28"/>
          <w:szCs w:val="28"/>
        </w:rPr>
        <w:t xml:space="preserve"> y Relaciones Ext</w:t>
      </w:r>
      <w:r w:rsidR="00C05107">
        <w:rPr>
          <w:rFonts w:eastAsia="Verdana" w:cstheme="minorHAnsi"/>
          <w:sz w:val="28"/>
          <w:szCs w:val="28"/>
        </w:rPr>
        <w:t>eriores; Judicatura, Jueces de niñez y adolescencia</w:t>
      </w:r>
      <w:r w:rsidR="00157B6A" w:rsidRPr="003E6F5E">
        <w:rPr>
          <w:rFonts w:eastAsia="Verdana" w:cstheme="minorHAnsi"/>
          <w:sz w:val="28"/>
          <w:szCs w:val="28"/>
        </w:rPr>
        <w:t xml:space="preserve">, Fiscalía, </w:t>
      </w:r>
      <w:r w:rsidR="0091562F">
        <w:rPr>
          <w:rFonts w:eastAsia="Verdana" w:cstheme="minorHAnsi"/>
          <w:sz w:val="28"/>
          <w:szCs w:val="28"/>
        </w:rPr>
        <w:t>Policía especializada en niñez (</w:t>
      </w:r>
      <w:r w:rsidR="005030A9" w:rsidRPr="003E6F5E">
        <w:rPr>
          <w:rFonts w:eastAsia="Verdana" w:cstheme="minorHAnsi"/>
          <w:sz w:val="28"/>
          <w:szCs w:val="28"/>
        </w:rPr>
        <w:t>DINAPEN</w:t>
      </w:r>
      <w:r w:rsidR="0091562F">
        <w:rPr>
          <w:rFonts w:eastAsia="Verdana" w:cstheme="minorHAnsi"/>
          <w:sz w:val="28"/>
          <w:szCs w:val="28"/>
        </w:rPr>
        <w:t>)</w:t>
      </w:r>
      <w:r w:rsidR="005030A9" w:rsidRPr="003E6F5E">
        <w:rPr>
          <w:rFonts w:eastAsia="Verdana" w:cstheme="minorHAnsi"/>
          <w:sz w:val="28"/>
          <w:szCs w:val="28"/>
        </w:rPr>
        <w:t xml:space="preserve">, Defensoría del Pueblo, Defensoría Pública, </w:t>
      </w:r>
      <w:r w:rsidR="00157B6A" w:rsidRPr="003E6F5E">
        <w:rPr>
          <w:rFonts w:eastAsia="Verdana" w:cstheme="minorHAnsi"/>
          <w:sz w:val="28"/>
          <w:szCs w:val="28"/>
        </w:rPr>
        <w:t>Conse</w:t>
      </w:r>
      <w:r w:rsidR="0091562F">
        <w:rPr>
          <w:rFonts w:eastAsia="Verdana" w:cstheme="minorHAnsi"/>
          <w:sz w:val="28"/>
          <w:szCs w:val="28"/>
        </w:rPr>
        <w:t>jos Nacionales para la Igualdad</w:t>
      </w:r>
      <w:r w:rsidR="00157B6A" w:rsidRPr="003E6F5E">
        <w:rPr>
          <w:rFonts w:eastAsia="Verdana" w:cstheme="minorHAnsi"/>
          <w:sz w:val="28"/>
          <w:szCs w:val="28"/>
        </w:rPr>
        <w:t xml:space="preserve"> de </w:t>
      </w:r>
      <w:r w:rsidR="002E7A82" w:rsidRPr="003E6F5E">
        <w:rPr>
          <w:rFonts w:eastAsia="Verdana" w:cstheme="minorHAnsi"/>
          <w:sz w:val="28"/>
          <w:szCs w:val="28"/>
        </w:rPr>
        <w:t>Género</w:t>
      </w:r>
      <w:r w:rsidR="00157B6A" w:rsidRPr="003E6F5E">
        <w:rPr>
          <w:rFonts w:eastAsia="Verdana" w:cstheme="minorHAnsi"/>
          <w:sz w:val="28"/>
          <w:szCs w:val="28"/>
        </w:rPr>
        <w:t>, Intergeneracional, de Discapacidades, de Pueblos y N</w:t>
      </w:r>
      <w:r w:rsidR="003E6F5E">
        <w:rPr>
          <w:rFonts w:eastAsia="Verdana" w:cstheme="minorHAnsi"/>
          <w:sz w:val="28"/>
          <w:szCs w:val="28"/>
        </w:rPr>
        <w:t>acionalidades y de Movilidad Hu</w:t>
      </w:r>
      <w:r w:rsidR="00157B6A" w:rsidRPr="003E6F5E">
        <w:rPr>
          <w:rFonts w:eastAsia="Verdana" w:cstheme="minorHAnsi"/>
          <w:sz w:val="28"/>
          <w:szCs w:val="28"/>
        </w:rPr>
        <w:t>mana; Consejo de Participación Ciudadana y Control Social, Consejo de Regulación de la Comunicación</w:t>
      </w:r>
      <w:r w:rsidR="003E6F5E">
        <w:rPr>
          <w:rFonts w:eastAsia="Verdana" w:cstheme="minorHAnsi"/>
          <w:sz w:val="28"/>
          <w:szCs w:val="28"/>
        </w:rPr>
        <w:t>.</w:t>
      </w:r>
    </w:p>
    <w:p w14:paraId="3B59B48E" w14:textId="77777777" w:rsidR="003E6F5E" w:rsidRPr="00D726B0" w:rsidRDefault="003E6F5E" w:rsidP="00E663DE">
      <w:pPr>
        <w:spacing w:after="0" w:line="240" w:lineRule="auto"/>
        <w:jc w:val="both"/>
        <w:rPr>
          <w:rFonts w:eastAsia="Verdana" w:cstheme="minorHAnsi"/>
          <w:sz w:val="32"/>
          <w:szCs w:val="28"/>
        </w:rPr>
      </w:pPr>
    </w:p>
    <w:p w14:paraId="7B7071CA" w14:textId="77777777" w:rsidR="00D726B0" w:rsidRPr="00D726B0" w:rsidRDefault="00D726B0" w:rsidP="00D726B0">
      <w:pPr>
        <w:pStyle w:val="NormalWeb"/>
        <w:shd w:val="clear" w:color="auto" w:fill="FFFFFF"/>
        <w:tabs>
          <w:tab w:val="left" w:pos="9070"/>
        </w:tabs>
        <w:spacing w:before="0" w:beforeAutospacing="0" w:after="0" w:afterAutospacing="0"/>
        <w:ind w:right="-2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lastRenderedPageBreak/>
        <w:t>En el ámbito de políticas públicas integrales, dirigidas a toda la población, se puede constatar que, además de su incidencia de conjunto, contribuyen al mejoramiento de la situación y condiciones de vida de las niñas, niños y adolescentes de manera directa, pues mitigan sus condiciones de vulnerabilidad</w:t>
      </w:r>
      <w:r w:rsidRPr="00D726B0">
        <w:rPr>
          <w:rStyle w:val="Refdenotaalpie"/>
          <w:rFonts w:asciiTheme="minorHAnsi" w:eastAsiaTheme="minorHAnsi" w:hAnsiTheme="minorHAnsi" w:cstheme="minorBidi"/>
          <w:sz w:val="28"/>
          <w:lang w:eastAsia="en-US"/>
        </w:rPr>
        <w:footnoteReference w:id="1"/>
      </w:r>
      <w:r w:rsidRPr="00D726B0">
        <w:rPr>
          <w:rFonts w:asciiTheme="minorHAnsi" w:eastAsiaTheme="minorHAnsi" w:hAnsiTheme="minorHAnsi" w:cstheme="minorBidi"/>
          <w:sz w:val="28"/>
          <w:lang w:eastAsia="en-US"/>
        </w:rPr>
        <w:t>. Entre estas políticas están:</w:t>
      </w:r>
    </w:p>
    <w:p w14:paraId="23CA5A28" w14:textId="77777777" w:rsidR="00D726B0" w:rsidRPr="00D726B0" w:rsidRDefault="00D726B0" w:rsidP="00D726B0">
      <w:pPr>
        <w:pStyle w:val="NormalWeb"/>
        <w:shd w:val="clear" w:color="auto" w:fill="FFFFFF"/>
        <w:tabs>
          <w:tab w:val="left" w:pos="9070"/>
        </w:tabs>
        <w:spacing w:before="0" w:beforeAutospacing="0" w:after="0" w:afterAutospacing="0"/>
        <w:ind w:right="-2"/>
        <w:jc w:val="both"/>
        <w:rPr>
          <w:rFonts w:asciiTheme="minorHAnsi" w:eastAsiaTheme="minorHAnsi" w:hAnsiTheme="minorHAnsi" w:cstheme="minorBidi"/>
          <w:sz w:val="28"/>
          <w:lang w:eastAsia="en-US"/>
        </w:rPr>
      </w:pPr>
    </w:p>
    <w:p w14:paraId="24F1691B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Disminución de la pobreza</w:t>
      </w:r>
    </w:p>
    <w:p w14:paraId="5C59E99A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Servicios públicos universales</w:t>
      </w:r>
    </w:p>
    <w:p w14:paraId="0063AD03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Universalización de la educación</w:t>
      </w:r>
    </w:p>
    <w:p w14:paraId="0AF10D6E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Ampliación de los servicios de salud</w:t>
      </w:r>
    </w:p>
    <w:p w14:paraId="5C9CF76C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Mejora del sistema de justicia</w:t>
      </w:r>
    </w:p>
    <w:p w14:paraId="0CCCD6E0" w14:textId="77777777" w:rsidR="00D726B0" w:rsidRPr="00D726B0" w:rsidRDefault="00D726B0" w:rsidP="00D726B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L</w:t>
      </w:r>
      <w:r w:rsidRPr="00D726B0">
        <w:rPr>
          <w:sz w:val="28"/>
          <w:szCs w:val="24"/>
        </w:rPr>
        <w:t xml:space="preserve">ucha contra la violencia </w:t>
      </w:r>
      <w:r>
        <w:rPr>
          <w:sz w:val="28"/>
          <w:szCs w:val="24"/>
        </w:rPr>
        <w:t xml:space="preserve">de </w:t>
      </w:r>
      <w:r w:rsidRPr="00D726B0">
        <w:rPr>
          <w:sz w:val="28"/>
          <w:szCs w:val="24"/>
        </w:rPr>
        <w:t xml:space="preserve">género </w:t>
      </w:r>
    </w:p>
    <w:p w14:paraId="295C021A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Mejora de las condiciones laborales y seguridad social</w:t>
      </w:r>
    </w:p>
    <w:p w14:paraId="49C97829" w14:textId="77777777" w:rsidR="00D726B0" w:rsidRPr="00D726B0" w:rsidRDefault="00D726B0" w:rsidP="00D726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27"/>
        <w:jc w:val="both"/>
        <w:rPr>
          <w:rFonts w:asciiTheme="minorHAnsi" w:eastAsiaTheme="minorHAnsi" w:hAnsiTheme="minorHAnsi" w:cstheme="minorBidi"/>
          <w:sz w:val="28"/>
          <w:lang w:eastAsia="en-US"/>
        </w:rPr>
      </w:pPr>
      <w:r w:rsidRPr="00D726B0">
        <w:rPr>
          <w:rFonts w:asciiTheme="minorHAnsi" w:eastAsiaTheme="minorHAnsi" w:hAnsiTheme="minorHAnsi" w:cstheme="minorBidi"/>
          <w:sz w:val="28"/>
          <w:lang w:eastAsia="en-US"/>
        </w:rPr>
        <w:t>Acceso a la tecnología</w:t>
      </w:r>
    </w:p>
    <w:p w14:paraId="51139921" w14:textId="77777777" w:rsidR="00D726B0" w:rsidRPr="00D726B0" w:rsidRDefault="00D726B0" w:rsidP="00E663DE">
      <w:pPr>
        <w:spacing w:after="0" w:line="240" w:lineRule="auto"/>
        <w:jc w:val="both"/>
        <w:rPr>
          <w:rFonts w:eastAsia="Verdana" w:cstheme="minorHAnsi"/>
          <w:sz w:val="32"/>
          <w:szCs w:val="28"/>
        </w:rPr>
      </w:pPr>
    </w:p>
    <w:p w14:paraId="77E677D4" w14:textId="19CD19B9" w:rsidR="00955C8A" w:rsidRPr="003E6F5E" w:rsidRDefault="003E6F5E" w:rsidP="00E663DE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4"/>
        </w:rPr>
        <w:t>Hay una importante acción territorial por la niñez desde los Gobiernos Autónomos Descentralizados (</w:t>
      </w:r>
      <w:r w:rsidR="00157B6A" w:rsidRPr="003E6F5E">
        <w:rPr>
          <w:rFonts w:eastAsia="Verdana" w:cstheme="minorHAnsi"/>
          <w:sz w:val="28"/>
          <w:szCs w:val="28"/>
        </w:rPr>
        <w:t>G</w:t>
      </w:r>
      <w:r w:rsidR="00541AFE">
        <w:rPr>
          <w:rFonts w:eastAsia="Verdana" w:cstheme="minorHAnsi"/>
          <w:sz w:val="28"/>
          <w:szCs w:val="28"/>
        </w:rPr>
        <w:t>obiernos locales</w:t>
      </w:r>
      <w:r>
        <w:rPr>
          <w:rFonts w:eastAsia="Verdana" w:cstheme="minorHAnsi"/>
          <w:sz w:val="28"/>
          <w:szCs w:val="28"/>
        </w:rPr>
        <w:t>)</w:t>
      </w:r>
      <w:r w:rsidR="00157B6A" w:rsidRPr="003E6F5E">
        <w:rPr>
          <w:rFonts w:eastAsia="Verdana" w:cstheme="minorHAnsi"/>
          <w:sz w:val="28"/>
          <w:szCs w:val="28"/>
        </w:rPr>
        <w:t>, Consejos Cantonales de Protección de Derechos, Juntas cantonales de protecci</w:t>
      </w:r>
      <w:r w:rsidR="005030A9" w:rsidRPr="003E6F5E">
        <w:rPr>
          <w:rFonts w:eastAsia="Verdana" w:cstheme="minorHAnsi"/>
          <w:sz w:val="28"/>
          <w:szCs w:val="28"/>
        </w:rPr>
        <w:t>ón de derechos</w:t>
      </w:r>
      <w:r>
        <w:rPr>
          <w:rFonts w:eastAsia="Verdana" w:cstheme="minorHAnsi"/>
          <w:sz w:val="28"/>
          <w:szCs w:val="28"/>
        </w:rPr>
        <w:t>, defensorías comunitarias y organizaciones locales, que han incorporado a los consejos consultivos de niñas, niños y adolescentes en la planificación y acción institucional y se han convertido en actores participantes de sus decisiones.</w:t>
      </w:r>
    </w:p>
    <w:p w14:paraId="5F8FEEFC" w14:textId="77777777" w:rsidR="00955C8A" w:rsidRPr="003E6F5E" w:rsidRDefault="00955C8A" w:rsidP="00E663D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FD013D6" w14:textId="34245B3A" w:rsidR="003E6F5E" w:rsidRDefault="008B41DB" w:rsidP="005030A9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Esto</w:t>
      </w:r>
      <w:r w:rsidR="006A3F42">
        <w:rPr>
          <w:sz w:val="28"/>
          <w:szCs w:val="24"/>
        </w:rPr>
        <w:t xml:space="preserve">s avances institucionales </w:t>
      </w:r>
      <w:r w:rsidR="00FF7810">
        <w:rPr>
          <w:sz w:val="28"/>
          <w:szCs w:val="24"/>
        </w:rPr>
        <w:t>requieren que todo</w:t>
      </w:r>
      <w:r w:rsidR="005403B3" w:rsidRPr="005403B3">
        <w:rPr>
          <w:sz w:val="28"/>
          <w:szCs w:val="24"/>
        </w:rPr>
        <w:t xml:space="preserve"> </w:t>
      </w:r>
      <w:r w:rsidR="005030A9" w:rsidRPr="005403B3">
        <w:rPr>
          <w:sz w:val="28"/>
          <w:szCs w:val="24"/>
        </w:rPr>
        <w:t>el servicio público</w:t>
      </w:r>
      <w:r w:rsidR="00FF7810">
        <w:rPr>
          <w:sz w:val="28"/>
          <w:szCs w:val="24"/>
        </w:rPr>
        <w:t xml:space="preserve"> actué en consonancia con los </w:t>
      </w:r>
      <w:r>
        <w:rPr>
          <w:sz w:val="28"/>
          <w:szCs w:val="24"/>
        </w:rPr>
        <w:t>mismos</w:t>
      </w:r>
      <w:r w:rsidR="00FF7810">
        <w:rPr>
          <w:sz w:val="28"/>
          <w:szCs w:val="24"/>
        </w:rPr>
        <w:t>,</w:t>
      </w:r>
      <w:r w:rsidR="005030A9" w:rsidRPr="005403B3">
        <w:rPr>
          <w:sz w:val="28"/>
          <w:szCs w:val="24"/>
        </w:rPr>
        <w:t xml:space="preserve"> </w:t>
      </w:r>
      <w:r w:rsidR="005433E5">
        <w:rPr>
          <w:sz w:val="28"/>
          <w:szCs w:val="24"/>
        </w:rPr>
        <w:t>adquiera</w:t>
      </w:r>
      <w:r w:rsidR="005030A9" w:rsidRPr="005403B3">
        <w:rPr>
          <w:sz w:val="28"/>
          <w:szCs w:val="24"/>
        </w:rPr>
        <w:t xml:space="preserve"> prácticas</w:t>
      </w:r>
      <w:r w:rsidR="00FF7810">
        <w:rPr>
          <w:sz w:val="28"/>
          <w:szCs w:val="24"/>
        </w:rPr>
        <w:t xml:space="preserve"> de inclusión</w:t>
      </w:r>
      <w:r w:rsidR="002D272C">
        <w:rPr>
          <w:sz w:val="28"/>
          <w:szCs w:val="24"/>
        </w:rPr>
        <w:t>,</w:t>
      </w:r>
      <w:r>
        <w:rPr>
          <w:sz w:val="28"/>
          <w:szCs w:val="24"/>
        </w:rPr>
        <w:t xml:space="preserve"> buen trato</w:t>
      </w:r>
      <w:r w:rsidR="005403B3">
        <w:rPr>
          <w:sz w:val="28"/>
          <w:szCs w:val="24"/>
        </w:rPr>
        <w:t xml:space="preserve"> y </w:t>
      </w:r>
      <w:r w:rsidR="005403B3" w:rsidRPr="005403B3">
        <w:rPr>
          <w:sz w:val="28"/>
          <w:szCs w:val="24"/>
        </w:rPr>
        <w:t>super</w:t>
      </w:r>
      <w:r w:rsidR="00FF7810">
        <w:rPr>
          <w:sz w:val="28"/>
          <w:szCs w:val="24"/>
        </w:rPr>
        <w:t>e</w:t>
      </w:r>
      <w:r w:rsidR="005403B3" w:rsidRPr="005403B3">
        <w:rPr>
          <w:sz w:val="28"/>
          <w:szCs w:val="24"/>
        </w:rPr>
        <w:t xml:space="preserve"> </w:t>
      </w:r>
      <w:r>
        <w:rPr>
          <w:sz w:val="28"/>
          <w:szCs w:val="24"/>
        </w:rPr>
        <w:t>viejas prácticas</w:t>
      </w:r>
      <w:r w:rsidR="005403B3" w:rsidRPr="005403B3">
        <w:rPr>
          <w:sz w:val="28"/>
          <w:szCs w:val="24"/>
        </w:rPr>
        <w:t xml:space="preserve"> burocráticas</w:t>
      </w:r>
      <w:r w:rsidR="00EC47F8">
        <w:rPr>
          <w:sz w:val="28"/>
          <w:szCs w:val="24"/>
        </w:rPr>
        <w:t xml:space="preserve"> negativas</w:t>
      </w:r>
      <w:r w:rsidR="003E6F5E" w:rsidRPr="005403B3">
        <w:rPr>
          <w:sz w:val="28"/>
          <w:szCs w:val="24"/>
        </w:rPr>
        <w:t>.</w:t>
      </w:r>
    </w:p>
    <w:p w14:paraId="5C95CDDC" w14:textId="77777777" w:rsidR="003E6F5E" w:rsidRDefault="003E6F5E" w:rsidP="005030A9">
      <w:pPr>
        <w:spacing w:after="0" w:line="240" w:lineRule="auto"/>
        <w:jc w:val="both"/>
        <w:rPr>
          <w:sz w:val="28"/>
          <w:szCs w:val="24"/>
        </w:rPr>
      </w:pPr>
    </w:p>
    <w:p w14:paraId="7A0757F2" w14:textId="2E5AC486" w:rsidR="005030A9" w:rsidRDefault="003E6F5E" w:rsidP="005030A9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</w:t>
      </w:r>
      <w:r w:rsidR="005030A9">
        <w:rPr>
          <w:sz w:val="28"/>
          <w:szCs w:val="24"/>
        </w:rPr>
        <w:t xml:space="preserve"> nivel de la sociedad y la familia, sabemos que</w:t>
      </w:r>
      <w:r w:rsidR="002E7A82">
        <w:rPr>
          <w:sz w:val="28"/>
          <w:szCs w:val="24"/>
        </w:rPr>
        <w:t xml:space="preserve"> aún </w:t>
      </w:r>
      <w:r w:rsidR="005030A9">
        <w:rPr>
          <w:sz w:val="28"/>
          <w:szCs w:val="24"/>
        </w:rPr>
        <w:t>hay importantes brechas que cerrar para lograr una cultura de ejercicio pleno de derechos.</w:t>
      </w:r>
      <w:r>
        <w:rPr>
          <w:sz w:val="28"/>
          <w:szCs w:val="24"/>
        </w:rPr>
        <w:t xml:space="preserve"> </w:t>
      </w:r>
      <w:r w:rsidRPr="005819F6">
        <w:rPr>
          <w:sz w:val="28"/>
          <w:szCs w:val="24"/>
        </w:rPr>
        <w:t>La violencia doméstica no ha disminuido sustancialmente y el crimen mercantil organizado conspira ahora contra los chicos y chicas con el tráfico de estupefacientes en el ámbito educativo</w:t>
      </w:r>
      <w:r w:rsidR="005819F6" w:rsidRPr="005819F6">
        <w:rPr>
          <w:sz w:val="28"/>
          <w:szCs w:val="24"/>
        </w:rPr>
        <w:t>, lo que constituye un desafío para el Estado y la sociedad.</w:t>
      </w:r>
    </w:p>
    <w:p w14:paraId="71EFECD6" w14:textId="77777777" w:rsidR="0091562F" w:rsidRDefault="0091562F" w:rsidP="005030A9">
      <w:pPr>
        <w:spacing w:after="0" w:line="240" w:lineRule="auto"/>
        <w:jc w:val="both"/>
        <w:rPr>
          <w:sz w:val="28"/>
          <w:szCs w:val="24"/>
        </w:rPr>
      </w:pPr>
    </w:p>
    <w:p w14:paraId="1C5DB1C6" w14:textId="69CE64F7" w:rsidR="000D0583" w:rsidRPr="00E663DE" w:rsidRDefault="00CE5085" w:rsidP="00E663D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Un punto estructural de preocupación del Estado ecuatoriano ha sido combatir la pobreza, </w:t>
      </w:r>
      <w:r w:rsidRPr="002872EC">
        <w:rPr>
          <w:sz w:val="28"/>
          <w:szCs w:val="24"/>
        </w:rPr>
        <w:t xml:space="preserve">para </w:t>
      </w:r>
      <w:r w:rsidR="00CC14D2" w:rsidRPr="002872EC">
        <w:rPr>
          <w:sz w:val="28"/>
          <w:szCs w:val="24"/>
        </w:rPr>
        <w:t>atacar</w:t>
      </w:r>
      <w:r w:rsidRPr="002872EC">
        <w:rPr>
          <w:sz w:val="28"/>
          <w:szCs w:val="24"/>
        </w:rPr>
        <w:t xml:space="preserve"> </w:t>
      </w:r>
      <w:r w:rsidR="00CC14D2" w:rsidRPr="002872EC">
        <w:rPr>
          <w:sz w:val="28"/>
          <w:szCs w:val="24"/>
        </w:rPr>
        <w:t>la raíz de las discriminaciones y violaciones de derechos.</w:t>
      </w:r>
      <w:r w:rsidR="00CC14D2">
        <w:rPr>
          <w:sz w:val="28"/>
          <w:szCs w:val="24"/>
        </w:rPr>
        <w:t xml:space="preserve"> </w:t>
      </w:r>
      <w:r w:rsidR="000D0583" w:rsidRPr="00E663DE">
        <w:rPr>
          <w:rFonts w:cs="Arial"/>
          <w:sz w:val="28"/>
          <w:szCs w:val="24"/>
        </w:rPr>
        <w:t xml:space="preserve">En el Ecuador, </w:t>
      </w:r>
      <w:r w:rsidR="007C3269">
        <w:rPr>
          <w:rFonts w:cs="Arial"/>
          <w:sz w:val="28"/>
          <w:szCs w:val="24"/>
        </w:rPr>
        <w:t>en ocho años</w:t>
      </w:r>
      <w:r w:rsidR="000D0583" w:rsidRPr="00E663DE">
        <w:rPr>
          <w:rFonts w:cs="Arial"/>
          <w:sz w:val="28"/>
          <w:szCs w:val="24"/>
        </w:rPr>
        <w:t xml:space="preserve"> la pobreza descendió de 38% a 26%, y la pobreza extrema se redujo en más de la mitad a 5,7% cayendo de manera importante el coeficiente de </w:t>
      </w:r>
      <w:proofErr w:type="spellStart"/>
      <w:r w:rsidR="000D0583" w:rsidRPr="00E663DE">
        <w:rPr>
          <w:rFonts w:cs="Arial"/>
          <w:sz w:val="28"/>
          <w:szCs w:val="24"/>
        </w:rPr>
        <w:t>Gini</w:t>
      </w:r>
      <w:proofErr w:type="spellEnd"/>
      <w:r w:rsidR="000D0583" w:rsidRPr="00E663DE">
        <w:rPr>
          <w:rFonts w:cs="Arial"/>
          <w:sz w:val="28"/>
          <w:szCs w:val="24"/>
        </w:rPr>
        <w:t xml:space="preserve"> de </w:t>
      </w:r>
      <w:r w:rsidR="007C3269">
        <w:rPr>
          <w:rFonts w:cs="Arial"/>
          <w:sz w:val="28"/>
          <w:szCs w:val="24"/>
        </w:rPr>
        <w:t>0,460</w:t>
      </w:r>
      <w:r w:rsidR="00BA28EF" w:rsidRPr="00E663DE">
        <w:rPr>
          <w:rFonts w:cs="Arial"/>
          <w:sz w:val="28"/>
          <w:szCs w:val="24"/>
        </w:rPr>
        <w:t xml:space="preserve"> a 0,408. </w:t>
      </w:r>
      <w:r w:rsidR="00A05D71">
        <w:rPr>
          <w:rFonts w:cs="Arial"/>
          <w:sz w:val="28"/>
          <w:szCs w:val="24"/>
        </w:rPr>
        <w:t xml:space="preserve">Esto está </w:t>
      </w:r>
      <w:r w:rsidR="00691A3F">
        <w:rPr>
          <w:rFonts w:cs="Arial"/>
          <w:sz w:val="28"/>
          <w:szCs w:val="24"/>
        </w:rPr>
        <w:t xml:space="preserve">directamente </w:t>
      </w:r>
      <w:r w:rsidR="00691A3F" w:rsidRPr="00E663DE">
        <w:rPr>
          <w:rFonts w:cs="Arial"/>
          <w:sz w:val="28"/>
          <w:szCs w:val="24"/>
        </w:rPr>
        <w:t>relacionado</w:t>
      </w:r>
      <w:r w:rsidR="00A05D71">
        <w:rPr>
          <w:rFonts w:cs="Arial"/>
          <w:sz w:val="28"/>
          <w:szCs w:val="24"/>
        </w:rPr>
        <w:t xml:space="preserve"> con </w:t>
      </w:r>
      <w:r w:rsidR="000D0583" w:rsidRPr="00E663DE">
        <w:rPr>
          <w:rFonts w:cs="Arial"/>
          <w:sz w:val="28"/>
          <w:szCs w:val="24"/>
        </w:rPr>
        <w:t xml:space="preserve">el fortalecimiento de los servicios básicos como educación, salud, </w:t>
      </w:r>
      <w:r w:rsidR="00E32DD3">
        <w:rPr>
          <w:rFonts w:cs="Arial"/>
          <w:sz w:val="28"/>
          <w:szCs w:val="24"/>
        </w:rPr>
        <w:t>inclusión</w:t>
      </w:r>
      <w:r w:rsidR="000D0583" w:rsidRPr="00E663DE">
        <w:rPr>
          <w:rFonts w:cs="Arial"/>
          <w:sz w:val="28"/>
          <w:szCs w:val="24"/>
        </w:rPr>
        <w:t xml:space="preserve"> social, </w:t>
      </w:r>
      <w:r w:rsidR="000D0583" w:rsidRPr="00E663DE">
        <w:rPr>
          <w:rFonts w:cs="Arial"/>
          <w:sz w:val="28"/>
          <w:szCs w:val="24"/>
        </w:rPr>
        <w:lastRenderedPageBreak/>
        <w:t>el acceso a la justicia y a otras instanc</w:t>
      </w:r>
      <w:r w:rsidR="00BB2142">
        <w:rPr>
          <w:rFonts w:cs="Arial"/>
          <w:sz w:val="28"/>
          <w:szCs w:val="24"/>
        </w:rPr>
        <w:t>ias que permiten fortalecer un E</w:t>
      </w:r>
      <w:r w:rsidR="000D0583" w:rsidRPr="00E663DE">
        <w:rPr>
          <w:rFonts w:cs="Arial"/>
          <w:sz w:val="28"/>
          <w:szCs w:val="24"/>
        </w:rPr>
        <w:t xml:space="preserve">stado democrático con mejores condiciones de igualdad y equidad. </w:t>
      </w:r>
      <w:r w:rsidR="001D0F23" w:rsidRPr="00E663DE">
        <w:rPr>
          <w:rFonts w:cs="Arial"/>
          <w:sz w:val="28"/>
          <w:szCs w:val="24"/>
        </w:rPr>
        <w:t xml:space="preserve">Estos y otros avances en materia de fortalecimiento del </w:t>
      </w:r>
      <w:r w:rsidR="002E7A82">
        <w:rPr>
          <w:rFonts w:cs="Arial"/>
          <w:sz w:val="28"/>
          <w:szCs w:val="24"/>
        </w:rPr>
        <w:t>E</w:t>
      </w:r>
      <w:r w:rsidR="001D0F23" w:rsidRPr="00E663DE">
        <w:rPr>
          <w:rFonts w:cs="Arial"/>
          <w:sz w:val="28"/>
          <w:szCs w:val="24"/>
        </w:rPr>
        <w:t xml:space="preserve">stado, </w:t>
      </w:r>
      <w:r w:rsidR="001D0F23" w:rsidRPr="00E663DE">
        <w:rPr>
          <w:sz w:val="28"/>
          <w:szCs w:val="24"/>
        </w:rPr>
        <w:t xml:space="preserve">explican en </w:t>
      </w:r>
      <w:r w:rsidR="00BA28EF" w:rsidRPr="00E663DE">
        <w:rPr>
          <w:sz w:val="28"/>
          <w:szCs w:val="24"/>
        </w:rPr>
        <w:t xml:space="preserve">buena </w:t>
      </w:r>
      <w:r w:rsidR="001D0F23" w:rsidRPr="00E663DE">
        <w:rPr>
          <w:sz w:val="28"/>
          <w:szCs w:val="24"/>
        </w:rPr>
        <w:t xml:space="preserve">parte </w:t>
      </w:r>
      <w:r w:rsidR="00BA28EF" w:rsidRPr="00E663DE">
        <w:rPr>
          <w:sz w:val="28"/>
          <w:szCs w:val="24"/>
        </w:rPr>
        <w:t>que el Ecuador haya escalado</w:t>
      </w:r>
      <w:r w:rsidR="00D254C4">
        <w:rPr>
          <w:sz w:val="28"/>
          <w:szCs w:val="24"/>
        </w:rPr>
        <w:t xml:space="preserve"> 10 </w:t>
      </w:r>
      <w:r w:rsidR="00BA28EF" w:rsidRPr="00E663DE">
        <w:rPr>
          <w:sz w:val="28"/>
          <w:szCs w:val="24"/>
        </w:rPr>
        <w:t>posiciones en</w:t>
      </w:r>
      <w:r w:rsidR="001D0F23" w:rsidRPr="00E663DE">
        <w:rPr>
          <w:sz w:val="28"/>
          <w:szCs w:val="24"/>
        </w:rPr>
        <w:t xml:space="preserve"> el Í</w:t>
      </w:r>
      <w:r w:rsidR="00D254C4">
        <w:rPr>
          <w:sz w:val="28"/>
          <w:szCs w:val="24"/>
        </w:rPr>
        <w:t>ndice de Desarrollo Humano</w:t>
      </w:r>
      <w:r w:rsidR="001D0F23" w:rsidRPr="00E663DE">
        <w:rPr>
          <w:sz w:val="28"/>
          <w:szCs w:val="24"/>
        </w:rPr>
        <w:t xml:space="preserve"> </w:t>
      </w:r>
      <w:r w:rsidR="00D254C4">
        <w:rPr>
          <w:sz w:val="28"/>
          <w:szCs w:val="24"/>
        </w:rPr>
        <w:t>(</w:t>
      </w:r>
      <w:r w:rsidR="00D254C4" w:rsidRPr="00D254C4">
        <w:rPr>
          <w:sz w:val="28"/>
          <w:szCs w:val="24"/>
        </w:rPr>
        <w:t>PNUD)</w:t>
      </w:r>
      <w:r w:rsidR="00CC14D2" w:rsidRPr="00D254C4">
        <w:rPr>
          <w:sz w:val="28"/>
          <w:szCs w:val="24"/>
        </w:rPr>
        <w:t>.</w:t>
      </w:r>
    </w:p>
    <w:p w14:paraId="5179BF49" w14:textId="77777777" w:rsidR="00E663DE" w:rsidRDefault="00E663DE" w:rsidP="00E66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</w:rPr>
      </w:pPr>
    </w:p>
    <w:p w14:paraId="46AC42DD" w14:textId="7FF4C7B1" w:rsidR="00C20014" w:rsidRPr="00E663DE" w:rsidRDefault="00A40737" w:rsidP="00E66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sz w:val="28"/>
        </w:rPr>
        <w:t>Los estudios</w:t>
      </w:r>
      <w:r w:rsidR="000D0583" w:rsidRPr="00E663DE">
        <w:rPr>
          <w:rFonts w:asciiTheme="minorHAnsi" w:hAnsiTheme="minorHAnsi" w:cs="Arial"/>
          <w:sz w:val="28"/>
        </w:rPr>
        <w:t xml:space="preserve"> de Pobreza del Banco Mundial y </w:t>
      </w:r>
      <w:r w:rsidR="00BA28EF" w:rsidRPr="00E663DE">
        <w:rPr>
          <w:rFonts w:asciiTheme="minorHAnsi" w:hAnsiTheme="minorHAnsi" w:cs="Arial"/>
          <w:sz w:val="28"/>
        </w:rPr>
        <w:t>d</w:t>
      </w:r>
      <w:r w:rsidR="000D0583" w:rsidRPr="00E663DE">
        <w:rPr>
          <w:rFonts w:asciiTheme="minorHAnsi" w:hAnsiTheme="minorHAnsi" w:cs="Arial"/>
          <w:sz w:val="28"/>
        </w:rPr>
        <w:t>el I</w:t>
      </w:r>
      <w:r w:rsidR="0078302F">
        <w:rPr>
          <w:rFonts w:asciiTheme="minorHAnsi" w:hAnsiTheme="minorHAnsi" w:cs="Arial"/>
          <w:sz w:val="28"/>
        </w:rPr>
        <w:t xml:space="preserve">nstituto </w:t>
      </w:r>
      <w:r w:rsidR="000D0583" w:rsidRPr="00E663DE">
        <w:rPr>
          <w:rFonts w:asciiTheme="minorHAnsi" w:hAnsiTheme="minorHAnsi" w:cs="Arial"/>
          <w:sz w:val="28"/>
        </w:rPr>
        <w:t>N</w:t>
      </w:r>
      <w:r w:rsidR="0078302F">
        <w:rPr>
          <w:rFonts w:asciiTheme="minorHAnsi" w:hAnsiTheme="minorHAnsi" w:cs="Arial"/>
          <w:sz w:val="28"/>
        </w:rPr>
        <w:t xml:space="preserve">acional de </w:t>
      </w:r>
      <w:r w:rsidR="000D0583" w:rsidRPr="00E663DE">
        <w:rPr>
          <w:rFonts w:asciiTheme="minorHAnsi" w:hAnsiTheme="minorHAnsi" w:cs="Arial"/>
          <w:sz w:val="28"/>
        </w:rPr>
        <w:t>E</w:t>
      </w:r>
      <w:r w:rsidR="0078302F">
        <w:rPr>
          <w:rFonts w:asciiTheme="minorHAnsi" w:hAnsiTheme="minorHAnsi" w:cs="Arial"/>
          <w:sz w:val="28"/>
        </w:rPr>
        <w:t xml:space="preserve">stadísticas y </w:t>
      </w:r>
      <w:r w:rsidR="000D0583" w:rsidRPr="00E663DE">
        <w:rPr>
          <w:rFonts w:asciiTheme="minorHAnsi" w:hAnsiTheme="minorHAnsi" w:cs="Arial"/>
          <w:sz w:val="28"/>
        </w:rPr>
        <w:t>C</w:t>
      </w:r>
      <w:r w:rsidR="0078302F">
        <w:rPr>
          <w:rFonts w:asciiTheme="minorHAnsi" w:hAnsiTheme="minorHAnsi" w:cs="Arial"/>
          <w:sz w:val="28"/>
        </w:rPr>
        <w:t>ensos</w:t>
      </w:r>
      <w:r w:rsidR="00753F0F">
        <w:rPr>
          <w:rFonts w:asciiTheme="minorHAnsi" w:hAnsiTheme="minorHAnsi" w:cs="Arial"/>
          <w:sz w:val="28"/>
        </w:rPr>
        <w:t xml:space="preserve"> muestra</w:t>
      </w:r>
      <w:r>
        <w:rPr>
          <w:rFonts w:asciiTheme="minorHAnsi" w:hAnsiTheme="minorHAnsi" w:cs="Arial"/>
          <w:sz w:val="28"/>
        </w:rPr>
        <w:t>n</w:t>
      </w:r>
      <w:r w:rsidR="000D0583" w:rsidRPr="00E663DE">
        <w:rPr>
          <w:rFonts w:asciiTheme="minorHAnsi" w:hAnsiTheme="minorHAnsi" w:cs="Arial"/>
          <w:sz w:val="28"/>
        </w:rPr>
        <w:t xml:space="preserve"> una movilidad social positiva, con un </w:t>
      </w:r>
      <w:r w:rsidR="000D0583" w:rsidRPr="00E663DE">
        <w:rPr>
          <w:rFonts w:asciiTheme="minorHAnsi" w:hAnsiTheme="minorHAnsi" w:cs="Arial"/>
          <w:bCs/>
          <w:sz w:val="28"/>
        </w:rPr>
        <w:t xml:space="preserve">fuerte incremento </w:t>
      </w:r>
      <w:r w:rsidR="008F1F9E">
        <w:rPr>
          <w:rFonts w:asciiTheme="minorHAnsi" w:hAnsiTheme="minorHAnsi" w:cs="Arial"/>
          <w:bCs/>
          <w:sz w:val="28"/>
        </w:rPr>
        <w:t>d</w:t>
      </w:r>
      <w:r w:rsidR="000D0583" w:rsidRPr="00E663DE">
        <w:rPr>
          <w:rFonts w:asciiTheme="minorHAnsi" w:hAnsiTheme="minorHAnsi" w:cs="Arial"/>
          <w:bCs/>
          <w:sz w:val="28"/>
        </w:rPr>
        <w:t>e la clase media</w:t>
      </w:r>
      <w:r w:rsidR="000D0583" w:rsidRPr="00E663DE">
        <w:rPr>
          <w:rFonts w:asciiTheme="minorHAnsi" w:hAnsiTheme="minorHAnsi" w:cs="Arial"/>
          <w:sz w:val="28"/>
        </w:rPr>
        <w:t>. Esta pasó de representar el 24% de la población a ser el 35,7% de la misma. </w:t>
      </w:r>
      <w:r w:rsidR="00A82408">
        <w:rPr>
          <w:rFonts w:asciiTheme="minorHAnsi" w:hAnsiTheme="minorHAnsi" w:cs="Arial"/>
          <w:sz w:val="28"/>
        </w:rPr>
        <w:t>E</w:t>
      </w:r>
      <w:r w:rsidR="000D0583" w:rsidRPr="00E663DE">
        <w:rPr>
          <w:rFonts w:asciiTheme="minorHAnsi" w:hAnsiTheme="minorHAnsi" w:cs="Arial"/>
          <w:sz w:val="28"/>
        </w:rPr>
        <w:t xml:space="preserve">sta evolución favorable </w:t>
      </w:r>
      <w:r w:rsidR="00A82408">
        <w:rPr>
          <w:rFonts w:asciiTheme="minorHAnsi" w:hAnsiTheme="minorHAnsi" w:cs="Arial"/>
          <w:sz w:val="28"/>
        </w:rPr>
        <w:t>está</w:t>
      </w:r>
      <w:r w:rsidR="000D0583" w:rsidRPr="00E663DE">
        <w:rPr>
          <w:rFonts w:asciiTheme="minorHAnsi" w:hAnsiTheme="minorHAnsi" w:cs="Arial"/>
          <w:sz w:val="28"/>
        </w:rPr>
        <w:t xml:space="preserve"> fuertemente </w:t>
      </w:r>
      <w:r w:rsidR="00EE0142">
        <w:rPr>
          <w:rFonts w:asciiTheme="minorHAnsi" w:hAnsiTheme="minorHAnsi" w:cs="Arial"/>
          <w:sz w:val="28"/>
        </w:rPr>
        <w:t>asociada</w:t>
      </w:r>
      <w:r w:rsidR="000D0583" w:rsidRPr="00E663DE">
        <w:rPr>
          <w:rFonts w:asciiTheme="minorHAnsi" w:hAnsiTheme="minorHAnsi" w:cs="Arial"/>
          <w:sz w:val="28"/>
        </w:rPr>
        <w:t xml:space="preserve"> a un </w:t>
      </w:r>
      <w:r w:rsidR="000D0583" w:rsidRPr="00E663DE">
        <w:rPr>
          <w:rFonts w:asciiTheme="minorHAnsi" w:hAnsiTheme="minorHAnsi" w:cs="Arial"/>
          <w:bCs/>
          <w:sz w:val="28"/>
        </w:rPr>
        <w:t>incremento en la inversión pública que dinamiz</w:t>
      </w:r>
      <w:r w:rsidR="00A82408">
        <w:rPr>
          <w:rFonts w:asciiTheme="minorHAnsi" w:hAnsiTheme="minorHAnsi" w:cs="Arial"/>
          <w:bCs/>
          <w:sz w:val="28"/>
        </w:rPr>
        <w:t>a</w:t>
      </w:r>
      <w:r w:rsidR="000D0583" w:rsidRPr="00E663DE">
        <w:rPr>
          <w:rFonts w:asciiTheme="minorHAnsi" w:hAnsiTheme="minorHAnsi" w:cs="Arial"/>
          <w:bCs/>
          <w:sz w:val="28"/>
        </w:rPr>
        <w:t xml:space="preserve"> </w:t>
      </w:r>
      <w:r w:rsidR="00A82408">
        <w:rPr>
          <w:rFonts w:asciiTheme="minorHAnsi" w:hAnsiTheme="minorHAnsi" w:cs="Arial"/>
          <w:bCs/>
          <w:sz w:val="28"/>
        </w:rPr>
        <w:t>el</w:t>
      </w:r>
      <w:r w:rsidR="00DE6A71">
        <w:rPr>
          <w:rFonts w:asciiTheme="minorHAnsi" w:hAnsiTheme="minorHAnsi" w:cs="Arial"/>
          <w:bCs/>
          <w:sz w:val="28"/>
        </w:rPr>
        <w:t xml:space="preserve"> empleo y la mejora </w:t>
      </w:r>
      <w:r w:rsidR="000D0583" w:rsidRPr="00E663DE">
        <w:rPr>
          <w:rFonts w:asciiTheme="minorHAnsi" w:hAnsiTheme="minorHAnsi" w:cs="Arial"/>
          <w:bCs/>
          <w:sz w:val="28"/>
        </w:rPr>
        <w:t>de ingresos.</w:t>
      </w:r>
    </w:p>
    <w:p w14:paraId="598DEEFA" w14:textId="77777777" w:rsidR="00E663DE" w:rsidRPr="00622D92" w:rsidRDefault="00E663DE" w:rsidP="00E663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Cs/>
          <w:sz w:val="32"/>
        </w:rPr>
      </w:pPr>
    </w:p>
    <w:p w14:paraId="3515CCBB" w14:textId="35935F11" w:rsidR="00622D92" w:rsidRPr="00622D92" w:rsidRDefault="00622D92" w:rsidP="00622D92">
      <w:pPr>
        <w:shd w:val="clear" w:color="auto" w:fill="FDFDFD"/>
        <w:spacing w:after="0" w:line="240" w:lineRule="auto"/>
        <w:jc w:val="both"/>
        <w:rPr>
          <w:sz w:val="28"/>
          <w:szCs w:val="24"/>
        </w:rPr>
      </w:pPr>
      <w:r w:rsidRPr="00622D92">
        <w:rPr>
          <w:sz w:val="28"/>
          <w:szCs w:val="24"/>
        </w:rPr>
        <w:t xml:space="preserve">La erradicación del trabajo infantil ha sido una política central en estos últimos diez años por parte del Estado ecuatoriano. </w:t>
      </w:r>
      <w:r w:rsidR="0052358F">
        <w:rPr>
          <w:sz w:val="28"/>
          <w:szCs w:val="24"/>
        </w:rPr>
        <w:t xml:space="preserve">Se </w:t>
      </w:r>
      <w:r w:rsidRPr="00622D92">
        <w:rPr>
          <w:sz w:val="28"/>
          <w:szCs w:val="24"/>
        </w:rPr>
        <w:t xml:space="preserve">ha emprendido una fuerte acción encaminada a asegurar que tanto niñas como niños asistan a las escuelas y disfruten de ese derecho antes que trabajar en edades tempranas. El trabajo infantil en Ecuador se ha reducido de 16,9% a 5,5% al 2017. </w:t>
      </w:r>
      <w:r w:rsidR="00521301">
        <w:rPr>
          <w:sz w:val="28"/>
          <w:szCs w:val="24"/>
        </w:rPr>
        <w:t xml:space="preserve">El trabajo </w:t>
      </w:r>
      <w:r w:rsidRPr="00622D92">
        <w:rPr>
          <w:sz w:val="28"/>
          <w:szCs w:val="24"/>
        </w:rPr>
        <w:t xml:space="preserve">de niñas </w:t>
      </w:r>
      <w:r w:rsidR="003B33D4">
        <w:rPr>
          <w:sz w:val="28"/>
          <w:szCs w:val="24"/>
        </w:rPr>
        <w:t>y</w:t>
      </w:r>
      <w:r w:rsidRPr="00622D92">
        <w:rPr>
          <w:sz w:val="28"/>
          <w:szCs w:val="24"/>
        </w:rPr>
        <w:t xml:space="preserve"> niños menores de 15 años </w:t>
      </w:r>
      <w:r w:rsidR="0040765D">
        <w:rPr>
          <w:sz w:val="28"/>
          <w:szCs w:val="24"/>
        </w:rPr>
        <w:t xml:space="preserve">ha </w:t>
      </w:r>
      <w:r w:rsidR="00521301">
        <w:rPr>
          <w:sz w:val="28"/>
          <w:szCs w:val="24"/>
        </w:rPr>
        <w:t>quedado en</w:t>
      </w:r>
      <w:r w:rsidR="0040765D">
        <w:rPr>
          <w:sz w:val="28"/>
          <w:szCs w:val="24"/>
        </w:rPr>
        <w:t xml:space="preserve"> </w:t>
      </w:r>
      <w:r w:rsidRPr="00622D92">
        <w:rPr>
          <w:sz w:val="28"/>
          <w:szCs w:val="24"/>
        </w:rPr>
        <w:t>un remanente del 2,9%, ubicado fundamentalmente en actividades de trabajo familiar. En el grupo de 15 a 17 años,</w:t>
      </w:r>
      <w:r w:rsidR="00521301">
        <w:rPr>
          <w:sz w:val="28"/>
          <w:szCs w:val="24"/>
        </w:rPr>
        <w:t xml:space="preserve"> en el cual se permite el trabajo por excepción,</w:t>
      </w:r>
      <w:r w:rsidRPr="00622D92">
        <w:rPr>
          <w:sz w:val="28"/>
          <w:szCs w:val="24"/>
        </w:rPr>
        <w:t xml:space="preserve"> la reducción es también significativa</w:t>
      </w:r>
      <w:r w:rsidR="00521301">
        <w:rPr>
          <w:sz w:val="28"/>
          <w:szCs w:val="24"/>
        </w:rPr>
        <w:t xml:space="preserve"> a</w:t>
      </w:r>
      <w:r w:rsidR="0040765D">
        <w:rPr>
          <w:sz w:val="28"/>
          <w:szCs w:val="24"/>
        </w:rPr>
        <w:t>l 14</w:t>
      </w:r>
      <w:r w:rsidRPr="00622D92">
        <w:rPr>
          <w:sz w:val="28"/>
          <w:szCs w:val="24"/>
        </w:rPr>
        <w:t>%</w:t>
      </w:r>
      <w:r w:rsidR="00446BD5">
        <w:rPr>
          <w:sz w:val="28"/>
          <w:szCs w:val="24"/>
        </w:rPr>
        <w:t>. En este caso</w:t>
      </w:r>
      <w:r w:rsidRPr="00622D92">
        <w:rPr>
          <w:sz w:val="28"/>
          <w:szCs w:val="24"/>
        </w:rPr>
        <w:t xml:space="preserve"> </w:t>
      </w:r>
      <w:r w:rsidR="00521301">
        <w:rPr>
          <w:sz w:val="28"/>
          <w:szCs w:val="24"/>
        </w:rPr>
        <w:t>la obligación patronal es</w:t>
      </w:r>
      <w:r w:rsidR="0040765D">
        <w:rPr>
          <w:sz w:val="28"/>
          <w:szCs w:val="24"/>
        </w:rPr>
        <w:t xml:space="preserve"> asegurar </w:t>
      </w:r>
      <w:r w:rsidR="00521301">
        <w:rPr>
          <w:sz w:val="28"/>
          <w:szCs w:val="24"/>
        </w:rPr>
        <w:t>la</w:t>
      </w:r>
      <w:r w:rsidR="0040765D">
        <w:rPr>
          <w:sz w:val="28"/>
          <w:szCs w:val="24"/>
        </w:rPr>
        <w:t xml:space="preserve"> educación y evita</w:t>
      </w:r>
      <w:r w:rsidR="00521301">
        <w:rPr>
          <w:sz w:val="28"/>
          <w:szCs w:val="24"/>
        </w:rPr>
        <w:t>r</w:t>
      </w:r>
      <w:r w:rsidRPr="00622D92">
        <w:rPr>
          <w:sz w:val="28"/>
          <w:szCs w:val="24"/>
        </w:rPr>
        <w:t xml:space="preserve"> que estén expuestos a trabajos peligrosos.</w:t>
      </w:r>
    </w:p>
    <w:p w14:paraId="58A23262" w14:textId="77777777" w:rsidR="00E663DE" w:rsidRDefault="00E663DE" w:rsidP="00446BD5">
      <w:pPr>
        <w:spacing w:after="0" w:line="240" w:lineRule="auto"/>
        <w:ind w:right="34"/>
        <w:jc w:val="both"/>
        <w:rPr>
          <w:sz w:val="28"/>
          <w:szCs w:val="24"/>
        </w:rPr>
      </w:pPr>
    </w:p>
    <w:p w14:paraId="37B5D8A3" w14:textId="592BAAEA" w:rsidR="00D726B0" w:rsidRPr="00DA4F10" w:rsidRDefault="001D0F23" w:rsidP="0026771B">
      <w:pPr>
        <w:spacing w:after="0" w:line="240" w:lineRule="auto"/>
        <w:ind w:right="34" w:firstLine="34"/>
        <w:jc w:val="both"/>
        <w:rPr>
          <w:sz w:val="28"/>
          <w:szCs w:val="24"/>
        </w:rPr>
      </w:pPr>
      <w:r w:rsidRPr="00E663DE">
        <w:rPr>
          <w:sz w:val="28"/>
          <w:szCs w:val="24"/>
        </w:rPr>
        <w:t xml:space="preserve">El Estado </w:t>
      </w:r>
      <w:r w:rsidR="00BA28EF" w:rsidRPr="00E663DE">
        <w:rPr>
          <w:sz w:val="28"/>
          <w:szCs w:val="24"/>
        </w:rPr>
        <w:t xml:space="preserve">ecuatoriano </w:t>
      </w:r>
      <w:r w:rsidRPr="00E663DE">
        <w:rPr>
          <w:sz w:val="28"/>
          <w:szCs w:val="24"/>
        </w:rPr>
        <w:t xml:space="preserve">ha </w:t>
      </w:r>
      <w:r w:rsidR="00BA28EF" w:rsidRPr="00E663DE">
        <w:rPr>
          <w:sz w:val="28"/>
          <w:szCs w:val="24"/>
        </w:rPr>
        <w:t>realizado un importante</w:t>
      </w:r>
      <w:r w:rsidRPr="00E663DE">
        <w:rPr>
          <w:sz w:val="28"/>
          <w:szCs w:val="24"/>
        </w:rPr>
        <w:t xml:space="preserve"> incremento de la inversión social que ha repercutido directamente sobre las condiciones de vida de la población. El gasto social para </w:t>
      </w:r>
      <w:r w:rsidR="003B2C9C">
        <w:rPr>
          <w:sz w:val="28"/>
          <w:szCs w:val="24"/>
        </w:rPr>
        <w:t xml:space="preserve">2012 se elevó </w:t>
      </w:r>
      <w:r w:rsidRPr="003B2C9C">
        <w:rPr>
          <w:sz w:val="28"/>
          <w:szCs w:val="24"/>
        </w:rPr>
        <w:t>del 4.2% a</w:t>
      </w:r>
      <w:r w:rsidR="003B2C9C">
        <w:rPr>
          <w:sz w:val="28"/>
          <w:szCs w:val="24"/>
        </w:rPr>
        <w:t>l</w:t>
      </w:r>
      <w:r w:rsidRPr="003B2C9C">
        <w:rPr>
          <w:sz w:val="28"/>
          <w:szCs w:val="24"/>
        </w:rPr>
        <w:t xml:space="preserve"> 10.9%. </w:t>
      </w:r>
      <w:r w:rsidR="003B2C9C" w:rsidRPr="003B2C9C">
        <w:rPr>
          <w:sz w:val="28"/>
          <w:szCs w:val="24"/>
        </w:rPr>
        <w:t>En E</w:t>
      </w:r>
      <w:r w:rsidRPr="003B2C9C">
        <w:rPr>
          <w:sz w:val="28"/>
          <w:szCs w:val="24"/>
        </w:rPr>
        <w:t xml:space="preserve">ducación, </w:t>
      </w:r>
      <w:r w:rsidR="003B2C9C" w:rsidRPr="003B2C9C">
        <w:rPr>
          <w:sz w:val="28"/>
          <w:szCs w:val="24"/>
        </w:rPr>
        <w:t>se incrementó de</w:t>
      </w:r>
      <w:r w:rsidRPr="003B2C9C">
        <w:rPr>
          <w:sz w:val="28"/>
          <w:szCs w:val="24"/>
        </w:rPr>
        <w:t xml:space="preserve"> 858 </w:t>
      </w:r>
      <w:r w:rsidR="003B2C9C" w:rsidRPr="003B2C9C">
        <w:rPr>
          <w:sz w:val="28"/>
          <w:szCs w:val="24"/>
        </w:rPr>
        <w:t>a</w:t>
      </w:r>
      <w:r w:rsidRPr="00E663DE">
        <w:rPr>
          <w:sz w:val="28"/>
          <w:szCs w:val="24"/>
        </w:rPr>
        <w:t xml:space="preserve"> 4.366 millones de dólares. En salud, </w:t>
      </w:r>
      <w:r w:rsidR="003B2C9C">
        <w:rPr>
          <w:sz w:val="28"/>
          <w:szCs w:val="24"/>
        </w:rPr>
        <w:t>de</w:t>
      </w:r>
      <w:r w:rsidRPr="00E663DE">
        <w:rPr>
          <w:sz w:val="28"/>
          <w:szCs w:val="24"/>
        </w:rPr>
        <w:t xml:space="preserve"> </w:t>
      </w:r>
      <w:r w:rsidRPr="003B2C9C">
        <w:rPr>
          <w:sz w:val="28"/>
          <w:szCs w:val="24"/>
        </w:rPr>
        <w:t xml:space="preserve">371 </w:t>
      </w:r>
      <w:r w:rsidR="003B2C9C" w:rsidRPr="003B2C9C">
        <w:rPr>
          <w:sz w:val="28"/>
          <w:szCs w:val="24"/>
        </w:rPr>
        <w:t>a</w:t>
      </w:r>
      <w:r w:rsidRPr="003B2C9C">
        <w:rPr>
          <w:sz w:val="28"/>
          <w:szCs w:val="24"/>
        </w:rPr>
        <w:t xml:space="preserve"> 1.671 </w:t>
      </w:r>
      <w:r w:rsidR="003B2C9C">
        <w:rPr>
          <w:sz w:val="28"/>
          <w:szCs w:val="24"/>
        </w:rPr>
        <w:t>millones</w:t>
      </w:r>
      <w:r w:rsidRPr="00E663DE">
        <w:rPr>
          <w:sz w:val="28"/>
          <w:szCs w:val="24"/>
        </w:rPr>
        <w:t xml:space="preserve">. Finalmente, en inclusión social la variación fue de 260 a 1.243 millones de dólares. </w:t>
      </w:r>
    </w:p>
    <w:p w14:paraId="5644C785" w14:textId="77777777" w:rsidR="00D726B0" w:rsidRDefault="00D726B0" w:rsidP="00E663DE">
      <w:pPr>
        <w:spacing w:after="0" w:line="240" w:lineRule="auto"/>
        <w:jc w:val="both"/>
        <w:rPr>
          <w:sz w:val="28"/>
          <w:szCs w:val="24"/>
        </w:rPr>
      </w:pPr>
    </w:p>
    <w:p w14:paraId="27A71F25" w14:textId="39C921F9" w:rsidR="00C977CA" w:rsidRPr="00E663DE" w:rsidRDefault="007C3E20" w:rsidP="00E663DE">
      <w:pPr>
        <w:spacing w:after="0" w:line="240" w:lineRule="auto"/>
        <w:jc w:val="both"/>
        <w:rPr>
          <w:sz w:val="28"/>
          <w:szCs w:val="24"/>
        </w:rPr>
      </w:pPr>
      <w:r w:rsidRPr="00E663DE">
        <w:rPr>
          <w:sz w:val="28"/>
          <w:szCs w:val="24"/>
        </w:rPr>
        <w:t>La prevención de las problemáticas psic</w:t>
      </w:r>
      <w:r w:rsidR="00D726B0">
        <w:rPr>
          <w:sz w:val="28"/>
          <w:szCs w:val="24"/>
        </w:rPr>
        <w:t>osociales es una prioridad del E</w:t>
      </w:r>
      <w:r w:rsidRPr="00E663DE">
        <w:rPr>
          <w:sz w:val="28"/>
          <w:szCs w:val="24"/>
        </w:rPr>
        <w:t>stado ecuatoriano, es por eso que se han venido desarrollando</w:t>
      </w:r>
      <w:r w:rsidR="00E960BC">
        <w:rPr>
          <w:sz w:val="28"/>
          <w:szCs w:val="24"/>
        </w:rPr>
        <w:t>, entre otros,</w:t>
      </w:r>
      <w:r w:rsidRPr="00E663DE">
        <w:rPr>
          <w:sz w:val="28"/>
          <w:szCs w:val="24"/>
        </w:rPr>
        <w:t xml:space="preserve"> mecanismos para abordar </w:t>
      </w:r>
      <w:r w:rsidR="00DA4F10">
        <w:rPr>
          <w:sz w:val="28"/>
          <w:szCs w:val="24"/>
        </w:rPr>
        <w:t>el tráfico y consumo</w:t>
      </w:r>
      <w:r w:rsidRPr="00E663DE">
        <w:rPr>
          <w:sz w:val="28"/>
          <w:szCs w:val="24"/>
        </w:rPr>
        <w:t xml:space="preserve"> de drogas, la violencia intrafamiliar, la violencia detectada o cometida en el contexto escolar, al igual que la discriminación por etnia, nivel socioeconómico, orientación sexual o necesidades educativas asociadas o no a la discapacidad. </w:t>
      </w:r>
      <w:r w:rsidR="00D726B0">
        <w:rPr>
          <w:sz w:val="28"/>
          <w:szCs w:val="24"/>
        </w:rPr>
        <w:t xml:space="preserve"> D</w:t>
      </w:r>
      <w:r w:rsidR="00C977CA" w:rsidRPr="00E663DE">
        <w:rPr>
          <w:sz w:val="28"/>
          <w:szCs w:val="24"/>
        </w:rPr>
        <w:t xml:space="preserve">esde el contexto escolar se ha fortalecido los procesos de </w:t>
      </w:r>
      <w:r w:rsidR="00AD54D8" w:rsidRPr="00E663DE">
        <w:rPr>
          <w:sz w:val="28"/>
          <w:szCs w:val="24"/>
        </w:rPr>
        <w:t>promoción</w:t>
      </w:r>
      <w:r w:rsidR="00C977CA" w:rsidRPr="00E663DE">
        <w:rPr>
          <w:sz w:val="28"/>
          <w:szCs w:val="24"/>
        </w:rPr>
        <w:t xml:space="preserve"> y prevención, mediante la generación de protocolos</w:t>
      </w:r>
      <w:r w:rsidR="00C9385B">
        <w:rPr>
          <w:sz w:val="28"/>
          <w:szCs w:val="24"/>
        </w:rPr>
        <w:t xml:space="preserve"> para informar</w:t>
      </w:r>
      <w:r w:rsidR="00C977CA" w:rsidRPr="00E663DE">
        <w:rPr>
          <w:sz w:val="28"/>
          <w:szCs w:val="24"/>
        </w:rPr>
        <w:t xml:space="preserve"> y orientar </w:t>
      </w:r>
      <w:r w:rsidR="00E3669D">
        <w:rPr>
          <w:sz w:val="28"/>
          <w:szCs w:val="24"/>
        </w:rPr>
        <w:t>la acción en dichas problemáticas</w:t>
      </w:r>
      <w:r w:rsidR="00C977CA" w:rsidRPr="00E663DE">
        <w:rPr>
          <w:sz w:val="28"/>
          <w:szCs w:val="24"/>
        </w:rPr>
        <w:t>.</w:t>
      </w:r>
    </w:p>
    <w:p w14:paraId="5162A283" w14:textId="77777777" w:rsidR="00E663DE" w:rsidRDefault="00E663DE" w:rsidP="00E663DE">
      <w:pPr>
        <w:spacing w:after="0" w:line="240" w:lineRule="auto"/>
        <w:ind w:right="34" w:firstLine="34"/>
        <w:jc w:val="both"/>
        <w:rPr>
          <w:sz w:val="28"/>
          <w:szCs w:val="24"/>
        </w:rPr>
      </w:pPr>
    </w:p>
    <w:p w14:paraId="50014DC9" w14:textId="1703F65C" w:rsidR="00BA28EF" w:rsidRPr="00E663DE" w:rsidRDefault="00E00364" w:rsidP="00B500F1">
      <w:pPr>
        <w:spacing w:after="0" w:line="240" w:lineRule="auto"/>
        <w:ind w:right="34" w:firstLine="34"/>
        <w:jc w:val="both"/>
        <w:rPr>
          <w:rFonts w:eastAsia="Arial Black" w:cs="Arial Black"/>
          <w:sz w:val="28"/>
          <w:szCs w:val="24"/>
        </w:rPr>
      </w:pPr>
      <w:r w:rsidRPr="00E663DE">
        <w:rPr>
          <w:sz w:val="28"/>
          <w:szCs w:val="24"/>
        </w:rPr>
        <w:t xml:space="preserve">Con </w:t>
      </w:r>
      <w:r w:rsidR="005C4EE7">
        <w:rPr>
          <w:sz w:val="28"/>
          <w:szCs w:val="24"/>
        </w:rPr>
        <w:t xml:space="preserve">respecto a la participación de niños, niñas y adolescente </w:t>
      </w:r>
      <w:r w:rsidRPr="00E663DE">
        <w:rPr>
          <w:sz w:val="28"/>
          <w:szCs w:val="24"/>
        </w:rPr>
        <w:t xml:space="preserve">en las decisiones de la política </w:t>
      </w:r>
      <w:r w:rsidR="005A306C" w:rsidRPr="00E663DE">
        <w:rPr>
          <w:sz w:val="28"/>
          <w:szCs w:val="24"/>
        </w:rPr>
        <w:t>pública</w:t>
      </w:r>
      <w:r w:rsidRPr="00E663DE">
        <w:rPr>
          <w:sz w:val="28"/>
          <w:szCs w:val="24"/>
        </w:rPr>
        <w:t xml:space="preserve"> y los </w:t>
      </w:r>
      <w:r w:rsidRPr="00E663DE">
        <w:rPr>
          <w:rFonts w:eastAsia="Arial Black" w:cs="Arial Black"/>
          <w:sz w:val="28"/>
          <w:szCs w:val="24"/>
        </w:rPr>
        <w:t>mecanism</w:t>
      </w:r>
      <w:r w:rsidR="005C4EE7">
        <w:rPr>
          <w:rFonts w:eastAsia="Arial Black" w:cs="Arial Black"/>
          <w:sz w:val="28"/>
          <w:szCs w:val="24"/>
        </w:rPr>
        <w:t xml:space="preserve">os de consulta para garantizar que </w:t>
      </w:r>
      <w:r w:rsidRPr="00E663DE">
        <w:rPr>
          <w:rFonts w:eastAsia="Arial Black" w:cs="Arial Black"/>
          <w:sz w:val="28"/>
          <w:szCs w:val="24"/>
        </w:rPr>
        <w:t xml:space="preserve">sean escuchados, el Consejo Consultivo Nacional de Niñas, Niños y Adolescentes </w:t>
      </w:r>
      <w:r w:rsidR="005C4EE7">
        <w:rPr>
          <w:rFonts w:eastAsia="Arial Black" w:cs="Arial Black"/>
          <w:sz w:val="28"/>
          <w:szCs w:val="24"/>
        </w:rPr>
        <w:t>se ha convertido en</w:t>
      </w:r>
      <w:r w:rsidRPr="00E663DE">
        <w:rPr>
          <w:rFonts w:eastAsia="Arial Black" w:cs="Arial Black"/>
          <w:sz w:val="28"/>
          <w:szCs w:val="24"/>
        </w:rPr>
        <w:t xml:space="preserve"> un espacio de participación reconocido por </w:t>
      </w:r>
      <w:r w:rsidR="00074592">
        <w:rPr>
          <w:rFonts w:eastAsia="Arial Black" w:cs="Arial Black"/>
          <w:sz w:val="28"/>
          <w:szCs w:val="24"/>
        </w:rPr>
        <w:t>toda la institucionalidad</w:t>
      </w:r>
      <w:r w:rsidR="00B500F1">
        <w:rPr>
          <w:rFonts w:eastAsia="Arial Black" w:cs="Arial Black"/>
          <w:sz w:val="28"/>
          <w:szCs w:val="24"/>
        </w:rPr>
        <w:t>. D</w:t>
      </w:r>
      <w:r w:rsidRPr="00E663DE">
        <w:rPr>
          <w:rFonts w:eastAsia="Arial Black" w:cs="Arial Black"/>
          <w:sz w:val="28"/>
          <w:szCs w:val="24"/>
        </w:rPr>
        <w:t>e igual manera dentro de distintas leyes y códigos vigentes se reconoce a los consejos consultivos, como espacios articuladores en el fortalecimiento de la participación ciudadana</w:t>
      </w:r>
      <w:r w:rsidR="00B500F1">
        <w:rPr>
          <w:rFonts w:eastAsia="Arial Black" w:cs="Arial Black"/>
          <w:sz w:val="28"/>
          <w:szCs w:val="24"/>
        </w:rPr>
        <w:t>. Debemos señalar que l</w:t>
      </w:r>
      <w:r w:rsidRPr="00E663DE">
        <w:rPr>
          <w:rFonts w:eastAsia="Arial Black" w:cs="Arial Black"/>
          <w:sz w:val="28"/>
          <w:szCs w:val="24"/>
        </w:rPr>
        <w:t>as autoridades p</w:t>
      </w:r>
      <w:r w:rsidR="00B500F1">
        <w:rPr>
          <w:rFonts w:eastAsia="Arial Black" w:cs="Arial Black"/>
          <w:sz w:val="28"/>
          <w:szCs w:val="24"/>
        </w:rPr>
        <w:t>uede</w:t>
      </w:r>
      <w:r w:rsidRPr="00E663DE">
        <w:rPr>
          <w:rFonts w:eastAsia="Arial Black" w:cs="Arial Black"/>
          <w:sz w:val="28"/>
          <w:szCs w:val="24"/>
        </w:rPr>
        <w:t xml:space="preserve">n convocar en cualquier momento a dichos consejos. </w:t>
      </w:r>
      <w:r w:rsidR="00B500F1">
        <w:rPr>
          <w:rFonts w:eastAsia="Arial Black" w:cs="Arial Black"/>
          <w:sz w:val="28"/>
          <w:szCs w:val="24"/>
        </w:rPr>
        <w:t xml:space="preserve">El Consejo Nacional para la </w:t>
      </w:r>
      <w:r w:rsidRPr="00E663DE">
        <w:rPr>
          <w:rFonts w:eastAsia="Arial Black" w:cs="Arial Black"/>
          <w:sz w:val="28"/>
          <w:szCs w:val="24"/>
        </w:rPr>
        <w:t>I</w:t>
      </w:r>
      <w:r w:rsidR="00B500F1">
        <w:rPr>
          <w:rFonts w:eastAsia="Arial Black" w:cs="Arial Black"/>
          <w:sz w:val="28"/>
          <w:szCs w:val="24"/>
        </w:rPr>
        <w:t xml:space="preserve">gualdad </w:t>
      </w:r>
      <w:r w:rsidRPr="00E663DE">
        <w:rPr>
          <w:rFonts w:eastAsia="Arial Black" w:cs="Arial Black"/>
          <w:sz w:val="28"/>
          <w:szCs w:val="24"/>
        </w:rPr>
        <w:t>I</w:t>
      </w:r>
      <w:r w:rsidR="00B500F1">
        <w:rPr>
          <w:rFonts w:eastAsia="Arial Black" w:cs="Arial Black"/>
          <w:sz w:val="28"/>
          <w:szCs w:val="24"/>
        </w:rPr>
        <w:t>ntergeneracional</w:t>
      </w:r>
      <w:r w:rsidRPr="00E663DE">
        <w:rPr>
          <w:rFonts w:eastAsia="Arial Black" w:cs="Arial Black"/>
          <w:sz w:val="28"/>
          <w:szCs w:val="24"/>
        </w:rPr>
        <w:t xml:space="preserve"> </w:t>
      </w:r>
      <w:r w:rsidR="00B500F1">
        <w:rPr>
          <w:rFonts w:eastAsia="Arial Black" w:cs="Arial Black"/>
          <w:sz w:val="28"/>
          <w:szCs w:val="24"/>
        </w:rPr>
        <w:t>impulsa</w:t>
      </w:r>
      <w:r w:rsidRPr="00E663DE">
        <w:rPr>
          <w:rFonts w:eastAsia="Arial Black" w:cs="Arial Black"/>
          <w:sz w:val="28"/>
          <w:szCs w:val="24"/>
        </w:rPr>
        <w:t xml:space="preserve"> la conformación y fortalecimiento de los consejos consultivos de niños, niñas y adolescentes en </w:t>
      </w:r>
      <w:r w:rsidR="00E36C3D">
        <w:rPr>
          <w:rFonts w:eastAsia="Arial Black" w:cs="Arial Black"/>
          <w:sz w:val="28"/>
          <w:szCs w:val="24"/>
        </w:rPr>
        <w:t>todos los</w:t>
      </w:r>
      <w:r w:rsidRPr="00E663DE">
        <w:rPr>
          <w:rFonts w:eastAsia="Arial Black" w:cs="Arial Black"/>
          <w:sz w:val="28"/>
          <w:szCs w:val="24"/>
        </w:rPr>
        <w:t xml:space="preserve"> cantones del país. </w:t>
      </w:r>
    </w:p>
    <w:p w14:paraId="5D11FBD3" w14:textId="77777777" w:rsidR="00E663DE" w:rsidRDefault="00E663DE" w:rsidP="00BB2142">
      <w:pPr>
        <w:spacing w:after="0" w:line="240" w:lineRule="auto"/>
        <w:ind w:right="34"/>
        <w:jc w:val="both"/>
        <w:rPr>
          <w:rFonts w:eastAsia="Arial Black" w:cs="Arial Black"/>
          <w:sz w:val="28"/>
          <w:szCs w:val="24"/>
        </w:rPr>
      </w:pPr>
    </w:p>
    <w:p w14:paraId="15F6A565" w14:textId="1E4BB92E" w:rsidR="001D0F23" w:rsidRPr="00E663DE" w:rsidRDefault="005A306C" w:rsidP="00E36C3D">
      <w:pPr>
        <w:spacing w:after="0" w:line="240" w:lineRule="auto"/>
        <w:ind w:right="34"/>
        <w:jc w:val="both"/>
        <w:rPr>
          <w:rFonts w:eastAsia="Arial Black" w:cs="Arial Black"/>
          <w:sz w:val="28"/>
          <w:szCs w:val="24"/>
        </w:rPr>
      </w:pPr>
      <w:r w:rsidRPr="00E663DE">
        <w:rPr>
          <w:rFonts w:eastAsia="Arial Black" w:cs="Arial Black"/>
          <w:sz w:val="28"/>
          <w:szCs w:val="24"/>
        </w:rPr>
        <w:t xml:space="preserve">En cuanto a la prevención de la violencia en contra de la niñez, la adolescencia y las mujeres; bajo la coordinación del Ministerio de Justicia, los sectores de protección, educación, salud, deporte </w:t>
      </w:r>
      <w:r w:rsidR="00541AFE">
        <w:rPr>
          <w:rFonts w:eastAsia="Arial Black" w:cs="Arial Black"/>
          <w:sz w:val="28"/>
          <w:szCs w:val="24"/>
        </w:rPr>
        <w:t>y recreación,</w:t>
      </w:r>
      <w:r w:rsidR="00531FB7">
        <w:rPr>
          <w:rFonts w:eastAsia="Arial Black" w:cs="Arial Black"/>
          <w:sz w:val="28"/>
          <w:szCs w:val="24"/>
        </w:rPr>
        <w:t xml:space="preserve"> ha</w:t>
      </w:r>
      <w:r w:rsidR="00541AFE">
        <w:rPr>
          <w:rFonts w:eastAsia="Arial Black" w:cs="Arial Black"/>
          <w:sz w:val="28"/>
          <w:szCs w:val="24"/>
        </w:rPr>
        <w:t>n</w:t>
      </w:r>
      <w:r w:rsidR="00BA28EF" w:rsidRPr="00E663DE">
        <w:rPr>
          <w:rFonts w:eastAsia="Arial Black" w:cs="Arial Black"/>
          <w:sz w:val="28"/>
          <w:szCs w:val="24"/>
        </w:rPr>
        <w:t xml:space="preserve"> construido</w:t>
      </w:r>
      <w:r w:rsidRPr="00E663DE">
        <w:rPr>
          <w:rFonts w:eastAsia="Arial Black" w:cs="Arial Black"/>
          <w:sz w:val="28"/>
          <w:szCs w:val="24"/>
        </w:rPr>
        <w:t xml:space="preserve"> el Plan Nacional para la Erradicación de la violencia de género hacia la niñez, adolescencia y mujeres, documento programático que establece indicadores de gestión en cuanto a la acción multisectorial del </w:t>
      </w:r>
      <w:r w:rsidR="00B66D7C">
        <w:rPr>
          <w:rFonts w:eastAsia="Arial Black" w:cs="Arial Black"/>
          <w:sz w:val="28"/>
          <w:szCs w:val="24"/>
        </w:rPr>
        <w:t>E</w:t>
      </w:r>
      <w:r w:rsidRPr="00E663DE">
        <w:rPr>
          <w:rFonts w:eastAsia="Arial Black" w:cs="Arial Black"/>
          <w:sz w:val="28"/>
          <w:szCs w:val="24"/>
        </w:rPr>
        <w:t>stado para prevenir situaciones de violencia. De igual forma en el contexto educativo</w:t>
      </w:r>
      <w:r w:rsidR="00C4434A">
        <w:rPr>
          <w:rFonts w:eastAsia="Arial Black" w:cs="Arial Black"/>
          <w:sz w:val="28"/>
          <w:szCs w:val="24"/>
        </w:rPr>
        <w:t>, debemos informar al Comité que a partir d</w:t>
      </w:r>
      <w:r w:rsidRPr="00E663DE">
        <w:rPr>
          <w:rFonts w:eastAsia="Arial Black" w:cs="Arial Black"/>
          <w:sz w:val="28"/>
          <w:szCs w:val="24"/>
        </w:rPr>
        <w:t>el 2016</w:t>
      </w:r>
      <w:r w:rsidR="00C4434A">
        <w:rPr>
          <w:rFonts w:eastAsia="Arial Black" w:cs="Arial Black"/>
          <w:sz w:val="28"/>
          <w:szCs w:val="24"/>
        </w:rPr>
        <w:t xml:space="preserve"> contamos con</w:t>
      </w:r>
      <w:r w:rsidRPr="00E663DE">
        <w:rPr>
          <w:rFonts w:eastAsia="Arial Black" w:cs="Arial Black"/>
          <w:sz w:val="28"/>
          <w:szCs w:val="24"/>
        </w:rPr>
        <w:t xml:space="preserve"> la línea base de acoso escolar</w:t>
      </w:r>
      <w:r w:rsidR="00C4434A">
        <w:rPr>
          <w:rFonts w:eastAsia="Arial Black" w:cs="Arial Black"/>
          <w:sz w:val="28"/>
          <w:szCs w:val="24"/>
        </w:rPr>
        <w:t xml:space="preserve"> lo que permitirá tener un </w:t>
      </w:r>
      <w:r w:rsidR="00073161">
        <w:rPr>
          <w:rFonts w:eastAsia="Arial Black" w:cs="Arial Black"/>
          <w:sz w:val="28"/>
          <w:szCs w:val="24"/>
        </w:rPr>
        <w:t>seguimiento</w:t>
      </w:r>
      <w:r w:rsidR="00E27B46">
        <w:rPr>
          <w:rFonts w:eastAsia="Arial Black" w:cs="Arial Black"/>
          <w:sz w:val="28"/>
          <w:szCs w:val="24"/>
        </w:rPr>
        <w:t xml:space="preserve"> integral</w:t>
      </w:r>
      <w:r w:rsidR="0051640A">
        <w:rPr>
          <w:rFonts w:eastAsia="Arial Black" w:cs="Arial Black"/>
          <w:sz w:val="28"/>
          <w:szCs w:val="24"/>
        </w:rPr>
        <w:t xml:space="preserve"> para la orientación de las políticas correspondientes</w:t>
      </w:r>
      <w:r w:rsidRPr="00E663DE">
        <w:rPr>
          <w:rFonts w:eastAsia="Arial Black" w:cs="Arial Black"/>
          <w:sz w:val="28"/>
          <w:szCs w:val="24"/>
        </w:rPr>
        <w:t xml:space="preserve">. </w:t>
      </w:r>
    </w:p>
    <w:p w14:paraId="3233E211" w14:textId="77777777" w:rsidR="00622D92" w:rsidRDefault="00622D92" w:rsidP="00E663DE">
      <w:pPr>
        <w:spacing w:after="0" w:line="240" w:lineRule="auto"/>
        <w:jc w:val="both"/>
        <w:rPr>
          <w:rFonts w:eastAsia="Arial Black" w:cs="Arial Black"/>
          <w:sz w:val="28"/>
          <w:szCs w:val="24"/>
        </w:rPr>
      </w:pPr>
    </w:p>
    <w:p w14:paraId="0B747FDE" w14:textId="2A2EED74" w:rsidR="00622D92" w:rsidRDefault="005A7840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E663DE">
        <w:rPr>
          <w:rFonts w:eastAsia="Arial Black" w:cs="Arial Black"/>
          <w:sz w:val="28"/>
          <w:szCs w:val="24"/>
        </w:rPr>
        <w:t>En cuanto a la educación sexual en el país, d</w:t>
      </w:r>
      <w:r w:rsidRPr="00E663DE">
        <w:rPr>
          <w:rFonts w:eastAsia="Times New Roman" w:cs="Times New Roman"/>
          <w:sz w:val="28"/>
          <w:szCs w:val="24"/>
        </w:rPr>
        <w:t xml:space="preserve">urante el período </w:t>
      </w:r>
      <w:r w:rsidRPr="00B56CC2">
        <w:rPr>
          <w:rFonts w:eastAsia="Times New Roman" w:cs="Times New Roman"/>
          <w:sz w:val="28"/>
          <w:szCs w:val="24"/>
        </w:rPr>
        <w:t>2011-2014</w:t>
      </w:r>
      <w:r w:rsidRPr="00E663DE">
        <w:rPr>
          <w:rFonts w:eastAsia="Times New Roman" w:cs="Times New Roman"/>
          <w:sz w:val="28"/>
          <w:szCs w:val="24"/>
        </w:rPr>
        <w:t xml:space="preserve"> existió la Estrategia Nacional Intersectorial de Planificación Familiar y Prevención del Embarazo Adolescente que tuvo como objetivo garantizar el acceso permanente y efectivo a información, educación, asesoría, inclusión, protección y servicios de salud para la toma de decisiones libres y responsables sobre la sexualidad y reproducción, y el ejercicio de los derechos sexuales y reproductivos, a través de sinergias sectoriales</w:t>
      </w:r>
      <w:r w:rsidRPr="00A50CC0">
        <w:rPr>
          <w:rFonts w:eastAsia="Times New Roman" w:cs="Times New Roman"/>
          <w:sz w:val="28"/>
          <w:szCs w:val="24"/>
        </w:rPr>
        <w:t>.</w:t>
      </w:r>
      <w:r w:rsidR="007F0154" w:rsidRPr="00A50CC0">
        <w:rPr>
          <w:rFonts w:eastAsia="Times New Roman" w:cs="Times New Roman"/>
          <w:sz w:val="28"/>
          <w:szCs w:val="24"/>
        </w:rPr>
        <w:t xml:space="preserve"> </w:t>
      </w:r>
      <w:r w:rsidR="00B66D7C" w:rsidRPr="00A50CC0">
        <w:rPr>
          <w:rFonts w:eastAsia="Times New Roman" w:cs="Times New Roman"/>
          <w:sz w:val="28"/>
          <w:szCs w:val="24"/>
        </w:rPr>
        <w:t xml:space="preserve">Entre los </w:t>
      </w:r>
      <w:r w:rsidRPr="00A50CC0">
        <w:rPr>
          <w:rFonts w:eastAsia="Times New Roman" w:cs="Times New Roman"/>
          <w:sz w:val="28"/>
          <w:szCs w:val="24"/>
        </w:rPr>
        <w:t>año</w:t>
      </w:r>
      <w:r w:rsidR="00B66D7C" w:rsidRPr="00A50CC0">
        <w:rPr>
          <w:rFonts w:eastAsia="Times New Roman" w:cs="Times New Roman"/>
          <w:sz w:val="28"/>
          <w:szCs w:val="24"/>
        </w:rPr>
        <w:t>s</w:t>
      </w:r>
      <w:r w:rsidRPr="00A50CC0">
        <w:rPr>
          <w:rFonts w:eastAsia="Times New Roman" w:cs="Times New Roman"/>
          <w:sz w:val="28"/>
          <w:szCs w:val="24"/>
        </w:rPr>
        <w:t xml:space="preserve"> 2014</w:t>
      </w:r>
      <w:r w:rsidR="00B66D7C" w:rsidRPr="00A50CC0">
        <w:rPr>
          <w:rFonts w:eastAsia="Times New Roman" w:cs="Times New Roman"/>
          <w:sz w:val="28"/>
          <w:szCs w:val="24"/>
        </w:rPr>
        <w:t xml:space="preserve"> y 2017</w:t>
      </w:r>
      <w:r w:rsidRPr="00A50CC0">
        <w:rPr>
          <w:rFonts w:eastAsia="Times New Roman" w:cs="Times New Roman"/>
          <w:sz w:val="28"/>
          <w:szCs w:val="24"/>
        </w:rPr>
        <w:t xml:space="preserve">, se </w:t>
      </w:r>
      <w:r w:rsidR="00B66D7C" w:rsidRPr="00A50CC0">
        <w:rPr>
          <w:rFonts w:eastAsia="Times New Roman" w:cs="Times New Roman"/>
          <w:sz w:val="28"/>
          <w:szCs w:val="24"/>
        </w:rPr>
        <w:t xml:space="preserve">emprendió una propuesta, </w:t>
      </w:r>
      <w:r w:rsidRPr="00A50CC0">
        <w:rPr>
          <w:rFonts w:eastAsia="Times New Roman" w:cs="Times New Roman"/>
          <w:sz w:val="28"/>
          <w:szCs w:val="24"/>
        </w:rPr>
        <w:t>llamada Plan Familia Ecuador,</w:t>
      </w:r>
      <w:r w:rsidR="00A50CC0" w:rsidRPr="00A50CC0">
        <w:rPr>
          <w:rFonts w:eastAsia="Times New Roman" w:cs="Times New Roman"/>
          <w:sz w:val="28"/>
          <w:szCs w:val="24"/>
        </w:rPr>
        <w:t xml:space="preserve"> </w:t>
      </w:r>
      <w:r w:rsidR="00B56CC2">
        <w:rPr>
          <w:rFonts w:eastAsia="Times New Roman" w:cs="Times New Roman"/>
          <w:sz w:val="28"/>
          <w:szCs w:val="24"/>
        </w:rPr>
        <w:t>que pasó a depender de la Presidencia de la República. E</w:t>
      </w:r>
      <w:r w:rsidRPr="00A50CC0">
        <w:rPr>
          <w:rFonts w:eastAsia="Times New Roman" w:cs="Times New Roman"/>
          <w:sz w:val="28"/>
          <w:szCs w:val="24"/>
        </w:rPr>
        <w:t xml:space="preserve">l 24 de mayo del </w:t>
      </w:r>
      <w:r w:rsidR="00BA28EF" w:rsidRPr="00A50CC0">
        <w:rPr>
          <w:rFonts w:eastAsia="Times New Roman" w:cs="Times New Roman"/>
          <w:sz w:val="28"/>
          <w:szCs w:val="24"/>
        </w:rPr>
        <w:t>2017</w:t>
      </w:r>
      <w:r w:rsidRPr="00E663DE">
        <w:rPr>
          <w:rFonts w:eastAsia="Times New Roman" w:cs="Times New Roman"/>
          <w:sz w:val="28"/>
          <w:szCs w:val="24"/>
        </w:rPr>
        <w:t>,</w:t>
      </w:r>
      <w:r w:rsidR="00B56CC2">
        <w:rPr>
          <w:rFonts w:eastAsia="Times New Roman" w:cs="Times New Roman"/>
          <w:sz w:val="28"/>
          <w:szCs w:val="24"/>
        </w:rPr>
        <w:t xml:space="preserve"> el Presidente de la República</w:t>
      </w:r>
      <w:r w:rsidRPr="00E663DE">
        <w:rPr>
          <w:rFonts w:eastAsia="Times New Roman" w:cs="Times New Roman"/>
          <w:sz w:val="28"/>
          <w:szCs w:val="24"/>
        </w:rPr>
        <w:t xml:space="preserve"> expidió el Decreto Ejecutivo No. 4, </w:t>
      </w:r>
      <w:r w:rsidR="00B56CC2">
        <w:rPr>
          <w:rFonts w:eastAsia="Times New Roman" w:cs="Times New Roman"/>
          <w:sz w:val="28"/>
          <w:szCs w:val="24"/>
        </w:rPr>
        <w:t>con</w:t>
      </w:r>
      <w:r w:rsidRPr="00E663DE">
        <w:rPr>
          <w:rFonts w:eastAsia="Times New Roman" w:cs="Times New Roman"/>
          <w:sz w:val="28"/>
          <w:szCs w:val="24"/>
        </w:rPr>
        <w:t xml:space="preserve"> el cual </w:t>
      </w:r>
      <w:r w:rsidR="007F0154">
        <w:rPr>
          <w:rFonts w:eastAsia="Times New Roman" w:cs="Times New Roman"/>
          <w:sz w:val="28"/>
          <w:szCs w:val="24"/>
        </w:rPr>
        <w:t>se</w:t>
      </w:r>
      <w:r w:rsidRPr="00E663DE">
        <w:rPr>
          <w:rFonts w:eastAsia="Times New Roman" w:cs="Times New Roman"/>
          <w:sz w:val="28"/>
          <w:szCs w:val="24"/>
        </w:rPr>
        <w:t xml:space="preserve"> devuelve a</w:t>
      </w:r>
      <w:r w:rsidR="006A09E4">
        <w:rPr>
          <w:rFonts w:eastAsia="Times New Roman" w:cs="Times New Roman"/>
          <w:sz w:val="28"/>
          <w:szCs w:val="24"/>
        </w:rPr>
        <w:t xml:space="preserve">l Ministerio de Salud </w:t>
      </w:r>
      <w:r w:rsidR="006A09E4" w:rsidRPr="00E663DE">
        <w:rPr>
          <w:rFonts w:eastAsia="Times New Roman" w:cs="Times New Roman"/>
          <w:sz w:val="28"/>
          <w:szCs w:val="24"/>
        </w:rPr>
        <w:t>Pública</w:t>
      </w:r>
      <w:r w:rsidR="006A09E4">
        <w:rPr>
          <w:rFonts w:eastAsia="Times New Roman" w:cs="Times New Roman"/>
          <w:sz w:val="28"/>
          <w:szCs w:val="24"/>
        </w:rPr>
        <w:t xml:space="preserve"> la rector</w:t>
      </w:r>
      <w:r w:rsidR="001E22F2">
        <w:rPr>
          <w:rFonts w:eastAsia="Times New Roman" w:cs="Times New Roman"/>
          <w:sz w:val="28"/>
          <w:szCs w:val="24"/>
        </w:rPr>
        <w:t>ía</w:t>
      </w:r>
      <w:r w:rsidRPr="00E663DE">
        <w:rPr>
          <w:rFonts w:eastAsia="Times New Roman" w:cs="Times New Roman"/>
          <w:sz w:val="28"/>
          <w:szCs w:val="24"/>
        </w:rPr>
        <w:t xml:space="preserve"> en Salud Sexual y Reproductiva</w:t>
      </w:r>
      <w:r w:rsidR="006A09E4" w:rsidRPr="006A09E4">
        <w:rPr>
          <w:rFonts w:eastAsia="Times New Roman" w:cs="Times New Roman"/>
          <w:sz w:val="28"/>
          <w:szCs w:val="24"/>
        </w:rPr>
        <w:t xml:space="preserve"> </w:t>
      </w:r>
      <w:r w:rsidR="006A09E4">
        <w:rPr>
          <w:rFonts w:eastAsia="Times New Roman" w:cs="Times New Roman"/>
          <w:sz w:val="28"/>
          <w:szCs w:val="24"/>
        </w:rPr>
        <w:t>y se elimina el Plan familia</w:t>
      </w:r>
      <w:r w:rsidRPr="00E663DE">
        <w:rPr>
          <w:rFonts w:eastAsia="Times New Roman" w:cs="Times New Roman"/>
          <w:sz w:val="28"/>
          <w:szCs w:val="24"/>
        </w:rPr>
        <w:t>.</w:t>
      </w:r>
    </w:p>
    <w:p w14:paraId="0F5A2B63" w14:textId="77777777" w:rsidR="00622D92" w:rsidRDefault="00622D92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14:paraId="113F303C" w14:textId="19B58671" w:rsidR="00BB2142" w:rsidRDefault="00927EC2" w:rsidP="00E663DE">
      <w:pPr>
        <w:spacing w:after="0" w:line="240" w:lineRule="auto"/>
        <w:jc w:val="both"/>
        <w:rPr>
          <w:rFonts w:eastAsia="Verdana" w:cs="Verdana"/>
          <w:bCs/>
          <w:sz w:val="28"/>
          <w:szCs w:val="24"/>
          <w:lang w:val="es"/>
        </w:rPr>
      </w:pPr>
      <w:r w:rsidRPr="00E663DE">
        <w:rPr>
          <w:rFonts w:eastAsia="Times New Roman" w:cs="Times New Roman"/>
          <w:sz w:val="28"/>
          <w:szCs w:val="24"/>
        </w:rPr>
        <w:t>Como complemento</w:t>
      </w:r>
      <w:r w:rsidR="005A7840" w:rsidRPr="00E663DE">
        <w:rPr>
          <w:rFonts w:eastAsia="Times New Roman" w:cs="Times New Roman"/>
          <w:sz w:val="28"/>
          <w:szCs w:val="24"/>
        </w:rPr>
        <w:t xml:space="preserve"> a estas acciones, se está trabajando de manera conjunta con el M</w:t>
      </w:r>
      <w:r w:rsidR="00F96A71">
        <w:rPr>
          <w:rFonts w:eastAsia="Times New Roman" w:cs="Times New Roman"/>
          <w:sz w:val="28"/>
          <w:szCs w:val="24"/>
        </w:rPr>
        <w:t xml:space="preserve">inisterio de Educación </w:t>
      </w:r>
      <w:r w:rsidR="005A7840" w:rsidRPr="00E663DE">
        <w:rPr>
          <w:rFonts w:eastAsia="Times New Roman" w:cs="Times New Roman"/>
          <w:sz w:val="28"/>
          <w:szCs w:val="24"/>
        </w:rPr>
        <w:t xml:space="preserve">y otros sectores, en la construcción de una estrategia para la promoción de los derechos sexuales y derechos reproductivos, y la prevención del embarazo en adolescentes entre 10 y 14 años. En esta </w:t>
      </w:r>
      <w:r w:rsidR="005A7840" w:rsidRPr="00E663DE">
        <w:rPr>
          <w:rFonts w:eastAsia="Times New Roman" w:cs="Times New Roman"/>
          <w:sz w:val="28"/>
          <w:szCs w:val="24"/>
        </w:rPr>
        <w:lastRenderedPageBreak/>
        <w:t xml:space="preserve">propuesta, el primer objetivo apunta a garantizar educación integral de la sexualidad y acciones de promoción de la salud sexual y salud reproductiva desde un enfoque promocional y de derechos. </w:t>
      </w:r>
    </w:p>
    <w:p w14:paraId="402A3B46" w14:textId="77777777" w:rsidR="00BB2142" w:rsidRDefault="00BB2142" w:rsidP="00E663DE">
      <w:pPr>
        <w:spacing w:after="0" w:line="240" w:lineRule="auto"/>
        <w:jc w:val="both"/>
        <w:rPr>
          <w:rFonts w:eastAsia="Verdana" w:cs="Verdana"/>
          <w:bCs/>
          <w:sz w:val="28"/>
          <w:szCs w:val="24"/>
          <w:lang w:val="es"/>
        </w:rPr>
      </w:pPr>
    </w:p>
    <w:p w14:paraId="2F30BF3A" w14:textId="690948CE" w:rsidR="00955C8A" w:rsidRPr="00175F2C" w:rsidRDefault="00315125" w:rsidP="00622D9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315125">
        <w:rPr>
          <w:rFonts w:eastAsia="Times New Roman" w:cstheme="minorHAnsi"/>
          <w:sz w:val="28"/>
          <w:szCs w:val="28"/>
        </w:rPr>
        <w:t>A pesar de los avance</w:t>
      </w:r>
      <w:r w:rsidR="00622D92" w:rsidRPr="00315125">
        <w:rPr>
          <w:rFonts w:eastAsia="Times New Roman" w:cstheme="minorHAnsi"/>
          <w:sz w:val="28"/>
          <w:szCs w:val="28"/>
        </w:rPr>
        <w:t>s</w:t>
      </w:r>
      <w:r w:rsidRPr="00315125">
        <w:rPr>
          <w:rFonts w:eastAsia="Times New Roman" w:cstheme="minorHAnsi"/>
          <w:sz w:val="28"/>
          <w:szCs w:val="28"/>
        </w:rPr>
        <w:t xml:space="preserve"> existen todavía</w:t>
      </w:r>
      <w:r w:rsidR="00622D92" w:rsidRPr="00315125">
        <w:rPr>
          <w:rFonts w:eastAsia="Times New Roman" w:cstheme="minorHAnsi"/>
          <w:sz w:val="28"/>
          <w:szCs w:val="28"/>
        </w:rPr>
        <w:t xml:space="preserve"> </w:t>
      </w:r>
      <w:r w:rsidRPr="00315125">
        <w:rPr>
          <w:rFonts w:eastAsia="Times New Roman" w:cstheme="minorHAnsi"/>
          <w:sz w:val="28"/>
          <w:szCs w:val="28"/>
        </w:rPr>
        <w:t>retos</w:t>
      </w:r>
      <w:r w:rsidR="00622D92" w:rsidRPr="00315125">
        <w:rPr>
          <w:rFonts w:eastAsia="Times New Roman" w:cstheme="minorHAnsi"/>
          <w:sz w:val="28"/>
          <w:szCs w:val="28"/>
        </w:rPr>
        <w:t xml:space="preserve"> y temas pendientes sobre los que tenemos que actuar y que bien nos advierte sobre ellos </w:t>
      </w:r>
      <w:r w:rsidR="00955C8A" w:rsidRPr="00315125">
        <w:rPr>
          <w:rFonts w:eastAsia="Times New Roman" w:cstheme="minorHAnsi"/>
          <w:sz w:val="28"/>
          <w:szCs w:val="28"/>
        </w:rPr>
        <w:t>la Convención</w:t>
      </w:r>
      <w:r w:rsidR="00622D92" w:rsidRPr="00315125">
        <w:rPr>
          <w:rFonts w:eastAsia="Times New Roman" w:cstheme="minorHAnsi"/>
          <w:sz w:val="28"/>
          <w:szCs w:val="28"/>
        </w:rPr>
        <w:t xml:space="preserve"> de Derechos del Niño, estos son</w:t>
      </w:r>
      <w:r w:rsidR="00955C8A" w:rsidRPr="00315125">
        <w:rPr>
          <w:rFonts w:eastAsia="Times New Roman" w:cstheme="minorHAnsi"/>
          <w:sz w:val="28"/>
          <w:szCs w:val="28"/>
        </w:rPr>
        <w:t>:</w:t>
      </w:r>
    </w:p>
    <w:p w14:paraId="7C24E2E4" w14:textId="77777777" w:rsidR="00955C8A" w:rsidRPr="0091562F" w:rsidRDefault="00955C8A" w:rsidP="00955C8A">
      <w:pPr>
        <w:spacing w:line="276" w:lineRule="auto"/>
        <w:ind w:left="34"/>
        <w:jc w:val="both"/>
        <w:rPr>
          <w:rFonts w:ascii="Verdana" w:eastAsia="Times New Roman" w:hAnsi="Verdana" w:cs="Times New Roman"/>
          <w:b/>
          <w:sz w:val="24"/>
          <w:szCs w:val="20"/>
        </w:rPr>
      </w:pPr>
    </w:p>
    <w:p w14:paraId="767C09A6" w14:textId="6DFC75D9" w:rsidR="00033734" w:rsidRPr="00B6477C" w:rsidRDefault="00955C8A" w:rsidP="00B6477C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Fortalecer el servicio de defensa especializado en materia de niñez y adolescencia a nivel nacional. Considerar los focos de atención prioritaria en base a contextos geográficos, poblacionales, étnicos y socio económicos que determinen la necesidad de contar con un servicio especializado.</w:t>
      </w:r>
    </w:p>
    <w:p w14:paraId="0F8B0F08" w14:textId="6C30F433" w:rsidR="00033734" w:rsidRPr="00033734" w:rsidRDefault="00033734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</w:pPr>
      <w:r w:rsidRPr="00033734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Consolidar el sistema de protección de Derechos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.</w:t>
      </w:r>
      <w:r w:rsidRPr="00033734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</w:t>
      </w:r>
    </w:p>
    <w:p w14:paraId="4DE08FF6" w14:textId="382F91CA" w:rsidR="00955C8A" w:rsidRPr="0091562F" w:rsidRDefault="00033734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Promover</w:t>
      </w:r>
      <w:r w:rsidR="00955C8A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mejoras en el </w:t>
      </w:r>
      <w:r w:rsidR="00955C8A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presupuesto para el cumplimiento del servicio especializado y con calidad.</w:t>
      </w:r>
    </w:p>
    <w:p w14:paraId="3AFFBB37" w14:textId="2EDD78CB" w:rsidR="00955C8A" w:rsidRPr="0091562F" w:rsidRDefault="00955C8A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Consolidar la articulación interinstitucional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y 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con 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la 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sociedad civil para mejorar el 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ejercicio de derechos y 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acceso a la justicia a nivel nacional.</w:t>
      </w:r>
    </w:p>
    <w:p w14:paraId="7FBE0791" w14:textId="204EF715" w:rsidR="00955C8A" w:rsidRPr="0091562F" w:rsidRDefault="00955C8A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En materia de adolescentes 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en conflicto con la ley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, </w:t>
      </w:r>
      <w:r w:rsidR="0024117C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fortalecer las políticas públicas relativa</w:t>
      </w:r>
      <w:r w:rsidR="00A6054E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s</w:t>
      </w:r>
      <w:r w:rsidR="0024117C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a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l trabajo en base a la justicia restaurativa.</w:t>
      </w:r>
    </w:p>
    <w:p w14:paraId="383536AB" w14:textId="77777777" w:rsidR="00955C8A" w:rsidRPr="0091562F" w:rsidRDefault="00622D92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Enfrentar con más profundidad la v</w:t>
      </w:r>
      <w:r w:rsidR="00955C8A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iolencia y explotación sexual.</w:t>
      </w:r>
    </w:p>
    <w:p w14:paraId="6C7F14A9" w14:textId="0546ECFE" w:rsidR="00955C8A" w:rsidRPr="0091562F" w:rsidRDefault="0024117C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Dar mayor profundidad</w:t>
      </w:r>
      <w:r w:rsidR="009C6F01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al proceso de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 xml:space="preserve"> disminución de la d</w:t>
      </w:r>
      <w:r w:rsidR="00955C8A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esnutrición y obesidad infantil.</w:t>
      </w:r>
    </w:p>
    <w:p w14:paraId="62488FBA" w14:textId="77777777" w:rsidR="00955C8A" w:rsidRPr="0091562F" w:rsidRDefault="00955C8A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C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ombatir con toda fuerza el tráfico y c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onsumo de drogas y alcohol.</w:t>
      </w:r>
    </w:p>
    <w:p w14:paraId="14BEC7FC" w14:textId="77777777" w:rsidR="00955C8A" w:rsidRPr="0091562F" w:rsidRDefault="00955C8A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E</w:t>
      </w:r>
      <w:r w:rsidR="00622D92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rradicar el e</w:t>
      </w: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mbarazo adolescente.</w:t>
      </w:r>
    </w:p>
    <w:p w14:paraId="760ADA39" w14:textId="77777777" w:rsidR="00955C8A" w:rsidRPr="0091562F" w:rsidRDefault="00622D92" w:rsidP="00955C8A">
      <w:pPr>
        <w:pStyle w:val="Prrafodelista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es-EC"/>
        </w:rPr>
      </w:pPr>
      <w:r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Enfrentar en su profundidad el a</w:t>
      </w:r>
      <w:r w:rsidR="00955C8A" w:rsidRPr="0091562F">
        <w:rPr>
          <w:rFonts w:ascii="Verdana" w:eastAsia="Times New Roman" w:hAnsi="Verdana" w:cs="Times New Roman"/>
          <w:color w:val="000000"/>
          <w:sz w:val="24"/>
          <w:szCs w:val="20"/>
          <w:lang w:eastAsia="es-EC"/>
        </w:rPr>
        <w:t>coso escolar</w:t>
      </w:r>
    </w:p>
    <w:p w14:paraId="1962A815" w14:textId="77777777" w:rsidR="00955C8A" w:rsidRPr="0091562F" w:rsidRDefault="00955C8A" w:rsidP="00955C8A">
      <w:pPr>
        <w:spacing w:after="0" w:line="240" w:lineRule="auto"/>
        <w:jc w:val="both"/>
        <w:rPr>
          <w:rFonts w:eastAsia="Times New Roman" w:cs="Times New Roman"/>
          <w:sz w:val="36"/>
          <w:szCs w:val="24"/>
        </w:rPr>
      </w:pPr>
    </w:p>
    <w:p w14:paraId="6835C714" w14:textId="567E558C" w:rsidR="0091562F" w:rsidRDefault="002C7D1C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En esta exposición hemos mostrado el esfuerzo del Estado ecuatoriano por </w:t>
      </w:r>
      <w:r w:rsidR="00DA00EF">
        <w:rPr>
          <w:rFonts w:eastAsia="Times New Roman" w:cs="Times New Roman"/>
          <w:sz w:val="28"/>
          <w:szCs w:val="24"/>
        </w:rPr>
        <w:t xml:space="preserve">contar con políticas públicas, normativa, institucionalidad y acciones para impulsar el ejercicio de derechos de niñas, niños y adolescentes. </w:t>
      </w:r>
      <w:r w:rsidR="00D03F77">
        <w:rPr>
          <w:rFonts w:eastAsia="Times New Roman" w:cs="Times New Roman"/>
          <w:sz w:val="28"/>
          <w:szCs w:val="24"/>
        </w:rPr>
        <w:t xml:space="preserve">A su vez, hemos identificado problemas y retos que todavía están pendientes. Mantenemos el compromiso de profundizar </w:t>
      </w:r>
      <w:r w:rsidR="0005062E">
        <w:rPr>
          <w:rFonts w:eastAsia="Times New Roman" w:cs="Times New Roman"/>
          <w:sz w:val="28"/>
          <w:szCs w:val="24"/>
        </w:rPr>
        <w:t>el esfuerzo de País en función de la niñez para el que estamos seguros que contamos con el apoyo del Sistema de Naciones Unidas.</w:t>
      </w:r>
      <w:r w:rsidR="00894571">
        <w:rPr>
          <w:rFonts w:eastAsia="Times New Roman" w:cs="Times New Roman"/>
          <w:sz w:val="28"/>
          <w:szCs w:val="24"/>
        </w:rPr>
        <w:t xml:space="preserve"> </w:t>
      </w:r>
      <w:r w:rsidR="003F1425">
        <w:rPr>
          <w:rFonts w:eastAsia="Times New Roman" w:cs="Times New Roman"/>
          <w:sz w:val="28"/>
          <w:szCs w:val="24"/>
        </w:rPr>
        <w:t>Quedamos a disposición del Comité para absolver cualquier inquietud respecto a la información presentada.</w:t>
      </w:r>
      <w:bookmarkStart w:id="0" w:name="_GoBack"/>
      <w:bookmarkEnd w:id="0"/>
    </w:p>
    <w:p w14:paraId="4584E18B" w14:textId="77777777" w:rsidR="00894571" w:rsidRDefault="00894571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14:paraId="15CD7C32" w14:textId="072256D2" w:rsidR="00894571" w:rsidRDefault="00894571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Muchas gracias</w:t>
      </w:r>
    </w:p>
    <w:p w14:paraId="3A08E6C8" w14:textId="77777777" w:rsidR="0005062E" w:rsidRDefault="0005062E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14:paraId="028A54A9" w14:textId="77777777" w:rsidR="0005062E" w:rsidRPr="00E663DE" w:rsidRDefault="0005062E" w:rsidP="00E663DE">
      <w:pPr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sectPr w:rsidR="0005062E" w:rsidRPr="00E663DE" w:rsidSect="00E663D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6180" w14:textId="77777777" w:rsidR="00B357F8" w:rsidRDefault="00B357F8" w:rsidP="00E663DE">
      <w:pPr>
        <w:spacing w:after="0" w:line="240" w:lineRule="auto"/>
      </w:pPr>
      <w:r>
        <w:separator/>
      </w:r>
    </w:p>
  </w:endnote>
  <w:endnote w:type="continuationSeparator" w:id="0">
    <w:p w14:paraId="608D0A56" w14:textId="77777777" w:rsidR="00B357F8" w:rsidRDefault="00B357F8" w:rsidP="00E6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74248"/>
      <w:docPartObj>
        <w:docPartGallery w:val="Page Numbers (Bottom of Page)"/>
        <w:docPartUnique/>
      </w:docPartObj>
    </w:sdtPr>
    <w:sdtEndPr/>
    <w:sdtContent>
      <w:p w14:paraId="1399A98A" w14:textId="77777777" w:rsidR="00E663DE" w:rsidRDefault="00E663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25" w:rsidRPr="003F1425">
          <w:rPr>
            <w:noProof/>
            <w:lang w:val="es-ES"/>
          </w:rPr>
          <w:t>4</w:t>
        </w:r>
        <w:r>
          <w:fldChar w:fldCharType="end"/>
        </w:r>
      </w:p>
    </w:sdtContent>
  </w:sdt>
  <w:p w14:paraId="0909BF32" w14:textId="77777777" w:rsidR="00E663DE" w:rsidRDefault="00E663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C1F5" w14:textId="77777777" w:rsidR="00B357F8" w:rsidRDefault="00B357F8" w:rsidP="00E663DE">
      <w:pPr>
        <w:spacing w:after="0" w:line="240" w:lineRule="auto"/>
      </w:pPr>
      <w:r>
        <w:separator/>
      </w:r>
    </w:p>
  </w:footnote>
  <w:footnote w:type="continuationSeparator" w:id="0">
    <w:p w14:paraId="49E2F024" w14:textId="77777777" w:rsidR="00B357F8" w:rsidRDefault="00B357F8" w:rsidP="00E663DE">
      <w:pPr>
        <w:spacing w:after="0" w:line="240" w:lineRule="auto"/>
      </w:pPr>
      <w:r>
        <w:continuationSeparator/>
      </w:r>
    </w:p>
  </w:footnote>
  <w:footnote w:id="1">
    <w:p w14:paraId="6298F892" w14:textId="77777777" w:rsidR="00D726B0" w:rsidRPr="00D726B0" w:rsidRDefault="00D726B0" w:rsidP="00D726B0">
      <w:pPr>
        <w:spacing w:after="0" w:line="240" w:lineRule="auto"/>
        <w:jc w:val="both"/>
        <w:rPr>
          <w:sz w:val="20"/>
          <w:szCs w:val="20"/>
        </w:rPr>
      </w:pPr>
      <w:r w:rsidRPr="00D726B0">
        <w:rPr>
          <w:rStyle w:val="Refdenotaalpie"/>
          <w:sz w:val="20"/>
          <w:szCs w:val="20"/>
        </w:rPr>
        <w:footnoteRef/>
      </w:r>
      <w:r w:rsidRPr="00D726B0">
        <w:rPr>
          <w:sz w:val="20"/>
          <w:szCs w:val="20"/>
        </w:rPr>
        <w:t xml:space="preserve"> </w:t>
      </w:r>
      <w:r w:rsidR="00175F2C">
        <w:rPr>
          <w:sz w:val="20"/>
          <w:szCs w:val="20"/>
        </w:rPr>
        <w:t>“</w:t>
      </w:r>
      <w:r w:rsidRPr="00D726B0">
        <w:rPr>
          <w:sz w:val="20"/>
          <w:szCs w:val="20"/>
        </w:rPr>
        <w:t>El cumplimiento de los derechos de niñas, niños y adolescentes en el Ecuador. Análisis de la década 2006-2015</w:t>
      </w:r>
      <w:r w:rsidR="00175F2C">
        <w:rPr>
          <w:sz w:val="20"/>
          <w:szCs w:val="20"/>
        </w:rPr>
        <w:t>”</w:t>
      </w:r>
      <w:r w:rsidRPr="00D726B0">
        <w:rPr>
          <w:sz w:val="20"/>
          <w:szCs w:val="20"/>
        </w:rPr>
        <w:t>. Consejo Nacional para la Igualdad Intergeneracional.</w:t>
      </w:r>
      <w:r w:rsidR="00175F2C">
        <w:rPr>
          <w:sz w:val="20"/>
          <w:szCs w:val="20"/>
        </w:rPr>
        <w:t xml:space="preserve">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80E"/>
    <w:multiLevelType w:val="hybridMultilevel"/>
    <w:tmpl w:val="BB38CC34"/>
    <w:lvl w:ilvl="0" w:tplc="9E0A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2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89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C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8A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E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4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80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D22"/>
    <w:multiLevelType w:val="hybridMultilevel"/>
    <w:tmpl w:val="1D023020"/>
    <w:lvl w:ilvl="0" w:tplc="30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2C302DF"/>
    <w:multiLevelType w:val="hybridMultilevel"/>
    <w:tmpl w:val="A4840E64"/>
    <w:lvl w:ilvl="0" w:tplc="989AD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72"/>
    <w:rsid w:val="0000189B"/>
    <w:rsid w:val="00032774"/>
    <w:rsid w:val="00033734"/>
    <w:rsid w:val="0005062E"/>
    <w:rsid w:val="00055336"/>
    <w:rsid w:val="000650F5"/>
    <w:rsid w:val="00073161"/>
    <w:rsid w:val="00074592"/>
    <w:rsid w:val="000A05FA"/>
    <w:rsid w:val="000A6B6A"/>
    <w:rsid w:val="000B1603"/>
    <w:rsid w:val="000D0583"/>
    <w:rsid w:val="000F00DB"/>
    <w:rsid w:val="0011340F"/>
    <w:rsid w:val="00122B49"/>
    <w:rsid w:val="00152F51"/>
    <w:rsid w:val="00153CBC"/>
    <w:rsid w:val="00157B6A"/>
    <w:rsid w:val="00175F2C"/>
    <w:rsid w:val="00182D5A"/>
    <w:rsid w:val="0019063B"/>
    <w:rsid w:val="00192B98"/>
    <w:rsid w:val="001B468E"/>
    <w:rsid w:val="001D0F23"/>
    <w:rsid w:val="001E22F2"/>
    <w:rsid w:val="001F0BBF"/>
    <w:rsid w:val="00212240"/>
    <w:rsid w:val="0024117C"/>
    <w:rsid w:val="0026771B"/>
    <w:rsid w:val="00274BCF"/>
    <w:rsid w:val="002872EC"/>
    <w:rsid w:val="0029010B"/>
    <w:rsid w:val="00293256"/>
    <w:rsid w:val="002B7594"/>
    <w:rsid w:val="002C7D1C"/>
    <w:rsid w:val="002D272C"/>
    <w:rsid w:val="002E00C8"/>
    <w:rsid w:val="002E7A82"/>
    <w:rsid w:val="00315125"/>
    <w:rsid w:val="00320B5E"/>
    <w:rsid w:val="00326E72"/>
    <w:rsid w:val="003B2C9C"/>
    <w:rsid w:val="003B33D4"/>
    <w:rsid w:val="003C6FA7"/>
    <w:rsid w:val="003E475E"/>
    <w:rsid w:val="003E6F5E"/>
    <w:rsid w:val="003F1425"/>
    <w:rsid w:val="0040765D"/>
    <w:rsid w:val="00446BD5"/>
    <w:rsid w:val="00480ADC"/>
    <w:rsid w:val="004E3F3C"/>
    <w:rsid w:val="004F122B"/>
    <w:rsid w:val="005030A9"/>
    <w:rsid w:val="0051640A"/>
    <w:rsid w:val="00521301"/>
    <w:rsid w:val="005223BF"/>
    <w:rsid w:val="0052358F"/>
    <w:rsid w:val="00531FB7"/>
    <w:rsid w:val="00534242"/>
    <w:rsid w:val="005403B3"/>
    <w:rsid w:val="00541AFE"/>
    <w:rsid w:val="005433E5"/>
    <w:rsid w:val="00575D7C"/>
    <w:rsid w:val="005819F6"/>
    <w:rsid w:val="00584FF6"/>
    <w:rsid w:val="005A306C"/>
    <w:rsid w:val="005A7840"/>
    <w:rsid w:val="005B4877"/>
    <w:rsid w:val="005C4EE7"/>
    <w:rsid w:val="00622D92"/>
    <w:rsid w:val="00624908"/>
    <w:rsid w:val="006316D8"/>
    <w:rsid w:val="006506A5"/>
    <w:rsid w:val="00680204"/>
    <w:rsid w:val="0068463F"/>
    <w:rsid w:val="00691A3F"/>
    <w:rsid w:val="006A09E4"/>
    <w:rsid w:val="006A3F42"/>
    <w:rsid w:val="006F70AF"/>
    <w:rsid w:val="00706BDD"/>
    <w:rsid w:val="00737DC0"/>
    <w:rsid w:val="00753F0F"/>
    <w:rsid w:val="0078302F"/>
    <w:rsid w:val="007C3269"/>
    <w:rsid w:val="007C3E20"/>
    <w:rsid w:val="007E4088"/>
    <w:rsid w:val="007F0154"/>
    <w:rsid w:val="00817C77"/>
    <w:rsid w:val="00827A02"/>
    <w:rsid w:val="008421F3"/>
    <w:rsid w:val="00846344"/>
    <w:rsid w:val="00861642"/>
    <w:rsid w:val="0087292B"/>
    <w:rsid w:val="00894571"/>
    <w:rsid w:val="008B41DB"/>
    <w:rsid w:val="008C5ADE"/>
    <w:rsid w:val="008E7D06"/>
    <w:rsid w:val="008F1F9E"/>
    <w:rsid w:val="00903505"/>
    <w:rsid w:val="0091562F"/>
    <w:rsid w:val="00921B6A"/>
    <w:rsid w:val="00927EC2"/>
    <w:rsid w:val="00947E4E"/>
    <w:rsid w:val="00955C8A"/>
    <w:rsid w:val="00962237"/>
    <w:rsid w:val="009C3D07"/>
    <w:rsid w:val="009C6F01"/>
    <w:rsid w:val="009D19EC"/>
    <w:rsid w:val="009E61EA"/>
    <w:rsid w:val="00A05D71"/>
    <w:rsid w:val="00A16CCE"/>
    <w:rsid w:val="00A35D01"/>
    <w:rsid w:val="00A40737"/>
    <w:rsid w:val="00A50CC0"/>
    <w:rsid w:val="00A51D34"/>
    <w:rsid w:val="00A6054E"/>
    <w:rsid w:val="00A623E6"/>
    <w:rsid w:val="00A71300"/>
    <w:rsid w:val="00A82408"/>
    <w:rsid w:val="00AD54D8"/>
    <w:rsid w:val="00B357F8"/>
    <w:rsid w:val="00B37363"/>
    <w:rsid w:val="00B500F1"/>
    <w:rsid w:val="00B56CC2"/>
    <w:rsid w:val="00B6477C"/>
    <w:rsid w:val="00B66D7C"/>
    <w:rsid w:val="00BA28EF"/>
    <w:rsid w:val="00BB2142"/>
    <w:rsid w:val="00C05107"/>
    <w:rsid w:val="00C11677"/>
    <w:rsid w:val="00C20014"/>
    <w:rsid w:val="00C33934"/>
    <w:rsid w:val="00C4434A"/>
    <w:rsid w:val="00C5071C"/>
    <w:rsid w:val="00C82905"/>
    <w:rsid w:val="00C9385B"/>
    <w:rsid w:val="00C977CA"/>
    <w:rsid w:val="00CC14D2"/>
    <w:rsid w:val="00CE5085"/>
    <w:rsid w:val="00CE6ECE"/>
    <w:rsid w:val="00CF41FC"/>
    <w:rsid w:val="00D03F77"/>
    <w:rsid w:val="00D254C4"/>
    <w:rsid w:val="00D41FBC"/>
    <w:rsid w:val="00D679A5"/>
    <w:rsid w:val="00D726B0"/>
    <w:rsid w:val="00DA00EF"/>
    <w:rsid w:val="00DA4F10"/>
    <w:rsid w:val="00DE6A71"/>
    <w:rsid w:val="00E00364"/>
    <w:rsid w:val="00E03607"/>
    <w:rsid w:val="00E124C8"/>
    <w:rsid w:val="00E1258F"/>
    <w:rsid w:val="00E27B46"/>
    <w:rsid w:val="00E32DD3"/>
    <w:rsid w:val="00E3669D"/>
    <w:rsid w:val="00E36C3D"/>
    <w:rsid w:val="00E663DE"/>
    <w:rsid w:val="00E8554E"/>
    <w:rsid w:val="00E960BC"/>
    <w:rsid w:val="00EA59EF"/>
    <w:rsid w:val="00EA7590"/>
    <w:rsid w:val="00EA7C9A"/>
    <w:rsid w:val="00EC47F8"/>
    <w:rsid w:val="00EC676F"/>
    <w:rsid w:val="00EE0142"/>
    <w:rsid w:val="00F13026"/>
    <w:rsid w:val="00F904C3"/>
    <w:rsid w:val="00F96A71"/>
    <w:rsid w:val="00FC7EE0"/>
    <w:rsid w:val="00FE2D2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2BDE30"/>
  <w15:docId w15:val="{C1A4C56E-0CB1-4B8C-A7C6-AFA9F00E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26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182D5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28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8E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3DE"/>
  </w:style>
  <w:style w:type="paragraph" w:styleId="Piedepgina">
    <w:name w:val="footer"/>
    <w:basedOn w:val="Normal"/>
    <w:link w:val="PiedepginaCar"/>
    <w:uiPriority w:val="99"/>
    <w:unhideWhenUsed/>
    <w:rsid w:val="00E6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3DE"/>
  </w:style>
  <w:style w:type="paragraph" w:styleId="Textonotapie">
    <w:name w:val="footnote text"/>
    <w:basedOn w:val="Normal"/>
    <w:link w:val="TextonotapieCar"/>
    <w:uiPriority w:val="99"/>
    <w:semiHidden/>
    <w:unhideWhenUsed/>
    <w:rsid w:val="00D726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6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26B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726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2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4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4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7FF65-B9C3-4096-9219-215409C6E864}"/>
</file>

<file path=customXml/itemProps2.xml><?xml version="1.0" encoding="utf-8"?>
<ds:datastoreItem xmlns:ds="http://schemas.openxmlformats.org/officeDocument/2006/customXml" ds:itemID="{68481F75-8478-4B6F-B2DC-AB613BBCAA80}"/>
</file>

<file path=customXml/itemProps3.xml><?xml version="1.0" encoding="utf-8"?>
<ds:datastoreItem xmlns:ds="http://schemas.openxmlformats.org/officeDocument/2006/customXml" ds:itemID="{A5FA280A-47DC-410B-B904-C879DC5A0B8A}"/>
</file>

<file path=customXml/itemProps4.xml><?xml version="1.0" encoding="utf-8"?>
<ds:datastoreItem xmlns:ds="http://schemas.openxmlformats.org/officeDocument/2006/customXml" ds:itemID="{19A0B29E-BD4C-41BF-A21D-7F308ED58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1807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Luis Ormaza Mejía</dc:creator>
  <cp:keywords/>
  <dc:description/>
  <cp:lastModifiedBy>Velasco Ricardo</cp:lastModifiedBy>
  <cp:revision>129</cp:revision>
  <dcterms:created xsi:type="dcterms:W3CDTF">2017-09-10T18:46:00Z</dcterms:created>
  <dcterms:modified xsi:type="dcterms:W3CDTF">2017-09-11T08:49:00Z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