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0BA" w:rsidRPr="00207103" w:rsidRDefault="004150BA" w:rsidP="00207103">
      <w:pPr>
        <w:spacing w:after="0" w:line="240" w:lineRule="auto"/>
        <w:jc w:val="center"/>
        <w:rPr>
          <w:rFonts w:cstheme="minorHAnsi"/>
          <w:b/>
          <w:sz w:val="28"/>
        </w:rPr>
      </w:pPr>
      <w:bookmarkStart w:id="0" w:name="_GoBack"/>
      <w:bookmarkEnd w:id="0"/>
      <w:r w:rsidRPr="00207103">
        <w:rPr>
          <w:rFonts w:cstheme="minorHAnsi"/>
          <w:b/>
          <w:sz w:val="28"/>
        </w:rPr>
        <w:t>Stephen L. Mikochik</w:t>
      </w:r>
    </w:p>
    <w:p w:rsidR="004150BA" w:rsidRPr="00207103" w:rsidRDefault="004150BA" w:rsidP="00207103">
      <w:pPr>
        <w:spacing w:after="0" w:line="240" w:lineRule="auto"/>
        <w:jc w:val="center"/>
        <w:rPr>
          <w:rFonts w:cstheme="minorHAnsi"/>
        </w:rPr>
      </w:pPr>
      <w:r w:rsidRPr="00207103">
        <w:rPr>
          <w:rFonts w:cstheme="minorHAnsi"/>
        </w:rPr>
        <w:t>17 N. Jacob St.</w:t>
      </w:r>
    </w:p>
    <w:p w:rsidR="004150BA" w:rsidRPr="00207103" w:rsidRDefault="004150BA" w:rsidP="00207103">
      <w:pPr>
        <w:spacing w:after="0" w:line="240" w:lineRule="auto"/>
        <w:jc w:val="center"/>
        <w:rPr>
          <w:rFonts w:cstheme="minorHAnsi"/>
        </w:rPr>
      </w:pPr>
      <w:r w:rsidRPr="00207103">
        <w:rPr>
          <w:rFonts w:cstheme="minorHAnsi"/>
        </w:rPr>
        <w:t>Mt. Joy, PA 17552</w:t>
      </w:r>
    </w:p>
    <w:p w:rsidR="004150BA" w:rsidRPr="00207103" w:rsidRDefault="004150BA" w:rsidP="00207103">
      <w:pPr>
        <w:spacing w:after="0" w:line="240" w:lineRule="auto"/>
        <w:jc w:val="center"/>
        <w:rPr>
          <w:rFonts w:cstheme="minorHAnsi"/>
        </w:rPr>
      </w:pPr>
      <w:r w:rsidRPr="00207103">
        <w:rPr>
          <w:rFonts w:cstheme="minorHAnsi"/>
        </w:rPr>
        <w:t>stephen.mikochik@temple.edu</w:t>
      </w:r>
    </w:p>
    <w:p w:rsidR="004150BA" w:rsidRPr="00207103" w:rsidRDefault="004150BA" w:rsidP="00207103">
      <w:pPr>
        <w:spacing w:after="0" w:line="240" w:lineRule="auto"/>
        <w:jc w:val="center"/>
        <w:rPr>
          <w:rFonts w:cstheme="minorHAnsi"/>
        </w:rPr>
      </w:pPr>
      <w:r w:rsidRPr="00207103">
        <w:rPr>
          <w:rFonts w:cstheme="minorHAnsi"/>
        </w:rPr>
        <w:t>610-930-3550</w:t>
      </w:r>
    </w:p>
    <w:p w:rsidR="004150BA" w:rsidRPr="00207103" w:rsidRDefault="004150BA" w:rsidP="004150BA">
      <w:pPr>
        <w:spacing w:after="0"/>
        <w:rPr>
          <w:rFonts w:cstheme="minorHAnsi"/>
        </w:rPr>
      </w:pPr>
    </w:p>
    <w:p w:rsidR="004150BA" w:rsidRPr="00176CBA" w:rsidRDefault="00C65C1D" w:rsidP="00176CBA">
      <w:pPr>
        <w:spacing w:after="0" w:line="240" w:lineRule="auto"/>
        <w:rPr>
          <w:rFonts w:cstheme="minorHAnsi"/>
        </w:rPr>
      </w:pPr>
      <w:r w:rsidRPr="00176CBA">
        <w:rPr>
          <w:rFonts w:cstheme="minorHAnsi"/>
        </w:rPr>
        <w:t>July 11</w:t>
      </w:r>
      <w:r w:rsidR="004150BA" w:rsidRPr="00176CBA">
        <w:rPr>
          <w:rFonts w:cstheme="minorHAnsi"/>
        </w:rPr>
        <w:t>, 2017</w:t>
      </w:r>
      <w:r w:rsidR="004150BA" w:rsidRPr="00176CBA">
        <w:rPr>
          <w:rFonts w:cstheme="minorHAnsi"/>
        </w:rPr>
        <w:br/>
      </w:r>
    </w:p>
    <w:p w:rsidR="004150BA" w:rsidRPr="00176CBA" w:rsidRDefault="004150BA" w:rsidP="00176CBA">
      <w:pPr>
        <w:spacing w:after="0" w:line="240" w:lineRule="auto"/>
        <w:rPr>
          <w:rFonts w:cstheme="minorHAnsi"/>
        </w:rPr>
      </w:pPr>
      <w:r w:rsidRPr="00176CBA">
        <w:rPr>
          <w:rFonts w:cstheme="minorHAnsi"/>
          <w:bCs/>
        </w:rPr>
        <w:t>Jorge Araya</w:t>
      </w:r>
      <w:r w:rsidRPr="00176CBA">
        <w:rPr>
          <w:rFonts w:cstheme="minorHAnsi"/>
          <w:bCs/>
        </w:rPr>
        <w:br/>
        <w:t>Secretary of the Committee on the Rights of Persons with Disabilities</w:t>
      </w:r>
      <w:r w:rsidRPr="00176CBA">
        <w:rPr>
          <w:rFonts w:cstheme="minorHAnsi"/>
        </w:rPr>
        <w:br/>
        <w:t>Groups in Focus Section</w:t>
      </w:r>
      <w:r w:rsidRPr="00176CBA">
        <w:rPr>
          <w:rFonts w:cstheme="minorHAnsi"/>
        </w:rPr>
        <w:br/>
        <w:t>Human Rights Council and Treaties Division</w:t>
      </w:r>
      <w:r w:rsidRPr="00176CBA">
        <w:rPr>
          <w:rFonts w:cstheme="minorHAnsi"/>
        </w:rPr>
        <w:br/>
        <w:t>Office of the United Nations High Commissioner for Human Rights</w:t>
      </w:r>
    </w:p>
    <w:p w:rsidR="004150BA" w:rsidRPr="00176CBA" w:rsidRDefault="004150BA" w:rsidP="00176CBA">
      <w:pPr>
        <w:pStyle w:val="NormalWeb"/>
        <w:spacing w:before="0" w:after="0"/>
        <w:rPr>
          <w:rFonts w:asciiTheme="minorHAnsi" w:hAnsiTheme="minorHAnsi" w:cstheme="minorHAnsi"/>
          <w:sz w:val="22"/>
          <w:szCs w:val="22"/>
        </w:rPr>
      </w:pPr>
      <w:r w:rsidRPr="00176CBA">
        <w:rPr>
          <w:rFonts w:asciiTheme="minorHAnsi" w:hAnsiTheme="minorHAnsi" w:cstheme="minorHAnsi"/>
          <w:sz w:val="22"/>
          <w:szCs w:val="22"/>
        </w:rPr>
        <w:t xml:space="preserve">52 Rue de Paquis </w:t>
      </w:r>
    </w:p>
    <w:p w:rsidR="004150BA" w:rsidRPr="00176CBA" w:rsidRDefault="004150BA" w:rsidP="00176CBA">
      <w:pPr>
        <w:pStyle w:val="NormalWeb"/>
        <w:spacing w:before="0" w:after="0"/>
        <w:rPr>
          <w:rFonts w:asciiTheme="minorHAnsi" w:hAnsiTheme="minorHAnsi" w:cstheme="minorHAnsi"/>
          <w:sz w:val="22"/>
          <w:szCs w:val="22"/>
        </w:rPr>
      </w:pPr>
      <w:r w:rsidRPr="00176CBA">
        <w:rPr>
          <w:rFonts w:asciiTheme="minorHAnsi" w:hAnsiTheme="minorHAnsi" w:cstheme="minorHAnsi"/>
          <w:sz w:val="22"/>
          <w:szCs w:val="22"/>
        </w:rPr>
        <w:t xml:space="preserve">1201 Geneva, Switzerland </w:t>
      </w:r>
    </w:p>
    <w:p w:rsidR="004150BA" w:rsidRPr="00176CBA" w:rsidRDefault="004150BA" w:rsidP="00176CBA">
      <w:pPr>
        <w:spacing w:after="0" w:line="240" w:lineRule="auto"/>
        <w:rPr>
          <w:rFonts w:cstheme="minorHAnsi"/>
        </w:rPr>
      </w:pPr>
    </w:p>
    <w:p w:rsidR="004150BA" w:rsidRPr="00176CBA" w:rsidRDefault="004150BA" w:rsidP="00176CBA">
      <w:pPr>
        <w:spacing w:after="0" w:line="240" w:lineRule="auto"/>
        <w:rPr>
          <w:rFonts w:cstheme="minorHAnsi"/>
          <w:i/>
        </w:rPr>
      </w:pPr>
      <w:r w:rsidRPr="00176CBA">
        <w:rPr>
          <w:rFonts w:cstheme="minorHAnsi"/>
        </w:rPr>
        <w:t>Re:</w:t>
      </w:r>
      <w:r w:rsidR="00207103" w:rsidRPr="00176CBA">
        <w:rPr>
          <w:rFonts w:cstheme="minorHAnsi"/>
        </w:rPr>
        <w:t xml:space="preserve"> </w:t>
      </w:r>
      <w:r w:rsidR="002B478C" w:rsidRPr="00176CBA">
        <w:rPr>
          <w:rFonts w:cstheme="minorHAnsi"/>
        </w:rPr>
        <w:t>Submission Luxembourg</w:t>
      </w:r>
    </w:p>
    <w:p w:rsidR="004150BA" w:rsidRPr="00176CBA" w:rsidRDefault="004150BA" w:rsidP="00176CBA">
      <w:pPr>
        <w:spacing w:after="0" w:line="240" w:lineRule="auto"/>
        <w:rPr>
          <w:rFonts w:cstheme="minorHAnsi"/>
        </w:rPr>
      </w:pPr>
    </w:p>
    <w:p w:rsidR="004150BA" w:rsidRPr="00176CBA" w:rsidRDefault="004150BA" w:rsidP="00176CBA">
      <w:pPr>
        <w:spacing w:after="0" w:line="240" w:lineRule="auto"/>
        <w:rPr>
          <w:rFonts w:cstheme="minorHAnsi"/>
        </w:rPr>
      </w:pPr>
      <w:r w:rsidRPr="00176CBA">
        <w:rPr>
          <w:rFonts w:cstheme="minorHAnsi"/>
        </w:rPr>
        <w:t xml:space="preserve">Dear Secretary </w:t>
      </w:r>
      <w:r w:rsidRPr="00176CBA">
        <w:rPr>
          <w:rFonts w:cstheme="minorHAnsi"/>
          <w:bCs/>
        </w:rPr>
        <w:t>Araya</w:t>
      </w:r>
      <w:r w:rsidRPr="00176CBA">
        <w:rPr>
          <w:rFonts w:cstheme="minorHAnsi"/>
          <w:b/>
          <w:bCs/>
        </w:rPr>
        <w:t>:</w:t>
      </w:r>
    </w:p>
    <w:p w:rsidR="004150BA" w:rsidRPr="00176CBA" w:rsidRDefault="004150BA" w:rsidP="00176CBA">
      <w:pPr>
        <w:spacing w:after="0" w:line="240" w:lineRule="auto"/>
        <w:rPr>
          <w:rFonts w:cstheme="minorHAnsi"/>
        </w:rPr>
      </w:pPr>
    </w:p>
    <w:p w:rsidR="004D1B46" w:rsidRPr="00176CBA" w:rsidRDefault="00AB720B" w:rsidP="00176CBA">
      <w:pPr>
        <w:spacing w:after="0" w:line="240" w:lineRule="auto"/>
        <w:rPr>
          <w:rFonts w:cstheme="minorHAnsi"/>
        </w:rPr>
      </w:pPr>
      <w:r w:rsidRPr="00176CBA">
        <w:rPr>
          <w:rFonts w:cstheme="minorHAnsi"/>
        </w:rPr>
        <w:t xml:space="preserve">My name is Stephen L. Mikochik. I am </w:t>
      </w:r>
      <w:r w:rsidR="00165367" w:rsidRPr="00176CBA">
        <w:rPr>
          <w:rFonts w:cstheme="minorHAnsi"/>
        </w:rPr>
        <w:t xml:space="preserve">an </w:t>
      </w:r>
      <w:r w:rsidRPr="00176CBA">
        <w:rPr>
          <w:rFonts w:cstheme="minorHAnsi"/>
        </w:rPr>
        <w:t xml:space="preserve">emeritus professor of Constitutional Law at Temple Law </w:t>
      </w:r>
      <w:r w:rsidR="006603B3" w:rsidRPr="00176CBA">
        <w:rPr>
          <w:rFonts w:cstheme="minorHAnsi"/>
        </w:rPr>
        <w:t>School in</w:t>
      </w:r>
      <w:r w:rsidRPr="00176CBA">
        <w:rPr>
          <w:rFonts w:cstheme="minorHAnsi"/>
        </w:rPr>
        <w:t xml:space="preserve"> Philadelphia </w:t>
      </w:r>
      <w:r w:rsidR="00564975" w:rsidRPr="00176CBA">
        <w:rPr>
          <w:rFonts w:cstheme="minorHAnsi"/>
        </w:rPr>
        <w:t xml:space="preserve">and </w:t>
      </w:r>
      <w:r w:rsidR="004279E9" w:rsidRPr="00176CBA">
        <w:rPr>
          <w:rFonts w:cstheme="minorHAnsi"/>
        </w:rPr>
        <w:t xml:space="preserve">presently </w:t>
      </w:r>
      <w:r w:rsidRPr="00176CBA">
        <w:rPr>
          <w:rFonts w:cstheme="minorHAnsi"/>
        </w:rPr>
        <w:t xml:space="preserve">a visiting professor at Ave Maria Law School in Florida. Before joining the Temple faculty, I was an expert on disability law with the Civil </w:t>
      </w:r>
      <w:r w:rsidR="006603B3" w:rsidRPr="00176CBA">
        <w:rPr>
          <w:rFonts w:cstheme="minorHAnsi"/>
        </w:rPr>
        <w:t>Rights Division</w:t>
      </w:r>
      <w:r w:rsidRPr="00176CBA">
        <w:rPr>
          <w:rFonts w:cstheme="minorHAnsi"/>
        </w:rPr>
        <w:t>, U.S. Department of Justice</w:t>
      </w:r>
      <w:r w:rsidR="005C5173" w:rsidRPr="00176CBA">
        <w:rPr>
          <w:rFonts w:cstheme="minorHAnsi"/>
        </w:rPr>
        <w:t>.</w:t>
      </w:r>
      <w:r w:rsidR="00B70F1E" w:rsidRPr="00176CBA">
        <w:rPr>
          <w:rFonts w:cstheme="minorHAnsi"/>
        </w:rPr>
        <w:t xml:space="preserve"> </w:t>
      </w:r>
      <w:r w:rsidR="005C5173" w:rsidRPr="00176CBA">
        <w:rPr>
          <w:rFonts w:cstheme="minorHAnsi"/>
        </w:rPr>
        <w:t xml:space="preserve">I </w:t>
      </w:r>
      <w:r w:rsidR="00564975" w:rsidRPr="00176CBA">
        <w:rPr>
          <w:rFonts w:cstheme="minorHAnsi"/>
        </w:rPr>
        <w:t xml:space="preserve">later chaired </w:t>
      </w:r>
      <w:r w:rsidR="00B70F1E" w:rsidRPr="00176CBA">
        <w:rPr>
          <w:rFonts w:cstheme="minorHAnsi"/>
        </w:rPr>
        <w:t xml:space="preserve">the National Catholic Partnership on Disability, established four decades ago to implement the </w:t>
      </w:r>
      <w:r w:rsidR="004279E9" w:rsidRPr="00176CBA">
        <w:rPr>
          <w:rFonts w:cstheme="minorHAnsi"/>
        </w:rPr>
        <w:t xml:space="preserve">1978 </w:t>
      </w:r>
      <w:r w:rsidR="00B70F1E" w:rsidRPr="00176CBA">
        <w:rPr>
          <w:rFonts w:cstheme="minorHAnsi"/>
        </w:rPr>
        <w:t xml:space="preserve">Pastoral Statement on People with Disabilities of the U.S. Catholic bishops. </w:t>
      </w:r>
      <w:r w:rsidR="006603B3" w:rsidRPr="00176CBA">
        <w:rPr>
          <w:rFonts w:cstheme="minorHAnsi"/>
        </w:rPr>
        <w:t>I have published extensively on the civil rights of disabled persons</w:t>
      </w:r>
      <w:r w:rsidR="004279E9" w:rsidRPr="00176CBA">
        <w:rPr>
          <w:rFonts w:cstheme="minorHAnsi"/>
        </w:rPr>
        <w:t xml:space="preserve"> </w:t>
      </w:r>
      <w:r w:rsidR="00A336A3" w:rsidRPr="00176CBA">
        <w:rPr>
          <w:rFonts w:cstheme="minorHAnsi"/>
        </w:rPr>
        <w:t xml:space="preserve">and </w:t>
      </w:r>
      <w:r w:rsidR="00B70F1E" w:rsidRPr="00176CBA">
        <w:rPr>
          <w:rFonts w:cstheme="minorHAnsi"/>
        </w:rPr>
        <w:t xml:space="preserve">am </w:t>
      </w:r>
      <w:r w:rsidR="006603B3" w:rsidRPr="00176CBA">
        <w:rPr>
          <w:rFonts w:cstheme="minorHAnsi"/>
        </w:rPr>
        <w:t xml:space="preserve">myself </w:t>
      </w:r>
      <w:r w:rsidR="00B70F1E" w:rsidRPr="00176CBA">
        <w:rPr>
          <w:rFonts w:cstheme="minorHAnsi"/>
        </w:rPr>
        <w:t>blind.</w:t>
      </w:r>
    </w:p>
    <w:p w:rsidR="00B70F1E" w:rsidRPr="00176CBA" w:rsidRDefault="00B70F1E" w:rsidP="00176CBA">
      <w:pPr>
        <w:spacing w:after="0" w:line="240" w:lineRule="auto"/>
        <w:rPr>
          <w:rFonts w:cstheme="minorHAnsi"/>
          <w:i/>
        </w:rPr>
      </w:pPr>
    </w:p>
    <w:p w:rsidR="006603B3" w:rsidRPr="00176CBA" w:rsidRDefault="00B70F1E" w:rsidP="00176CBA">
      <w:pPr>
        <w:spacing w:after="0" w:line="240" w:lineRule="auto"/>
        <w:rPr>
          <w:rFonts w:cstheme="minorHAnsi"/>
        </w:rPr>
      </w:pPr>
      <w:r w:rsidRPr="00176CBA">
        <w:rPr>
          <w:rFonts w:cstheme="minorHAnsi"/>
        </w:rPr>
        <w:t xml:space="preserve">I write on behalf of the International </w:t>
      </w:r>
      <w:r w:rsidR="006603B3" w:rsidRPr="00176CBA">
        <w:rPr>
          <w:rFonts w:cstheme="minorHAnsi"/>
        </w:rPr>
        <w:t>solidarity</w:t>
      </w:r>
      <w:r w:rsidRPr="00176CBA">
        <w:rPr>
          <w:rFonts w:cstheme="minorHAnsi"/>
        </w:rPr>
        <w:t xml:space="preserve"> and </w:t>
      </w:r>
      <w:r w:rsidR="006603B3" w:rsidRPr="00176CBA">
        <w:rPr>
          <w:rFonts w:cstheme="minorHAnsi"/>
        </w:rPr>
        <w:t>Human</w:t>
      </w:r>
      <w:r w:rsidRPr="00176CBA">
        <w:rPr>
          <w:rFonts w:cstheme="minorHAnsi"/>
        </w:rPr>
        <w:t xml:space="preserve"> Rights Institute</w:t>
      </w:r>
      <w:r w:rsidR="005C5173" w:rsidRPr="00176CBA">
        <w:rPr>
          <w:rFonts w:cstheme="minorHAnsi"/>
        </w:rPr>
        <w:t xml:space="preserve"> (ISHRI),</w:t>
      </w:r>
      <w:r w:rsidRPr="00176CBA">
        <w:rPr>
          <w:rFonts w:cstheme="minorHAnsi"/>
        </w:rPr>
        <w:t xml:space="preserve"> </w:t>
      </w:r>
      <w:r w:rsidR="00C65C1D" w:rsidRPr="00176CBA">
        <w:rPr>
          <w:rFonts w:cstheme="minorHAnsi"/>
        </w:rPr>
        <w:t xml:space="preserve">a non-governmental organization in consultative status with the United Nations Economic and Social Council, </w:t>
      </w:r>
      <w:r w:rsidR="00CE6311" w:rsidRPr="00176CBA">
        <w:rPr>
          <w:rFonts w:cstheme="minorHAnsi"/>
        </w:rPr>
        <w:t>committed</w:t>
      </w:r>
      <w:r w:rsidR="006603B3" w:rsidRPr="00176CBA">
        <w:rPr>
          <w:rFonts w:cstheme="minorHAnsi"/>
        </w:rPr>
        <w:t xml:space="preserve"> to establishing solidarity among people worldwide by promoting authentic human rights b</w:t>
      </w:r>
      <w:r w:rsidR="005C5173" w:rsidRPr="00176CBA">
        <w:rPr>
          <w:rFonts w:cstheme="minorHAnsi"/>
        </w:rPr>
        <w:t>ased on Natural Law principles</w:t>
      </w:r>
      <w:r w:rsidR="003276EB" w:rsidRPr="00176CBA">
        <w:rPr>
          <w:rFonts w:cstheme="minorHAnsi"/>
        </w:rPr>
        <w:t xml:space="preserve"> as understood by the universal Teaching Office of the Catholic Church</w:t>
      </w:r>
      <w:r w:rsidR="008E1019" w:rsidRPr="00176CBA">
        <w:rPr>
          <w:rFonts w:cstheme="minorHAnsi"/>
        </w:rPr>
        <w:t>.</w:t>
      </w:r>
      <w:r w:rsidR="005C5173" w:rsidRPr="00176CBA">
        <w:rPr>
          <w:rFonts w:cstheme="minorHAnsi"/>
        </w:rPr>
        <w:t xml:space="preserve"> </w:t>
      </w:r>
      <w:r w:rsidR="001F5E34" w:rsidRPr="00176CBA">
        <w:rPr>
          <w:rFonts w:cstheme="minorHAnsi"/>
        </w:rPr>
        <w:t xml:space="preserve">On behalf of ISHRI, I ask the Committee to challenge Luxembourg’s initial report under the </w:t>
      </w:r>
      <w:r w:rsidR="005C5173" w:rsidRPr="00176CBA">
        <w:rPr>
          <w:rFonts w:cstheme="minorHAnsi"/>
        </w:rPr>
        <w:t>Convention on the Rights of Persons with Disabilities (CRPD)</w:t>
      </w:r>
      <w:r w:rsidR="001F5E34" w:rsidRPr="00176CBA">
        <w:rPr>
          <w:rFonts w:cstheme="minorHAnsi"/>
        </w:rPr>
        <w:t>.</w:t>
      </w:r>
      <w:r w:rsidR="004279E9" w:rsidRPr="00176CBA">
        <w:rPr>
          <w:rFonts w:cstheme="minorHAnsi"/>
        </w:rPr>
        <w:t xml:space="preserve"> </w:t>
      </w:r>
      <w:r w:rsidR="001F5E34" w:rsidRPr="00176CBA">
        <w:rPr>
          <w:rFonts w:cstheme="minorHAnsi"/>
        </w:rPr>
        <w:t>To put it simply</w:t>
      </w:r>
      <w:r w:rsidR="00FC55C5" w:rsidRPr="00176CBA">
        <w:rPr>
          <w:rFonts w:cstheme="minorHAnsi"/>
        </w:rPr>
        <w:t>, Luxembourg’s</w:t>
      </w:r>
      <w:r w:rsidR="00F36950" w:rsidRPr="00176CBA">
        <w:rPr>
          <w:rFonts w:cstheme="minorHAnsi"/>
        </w:rPr>
        <w:t xml:space="preserve"> </w:t>
      </w:r>
      <w:r w:rsidR="00F024AC" w:rsidRPr="00176CBA">
        <w:rPr>
          <w:rFonts w:cstheme="minorHAnsi"/>
        </w:rPr>
        <w:t xml:space="preserve">claim that </w:t>
      </w:r>
      <w:r w:rsidR="00C809DC" w:rsidRPr="00176CBA">
        <w:rPr>
          <w:rFonts w:cstheme="minorHAnsi"/>
        </w:rPr>
        <w:t xml:space="preserve">its act </w:t>
      </w:r>
      <w:r w:rsidR="004279E9" w:rsidRPr="00176CBA">
        <w:rPr>
          <w:rFonts w:cstheme="minorHAnsi"/>
        </w:rPr>
        <w:t>of March 16, 2009</w:t>
      </w:r>
      <w:r w:rsidR="002B478C" w:rsidRPr="00176CBA">
        <w:rPr>
          <w:rFonts w:cstheme="minorHAnsi"/>
        </w:rPr>
        <w:t>,</w:t>
      </w:r>
      <w:r w:rsidR="004279E9" w:rsidRPr="00176CBA">
        <w:rPr>
          <w:rFonts w:cstheme="minorHAnsi"/>
        </w:rPr>
        <w:t xml:space="preserve"> </w:t>
      </w:r>
      <w:r w:rsidR="00C809DC" w:rsidRPr="00176CBA">
        <w:rPr>
          <w:rFonts w:cstheme="minorHAnsi"/>
        </w:rPr>
        <w:t>legalizing euthanasia and assisted suicide</w:t>
      </w:r>
      <w:r w:rsidR="002B478C" w:rsidRPr="00176CBA">
        <w:rPr>
          <w:rFonts w:cstheme="minorHAnsi"/>
        </w:rPr>
        <w:t>,</w:t>
      </w:r>
      <w:r w:rsidR="00C809DC" w:rsidRPr="00176CBA">
        <w:rPr>
          <w:rFonts w:cstheme="minorHAnsi"/>
        </w:rPr>
        <w:t xml:space="preserve"> </w:t>
      </w:r>
      <w:r w:rsidR="00F024AC" w:rsidRPr="00176CBA">
        <w:rPr>
          <w:rFonts w:cstheme="minorHAnsi"/>
        </w:rPr>
        <w:t xml:space="preserve">does not </w:t>
      </w:r>
      <w:r w:rsidR="00C809DC" w:rsidRPr="00176CBA">
        <w:rPr>
          <w:rFonts w:cstheme="minorHAnsi"/>
        </w:rPr>
        <w:t xml:space="preserve">discriminate against disabled people is false. </w:t>
      </w:r>
      <w:r w:rsidR="00F024AC" w:rsidRPr="00176CBA">
        <w:rPr>
          <w:rFonts w:cstheme="minorHAnsi"/>
        </w:rPr>
        <w:t xml:space="preserve">For the Committee to accept </w:t>
      </w:r>
      <w:r w:rsidR="002B478C" w:rsidRPr="00176CBA">
        <w:rPr>
          <w:rFonts w:cstheme="minorHAnsi"/>
        </w:rPr>
        <w:t xml:space="preserve">that </w:t>
      </w:r>
      <w:r w:rsidR="00F024AC" w:rsidRPr="00176CBA">
        <w:rPr>
          <w:rFonts w:cstheme="minorHAnsi"/>
        </w:rPr>
        <w:t xml:space="preserve">claim would set a dangerous </w:t>
      </w:r>
      <w:r w:rsidR="00F36950" w:rsidRPr="00176CBA">
        <w:rPr>
          <w:rFonts w:cstheme="minorHAnsi"/>
        </w:rPr>
        <w:t>precedent</w:t>
      </w:r>
      <w:r w:rsidR="00F024AC" w:rsidRPr="00176CBA">
        <w:rPr>
          <w:rFonts w:cstheme="minorHAnsi"/>
        </w:rPr>
        <w:t xml:space="preserve"> for States Parties considering </w:t>
      </w:r>
      <w:r w:rsidR="002B478C" w:rsidRPr="00176CBA">
        <w:rPr>
          <w:rFonts w:cstheme="minorHAnsi"/>
        </w:rPr>
        <w:t xml:space="preserve">end-of-life </w:t>
      </w:r>
      <w:r w:rsidR="00F024AC" w:rsidRPr="00176CBA">
        <w:rPr>
          <w:rFonts w:cstheme="minorHAnsi"/>
        </w:rPr>
        <w:t xml:space="preserve">legislation in the future. </w:t>
      </w:r>
    </w:p>
    <w:p w:rsidR="003F2811" w:rsidRPr="00176CBA" w:rsidRDefault="003F2811" w:rsidP="00176CBA">
      <w:pPr>
        <w:spacing w:after="0" w:line="240" w:lineRule="auto"/>
        <w:rPr>
          <w:rFonts w:cstheme="minorHAnsi"/>
          <w:i/>
        </w:rPr>
      </w:pPr>
    </w:p>
    <w:p w:rsidR="003F2811" w:rsidRPr="00176CBA" w:rsidRDefault="003F2811" w:rsidP="00176CBA">
      <w:pPr>
        <w:spacing w:after="0" w:line="240" w:lineRule="auto"/>
        <w:rPr>
          <w:rFonts w:cstheme="minorHAnsi"/>
        </w:rPr>
      </w:pPr>
      <w:r w:rsidRPr="00176CBA">
        <w:rPr>
          <w:rFonts w:cstheme="minorHAnsi"/>
        </w:rPr>
        <w:t xml:space="preserve">Luxembourg signed the </w:t>
      </w:r>
      <w:r w:rsidR="001F5E34" w:rsidRPr="00176CBA">
        <w:rPr>
          <w:rFonts w:cstheme="minorHAnsi"/>
        </w:rPr>
        <w:t xml:space="preserve">CRPD </w:t>
      </w:r>
      <w:r w:rsidR="00811623" w:rsidRPr="00176CBA">
        <w:rPr>
          <w:rFonts w:cstheme="minorHAnsi"/>
        </w:rPr>
        <w:t xml:space="preserve">and optional </w:t>
      </w:r>
      <w:r w:rsidR="00165367" w:rsidRPr="00176CBA">
        <w:rPr>
          <w:rFonts w:cstheme="minorHAnsi"/>
        </w:rPr>
        <w:t>protocol</w:t>
      </w:r>
      <w:r w:rsidR="00811623" w:rsidRPr="00176CBA">
        <w:rPr>
          <w:rFonts w:cstheme="minorHAnsi"/>
        </w:rPr>
        <w:t xml:space="preserve"> </w:t>
      </w:r>
      <w:r w:rsidRPr="00176CBA">
        <w:rPr>
          <w:rFonts w:cstheme="minorHAnsi"/>
        </w:rPr>
        <w:t>on March</w:t>
      </w:r>
      <w:r w:rsidR="00811623" w:rsidRPr="00176CBA">
        <w:rPr>
          <w:rFonts w:cstheme="minorHAnsi"/>
        </w:rPr>
        <w:t xml:space="preserve"> 30, 2007</w:t>
      </w:r>
      <w:r w:rsidRPr="00176CBA">
        <w:rPr>
          <w:rFonts w:cstheme="minorHAnsi"/>
        </w:rPr>
        <w:t xml:space="preserve"> </w:t>
      </w:r>
      <w:r w:rsidR="00811623" w:rsidRPr="00176CBA">
        <w:rPr>
          <w:rFonts w:cstheme="minorHAnsi"/>
        </w:rPr>
        <w:t xml:space="preserve">and </w:t>
      </w:r>
      <w:r w:rsidRPr="00176CBA">
        <w:rPr>
          <w:rFonts w:cstheme="minorHAnsi"/>
        </w:rPr>
        <w:t xml:space="preserve">ratified </w:t>
      </w:r>
      <w:r w:rsidR="00D226B4" w:rsidRPr="00176CBA">
        <w:rPr>
          <w:rFonts w:cstheme="minorHAnsi"/>
        </w:rPr>
        <w:t xml:space="preserve">both </w:t>
      </w:r>
      <w:r w:rsidR="001F5E34" w:rsidRPr="00176CBA">
        <w:rPr>
          <w:rFonts w:cstheme="minorHAnsi"/>
        </w:rPr>
        <w:t>without reservation</w:t>
      </w:r>
      <w:r w:rsidR="002B478C" w:rsidRPr="00176CBA">
        <w:rPr>
          <w:rFonts w:cstheme="minorHAnsi"/>
        </w:rPr>
        <w:t>s</w:t>
      </w:r>
      <w:r w:rsidR="00AA2B91" w:rsidRPr="00176CBA">
        <w:rPr>
          <w:rFonts w:cstheme="minorHAnsi"/>
        </w:rPr>
        <w:t xml:space="preserve"> </w:t>
      </w:r>
      <w:r w:rsidRPr="00176CBA">
        <w:rPr>
          <w:rFonts w:cstheme="minorHAnsi"/>
        </w:rPr>
        <w:t xml:space="preserve">on September </w:t>
      </w:r>
      <w:r w:rsidR="001F5E34" w:rsidRPr="00176CBA">
        <w:rPr>
          <w:rFonts w:cstheme="minorHAnsi"/>
        </w:rPr>
        <w:t>26,</w:t>
      </w:r>
      <w:r w:rsidRPr="00176CBA">
        <w:rPr>
          <w:rFonts w:cstheme="minorHAnsi"/>
        </w:rPr>
        <w:t xml:space="preserve"> </w:t>
      </w:r>
      <w:r w:rsidR="00165367" w:rsidRPr="00176CBA">
        <w:rPr>
          <w:rFonts w:cstheme="minorHAnsi"/>
        </w:rPr>
        <w:t>2011.</w:t>
      </w:r>
      <w:r w:rsidR="001F5E34" w:rsidRPr="00176CBA">
        <w:rPr>
          <w:rFonts w:cstheme="minorHAnsi"/>
        </w:rPr>
        <w:t xml:space="preserve"> </w:t>
      </w:r>
      <w:r w:rsidR="00D226B4" w:rsidRPr="00176CBA">
        <w:rPr>
          <w:rFonts w:cstheme="minorHAnsi"/>
        </w:rPr>
        <w:t xml:space="preserve">They </w:t>
      </w:r>
      <w:r w:rsidR="00165367" w:rsidRPr="00176CBA">
        <w:rPr>
          <w:rFonts w:cstheme="minorHAnsi"/>
        </w:rPr>
        <w:t>came</w:t>
      </w:r>
      <w:r w:rsidR="00811623" w:rsidRPr="00176CBA">
        <w:rPr>
          <w:rFonts w:cstheme="minorHAnsi"/>
        </w:rPr>
        <w:t xml:space="preserve"> </w:t>
      </w:r>
      <w:r w:rsidRPr="00176CBA">
        <w:rPr>
          <w:rFonts w:cstheme="minorHAnsi"/>
        </w:rPr>
        <w:t xml:space="preserve">into force in Luxembourg a month later.  </w:t>
      </w:r>
      <w:r w:rsidR="00AE638C" w:rsidRPr="00176CBA">
        <w:rPr>
          <w:rFonts w:cstheme="minorHAnsi"/>
        </w:rPr>
        <w:t xml:space="preserve"> Luxembourg filed its initial report under the Convention on March 4, 2014.  Though the report recognized that Luxembourg had enacted legislation regulating euthanasia and assisted suicide, it claimed that the Act </w:t>
      </w:r>
      <w:r w:rsidR="00AA2B91" w:rsidRPr="00176CBA">
        <w:rPr>
          <w:rFonts w:cstheme="minorHAnsi"/>
        </w:rPr>
        <w:t xml:space="preserve">did </w:t>
      </w:r>
      <w:bookmarkStart w:id="1" w:name="OLE_LINK24"/>
      <w:bookmarkStart w:id="2" w:name="OLE_LINK25"/>
      <w:r w:rsidR="00AA2B91" w:rsidRPr="00176CBA">
        <w:rPr>
          <w:rFonts w:cstheme="minorHAnsi"/>
        </w:rPr>
        <w:t>“</w:t>
      </w:r>
      <w:r w:rsidR="00AE638C" w:rsidRPr="00176CBA">
        <w:rPr>
          <w:rFonts w:cstheme="minorHAnsi"/>
        </w:rPr>
        <w:t>no</w:t>
      </w:r>
      <w:r w:rsidR="00AA2B91" w:rsidRPr="00176CBA">
        <w:rPr>
          <w:rFonts w:cstheme="minorHAnsi"/>
        </w:rPr>
        <w:t xml:space="preserve">t differentiate between persons </w:t>
      </w:r>
      <w:r w:rsidR="00AE638C" w:rsidRPr="00176CBA">
        <w:rPr>
          <w:rFonts w:cstheme="minorHAnsi"/>
        </w:rPr>
        <w:t>with disabilities and persons without disabilities.</w:t>
      </w:r>
      <w:r w:rsidR="00017CC1" w:rsidRPr="00176CBA">
        <w:rPr>
          <w:rFonts w:cstheme="minorHAnsi"/>
        </w:rPr>
        <w:t>”</w:t>
      </w:r>
      <w:r w:rsidR="00AA2B91" w:rsidRPr="00176CBA">
        <w:rPr>
          <w:rStyle w:val="FootnoteReference"/>
          <w:rFonts w:cstheme="minorHAnsi"/>
        </w:rPr>
        <w:footnoteReference w:id="1"/>
      </w:r>
    </w:p>
    <w:bookmarkEnd w:id="1"/>
    <w:bookmarkEnd w:id="2"/>
    <w:p w:rsidR="004F5D1D" w:rsidRPr="00176CBA" w:rsidRDefault="004F5D1D" w:rsidP="00176CBA">
      <w:pPr>
        <w:spacing w:after="0" w:line="240" w:lineRule="auto"/>
        <w:rPr>
          <w:rFonts w:cstheme="minorHAnsi"/>
          <w:i/>
        </w:rPr>
      </w:pPr>
    </w:p>
    <w:p w:rsidR="005E700E" w:rsidRPr="00176CBA" w:rsidRDefault="004F5D1D" w:rsidP="00176CBA">
      <w:pPr>
        <w:spacing w:after="0" w:line="240" w:lineRule="auto"/>
        <w:rPr>
          <w:rFonts w:cstheme="minorHAnsi"/>
        </w:rPr>
      </w:pPr>
      <w:r w:rsidRPr="00176CBA">
        <w:rPr>
          <w:rFonts w:cstheme="minorHAnsi"/>
        </w:rPr>
        <w:lastRenderedPageBreak/>
        <w:t>I first note that Luxembourg does not have a uniform legal definition of “disability.”</w:t>
      </w:r>
      <w:r w:rsidRPr="00176CBA">
        <w:rPr>
          <w:rStyle w:val="FootnoteReference"/>
          <w:rFonts w:cstheme="minorHAnsi"/>
        </w:rPr>
        <w:footnoteReference w:id="2"/>
      </w:r>
      <w:r w:rsidR="00A048A8" w:rsidRPr="00176CBA">
        <w:rPr>
          <w:rFonts w:cstheme="minorHAnsi"/>
        </w:rPr>
        <w:t xml:space="preserve"> </w:t>
      </w:r>
      <w:r w:rsidR="000D2226" w:rsidRPr="00176CBA">
        <w:rPr>
          <w:rFonts w:cstheme="minorHAnsi"/>
        </w:rPr>
        <w:t>The CRPD also forgoes such definition, t</w:t>
      </w:r>
      <w:r w:rsidR="00A048A8" w:rsidRPr="00176CBA">
        <w:rPr>
          <w:rFonts w:cstheme="minorHAnsi"/>
        </w:rPr>
        <w:t xml:space="preserve">hough Article 1 explains that “[p]ersons with disabilities include those who have long-term physical, mental, intellectual or sensory impairments which in interaction with various barriers may hinder their full and effective participation in society </w:t>
      </w:r>
      <w:r w:rsidR="000D2226" w:rsidRPr="00176CBA">
        <w:rPr>
          <w:rFonts w:cstheme="minorHAnsi"/>
        </w:rPr>
        <w:t>on an equal basis with others.</w:t>
      </w:r>
      <w:r w:rsidR="00A048A8" w:rsidRPr="00176CBA">
        <w:rPr>
          <w:rFonts w:cstheme="minorHAnsi"/>
        </w:rPr>
        <w:t>”</w:t>
      </w:r>
      <w:r w:rsidR="00A048A8" w:rsidRPr="00176CBA">
        <w:rPr>
          <w:rStyle w:val="FootnoteReference"/>
          <w:rFonts w:cstheme="minorHAnsi"/>
        </w:rPr>
        <w:footnoteReference w:id="3"/>
      </w:r>
      <w:r w:rsidR="00FC55C5" w:rsidRPr="00176CBA">
        <w:rPr>
          <w:rFonts w:cstheme="minorHAnsi"/>
        </w:rPr>
        <w:t xml:space="preserve"> As the Preamble observes, however, such barriers can be “attitudinal,” as well as “environmental.”</w:t>
      </w:r>
      <w:r w:rsidR="00FC55C5" w:rsidRPr="00176CBA">
        <w:rPr>
          <w:rStyle w:val="FootnoteReference"/>
          <w:rFonts w:cstheme="minorHAnsi"/>
        </w:rPr>
        <w:footnoteReference w:id="4"/>
      </w:r>
      <w:r w:rsidR="00CC3D5F" w:rsidRPr="00176CBA">
        <w:rPr>
          <w:rFonts w:cstheme="minorHAnsi"/>
        </w:rPr>
        <w:t xml:space="preserve"> </w:t>
      </w:r>
      <w:r w:rsidR="004A42F2" w:rsidRPr="00176CBA">
        <w:rPr>
          <w:rFonts w:cstheme="minorHAnsi"/>
        </w:rPr>
        <w:t xml:space="preserve">Thus, </w:t>
      </w:r>
      <w:r w:rsidR="00207103" w:rsidRPr="00176CBA">
        <w:rPr>
          <w:rFonts w:cstheme="minorHAnsi"/>
        </w:rPr>
        <w:t>i</w:t>
      </w:r>
      <w:r w:rsidR="003D5829" w:rsidRPr="00176CBA">
        <w:rPr>
          <w:rFonts w:cstheme="minorHAnsi"/>
        </w:rPr>
        <w:t xml:space="preserve">f </w:t>
      </w:r>
      <w:r w:rsidR="004A42F2" w:rsidRPr="00176CBA">
        <w:rPr>
          <w:rFonts w:cstheme="minorHAnsi"/>
        </w:rPr>
        <w:t xml:space="preserve">attitudes regarding impairment </w:t>
      </w:r>
      <w:r w:rsidR="003276EB" w:rsidRPr="00176CBA">
        <w:rPr>
          <w:rFonts w:cstheme="minorHAnsi"/>
        </w:rPr>
        <w:t>hinder</w:t>
      </w:r>
      <w:r w:rsidR="004A42F2" w:rsidRPr="00176CBA">
        <w:rPr>
          <w:rFonts w:cstheme="minorHAnsi"/>
        </w:rPr>
        <w:t xml:space="preserve"> someone’s </w:t>
      </w:r>
      <w:r w:rsidR="00CC3D5F" w:rsidRPr="00176CBA">
        <w:rPr>
          <w:rFonts w:cstheme="minorHAnsi"/>
        </w:rPr>
        <w:t>equal participation in society</w:t>
      </w:r>
      <w:r w:rsidR="00ED7BFA" w:rsidRPr="00176CBA">
        <w:rPr>
          <w:rFonts w:cstheme="minorHAnsi"/>
        </w:rPr>
        <w:t xml:space="preserve">, </w:t>
      </w:r>
      <w:r w:rsidR="00D226B4" w:rsidRPr="00176CBA">
        <w:rPr>
          <w:rFonts w:cstheme="minorHAnsi"/>
        </w:rPr>
        <w:t xml:space="preserve">that </w:t>
      </w:r>
      <w:r w:rsidR="0042423D" w:rsidRPr="00176CBA">
        <w:rPr>
          <w:rFonts w:cstheme="minorHAnsi"/>
        </w:rPr>
        <w:t>person is “disabled</w:t>
      </w:r>
      <w:r w:rsidR="00ED7BFA" w:rsidRPr="00176CBA">
        <w:rPr>
          <w:rFonts w:cstheme="minorHAnsi"/>
        </w:rPr>
        <w:t>” for</w:t>
      </w:r>
      <w:r w:rsidR="0042423D" w:rsidRPr="00176CBA">
        <w:rPr>
          <w:rFonts w:cstheme="minorHAnsi"/>
        </w:rPr>
        <w:t xml:space="preserve"> purposes of </w:t>
      </w:r>
      <w:r w:rsidR="004A42F2" w:rsidRPr="00176CBA">
        <w:rPr>
          <w:rFonts w:cstheme="minorHAnsi"/>
        </w:rPr>
        <w:t>the CRPD</w:t>
      </w:r>
      <w:r w:rsidR="003276EB" w:rsidRPr="00176CBA">
        <w:rPr>
          <w:rFonts w:cstheme="minorHAnsi"/>
        </w:rPr>
        <w:t>.</w:t>
      </w:r>
      <w:r w:rsidR="000D5BDD" w:rsidRPr="00176CBA">
        <w:rPr>
          <w:rStyle w:val="FootnoteReference"/>
          <w:rFonts w:cstheme="minorHAnsi"/>
        </w:rPr>
        <w:footnoteReference w:id="5"/>
      </w:r>
      <w:r w:rsidR="005E700E" w:rsidRPr="00176CBA">
        <w:rPr>
          <w:rFonts w:cstheme="minorHAnsi"/>
        </w:rPr>
        <w:t xml:space="preserve"> </w:t>
      </w:r>
    </w:p>
    <w:p w:rsidR="0011408F" w:rsidRPr="00176CBA" w:rsidRDefault="000D5BDD" w:rsidP="00176CBA">
      <w:pPr>
        <w:spacing w:after="0" w:line="240" w:lineRule="auto"/>
        <w:rPr>
          <w:rFonts w:cstheme="minorHAnsi"/>
        </w:rPr>
      </w:pPr>
      <w:r w:rsidRPr="00176CBA">
        <w:rPr>
          <w:rFonts w:cstheme="minorHAnsi"/>
        </w:rPr>
        <w:t xml:space="preserve"> </w:t>
      </w:r>
    </w:p>
    <w:p w:rsidR="00F07E07" w:rsidRPr="00176CBA" w:rsidRDefault="00D15E23" w:rsidP="00176CBA">
      <w:pPr>
        <w:spacing w:after="0" w:line="240" w:lineRule="auto"/>
        <w:rPr>
          <w:rFonts w:cstheme="minorHAnsi"/>
        </w:rPr>
      </w:pPr>
      <w:r w:rsidRPr="00176CBA">
        <w:rPr>
          <w:rFonts w:cstheme="minorHAnsi"/>
        </w:rPr>
        <w:t>Such attitudes were well described by Pope Francis</w:t>
      </w:r>
      <w:r w:rsidR="003276EB" w:rsidRPr="00176CBA">
        <w:rPr>
          <w:rFonts w:cstheme="minorHAnsi"/>
        </w:rPr>
        <w:t xml:space="preserve">, </w:t>
      </w:r>
      <w:r w:rsidR="00297EA5" w:rsidRPr="00176CBA">
        <w:rPr>
          <w:rFonts w:cstheme="minorHAnsi"/>
        </w:rPr>
        <w:t>in words worth quoting at length</w:t>
      </w:r>
      <w:r w:rsidR="00F07E07" w:rsidRPr="00176CBA">
        <w:rPr>
          <w:rFonts w:cstheme="minorHAnsi"/>
        </w:rPr>
        <w:t>:</w:t>
      </w:r>
    </w:p>
    <w:p w:rsidR="00F07E07" w:rsidRPr="00176CBA" w:rsidRDefault="00F07E07" w:rsidP="00176CBA">
      <w:pPr>
        <w:spacing w:after="0" w:line="240" w:lineRule="auto"/>
        <w:rPr>
          <w:rFonts w:cstheme="minorHAnsi"/>
        </w:rPr>
      </w:pPr>
    </w:p>
    <w:p w:rsidR="00F07E07" w:rsidRPr="00176CBA" w:rsidRDefault="00F07E07" w:rsidP="00176CBA">
      <w:pPr>
        <w:pStyle w:val="NormalWeb"/>
        <w:spacing w:before="0" w:after="0"/>
        <w:rPr>
          <w:rFonts w:asciiTheme="minorHAnsi" w:hAnsiTheme="minorHAnsi" w:cstheme="minorHAnsi"/>
          <w:sz w:val="22"/>
          <w:szCs w:val="22"/>
          <w:lang w:val="en"/>
        </w:rPr>
      </w:pPr>
      <w:r w:rsidRPr="00176CBA">
        <w:rPr>
          <w:rFonts w:asciiTheme="minorHAnsi" w:hAnsiTheme="minorHAnsi" w:cstheme="minorHAnsi"/>
          <w:sz w:val="22"/>
          <w:szCs w:val="22"/>
          <w:lang w:val="en"/>
        </w:rPr>
        <w:t>We are familiar with the objections raised, especially nowadays, to a life characterized by serious physical limitations.  It is thought that sick or disabled persons cannot be happy, since they cannot live the lifestyle held up by the culture of pleasure and entertainment.  In an age when care for one’s body has become an obsession and a big business, anything imperfect has to be hidden away, since it threatens the happiness and serenity of the privileged few and</w:t>
      </w:r>
      <w:r w:rsidR="00207103" w:rsidRPr="00176CBA">
        <w:rPr>
          <w:rFonts w:asciiTheme="minorHAnsi" w:hAnsiTheme="minorHAnsi" w:cstheme="minorHAnsi"/>
          <w:sz w:val="22"/>
          <w:szCs w:val="22"/>
          <w:lang w:val="en"/>
        </w:rPr>
        <w:t xml:space="preserve"> endangers the dominant model. </w:t>
      </w:r>
      <w:r w:rsidR="00103995" w:rsidRPr="00176CBA">
        <w:rPr>
          <w:rFonts w:asciiTheme="minorHAnsi" w:hAnsiTheme="minorHAnsi" w:cstheme="minorHAnsi"/>
          <w:sz w:val="22"/>
          <w:szCs w:val="22"/>
          <w:lang w:val="en"/>
        </w:rPr>
        <w:t xml:space="preserve">Such persons should best be kept apart, in some “enclosure” – even a gilded one – or in “islands” of pietism or social welfare, so that they do not hold back the pace of a false well-being. </w:t>
      </w:r>
      <w:r w:rsidRPr="00176CBA">
        <w:rPr>
          <w:rFonts w:asciiTheme="minorHAnsi" w:hAnsiTheme="minorHAnsi" w:cstheme="minorHAnsi"/>
          <w:sz w:val="22"/>
          <w:szCs w:val="22"/>
          <w:lang w:val="en"/>
        </w:rPr>
        <w:t>In some cases, we are even told that it is better to eliminate them as soon as possible, because they become an unacceptable economic burden in time of crisis.</w:t>
      </w:r>
      <w:r w:rsidRPr="00176CBA">
        <w:rPr>
          <w:rStyle w:val="FootnoteReference"/>
          <w:rFonts w:asciiTheme="minorHAnsi" w:hAnsiTheme="minorHAnsi" w:cstheme="minorHAnsi"/>
          <w:sz w:val="22"/>
          <w:szCs w:val="22"/>
          <w:lang w:val="en"/>
        </w:rPr>
        <w:footnoteReference w:id="6"/>
      </w:r>
    </w:p>
    <w:p w:rsidR="00F07E07" w:rsidRPr="00176CBA" w:rsidRDefault="00F07E07" w:rsidP="00176CBA">
      <w:pPr>
        <w:spacing w:after="0" w:line="240" w:lineRule="auto"/>
        <w:rPr>
          <w:rFonts w:cstheme="minorHAnsi"/>
        </w:rPr>
      </w:pPr>
    </w:p>
    <w:p w:rsidR="005F6FEB" w:rsidRDefault="004F2EDD" w:rsidP="00176CBA">
      <w:pPr>
        <w:spacing w:after="0" w:line="240" w:lineRule="auto"/>
        <w:rPr>
          <w:rFonts w:cstheme="minorHAnsi"/>
        </w:rPr>
      </w:pPr>
      <w:r w:rsidRPr="00176CBA">
        <w:rPr>
          <w:rFonts w:cstheme="minorHAnsi"/>
        </w:rPr>
        <w:t>The short of it is,</w:t>
      </w:r>
      <w:r w:rsidR="00E54535" w:rsidRPr="00176CBA">
        <w:rPr>
          <w:rFonts w:cstheme="minorHAnsi"/>
        </w:rPr>
        <w:t xml:space="preserve"> w</w:t>
      </w:r>
      <w:r w:rsidR="00521BDC" w:rsidRPr="00176CBA">
        <w:rPr>
          <w:rFonts w:cstheme="minorHAnsi"/>
        </w:rPr>
        <w:t>hen society affords the lives of people with impairments less protection because they are</w:t>
      </w:r>
      <w:r w:rsidR="007377B2" w:rsidRPr="00176CBA">
        <w:rPr>
          <w:rFonts w:cstheme="minorHAnsi"/>
        </w:rPr>
        <w:t xml:space="preserve"> considered imperfect</w:t>
      </w:r>
      <w:r w:rsidR="00521BDC" w:rsidRPr="00176CBA">
        <w:rPr>
          <w:rFonts w:cstheme="minorHAnsi"/>
        </w:rPr>
        <w:t xml:space="preserve">, </w:t>
      </w:r>
      <w:r w:rsidR="007377B2" w:rsidRPr="00176CBA">
        <w:rPr>
          <w:rFonts w:cstheme="minorHAnsi"/>
        </w:rPr>
        <w:t xml:space="preserve">such people are regarded </w:t>
      </w:r>
      <w:r w:rsidR="002B1244" w:rsidRPr="00176CBA">
        <w:rPr>
          <w:rFonts w:cstheme="minorHAnsi"/>
        </w:rPr>
        <w:t xml:space="preserve">as </w:t>
      </w:r>
      <w:r w:rsidR="00521BDC" w:rsidRPr="00176CBA">
        <w:rPr>
          <w:rFonts w:cstheme="minorHAnsi"/>
        </w:rPr>
        <w:t>“disabled</w:t>
      </w:r>
      <w:r w:rsidR="002B1244" w:rsidRPr="00176CBA">
        <w:rPr>
          <w:rFonts w:cstheme="minorHAnsi"/>
        </w:rPr>
        <w:t>.</w:t>
      </w:r>
      <w:r w:rsidR="00521BDC" w:rsidRPr="00176CBA">
        <w:rPr>
          <w:rFonts w:cstheme="minorHAnsi"/>
        </w:rPr>
        <w:t>”</w:t>
      </w:r>
      <w:r w:rsidRPr="00176CBA">
        <w:rPr>
          <w:rFonts w:cstheme="minorHAnsi"/>
        </w:rPr>
        <w:t xml:space="preserve"> Further</w:t>
      </w:r>
      <w:r w:rsidR="00D226B4" w:rsidRPr="00176CBA">
        <w:rPr>
          <w:rFonts w:cstheme="minorHAnsi"/>
        </w:rPr>
        <w:t xml:space="preserve">, </w:t>
      </w:r>
      <w:r w:rsidR="007F4C37" w:rsidRPr="00176CBA">
        <w:rPr>
          <w:rFonts w:cstheme="minorHAnsi"/>
        </w:rPr>
        <w:t xml:space="preserve">when </w:t>
      </w:r>
      <w:r w:rsidRPr="00176CBA">
        <w:rPr>
          <w:rFonts w:cstheme="minorHAnsi"/>
        </w:rPr>
        <w:t xml:space="preserve">such people </w:t>
      </w:r>
      <w:r w:rsidR="00DB1F67" w:rsidRPr="00176CBA">
        <w:rPr>
          <w:rFonts w:cstheme="minorHAnsi"/>
        </w:rPr>
        <w:t xml:space="preserve">are afforded </w:t>
      </w:r>
      <w:r w:rsidR="002D7385" w:rsidRPr="00176CBA">
        <w:rPr>
          <w:rFonts w:cstheme="minorHAnsi"/>
        </w:rPr>
        <w:t>less protection</w:t>
      </w:r>
      <w:r w:rsidRPr="00176CBA">
        <w:rPr>
          <w:rFonts w:cstheme="minorHAnsi"/>
        </w:rPr>
        <w:t xml:space="preserve"> because</w:t>
      </w:r>
      <w:r w:rsidR="001A3089" w:rsidRPr="00176CBA">
        <w:rPr>
          <w:rFonts w:cstheme="minorHAnsi"/>
        </w:rPr>
        <w:t xml:space="preserve"> they are regarded as disabled</w:t>
      </w:r>
      <w:r w:rsidR="00CE6311" w:rsidRPr="00176CBA">
        <w:rPr>
          <w:rFonts w:cstheme="minorHAnsi"/>
        </w:rPr>
        <w:t>,</w:t>
      </w:r>
      <w:r w:rsidR="002D7385" w:rsidRPr="00176CBA">
        <w:rPr>
          <w:rFonts w:cstheme="minorHAnsi"/>
        </w:rPr>
        <w:t xml:space="preserve"> </w:t>
      </w:r>
      <w:r w:rsidR="00DB1F67" w:rsidRPr="00176CBA">
        <w:rPr>
          <w:rFonts w:cstheme="minorHAnsi"/>
        </w:rPr>
        <w:t xml:space="preserve">they are subjected </w:t>
      </w:r>
      <w:r w:rsidRPr="00176CBA">
        <w:rPr>
          <w:rFonts w:cstheme="minorHAnsi"/>
        </w:rPr>
        <w:t xml:space="preserve">to </w:t>
      </w:r>
      <w:r w:rsidR="00D226B4" w:rsidRPr="00176CBA">
        <w:rPr>
          <w:rFonts w:cstheme="minorHAnsi"/>
        </w:rPr>
        <w:t>discrimination</w:t>
      </w:r>
      <w:r w:rsidR="002D7385" w:rsidRPr="00176CBA">
        <w:rPr>
          <w:rFonts w:cstheme="minorHAnsi"/>
        </w:rPr>
        <w:t xml:space="preserve"> </w:t>
      </w:r>
      <w:r w:rsidR="00D226B4" w:rsidRPr="00176CBA">
        <w:rPr>
          <w:rFonts w:cstheme="minorHAnsi"/>
        </w:rPr>
        <w:t>on</w:t>
      </w:r>
      <w:r w:rsidR="0049209E" w:rsidRPr="00176CBA">
        <w:rPr>
          <w:rFonts w:cstheme="minorHAnsi"/>
        </w:rPr>
        <w:t xml:space="preserve"> </w:t>
      </w:r>
      <w:r w:rsidR="001A3089" w:rsidRPr="00176CBA">
        <w:rPr>
          <w:rFonts w:cstheme="minorHAnsi"/>
        </w:rPr>
        <w:t xml:space="preserve">account of such </w:t>
      </w:r>
      <w:r w:rsidR="0049209E" w:rsidRPr="00176CBA">
        <w:rPr>
          <w:rFonts w:cstheme="minorHAnsi"/>
        </w:rPr>
        <w:t>disability</w:t>
      </w:r>
      <w:r w:rsidR="00D226B4" w:rsidRPr="00176CBA">
        <w:rPr>
          <w:rFonts w:cstheme="minorHAnsi"/>
        </w:rPr>
        <w:t>.</w:t>
      </w:r>
      <w:r w:rsidR="002D7385" w:rsidRPr="00176CBA">
        <w:rPr>
          <w:rStyle w:val="FootnoteReference"/>
          <w:rFonts w:cstheme="minorHAnsi"/>
        </w:rPr>
        <w:footnoteReference w:id="7"/>
      </w:r>
      <w:r w:rsidR="002D7385" w:rsidRPr="00176CBA">
        <w:rPr>
          <w:rFonts w:cstheme="minorHAnsi"/>
        </w:rPr>
        <w:t xml:space="preserve"> </w:t>
      </w:r>
      <w:r w:rsidR="00E54535" w:rsidRPr="00176CBA">
        <w:rPr>
          <w:rFonts w:cstheme="minorHAnsi"/>
        </w:rPr>
        <w:t xml:space="preserve">This is </w:t>
      </w:r>
      <w:r w:rsidRPr="00176CBA">
        <w:rPr>
          <w:rFonts w:cstheme="minorHAnsi"/>
        </w:rPr>
        <w:t xml:space="preserve">precisely </w:t>
      </w:r>
      <w:r w:rsidR="00E54535" w:rsidRPr="00176CBA">
        <w:rPr>
          <w:rFonts w:cstheme="minorHAnsi"/>
        </w:rPr>
        <w:t>what Luxembourg’s Act of March 16, 2009</w:t>
      </w:r>
      <w:r w:rsidR="005F6FEB" w:rsidRPr="00176CBA">
        <w:rPr>
          <w:rFonts w:cstheme="minorHAnsi"/>
        </w:rPr>
        <w:t xml:space="preserve"> has done</w:t>
      </w:r>
      <w:r w:rsidR="00E54535" w:rsidRPr="00176CBA">
        <w:rPr>
          <w:rFonts w:cstheme="minorHAnsi"/>
        </w:rPr>
        <w:t>.</w:t>
      </w:r>
    </w:p>
    <w:p w:rsidR="00062375" w:rsidRPr="00176CBA" w:rsidRDefault="00062375" w:rsidP="00176CBA">
      <w:pPr>
        <w:spacing w:after="0" w:line="240" w:lineRule="auto"/>
        <w:rPr>
          <w:rFonts w:cstheme="minorHAnsi"/>
        </w:rPr>
      </w:pPr>
    </w:p>
    <w:p w:rsidR="007D3308" w:rsidRPr="00176CBA" w:rsidRDefault="00BE4F30" w:rsidP="00176CBA">
      <w:pPr>
        <w:spacing w:after="0" w:line="240" w:lineRule="auto"/>
        <w:rPr>
          <w:rFonts w:cstheme="minorHAnsi"/>
        </w:rPr>
      </w:pPr>
      <w:r w:rsidRPr="00176CBA">
        <w:rPr>
          <w:rFonts w:cstheme="minorHAnsi"/>
        </w:rPr>
        <w:lastRenderedPageBreak/>
        <w:t xml:space="preserve">The Act </w:t>
      </w:r>
      <w:r w:rsidR="007D3308" w:rsidRPr="00176CBA">
        <w:rPr>
          <w:rFonts w:cstheme="minorHAnsi"/>
        </w:rPr>
        <w:t xml:space="preserve">defines “euthanasia” as the </w:t>
      </w:r>
      <w:r w:rsidR="00150FF9" w:rsidRPr="00176CBA">
        <w:rPr>
          <w:rFonts w:cstheme="minorHAnsi"/>
        </w:rPr>
        <w:t xml:space="preserve">action </w:t>
      </w:r>
      <w:r w:rsidR="007D3308" w:rsidRPr="00176CBA">
        <w:rPr>
          <w:rFonts w:cstheme="minorHAnsi"/>
        </w:rPr>
        <w:t>of a physician that “</w:t>
      </w:r>
      <w:bookmarkStart w:id="3" w:name="OLE_LINK2"/>
      <w:r w:rsidR="007D3308" w:rsidRPr="00176CBA">
        <w:rPr>
          <w:rFonts w:cstheme="minorHAnsi"/>
          <w:w w:val="105"/>
        </w:rPr>
        <w:t>intentionally ends the life of a person at the express and voluntary request of the latter.”</w:t>
      </w:r>
      <w:r w:rsidR="007D3308" w:rsidRPr="00176CBA">
        <w:rPr>
          <w:rStyle w:val="FootnoteReference"/>
          <w:rFonts w:cstheme="minorHAnsi"/>
          <w:w w:val="105"/>
        </w:rPr>
        <w:footnoteReference w:id="8"/>
      </w:r>
      <w:r w:rsidR="007D3308" w:rsidRPr="00176CBA">
        <w:rPr>
          <w:rFonts w:cstheme="minorHAnsi"/>
          <w:w w:val="105"/>
        </w:rPr>
        <w:t xml:space="preserve"> It further defines “assisted suicide” as </w:t>
      </w:r>
      <w:r w:rsidR="00150FF9" w:rsidRPr="00176CBA">
        <w:rPr>
          <w:rFonts w:cstheme="minorHAnsi"/>
          <w:w w:val="105"/>
        </w:rPr>
        <w:t xml:space="preserve">the action </w:t>
      </w:r>
      <w:r w:rsidR="007D3308" w:rsidRPr="00176CBA">
        <w:rPr>
          <w:rFonts w:cstheme="minorHAnsi"/>
          <w:w w:val="105"/>
        </w:rPr>
        <w:t>of a physician that “</w:t>
      </w:r>
      <w:bookmarkStart w:id="4" w:name="OLE_LINK4"/>
      <w:bookmarkStart w:id="5" w:name="OLE_LINK3"/>
      <w:r w:rsidR="007D3308" w:rsidRPr="00176CBA">
        <w:rPr>
          <w:rFonts w:cstheme="minorHAnsi"/>
          <w:w w:val="105"/>
        </w:rPr>
        <w:t>intentionally assists another person to commit suicide or provides another person with the means for this purpose at the express and voluntary request of the latter.”</w:t>
      </w:r>
      <w:r w:rsidR="007D3308" w:rsidRPr="00176CBA">
        <w:rPr>
          <w:rStyle w:val="FootnoteReference"/>
          <w:rFonts w:cstheme="minorHAnsi"/>
          <w:w w:val="105"/>
        </w:rPr>
        <w:footnoteReference w:id="9"/>
      </w:r>
      <w:r w:rsidR="00C72A5A" w:rsidRPr="00176CBA">
        <w:rPr>
          <w:rFonts w:cstheme="minorHAnsi"/>
          <w:w w:val="105"/>
        </w:rPr>
        <w:t xml:space="preserve"> </w:t>
      </w:r>
      <w:r w:rsidR="00C72A5A" w:rsidRPr="00176CBA">
        <w:rPr>
          <w:rFonts w:cstheme="minorHAnsi"/>
        </w:rPr>
        <w:t>Physicians are exempt from civil and criminal liability for performing euthanasia or assisting a suicide if they conform to the Act’s requirements.</w:t>
      </w:r>
      <w:r w:rsidR="00C72A5A" w:rsidRPr="00176CBA">
        <w:rPr>
          <w:rStyle w:val="FootnoteReference"/>
          <w:rFonts w:cstheme="minorHAnsi"/>
        </w:rPr>
        <w:footnoteReference w:id="10"/>
      </w:r>
      <w:r w:rsidR="007D3308" w:rsidRPr="00176CBA">
        <w:rPr>
          <w:rFonts w:cstheme="minorHAnsi"/>
          <w:w w:val="105"/>
        </w:rPr>
        <w:t xml:space="preserve"> </w:t>
      </w:r>
      <w:bookmarkEnd w:id="3"/>
      <w:bookmarkEnd w:id="4"/>
      <w:bookmarkEnd w:id="5"/>
    </w:p>
    <w:p w:rsidR="00C72A5A" w:rsidRPr="00176CBA" w:rsidRDefault="00C72A5A" w:rsidP="00176CBA">
      <w:pPr>
        <w:spacing w:after="0" w:line="240" w:lineRule="auto"/>
        <w:rPr>
          <w:rFonts w:cstheme="minorHAnsi"/>
        </w:rPr>
      </w:pPr>
    </w:p>
    <w:p w:rsidR="00F11059" w:rsidRPr="00176CBA" w:rsidRDefault="00F11059" w:rsidP="00176CBA">
      <w:pPr>
        <w:spacing w:after="0" w:line="240" w:lineRule="auto"/>
        <w:rPr>
          <w:rFonts w:cstheme="minorHAnsi"/>
        </w:rPr>
      </w:pPr>
      <w:r w:rsidRPr="00176CBA">
        <w:rPr>
          <w:rFonts w:cstheme="minorHAnsi"/>
        </w:rPr>
        <w:t>To trigger the exemption</w:t>
      </w:r>
      <w:r w:rsidR="00BE4F30" w:rsidRPr="00176CBA">
        <w:rPr>
          <w:rFonts w:cstheme="minorHAnsi"/>
        </w:rPr>
        <w:t>s</w:t>
      </w:r>
      <w:r w:rsidRPr="00176CBA">
        <w:rPr>
          <w:rFonts w:cstheme="minorHAnsi"/>
        </w:rPr>
        <w:t>, the patient making the request must be “in a hopeless medical situation</w:t>
      </w:r>
      <w:r w:rsidR="0072500B" w:rsidRPr="00176CBA">
        <w:rPr>
          <w:rFonts w:cstheme="minorHAnsi"/>
        </w:rPr>
        <w:t>… as a result o</w:t>
      </w:r>
      <w:r w:rsidR="00BE4F30" w:rsidRPr="00176CBA">
        <w:rPr>
          <w:rFonts w:cstheme="minorHAnsi"/>
        </w:rPr>
        <w:t xml:space="preserve">f an accident or serious </w:t>
      </w:r>
      <w:r w:rsidR="00CE6311" w:rsidRPr="00176CBA">
        <w:rPr>
          <w:rFonts w:cstheme="minorHAnsi"/>
        </w:rPr>
        <w:t>illness [</w:t>
      </w:r>
      <w:r w:rsidRPr="00176CBA">
        <w:rPr>
          <w:rFonts w:cstheme="minorHAnsi"/>
        </w:rPr>
        <w:t>.]”</w:t>
      </w:r>
      <w:r w:rsidRPr="00176CBA">
        <w:rPr>
          <w:rStyle w:val="FootnoteReference"/>
          <w:rFonts w:cstheme="minorHAnsi"/>
        </w:rPr>
        <w:footnoteReference w:id="11"/>
      </w:r>
      <w:r w:rsidR="00C834A1" w:rsidRPr="00176CBA">
        <w:rPr>
          <w:rFonts w:cstheme="minorHAnsi"/>
        </w:rPr>
        <w:t>”Hopeless” here mean</w:t>
      </w:r>
      <w:r w:rsidR="00BE4F30" w:rsidRPr="00176CBA">
        <w:rPr>
          <w:rFonts w:cstheme="minorHAnsi"/>
        </w:rPr>
        <w:t>s</w:t>
      </w:r>
      <w:r w:rsidR="00C834A1" w:rsidRPr="00176CBA">
        <w:rPr>
          <w:rFonts w:cstheme="minorHAnsi"/>
        </w:rPr>
        <w:t xml:space="preserve"> merely “incurable,” as the Act </w:t>
      </w:r>
      <w:r w:rsidR="00CE6311" w:rsidRPr="00176CBA">
        <w:rPr>
          <w:rFonts w:cstheme="minorHAnsi"/>
        </w:rPr>
        <w:t>assiduously</w:t>
      </w:r>
      <w:r w:rsidR="00C834A1" w:rsidRPr="00176CBA">
        <w:rPr>
          <w:rFonts w:cstheme="minorHAnsi"/>
        </w:rPr>
        <w:t xml:space="preserve"> refrains from using the </w:t>
      </w:r>
      <w:r w:rsidR="00BE4F30" w:rsidRPr="00176CBA">
        <w:rPr>
          <w:rFonts w:cstheme="minorHAnsi"/>
        </w:rPr>
        <w:t xml:space="preserve">phrase </w:t>
      </w:r>
      <w:r w:rsidR="00C834A1" w:rsidRPr="00176CBA">
        <w:rPr>
          <w:rFonts w:cstheme="minorHAnsi"/>
        </w:rPr>
        <w:t>“terminal</w:t>
      </w:r>
      <w:r w:rsidR="00BE4F30" w:rsidRPr="00176CBA">
        <w:rPr>
          <w:rFonts w:cstheme="minorHAnsi"/>
        </w:rPr>
        <w:t xml:space="preserve"> condition</w:t>
      </w:r>
      <w:r w:rsidR="00C834A1" w:rsidRPr="00176CBA">
        <w:rPr>
          <w:rFonts w:cstheme="minorHAnsi"/>
        </w:rPr>
        <w:t>.”</w:t>
      </w:r>
      <w:r w:rsidR="00C15B43" w:rsidRPr="00176CBA">
        <w:rPr>
          <w:rStyle w:val="FootnoteReference"/>
          <w:rFonts w:cstheme="minorHAnsi"/>
        </w:rPr>
        <w:footnoteReference w:id="12"/>
      </w:r>
      <w:r w:rsidR="00C834A1" w:rsidRPr="00176CBA">
        <w:rPr>
          <w:rFonts w:cstheme="minorHAnsi"/>
        </w:rPr>
        <w:t xml:space="preserve"> </w:t>
      </w:r>
      <w:r w:rsidR="0072500B" w:rsidRPr="00176CBA">
        <w:rPr>
          <w:rFonts w:cstheme="minorHAnsi"/>
        </w:rPr>
        <w:t xml:space="preserve">Further, “medical situation” </w:t>
      </w:r>
      <w:r w:rsidR="00C834A1" w:rsidRPr="00176CBA">
        <w:rPr>
          <w:rFonts w:cstheme="minorHAnsi"/>
        </w:rPr>
        <w:t xml:space="preserve">is sufficiently broad to include </w:t>
      </w:r>
      <w:r w:rsidR="0072500B" w:rsidRPr="00176CBA">
        <w:rPr>
          <w:rFonts w:cstheme="minorHAnsi"/>
        </w:rPr>
        <w:t>both psychiatric, as well as physical</w:t>
      </w:r>
      <w:r w:rsidR="00167FBC" w:rsidRPr="00176CBA">
        <w:rPr>
          <w:rFonts w:cstheme="minorHAnsi"/>
        </w:rPr>
        <w:t xml:space="preserve"> impairments</w:t>
      </w:r>
      <w:r w:rsidR="0072500B" w:rsidRPr="00176CBA">
        <w:rPr>
          <w:rFonts w:cstheme="minorHAnsi"/>
        </w:rPr>
        <w:t xml:space="preserve">. </w:t>
      </w:r>
    </w:p>
    <w:p w:rsidR="00C834A1" w:rsidRPr="00176CBA" w:rsidRDefault="00C834A1" w:rsidP="00176CBA">
      <w:pPr>
        <w:spacing w:after="0" w:line="240" w:lineRule="auto"/>
        <w:rPr>
          <w:rFonts w:cstheme="minorHAnsi"/>
        </w:rPr>
      </w:pPr>
    </w:p>
    <w:p w:rsidR="00C834A1" w:rsidRPr="00176CBA" w:rsidRDefault="00C834A1" w:rsidP="00176CBA">
      <w:pPr>
        <w:spacing w:after="0" w:line="240" w:lineRule="auto"/>
        <w:rPr>
          <w:rFonts w:cstheme="minorHAnsi"/>
        </w:rPr>
      </w:pPr>
      <w:r w:rsidRPr="00176CBA">
        <w:rPr>
          <w:rFonts w:cstheme="minorHAnsi"/>
        </w:rPr>
        <w:t xml:space="preserve">The Act </w:t>
      </w:r>
      <w:r w:rsidR="00BE4F30" w:rsidRPr="00176CBA">
        <w:rPr>
          <w:rFonts w:cstheme="minorHAnsi"/>
        </w:rPr>
        <w:t xml:space="preserve">further </w:t>
      </w:r>
      <w:r w:rsidRPr="00176CBA">
        <w:rPr>
          <w:rFonts w:cstheme="minorHAnsi"/>
        </w:rPr>
        <w:t xml:space="preserve">requires </w:t>
      </w:r>
      <w:r w:rsidR="00AF4EA9" w:rsidRPr="00176CBA">
        <w:rPr>
          <w:rFonts w:cstheme="minorHAnsi"/>
        </w:rPr>
        <w:t xml:space="preserve">as a condition of </w:t>
      </w:r>
      <w:r w:rsidR="00F0549A" w:rsidRPr="00176CBA">
        <w:rPr>
          <w:rFonts w:cstheme="minorHAnsi"/>
        </w:rPr>
        <w:t xml:space="preserve">eligibility </w:t>
      </w:r>
      <w:r w:rsidRPr="00176CBA">
        <w:rPr>
          <w:rFonts w:cstheme="minorHAnsi"/>
        </w:rPr>
        <w:t xml:space="preserve">that </w:t>
      </w:r>
      <w:r w:rsidR="00A336A3" w:rsidRPr="00176CBA">
        <w:rPr>
          <w:rFonts w:cstheme="minorHAnsi"/>
        </w:rPr>
        <w:t xml:space="preserve">such </w:t>
      </w:r>
      <w:r w:rsidRPr="00176CBA">
        <w:rPr>
          <w:rFonts w:cstheme="minorHAnsi"/>
        </w:rPr>
        <w:t>patient</w:t>
      </w:r>
      <w:r w:rsidR="005A11B8" w:rsidRPr="00176CBA">
        <w:rPr>
          <w:rFonts w:cstheme="minorHAnsi"/>
        </w:rPr>
        <w:t>s</w:t>
      </w:r>
      <w:r w:rsidRPr="00176CBA">
        <w:rPr>
          <w:rFonts w:cstheme="minorHAnsi"/>
        </w:rPr>
        <w:t xml:space="preserve"> “</w:t>
      </w:r>
      <w:r w:rsidR="00CE6311" w:rsidRPr="00176CBA">
        <w:rPr>
          <w:rFonts w:cstheme="minorHAnsi"/>
        </w:rPr>
        <w:t>report [</w:t>
      </w:r>
      <w:r w:rsidR="005A11B8" w:rsidRPr="00176CBA">
        <w:rPr>
          <w:rFonts w:cstheme="minorHAnsi"/>
        </w:rPr>
        <w:t>]</w:t>
      </w:r>
      <w:r w:rsidRPr="00176CBA">
        <w:rPr>
          <w:rFonts w:cstheme="minorHAnsi"/>
        </w:rPr>
        <w:t xml:space="preserve"> constant and unbearable physical or psychological suffering without any prospect of </w:t>
      </w:r>
      <w:r w:rsidR="00CE6311" w:rsidRPr="00176CBA">
        <w:rPr>
          <w:rFonts w:cstheme="minorHAnsi"/>
        </w:rPr>
        <w:t>improvement [</w:t>
      </w:r>
      <w:r w:rsidRPr="00176CBA">
        <w:rPr>
          <w:rFonts w:cstheme="minorHAnsi"/>
        </w:rPr>
        <w:t>.]</w:t>
      </w:r>
      <w:r w:rsidR="005A11B8" w:rsidRPr="00176CBA">
        <w:rPr>
          <w:rFonts w:cstheme="minorHAnsi"/>
        </w:rPr>
        <w:t>”</w:t>
      </w:r>
      <w:r w:rsidRPr="00176CBA">
        <w:rPr>
          <w:rStyle w:val="FootnoteReference"/>
          <w:rFonts w:cstheme="minorHAnsi"/>
        </w:rPr>
        <w:footnoteReference w:id="13"/>
      </w:r>
      <w:r w:rsidR="00F0549A" w:rsidRPr="00176CBA">
        <w:rPr>
          <w:rFonts w:cstheme="minorHAnsi"/>
        </w:rPr>
        <w:t xml:space="preserve"> </w:t>
      </w:r>
      <w:r w:rsidR="00BE4F30" w:rsidRPr="00176CBA">
        <w:rPr>
          <w:rFonts w:cstheme="minorHAnsi"/>
        </w:rPr>
        <w:t>To establish</w:t>
      </w:r>
      <w:r w:rsidR="00B52356" w:rsidRPr="00176CBA">
        <w:rPr>
          <w:rFonts w:cstheme="minorHAnsi"/>
        </w:rPr>
        <w:t xml:space="preserve"> this</w:t>
      </w:r>
      <w:r w:rsidR="00BE4F30" w:rsidRPr="00176CBA">
        <w:rPr>
          <w:rFonts w:cstheme="minorHAnsi"/>
        </w:rPr>
        <w:t xml:space="preserve">, </w:t>
      </w:r>
      <w:r w:rsidR="00C53FF2" w:rsidRPr="00176CBA">
        <w:rPr>
          <w:rFonts w:cstheme="minorHAnsi"/>
        </w:rPr>
        <w:t>the physician must only come to the conviction that, “in the eyes of the patient, there is no other acceptable</w:t>
      </w:r>
      <w:r w:rsidR="00BE4F30" w:rsidRPr="00176CBA">
        <w:rPr>
          <w:rFonts w:cstheme="minorHAnsi"/>
        </w:rPr>
        <w:t xml:space="preserve"> solution to his/her </w:t>
      </w:r>
      <w:r w:rsidR="00CE6311" w:rsidRPr="00176CBA">
        <w:rPr>
          <w:rFonts w:cstheme="minorHAnsi"/>
        </w:rPr>
        <w:t>situation [</w:t>
      </w:r>
      <w:r w:rsidR="00BE4F30" w:rsidRPr="00176CBA">
        <w:rPr>
          <w:rFonts w:cstheme="minorHAnsi"/>
        </w:rPr>
        <w:t>;</w:t>
      </w:r>
      <w:r w:rsidR="00C53FF2" w:rsidRPr="00176CBA">
        <w:rPr>
          <w:rFonts w:cstheme="minorHAnsi"/>
        </w:rPr>
        <w:t>]”</w:t>
      </w:r>
      <w:r w:rsidR="00C53FF2" w:rsidRPr="00176CBA">
        <w:rPr>
          <w:rStyle w:val="FootnoteReference"/>
          <w:rFonts w:cstheme="minorHAnsi"/>
        </w:rPr>
        <w:footnoteReference w:id="14"/>
      </w:r>
      <w:r w:rsidR="00C53FF2" w:rsidRPr="00176CBA">
        <w:rPr>
          <w:rFonts w:cstheme="minorHAnsi"/>
        </w:rPr>
        <w:t xml:space="preserve">and nothing in the Act prevents patients from shopping for physicians </w:t>
      </w:r>
      <w:r w:rsidR="00CE6311" w:rsidRPr="00176CBA">
        <w:rPr>
          <w:rFonts w:cstheme="minorHAnsi"/>
        </w:rPr>
        <w:t>willing to</w:t>
      </w:r>
      <w:r w:rsidR="00BE4F30" w:rsidRPr="00176CBA">
        <w:rPr>
          <w:rFonts w:cstheme="minorHAnsi"/>
        </w:rPr>
        <w:t xml:space="preserve"> be convinced.</w:t>
      </w:r>
      <w:r w:rsidR="00C53FF2" w:rsidRPr="00176CBA">
        <w:rPr>
          <w:rFonts w:cstheme="minorHAnsi"/>
        </w:rPr>
        <w:t xml:space="preserve"> </w:t>
      </w:r>
      <w:r w:rsidR="00BE4F30" w:rsidRPr="00176CBA">
        <w:rPr>
          <w:rFonts w:cstheme="minorHAnsi"/>
        </w:rPr>
        <w:t>At bottom, a</w:t>
      </w:r>
      <w:r w:rsidR="00C53FF2" w:rsidRPr="00176CBA">
        <w:rPr>
          <w:rFonts w:cstheme="minorHAnsi"/>
        </w:rPr>
        <w:t xml:space="preserve">ll the Act requires is </w:t>
      </w:r>
      <w:r w:rsidR="00A336A3" w:rsidRPr="00176CBA">
        <w:rPr>
          <w:rFonts w:cstheme="minorHAnsi"/>
        </w:rPr>
        <w:t xml:space="preserve">such </w:t>
      </w:r>
      <w:r w:rsidR="00C53FF2" w:rsidRPr="00176CBA">
        <w:rPr>
          <w:rFonts w:cstheme="minorHAnsi"/>
        </w:rPr>
        <w:t>patients</w:t>
      </w:r>
      <w:r w:rsidR="00B52356" w:rsidRPr="00176CBA">
        <w:rPr>
          <w:rFonts w:cstheme="minorHAnsi"/>
        </w:rPr>
        <w:t>’</w:t>
      </w:r>
      <w:r w:rsidR="00C53FF2" w:rsidRPr="00176CBA">
        <w:rPr>
          <w:rFonts w:cstheme="minorHAnsi"/>
        </w:rPr>
        <w:t xml:space="preserve"> </w:t>
      </w:r>
      <w:r w:rsidR="00B52356" w:rsidRPr="00176CBA">
        <w:rPr>
          <w:rFonts w:cstheme="minorHAnsi"/>
        </w:rPr>
        <w:t xml:space="preserve">insistence </w:t>
      </w:r>
      <w:r w:rsidR="00CB6F83" w:rsidRPr="00176CBA">
        <w:rPr>
          <w:rFonts w:cstheme="minorHAnsi"/>
        </w:rPr>
        <w:t>that they cannot bear living the way they are.</w:t>
      </w:r>
      <w:r w:rsidR="00BC0C6D" w:rsidRPr="00176CBA">
        <w:rPr>
          <w:rStyle w:val="FootnoteReference"/>
          <w:rFonts w:cstheme="minorHAnsi"/>
        </w:rPr>
        <w:footnoteReference w:id="15"/>
      </w:r>
    </w:p>
    <w:p w:rsidR="00BE4F30" w:rsidRPr="00176CBA" w:rsidRDefault="00BE4F30" w:rsidP="00176CBA">
      <w:pPr>
        <w:spacing w:after="0" w:line="240" w:lineRule="auto"/>
        <w:rPr>
          <w:rFonts w:cstheme="minorHAnsi"/>
        </w:rPr>
      </w:pPr>
    </w:p>
    <w:p w:rsidR="004B7E0F" w:rsidRPr="00176CBA" w:rsidRDefault="008E1019" w:rsidP="00176CBA">
      <w:pPr>
        <w:pStyle w:val="NormalWeb"/>
        <w:shd w:val="clear" w:color="auto" w:fill="FFFFFF"/>
        <w:spacing w:before="0" w:after="0"/>
        <w:textAlignment w:val="top"/>
        <w:rPr>
          <w:rFonts w:asciiTheme="minorHAnsi" w:hAnsiTheme="minorHAnsi" w:cstheme="minorHAnsi"/>
          <w:sz w:val="22"/>
          <w:szCs w:val="22"/>
        </w:rPr>
      </w:pPr>
      <w:r w:rsidRPr="00176CBA">
        <w:rPr>
          <w:rFonts w:asciiTheme="minorHAnsi" w:hAnsiTheme="minorHAnsi" w:cstheme="minorHAnsi"/>
          <w:sz w:val="22"/>
          <w:szCs w:val="22"/>
        </w:rPr>
        <w:t>It cannot be gainsaid that t</w:t>
      </w:r>
      <w:r w:rsidR="00BE4F30" w:rsidRPr="00176CBA">
        <w:rPr>
          <w:rFonts w:asciiTheme="minorHAnsi" w:hAnsiTheme="minorHAnsi" w:cstheme="minorHAnsi"/>
          <w:sz w:val="22"/>
          <w:szCs w:val="22"/>
        </w:rPr>
        <w:t xml:space="preserve">he distressed eighteen </w:t>
      </w:r>
      <w:r w:rsidR="00847927" w:rsidRPr="00176CBA">
        <w:rPr>
          <w:rFonts w:asciiTheme="minorHAnsi" w:hAnsiTheme="minorHAnsi" w:cstheme="minorHAnsi"/>
          <w:sz w:val="22"/>
          <w:szCs w:val="22"/>
        </w:rPr>
        <w:t>year</w:t>
      </w:r>
      <w:r w:rsidR="00BE4F30" w:rsidRPr="00176CBA">
        <w:rPr>
          <w:rFonts w:asciiTheme="minorHAnsi" w:hAnsiTheme="minorHAnsi" w:cstheme="minorHAnsi"/>
          <w:sz w:val="22"/>
          <w:szCs w:val="22"/>
        </w:rPr>
        <w:t xml:space="preserve"> old, the long-term unemployed, the grieving parent</w:t>
      </w:r>
      <w:r w:rsidRPr="00176CBA">
        <w:rPr>
          <w:rFonts w:asciiTheme="minorHAnsi" w:hAnsiTheme="minorHAnsi" w:cstheme="minorHAnsi"/>
          <w:sz w:val="22"/>
          <w:szCs w:val="22"/>
        </w:rPr>
        <w:t xml:space="preserve">, and </w:t>
      </w:r>
      <w:r w:rsidR="00044125" w:rsidRPr="00176CBA">
        <w:rPr>
          <w:rFonts w:asciiTheme="minorHAnsi" w:hAnsiTheme="minorHAnsi" w:cstheme="minorHAnsi"/>
          <w:sz w:val="22"/>
          <w:szCs w:val="22"/>
        </w:rPr>
        <w:t>others may</w:t>
      </w:r>
      <w:r w:rsidR="00BE4F30" w:rsidRPr="00176CBA">
        <w:rPr>
          <w:rFonts w:asciiTheme="minorHAnsi" w:hAnsiTheme="minorHAnsi" w:cstheme="minorHAnsi"/>
          <w:sz w:val="22"/>
          <w:szCs w:val="22"/>
        </w:rPr>
        <w:t xml:space="preserve"> </w:t>
      </w:r>
      <w:r w:rsidR="00DB2CE2" w:rsidRPr="00176CBA">
        <w:rPr>
          <w:rFonts w:asciiTheme="minorHAnsi" w:hAnsiTheme="minorHAnsi" w:cstheme="minorHAnsi"/>
          <w:sz w:val="22"/>
          <w:szCs w:val="22"/>
        </w:rPr>
        <w:t xml:space="preserve">equally </w:t>
      </w:r>
      <w:r w:rsidR="00BE4F30" w:rsidRPr="00176CBA">
        <w:rPr>
          <w:rFonts w:asciiTheme="minorHAnsi" w:hAnsiTheme="minorHAnsi" w:cstheme="minorHAnsi"/>
          <w:sz w:val="22"/>
          <w:szCs w:val="22"/>
        </w:rPr>
        <w:t xml:space="preserve">desire assistance in dying. Yet, Luxembourg </w:t>
      </w:r>
      <w:r w:rsidR="00B52356" w:rsidRPr="00176CBA">
        <w:rPr>
          <w:rFonts w:asciiTheme="minorHAnsi" w:hAnsiTheme="minorHAnsi" w:cstheme="minorHAnsi"/>
          <w:sz w:val="22"/>
          <w:szCs w:val="22"/>
        </w:rPr>
        <w:t xml:space="preserve">denies them that wish, granting it only to </w:t>
      </w:r>
      <w:r w:rsidR="007214A2" w:rsidRPr="00176CBA">
        <w:rPr>
          <w:rFonts w:asciiTheme="minorHAnsi" w:hAnsiTheme="minorHAnsi" w:cstheme="minorHAnsi"/>
          <w:sz w:val="22"/>
          <w:szCs w:val="22"/>
        </w:rPr>
        <w:t xml:space="preserve">those </w:t>
      </w:r>
      <w:r w:rsidR="00B52356" w:rsidRPr="00176CBA">
        <w:rPr>
          <w:rFonts w:asciiTheme="minorHAnsi" w:hAnsiTheme="minorHAnsi" w:cstheme="minorHAnsi"/>
          <w:sz w:val="22"/>
          <w:szCs w:val="22"/>
        </w:rPr>
        <w:t xml:space="preserve">with </w:t>
      </w:r>
      <w:r w:rsidR="00C61E3F" w:rsidRPr="00176CBA">
        <w:rPr>
          <w:rFonts w:asciiTheme="minorHAnsi" w:hAnsiTheme="minorHAnsi" w:cstheme="minorHAnsi"/>
          <w:sz w:val="22"/>
          <w:szCs w:val="22"/>
        </w:rPr>
        <w:t xml:space="preserve">serious and </w:t>
      </w:r>
      <w:r w:rsidR="00B52356" w:rsidRPr="00176CBA">
        <w:rPr>
          <w:rFonts w:asciiTheme="minorHAnsi" w:hAnsiTheme="minorHAnsi" w:cstheme="minorHAnsi"/>
          <w:sz w:val="22"/>
          <w:szCs w:val="22"/>
        </w:rPr>
        <w:t>incurable medical</w:t>
      </w:r>
      <w:r w:rsidR="00167FBC" w:rsidRPr="00176CBA">
        <w:rPr>
          <w:rFonts w:asciiTheme="minorHAnsi" w:hAnsiTheme="minorHAnsi" w:cstheme="minorHAnsi"/>
          <w:sz w:val="22"/>
          <w:szCs w:val="22"/>
        </w:rPr>
        <w:t xml:space="preserve"> impairments</w:t>
      </w:r>
      <w:r w:rsidR="00B52356" w:rsidRPr="00176CBA">
        <w:rPr>
          <w:rFonts w:asciiTheme="minorHAnsi" w:hAnsiTheme="minorHAnsi" w:cstheme="minorHAnsi"/>
          <w:sz w:val="22"/>
          <w:szCs w:val="22"/>
        </w:rPr>
        <w:t>.</w:t>
      </w:r>
      <w:r w:rsidR="0013116C" w:rsidRPr="00176CBA">
        <w:rPr>
          <w:rFonts w:asciiTheme="minorHAnsi" w:hAnsiTheme="minorHAnsi" w:cstheme="minorHAnsi"/>
          <w:sz w:val="22"/>
          <w:szCs w:val="22"/>
        </w:rPr>
        <w:t xml:space="preserve"> </w:t>
      </w:r>
      <w:r w:rsidR="00864AE3" w:rsidRPr="00176CBA">
        <w:rPr>
          <w:rFonts w:asciiTheme="minorHAnsi" w:hAnsiTheme="minorHAnsi" w:cstheme="minorHAnsi"/>
          <w:sz w:val="22"/>
          <w:szCs w:val="22"/>
        </w:rPr>
        <w:t xml:space="preserve">The conclusion is irresistible that Luxembourg affords the lives of such people less protection because it believes their lives are less worth protecting, thus regarding them as “disabled” for purposes of the CRPD.  </w:t>
      </w:r>
      <w:r w:rsidRPr="00176CBA">
        <w:rPr>
          <w:rFonts w:asciiTheme="minorHAnsi" w:hAnsiTheme="minorHAnsi" w:cstheme="minorHAnsi"/>
          <w:sz w:val="22"/>
          <w:szCs w:val="22"/>
        </w:rPr>
        <w:t xml:space="preserve">To </w:t>
      </w:r>
      <w:r w:rsidR="00412109" w:rsidRPr="00176CBA">
        <w:rPr>
          <w:rFonts w:asciiTheme="minorHAnsi" w:hAnsiTheme="minorHAnsi" w:cstheme="minorHAnsi"/>
          <w:sz w:val="22"/>
          <w:szCs w:val="22"/>
        </w:rPr>
        <w:t xml:space="preserve">agree </w:t>
      </w:r>
      <w:r w:rsidR="00DB2CE2" w:rsidRPr="00176CBA">
        <w:rPr>
          <w:rFonts w:asciiTheme="minorHAnsi" w:hAnsiTheme="minorHAnsi" w:cstheme="minorHAnsi"/>
          <w:sz w:val="22"/>
          <w:szCs w:val="22"/>
        </w:rPr>
        <w:t xml:space="preserve">then </w:t>
      </w:r>
      <w:r w:rsidR="00412109" w:rsidRPr="00176CBA">
        <w:rPr>
          <w:rFonts w:asciiTheme="minorHAnsi" w:hAnsiTheme="minorHAnsi" w:cstheme="minorHAnsi"/>
          <w:sz w:val="22"/>
          <w:szCs w:val="22"/>
        </w:rPr>
        <w:t xml:space="preserve">with </w:t>
      </w:r>
      <w:r w:rsidR="0038099D" w:rsidRPr="00176CBA">
        <w:rPr>
          <w:rFonts w:asciiTheme="minorHAnsi" w:hAnsiTheme="minorHAnsi" w:cstheme="minorHAnsi"/>
          <w:sz w:val="22"/>
          <w:szCs w:val="22"/>
        </w:rPr>
        <w:t>Luxembourg</w:t>
      </w:r>
      <w:r w:rsidRPr="00176CBA">
        <w:rPr>
          <w:rFonts w:asciiTheme="minorHAnsi" w:hAnsiTheme="minorHAnsi" w:cstheme="minorHAnsi"/>
          <w:sz w:val="22"/>
          <w:szCs w:val="22"/>
        </w:rPr>
        <w:t xml:space="preserve"> that the Act </w:t>
      </w:r>
      <w:r w:rsidR="0013116C" w:rsidRPr="00176CBA">
        <w:rPr>
          <w:rFonts w:asciiTheme="minorHAnsi" w:hAnsiTheme="minorHAnsi" w:cstheme="minorHAnsi"/>
          <w:sz w:val="22"/>
          <w:szCs w:val="22"/>
        </w:rPr>
        <w:t>does “not differentiate between persons with disabilities and</w:t>
      </w:r>
      <w:r w:rsidR="007214A2" w:rsidRPr="00176CBA">
        <w:rPr>
          <w:rFonts w:asciiTheme="minorHAnsi" w:hAnsiTheme="minorHAnsi" w:cstheme="minorHAnsi"/>
          <w:sz w:val="22"/>
          <w:szCs w:val="22"/>
        </w:rPr>
        <w:t xml:space="preserve"> persons without disabilities</w:t>
      </w:r>
      <w:r w:rsidR="0013116C" w:rsidRPr="00176CBA">
        <w:rPr>
          <w:rFonts w:asciiTheme="minorHAnsi" w:hAnsiTheme="minorHAnsi" w:cstheme="minorHAnsi"/>
          <w:sz w:val="22"/>
          <w:szCs w:val="22"/>
        </w:rPr>
        <w:t>”</w:t>
      </w:r>
      <w:r w:rsidR="0013116C" w:rsidRPr="00176CBA">
        <w:rPr>
          <w:rStyle w:val="FootnoteReference"/>
          <w:rFonts w:asciiTheme="minorHAnsi" w:hAnsiTheme="minorHAnsi" w:cstheme="minorHAnsi"/>
          <w:sz w:val="22"/>
          <w:szCs w:val="22"/>
        </w:rPr>
        <w:footnoteReference w:id="16"/>
      </w:r>
      <w:r w:rsidR="0013116C" w:rsidRPr="00176CBA">
        <w:rPr>
          <w:rFonts w:asciiTheme="minorHAnsi" w:hAnsiTheme="minorHAnsi" w:cstheme="minorHAnsi"/>
          <w:sz w:val="22"/>
          <w:szCs w:val="22"/>
        </w:rPr>
        <w:t xml:space="preserve">is </w:t>
      </w:r>
      <w:r w:rsidR="004B7E0F" w:rsidRPr="00176CBA">
        <w:rPr>
          <w:rFonts w:asciiTheme="minorHAnsi" w:hAnsiTheme="minorHAnsi" w:cstheme="minorHAnsi"/>
          <w:sz w:val="22"/>
          <w:szCs w:val="22"/>
        </w:rPr>
        <w:t xml:space="preserve">simply </w:t>
      </w:r>
      <w:r w:rsidR="0013116C" w:rsidRPr="00176CBA">
        <w:rPr>
          <w:rFonts w:asciiTheme="minorHAnsi" w:hAnsiTheme="minorHAnsi" w:cstheme="minorHAnsi"/>
          <w:sz w:val="22"/>
          <w:szCs w:val="22"/>
        </w:rPr>
        <w:t xml:space="preserve">to blink reality. </w:t>
      </w:r>
      <w:r w:rsidR="00DB2CE2" w:rsidRPr="00176CBA">
        <w:rPr>
          <w:rFonts w:asciiTheme="minorHAnsi" w:hAnsiTheme="minorHAnsi" w:cstheme="minorHAnsi"/>
          <w:sz w:val="22"/>
          <w:szCs w:val="22"/>
        </w:rPr>
        <w:t>Moreover, t</w:t>
      </w:r>
      <w:r w:rsidR="00CE6311" w:rsidRPr="00176CBA">
        <w:rPr>
          <w:rFonts w:asciiTheme="minorHAnsi" w:hAnsiTheme="minorHAnsi" w:cstheme="minorHAnsi"/>
          <w:sz w:val="22"/>
          <w:szCs w:val="22"/>
        </w:rPr>
        <w:t>o deny</w:t>
      </w:r>
      <w:r w:rsidR="001A15BF" w:rsidRPr="00176CBA">
        <w:rPr>
          <w:rFonts w:asciiTheme="minorHAnsi" w:hAnsiTheme="minorHAnsi" w:cstheme="minorHAnsi"/>
          <w:sz w:val="22"/>
          <w:szCs w:val="22"/>
        </w:rPr>
        <w:t xml:space="preserve"> the equal protection of laws designed to secure </w:t>
      </w:r>
      <w:r w:rsidR="008C33B8" w:rsidRPr="00176CBA">
        <w:rPr>
          <w:rFonts w:asciiTheme="minorHAnsi" w:hAnsiTheme="minorHAnsi" w:cstheme="minorHAnsi"/>
          <w:sz w:val="22"/>
          <w:szCs w:val="22"/>
        </w:rPr>
        <w:t xml:space="preserve">human life </w:t>
      </w:r>
      <w:r w:rsidR="001A15BF" w:rsidRPr="00176CBA">
        <w:rPr>
          <w:rFonts w:asciiTheme="minorHAnsi" w:hAnsiTheme="minorHAnsi" w:cstheme="minorHAnsi"/>
          <w:sz w:val="22"/>
          <w:szCs w:val="22"/>
        </w:rPr>
        <w:t xml:space="preserve">simply because </w:t>
      </w:r>
      <w:r w:rsidR="008C33B8" w:rsidRPr="00176CBA">
        <w:rPr>
          <w:rFonts w:asciiTheme="minorHAnsi" w:hAnsiTheme="minorHAnsi" w:cstheme="minorHAnsi"/>
          <w:sz w:val="22"/>
          <w:szCs w:val="22"/>
        </w:rPr>
        <w:t xml:space="preserve">people </w:t>
      </w:r>
      <w:r w:rsidR="001A15BF" w:rsidRPr="00176CBA">
        <w:rPr>
          <w:rFonts w:asciiTheme="minorHAnsi" w:hAnsiTheme="minorHAnsi" w:cstheme="minorHAnsi"/>
          <w:sz w:val="22"/>
          <w:szCs w:val="22"/>
        </w:rPr>
        <w:t xml:space="preserve">are impaired </w:t>
      </w:r>
      <w:r w:rsidR="004B7E0F" w:rsidRPr="00176CBA">
        <w:rPr>
          <w:rFonts w:asciiTheme="minorHAnsi" w:hAnsiTheme="minorHAnsi" w:cstheme="minorHAnsi"/>
          <w:sz w:val="22"/>
          <w:szCs w:val="22"/>
        </w:rPr>
        <w:t xml:space="preserve">is the </w:t>
      </w:r>
      <w:r w:rsidR="006F0FE1" w:rsidRPr="00176CBA">
        <w:rPr>
          <w:rFonts w:asciiTheme="minorHAnsi" w:hAnsiTheme="minorHAnsi" w:cstheme="minorHAnsi"/>
          <w:sz w:val="22"/>
          <w:szCs w:val="22"/>
        </w:rPr>
        <w:t xml:space="preserve">very </w:t>
      </w:r>
      <w:r w:rsidR="004B7E0F" w:rsidRPr="00176CBA">
        <w:rPr>
          <w:rFonts w:asciiTheme="minorHAnsi" w:hAnsiTheme="minorHAnsi" w:cstheme="minorHAnsi"/>
          <w:sz w:val="22"/>
          <w:szCs w:val="22"/>
        </w:rPr>
        <w:t>hallmark of discrimination.</w:t>
      </w:r>
      <w:r w:rsidR="0038099D" w:rsidRPr="00176CBA">
        <w:rPr>
          <w:rFonts w:asciiTheme="minorHAnsi" w:hAnsiTheme="minorHAnsi" w:cstheme="minorHAnsi"/>
          <w:sz w:val="22"/>
          <w:szCs w:val="22"/>
        </w:rPr>
        <w:t xml:space="preserve"> It follows </w:t>
      </w:r>
      <w:r w:rsidR="00B15824" w:rsidRPr="00176CBA">
        <w:rPr>
          <w:rFonts w:asciiTheme="minorHAnsi" w:hAnsiTheme="minorHAnsi" w:cstheme="minorHAnsi"/>
          <w:sz w:val="22"/>
          <w:szCs w:val="22"/>
        </w:rPr>
        <w:t>that the Act</w:t>
      </w:r>
      <w:r w:rsidR="009E077E" w:rsidRPr="00176CBA">
        <w:rPr>
          <w:rFonts w:asciiTheme="minorHAnsi" w:hAnsiTheme="minorHAnsi" w:cstheme="minorHAnsi"/>
          <w:sz w:val="22"/>
          <w:szCs w:val="22"/>
        </w:rPr>
        <w:t xml:space="preserve">’s continued enforcement </w:t>
      </w:r>
      <w:r w:rsidR="00B15824" w:rsidRPr="00176CBA">
        <w:rPr>
          <w:rFonts w:asciiTheme="minorHAnsi" w:hAnsiTheme="minorHAnsi" w:cstheme="minorHAnsi"/>
          <w:sz w:val="22"/>
          <w:szCs w:val="22"/>
        </w:rPr>
        <w:t xml:space="preserve"> </w:t>
      </w:r>
      <w:r w:rsidR="009E077E" w:rsidRPr="00176CBA">
        <w:rPr>
          <w:rFonts w:asciiTheme="minorHAnsi" w:hAnsiTheme="minorHAnsi" w:cstheme="minorHAnsi"/>
          <w:sz w:val="22"/>
          <w:szCs w:val="22"/>
        </w:rPr>
        <w:t xml:space="preserve"> violates Luxembourg’s agreement “[t]o take all appropriate measures, including legislation, to modify or abolish existing laws, regulations, customs and practices that constitute discrimination against persons with disabilities[.]”</w:t>
      </w:r>
      <w:r w:rsidR="007E500C" w:rsidRPr="00176CBA">
        <w:rPr>
          <w:rStyle w:val="FootnoteReference"/>
          <w:rFonts w:asciiTheme="minorHAnsi" w:hAnsiTheme="minorHAnsi" w:cstheme="minorHAnsi"/>
          <w:sz w:val="22"/>
          <w:szCs w:val="22"/>
        </w:rPr>
        <w:footnoteReference w:id="17"/>
      </w:r>
    </w:p>
    <w:p w:rsidR="00BE4F30" w:rsidRPr="00176CBA" w:rsidRDefault="00BE4F30" w:rsidP="00176CBA">
      <w:pPr>
        <w:spacing w:after="0" w:line="240" w:lineRule="auto"/>
        <w:rPr>
          <w:rFonts w:cstheme="minorHAnsi"/>
        </w:rPr>
      </w:pPr>
    </w:p>
    <w:p w:rsidR="00D36BB9" w:rsidRPr="00176CBA" w:rsidRDefault="00167FBC" w:rsidP="00176CBA">
      <w:pPr>
        <w:spacing w:after="0" w:line="240" w:lineRule="auto"/>
        <w:rPr>
          <w:rFonts w:cstheme="minorHAnsi"/>
        </w:rPr>
      </w:pPr>
      <w:r w:rsidRPr="00176CBA">
        <w:rPr>
          <w:rFonts w:cstheme="minorHAnsi"/>
        </w:rPr>
        <w:t>I should add that, e</w:t>
      </w:r>
      <w:r w:rsidR="00D36BB9" w:rsidRPr="00176CBA">
        <w:rPr>
          <w:rFonts w:cstheme="minorHAnsi"/>
        </w:rPr>
        <w:t xml:space="preserve">ven if it were </w:t>
      </w:r>
      <w:r w:rsidR="002515B0" w:rsidRPr="00176CBA">
        <w:rPr>
          <w:rFonts w:cstheme="minorHAnsi"/>
        </w:rPr>
        <w:t xml:space="preserve">correct </w:t>
      </w:r>
      <w:r w:rsidR="00D36BB9" w:rsidRPr="00176CBA">
        <w:rPr>
          <w:rFonts w:cstheme="minorHAnsi"/>
        </w:rPr>
        <w:t>that</w:t>
      </w:r>
      <w:r w:rsidR="002515B0" w:rsidRPr="00176CBA">
        <w:rPr>
          <w:rFonts w:cstheme="minorHAnsi"/>
        </w:rPr>
        <w:t xml:space="preserve"> the Act was neutral on its face, </w:t>
      </w:r>
      <w:r w:rsidR="001647AD" w:rsidRPr="00176CBA">
        <w:rPr>
          <w:rFonts w:cstheme="minorHAnsi"/>
        </w:rPr>
        <w:t xml:space="preserve">serious doubts would remain over its compliance </w:t>
      </w:r>
      <w:r w:rsidR="00D36BB9" w:rsidRPr="00176CBA">
        <w:rPr>
          <w:rFonts w:cstheme="minorHAnsi"/>
        </w:rPr>
        <w:t>with the CRPD.</w:t>
      </w:r>
      <w:r w:rsidR="001647AD" w:rsidRPr="00176CBA">
        <w:rPr>
          <w:rFonts w:cstheme="minorHAnsi"/>
        </w:rPr>
        <w:t xml:space="preserve"> </w:t>
      </w:r>
      <w:r w:rsidR="004E5981" w:rsidRPr="00176CBA">
        <w:rPr>
          <w:rFonts w:cstheme="minorHAnsi"/>
        </w:rPr>
        <w:t>Luxembourg reported</w:t>
      </w:r>
      <w:r w:rsidR="0068384F" w:rsidRPr="00176CBA">
        <w:rPr>
          <w:rStyle w:val="FootnoteReference"/>
          <w:rFonts w:cstheme="minorHAnsi"/>
        </w:rPr>
        <w:footnoteReference w:id="18"/>
      </w:r>
      <w:r w:rsidR="004E5981" w:rsidRPr="00176CBA">
        <w:rPr>
          <w:rFonts w:cstheme="minorHAnsi"/>
        </w:rPr>
        <w:t xml:space="preserve"> </w:t>
      </w:r>
      <w:r w:rsidR="001647AD" w:rsidRPr="00176CBA">
        <w:rPr>
          <w:rFonts w:cstheme="minorHAnsi"/>
        </w:rPr>
        <w:t xml:space="preserve">that most people </w:t>
      </w:r>
      <w:r w:rsidR="001B2C91" w:rsidRPr="00176CBA">
        <w:rPr>
          <w:rFonts w:cstheme="minorHAnsi"/>
        </w:rPr>
        <w:t xml:space="preserve">euthanized </w:t>
      </w:r>
      <w:r w:rsidR="000F0B64" w:rsidRPr="00176CBA">
        <w:rPr>
          <w:rFonts w:cstheme="minorHAnsi"/>
        </w:rPr>
        <w:t xml:space="preserve">or assisted in suicide </w:t>
      </w:r>
      <w:r w:rsidR="001B2C91" w:rsidRPr="00176CBA">
        <w:rPr>
          <w:rFonts w:cstheme="minorHAnsi"/>
        </w:rPr>
        <w:t>under the Act</w:t>
      </w:r>
      <w:r w:rsidR="00040301" w:rsidRPr="00176CBA">
        <w:rPr>
          <w:rStyle w:val="FootnoteReference"/>
          <w:rFonts w:cstheme="minorHAnsi"/>
        </w:rPr>
        <w:footnoteReference w:id="19"/>
      </w:r>
      <w:r w:rsidR="001B2C91" w:rsidRPr="00176CBA">
        <w:rPr>
          <w:rFonts w:cstheme="minorHAnsi"/>
        </w:rPr>
        <w:t xml:space="preserve"> were cancer patients.</w:t>
      </w:r>
      <w:r w:rsidR="00040301" w:rsidRPr="00176CBA">
        <w:rPr>
          <w:rStyle w:val="FootnoteReference"/>
          <w:rFonts w:cstheme="minorHAnsi"/>
        </w:rPr>
        <w:footnoteReference w:id="20"/>
      </w:r>
      <w:r w:rsidR="00387769" w:rsidRPr="00176CBA">
        <w:rPr>
          <w:rFonts w:cstheme="minorHAnsi"/>
        </w:rPr>
        <w:t xml:space="preserve"> </w:t>
      </w:r>
      <w:r w:rsidR="002C362F" w:rsidRPr="00176CBA">
        <w:rPr>
          <w:rFonts w:cstheme="minorHAnsi"/>
        </w:rPr>
        <w:t xml:space="preserve"> </w:t>
      </w:r>
      <w:r w:rsidR="001647AD" w:rsidRPr="00176CBA">
        <w:rPr>
          <w:rFonts w:cstheme="minorHAnsi"/>
        </w:rPr>
        <w:t>C</w:t>
      </w:r>
      <w:r w:rsidR="002C362F" w:rsidRPr="00176CBA">
        <w:rPr>
          <w:rFonts w:cstheme="minorHAnsi"/>
        </w:rPr>
        <w:t xml:space="preserve">ancer is a disabling condition </w:t>
      </w:r>
      <w:r w:rsidR="001647AD" w:rsidRPr="00176CBA">
        <w:rPr>
          <w:rFonts w:cstheme="minorHAnsi"/>
        </w:rPr>
        <w:t xml:space="preserve">both </w:t>
      </w:r>
      <w:r w:rsidR="002C362F" w:rsidRPr="00176CBA">
        <w:rPr>
          <w:rFonts w:cstheme="minorHAnsi"/>
        </w:rPr>
        <w:t>because it “substantially limits normal cell growth”</w:t>
      </w:r>
      <w:r w:rsidR="002C362F" w:rsidRPr="00176CBA">
        <w:rPr>
          <w:rStyle w:val="FootnoteReference"/>
          <w:rFonts w:cstheme="minorHAnsi"/>
        </w:rPr>
        <w:footnoteReference w:id="21"/>
      </w:r>
      <w:r w:rsidR="00D05C30" w:rsidRPr="00176CBA">
        <w:rPr>
          <w:rFonts w:cstheme="minorHAnsi"/>
        </w:rPr>
        <w:t xml:space="preserve"> and because of the continuing stigma </w:t>
      </w:r>
      <w:r w:rsidR="002B478C" w:rsidRPr="00176CBA">
        <w:rPr>
          <w:rFonts w:cstheme="minorHAnsi"/>
        </w:rPr>
        <w:t xml:space="preserve">that surrounds </w:t>
      </w:r>
      <w:r w:rsidR="00D05C30" w:rsidRPr="00176CBA">
        <w:rPr>
          <w:rFonts w:cstheme="minorHAnsi"/>
        </w:rPr>
        <w:t>it.</w:t>
      </w:r>
      <w:r w:rsidR="00D05C30" w:rsidRPr="00176CBA">
        <w:rPr>
          <w:rStyle w:val="FootnoteReference"/>
          <w:rFonts w:cstheme="minorHAnsi"/>
        </w:rPr>
        <w:footnoteReference w:id="22"/>
      </w:r>
      <w:r w:rsidR="00225C5F" w:rsidRPr="00176CBA">
        <w:rPr>
          <w:rFonts w:cstheme="minorHAnsi"/>
        </w:rPr>
        <w:t xml:space="preserve"> “Discrimination” under the CRPD includes laws that have “the purpose </w:t>
      </w:r>
      <w:r w:rsidR="00225C5F" w:rsidRPr="00176CBA">
        <w:rPr>
          <w:rFonts w:cstheme="minorHAnsi"/>
          <w:i/>
        </w:rPr>
        <w:t xml:space="preserve">or </w:t>
      </w:r>
      <w:r w:rsidR="00225C5F" w:rsidRPr="00176CBA">
        <w:rPr>
          <w:rFonts w:cstheme="minorHAnsi"/>
        </w:rPr>
        <w:t>effect” of discriminating on the basis of disability.</w:t>
      </w:r>
      <w:r w:rsidR="00225C5F" w:rsidRPr="00176CBA">
        <w:rPr>
          <w:rStyle w:val="FootnoteReference"/>
          <w:rFonts w:cstheme="minorHAnsi"/>
        </w:rPr>
        <w:footnoteReference w:id="23"/>
      </w:r>
      <w:r w:rsidR="00225C5F" w:rsidRPr="00176CBA">
        <w:rPr>
          <w:rFonts w:cstheme="minorHAnsi"/>
        </w:rPr>
        <w:t xml:space="preserve"> </w:t>
      </w:r>
      <w:r w:rsidR="002515B0" w:rsidRPr="00176CBA">
        <w:rPr>
          <w:rFonts w:cstheme="minorHAnsi"/>
        </w:rPr>
        <w:t xml:space="preserve">Thus, </w:t>
      </w:r>
      <w:r w:rsidR="00064006" w:rsidRPr="00176CBA">
        <w:rPr>
          <w:rFonts w:cstheme="minorHAnsi"/>
        </w:rPr>
        <w:t xml:space="preserve">like </w:t>
      </w:r>
      <w:r w:rsidR="00D82CC4" w:rsidRPr="00176CBA">
        <w:rPr>
          <w:rFonts w:cstheme="minorHAnsi"/>
        </w:rPr>
        <w:t xml:space="preserve">similar </w:t>
      </w:r>
      <w:r w:rsidR="00064006" w:rsidRPr="00176CBA">
        <w:rPr>
          <w:rFonts w:cstheme="minorHAnsi"/>
        </w:rPr>
        <w:t xml:space="preserve">legislation in the United States, </w:t>
      </w:r>
      <w:r w:rsidR="002515B0" w:rsidRPr="00176CBA">
        <w:rPr>
          <w:rFonts w:cstheme="minorHAnsi"/>
        </w:rPr>
        <w:t>“The Act proscribes not only overt discrimination but also practices that are fair in form, but discriminatory in operation.”</w:t>
      </w:r>
      <w:r w:rsidR="002515B0" w:rsidRPr="00176CBA">
        <w:rPr>
          <w:rStyle w:val="FootnoteReference"/>
          <w:rFonts w:cstheme="minorHAnsi"/>
        </w:rPr>
        <w:footnoteReference w:id="24"/>
      </w:r>
      <w:r w:rsidR="002515B0" w:rsidRPr="00176CBA">
        <w:rPr>
          <w:rFonts w:cstheme="minorHAnsi"/>
        </w:rPr>
        <w:t xml:space="preserve"> </w:t>
      </w:r>
      <w:r w:rsidR="00225C5F" w:rsidRPr="00176CBA">
        <w:rPr>
          <w:rFonts w:cstheme="minorHAnsi"/>
        </w:rPr>
        <w:t>In its operation, the Act clearly has a disparate impact on dis</w:t>
      </w:r>
      <w:r w:rsidR="002515B0" w:rsidRPr="00176CBA">
        <w:rPr>
          <w:rFonts w:cstheme="minorHAnsi"/>
        </w:rPr>
        <w:t xml:space="preserve">abled people and thus is presumptively </w:t>
      </w:r>
      <w:r w:rsidR="001F257D" w:rsidRPr="00176CBA">
        <w:rPr>
          <w:rFonts w:cstheme="minorHAnsi"/>
        </w:rPr>
        <w:t>incompatible</w:t>
      </w:r>
      <w:r w:rsidR="002515B0" w:rsidRPr="00176CBA">
        <w:rPr>
          <w:rFonts w:cstheme="minorHAnsi"/>
        </w:rPr>
        <w:t xml:space="preserve"> </w:t>
      </w:r>
      <w:r w:rsidR="008E5465" w:rsidRPr="00176CBA">
        <w:rPr>
          <w:rFonts w:cstheme="minorHAnsi"/>
        </w:rPr>
        <w:t xml:space="preserve">with </w:t>
      </w:r>
      <w:r w:rsidR="002515B0" w:rsidRPr="00176CBA">
        <w:rPr>
          <w:rFonts w:cstheme="minorHAnsi"/>
        </w:rPr>
        <w:t>the CRPD.</w:t>
      </w:r>
      <w:r w:rsidR="008E5465" w:rsidRPr="00176CBA">
        <w:rPr>
          <w:rStyle w:val="FootnoteReference"/>
          <w:rFonts w:cstheme="minorHAnsi"/>
        </w:rPr>
        <w:footnoteReference w:id="25"/>
      </w:r>
    </w:p>
    <w:p w:rsidR="00D36BB9" w:rsidRPr="00176CBA" w:rsidRDefault="00D36BB9" w:rsidP="00176CBA">
      <w:pPr>
        <w:spacing w:after="0" w:line="240" w:lineRule="auto"/>
        <w:rPr>
          <w:rFonts w:cstheme="minorHAnsi"/>
        </w:rPr>
      </w:pPr>
    </w:p>
    <w:p w:rsidR="00236A62" w:rsidRPr="00176CBA" w:rsidRDefault="00AB56C4" w:rsidP="00176CBA">
      <w:pPr>
        <w:widowControl w:val="0"/>
        <w:autoSpaceDE w:val="0"/>
        <w:autoSpaceDN w:val="0"/>
        <w:adjustRightInd w:val="0"/>
        <w:spacing w:after="0" w:line="240" w:lineRule="auto"/>
        <w:ind w:right="15"/>
        <w:jc w:val="both"/>
        <w:rPr>
          <w:rFonts w:cstheme="minorHAnsi"/>
          <w:highlight w:val="white"/>
        </w:rPr>
      </w:pPr>
      <w:r w:rsidRPr="00176CBA">
        <w:rPr>
          <w:rFonts w:cstheme="minorHAnsi"/>
        </w:rPr>
        <w:t>Notwithstanding</w:t>
      </w:r>
      <w:r w:rsidR="00176CBA">
        <w:rPr>
          <w:rFonts w:cstheme="minorHAnsi"/>
        </w:rPr>
        <w:t xml:space="preserve"> </w:t>
      </w:r>
      <w:r w:rsidRPr="00176CBA">
        <w:rPr>
          <w:rFonts w:cstheme="minorHAnsi"/>
        </w:rPr>
        <w:t>these concerns, t</w:t>
      </w:r>
      <w:r w:rsidR="006D2C8D" w:rsidRPr="00176CBA">
        <w:rPr>
          <w:rFonts w:cstheme="minorHAnsi"/>
        </w:rPr>
        <w:t xml:space="preserve">he Committee failed to inquire about the Act in its </w:t>
      </w:r>
      <w:r w:rsidR="00236A62" w:rsidRPr="00176CBA">
        <w:rPr>
          <w:rFonts w:cstheme="minorHAnsi"/>
        </w:rPr>
        <w:t>“List of I</w:t>
      </w:r>
      <w:r w:rsidR="006D2C8D" w:rsidRPr="00176CBA">
        <w:rPr>
          <w:rFonts w:cstheme="minorHAnsi"/>
        </w:rPr>
        <w:t>ssues</w:t>
      </w:r>
      <w:r w:rsidR="00E86941" w:rsidRPr="00176CBA">
        <w:rPr>
          <w:rFonts w:cstheme="minorHAnsi"/>
        </w:rPr>
        <w:t>”</w:t>
      </w:r>
      <w:r w:rsidR="006D2C8D" w:rsidRPr="00176CBA">
        <w:rPr>
          <w:rFonts w:cstheme="minorHAnsi"/>
        </w:rPr>
        <w:t xml:space="preserve"> regarding Luxembourg’s initial report under the CRPD.</w:t>
      </w:r>
      <w:r w:rsidR="006D2C8D" w:rsidRPr="00176CBA">
        <w:rPr>
          <w:rStyle w:val="FootnoteReference"/>
          <w:rFonts w:cstheme="minorHAnsi"/>
        </w:rPr>
        <w:footnoteReference w:id="26"/>
      </w:r>
      <w:r w:rsidR="00236A62" w:rsidRPr="00176CBA">
        <w:rPr>
          <w:rFonts w:cstheme="minorHAnsi"/>
        </w:rPr>
        <w:t xml:space="preserve"> In contrast,  </w:t>
      </w:r>
      <w:r w:rsidR="00FF1669" w:rsidRPr="00176CBA">
        <w:rPr>
          <w:rFonts w:cstheme="minorHAnsi"/>
        </w:rPr>
        <w:t xml:space="preserve">it had </w:t>
      </w:r>
      <w:r w:rsidR="00236A62" w:rsidRPr="00176CBA">
        <w:rPr>
          <w:rFonts w:cstheme="minorHAnsi"/>
        </w:rPr>
        <w:t xml:space="preserve">requested </w:t>
      </w:r>
      <w:r w:rsidR="00FF1669" w:rsidRPr="00176CBA">
        <w:rPr>
          <w:rFonts w:cstheme="minorHAnsi"/>
        </w:rPr>
        <w:t xml:space="preserve">Canada </w:t>
      </w:r>
      <w:r w:rsidR="00236A62" w:rsidRPr="00176CBA">
        <w:rPr>
          <w:rFonts w:cstheme="minorHAnsi"/>
        </w:rPr>
        <w:t xml:space="preserve">to “inform </w:t>
      </w:r>
      <w:r w:rsidR="00FF1669" w:rsidRPr="00176CBA">
        <w:rPr>
          <w:rFonts w:cstheme="minorHAnsi"/>
        </w:rPr>
        <w:t xml:space="preserve">… [it] </w:t>
      </w:r>
      <w:r w:rsidR="00236A62" w:rsidRPr="00176CBA">
        <w:rPr>
          <w:rFonts w:cstheme="minorHAnsi"/>
        </w:rPr>
        <w:t>abou</w:t>
      </w:r>
      <w:r w:rsidR="00FF1669" w:rsidRPr="00176CBA">
        <w:rPr>
          <w:rFonts w:cstheme="minorHAnsi"/>
        </w:rPr>
        <w:t xml:space="preserve">t measures to ensure that the State Party’s </w:t>
      </w:r>
      <w:r w:rsidR="00236A62" w:rsidRPr="00176CBA">
        <w:rPr>
          <w:rFonts w:cstheme="minorHAnsi"/>
        </w:rPr>
        <w:t>legislation on assisted dying is in compliance with [Article 10</w:t>
      </w:r>
      <w:r w:rsidR="00581605" w:rsidRPr="00176CBA">
        <w:rPr>
          <w:rFonts w:cstheme="minorHAnsi"/>
        </w:rPr>
        <w:t>, “Right to Life”</w:t>
      </w:r>
      <w:r w:rsidR="00236A62" w:rsidRPr="00176CBA">
        <w:rPr>
          <w:rFonts w:cstheme="minorHAnsi"/>
        </w:rPr>
        <w:t>] of the Convention.”</w:t>
      </w:r>
      <w:r w:rsidR="00236A62" w:rsidRPr="00176CBA">
        <w:rPr>
          <w:rStyle w:val="FootnoteReference"/>
          <w:rFonts w:cstheme="minorHAnsi"/>
        </w:rPr>
        <w:footnoteReference w:id="27"/>
      </w:r>
      <w:r w:rsidR="00795CD3" w:rsidRPr="00176CBA">
        <w:rPr>
          <w:rFonts w:cstheme="minorHAnsi"/>
          <w:highlight w:val="white"/>
        </w:rPr>
        <w:t xml:space="preserve"> </w:t>
      </w:r>
      <w:r w:rsidR="00E97337" w:rsidRPr="00176CBA">
        <w:rPr>
          <w:rFonts w:cstheme="minorHAnsi"/>
          <w:highlight w:val="white"/>
        </w:rPr>
        <w:t xml:space="preserve">Given </w:t>
      </w:r>
      <w:r w:rsidR="00795CD3" w:rsidRPr="00176CBA">
        <w:rPr>
          <w:rFonts w:cstheme="minorHAnsi"/>
          <w:highlight w:val="white"/>
        </w:rPr>
        <w:t xml:space="preserve">the foundational importance of that Article to the CRPD, the Committee should identify the Act </w:t>
      </w:r>
      <w:r w:rsidR="00B3550E" w:rsidRPr="00176CBA">
        <w:rPr>
          <w:rFonts w:cstheme="minorHAnsi"/>
          <w:highlight w:val="white"/>
        </w:rPr>
        <w:t>as a “topic of concern” in its concluding</w:t>
      </w:r>
      <w:r w:rsidR="00FF1669" w:rsidRPr="00176CBA">
        <w:rPr>
          <w:rFonts w:cstheme="minorHAnsi"/>
          <w:highlight w:val="white"/>
        </w:rPr>
        <w:t xml:space="preserve"> observations</w:t>
      </w:r>
      <w:r w:rsidR="00B3550E" w:rsidRPr="00176CBA">
        <w:rPr>
          <w:rStyle w:val="FootnoteReference"/>
          <w:rFonts w:cstheme="minorHAnsi"/>
          <w:highlight w:val="white"/>
        </w:rPr>
        <w:footnoteReference w:id="28"/>
      </w:r>
      <w:r w:rsidR="00B3550E" w:rsidRPr="00176CBA">
        <w:rPr>
          <w:rFonts w:cstheme="minorHAnsi"/>
          <w:highlight w:val="white"/>
        </w:rPr>
        <w:t xml:space="preserve"> and request Luxembourg to provide information on </w:t>
      </w:r>
      <w:r w:rsidR="00E86941" w:rsidRPr="00176CBA">
        <w:rPr>
          <w:rFonts w:cstheme="minorHAnsi"/>
          <w:highlight w:val="white"/>
        </w:rPr>
        <w:t xml:space="preserve">whether </w:t>
      </w:r>
      <w:r w:rsidR="00FF1669" w:rsidRPr="00176CBA">
        <w:rPr>
          <w:rFonts w:cstheme="minorHAnsi"/>
          <w:highlight w:val="white"/>
        </w:rPr>
        <w:t xml:space="preserve">its legalization of euthanasia and assisted suicide </w:t>
      </w:r>
      <w:r w:rsidR="00E86941" w:rsidRPr="00176CBA">
        <w:rPr>
          <w:rFonts w:cstheme="minorHAnsi"/>
          <w:highlight w:val="white"/>
        </w:rPr>
        <w:t xml:space="preserve">is in compliance </w:t>
      </w:r>
      <w:r w:rsidR="00B3550E" w:rsidRPr="00176CBA">
        <w:rPr>
          <w:rFonts w:cstheme="minorHAnsi"/>
          <w:highlight w:val="white"/>
        </w:rPr>
        <w:t xml:space="preserve">with </w:t>
      </w:r>
      <w:r w:rsidR="00225C5F" w:rsidRPr="00176CBA">
        <w:rPr>
          <w:rFonts w:cstheme="minorHAnsi"/>
          <w:highlight w:val="white"/>
        </w:rPr>
        <w:t>the Convention.</w:t>
      </w:r>
    </w:p>
    <w:p w:rsidR="004150BA" w:rsidRPr="00176CBA" w:rsidRDefault="004150BA" w:rsidP="00176CBA">
      <w:pPr>
        <w:spacing w:after="0" w:line="240" w:lineRule="auto"/>
        <w:rPr>
          <w:rFonts w:cstheme="minorHAnsi"/>
        </w:rPr>
      </w:pPr>
    </w:p>
    <w:p w:rsidR="004150BA" w:rsidRPr="00176CBA" w:rsidRDefault="004150BA" w:rsidP="00176CBA">
      <w:pPr>
        <w:spacing w:after="0" w:line="240" w:lineRule="auto"/>
        <w:rPr>
          <w:rFonts w:cstheme="minorHAnsi"/>
        </w:rPr>
      </w:pPr>
      <w:r w:rsidRPr="00176CBA">
        <w:rPr>
          <w:rFonts w:cstheme="minorHAnsi"/>
        </w:rPr>
        <w:t>Respectfully submitted,</w:t>
      </w:r>
    </w:p>
    <w:p w:rsidR="004150BA" w:rsidRPr="00176CBA" w:rsidRDefault="004150BA" w:rsidP="00176CBA">
      <w:pPr>
        <w:spacing w:after="0" w:line="240" w:lineRule="auto"/>
        <w:rPr>
          <w:rFonts w:cstheme="minorHAnsi"/>
        </w:rPr>
      </w:pPr>
      <w:r w:rsidRPr="00176CBA">
        <w:rPr>
          <w:rFonts w:cstheme="minorHAnsi"/>
          <w:noProof/>
          <w:lang w:val="en-GB" w:eastAsia="en-GB"/>
        </w:rPr>
        <w:drawing>
          <wp:inline distT="0" distB="0" distL="0" distR="0">
            <wp:extent cx="24193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495300"/>
                    </a:xfrm>
                    <a:prstGeom prst="rect">
                      <a:avLst/>
                    </a:prstGeom>
                    <a:noFill/>
                    <a:ln>
                      <a:noFill/>
                    </a:ln>
                  </pic:spPr>
                </pic:pic>
              </a:graphicData>
            </a:graphic>
          </wp:inline>
        </w:drawing>
      </w:r>
    </w:p>
    <w:p w:rsidR="004150BA" w:rsidRPr="00176CBA" w:rsidRDefault="004150BA" w:rsidP="00176CBA">
      <w:pPr>
        <w:spacing w:after="0" w:line="240" w:lineRule="auto"/>
        <w:rPr>
          <w:rFonts w:cstheme="minorHAnsi"/>
        </w:rPr>
      </w:pPr>
      <w:r w:rsidRPr="00176CBA">
        <w:rPr>
          <w:rFonts w:cstheme="minorHAnsi"/>
        </w:rPr>
        <w:t>Stephen L. Mikochik</w:t>
      </w:r>
    </w:p>
    <w:p w:rsidR="00972CE8" w:rsidRPr="00176CBA" w:rsidRDefault="003D5829" w:rsidP="00176CBA">
      <w:pPr>
        <w:shd w:val="clear" w:color="auto" w:fill="FFFFFF"/>
        <w:spacing w:after="0" w:line="240" w:lineRule="auto"/>
        <w:rPr>
          <w:rFonts w:cstheme="minorHAnsi"/>
        </w:rPr>
      </w:pPr>
      <w:r w:rsidRPr="00176CBA">
        <w:rPr>
          <w:rFonts w:cstheme="minorHAnsi"/>
        </w:rPr>
        <w:t xml:space="preserve"> </w:t>
      </w:r>
    </w:p>
    <w:sectPr w:rsidR="00972CE8" w:rsidRPr="00176CB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918" w:rsidRDefault="007C2918" w:rsidP="00AB720B">
      <w:pPr>
        <w:spacing w:after="0" w:line="240" w:lineRule="auto"/>
      </w:pPr>
      <w:r>
        <w:separator/>
      </w:r>
    </w:p>
  </w:endnote>
  <w:endnote w:type="continuationSeparator" w:id="0">
    <w:p w:rsidR="007C2918" w:rsidRDefault="007C2918" w:rsidP="00AB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CE4" w:rsidRDefault="00A20C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CE4" w:rsidRDefault="00A20C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CE4" w:rsidRDefault="00A20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918" w:rsidRDefault="007C2918" w:rsidP="00AB720B">
      <w:pPr>
        <w:spacing w:after="0" w:line="240" w:lineRule="auto"/>
      </w:pPr>
      <w:r>
        <w:separator/>
      </w:r>
    </w:p>
  </w:footnote>
  <w:footnote w:type="continuationSeparator" w:id="0">
    <w:p w:rsidR="007C2918" w:rsidRDefault="007C2918" w:rsidP="00AB720B">
      <w:pPr>
        <w:spacing w:after="0" w:line="240" w:lineRule="auto"/>
      </w:pPr>
      <w:r>
        <w:continuationSeparator/>
      </w:r>
    </w:p>
  </w:footnote>
  <w:footnote w:id="1">
    <w:p w:rsidR="00AA2B91" w:rsidRPr="00176CBA" w:rsidRDefault="00AA2B91" w:rsidP="00176CBA">
      <w:pPr>
        <w:pStyle w:val="FootnoteText"/>
        <w:rPr>
          <w:rFonts w:cstheme="minorHAnsi"/>
          <w:sz w:val="18"/>
          <w:szCs w:val="18"/>
        </w:rPr>
      </w:pPr>
      <w:r w:rsidRPr="00176CBA">
        <w:rPr>
          <w:rStyle w:val="FootnoteReference"/>
          <w:rFonts w:cstheme="minorHAnsi"/>
          <w:sz w:val="18"/>
          <w:szCs w:val="18"/>
        </w:rPr>
        <w:footnoteRef/>
      </w:r>
      <w:r w:rsidRPr="00176CBA">
        <w:rPr>
          <w:rFonts w:cstheme="minorHAnsi"/>
          <w:sz w:val="18"/>
          <w:szCs w:val="18"/>
        </w:rPr>
        <w:t xml:space="preserve"> Initial Report of Luxembourg under the Convention on the Rights of Persons with Disabilities, #100, available at </w:t>
      </w:r>
      <w:r w:rsidR="00737740" w:rsidRPr="00176CBA">
        <w:rPr>
          <w:rFonts w:cstheme="minorHAnsi"/>
          <w:sz w:val="18"/>
          <w:szCs w:val="18"/>
        </w:rPr>
        <w:t>http://tbinternet.ohchr.org/_layouts/treatybodyexternal/TBSearch.aspx?Lang=en&amp;TreatyID=4&amp;DocTypeID=29 (last visited June 13, 2017)</w:t>
      </w:r>
      <w:r w:rsidRPr="00176CBA">
        <w:rPr>
          <w:rFonts w:cstheme="minorHAnsi"/>
          <w:sz w:val="18"/>
          <w:szCs w:val="18"/>
        </w:rPr>
        <w:t>.</w:t>
      </w:r>
    </w:p>
  </w:footnote>
  <w:footnote w:id="2">
    <w:p w:rsidR="004F5D1D" w:rsidRPr="00176CBA" w:rsidRDefault="004F5D1D" w:rsidP="00176CBA">
      <w:pPr>
        <w:pStyle w:val="FootnoteText"/>
        <w:rPr>
          <w:rFonts w:cstheme="minorHAnsi"/>
          <w:sz w:val="18"/>
          <w:szCs w:val="18"/>
        </w:rPr>
      </w:pPr>
      <w:r w:rsidRPr="00176CBA">
        <w:rPr>
          <w:rStyle w:val="FootnoteReference"/>
          <w:rFonts w:cstheme="minorHAnsi"/>
          <w:sz w:val="18"/>
          <w:szCs w:val="18"/>
        </w:rPr>
        <w:footnoteRef/>
      </w:r>
      <w:r w:rsidRPr="00176CBA">
        <w:rPr>
          <w:rFonts w:cstheme="minorHAnsi"/>
          <w:sz w:val="18"/>
          <w:szCs w:val="18"/>
        </w:rPr>
        <w:t xml:space="preserve"> See id., #17.</w:t>
      </w:r>
      <w:r w:rsidR="00CA6B24" w:rsidRPr="00176CBA">
        <w:rPr>
          <w:rFonts w:cstheme="minorHAnsi"/>
          <w:sz w:val="18"/>
          <w:szCs w:val="18"/>
        </w:rPr>
        <w:t xml:space="preserve"> </w:t>
      </w:r>
      <w:r w:rsidRPr="00176CBA">
        <w:rPr>
          <w:rFonts w:cstheme="minorHAnsi"/>
          <w:sz w:val="18"/>
          <w:szCs w:val="18"/>
        </w:rPr>
        <w:t xml:space="preserve">Cf. Committee on the Rights of Persons with Disabilities, List of Issues on the Initial Report of Luxembourg, #1 (Apr. 10, 2017), available at </w:t>
      </w:r>
      <w:r w:rsidR="00737740" w:rsidRPr="00176CBA">
        <w:rPr>
          <w:rFonts w:cstheme="minorHAnsi"/>
          <w:sz w:val="18"/>
          <w:szCs w:val="18"/>
        </w:rPr>
        <w:t>http://tbinternet.ohchr.org/_layouts/treatybodyexternal/TBSearch.aspx?Lang=en&amp;TreatyID=4&amp;DocTypeID=18 (last visited June 13, 2017) (Accordingly, the Committee requested information on “whether the concept of disability in … [Luxembourg’s] national laws is compliant with the human rights model of disability and is in line with the purpose of the Convention.” Id.).</w:t>
      </w:r>
    </w:p>
  </w:footnote>
  <w:footnote w:id="3">
    <w:p w:rsidR="00A048A8" w:rsidRPr="00176CBA" w:rsidRDefault="00A048A8" w:rsidP="00176CBA">
      <w:pPr>
        <w:pStyle w:val="FootnoteText"/>
        <w:rPr>
          <w:rFonts w:cstheme="minorHAnsi"/>
          <w:sz w:val="18"/>
          <w:szCs w:val="18"/>
        </w:rPr>
      </w:pPr>
      <w:r w:rsidRPr="00176CBA">
        <w:rPr>
          <w:rStyle w:val="FootnoteReference"/>
          <w:rFonts w:cstheme="minorHAnsi"/>
          <w:sz w:val="18"/>
          <w:szCs w:val="18"/>
        </w:rPr>
        <w:footnoteRef/>
      </w:r>
      <w:r w:rsidRPr="00176CBA">
        <w:rPr>
          <w:rFonts w:cstheme="minorHAnsi"/>
          <w:sz w:val="18"/>
          <w:szCs w:val="18"/>
        </w:rPr>
        <w:t xml:space="preserve"> A/RES/61-106, Art. 1, “purpose,” available at </w:t>
      </w:r>
      <w:r w:rsidR="00973657" w:rsidRPr="00176CBA">
        <w:rPr>
          <w:rFonts w:cstheme="minorHAnsi"/>
          <w:sz w:val="18"/>
          <w:szCs w:val="18"/>
        </w:rPr>
        <w:t>https://www.un.org/development/desa/disabilities/convention-on-the-rights-of-persons-with-disabilities/article-1-</w:t>
      </w:r>
      <w:r w:rsidR="00ED7BFA" w:rsidRPr="00176CBA">
        <w:rPr>
          <w:rFonts w:cstheme="minorHAnsi"/>
          <w:sz w:val="18"/>
          <w:szCs w:val="18"/>
        </w:rPr>
        <w:t>purpose.html (</w:t>
      </w:r>
      <w:r w:rsidRPr="00176CBA">
        <w:rPr>
          <w:rFonts w:cstheme="minorHAnsi"/>
          <w:sz w:val="18"/>
          <w:szCs w:val="18"/>
        </w:rPr>
        <w:t>last visited June 13, 2017).</w:t>
      </w:r>
      <w:r w:rsidR="00973657" w:rsidRPr="00176CBA">
        <w:rPr>
          <w:rFonts w:cstheme="minorHAnsi"/>
          <w:sz w:val="18"/>
          <w:szCs w:val="18"/>
        </w:rPr>
        <w:t xml:space="preserve"> </w:t>
      </w:r>
      <w:r w:rsidRPr="00176CBA">
        <w:rPr>
          <w:rFonts w:cstheme="minorHAnsi"/>
          <w:sz w:val="18"/>
          <w:szCs w:val="18"/>
        </w:rPr>
        <w:t xml:space="preserve"> </w:t>
      </w:r>
    </w:p>
  </w:footnote>
  <w:footnote w:id="4">
    <w:p w:rsidR="00FC55C5" w:rsidRPr="00176CBA" w:rsidRDefault="00FC55C5" w:rsidP="00176CBA">
      <w:pPr>
        <w:pStyle w:val="FootnoteText"/>
        <w:rPr>
          <w:rFonts w:cstheme="minorHAnsi"/>
          <w:sz w:val="18"/>
          <w:szCs w:val="18"/>
        </w:rPr>
      </w:pPr>
      <w:r w:rsidRPr="00176CBA">
        <w:rPr>
          <w:rStyle w:val="FootnoteReference"/>
          <w:rFonts w:cstheme="minorHAnsi"/>
          <w:sz w:val="18"/>
          <w:szCs w:val="18"/>
        </w:rPr>
        <w:footnoteRef/>
      </w:r>
      <w:r w:rsidRPr="00176CBA">
        <w:rPr>
          <w:rFonts w:cstheme="minorHAnsi"/>
          <w:sz w:val="18"/>
          <w:szCs w:val="18"/>
        </w:rPr>
        <w:t xml:space="preserve"> A/RES/61-106, “Preamble,” #5, available at https://www.un.org/development/desa/disabilities/convention-on-the-rights-of-persons-with-disabilities/preamble.html (last visited June 14, 2017).</w:t>
      </w:r>
      <w:r w:rsidR="00FA606A" w:rsidRPr="00176CBA">
        <w:rPr>
          <w:rFonts w:cstheme="minorHAnsi"/>
          <w:sz w:val="18"/>
          <w:szCs w:val="18"/>
        </w:rPr>
        <w:t xml:space="preserve"> Cf. Americans with Disabilities Act, 42 U.S.C. </w:t>
      </w:r>
      <w:r w:rsidR="00572613" w:rsidRPr="00176CBA">
        <w:rPr>
          <w:rFonts w:cstheme="minorHAnsi"/>
          <w:sz w:val="18"/>
          <w:szCs w:val="18"/>
        </w:rPr>
        <w:t xml:space="preserve">§ </w:t>
      </w:r>
      <w:r w:rsidR="00FA606A" w:rsidRPr="00176CBA">
        <w:rPr>
          <w:rFonts w:cstheme="minorHAnsi"/>
          <w:sz w:val="18"/>
          <w:szCs w:val="18"/>
        </w:rPr>
        <w:t>12102 (1) © (“defining “disability” to include “being regarded as having [a physical or mental impairment that substantially limits one or more major life activities].”</w:t>
      </w:r>
      <w:r w:rsidR="00297EA5" w:rsidRPr="00176CBA">
        <w:rPr>
          <w:rFonts w:cstheme="minorHAnsi"/>
          <w:sz w:val="18"/>
          <w:szCs w:val="18"/>
        </w:rPr>
        <w:t>).</w:t>
      </w:r>
    </w:p>
  </w:footnote>
  <w:footnote w:id="5">
    <w:p w:rsidR="000D5BDD" w:rsidRPr="00176CBA" w:rsidRDefault="000D5BDD" w:rsidP="00176CBA">
      <w:pPr>
        <w:pStyle w:val="FootnoteText"/>
        <w:rPr>
          <w:rFonts w:cstheme="minorHAnsi"/>
          <w:sz w:val="18"/>
          <w:szCs w:val="18"/>
        </w:rPr>
      </w:pPr>
      <w:r w:rsidRPr="00176CBA">
        <w:rPr>
          <w:rStyle w:val="FootnoteReference"/>
          <w:rFonts w:cstheme="minorHAnsi"/>
          <w:sz w:val="18"/>
          <w:szCs w:val="18"/>
        </w:rPr>
        <w:footnoteRef/>
      </w:r>
      <w:r w:rsidRPr="00176CBA">
        <w:rPr>
          <w:rFonts w:cstheme="minorHAnsi"/>
          <w:sz w:val="18"/>
          <w:szCs w:val="18"/>
        </w:rPr>
        <w:t xml:space="preserve"> For example, someone treated unequally “because of an actual or perceived physical or mental impairment whether or not the impairment limits or is perceived to limit a major life activity” is “regarded” as disabled for purposes of the Americans with Disabilities Act. Id., § 12101 (3) (A).</w:t>
      </w:r>
    </w:p>
  </w:footnote>
  <w:footnote w:id="6">
    <w:p w:rsidR="00F07E07" w:rsidRPr="00176CBA" w:rsidRDefault="00F07E07" w:rsidP="00176CBA">
      <w:pPr>
        <w:pStyle w:val="NormalWeb"/>
        <w:spacing w:before="0" w:after="0"/>
        <w:rPr>
          <w:rFonts w:asciiTheme="minorHAnsi" w:hAnsiTheme="minorHAnsi" w:cstheme="minorHAnsi"/>
          <w:sz w:val="18"/>
          <w:szCs w:val="18"/>
          <w:lang w:val="en"/>
        </w:rPr>
      </w:pPr>
      <w:r w:rsidRPr="00176CBA">
        <w:rPr>
          <w:rFonts w:asciiTheme="minorHAnsi" w:hAnsiTheme="minorHAnsi" w:cstheme="minorHAnsi"/>
          <w:sz w:val="18"/>
          <w:szCs w:val="18"/>
        </w:rPr>
        <w:t xml:space="preserve"> </w:t>
      </w:r>
      <w:r w:rsidRPr="00176CBA">
        <w:rPr>
          <w:rStyle w:val="FootnoteReference"/>
          <w:rFonts w:asciiTheme="minorHAnsi" w:hAnsiTheme="minorHAnsi" w:cstheme="minorHAnsi"/>
          <w:sz w:val="18"/>
          <w:szCs w:val="18"/>
        </w:rPr>
        <w:footnoteRef/>
      </w:r>
      <w:r w:rsidRPr="00176CBA">
        <w:rPr>
          <w:rFonts w:asciiTheme="minorHAnsi" w:hAnsiTheme="minorHAnsi" w:cstheme="minorHAnsi"/>
          <w:sz w:val="18"/>
          <w:szCs w:val="18"/>
        </w:rPr>
        <w:t xml:space="preserve"> Francis I,</w:t>
      </w:r>
      <w:r w:rsidRPr="00176CBA">
        <w:rPr>
          <w:rFonts w:asciiTheme="minorHAnsi" w:hAnsiTheme="minorHAnsi" w:cstheme="minorHAnsi"/>
          <w:sz w:val="18"/>
          <w:szCs w:val="18"/>
          <w:lang w:val="en"/>
        </w:rPr>
        <w:t xml:space="preserve"> Homily for the Jubilee of the sick and disabled (June 12, 2016), available at http://en.radiovaticana.va/news/2016/06/12/pope_francis_homily_for_jubilee_of_the_sick_and_disabled_/1236700 (last visited June 18, 2017).</w:t>
      </w:r>
    </w:p>
  </w:footnote>
  <w:footnote w:id="7">
    <w:p w:rsidR="002D7385" w:rsidRPr="00176CBA" w:rsidRDefault="002D7385" w:rsidP="00176CBA">
      <w:pPr>
        <w:spacing w:after="0" w:line="240" w:lineRule="auto"/>
        <w:rPr>
          <w:rFonts w:cstheme="minorHAnsi"/>
          <w:sz w:val="18"/>
          <w:szCs w:val="18"/>
        </w:rPr>
      </w:pPr>
      <w:r w:rsidRPr="00176CBA">
        <w:rPr>
          <w:rStyle w:val="FootnoteReference"/>
          <w:rFonts w:cstheme="minorHAnsi"/>
          <w:sz w:val="18"/>
          <w:szCs w:val="18"/>
        </w:rPr>
        <w:footnoteRef/>
      </w:r>
      <w:r w:rsidRPr="00176CBA">
        <w:rPr>
          <w:rFonts w:cstheme="minorHAnsi"/>
          <w:sz w:val="18"/>
          <w:szCs w:val="18"/>
        </w:rPr>
        <w:t xml:space="preserve"> </w:t>
      </w:r>
      <w:r w:rsidR="00C61E3F" w:rsidRPr="00176CBA">
        <w:rPr>
          <w:rFonts w:cstheme="minorHAnsi"/>
          <w:sz w:val="18"/>
          <w:szCs w:val="18"/>
        </w:rPr>
        <w:t>“</w:t>
      </w:r>
      <w:r w:rsidRPr="00176CBA">
        <w:rPr>
          <w:rFonts w:cstheme="minorHAnsi"/>
          <w:sz w:val="18"/>
          <w:szCs w:val="18"/>
        </w:rPr>
        <w:t xml:space="preserve">Discrimination” under the CRPD includes “any distinction, exclusion or restriction on the basis of disability which has the purpose or effect of impairing or nullifying the recognition, enjoyment or exercise, on an equal basis with others, of all human rights and fundamental freedoms[.]”A/RES/61-106, Article 2, “Definitions,” available at https://www.un.org/development/desa/disabilities/convention-on-the-rights-of-persons-with-disabilities/article-2-definitions.html (last visited June 15, 2017). As I will explain, the Act treats people with </w:t>
      </w:r>
      <w:r w:rsidR="00C61E3F" w:rsidRPr="00176CBA">
        <w:rPr>
          <w:rFonts w:cstheme="minorHAnsi"/>
          <w:sz w:val="18"/>
          <w:szCs w:val="18"/>
        </w:rPr>
        <w:t xml:space="preserve">serious and incurable medical conditions </w:t>
      </w:r>
      <w:r w:rsidRPr="00176CBA">
        <w:rPr>
          <w:rFonts w:cstheme="minorHAnsi"/>
          <w:sz w:val="18"/>
          <w:szCs w:val="18"/>
        </w:rPr>
        <w:t xml:space="preserve">unequally under Luxembourg’s criminal and civil laws simply because they are impaired. </w:t>
      </w:r>
    </w:p>
    <w:p w:rsidR="002D7385" w:rsidRPr="00176CBA" w:rsidRDefault="002D7385" w:rsidP="00176CBA">
      <w:pPr>
        <w:pStyle w:val="FootnoteText"/>
        <w:rPr>
          <w:rFonts w:cstheme="minorHAnsi"/>
          <w:sz w:val="18"/>
          <w:szCs w:val="18"/>
        </w:rPr>
      </w:pPr>
    </w:p>
  </w:footnote>
  <w:footnote w:id="8">
    <w:p w:rsidR="007D3308" w:rsidRPr="00176CBA" w:rsidRDefault="007D3308" w:rsidP="00176CBA">
      <w:pPr>
        <w:pStyle w:val="FootnoteText"/>
        <w:rPr>
          <w:rFonts w:cstheme="minorHAnsi"/>
          <w:sz w:val="18"/>
          <w:szCs w:val="18"/>
        </w:rPr>
      </w:pPr>
      <w:r w:rsidRPr="00176CBA">
        <w:rPr>
          <w:rStyle w:val="FootnoteReference"/>
          <w:rFonts w:cstheme="minorHAnsi"/>
          <w:sz w:val="18"/>
          <w:szCs w:val="18"/>
        </w:rPr>
        <w:footnoteRef/>
      </w:r>
      <w:r w:rsidRPr="00176CBA">
        <w:rPr>
          <w:rFonts w:cstheme="minorHAnsi"/>
          <w:sz w:val="18"/>
          <w:szCs w:val="18"/>
        </w:rPr>
        <w:t xml:space="preserve"> Appendix I: Act of March 16, 2009, Art. 1 (unofficial English translation).</w:t>
      </w:r>
    </w:p>
  </w:footnote>
  <w:footnote w:id="9">
    <w:p w:rsidR="007D3308" w:rsidRPr="00176CBA" w:rsidRDefault="00C72A5A" w:rsidP="00176CBA">
      <w:pPr>
        <w:pStyle w:val="FootnoteText"/>
        <w:rPr>
          <w:rFonts w:cstheme="minorHAnsi"/>
          <w:sz w:val="18"/>
          <w:szCs w:val="18"/>
        </w:rPr>
      </w:pPr>
      <w:r w:rsidRPr="00176CBA">
        <w:rPr>
          <w:rStyle w:val="FootnoteReference"/>
          <w:rFonts w:cstheme="minorHAnsi"/>
          <w:sz w:val="18"/>
          <w:szCs w:val="18"/>
        </w:rPr>
        <w:footnoteRef/>
      </w:r>
      <w:r w:rsidR="007D3308" w:rsidRPr="00176CBA">
        <w:rPr>
          <w:rStyle w:val="FootnoteReference"/>
          <w:rFonts w:cstheme="minorHAnsi"/>
          <w:sz w:val="18"/>
          <w:szCs w:val="18"/>
        </w:rPr>
        <w:footnoteRef/>
      </w:r>
      <w:r w:rsidR="007D3308" w:rsidRPr="00176CBA">
        <w:rPr>
          <w:rFonts w:cstheme="minorHAnsi"/>
          <w:sz w:val="18"/>
          <w:szCs w:val="18"/>
        </w:rPr>
        <w:t xml:space="preserve"> </w:t>
      </w:r>
      <w:r w:rsidR="007D3308" w:rsidRPr="00176CBA">
        <w:rPr>
          <w:rFonts w:cstheme="minorHAnsi"/>
          <w:i/>
          <w:sz w:val="18"/>
          <w:szCs w:val="18"/>
        </w:rPr>
        <w:t>Id.</w:t>
      </w:r>
      <w:r w:rsidRPr="00176CBA">
        <w:rPr>
          <w:rFonts w:cstheme="minorHAnsi"/>
          <w:i/>
          <w:sz w:val="18"/>
          <w:szCs w:val="18"/>
        </w:rPr>
        <w:t xml:space="preserve"> </w:t>
      </w:r>
    </w:p>
  </w:footnote>
  <w:footnote w:id="10">
    <w:p w:rsidR="00C72A5A" w:rsidRPr="00176CBA" w:rsidRDefault="00C72A5A" w:rsidP="00176CBA">
      <w:pPr>
        <w:pStyle w:val="FootnoteText"/>
        <w:rPr>
          <w:rFonts w:cstheme="minorHAnsi"/>
          <w:sz w:val="18"/>
          <w:szCs w:val="18"/>
        </w:rPr>
      </w:pPr>
      <w:r w:rsidRPr="00176CBA">
        <w:rPr>
          <w:rStyle w:val="FootnoteReference"/>
          <w:rFonts w:cstheme="minorHAnsi"/>
          <w:sz w:val="18"/>
          <w:szCs w:val="18"/>
        </w:rPr>
        <w:footnoteRef/>
      </w:r>
      <w:r w:rsidRPr="00176CBA">
        <w:rPr>
          <w:rFonts w:cstheme="minorHAnsi"/>
          <w:sz w:val="18"/>
          <w:szCs w:val="18"/>
        </w:rPr>
        <w:t xml:space="preserve"> </w:t>
      </w:r>
      <w:r w:rsidRPr="00176CBA">
        <w:rPr>
          <w:rFonts w:cstheme="minorHAnsi"/>
          <w:i/>
          <w:sz w:val="18"/>
          <w:szCs w:val="18"/>
        </w:rPr>
        <w:t>See</w:t>
      </w:r>
      <w:r w:rsidRPr="00176CBA">
        <w:rPr>
          <w:rFonts w:cstheme="minorHAnsi"/>
          <w:sz w:val="18"/>
          <w:szCs w:val="18"/>
        </w:rPr>
        <w:t xml:space="preserve"> </w:t>
      </w:r>
      <w:r w:rsidRPr="00176CBA">
        <w:rPr>
          <w:rFonts w:cstheme="minorHAnsi"/>
          <w:i/>
          <w:sz w:val="18"/>
          <w:szCs w:val="18"/>
        </w:rPr>
        <w:t>id.</w:t>
      </w:r>
      <w:r w:rsidRPr="00176CBA">
        <w:rPr>
          <w:rFonts w:cstheme="minorHAnsi"/>
          <w:sz w:val="18"/>
          <w:szCs w:val="18"/>
        </w:rPr>
        <w:t>, Art. 2 (1).</w:t>
      </w:r>
    </w:p>
  </w:footnote>
  <w:footnote w:id="11">
    <w:p w:rsidR="00F11059" w:rsidRPr="00176CBA" w:rsidRDefault="00F11059" w:rsidP="00176CBA">
      <w:pPr>
        <w:pStyle w:val="FootnoteText"/>
        <w:rPr>
          <w:rFonts w:cstheme="minorHAnsi"/>
          <w:sz w:val="18"/>
          <w:szCs w:val="18"/>
        </w:rPr>
      </w:pPr>
      <w:r w:rsidRPr="00176CBA">
        <w:rPr>
          <w:rStyle w:val="FootnoteReference"/>
          <w:rFonts w:cstheme="minorHAnsi"/>
          <w:sz w:val="18"/>
          <w:szCs w:val="18"/>
        </w:rPr>
        <w:footnoteRef/>
      </w:r>
      <w:r w:rsidRPr="00176CBA">
        <w:rPr>
          <w:rFonts w:cstheme="minorHAnsi"/>
          <w:sz w:val="18"/>
          <w:szCs w:val="18"/>
        </w:rPr>
        <w:t xml:space="preserve"> </w:t>
      </w:r>
      <w:r w:rsidR="0072500B" w:rsidRPr="00176CBA">
        <w:rPr>
          <w:rFonts w:cstheme="minorHAnsi"/>
          <w:i/>
          <w:sz w:val="18"/>
          <w:szCs w:val="18"/>
        </w:rPr>
        <w:t>Id.</w:t>
      </w:r>
      <w:r w:rsidR="0072500B" w:rsidRPr="00176CBA">
        <w:rPr>
          <w:rFonts w:cstheme="minorHAnsi"/>
          <w:sz w:val="18"/>
          <w:szCs w:val="18"/>
        </w:rPr>
        <w:t>, Art</w:t>
      </w:r>
      <w:r w:rsidR="00F0549A" w:rsidRPr="00176CBA">
        <w:rPr>
          <w:rFonts w:cstheme="minorHAnsi"/>
          <w:sz w:val="18"/>
          <w:szCs w:val="18"/>
        </w:rPr>
        <w:t>.</w:t>
      </w:r>
      <w:r w:rsidR="0072500B" w:rsidRPr="00176CBA">
        <w:rPr>
          <w:rFonts w:cstheme="minorHAnsi"/>
          <w:sz w:val="18"/>
          <w:szCs w:val="18"/>
        </w:rPr>
        <w:t xml:space="preserve"> 2 (1) (3).</w:t>
      </w:r>
    </w:p>
  </w:footnote>
  <w:footnote w:id="12">
    <w:p w:rsidR="00C15B43" w:rsidRPr="00176CBA" w:rsidRDefault="00C15B43" w:rsidP="00176CBA">
      <w:pPr>
        <w:pStyle w:val="FootnoteText"/>
        <w:rPr>
          <w:rFonts w:cstheme="minorHAnsi"/>
          <w:sz w:val="18"/>
          <w:szCs w:val="18"/>
        </w:rPr>
      </w:pPr>
      <w:r w:rsidRPr="00176CBA">
        <w:rPr>
          <w:rStyle w:val="FootnoteReference"/>
          <w:rFonts w:cstheme="minorHAnsi"/>
          <w:sz w:val="18"/>
          <w:szCs w:val="18"/>
        </w:rPr>
        <w:footnoteRef/>
      </w:r>
      <w:r w:rsidRPr="00176CBA">
        <w:rPr>
          <w:rFonts w:cstheme="minorHAnsi"/>
          <w:sz w:val="18"/>
          <w:szCs w:val="18"/>
        </w:rPr>
        <w:t xml:space="preserve"> </w:t>
      </w:r>
      <w:r w:rsidR="00421120" w:rsidRPr="00176CBA">
        <w:rPr>
          <w:rFonts w:cstheme="minorHAnsi"/>
          <w:sz w:val="18"/>
          <w:szCs w:val="18"/>
        </w:rPr>
        <w:t xml:space="preserve">The Act seemingly refers to a “terminal condition” when it requires any </w:t>
      </w:r>
      <w:r w:rsidRPr="00176CBA">
        <w:rPr>
          <w:rFonts w:cstheme="minorHAnsi"/>
          <w:sz w:val="18"/>
          <w:szCs w:val="18"/>
        </w:rPr>
        <w:t>physic</w:t>
      </w:r>
      <w:r w:rsidR="00EB314D" w:rsidRPr="00176CBA">
        <w:rPr>
          <w:rFonts w:cstheme="minorHAnsi"/>
          <w:sz w:val="18"/>
          <w:szCs w:val="18"/>
        </w:rPr>
        <w:t>ian</w:t>
      </w:r>
      <w:r w:rsidRPr="00176CBA">
        <w:rPr>
          <w:rFonts w:cstheme="minorHAnsi"/>
          <w:sz w:val="18"/>
          <w:szCs w:val="18"/>
        </w:rPr>
        <w:t xml:space="preserve"> “</w:t>
      </w:r>
      <w:r w:rsidRPr="00176CBA">
        <w:rPr>
          <w:rFonts w:cstheme="minorHAnsi"/>
          <w:w w:val="105"/>
          <w:sz w:val="18"/>
          <w:szCs w:val="18"/>
        </w:rPr>
        <w:t xml:space="preserve">treating a patient at </w:t>
      </w:r>
      <w:r w:rsidR="00421120" w:rsidRPr="00176CBA">
        <w:rPr>
          <w:rFonts w:cstheme="minorHAnsi"/>
          <w:i/>
          <w:w w:val="105"/>
          <w:sz w:val="18"/>
          <w:szCs w:val="18"/>
        </w:rPr>
        <w:t xml:space="preserve">the end of his/her </w:t>
      </w:r>
      <w:r w:rsidR="00421120" w:rsidRPr="00176CBA">
        <w:rPr>
          <w:rFonts w:cstheme="minorHAnsi"/>
          <w:w w:val="105"/>
          <w:sz w:val="18"/>
          <w:szCs w:val="18"/>
        </w:rPr>
        <w:t xml:space="preserve">life </w:t>
      </w:r>
      <w:r w:rsidRPr="00176CBA">
        <w:rPr>
          <w:rFonts w:cstheme="minorHAnsi"/>
          <w:w w:val="105"/>
          <w:sz w:val="18"/>
          <w:szCs w:val="18"/>
        </w:rPr>
        <w:t>or a patient in a hopeless medical situation</w:t>
      </w:r>
      <w:r w:rsidR="00EB314D" w:rsidRPr="00176CBA">
        <w:rPr>
          <w:rFonts w:cstheme="minorHAnsi"/>
          <w:w w:val="105"/>
          <w:sz w:val="18"/>
          <w:szCs w:val="18"/>
        </w:rPr>
        <w:t xml:space="preserve">” to inquire whether the patient has a registered advanced </w:t>
      </w:r>
      <w:r w:rsidR="00421120" w:rsidRPr="00176CBA">
        <w:rPr>
          <w:rFonts w:cstheme="minorHAnsi"/>
          <w:w w:val="105"/>
          <w:sz w:val="18"/>
          <w:szCs w:val="18"/>
        </w:rPr>
        <w:t>directive requesting euthanasia.</w:t>
      </w:r>
      <w:r w:rsidR="00EB314D" w:rsidRPr="00176CBA">
        <w:rPr>
          <w:rFonts w:cstheme="minorHAnsi"/>
          <w:w w:val="105"/>
          <w:sz w:val="18"/>
          <w:szCs w:val="18"/>
        </w:rPr>
        <w:t xml:space="preserve"> </w:t>
      </w:r>
      <w:r w:rsidR="00421120" w:rsidRPr="00176CBA">
        <w:rPr>
          <w:rFonts w:cstheme="minorHAnsi"/>
          <w:i/>
          <w:w w:val="105"/>
          <w:sz w:val="18"/>
          <w:szCs w:val="18"/>
        </w:rPr>
        <w:t>I</w:t>
      </w:r>
      <w:r w:rsidR="00EB314D" w:rsidRPr="00176CBA">
        <w:rPr>
          <w:rFonts w:cstheme="minorHAnsi"/>
          <w:i/>
          <w:w w:val="105"/>
          <w:sz w:val="18"/>
          <w:szCs w:val="18"/>
        </w:rPr>
        <w:t>d.</w:t>
      </w:r>
      <w:r w:rsidR="00421120" w:rsidRPr="00176CBA">
        <w:rPr>
          <w:rFonts w:cstheme="minorHAnsi"/>
          <w:w w:val="105"/>
          <w:sz w:val="18"/>
          <w:szCs w:val="18"/>
        </w:rPr>
        <w:t xml:space="preserve">, Art. 4 (2) (emphasis added). </w:t>
      </w:r>
      <w:r w:rsidR="00EB314D" w:rsidRPr="00176CBA">
        <w:rPr>
          <w:rFonts w:cstheme="minorHAnsi"/>
          <w:w w:val="105"/>
          <w:sz w:val="18"/>
          <w:szCs w:val="18"/>
        </w:rPr>
        <w:t xml:space="preserve"> </w:t>
      </w:r>
      <w:r w:rsidR="00421120" w:rsidRPr="00176CBA">
        <w:rPr>
          <w:rFonts w:cstheme="minorHAnsi"/>
          <w:w w:val="105"/>
          <w:sz w:val="18"/>
          <w:szCs w:val="18"/>
        </w:rPr>
        <w:t xml:space="preserve">This language, however, supports the view that </w:t>
      </w:r>
      <w:r w:rsidR="00044125" w:rsidRPr="00176CBA">
        <w:rPr>
          <w:rFonts w:cstheme="minorHAnsi"/>
          <w:w w:val="105"/>
          <w:sz w:val="18"/>
          <w:szCs w:val="18"/>
        </w:rPr>
        <w:t xml:space="preserve">the Act is not using </w:t>
      </w:r>
      <w:r w:rsidR="00421120" w:rsidRPr="00176CBA">
        <w:rPr>
          <w:rFonts w:cstheme="minorHAnsi"/>
          <w:w w:val="105"/>
          <w:sz w:val="18"/>
          <w:szCs w:val="18"/>
        </w:rPr>
        <w:t xml:space="preserve">“hopeless” and “terminal” </w:t>
      </w:r>
      <w:r w:rsidR="00044125" w:rsidRPr="00176CBA">
        <w:rPr>
          <w:rFonts w:cstheme="minorHAnsi"/>
          <w:w w:val="105"/>
          <w:sz w:val="18"/>
          <w:szCs w:val="18"/>
        </w:rPr>
        <w:t>synonymously</w:t>
      </w:r>
      <w:r w:rsidR="00421120" w:rsidRPr="00176CBA">
        <w:rPr>
          <w:rFonts w:cstheme="minorHAnsi"/>
          <w:w w:val="105"/>
          <w:sz w:val="18"/>
          <w:szCs w:val="18"/>
        </w:rPr>
        <w:t>.</w:t>
      </w:r>
    </w:p>
  </w:footnote>
  <w:footnote w:id="13">
    <w:p w:rsidR="00C834A1" w:rsidRPr="00176CBA" w:rsidRDefault="00C834A1" w:rsidP="00176CBA">
      <w:pPr>
        <w:pStyle w:val="FootnoteText"/>
        <w:rPr>
          <w:rFonts w:cstheme="minorHAnsi"/>
          <w:sz w:val="18"/>
          <w:szCs w:val="18"/>
        </w:rPr>
      </w:pPr>
      <w:r w:rsidRPr="00176CBA">
        <w:rPr>
          <w:rStyle w:val="FootnoteReference"/>
          <w:rFonts w:cstheme="minorHAnsi"/>
          <w:sz w:val="18"/>
          <w:szCs w:val="18"/>
        </w:rPr>
        <w:footnoteRef/>
      </w:r>
      <w:r w:rsidRPr="00176CBA">
        <w:rPr>
          <w:rFonts w:cstheme="minorHAnsi"/>
          <w:sz w:val="18"/>
          <w:szCs w:val="18"/>
        </w:rPr>
        <w:t xml:space="preserve"> </w:t>
      </w:r>
      <w:r w:rsidRPr="00176CBA">
        <w:rPr>
          <w:rFonts w:cstheme="minorHAnsi"/>
          <w:i/>
          <w:sz w:val="18"/>
          <w:szCs w:val="18"/>
        </w:rPr>
        <w:t>Id.</w:t>
      </w:r>
      <w:r w:rsidR="00F0549A" w:rsidRPr="00176CBA">
        <w:rPr>
          <w:rFonts w:cstheme="minorHAnsi"/>
          <w:i/>
          <w:sz w:val="18"/>
          <w:szCs w:val="18"/>
        </w:rPr>
        <w:t xml:space="preserve"> </w:t>
      </w:r>
      <w:r w:rsidR="00F0549A" w:rsidRPr="00176CBA">
        <w:rPr>
          <w:rFonts w:cstheme="minorHAnsi"/>
          <w:sz w:val="18"/>
          <w:szCs w:val="18"/>
        </w:rPr>
        <w:t xml:space="preserve">Though physicians are required to inform such patients of “the </w:t>
      </w:r>
      <w:bookmarkStart w:id="6" w:name="OLE_LINK18"/>
      <w:r w:rsidR="00F0549A" w:rsidRPr="00176CBA">
        <w:rPr>
          <w:rFonts w:cstheme="minorHAnsi"/>
          <w:sz w:val="18"/>
          <w:szCs w:val="18"/>
        </w:rPr>
        <w:t xml:space="preserve">possibilities offered by palliative care, </w:t>
      </w:r>
      <w:bookmarkEnd w:id="6"/>
      <w:r w:rsidR="00F0549A" w:rsidRPr="00176CBA">
        <w:rPr>
          <w:rFonts w:cstheme="minorHAnsi"/>
          <w:sz w:val="18"/>
          <w:szCs w:val="18"/>
        </w:rPr>
        <w:t xml:space="preserve">and their </w:t>
      </w:r>
      <w:r w:rsidR="00CE6311" w:rsidRPr="00176CBA">
        <w:rPr>
          <w:rFonts w:cstheme="minorHAnsi"/>
          <w:sz w:val="18"/>
          <w:szCs w:val="18"/>
        </w:rPr>
        <w:t>consequences [</w:t>
      </w:r>
      <w:r w:rsidR="00F0549A" w:rsidRPr="00176CBA">
        <w:rPr>
          <w:rFonts w:cstheme="minorHAnsi"/>
          <w:sz w:val="18"/>
          <w:szCs w:val="18"/>
        </w:rPr>
        <w:t xml:space="preserve">,]” </w:t>
      </w:r>
      <w:r w:rsidR="00F0549A" w:rsidRPr="00176CBA">
        <w:rPr>
          <w:rFonts w:cstheme="minorHAnsi"/>
          <w:i/>
          <w:sz w:val="18"/>
          <w:szCs w:val="18"/>
        </w:rPr>
        <w:t>id.</w:t>
      </w:r>
      <w:r w:rsidR="00F0549A" w:rsidRPr="00176CBA">
        <w:rPr>
          <w:rFonts w:cstheme="minorHAnsi"/>
          <w:sz w:val="18"/>
          <w:szCs w:val="18"/>
        </w:rPr>
        <w:t>, Art. 2 (2) (1)</w:t>
      </w:r>
      <w:r w:rsidR="00CE6311" w:rsidRPr="00176CBA">
        <w:rPr>
          <w:rFonts w:cstheme="minorHAnsi"/>
          <w:sz w:val="18"/>
          <w:szCs w:val="18"/>
        </w:rPr>
        <w:t>, patients</w:t>
      </w:r>
      <w:r w:rsidR="00F0549A" w:rsidRPr="00176CBA">
        <w:rPr>
          <w:rFonts w:cstheme="minorHAnsi"/>
          <w:sz w:val="18"/>
          <w:szCs w:val="18"/>
        </w:rPr>
        <w:t xml:space="preserve"> are not required to </w:t>
      </w:r>
      <w:r w:rsidR="00527D29" w:rsidRPr="00176CBA">
        <w:rPr>
          <w:rFonts w:cstheme="minorHAnsi"/>
          <w:sz w:val="18"/>
          <w:szCs w:val="18"/>
        </w:rPr>
        <w:t xml:space="preserve">undergo </w:t>
      </w:r>
      <w:r w:rsidR="00F0549A" w:rsidRPr="00176CBA">
        <w:rPr>
          <w:rFonts w:cstheme="minorHAnsi"/>
          <w:sz w:val="18"/>
          <w:szCs w:val="18"/>
        </w:rPr>
        <w:t xml:space="preserve">treatment such physicians believe would </w:t>
      </w:r>
      <w:r w:rsidR="00CE6311" w:rsidRPr="00176CBA">
        <w:rPr>
          <w:rFonts w:cstheme="minorHAnsi"/>
          <w:sz w:val="18"/>
          <w:szCs w:val="18"/>
        </w:rPr>
        <w:t>alleviate</w:t>
      </w:r>
      <w:r w:rsidR="00F0549A" w:rsidRPr="00176CBA">
        <w:rPr>
          <w:rFonts w:cstheme="minorHAnsi"/>
          <w:sz w:val="18"/>
          <w:szCs w:val="18"/>
        </w:rPr>
        <w:t xml:space="preserve"> their suffering </w:t>
      </w:r>
      <w:r w:rsidR="00854E4F" w:rsidRPr="00176CBA">
        <w:rPr>
          <w:rFonts w:cstheme="minorHAnsi"/>
          <w:sz w:val="18"/>
          <w:szCs w:val="18"/>
        </w:rPr>
        <w:t xml:space="preserve">before their request for </w:t>
      </w:r>
      <w:r w:rsidR="00F0549A" w:rsidRPr="00176CBA">
        <w:rPr>
          <w:rFonts w:cstheme="minorHAnsi"/>
          <w:sz w:val="18"/>
          <w:szCs w:val="18"/>
        </w:rPr>
        <w:t>euthanasia or assistance in suicide</w:t>
      </w:r>
      <w:r w:rsidR="00854E4F" w:rsidRPr="00176CBA">
        <w:rPr>
          <w:rFonts w:cstheme="minorHAnsi"/>
          <w:sz w:val="18"/>
          <w:szCs w:val="18"/>
        </w:rPr>
        <w:t xml:space="preserve"> is satisfied</w:t>
      </w:r>
      <w:r w:rsidR="00F0549A" w:rsidRPr="00176CBA">
        <w:rPr>
          <w:rFonts w:cstheme="minorHAnsi"/>
          <w:sz w:val="18"/>
          <w:szCs w:val="18"/>
        </w:rPr>
        <w:t xml:space="preserve">. </w:t>
      </w:r>
    </w:p>
  </w:footnote>
  <w:footnote w:id="14">
    <w:p w:rsidR="00C53FF2" w:rsidRPr="00176CBA" w:rsidRDefault="00C53FF2" w:rsidP="00176CBA">
      <w:pPr>
        <w:pStyle w:val="FootnoteText"/>
        <w:rPr>
          <w:rFonts w:cstheme="minorHAnsi"/>
          <w:sz w:val="18"/>
          <w:szCs w:val="18"/>
        </w:rPr>
      </w:pPr>
      <w:r w:rsidRPr="00176CBA">
        <w:rPr>
          <w:rStyle w:val="FootnoteReference"/>
          <w:rFonts w:cstheme="minorHAnsi"/>
          <w:sz w:val="18"/>
          <w:szCs w:val="18"/>
        </w:rPr>
        <w:footnoteRef/>
      </w:r>
      <w:r w:rsidRPr="00176CBA">
        <w:rPr>
          <w:rFonts w:cstheme="minorHAnsi"/>
          <w:sz w:val="18"/>
          <w:szCs w:val="18"/>
        </w:rPr>
        <w:t xml:space="preserve"> </w:t>
      </w:r>
      <w:r w:rsidRPr="00176CBA">
        <w:rPr>
          <w:rFonts w:cstheme="minorHAnsi"/>
          <w:i/>
          <w:sz w:val="18"/>
          <w:szCs w:val="18"/>
        </w:rPr>
        <w:t>Id.</w:t>
      </w:r>
      <w:r w:rsidRPr="00176CBA">
        <w:rPr>
          <w:rFonts w:cstheme="minorHAnsi"/>
          <w:sz w:val="18"/>
          <w:szCs w:val="18"/>
        </w:rPr>
        <w:t>, Art. 2 (2) (1).</w:t>
      </w:r>
      <w:r w:rsidR="00CB6F83" w:rsidRPr="00176CBA">
        <w:rPr>
          <w:rFonts w:cstheme="minorHAnsi"/>
          <w:sz w:val="18"/>
          <w:szCs w:val="18"/>
        </w:rPr>
        <w:t xml:space="preserve"> Though the physician must conduct several meeting</w:t>
      </w:r>
      <w:r w:rsidR="00854E4F" w:rsidRPr="00176CBA">
        <w:rPr>
          <w:rFonts w:cstheme="minorHAnsi"/>
          <w:sz w:val="18"/>
          <w:szCs w:val="18"/>
        </w:rPr>
        <w:t>s</w:t>
      </w:r>
      <w:r w:rsidR="00CB6F83" w:rsidRPr="00176CBA">
        <w:rPr>
          <w:rFonts w:cstheme="minorHAnsi"/>
          <w:sz w:val="18"/>
          <w:szCs w:val="18"/>
        </w:rPr>
        <w:t xml:space="preserve"> with the patient to </w:t>
      </w:r>
      <w:r w:rsidR="00527D29" w:rsidRPr="00176CBA">
        <w:rPr>
          <w:rFonts w:cstheme="minorHAnsi"/>
          <w:sz w:val="18"/>
          <w:szCs w:val="18"/>
        </w:rPr>
        <w:t xml:space="preserve">confirm </w:t>
      </w:r>
      <w:r w:rsidR="00CB6F83" w:rsidRPr="00176CBA">
        <w:rPr>
          <w:rFonts w:cstheme="minorHAnsi"/>
          <w:sz w:val="18"/>
          <w:szCs w:val="18"/>
        </w:rPr>
        <w:t xml:space="preserve">such conviction, </w:t>
      </w:r>
      <w:r w:rsidR="00CB6F83" w:rsidRPr="00176CBA">
        <w:rPr>
          <w:rFonts w:cstheme="minorHAnsi"/>
          <w:i/>
          <w:sz w:val="18"/>
          <w:szCs w:val="18"/>
        </w:rPr>
        <w:t>see</w:t>
      </w:r>
      <w:r w:rsidR="00CB6F83" w:rsidRPr="00176CBA">
        <w:rPr>
          <w:rFonts w:cstheme="minorHAnsi"/>
          <w:sz w:val="18"/>
          <w:szCs w:val="18"/>
        </w:rPr>
        <w:t xml:space="preserve"> </w:t>
      </w:r>
      <w:r w:rsidR="00CB6F83" w:rsidRPr="00176CBA">
        <w:rPr>
          <w:rFonts w:cstheme="minorHAnsi"/>
          <w:i/>
          <w:sz w:val="18"/>
          <w:szCs w:val="18"/>
        </w:rPr>
        <w:t>id.</w:t>
      </w:r>
      <w:r w:rsidR="00CB6F83" w:rsidRPr="00176CBA">
        <w:rPr>
          <w:rFonts w:cstheme="minorHAnsi"/>
          <w:sz w:val="18"/>
          <w:szCs w:val="18"/>
        </w:rPr>
        <w:t>, Art</w:t>
      </w:r>
      <w:r w:rsidR="00854E4F" w:rsidRPr="00176CBA">
        <w:rPr>
          <w:rFonts w:cstheme="minorHAnsi"/>
          <w:sz w:val="18"/>
          <w:szCs w:val="18"/>
        </w:rPr>
        <w:t>.</w:t>
      </w:r>
      <w:r w:rsidR="00CB6F83" w:rsidRPr="00176CBA">
        <w:rPr>
          <w:rFonts w:cstheme="minorHAnsi"/>
          <w:sz w:val="18"/>
          <w:szCs w:val="18"/>
        </w:rPr>
        <w:t xml:space="preserve"> 2 (2) (2)</w:t>
      </w:r>
      <w:r w:rsidR="00CE6311" w:rsidRPr="00176CBA">
        <w:rPr>
          <w:rFonts w:cstheme="minorHAnsi"/>
          <w:sz w:val="18"/>
          <w:szCs w:val="18"/>
        </w:rPr>
        <w:t>, and</w:t>
      </w:r>
      <w:r w:rsidR="00854E4F" w:rsidRPr="00176CBA">
        <w:rPr>
          <w:rFonts w:cstheme="minorHAnsi"/>
          <w:sz w:val="18"/>
          <w:szCs w:val="18"/>
        </w:rPr>
        <w:t xml:space="preserve"> a consulting physician must likewise be convinced, </w:t>
      </w:r>
      <w:r w:rsidR="00854E4F" w:rsidRPr="00176CBA">
        <w:rPr>
          <w:rFonts w:cstheme="minorHAnsi"/>
          <w:i/>
          <w:sz w:val="18"/>
          <w:szCs w:val="18"/>
        </w:rPr>
        <w:t>see</w:t>
      </w:r>
      <w:r w:rsidR="00854E4F" w:rsidRPr="00176CBA">
        <w:rPr>
          <w:rFonts w:cstheme="minorHAnsi"/>
          <w:sz w:val="18"/>
          <w:szCs w:val="18"/>
        </w:rPr>
        <w:t xml:space="preserve"> </w:t>
      </w:r>
      <w:r w:rsidR="00854E4F" w:rsidRPr="00176CBA">
        <w:rPr>
          <w:rFonts w:cstheme="minorHAnsi"/>
          <w:i/>
          <w:sz w:val="18"/>
          <w:szCs w:val="18"/>
        </w:rPr>
        <w:t>id.</w:t>
      </w:r>
      <w:r w:rsidR="00854E4F" w:rsidRPr="00176CBA">
        <w:rPr>
          <w:rFonts w:cstheme="minorHAnsi"/>
          <w:sz w:val="18"/>
          <w:szCs w:val="18"/>
        </w:rPr>
        <w:t xml:space="preserve">, Art. 2 (2) (3), still, if, “in the eyes of the patient, there is no other acceptable solution [,]” </w:t>
      </w:r>
      <w:r w:rsidR="00854E4F" w:rsidRPr="00176CBA">
        <w:rPr>
          <w:rFonts w:cstheme="minorHAnsi"/>
          <w:i/>
          <w:sz w:val="18"/>
          <w:szCs w:val="18"/>
        </w:rPr>
        <w:t>id.</w:t>
      </w:r>
      <w:r w:rsidR="00854E4F" w:rsidRPr="00176CBA">
        <w:rPr>
          <w:rFonts w:cstheme="minorHAnsi"/>
          <w:sz w:val="18"/>
          <w:szCs w:val="18"/>
        </w:rPr>
        <w:t>, Art.</w:t>
      </w:r>
      <w:r w:rsidR="00527D29" w:rsidRPr="00176CBA">
        <w:rPr>
          <w:rFonts w:cstheme="minorHAnsi"/>
          <w:sz w:val="18"/>
          <w:szCs w:val="18"/>
        </w:rPr>
        <w:t xml:space="preserve"> 2 (2) (1), the condition is me</w:t>
      </w:r>
      <w:r w:rsidR="00854E4F" w:rsidRPr="00176CBA">
        <w:rPr>
          <w:rFonts w:cstheme="minorHAnsi"/>
          <w:sz w:val="18"/>
          <w:szCs w:val="18"/>
        </w:rPr>
        <w:t>t.</w:t>
      </w:r>
    </w:p>
  </w:footnote>
  <w:footnote w:id="15">
    <w:p w:rsidR="00BC0C6D" w:rsidRPr="00176CBA" w:rsidRDefault="00BC0C6D" w:rsidP="00176CBA">
      <w:pPr>
        <w:pStyle w:val="FootnoteText"/>
        <w:rPr>
          <w:rFonts w:cstheme="minorHAnsi"/>
          <w:sz w:val="18"/>
          <w:szCs w:val="18"/>
        </w:rPr>
      </w:pPr>
      <w:r w:rsidRPr="00176CBA">
        <w:rPr>
          <w:rStyle w:val="FootnoteReference"/>
          <w:rFonts w:cstheme="minorHAnsi"/>
          <w:sz w:val="18"/>
          <w:szCs w:val="18"/>
        </w:rPr>
        <w:footnoteRef/>
      </w:r>
      <w:r w:rsidRPr="00176CBA">
        <w:rPr>
          <w:rFonts w:cstheme="minorHAnsi"/>
          <w:sz w:val="18"/>
          <w:szCs w:val="18"/>
        </w:rPr>
        <w:t xml:space="preserve"> A physician can honor an advanced directive for euthanasia under the Act, without any showing of pain, if the declarant is unconscious and has a serious and incurable condition </w:t>
      </w:r>
      <w:r w:rsidR="00CE6311" w:rsidRPr="00176CBA">
        <w:rPr>
          <w:rFonts w:cstheme="minorHAnsi"/>
          <w:sz w:val="18"/>
          <w:szCs w:val="18"/>
        </w:rPr>
        <w:t>irreversible</w:t>
      </w:r>
      <w:r w:rsidRPr="00176CBA">
        <w:rPr>
          <w:rFonts w:cstheme="minorHAnsi"/>
          <w:sz w:val="18"/>
          <w:szCs w:val="18"/>
        </w:rPr>
        <w:t xml:space="preserve"> according </w:t>
      </w:r>
      <w:r w:rsidR="00EB314D" w:rsidRPr="00176CBA">
        <w:rPr>
          <w:rFonts w:cstheme="minorHAnsi"/>
          <w:sz w:val="18"/>
          <w:szCs w:val="18"/>
        </w:rPr>
        <w:t xml:space="preserve">to </w:t>
      </w:r>
      <w:r w:rsidRPr="00176CBA">
        <w:rPr>
          <w:rFonts w:cstheme="minorHAnsi"/>
          <w:sz w:val="18"/>
          <w:szCs w:val="18"/>
        </w:rPr>
        <w:t xml:space="preserve">the current state of science. </w:t>
      </w:r>
      <w:r w:rsidR="00EB314D" w:rsidRPr="00176CBA">
        <w:rPr>
          <w:rFonts w:cstheme="minorHAnsi"/>
          <w:sz w:val="18"/>
          <w:szCs w:val="18"/>
        </w:rPr>
        <w:t xml:space="preserve">See </w:t>
      </w:r>
      <w:r w:rsidR="00EB314D" w:rsidRPr="00176CBA">
        <w:rPr>
          <w:rFonts w:cstheme="minorHAnsi"/>
          <w:i/>
          <w:sz w:val="18"/>
          <w:szCs w:val="18"/>
        </w:rPr>
        <w:t>id.</w:t>
      </w:r>
      <w:r w:rsidR="00EB314D" w:rsidRPr="00176CBA">
        <w:rPr>
          <w:rFonts w:cstheme="minorHAnsi"/>
          <w:sz w:val="18"/>
          <w:szCs w:val="18"/>
        </w:rPr>
        <w:t>, Art. 4 (3) (1-3); s</w:t>
      </w:r>
      <w:r w:rsidRPr="00176CBA">
        <w:rPr>
          <w:rFonts w:cstheme="minorHAnsi"/>
          <w:sz w:val="18"/>
          <w:szCs w:val="18"/>
        </w:rPr>
        <w:t xml:space="preserve">ee </w:t>
      </w:r>
      <w:r w:rsidR="00EB314D" w:rsidRPr="00176CBA">
        <w:rPr>
          <w:rFonts w:cstheme="minorHAnsi"/>
          <w:sz w:val="18"/>
          <w:szCs w:val="18"/>
        </w:rPr>
        <w:t xml:space="preserve">also </w:t>
      </w:r>
      <w:r w:rsidRPr="00176CBA">
        <w:rPr>
          <w:rFonts w:cstheme="minorHAnsi"/>
          <w:sz w:val="18"/>
          <w:szCs w:val="18"/>
        </w:rPr>
        <w:t>id</w:t>
      </w:r>
      <w:r w:rsidRPr="00176CBA">
        <w:rPr>
          <w:rFonts w:cstheme="minorHAnsi"/>
          <w:i/>
          <w:sz w:val="18"/>
          <w:szCs w:val="18"/>
        </w:rPr>
        <w:t>.</w:t>
      </w:r>
      <w:r w:rsidRPr="00176CBA">
        <w:rPr>
          <w:rFonts w:cstheme="minorHAnsi"/>
          <w:sz w:val="18"/>
          <w:szCs w:val="18"/>
        </w:rPr>
        <w:t xml:space="preserve">, Art. 4 (1). </w:t>
      </w:r>
    </w:p>
  </w:footnote>
  <w:footnote w:id="16">
    <w:p w:rsidR="0013116C" w:rsidRPr="00176CBA" w:rsidRDefault="0013116C" w:rsidP="00176CBA">
      <w:pPr>
        <w:pStyle w:val="FootnoteText"/>
        <w:rPr>
          <w:rFonts w:cstheme="minorHAnsi"/>
          <w:sz w:val="18"/>
          <w:szCs w:val="18"/>
        </w:rPr>
      </w:pPr>
      <w:r w:rsidRPr="00176CBA">
        <w:rPr>
          <w:rStyle w:val="FootnoteReference"/>
          <w:rFonts w:cstheme="minorHAnsi"/>
          <w:sz w:val="18"/>
          <w:szCs w:val="18"/>
        </w:rPr>
        <w:footnoteRef/>
      </w:r>
      <w:r w:rsidRPr="00176CBA">
        <w:rPr>
          <w:rFonts w:cstheme="minorHAnsi"/>
          <w:sz w:val="18"/>
          <w:szCs w:val="18"/>
        </w:rPr>
        <w:t xml:space="preserve"> Initial Report of Luxembourg under the Convention on the Rights of Persons with Disabilities, #100, </w:t>
      </w:r>
      <w:r w:rsidR="00C61E3F" w:rsidRPr="00176CBA">
        <w:rPr>
          <w:rFonts w:cstheme="minorHAnsi"/>
          <w:i/>
          <w:sz w:val="18"/>
          <w:szCs w:val="18"/>
        </w:rPr>
        <w:t>supra</w:t>
      </w:r>
      <w:r w:rsidR="00C61E3F" w:rsidRPr="00176CBA">
        <w:rPr>
          <w:rFonts w:cstheme="minorHAnsi"/>
          <w:sz w:val="18"/>
          <w:szCs w:val="18"/>
        </w:rPr>
        <w:t xml:space="preserve"> note 1.</w:t>
      </w:r>
    </w:p>
  </w:footnote>
  <w:footnote w:id="17">
    <w:p w:rsidR="007E500C" w:rsidRPr="00176CBA" w:rsidRDefault="007E500C" w:rsidP="00176CBA">
      <w:pPr>
        <w:pStyle w:val="FootnoteText"/>
        <w:rPr>
          <w:rFonts w:cstheme="minorHAnsi"/>
          <w:sz w:val="18"/>
          <w:szCs w:val="18"/>
        </w:rPr>
      </w:pPr>
      <w:r w:rsidRPr="00176CBA">
        <w:rPr>
          <w:rStyle w:val="FootnoteReference"/>
          <w:rFonts w:cstheme="minorHAnsi"/>
          <w:sz w:val="18"/>
          <w:szCs w:val="18"/>
        </w:rPr>
        <w:footnoteRef/>
      </w:r>
      <w:r w:rsidRPr="00176CBA">
        <w:rPr>
          <w:rFonts w:cstheme="minorHAnsi"/>
          <w:sz w:val="18"/>
          <w:szCs w:val="18"/>
        </w:rPr>
        <w:t xml:space="preserve"> A/RES/61-106, Art. 4 (1) (b), “General Obligations,” available at https://www.un.org/development/desa/disabilities/convention-on-the-rights-of-persons-with-disabilities/article-4-general-obligations.html (last visited June 24, 2017).</w:t>
      </w:r>
      <w:r w:rsidR="0048738C" w:rsidRPr="00176CBA">
        <w:rPr>
          <w:rFonts w:cstheme="minorHAnsi"/>
          <w:sz w:val="18"/>
          <w:szCs w:val="18"/>
        </w:rPr>
        <w:t xml:space="preserve"> Further, by signing the CRPD in 2007, Luxembourg was under an obligation when it adopted the Act of March 16, 2009 “</w:t>
      </w:r>
      <w:r w:rsidR="0048738C" w:rsidRPr="00176CBA">
        <w:rPr>
          <w:rFonts w:eastAsia="Times New Roman" w:cstheme="minorHAnsi"/>
          <w:sz w:val="18"/>
          <w:szCs w:val="18"/>
        </w:rPr>
        <w:t xml:space="preserve">to refrain in good faith from acts that would defeat the object and purpose of the treaty.” </w:t>
      </w:r>
      <w:r w:rsidR="0048738C" w:rsidRPr="00176CBA">
        <w:rPr>
          <w:rFonts w:cstheme="minorHAnsi"/>
          <w:sz w:val="18"/>
          <w:szCs w:val="18"/>
        </w:rPr>
        <w:t>Timeline of Events, available at https://www.un.org/development/desa/disabilities/convention-on-the-rights-of-persons-with-disabilities/timeline-of-events.html (last visited Apr. 4, 2017).</w:t>
      </w:r>
    </w:p>
  </w:footnote>
  <w:footnote w:id="18">
    <w:p w:rsidR="0068384F" w:rsidRPr="00176CBA" w:rsidRDefault="0068384F" w:rsidP="00176CBA">
      <w:pPr>
        <w:pStyle w:val="FootnoteText"/>
        <w:rPr>
          <w:rFonts w:cstheme="minorHAnsi"/>
          <w:sz w:val="18"/>
          <w:szCs w:val="18"/>
        </w:rPr>
      </w:pPr>
      <w:r w:rsidRPr="00176CBA">
        <w:rPr>
          <w:rStyle w:val="FootnoteReference"/>
          <w:rFonts w:cstheme="minorHAnsi"/>
          <w:sz w:val="18"/>
          <w:szCs w:val="18"/>
        </w:rPr>
        <w:footnoteRef/>
      </w:r>
      <w:r w:rsidRPr="00176CBA">
        <w:rPr>
          <w:rFonts w:cstheme="minorHAnsi"/>
          <w:sz w:val="18"/>
          <w:szCs w:val="18"/>
        </w:rPr>
        <w:t xml:space="preserve"> See Appendix II: Relevant Portions of </w:t>
      </w:r>
      <w:r w:rsidR="00ED7BFA" w:rsidRPr="00176CBA">
        <w:rPr>
          <w:rFonts w:cstheme="minorHAnsi"/>
          <w:sz w:val="18"/>
          <w:szCs w:val="18"/>
        </w:rPr>
        <w:t>Luxembourg</w:t>
      </w:r>
      <w:r w:rsidRPr="00176CBA">
        <w:rPr>
          <w:rFonts w:cstheme="minorHAnsi"/>
          <w:sz w:val="18"/>
          <w:szCs w:val="18"/>
        </w:rPr>
        <w:t xml:space="preserve"> Reports on Euthanasia and Assisted Suicide. The reports were prepared by the National Commission on Control and Evaluation of the Law of March 16, 2009 on Euthanasia and Assisted Suicide</w:t>
      </w:r>
      <w:r w:rsidR="00040301" w:rsidRPr="00176CBA">
        <w:rPr>
          <w:rFonts w:cstheme="minorHAnsi"/>
          <w:sz w:val="18"/>
          <w:szCs w:val="18"/>
        </w:rPr>
        <w:t xml:space="preserve"> and were available through 2014.</w:t>
      </w:r>
      <w:r w:rsidRPr="00176CBA">
        <w:rPr>
          <w:rFonts w:cstheme="minorHAnsi"/>
          <w:sz w:val="18"/>
          <w:szCs w:val="18"/>
        </w:rPr>
        <w:t xml:space="preserve">  </w:t>
      </w:r>
    </w:p>
  </w:footnote>
  <w:footnote w:id="19">
    <w:p w:rsidR="00040301" w:rsidRPr="00176CBA" w:rsidRDefault="00040301" w:rsidP="00176CBA">
      <w:pPr>
        <w:pStyle w:val="FootnoteText"/>
        <w:rPr>
          <w:rFonts w:cstheme="minorHAnsi"/>
          <w:sz w:val="18"/>
          <w:szCs w:val="18"/>
        </w:rPr>
      </w:pPr>
      <w:r w:rsidRPr="00176CBA">
        <w:rPr>
          <w:rStyle w:val="FootnoteReference"/>
          <w:rFonts w:cstheme="minorHAnsi"/>
          <w:sz w:val="18"/>
          <w:szCs w:val="18"/>
        </w:rPr>
        <w:footnoteRef/>
      </w:r>
      <w:r w:rsidR="008E2C7A" w:rsidRPr="00176CBA">
        <w:rPr>
          <w:rFonts w:cstheme="minorHAnsi"/>
          <w:sz w:val="18"/>
          <w:szCs w:val="18"/>
        </w:rPr>
        <w:t xml:space="preserve"> In contrast to those euthanized, o</w:t>
      </w:r>
      <w:r w:rsidRPr="00176CBA">
        <w:rPr>
          <w:rFonts w:cstheme="minorHAnsi"/>
          <w:sz w:val="18"/>
          <w:szCs w:val="18"/>
        </w:rPr>
        <w:t>nly one patient was assisted in committing suicide. See id.</w:t>
      </w:r>
    </w:p>
  </w:footnote>
  <w:footnote w:id="20">
    <w:p w:rsidR="00040301" w:rsidRPr="00176CBA" w:rsidRDefault="00040301" w:rsidP="00176CBA">
      <w:pPr>
        <w:autoSpaceDE w:val="0"/>
        <w:autoSpaceDN w:val="0"/>
        <w:adjustRightInd w:val="0"/>
        <w:spacing w:after="0" w:line="240" w:lineRule="auto"/>
        <w:ind w:right="1200"/>
        <w:rPr>
          <w:rFonts w:cstheme="minorHAnsi"/>
          <w:sz w:val="18"/>
          <w:szCs w:val="18"/>
        </w:rPr>
      </w:pPr>
      <w:r w:rsidRPr="00176CBA">
        <w:rPr>
          <w:rStyle w:val="FootnoteReference"/>
          <w:rFonts w:cstheme="minorHAnsi"/>
          <w:sz w:val="18"/>
          <w:szCs w:val="18"/>
        </w:rPr>
        <w:footnoteRef/>
      </w:r>
      <w:r w:rsidRPr="00176CBA">
        <w:rPr>
          <w:rFonts w:cstheme="minorHAnsi"/>
          <w:sz w:val="18"/>
          <w:szCs w:val="18"/>
        </w:rPr>
        <w:t xml:space="preserve"> </w:t>
      </w:r>
      <w:r w:rsidR="00FB3D1A" w:rsidRPr="00176CBA">
        <w:rPr>
          <w:rFonts w:cstheme="minorHAnsi"/>
          <w:sz w:val="18"/>
          <w:szCs w:val="18"/>
        </w:rPr>
        <w:t xml:space="preserve">Of the 34 total cases, 27 were cancer patients; </w:t>
      </w:r>
      <w:r w:rsidR="008E2C7A" w:rsidRPr="00176CBA">
        <w:rPr>
          <w:rFonts w:cstheme="minorHAnsi"/>
          <w:sz w:val="18"/>
          <w:szCs w:val="18"/>
        </w:rPr>
        <w:t xml:space="preserve">six </w:t>
      </w:r>
      <w:r w:rsidRPr="00176CBA">
        <w:rPr>
          <w:rFonts w:cstheme="minorHAnsi"/>
          <w:sz w:val="18"/>
          <w:szCs w:val="18"/>
        </w:rPr>
        <w:t xml:space="preserve">had </w:t>
      </w:r>
      <w:bookmarkStart w:id="7" w:name="OLE_LINK5"/>
      <w:r w:rsidR="00ED7BFA" w:rsidRPr="00176CBA">
        <w:rPr>
          <w:rFonts w:cstheme="minorHAnsi"/>
          <w:sz w:val="18"/>
          <w:szCs w:val="18"/>
        </w:rPr>
        <w:t xml:space="preserve">neurodegenerative </w:t>
      </w:r>
      <w:bookmarkEnd w:id="7"/>
      <w:r w:rsidR="00ED7BFA" w:rsidRPr="00176CBA">
        <w:rPr>
          <w:rFonts w:cstheme="minorHAnsi"/>
          <w:sz w:val="18"/>
          <w:szCs w:val="18"/>
        </w:rPr>
        <w:t>conditions</w:t>
      </w:r>
      <w:r w:rsidRPr="00176CBA">
        <w:rPr>
          <w:rFonts w:cstheme="minorHAnsi"/>
          <w:sz w:val="18"/>
          <w:szCs w:val="18"/>
        </w:rPr>
        <w:t xml:space="preserve">; </w:t>
      </w:r>
      <w:r w:rsidR="008E2C7A" w:rsidRPr="00176CBA">
        <w:rPr>
          <w:rFonts w:cstheme="minorHAnsi"/>
          <w:sz w:val="18"/>
          <w:szCs w:val="18"/>
        </w:rPr>
        <w:t xml:space="preserve">and one </w:t>
      </w:r>
      <w:r w:rsidR="00FB3D1A" w:rsidRPr="00176CBA">
        <w:rPr>
          <w:rFonts w:cstheme="minorHAnsi"/>
          <w:sz w:val="18"/>
          <w:szCs w:val="18"/>
        </w:rPr>
        <w:t xml:space="preserve">had </w:t>
      </w:r>
      <w:r w:rsidRPr="00176CBA">
        <w:rPr>
          <w:rFonts w:cstheme="minorHAnsi"/>
          <w:sz w:val="18"/>
          <w:szCs w:val="18"/>
        </w:rPr>
        <w:t>a neurovascular disease. See</w:t>
      </w:r>
      <w:r w:rsidR="00350FFC" w:rsidRPr="00176CBA">
        <w:rPr>
          <w:rFonts w:cstheme="minorHAnsi"/>
          <w:sz w:val="18"/>
          <w:szCs w:val="18"/>
        </w:rPr>
        <w:t xml:space="preserve"> id</w:t>
      </w:r>
      <w:r w:rsidRPr="00176CBA">
        <w:rPr>
          <w:rFonts w:cstheme="minorHAnsi"/>
          <w:sz w:val="18"/>
          <w:szCs w:val="18"/>
        </w:rPr>
        <w:t>.</w:t>
      </w:r>
      <w:r w:rsidR="00FB3D1A" w:rsidRPr="00176CBA">
        <w:rPr>
          <w:rFonts w:cstheme="minorHAnsi"/>
          <w:sz w:val="18"/>
          <w:szCs w:val="18"/>
        </w:rPr>
        <w:t xml:space="preserve"> See also English Version of First Luxembourg’s Review C</w:t>
      </w:r>
      <w:r w:rsidR="008E2C7A" w:rsidRPr="00176CBA">
        <w:rPr>
          <w:rFonts w:cstheme="minorHAnsi"/>
          <w:sz w:val="18"/>
          <w:szCs w:val="18"/>
        </w:rPr>
        <w:t>ommissions Report (Apr. 25, 2011</w:t>
      </w:r>
      <w:r w:rsidR="00FB3D1A" w:rsidRPr="00176CBA">
        <w:rPr>
          <w:rFonts w:cstheme="minorHAnsi"/>
          <w:sz w:val="18"/>
          <w:szCs w:val="18"/>
        </w:rPr>
        <w:t>), available at http://www.worldrtd.net/news/english-version-first-luxemburgs-review-commissions-report-published#main-content (last visited June 15, 2017).</w:t>
      </w:r>
      <w:r w:rsidR="000D3032" w:rsidRPr="00176CBA">
        <w:rPr>
          <w:rFonts w:cstheme="minorHAnsi"/>
          <w:sz w:val="18"/>
          <w:szCs w:val="18"/>
        </w:rPr>
        <w:t xml:space="preserve"> Since the terms “neurodegenerative” and “neurovascular” are vague, I did not include patients listed with such conditions in my count of disabled persons euthanized or assisted in suicide under the Act.</w:t>
      </w:r>
    </w:p>
  </w:footnote>
  <w:footnote w:id="21">
    <w:p w:rsidR="002C362F" w:rsidRPr="00176CBA" w:rsidRDefault="002C362F" w:rsidP="00176CBA">
      <w:pPr>
        <w:pStyle w:val="FootnoteText"/>
        <w:rPr>
          <w:rFonts w:cstheme="minorHAnsi"/>
          <w:sz w:val="18"/>
          <w:szCs w:val="18"/>
        </w:rPr>
      </w:pPr>
      <w:r w:rsidRPr="00176CBA">
        <w:rPr>
          <w:rStyle w:val="FootnoteReference"/>
          <w:rFonts w:cstheme="minorHAnsi"/>
          <w:sz w:val="18"/>
          <w:szCs w:val="18"/>
        </w:rPr>
        <w:footnoteRef/>
      </w:r>
      <w:r w:rsidRPr="00176CBA">
        <w:rPr>
          <w:rFonts w:cstheme="minorHAnsi"/>
          <w:sz w:val="18"/>
          <w:szCs w:val="18"/>
        </w:rPr>
        <w:t xml:space="preserve"> 28 C.F.R. </w:t>
      </w:r>
      <w:bookmarkStart w:id="8" w:name="OLE_LINK6"/>
      <w:r w:rsidR="001F5D62" w:rsidRPr="00176CBA">
        <w:rPr>
          <w:rFonts w:cstheme="minorHAnsi"/>
          <w:sz w:val="18"/>
          <w:szCs w:val="18"/>
        </w:rPr>
        <w:t xml:space="preserve">§ </w:t>
      </w:r>
      <w:bookmarkEnd w:id="8"/>
      <w:r w:rsidRPr="00176CBA">
        <w:rPr>
          <w:rFonts w:cstheme="minorHAnsi"/>
          <w:sz w:val="18"/>
          <w:szCs w:val="18"/>
        </w:rPr>
        <w:t>35.108 (d) (2) (iii) (F</w:t>
      </w:r>
      <w:r w:rsidR="00ED7BFA" w:rsidRPr="00176CBA">
        <w:rPr>
          <w:rFonts w:cstheme="minorHAnsi"/>
          <w:sz w:val="18"/>
          <w:szCs w:val="18"/>
        </w:rPr>
        <w:t>) (</w:t>
      </w:r>
      <w:r w:rsidR="001F5D62" w:rsidRPr="00176CBA">
        <w:rPr>
          <w:rFonts w:cstheme="minorHAnsi"/>
          <w:sz w:val="18"/>
          <w:szCs w:val="18"/>
        </w:rPr>
        <w:t xml:space="preserve">U.S. Dept. of Justice </w:t>
      </w:r>
      <w:r w:rsidR="00ED7BFA" w:rsidRPr="00176CBA">
        <w:rPr>
          <w:rFonts w:cstheme="minorHAnsi"/>
          <w:sz w:val="18"/>
          <w:szCs w:val="18"/>
        </w:rPr>
        <w:t>Regulations</w:t>
      </w:r>
      <w:r w:rsidR="001F5D62" w:rsidRPr="00176CBA">
        <w:rPr>
          <w:rFonts w:cstheme="minorHAnsi"/>
          <w:sz w:val="18"/>
          <w:szCs w:val="18"/>
        </w:rPr>
        <w:t xml:space="preserve"> implementing Title II of the Americans with Disabilities Act) (“[T]he individualized assessment of some types of impairments will, in virtually all cases, result in a determination of coverage under … (the ‘actual disability’ prong) or </w:t>
      </w:r>
      <w:r w:rsidR="00ED7BFA" w:rsidRPr="00176CBA">
        <w:rPr>
          <w:rFonts w:cstheme="minorHAnsi"/>
          <w:sz w:val="18"/>
          <w:szCs w:val="18"/>
        </w:rPr>
        <w:t>… (</w:t>
      </w:r>
      <w:r w:rsidR="001F5D62" w:rsidRPr="00176CBA">
        <w:rPr>
          <w:rFonts w:cstheme="minorHAnsi"/>
          <w:sz w:val="18"/>
          <w:szCs w:val="18"/>
        </w:rPr>
        <w:t xml:space="preserve">the ‘record of’ prong) [of the </w:t>
      </w:r>
      <w:r w:rsidR="008E2C7A" w:rsidRPr="00176CBA">
        <w:rPr>
          <w:rFonts w:cstheme="minorHAnsi"/>
          <w:sz w:val="18"/>
          <w:szCs w:val="18"/>
        </w:rPr>
        <w:t xml:space="preserve">ADA’s definition </w:t>
      </w:r>
      <w:r w:rsidR="001F5D62" w:rsidRPr="00176CBA">
        <w:rPr>
          <w:rFonts w:cstheme="minorHAnsi"/>
          <w:sz w:val="18"/>
          <w:szCs w:val="18"/>
        </w:rPr>
        <w:t>of ‘</w:t>
      </w:r>
      <w:r w:rsidR="003C30B5" w:rsidRPr="00176CBA">
        <w:rPr>
          <w:rFonts w:cstheme="minorHAnsi"/>
          <w:sz w:val="18"/>
          <w:szCs w:val="18"/>
        </w:rPr>
        <w:t>disability</w:t>
      </w:r>
      <w:r w:rsidR="007E30F9" w:rsidRPr="00176CBA">
        <w:rPr>
          <w:rFonts w:cstheme="minorHAnsi"/>
          <w:sz w:val="18"/>
          <w:szCs w:val="18"/>
        </w:rPr>
        <w:t>.</w:t>
      </w:r>
      <w:r w:rsidR="008E2C7A" w:rsidRPr="00176CBA">
        <w:rPr>
          <w:rFonts w:cstheme="minorHAnsi"/>
          <w:sz w:val="18"/>
          <w:szCs w:val="18"/>
        </w:rPr>
        <w:t>’</w:t>
      </w:r>
      <w:r w:rsidR="001F5D62" w:rsidRPr="00176CBA">
        <w:rPr>
          <w:rFonts w:cstheme="minorHAnsi"/>
          <w:sz w:val="18"/>
          <w:szCs w:val="18"/>
        </w:rPr>
        <w:t>]”</w:t>
      </w:r>
      <w:r w:rsidR="003C30B5" w:rsidRPr="00176CBA">
        <w:rPr>
          <w:rFonts w:cstheme="minorHAnsi"/>
          <w:sz w:val="18"/>
          <w:szCs w:val="18"/>
        </w:rPr>
        <w:t>.</w:t>
      </w:r>
      <w:r w:rsidR="007E30F9" w:rsidRPr="00176CBA">
        <w:rPr>
          <w:rFonts w:cstheme="minorHAnsi"/>
          <w:sz w:val="18"/>
          <w:szCs w:val="18"/>
        </w:rPr>
        <w:t xml:space="preserve"> Id.</w:t>
      </w:r>
      <w:r w:rsidR="003C30B5" w:rsidRPr="00176CBA">
        <w:rPr>
          <w:rFonts w:cstheme="minorHAnsi"/>
          <w:sz w:val="18"/>
          <w:szCs w:val="18"/>
        </w:rPr>
        <w:t>,</w:t>
      </w:r>
      <w:r w:rsidR="007E30F9" w:rsidRPr="00176CBA">
        <w:rPr>
          <w:rFonts w:cstheme="minorHAnsi"/>
          <w:sz w:val="18"/>
          <w:szCs w:val="18"/>
        </w:rPr>
        <w:t xml:space="preserve"> </w:t>
      </w:r>
      <w:r w:rsidR="003C30B5" w:rsidRPr="00176CBA">
        <w:rPr>
          <w:rFonts w:cstheme="minorHAnsi"/>
          <w:sz w:val="18"/>
          <w:szCs w:val="18"/>
        </w:rPr>
        <w:t xml:space="preserve">§ </w:t>
      </w:r>
      <w:r w:rsidR="007E30F9" w:rsidRPr="00176CBA">
        <w:rPr>
          <w:rFonts w:cstheme="minorHAnsi"/>
          <w:sz w:val="18"/>
          <w:szCs w:val="18"/>
        </w:rPr>
        <w:t>35.108 (d) (2</w:t>
      </w:r>
      <w:r w:rsidR="00ED7BFA" w:rsidRPr="00176CBA">
        <w:rPr>
          <w:rFonts w:cstheme="minorHAnsi"/>
          <w:sz w:val="18"/>
          <w:szCs w:val="18"/>
        </w:rPr>
        <w:t>) (</w:t>
      </w:r>
      <w:r w:rsidR="00CA2ABC" w:rsidRPr="00176CBA">
        <w:rPr>
          <w:rFonts w:cstheme="minorHAnsi"/>
          <w:sz w:val="18"/>
          <w:szCs w:val="18"/>
        </w:rPr>
        <w:t>ii</w:t>
      </w:r>
      <w:r w:rsidR="007E30F9" w:rsidRPr="00176CBA">
        <w:rPr>
          <w:rFonts w:cstheme="minorHAnsi"/>
          <w:sz w:val="18"/>
          <w:szCs w:val="18"/>
        </w:rPr>
        <w:t>)</w:t>
      </w:r>
      <w:r w:rsidR="00CB5E4A" w:rsidRPr="00176CBA">
        <w:rPr>
          <w:rFonts w:cstheme="minorHAnsi"/>
          <w:sz w:val="18"/>
          <w:szCs w:val="18"/>
        </w:rPr>
        <w:t>)</w:t>
      </w:r>
      <w:r w:rsidR="007E30F9" w:rsidRPr="00176CBA">
        <w:rPr>
          <w:rFonts w:cstheme="minorHAnsi"/>
          <w:sz w:val="18"/>
          <w:szCs w:val="18"/>
        </w:rPr>
        <w:t>.</w:t>
      </w:r>
    </w:p>
  </w:footnote>
  <w:footnote w:id="22">
    <w:p w:rsidR="00D05C30" w:rsidRPr="00176CBA" w:rsidRDefault="00D05C30" w:rsidP="00176CBA">
      <w:pPr>
        <w:pStyle w:val="FootnoteText"/>
        <w:rPr>
          <w:rFonts w:cstheme="minorHAnsi"/>
          <w:sz w:val="18"/>
          <w:szCs w:val="18"/>
        </w:rPr>
      </w:pPr>
      <w:r w:rsidRPr="00176CBA">
        <w:rPr>
          <w:rStyle w:val="FootnoteReference"/>
          <w:rFonts w:cstheme="minorHAnsi"/>
          <w:sz w:val="18"/>
          <w:szCs w:val="18"/>
        </w:rPr>
        <w:footnoteRef/>
      </w:r>
      <w:r w:rsidRPr="00176CBA">
        <w:rPr>
          <w:rFonts w:cstheme="minorHAnsi"/>
          <w:sz w:val="18"/>
          <w:szCs w:val="18"/>
        </w:rPr>
        <w:t xml:space="preserve"> See, e.g., </w:t>
      </w:r>
      <w:r w:rsidR="00002123" w:rsidRPr="00176CBA">
        <w:rPr>
          <w:rFonts w:cstheme="minorHAnsi"/>
          <w:sz w:val="18"/>
          <w:szCs w:val="18"/>
        </w:rPr>
        <w:t xml:space="preserve">Daher, M., </w:t>
      </w:r>
      <w:r w:rsidRPr="00176CBA">
        <w:rPr>
          <w:rFonts w:cstheme="minorHAnsi"/>
          <w:sz w:val="18"/>
          <w:szCs w:val="18"/>
        </w:rPr>
        <w:t>Cultural Beliefs and Values in Cancer Patients</w:t>
      </w:r>
      <w:r w:rsidR="00C12A04" w:rsidRPr="00176CBA">
        <w:rPr>
          <w:rFonts w:cstheme="minorHAnsi"/>
          <w:sz w:val="18"/>
          <w:szCs w:val="18"/>
        </w:rPr>
        <w:t>,</w:t>
      </w:r>
      <w:r w:rsidRPr="00176CBA">
        <w:rPr>
          <w:rFonts w:cstheme="minorHAnsi"/>
          <w:sz w:val="18"/>
          <w:szCs w:val="18"/>
        </w:rPr>
        <w:t xml:space="preserve"> </w:t>
      </w:r>
      <w:r w:rsidR="00002123" w:rsidRPr="00176CBA">
        <w:rPr>
          <w:rFonts w:cstheme="minorHAnsi"/>
          <w:sz w:val="18"/>
          <w:szCs w:val="18"/>
        </w:rPr>
        <w:t xml:space="preserve">23 Ann. Oncol. (sup_3) 66-69 </w:t>
      </w:r>
      <w:r w:rsidRPr="00176CBA">
        <w:rPr>
          <w:rFonts w:cstheme="minorHAnsi"/>
          <w:sz w:val="18"/>
          <w:szCs w:val="18"/>
        </w:rPr>
        <w:t>(</w:t>
      </w:r>
      <w:r w:rsidR="00002123" w:rsidRPr="00176CBA">
        <w:rPr>
          <w:rFonts w:cstheme="minorHAnsi"/>
          <w:sz w:val="18"/>
          <w:szCs w:val="18"/>
        </w:rPr>
        <w:t xml:space="preserve">Apr. 1, </w:t>
      </w:r>
      <w:r w:rsidRPr="00176CBA">
        <w:rPr>
          <w:rFonts w:cstheme="minorHAnsi"/>
          <w:sz w:val="18"/>
          <w:szCs w:val="18"/>
        </w:rPr>
        <w:t xml:space="preserve">2012), available at </w:t>
      </w:r>
      <w:r w:rsidR="00002123" w:rsidRPr="00176CBA">
        <w:rPr>
          <w:rFonts w:cstheme="minorHAnsi"/>
          <w:sz w:val="18"/>
          <w:szCs w:val="18"/>
        </w:rPr>
        <w:t xml:space="preserve">https://academic.oup.com/annonc/article/23/suppl_3/66/207372/Cultural-beliefs-and-values-in-cancer-patients </w:t>
      </w:r>
      <w:r w:rsidRPr="00176CBA">
        <w:rPr>
          <w:rFonts w:cstheme="minorHAnsi"/>
          <w:sz w:val="18"/>
          <w:szCs w:val="18"/>
        </w:rPr>
        <w:t>(last visited June 16, 2017)</w:t>
      </w:r>
      <w:r w:rsidR="00CB5E4A" w:rsidRPr="00176CBA">
        <w:rPr>
          <w:rFonts w:cstheme="minorHAnsi"/>
          <w:sz w:val="18"/>
          <w:szCs w:val="18"/>
        </w:rPr>
        <w:t>.</w:t>
      </w:r>
      <w:r w:rsidR="006D4E11" w:rsidRPr="00176CBA">
        <w:rPr>
          <w:rFonts w:cstheme="minorHAnsi"/>
          <w:sz w:val="18"/>
          <w:szCs w:val="18"/>
        </w:rPr>
        <w:t xml:space="preserve"> </w:t>
      </w:r>
    </w:p>
  </w:footnote>
  <w:footnote w:id="23">
    <w:p w:rsidR="00225C5F" w:rsidRPr="00176CBA" w:rsidRDefault="00225C5F" w:rsidP="00176CBA">
      <w:pPr>
        <w:pStyle w:val="FootnoteText"/>
        <w:rPr>
          <w:rFonts w:cstheme="minorHAnsi"/>
          <w:sz w:val="18"/>
          <w:szCs w:val="18"/>
        </w:rPr>
      </w:pPr>
      <w:r w:rsidRPr="00176CBA">
        <w:rPr>
          <w:rStyle w:val="FootnoteReference"/>
          <w:rFonts w:cstheme="minorHAnsi"/>
          <w:sz w:val="18"/>
          <w:szCs w:val="18"/>
        </w:rPr>
        <w:footnoteRef/>
      </w:r>
      <w:r w:rsidRPr="00176CBA">
        <w:rPr>
          <w:rFonts w:cstheme="minorHAnsi"/>
          <w:sz w:val="18"/>
          <w:szCs w:val="18"/>
        </w:rPr>
        <w:t xml:space="preserve"> A/RES/61-106, Art. 2, “Definitions,” </w:t>
      </w:r>
      <w:r w:rsidRPr="00176CBA">
        <w:rPr>
          <w:rFonts w:cstheme="minorHAnsi"/>
          <w:i/>
          <w:sz w:val="18"/>
          <w:szCs w:val="18"/>
        </w:rPr>
        <w:t>supra</w:t>
      </w:r>
      <w:r w:rsidRPr="00176CBA">
        <w:rPr>
          <w:rFonts w:cstheme="minorHAnsi"/>
          <w:sz w:val="18"/>
          <w:szCs w:val="18"/>
        </w:rPr>
        <w:t xml:space="preserve"> note 7 (emphasis added).</w:t>
      </w:r>
    </w:p>
  </w:footnote>
  <w:footnote w:id="24">
    <w:p w:rsidR="002515B0" w:rsidRPr="00176CBA" w:rsidRDefault="002515B0" w:rsidP="00176CBA">
      <w:pPr>
        <w:spacing w:after="0" w:line="240" w:lineRule="auto"/>
        <w:rPr>
          <w:rFonts w:cstheme="minorHAnsi"/>
          <w:sz w:val="18"/>
          <w:szCs w:val="18"/>
        </w:rPr>
      </w:pPr>
      <w:r w:rsidRPr="00176CBA">
        <w:rPr>
          <w:rStyle w:val="FootnoteReference"/>
          <w:rFonts w:cstheme="minorHAnsi"/>
          <w:sz w:val="18"/>
          <w:szCs w:val="18"/>
        </w:rPr>
        <w:footnoteRef/>
      </w:r>
      <w:r w:rsidRPr="00176CBA">
        <w:rPr>
          <w:rFonts w:cstheme="minorHAnsi"/>
          <w:sz w:val="18"/>
          <w:szCs w:val="18"/>
        </w:rPr>
        <w:t xml:space="preserve"> </w:t>
      </w:r>
      <w:r w:rsidRPr="00176CBA">
        <w:rPr>
          <w:rFonts w:cstheme="minorHAnsi"/>
          <w:i/>
          <w:sz w:val="18"/>
          <w:szCs w:val="18"/>
        </w:rPr>
        <w:t>Griggs v. Duke Power Co.</w:t>
      </w:r>
      <w:r w:rsidRPr="00176CBA">
        <w:rPr>
          <w:rFonts w:cstheme="minorHAnsi"/>
          <w:sz w:val="18"/>
          <w:szCs w:val="18"/>
        </w:rPr>
        <w:t>, 401 U.S. 424, 431 (1971) (applying an “effects test” under Title VII of the Civil Rights Act of 1964, prohibiting discrimination in employment on grounds of race or sex).</w:t>
      </w:r>
      <w:r w:rsidR="00064006" w:rsidRPr="00176CBA">
        <w:rPr>
          <w:rFonts w:cstheme="minorHAnsi"/>
          <w:sz w:val="18"/>
          <w:szCs w:val="18"/>
        </w:rPr>
        <w:t xml:space="preserve"> </w:t>
      </w:r>
      <w:r w:rsidR="00064006" w:rsidRPr="00176CBA">
        <w:rPr>
          <w:rFonts w:cstheme="minorHAnsi"/>
          <w:i/>
          <w:sz w:val="18"/>
          <w:szCs w:val="18"/>
        </w:rPr>
        <w:t>See</w:t>
      </w:r>
      <w:r w:rsidR="00064006" w:rsidRPr="00176CBA">
        <w:rPr>
          <w:rFonts w:cstheme="minorHAnsi"/>
          <w:sz w:val="18"/>
          <w:szCs w:val="18"/>
        </w:rPr>
        <w:t xml:space="preserve"> </w:t>
      </w:r>
      <w:r w:rsidR="00064006" w:rsidRPr="00176CBA">
        <w:rPr>
          <w:rFonts w:cstheme="minorHAnsi"/>
          <w:i/>
          <w:sz w:val="18"/>
          <w:szCs w:val="18"/>
        </w:rPr>
        <w:t>also</w:t>
      </w:r>
      <w:r w:rsidR="00064006" w:rsidRPr="00176CBA">
        <w:rPr>
          <w:rFonts w:cstheme="minorHAnsi"/>
          <w:sz w:val="18"/>
          <w:szCs w:val="18"/>
        </w:rPr>
        <w:t xml:space="preserve"> 42 U.S.C. </w:t>
      </w:r>
      <w:r w:rsidR="0042526F" w:rsidRPr="00176CBA">
        <w:rPr>
          <w:rFonts w:cstheme="minorHAnsi"/>
          <w:sz w:val="18"/>
          <w:szCs w:val="18"/>
        </w:rPr>
        <w:t xml:space="preserve">§ </w:t>
      </w:r>
      <w:r w:rsidR="00064006" w:rsidRPr="00176CBA">
        <w:rPr>
          <w:rFonts w:cstheme="minorHAnsi"/>
          <w:sz w:val="18"/>
          <w:szCs w:val="18"/>
        </w:rPr>
        <w:t>12112 (b) (3) (A) &amp;  (6)</w:t>
      </w:r>
      <w:r w:rsidR="0042526F" w:rsidRPr="00176CBA">
        <w:rPr>
          <w:rFonts w:cstheme="minorHAnsi"/>
          <w:sz w:val="18"/>
          <w:szCs w:val="18"/>
        </w:rPr>
        <w:t xml:space="preserve"> (</w:t>
      </w:r>
      <w:r w:rsidR="00C12A04" w:rsidRPr="00176CBA">
        <w:rPr>
          <w:rFonts w:cstheme="minorHAnsi"/>
          <w:sz w:val="18"/>
          <w:szCs w:val="18"/>
        </w:rPr>
        <w:t xml:space="preserve">providing </w:t>
      </w:r>
      <w:r w:rsidR="0042526F" w:rsidRPr="00176CBA">
        <w:rPr>
          <w:rFonts w:cstheme="minorHAnsi"/>
          <w:sz w:val="18"/>
          <w:szCs w:val="18"/>
        </w:rPr>
        <w:t xml:space="preserve">an </w:t>
      </w:r>
      <w:r w:rsidR="00C12A04" w:rsidRPr="00176CBA">
        <w:rPr>
          <w:rFonts w:cstheme="minorHAnsi"/>
          <w:sz w:val="18"/>
          <w:szCs w:val="18"/>
        </w:rPr>
        <w:t>“</w:t>
      </w:r>
      <w:r w:rsidR="0042526F" w:rsidRPr="00176CBA">
        <w:rPr>
          <w:rFonts w:cstheme="minorHAnsi"/>
          <w:sz w:val="18"/>
          <w:szCs w:val="18"/>
        </w:rPr>
        <w:t>effects test</w:t>
      </w:r>
      <w:r w:rsidR="00C12A04" w:rsidRPr="00176CBA">
        <w:rPr>
          <w:rFonts w:cstheme="minorHAnsi"/>
          <w:sz w:val="18"/>
          <w:szCs w:val="18"/>
        </w:rPr>
        <w:t>”</w:t>
      </w:r>
      <w:r w:rsidR="0042526F" w:rsidRPr="00176CBA">
        <w:rPr>
          <w:rFonts w:cstheme="minorHAnsi"/>
          <w:sz w:val="18"/>
          <w:szCs w:val="18"/>
        </w:rPr>
        <w:t xml:space="preserve"> under Title I of the Americans with Disabilities Act</w:t>
      </w:r>
      <w:r w:rsidR="00C12A04" w:rsidRPr="00176CBA">
        <w:rPr>
          <w:rFonts w:cstheme="minorHAnsi"/>
          <w:sz w:val="18"/>
          <w:szCs w:val="18"/>
        </w:rPr>
        <w:t>,</w:t>
      </w:r>
      <w:r w:rsidR="0042526F" w:rsidRPr="00176CBA">
        <w:rPr>
          <w:rFonts w:cstheme="minorHAnsi"/>
          <w:sz w:val="18"/>
          <w:szCs w:val="18"/>
        </w:rPr>
        <w:t xml:space="preserve"> prohibiting discrimination in employment on grounds of disability).</w:t>
      </w:r>
    </w:p>
  </w:footnote>
  <w:footnote w:id="25">
    <w:p w:rsidR="008E5465" w:rsidRPr="00176CBA" w:rsidRDefault="008E5465" w:rsidP="00176CBA">
      <w:pPr>
        <w:pStyle w:val="FootnoteText"/>
        <w:rPr>
          <w:rFonts w:cstheme="minorHAnsi"/>
          <w:sz w:val="18"/>
          <w:szCs w:val="18"/>
        </w:rPr>
      </w:pPr>
      <w:r w:rsidRPr="00176CBA">
        <w:rPr>
          <w:rStyle w:val="FootnoteReference"/>
          <w:rFonts w:cstheme="minorHAnsi"/>
          <w:sz w:val="18"/>
          <w:szCs w:val="18"/>
        </w:rPr>
        <w:footnoteRef/>
      </w:r>
      <w:r w:rsidRPr="00176CBA">
        <w:rPr>
          <w:rFonts w:cstheme="minorHAnsi"/>
          <w:sz w:val="18"/>
          <w:szCs w:val="18"/>
        </w:rPr>
        <w:t xml:space="preserve"> Any claim that such discrimination </w:t>
      </w:r>
      <w:r w:rsidR="00D82CC4" w:rsidRPr="00176CBA">
        <w:rPr>
          <w:rFonts w:cstheme="minorHAnsi"/>
          <w:sz w:val="18"/>
          <w:szCs w:val="18"/>
        </w:rPr>
        <w:t xml:space="preserve">was </w:t>
      </w:r>
      <w:r w:rsidRPr="00176CBA">
        <w:rPr>
          <w:rFonts w:cstheme="minorHAnsi"/>
          <w:sz w:val="18"/>
          <w:szCs w:val="18"/>
        </w:rPr>
        <w:t xml:space="preserve">justified to preserve </w:t>
      </w:r>
      <w:r w:rsidR="00201F5F" w:rsidRPr="00176CBA">
        <w:rPr>
          <w:rFonts w:cstheme="minorHAnsi"/>
          <w:sz w:val="18"/>
          <w:szCs w:val="18"/>
        </w:rPr>
        <w:t xml:space="preserve">disabled </w:t>
      </w:r>
      <w:r w:rsidRPr="00176CBA">
        <w:rPr>
          <w:rFonts w:cstheme="minorHAnsi"/>
          <w:sz w:val="18"/>
          <w:szCs w:val="18"/>
        </w:rPr>
        <w:t>patients’ autonomy would need first to demonstrate that the Act’s procedures were sufficient to protect true choice.</w:t>
      </w:r>
    </w:p>
  </w:footnote>
  <w:footnote w:id="26">
    <w:p w:rsidR="006D2C8D" w:rsidRPr="00176CBA" w:rsidRDefault="006D2C8D" w:rsidP="00176CBA">
      <w:pPr>
        <w:pStyle w:val="FootnoteText"/>
        <w:rPr>
          <w:rFonts w:cstheme="minorHAnsi"/>
          <w:sz w:val="18"/>
          <w:szCs w:val="18"/>
        </w:rPr>
      </w:pPr>
      <w:r w:rsidRPr="00176CBA">
        <w:rPr>
          <w:rStyle w:val="FootnoteReference"/>
          <w:rFonts w:cstheme="minorHAnsi"/>
          <w:sz w:val="18"/>
          <w:szCs w:val="18"/>
        </w:rPr>
        <w:footnoteRef/>
      </w:r>
      <w:r w:rsidRPr="00176CBA">
        <w:rPr>
          <w:rFonts w:cstheme="minorHAnsi"/>
          <w:sz w:val="18"/>
          <w:szCs w:val="18"/>
        </w:rPr>
        <w:t xml:space="preserve"> See Committee on the Rights of Persons with Disabilities, Li</w:t>
      </w:r>
      <w:r w:rsidR="00FF1669" w:rsidRPr="00176CBA">
        <w:rPr>
          <w:rFonts w:cstheme="minorHAnsi"/>
          <w:sz w:val="18"/>
          <w:szCs w:val="18"/>
        </w:rPr>
        <w:t>s</w:t>
      </w:r>
      <w:r w:rsidRPr="00176CBA">
        <w:rPr>
          <w:rFonts w:cstheme="minorHAnsi"/>
          <w:sz w:val="18"/>
          <w:szCs w:val="18"/>
        </w:rPr>
        <w:t xml:space="preserve">t of Issues in relation to the Initial Report of Luxembourg (Apr. 10, 2017), available at </w:t>
      </w:r>
      <w:r w:rsidR="00B240C8" w:rsidRPr="00176CBA">
        <w:rPr>
          <w:rFonts w:cstheme="minorHAnsi"/>
          <w:sz w:val="18"/>
          <w:szCs w:val="18"/>
        </w:rPr>
        <w:t>http://tbinternet.ohchr.org/_layouts/treatybodyexternal/TBSearch.aspx?Lang=en&amp;TreatyID=4&amp;DocTypeID=18 (last visited June 14, 2017).</w:t>
      </w:r>
    </w:p>
  </w:footnote>
  <w:footnote w:id="27">
    <w:p w:rsidR="00236A62" w:rsidRPr="00176CBA" w:rsidRDefault="00236A62" w:rsidP="00176CBA">
      <w:pPr>
        <w:pStyle w:val="FootnoteText"/>
        <w:rPr>
          <w:rFonts w:cstheme="minorHAnsi"/>
          <w:sz w:val="18"/>
          <w:szCs w:val="18"/>
        </w:rPr>
      </w:pPr>
      <w:r w:rsidRPr="00176CBA">
        <w:rPr>
          <w:rStyle w:val="FootnoteReference"/>
          <w:rFonts w:cstheme="minorHAnsi"/>
          <w:sz w:val="18"/>
          <w:szCs w:val="18"/>
        </w:rPr>
        <w:footnoteRef/>
      </w:r>
      <w:r w:rsidRPr="00176CBA">
        <w:rPr>
          <w:rFonts w:cstheme="minorHAnsi"/>
          <w:sz w:val="18"/>
          <w:szCs w:val="18"/>
        </w:rPr>
        <w:t xml:space="preserve"> Committee on the Rights of Persons with Disabilities, List of Issues in Relation to the Initial Report of Canada, #16 (Sept. 22, 2016), Available at http://docstore.ohchr.org/SelfServices/FilesHandler.ashx?enc=6QkG1d%2fPPRiCAqhKb7yhshFUYvCoX405cFaiGbrIbL8lFYC2ZuxbHMUqA9bI0hv8%2fZvSQdfJ%2fKKPz6TFFVUKqvgjiEEgvNP9NVOQxvaygPwKzLXKkOvQWC423HWcCJDC</w:t>
      </w:r>
      <w:r w:rsidRPr="00176CBA">
        <w:rPr>
          <w:rStyle w:val="Hyperlink"/>
          <w:rFonts w:cstheme="minorHAnsi"/>
          <w:color w:val="auto"/>
          <w:sz w:val="18"/>
          <w:szCs w:val="18"/>
          <w:u w:val="none"/>
        </w:rPr>
        <w:t xml:space="preserve"> (last visited Apr. 12, 2017)</w:t>
      </w:r>
      <w:r w:rsidRPr="00176CBA">
        <w:rPr>
          <w:rFonts w:cstheme="minorHAnsi"/>
          <w:sz w:val="18"/>
          <w:szCs w:val="18"/>
        </w:rPr>
        <w:t xml:space="preserve">. </w:t>
      </w:r>
      <w:r w:rsidR="00ED7BFA" w:rsidRPr="00176CBA">
        <w:rPr>
          <w:rFonts w:cstheme="minorHAnsi"/>
          <w:sz w:val="18"/>
          <w:szCs w:val="18"/>
        </w:rPr>
        <w:t>Article</w:t>
      </w:r>
      <w:r w:rsidR="00E97337" w:rsidRPr="00176CBA">
        <w:rPr>
          <w:rFonts w:cstheme="minorHAnsi"/>
          <w:sz w:val="18"/>
          <w:szCs w:val="18"/>
        </w:rPr>
        <w:t xml:space="preserve"> 10 provides in full: “</w:t>
      </w:r>
      <w:r w:rsidR="00E97337" w:rsidRPr="00176CBA">
        <w:rPr>
          <w:rFonts w:cstheme="minorHAnsi"/>
          <w:sz w:val="18"/>
          <w:szCs w:val="18"/>
          <w:highlight w:val="white"/>
        </w:rPr>
        <w:t xml:space="preserve">States Parties reaffirm that every human being has the inherent right to life and shall take all necessary measures to ensure its effective enjoyment by persons with disabilities on an equal basis with </w:t>
      </w:r>
      <w:r w:rsidR="00ED7BFA" w:rsidRPr="00176CBA">
        <w:rPr>
          <w:rFonts w:cstheme="minorHAnsi"/>
          <w:sz w:val="18"/>
          <w:szCs w:val="18"/>
          <w:highlight w:val="white"/>
        </w:rPr>
        <w:t>others</w:t>
      </w:r>
      <w:r w:rsidR="00ED7BFA" w:rsidRPr="00176CBA">
        <w:rPr>
          <w:rFonts w:cstheme="minorHAnsi"/>
          <w:sz w:val="18"/>
          <w:szCs w:val="18"/>
        </w:rPr>
        <w:t>.</w:t>
      </w:r>
      <w:r w:rsidR="00E97337" w:rsidRPr="00176CBA">
        <w:rPr>
          <w:rFonts w:cstheme="minorHAnsi"/>
          <w:sz w:val="18"/>
          <w:szCs w:val="18"/>
        </w:rPr>
        <w:t>” A/RES/61/106, Art. 10, “Right to Life,” available at https://www.un.org/development/desa/disabilities/convention-on-the-rights-of-persons-with-disabilities/article-10-right-to-life.html (last visited Apr. 11, 2017).</w:t>
      </w:r>
    </w:p>
  </w:footnote>
  <w:footnote w:id="28">
    <w:p w:rsidR="00B3550E" w:rsidRPr="00B3550E" w:rsidRDefault="00B3550E" w:rsidP="00176CBA">
      <w:pPr>
        <w:pStyle w:val="FootnoteText"/>
      </w:pPr>
      <w:r w:rsidRPr="00176CBA">
        <w:rPr>
          <w:rStyle w:val="FootnoteReference"/>
          <w:rFonts w:cstheme="minorHAnsi"/>
          <w:sz w:val="18"/>
          <w:szCs w:val="18"/>
        </w:rPr>
        <w:footnoteRef/>
      </w:r>
      <w:r w:rsidRPr="00176CBA">
        <w:rPr>
          <w:rFonts w:cstheme="minorHAnsi"/>
          <w:sz w:val="18"/>
          <w:szCs w:val="18"/>
        </w:rPr>
        <w:t xml:space="preserve"> See Committee on the Rights of Persons with Disabilities, Working Methods, #19 (Sept. 2, 2011), available at </w:t>
      </w:r>
      <w:r w:rsidR="00E66A51" w:rsidRPr="00176CBA">
        <w:rPr>
          <w:rFonts w:cstheme="minorHAnsi"/>
          <w:sz w:val="18"/>
          <w:szCs w:val="18"/>
        </w:rPr>
        <w:t>http://tbinternet.ohchr.org/_layouts/treatybodyexternal/Download.aspx?symbolno=CRPD/C/5/4&amp;Lang=en (last visited</w:t>
      </w:r>
      <w:r w:rsidR="00FA3E5D" w:rsidRPr="00176CBA">
        <w:rPr>
          <w:rFonts w:cstheme="minorHAnsi"/>
          <w:sz w:val="18"/>
          <w:szCs w:val="18"/>
        </w:rPr>
        <w:t xml:space="preserve"> Apr. </w:t>
      </w:r>
      <w:r w:rsidR="00E954CA" w:rsidRPr="00176CBA">
        <w:rPr>
          <w:rFonts w:cstheme="minorHAnsi"/>
          <w:sz w:val="18"/>
          <w:szCs w:val="18"/>
        </w:rPr>
        <w:t>11</w:t>
      </w:r>
      <w:r w:rsidR="00E66A51" w:rsidRPr="00176CBA">
        <w:rPr>
          <w:rFonts w:cstheme="minorHAnsi"/>
          <w:sz w:val="18"/>
          <w:szCs w:val="18"/>
        </w:rPr>
        <w:t>,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CE4" w:rsidRDefault="00A20C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CE4" w:rsidRDefault="00A20C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CE4" w:rsidRDefault="00A20C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20B"/>
    <w:rsid w:val="00002123"/>
    <w:rsid w:val="0001478B"/>
    <w:rsid w:val="00017CC1"/>
    <w:rsid w:val="00040301"/>
    <w:rsid w:val="00044125"/>
    <w:rsid w:val="00062375"/>
    <w:rsid w:val="00064006"/>
    <w:rsid w:val="0008511D"/>
    <w:rsid w:val="000D2226"/>
    <w:rsid w:val="000D3032"/>
    <w:rsid w:val="000D5BDD"/>
    <w:rsid w:val="000F0B64"/>
    <w:rsid w:val="000F3268"/>
    <w:rsid w:val="00101DBA"/>
    <w:rsid w:val="00103995"/>
    <w:rsid w:val="0011408F"/>
    <w:rsid w:val="0013116C"/>
    <w:rsid w:val="00150FF9"/>
    <w:rsid w:val="001647AD"/>
    <w:rsid w:val="00165367"/>
    <w:rsid w:val="00167FBC"/>
    <w:rsid w:val="00176CBA"/>
    <w:rsid w:val="001A15BF"/>
    <w:rsid w:val="001A3089"/>
    <w:rsid w:val="001B2C91"/>
    <w:rsid w:val="001E019D"/>
    <w:rsid w:val="001F257D"/>
    <w:rsid w:val="001F5D62"/>
    <w:rsid w:val="001F5E34"/>
    <w:rsid w:val="00201F5F"/>
    <w:rsid w:val="00207103"/>
    <w:rsid w:val="00225C5F"/>
    <w:rsid w:val="00236A62"/>
    <w:rsid w:val="002515B0"/>
    <w:rsid w:val="00297EA5"/>
    <w:rsid w:val="002A0F16"/>
    <w:rsid w:val="002A563E"/>
    <w:rsid w:val="002B1244"/>
    <w:rsid w:val="002B478C"/>
    <w:rsid w:val="002C362F"/>
    <w:rsid w:val="002D7385"/>
    <w:rsid w:val="00300159"/>
    <w:rsid w:val="003046BC"/>
    <w:rsid w:val="003075B9"/>
    <w:rsid w:val="00314DFF"/>
    <w:rsid w:val="003276EB"/>
    <w:rsid w:val="0033169E"/>
    <w:rsid w:val="00350FFC"/>
    <w:rsid w:val="0038099D"/>
    <w:rsid w:val="00387769"/>
    <w:rsid w:val="003A068B"/>
    <w:rsid w:val="003C30B5"/>
    <w:rsid w:val="003D5829"/>
    <w:rsid w:val="003D6430"/>
    <w:rsid w:val="003F2811"/>
    <w:rsid w:val="00412109"/>
    <w:rsid w:val="00413469"/>
    <w:rsid w:val="004150BA"/>
    <w:rsid w:val="00421120"/>
    <w:rsid w:val="0042320D"/>
    <w:rsid w:val="0042423D"/>
    <w:rsid w:val="0042526F"/>
    <w:rsid w:val="004279E9"/>
    <w:rsid w:val="00465D7E"/>
    <w:rsid w:val="00472CE0"/>
    <w:rsid w:val="0048738C"/>
    <w:rsid w:val="0049209E"/>
    <w:rsid w:val="004A42F2"/>
    <w:rsid w:val="004B7E0F"/>
    <w:rsid w:val="004D1B46"/>
    <w:rsid w:val="004E5981"/>
    <w:rsid w:val="004E7F58"/>
    <w:rsid w:val="004F2EDD"/>
    <w:rsid w:val="004F5D1D"/>
    <w:rsid w:val="0051347A"/>
    <w:rsid w:val="00521BDC"/>
    <w:rsid w:val="00524828"/>
    <w:rsid w:val="00527D29"/>
    <w:rsid w:val="00543AE4"/>
    <w:rsid w:val="005508DB"/>
    <w:rsid w:val="005571C5"/>
    <w:rsid w:val="005614C7"/>
    <w:rsid w:val="00561978"/>
    <w:rsid w:val="00564975"/>
    <w:rsid w:val="00572613"/>
    <w:rsid w:val="00581605"/>
    <w:rsid w:val="00591AAA"/>
    <w:rsid w:val="005973E2"/>
    <w:rsid w:val="005A11B8"/>
    <w:rsid w:val="005C206A"/>
    <w:rsid w:val="005C5173"/>
    <w:rsid w:val="005E50F0"/>
    <w:rsid w:val="005E700E"/>
    <w:rsid w:val="005F6FEB"/>
    <w:rsid w:val="00600FDB"/>
    <w:rsid w:val="00602EA8"/>
    <w:rsid w:val="0060369F"/>
    <w:rsid w:val="00614EF5"/>
    <w:rsid w:val="0064571F"/>
    <w:rsid w:val="00656703"/>
    <w:rsid w:val="006603B3"/>
    <w:rsid w:val="00673E89"/>
    <w:rsid w:val="0068384F"/>
    <w:rsid w:val="006B3677"/>
    <w:rsid w:val="006D2C8D"/>
    <w:rsid w:val="006D4E11"/>
    <w:rsid w:val="006F0FE1"/>
    <w:rsid w:val="00704F5D"/>
    <w:rsid w:val="007214A2"/>
    <w:rsid w:val="0072500B"/>
    <w:rsid w:val="00731B30"/>
    <w:rsid w:val="00737740"/>
    <w:rsid w:val="007377B2"/>
    <w:rsid w:val="00755107"/>
    <w:rsid w:val="00774328"/>
    <w:rsid w:val="00777829"/>
    <w:rsid w:val="00781FC6"/>
    <w:rsid w:val="00795CD3"/>
    <w:rsid w:val="007A01A4"/>
    <w:rsid w:val="007C2918"/>
    <w:rsid w:val="007D3308"/>
    <w:rsid w:val="007E30F9"/>
    <w:rsid w:val="007E500C"/>
    <w:rsid w:val="007F4C37"/>
    <w:rsid w:val="00811623"/>
    <w:rsid w:val="008351B8"/>
    <w:rsid w:val="00847927"/>
    <w:rsid w:val="00854E4F"/>
    <w:rsid w:val="00864AE3"/>
    <w:rsid w:val="008B6722"/>
    <w:rsid w:val="008C2ABB"/>
    <w:rsid w:val="008C33B8"/>
    <w:rsid w:val="008D07E4"/>
    <w:rsid w:val="008E1019"/>
    <w:rsid w:val="008E2C7A"/>
    <w:rsid w:val="008E5465"/>
    <w:rsid w:val="008E7B5B"/>
    <w:rsid w:val="008F0995"/>
    <w:rsid w:val="00901FEB"/>
    <w:rsid w:val="009037D5"/>
    <w:rsid w:val="00914825"/>
    <w:rsid w:val="00972CE8"/>
    <w:rsid w:val="00973657"/>
    <w:rsid w:val="00990C78"/>
    <w:rsid w:val="009E077E"/>
    <w:rsid w:val="00A048A8"/>
    <w:rsid w:val="00A1464C"/>
    <w:rsid w:val="00A20CE4"/>
    <w:rsid w:val="00A336A3"/>
    <w:rsid w:val="00A35C70"/>
    <w:rsid w:val="00A96D23"/>
    <w:rsid w:val="00AA2B91"/>
    <w:rsid w:val="00AB56C4"/>
    <w:rsid w:val="00AB720B"/>
    <w:rsid w:val="00AE638C"/>
    <w:rsid w:val="00AF4EA9"/>
    <w:rsid w:val="00B15824"/>
    <w:rsid w:val="00B240C8"/>
    <w:rsid w:val="00B278B4"/>
    <w:rsid w:val="00B3503C"/>
    <w:rsid w:val="00B3542A"/>
    <w:rsid w:val="00B3550E"/>
    <w:rsid w:val="00B501BC"/>
    <w:rsid w:val="00B50CCE"/>
    <w:rsid w:val="00B52356"/>
    <w:rsid w:val="00B622A3"/>
    <w:rsid w:val="00B66BB0"/>
    <w:rsid w:val="00B66F36"/>
    <w:rsid w:val="00B70F1E"/>
    <w:rsid w:val="00BB6733"/>
    <w:rsid w:val="00BC0C6D"/>
    <w:rsid w:val="00BE4F30"/>
    <w:rsid w:val="00BE68ED"/>
    <w:rsid w:val="00C01A8A"/>
    <w:rsid w:val="00C12A04"/>
    <w:rsid w:val="00C15B43"/>
    <w:rsid w:val="00C2706C"/>
    <w:rsid w:val="00C53FF2"/>
    <w:rsid w:val="00C61E3F"/>
    <w:rsid w:val="00C63C9E"/>
    <w:rsid w:val="00C65C1D"/>
    <w:rsid w:val="00C672BD"/>
    <w:rsid w:val="00C7101B"/>
    <w:rsid w:val="00C72A5A"/>
    <w:rsid w:val="00C77554"/>
    <w:rsid w:val="00C809DC"/>
    <w:rsid w:val="00C834A1"/>
    <w:rsid w:val="00CA2ABC"/>
    <w:rsid w:val="00CA6B24"/>
    <w:rsid w:val="00CB2F76"/>
    <w:rsid w:val="00CB5E4A"/>
    <w:rsid w:val="00CB6F83"/>
    <w:rsid w:val="00CC3D5F"/>
    <w:rsid w:val="00CE6311"/>
    <w:rsid w:val="00D05C30"/>
    <w:rsid w:val="00D15E23"/>
    <w:rsid w:val="00D226B4"/>
    <w:rsid w:val="00D349B2"/>
    <w:rsid w:val="00D36BB9"/>
    <w:rsid w:val="00D82CC4"/>
    <w:rsid w:val="00D903DC"/>
    <w:rsid w:val="00DB1784"/>
    <w:rsid w:val="00DB1F67"/>
    <w:rsid w:val="00DB2CE2"/>
    <w:rsid w:val="00DC157E"/>
    <w:rsid w:val="00DF37F8"/>
    <w:rsid w:val="00E20415"/>
    <w:rsid w:val="00E4237C"/>
    <w:rsid w:val="00E50636"/>
    <w:rsid w:val="00E54535"/>
    <w:rsid w:val="00E61002"/>
    <w:rsid w:val="00E66A51"/>
    <w:rsid w:val="00E86941"/>
    <w:rsid w:val="00E92847"/>
    <w:rsid w:val="00E954CA"/>
    <w:rsid w:val="00E97337"/>
    <w:rsid w:val="00EB314D"/>
    <w:rsid w:val="00EC1D7B"/>
    <w:rsid w:val="00ED7BFA"/>
    <w:rsid w:val="00EE28BC"/>
    <w:rsid w:val="00EE6734"/>
    <w:rsid w:val="00F024AC"/>
    <w:rsid w:val="00F03327"/>
    <w:rsid w:val="00F0549A"/>
    <w:rsid w:val="00F07E07"/>
    <w:rsid w:val="00F11059"/>
    <w:rsid w:val="00F36950"/>
    <w:rsid w:val="00F94C8F"/>
    <w:rsid w:val="00FA3E5D"/>
    <w:rsid w:val="00FA606A"/>
    <w:rsid w:val="00FB3D1A"/>
    <w:rsid w:val="00FB753C"/>
    <w:rsid w:val="00FC55C5"/>
    <w:rsid w:val="00FF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20B"/>
  </w:style>
  <w:style w:type="paragraph" w:styleId="Footer">
    <w:name w:val="footer"/>
    <w:basedOn w:val="Normal"/>
    <w:link w:val="FooterChar"/>
    <w:uiPriority w:val="99"/>
    <w:unhideWhenUsed/>
    <w:rsid w:val="00AB7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20B"/>
  </w:style>
  <w:style w:type="character" w:styleId="Hyperlink">
    <w:name w:val="Hyperlink"/>
    <w:basedOn w:val="DefaultParagraphFont"/>
    <w:uiPriority w:val="99"/>
    <w:unhideWhenUsed/>
    <w:rsid w:val="006603B3"/>
    <w:rPr>
      <w:color w:val="406AB0"/>
      <w:u w:val="single"/>
    </w:rPr>
  </w:style>
  <w:style w:type="paragraph" w:styleId="FootnoteText">
    <w:name w:val="footnote text"/>
    <w:basedOn w:val="Normal"/>
    <w:link w:val="FootnoteTextChar"/>
    <w:uiPriority w:val="99"/>
    <w:unhideWhenUsed/>
    <w:rsid w:val="00AA2B91"/>
    <w:pPr>
      <w:spacing w:after="0" w:line="240" w:lineRule="auto"/>
    </w:pPr>
    <w:rPr>
      <w:sz w:val="20"/>
      <w:szCs w:val="20"/>
    </w:rPr>
  </w:style>
  <w:style w:type="character" w:customStyle="1" w:styleId="FootnoteTextChar">
    <w:name w:val="Footnote Text Char"/>
    <w:basedOn w:val="DefaultParagraphFont"/>
    <w:link w:val="FootnoteText"/>
    <w:uiPriority w:val="99"/>
    <w:rsid w:val="00AA2B91"/>
    <w:rPr>
      <w:sz w:val="20"/>
      <w:szCs w:val="20"/>
    </w:rPr>
  </w:style>
  <w:style w:type="character" w:styleId="FootnoteReference">
    <w:name w:val="footnote reference"/>
    <w:aliases w:val="Footnotes refss,Footnote number,Footnote,4_G"/>
    <w:basedOn w:val="DefaultParagraphFont"/>
    <w:uiPriority w:val="99"/>
    <w:semiHidden/>
    <w:unhideWhenUsed/>
    <w:rsid w:val="00AA2B91"/>
    <w:rPr>
      <w:vertAlign w:val="superscript"/>
    </w:rPr>
  </w:style>
  <w:style w:type="paragraph" w:styleId="NormalWeb">
    <w:name w:val="Normal (Web)"/>
    <w:basedOn w:val="Normal"/>
    <w:uiPriority w:val="99"/>
    <w:unhideWhenUsed/>
    <w:rsid w:val="00A048A8"/>
    <w:pPr>
      <w:spacing w:before="168" w:after="168"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73657"/>
    <w:rPr>
      <w:i/>
      <w:iCs/>
    </w:rPr>
  </w:style>
  <w:style w:type="paragraph" w:styleId="BalloonText">
    <w:name w:val="Balloon Text"/>
    <w:basedOn w:val="Normal"/>
    <w:link w:val="BalloonTextChar"/>
    <w:uiPriority w:val="99"/>
    <w:semiHidden/>
    <w:unhideWhenUsed/>
    <w:rsid w:val="00415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0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20B"/>
  </w:style>
  <w:style w:type="paragraph" w:styleId="Footer">
    <w:name w:val="footer"/>
    <w:basedOn w:val="Normal"/>
    <w:link w:val="FooterChar"/>
    <w:uiPriority w:val="99"/>
    <w:unhideWhenUsed/>
    <w:rsid w:val="00AB7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20B"/>
  </w:style>
  <w:style w:type="character" w:styleId="Hyperlink">
    <w:name w:val="Hyperlink"/>
    <w:basedOn w:val="DefaultParagraphFont"/>
    <w:uiPriority w:val="99"/>
    <w:unhideWhenUsed/>
    <w:rsid w:val="006603B3"/>
    <w:rPr>
      <w:color w:val="406AB0"/>
      <w:u w:val="single"/>
    </w:rPr>
  </w:style>
  <w:style w:type="paragraph" w:styleId="FootnoteText">
    <w:name w:val="footnote text"/>
    <w:basedOn w:val="Normal"/>
    <w:link w:val="FootnoteTextChar"/>
    <w:uiPriority w:val="99"/>
    <w:unhideWhenUsed/>
    <w:rsid w:val="00AA2B91"/>
    <w:pPr>
      <w:spacing w:after="0" w:line="240" w:lineRule="auto"/>
    </w:pPr>
    <w:rPr>
      <w:sz w:val="20"/>
      <w:szCs w:val="20"/>
    </w:rPr>
  </w:style>
  <w:style w:type="character" w:customStyle="1" w:styleId="FootnoteTextChar">
    <w:name w:val="Footnote Text Char"/>
    <w:basedOn w:val="DefaultParagraphFont"/>
    <w:link w:val="FootnoteText"/>
    <w:uiPriority w:val="99"/>
    <w:rsid w:val="00AA2B91"/>
    <w:rPr>
      <w:sz w:val="20"/>
      <w:szCs w:val="20"/>
    </w:rPr>
  </w:style>
  <w:style w:type="character" w:styleId="FootnoteReference">
    <w:name w:val="footnote reference"/>
    <w:aliases w:val="Footnotes refss,Footnote number,Footnote,4_G"/>
    <w:basedOn w:val="DefaultParagraphFont"/>
    <w:uiPriority w:val="99"/>
    <w:semiHidden/>
    <w:unhideWhenUsed/>
    <w:rsid w:val="00AA2B91"/>
    <w:rPr>
      <w:vertAlign w:val="superscript"/>
    </w:rPr>
  </w:style>
  <w:style w:type="paragraph" w:styleId="NormalWeb">
    <w:name w:val="Normal (Web)"/>
    <w:basedOn w:val="Normal"/>
    <w:uiPriority w:val="99"/>
    <w:unhideWhenUsed/>
    <w:rsid w:val="00A048A8"/>
    <w:pPr>
      <w:spacing w:before="168" w:after="168"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73657"/>
    <w:rPr>
      <w:i/>
      <w:iCs/>
    </w:rPr>
  </w:style>
  <w:style w:type="paragraph" w:styleId="BalloonText">
    <w:name w:val="Balloon Text"/>
    <w:basedOn w:val="Normal"/>
    <w:link w:val="BalloonTextChar"/>
    <w:uiPriority w:val="99"/>
    <w:semiHidden/>
    <w:unhideWhenUsed/>
    <w:rsid w:val="00415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0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772">
      <w:bodyDiv w:val="1"/>
      <w:marLeft w:val="0"/>
      <w:marRight w:val="0"/>
      <w:marTop w:val="0"/>
      <w:marBottom w:val="0"/>
      <w:divBdr>
        <w:top w:val="none" w:sz="0" w:space="0" w:color="auto"/>
        <w:left w:val="none" w:sz="0" w:space="0" w:color="auto"/>
        <w:bottom w:val="none" w:sz="0" w:space="0" w:color="auto"/>
        <w:right w:val="none" w:sz="0" w:space="0" w:color="auto"/>
      </w:divBdr>
    </w:div>
    <w:div w:id="278681725">
      <w:bodyDiv w:val="1"/>
      <w:marLeft w:val="0"/>
      <w:marRight w:val="0"/>
      <w:marTop w:val="0"/>
      <w:marBottom w:val="0"/>
      <w:divBdr>
        <w:top w:val="none" w:sz="0" w:space="0" w:color="auto"/>
        <w:left w:val="none" w:sz="0" w:space="0" w:color="auto"/>
        <w:bottom w:val="none" w:sz="0" w:space="0" w:color="auto"/>
        <w:right w:val="none" w:sz="0" w:space="0" w:color="auto"/>
      </w:divBdr>
    </w:div>
    <w:div w:id="619921617">
      <w:bodyDiv w:val="1"/>
      <w:marLeft w:val="0"/>
      <w:marRight w:val="0"/>
      <w:marTop w:val="0"/>
      <w:marBottom w:val="0"/>
      <w:divBdr>
        <w:top w:val="none" w:sz="0" w:space="0" w:color="auto"/>
        <w:left w:val="none" w:sz="0" w:space="0" w:color="auto"/>
        <w:bottom w:val="none" w:sz="0" w:space="0" w:color="auto"/>
        <w:right w:val="none" w:sz="0" w:space="0" w:color="auto"/>
      </w:divBdr>
    </w:div>
    <w:div w:id="634409925">
      <w:bodyDiv w:val="1"/>
      <w:marLeft w:val="0"/>
      <w:marRight w:val="0"/>
      <w:marTop w:val="0"/>
      <w:marBottom w:val="0"/>
      <w:divBdr>
        <w:top w:val="none" w:sz="0" w:space="0" w:color="auto"/>
        <w:left w:val="none" w:sz="0" w:space="0" w:color="auto"/>
        <w:bottom w:val="none" w:sz="0" w:space="0" w:color="auto"/>
        <w:right w:val="none" w:sz="0" w:space="0" w:color="auto"/>
      </w:divBdr>
      <w:divsChild>
        <w:div w:id="659695606">
          <w:marLeft w:val="0"/>
          <w:marRight w:val="0"/>
          <w:marTop w:val="0"/>
          <w:marBottom w:val="0"/>
          <w:divBdr>
            <w:top w:val="none" w:sz="0" w:space="0" w:color="auto"/>
            <w:left w:val="none" w:sz="0" w:space="0" w:color="auto"/>
            <w:bottom w:val="none" w:sz="0" w:space="0" w:color="auto"/>
            <w:right w:val="none" w:sz="0" w:space="0" w:color="auto"/>
          </w:divBdr>
          <w:divsChild>
            <w:div w:id="1583489528">
              <w:marLeft w:val="0"/>
              <w:marRight w:val="0"/>
              <w:marTop w:val="0"/>
              <w:marBottom w:val="0"/>
              <w:divBdr>
                <w:top w:val="none" w:sz="0" w:space="0" w:color="auto"/>
                <w:left w:val="none" w:sz="0" w:space="0" w:color="auto"/>
                <w:bottom w:val="none" w:sz="0" w:space="0" w:color="auto"/>
                <w:right w:val="none" w:sz="0" w:space="0" w:color="auto"/>
              </w:divBdr>
              <w:divsChild>
                <w:div w:id="903561950">
                  <w:marLeft w:val="0"/>
                  <w:marRight w:val="0"/>
                  <w:marTop w:val="0"/>
                  <w:marBottom w:val="0"/>
                  <w:divBdr>
                    <w:top w:val="none" w:sz="0" w:space="0" w:color="auto"/>
                    <w:left w:val="none" w:sz="0" w:space="0" w:color="auto"/>
                    <w:bottom w:val="none" w:sz="0" w:space="0" w:color="auto"/>
                    <w:right w:val="none" w:sz="0" w:space="0" w:color="auto"/>
                  </w:divBdr>
                  <w:divsChild>
                    <w:div w:id="883100767">
                      <w:marLeft w:val="0"/>
                      <w:marRight w:val="0"/>
                      <w:marTop w:val="0"/>
                      <w:marBottom w:val="0"/>
                      <w:divBdr>
                        <w:top w:val="none" w:sz="0" w:space="0" w:color="auto"/>
                        <w:left w:val="none" w:sz="0" w:space="0" w:color="auto"/>
                        <w:bottom w:val="none" w:sz="0" w:space="0" w:color="auto"/>
                        <w:right w:val="none" w:sz="0" w:space="0" w:color="auto"/>
                      </w:divBdr>
                      <w:divsChild>
                        <w:div w:id="1522627603">
                          <w:marLeft w:val="0"/>
                          <w:marRight w:val="0"/>
                          <w:marTop w:val="0"/>
                          <w:marBottom w:val="0"/>
                          <w:divBdr>
                            <w:top w:val="none" w:sz="0" w:space="0" w:color="auto"/>
                            <w:left w:val="none" w:sz="0" w:space="0" w:color="auto"/>
                            <w:bottom w:val="none" w:sz="0" w:space="0" w:color="auto"/>
                            <w:right w:val="none" w:sz="0" w:space="0" w:color="auto"/>
                          </w:divBdr>
                          <w:divsChild>
                            <w:div w:id="1690912769">
                              <w:marLeft w:val="0"/>
                              <w:marRight w:val="0"/>
                              <w:marTop w:val="0"/>
                              <w:marBottom w:val="0"/>
                              <w:divBdr>
                                <w:top w:val="none" w:sz="0" w:space="0" w:color="auto"/>
                                <w:left w:val="none" w:sz="0" w:space="0" w:color="auto"/>
                                <w:bottom w:val="none" w:sz="0" w:space="0" w:color="auto"/>
                                <w:right w:val="none" w:sz="0" w:space="0" w:color="auto"/>
                              </w:divBdr>
                              <w:divsChild>
                                <w:div w:id="2053799547">
                                  <w:marLeft w:val="0"/>
                                  <w:marRight w:val="0"/>
                                  <w:marTop w:val="0"/>
                                  <w:marBottom w:val="0"/>
                                  <w:divBdr>
                                    <w:top w:val="none" w:sz="0" w:space="0" w:color="auto"/>
                                    <w:left w:val="none" w:sz="0" w:space="0" w:color="auto"/>
                                    <w:bottom w:val="none" w:sz="0" w:space="0" w:color="auto"/>
                                    <w:right w:val="none" w:sz="0" w:space="0" w:color="auto"/>
                                  </w:divBdr>
                                  <w:divsChild>
                                    <w:div w:id="1485660680">
                                      <w:marLeft w:val="0"/>
                                      <w:marRight w:val="0"/>
                                      <w:marTop w:val="0"/>
                                      <w:marBottom w:val="0"/>
                                      <w:divBdr>
                                        <w:top w:val="none" w:sz="0" w:space="0" w:color="auto"/>
                                        <w:left w:val="none" w:sz="0" w:space="0" w:color="auto"/>
                                        <w:bottom w:val="none" w:sz="0" w:space="0" w:color="auto"/>
                                        <w:right w:val="none" w:sz="0" w:space="0" w:color="auto"/>
                                      </w:divBdr>
                                      <w:divsChild>
                                        <w:div w:id="855971587">
                                          <w:marLeft w:val="0"/>
                                          <w:marRight w:val="0"/>
                                          <w:marTop w:val="0"/>
                                          <w:marBottom w:val="0"/>
                                          <w:divBdr>
                                            <w:top w:val="none" w:sz="0" w:space="0" w:color="auto"/>
                                            <w:left w:val="none" w:sz="0" w:space="0" w:color="auto"/>
                                            <w:bottom w:val="none" w:sz="0" w:space="0" w:color="auto"/>
                                            <w:right w:val="none" w:sz="0" w:space="0" w:color="auto"/>
                                          </w:divBdr>
                                          <w:divsChild>
                                            <w:div w:id="787353279">
                                              <w:marLeft w:val="0"/>
                                              <w:marRight w:val="0"/>
                                              <w:marTop w:val="240"/>
                                              <w:marBottom w:val="0"/>
                                              <w:divBdr>
                                                <w:top w:val="none" w:sz="0" w:space="0" w:color="auto"/>
                                                <w:left w:val="none" w:sz="0" w:space="0" w:color="auto"/>
                                                <w:bottom w:val="none" w:sz="0" w:space="0" w:color="auto"/>
                                                <w:right w:val="none" w:sz="0" w:space="0" w:color="auto"/>
                                              </w:divBdr>
                                              <w:divsChild>
                                                <w:div w:id="1839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2870114">
      <w:bodyDiv w:val="1"/>
      <w:marLeft w:val="0"/>
      <w:marRight w:val="0"/>
      <w:marTop w:val="0"/>
      <w:marBottom w:val="0"/>
      <w:divBdr>
        <w:top w:val="none" w:sz="0" w:space="0" w:color="auto"/>
        <w:left w:val="none" w:sz="0" w:space="0" w:color="auto"/>
        <w:bottom w:val="none" w:sz="0" w:space="0" w:color="auto"/>
        <w:right w:val="none" w:sz="0" w:space="0" w:color="auto"/>
      </w:divBdr>
    </w:div>
    <w:div w:id="903418152">
      <w:bodyDiv w:val="1"/>
      <w:marLeft w:val="0"/>
      <w:marRight w:val="0"/>
      <w:marTop w:val="0"/>
      <w:marBottom w:val="0"/>
      <w:divBdr>
        <w:top w:val="none" w:sz="0" w:space="0" w:color="auto"/>
        <w:left w:val="none" w:sz="0" w:space="0" w:color="auto"/>
        <w:bottom w:val="none" w:sz="0" w:space="0" w:color="auto"/>
        <w:right w:val="none" w:sz="0" w:space="0" w:color="auto"/>
      </w:divBdr>
    </w:div>
    <w:div w:id="908729633">
      <w:bodyDiv w:val="1"/>
      <w:marLeft w:val="0"/>
      <w:marRight w:val="0"/>
      <w:marTop w:val="0"/>
      <w:marBottom w:val="0"/>
      <w:divBdr>
        <w:top w:val="none" w:sz="0" w:space="0" w:color="auto"/>
        <w:left w:val="none" w:sz="0" w:space="0" w:color="auto"/>
        <w:bottom w:val="none" w:sz="0" w:space="0" w:color="auto"/>
        <w:right w:val="none" w:sz="0" w:space="0" w:color="auto"/>
      </w:divBdr>
    </w:div>
    <w:div w:id="1167208567">
      <w:bodyDiv w:val="1"/>
      <w:marLeft w:val="0"/>
      <w:marRight w:val="0"/>
      <w:marTop w:val="0"/>
      <w:marBottom w:val="0"/>
      <w:divBdr>
        <w:top w:val="none" w:sz="0" w:space="0" w:color="auto"/>
        <w:left w:val="none" w:sz="0" w:space="0" w:color="auto"/>
        <w:bottom w:val="none" w:sz="0" w:space="0" w:color="auto"/>
        <w:right w:val="none" w:sz="0" w:space="0" w:color="auto"/>
      </w:divBdr>
    </w:div>
    <w:div w:id="1190527448">
      <w:bodyDiv w:val="1"/>
      <w:marLeft w:val="0"/>
      <w:marRight w:val="0"/>
      <w:marTop w:val="0"/>
      <w:marBottom w:val="0"/>
      <w:divBdr>
        <w:top w:val="none" w:sz="0" w:space="0" w:color="auto"/>
        <w:left w:val="none" w:sz="0" w:space="0" w:color="auto"/>
        <w:bottom w:val="none" w:sz="0" w:space="0" w:color="auto"/>
        <w:right w:val="none" w:sz="0" w:space="0" w:color="auto"/>
      </w:divBdr>
    </w:div>
    <w:div w:id="1219440525">
      <w:bodyDiv w:val="1"/>
      <w:marLeft w:val="0"/>
      <w:marRight w:val="0"/>
      <w:marTop w:val="0"/>
      <w:marBottom w:val="0"/>
      <w:divBdr>
        <w:top w:val="none" w:sz="0" w:space="0" w:color="auto"/>
        <w:left w:val="none" w:sz="0" w:space="0" w:color="auto"/>
        <w:bottom w:val="none" w:sz="0" w:space="0" w:color="auto"/>
        <w:right w:val="none" w:sz="0" w:space="0" w:color="auto"/>
      </w:divBdr>
    </w:div>
    <w:div w:id="1278371874">
      <w:bodyDiv w:val="1"/>
      <w:marLeft w:val="0"/>
      <w:marRight w:val="0"/>
      <w:marTop w:val="0"/>
      <w:marBottom w:val="0"/>
      <w:divBdr>
        <w:top w:val="none" w:sz="0" w:space="0" w:color="auto"/>
        <w:left w:val="none" w:sz="0" w:space="0" w:color="auto"/>
        <w:bottom w:val="none" w:sz="0" w:space="0" w:color="auto"/>
        <w:right w:val="none" w:sz="0" w:space="0" w:color="auto"/>
      </w:divBdr>
    </w:div>
    <w:div w:id="1311328024">
      <w:bodyDiv w:val="1"/>
      <w:marLeft w:val="0"/>
      <w:marRight w:val="0"/>
      <w:marTop w:val="0"/>
      <w:marBottom w:val="0"/>
      <w:divBdr>
        <w:top w:val="none" w:sz="0" w:space="0" w:color="auto"/>
        <w:left w:val="none" w:sz="0" w:space="0" w:color="auto"/>
        <w:bottom w:val="none" w:sz="0" w:space="0" w:color="auto"/>
        <w:right w:val="none" w:sz="0" w:space="0" w:color="auto"/>
      </w:divBdr>
    </w:div>
    <w:div w:id="1606303078">
      <w:bodyDiv w:val="1"/>
      <w:marLeft w:val="0"/>
      <w:marRight w:val="0"/>
      <w:marTop w:val="0"/>
      <w:marBottom w:val="0"/>
      <w:divBdr>
        <w:top w:val="none" w:sz="0" w:space="0" w:color="auto"/>
        <w:left w:val="none" w:sz="0" w:space="0" w:color="auto"/>
        <w:bottom w:val="none" w:sz="0" w:space="0" w:color="auto"/>
        <w:right w:val="none" w:sz="0" w:space="0" w:color="auto"/>
      </w:divBdr>
    </w:div>
    <w:div w:id="1662848174">
      <w:bodyDiv w:val="1"/>
      <w:marLeft w:val="0"/>
      <w:marRight w:val="0"/>
      <w:marTop w:val="0"/>
      <w:marBottom w:val="0"/>
      <w:divBdr>
        <w:top w:val="none" w:sz="0" w:space="0" w:color="auto"/>
        <w:left w:val="none" w:sz="0" w:space="0" w:color="auto"/>
        <w:bottom w:val="none" w:sz="0" w:space="0" w:color="auto"/>
        <w:right w:val="none" w:sz="0" w:space="0" w:color="auto"/>
      </w:divBdr>
      <w:divsChild>
        <w:div w:id="1422291231">
          <w:marLeft w:val="0"/>
          <w:marRight w:val="0"/>
          <w:marTop w:val="0"/>
          <w:marBottom w:val="0"/>
          <w:divBdr>
            <w:top w:val="none" w:sz="0" w:space="0" w:color="auto"/>
            <w:left w:val="none" w:sz="0" w:space="0" w:color="auto"/>
            <w:bottom w:val="none" w:sz="0" w:space="0" w:color="auto"/>
            <w:right w:val="none" w:sz="0" w:space="0" w:color="auto"/>
          </w:divBdr>
          <w:divsChild>
            <w:div w:id="26760891">
              <w:marLeft w:val="0"/>
              <w:marRight w:val="0"/>
              <w:marTop w:val="150"/>
              <w:marBottom w:val="75"/>
              <w:divBdr>
                <w:top w:val="single" w:sz="2" w:space="0" w:color="D6D6D6"/>
                <w:left w:val="single" w:sz="2" w:space="15" w:color="D6D6D6"/>
                <w:bottom w:val="single" w:sz="2" w:space="4" w:color="D6D6D6"/>
                <w:right w:val="single" w:sz="2" w:space="15" w:color="D6D6D6"/>
              </w:divBdr>
              <w:divsChild>
                <w:div w:id="682587147">
                  <w:marLeft w:val="0"/>
                  <w:marRight w:val="0"/>
                  <w:marTop w:val="0"/>
                  <w:marBottom w:val="300"/>
                  <w:divBdr>
                    <w:top w:val="none" w:sz="0" w:space="0" w:color="auto"/>
                    <w:left w:val="none" w:sz="0" w:space="0" w:color="auto"/>
                    <w:bottom w:val="none" w:sz="0" w:space="0" w:color="auto"/>
                    <w:right w:val="none" w:sz="0" w:space="0" w:color="auto"/>
                  </w:divBdr>
                  <w:divsChild>
                    <w:div w:id="1311517300">
                      <w:marLeft w:val="0"/>
                      <w:marRight w:val="0"/>
                      <w:marTop w:val="0"/>
                      <w:marBottom w:val="0"/>
                      <w:divBdr>
                        <w:top w:val="none" w:sz="0" w:space="0" w:color="auto"/>
                        <w:left w:val="none" w:sz="0" w:space="0" w:color="auto"/>
                        <w:bottom w:val="none" w:sz="0" w:space="0" w:color="auto"/>
                        <w:right w:val="none" w:sz="0" w:space="0" w:color="auto"/>
                      </w:divBdr>
                      <w:divsChild>
                        <w:div w:id="20218022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38893432">
      <w:bodyDiv w:val="1"/>
      <w:marLeft w:val="0"/>
      <w:marRight w:val="0"/>
      <w:marTop w:val="0"/>
      <w:marBottom w:val="0"/>
      <w:divBdr>
        <w:top w:val="none" w:sz="0" w:space="0" w:color="auto"/>
        <w:left w:val="none" w:sz="0" w:space="0" w:color="auto"/>
        <w:bottom w:val="none" w:sz="0" w:space="0" w:color="auto"/>
        <w:right w:val="none" w:sz="0" w:space="0" w:color="auto"/>
      </w:divBdr>
    </w:div>
    <w:div w:id="1808938164">
      <w:bodyDiv w:val="1"/>
      <w:marLeft w:val="0"/>
      <w:marRight w:val="0"/>
      <w:marTop w:val="0"/>
      <w:marBottom w:val="0"/>
      <w:divBdr>
        <w:top w:val="none" w:sz="0" w:space="0" w:color="auto"/>
        <w:left w:val="none" w:sz="0" w:space="0" w:color="auto"/>
        <w:bottom w:val="none" w:sz="0" w:space="0" w:color="auto"/>
        <w:right w:val="none" w:sz="0" w:space="0" w:color="auto"/>
      </w:divBdr>
    </w:div>
    <w:div w:id="1831556341">
      <w:bodyDiv w:val="1"/>
      <w:marLeft w:val="0"/>
      <w:marRight w:val="0"/>
      <w:marTop w:val="0"/>
      <w:marBottom w:val="0"/>
      <w:divBdr>
        <w:top w:val="none" w:sz="0" w:space="0" w:color="auto"/>
        <w:left w:val="none" w:sz="0" w:space="0" w:color="auto"/>
        <w:bottom w:val="none" w:sz="0" w:space="0" w:color="auto"/>
        <w:right w:val="none" w:sz="0" w:space="0" w:color="auto"/>
      </w:divBdr>
    </w:div>
    <w:div w:id="1851870274">
      <w:bodyDiv w:val="1"/>
      <w:marLeft w:val="0"/>
      <w:marRight w:val="0"/>
      <w:marTop w:val="0"/>
      <w:marBottom w:val="0"/>
      <w:divBdr>
        <w:top w:val="none" w:sz="0" w:space="0" w:color="auto"/>
        <w:left w:val="none" w:sz="0" w:space="0" w:color="auto"/>
        <w:bottom w:val="none" w:sz="0" w:space="0" w:color="auto"/>
        <w:right w:val="none" w:sz="0" w:space="0" w:color="auto"/>
      </w:divBdr>
      <w:divsChild>
        <w:div w:id="1643073901">
          <w:marLeft w:val="0"/>
          <w:marRight w:val="0"/>
          <w:marTop w:val="0"/>
          <w:marBottom w:val="0"/>
          <w:divBdr>
            <w:top w:val="none" w:sz="0" w:space="0" w:color="auto"/>
            <w:left w:val="none" w:sz="0" w:space="0" w:color="auto"/>
            <w:bottom w:val="none" w:sz="0" w:space="0" w:color="auto"/>
            <w:right w:val="none" w:sz="0" w:space="0" w:color="auto"/>
          </w:divBdr>
          <w:divsChild>
            <w:div w:id="1270700327">
              <w:marLeft w:val="0"/>
              <w:marRight w:val="0"/>
              <w:marTop w:val="150"/>
              <w:marBottom w:val="75"/>
              <w:divBdr>
                <w:top w:val="single" w:sz="2" w:space="0" w:color="D6D6D6"/>
                <w:left w:val="single" w:sz="2" w:space="15" w:color="D6D6D6"/>
                <w:bottom w:val="single" w:sz="2" w:space="4" w:color="D6D6D6"/>
                <w:right w:val="single" w:sz="2" w:space="15" w:color="D6D6D6"/>
              </w:divBdr>
              <w:divsChild>
                <w:div w:id="955481576">
                  <w:marLeft w:val="0"/>
                  <w:marRight w:val="0"/>
                  <w:marTop w:val="0"/>
                  <w:marBottom w:val="300"/>
                  <w:divBdr>
                    <w:top w:val="none" w:sz="0" w:space="0" w:color="auto"/>
                    <w:left w:val="none" w:sz="0" w:space="0" w:color="auto"/>
                    <w:bottom w:val="none" w:sz="0" w:space="0" w:color="auto"/>
                    <w:right w:val="none" w:sz="0" w:space="0" w:color="auto"/>
                  </w:divBdr>
                  <w:divsChild>
                    <w:div w:id="1826779025">
                      <w:marLeft w:val="0"/>
                      <w:marRight w:val="0"/>
                      <w:marTop w:val="0"/>
                      <w:marBottom w:val="0"/>
                      <w:divBdr>
                        <w:top w:val="none" w:sz="0" w:space="0" w:color="auto"/>
                        <w:left w:val="none" w:sz="0" w:space="0" w:color="auto"/>
                        <w:bottom w:val="none" w:sz="0" w:space="0" w:color="auto"/>
                        <w:right w:val="none" w:sz="0" w:space="0" w:color="auto"/>
                      </w:divBdr>
                      <w:divsChild>
                        <w:div w:id="56649995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b6b8121d0674b80e35b989978c092d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AC6CAB-A564-4C0A-8D1C-92BECE4D7E1C}"/>
</file>

<file path=customXml/itemProps2.xml><?xml version="1.0" encoding="utf-8"?>
<ds:datastoreItem xmlns:ds="http://schemas.openxmlformats.org/officeDocument/2006/customXml" ds:itemID="{5BFCF70B-34FE-4935-B5E6-CA0A8C66BF0C}"/>
</file>

<file path=customXml/itemProps3.xml><?xml version="1.0" encoding="utf-8"?>
<ds:datastoreItem xmlns:ds="http://schemas.openxmlformats.org/officeDocument/2006/customXml" ds:itemID="{7463A42A-8310-47E4-8D16-A10B86AA489B}"/>
</file>

<file path=customXml/itemProps4.xml><?xml version="1.0" encoding="utf-8"?>
<ds:datastoreItem xmlns:ds="http://schemas.openxmlformats.org/officeDocument/2006/customXml" ds:itemID="{466D7191-600D-4115-9BAD-DDB8A78115AF}"/>
</file>

<file path=docProps/app.xml><?xml version="1.0" encoding="utf-8"?>
<Properties xmlns="http://schemas.openxmlformats.org/officeDocument/2006/extended-properties" xmlns:vt="http://schemas.openxmlformats.org/officeDocument/2006/docPropsVTypes">
  <Template>Normal.dotm</Template>
  <TotalTime>1</TotalTime>
  <Pages>5</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Jorge ARAYA</cp:lastModifiedBy>
  <cp:revision>2</cp:revision>
  <dcterms:created xsi:type="dcterms:W3CDTF">2017-07-12T12:38:00Z</dcterms:created>
  <dcterms:modified xsi:type="dcterms:W3CDTF">2017-07-12T12:38:00Z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