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9C" w:rsidRPr="004A404B" w:rsidRDefault="00605465" w:rsidP="008706A5">
      <w:pPr>
        <w:jc w:val="center"/>
        <w:rPr>
          <w:rFonts w:ascii="Times New Roman" w:hAnsi="Times New Roman"/>
          <w:b/>
        </w:rPr>
      </w:pPr>
      <w:bookmarkStart w:id="0" w:name="_GoBack"/>
      <w:bookmarkEnd w:id="0"/>
      <w:r w:rsidRPr="004A404B">
        <w:rPr>
          <w:rFonts w:ascii="Times New Roman" w:hAnsi="Times New Roman"/>
          <w:b/>
        </w:rPr>
        <w:t xml:space="preserve">ANEXO No. </w:t>
      </w:r>
      <w:r w:rsidR="004A404B" w:rsidRPr="004A404B">
        <w:rPr>
          <w:rFonts w:ascii="Times New Roman" w:hAnsi="Times New Roman"/>
          <w:b/>
        </w:rPr>
        <w:t>3</w:t>
      </w:r>
      <w:r w:rsidRPr="004A404B">
        <w:rPr>
          <w:rFonts w:ascii="Times New Roman" w:hAnsi="Times New Roman"/>
          <w:b/>
        </w:rPr>
        <w:t xml:space="preserve"> </w:t>
      </w:r>
      <w:r w:rsidR="008706A5" w:rsidRPr="004A404B">
        <w:rPr>
          <w:rFonts w:ascii="Times New Roman" w:hAnsi="Times New Roman"/>
          <w:b/>
        </w:rPr>
        <w:t xml:space="preserve"> </w:t>
      </w:r>
      <w:r w:rsidR="00E7071F" w:rsidRPr="004A404B">
        <w:rPr>
          <w:rFonts w:ascii="Times New Roman" w:hAnsi="Times New Roman"/>
          <w:b/>
        </w:rPr>
        <w:t>SALUD</w:t>
      </w:r>
    </w:p>
    <w:p w:rsidR="008706A5" w:rsidRPr="004A404B" w:rsidRDefault="008706A5">
      <w:pPr>
        <w:rPr>
          <w:rFonts w:ascii="Times New Roman" w:hAnsi="Times New Roman"/>
        </w:rPr>
      </w:pPr>
    </w:p>
    <w:p w:rsidR="008706A5" w:rsidRPr="004A404B" w:rsidRDefault="008706A5" w:rsidP="008706A5">
      <w:pPr>
        <w:pStyle w:val="Prrafodelista"/>
        <w:numPr>
          <w:ilvl w:val="0"/>
          <w:numId w:val="2"/>
        </w:numPr>
        <w:ind w:left="284" w:right="49" w:hanging="284"/>
        <w:jc w:val="both"/>
        <w:outlineLvl w:val="0"/>
        <w:rPr>
          <w:b/>
          <w:sz w:val="22"/>
          <w:szCs w:val="22"/>
        </w:rPr>
      </w:pPr>
      <w:r w:rsidRPr="004A404B">
        <w:rPr>
          <w:b/>
          <w:sz w:val="22"/>
          <w:szCs w:val="22"/>
        </w:rPr>
        <w:t>Acceso y Prestación de Servicios de Salud</w:t>
      </w:r>
    </w:p>
    <w:p w:rsidR="008706A5" w:rsidRPr="004A404B" w:rsidRDefault="008706A5" w:rsidP="008706A5">
      <w:pPr>
        <w:pStyle w:val="Standard"/>
        <w:jc w:val="both"/>
        <w:rPr>
          <w:rFonts w:ascii="Times New Roman" w:hAnsi="Times New Roman" w:cs="Times New Roman"/>
          <w:b/>
        </w:rPr>
      </w:pPr>
    </w:p>
    <w:p w:rsidR="008706A5" w:rsidRPr="004A404B" w:rsidRDefault="008706A5" w:rsidP="008706A5">
      <w:pPr>
        <w:jc w:val="both"/>
        <w:rPr>
          <w:rFonts w:ascii="Times New Roman" w:hAnsi="Times New Roman"/>
        </w:rPr>
      </w:pPr>
      <w:r w:rsidRPr="004A404B">
        <w:rPr>
          <w:rFonts w:ascii="Times New Roman" w:hAnsi="Times New Roman"/>
        </w:rPr>
        <w:t>El acceso a los servicios de salud en el país muestra mejoras evidentes, tal como lo muestra la evolución histórica del comportamiento de los indicadores en la materia, establecidos por la Encuesta de Calidad de Vida – ECV del DANE</w:t>
      </w:r>
      <w:r w:rsidRPr="004A404B">
        <w:rPr>
          <w:rFonts w:ascii="Times New Roman" w:hAnsi="Times New Roman"/>
          <w:b/>
          <w:i/>
        </w:rPr>
        <w:t>,</w:t>
      </w:r>
      <w:r w:rsidRPr="004A404B">
        <w:rPr>
          <w:rFonts w:ascii="Times New Roman" w:hAnsi="Times New Roman"/>
        </w:rPr>
        <w:t xml:space="preserve"> instrumento empleado en el país para medir y caracterizar las condiciones de vida de la población con variables relacionadas con vivienda, salud, educación y demás. </w:t>
      </w:r>
    </w:p>
    <w:p w:rsidR="008706A5" w:rsidRPr="004A404B" w:rsidRDefault="008706A5" w:rsidP="008706A5">
      <w:pPr>
        <w:jc w:val="both"/>
        <w:rPr>
          <w:rFonts w:ascii="Times New Roman" w:hAnsi="Times New Roman"/>
        </w:rPr>
      </w:pPr>
    </w:p>
    <w:p w:rsidR="008706A5" w:rsidRPr="004A404B" w:rsidRDefault="008706A5" w:rsidP="008706A5">
      <w:pPr>
        <w:jc w:val="both"/>
        <w:rPr>
          <w:rFonts w:ascii="Times New Roman" w:hAnsi="Times New Roman"/>
        </w:rPr>
      </w:pPr>
      <w:r w:rsidRPr="004A404B">
        <w:rPr>
          <w:rFonts w:ascii="Times New Roman" w:hAnsi="Times New Roman"/>
        </w:rPr>
        <w:t>Según la citada Encuesta, se observa un incremento en la atención en salud de aquellos que presentaron una necesidad en salud (uso institucional de los servicios de salud) y en la disminución en las razones para no solicitar atención médica, como no lo atendieron, mal servicio, oportunidad en cita de medicina general u odontología, entre otras.</w:t>
      </w:r>
    </w:p>
    <w:p w:rsidR="008706A5" w:rsidRPr="004A404B" w:rsidRDefault="008706A5" w:rsidP="008706A5">
      <w:pPr>
        <w:pStyle w:val="Standard"/>
        <w:jc w:val="both"/>
        <w:rPr>
          <w:rFonts w:ascii="Times New Roman" w:hAnsi="Times New Roman" w:cs="Times New Roman"/>
        </w:rPr>
      </w:pPr>
    </w:p>
    <w:p w:rsidR="008706A5" w:rsidRPr="004A404B" w:rsidRDefault="008706A5" w:rsidP="008706A5">
      <w:pPr>
        <w:widowControl w:val="0"/>
        <w:jc w:val="both"/>
        <w:rPr>
          <w:rFonts w:ascii="Times New Roman" w:hAnsi="Times New Roman"/>
        </w:rPr>
      </w:pPr>
      <w:r w:rsidRPr="004A404B">
        <w:rPr>
          <w:rFonts w:ascii="Times New Roman" w:hAnsi="Times New Roman"/>
        </w:rPr>
        <w:t xml:space="preserve">Al analizar por tipo de vinculación al SGSSS, la proporción de afiliados que </w:t>
      </w:r>
      <w:r w:rsidRPr="004A404B">
        <w:rPr>
          <w:rFonts w:ascii="Times New Roman" w:hAnsi="Times New Roman"/>
          <w:i/>
        </w:rPr>
        <w:t>presentaron en los últimos treinta días una necesidad de atención en salud</w:t>
      </w:r>
      <w:r w:rsidRPr="004A404B">
        <w:rPr>
          <w:rFonts w:ascii="Times New Roman" w:hAnsi="Times New Roman"/>
        </w:rPr>
        <w:t xml:space="preserve">, entre los años 2001 y 2015, para el régimen contributivo fue de 11,31% y 7,34% para los años 2011 y 2015, y para el régimen subsidiado de 8,83% y 8,68%. De los afiliados al régimen contributivo que </w:t>
      </w:r>
      <w:r w:rsidRPr="004A404B">
        <w:rPr>
          <w:rFonts w:ascii="Times New Roman" w:hAnsi="Times New Roman"/>
          <w:i/>
        </w:rPr>
        <w:t>presentaron en los últimos treinta días una necesidad en salud</w:t>
      </w:r>
      <w:r w:rsidRPr="004A404B">
        <w:rPr>
          <w:rFonts w:ascii="Times New Roman" w:hAnsi="Times New Roman"/>
        </w:rPr>
        <w:t xml:space="preserve">, el 73,96% y 78,33% </w:t>
      </w:r>
      <w:r w:rsidRPr="004A404B">
        <w:rPr>
          <w:rFonts w:ascii="Times New Roman" w:hAnsi="Times New Roman"/>
          <w:i/>
        </w:rPr>
        <w:t>fue atendido institucionalmente</w:t>
      </w:r>
      <w:r w:rsidRPr="004A404B">
        <w:rPr>
          <w:rFonts w:ascii="Times New Roman" w:hAnsi="Times New Roman"/>
        </w:rPr>
        <w:t xml:space="preserve">, en los años 2011 y 2015; mientras para los afiliados al régimen subsidiado esta proporción fue de 64,16% y 67,32% (Tabla 1). </w:t>
      </w:r>
    </w:p>
    <w:p w:rsidR="008706A5" w:rsidRPr="004A404B" w:rsidRDefault="008706A5" w:rsidP="008706A5">
      <w:pPr>
        <w:widowControl w:val="0"/>
        <w:jc w:val="both"/>
        <w:rPr>
          <w:rFonts w:ascii="Times New Roman" w:eastAsia="Times New Roman" w:hAnsi="Times New Roman"/>
          <w:color w:val="000000"/>
          <w:kern w:val="3"/>
          <w:lang w:val="es-ES" w:eastAsia="es-CO"/>
        </w:rPr>
      </w:pPr>
    </w:p>
    <w:p w:rsidR="008706A5" w:rsidRPr="004A404B" w:rsidRDefault="008706A5" w:rsidP="008706A5">
      <w:pPr>
        <w:widowControl w:val="0"/>
        <w:jc w:val="center"/>
        <w:rPr>
          <w:rFonts w:ascii="Times New Roman" w:eastAsia="Droid Sans Fallback" w:hAnsi="Times New Roman"/>
          <w:b/>
          <w:kern w:val="3"/>
          <w:lang w:eastAsia="zh-CN"/>
        </w:rPr>
      </w:pPr>
      <w:r w:rsidRPr="004A404B">
        <w:rPr>
          <w:rFonts w:ascii="Times New Roman" w:eastAsia="Droid Sans Fallback" w:hAnsi="Times New Roman"/>
          <w:b/>
          <w:kern w:val="3"/>
          <w:lang w:val="es-ES" w:eastAsia="zh-CN"/>
        </w:rPr>
        <w:t xml:space="preserve">Tabla No 1. </w:t>
      </w:r>
      <w:r w:rsidRPr="004A404B">
        <w:rPr>
          <w:rFonts w:ascii="Times New Roman" w:eastAsia="Times New Roman" w:hAnsi="Times New Roman"/>
          <w:b/>
          <w:color w:val="000000"/>
          <w:kern w:val="3"/>
          <w:lang w:val="es-ES" w:eastAsia="es-CO"/>
        </w:rPr>
        <w:t xml:space="preserve"> Necesidad de atención en salud y Uso Institucional de los Servicios de Salud</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134"/>
        <w:gridCol w:w="993"/>
        <w:gridCol w:w="850"/>
        <w:gridCol w:w="1134"/>
        <w:gridCol w:w="992"/>
        <w:gridCol w:w="851"/>
      </w:tblGrid>
      <w:tr w:rsidR="008706A5" w:rsidRPr="004A404B" w:rsidTr="00551F51">
        <w:trPr>
          <w:trHeight w:val="47"/>
          <w:tblHeader/>
          <w:jc w:val="center"/>
        </w:trPr>
        <w:tc>
          <w:tcPr>
            <w:tcW w:w="562" w:type="dxa"/>
            <w:vMerge w:val="restart"/>
            <w:shd w:val="clear" w:color="auto" w:fill="D9D9D9" w:themeFill="background1" w:themeFillShade="D9"/>
            <w:noWrap/>
            <w:vAlign w:val="bottom"/>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Años</w:t>
            </w:r>
          </w:p>
        </w:tc>
        <w:tc>
          <w:tcPr>
            <w:tcW w:w="2977" w:type="dxa"/>
            <w:gridSpan w:val="3"/>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Necesidad de atención en salud (%)</w:t>
            </w:r>
          </w:p>
        </w:tc>
        <w:tc>
          <w:tcPr>
            <w:tcW w:w="2977" w:type="dxa"/>
            <w:gridSpan w:val="3"/>
            <w:shd w:val="clear" w:color="auto" w:fill="D9D9D9" w:themeFill="background1" w:themeFillShade="D9"/>
            <w:vAlign w:val="bottom"/>
          </w:tcPr>
          <w:p w:rsidR="008706A5" w:rsidRPr="004A404B" w:rsidRDefault="008706A5" w:rsidP="00551F51">
            <w:pPr>
              <w:widowControl w:val="0"/>
              <w:jc w:val="center"/>
              <w:rPr>
                <w:rFonts w:ascii="Times New Roman" w:eastAsia="Droid Sans Fallback" w:hAnsi="Times New Roman"/>
                <w:b/>
                <w:kern w:val="3"/>
                <w:lang w:eastAsia="zh-CN"/>
              </w:rPr>
            </w:pPr>
            <w:r w:rsidRPr="004A404B">
              <w:rPr>
                <w:rFonts w:ascii="Times New Roman" w:eastAsia="Times New Roman" w:hAnsi="Times New Roman"/>
                <w:b/>
                <w:color w:val="000000"/>
                <w:kern w:val="3"/>
                <w:lang w:val="es-ES" w:eastAsia="es-CO"/>
              </w:rPr>
              <w:t>Uso institucional (%)</w:t>
            </w:r>
          </w:p>
        </w:tc>
      </w:tr>
      <w:tr w:rsidR="008706A5" w:rsidRPr="004A404B" w:rsidTr="00551F51">
        <w:trPr>
          <w:trHeight w:val="47"/>
          <w:tblHeader/>
          <w:jc w:val="center"/>
        </w:trPr>
        <w:tc>
          <w:tcPr>
            <w:tcW w:w="562" w:type="dxa"/>
            <w:vMerge/>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p>
        </w:tc>
        <w:tc>
          <w:tcPr>
            <w:tcW w:w="1134"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Contributivo </w:t>
            </w:r>
          </w:p>
        </w:tc>
        <w:tc>
          <w:tcPr>
            <w:tcW w:w="993"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Subsidiado </w:t>
            </w:r>
          </w:p>
        </w:tc>
        <w:tc>
          <w:tcPr>
            <w:tcW w:w="850"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Especial  </w:t>
            </w:r>
          </w:p>
        </w:tc>
        <w:tc>
          <w:tcPr>
            <w:tcW w:w="1134"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Contributivo </w:t>
            </w:r>
          </w:p>
        </w:tc>
        <w:tc>
          <w:tcPr>
            <w:tcW w:w="992"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Subsidiado </w:t>
            </w:r>
          </w:p>
        </w:tc>
        <w:tc>
          <w:tcPr>
            <w:tcW w:w="851"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r>
      <w:tr w:rsidR="008706A5" w:rsidRPr="004A404B" w:rsidTr="00551F51">
        <w:trPr>
          <w:trHeight w:val="50"/>
          <w:jc w:val="center"/>
        </w:trPr>
        <w:tc>
          <w:tcPr>
            <w:tcW w:w="562"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2011</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11,31</w:t>
            </w:r>
          </w:p>
        </w:tc>
        <w:tc>
          <w:tcPr>
            <w:tcW w:w="993"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8,83</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14,65</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73,96</w:t>
            </w:r>
          </w:p>
        </w:tc>
        <w:tc>
          <w:tcPr>
            <w:tcW w:w="992"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64,16</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81,55</w:t>
            </w:r>
          </w:p>
        </w:tc>
      </w:tr>
      <w:tr w:rsidR="008706A5" w:rsidRPr="004A404B" w:rsidTr="00551F51">
        <w:trPr>
          <w:trHeight w:val="50"/>
          <w:jc w:val="center"/>
        </w:trPr>
        <w:tc>
          <w:tcPr>
            <w:tcW w:w="562"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2012</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10,27</w:t>
            </w:r>
          </w:p>
        </w:tc>
        <w:tc>
          <w:tcPr>
            <w:tcW w:w="993"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10,52</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12,57</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84,04</w:t>
            </w:r>
          </w:p>
        </w:tc>
        <w:tc>
          <w:tcPr>
            <w:tcW w:w="992"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74,52</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86,02</w:t>
            </w:r>
          </w:p>
        </w:tc>
      </w:tr>
      <w:tr w:rsidR="008706A5" w:rsidRPr="004A404B" w:rsidTr="00551F51">
        <w:trPr>
          <w:trHeight w:val="50"/>
          <w:jc w:val="center"/>
        </w:trPr>
        <w:tc>
          <w:tcPr>
            <w:tcW w:w="562"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2013</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10,04</w:t>
            </w:r>
          </w:p>
        </w:tc>
        <w:tc>
          <w:tcPr>
            <w:tcW w:w="993"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10,50</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11,63</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81,85</w:t>
            </w:r>
          </w:p>
        </w:tc>
        <w:tc>
          <w:tcPr>
            <w:tcW w:w="992"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73,79</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86,63</w:t>
            </w:r>
          </w:p>
        </w:tc>
      </w:tr>
      <w:tr w:rsidR="008706A5" w:rsidRPr="004A404B" w:rsidTr="00551F51">
        <w:trPr>
          <w:trHeight w:val="152"/>
          <w:jc w:val="center"/>
        </w:trPr>
        <w:tc>
          <w:tcPr>
            <w:tcW w:w="562"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2014</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7,60</w:t>
            </w:r>
          </w:p>
        </w:tc>
        <w:tc>
          <w:tcPr>
            <w:tcW w:w="993"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9,88</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10,65</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80,62</w:t>
            </w:r>
          </w:p>
        </w:tc>
        <w:tc>
          <w:tcPr>
            <w:tcW w:w="992"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68,20</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77,14</w:t>
            </w:r>
          </w:p>
        </w:tc>
      </w:tr>
      <w:tr w:rsidR="008706A5" w:rsidRPr="004A404B" w:rsidTr="00551F51">
        <w:trPr>
          <w:trHeight w:val="152"/>
          <w:jc w:val="center"/>
        </w:trPr>
        <w:tc>
          <w:tcPr>
            <w:tcW w:w="562" w:type="dxa"/>
            <w:shd w:val="clear" w:color="auto" w:fill="auto"/>
            <w:noWrap/>
            <w:vAlign w:val="bottom"/>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2015</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7,34</w:t>
            </w:r>
          </w:p>
        </w:tc>
        <w:tc>
          <w:tcPr>
            <w:tcW w:w="993"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8,68</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9,59</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78,33</w:t>
            </w:r>
          </w:p>
        </w:tc>
        <w:tc>
          <w:tcPr>
            <w:tcW w:w="992"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67,32</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81,09</w:t>
            </w:r>
          </w:p>
        </w:tc>
      </w:tr>
    </w:tbl>
    <w:p w:rsidR="008706A5" w:rsidRPr="004A404B" w:rsidRDefault="008706A5" w:rsidP="008706A5">
      <w:pPr>
        <w:widowControl w:val="0"/>
        <w:ind w:left="851" w:right="870"/>
        <w:jc w:val="both"/>
        <w:rPr>
          <w:rFonts w:ascii="Times New Roman" w:hAnsi="Times New Roman"/>
        </w:rPr>
      </w:pPr>
      <w:r w:rsidRPr="004A404B">
        <w:rPr>
          <w:rFonts w:ascii="Times New Roman" w:hAnsi="Times New Roman"/>
          <w:b/>
        </w:rPr>
        <w:t xml:space="preserve">              Fuente: </w:t>
      </w:r>
      <w:r w:rsidRPr="004A404B">
        <w:rPr>
          <w:rFonts w:ascii="Times New Roman" w:hAnsi="Times New Roman"/>
        </w:rPr>
        <w:t>Departamento Nacional de Estadísticas. Encuestas de Calidad de Vida. Cálculos MSPS - DPSAP.</w:t>
      </w:r>
    </w:p>
    <w:p w:rsidR="008706A5" w:rsidRPr="004A404B" w:rsidRDefault="008706A5" w:rsidP="008706A5">
      <w:pPr>
        <w:widowControl w:val="0"/>
        <w:jc w:val="both"/>
        <w:rPr>
          <w:rFonts w:ascii="Times New Roman" w:eastAsia="Droid Sans Fallback" w:hAnsi="Times New Roman"/>
          <w:kern w:val="3"/>
          <w:lang w:eastAsia="zh-CN"/>
        </w:rPr>
      </w:pPr>
    </w:p>
    <w:p w:rsidR="008706A5" w:rsidRPr="004A404B" w:rsidRDefault="008706A5" w:rsidP="008706A5">
      <w:pPr>
        <w:widowControl w:val="0"/>
        <w:jc w:val="both"/>
        <w:rPr>
          <w:rFonts w:ascii="Times New Roman" w:eastAsia="Droid Sans Fallback" w:hAnsi="Times New Roman"/>
          <w:kern w:val="3"/>
          <w:lang w:val="es-ES" w:eastAsia="zh-CN"/>
        </w:rPr>
      </w:pPr>
      <w:r w:rsidRPr="004A404B">
        <w:rPr>
          <w:rFonts w:ascii="Times New Roman" w:eastAsia="Droid Sans Fallback" w:hAnsi="Times New Roman"/>
          <w:kern w:val="3"/>
          <w:lang w:val="es-ES" w:eastAsia="zh-CN"/>
        </w:rPr>
        <w:t xml:space="preserve">En las razones para no solicitar atención en salud, de igual forma se evidencia una disminución de barreras de acceso; por ejemplo en la razón de </w:t>
      </w:r>
      <w:r w:rsidRPr="004A404B">
        <w:rPr>
          <w:rFonts w:ascii="Times New Roman" w:eastAsia="Droid Sans Fallback" w:hAnsi="Times New Roman"/>
          <w:i/>
          <w:kern w:val="3"/>
          <w:lang w:val="es-ES" w:eastAsia="zh-CN"/>
        </w:rPr>
        <w:t>no lo atendieron</w:t>
      </w:r>
      <w:r w:rsidRPr="004A404B">
        <w:rPr>
          <w:rFonts w:ascii="Times New Roman" w:eastAsia="Droid Sans Fallback" w:hAnsi="Times New Roman"/>
          <w:kern w:val="3"/>
          <w:lang w:val="es-ES" w:eastAsia="zh-CN"/>
        </w:rPr>
        <w:t xml:space="preserve"> se observa una disminución en los afiliados al régimen contributivo para los años 2011 y 2015 al pasar de 1,75% a 0,37%, y en los afiliados al régimen subsidiado al pasar de 2,34% a 0,87%. De igual manera, en la razón de </w:t>
      </w:r>
      <w:r w:rsidRPr="004A404B">
        <w:rPr>
          <w:rFonts w:ascii="Times New Roman" w:eastAsia="Droid Sans Fallback" w:hAnsi="Times New Roman"/>
          <w:i/>
          <w:kern w:val="3"/>
          <w:lang w:val="es-ES" w:eastAsia="zh-CN"/>
        </w:rPr>
        <w:t xml:space="preserve">mal servicio </w:t>
      </w:r>
      <w:r w:rsidRPr="004A404B">
        <w:rPr>
          <w:rFonts w:ascii="Times New Roman" w:eastAsia="Droid Sans Fallback" w:hAnsi="Times New Roman"/>
          <w:kern w:val="3"/>
          <w:lang w:val="es-ES" w:eastAsia="zh-CN"/>
        </w:rPr>
        <w:t>se presenta una reducción entre los años 2011 y 2015 en ambos regímenes, al pasar en el contributivo de 12,02% a 9,75% y en el régimen subsidiado de 12,49% a 8,60%, indicando mejoras en la percepción de los servicios de salud (Tabla 2).</w:t>
      </w:r>
    </w:p>
    <w:p w:rsidR="008706A5" w:rsidRPr="004A404B" w:rsidRDefault="008706A5" w:rsidP="008706A5">
      <w:pPr>
        <w:widowControl w:val="0"/>
        <w:jc w:val="both"/>
        <w:rPr>
          <w:rFonts w:ascii="Times New Roman" w:eastAsia="Droid Sans Fallback" w:hAnsi="Times New Roman"/>
          <w:kern w:val="3"/>
          <w:lang w:val="es-ES" w:eastAsia="zh-CN"/>
        </w:rPr>
      </w:pPr>
    </w:p>
    <w:p w:rsidR="008706A5" w:rsidRPr="004A404B" w:rsidRDefault="008706A5" w:rsidP="008706A5">
      <w:pPr>
        <w:widowControl w:val="0"/>
        <w:jc w:val="center"/>
        <w:rPr>
          <w:rFonts w:ascii="Times New Roman" w:eastAsia="Droid Sans Fallback" w:hAnsi="Times New Roman"/>
          <w:b/>
          <w:kern w:val="3"/>
          <w:lang w:val="es-ES" w:eastAsia="zh-CN"/>
        </w:rPr>
      </w:pPr>
      <w:r w:rsidRPr="004A404B">
        <w:rPr>
          <w:rFonts w:ascii="Times New Roman" w:eastAsia="Times New Roman" w:hAnsi="Times New Roman"/>
          <w:b/>
          <w:color w:val="000000"/>
          <w:kern w:val="3"/>
          <w:lang w:val="es-ES" w:eastAsia="es-CO"/>
        </w:rPr>
        <w:t>Tabla 2. Razones No lo atendieron y Mal Servicio</w:t>
      </w: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363"/>
        <w:gridCol w:w="1180"/>
        <w:gridCol w:w="923"/>
        <w:gridCol w:w="1363"/>
        <w:gridCol w:w="1180"/>
        <w:gridCol w:w="923"/>
      </w:tblGrid>
      <w:tr w:rsidR="008706A5" w:rsidRPr="004A404B" w:rsidTr="00551F51">
        <w:trPr>
          <w:trHeight w:val="57"/>
          <w:tblHeader/>
          <w:jc w:val="center"/>
        </w:trPr>
        <w:tc>
          <w:tcPr>
            <w:tcW w:w="846" w:type="dxa"/>
            <w:vMerge w:val="restart"/>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lastRenderedPageBreak/>
              <w:t>Años</w:t>
            </w:r>
          </w:p>
        </w:tc>
        <w:tc>
          <w:tcPr>
            <w:tcW w:w="2977" w:type="dxa"/>
            <w:gridSpan w:val="3"/>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No lo atendieron (%)</w:t>
            </w:r>
          </w:p>
        </w:tc>
        <w:tc>
          <w:tcPr>
            <w:tcW w:w="2982" w:type="dxa"/>
            <w:gridSpan w:val="3"/>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Mal servicio (%)</w:t>
            </w:r>
          </w:p>
        </w:tc>
      </w:tr>
      <w:tr w:rsidR="008706A5" w:rsidRPr="004A404B" w:rsidTr="00551F51">
        <w:trPr>
          <w:trHeight w:val="57"/>
          <w:tblHeader/>
          <w:jc w:val="center"/>
        </w:trPr>
        <w:tc>
          <w:tcPr>
            <w:tcW w:w="846" w:type="dxa"/>
            <w:vMerge/>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p>
        </w:tc>
        <w:tc>
          <w:tcPr>
            <w:tcW w:w="1134"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Contributivo</w:t>
            </w:r>
          </w:p>
        </w:tc>
        <w:tc>
          <w:tcPr>
            <w:tcW w:w="992"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Subsidiado </w:t>
            </w:r>
          </w:p>
        </w:tc>
        <w:tc>
          <w:tcPr>
            <w:tcW w:w="851" w:type="dxa"/>
            <w:shd w:val="clear" w:color="auto" w:fill="D9D9D9" w:themeFill="background1" w:themeFillShade="D9"/>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Especial </w:t>
            </w:r>
          </w:p>
        </w:tc>
        <w:tc>
          <w:tcPr>
            <w:tcW w:w="1139"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Contributivo </w:t>
            </w:r>
          </w:p>
        </w:tc>
        <w:tc>
          <w:tcPr>
            <w:tcW w:w="993"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Subsidiado </w:t>
            </w:r>
          </w:p>
        </w:tc>
        <w:tc>
          <w:tcPr>
            <w:tcW w:w="850"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r>
      <w:tr w:rsidR="008706A5" w:rsidRPr="004A404B" w:rsidTr="00551F51">
        <w:trPr>
          <w:trHeight w:val="4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2011</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1,75</w:t>
            </w:r>
          </w:p>
        </w:tc>
        <w:tc>
          <w:tcPr>
            <w:tcW w:w="992"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2,34</w:t>
            </w:r>
          </w:p>
        </w:tc>
        <w:tc>
          <w:tcPr>
            <w:tcW w:w="851" w:type="dxa"/>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c>
          <w:tcPr>
            <w:tcW w:w="1139"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12,02</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12,49</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8,30</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2012</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1,70</w:t>
            </w:r>
          </w:p>
        </w:tc>
        <w:tc>
          <w:tcPr>
            <w:tcW w:w="992"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1,08</w:t>
            </w:r>
          </w:p>
        </w:tc>
        <w:tc>
          <w:tcPr>
            <w:tcW w:w="851" w:type="dxa"/>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c>
          <w:tcPr>
            <w:tcW w:w="1139"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9,41</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9,89</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11,75</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2013</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1,88</w:t>
            </w:r>
          </w:p>
        </w:tc>
        <w:tc>
          <w:tcPr>
            <w:tcW w:w="992"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1,61</w:t>
            </w:r>
          </w:p>
        </w:tc>
        <w:tc>
          <w:tcPr>
            <w:tcW w:w="851" w:type="dxa"/>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c>
          <w:tcPr>
            <w:tcW w:w="1139"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9,06</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13,13</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12,53</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2014</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0,19</w:t>
            </w:r>
          </w:p>
        </w:tc>
        <w:tc>
          <w:tcPr>
            <w:tcW w:w="992"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0,89</w:t>
            </w:r>
          </w:p>
        </w:tc>
        <w:tc>
          <w:tcPr>
            <w:tcW w:w="851" w:type="dxa"/>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c>
          <w:tcPr>
            <w:tcW w:w="1139"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11,07</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10,23</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13,34</w:t>
            </w:r>
          </w:p>
        </w:tc>
      </w:tr>
      <w:tr w:rsidR="008706A5" w:rsidRPr="004A404B" w:rsidTr="00551F51">
        <w:trPr>
          <w:trHeight w:val="57"/>
          <w:jc w:val="center"/>
        </w:trPr>
        <w:tc>
          <w:tcPr>
            <w:tcW w:w="846" w:type="dxa"/>
            <w:shd w:val="clear" w:color="auto" w:fill="auto"/>
            <w:noWrap/>
            <w:vAlign w:val="bottom"/>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2015</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0,37</w:t>
            </w:r>
          </w:p>
        </w:tc>
        <w:tc>
          <w:tcPr>
            <w:tcW w:w="992"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0,87</w:t>
            </w:r>
          </w:p>
        </w:tc>
        <w:tc>
          <w:tcPr>
            <w:tcW w:w="851" w:type="dxa"/>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4,72</w:t>
            </w:r>
          </w:p>
        </w:tc>
        <w:tc>
          <w:tcPr>
            <w:tcW w:w="1139"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9,75</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8,60</w:t>
            </w:r>
          </w:p>
        </w:tc>
        <w:tc>
          <w:tcPr>
            <w:tcW w:w="850"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22,41</w:t>
            </w:r>
          </w:p>
        </w:tc>
      </w:tr>
    </w:tbl>
    <w:p w:rsidR="008706A5" w:rsidRPr="004A404B" w:rsidRDefault="008706A5" w:rsidP="008706A5">
      <w:pPr>
        <w:widowControl w:val="0"/>
        <w:ind w:right="134"/>
        <w:jc w:val="both"/>
        <w:rPr>
          <w:rFonts w:ascii="Times New Roman" w:eastAsia="Droid Sans Fallback" w:hAnsi="Times New Roman"/>
          <w:kern w:val="3"/>
          <w:lang w:val="es-ES" w:eastAsia="zh-CN"/>
        </w:rPr>
      </w:pPr>
      <w:r w:rsidRPr="004A404B">
        <w:rPr>
          <w:rFonts w:ascii="Times New Roman" w:eastAsia="Droid Sans Fallback" w:hAnsi="Times New Roman"/>
          <w:b/>
          <w:kern w:val="3"/>
          <w:lang w:val="es-ES" w:eastAsia="zh-CN"/>
        </w:rPr>
        <w:t xml:space="preserve"> </w:t>
      </w:r>
      <w:r w:rsidRPr="004A404B">
        <w:rPr>
          <w:rFonts w:ascii="Times New Roman" w:eastAsia="Droid Sans Fallback" w:hAnsi="Times New Roman"/>
          <w:b/>
          <w:kern w:val="3"/>
          <w:lang w:val="es-ES" w:eastAsia="zh-CN"/>
        </w:rPr>
        <w:tab/>
      </w:r>
      <w:r w:rsidRPr="004A404B">
        <w:rPr>
          <w:rFonts w:ascii="Times New Roman" w:eastAsia="Droid Sans Fallback" w:hAnsi="Times New Roman"/>
          <w:b/>
          <w:kern w:val="3"/>
          <w:lang w:val="es-ES" w:eastAsia="zh-CN"/>
        </w:rPr>
        <w:tab/>
        <w:t xml:space="preserve">Fuente: </w:t>
      </w:r>
      <w:r w:rsidRPr="004A404B">
        <w:rPr>
          <w:rFonts w:ascii="Times New Roman" w:eastAsia="Droid Sans Fallback" w:hAnsi="Times New Roman"/>
          <w:kern w:val="3"/>
          <w:lang w:val="es-ES" w:eastAsia="zh-CN"/>
        </w:rPr>
        <w:t>Departamento Nacional de Estadísticas. Encuestas de Calidad de Vida. Cálculos MSPS - DPSAP</w:t>
      </w:r>
    </w:p>
    <w:p w:rsidR="008706A5" w:rsidRPr="004A404B" w:rsidRDefault="008706A5" w:rsidP="008706A5">
      <w:pPr>
        <w:widowControl w:val="0"/>
        <w:jc w:val="both"/>
        <w:rPr>
          <w:rFonts w:ascii="Times New Roman" w:eastAsia="Droid Sans Fallback" w:hAnsi="Times New Roman"/>
          <w:kern w:val="3"/>
          <w:lang w:val="es-ES" w:eastAsia="zh-CN"/>
        </w:rPr>
      </w:pPr>
    </w:p>
    <w:p w:rsidR="008706A5" w:rsidRPr="004A404B" w:rsidRDefault="008706A5" w:rsidP="008706A5">
      <w:pPr>
        <w:widowControl w:val="0"/>
        <w:jc w:val="both"/>
        <w:rPr>
          <w:rFonts w:ascii="Times New Roman" w:eastAsia="Droid Sans Fallback" w:hAnsi="Times New Roman"/>
          <w:kern w:val="3"/>
          <w:lang w:val="es-ES" w:eastAsia="zh-CN"/>
        </w:rPr>
      </w:pPr>
      <w:r w:rsidRPr="004A404B">
        <w:rPr>
          <w:rFonts w:ascii="Times New Roman" w:eastAsia="Droid Sans Fallback" w:hAnsi="Times New Roman"/>
          <w:kern w:val="3"/>
          <w:lang w:val="es-ES" w:eastAsia="zh-CN"/>
        </w:rPr>
        <w:t xml:space="preserve">En la razón de </w:t>
      </w:r>
      <w:r w:rsidRPr="004A404B">
        <w:rPr>
          <w:rFonts w:ascii="Times New Roman" w:eastAsia="Droid Sans Fallback" w:hAnsi="Times New Roman"/>
          <w:i/>
          <w:kern w:val="3"/>
          <w:lang w:val="es-ES" w:eastAsia="zh-CN"/>
        </w:rPr>
        <w:t xml:space="preserve">Oportunidad de cita de medicina general u odontología general </w:t>
      </w:r>
      <w:r w:rsidRPr="004A404B">
        <w:rPr>
          <w:rFonts w:ascii="Times New Roman" w:eastAsia="Droid Sans Fallback" w:hAnsi="Times New Roman"/>
          <w:kern w:val="3"/>
          <w:lang w:val="es-ES" w:eastAsia="zh-CN"/>
        </w:rPr>
        <w:t>se observan mejoras, según los afiliados al contributivo al disminuir de 4,37 días en promedio en el año 2011 a 3,65 días en el año 2015, y en los afiliados al régimen subsidiado al decrecer de 2,99 días a 2,45 días para estos años.</w:t>
      </w:r>
    </w:p>
    <w:p w:rsidR="008706A5" w:rsidRPr="004A404B" w:rsidRDefault="008706A5" w:rsidP="008706A5">
      <w:pPr>
        <w:widowControl w:val="0"/>
        <w:jc w:val="both"/>
        <w:rPr>
          <w:rFonts w:ascii="Times New Roman" w:eastAsia="Droid Sans Fallback" w:hAnsi="Times New Roman"/>
          <w:kern w:val="3"/>
          <w:lang w:val="es-ES" w:eastAsia="zh-CN"/>
        </w:rPr>
      </w:pPr>
      <w:r w:rsidRPr="004A404B">
        <w:rPr>
          <w:rFonts w:ascii="Times New Roman" w:eastAsia="Droid Sans Fallback" w:hAnsi="Times New Roman"/>
          <w:kern w:val="3"/>
          <w:lang w:val="es-ES" w:eastAsia="zh-CN"/>
        </w:rPr>
        <w:t xml:space="preserve"> </w:t>
      </w:r>
    </w:p>
    <w:p w:rsidR="008706A5" w:rsidRPr="004A404B" w:rsidRDefault="008706A5" w:rsidP="008706A5">
      <w:pPr>
        <w:widowControl w:val="0"/>
        <w:jc w:val="center"/>
        <w:rPr>
          <w:rFonts w:ascii="Times New Roman" w:eastAsia="Droid Sans Fallback" w:hAnsi="Times New Roman"/>
          <w:b/>
          <w:kern w:val="3"/>
          <w:lang w:val="es-ES" w:eastAsia="zh-CN"/>
        </w:rPr>
      </w:pPr>
      <w:r w:rsidRPr="004A404B">
        <w:rPr>
          <w:rFonts w:ascii="Times New Roman" w:eastAsia="Times New Roman" w:hAnsi="Times New Roman"/>
          <w:b/>
          <w:color w:val="000000"/>
          <w:kern w:val="3"/>
          <w:lang w:val="es-ES" w:eastAsia="es-CO"/>
        </w:rPr>
        <w:t>Tabla 3. Oportunidad cita de medicina general u odontología (en días) y El Centro de atención queda lejos</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1363"/>
        <w:gridCol w:w="1180"/>
        <w:gridCol w:w="923"/>
        <w:gridCol w:w="1363"/>
        <w:gridCol w:w="1180"/>
        <w:gridCol w:w="923"/>
      </w:tblGrid>
      <w:tr w:rsidR="008706A5" w:rsidRPr="004A404B" w:rsidTr="00551F51">
        <w:trPr>
          <w:trHeight w:val="57"/>
          <w:tblHeader/>
          <w:jc w:val="center"/>
        </w:trPr>
        <w:tc>
          <w:tcPr>
            <w:tcW w:w="704" w:type="dxa"/>
            <w:vMerge w:val="restart"/>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Años</w:t>
            </w:r>
          </w:p>
        </w:tc>
        <w:tc>
          <w:tcPr>
            <w:tcW w:w="3119" w:type="dxa"/>
            <w:gridSpan w:val="3"/>
            <w:shd w:val="clear" w:color="auto" w:fill="D9D9D9" w:themeFill="background1" w:themeFillShade="D9"/>
            <w:noWrap/>
            <w:vAlign w:val="bottom"/>
          </w:tcPr>
          <w:p w:rsidR="008706A5" w:rsidRPr="004A404B" w:rsidRDefault="008706A5" w:rsidP="00551F51">
            <w:pPr>
              <w:widowControl w:val="0"/>
              <w:jc w:val="center"/>
              <w:rPr>
                <w:rFonts w:ascii="Times New Roman" w:eastAsia="Droid Sans Fallback" w:hAnsi="Times New Roman"/>
                <w:b/>
                <w:kern w:val="3"/>
                <w:lang w:val="es-ES" w:eastAsia="zh-CN"/>
              </w:rPr>
            </w:pPr>
            <w:r w:rsidRPr="004A404B">
              <w:rPr>
                <w:rFonts w:ascii="Times New Roman" w:eastAsia="Times New Roman" w:hAnsi="Times New Roman"/>
                <w:b/>
                <w:color w:val="000000"/>
                <w:kern w:val="3"/>
                <w:lang w:val="es-ES" w:eastAsia="es-CO"/>
              </w:rPr>
              <w:t>Oportunidad cita de medicina general u odontología (en días)</w:t>
            </w:r>
          </w:p>
        </w:tc>
        <w:tc>
          <w:tcPr>
            <w:tcW w:w="3402" w:type="dxa"/>
            <w:gridSpan w:val="3"/>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Centro de atención queda lejos (%)</w:t>
            </w:r>
          </w:p>
        </w:tc>
      </w:tr>
      <w:tr w:rsidR="008706A5" w:rsidRPr="004A404B" w:rsidTr="00551F51">
        <w:trPr>
          <w:trHeight w:val="57"/>
          <w:tblHeader/>
          <w:jc w:val="center"/>
        </w:trPr>
        <w:tc>
          <w:tcPr>
            <w:tcW w:w="704" w:type="dxa"/>
            <w:vMerge/>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p>
        </w:tc>
        <w:tc>
          <w:tcPr>
            <w:tcW w:w="1134"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Contributivo</w:t>
            </w:r>
          </w:p>
        </w:tc>
        <w:tc>
          <w:tcPr>
            <w:tcW w:w="1134"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Subsidiado</w:t>
            </w:r>
          </w:p>
        </w:tc>
        <w:tc>
          <w:tcPr>
            <w:tcW w:w="851"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c>
          <w:tcPr>
            <w:tcW w:w="1275"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Contributivo</w:t>
            </w:r>
          </w:p>
        </w:tc>
        <w:tc>
          <w:tcPr>
            <w:tcW w:w="1134"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Subsidiado</w:t>
            </w:r>
          </w:p>
        </w:tc>
        <w:tc>
          <w:tcPr>
            <w:tcW w:w="993"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r>
      <w:tr w:rsidR="008706A5" w:rsidRPr="004A404B" w:rsidTr="00551F51">
        <w:trPr>
          <w:trHeight w:val="57"/>
          <w:jc w:val="center"/>
        </w:trPr>
        <w:tc>
          <w:tcPr>
            <w:tcW w:w="704"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2011</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4,37</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2,99</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4,12</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2,58</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8,32</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0,45</w:t>
            </w:r>
          </w:p>
        </w:tc>
      </w:tr>
      <w:tr w:rsidR="008706A5" w:rsidRPr="004A404B" w:rsidTr="00551F51">
        <w:trPr>
          <w:trHeight w:val="57"/>
          <w:jc w:val="center"/>
        </w:trPr>
        <w:tc>
          <w:tcPr>
            <w:tcW w:w="704"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2012</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3,40</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2,62</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3,78</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4,56</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7,28</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5,38</w:t>
            </w:r>
          </w:p>
        </w:tc>
      </w:tr>
      <w:tr w:rsidR="008706A5" w:rsidRPr="004A404B" w:rsidTr="00551F51">
        <w:trPr>
          <w:trHeight w:val="57"/>
          <w:jc w:val="center"/>
        </w:trPr>
        <w:tc>
          <w:tcPr>
            <w:tcW w:w="704"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2013</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4,95</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3,74</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3,47</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3,70</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8,61</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0,72</w:t>
            </w:r>
          </w:p>
        </w:tc>
      </w:tr>
      <w:tr w:rsidR="008706A5" w:rsidRPr="004A404B" w:rsidTr="00551F51">
        <w:trPr>
          <w:trHeight w:val="57"/>
          <w:jc w:val="center"/>
        </w:trPr>
        <w:tc>
          <w:tcPr>
            <w:tcW w:w="704"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2014</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4,70</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3,17</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3,66</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1,85</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3,82</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3,09</w:t>
            </w:r>
          </w:p>
        </w:tc>
      </w:tr>
      <w:tr w:rsidR="008706A5" w:rsidRPr="004A404B" w:rsidTr="00551F51">
        <w:trPr>
          <w:trHeight w:val="57"/>
          <w:jc w:val="center"/>
        </w:trPr>
        <w:tc>
          <w:tcPr>
            <w:tcW w:w="704" w:type="dxa"/>
            <w:shd w:val="clear" w:color="auto" w:fill="auto"/>
            <w:noWrap/>
            <w:vAlign w:val="bottom"/>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2015</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3,65</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2,45</w:t>
            </w:r>
          </w:p>
        </w:tc>
        <w:tc>
          <w:tcPr>
            <w:tcW w:w="851"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5,38</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1,12</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5,32</w:t>
            </w:r>
          </w:p>
        </w:tc>
        <w:tc>
          <w:tcPr>
            <w:tcW w:w="993"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0,60</w:t>
            </w:r>
          </w:p>
        </w:tc>
      </w:tr>
    </w:tbl>
    <w:p w:rsidR="008706A5" w:rsidRPr="004A404B" w:rsidRDefault="008706A5" w:rsidP="008706A5">
      <w:pPr>
        <w:widowControl w:val="0"/>
        <w:jc w:val="both"/>
        <w:rPr>
          <w:rFonts w:ascii="Times New Roman" w:eastAsia="Droid Sans Fallback" w:hAnsi="Times New Roman"/>
          <w:kern w:val="3"/>
          <w:lang w:val="es-ES" w:eastAsia="zh-CN"/>
        </w:rPr>
      </w:pPr>
      <w:r w:rsidRPr="004A404B">
        <w:rPr>
          <w:rFonts w:ascii="Times New Roman" w:eastAsia="Droid Sans Fallback" w:hAnsi="Times New Roman"/>
          <w:b/>
          <w:kern w:val="3"/>
          <w:lang w:val="es-ES" w:eastAsia="zh-CN"/>
        </w:rPr>
        <w:t xml:space="preserve">                                  Fuente: </w:t>
      </w:r>
      <w:r w:rsidRPr="004A404B">
        <w:rPr>
          <w:rFonts w:ascii="Times New Roman" w:eastAsia="Droid Sans Fallback" w:hAnsi="Times New Roman"/>
          <w:kern w:val="3"/>
          <w:lang w:val="es-ES" w:eastAsia="zh-CN"/>
        </w:rPr>
        <w:t>Departamento Nacional de Estadísticas. Encuestas de Calidad de Vida. Cálculos MSPS – DPSAP</w:t>
      </w:r>
    </w:p>
    <w:p w:rsidR="008706A5" w:rsidRPr="004A404B" w:rsidRDefault="008706A5" w:rsidP="008706A5">
      <w:pPr>
        <w:widowControl w:val="0"/>
        <w:jc w:val="both"/>
        <w:rPr>
          <w:rFonts w:ascii="Times New Roman" w:eastAsia="Droid Sans Fallback" w:hAnsi="Times New Roman"/>
          <w:kern w:val="3"/>
          <w:lang w:val="es-ES" w:eastAsia="zh-CN"/>
        </w:rPr>
      </w:pPr>
    </w:p>
    <w:p w:rsidR="008706A5" w:rsidRPr="004A404B" w:rsidRDefault="008706A5" w:rsidP="008706A5">
      <w:pPr>
        <w:widowControl w:val="0"/>
        <w:jc w:val="both"/>
        <w:rPr>
          <w:rFonts w:ascii="Times New Roman" w:eastAsia="Droid Sans Fallback" w:hAnsi="Times New Roman"/>
          <w:kern w:val="3"/>
          <w:lang w:val="es-ES" w:eastAsia="zh-CN"/>
        </w:rPr>
      </w:pPr>
      <w:r w:rsidRPr="004A404B">
        <w:rPr>
          <w:rFonts w:ascii="Times New Roman" w:eastAsia="Droid Sans Fallback" w:hAnsi="Times New Roman"/>
          <w:kern w:val="3"/>
          <w:lang w:val="es-ES" w:eastAsia="zh-CN"/>
        </w:rPr>
        <w:t xml:space="preserve">Con relación a la disponibilidad de la oferta de servicios de salud, para los años 2011 y 2015 también se presenta una reducción en la razón </w:t>
      </w:r>
      <w:r w:rsidRPr="004A404B">
        <w:rPr>
          <w:rFonts w:ascii="Times New Roman" w:eastAsia="Droid Sans Fallback" w:hAnsi="Times New Roman"/>
          <w:i/>
          <w:kern w:val="3"/>
          <w:lang w:val="es-ES" w:eastAsia="zh-CN"/>
        </w:rPr>
        <w:t>el Centro de atención queda lejos</w:t>
      </w:r>
      <w:r w:rsidRPr="004A404B">
        <w:rPr>
          <w:rFonts w:ascii="Times New Roman" w:eastAsia="Droid Sans Fallback" w:hAnsi="Times New Roman"/>
          <w:kern w:val="3"/>
          <w:lang w:val="es-ES" w:eastAsia="zh-CN"/>
        </w:rPr>
        <w:t>, al pasar en el régimen contributivo de 2,58% a 1,12%; y en el régimen subsidiado, de 8,32% a 5,32% (Tabla 3).</w:t>
      </w:r>
    </w:p>
    <w:p w:rsidR="008706A5" w:rsidRPr="004A404B" w:rsidRDefault="008706A5" w:rsidP="008706A5">
      <w:pPr>
        <w:widowControl w:val="0"/>
        <w:jc w:val="both"/>
        <w:rPr>
          <w:rFonts w:ascii="Times New Roman" w:eastAsia="Droid Sans Fallback" w:hAnsi="Times New Roman"/>
          <w:kern w:val="3"/>
          <w:lang w:val="es-ES" w:eastAsia="zh-CN"/>
        </w:rPr>
      </w:pPr>
    </w:p>
    <w:p w:rsidR="008706A5" w:rsidRPr="004A404B" w:rsidRDefault="008706A5" w:rsidP="008706A5">
      <w:pPr>
        <w:widowControl w:val="0"/>
        <w:jc w:val="both"/>
        <w:rPr>
          <w:rFonts w:ascii="Times New Roman" w:eastAsia="Droid Sans Fallback" w:hAnsi="Times New Roman"/>
          <w:kern w:val="3"/>
          <w:lang w:eastAsia="zh-CN"/>
        </w:rPr>
      </w:pPr>
      <w:r w:rsidRPr="004A404B">
        <w:rPr>
          <w:rFonts w:ascii="Times New Roman" w:eastAsia="Droid Sans Fallback" w:hAnsi="Times New Roman"/>
          <w:kern w:val="3"/>
          <w:lang w:eastAsia="zh-CN"/>
        </w:rPr>
        <w:t xml:space="preserve">Así mismo, según la citada Encuesta de Calidad de Vida, la </w:t>
      </w:r>
      <w:r w:rsidRPr="004A404B">
        <w:rPr>
          <w:rFonts w:ascii="Times New Roman" w:eastAsia="Droid Sans Fallback" w:hAnsi="Times New Roman"/>
          <w:i/>
          <w:kern w:val="3"/>
          <w:lang w:eastAsia="zh-CN"/>
        </w:rPr>
        <w:t xml:space="preserve">percepción de la calidad de la prestación de los servicios de salud </w:t>
      </w:r>
      <w:r w:rsidRPr="004A404B">
        <w:rPr>
          <w:rFonts w:ascii="Times New Roman" w:eastAsia="Droid Sans Fallback" w:hAnsi="Times New Roman"/>
          <w:kern w:val="3"/>
          <w:lang w:eastAsia="zh-CN"/>
        </w:rPr>
        <w:t xml:space="preserve">(Tabla 5), los afiliados al régimen contributivo expresaron considerarla “muy buena” en un 15,19%, en el año 2011, y el 14,19%, en el año 2015; mientras en el régimen subsidiado, esta incrementa al pasar de 6,83% a 8,19% en estos años. A su vez, la “buena” percepción de calidad en la prestación de servicios de salud se mantiene en niveles superiores al 65% durante el periodo de análisis; no obstante, se presenta una disminución de la percepción de “buena” calidad, entre los años 2011 y 2015: en el régimen contributivo pasa de 72.20% a 68.72% y en el régimen subsidiado pasa de 79.51% a 79.10%, denotando en este último una mejor percepción. </w:t>
      </w:r>
    </w:p>
    <w:p w:rsidR="008706A5" w:rsidRPr="004A404B" w:rsidRDefault="008706A5" w:rsidP="008706A5">
      <w:pPr>
        <w:widowControl w:val="0"/>
        <w:jc w:val="both"/>
        <w:rPr>
          <w:rFonts w:ascii="Times New Roman" w:eastAsia="Droid Sans Fallback" w:hAnsi="Times New Roman"/>
          <w:kern w:val="3"/>
          <w:lang w:eastAsia="zh-CN"/>
        </w:rPr>
      </w:pPr>
    </w:p>
    <w:p w:rsidR="008706A5" w:rsidRPr="004A404B" w:rsidRDefault="008706A5" w:rsidP="008706A5">
      <w:pPr>
        <w:widowControl w:val="0"/>
        <w:jc w:val="center"/>
        <w:rPr>
          <w:rFonts w:ascii="Times New Roman" w:eastAsia="Droid Sans Fallback" w:hAnsi="Times New Roman"/>
          <w:b/>
          <w:kern w:val="3"/>
          <w:lang w:eastAsia="zh-CN"/>
        </w:rPr>
      </w:pPr>
      <w:r w:rsidRPr="004A404B">
        <w:rPr>
          <w:rFonts w:ascii="Times New Roman" w:eastAsia="Times New Roman" w:hAnsi="Times New Roman"/>
          <w:b/>
          <w:color w:val="000000"/>
          <w:kern w:val="3"/>
          <w:lang w:val="es-ES" w:eastAsia="es-CO"/>
        </w:rPr>
        <w:t>Tabla 5. Percepción de la calidad Muy buena y buena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363"/>
        <w:gridCol w:w="1276"/>
        <w:gridCol w:w="923"/>
        <w:gridCol w:w="1363"/>
        <w:gridCol w:w="1276"/>
        <w:gridCol w:w="1046"/>
      </w:tblGrid>
      <w:tr w:rsidR="008706A5" w:rsidRPr="004A404B" w:rsidTr="00551F51">
        <w:trPr>
          <w:trHeight w:val="57"/>
          <w:tblHeader/>
          <w:jc w:val="center"/>
        </w:trPr>
        <w:tc>
          <w:tcPr>
            <w:tcW w:w="846" w:type="dxa"/>
            <w:vMerge w:val="restart"/>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Años</w:t>
            </w:r>
          </w:p>
        </w:tc>
        <w:tc>
          <w:tcPr>
            <w:tcW w:w="3544" w:type="dxa"/>
            <w:gridSpan w:val="3"/>
            <w:shd w:val="clear" w:color="auto" w:fill="D9D9D9" w:themeFill="background1" w:themeFillShade="D9"/>
            <w:noWrap/>
            <w:vAlign w:val="bottom"/>
          </w:tcPr>
          <w:p w:rsidR="008706A5" w:rsidRPr="004A404B" w:rsidRDefault="008706A5" w:rsidP="00551F51">
            <w:pPr>
              <w:widowControl w:val="0"/>
              <w:jc w:val="center"/>
              <w:rPr>
                <w:rFonts w:ascii="Times New Roman" w:eastAsia="Droid Sans Fallback" w:hAnsi="Times New Roman"/>
                <w:b/>
                <w:kern w:val="3"/>
                <w:lang w:eastAsia="zh-CN"/>
              </w:rPr>
            </w:pPr>
            <w:r w:rsidRPr="004A404B">
              <w:rPr>
                <w:rFonts w:ascii="Times New Roman" w:eastAsia="Times New Roman" w:hAnsi="Times New Roman"/>
                <w:b/>
                <w:color w:val="000000"/>
                <w:kern w:val="3"/>
                <w:lang w:val="es-ES" w:eastAsia="es-CO"/>
              </w:rPr>
              <w:t xml:space="preserve">Muy buena (%) </w:t>
            </w:r>
          </w:p>
        </w:tc>
        <w:tc>
          <w:tcPr>
            <w:tcW w:w="3685" w:type="dxa"/>
            <w:gridSpan w:val="3"/>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Buena (%)</w:t>
            </w:r>
          </w:p>
        </w:tc>
      </w:tr>
      <w:tr w:rsidR="008706A5" w:rsidRPr="004A404B" w:rsidTr="00551F51">
        <w:trPr>
          <w:trHeight w:val="60"/>
          <w:tblHeader/>
          <w:jc w:val="center"/>
        </w:trPr>
        <w:tc>
          <w:tcPr>
            <w:tcW w:w="846" w:type="dxa"/>
            <w:vMerge/>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p>
        </w:tc>
        <w:tc>
          <w:tcPr>
            <w:tcW w:w="1134"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Contributivo </w:t>
            </w:r>
          </w:p>
        </w:tc>
        <w:tc>
          <w:tcPr>
            <w:tcW w:w="1276"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Subsidiado</w:t>
            </w:r>
          </w:p>
        </w:tc>
        <w:tc>
          <w:tcPr>
            <w:tcW w:w="1134"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c>
          <w:tcPr>
            <w:tcW w:w="1275"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Contributivo</w:t>
            </w:r>
          </w:p>
        </w:tc>
        <w:tc>
          <w:tcPr>
            <w:tcW w:w="1276"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Subsidiado</w:t>
            </w:r>
          </w:p>
        </w:tc>
        <w:tc>
          <w:tcPr>
            <w:tcW w:w="1134"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2011</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15,19</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6,83</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14,81</w:t>
            </w:r>
          </w:p>
        </w:tc>
        <w:tc>
          <w:tcPr>
            <w:tcW w:w="1275"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72,20</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79,51</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73,14</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2012</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15,61</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9,40</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16,70</w:t>
            </w:r>
          </w:p>
        </w:tc>
        <w:tc>
          <w:tcPr>
            <w:tcW w:w="1275"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67,14</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74,81</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67,33</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2013</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14,06</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12,53</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11,93</w:t>
            </w:r>
          </w:p>
        </w:tc>
        <w:tc>
          <w:tcPr>
            <w:tcW w:w="1275"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67,28</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74,83</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71,16</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2014</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13,46</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10,57</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15,44</w:t>
            </w:r>
          </w:p>
        </w:tc>
        <w:tc>
          <w:tcPr>
            <w:tcW w:w="1275"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68,39</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79,05</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72,31</w:t>
            </w:r>
          </w:p>
        </w:tc>
      </w:tr>
      <w:tr w:rsidR="008706A5" w:rsidRPr="004A404B" w:rsidTr="00551F51">
        <w:trPr>
          <w:trHeight w:val="57"/>
          <w:jc w:val="center"/>
        </w:trPr>
        <w:tc>
          <w:tcPr>
            <w:tcW w:w="846"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2015</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14,19</w:t>
            </w:r>
          </w:p>
        </w:tc>
        <w:tc>
          <w:tcPr>
            <w:tcW w:w="1276"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8,19</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7,08</w:t>
            </w:r>
          </w:p>
        </w:tc>
        <w:tc>
          <w:tcPr>
            <w:tcW w:w="1275"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68,72</w:t>
            </w:r>
          </w:p>
        </w:tc>
        <w:tc>
          <w:tcPr>
            <w:tcW w:w="1276"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79,10</w:t>
            </w:r>
          </w:p>
        </w:tc>
        <w:tc>
          <w:tcPr>
            <w:tcW w:w="113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74,92</w:t>
            </w:r>
          </w:p>
        </w:tc>
      </w:tr>
    </w:tbl>
    <w:p w:rsidR="008706A5" w:rsidRPr="004A404B" w:rsidRDefault="008706A5" w:rsidP="008706A5">
      <w:pPr>
        <w:widowControl w:val="0"/>
        <w:ind w:left="851" w:right="870"/>
        <w:jc w:val="both"/>
        <w:rPr>
          <w:rFonts w:ascii="Times New Roman" w:hAnsi="Times New Roman"/>
        </w:rPr>
      </w:pPr>
      <w:r w:rsidRPr="004A404B">
        <w:rPr>
          <w:rFonts w:ascii="Times New Roman" w:hAnsi="Times New Roman"/>
          <w:b/>
        </w:rPr>
        <w:t xml:space="preserve">              Fuente: </w:t>
      </w:r>
      <w:r w:rsidRPr="004A404B">
        <w:rPr>
          <w:rFonts w:ascii="Times New Roman" w:hAnsi="Times New Roman"/>
        </w:rPr>
        <w:t xml:space="preserve">Departamento Nacional de Estadísticas. Encuestas de Calidad </w:t>
      </w:r>
      <w:r w:rsidRPr="004A404B">
        <w:rPr>
          <w:rFonts w:ascii="Times New Roman" w:hAnsi="Times New Roman"/>
        </w:rPr>
        <w:lastRenderedPageBreak/>
        <w:t>de Vida. Cálculos MSPS - DPSAP.</w:t>
      </w:r>
    </w:p>
    <w:p w:rsidR="008706A5" w:rsidRPr="004A404B" w:rsidRDefault="008706A5" w:rsidP="008706A5">
      <w:pPr>
        <w:widowControl w:val="0"/>
        <w:jc w:val="both"/>
        <w:rPr>
          <w:rFonts w:ascii="Times New Roman" w:eastAsia="Droid Sans Fallback" w:hAnsi="Times New Roman"/>
          <w:kern w:val="3"/>
          <w:lang w:eastAsia="zh-CN"/>
        </w:rPr>
      </w:pPr>
    </w:p>
    <w:p w:rsidR="008706A5" w:rsidRPr="004A404B" w:rsidRDefault="008706A5" w:rsidP="008706A5">
      <w:pPr>
        <w:widowControl w:val="0"/>
        <w:jc w:val="both"/>
        <w:rPr>
          <w:rFonts w:ascii="Times New Roman" w:eastAsia="Droid Sans Fallback" w:hAnsi="Times New Roman"/>
          <w:kern w:val="3"/>
          <w:lang w:eastAsia="zh-CN"/>
        </w:rPr>
      </w:pPr>
      <w:r w:rsidRPr="004A404B">
        <w:rPr>
          <w:rFonts w:ascii="Times New Roman" w:eastAsia="Droid Sans Fallback" w:hAnsi="Times New Roman"/>
          <w:kern w:val="3"/>
          <w:lang w:eastAsia="zh-CN"/>
        </w:rPr>
        <w:t>Los que perciben la calidad de la atención como “mala” en el régimen contributivo pasan de 10,32% en el año 2011 a 15,24% en el año 2015; en tanto en el régimen subsidiado es del de 12,28% y 11,42% respectivamente. La proporción de percepción de la calidad como “muy mala” en el régimen contributivo disminuye de 2,29% a 1,85% y en el régimen subsidiado de 1,37% a 1,29% (Tabla 6).</w:t>
      </w:r>
    </w:p>
    <w:p w:rsidR="008706A5" w:rsidRPr="004A404B" w:rsidRDefault="008706A5" w:rsidP="008706A5">
      <w:pPr>
        <w:widowControl w:val="0"/>
        <w:jc w:val="both"/>
        <w:rPr>
          <w:rFonts w:ascii="Times New Roman" w:eastAsia="Droid Sans Fallback" w:hAnsi="Times New Roman"/>
          <w:kern w:val="3"/>
          <w:lang w:eastAsia="zh-CN"/>
        </w:rPr>
      </w:pPr>
    </w:p>
    <w:p w:rsidR="008706A5" w:rsidRPr="004A404B" w:rsidRDefault="008706A5" w:rsidP="008706A5">
      <w:pPr>
        <w:widowControl w:val="0"/>
        <w:jc w:val="center"/>
        <w:rPr>
          <w:rFonts w:ascii="Times New Roman" w:eastAsia="Droid Sans Fallback" w:hAnsi="Times New Roman"/>
          <w:b/>
          <w:kern w:val="3"/>
          <w:lang w:eastAsia="zh-CN"/>
        </w:rPr>
      </w:pPr>
      <w:r w:rsidRPr="004A404B">
        <w:rPr>
          <w:rFonts w:ascii="Times New Roman" w:eastAsia="Times New Roman" w:hAnsi="Times New Roman"/>
          <w:b/>
          <w:color w:val="000000"/>
          <w:kern w:val="3"/>
          <w:lang w:val="es-ES" w:eastAsia="es-CO"/>
        </w:rPr>
        <w:t xml:space="preserve">Tabla 6. Percepción de la calidad mala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363"/>
        <w:gridCol w:w="1180"/>
        <w:gridCol w:w="1024"/>
        <w:gridCol w:w="1363"/>
        <w:gridCol w:w="1276"/>
        <w:gridCol w:w="1275"/>
      </w:tblGrid>
      <w:tr w:rsidR="008706A5" w:rsidRPr="004A404B" w:rsidTr="00551F51">
        <w:trPr>
          <w:trHeight w:val="57"/>
          <w:tblHeader/>
          <w:jc w:val="center"/>
        </w:trPr>
        <w:tc>
          <w:tcPr>
            <w:tcW w:w="846" w:type="dxa"/>
            <w:vMerge w:val="restart"/>
            <w:shd w:val="clear" w:color="auto" w:fill="D9D9D9" w:themeFill="background1" w:themeFillShade="D9"/>
            <w:noWrap/>
            <w:vAlign w:val="bottom"/>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Años</w:t>
            </w:r>
          </w:p>
        </w:tc>
        <w:tc>
          <w:tcPr>
            <w:tcW w:w="3292" w:type="dxa"/>
            <w:gridSpan w:val="3"/>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Mala (%)</w:t>
            </w:r>
          </w:p>
        </w:tc>
        <w:tc>
          <w:tcPr>
            <w:tcW w:w="3795" w:type="dxa"/>
            <w:gridSpan w:val="3"/>
            <w:shd w:val="clear" w:color="auto" w:fill="D9D9D9" w:themeFill="background1" w:themeFillShade="D9"/>
            <w:noWrap/>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Muy Mala (%)</w:t>
            </w:r>
          </w:p>
        </w:tc>
      </w:tr>
      <w:tr w:rsidR="008706A5" w:rsidRPr="004A404B" w:rsidTr="00551F51">
        <w:trPr>
          <w:trHeight w:val="60"/>
          <w:tblHeader/>
          <w:jc w:val="center"/>
        </w:trPr>
        <w:tc>
          <w:tcPr>
            <w:tcW w:w="846" w:type="dxa"/>
            <w:vMerge/>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p>
        </w:tc>
        <w:tc>
          <w:tcPr>
            <w:tcW w:w="1134" w:type="dxa"/>
            <w:shd w:val="clear" w:color="auto" w:fill="D9D9D9" w:themeFill="background1" w:themeFillShade="D9"/>
            <w:noWrap/>
            <w:vAlign w:val="bottom"/>
            <w:hideMark/>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Contributivo</w:t>
            </w:r>
          </w:p>
        </w:tc>
        <w:tc>
          <w:tcPr>
            <w:tcW w:w="1134" w:type="dxa"/>
            <w:shd w:val="clear" w:color="auto" w:fill="D9D9D9" w:themeFill="background1" w:themeFillShade="D9"/>
            <w:noWrap/>
            <w:vAlign w:val="bottom"/>
            <w:hideMark/>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Subsidiado</w:t>
            </w:r>
          </w:p>
        </w:tc>
        <w:tc>
          <w:tcPr>
            <w:tcW w:w="1024" w:type="dxa"/>
            <w:shd w:val="clear" w:color="auto" w:fill="D9D9D9" w:themeFill="background1" w:themeFillShade="D9"/>
            <w:vAlign w:val="bottom"/>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Especial</w:t>
            </w:r>
          </w:p>
        </w:tc>
        <w:tc>
          <w:tcPr>
            <w:tcW w:w="1244" w:type="dxa"/>
            <w:shd w:val="clear" w:color="auto" w:fill="D9D9D9" w:themeFill="background1" w:themeFillShade="D9"/>
            <w:noWrap/>
            <w:vAlign w:val="bottom"/>
            <w:hideMark/>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Contributivo</w:t>
            </w:r>
          </w:p>
        </w:tc>
        <w:tc>
          <w:tcPr>
            <w:tcW w:w="1276" w:type="dxa"/>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Subsidiado </w:t>
            </w:r>
          </w:p>
        </w:tc>
        <w:tc>
          <w:tcPr>
            <w:tcW w:w="1275" w:type="dxa"/>
            <w:shd w:val="clear" w:color="auto" w:fill="D9D9D9" w:themeFill="background1" w:themeFillShade="D9"/>
            <w:vAlign w:val="bottom"/>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 xml:space="preserve">Especial </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2011</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10,32</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12,28</w:t>
            </w:r>
          </w:p>
        </w:tc>
        <w:tc>
          <w:tcPr>
            <w:tcW w:w="102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8,88</w:t>
            </w:r>
          </w:p>
        </w:tc>
        <w:tc>
          <w:tcPr>
            <w:tcW w:w="124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2,29</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1,37</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3,18</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2012</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14,41</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14,30</w:t>
            </w:r>
          </w:p>
        </w:tc>
        <w:tc>
          <w:tcPr>
            <w:tcW w:w="102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14,36</w:t>
            </w:r>
          </w:p>
        </w:tc>
        <w:tc>
          <w:tcPr>
            <w:tcW w:w="124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2,84</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1,48</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1,61</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2013</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14,06</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12,53</w:t>
            </w:r>
          </w:p>
        </w:tc>
        <w:tc>
          <w:tcPr>
            <w:tcW w:w="102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11,93</w:t>
            </w:r>
          </w:p>
        </w:tc>
        <w:tc>
          <w:tcPr>
            <w:tcW w:w="124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2,12</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0,95</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2,60</w:t>
            </w:r>
          </w:p>
        </w:tc>
      </w:tr>
      <w:tr w:rsidR="008706A5" w:rsidRPr="004A404B" w:rsidTr="00551F51">
        <w:trPr>
          <w:trHeight w:val="57"/>
          <w:jc w:val="center"/>
        </w:trPr>
        <w:tc>
          <w:tcPr>
            <w:tcW w:w="846" w:type="dxa"/>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2014</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16,19</w:t>
            </w:r>
          </w:p>
        </w:tc>
        <w:tc>
          <w:tcPr>
            <w:tcW w:w="113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9,05</w:t>
            </w:r>
          </w:p>
        </w:tc>
        <w:tc>
          <w:tcPr>
            <w:tcW w:w="102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12,05</w:t>
            </w:r>
          </w:p>
        </w:tc>
        <w:tc>
          <w:tcPr>
            <w:tcW w:w="1244"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1,95</w:t>
            </w:r>
          </w:p>
        </w:tc>
        <w:tc>
          <w:tcPr>
            <w:tcW w:w="1276" w:type="dxa"/>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1,33</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0,20</w:t>
            </w:r>
          </w:p>
        </w:tc>
      </w:tr>
      <w:tr w:rsidR="008706A5" w:rsidRPr="004A404B" w:rsidTr="00551F51">
        <w:trPr>
          <w:trHeight w:val="57"/>
          <w:jc w:val="center"/>
        </w:trPr>
        <w:tc>
          <w:tcPr>
            <w:tcW w:w="846" w:type="dxa"/>
            <w:shd w:val="clear" w:color="auto" w:fill="auto"/>
            <w:noWrap/>
            <w:vAlign w:val="bottom"/>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2015</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15,24</w:t>
            </w:r>
          </w:p>
        </w:tc>
        <w:tc>
          <w:tcPr>
            <w:tcW w:w="113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11,42</w:t>
            </w:r>
          </w:p>
        </w:tc>
        <w:tc>
          <w:tcPr>
            <w:tcW w:w="1024"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16,77</w:t>
            </w:r>
          </w:p>
        </w:tc>
        <w:tc>
          <w:tcPr>
            <w:tcW w:w="1244"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1,85</w:t>
            </w:r>
          </w:p>
        </w:tc>
        <w:tc>
          <w:tcPr>
            <w:tcW w:w="1276" w:type="dxa"/>
            <w:shd w:val="clear" w:color="auto" w:fill="auto"/>
            <w:noWrap/>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1,29</w:t>
            </w:r>
          </w:p>
        </w:tc>
        <w:tc>
          <w:tcPr>
            <w:tcW w:w="1275" w:type="dxa"/>
            <w:vAlign w:val="bottom"/>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1,23</w:t>
            </w:r>
          </w:p>
        </w:tc>
      </w:tr>
    </w:tbl>
    <w:p w:rsidR="008706A5" w:rsidRPr="004A404B" w:rsidRDefault="008706A5" w:rsidP="008706A5">
      <w:pPr>
        <w:widowControl w:val="0"/>
        <w:ind w:left="851" w:right="870"/>
        <w:jc w:val="both"/>
        <w:rPr>
          <w:rFonts w:ascii="Times New Roman" w:hAnsi="Times New Roman"/>
        </w:rPr>
      </w:pPr>
      <w:r w:rsidRPr="004A404B">
        <w:rPr>
          <w:rFonts w:ascii="Times New Roman" w:hAnsi="Times New Roman"/>
          <w:b/>
        </w:rPr>
        <w:t xml:space="preserve">Fuente: </w:t>
      </w:r>
      <w:r w:rsidRPr="004A404B">
        <w:rPr>
          <w:rFonts w:ascii="Times New Roman" w:hAnsi="Times New Roman"/>
        </w:rPr>
        <w:t>Departamento Nacional de Estadísticas. Encuestas de Calidad de Vida. Cálculos MSPS - DPSAP.</w:t>
      </w:r>
    </w:p>
    <w:p w:rsidR="008706A5" w:rsidRPr="004A404B" w:rsidRDefault="008706A5" w:rsidP="008706A5">
      <w:pPr>
        <w:pStyle w:val="Standard"/>
        <w:jc w:val="both"/>
        <w:rPr>
          <w:rFonts w:ascii="Times New Roman" w:hAnsi="Times New Roman" w:cs="Times New Roman"/>
        </w:rPr>
      </w:pPr>
    </w:p>
    <w:p w:rsidR="00AC0C07" w:rsidRPr="004A404B" w:rsidRDefault="00AC0C07" w:rsidP="008706A5">
      <w:pPr>
        <w:pStyle w:val="Standard"/>
        <w:jc w:val="both"/>
        <w:rPr>
          <w:rFonts w:ascii="Times New Roman" w:hAnsi="Times New Roman" w:cs="Times New Roman"/>
        </w:rPr>
      </w:pPr>
    </w:p>
    <w:p w:rsidR="00AC0C07" w:rsidRPr="004A404B" w:rsidRDefault="00AC0C07" w:rsidP="008706A5">
      <w:pPr>
        <w:pStyle w:val="Standard"/>
        <w:jc w:val="both"/>
        <w:rPr>
          <w:rFonts w:ascii="Times New Roman" w:hAnsi="Times New Roman" w:cs="Times New Roman"/>
        </w:rPr>
      </w:pPr>
    </w:p>
    <w:p w:rsidR="008706A5" w:rsidRPr="004A404B" w:rsidRDefault="008706A5" w:rsidP="008706A5">
      <w:pPr>
        <w:pStyle w:val="Standard"/>
        <w:jc w:val="both"/>
        <w:rPr>
          <w:rFonts w:ascii="Times New Roman" w:hAnsi="Times New Roman" w:cs="Times New Roman"/>
        </w:rPr>
      </w:pPr>
    </w:p>
    <w:p w:rsidR="008706A5" w:rsidRPr="004A404B" w:rsidRDefault="008706A5" w:rsidP="008706A5">
      <w:pPr>
        <w:pStyle w:val="Standard"/>
        <w:jc w:val="both"/>
        <w:rPr>
          <w:rFonts w:ascii="Times New Roman" w:eastAsia="Times New Roman" w:hAnsi="Times New Roman" w:cs="Times New Roman"/>
          <w:b/>
          <w:lang w:eastAsia="es-ES"/>
        </w:rPr>
      </w:pPr>
      <w:r w:rsidRPr="004A404B">
        <w:rPr>
          <w:rFonts w:ascii="Times New Roman" w:eastAsia="Times New Roman" w:hAnsi="Times New Roman" w:cs="Times New Roman"/>
          <w:b/>
          <w:lang w:eastAsia="es-ES"/>
        </w:rPr>
        <w:t>2. Oferta de Servicios de Salud</w:t>
      </w:r>
    </w:p>
    <w:p w:rsidR="008706A5" w:rsidRPr="004A404B" w:rsidRDefault="008706A5" w:rsidP="008706A5">
      <w:pPr>
        <w:pStyle w:val="Standard"/>
        <w:jc w:val="both"/>
        <w:rPr>
          <w:rFonts w:ascii="Times New Roman" w:eastAsia="Times New Roman" w:hAnsi="Times New Roman" w:cs="Times New Roman"/>
          <w:lang w:eastAsia="es-ES"/>
        </w:rPr>
      </w:pPr>
    </w:p>
    <w:p w:rsidR="008706A5" w:rsidRPr="004A404B" w:rsidRDefault="008706A5" w:rsidP="008706A5">
      <w:pPr>
        <w:pStyle w:val="Standard"/>
        <w:jc w:val="both"/>
        <w:rPr>
          <w:rFonts w:ascii="Times New Roman" w:hAnsi="Times New Roman" w:cs="Times New Roman"/>
        </w:rPr>
      </w:pPr>
      <w:r w:rsidRPr="004A404B">
        <w:rPr>
          <w:rFonts w:ascii="Times New Roman" w:eastAsia="Times New Roman" w:hAnsi="Times New Roman" w:cs="Times New Roman"/>
          <w:lang w:eastAsia="es-ES"/>
        </w:rPr>
        <w:t>Si se toma en consideración que Colombia es un país con diversidad poblacional y heterogeneidad territorial, con zonas con densidad poblacional y otras con alta dispersión geográfica, estas condiciones tienen implicaciones en el acceso, no sólo al considerar aspectos de la demanda (por características sociales, culturales, económicas y demás de la población), sino de la disponibilidad de los servicios de salud a nivel territorial. En las zonas geográficas con mayor densidad de la población y mercados más dinámicos, se localiza una mayor oferta de servicios, mientras en las zonas con alta dispersión poblacional (alejadas y con problemas de accesibilidad) la oferta es limitada y provista especialmente por prestadores de servicios de salud de naturaleza pública, encargados de la atención en salud de estas poblaciones (Tabla 7).</w:t>
      </w:r>
    </w:p>
    <w:p w:rsidR="008706A5" w:rsidRPr="004A404B" w:rsidRDefault="008706A5" w:rsidP="008706A5">
      <w:pPr>
        <w:ind w:right="49"/>
        <w:jc w:val="both"/>
        <w:outlineLvl w:val="0"/>
        <w:rPr>
          <w:rFonts w:ascii="Times New Roman" w:hAnsi="Times New Roman"/>
        </w:rPr>
      </w:pPr>
    </w:p>
    <w:p w:rsidR="008706A5" w:rsidRPr="004A404B" w:rsidRDefault="008706A5" w:rsidP="008706A5">
      <w:pPr>
        <w:autoSpaceDE w:val="0"/>
        <w:jc w:val="center"/>
        <w:rPr>
          <w:rFonts w:ascii="Times New Roman" w:hAnsi="Times New Roman"/>
          <w:b/>
          <w:bCs/>
        </w:rPr>
      </w:pPr>
      <w:r w:rsidRPr="004A404B">
        <w:rPr>
          <w:rFonts w:ascii="Times New Roman" w:hAnsi="Times New Roman"/>
          <w:b/>
          <w:bCs/>
        </w:rPr>
        <w:t>Tabla 7. Instituciones prestadoras de Servicios de Salud – IPS por departamentos y distrito capital,</w:t>
      </w:r>
    </w:p>
    <w:p w:rsidR="008706A5" w:rsidRPr="004A404B" w:rsidRDefault="008706A5" w:rsidP="008706A5">
      <w:pPr>
        <w:autoSpaceDE w:val="0"/>
        <w:jc w:val="center"/>
        <w:rPr>
          <w:rFonts w:ascii="Times New Roman" w:hAnsi="Times New Roman"/>
          <w:b/>
          <w:bCs/>
        </w:rPr>
      </w:pPr>
      <w:r w:rsidRPr="004A404B">
        <w:rPr>
          <w:rFonts w:ascii="Times New Roman" w:hAnsi="Times New Roman"/>
          <w:b/>
          <w:bCs/>
        </w:rPr>
        <w:t>según naturaleza jurídica. 2015 - 2016</w:t>
      </w:r>
    </w:p>
    <w:tbl>
      <w:tblPr>
        <w:tblW w:w="8926" w:type="dxa"/>
        <w:jc w:val="center"/>
        <w:tblLayout w:type="fixed"/>
        <w:tblCellMar>
          <w:left w:w="70" w:type="dxa"/>
          <w:right w:w="70" w:type="dxa"/>
        </w:tblCellMar>
        <w:tblLook w:val="04A0" w:firstRow="1" w:lastRow="0" w:firstColumn="1" w:lastColumn="0" w:noHBand="0" w:noVBand="1"/>
      </w:tblPr>
      <w:tblGrid>
        <w:gridCol w:w="1893"/>
        <w:gridCol w:w="705"/>
        <w:gridCol w:w="658"/>
        <w:gridCol w:w="708"/>
        <w:gridCol w:w="993"/>
        <w:gridCol w:w="708"/>
        <w:gridCol w:w="709"/>
        <w:gridCol w:w="709"/>
        <w:gridCol w:w="992"/>
        <w:gridCol w:w="851"/>
      </w:tblGrid>
      <w:tr w:rsidR="008706A5" w:rsidRPr="004A404B" w:rsidTr="00551F51">
        <w:trPr>
          <w:trHeight w:val="57"/>
          <w:tblHeader/>
          <w:jc w:val="center"/>
        </w:trPr>
        <w:tc>
          <w:tcPr>
            <w:tcW w:w="18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Departamentos / Distrito Capital</w:t>
            </w:r>
          </w:p>
        </w:tc>
        <w:tc>
          <w:tcPr>
            <w:tcW w:w="306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IPS 2015</w:t>
            </w:r>
          </w:p>
        </w:tc>
        <w:tc>
          <w:tcPr>
            <w:tcW w:w="3118"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IPS 2016</w:t>
            </w:r>
          </w:p>
        </w:tc>
        <w:tc>
          <w:tcPr>
            <w:tcW w:w="851" w:type="dxa"/>
            <w:vMerge w:val="restart"/>
            <w:tcBorders>
              <w:top w:val="single" w:sz="4" w:space="0" w:color="auto"/>
              <w:left w:val="nil"/>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Variación % 2015 - 2016</w:t>
            </w:r>
          </w:p>
        </w:tc>
      </w:tr>
      <w:tr w:rsidR="008706A5" w:rsidRPr="004A404B" w:rsidTr="00551F51">
        <w:trPr>
          <w:trHeight w:val="349"/>
          <w:jc w:val="center"/>
        </w:trPr>
        <w:tc>
          <w:tcPr>
            <w:tcW w:w="18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rPr>
                <w:rFonts w:ascii="Times New Roman" w:eastAsia="Times New Roman" w:hAnsi="Times New Roman"/>
                <w:b/>
                <w:color w:val="000000"/>
                <w:lang w:eastAsia="es-CO"/>
              </w:rPr>
            </w:pPr>
          </w:p>
        </w:tc>
        <w:tc>
          <w:tcPr>
            <w:tcW w:w="70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Privadas</w:t>
            </w:r>
          </w:p>
        </w:tc>
        <w:tc>
          <w:tcPr>
            <w:tcW w:w="6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Mixtas</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Públicas</w:t>
            </w:r>
          </w:p>
        </w:tc>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Total IPS 31-12-2015</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Privadas</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Mixtas</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Públicas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Total IPS 31-12-2016</w:t>
            </w:r>
          </w:p>
        </w:tc>
        <w:tc>
          <w:tcPr>
            <w:tcW w:w="851" w:type="dxa"/>
            <w:vMerge/>
            <w:tcBorders>
              <w:left w:val="single" w:sz="4" w:space="0" w:color="auto"/>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color w:val="000000"/>
                <w:lang w:eastAsia="es-CO"/>
              </w:rPr>
            </w:pP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Amazonas</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27,27</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Antioquia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801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129</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933</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809</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129</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941</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0,86</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Arauca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59</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64</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54</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60</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-6,25</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Atlántico</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704</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28</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734</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759</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789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7,49</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Bogotá D.C</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1.687</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28</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1.718</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1.648</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1.659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-3,43</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Bolívar</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426</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43</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469</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468</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43</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511</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8,96</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Boyacá</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212</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105</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317</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224</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105</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329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3,79</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Caldas</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177</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32</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210</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177</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-0,48</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Caquetá</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Casanare</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120</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126</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2,38</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lastRenderedPageBreak/>
              <w:t>Cauca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195</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224</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194</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223</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-0,45</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Cesar</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302</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30</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332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322</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352</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6,02</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Chocó</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147</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154</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8,16</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Córdoba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347</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33</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380</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360</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32</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392</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3,16</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Cundinamarca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248</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52</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300</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52</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315</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Guainía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Guaviare</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Huila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41</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41</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224</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La Guajira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116</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47</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163</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118</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46</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164</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0,61</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Magdalena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324</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361</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339</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375</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3,88</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Meta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247</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248</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-5,34</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Nariño</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196</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279</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229</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312</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11,83</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Norte de Santander</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278</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278</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Putumayo</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69</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80</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72</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Quindío</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135</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149</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147</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161</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8,05</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Risaralda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189</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206</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199</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216</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4,85</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San Andrés y Providencia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Santander</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571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85</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657</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577</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85</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663</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0,91</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Sucre</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273</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304</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274</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304</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Tolima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257</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53</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310</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265</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52</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318</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2,58</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Valle del cauca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906</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56</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964</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911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55</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967</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0,31</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Vaupés</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8706A5" w:rsidRPr="004A404B" w:rsidRDefault="008706A5" w:rsidP="00551F51">
            <w:pPr>
              <w:rPr>
                <w:rFonts w:ascii="Times New Roman" w:eastAsia="Times New Roman" w:hAnsi="Times New Roman"/>
                <w:color w:val="000000"/>
                <w:lang w:eastAsia="es-CO"/>
              </w:rPr>
            </w:pPr>
            <w:r w:rsidRPr="004A404B">
              <w:rPr>
                <w:rFonts w:ascii="Times New Roman" w:eastAsia="Times New Roman" w:hAnsi="Times New Roman"/>
                <w:color w:val="000000"/>
                <w:lang w:eastAsia="es-CO"/>
              </w:rPr>
              <w:t>Vichada</w:t>
            </w:r>
          </w:p>
        </w:tc>
        <w:tc>
          <w:tcPr>
            <w:tcW w:w="705"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65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w:t>
            </w:r>
          </w:p>
        </w:tc>
        <w:tc>
          <w:tcPr>
            <w:tcW w:w="993"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w:t>
            </w:r>
          </w:p>
        </w:tc>
        <w:tc>
          <w:tcPr>
            <w:tcW w:w="708"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w:t>
            </w: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p>
        </w:tc>
        <w:tc>
          <w:tcPr>
            <w:tcW w:w="709"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w:t>
            </w:r>
          </w:p>
        </w:tc>
        <w:tc>
          <w:tcPr>
            <w:tcW w:w="851" w:type="dxa"/>
            <w:tcBorders>
              <w:top w:val="nil"/>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-10,00</w:t>
            </w:r>
          </w:p>
        </w:tc>
      </w:tr>
      <w:tr w:rsidR="008706A5" w:rsidRPr="004A404B" w:rsidTr="00551F51">
        <w:trPr>
          <w:trHeight w:val="57"/>
          <w:jc w:val="center"/>
        </w:trPr>
        <w:tc>
          <w:tcPr>
            <w:tcW w:w="18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rPr>
                <w:rFonts w:ascii="Times New Roman" w:eastAsia="Times New Roman" w:hAnsi="Times New Roman"/>
                <w:b/>
                <w:color w:val="000000"/>
                <w:lang w:eastAsia="es-CO"/>
              </w:rPr>
            </w:pPr>
            <w:r w:rsidRPr="004A404B">
              <w:rPr>
                <w:rFonts w:ascii="Times New Roman" w:eastAsia="Times New Roman" w:hAnsi="Times New Roman"/>
                <w:b/>
                <w:color w:val="000000"/>
                <w:lang w:eastAsia="es-CO"/>
              </w:rPr>
              <w:t>Total</w:t>
            </w:r>
          </w:p>
        </w:tc>
        <w:tc>
          <w:tcPr>
            <w:tcW w:w="705"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9.254</w:t>
            </w:r>
          </w:p>
        </w:tc>
        <w:tc>
          <w:tcPr>
            <w:tcW w:w="658"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1.043</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10.315</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9.466</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20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1.012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10.498</w:t>
            </w:r>
          </w:p>
        </w:tc>
        <w:tc>
          <w:tcPr>
            <w:tcW w:w="851" w:type="dxa"/>
            <w:tcBorders>
              <w:top w:val="nil"/>
              <w:left w:val="nil"/>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1,77</w:t>
            </w:r>
          </w:p>
        </w:tc>
      </w:tr>
    </w:tbl>
    <w:p w:rsidR="008706A5" w:rsidRPr="004A404B" w:rsidRDefault="008706A5" w:rsidP="008706A5">
      <w:pPr>
        <w:ind w:right="49"/>
        <w:jc w:val="both"/>
        <w:outlineLvl w:val="0"/>
        <w:rPr>
          <w:rFonts w:ascii="Times New Roman" w:hAnsi="Times New Roman"/>
        </w:rPr>
      </w:pPr>
      <w:r w:rsidRPr="004A404B">
        <w:rPr>
          <w:rFonts w:ascii="Times New Roman" w:hAnsi="Times New Roman"/>
          <w:b/>
        </w:rPr>
        <w:t xml:space="preserve">  Fuente: </w:t>
      </w:r>
      <w:r w:rsidRPr="004A404B">
        <w:rPr>
          <w:rFonts w:ascii="Times New Roman" w:hAnsi="Times New Roman"/>
        </w:rPr>
        <w:t>Registro Especial de Prestadores de Servicios de Salud – REPS</w:t>
      </w:r>
    </w:p>
    <w:p w:rsidR="008706A5" w:rsidRPr="004A404B" w:rsidRDefault="008706A5" w:rsidP="008706A5">
      <w:pPr>
        <w:ind w:right="49"/>
        <w:jc w:val="both"/>
        <w:outlineLvl w:val="0"/>
        <w:rPr>
          <w:rFonts w:ascii="Times New Roman" w:hAnsi="Times New Roman"/>
        </w:rPr>
      </w:pPr>
    </w:p>
    <w:p w:rsidR="008706A5" w:rsidRPr="004A404B" w:rsidRDefault="008706A5" w:rsidP="008706A5">
      <w:pPr>
        <w:ind w:right="49"/>
        <w:jc w:val="both"/>
        <w:outlineLvl w:val="0"/>
        <w:rPr>
          <w:rFonts w:ascii="Times New Roman" w:hAnsi="Times New Roman"/>
        </w:rPr>
      </w:pPr>
      <w:r w:rsidRPr="004A404B">
        <w:rPr>
          <w:rFonts w:ascii="Times New Roman" w:hAnsi="Times New Roman"/>
        </w:rPr>
        <w:t>Conforme a la información reportada al Registro Especial de Prestadores de Servicios de Salud – REPS, en departamentos con población dispersa como Amazonas se observa un crecimiento en instituciones prestadoras de servicios de salud entre los años 2015 y 2016 del 27,27%, en tanto en Guainía, Guaviare y Vaupés, se mantiene el número de IPS para esos años y en el departamento de Vichada disminuye en 10%.</w:t>
      </w:r>
    </w:p>
    <w:p w:rsidR="008706A5" w:rsidRPr="004A404B" w:rsidRDefault="008706A5" w:rsidP="008706A5">
      <w:pPr>
        <w:ind w:right="49"/>
        <w:jc w:val="both"/>
        <w:outlineLvl w:val="0"/>
        <w:rPr>
          <w:rFonts w:ascii="Times New Roman" w:hAnsi="Times New Roman"/>
        </w:rPr>
      </w:pPr>
    </w:p>
    <w:p w:rsidR="008706A5" w:rsidRPr="004A404B" w:rsidRDefault="008706A5" w:rsidP="008706A5">
      <w:pPr>
        <w:ind w:right="49"/>
        <w:jc w:val="both"/>
        <w:outlineLvl w:val="0"/>
        <w:rPr>
          <w:rFonts w:ascii="Times New Roman" w:eastAsia="Times New Roman" w:hAnsi="Times New Roman"/>
          <w:bCs/>
          <w:lang w:eastAsia="es-CO"/>
        </w:rPr>
      </w:pPr>
      <w:r w:rsidRPr="004A404B">
        <w:rPr>
          <w:rFonts w:ascii="Times New Roman" w:hAnsi="Times New Roman"/>
        </w:rPr>
        <w:t>La heterogeneidad territorial también se observa en el número de camas instaladas</w:t>
      </w:r>
      <w:r w:rsidRPr="004A404B">
        <w:rPr>
          <w:rFonts w:ascii="Times New Roman" w:eastAsia="Times New Roman" w:hAnsi="Times New Roman"/>
          <w:bCs/>
          <w:lang w:eastAsia="es-CO"/>
        </w:rPr>
        <w:t>, cuya distribución por departamento y distrito capital se presenta en la siguiente Tabla 8.</w:t>
      </w:r>
    </w:p>
    <w:p w:rsidR="008706A5" w:rsidRPr="004A404B" w:rsidRDefault="008706A5" w:rsidP="008706A5">
      <w:pPr>
        <w:ind w:right="49"/>
        <w:jc w:val="both"/>
        <w:outlineLvl w:val="0"/>
        <w:rPr>
          <w:rFonts w:ascii="Times New Roman" w:eastAsia="Times New Roman" w:hAnsi="Times New Roman"/>
          <w:bCs/>
          <w:lang w:eastAsia="es-CO"/>
        </w:rPr>
      </w:pPr>
    </w:p>
    <w:p w:rsidR="008706A5" w:rsidRPr="004A404B" w:rsidRDefault="008706A5" w:rsidP="008706A5">
      <w:pPr>
        <w:ind w:right="49"/>
        <w:jc w:val="center"/>
        <w:outlineLvl w:val="0"/>
        <w:rPr>
          <w:rFonts w:ascii="Times New Roman" w:eastAsia="Times New Roman" w:hAnsi="Times New Roman"/>
          <w:bCs/>
          <w:lang w:eastAsia="es-CO"/>
        </w:rPr>
      </w:pPr>
      <w:r w:rsidRPr="004A404B">
        <w:rPr>
          <w:rFonts w:ascii="Times New Roman" w:eastAsia="Times New Roman" w:hAnsi="Times New Roman"/>
          <w:b/>
          <w:bCs/>
          <w:color w:val="000000"/>
          <w:lang w:eastAsia="es-CO"/>
        </w:rPr>
        <w:t>Tabla 8. Camas habilitadas y razón de camas por 1.000 habitantes. 2015 y 2016</w:t>
      </w:r>
    </w:p>
    <w:tbl>
      <w:tblPr>
        <w:tblW w:w="7792" w:type="dxa"/>
        <w:jc w:val="center"/>
        <w:tblCellMar>
          <w:left w:w="70" w:type="dxa"/>
          <w:right w:w="70" w:type="dxa"/>
        </w:tblCellMar>
        <w:tblLook w:val="04A0" w:firstRow="1" w:lastRow="0" w:firstColumn="1" w:lastColumn="0" w:noHBand="0" w:noVBand="1"/>
      </w:tblPr>
      <w:tblGrid>
        <w:gridCol w:w="1821"/>
        <w:gridCol w:w="1435"/>
        <w:gridCol w:w="1417"/>
        <w:gridCol w:w="1559"/>
        <w:gridCol w:w="1560"/>
      </w:tblGrid>
      <w:tr w:rsidR="008706A5" w:rsidRPr="004A404B" w:rsidTr="00551F51">
        <w:trPr>
          <w:trHeight w:val="57"/>
          <w:tblHeader/>
          <w:jc w:val="center"/>
        </w:trPr>
        <w:tc>
          <w:tcPr>
            <w:tcW w:w="182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706A5" w:rsidRPr="004A404B" w:rsidRDefault="008706A5" w:rsidP="00551F51">
            <w:pPr>
              <w:jc w:val="center"/>
              <w:rPr>
                <w:rFonts w:ascii="Times New Roman" w:eastAsia="Times New Roman" w:hAnsi="Times New Roman"/>
                <w:b/>
                <w:bCs/>
                <w:lang w:eastAsia="es-CO"/>
              </w:rPr>
            </w:pPr>
            <w:r w:rsidRPr="004A404B">
              <w:rPr>
                <w:rFonts w:ascii="Times New Roman" w:eastAsia="Times New Roman" w:hAnsi="Times New Roman"/>
                <w:b/>
                <w:bCs/>
                <w:lang w:eastAsia="es-CO"/>
              </w:rPr>
              <w:t>Departamento / Distrito Capital</w:t>
            </w:r>
          </w:p>
        </w:tc>
        <w:tc>
          <w:tcPr>
            <w:tcW w:w="2852" w:type="dxa"/>
            <w:gridSpan w:val="2"/>
            <w:tcBorders>
              <w:top w:val="single" w:sz="4" w:space="0" w:color="auto"/>
              <w:left w:val="single" w:sz="4" w:space="0" w:color="A6A6A6"/>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Año 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Año 2016</w:t>
            </w:r>
          </w:p>
        </w:tc>
      </w:tr>
      <w:tr w:rsidR="008706A5" w:rsidRPr="004A404B" w:rsidTr="00551F51">
        <w:trPr>
          <w:trHeight w:val="57"/>
          <w:tblHeader/>
          <w:jc w:val="center"/>
        </w:trPr>
        <w:tc>
          <w:tcPr>
            <w:tcW w:w="1821"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bCs/>
                <w:lang w:eastAsia="es-CO"/>
              </w:rPr>
            </w:pPr>
          </w:p>
        </w:tc>
        <w:tc>
          <w:tcPr>
            <w:tcW w:w="1435" w:type="dxa"/>
            <w:tcBorders>
              <w:top w:val="single" w:sz="4" w:space="0" w:color="auto"/>
              <w:left w:val="single" w:sz="4" w:space="0" w:color="A6A6A6"/>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 xml:space="preserve">Total Camas habilitadas – REPS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 xml:space="preserve">Razón Camas por 1.000 habitantes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 xml:space="preserve">Total Camas habilitadas – REPS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 xml:space="preserve">Razón Camas por 1.000 habitantes </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Amazonas</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137</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1,78</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Antioquia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9.874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10.343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1,58</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Arauca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292</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1,38</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Atlántico</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5.918</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2,77</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lastRenderedPageBreak/>
              <w:t>Bogotá D.C</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13.794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1,79</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Bolívar</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3.408</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3.638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1,71</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Boyacá</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1.488</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1,17</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Caldas</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1.954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1,97</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Caquetá</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664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1,39</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Casanare</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423</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1,29</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Cauca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1.267</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0,93</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Cesar</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2.168</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2,51</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Chocó</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816</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1,73</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Córdoba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2.339</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1,50</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Cundinamarca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2.447</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0,97</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Guainía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58</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1,31</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Guaviare</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103</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0,89</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Huila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1.640</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1,44</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La Guajira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1.156</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1,21</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Magdalena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2.589</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2,08</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Meta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1.664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1,77</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Nariño</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2.281</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1,36</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Norte de Santander</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2.040</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1,53</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Putumayo</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378</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1,12</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Quindío</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1.176</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2,05</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Risaralda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1.554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1,74</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San Andrés y Providencia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181</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2,35</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Santander</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3.915</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4.282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2,07</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Sucre</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2.373</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2,68</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Tolima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1.937</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1,40</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Valle del Cauca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7.391</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1,61</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Vaupés</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0,32</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rPr>
                <w:rFonts w:ascii="Times New Roman" w:eastAsia="Times New Roman" w:hAnsi="Times New Roman"/>
                <w:lang w:eastAsia="es-CO"/>
              </w:rPr>
            </w:pPr>
            <w:r w:rsidRPr="004A404B">
              <w:rPr>
                <w:rFonts w:ascii="Times New Roman" w:eastAsia="Times New Roman" w:hAnsi="Times New Roman"/>
                <w:lang w:eastAsia="es-CO"/>
              </w:rPr>
              <w:t>Vichada</w:t>
            </w:r>
          </w:p>
        </w:tc>
        <w:tc>
          <w:tcPr>
            <w:tcW w:w="1435" w:type="dxa"/>
            <w:tcBorders>
              <w:top w:val="single" w:sz="4" w:space="0" w:color="auto"/>
              <w:left w:val="nil"/>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84</w:t>
            </w:r>
          </w:p>
        </w:tc>
        <w:tc>
          <w:tcPr>
            <w:tcW w:w="1417" w:type="dxa"/>
            <w:tcBorders>
              <w:top w:val="single" w:sz="4" w:space="0" w:color="auto"/>
              <w:left w:val="single" w:sz="4" w:space="0" w:color="auto"/>
              <w:bottom w:val="single" w:sz="4" w:space="0" w:color="auto"/>
              <w:right w:val="single" w:sz="4" w:space="0" w:color="auto"/>
            </w:tcBorders>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5" w:rsidRPr="004A404B" w:rsidRDefault="008706A5" w:rsidP="00551F51">
            <w:pPr>
              <w:jc w:val="center"/>
              <w:rPr>
                <w:rFonts w:ascii="Times New Roman" w:eastAsia="Times New Roman" w:hAnsi="Times New Roman"/>
                <w:color w:val="000000"/>
                <w:lang w:eastAsia="es-CO"/>
              </w:rPr>
            </w:pPr>
            <w:r w:rsidRPr="004A404B">
              <w:rPr>
                <w:rFonts w:ascii="Times New Roman" w:eastAsia="Times New Roman" w:hAnsi="Times New Roman"/>
                <w:color w:val="000000"/>
                <w:lang w:eastAsia="es-CO"/>
              </w:rPr>
              <w:t>1,02</w:t>
            </w:r>
          </w:p>
        </w:tc>
      </w:tr>
      <w:tr w:rsidR="008706A5" w:rsidRPr="004A404B" w:rsidTr="00551F51">
        <w:trPr>
          <w:trHeight w:val="57"/>
          <w:jc w:val="center"/>
        </w:trPr>
        <w:tc>
          <w:tcPr>
            <w:tcW w:w="18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rPr>
                <w:rFonts w:ascii="Times New Roman" w:eastAsia="Times New Roman" w:hAnsi="Times New Roman"/>
                <w:b/>
                <w:bCs/>
                <w:lang w:eastAsia="es-CO"/>
              </w:rPr>
            </w:pPr>
            <w:r w:rsidRPr="004A404B">
              <w:rPr>
                <w:rFonts w:ascii="Times New Roman" w:eastAsia="Times New Roman" w:hAnsi="Times New Roman"/>
                <w:b/>
                <w:bCs/>
                <w:lang w:eastAsia="es-CO"/>
              </w:rPr>
              <w:t>Total</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77.523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1,61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81.687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06A5" w:rsidRPr="004A404B" w:rsidRDefault="008706A5" w:rsidP="00551F51">
            <w:pPr>
              <w:jc w:val="center"/>
              <w:rPr>
                <w:rFonts w:ascii="Times New Roman" w:eastAsia="Times New Roman" w:hAnsi="Times New Roman"/>
                <w:b/>
                <w:bCs/>
                <w:color w:val="000000"/>
                <w:lang w:eastAsia="es-CO"/>
              </w:rPr>
            </w:pPr>
            <w:r w:rsidRPr="004A404B">
              <w:rPr>
                <w:rFonts w:ascii="Times New Roman" w:eastAsia="Times New Roman" w:hAnsi="Times New Roman"/>
                <w:b/>
                <w:bCs/>
                <w:color w:val="000000"/>
                <w:lang w:eastAsia="es-CO"/>
              </w:rPr>
              <w:t>1,68</w:t>
            </w:r>
          </w:p>
        </w:tc>
      </w:tr>
    </w:tbl>
    <w:p w:rsidR="008706A5" w:rsidRPr="004A404B" w:rsidRDefault="008706A5" w:rsidP="008706A5">
      <w:pPr>
        <w:ind w:left="851" w:right="899"/>
        <w:jc w:val="both"/>
        <w:outlineLvl w:val="0"/>
        <w:rPr>
          <w:rFonts w:ascii="Times New Roman" w:eastAsia="Times New Roman" w:hAnsi="Times New Roman"/>
          <w:bCs/>
          <w:lang w:eastAsia="es-CO"/>
        </w:rPr>
      </w:pPr>
      <w:r w:rsidRPr="004A404B">
        <w:rPr>
          <w:rFonts w:ascii="Times New Roman" w:eastAsia="Times New Roman" w:hAnsi="Times New Roman"/>
          <w:b/>
          <w:bCs/>
          <w:lang w:eastAsia="es-CO"/>
        </w:rPr>
        <w:t xml:space="preserve">Fuente: </w:t>
      </w:r>
      <w:r w:rsidRPr="004A404B">
        <w:rPr>
          <w:rFonts w:ascii="Times New Roman" w:eastAsia="Times New Roman" w:hAnsi="Times New Roman"/>
          <w:lang w:eastAsia="es-CO"/>
        </w:rPr>
        <w:t xml:space="preserve">Camas - Registro Especial de Prestadores de Servicios de Salud - REPS. </w:t>
      </w:r>
      <w:r w:rsidRPr="004A404B">
        <w:rPr>
          <w:rFonts w:ascii="Times New Roman" w:eastAsia="Times New Roman" w:hAnsi="Times New Roman"/>
          <w:color w:val="000000"/>
          <w:lang w:eastAsia="es-CO"/>
        </w:rPr>
        <w:t>Población - Proyección de población DANE a 2016</w:t>
      </w:r>
    </w:p>
    <w:p w:rsidR="008706A5" w:rsidRPr="004A404B" w:rsidRDefault="008706A5" w:rsidP="008706A5">
      <w:pPr>
        <w:ind w:right="49"/>
        <w:jc w:val="both"/>
        <w:outlineLvl w:val="0"/>
        <w:rPr>
          <w:rFonts w:ascii="Times New Roman" w:hAnsi="Times New Roman"/>
        </w:rPr>
      </w:pPr>
    </w:p>
    <w:p w:rsidR="008706A5" w:rsidRPr="004A404B" w:rsidRDefault="008706A5" w:rsidP="008706A5">
      <w:pPr>
        <w:autoSpaceDE w:val="0"/>
        <w:adjustRightInd w:val="0"/>
        <w:jc w:val="both"/>
        <w:rPr>
          <w:rFonts w:ascii="Times New Roman" w:eastAsia="Times New Roman" w:hAnsi="Times New Roman"/>
          <w:color w:val="000000"/>
          <w:lang w:val="es-ES_tradnl"/>
        </w:rPr>
      </w:pPr>
      <w:r w:rsidRPr="004A404B">
        <w:rPr>
          <w:rFonts w:ascii="Times New Roman" w:eastAsia="Times New Roman" w:hAnsi="Times New Roman"/>
          <w:color w:val="000000"/>
          <w:lang w:val="es-ES_tradnl"/>
        </w:rPr>
        <w:t xml:space="preserve">En razón de las diferencias en la demanda y la oferta de servicios de salud, se presentan disparidades en el acceso entre las zonas urbanas y las dispersas, con limitaciones en estas últimas. </w:t>
      </w:r>
    </w:p>
    <w:p w:rsidR="008706A5" w:rsidRPr="004A404B" w:rsidRDefault="008706A5">
      <w:pPr>
        <w:rPr>
          <w:rFonts w:ascii="Times New Roman" w:hAnsi="Times New Roman"/>
        </w:rPr>
      </w:pPr>
    </w:p>
    <w:p w:rsidR="00AC0C07" w:rsidRPr="004A404B" w:rsidRDefault="00AC0C07" w:rsidP="00AC0C07">
      <w:pPr>
        <w:jc w:val="both"/>
        <w:rPr>
          <w:rFonts w:ascii="Times New Roman" w:eastAsia="Times New Roman" w:hAnsi="Times New Roman"/>
          <w:b/>
          <w:bCs/>
          <w:lang w:eastAsia="es-CO"/>
        </w:rPr>
      </w:pPr>
      <w:r w:rsidRPr="004A404B">
        <w:rPr>
          <w:rFonts w:ascii="Times New Roman" w:eastAsia="Times New Roman" w:hAnsi="Times New Roman"/>
          <w:b/>
          <w:bCs/>
          <w:lang w:eastAsia="es-CO"/>
        </w:rPr>
        <w:t>3. Fortalecimiento de la Capacidad Instalada de la Oferta Pública:</w:t>
      </w:r>
    </w:p>
    <w:p w:rsidR="00AC0C07" w:rsidRPr="004A404B" w:rsidRDefault="00AC0C07" w:rsidP="00AC0C07">
      <w:pPr>
        <w:jc w:val="both"/>
        <w:rPr>
          <w:rFonts w:ascii="Times New Roman" w:eastAsia="Times New Roman" w:hAnsi="Times New Roman"/>
          <w:b/>
          <w:bCs/>
          <w:lang w:eastAsia="es-CO"/>
        </w:rPr>
      </w:pPr>
    </w:p>
    <w:p w:rsidR="00AC0C07" w:rsidRPr="004A404B" w:rsidRDefault="00AC0C07" w:rsidP="00AC0C07">
      <w:pPr>
        <w:jc w:val="both"/>
        <w:rPr>
          <w:rFonts w:ascii="Times New Roman" w:eastAsia="Times New Roman" w:hAnsi="Times New Roman"/>
          <w:kern w:val="3"/>
        </w:rPr>
      </w:pPr>
      <w:r w:rsidRPr="004A404B">
        <w:rPr>
          <w:rFonts w:ascii="Times New Roman" w:hAnsi="Times New Roman"/>
          <w:color w:val="000000" w:themeColor="text1"/>
        </w:rPr>
        <w:t xml:space="preserve">Se han dispuesto importantes recursos financieros para el fortalecimiento de la capacidad resolutiva de la oferta pública de servicios de salud, </w:t>
      </w:r>
      <w:r w:rsidRPr="004A404B">
        <w:rPr>
          <w:rFonts w:ascii="Times New Roman" w:eastAsia="Times New Roman" w:hAnsi="Times New Roman"/>
          <w:kern w:val="3"/>
        </w:rPr>
        <w:t xml:space="preserve">Para la vigencia de 2015, a través de las Resoluciones 2078 y 5422 de 2015 se asignaron recursos de este proyecto por valor de $49.321 millones y $50.077 millones, respectivamente. En 2016, se suscribió el Contrato Específico No. 858 derivado del Contrato Plan de la Nación con la Región Norte del Cauca, para la financiación del Proyecto </w:t>
      </w:r>
      <w:r w:rsidRPr="004A404B">
        <w:rPr>
          <w:rFonts w:ascii="Times New Roman" w:eastAsia="Times New Roman" w:hAnsi="Times New Roman"/>
          <w:kern w:val="3"/>
        </w:rPr>
        <w:lastRenderedPageBreak/>
        <w:t>“Construcción de la planta física para la reubicación del hospital de mediana complejidad Francisco de Paula Santander ESE – Santander de Quilichao – Departamento del Cauca” por $35.689 millones, de los cuales el Ministerio de Salud y Protección Social cofinancia con $8.629 millones. En el marco de Contratos Plan (Ley 1454 de 2011)</w:t>
      </w:r>
      <w:r w:rsidRPr="004A404B">
        <w:rPr>
          <w:rFonts w:ascii="Times New Roman" w:eastAsia="Times New Roman" w:hAnsi="Times New Roman"/>
        </w:rPr>
        <w:t xml:space="preserve">: </w:t>
      </w:r>
      <w:r w:rsidRPr="004A404B">
        <w:rPr>
          <w:rFonts w:ascii="Times New Roman" w:eastAsia="Times New Roman" w:hAnsi="Times New Roman"/>
          <w:kern w:val="3"/>
        </w:rPr>
        <w:t>se asignaron en el año 2015 a través de las Resoluciones 3574 y 5038 de 2015, por valor de $1.030 millones y $5.523 millones, respectivamente.</w:t>
      </w:r>
    </w:p>
    <w:p w:rsidR="00AC0C07" w:rsidRPr="004A404B" w:rsidRDefault="00AC0C07">
      <w:pPr>
        <w:rPr>
          <w:rFonts w:ascii="Times New Roman" w:hAnsi="Times New Roman"/>
        </w:rPr>
      </w:pPr>
    </w:p>
    <w:sectPr w:rsidR="00AC0C07" w:rsidRPr="004A40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D9D"/>
    <w:multiLevelType w:val="hybridMultilevel"/>
    <w:tmpl w:val="EDDCB67A"/>
    <w:lvl w:ilvl="0" w:tplc="F44809AA">
      <w:start w:val="18"/>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A22C5C"/>
    <w:multiLevelType w:val="hybridMultilevel"/>
    <w:tmpl w:val="1B167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1147835"/>
    <w:multiLevelType w:val="multilevel"/>
    <w:tmpl w:val="C3F8BA2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4DF7FE4"/>
    <w:multiLevelType w:val="hybridMultilevel"/>
    <w:tmpl w:val="4CBAD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8153DA9"/>
    <w:multiLevelType w:val="hybridMultilevel"/>
    <w:tmpl w:val="BF5CD166"/>
    <w:lvl w:ilvl="0" w:tplc="240A000F">
      <w:start w:val="1"/>
      <w:numFmt w:val="decimal"/>
      <w:lvlText w:val="%1."/>
      <w:lvlJc w:val="left"/>
      <w:pPr>
        <w:ind w:left="4329" w:hanging="360"/>
      </w:pPr>
      <w:rPr>
        <w:rFonts w:hint="default"/>
      </w:rPr>
    </w:lvl>
    <w:lvl w:ilvl="1" w:tplc="240A0019">
      <w:start w:val="1"/>
      <w:numFmt w:val="lowerLetter"/>
      <w:lvlText w:val="%2."/>
      <w:lvlJc w:val="left"/>
      <w:pPr>
        <w:ind w:left="5049" w:hanging="360"/>
      </w:pPr>
    </w:lvl>
    <w:lvl w:ilvl="2" w:tplc="240A001B" w:tentative="1">
      <w:start w:val="1"/>
      <w:numFmt w:val="lowerRoman"/>
      <w:lvlText w:val="%3."/>
      <w:lvlJc w:val="right"/>
      <w:pPr>
        <w:ind w:left="5769" w:hanging="180"/>
      </w:pPr>
    </w:lvl>
    <w:lvl w:ilvl="3" w:tplc="240A000F" w:tentative="1">
      <w:start w:val="1"/>
      <w:numFmt w:val="decimal"/>
      <w:lvlText w:val="%4."/>
      <w:lvlJc w:val="left"/>
      <w:pPr>
        <w:ind w:left="6489" w:hanging="360"/>
      </w:pPr>
    </w:lvl>
    <w:lvl w:ilvl="4" w:tplc="240A0019" w:tentative="1">
      <w:start w:val="1"/>
      <w:numFmt w:val="lowerLetter"/>
      <w:lvlText w:val="%5."/>
      <w:lvlJc w:val="left"/>
      <w:pPr>
        <w:ind w:left="7209" w:hanging="360"/>
      </w:pPr>
    </w:lvl>
    <w:lvl w:ilvl="5" w:tplc="240A001B" w:tentative="1">
      <w:start w:val="1"/>
      <w:numFmt w:val="lowerRoman"/>
      <w:lvlText w:val="%6."/>
      <w:lvlJc w:val="right"/>
      <w:pPr>
        <w:ind w:left="7929" w:hanging="180"/>
      </w:pPr>
    </w:lvl>
    <w:lvl w:ilvl="6" w:tplc="240A000F" w:tentative="1">
      <w:start w:val="1"/>
      <w:numFmt w:val="decimal"/>
      <w:lvlText w:val="%7."/>
      <w:lvlJc w:val="left"/>
      <w:pPr>
        <w:ind w:left="8649" w:hanging="360"/>
      </w:pPr>
    </w:lvl>
    <w:lvl w:ilvl="7" w:tplc="240A0019" w:tentative="1">
      <w:start w:val="1"/>
      <w:numFmt w:val="lowerLetter"/>
      <w:lvlText w:val="%8."/>
      <w:lvlJc w:val="left"/>
      <w:pPr>
        <w:ind w:left="9369" w:hanging="360"/>
      </w:pPr>
    </w:lvl>
    <w:lvl w:ilvl="8" w:tplc="240A001B" w:tentative="1">
      <w:start w:val="1"/>
      <w:numFmt w:val="lowerRoman"/>
      <w:lvlText w:val="%9."/>
      <w:lvlJc w:val="right"/>
      <w:pPr>
        <w:ind w:left="10089" w:hanging="180"/>
      </w:pPr>
    </w:lvl>
  </w:abstractNum>
  <w:abstractNum w:abstractNumId="5" w15:restartNumberingAfterBreak="0">
    <w:nsid w:val="73BC3DE2"/>
    <w:multiLevelType w:val="hybridMultilevel"/>
    <w:tmpl w:val="B4F23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7E263A2"/>
    <w:multiLevelType w:val="hybridMultilevel"/>
    <w:tmpl w:val="165AF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E11786"/>
    <w:multiLevelType w:val="hybridMultilevel"/>
    <w:tmpl w:val="B0B22DCA"/>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94B1486"/>
    <w:multiLevelType w:val="hybridMultilevel"/>
    <w:tmpl w:val="08E47FA0"/>
    <w:lvl w:ilvl="0" w:tplc="A13CE4FE">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9544B9D"/>
    <w:multiLevelType w:val="multilevel"/>
    <w:tmpl w:val="05B8B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2"/>
  </w:num>
  <w:num w:numId="4">
    <w:abstractNumId w:val="9"/>
  </w:num>
  <w:num w:numId="5">
    <w:abstractNumId w:val="0"/>
  </w:num>
  <w:num w:numId="6">
    <w:abstractNumId w:val="7"/>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A5"/>
    <w:rsid w:val="004A404B"/>
    <w:rsid w:val="0055609C"/>
    <w:rsid w:val="00605465"/>
    <w:rsid w:val="007815B8"/>
    <w:rsid w:val="008706A5"/>
    <w:rsid w:val="00AC0C07"/>
    <w:rsid w:val="00E707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7441"/>
  <w15:chartTrackingRefBased/>
  <w15:docId w15:val="{C90DCA75-E8E1-4C12-89EC-E9455C2B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06A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8706A5"/>
    <w:pPr>
      <w:spacing w:before="100" w:beforeAutospacing="1" w:after="100" w:afterAutospacing="1"/>
    </w:pPr>
    <w:rPr>
      <w:rFonts w:ascii="Times New Roman" w:hAnsi="Times New Roman"/>
      <w:sz w:val="24"/>
      <w:szCs w:val="24"/>
      <w:lang w:eastAsia="es-CO"/>
    </w:rPr>
  </w:style>
  <w:style w:type="paragraph" w:styleId="Encabezado">
    <w:name w:val="header"/>
    <w:basedOn w:val="Normal"/>
    <w:link w:val="EncabezadoCar"/>
    <w:rsid w:val="008706A5"/>
    <w:pPr>
      <w:tabs>
        <w:tab w:val="center" w:pos="4419"/>
        <w:tab w:val="right" w:pos="8838"/>
      </w:tabs>
      <w:suppressAutoHyphens/>
      <w:autoSpaceDN w:val="0"/>
      <w:textAlignment w:val="baseline"/>
    </w:pPr>
    <w:rPr>
      <w:rFonts w:eastAsia="Times New Roman" w:cs="Calibri"/>
    </w:rPr>
  </w:style>
  <w:style w:type="character" w:customStyle="1" w:styleId="EncabezadoCar">
    <w:name w:val="Encabezado Car"/>
    <w:basedOn w:val="Fuentedeprrafopredeter"/>
    <w:link w:val="Encabezado"/>
    <w:rsid w:val="008706A5"/>
    <w:rPr>
      <w:rFonts w:ascii="Calibri" w:eastAsia="Times New Roman" w:hAnsi="Calibri" w:cs="Calibri"/>
    </w:rPr>
  </w:style>
  <w:style w:type="character" w:customStyle="1" w:styleId="HeaderChar">
    <w:name w:val="Header Char"/>
    <w:basedOn w:val="Fuentedeprrafopredeter"/>
    <w:rsid w:val="008706A5"/>
    <w:rPr>
      <w:rFonts w:ascii="Times New Roman" w:hAnsi="Times New Roman"/>
      <w:sz w:val="24"/>
      <w:szCs w:val="24"/>
      <w:lang w:val="es-CO" w:eastAsia="es-ES"/>
    </w:rPr>
  </w:style>
  <w:style w:type="paragraph" w:styleId="Piedepgina">
    <w:name w:val="footer"/>
    <w:basedOn w:val="Normal"/>
    <w:link w:val="PiedepginaCar"/>
    <w:rsid w:val="008706A5"/>
    <w:pPr>
      <w:tabs>
        <w:tab w:val="center" w:pos="4419"/>
        <w:tab w:val="right" w:pos="8838"/>
      </w:tabs>
      <w:suppressAutoHyphens/>
      <w:autoSpaceDN w:val="0"/>
      <w:textAlignment w:val="baseline"/>
    </w:pPr>
    <w:rPr>
      <w:rFonts w:eastAsia="Times New Roman" w:cs="Calibri"/>
    </w:rPr>
  </w:style>
  <w:style w:type="character" w:customStyle="1" w:styleId="PiedepginaCar">
    <w:name w:val="Pie de página Car"/>
    <w:basedOn w:val="Fuentedeprrafopredeter"/>
    <w:link w:val="Piedepgina"/>
    <w:rsid w:val="008706A5"/>
    <w:rPr>
      <w:rFonts w:ascii="Calibri" w:eastAsia="Times New Roman" w:hAnsi="Calibri" w:cs="Calibri"/>
    </w:rPr>
  </w:style>
  <w:style w:type="character" w:customStyle="1" w:styleId="FooterChar">
    <w:name w:val="Footer Char"/>
    <w:basedOn w:val="Fuentedeprrafopredeter"/>
    <w:rsid w:val="008706A5"/>
    <w:rPr>
      <w:rFonts w:ascii="Times New Roman" w:hAnsi="Times New Roman"/>
      <w:sz w:val="24"/>
      <w:szCs w:val="24"/>
      <w:lang w:val="es-CO" w:eastAsia="es-ES"/>
    </w:rPr>
  </w:style>
  <w:style w:type="paragraph" w:styleId="Textodeglobo">
    <w:name w:val="Balloon Text"/>
    <w:basedOn w:val="Normal"/>
    <w:link w:val="TextodegloboCar"/>
    <w:rsid w:val="008706A5"/>
    <w:pPr>
      <w:suppressAutoHyphens/>
      <w:autoSpaceDN w:val="0"/>
      <w:textAlignment w:val="baseline"/>
    </w:pPr>
    <w:rPr>
      <w:rFonts w:ascii="Tahoma" w:eastAsia="Times New Roman" w:hAnsi="Tahoma" w:cs="Tahoma"/>
      <w:sz w:val="16"/>
      <w:szCs w:val="16"/>
    </w:rPr>
  </w:style>
  <w:style w:type="character" w:customStyle="1" w:styleId="TextodegloboCar">
    <w:name w:val="Texto de globo Car"/>
    <w:basedOn w:val="Fuentedeprrafopredeter"/>
    <w:link w:val="Textodeglobo"/>
    <w:rsid w:val="008706A5"/>
    <w:rPr>
      <w:rFonts w:ascii="Tahoma" w:eastAsia="Times New Roman" w:hAnsi="Tahoma" w:cs="Tahoma"/>
      <w:sz w:val="16"/>
      <w:szCs w:val="16"/>
    </w:rPr>
  </w:style>
  <w:style w:type="character" w:customStyle="1" w:styleId="BalloonTextChar">
    <w:name w:val="Balloon Text Char"/>
    <w:basedOn w:val="Fuentedeprrafopredeter"/>
    <w:rsid w:val="008706A5"/>
    <w:rPr>
      <w:rFonts w:ascii="Times New Roman" w:hAnsi="Times New Roman"/>
      <w:lang w:val="es-CO" w:eastAsia="es-ES"/>
    </w:rPr>
  </w:style>
  <w:style w:type="character" w:styleId="Hipervnculo">
    <w:name w:val="Hyperlink"/>
    <w:basedOn w:val="Fuentedeprrafopredeter"/>
    <w:rsid w:val="008706A5"/>
    <w:rPr>
      <w:color w:val="0000FF"/>
      <w:u w:val="single"/>
    </w:rPr>
  </w:style>
  <w:style w:type="character" w:customStyle="1" w:styleId="Absatz-Standardschriftart">
    <w:name w:val="Absatz-Standardschriftart"/>
    <w:rsid w:val="008706A5"/>
  </w:style>
  <w:style w:type="paragraph" w:customStyle="1" w:styleId="Standard">
    <w:name w:val="Standard"/>
    <w:uiPriority w:val="99"/>
    <w:rsid w:val="008706A5"/>
    <w:pPr>
      <w:widowControl w:val="0"/>
      <w:suppressAutoHyphens/>
      <w:autoSpaceDN w:val="0"/>
      <w:spacing w:after="0" w:line="240" w:lineRule="auto"/>
      <w:textAlignment w:val="baseline"/>
    </w:pPr>
    <w:rPr>
      <w:rFonts w:ascii="Arial" w:eastAsia="Droid Sans Fallback" w:hAnsi="Arial" w:cs="Arial"/>
      <w:kern w:val="3"/>
      <w:lang w:val="es-ES" w:eastAsia="zh-CN"/>
    </w:rPr>
  </w:style>
  <w:style w:type="paragraph" w:styleId="Sinespaciado">
    <w:name w:val="No Spacing"/>
    <w:uiPriority w:val="1"/>
    <w:qFormat/>
    <w:rsid w:val="008706A5"/>
    <w:pPr>
      <w:suppressAutoHyphens/>
      <w:autoSpaceDN w:val="0"/>
      <w:spacing w:after="0" w:line="240" w:lineRule="auto"/>
      <w:textAlignment w:val="baseline"/>
    </w:pPr>
    <w:rPr>
      <w:rFonts w:ascii="Times New Roman" w:eastAsia="Calibri" w:hAnsi="Times New Roman" w:cs="Times New Roman"/>
      <w:sz w:val="24"/>
      <w:szCs w:val="24"/>
      <w:lang w:eastAsia="es-ES"/>
    </w:rPr>
  </w:style>
  <w:style w:type="paragraph" w:styleId="Prrafodelista">
    <w:name w:val="List Paragraph"/>
    <w:aliases w:val="Párrafo de lista1,Bullets,titulo 3"/>
    <w:basedOn w:val="Normal"/>
    <w:link w:val="PrrafodelistaCar"/>
    <w:uiPriority w:val="34"/>
    <w:qFormat/>
    <w:rsid w:val="008706A5"/>
    <w:pPr>
      <w:suppressAutoHyphens/>
      <w:autoSpaceDN w:val="0"/>
      <w:ind w:left="720"/>
      <w:contextualSpacing/>
      <w:textAlignment w:val="baseline"/>
    </w:pPr>
    <w:rPr>
      <w:rFonts w:ascii="Times New Roman" w:eastAsia="Calibri" w:hAnsi="Times New Roman"/>
      <w:sz w:val="24"/>
      <w:szCs w:val="24"/>
      <w:lang w:eastAsia="es-ES"/>
    </w:rPr>
  </w:style>
  <w:style w:type="character" w:customStyle="1" w:styleId="PrrafodelistaCar">
    <w:name w:val="Párrafo de lista Car"/>
    <w:aliases w:val="Párrafo de lista1 Car,Bullets Car,titulo 3 Car"/>
    <w:link w:val="Prrafodelista"/>
    <w:uiPriority w:val="34"/>
    <w:locked/>
    <w:rsid w:val="008706A5"/>
    <w:rPr>
      <w:rFonts w:ascii="Times New Roman" w:eastAsia="Calibri" w:hAnsi="Times New Roman" w:cs="Times New Roman"/>
      <w:sz w:val="24"/>
      <w:szCs w:val="24"/>
      <w:lang w:eastAsia="es-ES"/>
    </w:rPr>
  </w:style>
  <w:style w:type="paragraph" w:customStyle="1" w:styleId="Style11">
    <w:name w:val="Style 11"/>
    <w:basedOn w:val="Normal"/>
    <w:uiPriority w:val="99"/>
    <w:rsid w:val="008706A5"/>
    <w:pPr>
      <w:autoSpaceDE w:val="0"/>
      <w:autoSpaceDN w:val="0"/>
      <w:spacing w:before="36" w:line="264" w:lineRule="exact"/>
      <w:ind w:left="144"/>
    </w:pPr>
    <w:rPr>
      <w:rFonts w:ascii="Arial Narrow" w:hAnsi="Arial Narrow"/>
      <w:sz w:val="28"/>
      <w:szCs w:val="28"/>
      <w:lang w:eastAsia="es-ES"/>
    </w:rPr>
  </w:style>
  <w:style w:type="paragraph" w:styleId="NormalWeb">
    <w:name w:val="Normal (Web)"/>
    <w:basedOn w:val="Normal"/>
    <w:uiPriority w:val="99"/>
    <w:unhideWhenUsed/>
    <w:rsid w:val="008706A5"/>
    <w:pPr>
      <w:spacing w:before="100" w:beforeAutospacing="1" w:after="100" w:afterAutospacing="1"/>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706A5"/>
  </w:style>
  <w:style w:type="paragraph" w:customStyle="1" w:styleId="Default">
    <w:name w:val="Default"/>
    <w:rsid w:val="008706A5"/>
    <w:pPr>
      <w:autoSpaceDE w:val="0"/>
      <w:autoSpaceDN w:val="0"/>
      <w:adjustRightInd w:val="0"/>
      <w:spacing w:after="0" w:line="240" w:lineRule="auto"/>
    </w:pPr>
    <w:rPr>
      <w:rFonts w:ascii="Arial" w:eastAsia="Calibri" w:hAnsi="Arial" w:cs="Arial"/>
      <w:color w:val="000000"/>
      <w:sz w:val="24"/>
      <w:szCs w:val="24"/>
    </w:rPr>
  </w:style>
  <w:style w:type="paragraph" w:customStyle="1" w:styleId="CM31">
    <w:name w:val="CM31"/>
    <w:basedOn w:val="Default"/>
    <w:next w:val="Default"/>
    <w:uiPriority w:val="99"/>
    <w:rsid w:val="008706A5"/>
    <w:rPr>
      <w:color w:val="auto"/>
    </w:rPr>
  </w:style>
  <w:style w:type="character" w:customStyle="1" w:styleId="TextonotapieCar">
    <w:name w:val="Texto nota pie Car"/>
    <w:basedOn w:val="Fuentedeprrafopredeter"/>
    <w:link w:val="Textonotapie"/>
    <w:uiPriority w:val="99"/>
    <w:semiHidden/>
    <w:rsid w:val="008706A5"/>
    <w:rPr>
      <w:rFonts w:ascii="Times New Roman" w:eastAsia="Calibri" w:hAnsi="Times New Roman" w:cs="Times New Roman"/>
      <w:sz w:val="20"/>
      <w:szCs w:val="20"/>
      <w:lang w:eastAsia="es-ES"/>
    </w:rPr>
  </w:style>
  <w:style w:type="paragraph" w:styleId="Textonotapie">
    <w:name w:val="footnote text"/>
    <w:basedOn w:val="Normal"/>
    <w:link w:val="TextonotapieCar"/>
    <w:uiPriority w:val="99"/>
    <w:semiHidden/>
    <w:unhideWhenUsed/>
    <w:rsid w:val="008706A5"/>
    <w:pPr>
      <w:suppressAutoHyphens/>
      <w:autoSpaceDN w:val="0"/>
      <w:textAlignment w:val="baseline"/>
    </w:pPr>
    <w:rPr>
      <w:rFonts w:ascii="Times New Roman" w:eastAsia="Calibri" w:hAnsi="Times New Roman"/>
      <w:sz w:val="20"/>
      <w:szCs w:val="20"/>
      <w:lang w:eastAsia="es-ES"/>
    </w:rPr>
  </w:style>
  <w:style w:type="character" w:customStyle="1" w:styleId="TextonotapieCar1">
    <w:name w:val="Texto nota pie Car1"/>
    <w:basedOn w:val="Fuentedeprrafopredeter"/>
    <w:uiPriority w:val="99"/>
    <w:semiHidden/>
    <w:rsid w:val="008706A5"/>
    <w:rPr>
      <w:rFonts w:ascii="Calibri" w:hAnsi="Calibri" w:cs="Times New Roman"/>
      <w:sz w:val="20"/>
      <w:szCs w:val="20"/>
    </w:rPr>
  </w:style>
  <w:style w:type="character" w:customStyle="1" w:styleId="TextocomentarioCar">
    <w:name w:val="Texto comentario Car"/>
    <w:basedOn w:val="Fuentedeprrafopredeter"/>
    <w:link w:val="Textocomentario"/>
    <w:uiPriority w:val="99"/>
    <w:semiHidden/>
    <w:rsid w:val="008706A5"/>
    <w:rPr>
      <w:rFonts w:ascii="Times New Roman" w:eastAsia="Calibri" w:hAnsi="Times New Roman" w:cs="Times New Roman"/>
      <w:sz w:val="20"/>
      <w:szCs w:val="20"/>
      <w:lang w:eastAsia="es-ES"/>
    </w:rPr>
  </w:style>
  <w:style w:type="paragraph" w:styleId="Textocomentario">
    <w:name w:val="annotation text"/>
    <w:basedOn w:val="Normal"/>
    <w:link w:val="TextocomentarioCar"/>
    <w:uiPriority w:val="99"/>
    <w:semiHidden/>
    <w:unhideWhenUsed/>
    <w:rsid w:val="008706A5"/>
    <w:pPr>
      <w:suppressAutoHyphens/>
      <w:autoSpaceDN w:val="0"/>
      <w:textAlignment w:val="baseline"/>
    </w:pPr>
    <w:rPr>
      <w:rFonts w:ascii="Times New Roman" w:eastAsia="Calibri" w:hAnsi="Times New Roman"/>
      <w:sz w:val="20"/>
      <w:szCs w:val="20"/>
      <w:lang w:eastAsia="es-ES"/>
    </w:rPr>
  </w:style>
  <w:style w:type="character" w:customStyle="1" w:styleId="TextocomentarioCar1">
    <w:name w:val="Texto comentario Car1"/>
    <w:basedOn w:val="Fuentedeprrafopredeter"/>
    <w:uiPriority w:val="99"/>
    <w:semiHidden/>
    <w:rsid w:val="008706A5"/>
    <w:rPr>
      <w:rFonts w:ascii="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8706A5"/>
    <w:rPr>
      <w:rFonts w:ascii="Times New Roman" w:eastAsia="Calibri"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706A5"/>
    <w:rPr>
      <w:b/>
      <w:bCs/>
    </w:rPr>
  </w:style>
  <w:style w:type="character" w:customStyle="1" w:styleId="AsuntodelcomentarioCar1">
    <w:name w:val="Asunto del comentario Car1"/>
    <w:basedOn w:val="TextocomentarioCar1"/>
    <w:uiPriority w:val="99"/>
    <w:semiHidden/>
    <w:rsid w:val="008706A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A59F1-0280-4707-828E-536263AE6115}"/>
</file>

<file path=customXml/itemProps2.xml><?xml version="1.0" encoding="utf-8"?>
<ds:datastoreItem xmlns:ds="http://schemas.openxmlformats.org/officeDocument/2006/customXml" ds:itemID="{19736950-A747-4824-9437-C9E9F9AD7610}"/>
</file>

<file path=customXml/itemProps3.xml><?xml version="1.0" encoding="utf-8"?>
<ds:datastoreItem xmlns:ds="http://schemas.openxmlformats.org/officeDocument/2006/customXml" ds:itemID="{E9387672-BC8D-45BC-8C88-B76EB2651EBC}"/>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Marina Villanueva Escobar</dc:creator>
  <cp:keywords/>
  <dc:description/>
  <cp:lastModifiedBy>Luz Alba Vanegas Cubillos</cp:lastModifiedBy>
  <cp:revision>3</cp:revision>
  <dcterms:created xsi:type="dcterms:W3CDTF">2017-07-05T00:31:00Z</dcterms:created>
  <dcterms:modified xsi:type="dcterms:W3CDTF">2017-07-05T00:55:00Z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