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DCBB9" w14:textId="68D67364" w:rsidR="004F6981" w:rsidRDefault="004F6981" w:rsidP="00A9218E">
      <w:pPr>
        <w:widowControl w:val="0"/>
        <w:autoSpaceDE w:val="0"/>
        <w:autoSpaceDN w:val="0"/>
        <w:adjustRightInd w:val="0"/>
        <w:ind w:firstLine="720"/>
        <w:jc w:val="center"/>
        <w:rPr>
          <w:b/>
          <w:u w:val="single"/>
        </w:rPr>
      </w:pPr>
      <w:bookmarkStart w:id="0" w:name="_GoBack"/>
      <w:bookmarkEnd w:id="0"/>
      <w:r>
        <w:rPr>
          <w:b/>
          <w:noProof/>
          <w:u w:val="single"/>
          <w:lang w:val="en-GB" w:eastAsia="en-GB"/>
        </w:rPr>
        <w:drawing>
          <wp:inline distT="0" distB="0" distL="0" distR="0" wp14:anchorId="332BD3A0" wp14:editId="080CA9B0">
            <wp:extent cx="3009900" cy="1651635"/>
            <wp:effectExtent l="0" t="0" r="0" b="5715"/>
            <wp:docPr id="1" name="Picture 1" descr="Band Logo (Cree 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 Logo (Cree N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1651635"/>
                    </a:xfrm>
                    <a:prstGeom prst="rect">
                      <a:avLst/>
                    </a:prstGeom>
                    <a:noFill/>
                    <a:ln>
                      <a:noFill/>
                    </a:ln>
                  </pic:spPr>
                </pic:pic>
              </a:graphicData>
            </a:graphic>
          </wp:inline>
        </w:drawing>
      </w:r>
    </w:p>
    <w:p w14:paraId="0814C24A" w14:textId="77777777" w:rsidR="004F6981" w:rsidRDefault="004F6981" w:rsidP="00A9218E">
      <w:pPr>
        <w:widowControl w:val="0"/>
        <w:autoSpaceDE w:val="0"/>
        <w:autoSpaceDN w:val="0"/>
        <w:adjustRightInd w:val="0"/>
        <w:ind w:firstLine="720"/>
        <w:jc w:val="center"/>
        <w:rPr>
          <w:b/>
          <w:u w:val="single"/>
        </w:rPr>
      </w:pPr>
    </w:p>
    <w:p w14:paraId="5517B859" w14:textId="3B7163F7" w:rsidR="001F08D9" w:rsidRDefault="007D1E7F" w:rsidP="00A9218E">
      <w:pPr>
        <w:widowControl w:val="0"/>
        <w:autoSpaceDE w:val="0"/>
        <w:autoSpaceDN w:val="0"/>
        <w:adjustRightInd w:val="0"/>
        <w:ind w:firstLine="720"/>
        <w:jc w:val="center"/>
        <w:rPr>
          <w:b/>
          <w:u w:val="single"/>
        </w:rPr>
      </w:pPr>
      <w:r w:rsidRPr="007D1E7F">
        <w:rPr>
          <w:b/>
          <w:u w:val="single"/>
        </w:rPr>
        <w:t xml:space="preserve">Submission to the </w:t>
      </w:r>
      <w:r w:rsidR="003259C0">
        <w:rPr>
          <w:b/>
          <w:u w:val="single"/>
        </w:rPr>
        <w:t>93</w:t>
      </w:r>
      <w:r w:rsidR="003259C0" w:rsidRPr="003259C0">
        <w:rPr>
          <w:b/>
          <w:u w:val="single"/>
          <w:vertAlign w:val="superscript"/>
        </w:rPr>
        <w:t>rd</w:t>
      </w:r>
      <w:r w:rsidR="00C04657">
        <w:rPr>
          <w:b/>
          <w:u w:val="single"/>
        </w:rPr>
        <w:t xml:space="preserve"> </w:t>
      </w:r>
      <w:r w:rsidRPr="007D1E7F">
        <w:rPr>
          <w:b/>
          <w:u w:val="single"/>
        </w:rPr>
        <w:t>Session of the</w:t>
      </w:r>
    </w:p>
    <w:p w14:paraId="613D7D84" w14:textId="2717BF6E" w:rsidR="007D1E7F" w:rsidRPr="007D1E7F" w:rsidRDefault="007D1E7F" w:rsidP="00A9218E">
      <w:pPr>
        <w:widowControl w:val="0"/>
        <w:autoSpaceDE w:val="0"/>
        <w:autoSpaceDN w:val="0"/>
        <w:adjustRightInd w:val="0"/>
        <w:ind w:firstLine="720"/>
        <w:jc w:val="center"/>
        <w:rPr>
          <w:b/>
          <w:u w:val="single"/>
        </w:rPr>
      </w:pPr>
      <w:r w:rsidRPr="007D1E7F">
        <w:rPr>
          <w:b/>
          <w:u w:val="single"/>
        </w:rPr>
        <w:t xml:space="preserve"> UN Committee on the Elimination of Racial</w:t>
      </w:r>
    </w:p>
    <w:p w14:paraId="222515F9" w14:textId="77777777" w:rsidR="001F08D9" w:rsidRDefault="007D1E7F" w:rsidP="007D1E7F">
      <w:pPr>
        <w:widowControl w:val="0"/>
        <w:autoSpaceDE w:val="0"/>
        <w:autoSpaceDN w:val="0"/>
        <w:adjustRightInd w:val="0"/>
        <w:jc w:val="center"/>
        <w:rPr>
          <w:b/>
          <w:u w:val="single"/>
        </w:rPr>
      </w:pPr>
      <w:r w:rsidRPr="007D1E7F">
        <w:rPr>
          <w:b/>
          <w:u w:val="single"/>
        </w:rPr>
        <w:t xml:space="preserve">Discrimination with Regard to </w:t>
      </w:r>
      <w:r>
        <w:rPr>
          <w:b/>
          <w:u w:val="single"/>
        </w:rPr>
        <w:t>Canada’s Failure to Comply</w:t>
      </w:r>
      <w:r w:rsidRPr="007D1E7F">
        <w:rPr>
          <w:b/>
          <w:u w:val="single"/>
        </w:rPr>
        <w:t xml:space="preserve"> </w:t>
      </w:r>
    </w:p>
    <w:p w14:paraId="0F050939" w14:textId="0F4D438C" w:rsidR="007D1E7F" w:rsidRPr="007D1E7F" w:rsidRDefault="007D1E7F" w:rsidP="007D1E7F">
      <w:pPr>
        <w:widowControl w:val="0"/>
        <w:autoSpaceDE w:val="0"/>
        <w:autoSpaceDN w:val="0"/>
        <w:adjustRightInd w:val="0"/>
        <w:jc w:val="center"/>
        <w:rPr>
          <w:b/>
          <w:u w:val="single"/>
        </w:rPr>
      </w:pPr>
      <w:r w:rsidRPr="007D1E7F">
        <w:rPr>
          <w:b/>
          <w:u w:val="single"/>
        </w:rPr>
        <w:t>with UN Human Rights</w:t>
      </w:r>
    </w:p>
    <w:p w14:paraId="4F3F8222" w14:textId="77777777" w:rsidR="007D1E7F" w:rsidRPr="007D1E7F" w:rsidRDefault="007D1E7F" w:rsidP="007D1E7F">
      <w:pPr>
        <w:widowControl w:val="0"/>
        <w:autoSpaceDE w:val="0"/>
        <w:autoSpaceDN w:val="0"/>
        <w:adjustRightInd w:val="0"/>
        <w:jc w:val="center"/>
        <w:rPr>
          <w:b/>
          <w:u w:val="single"/>
        </w:rPr>
      </w:pPr>
      <w:r>
        <w:rPr>
          <w:b/>
          <w:u w:val="single"/>
        </w:rPr>
        <w:t>Conventions</w:t>
      </w:r>
      <w:r w:rsidR="000057AE">
        <w:rPr>
          <w:b/>
          <w:u w:val="single"/>
        </w:rPr>
        <w:t xml:space="preserve">, Declarations </w:t>
      </w:r>
      <w:r w:rsidRPr="007D1E7F">
        <w:rPr>
          <w:b/>
          <w:u w:val="single"/>
        </w:rPr>
        <w:t>and General Recommendation</w:t>
      </w:r>
      <w:r w:rsidR="006137D1">
        <w:rPr>
          <w:b/>
          <w:u w:val="single"/>
        </w:rPr>
        <w:t>s</w:t>
      </w:r>
      <w:r w:rsidRPr="007D1E7F">
        <w:rPr>
          <w:b/>
          <w:u w:val="single"/>
        </w:rPr>
        <w:t xml:space="preserve"> No. </w:t>
      </w:r>
      <w:r w:rsidR="006137D1">
        <w:rPr>
          <w:b/>
          <w:u w:val="single"/>
        </w:rPr>
        <w:t xml:space="preserve">21 and </w:t>
      </w:r>
      <w:r w:rsidRPr="007D1E7F">
        <w:rPr>
          <w:b/>
          <w:u w:val="single"/>
        </w:rPr>
        <w:t>23 of the Committee on the Elimination of</w:t>
      </w:r>
      <w:r w:rsidR="0056688E">
        <w:rPr>
          <w:b/>
          <w:u w:val="single"/>
        </w:rPr>
        <w:t xml:space="preserve"> </w:t>
      </w:r>
      <w:r w:rsidRPr="007D1E7F">
        <w:rPr>
          <w:b/>
          <w:u w:val="single"/>
        </w:rPr>
        <w:t>Racial Discrimination</w:t>
      </w:r>
    </w:p>
    <w:p w14:paraId="5270358E" w14:textId="77777777" w:rsidR="007D1E7F" w:rsidRPr="007D1E7F" w:rsidRDefault="008F555F" w:rsidP="007D1E7F">
      <w:pPr>
        <w:widowControl w:val="0"/>
        <w:autoSpaceDE w:val="0"/>
        <w:autoSpaceDN w:val="0"/>
        <w:adjustRightInd w:val="0"/>
        <w:jc w:val="center"/>
        <w:rPr>
          <w:b/>
          <w:u w:val="single"/>
        </w:rPr>
      </w:pPr>
      <w:r>
        <w:rPr>
          <w:b/>
          <w:u w:val="single"/>
        </w:rPr>
        <w:t>July 31 – August 30, 2017</w:t>
      </w:r>
    </w:p>
    <w:p w14:paraId="35C3754F" w14:textId="77777777" w:rsidR="007D1E7F" w:rsidRDefault="007D1E7F" w:rsidP="007D1E7F">
      <w:pPr>
        <w:widowControl w:val="0"/>
        <w:autoSpaceDE w:val="0"/>
        <w:autoSpaceDN w:val="0"/>
        <w:adjustRightInd w:val="0"/>
        <w:jc w:val="center"/>
        <w:rPr>
          <w:b/>
          <w:u w:val="single"/>
        </w:rPr>
      </w:pPr>
      <w:r w:rsidRPr="007D1E7F">
        <w:rPr>
          <w:b/>
          <w:u w:val="single"/>
        </w:rPr>
        <w:t>Geneva</w:t>
      </w:r>
      <w:r w:rsidR="008F555F">
        <w:rPr>
          <w:b/>
          <w:u w:val="single"/>
        </w:rPr>
        <w:t xml:space="preserve">, Switzerland </w:t>
      </w:r>
    </w:p>
    <w:p w14:paraId="267820AE" w14:textId="77777777" w:rsidR="007D1E7F" w:rsidRPr="007D1E7F" w:rsidRDefault="007D1E7F" w:rsidP="007D1E7F">
      <w:pPr>
        <w:widowControl w:val="0"/>
        <w:autoSpaceDE w:val="0"/>
        <w:autoSpaceDN w:val="0"/>
        <w:adjustRightInd w:val="0"/>
        <w:jc w:val="center"/>
        <w:rPr>
          <w:b/>
          <w:u w:val="single"/>
        </w:rPr>
      </w:pPr>
    </w:p>
    <w:p w14:paraId="698A89E7" w14:textId="77777777" w:rsidR="009A342F" w:rsidRPr="009A342F" w:rsidRDefault="009A342F" w:rsidP="009A342F">
      <w:pPr>
        <w:ind w:left="720" w:right="720"/>
        <w:jc w:val="both"/>
      </w:pPr>
      <w:r w:rsidRPr="009A342F">
        <w:t>“</w:t>
      </w:r>
      <w:r w:rsidRPr="009A342F">
        <w:rPr>
          <w:i/>
        </w:rPr>
        <w:t>He who has robbed another of his property, will next endeavour to disarm him of his rights to secure that property; for when the robber becomes the legislator he believes himself secure</w:t>
      </w:r>
      <w:r w:rsidRPr="009A342F">
        <w:t>”.</w:t>
      </w:r>
      <w:r w:rsidRPr="009A342F">
        <w:rPr>
          <w:rStyle w:val="FootnoteReference"/>
        </w:rPr>
        <w:footnoteReference w:id="1"/>
      </w:r>
    </w:p>
    <w:p w14:paraId="02D942D5" w14:textId="77777777" w:rsidR="009A342F" w:rsidRDefault="009A342F" w:rsidP="009A342F">
      <w:pPr>
        <w:ind w:left="720" w:right="720"/>
        <w:jc w:val="both"/>
      </w:pPr>
    </w:p>
    <w:p w14:paraId="63E585AC" w14:textId="77777777" w:rsidR="007D1E7F" w:rsidRPr="007D1E7F" w:rsidRDefault="007D1E7F" w:rsidP="00033890">
      <w:pPr>
        <w:widowControl w:val="0"/>
        <w:autoSpaceDE w:val="0"/>
        <w:autoSpaceDN w:val="0"/>
        <w:adjustRightInd w:val="0"/>
        <w:rPr>
          <w:b/>
          <w:u w:val="single"/>
        </w:rPr>
      </w:pPr>
      <w:r w:rsidRPr="007D1E7F">
        <w:rPr>
          <w:b/>
          <w:u w:val="single"/>
        </w:rPr>
        <w:t>Synopsis</w:t>
      </w:r>
    </w:p>
    <w:p w14:paraId="7745FC56" w14:textId="77777777" w:rsidR="007D1E7F" w:rsidRDefault="007D1E7F" w:rsidP="007D1E7F">
      <w:pPr>
        <w:widowControl w:val="0"/>
        <w:autoSpaceDE w:val="0"/>
        <w:autoSpaceDN w:val="0"/>
        <w:adjustRightInd w:val="0"/>
      </w:pPr>
    </w:p>
    <w:p w14:paraId="52EE72D1" w14:textId="739668A9" w:rsidR="00283374" w:rsidRDefault="007D1E7F" w:rsidP="006962EE">
      <w:pPr>
        <w:pStyle w:val="ListParagraph"/>
        <w:widowControl w:val="0"/>
        <w:numPr>
          <w:ilvl w:val="0"/>
          <w:numId w:val="37"/>
        </w:numPr>
        <w:autoSpaceDE w:val="0"/>
        <w:autoSpaceDN w:val="0"/>
        <w:adjustRightInd w:val="0"/>
        <w:jc w:val="both"/>
      </w:pPr>
      <w:r>
        <w:t xml:space="preserve">The </w:t>
      </w:r>
      <w:r w:rsidR="005F592A">
        <w:t xml:space="preserve">Onion Lake Cree Nation, </w:t>
      </w:r>
      <w:r w:rsidR="00283374">
        <w:t>the Tsuu T’ina Nation</w:t>
      </w:r>
      <w:r w:rsidR="005F592A">
        <w:t xml:space="preserve"> and the Lubicon Lake Nation</w:t>
      </w:r>
      <w:r w:rsidR="00283374">
        <w:t xml:space="preserve"> </w:t>
      </w:r>
      <w:r w:rsidR="00577D27">
        <w:t>(the Nation</w:t>
      </w:r>
      <w:r w:rsidR="00042A9A">
        <w:t>s</w:t>
      </w:r>
      <w:r w:rsidR="00577D27">
        <w:t xml:space="preserve">) </w:t>
      </w:r>
      <w:r w:rsidR="00835FBB">
        <w:t xml:space="preserve">are </w:t>
      </w:r>
      <w:r w:rsidR="00E35CAE">
        <w:t>Indigenous</w:t>
      </w:r>
      <w:r w:rsidR="00835FBB">
        <w:t xml:space="preserve"> </w:t>
      </w:r>
      <w:r w:rsidR="00E35CAE">
        <w:t>Peoples</w:t>
      </w:r>
      <w:r w:rsidR="00515076">
        <w:t xml:space="preserve"> </w:t>
      </w:r>
      <w:r w:rsidR="006137D1">
        <w:t xml:space="preserve">and Nations </w:t>
      </w:r>
      <w:r w:rsidR="00515076">
        <w:t>as understood within the international jurisprudence</w:t>
      </w:r>
      <w:r w:rsidR="005066D3">
        <w:rPr>
          <w:rStyle w:val="FootnoteReference"/>
        </w:rPr>
        <w:footnoteReference w:id="2"/>
      </w:r>
      <w:r w:rsidR="00515076">
        <w:t xml:space="preserve">, and as such we declare that we are </w:t>
      </w:r>
      <w:r w:rsidR="00043759">
        <w:t xml:space="preserve">also </w:t>
      </w:r>
      <w:r w:rsidR="00E0129A">
        <w:t>a “</w:t>
      </w:r>
      <w:r w:rsidR="00E35CAE">
        <w:t>Peoples</w:t>
      </w:r>
      <w:r w:rsidR="00515076">
        <w:t xml:space="preserve">” </w:t>
      </w:r>
      <w:r w:rsidR="00515076">
        <w:lastRenderedPageBreak/>
        <w:t xml:space="preserve">as articulated by </w:t>
      </w:r>
      <w:r w:rsidR="00043759">
        <w:t>the same</w:t>
      </w:r>
      <w:r w:rsidR="00515076">
        <w:t xml:space="preserve"> jurisprudence. </w:t>
      </w:r>
      <w:r w:rsidR="00B13EDF">
        <w:t>Being</w:t>
      </w:r>
      <w:r w:rsidR="00515076">
        <w:t xml:space="preserve"> understood </w:t>
      </w:r>
      <w:r w:rsidR="00043759">
        <w:t>as a</w:t>
      </w:r>
      <w:r w:rsidR="00325749">
        <w:t xml:space="preserve"> “</w:t>
      </w:r>
      <w:r w:rsidR="00E35CAE">
        <w:t>Peoples</w:t>
      </w:r>
      <w:r w:rsidR="00515076">
        <w:t xml:space="preserve">” </w:t>
      </w:r>
      <w:r w:rsidR="00043759">
        <w:t>within the international jurisprudence</w:t>
      </w:r>
      <w:r w:rsidR="00192B23">
        <w:t>,</w:t>
      </w:r>
      <w:r w:rsidR="00043759">
        <w:t xml:space="preserve"> </w:t>
      </w:r>
      <w:r w:rsidR="00515076">
        <w:t>the Nations have an i</w:t>
      </w:r>
      <w:r w:rsidR="0025143E">
        <w:t xml:space="preserve">nherent right to </w:t>
      </w:r>
      <w:r w:rsidR="00044361">
        <w:t xml:space="preserve">self-determination, including, but not limited to, </w:t>
      </w:r>
      <w:r w:rsidR="000D241B">
        <w:t xml:space="preserve">title to </w:t>
      </w:r>
      <w:r w:rsidR="0074417D">
        <w:t>our Territories</w:t>
      </w:r>
      <w:r w:rsidR="00192B23">
        <w:t xml:space="preserve">. Such title to our </w:t>
      </w:r>
      <w:r w:rsidR="00007CC9">
        <w:t>Territories</w:t>
      </w:r>
      <w:r w:rsidR="0025143E">
        <w:t xml:space="preserve"> </w:t>
      </w:r>
      <w:r w:rsidR="00192B23">
        <w:t xml:space="preserve">includes all the natural resources found therein, natural resources that </w:t>
      </w:r>
      <w:r w:rsidR="00864969">
        <w:t>have</w:t>
      </w:r>
      <w:r w:rsidR="0025143E">
        <w:t xml:space="preserve"> </w:t>
      </w:r>
      <w:r w:rsidR="00503D61">
        <w:t xml:space="preserve">always </w:t>
      </w:r>
      <w:r w:rsidR="0025143E">
        <w:t xml:space="preserve">provided </w:t>
      </w:r>
      <w:r w:rsidR="00BA132E">
        <w:t>us with an economy to sustain and</w:t>
      </w:r>
      <w:r w:rsidR="000D241B">
        <w:t xml:space="preserve"> develop our Nations</w:t>
      </w:r>
      <w:r w:rsidR="00192B23">
        <w:t>. In addition</w:t>
      </w:r>
      <w:r w:rsidR="0025143E">
        <w:t xml:space="preserve">, </w:t>
      </w:r>
      <w:r w:rsidR="00192B23">
        <w:t xml:space="preserve">our </w:t>
      </w:r>
      <w:r w:rsidR="00007CC9">
        <w:t>Territories</w:t>
      </w:r>
      <w:r w:rsidR="00192B23">
        <w:t xml:space="preserve"> had aided in defining </w:t>
      </w:r>
      <w:r w:rsidR="000D241B">
        <w:t>our respective cultures, identities</w:t>
      </w:r>
      <w:r w:rsidR="0025143E">
        <w:t xml:space="preserve"> and </w:t>
      </w:r>
      <w:r w:rsidR="009D6EFE">
        <w:t>existence</w:t>
      </w:r>
      <w:r w:rsidR="000D241B">
        <w:t>s</w:t>
      </w:r>
      <w:r w:rsidR="009D6EFE">
        <w:t xml:space="preserve"> as “</w:t>
      </w:r>
      <w:r w:rsidR="00E35CAE">
        <w:t>Indigenous</w:t>
      </w:r>
      <w:r w:rsidR="009D6EFE">
        <w:t xml:space="preserve"> </w:t>
      </w:r>
      <w:r w:rsidR="00E35CAE">
        <w:t>Peoples</w:t>
      </w:r>
      <w:r w:rsidR="009D6EFE">
        <w:t>”</w:t>
      </w:r>
      <w:r w:rsidR="00515076">
        <w:t xml:space="preserve">. </w:t>
      </w:r>
    </w:p>
    <w:p w14:paraId="20B79445" w14:textId="77777777" w:rsidR="00283374" w:rsidRDefault="00283374" w:rsidP="00283374">
      <w:pPr>
        <w:pStyle w:val="ListParagraph"/>
        <w:widowControl w:val="0"/>
        <w:autoSpaceDE w:val="0"/>
        <w:autoSpaceDN w:val="0"/>
        <w:adjustRightInd w:val="0"/>
        <w:jc w:val="both"/>
      </w:pPr>
    </w:p>
    <w:p w14:paraId="3DBFD476" w14:textId="277C127C" w:rsidR="00283374" w:rsidRDefault="00192B23" w:rsidP="00760BD7">
      <w:pPr>
        <w:pStyle w:val="ListParagraph"/>
        <w:widowControl w:val="0"/>
        <w:numPr>
          <w:ilvl w:val="0"/>
          <w:numId w:val="37"/>
        </w:numPr>
        <w:autoSpaceDE w:val="0"/>
        <w:autoSpaceDN w:val="0"/>
        <w:adjustRightInd w:val="0"/>
        <w:jc w:val="both"/>
      </w:pPr>
      <w:r>
        <w:t>Accordingly, w</w:t>
      </w:r>
      <w:r w:rsidR="00503D61">
        <w:t>e assert our Nation</w:t>
      </w:r>
      <w:r w:rsidR="00515076">
        <w:t>s</w:t>
      </w:r>
      <w:r w:rsidR="00503D61">
        <w:t>’</w:t>
      </w:r>
      <w:r w:rsidR="00515076">
        <w:t xml:space="preserve"> </w:t>
      </w:r>
      <w:r w:rsidR="00F745C5">
        <w:t xml:space="preserve">inherent </w:t>
      </w:r>
      <w:r w:rsidR="00515076">
        <w:t xml:space="preserve">right to </w:t>
      </w:r>
      <w:r w:rsidR="00F745C5">
        <w:t>self-determination</w:t>
      </w:r>
      <w:r>
        <w:t>,</w:t>
      </w:r>
      <w:r w:rsidR="00F745C5">
        <w:t xml:space="preserve"> </w:t>
      </w:r>
      <w:r w:rsidR="00DB6E21">
        <w:t xml:space="preserve">including </w:t>
      </w:r>
      <w:r w:rsidR="00515076">
        <w:t xml:space="preserve">to </w:t>
      </w:r>
      <w:r>
        <w:t xml:space="preserve">have </w:t>
      </w:r>
      <w:r w:rsidR="00642B4A">
        <w:t xml:space="preserve">our </w:t>
      </w:r>
      <w:r w:rsidR="00DB6E21">
        <w:t xml:space="preserve">rights and </w:t>
      </w:r>
      <w:r>
        <w:t>title</w:t>
      </w:r>
      <w:r w:rsidR="00DB6E21">
        <w:t>s</w:t>
      </w:r>
      <w:r>
        <w:t xml:space="preserve"> to our </w:t>
      </w:r>
      <w:r w:rsidR="00007CC9">
        <w:t>Territories</w:t>
      </w:r>
      <w:r w:rsidR="00DB6E21">
        <w:t xml:space="preserve"> recognized and respected</w:t>
      </w:r>
      <w:r>
        <w:t xml:space="preserve">, </w:t>
      </w:r>
      <w:r w:rsidR="00DB6E21">
        <w:t>as well as to</w:t>
      </w:r>
      <w:r>
        <w:t xml:space="preserve"> </w:t>
      </w:r>
      <w:r w:rsidR="00542513">
        <w:t>freely pursue our economic, social and cultural d</w:t>
      </w:r>
      <w:r w:rsidR="009B26B3">
        <w:t xml:space="preserve">evelopment </w:t>
      </w:r>
      <w:r w:rsidR="009F70B3">
        <w:t>in</w:t>
      </w:r>
      <w:r w:rsidR="008977EC">
        <w:t xml:space="preserve"> our </w:t>
      </w:r>
      <w:r w:rsidR="00007CC9">
        <w:t>Territories</w:t>
      </w:r>
      <w:r>
        <w:t xml:space="preserve">. </w:t>
      </w:r>
      <w:r w:rsidR="000D241B">
        <w:t xml:space="preserve"> </w:t>
      </w:r>
      <w:r>
        <w:t xml:space="preserve">Such inherent right is based </w:t>
      </w:r>
      <w:r w:rsidR="00742B05">
        <w:t>on</w:t>
      </w:r>
      <w:r w:rsidR="00503D61">
        <w:t xml:space="preserve"> our </w:t>
      </w:r>
      <w:r w:rsidR="009B24EE">
        <w:t xml:space="preserve">respective Nations’ </w:t>
      </w:r>
      <w:r w:rsidR="00503D61">
        <w:t xml:space="preserve">time immemorial </w:t>
      </w:r>
      <w:r w:rsidR="002858C9">
        <w:t xml:space="preserve">presence and </w:t>
      </w:r>
      <w:r w:rsidR="00503D61">
        <w:t xml:space="preserve">connection </w:t>
      </w:r>
      <w:r w:rsidR="00742B05">
        <w:t>on</w:t>
      </w:r>
      <w:r w:rsidR="002858C9">
        <w:t xml:space="preserve"> and </w:t>
      </w:r>
      <w:r w:rsidR="00503D61">
        <w:t xml:space="preserve">to </w:t>
      </w:r>
      <w:r w:rsidR="002858C9">
        <w:t xml:space="preserve">our </w:t>
      </w:r>
      <w:r w:rsidR="00007CC9">
        <w:t>Territories</w:t>
      </w:r>
      <w:r w:rsidR="00503D61">
        <w:t>,</w:t>
      </w:r>
      <w:r w:rsidR="002858C9">
        <w:t xml:space="preserve"> and the laws given to us by the </w:t>
      </w:r>
      <w:r w:rsidR="00AD4256" w:rsidRPr="00283374">
        <w:rPr>
          <w:i/>
        </w:rPr>
        <w:t xml:space="preserve">Manitou </w:t>
      </w:r>
      <w:r w:rsidR="00AD4256">
        <w:t>(</w:t>
      </w:r>
      <w:r w:rsidR="002858C9">
        <w:t>Creator</w:t>
      </w:r>
      <w:r w:rsidR="00AD4256">
        <w:t>)</w:t>
      </w:r>
      <w:r w:rsidR="002858C9">
        <w:t xml:space="preserve"> in relation to </w:t>
      </w:r>
      <w:r w:rsidR="00AD4256">
        <w:t>our</w:t>
      </w:r>
      <w:r w:rsidR="002858C9">
        <w:t xml:space="preserve"> </w:t>
      </w:r>
      <w:r w:rsidR="00007CC9">
        <w:t>Territories</w:t>
      </w:r>
      <w:r w:rsidR="00AD4256">
        <w:t xml:space="preserve">. Our presence, connection and received laws created an unbreakable responsibility and ownership to our </w:t>
      </w:r>
      <w:r w:rsidR="00007CC9">
        <w:t>Territories</w:t>
      </w:r>
      <w:r w:rsidR="00AD4256">
        <w:t xml:space="preserve"> that</w:t>
      </w:r>
      <w:r w:rsidR="002858C9">
        <w:t xml:space="preserve"> predate</w:t>
      </w:r>
      <w:r w:rsidR="00AD4256">
        <w:t>s</w:t>
      </w:r>
      <w:r w:rsidR="009B24EE">
        <w:t xml:space="preserve"> British common law conceptions of real property</w:t>
      </w:r>
      <w:r w:rsidR="002858C9">
        <w:t>, including the common law of Canada</w:t>
      </w:r>
      <w:r w:rsidR="00A83839">
        <w:t>, and we have never</w:t>
      </w:r>
      <w:r w:rsidR="00AD4256">
        <w:t xml:space="preserve"> relinquished, ceded, surrendered or otherwise such responsibility or ownership</w:t>
      </w:r>
      <w:r w:rsidR="00956FBB">
        <w:t>, as such actions is not within our understanding.</w:t>
      </w:r>
    </w:p>
    <w:p w14:paraId="034691F5" w14:textId="77777777" w:rsidR="00283374" w:rsidRDefault="00283374" w:rsidP="00283374">
      <w:pPr>
        <w:widowControl w:val="0"/>
        <w:autoSpaceDE w:val="0"/>
        <w:autoSpaceDN w:val="0"/>
        <w:adjustRightInd w:val="0"/>
        <w:jc w:val="both"/>
      </w:pPr>
    </w:p>
    <w:p w14:paraId="455A045F" w14:textId="3DABA792" w:rsidR="00283374" w:rsidRDefault="009B26B3" w:rsidP="00760BD7">
      <w:pPr>
        <w:pStyle w:val="ListParagraph"/>
        <w:widowControl w:val="0"/>
        <w:numPr>
          <w:ilvl w:val="0"/>
          <w:numId w:val="37"/>
        </w:numPr>
        <w:autoSpaceDE w:val="0"/>
        <w:autoSpaceDN w:val="0"/>
        <w:adjustRightInd w:val="0"/>
        <w:jc w:val="both"/>
      </w:pPr>
      <w:r w:rsidRPr="00014ED4">
        <w:t xml:space="preserve">The Nations further assert that the Canadian state has </w:t>
      </w:r>
      <w:r w:rsidR="00760BD7" w:rsidRPr="00014ED4">
        <w:t xml:space="preserve">consistently </w:t>
      </w:r>
      <w:r w:rsidR="00A83839" w:rsidRPr="00014ED4">
        <w:t>imposed</w:t>
      </w:r>
      <w:r w:rsidR="009A48A5" w:rsidRPr="00014ED4">
        <w:t xml:space="preserve"> </w:t>
      </w:r>
      <w:r w:rsidR="00A83839" w:rsidRPr="00014ED4">
        <w:t>its</w:t>
      </w:r>
      <w:r w:rsidR="009A48A5" w:rsidRPr="00014ED4">
        <w:t xml:space="preserve"> </w:t>
      </w:r>
      <w:r w:rsidR="00D60086">
        <w:t xml:space="preserve">laws, policies and procedures </w:t>
      </w:r>
      <w:r w:rsidR="009A48A5" w:rsidRPr="00014ED4">
        <w:t>on our Nations</w:t>
      </w:r>
      <w:r w:rsidR="00362DC8" w:rsidRPr="00014ED4">
        <w:t xml:space="preserve"> </w:t>
      </w:r>
      <w:r w:rsidR="00BE0525" w:rsidRPr="00014ED4">
        <w:t xml:space="preserve">and </w:t>
      </w:r>
      <w:r w:rsidR="00007CC9">
        <w:t>Territories</w:t>
      </w:r>
      <w:r w:rsidR="00BE0525" w:rsidRPr="00014ED4">
        <w:t xml:space="preserve"> </w:t>
      </w:r>
      <w:r w:rsidR="00362DC8" w:rsidRPr="00014ED4">
        <w:t>base</w:t>
      </w:r>
      <w:r w:rsidR="00E254C4" w:rsidRPr="00014ED4">
        <w:t xml:space="preserve">d </w:t>
      </w:r>
      <w:r w:rsidR="00742B05">
        <w:t>on</w:t>
      </w:r>
      <w:r w:rsidR="00E254C4" w:rsidRPr="00014ED4">
        <w:t xml:space="preserve"> the </w:t>
      </w:r>
      <w:r w:rsidR="00956FBB">
        <w:t xml:space="preserve">false and racist </w:t>
      </w:r>
      <w:r w:rsidR="00792A30" w:rsidRPr="00014ED4">
        <w:t xml:space="preserve">premise that </w:t>
      </w:r>
      <w:r w:rsidR="00BE0525" w:rsidRPr="00014ED4">
        <w:t xml:space="preserve">our inherent rights to our </w:t>
      </w:r>
      <w:r w:rsidR="00007CC9">
        <w:t>Territories</w:t>
      </w:r>
      <w:r w:rsidR="00BE0525" w:rsidRPr="00014ED4">
        <w:t xml:space="preserve"> and </w:t>
      </w:r>
      <w:r w:rsidR="00E8330D">
        <w:t>our</w:t>
      </w:r>
      <w:r w:rsidR="00265269" w:rsidRPr="00014ED4">
        <w:t xml:space="preserve"> natural resources are subservient to the Canadian Crown’s </w:t>
      </w:r>
      <w:r w:rsidR="00C6456A">
        <w:t>“</w:t>
      </w:r>
      <w:r w:rsidR="00265269" w:rsidRPr="00C6456A">
        <w:rPr>
          <w:b/>
          <w:i/>
        </w:rPr>
        <w:t>presumed underlying title</w:t>
      </w:r>
      <w:r w:rsidR="00C6456A">
        <w:rPr>
          <w:b/>
          <w:i/>
        </w:rPr>
        <w:t>”</w:t>
      </w:r>
      <w:r w:rsidR="00265269" w:rsidRPr="00014ED4">
        <w:t xml:space="preserve"> to our </w:t>
      </w:r>
      <w:r w:rsidR="00007CC9">
        <w:t>Territories</w:t>
      </w:r>
      <w:r w:rsidR="00265269" w:rsidRPr="00014ED4">
        <w:t xml:space="preserve"> and natural resources.</w:t>
      </w:r>
      <w:r w:rsidR="00265269" w:rsidRPr="00283374">
        <w:rPr>
          <w:b/>
          <w:i/>
        </w:rPr>
        <w:t xml:space="preserve"> </w:t>
      </w:r>
      <w:r w:rsidR="0061192D">
        <w:t xml:space="preserve">The Nations submit that </w:t>
      </w:r>
      <w:r w:rsidR="00265269">
        <w:t xml:space="preserve">at its core, the belief in the Crown’s presumed underlying title is </w:t>
      </w:r>
      <w:r w:rsidR="0061192D">
        <w:t xml:space="preserve">based </w:t>
      </w:r>
      <w:r w:rsidR="00742B05">
        <w:t>on</w:t>
      </w:r>
      <w:r w:rsidR="0061192D">
        <w:t xml:space="preserve"> </w:t>
      </w:r>
      <w:r w:rsidR="00E254C4" w:rsidRPr="00BD739D">
        <w:rPr>
          <w:b/>
          <w:i/>
        </w:rPr>
        <w:t>racially offensive</w:t>
      </w:r>
      <w:r w:rsidR="00E254C4">
        <w:t xml:space="preserve"> </w:t>
      </w:r>
      <w:r w:rsidR="0061192D">
        <w:t>coloni</w:t>
      </w:r>
      <w:r w:rsidR="003645BF">
        <w:t xml:space="preserve">al </w:t>
      </w:r>
      <w:r w:rsidR="00265269">
        <w:t>ideologies</w:t>
      </w:r>
      <w:r w:rsidR="003645BF">
        <w:t xml:space="preserve"> and attitudes </w:t>
      </w:r>
      <w:r w:rsidR="00E254C4">
        <w:t xml:space="preserve">that were enshrined in </w:t>
      </w:r>
      <w:r w:rsidR="00F5355A">
        <w:t xml:space="preserve">two </w:t>
      </w:r>
      <w:r w:rsidR="001A67DF">
        <w:t>doctrines</w:t>
      </w:r>
      <w:r w:rsidR="00F5355A">
        <w:t xml:space="preserve"> used by </w:t>
      </w:r>
      <w:r w:rsidR="002858C9">
        <w:t xml:space="preserve">European </w:t>
      </w:r>
      <w:r w:rsidR="00F5355A">
        <w:t xml:space="preserve">colonial </w:t>
      </w:r>
      <w:r w:rsidR="002858C9">
        <w:t>powers to deny</w:t>
      </w:r>
      <w:r w:rsidR="009C7C8E">
        <w:t xml:space="preserve"> </w:t>
      </w:r>
      <w:r w:rsidR="00E35CAE">
        <w:t>Indigenous</w:t>
      </w:r>
      <w:r w:rsidR="009C7C8E">
        <w:t xml:space="preserve"> </w:t>
      </w:r>
      <w:r w:rsidR="00E35CAE">
        <w:t>Peoples</w:t>
      </w:r>
      <w:r w:rsidR="00265269">
        <w:t xml:space="preserve">’ rights to </w:t>
      </w:r>
      <w:r w:rsidR="00E8330D">
        <w:t>our</w:t>
      </w:r>
      <w:r w:rsidR="001A67DF">
        <w:t xml:space="preserve"> </w:t>
      </w:r>
      <w:r w:rsidR="00007CC9">
        <w:t>Territories</w:t>
      </w:r>
      <w:r w:rsidR="00F5355A">
        <w:t xml:space="preserve">; </w:t>
      </w:r>
      <w:r w:rsidR="00E254C4">
        <w:t xml:space="preserve">the </w:t>
      </w:r>
      <w:r w:rsidR="00E254C4" w:rsidRPr="00283374">
        <w:rPr>
          <w:i/>
        </w:rPr>
        <w:t>Doctrine of Discovery</w:t>
      </w:r>
      <w:r w:rsidR="00E254C4">
        <w:t xml:space="preserve"> and </w:t>
      </w:r>
      <w:r w:rsidR="00F5355A">
        <w:t>the doctrine of</w:t>
      </w:r>
      <w:r w:rsidR="00D056B4">
        <w:t xml:space="preserve"> </w:t>
      </w:r>
      <w:r w:rsidR="00513D7F" w:rsidRPr="00283374">
        <w:rPr>
          <w:i/>
        </w:rPr>
        <w:t>terra nullius</w:t>
      </w:r>
      <w:r w:rsidR="00A54085">
        <w:t>. Although the Supreme Court of Cana</w:t>
      </w:r>
      <w:r w:rsidR="00400CE3">
        <w:t>da has recently</w:t>
      </w:r>
      <w:r w:rsidR="00A54085">
        <w:t xml:space="preserve"> stated that</w:t>
      </w:r>
      <w:r w:rsidR="001A67DF">
        <w:t xml:space="preserve"> the doctrine of</w:t>
      </w:r>
      <w:r w:rsidR="00A54085">
        <w:t xml:space="preserve"> </w:t>
      </w:r>
      <w:r w:rsidR="00513D7F" w:rsidRPr="00283374">
        <w:rPr>
          <w:i/>
        </w:rPr>
        <w:t>terra nullius</w:t>
      </w:r>
      <w:r w:rsidR="00A54085">
        <w:t xml:space="preserve"> never applied in Canada</w:t>
      </w:r>
      <w:r w:rsidR="00A54085">
        <w:rPr>
          <w:rStyle w:val="FootnoteReference"/>
        </w:rPr>
        <w:footnoteReference w:id="3"/>
      </w:r>
      <w:r w:rsidR="00400CE3">
        <w:t xml:space="preserve">, the </w:t>
      </w:r>
      <w:r w:rsidR="00220D37" w:rsidRPr="00283374">
        <w:rPr>
          <w:i/>
        </w:rPr>
        <w:t>Doctrine of Discovery</w:t>
      </w:r>
      <w:r w:rsidR="00014ED4" w:rsidRPr="00283374">
        <w:rPr>
          <w:i/>
        </w:rPr>
        <w:t>,</w:t>
      </w:r>
      <w:r w:rsidR="00014ED4">
        <w:t xml:space="preserve"> and its racially offensive principles and beliefs, </w:t>
      </w:r>
      <w:r w:rsidR="00220D37">
        <w:t xml:space="preserve">continue </w:t>
      </w:r>
      <w:r w:rsidR="00014ED4">
        <w:t xml:space="preserve">in </w:t>
      </w:r>
      <w:r w:rsidR="00220D37">
        <w:t xml:space="preserve">Canadian </w:t>
      </w:r>
      <w:r w:rsidR="00014ED4">
        <w:t xml:space="preserve">jurisprudence and political policy </w:t>
      </w:r>
      <w:r w:rsidR="00400CE3">
        <w:t xml:space="preserve">to deny </w:t>
      </w:r>
      <w:r w:rsidR="00220D37">
        <w:t>our Nations’ ownership and title</w:t>
      </w:r>
      <w:r w:rsidR="00400CE3">
        <w:t xml:space="preserve"> </w:t>
      </w:r>
      <w:r w:rsidR="00220D37">
        <w:t>to</w:t>
      </w:r>
      <w:r w:rsidR="00400CE3">
        <w:t xml:space="preserve"> our</w:t>
      </w:r>
      <w:r w:rsidR="001A67DF">
        <w:t xml:space="preserve"> </w:t>
      </w:r>
      <w:r w:rsidR="00007CC9">
        <w:t>Territories</w:t>
      </w:r>
      <w:r w:rsidR="00220D37">
        <w:t xml:space="preserve"> and </w:t>
      </w:r>
      <w:r w:rsidR="00E8330D">
        <w:t>our</w:t>
      </w:r>
      <w:r w:rsidR="00220D37">
        <w:t xml:space="preserve"> natural resources</w:t>
      </w:r>
      <w:r w:rsidR="00400CE3">
        <w:t xml:space="preserve">. </w:t>
      </w:r>
      <w:r w:rsidR="00BD739D">
        <w:t>(emphasis added)</w:t>
      </w:r>
    </w:p>
    <w:p w14:paraId="29669C56" w14:textId="77777777" w:rsidR="00283374" w:rsidRDefault="00283374" w:rsidP="00283374">
      <w:pPr>
        <w:widowControl w:val="0"/>
        <w:autoSpaceDE w:val="0"/>
        <w:autoSpaceDN w:val="0"/>
        <w:adjustRightInd w:val="0"/>
        <w:jc w:val="both"/>
      </w:pPr>
    </w:p>
    <w:p w14:paraId="60886855" w14:textId="3C7B25EF" w:rsidR="00283374" w:rsidRDefault="00513D7F" w:rsidP="00614ED2">
      <w:pPr>
        <w:pStyle w:val="ListParagraph"/>
        <w:widowControl w:val="0"/>
        <w:numPr>
          <w:ilvl w:val="0"/>
          <w:numId w:val="37"/>
        </w:numPr>
        <w:autoSpaceDE w:val="0"/>
        <w:autoSpaceDN w:val="0"/>
        <w:adjustRightInd w:val="0"/>
        <w:jc w:val="both"/>
      </w:pPr>
      <w:r>
        <w:lastRenderedPageBreak/>
        <w:t xml:space="preserve">Adherence to the </w:t>
      </w:r>
      <w:r w:rsidRPr="00283374">
        <w:rPr>
          <w:i/>
        </w:rPr>
        <w:t xml:space="preserve">Doctrine of Discovery </w:t>
      </w:r>
      <w:r w:rsidR="00014ED4">
        <w:t xml:space="preserve">as the baseline </w:t>
      </w:r>
      <w:r>
        <w:t>by</w:t>
      </w:r>
      <w:r w:rsidR="00014ED4">
        <w:t xml:space="preserve"> which </w:t>
      </w:r>
      <w:r w:rsidR="009316E7">
        <w:t xml:space="preserve">the Canadian state attempts </w:t>
      </w:r>
      <w:r w:rsidR="00014ED4">
        <w:t>to reconcile our Nations’ inherent rights</w:t>
      </w:r>
      <w:r>
        <w:t xml:space="preserve"> </w:t>
      </w:r>
      <w:r w:rsidR="009316E7">
        <w:t xml:space="preserve">is intrinsically </w:t>
      </w:r>
      <w:r w:rsidR="00A03B68">
        <w:t xml:space="preserve">not only </w:t>
      </w:r>
      <w:r w:rsidR="009316E7">
        <w:t>unable to provide a fair and just reconciliation</w:t>
      </w:r>
      <w:r>
        <w:t xml:space="preserve"> as professed by the Canadian state</w:t>
      </w:r>
      <w:r w:rsidR="00A03B68">
        <w:t xml:space="preserve">, but is also a failure by the Canadian state to meet its obligations under the </w:t>
      </w:r>
      <w:r w:rsidRPr="00283374">
        <w:rPr>
          <w:i/>
        </w:rPr>
        <w:t>International</w:t>
      </w:r>
      <w:r w:rsidR="00A03B68" w:rsidRPr="00283374">
        <w:rPr>
          <w:i/>
        </w:rPr>
        <w:t xml:space="preserve"> Convention on the Elimination of </w:t>
      </w:r>
      <w:r w:rsidR="001735F7" w:rsidRPr="00283374">
        <w:rPr>
          <w:i/>
        </w:rPr>
        <w:t xml:space="preserve">All Forms of </w:t>
      </w:r>
      <w:r w:rsidR="00A03B68" w:rsidRPr="00283374">
        <w:rPr>
          <w:i/>
        </w:rPr>
        <w:t>Racial Discrimination</w:t>
      </w:r>
      <w:r w:rsidR="008C1697" w:rsidRPr="00283374">
        <w:rPr>
          <w:i/>
        </w:rPr>
        <w:t xml:space="preserve"> </w:t>
      </w:r>
      <w:r w:rsidR="008C1697">
        <w:t xml:space="preserve">(hereinafter the “Convention”), the </w:t>
      </w:r>
      <w:r w:rsidR="008C1697" w:rsidRPr="00283374">
        <w:rPr>
          <w:i/>
        </w:rPr>
        <w:t>United Nation Committee on</w:t>
      </w:r>
      <w:r w:rsidR="00A03B68" w:rsidRPr="00283374">
        <w:rPr>
          <w:i/>
        </w:rPr>
        <w:t xml:space="preserve"> the Elimination of Racial Discrimination’s</w:t>
      </w:r>
      <w:r w:rsidR="00A03B68">
        <w:t xml:space="preserve"> </w:t>
      </w:r>
      <w:r w:rsidR="008C1697">
        <w:t xml:space="preserve">(hereinafter CERD) </w:t>
      </w:r>
      <w:r w:rsidR="00A03B68">
        <w:t xml:space="preserve">general recommendations and concluding observations, and the </w:t>
      </w:r>
      <w:r w:rsidR="00A03B68" w:rsidRPr="00283374">
        <w:rPr>
          <w:i/>
        </w:rPr>
        <w:t>United</w:t>
      </w:r>
      <w:r w:rsidR="00B607C2" w:rsidRPr="00283374">
        <w:rPr>
          <w:i/>
        </w:rPr>
        <w:t xml:space="preserve"> Nation </w:t>
      </w:r>
      <w:r w:rsidR="00A03B68" w:rsidRPr="00283374">
        <w:rPr>
          <w:i/>
        </w:rPr>
        <w:t xml:space="preserve">Declaration on the Rights of </w:t>
      </w:r>
      <w:r w:rsidR="00E35CAE">
        <w:rPr>
          <w:i/>
        </w:rPr>
        <w:t>Indigenous</w:t>
      </w:r>
      <w:r w:rsidR="00A03B68" w:rsidRPr="00283374">
        <w:rPr>
          <w:i/>
        </w:rPr>
        <w:t xml:space="preserve"> </w:t>
      </w:r>
      <w:r w:rsidR="00E35CAE">
        <w:rPr>
          <w:i/>
        </w:rPr>
        <w:t>Peoples</w:t>
      </w:r>
      <w:r w:rsidR="00B607C2">
        <w:t xml:space="preserve"> (hereinafter the “Declaration”)</w:t>
      </w:r>
      <w:r w:rsidR="00A03B68">
        <w:t xml:space="preserve">. </w:t>
      </w:r>
    </w:p>
    <w:p w14:paraId="6C175D97" w14:textId="77777777" w:rsidR="00283374" w:rsidRDefault="00283374" w:rsidP="00283374">
      <w:pPr>
        <w:widowControl w:val="0"/>
        <w:autoSpaceDE w:val="0"/>
        <w:autoSpaceDN w:val="0"/>
        <w:adjustRightInd w:val="0"/>
        <w:jc w:val="both"/>
      </w:pPr>
    </w:p>
    <w:p w14:paraId="576E6C74" w14:textId="534227FC" w:rsidR="00614ED2" w:rsidRDefault="0072169B" w:rsidP="00614ED2">
      <w:pPr>
        <w:pStyle w:val="ListParagraph"/>
        <w:widowControl w:val="0"/>
        <w:numPr>
          <w:ilvl w:val="0"/>
          <w:numId w:val="37"/>
        </w:numPr>
        <w:autoSpaceDE w:val="0"/>
        <w:autoSpaceDN w:val="0"/>
        <w:adjustRightInd w:val="0"/>
        <w:jc w:val="both"/>
      </w:pPr>
      <w:r>
        <w:t>The Canadian state’s</w:t>
      </w:r>
      <w:r w:rsidR="00B607C2">
        <w:t xml:space="preserve"> continued adherence to </w:t>
      </w:r>
      <w:r w:rsidR="00614ED2">
        <w:t xml:space="preserve">the </w:t>
      </w:r>
      <w:r w:rsidR="00614ED2" w:rsidRPr="00283374">
        <w:rPr>
          <w:i/>
        </w:rPr>
        <w:t>Doctrine of Discovery</w:t>
      </w:r>
      <w:r w:rsidR="00614ED2">
        <w:t xml:space="preserve">, its failure to meet its obligations under the Convention, CERD’s general recommendations and concluding observations and the Declaration all deprive the Nations’ rights to ownership and title to </w:t>
      </w:r>
      <w:r w:rsidR="00E8330D">
        <w:t>our</w:t>
      </w:r>
      <w:r w:rsidR="00614ED2">
        <w:t xml:space="preserve"> </w:t>
      </w:r>
      <w:r w:rsidR="00007CC9">
        <w:t>Territories</w:t>
      </w:r>
      <w:r w:rsidR="00614ED2">
        <w:t xml:space="preserve">, and thus begs the question put before the Canadian state by Vice-Chair </w:t>
      </w:r>
      <w:r w:rsidR="00614ED2" w:rsidRPr="00614ED2">
        <w:t>Noureddine</w:t>
      </w:r>
      <w:r w:rsidR="00614ED2">
        <w:t xml:space="preserve"> Amir at the CERD’s eightieth session in Geneva in February 2012 when he asked, “</w:t>
      </w:r>
      <w:r w:rsidR="00742B05">
        <w:rPr>
          <w:b/>
          <w:i/>
        </w:rPr>
        <w:t>On</w:t>
      </w:r>
      <w:r w:rsidR="00614ED2" w:rsidRPr="00283374">
        <w:rPr>
          <w:b/>
          <w:i/>
        </w:rPr>
        <w:t xml:space="preserve"> what legal basis does Canada claim underlying title to </w:t>
      </w:r>
      <w:r w:rsidR="00E35CAE">
        <w:rPr>
          <w:b/>
          <w:i/>
        </w:rPr>
        <w:t>Indigenous</w:t>
      </w:r>
      <w:r w:rsidR="00614ED2" w:rsidRPr="00283374">
        <w:rPr>
          <w:b/>
          <w:i/>
        </w:rPr>
        <w:t xml:space="preserve"> lands</w:t>
      </w:r>
      <w:r w:rsidR="00614ED2">
        <w:t>”?</w:t>
      </w:r>
      <w:r w:rsidR="007D55B8">
        <w:t xml:space="preserve"> To the present, the Canadian state has not provided an answer to </w:t>
      </w:r>
      <w:r w:rsidR="005B4C47">
        <w:t xml:space="preserve">the </w:t>
      </w:r>
      <w:r w:rsidR="007D55B8">
        <w:t>Nations or CERD.</w:t>
      </w:r>
    </w:p>
    <w:p w14:paraId="42438F0F" w14:textId="77777777" w:rsidR="00B10A33" w:rsidRDefault="00B10A33" w:rsidP="00B10A33">
      <w:pPr>
        <w:widowControl w:val="0"/>
        <w:autoSpaceDE w:val="0"/>
        <w:autoSpaceDN w:val="0"/>
        <w:adjustRightInd w:val="0"/>
        <w:jc w:val="both"/>
      </w:pPr>
    </w:p>
    <w:p w14:paraId="34D40206" w14:textId="5625EA02" w:rsidR="00B10A33" w:rsidRPr="00614ED2" w:rsidRDefault="00B10A33" w:rsidP="00614ED2">
      <w:pPr>
        <w:pStyle w:val="ListParagraph"/>
        <w:widowControl w:val="0"/>
        <w:numPr>
          <w:ilvl w:val="0"/>
          <w:numId w:val="37"/>
        </w:numPr>
        <w:autoSpaceDE w:val="0"/>
        <w:autoSpaceDN w:val="0"/>
        <w:adjustRightInd w:val="0"/>
        <w:jc w:val="both"/>
      </w:pPr>
      <w:r>
        <w:t xml:space="preserve">Further, despite the Canadian state’s alleged desire of reconciliation with our Nations, and other Nations of </w:t>
      </w:r>
      <w:r w:rsidR="00E35CAE">
        <w:t>Indigenous</w:t>
      </w:r>
      <w:r>
        <w:t xml:space="preserve"> </w:t>
      </w:r>
      <w:r w:rsidR="00E35CAE">
        <w:t>Peoples</w:t>
      </w:r>
      <w:r>
        <w:t xml:space="preserve"> within Canada, the lasting impact</w:t>
      </w:r>
      <w:r w:rsidR="00BD2DD2">
        <w:t xml:space="preserve"> of the false claim to our territories creates poverty amongst our Nations as the wealth of our Nations is taken by the state of Canada for their own use. </w:t>
      </w:r>
      <w:r w:rsidR="00C873DC">
        <w:t xml:space="preserve"> Any attempts to get our territories back are met with policies and procedures made unilaterally by the state – all designed to deny us our territories. </w:t>
      </w:r>
    </w:p>
    <w:p w14:paraId="445E7646" w14:textId="77777777" w:rsidR="00862161" w:rsidRDefault="00862161" w:rsidP="00760BD7">
      <w:pPr>
        <w:widowControl w:val="0"/>
        <w:autoSpaceDE w:val="0"/>
        <w:autoSpaceDN w:val="0"/>
        <w:adjustRightInd w:val="0"/>
        <w:jc w:val="both"/>
      </w:pPr>
    </w:p>
    <w:p w14:paraId="76EC29F4" w14:textId="77777777" w:rsidR="003B00EE" w:rsidRPr="00E94670" w:rsidRDefault="003B00EE" w:rsidP="003B00EE">
      <w:pPr>
        <w:widowControl w:val="0"/>
        <w:autoSpaceDE w:val="0"/>
        <w:autoSpaceDN w:val="0"/>
        <w:adjustRightInd w:val="0"/>
        <w:jc w:val="both"/>
        <w:rPr>
          <w:b/>
          <w:u w:val="single"/>
        </w:rPr>
      </w:pPr>
      <w:r w:rsidRPr="00E94670">
        <w:rPr>
          <w:b/>
          <w:u w:val="single"/>
        </w:rPr>
        <w:t>The Doctrine of Discovery and Its Application Within Canada</w:t>
      </w:r>
    </w:p>
    <w:p w14:paraId="5D125D44" w14:textId="77777777" w:rsidR="003B00EE" w:rsidRPr="0003504C" w:rsidRDefault="003B00EE" w:rsidP="003B00EE">
      <w:pPr>
        <w:widowControl w:val="0"/>
        <w:autoSpaceDE w:val="0"/>
        <w:autoSpaceDN w:val="0"/>
        <w:adjustRightInd w:val="0"/>
        <w:jc w:val="both"/>
        <w:rPr>
          <w:b/>
          <w:i/>
        </w:rPr>
      </w:pPr>
    </w:p>
    <w:p w14:paraId="2490DBA3" w14:textId="7ABF3769" w:rsidR="00283374" w:rsidRDefault="003B00EE" w:rsidP="003B00EE">
      <w:pPr>
        <w:pStyle w:val="ListParagraph"/>
        <w:numPr>
          <w:ilvl w:val="0"/>
          <w:numId w:val="37"/>
        </w:numPr>
        <w:jc w:val="both"/>
      </w:pPr>
      <w:r>
        <w:t xml:space="preserve">The details of the </w:t>
      </w:r>
      <w:r w:rsidRPr="00283374">
        <w:rPr>
          <w:i/>
        </w:rPr>
        <w:t>Doctrine of Discovery</w:t>
      </w:r>
      <w:r>
        <w:t xml:space="preserve"> were aptly put forth by the </w:t>
      </w:r>
      <w:r w:rsidRPr="00283374">
        <w:rPr>
          <w:rFonts w:eastAsia="Times New Roman"/>
        </w:rPr>
        <w:t xml:space="preserve">Apache-Ndé-Nneé Working Group Shadow Report at the </w:t>
      </w:r>
      <w:r>
        <w:t xml:space="preserve">eighty-eighth session of CERD in its review of the Holy See, and the present report relies </w:t>
      </w:r>
      <w:r w:rsidR="00742B05">
        <w:t>on</w:t>
      </w:r>
      <w:r>
        <w:t xml:space="preserve"> that Shadow Report for the details historical details of the doctrine. The Nations wish to bring CERD’s attention to the main principles underpinning the </w:t>
      </w:r>
      <w:r w:rsidRPr="00283374">
        <w:rPr>
          <w:i/>
        </w:rPr>
        <w:t>Doctrine of Discovery</w:t>
      </w:r>
      <w:r w:rsidR="00941272">
        <w:t xml:space="preserve"> and how it shape</w:t>
      </w:r>
      <w:r w:rsidR="00202EC5">
        <w:t>d</w:t>
      </w:r>
      <w:r>
        <w:t xml:space="preserve"> early laws, policies and procedures of the European colonizing powers in what is now the Canadian state, and how its principles and beliefs continue to inform present jurisprudence, policies and procedures of the Canadian state. </w:t>
      </w:r>
    </w:p>
    <w:p w14:paraId="6446BF33" w14:textId="77777777" w:rsidR="00283374" w:rsidRDefault="00283374" w:rsidP="00283374">
      <w:pPr>
        <w:pStyle w:val="ListParagraph"/>
        <w:jc w:val="both"/>
      </w:pPr>
    </w:p>
    <w:p w14:paraId="0921F035" w14:textId="06E1B54A" w:rsidR="003B00EE" w:rsidRPr="00283374" w:rsidRDefault="003B00EE" w:rsidP="003B00EE">
      <w:pPr>
        <w:pStyle w:val="ListParagraph"/>
        <w:numPr>
          <w:ilvl w:val="0"/>
          <w:numId w:val="37"/>
        </w:numPr>
        <w:jc w:val="both"/>
      </w:pPr>
      <w:r>
        <w:t xml:space="preserve">The application of the </w:t>
      </w:r>
      <w:r w:rsidRPr="00283374">
        <w:rPr>
          <w:i/>
        </w:rPr>
        <w:t>Doctrine of Discovery</w:t>
      </w:r>
      <w:r>
        <w:t xml:space="preserve"> to what is now Canada may be considered a process of the Cross, the Coin and the Crown, whereby European title to </w:t>
      </w:r>
      <w:r w:rsidR="00E35CAE">
        <w:t>Indigenous</w:t>
      </w:r>
      <w:r>
        <w:t xml:space="preserve"> lands was sanctioned by God/Jesus (the Cross), was expanded by the English </w:t>
      </w:r>
      <w:r w:rsidR="00402535">
        <w:t>with the requirement</w:t>
      </w:r>
      <w:r>
        <w:t xml:space="preserve"> of occupancy and ritual possession</w:t>
      </w:r>
      <w:r w:rsidR="00402535">
        <w:t xml:space="preserve">, allowing for English </w:t>
      </w:r>
      <w:r>
        <w:t>desire</w:t>
      </w:r>
      <w:r w:rsidR="00402535">
        <w:t>s</w:t>
      </w:r>
      <w:r>
        <w:t xml:space="preserve"> to exploit the natural resources of </w:t>
      </w:r>
      <w:r w:rsidR="00E35CAE">
        <w:t>Indigenous</w:t>
      </w:r>
      <w:r>
        <w:t xml:space="preserve"> lands (the Coin), so that presently in Canada the Crown’s underlying title to </w:t>
      </w:r>
      <w:r w:rsidR="00E35CAE">
        <w:t>Indigenous</w:t>
      </w:r>
      <w:r>
        <w:t xml:space="preserve"> lands is assume</w:t>
      </w:r>
      <w:r w:rsidR="00402535">
        <w:t>d</w:t>
      </w:r>
      <w:r>
        <w:t xml:space="preserve"> (the Crown). Each of these stages is briefly set out below.</w:t>
      </w:r>
    </w:p>
    <w:p w14:paraId="7608CB36" w14:textId="77777777" w:rsidR="003B00EE" w:rsidRDefault="003B00EE" w:rsidP="003B00EE">
      <w:pPr>
        <w:widowControl w:val="0"/>
        <w:autoSpaceDE w:val="0"/>
        <w:autoSpaceDN w:val="0"/>
        <w:adjustRightInd w:val="0"/>
        <w:jc w:val="both"/>
      </w:pPr>
    </w:p>
    <w:p w14:paraId="4A68CC08" w14:textId="77777777" w:rsidR="003B00EE" w:rsidRPr="004343C8" w:rsidRDefault="003B00EE" w:rsidP="003B00EE">
      <w:pPr>
        <w:widowControl w:val="0"/>
        <w:autoSpaceDE w:val="0"/>
        <w:autoSpaceDN w:val="0"/>
        <w:adjustRightInd w:val="0"/>
        <w:jc w:val="both"/>
        <w:rPr>
          <w:b/>
          <w:i/>
        </w:rPr>
      </w:pPr>
      <w:r>
        <w:rPr>
          <w:b/>
          <w:i/>
        </w:rPr>
        <w:t>The Cross</w:t>
      </w:r>
    </w:p>
    <w:p w14:paraId="31681AA9" w14:textId="41C3AE20" w:rsidR="00283374" w:rsidRDefault="003B00EE" w:rsidP="003B00EE">
      <w:pPr>
        <w:pStyle w:val="ListParagraph"/>
        <w:widowControl w:val="0"/>
        <w:numPr>
          <w:ilvl w:val="0"/>
          <w:numId w:val="37"/>
        </w:numPr>
        <w:autoSpaceDE w:val="0"/>
        <w:autoSpaceDN w:val="0"/>
        <w:adjustRightInd w:val="0"/>
        <w:jc w:val="both"/>
      </w:pPr>
      <w:r>
        <w:t xml:space="preserve">The </w:t>
      </w:r>
      <w:r w:rsidRPr="00283374">
        <w:rPr>
          <w:i/>
        </w:rPr>
        <w:t xml:space="preserve">Doctrine of Discovery </w:t>
      </w:r>
      <w:r>
        <w:t xml:space="preserve">was the proposed legal means by which European colonizing states claimed rights of sovereignty, title and trade to vast stretches of lands they allegedly discovered during the age of exploration. Beginning with the Spanish and Portuguese states, the </w:t>
      </w:r>
      <w:r w:rsidRPr="00283374">
        <w:rPr>
          <w:i/>
        </w:rPr>
        <w:t>Doctrine of Discovery</w:t>
      </w:r>
      <w:r>
        <w:t xml:space="preserve"> relied </w:t>
      </w:r>
      <w:r w:rsidR="00742B05">
        <w:t>on</w:t>
      </w:r>
      <w:r>
        <w:t xml:space="preserve"> a series of papal bulls issued by Pope Alexander VI, the most important of which was the </w:t>
      </w:r>
      <w:r w:rsidRPr="00283374">
        <w:rPr>
          <w:i/>
        </w:rPr>
        <w:t>Inter caetera</w:t>
      </w:r>
      <w:r>
        <w:t xml:space="preserve">, after the voyages of Christopher Columbus to justify these European states’ presumptions of empire on </w:t>
      </w:r>
      <w:r w:rsidR="00E35CAE">
        <w:t>Indigenous</w:t>
      </w:r>
      <w:r>
        <w:t xml:space="preserve"> lands in North America. At its root, the </w:t>
      </w:r>
      <w:r w:rsidRPr="00283374">
        <w:rPr>
          <w:i/>
        </w:rPr>
        <w:t>Inter caetera</w:t>
      </w:r>
      <w:r>
        <w:t xml:space="preserve"> provided that Spain, in order to pursue the “holy and laudable work” of expanding the Christian world, was given title to all lands discovered that were not Christian.</w:t>
      </w:r>
      <w:r>
        <w:rPr>
          <w:rStyle w:val="FootnoteReference"/>
        </w:rPr>
        <w:footnoteReference w:id="4"/>
      </w:r>
      <w:r>
        <w:t xml:space="preserve"> </w:t>
      </w:r>
    </w:p>
    <w:p w14:paraId="01D39160" w14:textId="77777777" w:rsidR="00283374" w:rsidRDefault="00283374" w:rsidP="00283374">
      <w:pPr>
        <w:pStyle w:val="ListParagraph"/>
        <w:widowControl w:val="0"/>
        <w:autoSpaceDE w:val="0"/>
        <w:autoSpaceDN w:val="0"/>
        <w:adjustRightInd w:val="0"/>
        <w:jc w:val="both"/>
      </w:pPr>
    </w:p>
    <w:p w14:paraId="2C7CCA65" w14:textId="78E04FC4" w:rsidR="003B00EE" w:rsidRDefault="003B00EE" w:rsidP="003B00EE">
      <w:pPr>
        <w:pStyle w:val="ListParagraph"/>
        <w:widowControl w:val="0"/>
        <w:numPr>
          <w:ilvl w:val="0"/>
          <w:numId w:val="37"/>
        </w:numPr>
        <w:autoSpaceDE w:val="0"/>
        <w:autoSpaceDN w:val="0"/>
        <w:adjustRightInd w:val="0"/>
        <w:jc w:val="both"/>
      </w:pPr>
      <w:r>
        <w:t xml:space="preserve">The justification for the imposition of European empire over </w:t>
      </w:r>
      <w:r w:rsidR="00E35CAE">
        <w:t>Indigenous</w:t>
      </w:r>
      <w:r>
        <w:t xml:space="preserve"> lands in North America began </w:t>
      </w:r>
      <w:r w:rsidR="00742B05">
        <w:t>on</w:t>
      </w:r>
      <w:r>
        <w:t xml:space="preserve"> the belief that Christianity and its adherents, to wit Europeans, were superior to that of non-Christians, to wit </w:t>
      </w:r>
      <w:r w:rsidR="00E35CAE">
        <w:t>Indigenous</w:t>
      </w:r>
      <w:r>
        <w:t xml:space="preserve"> </w:t>
      </w:r>
      <w:r w:rsidR="00E35CAE">
        <w:t>Peoples</w:t>
      </w:r>
      <w:r>
        <w:t xml:space="preserve">, and as a result the non-Christian </w:t>
      </w:r>
      <w:r w:rsidR="00E35CAE">
        <w:t>Indigenous</w:t>
      </w:r>
      <w:r>
        <w:t xml:space="preserve"> </w:t>
      </w:r>
      <w:r w:rsidR="00E35CAE">
        <w:t>Peoples</w:t>
      </w:r>
      <w:r>
        <w:t xml:space="preserve"> rights to </w:t>
      </w:r>
      <w:r w:rsidR="00E8330D">
        <w:t>our</w:t>
      </w:r>
      <w:r>
        <w:t xml:space="preserve"> lands were nullified thereby justifying and allowing Christian Europeans to legally claim such lands. Pope Alexander VI, believed to be Jesus Christ’s representative on earth, sanctioned such </w:t>
      </w:r>
      <w:r w:rsidR="00E35CAE">
        <w:t>Indigenous</w:t>
      </w:r>
      <w:r>
        <w:t xml:space="preserve"> nullification and subsequent European justification. Simply put, it was </w:t>
      </w:r>
      <w:r w:rsidR="000223FC">
        <w:t xml:space="preserve">Christian </w:t>
      </w:r>
      <w:r>
        <w:t xml:space="preserve">God’s will that Europeans who followed his Son Jesus Christ, and therefore being superior to </w:t>
      </w:r>
      <w:r w:rsidR="00E35CAE">
        <w:t>Indigenous</w:t>
      </w:r>
      <w:r>
        <w:t xml:space="preserve"> </w:t>
      </w:r>
      <w:r w:rsidR="00E35CAE">
        <w:t>Peoples</w:t>
      </w:r>
      <w:r>
        <w:t xml:space="preserve">, should have a greater claim to </w:t>
      </w:r>
      <w:r w:rsidR="00E35CAE">
        <w:t>Indigenous</w:t>
      </w:r>
      <w:r>
        <w:t xml:space="preserve"> lands.</w:t>
      </w:r>
    </w:p>
    <w:p w14:paraId="4A6D5936" w14:textId="77777777" w:rsidR="003B00EE" w:rsidRDefault="003B00EE" w:rsidP="003B00EE">
      <w:pPr>
        <w:widowControl w:val="0"/>
        <w:autoSpaceDE w:val="0"/>
        <w:autoSpaceDN w:val="0"/>
        <w:adjustRightInd w:val="0"/>
        <w:jc w:val="both"/>
      </w:pPr>
    </w:p>
    <w:p w14:paraId="60045943" w14:textId="77777777" w:rsidR="003B00EE" w:rsidRPr="0089338E" w:rsidRDefault="003B00EE" w:rsidP="003B00EE">
      <w:pPr>
        <w:widowControl w:val="0"/>
        <w:autoSpaceDE w:val="0"/>
        <w:autoSpaceDN w:val="0"/>
        <w:adjustRightInd w:val="0"/>
        <w:jc w:val="both"/>
        <w:rPr>
          <w:b/>
          <w:i/>
        </w:rPr>
      </w:pPr>
      <w:r>
        <w:rPr>
          <w:b/>
          <w:i/>
        </w:rPr>
        <w:t>The Coin</w:t>
      </w:r>
    </w:p>
    <w:p w14:paraId="21E147B8" w14:textId="3403D472" w:rsidR="00283374" w:rsidRDefault="003B00EE" w:rsidP="003B00EE">
      <w:pPr>
        <w:pStyle w:val="ListParagraph"/>
        <w:widowControl w:val="0"/>
        <w:numPr>
          <w:ilvl w:val="0"/>
          <w:numId w:val="37"/>
        </w:numPr>
        <w:autoSpaceDE w:val="0"/>
        <w:autoSpaceDN w:val="0"/>
        <w:adjustRightInd w:val="0"/>
        <w:jc w:val="both"/>
      </w:pPr>
      <w:r>
        <w:t>After initial “discovery” of Christopher Columbus</w:t>
      </w:r>
      <w:r w:rsidR="0027570D">
        <w:t xml:space="preserve"> and other early explorers, </w:t>
      </w:r>
      <w:r>
        <w:t xml:space="preserve">then Catholic English and French states began </w:t>
      </w:r>
      <w:r w:rsidR="00E8330D">
        <w:t>our</w:t>
      </w:r>
      <w:r>
        <w:t xml:space="preserve"> explorations into </w:t>
      </w:r>
      <w:r w:rsidR="0027570D">
        <w:t>“</w:t>
      </w:r>
      <w:r>
        <w:t>North America</w:t>
      </w:r>
      <w:r w:rsidR="0027570D">
        <w:t>”</w:t>
      </w:r>
      <w:r>
        <w:t xml:space="preserve"> in the desire to access and exploit the natural resources of such lands. Aware of the </w:t>
      </w:r>
      <w:r w:rsidRPr="00283374">
        <w:rPr>
          <w:i/>
        </w:rPr>
        <w:t>Inter caetera</w:t>
      </w:r>
      <w:r>
        <w:t xml:space="preserve">, the English and French expanded </w:t>
      </w:r>
      <w:r w:rsidR="00742B05">
        <w:t>on</w:t>
      </w:r>
      <w:r>
        <w:t xml:space="preserve"> the </w:t>
      </w:r>
      <w:r w:rsidRPr="00283374">
        <w:rPr>
          <w:i/>
        </w:rPr>
        <w:t>Doctrine of Discovery</w:t>
      </w:r>
      <w:r>
        <w:t xml:space="preserve"> so as to not violate the papal bulls’ edicts granting Spain and Portugal exclusive rights to North America.</w:t>
      </w:r>
      <w:r w:rsidRPr="0027504C">
        <w:t xml:space="preserve"> </w:t>
      </w:r>
      <w:r>
        <w:t xml:space="preserve">Accordingly, legal scholars to English King Henry VII (circa 1493) and Queen Elizabeth I (circa 1580s) added the </w:t>
      </w:r>
      <w:r w:rsidRPr="00283374">
        <w:rPr>
          <w:i/>
        </w:rPr>
        <w:t>Doctrine of Discovery</w:t>
      </w:r>
      <w:r>
        <w:t xml:space="preserve"> whereby legitimate claims of “discovery” could only be made on lands not yet claimed by any other Christian prince. Further, actually occupancy and possession of the lands “discovered” was now necessary, which could be accomplished by the performance of some form of ritual act, such as planting a flag, burying coins and so forth. In this </w:t>
      </w:r>
      <w:r w:rsidR="00E94670">
        <w:t>manner,</w:t>
      </w:r>
      <w:r>
        <w:t xml:space="preserve"> England and France could make claim to the northern parts of North America where neither Span nor Portugal had “discovered”, and thereby take advantage of the resources found within such lands.</w:t>
      </w:r>
      <w:r w:rsidRPr="00C925E4">
        <w:rPr>
          <w:rStyle w:val="FootnoteReference"/>
        </w:rPr>
        <w:t xml:space="preserve"> </w:t>
      </w:r>
      <w:r>
        <w:rPr>
          <w:rStyle w:val="FootnoteReference"/>
        </w:rPr>
        <w:footnoteReference w:id="5"/>
      </w:r>
      <w:r>
        <w:t xml:space="preserve"> </w:t>
      </w:r>
    </w:p>
    <w:p w14:paraId="5A89124B" w14:textId="77777777" w:rsidR="00283374" w:rsidRDefault="00283374" w:rsidP="00283374">
      <w:pPr>
        <w:pStyle w:val="ListParagraph"/>
        <w:widowControl w:val="0"/>
        <w:autoSpaceDE w:val="0"/>
        <w:autoSpaceDN w:val="0"/>
        <w:adjustRightInd w:val="0"/>
        <w:jc w:val="both"/>
      </w:pPr>
    </w:p>
    <w:p w14:paraId="578FA6C7" w14:textId="427C96F5" w:rsidR="00283374" w:rsidRPr="00283374" w:rsidRDefault="003B00EE" w:rsidP="003B00EE">
      <w:pPr>
        <w:pStyle w:val="ListParagraph"/>
        <w:widowControl w:val="0"/>
        <w:numPr>
          <w:ilvl w:val="0"/>
          <w:numId w:val="37"/>
        </w:numPr>
        <w:autoSpaceDE w:val="0"/>
        <w:autoSpaceDN w:val="0"/>
        <w:adjustRightInd w:val="0"/>
        <w:jc w:val="both"/>
      </w:pPr>
      <w:r>
        <w:t xml:space="preserve">Later English adaptations of the </w:t>
      </w:r>
      <w:r w:rsidRPr="00283374">
        <w:rPr>
          <w:i/>
        </w:rPr>
        <w:t>Doctrine of Discovery</w:t>
      </w:r>
      <w:r>
        <w:t xml:space="preserve"> held that the principle of </w:t>
      </w:r>
      <w:r w:rsidRPr="00283374">
        <w:rPr>
          <w:i/>
        </w:rPr>
        <w:t>terra nullius</w:t>
      </w:r>
      <w:r>
        <w:t xml:space="preserve"> applied to </w:t>
      </w:r>
      <w:r w:rsidR="00E35CAE">
        <w:t>Indigenous</w:t>
      </w:r>
      <w:r>
        <w:t xml:space="preserve"> lands. According to this principle, lands that were believed “empty” or not occupied by any nation, or which were in fact occupied but not being utilized in accordance with European standards were open to “discovery” claims.</w:t>
      </w:r>
      <w:r>
        <w:rPr>
          <w:rStyle w:val="FootnoteReference"/>
        </w:rPr>
        <w:footnoteReference w:id="6"/>
      </w:r>
      <w:r>
        <w:t xml:space="preserve">  The English utilized this principle to great advantage in the seventeenth century when its </w:t>
      </w:r>
      <w:r w:rsidR="000E4322">
        <w:t>colonial</w:t>
      </w:r>
      <w:r w:rsidRPr="00283374">
        <w:rPr>
          <w:rFonts w:ascii="Times" w:eastAsia="Times New Roman" w:hAnsi="Times"/>
          <w:lang w:val="en-CA"/>
        </w:rPr>
        <w:t xml:space="preserve"> aspirations in North America changed from trade and nomadic resource exploitation to settled agricultural pursuits. In order to justify such pursuits, and the need for lands within </w:t>
      </w:r>
      <w:r w:rsidR="00E35CAE">
        <w:rPr>
          <w:rFonts w:ascii="Times" w:eastAsia="Times New Roman" w:hAnsi="Times"/>
          <w:lang w:val="en-CA"/>
        </w:rPr>
        <w:t>Indigenous</w:t>
      </w:r>
      <w:r w:rsidRPr="00283374">
        <w:rPr>
          <w:rFonts w:ascii="Times" w:eastAsia="Times New Roman" w:hAnsi="Times"/>
          <w:lang w:val="en-CA"/>
        </w:rPr>
        <w:t xml:space="preserve"> possession, the English </w:t>
      </w:r>
      <w:r w:rsidR="00B55027" w:rsidRPr="00283374">
        <w:rPr>
          <w:rFonts w:ascii="Times" w:eastAsia="Times New Roman" w:hAnsi="Times"/>
          <w:lang w:val="en-CA"/>
        </w:rPr>
        <w:t>re-conceptualized</w:t>
      </w:r>
      <w:r w:rsidRPr="00283374">
        <w:rPr>
          <w:rFonts w:ascii="Times" w:eastAsia="Times New Roman" w:hAnsi="Times"/>
          <w:lang w:val="en-CA"/>
        </w:rPr>
        <w:t xml:space="preserve"> the idea of property and its ownership, so that the dispossession of </w:t>
      </w:r>
      <w:r w:rsidR="00E35CAE">
        <w:rPr>
          <w:rFonts w:ascii="Times" w:eastAsia="Times New Roman" w:hAnsi="Times"/>
          <w:lang w:val="en-CA"/>
        </w:rPr>
        <w:t>Indigenous</w:t>
      </w:r>
      <w:r w:rsidRPr="00283374">
        <w:rPr>
          <w:rFonts w:ascii="Times" w:eastAsia="Times New Roman" w:hAnsi="Times"/>
          <w:lang w:val="en-CA"/>
        </w:rPr>
        <w:t xml:space="preserve"> </w:t>
      </w:r>
      <w:r w:rsidR="00E35CAE">
        <w:rPr>
          <w:rFonts w:ascii="Times" w:eastAsia="Times New Roman" w:hAnsi="Times"/>
          <w:lang w:val="en-CA"/>
        </w:rPr>
        <w:t>Peoples</w:t>
      </w:r>
      <w:r w:rsidRPr="00283374">
        <w:rPr>
          <w:rFonts w:ascii="Times" w:eastAsia="Times New Roman" w:hAnsi="Times"/>
          <w:lang w:val="en-CA"/>
        </w:rPr>
        <w:t xml:space="preserve"> of </w:t>
      </w:r>
      <w:r w:rsidR="00E8330D" w:rsidRPr="00283374">
        <w:rPr>
          <w:rFonts w:ascii="Times" w:eastAsia="Times New Roman" w:hAnsi="Times"/>
          <w:lang w:val="en-CA"/>
        </w:rPr>
        <w:t>our</w:t>
      </w:r>
      <w:r w:rsidRPr="00283374">
        <w:rPr>
          <w:rFonts w:ascii="Times" w:eastAsia="Times New Roman" w:hAnsi="Times"/>
          <w:lang w:val="en-CA"/>
        </w:rPr>
        <w:t xml:space="preserve"> </w:t>
      </w:r>
      <w:r w:rsidR="00007CC9">
        <w:rPr>
          <w:rFonts w:ascii="Times" w:eastAsia="Times New Roman" w:hAnsi="Times"/>
          <w:lang w:val="en-CA"/>
        </w:rPr>
        <w:t>Territories</w:t>
      </w:r>
      <w:r w:rsidRPr="00283374">
        <w:rPr>
          <w:rFonts w:ascii="Times" w:eastAsia="Times New Roman" w:hAnsi="Times"/>
          <w:lang w:val="en-CA"/>
        </w:rPr>
        <w:t xml:space="preserve"> was justified by the differences in usage of such </w:t>
      </w:r>
      <w:r w:rsidR="00007CC9">
        <w:rPr>
          <w:rFonts w:ascii="Times" w:eastAsia="Times New Roman" w:hAnsi="Times"/>
          <w:lang w:val="en-CA"/>
        </w:rPr>
        <w:t>Territories</w:t>
      </w:r>
      <w:r w:rsidRPr="00283374">
        <w:rPr>
          <w:rFonts w:ascii="Times" w:eastAsia="Times New Roman" w:hAnsi="Times"/>
          <w:lang w:val="en-CA"/>
        </w:rPr>
        <w:t xml:space="preserve">. </w:t>
      </w:r>
    </w:p>
    <w:p w14:paraId="3CFE10D6" w14:textId="77777777" w:rsidR="00283374" w:rsidRPr="00283374" w:rsidRDefault="00283374" w:rsidP="00283374">
      <w:pPr>
        <w:widowControl w:val="0"/>
        <w:autoSpaceDE w:val="0"/>
        <w:autoSpaceDN w:val="0"/>
        <w:adjustRightInd w:val="0"/>
        <w:jc w:val="both"/>
        <w:rPr>
          <w:rFonts w:ascii="Times" w:eastAsia="Times New Roman" w:hAnsi="Times"/>
          <w:lang w:val="en-CA"/>
        </w:rPr>
      </w:pPr>
    </w:p>
    <w:p w14:paraId="79D8B4D6" w14:textId="0F222249" w:rsidR="003B00EE" w:rsidRPr="00283374" w:rsidRDefault="003B00EE" w:rsidP="003B00EE">
      <w:pPr>
        <w:pStyle w:val="ListParagraph"/>
        <w:widowControl w:val="0"/>
        <w:numPr>
          <w:ilvl w:val="0"/>
          <w:numId w:val="37"/>
        </w:numPr>
        <w:autoSpaceDE w:val="0"/>
        <w:autoSpaceDN w:val="0"/>
        <w:adjustRightInd w:val="0"/>
        <w:jc w:val="both"/>
      </w:pPr>
      <w:r w:rsidRPr="00283374">
        <w:rPr>
          <w:rFonts w:ascii="Times" w:eastAsia="Times New Roman" w:hAnsi="Times"/>
          <w:lang w:val="en-CA"/>
        </w:rPr>
        <w:t xml:space="preserve">It was held that since the </w:t>
      </w:r>
      <w:r w:rsidR="00E35CAE">
        <w:rPr>
          <w:rFonts w:ascii="Times" w:eastAsia="Times New Roman" w:hAnsi="Times"/>
          <w:lang w:val="en-CA"/>
        </w:rPr>
        <w:t>Indigenous</w:t>
      </w:r>
      <w:r w:rsidRPr="00283374">
        <w:rPr>
          <w:rFonts w:ascii="Times" w:eastAsia="Times New Roman" w:hAnsi="Times"/>
          <w:lang w:val="en-CA"/>
        </w:rPr>
        <w:t xml:space="preserve"> </w:t>
      </w:r>
      <w:r w:rsidR="00E35CAE">
        <w:rPr>
          <w:rFonts w:ascii="Times" w:eastAsia="Times New Roman" w:hAnsi="Times"/>
          <w:lang w:val="en-CA"/>
        </w:rPr>
        <w:t>Peoples</w:t>
      </w:r>
      <w:r w:rsidRPr="00283374">
        <w:rPr>
          <w:rFonts w:ascii="Times" w:eastAsia="Times New Roman" w:hAnsi="Times"/>
          <w:lang w:val="en-CA"/>
        </w:rPr>
        <w:t xml:space="preserve"> allowed </w:t>
      </w:r>
      <w:r w:rsidR="00E8330D" w:rsidRPr="00283374">
        <w:rPr>
          <w:rFonts w:ascii="Times" w:eastAsia="Times New Roman" w:hAnsi="Times"/>
          <w:lang w:val="en-CA"/>
        </w:rPr>
        <w:t>our</w:t>
      </w:r>
      <w:r w:rsidRPr="00283374">
        <w:rPr>
          <w:rFonts w:ascii="Times" w:eastAsia="Times New Roman" w:hAnsi="Times"/>
          <w:lang w:val="en-CA"/>
        </w:rPr>
        <w:t xml:space="preserve"> </w:t>
      </w:r>
      <w:r w:rsidR="00007CC9">
        <w:rPr>
          <w:rFonts w:ascii="Times" w:eastAsia="Times New Roman" w:hAnsi="Times"/>
          <w:lang w:val="en-CA"/>
        </w:rPr>
        <w:t>Territories</w:t>
      </w:r>
      <w:r w:rsidRPr="00283374">
        <w:rPr>
          <w:rFonts w:ascii="Times" w:eastAsia="Times New Roman" w:hAnsi="Times"/>
          <w:lang w:val="en-CA"/>
        </w:rPr>
        <w:t xml:space="preserve"> to sit unimproved and vacant according to English conceptions of property, that the English desire to improve such lands through agriculture, lumber extraction and so forth allowed for the justification of the taking of such lands. In this conception, coupled with the previous principles in the </w:t>
      </w:r>
      <w:r w:rsidRPr="00283374">
        <w:rPr>
          <w:rFonts w:ascii="Times" w:eastAsia="Times New Roman" w:hAnsi="Times"/>
          <w:i/>
          <w:lang w:val="en-CA"/>
        </w:rPr>
        <w:t>Doctrine of Discovery</w:t>
      </w:r>
      <w:r w:rsidRPr="00283374">
        <w:rPr>
          <w:rFonts w:ascii="Times" w:eastAsia="Times New Roman" w:hAnsi="Times"/>
          <w:lang w:val="en-CA"/>
        </w:rPr>
        <w:t xml:space="preserve">, we submit that the English could lay claim and dispossess </w:t>
      </w:r>
      <w:r w:rsidR="00E35CAE">
        <w:rPr>
          <w:rFonts w:ascii="Times" w:eastAsia="Times New Roman" w:hAnsi="Times"/>
          <w:lang w:val="en-CA"/>
        </w:rPr>
        <w:t>Indigenous</w:t>
      </w:r>
      <w:r w:rsidRPr="00283374">
        <w:rPr>
          <w:rFonts w:ascii="Times" w:eastAsia="Times New Roman" w:hAnsi="Times"/>
          <w:lang w:val="en-CA"/>
        </w:rPr>
        <w:t xml:space="preserve"> </w:t>
      </w:r>
      <w:r w:rsidR="00E35CAE">
        <w:rPr>
          <w:rFonts w:ascii="Times" w:eastAsia="Times New Roman" w:hAnsi="Times"/>
          <w:lang w:val="en-CA"/>
        </w:rPr>
        <w:t>Peoples</w:t>
      </w:r>
      <w:r w:rsidRPr="00283374">
        <w:rPr>
          <w:rFonts w:ascii="Times" w:eastAsia="Times New Roman" w:hAnsi="Times"/>
          <w:lang w:val="en-CA"/>
        </w:rPr>
        <w:t xml:space="preserve"> of </w:t>
      </w:r>
      <w:r w:rsidR="00E8330D" w:rsidRPr="00283374">
        <w:rPr>
          <w:rFonts w:ascii="Times" w:eastAsia="Times New Roman" w:hAnsi="Times"/>
          <w:lang w:val="en-CA"/>
        </w:rPr>
        <w:t>our</w:t>
      </w:r>
      <w:r w:rsidRPr="00283374">
        <w:rPr>
          <w:rFonts w:ascii="Times" w:eastAsia="Times New Roman" w:hAnsi="Times"/>
          <w:lang w:val="en-CA"/>
        </w:rPr>
        <w:t xml:space="preserve"> </w:t>
      </w:r>
      <w:r w:rsidR="00007CC9">
        <w:rPr>
          <w:rFonts w:ascii="Times" w:eastAsia="Times New Roman" w:hAnsi="Times"/>
          <w:lang w:val="en-CA"/>
        </w:rPr>
        <w:t>Territories</w:t>
      </w:r>
      <w:r w:rsidRPr="00283374">
        <w:rPr>
          <w:rFonts w:ascii="Times" w:eastAsia="Times New Roman" w:hAnsi="Times"/>
          <w:lang w:val="en-CA"/>
        </w:rPr>
        <w:t xml:space="preserve"> if:</w:t>
      </w:r>
    </w:p>
    <w:p w14:paraId="099E6072" w14:textId="77777777" w:rsidR="00E86419" w:rsidRDefault="00E86419" w:rsidP="003B00EE">
      <w:pPr>
        <w:widowControl w:val="0"/>
        <w:autoSpaceDE w:val="0"/>
        <w:autoSpaceDN w:val="0"/>
        <w:adjustRightInd w:val="0"/>
        <w:jc w:val="both"/>
        <w:rPr>
          <w:rFonts w:ascii="Times" w:eastAsia="Times New Roman" w:hAnsi="Times"/>
          <w:lang w:val="en-CA"/>
        </w:rPr>
      </w:pPr>
    </w:p>
    <w:p w14:paraId="1BE69BB4" w14:textId="77777777" w:rsidR="003B00EE" w:rsidRPr="0083520D" w:rsidRDefault="003B00EE" w:rsidP="00283374">
      <w:pPr>
        <w:pStyle w:val="ListParagraph"/>
        <w:widowControl w:val="0"/>
        <w:numPr>
          <w:ilvl w:val="0"/>
          <w:numId w:val="29"/>
        </w:numPr>
        <w:autoSpaceDE w:val="0"/>
        <w:autoSpaceDN w:val="0"/>
        <w:adjustRightInd w:val="0"/>
        <w:ind w:left="1440"/>
        <w:jc w:val="both"/>
      </w:pPr>
      <w:r w:rsidRPr="0083520D">
        <w:rPr>
          <w:rFonts w:ascii="Times" w:eastAsia="Times New Roman" w:hAnsi="Times"/>
          <w:lang w:val="en-CA"/>
        </w:rPr>
        <w:t>no other Christian European state had already “claimed” such lands</w:t>
      </w:r>
      <w:r>
        <w:rPr>
          <w:rFonts w:ascii="Times" w:eastAsia="Times New Roman" w:hAnsi="Times"/>
          <w:lang w:val="en-CA"/>
        </w:rPr>
        <w:t>;</w:t>
      </w:r>
    </w:p>
    <w:p w14:paraId="78F01B42" w14:textId="77777777" w:rsidR="003B00EE" w:rsidRPr="0083520D" w:rsidRDefault="003B00EE" w:rsidP="00283374">
      <w:pPr>
        <w:pStyle w:val="ListParagraph"/>
        <w:widowControl w:val="0"/>
        <w:numPr>
          <w:ilvl w:val="0"/>
          <w:numId w:val="29"/>
        </w:numPr>
        <w:autoSpaceDE w:val="0"/>
        <w:autoSpaceDN w:val="0"/>
        <w:adjustRightInd w:val="0"/>
        <w:ind w:left="1440"/>
        <w:jc w:val="both"/>
      </w:pPr>
      <w:r w:rsidRPr="0083520D">
        <w:rPr>
          <w:rFonts w:ascii="Times" w:eastAsia="Times New Roman" w:hAnsi="Times"/>
          <w:lang w:val="en-CA"/>
        </w:rPr>
        <w:t>possession or occupancy of the lands had occurred, whether through a ritual act of possession or ot</w:t>
      </w:r>
      <w:r>
        <w:rPr>
          <w:rFonts w:ascii="Times" w:eastAsia="Times New Roman" w:hAnsi="Times"/>
          <w:lang w:val="en-CA"/>
        </w:rPr>
        <w:t>herwise;</w:t>
      </w:r>
      <w:r w:rsidRPr="0083520D">
        <w:rPr>
          <w:rFonts w:ascii="Times" w:eastAsia="Times New Roman" w:hAnsi="Times"/>
          <w:lang w:val="en-CA"/>
        </w:rPr>
        <w:t xml:space="preserve"> and </w:t>
      </w:r>
    </w:p>
    <w:p w14:paraId="2E52AF22" w14:textId="67AB53C3" w:rsidR="003B00EE" w:rsidRPr="002F1A17" w:rsidRDefault="003B00EE" w:rsidP="00283374">
      <w:pPr>
        <w:pStyle w:val="ListParagraph"/>
        <w:widowControl w:val="0"/>
        <w:numPr>
          <w:ilvl w:val="0"/>
          <w:numId w:val="29"/>
        </w:numPr>
        <w:autoSpaceDE w:val="0"/>
        <w:autoSpaceDN w:val="0"/>
        <w:adjustRightInd w:val="0"/>
        <w:ind w:left="1440"/>
        <w:jc w:val="both"/>
      </w:pPr>
      <w:r w:rsidRPr="0083520D">
        <w:rPr>
          <w:rFonts w:ascii="Times" w:eastAsia="Times New Roman" w:hAnsi="Times"/>
          <w:lang w:val="en-CA"/>
        </w:rPr>
        <w:t xml:space="preserve">if the lands were occupied or possessed by </w:t>
      </w:r>
      <w:r w:rsidR="00E35CAE">
        <w:rPr>
          <w:rFonts w:ascii="Times" w:eastAsia="Times New Roman" w:hAnsi="Times"/>
          <w:lang w:val="en-CA"/>
        </w:rPr>
        <w:t>Indigenous</w:t>
      </w:r>
      <w:r w:rsidRPr="0083520D">
        <w:rPr>
          <w:rFonts w:ascii="Times" w:eastAsia="Times New Roman" w:hAnsi="Times"/>
          <w:lang w:val="en-CA"/>
        </w:rPr>
        <w:t xml:space="preserve"> </w:t>
      </w:r>
      <w:r w:rsidR="00E35CAE">
        <w:rPr>
          <w:rFonts w:ascii="Times" w:eastAsia="Times New Roman" w:hAnsi="Times"/>
          <w:lang w:val="en-CA"/>
        </w:rPr>
        <w:t>Peoples</w:t>
      </w:r>
      <w:r w:rsidRPr="0083520D">
        <w:rPr>
          <w:rFonts w:ascii="Times" w:eastAsia="Times New Roman" w:hAnsi="Times"/>
          <w:lang w:val="en-CA"/>
        </w:rPr>
        <w:t xml:space="preserve">, English claims to such lands were superior as the use to which the lands were to be put were superior than those </w:t>
      </w:r>
      <w:r w:rsidR="00E35CAE">
        <w:rPr>
          <w:rFonts w:ascii="Times" w:eastAsia="Times New Roman" w:hAnsi="Times"/>
          <w:lang w:val="en-CA"/>
        </w:rPr>
        <w:t>Indigenous</w:t>
      </w:r>
      <w:r w:rsidRPr="0083520D">
        <w:rPr>
          <w:rFonts w:ascii="Times" w:eastAsia="Times New Roman" w:hAnsi="Times"/>
          <w:lang w:val="en-CA"/>
        </w:rPr>
        <w:t xml:space="preserve"> uses. </w:t>
      </w:r>
      <w:r>
        <w:rPr>
          <w:rStyle w:val="FootnoteReference"/>
        </w:rPr>
        <w:footnoteReference w:id="7"/>
      </w:r>
    </w:p>
    <w:p w14:paraId="35158471" w14:textId="77777777" w:rsidR="003B00EE" w:rsidRDefault="003B00EE" w:rsidP="003B00EE">
      <w:pPr>
        <w:widowControl w:val="0"/>
        <w:autoSpaceDE w:val="0"/>
        <w:autoSpaceDN w:val="0"/>
        <w:adjustRightInd w:val="0"/>
        <w:jc w:val="both"/>
        <w:rPr>
          <w:b/>
          <w:i/>
        </w:rPr>
      </w:pPr>
    </w:p>
    <w:p w14:paraId="1586BBC5" w14:textId="77777777" w:rsidR="003B00EE" w:rsidRPr="005C2581" w:rsidRDefault="003B00EE" w:rsidP="003B00EE">
      <w:pPr>
        <w:widowControl w:val="0"/>
        <w:autoSpaceDE w:val="0"/>
        <w:autoSpaceDN w:val="0"/>
        <w:adjustRightInd w:val="0"/>
        <w:jc w:val="both"/>
        <w:rPr>
          <w:b/>
          <w:i/>
        </w:rPr>
      </w:pPr>
      <w:r>
        <w:rPr>
          <w:b/>
          <w:i/>
        </w:rPr>
        <w:t>The Crown</w:t>
      </w:r>
    </w:p>
    <w:p w14:paraId="6CDE2A70" w14:textId="3DF5AAC7" w:rsidR="00283374" w:rsidRDefault="003B00EE" w:rsidP="00E86419">
      <w:pPr>
        <w:pStyle w:val="ListParagraph"/>
        <w:widowControl w:val="0"/>
        <w:numPr>
          <w:ilvl w:val="0"/>
          <w:numId w:val="37"/>
        </w:numPr>
        <w:autoSpaceDE w:val="0"/>
        <w:autoSpaceDN w:val="0"/>
        <w:adjustRightInd w:val="0"/>
        <w:jc w:val="both"/>
      </w:pPr>
      <w:r>
        <w:t xml:space="preserve">Within the context of the Canadian state, when England or France “discovered” new lands within North America that were not claimed by another European Christian state, and rituals of possession were then performed, the </w:t>
      </w:r>
      <w:r w:rsidRPr="00283374">
        <w:rPr>
          <w:i/>
        </w:rPr>
        <w:t>Doctrine of Discovery</w:t>
      </w:r>
      <w:r>
        <w:t xml:space="preserve"> held that the </w:t>
      </w:r>
      <w:r w:rsidR="00E35CAE">
        <w:t>Indigenous</w:t>
      </w:r>
      <w:r>
        <w:t xml:space="preserve"> </w:t>
      </w:r>
      <w:r w:rsidR="00E35CAE">
        <w:t>Peoples</w:t>
      </w:r>
      <w:r>
        <w:t xml:space="preserve">, being non-Christian, only had a right to use and occupation of </w:t>
      </w:r>
      <w:r w:rsidR="00E8330D">
        <w:t>our</w:t>
      </w:r>
      <w:r>
        <w:t xml:space="preserve"> </w:t>
      </w:r>
      <w:r w:rsidR="00007CC9">
        <w:t>Territories</w:t>
      </w:r>
      <w:r>
        <w:t xml:space="preserve">, not of title or ownership. In comparison, the Christian European state gained ownership or title to </w:t>
      </w:r>
      <w:r w:rsidR="00E35CAE">
        <w:t>Indigenous</w:t>
      </w:r>
      <w:r>
        <w:t xml:space="preserve"> lands through the “Grace of God”. Although the European state had neither connection nor presence of occupancy </w:t>
      </w:r>
      <w:r w:rsidR="00742B05">
        <w:t>on</w:t>
      </w:r>
      <w:r>
        <w:t xml:space="preserve"> such new lands, they nevertheless claimed title to huge swaths of </w:t>
      </w:r>
      <w:r w:rsidR="00E35CAE">
        <w:t>Indigenous</w:t>
      </w:r>
      <w:r>
        <w:t xml:space="preserve"> lands. By this manner, the European state could claim title, while at the same time claiming pre-emptive rights against other European states, and restrict the </w:t>
      </w:r>
      <w:r w:rsidR="00E35CAE">
        <w:t>Indigenous</w:t>
      </w:r>
      <w:r>
        <w:t xml:space="preserve"> </w:t>
      </w:r>
      <w:r w:rsidR="00E35CAE">
        <w:t>Peoples</w:t>
      </w:r>
      <w:r>
        <w:t xml:space="preserve">’ rights to </w:t>
      </w:r>
      <w:r w:rsidR="00E8330D">
        <w:t>our</w:t>
      </w:r>
      <w:r>
        <w:t xml:space="preserve"> </w:t>
      </w:r>
      <w:r w:rsidR="00007CC9">
        <w:t>Territories</w:t>
      </w:r>
      <w:r>
        <w:t xml:space="preserve"> to suit European needs. </w:t>
      </w:r>
    </w:p>
    <w:p w14:paraId="220EFB88" w14:textId="77777777" w:rsidR="00283374" w:rsidRDefault="00283374" w:rsidP="00283374">
      <w:pPr>
        <w:pStyle w:val="ListParagraph"/>
        <w:widowControl w:val="0"/>
        <w:autoSpaceDE w:val="0"/>
        <w:autoSpaceDN w:val="0"/>
        <w:adjustRightInd w:val="0"/>
        <w:jc w:val="both"/>
      </w:pPr>
    </w:p>
    <w:p w14:paraId="33D4592A" w14:textId="096B73A4" w:rsidR="00283374" w:rsidRDefault="003B00EE" w:rsidP="00F10F2F">
      <w:pPr>
        <w:pStyle w:val="ListParagraph"/>
        <w:widowControl w:val="0"/>
        <w:numPr>
          <w:ilvl w:val="0"/>
          <w:numId w:val="37"/>
        </w:numPr>
        <w:autoSpaceDE w:val="0"/>
        <w:autoSpaceDN w:val="0"/>
        <w:adjustRightInd w:val="0"/>
        <w:jc w:val="both"/>
      </w:pPr>
      <w:r>
        <w:t xml:space="preserve">Within the area that is now the Canadian state, both England and France utilized these principles to claim and compete for </w:t>
      </w:r>
      <w:r w:rsidR="00E35CAE">
        <w:t>Indigenous</w:t>
      </w:r>
      <w:r>
        <w:t xml:space="preserve"> lands and resources. During the 18</w:t>
      </w:r>
      <w:r w:rsidRPr="00283374">
        <w:rPr>
          <w:vertAlign w:val="superscript"/>
        </w:rPr>
        <w:t>th</w:t>
      </w:r>
      <w:r>
        <w:t xml:space="preserve"> century, England and France battled for dominance over </w:t>
      </w:r>
      <w:r w:rsidR="00E8330D">
        <w:t>our</w:t>
      </w:r>
      <w:r>
        <w:t xml:space="preserve"> North American empires, known as the Seven Years War, which resulted in the defeat of France and Treaty of Paris that provided England with France’s claims to the areas now part of the Canadian state.</w:t>
      </w:r>
      <w:r w:rsidR="001A7AC0">
        <w:t xml:space="preserve"> In consolidating its empire in North America, the </w:t>
      </w:r>
      <w:r w:rsidR="001A7AC0" w:rsidRPr="00283374">
        <w:rPr>
          <w:i/>
        </w:rPr>
        <w:t>Royal Proclamation of 1763</w:t>
      </w:r>
      <w:r w:rsidR="00383F90" w:rsidRPr="001C0F42">
        <w:rPr>
          <w:rStyle w:val="FootnoteReference"/>
          <w:lang w:val="en-AU"/>
        </w:rPr>
        <w:footnoteReference w:id="8"/>
      </w:r>
      <w:r w:rsidR="00383F90" w:rsidRPr="00283374">
        <w:rPr>
          <w:lang w:val="en-AU"/>
        </w:rPr>
        <w:t xml:space="preserve"> </w:t>
      </w:r>
      <w:r w:rsidR="00383F90">
        <w:t xml:space="preserve">(hereinafter the “Proclamation”) </w:t>
      </w:r>
      <w:r w:rsidR="001A7AC0">
        <w:t xml:space="preserve">was </w:t>
      </w:r>
      <w:r w:rsidR="0055631D">
        <w:t>issued</w:t>
      </w:r>
      <w:r w:rsidR="00F10F2F">
        <w:t>.</w:t>
      </w:r>
    </w:p>
    <w:p w14:paraId="746D620B" w14:textId="77777777" w:rsidR="00283374" w:rsidRPr="00283374" w:rsidRDefault="00283374" w:rsidP="00283374">
      <w:pPr>
        <w:widowControl w:val="0"/>
        <w:autoSpaceDE w:val="0"/>
        <w:autoSpaceDN w:val="0"/>
        <w:adjustRightInd w:val="0"/>
        <w:jc w:val="both"/>
        <w:rPr>
          <w:lang w:val="en-AU"/>
        </w:rPr>
      </w:pPr>
    </w:p>
    <w:p w14:paraId="23572C45" w14:textId="3942BD2E" w:rsidR="00587AF1" w:rsidRPr="00283374" w:rsidRDefault="00383F90" w:rsidP="00F10F2F">
      <w:pPr>
        <w:pStyle w:val="ListParagraph"/>
        <w:widowControl w:val="0"/>
        <w:numPr>
          <w:ilvl w:val="0"/>
          <w:numId w:val="37"/>
        </w:numPr>
        <w:autoSpaceDE w:val="0"/>
        <w:autoSpaceDN w:val="0"/>
        <w:adjustRightInd w:val="0"/>
        <w:jc w:val="both"/>
      </w:pPr>
      <w:r w:rsidRPr="00283374">
        <w:rPr>
          <w:lang w:val="en-AU"/>
        </w:rPr>
        <w:t>Primarily, the P</w:t>
      </w:r>
      <w:r w:rsidR="00DA2155" w:rsidRPr="00283374">
        <w:rPr>
          <w:lang w:val="en-AU"/>
        </w:rPr>
        <w:t xml:space="preserve">roclamation was </w:t>
      </w:r>
      <w:r w:rsidRPr="00283374">
        <w:rPr>
          <w:lang w:val="en-AU"/>
        </w:rPr>
        <w:t xml:space="preserve">issued so as to </w:t>
      </w:r>
      <w:r w:rsidR="00F10F2F" w:rsidRPr="00283374">
        <w:rPr>
          <w:lang w:val="en-AU"/>
        </w:rPr>
        <w:t xml:space="preserve">create </w:t>
      </w:r>
      <w:r w:rsidRPr="00283374">
        <w:rPr>
          <w:lang w:val="en-AU"/>
        </w:rPr>
        <w:t>the means in which</w:t>
      </w:r>
      <w:r w:rsidR="00DA2155" w:rsidRPr="00283374">
        <w:rPr>
          <w:lang w:val="en-AU"/>
        </w:rPr>
        <w:t xml:space="preserve"> the </w:t>
      </w:r>
      <w:r w:rsidRPr="00283374">
        <w:rPr>
          <w:lang w:val="en-AU"/>
        </w:rPr>
        <w:t xml:space="preserve">British Crown’s </w:t>
      </w:r>
      <w:r w:rsidR="00DA2155" w:rsidRPr="00283374">
        <w:rPr>
          <w:lang w:val="en-AU"/>
        </w:rPr>
        <w:t xml:space="preserve">subjects </w:t>
      </w:r>
      <w:r w:rsidR="009A6EC6" w:rsidRPr="00283374">
        <w:rPr>
          <w:lang w:val="en-AU"/>
        </w:rPr>
        <w:t xml:space="preserve">were </w:t>
      </w:r>
      <w:r w:rsidR="00DA2155" w:rsidRPr="00283374">
        <w:rPr>
          <w:lang w:val="en-AU"/>
        </w:rPr>
        <w:t xml:space="preserve">to </w:t>
      </w:r>
      <w:r w:rsidRPr="00283374">
        <w:rPr>
          <w:lang w:val="en-AU"/>
        </w:rPr>
        <w:t xml:space="preserve">access </w:t>
      </w:r>
      <w:r w:rsidR="00E35CAE">
        <w:rPr>
          <w:lang w:val="en-AU"/>
        </w:rPr>
        <w:t>Indigenous</w:t>
      </w:r>
      <w:r w:rsidR="00E86419" w:rsidRPr="00283374">
        <w:rPr>
          <w:lang w:val="en-AU"/>
        </w:rPr>
        <w:t xml:space="preserve"> </w:t>
      </w:r>
      <w:r w:rsidR="00E35CAE">
        <w:rPr>
          <w:lang w:val="en-AU"/>
        </w:rPr>
        <w:t>Peoples</w:t>
      </w:r>
      <w:r w:rsidR="00E86419" w:rsidRPr="00283374">
        <w:rPr>
          <w:lang w:val="en-AU"/>
        </w:rPr>
        <w:t>’</w:t>
      </w:r>
      <w:r w:rsidRPr="00283374">
        <w:rPr>
          <w:lang w:val="en-AU"/>
        </w:rPr>
        <w:t xml:space="preserve"> </w:t>
      </w:r>
      <w:r w:rsidR="00007CC9">
        <w:rPr>
          <w:lang w:val="en-AU"/>
        </w:rPr>
        <w:t>Territories</w:t>
      </w:r>
      <w:r w:rsidRPr="00283374">
        <w:rPr>
          <w:lang w:val="en-AU"/>
        </w:rPr>
        <w:t>. Such a</w:t>
      </w:r>
      <w:r w:rsidR="009A6EC6" w:rsidRPr="00283374">
        <w:rPr>
          <w:lang w:val="en-AU"/>
        </w:rPr>
        <w:t xml:space="preserve"> process was necessary </w:t>
      </w:r>
      <w:r w:rsidR="00E86419" w:rsidRPr="00283374">
        <w:rPr>
          <w:lang w:val="en-AU"/>
        </w:rPr>
        <w:t xml:space="preserve">as the </w:t>
      </w:r>
      <w:r w:rsidR="00E35CAE">
        <w:rPr>
          <w:lang w:val="en-AU"/>
        </w:rPr>
        <w:t>Indigenous</w:t>
      </w:r>
      <w:r w:rsidR="00E86419" w:rsidRPr="00283374">
        <w:rPr>
          <w:lang w:val="en-AU"/>
        </w:rPr>
        <w:t xml:space="preserve"> </w:t>
      </w:r>
      <w:r w:rsidR="00E35CAE">
        <w:rPr>
          <w:lang w:val="en-AU"/>
        </w:rPr>
        <w:t>Peoples</w:t>
      </w:r>
      <w:r w:rsidR="00F10F2F" w:rsidRPr="00283374">
        <w:rPr>
          <w:lang w:val="en-AU"/>
        </w:rPr>
        <w:t xml:space="preserve"> were in a superior military position, and to ensure the British Crown’s colonists</w:t>
      </w:r>
      <w:r w:rsidR="00E86419" w:rsidRPr="00283374">
        <w:rPr>
          <w:lang w:val="en-AU"/>
        </w:rPr>
        <w:t>’</w:t>
      </w:r>
      <w:r w:rsidR="00F10F2F" w:rsidRPr="00283374">
        <w:rPr>
          <w:lang w:val="en-AU"/>
        </w:rPr>
        <w:t xml:space="preserve"> survival, it was necessary to respect </w:t>
      </w:r>
      <w:r w:rsidR="00E86419" w:rsidRPr="00283374">
        <w:rPr>
          <w:lang w:val="en-AU"/>
        </w:rPr>
        <w:t xml:space="preserve">the </w:t>
      </w:r>
      <w:r w:rsidR="00E35CAE">
        <w:rPr>
          <w:lang w:val="en-AU"/>
        </w:rPr>
        <w:t>Indigenous</w:t>
      </w:r>
      <w:r w:rsidR="00E86419" w:rsidRPr="00283374">
        <w:rPr>
          <w:lang w:val="en-AU"/>
        </w:rPr>
        <w:t xml:space="preserve"> </w:t>
      </w:r>
      <w:r w:rsidR="00E35CAE">
        <w:rPr>
          <w:lang w:val="en-AU"/>
        </w:rPr>
        <w:t>Peoples</w:t>
      </w:r>
      <w:r w:rsidR="00E86419" w:rsidRPr="00283374">
        <w:rPr>
          <w:lang w:val="en-AU"/>
        </w:rPr>
        <w:t>’</w:t>
      </w:r>
      <w:r w:rsidR="00F10F2F" w:rsidRPr="00283374">
        <w:rPr>
          <w:lang w:val="en-AU"/>
        </w:rPr>
        <w:t xml:space="preserve"> land rights. However, </w:t>
      </w:r>
      <w:r w:rsidR="00C04B6A">
        <w:t xml:space="preserve">such recognition only went so far as </w:t>
      </w:r>
      <w:r w:rsidR="00F10F2F">
        <w:t xml:space="preserve">certain principles of the </w:t>
      </w:r>
      <w:r w:rsidR="00F10F2F" w:rsidRPr="00283374">
        <w:rPr>
          <w:i/>
        </w:rPr>
        <w:t>Doctrine of Discovery</w:t>
      </w:r>
      <w:r w:rsidR="00C04B6A">
        <w:t xml:space="preserve"> were codified within the Proclamation. </w:t>
      </w:r>
      <w:r w:rsidRPr="00283374">
        <w:rPr>
          <w:lang w:val="en-AU"/>
        </w:rPr>
        <w:t xml:space="preserve"> </w:t>
      </w:r>
      <w:r w:rsidR="00C04B6A" w:rsidRPr="00283374">
        <w:rPr>
          <w:lang w:val="en-AU"/>
        </w:rPr>
        <w:t xml:space="preserve">Specifically, </w:t>
      </w:r>
      <w:r w:rsidR="00587AF1" w:rsidRPr="00283374">
        <w:rPr>
          <w:lang w:val="en-AU"/>
        </w:rPr>
        <w:t xml:space="preserve">we </w:t>
      </w:r>
      <w:r w:rsidR="00B25862" w:rsidRPr="00283374">
        <w:rPr>
          <w:lang w:val="en-AU"/>
        </w:rPr>
        <w:t xml:space="preserve">briefly </w:t>
      </w:r>
      <w:r w:rsidR="00587AF1" w:rsidRPr="00283374">
        <w:rPr>
          <w:lang w:val="en-AU"/>
        </w:rPr>
        <w:t xml:space="preserve">wish to bring to CERD’s attention the following provisions of the Proclamation and the corresponding principles from the </w:t>
      </w:r>
      <w:r w:rsidR="00587AF1" w:rsidRPr="00283374">
        <w:rPr>
          <w:i/>
          <w:lang w:val="en-AU"/>
        </w:rPr>
        <w:t>Doctrine of Discovery</w:t>
      </w:r>
      <w:r w:rsidR="00E100D1" w:rsidRPr="00283374">
        <w:rPr>
          <w:lang w:val="en-AU"/>
        </w:rPr>
        <w:t>:</w:t>
      </w:r>
    </w:p>
    <w:p w14:paraId="624A18AC" w14:textId="77777777" w:rsidR="00587AF1" w:rsidRDefault="00587AF1" w:rsidP="00F10F2F">
      <w:pPr>
        <w:widowControl w:val="0"/>
        <w:autoSpaceDE w:val="0"/>
        <w:autoSpaceDN w:val="0"/>
        <w:adjustRightInd w:val="0"/>
        <w:jc w:val="both"/>
        <w:rPr>
          <w:lang w:val="en-AU"/>
        </w:rPr>
      </w:pPr>
    </w:p>
    <w:p w14:paraId="4FA174DF" w14:textId="77777777" w:rsidR="00E100D1" w:rsidRDefault="00E100D1" w:rsidP="00283374">
      <w:pPr>
        <w:pStyle w:val="ListParagraph"/>
        <w:ind w:left="1440" w:right="720"/>
        <w:jc w:val="both"/>
        <w:rPr>
          <w:rFonts w:eastAsia="Times New Roman"/>
          <w:iCs/>
          <w:color w:val="333333"/>
          <w:shd w:val="clear" w:color="auto" w:fill="FFFFFF"/>
        </w:rPr>
      </w:pPr>
      <w:r>
        <w:rPr>
          <w:rFonts w:eastAsia="Times New Roman"/>
          <w:i/>
          <w:iCs/>
          <w:color w:val="333333"/>
          <w:shd w:val="clear" w:color="auto" w:fill="FFFFFF"/>
        </w:rPr>
        <w:t>“</w:t>
      </w:r>
      <w:r w:rsidR="00587AF1" w:rsidRPr="00E100D1">
        <w:rPr>
          <w:rFonts w:eastAsia="Times New Roman"/>
          <w:i/>
          <w:iCs/>
          <w:color w:val="333333"/>
          <w:shd w:val="clear" w:color="auto" w:fill="FFFFFF"/>
        </w:rPr>
        <w:t xml:space="preserve">And whereas it is just and reasonable, and essential to Our Interest and the Security of Our Colonies, that the several Nations or Tribes of Indians, with whom We are connected, and who live under Our Protection, should not be molested or disturbed in the Possession of such Parts of </w:t>
      </w:r>
      <w:r w:rsidR="00587AF1" w:rsidRPr="00E100D1">
        <w:rPr>
          <w:rFonts w:eastAsia="Times New Roman"/>
          <w:b/>
          <w:i/>
          <w:iCs/>
          <w:color w:val="333333"/>
          <w:u w:val="single"/>
          <w:shd w:val="clear" w:color="auto" w:fill="FFFFFF"/>
        </w:rPr>
        <w:t>Our Dominions and Territories</w:t>
      </w:r>
      <w:r w:rsidR="00587AF1" w:rsidRPr="00E100D1">
        <w:rPr>
          <w:rFonts w:eastAsia="Times New Roman"/>
          <w:i/>
          <w:iCs/>
          <w:color w:val="333333"/>
          <w:shd w:val="clear" w:color="auto" w:fill="FFFFFF"/>
        </w:rPr>
        <w:t xml:space="preserve"> as, not having been ceded to, or purchased by Us, are reserved to them, or any of them, as </w:t>
      </w:r>
      <w:r w:rsidR="00E8330D">
        <w:rPr>
          <w:rFonts w:eastAsia="Times New Roman"/>
          <w:i/>
          <w:iCs/>
          <w:color w:val="333333"/>
          <w:shd w:val="clear" w:color="auto" w:fill="FFFFFF"/>
        </w:rPr>
        <w:t>our</w:t>
      </w:r>
      <w:r w:rsidR="00587AF1" w:rsidRPr="00E100D1">
        <w:rPr>
          <w:rFonts w:eastAsia="Times New Roman"/>
          <w:i/>
          <w:iCs/>
          <w:color w:val="333333"/>
          <w:shd w:val="clear" w:color="auto" w:fill="FFFFFF"/>
        </w:rPr>
        <w:t xml:space="preserve"> Hunting Grounds</w:t>
      </w:r>
      <w:r w:rsidR="00B25862" w:rsidRPr="00E100D1">
        <w:rPr>
          <w:rFonts w:eastAsia="Times New Roman"/>
          <w:iCs/>
          <w:color w:val="333333"/>
          <w:shd w:val="clear" w:color="auto" w:fill="FFFFFF"/>
        </w:rPr>
        <w:t>.</w:t>
      </w:r>
      <w:r>
        <w:rPr>
          <w:rFonts w:eastAsia="Times New Roman"/>
          <w:iCs/>
          <w:color w:val="333333"/>
          <w:shd w:val="clear" w:color="auto" w:fill="FFFFFF"/>
        </w:rPr>
        <w:t>”</w:t>
      </w:r>
    </w:p>
    <w:p w14:paraId="000D688E" w14:textId="77777777" w:rsidR="00E100D1" w:rsidRDefault="00E100D1" w:rsidP="00E100D1">
      <w:pPr>
        <w:rPr>
          <w:rFonts w:eastAsia="Times New Roman"/>
          <w:iCs/>
          <w:color w:val="333333"/>
          <w:shd w:val="clear" w:color="auto" w:fill="FFFFFF"/>
        </w:rPr>
      </w:pPr>
    </w:p>
    <w:p w14:paraId="1D70C563" w14:textId="625533AD" w:rsidR="00E100D1" w:rsidRPr="00283374" w:rsidRDefault="00B25862" w:rsidP="00283374">
      <w:pPr>
        <w:pStyle w:val="ListParagraph"/>
        <w:numPr>
          <w:ilvl w:val="0"/>
          <w:numId w:val="37"/>
        </w:numPr>
        <w:jc w:val="both"/>
        <w:rPr>
          <w:rFonts w:eastAsia="Times New Roman"/>
          <w:iCs/>
          <w:color w:val="333333"/>
          <w:shd w:val="clear" w:color="auto" w:fill="FFFFFF"/>
        </w:rPr>
      </w:pPr>
      <w:r w:rsidRPr="00283374">
        <w:rPr>
          <w:rFonts w:eastAsia="Times New Roman"/>
          <w:iCs/>
          <w:color w:val="333333"/>
          <w:shd w:val="clear" w:color="auto" w:fill="FFFFFF"/>
        </w:rPr>
        <w:t>T</w:t>
      </w:r>
      <w:r w:rsidR="00587AF1" w:rsidRPr="00283374">
        <w:rPr>
          <w:rFonts w:eastAsia="Times New Roman"/>
          <w:iCs/>
          <w:color w:val="333333"/>
          <w:shd w:val="clear" w:color="auto" w:fill="FFFFFF"/>
        </w:rPr>
        <w:t xml:space="preserve">his provision clearly sets out that while </w:t>
      </w:r>
      <w:r w:rsidR="00E35CAE">
        <w:rPr>
          <w:rFonts w:eastAsia="Times New Roman"/>
          <w:iCs/>
          <w:color w:val="333333"/>
          <w:shd w:val="clear" w:color="auto" w:fill="FFFFFF"/>
        </w:rPr>
        <w:t>Indigenous</w:t>
      </w:r>
      <w:r w:rsidR="00E86419" w:rsidRPr="00283374">
        <w:rPr>
          <w:rFonts w:eastAsia="Times New Roman"/>
          <w:iCs/>
          <w:color w:val="333333"/>
          <w:shd w:val="clear" w:color="auto" w:fill="FFFFFF"/>
        </w:rPr>
        <w:t xml:space="preserve"> </w:t>
      </w:r>
      <w:r w:rsidR="00E35CAE">
        <w:rPr>
          <w:rFonts w:eastAsia="Times New Roman"/>
          <w:iCs/>
          <w:color w:val="333333"/>
          <w:shd w:val="clear" w:color="auto" w:fill="FFFFFF"/>
        </w:rPr>
        <w:t>Peoples</w:t>
      </w:r>
      <w:r w:rsidR="00587AF1" w:rsidRPr="00283374">
        <w:rPr>
          <w:rFonts w:eastAsia="Times New Roman"/>
          <w:iCs/>
          <w:color w:val="333333"/>
          <w:shd w:val="clear" w:color="auto" w:fill="FFFFFF"/>
        </w:rPr>
        <w:t xml:space="preserve"> were recognized as Nations, </w:t>
      </w:r>
      <w:r w:rsidR="00E35CAE">
        <w:rPr>
          <w:rFonts w:eastAsia="Times New Roman"/>
          <w:iCs/>
          <w:color w:val="333333"/>
          <w:shd w:val="clear" w:color="auto" w:fill="FFFFFF"/>
        </w:rPr>
        <w:t>Indigenous</w:t>
      </w:r>
      <w:r w:rsidR="008D2793" w:rsidRPr="00283374">
        <w:rPr>
          <w:rFonts w:eastAsia="Times New Roman"/>
          <w:iCs/>
          <w:color w:val="333333"/>
          <w:shd w:val="clear" w:color="auto" w:fill="FFFFFF"/>
        </w:rPr>
        <w:t xml:space="preserve"> </w:t>
      </w:r>
      <w:r w:rsidR="00E35CAE">
        <w:rPr>
          <w:rFonts w:eastAsia="Times New Roman"/>
          <w:iCs/>
          <w:color w:val="333333"/>
          <w:shd w:val="clear" w:color="auto" w:fill="FFFFFF"/>
        </w:rPr>
        <w:t>Peoples</w:t>
      </w:r>
      <w:r w:rsidR="00FB0302" w:rsidRPr="00283374">
        <w:rPr>
          <w:rFonts w:eastAsia="Times New Roman"/>
          <w:iCs/>
          <w:color w:val="333333"/>
          <w:shd w:val="clear" w:color="auto" w:fill="FFFFFF"/>
        </w:rPr>
        <w:t>’</w:t>
      </w:r>
      <w:r w:rsidRPr="00283374">
        <w:rPr>
          <w:rFonts w:eastAsia="Times New Roman"/>
          <w:iCs/>
          <w:color w:val="333333"/>
          <w:shd w:val="clear" w:color="auto" w:fill="FFFFFF"/>
        </w:rPr>
        <w:t xml:space="preserve"> </w:t>
      </w:r>
      <w:r w:rsidR="00587AF1" w:rsidRPr="00283374">
        <w:rPr>
          <w:rFonts w:eastAsia="Times New Roman"/>
          <w:iCs/>
          <w:color w:val="333333"/>
          <w:shd w:val="clear" w:color="auto" w:fill="FFFFFF"/>
        </w:rPr>
        <w:t xml:space="preserve">rights to </w:t>
      </w:r>
      <w:r w:rsidR="00E8330D" w:rsidRPr="00283374">
        <w:rPr>
          <w:rFonts w:eastAsia="Times New Roman"/>
          <w:iCs/>
          <w:color w:val="333333"/>
          <w:shd w:val="clear" w:color="auto" w:fill="FFFFFF"/>
        </w:rPr>
        <w:t>our</w:t>
      </w:r>
      <w:r w:rsidR="00587AF1" w:rsidRPr="00283374">
        <w:rPr>
          <w:rFonts w:eastAsia="Times New Roman"/>
          <w:iCs/>
          <w:color w:val="333333"/>
          <w:shd w:val="clear" w:color="auto" w:fill="FFFFFF"/>
        </w:rPr>
        <w:t xml:space="preserve"> </w:t>
      </w:r>
      <w:r w:rsidR="00007CC9">
        <w:rPr>
          <w:rFonts w:eastAsia="Times New Roman"/>
          <w:iCs/>
          <w:color w:val="333333"/>
          <w:shd w:val="clear" w:color="auto" w:fill="FFFFFF"/>
        </w:rPr>
        <w:t>Territories</w:t>
      </w:r>
      <w:r w:rsidR="00587AF1" w:rsidRPr="00283374">
        <w:rPr>
          <w:rFonts w:eastAsia="Times New Roman"/>
          <w:iCs/>
          <w:color w:val="333333"/>
          <w:shd w:val="clear" w:color="auto" w:fill="FFFFFF"/>
        </w:rPr>
        <w:t xml:space="preserve"> </w:t>
      </w:r>
      <w:r w:rsidRPr="00283374">
        <w:rPr>
          <w:rFonts w:eastAsia="Times New Roman"/>
          <w:iCs/>
          <w:color w:val="333333"/>
          <w:shd w:val="clear" w:color="auto" w:fill="FFFFFF"/>
        </w:rPr>
        <w:t>were</w:t>
      </w:r>
      <w:r w:rsidR="00587AF1" w:rsidRPr="00283374">
        <w:rPr>
          <w:rFonts w:eastAsia="Times New Roman"/>
          <w:iCs/>
          <w:color w:val="333333"/>
          <w:shd w:val="clear" w:color="auto" w:fill="FFFFFF"/>
        </w:rPr>
        <w:t xml:space="preserve"> </w:t>
      </w:r>
      <w:r w:rsidRPr="00283374">
        <w:rPr>
          <w:rFonts w:eastAsia="Times New Roman"/>
          <w:iCs/>
          <w:color w:val="333333"/>
          <w:shd w:val="clear" w:color="auto" w:fill="FFFFFF"/>
        </w:rPr>
        <w:t xml:space="preserve">characterized as only being able to use such </w:t>
      </w:r>
      <w:r w:rsidR="00007CC9">
        <w:rPr>
          <w:rFonts w:eastAsia="Times New Roman"/>
          <w:iCs/>
          <w:color w:val="333333"/>
          <w:shd w:val="clear" w:color="auto" w:fill="FFFFFF"/>
        </w:rPr>
        <w:t>Territories</w:t>
      </w:r>
      <w:r w:rsidR="00587AF1" w:rsidRPr="00283374">
        <w:rPr>
          <w:rFonts w:eastAsia="Times New Roman"/>
          <w:iCs/>
          <w:color w:val="333333"/>
          <w:shd w:val="clear" w:color="auto" w:fill="FFFFFF"/>
        </w:rPr>
        <w:t>, not of ownership or title</w:t>
      </w:r>
      <w:r w:rsidRPr="00283374">
        <w:rPr>
          <w:rFonts w:eastAsia="Times New Roman"/>
          <w:iCs/>
          <w:color w:val="333333"/>
          <w:shd w:val="clear" w:color="auto" w:fill="FFFFFF"/>
        </w:rPr>
        <w:t>, which is</w:t>
      </w:r>
      <w:r w:rsidR="00587AF1" w:rsidRPr="00283374">
        <w:rPr>
          <w:rFonts w:eastAsia="Times New Roman"/>
          <w:iCs/>
          <w:color w:val="333333"/>
          <w:shd w:val="clear" w:color="auto" w:fill="FFFFFF"/>
        </w:rPr>
        <w:t xml:space="preserve"> </w:t>
      </w:r>
      <w:r w:rsidRPr="00283374">
        <w:rPr>
          <w:rFonts w:eastAsia="Times New Roman"/>
          <w:iCs/>
          <w:color w:val="333333"/>
          <w:shd w:val="clear" w:color="auto" w:fill="FFFFFF"/>
        </w:rPr>
        <w:t>made</w:t>
      </w:r>
      <w:r w:rsidR="00587AF1" w:rsidRPr="00283374">
        <w:rPr>
          <w:rFonts w:eastAsia="Times New Roman"/>
          <w:iCs/>
          <w:color w:val="333333"/>
          <w:shd w:val="clear" w:color="auto" w:fill="FFFFFF"/>
        </w:rPr>
        <w:t xml:space="preserve"> clear that </w:t>
      </w:r>
      <w:r w:rsidR="00FB0302" w:rsidRPr="00283374">
        <w:rPr>
          <w:rFonts w:eastAsia="Times New Roman"/>
          <w:iCs/>
          <w:color w:val="333333"/>
          <w:shd w:val="clear" w:color="auto" w:fill="FFFFFF"/>
        </w:rPr>
        <w:t>such</w:t>
      </w:r>
      <w:r w:rsidR="00587AF1" w:rsidRPr="00283374">
        <w:rPr>
          <w:rFonts w:eastAsia="Times New Roman"/>
          <w:iCs/>
          <w:color w:val="333333"/>
          <w:shd w:val="clear" w:color="auto" w:fill="FFFFFF"/>
        </w:rPr>
        <w:t xml:space="preserve"> </w:t>
      </w:r>
      <w:r w:rsidR="00007CC9">
        <w:rPr>
          <w:rFonts w:eastAsia="Times New Roman"/>
          <w:iCs/>
          <w:color w:val="333333"/>
          <w:shd w:val="clear" w:color="auto" w:fill="FFFFFF"/>
        </w:rPr>
        <w:t>Territories</w:t>
      </w:r>
      <w:r w:rsidR="00587AF1" w:rsidRPr="00283374">
        <w:rPr>
          <w:rFonts w:eastAsia="Times New Roman"/>
          <w:iCs/>
          <w:color w:val="333333"/>
          <w:shd w:val="clear" w:color="auto" w:fill="FFFFFF"/>
        </w:rPr>
        <w:t xml:space="preserve"> were the British Crown’s “dominions and territories”</w:t>
      </w:r>
      <w:r w:rsidRPr="00283374">
        <w:rPr>
          <w:rFonts w:eastAsia="Times New Roman"/>
          <w:iCs/>
          <w:color w:val="333333"/>
          <w:shd w:val="clear" w:color="auto" w:fill="FFFFFF"/>
        </w:rPr>
        <w:t xml:space="preserve">. </w:t>
      </w:r>
      <w:r w:rsidR="00FB0302" w:rsidRPr="00283374">
        <w:rPr>
          <w:rFonts w:eastAsia="Times New Roman"/>
          <w:iCs/>
          <w:color w:val="333333"/>
          <w:shd w:val="clear" w:color="auto" w:fill="FFFFFF"/>
        </w:rPr>
        <w:t xml:space="preserve">As with the </w:t>
      </w:r>
      <w:r w:rsidR="00FB0302" w:rsidRPr="00283374">
        <w:rPr>
          <w:rFonts w:eastAsia="Times New Roman"/>
          <w:i/>
          <w:iCs/>
          <w:color w:val="333333"/>
          <w:shd w:val="clear" w:color="auto" w:fill="FFFFFF"/>
        </w:rPr>
        <w:t>Doctrine of Discovery</w:t>
      </w:r>
      <w:r w:rsidR="00FB0302" w:rsidRPr="00283374">
        <w:rPr>
          <w:rFonts w:eastAsia="Times New Roman"/>
          <w:iCs/>
          <w:color w:val="333333"/>
          <w:shd w:val="clear" w:color="auto" w:fill="FFFFFF"/>
        </w:rPr>
        <w:t xml:space="preserve">, </w:t>
      </w:r>
      <w:r w:rsidR="00E100D1" w:rsidRPr="00283374">
        <w:rPr>
          <w:rFonts w:eastAsia="Times New Roman"/>
          <w:iCs/>
          <w:color w:val="333333"/>
          <w:shd w:val="clear" w:color="auto" w:fill="FFFFFF"/>
        </w:rPr>
        <w:t xml:space="preserve">despite </w:t>
      </w:r>
      <w:r w:rsidR="00E35CAE">
        <w:rPr>
          <w:rFonts w:eastAsia="Times New Roman"/>
          <w:iCs/>
          <w:color w:val="333333"/>
          <w:shd w:val="clear" w:color="auto" w:fill="FFFFFF"/>
        </w:rPr>
        <w:t>Indigenous</w:t>
      </w:r>
      <w:r w:rsidR="00E100D1" w:rsidRPr="00283374">
        <w:rPr>
          <w:rFonts w:eastAsia="Times New Roman"/>
          <w:iCs/>
          <w:color w:val="333333"/>
          <w:shd w:val="clear" w:color="auto" w:fill="FFFFFF"/>
        </w:rPr>
        <w:t xml:space="preserve"> </w:t>
      </w:r>
      <w:r w:rsidR="00E35CAE">
        <w:rPr>
          <w:rFonts w:eastAsia="Times New Roman"/>
          <w:iCs/>
          <w:color w:val="333333"/>
          <w:shd w:val="clear" w:color="auto" w:fill="FFFFFF"/>
        </w:rPr>
        <w:t>Peoples</w:t>
      </w:r>
      <w:r w:rsidR="00E100D1" w:rsidRPr="00283374">
        <w:rPr>
          <w:rFonts w:eastAsia="Times New Roman"/>
          <w:iCs/>
          <w:color w:val="333333"/>
          <w:shd w:val="clear" w:color="auto" w:fill="FFFFFF"/>
        </w:rPr>
        <w:t xml:space="preserve"> </w:t>
      </w:r>
      <w:r w:rsidR="00E100D1" w:rsidRPr="00283374">
        <w:rPr>
          <w:rFonts w:ascii="Times" w:eastAsia="Times New Roman" w:hAnsi="Times"/>
          <w:lang w:val="en-CA"/>
        </w:rPr>
        <w:t xml:space="preserve">occupying or possessing </w:t>
      </w:r>
      <w:r w:rsidR="00E8330D" w:rsidRPr="00283374">
        <w:rPr>
          <w:rFonts w:ascii="Times" w:eastAsia="Times New Roman" w:hAnsi="Times"/>
          <w:lang w:val="en-CA"/>
        </w:rPr>
        <w:t>our</w:t>
      </w:r>
      <w:r w:rsidR="00E100D1" w:rsidRPr="00283374">
        <w:rPr>
          <w:rFonts w:ascii="Times" w:eastAsia="Times New Roman" w:hAnsi="Times"/>
          <w:lang w:val="en-CA"/>
        </w:rPr>
        <w:t xml:space="preserve"> </w:t>
      </w:r>
      <w:r w:rsidR="00007CC9">
        <w:rPr>
          <w:rFonts w:ascii="Times" w:eastAsia="Times New Roman" w:hAnsi="Times"/>
          <w:lang w:val="en-CA"/>
        </w:rPr>
        <w:t>Territories</w:t>
      </w:r>
      <w:r w:rsidR="00E100D1" w:rsidRPr="00283374">
        <w:rPr>
          <w:rFonts w:ascii="Times" w:eastAsia="Times New Roman" w:hAnsi="Times"/>
          <w:lang w:val="en-CA"/>
        </w:rPr>
        <w:t xml:space="preserve"> for millennia, the British Crown claimed title to such lands while </w:t>
      </w:r>
      <w:r w:rsidR="007F2DB4" w:rsidRPr="00283374">
        <w:rPr>
          <w:rFonts w:ascii="Times" w:eastAsia="Times New Roman" w:hAnsi="Times"/>
          <w:lang w:val="en-CA"/>
        </w:rPr>
        <w:t>minimizing</w:t>
      </w:r>
      <w:r w:rsidR="00E100D1" w:rsidRPr="00283374">
        <w:rPr>
          <w:rFonts w:ascii="Times" w:eastAsia="Times New Roman" w:hAnsi="Times"/>
          <w:lang w:val="en-CA"/>
        </w:rPr>
        <w:t xml:space="preserve"> </w:t>
      </w:r>
      <w:r w:rsidR="00E35CAE">
        <w:rPr>
          <w:rFonts w:ascii="Times" w:eastAsia="Times New Roman" w:hAnsi="Times"/>
          <w:lang w:val="en-CA"/>
        </w:rPr>
        <w:t>Indigenous</w:t>
      </w:r>
      <w:r w:rsidR="00E100D1" w:rsidRPr="00283374">
        <w:rPr>
          <w:rFonts w:ascii="Times" w:eastAsia="Times New Roman" w:hAnsi="Times"/>
          <w:lang w:val="en-CA"/>
        </w:rPr>
        <w:t xml:space="preserve"> </w:t>
      </w:r>
      <w:r w:rsidR="00E35CAE">
        <w:rPr>
          <w:rFonts w:ascii="Times" w:eastAsia="Times New Roman" w:hAnsi="Times"/>
          <w:lang w:val="en-CA"/>
        </w:rPr>
        <w:t>Peoples</w:t>
      </w:r>
      <w:r w:rsidR="007F2DB4" w:rsidRPr="00283374">
        <w:rPr>
          <w:rFonts w:ascii="Times" w:eastAsia="Times New Roman" w:hAnsi="Times"/>
          <w:lang w:val="en-CA"/>
        </w:rPr>
        <w:t xml:space="preserve"> rights so </w:t>
      </w:r>
      <w:r w:rsidR="00E8330D" w:rsidRPr="00283374">
        <w:rPr>
          <w:rFonts w:ascii="Times" w:eastAsia="Times New Roman" w:hAnsi="Times"/>
          <w:lang w:val="en-CA"/>
        </w:rPr>
        <w:t>our</w:t>
      </w:r>
      <w:r w:rsidR="007954FE" w:rsidRPr="00283374">
        <w:rPr>
          <w:rFonts w:ascii="Times" w:eastAsia="Times New Roman" w:hAnsi="Times"/>
          <w:lang w:val="en-CA"/>
        </w:rPr>
        <w:t xml:space="preserve"> </w:t>
      </w:r>
      <w:r w:rsidR="00007CC9">
        <w:rPr>
          <w:rFonts w:ascii="Times" w:eastAsia="Times New Roman" w:hAnsi="Times"/>
          <w:lang w:val="en-CA"/>
        </w:rPr>
        <w:t>Territories</w:t>
      </w:r>
      <w:r w:rsidR="007954FE" w:rsidRPr="00283374">
        <w:rPr>
          <w:rFonts w:ascii="Times" w:eastAsia="Times New Roman" w:hAnsi="Times"/>
          <w:lang w:val="en-CA"/>
        </w:rPr>
        <w:t xml:space="preserve">, and making such rights </w:t>
      </w:r>
      <w:r w:rsidR="007F2DB4" w:rsidRPr="00283374">
        <w:rPr>
          <w:rFonts w:ascii="Times" w:eastAsia="Times New Roman" w:hAnsi="Times"/>
          <w:lang w:val="en-CA"/>
        </w:rPr>
        <w:t>subservient to</w:t>
      </w:r>
      <w:r w:rsidR="007954FE" w:rsidRPr="00283374">
        <w:rPr>
          <w:rFonts w:eastAsia="Times New Roman"/>
          <w:iCs/>
          <w:color w:val="333333"/>
          <w:shd w:val="clear" w:color="auto" w:fill="FFFFFF"/>
        </w:rPr>
        <w:t xml:space="preserve"> the British Crown</w:t>
      </w:r>
      <w:r w:rsidR="00E100D1" w:rsidRPr="00283374">
        <w:rPr>
          <w:rFonts w:eastAsia="Times New Roman"/>
          <w:iCs/>
          <w:color w:val="333333"/>
          <w:shd w:val="clear" w:color="auto" w:fill="FFFFFF"/>
        </w:rPr>
        <w:t>. Further</w:t>
      </w:r>
      <w:r w:rsidR="007E438C" w:rsidRPr="00283374">
        <w:rPr>
          <w:rFonts w:eastAsia="Times New Roman"/>
          <w:iCs/>
          <w:color w:val="333333"/>
          <w:shd w:val="clear" w:color="auto" w:fill="FFFFFF"/>
        </w:rPr>
        <w:t>, this provision</w:t>
      </w:r>
      <w:r w:rsidR="0064530C" w:rsidRPr="00283374">
        <w:rPr>
          <w:rFonts w:eastAsia="Times New Roman"/>
          <w:iCs/>
          <w:color w:val="333333"/>
          <w:shd w:val="clear" w:color="auto" w:fill="FFFFFF"/>
        </w:rPr>
        <w:t xml:space="preserve"> </w:t>
      </w:r>
      <w:r w:rsidR="007E438C" w:rsidRPr="00283374">
        <w:rPr>
          <w:rFonts w:eastAsia="Times New Roman"/>
          <w:iCs/>
          <w:color w:val="333333"/>
          <w:shd w:val="clear" w:color="auto" w:fill="FFFFFF"/>
        </w:rPr>
        <w:t>also sets out the basic p</w:t>
      </w:r>
      <w:r w:rsidR="0064530C" w:rsidRPr="00283374">
        <w:rPr>
          <w:rFonts w:eastAsia="Times New Roman"/>
          <w:iCs/>
          <w:color w:val="333333"/>
          <w:shd w:val="clear" w:color="auto" w:fill="FFFFFF"/>
        </w:rPr>
        <w:t>rinciple</w:t>
      </w:r>
      <w:r w:rsidR="007E438C" w:rsidRPr="00283374">
        <w:rPr>
          <w:rFonts w:eastAsia="Times New Roman"/>
          <w:iCs/>
          <w:color w:val="333333"/>
          <w:shd w:val="clear" w:color="auto" w:fill="FFFFFF"/>
        </w:rPr>
        <w:t xml:space="preserve"> that the </w:t>
      </w:r>
      <w:r w:rsidR="00E35CAE">
        <w:rPr>
          <w:rFonts w:eastAsia="Times New Roman"/>
          <w:iCs/>
          <w:color w:val="333333"/>
          <w:shd w:val="clear" w:color="auto" w:fill="FFFFFF"/>
        </w:rPr>
        <w:t>Indigenous</w:t>
      </w:r>
      <w:r w:rsidR="007E438C" w:rsidRPr="00283374">
        <w:rPr>
          <w:rFonts w:eastAsia="Times New Roman"/>
          <w:iCs/>
          <w:color w:val="333333"/>
          <w:shd w:val="clear" w:color="auto" w:fill="FFFFFF"/>
        </w:rPr>
        <w:t xml:space="preserve"> </w:t>
      </w:r>
      <w:r w:rsidR="00E35CAE">
        <w:rPr>
          <w:rFonts w:eastAsia="Times New Roman"/>
          <w:iCs/>
          <w:color w:val="333333"/>
          <w:shd w:val="clear" w:color="auto" w:fill="FFFFFF"/>
        </w:rPr>
        <w:t>Peoples</w:t>
      </w:r>
      <w:r w:rsidR="007E438C" w:rsidRPr="00283374">
        <w:rPr>
          <w:rFonts w:eastAsia="Times New Roman"/>
          <w:iCs/>
          <w:color w:val="333333"/>
          <w:shd w:val="clear" w:color="auto" w:fill="FFFFFF"/>
        </w:rPr>
        <w:t xml:space="preserve"> maintained </w:t>
      </w:r>
      <w:r w:rsidR="00E8330D" w:rsidRPr="00283374">
        <w:rPr>
          <w:rFonts w:eastAsia="Times New Roman"/>
          <w:iCs/>
          <w:color w:val="333333"/>
          <w:shd w:val="clear" w:color="auto" w:fill="FFFFFF"/>
        </w:rPr>
        <w:t>our</w:t>
      </w:r>
      <w:r w:rsidR="007E438C" w:rsidRPr="00283374">
        <w:rPr>
          <w:rFonts w:eastAsia="Times New Roman"/>
          <w:iCs/>
          <w:color w:val="333333"/>
          <w:shd w:val="clear" w:color="auto" w:fill="FFFFFF"/>
        </w:rPr>
        <w:t xml:space="preserve"> </w:t>
      </w:r>
      <w:r w:rsidR="007954FE" w:rsidRPr="00283374">
        <w:rPr>
          <w:rFonts w:eastAsia="Times New Roman"/>
          <w:iCs/>
          <w:color w:val="333333"/>
          <w:shd w:val="clear" w:color="auto" w:fill="FFFFFF"/>
        </w:rPr>
        <w:t>rights of using</w:t>
      </w:r>
      <w:r w:rsidR="007E438C" w:rsidRPr="00283374">
        <w:rPr>
          <w:rFonts w:eastAsia="Times New Roman"/>
          <w:iCs/>
          <w:color w:val="333333"/>
          <w:shd w:val="clear" w:color="auto" w:fill="FFFFFF"/>
        </w:rPr>
        <w:t xml:space="preserve"> </w:t>
      </w:r>
      <w:r w:rsidR="00E8330D" w:rsidRPr="00283374">
        <w:rPr>
          <w:rFonts w:eastAsia="Times New Roman"/>
          <w:iCs/>
          <w:color w:val="333333"/>
          <w:shd w:val="clear" w:color="auto" w:fill="FFFFFF"/>
        </w:rPr>
        <w:t>our</w:t>
      </w:r>
      <w:r w:rsidR="007E438C" w:rsidRPr="00283374">
        <w:rPr>
          <w:rFonts w:eastAsia="Times New Roman"/>
          <w:iCs/>
          <w:color w:val="333333"/>
          <w:shd w:val="clear" w:color="auto" w:fill="FFFFFF"/>
        </w:rPr>
        <w:t xml:space="preserve"> </w:t>
      </w:r>
      <w:r w:rsidR="00007CC9">
        <w:rPr>
          <w:rFonts w:eastAsia="Times New Roman"/>
          <w:iCs/>
          <w:color w:val="333333"/>
          <w:shd w:val="clear" w:color="auto" w:fill="FFFFFF"/>
        </w:rPr>
        <w:t>Territories</w:t>
      </w:r>
      <w:r w:rsidR="007E438C" w:rsidRPr="00283374">
        <w:rPr>
          <w:rFonts w:eastAsia="Times New Roman"/>
          <w:iCs/>
          <w:color w:val="333333"/>
          <w:shd w:val="clear" w:color="auto" w:fill="FFFFFF"/>
        </w:rPr>
        <w:t xml:space="preserve"> unless </w:t>
      </w:r>
      <w:r w:rsidR="007954FE" w:rsidRPr="00283374">
        <w:rPr>
          <w:rFonts w:eastAsia="Times New Roman"/>
          <w:iCs/>
          <w:color w:val="333333"/>
          <w:shd w:val="clear" w:color="auto" w:fill="FFFFFF"/>
        </w:rPr>
        <w:t xml:space="preserve">they were either </w:t>
      </w:r>
      <w:r w:rsidR="007E438C" w:rsidRPr="00283374">
        <w:rPr>
          <w:rFonts w:eastAsia="Times New Roman"/>
          <w:iCs/>
          <w:color w:val="333333"/>
          <w:shd w:val="clear" w:color="auto" w:fill="FFFFFF"/>
        </w:rPr>
        <w:t>ceded to or purchased by the British Crown.</w:t>
      </w:r>
      <w:r w:rsidR="007954FE" w:rsidRPr="00283374">
        <w:rPr>
          <w:rFonts w:eastAsia="Times New Roman"/>
          <w:iCs/>
          <w:color w:val="333333"/>
          <w:shd w:val="clear" w:color="auto" w:fill="FFFFFF"/>
        </w:rPr>
        <w:t xml:space="preserve"> Although the characterization of the </w:t>
      </w:r>
      <w:r w:rsidR="00E35CAE">
        <w:rPr>
          <w:rFonts w:eastAsia="Times New Roman"/>
          <w:iCs/>
          <w:color w:val="333333"/>
          <w:shd w:val="clear" w:color="auto" w:fill="FFFFFF"/>
        </w:rPr>
        <w:t>Indigenous</w:t>
      </w:r>
      <w:r w:rsidR="007954FE" w:rsidRPr="00283374">
        <w:rPr>
          <w:rFonts w:eastAsia="Times New Roman"/>
          <w:iCs/>
          <w:color w:val="333333"/>
          <w:shd w:val="clear" w:color="auto" w:fill="FFFFFF"/>
        </w:rPr>
        <w:t xml:space="preserve"> </w:t>
      </w:r>
      <w:r w:rsidR="00E35CAE">
        <w:rPr>
          <w:rFonts w:eastAsia="Times New Roman"/>
          <w:iCs/>
          <w:color w:val="333333"/>
          <w:shd w:val="clear" w:color="auto" w:fill="FFFFFF"/>
        </w:rPr>
        <w:t>Peoples</w:t>
      </w:r>
      <w:r w:rsidR="007954FE" w:rsidRPr="00283374">
        <w:rPr>
          <w:rFonts w:eastAsia="Times New Roman"/>
          <w:iCs/>
          <w:color w:val="333333"/>
          <w:shd w:val="clear" w:color="auto" w:fill="FFFFFF"/>
        </w:rPr>
        <w:t xml:space="preserve"> rights </w:t>
      </w:r>
      <w:r w:rsidR="008F0CB2" w:rsidRPr="00283374">
        <w:rPr>
          <w:rFonts w:eastAsia="Times New Roman"/>
          <w:iCs/>
          <w:color w:val="333333"/>
          <w:shd w:val="clear" w:color="auto" w:fill="FFFFFF"/>
        </w:rPr>
        <w:t>was</w:t>
      </w:r>
      <w:r w:rsidR="007954FE" w:rsidRPr="00283374">
        <w:rPr>
          <w:rFonts w:eastAsia="Times New Roman"/>
          <w:iCs/>
          <w:color w:val="333333"/>
          <w:shd w:val="clear" w:color="auto" w:fill="FFFFFF"/>
        </w:rPr>
        <w:t xml:space="preserve"> incorrect based on racists ideas of the inferiority of </w:t>
      </w:r>
      <w:r w:rsidR="00E35CAE">
        <w:rPr>
          <w:rFonts w:eastAsia="Times New Roman"/>
          <w:iCs/>
          <w:color w:val="333333"/>
          <w:shd w:val="clear" w:color="auto" w:fill="FFFFFF"/>
        </w:rPr>
        <w:t>Indigenous</w:t>
      </w:r>
      <w:r w:rsidR="007954FE" w:rsidRPr="00283374">
        <w:rPr>
          <w:rFonts w:eastAsia="Times New Roman"/>
          <w:iCs/>
          <w:color w:val="333333"/>
          <w:shd w:val="clear" w:color="auto" w:fill="FFFFFF"/>
        </w:rPr>
        <w:t xml:space="preserve"> </w:t>
      </w:r>
      <w:r w:rsidR="00E35CAE">
        <w:rPr>
          <w:rFonts w:eastAsia="Times New Roman"/>
          <w:iCs/>
          <w:color w:val="333333"/>
          <w:shd w:val="clear" w:color="auto" w:fill="FFFFFF"/>
        </w:rPr>
        <w:t>Peoples</w:t>
      </w:r>
      <w:r w:rsidR="007954FE" w:rsidRPr="00283374">
        <w:rPr>
          <w:rFonts w:eastAsia="Times New Roman"/>
          <w:iCs/>
          <w:color w:val="333333"/>
          <w:shd w:val="clear" w:color="auto" w:fill="FFFFFF"/>
        </w:rPr>
        <w:t xml:space="preserve">, </w:t>
      </w:r>
      <w:r w:rsidR="008F0CB2" w:rsidRPr="00283374">
        <w:rPr>
          <w:rFonts w:eastAsia="Times New Roman"/>
          <w:iCs/>
          <w:color w:val="333333"/>
          <w:shd w:val="clear" w:color="auto" w:fill="FFFFFF"/>
        </w:rPr>
        <w:t xml:space="preserve">and </w:t>
      </w:r>
      <w:r w:rsidR="00E8330D" w:rsidRPr="00283374">
        <w:rPr>
          <w:rFonts w:eastAsia="Times New Roman"/>
          <w:iCs/>
          <w:color w:val="333333"/>
          <w:shd w:val="clear" w:color="auto" w:fill="FFFFFF"/>
        </w:rPr>
        <w:t>our</w:t>
      </w:r>
      <w:r w:rsidR="008F0CB2" w:rsidRPr="00283374">
        <w:rPr>
          <w:rFonts w:eastAsia="Times New Roman"/>
          <w:iCs/>
          <w:color w:val="333333"/>
          <w:shd w:val="clear" w:color="auto" w:fill="FFFFFF"/>
        </w:rPr>
        <w:t xml:space="preserve"> inability to have title to </w:t>
      </w:r>
      <w:r w:rsidR="00E8330D" w:rsidRPr="00283374">
        <w:rPr>
          <w:rFonts w:eastAsia="Times New Roman"/>
          <w:iCs/>
          <w:color w:val="333333"/>
          <w:shd w:val="clear" w:color="auto" w:fill="FFFFFF"/>
        </w:rPr>
        <w:t>our</w:t>
      </w:r>
      <w:r w:rsidR="008F0CB2" w:rsidRPr="00283374">
        <w:rPr>
          <w:rFonts w:eastAsia="Times New Roman"/>
          <w:iCs/>
          <w:color w:val="333333"/>
          <w:shd w:val="clear" w:color="auto" w:fill="FFFFFF"/>
        </w:rPr>
        <w:t xml:space="preserve"> </w:t>
      </w:r>
      <w:r w:rsidR="00007CC9">
        <w:rPr>
          <w:rFonts w:eastAsia="Times New Roman"/>
          <w:iCs/>
          <w:color w:val="333333"/>
          <w:shd w:val="clear" w:color="auto" w:fill="FFFFFF"/>
        </w:rPr>
        <w:t>Territories</w:t>
      </w:r>
      <w:r w:rsidR="009C55F6" w:rsidRPr="00283374">
        <w:rPr>
          <w:rFonts w:eastAsia="Times New Roman"/>
          <w:iCs/>
          <w:color w:val="333333"/>
          <w:shd w:val="clear" w:color="auto" w:fill="FFFFFF"/>
        </w:rPr>
        <w:t xml:space="preserve"> equal to that of the English</w:t>
      </w:r>
      <w:r w:rsidR="008F0CB2" w:rsidRPr="00283374">
        <w:rPr>
          <w:rFonts w:eastAsia="Times New Roman"/>
          <w:iCs/>
          <w:color w:val="333333"/>
          <w:shd w:val="clear" w:color="auto" w:fill="FFFFFF"/>
        </w:rPr>
        <w:t xml:space="preserve">, </w:t>
      </w:r>
      <w:r w:rsidR="007954FE" w:rsidRPr="00283374">
        <w:rPr>
          <w:rFonts w:eastAsia="Times New Roman"/>
          <w:iCs/>
          <w:color w:val="333333"/>
          <w:shd w:val="clear" w:color="auto" w:fill="FFFFFF"/>
        </w:rPr>
        <w:t xml:space="preserve">the principle that any right, however characterized, cannot be transferred unless there is an agreement </w:t>
      </w:r>
      <w:r w:rsidR="000C69AC" w:rsidRPr="00283374">
        <w:rPr>
          <w:rFonts w:eastAsia="Times New Roman"/>
          <w:iCs/>
          <w:color w:val="333333"/>
          <w:shd w:val="clear" w:color="auto" w:fill="FFFFFF"/>
        </w:rPr>
        <w:t>or treaty.</w:t>
      </w:r>
      <w:r w:rsidR="000C69AC">
        <w:rPr>
          <w:rStyle w:val="FootnoteReference"/>
          <w:rFonts w:eastAsia="Times New Roman"/>
          <w:iCs/>
          <w:color w:val="333333"/>
          <w:shd w:val="clear" w:color="auto" w:fill="FFFFFF"/>
        </w:rPr>
        <w:footnoteReference w:id="9"/>
      </w:r>
    </w:p>
    <w:p w14:paraId="0A512A7B" w14:textId="77777777" w:rsidR="007E438C" w:rsidRDefault="007E438C" w:rsidP="00E100D1">
      <w:pPr>
        <w:rPr>
          <w:rFonts w:eastAsia="Times New Roman"/>
          <w:iCs/>
          <w:color w:val="333333"/>
          <w:shd w:val="clear" w:color="auto" w:fill="FFFFFF"/>
        </w:rPr>
      </w:pPr>
    </w:p>
    <w:p w14:paraId="66D764AF" w14:textId="62C18D87" w:rsidR="0064530C" w:rsidRPr="004C0C60" w:rsidRDefault="007E438C" w:rsidP="00283374">
      <w:pPr>
        <w:ind w:left="1440" w:right="720"/>
        <w:jc w:val="both"/>
      </w:pPr>
      <w:r>
        <w:rPr>
          <w:rStyle w:val="Emphasis"/>
          <w:rFonts w:eastAsia="Times New Roman"/>
          <w:color w:val="333333"/>
          <w:shd w:val="clear" w:color="auto" w:fill="FFFFFF"/>
        </w:rPr>
        <w:t>“</w:t>
      </w:r>
      <w:r w:rsidRPr="007E438C">
        <w:rPr>
          <w:rStyle w:val="Emphasis"/>
          <w:rFonts w:eastAsia="Times New Roman"/>
          <w:color w:val="333333"/>
          <w:shd w:val="clear" w:color="auto" w:fill="FFFFFF"/>
        </w:rPr>
        <w:t>And We do further declare it to be Our Royal Will and Pleasure</w:t>
      </w:r>
      <w:r w:rsidR="0064530C">
        <w:rPr>
          <w:rStyle w:val="Emphasis"/>
          <w:rFonts w:eastAsia="Times New Roman"/>
          <w:color w:val="333333"/>
          <w:shd w:val="clear" w:color="auto" w:fill="FFFFFF"/>
        </w:rPr>
        <w:t xml:space="preserve"> . . . </w:t>
      </w:r>
      <w:r w:rsidRPr="007E438C">
        <w:rPr>
          <w:rStyle w:val="Emphasis"/>
          <w:rFonts w:eastAsia="Times New Roman"/>
          <w:color w:val="333333"/>
          <w:shd w:val="clear" w:color="auto" w:fill="FFFFFF"/>
        </w:rPr>
        <w:t xml:space="preserve">to reserve </w:t>
      </w:r>
      <w:r w:rsidRPr="00FB3B63">
        <w:rPr>
          <w:rStyle w:val="Emphasis"/>
          <w:rFonts w:eastAsia="Times New Roman"/>
          <w:color w:val="333333"/>
          <w:shd w:val="clear" w:color="auto" w:fill="FFFFFF"/>
        </w:rPr>
        <w:t>under</w:t>
      </w:r>
      <w:r w:rsidRPr="004C0C60">
        <w:rPr>
          <w:rStyle w:val="Emphasis"/>
          <w:rFonts w:eastAsia="Times New Roman"/>
          <w:b/>
          <w:color w:val="333333"/>
          <w:u w:val="single"/>
          <w:shd w:val="clear" w:color="auto" w:fill="FFFFFF"/>
        </w:rPr>
        <w:t xml:space="preserve"> Our Sovereignty, Protection, and Dominion</w:t>
      </w:r>
      <w:r w:rsidRPr="007E438C">
        <w:rPr>
          <w:rStyle w:val="Emphasis"/>
          <w:rFonts w:eastAsia="Times New Roman"/>
          <w:color w:val="333333"/>
          <w:shd w:val="clear" w:color="auto" w:fill="FFFFFF"/>
        </w:rPr>
        <w:t xml:space="preserve">, for the </w:t>
      </w:r>
      <w:r w:rsidRPr="008F0CB2">
        <w:rPr>
          <w:rStyle w:val="Emphasis"/>
          <w:rFonts w:eastAsia="Times New Roman"/>
          <w:b/>
          <w:color w:val="333333"/>
          <w:u w:val="single"/>
          <w:shd w:val="clear" w:color="auto" w:fill="FFFFFF"/>
        </w:rPr>
        <w:t>Use of the said Indians</w:t>
      </w:r>
      <w:r w:rsidRPr="007E438C">
        <w:rPr>
          <w:rStyle w:val="Emphasis"/>
          <w:rFonts w:eastAsia="Times New Roman"/>
          <w:color w:val="333333"/>
          <w:shd w:val="clear" w:color="auto" w:fill="FFFFFF"/>
        </w:rPr>
        <w:t xml:space="preserve">, all the Lands and Territories not included within the Limits of Our said Three New Governments, or within the Limits of the Territory granted to the Hudson's Bay Company, as also all the Lands and Territories lying to the Westward of the Sources of the Rivers which fall into the Sea from the West and North West, as aforesaid; and We do hereby strictly forbid, on Pain of Our Displeasure, all Our loving Subjects from making any Purchases or Settlements whatever, or taking Possession of any of the Lands above reserved, without Our especial Leave and </w:t>
      </w:r>
      <w:r w:rsidR="009A5BCF" w:rsidRPr="007E438C">
        <w:rPr>
          <w:rStyle w:val="Emphasis"/>
          <w:rFonts w:eastAsia="Times New Roman"/>
          <w:color w:val="333333"/>
          <w:shd w:val="clear" w:color="auto" w:fill="FFFFFF"/>
        </w:rPr>
        <w:t>License</w:t>
      </w:r>
      <w:r w:rsidRPr="007E438C">
        <w:rPr>
          <w:rStyle w:val="Emphasis"/>
          <w:rFonts w:eastAsia="Times New Roman"/>
          <w:color w:val="333333"/>
          <w:shd w:val="clear" w:color="auto" w:fill="FFFFFF"/>
        </w:rPr>
        <w:t xml:space="preserve"> </w:t>
      </w:r>
      <w:r w:rsidR="0064530C">
        <w:rPr>
          <w:rStyle w:val="Emphasis"/>
          <w:rFonts w:eastAsia="Times New Roman"/>
          <w:color w:val="333333"/>
          <w:shd w:val="clear" w:color="auto" w:fill="FFFFFF"/>
        </w:rPr>
        <w:t xml:space="preserve">for that Purpose first obtained . </w:t>
      </w:r>
      <w:r w:rsidR="0064530C" w:rsidRPr="0064530C">
        <w:rPr>
          <w:i/>
        </w:rPr>
        <w:t xml:space="preserve">. . but that if, at any Time, any of the said Indians should be inclined to dispose of the said Lands, </w:t>
      </w:r>
      <w:r w:rsidR="0064530C" w:rsidRPr="00FB3B63">
        <w:rPr>
          <w:b/>
          <w:i/>
          <w:u w:val="single"/>
        </w:rPr>
        <w:t>that same shall be purchased only for Us, in Our</w:t>
      </w:r>
      <w:r w:rsidR="00FB3B63" w:rsidRPr="00FB3B63">
        <w:rPr>
          <w:b/>
          <w:i/>
          <w:u w:val="single"/>
        </w:rPr>
        <w:t xml:space="preserve"> name</w:t>
      </w:r>
      <w:r w:rsidR="004C0C60">
        <w:rPr>
          <w:i/>
        </w:rPr>
        <w:t>”.</w:t>
      </w:r>
      <w:r w:rsidR="004C0C60">
        <w:rPr>
          <w:rStyle w:val="FootnoteReference"/>
          <w:i/>
        </w:rPr>
        <w:footnoteReference w:id="10"/>
      </w:r>
    </w:p>
    <w:p w14:paraId="703E69A9" w14:textId="77777777" w:rsidR="007E438C" w:rsidRPr="0064530C" w:rsidRDefault="007E438C" w:rsidP="0064530C">
      <w:pPr>
        <w:rPr>
          <w:i/>
        </w:rPr>
      </w:pPr>
    </w:p>
    <w:p w14:paraId="25685B4D" w14:textId="132126DB" w:rsidR="00283374" w:rsidRDefault="008F0CB2" w:rsidP="00405345">
      <w:pPr>
        <w:pStyle w:val="ListParagraph"/>
        <w:numPr>
          <w:ilvl w:val="0"/>
          <w:numId w:val="37"/>
        </w:numPr>
        <w:jc w:val="both"/>
        <w:rPr>
          <w:rStyle w:val="Emphasis"/>
          <w:rFonts w:eastAsia="Times New Roman"/>
          <w:i w:val="0"/>
          <w:color w:val="333333"/>
          <w:shd w:val="clear" w:color="auto" w:fill="FFFFFF"/>
        </w:rPr>
      </w:pPr>
      <w:r w:rsidRPr="00283374">
        <w:rPr>
          <w:rStyle w:val="Emphasis"/>
          <w:rFonts w:eastAsia="Times New Roman"/>
          <w:i w:val="0"/>
          <w:color w:val="333333"/>
          <w:shd w:val="clear" w:color="auto" w:fill="FFFFFF"/>
        </w:rPr>
        <w:t xml:space="preserve">Building </w:t>
      </w:r>
      <w:r w:rsidR="00742B05">
        <w:rPr>
          <w:rStyle w:val="Emphasis"/>
          <w:rFonts w:eastAsia="Times New Roman"/>
          <w:i w:val="0"/>
          <w:color w:val="333333"/>
          <w:shd w:val="clear" w:color="auto" w:fill="FFFFFF"/>
        </w:rPr>
        <w:t>on</w:t>
      </w:r>
      <w:r w:rsidRPr="00283374">
        <w:rPr>
          <w:rStyle w:val="Emphasis"/>
          <w:rFonts w:eastAsia="Times New Roman"/>
          <w:i w:val="0"/>
          <w:color w:val="333333"/>
          <w:shd w:val="clear" w:color="auto" w:fill="FFFFFF"/>
        </w:rPr>
        <w:t xml:space="preserve"> the previous provision, the above</w:t>
      </w:r>
      <w:r w:rsidR="00FB3B63" w:rsidRPr="00283374">
        <w:rPr>
          <w:rStyle w:val="Emphasis"/>
          <w:rFonts w:eastAsia="Times New Roman"/>
          <w:i w:val="0"/>
          <w:color w:val="333333"/>
          <w:shd w:val="clear" w:color="auto" w:fill="FFFFFF"/>
        </w:rPr>
        <w:t xml:space="preserve"> provisions</w:t>
      </w:r>
      <w:r w:rsidR="000C0227" w:rsidRPr="00283374">
        <w:rPr>
          <w:rStyle w:val="Emphasis"/>
          <w:rFonts w:eastAsia="Times New Roman"/>
          <w:i w:val="0"/>
          <w:color w:val="333333"/>
          <w:shd w:val="clear" w:color="auto" w:fill="FFFFFF"/>
        </w:rPr>
        <w:t xml:space="preserve"> </w:t>
      </w:r>
      <w:r w:rsidRPr="00283374">
        <w:rPr>
          <w:rStyle w:val="Emphasis"/>
          <w:rFonts w:eastAsia="Times New Roman"/>
          <w:i w:val="0"/>
          <w:color w:val="333333"/>
          <w:shd w:val="clear" w:color="auto" w:fill="FFFFFF"/>
        </w:rPr>
        <w:t xml:space="preserve">set out </w:t>
      </w:r>
      <w:r w:rsidR="000C0227" w:rsidRPr="00283374">
        <w:rPr>
          <w:rStyle w:val="Emphasis"/>
          <w:rFonts w:eastAsia="Times New Roman"/>
          <w:i w:val="0"/>
          <w:color w:val="333333"/>
          <w:shd w:val="clear" w:color="auto" w:fill="FFFFFF"/>
        </w:rPr>
        <w:t xml:space="preserve">the principles </w:t>
      </w:r>
      <w:r w:rsidR="00C24A7D" w:rsidRPr="00283374">
        <w:rPr>
          <w:rStyle w:val="Emphasis"/>
          <w:rFonts w:eastAsia="Times New Roman"/>
          <w:i w:val="0"/>
          <w:color w:val="333333"/>
          <w:shd w:val="clear" w:color="auto" w:fill="FFFFFF"/>
        </w:rPr>
        <w:t xml:space="preserve">and process </w:t>
      </w:r>
      <w:r w:rsidR="00742B05">
        <w:rPr>
          <w:rStyle w:val="Emphasis"/>
          <w:rFonts w:eastAsia="Times New Roman"/>
          <w:i w:val="0"/>
          <w:color w:val="333333"/>
          <w:shd w:val="clear" w:color="auto" w:fill="FFFFFF"/>
        </w:rPr>
        <w:t>on</w:t>
      </w:r>
      <w:r w:rsidR="000C0227" w:rsidRPr="00283374">
        <w:rPr>
          <w:rStyle w:val="Emphasis"/>
          <w:rFonts w:eastAsia="Times New Roman"/>
          <w:i w:val="0"/>
          <w:color w:val="333333"/>
          <w:shd w:val="clear" w:color="auto" w:fill="FFFFFF"/>
        </w:rPr>
        <w:t xml:space="preserve"> which the British Crown, </w:t>
      </w:r>
      <w:r w:rsidRPr="00283374">
        <w:rPr>
          <w:rStyle w:val="Emphasis"/>
          <w:rFonts w:eastAsia="Times New Roman"/>
          <w:i w:val="0"/>
          <w:color w:val="333333"/>
          <w:shd w:val="clear" w:color="auto" w:fill="FFFFFF"/>
        </w:rPr>
        <w:t>and now the Canadian state, wa</w:t>
      </w:r>
      <w:r w:rsidR="000C0227" w:rsidRPr="00283374">
        <w:rPr>
          <w:rStyle w:val="Emphasis"/>
          <w:rFonts w:eastAsia="Times New Roman"/>
          <w:i w:val="0"/>
          <w:color w:val="333333"/>
          <w:shd w:val="clear" w:color="auto" w:fill="FFFFFF"/>
        </w:rPr>
        <w:t>s required to</w:t>
      </w:r>
      <w:r w:rsidRPr="00283374">
        <w:rPr>
          <w:rStyle w:val="Emphasis"/>
          <w:rFonts w:eastAsia="Times New Roman"/>
          <w:i w:val="0"/>
          <w:color w:val="333333"/>
          <w:shd w:val="clear" w:color="auto" w:fill="FFFFFF"/>
        </w:rPr>
        <w:t xml:space="preserve"> follow when dealing with </w:t>
      </w:r>
      <w:r w:rsidR="00E35CAE">
        <w:rPr>
          <w:rStyle w:val="Emphasis"/>
          <w:rFonts w:eastAsia="Times New Roman"/>
          <w:i w:val="0"/>
          <w:color w:val="333333"/>
          <w:shd w:val="clear" w:color="auto" w:fill="FFFFFF"/>
        </w:rPr>
        <w:t>Indigenous</w:t>
      </w:r>
      <w:r w:rsidRPr="00283374">
        <w:rPr>
          <w:rStyle w:val="Emphasis"/>
          <w:rFonts w:eastAsia="Times New Roman"/>
          <w:i w:val="0"/>
          <w:color w:val="333333"/>
          <w:shd w:val="clear" w:color="auto" w:fill="FFFFFF"/>
        </w:rPr>
        <w:t xml:space="preserve"> </w:t>
      </w:r>
      <w:r w:rsidR="00E35CAE">
        <w:rPr>
          <w:rStyle w:val="Emphasis"/>
          <w:rFonts w:eastAsia="Times New Roman"/>
          <w:i w:val="0"/>
          <w:color w:val="333333"/>
          <w:shd w:val="clear" w:color="auto" w:fill="FFFFFF"/>
        </w:rPr>
        <w:t>Peoples</w:t>
      </w:r>
      <w:r w:rsidRPr="00283374">
        <w:rPr>
          <w:rStyle w:val="Emphasis"/>
          <w:rFonts w:eastAsia="Times New Roman"/>
          <w:i w:val="0"/>
          <w:color w:val="333333"/>
          <w:shd w:val="clear" w:color="auto" w:fill="FFFFFF"/>
        </w:rPr>
        <w:t xml:space="preserve"> and </w:t>
      </w:r>
      <w:r w:rsidR="00E8330D" w:rsidRPr="00283374">
        <w:rPr>
          <w:rStyle w:val="Emphasis"/>
          <w:rFonts w:eastAsia="Times New Roman"/>
          <w:i w:val="0"/>
          <w:color w:val="333333"/>
          <w:shd w:val="clear" w:color="auto" w:fill="FFFFFF"/>
        </w:rPr>
        <w:t>our</w:t>
      </w:r>
      <w:r w:rsidRPr="00283374">
        <w:rPr>
          <w:rStyle w:val="Emphasis"/>
          <w:rFonts w:eastAsia="Times New Roman"/>
          <w:i w:val="0"/>
          <w:color w:val="333333"/>
          <w:shd w:val="clear" w:color="auto" w:fill="FFFFFF"/>
        </w:rPr>
        <w:t xml:space="preserve"> rights to </w:t>
      </w:r>
      <w:r w:rsidR="00E8330D" w:rsidRPr="00283374">
        <w:rPr>
          <w:rStyle w:val="Emphasis"/>
          <w:rFonts w:eastAsia="Times New Roman"/>
          <w:i w:val="0"/>
          <w:color w:val="333333"/>
          <w:shd w:val="clear" w:color="auto" w:fill="FFFFFF"/>
        </w:rPr>
        <w:t>our</w:t>
      </w:r>
      <w:r w:rsidRPr="00283374">
        <w:rPr>
          <w:rStyle w:val="Emphasis"/>
          <w:rFonts w:eastAsia="Times New Roman"/>
          <w:i w:val="0"/>
          <w:color w:val="333333"/>
          <w:shd w:val="clear" w:color="auto" w:fill="FFFFFF"/>
        </w:rPr>
        <w:t xml:space="preserve"> </w:t>
      </w:r>
      <w:r w:rsidR="00007CC9">
        <w:rPr>
          <w:rStyle w:val="Emphasis"/>
          <w:rFonts w:eastAsia="Times New Roman"/>
          <w:i w:val="0"/>
          <w:color w:val="333333"/>
          <w:shd w:val="clear" w:color="auto" w:fill="FFFFFF"/>
        </w:rPr>
        <w:t>Territories</w:t>
      </w:r>
      <w:r w:rsidRPr="00283374">
        <w:rPr>
          <w:rStyle w:val="Emphasis"/>
          <w:rFonts w:eastAsia="Times New Roman"/>
          <w:i w:val="0"/>
          <w:color w:val="333333"/>
          <w:shd w:val="clear" w:color="auto" w:fill="FFFFFF"/>
        </w:rPr>
        <w:t xml:space="preserve">. Specifically, again although wrongfully believing that </w:t>
      </w:r>
      <w:r w:rsidR="00E35CAE">
        <w:rPr>
          <w:rStyle w:val="Emphasis"/>
          <w:rFonts w:eastAsia="Times New Roman"/>
          <w:i w:val="0"/>
          <w:color w:val="333333"/>
          <w:shd w:val="clear" w:color="auto" w:fill="FFFFFF"/>
        </w:rPr>
        <w:t>Indigenous</w:t>
      </w:r>
      <w:r w:rsidRPr="00283374">
        <w:rPr>
          <w:rStyle w:val="Emphasis"/>
          <w:rFonts w:eastAsia="Times New Roman"/>
          <w:i w:val="0"/>
          <w:color w:val="333333"/>
          <w:shd w:val="clear" w:color="auto" w:fill="FFFFFF"/>
        </w:rPr>
        <w:t xml:space="preserve"> </w:t>
      </w:r>
      <w:r w:rsidR="00E35CAE">
        <w:rPr>
          <w:rStyle w:val="Emphasis"/>
          <w:rFonts w:eastAsia="Times New Roman"/>
          <w:i w:val="0"/>
          <w:color w:val="333333"/>
          <w:shd w:val="clear" w:color="auto" w:fill="FFFFFF"/>
        </w:rPr>
        <w:t>Peoples</w:t>
      </w:r>
      <w:r w:rsidRPr="00283374">
        <w:rPr>
          <w:rStyle w:val="Emphasis"/>
          <w:rFonts w:eastAsia="Times New Roman"/>
          <w:i w:val="0"/>
          <w:color w:val="333333"/>
          <w:shd w:val="clear" w:color="auto" w:fill="FFFFFF"/>
        </w:rPr>
        <w:t xml:space="preserve"> were inferior and could not therefore have a greater right to </w:t>
      </w:r>
      <w:r w:rsidR="00E8330D" w:rsidRPr="00283374">
        <w:rPr>
          <w:rStyle w:val="Emphasis"/>
          <w:rFonts w:eastAsia="Times New Roman"/>
          <w:i w:val="0"/>
          <w:color w:val="333333"/>
          <w:shd w:val="clear" w:color="auto" w:fill="FFFFFF"/>
        </w:rPr>
        <w:t>our</w:t>
      </w:r>
      <w:r w:rsidRPr="00283374">
        <w:rPr>
          <w:rStyle w:val="Emphasis"/>
          <w:rFonts w:eastAsia="Times New Roman"/>
          <w:i w:val="0"/>
          <w:color w:val="333333"/>
          <w:shd w:val="clear" w:color="auto" w:fill="FFFFFF"/>
        </w:rPr>
        <w:t xml:space="preserve"> </w:t>
      </w:r>
      <w:r w:rsidR="00007CC9">
        <w:rPr>
          <w:rStyle w:val="Emphasis"/>
          <w:rFonts w:eastAsia="Times New Roman"/>
          <w:i w:val="0"/>
          <w:color w:val="333333"/>
          <w:shd w:val="clear" w:color="auto" w:fill="FFFFFF"/>
        </w:rPr>
        <w:t>Territories</w:t>
      </w:r>
      <w:r w:rsidRPr="00283374">
        <w:rPr>
          <w:rStyle w:val="Emphasis"/>
          <w:rFonts w:eastAsia="Times New Roman"/>
          <w:i w:val="0"/>
          <w:color w:val="333333"/>
          <w:shd w:val="clear" w:color="auto" w:fill="FFFFFF"/>
        </w:rPr>
        <w:t xml:space="preserve"> other than that of use</w:t>
      </w:r>
      <w:r w:rsidR="00554238" w:rsidRPr="00283374">
        <w:rPr>
          <w:rStyle w:val="Emphasis"/>
          <w:rFonts w:eastAsia="Times New Roman"/>
          <w:i w:val="0"/>
          <w:color w:val="333333"/>
          <w:shd w:val="clear" w:color="auto" w:fill="FFFFFF"/>
        </w:rPr>
        <w:t>, the transfer of such rights could only be made to the British Crown.</w:t>
      </w:r>
      <w:r w:rsidR="00232A11">
        <w:rPr>
          <w:rStyle w:val="FootnoteReference"/>
          <w:rFonts w:eastAsia="Times New Roman"/>
          <w:iCs/>
          <w:color w:val="333333"/>
          <w:shd w:val="clear" w:color="auto" w:fill="FFFFFF"/>
        </w:rPr>
        <w:footnoteReference w:id="11"/>
      </w:r>
      <w:r w:rsidRPr="00283374">
        <w:rPr>
          <w:rStyle w:val="Emphasis"/>
          <w:rFonts w:eastAsia="Times New Roman"/>
          <w:i w:val="0"/>
          <w:color w:val="333333"/>
          <w:shd w:val="clear" w:color="auto" w:fill="FFFFFF"/>
        </w:rPr>
        <w:t xml:space="preserve"> </w:t>
      </w:r>
    </w:p>
    <w:p w14:paraId="2F8369D2" w14:textId="77777777" w:rsidR="00283374" w:rsidRDefault="00283374" w:rsidP="00283374">
      <w:pPr>
        <w:pStyle w:val="ListParagraph"/>
        <w:jc w:val="both"/>
        <w:rPr>
          <w:rStyle w:val="Emphasis"/>
          <w:rFonts w:eastAsia="Times New Roman"/>
          <w:i w:val="0"/>
          <w:color w:val="333333"/>
          <w:shd w:val="clear" w:color="auto" w:fill="FFFFFF"/>
        </w:rPr>
      </w:pPr>
    </w:p>
    <w:p w14:paraId="5F7F76C0" w14:textId="2FF9A015" w:rsidR="00283374" w:rsidRDefault="00554238" w:rsidP="0058540E">
      <w:pPr>
        <w:pStyle w:val="ListParagraph"/>
        <w:numPr>
          <w:ilvl w:val="0"/>
          <w:numId w:val="37"/>
        </w:numPr>
        <w:jc w:val="both"/>
        <w:rPr>
          <w:rStyle w:val="Emphasis"/>
          <w:rFonts w:eastAsia="Times New Roman"/>
          <w:i w:val="0"/>
          <w:color w:val="333333"/>
          <w:shd w:val="clear" w:color="auto" w:fill="FFFFFF"/>
        </w:rPr>
      </w:pPr>
      <w:r w:rsidRPr="00283374">
        <w:rPr>
          <w:rStyle w:val="Emphasis"/>
          <w:rFonts w:eastAsia="Times New Roman"/>
          <w:i w:val="0"/>
          <w:color w:val="333333"/>
          <w:shd w:val="clear" w:color="auto" w:fill="FFFFFF"/>
        </w:rPr>
        <w:t>These principles</w:t>
      </w:r>
      <w:r w:rsidR="003D3E14" w:rsidRPr="00283374">
        <w:rPr>
          <w:rStyle w:val="Emphasis"/>
          <w:rFonts w:eastAsia="Times New Roman"/>
          <w:i w:val="0"/>
          <w:color w:val="333333"/>
          <w:shd w:val="clear" w:color="auto" w:fill="FFFFFF"/>
        </w:rPr>
        <w:t xml:space="preserve"> are the basis </w:t>
      </w:r>
      <w:r w:rsidR="00742B05">
        <w:rPr>
          <w:rStyle w:val="Emphasis"/>
          <w:rFonts w:eastAsia="Times New Roman"/>
          <w:i w:val="0"/>
          <w:color w:val="333333"/>
          <w:shd w:val="clear" w:color="auto" w:fill="FFFFFF"/>
        </w:rPr>
        <w:t>on</w:t>
      </w:r>
      <w:r w:rsidR="003D3E14" w:rsidRPr="00283374">
        <w:rPr>
          <w:rStyle w:val="Emphasis"/>
          <w:rFonts w:eastAsia="Times New Roman"/>
          <w:i w:val="0"/>
          <w:color w:val="333333"/>
          <w:shd w:val="clear" w:color="auto" w:fill="FFFFFF"/>
        </w:rPr>
        <w:t xml:space="preserve"> which the Canadian jurisprudence, including such </w:t>
      </w:r>
      <w:r w:rsidR="002A33B1" w:rsidRPr="00283374">
        <w:rPr>
          <w:rStyle w:val="Emphasis"/>
          <w:rFonts w:eastAsia="Times New Roman"/>
          <w:i w:val="0"/>
          <w:color w:val="333333"/>
          <w:shd w:val="clear" w:color="auto" w:fill="FFFFFF"/>
        </w:rPr>
        <w:t>policies</w:t>
      </w:r>
      <w:r w:rsidR="003D3E14" w:rsidRPr="00283374">
        <w:rPr>
          <w:rStyle w:val="Emphasis"/>
          <w:rFonts w:eastAsia="Times New Roman"/>
          <w:i w:val="0"/>
          <w:color w:val="333333"/>
          <w:shd w:val="clear" w:color="auto" w:fill="FFFFFF"/>
        </w:rPr>
        <w:t xml:space="preserve"> and procedures that derive from such jurisprudence</w:t>
      </w:r>
      <w:r w:rsidR="002A33B1" w:rsidRPr="00283374">
        <w:rPr>
          <w:rStyle w:val="Emphasis"/>
          <w:rFonts w:eastAsia="Times New Roman"/>
          <w:i w:val="0"/>
          <w:color w:val="333333"/>
          <w:shd w:val="clear" w:color="auto" w:fill="FFFFFF"/>
        </w:rPr>
        <w:t>,</w:t>
      </w:r>
      <w:r w:rsidR="00232A11" w:rsidRPr="00283374">
        <w:rPr>
          <w:rStyle w:val="Emphasis"/>
          <w:rFonts w:eastAsia="Times New Roman"/>
          <w:i w:val="0"/>
          <w:color w:val="333333"/>
          <w:shd w:val="clear" w:color="auto" w:fill="FFFFFF"/>
        </w:rPr>
        <w:t xml:space="preserve"> has developed and continues to exist.</w:t>
      </w:r>
      <w:r w:rsidR="00D10001" w:rsidRPr="00283374">
        <w:rPr>
          <w:rStyle w:val="Emphasis"/>
          <w:rFonts w:eastAsia="Times New Roman"/>
          <w:i w:val="0"/>
          <w:color w:val="333333"/>
          <w:shd w:val="clear" w:color="auto" w:fill="FFFFFF"/>
        </w:rPr>
        <w:t xml:space="preserve"> As set out above, the dispossession of </w:t>
      </w:r>
      <w:r w:rsidR="00E35CAE">
        <w:rPr>
          <w:rStyle w:val="Emphasis"/>
          <w:rFonts w:eastAsia="Times New Roman"/>
          <w:i w:val="0"/>
          <w:color w:val="333333"/>
          <w:shd w:val="clear" w:color="auto" w:fill="FFFFFF"/>
        </w:rPr>
        <w:t>Indigenous</w:t>
      </w:r>
      <w:r w:rsidR="00D10001" w:rsidRPr="00283374">
        <w:rPr>
          <w:rStyle w:val="Emphasis"/>
          <w:rFonts w:eastAsia="Times New Roman"/>
          <w:i w:val="0"/>
          <w:color w:val="333333"/>
          <w:shd w:val="clear" w:color="auto" w:fill="FFFFFF"/>
        </w:rPr>
        <w:t xml:space="preserve"> </w:t>
      </w:r>
      <w:r w:rsidR="00E35CAE">
        <w:rPr>
          <w:rStyle w:val="Emphasis"/>
          <w:rFonts w:eastAsia="Times New Roman"/>
          <w:i w:val="0"/>
          <w:color w:val="333333"/>
          <w:shd w:val="clear" w:color="auto" w:fill="FFFFFF"/>
        </w:rPr>
        <w:t>Peoples</w:t>
      </w:r>
      <w:r w:rsidR="00D10001" w:rsidRPr="00283374">
        <w:rPr>
          <w:rStyle w:val="Emphasis"/>
          <w:rFonts w:eastAsia="Times New Roman"/>
          <w:i w:val="0"/>
          <w:color w:val="333333"/>
          <w:shd w:val="clear" w:color="auto" w:fill="FFFFFF"/>
        </w:rPr>
        <w:t xml:space="preserve"> of </w:t>
      </w:r>
      <w:r w:rsidR="00E8330D" w:rsidRPr="00283374">
        <w:rPr>
          <w:rStyle w:val="Emphasis"/>
          <w:rFonts w:eastAsia="Times New Roman"/>
          <w:i w:val="0"/>
          <w:color w:val="333333"/>
          <w:shd w:val="clear" w:color="auto" w:fill="FFFFFF"/>
        </w:rPr>
        <w:t>our</w:t>
      </w:r>
      <w:r w:rsidR="00D10001" w:rsidRPr="00283374">
        <w:rPr>
          <w:rStyle w:val="Emphasis"/>
          <w:rFonts w:eastAsia="Times New Roman"/>
          <w:i w:val="0"/>
          <w:color w:val="333333"/>
          <w:shd w:val="clear" w:color="auto" w:fill="FFFFFF"/>
        </w:rPr>
        <w:t xml:space="preserve"> </w:t>
      </w:r>
      <w:r w:rsidR="00007CC9">
        <w:rPr>
          <w:rStyle w:val="Emphasis"/>
          <w:rFonts w:eastAsia="Times New Roman"/>
          <w:i w:val="0"/>
          <w:color w:val="333333"/>
          <w:shd w:val="clear" w:color="auto" w:fill="FFFFFF"/>
        </w:rPr>
        <w:t>Territories</w:t>
      </w:r>
      <w:r w:rsidR="00D10001" w:rsidRPr="00283374">
        <w:rPr>
          <w:rStyle w:val="Emphasis"/>
          <w:rFonts w:eastAsia="Times New Roman"/>
          <w:i w:val="0"/>
          <w:color w:val="333333"/>
          <w:shd w:val="clear" w:color="auto" w:fill="FFFFFF"/>
        </w:rPr>
        <w:t xml:space="preserve"> began as an activity sanctioned by the Pope, God’s emissary </w:t>
      </w:r>
      <w:r w:rsidR="00742B05">
        <w:rPr>
          <w:rStyle w:val="Emphasis"/>
          <w:rFonts w:eastAsia="Times New Roman"/>
          <w:i w:val="0"/>
          <w:color w:val="333333"/>
          <w:shd w:val="clear" w:color="auto" w:fill="FFFFFF"/>
        </w:rPr>
        <w:t>on</w:t>
      </w:r>
      <w:r w:rsidR="00D10001" w:rsidRPr="00283374">
        <w:rPr>
          <w:rStyle w:val="Emphasis"/>
          <w:rFonts w:eastAsia="Times New Roman"/>
          <w:i w:val="0"/>
          <w:color w:val="333333"/>
          <w:shd w:val="clear" w:color="auto" w:fill="FFFFFF"/>
        </w:rPr>
        <w:t xml:space="preserve"> earth, who provided that any “Christian Prince” </w:t>
      </w:r>
      <w:r w:rsidR="00742B05">
        <w:rPr>
          <w:rStyle w:val="Emphasis"/>
          <w:rFonts w:eastAsia="Times New Roman"/>
          <w:i w:val="0"/>
          <w:color w:val="333333"/>
          <w:shd w:val="clear" w:color="auto" w:fill="FFFFFF"/>
        </w:rPr>
        <w:t>on</w:t>
      </w:r>
      <w:r w:rsidR="00D10001" w:rsidRPr="00283374">
        <w:rPr>
          <w:rStyle w:val="Emphasis"/>
          <w:rFonts w:eastAsia="Times New Roman"/>
          <w:i w:val="0"/>
          <w:color w:val="333333"/>
          <w:shd w:val="clear" w:color="auto" w:fill="FFFFFF"/>
        </w:rPr>
        <w:t xml:space="preserve"> discovering lands where the people were not Christian, that it </w:t>
      </w:r>
      <w:r w:rsidR="00763B83">
        <w:rPr>
          <w:rStyle w:val="Emphasis"/>
          <w:rFonts w:eastAsia="Times New Roman"/>
          <w:i w:val="0"/>
          <w:color w:val="333333"/>
          <w:shd w:val="clear" w:color="auto" w:fill="FFFFFF"/>
        </w:rPr>
        <w:t xml:space="preserve">was </w:t>
      </w:r>
      <w:r w:rsidR="00D10001" w:rsidRPr="00283374">
        <w:rPr>
          <w:rStyle w:val="Emphasis"/>
          <w:rFonts w:eastAsia="Times New Roman"/>
          <w:i w:val="0"/>
          <w:color w:val="333333"/>
          <w:shd w:val="clear" w:color="auto" w:fill="FFFFFF"/>
        </w:rPr>
        <w:t xml:space="preserve">God’s will that such lands become the property of the said “Christian Prince” so as to further the churches work. </w:t>
      </w:r>
    </w:p>
    <w:p w14:paraId="37FB9F4F" w14:textId="77777777" w:rsidR="00283374" w:rsidRPr="00283374" w:rsidRDefault="00283374" w:rsidP="00283374">
      <w:pPr>
        <w:jc w:val="both"/>
        <w:rPr>
          <w:rStyle w:val="Emphasis"/>
          <w:rFonts w:eastAsia="Times New Roman"/>
          <w:i w:val="0"/>
          <w:color w:val="333333"/>
          <w:shd w:val="clear" w:color="auto" w:fill="FFFFFF"/>
        </w:rPr>
      </w:pPr>
    </w:p>
    <w:p w14:paraId="4B1B6155" w14:textId="2078FA3D" w:rsidR="001A7AC0" w:rsidRPr="00283374" w:rsidRDefault="00D10001" w:rsidP="0058540E">
      <w:pPr>
        <w:pStyle w:val="ListParagraph"/>
        <w:numPr>
          <w:ilvl w:val="0"/>
          <w:numId w:val="37"/>
        </w:numPr>
        <w:jc w:val="both"/>
        <w:rPr>
          <w:rStyle w:val="Emphasis"/>
          <w:rFonts w:eastAsia="Times New Roman"/>
          <w:i w:val="0"/>
          <w:color w:val="333333"/>
          <w:shd w:val="clear" w:color="auto" w:fill="FFFFFF"/>
        </w:rPr>
      </w:pPr>
      <w:r w:rsidRPr="00283374">
        <w:rPr>
          <w:rStyle w:val="Emphasis"/>
          <w:rFonts w:eastAsia="Times New Roman"/>
          <w:i w:val="0"/>
          <w:color w:val="333333"/>
          <w:shd w:val="clear" w:color="auto" w:fill="FFFFFF"/>
        </w:rPr>
        <w:t xml:space="preserve">The English and French, not wanting to run afoul of the Pope’s decrees, but very much wanting to take economic advantage of </w:t>
      </w:r>
      <w:r w:rsidR="00E35CAE">
        <w:rPr>
          <w:rStyle w:val="Emphasis"/>
          <w:rFonts w:eastAsia="Times New Roman"/>
          <w:i w:val="0"/>
          <w:color w:val="333333"/>
          <w:shd w:val="clear" w:color="auto" w:fill="FFFFFF"/>
        </w:rPr>
        <w:t>Indigenous</w:t>
      </w:r>
      <w:r w:rsidRPr="00283374">
        <w:rPr>
          <w:rStyle w:val="Emphasis"/>
          <w:rFonts w:eastAsia="Times New Roman"/>
          <w:i w:val="0"/>
          <w:color w:val="333333"/>
          <w:shd w:val="clear" w:color="auto" w:fill="FFFFFF"/>
        </w:rPr>
        <w:t xml:space="preserve"> </w:t>
      </w:r>
      <w:r w:rsidR="00E35CAE">
        <w:rPr>
          <w:rStyle w:val="Emphasis"/>
          <w:rFonts w:eastAsia="Times New Roman"/>
          <w:i w:val="0"/>
          <w:color w:val="333333"/>
          <w:shd w:val="clear" w:color="auto" w:fill="FFFFFF"/>
        </w:rPr>
        <w:t>Peoples</w:t>
      </w:r>
      <w:r w:rsidRPr="00283374">
        <w:rPr>
          <w:rStyle w:val="Emphasis"/>
          <w:rFonts w:eastAsia="Times New Roman"/>
          <w:i w:val="0"/>
          <w:color w:val="333333"/>
          <w:shd w:val="clear" w:color="auto" w:fill="FFFFFF"/>
        </w:rPr>
        <w:t xml:space="preserve">’ </w:t>
      </w:r>
      <w:r w:rsidR="00007CC9">
        <w:rPr>
          <w:rStyle w:val="Emphasis"/>
          <w:rFonts w:eastAsia="Times New Roman"/>
          <w:i w:val="0"/>
          <w:color w:val="333333"/>
          <w:shd w:val="clear" w:color="auto" w:fill="FFFFFF"/>
        </w:rPr>
        <w:t>Territories</w:t>
      </w:r>
      <w:r w:rsidR="002043ED" w:rsidRPr="00283374">
        <w:rPr>
          <w:rStyle w:val="Emphasis"/>
          <w:rFonts w:eastAsia="Times New Roman"/>
          <w:i w:val="0"/>
          <w:color w:val="333333"/>
          <w:shd w:val="clear" w:color="auto" w:fill="FFFFFF"/>
        </w:rPr>
        <w:t xml:space="preserve">, modified the prevailing international legal order such that any non-Christian lands not actually in possession </w:t>
      </w:r>
      <w:r w:rsidR="002D3A3F" w:rsidRPr="00283374">
        <w:rPr>
          <w:rStyle w:val="Emphasis"/>
          <w:rFonts w:eastAsia="Times New Roman"/>
          <w:i w:val="0"/>
          <w:color w:val="333333"/>
          <w:shd w:val="clear" w:color="auto" w:fill="FFFFFF"/>
        </w:rPr>
        <w:t xml:space="preserve">or occupation </w:t>
      </w:r>
      <w:r w:rsidR="002043ED" w:rsidRPr="00283374">
        <w:rPr>
          <w:rStyle w:val="Emphasis"/>
          <w:rFonts w:eastAsia="Times New Roman"/>
          <w:i w:val="0"/>
          <w:color w:val="333333"/>
          <w:shd w:val="clear" w:color="auto" w:fill="FFFFFF"/>
        </w:rPr>
        <w:t xml:space="preserve">of a “Christian Prince” could be claimed, and if there were </w:t>
      </w:r>
      <w:r w:rsidR="00E35CAE">
        <w:rPr>
          <w:rStyle w:val="Emphasis"/>
          <w:rFonts w:eastAsia="Times New Roman"/>
          <w:i w:val="0"/>
          <w:color w:val="333333"/>
          <w:shd w:val="clear" w:color="auto" w:fill="FFFFFF"/>
        </w:rPr>
        <w:t>Indigenous</w:t>
      </w:r>
      <w:r w:rsidR="002043ED" w:rsidRPr="00283374">
        <w:rPr>
          <w:rStyle w:val="Emphasis"/>
          <w:rFonts w:eastAsia="Times New Roman"/>
          <w:i w:val="0"/>
          <w:color w:val="333333"/>
          <w:shd w:val="clear" w:color="auto" w:fill="FFFFFF"/>
        </w:rPr>
        <w:t xml:space="preserve"> </w:t>
      </w:r>
      <w:r w:rsidR="00E35CAE">
        <w:rPr>
          <w:rStyle w:val="Emphasis"/>
          <w:rFonts w:eastAsia="Times New Roman"/>
          <w:i w:val="0"/>
          <w:color w:val="333333"/>
          <w:shd w:val="clear" w:color="auto" w:fill="FFFFFF"/>
        </w:rPr>
        <w:t>Peoples</w:t>
      </w:r>
      <w:r w:rsidR="002043ED" w:rsidRPr="00283374">
        <w:rPr>
          <w:rStyle w:val="Emphasis"/>
          <w:rFonts w:eastAsia="Times New Roman"/>
          <w:i w:val="0"/>
          <w:color w:val="333333"/>
          <w:shd w:val="clear" w:color="auto" w:fill="FFFFFF"/>
        </w:rPr>
        <w:t xml:space="preserve"> </w:t>
      </w:r>
      <w:r w:rsidR="00742B05">
        <w:rPr>
          <w:rStyle w:val="Emphasis"/>
          <w:rFonts w:eastAsia="Times New Roman"/>
          <w:i w:val="0"/>
          <w:color w:val="333333"/>
          <w:shd w:val="clear" w:color="auto" w:fill="FFFFFF"/>
        </w:rPr>
        <w:t>on</w:t>
      </w:r>
      <w:r w:rsidR="002043ED" w:rsidRPr="00283374">
        <w:rPr>
          <w:rStyle w:val="Emphasis"/>
          <w:rFonts w:eastAsia="Times New Roman"/>
          <w:i w:val="0"/>
          <w:color w:val="333333"/>
          <w:shd w:val="clear" w:color="auto" w:fill="FFFFFF"/>
        </w:rPr>
        <w:t xml:space="preserve"> such lands, the </w:t>
      </w:r>
      <w:r w:rsidR="00E35CAE">
        <w:rPr>
          <w:rStyle w:val="Emphasis"/>
          <w:rFonts w:eastAsia="Times New Roman"/>
          <w:i w:val="0"/>
          <w:color w:val="333333"/>
          <w:shd w:val="clear" w:color="auto" w:fill="FFFFFF"/>
        </w:rPr>
        <w:t>Indigenous</w:t>
      </w:r>
      <w:r w:rsidR="002043ED" w:rsidRPr="00283374">
        <w:rPr>
          <w:rStyle w:val="Emphasis"/>
          <w:rFonts w:eastAsia="Times New Roman"/>
          <w:i w:val="0"/>
          <w:color w:val="333333"/>
          <w:shd w:val="clear" w:color="auto" w:fill="FFFFFF"/>
        </w:rPr>
        <w:t xml:space="preserve"> </w:t>
      </w:r>
      <w:r w:rsidR="00E35CAE">
        <w:rPr>
          <w:rStyle w:val="Emphasis"/>
          <w:rFonts w:eastAsia="Times New Roman"/>
          <w:i w:val="0"/>
          <w:color w:val="333333"/>
          <w:shd w:val="clear" w:color="auto" w:fill="FFFFFF"/>
        </w:rPr>
        <w:t>Peoples</w:t>
      </w:r>
      <w:r w:rsidR="002043ED" w:rsidRPr="00283374">
        <w:rPr>
          <w:rStyle w:val="Emphasis"/>
          <w:rFonts w:eastAsia="Times New Roman"/>
          <w:i w:val="0"/>
          <w:color w:val="333333"/>
          <w:shd w:val="clear" w:color="auto" w:fill="FFFFFF"/>
        </w:rPr>
        <w:t xml:space="preserve"> use of the lands were </w:t>
      </w:r>
      <w:r w:rsidR="009146D8" w:rsidRPr="00283374">
        <w:rPr>
          <w:rStyle w:val="Emphasis"/>
          <w:rFonts w:eastAsia="Times New Roman"/>
          <w:i w:val="0"/>
          <w:color w:val="333333"/>
          <w:shd w:val="clear" w:color="auto" w:fill="FFFFFF"/>
        </w:rPr>
        <w:t xml:space="preserve">minimized as inferior than those of </w:t>
      </w:r>
      <w:r w:rsidR="002043ED" w:rsidRPr="00283374">
        <w:rPr>
          <w:rStyle w:val="Emphasis"/>
          <w:rFonts w:eastAsia="Times New Roman"/>
          <w:i w:val="0"/>
          <w:color w:val="333333"/>
          <w:shd w:val="clear" w:color="auto" w:fill="FFFFFF"/>
        </w:rPr>
        <w:t>Eu</w:t>
      </w:r>
      <w:r w:rsidR="009146D8" w:rsidRPr="00283374">
        <w:rPr>
          <w:rStyle w:val="Emphasis"/>
          <w:rFonts w:eastAsia="Times New Roman"/>
          <w:i w:val="0"/>
          <w:color w:val="333333"/>
          <w:shd w:val="clear" w:color="auto" w:fill="FFFFFF"/>
        </w:rPr>
        <w:t>ropean use</w:t>
      </w:r>
      <w:r w:rsidR="002043ED" w:rsidRPr="00283374">
        <w:rPr>
          <w:rStyle w:val="Emphasis"/>
          <w:rFonts w:eastAsia="Times New Roman"/>
          <w:i w:val="0"/>
          <w:color w:val="333333"/>
          <w:shd w:val="clear" w:color="auto" w:fill="FFFFFF"/>
        </w:rPr>
        <w:t xml:space="preserve"> that derived economic value. Finally, </w:t>
      </w:r>
      <w:r w:rsidR="0012348A" w:rsidRPr="00283374">
        <w:rPr>
          <w:rStyle w:val="Emphasis"/>
          <w:rFonts w:eastAsia="Times New Roman"/>
          <w:i w:val="0"/>
          <w:color w:val="333333"/>
          <w:shd w:val="clear" w:color="auto" w:fill="FFFFFF"/>
        </w:rPr>
        <w:t>beginning in the 18</w:t>
      </w:r>
      <w:r w:rsidR="0012348A" w:rsidRPr="00283374">
        <w:rPr>
          <w:rStyle w:val="Emphasis"/>
          <w:rFonts w:eastAsia="Times New Roman"/>
          <w:i w:val="0"/>
          <w:color w:val="333333"/>
          <w:shd w:val="clear" w:color="auto" w:fill="FFFFFF"/>
          <w:vertAlign w:val="superscript"/>
        </w:rPr>
        <w:t>th</w:t>
      </w:r>
      <w:r w:rsidR="0012348A" w:rsidRPr="00283374">
        <w:rPr>
          <w:rStyle w:val="Emphasis"/>
          <w:rFonts w:eastAsia="Times New Roman"/>
          <w:i w:val="0"/>
          <w:color w:val="333333"/>
          <w:shd w:val="clear" w:color="auto" w:fill="FFFFFF"/>
        </w:rPr>
        <w:t xml:space="preserve"> century the</w:t>
      </w:r>
      <w:r w:rsidR="009146D8" w:rsidRPr="00283374">
        <w:rPr>
          <w:rStyle w:val="Emphasis"/>
          <w:rFonts w:eastAsia="Times New Roman"/>
          <w:i w:val="0"/>
          <w:color w:val="333333"/>
          <w:shd w:val="clear" w:color="auto" w:fill="FFFFFF"/>
        </w:rPr>
        <w:t xml:space="preserve"> above</w:t>
      </w:r>
      <w:r w:rsidR="0012348A" w:rsidRPr="00283374">
        <w:rPr>
          <w:rStyle w:val="Emphasis"/>
          <w:rFonts w:eastAsia="Times New Roman"/>
          <w:i w:val="0"/>
          <w:color w:val="333333"/>
          <w:shd w:val="clear" w:color="auto" w:fill="FFFFFF"/>
        </w:rPr>
        <w:t xml:space="preserve"> previous principles </w:t>
      </w:r>
      <w:r w:rsidR="009146D8" w:rsidRPr="00283374">
        <w:rPr>
          <w:rStyle w:val="Emphasis"/>
          <w:rFonts w:eastAsia="Times New Roman"/>
          <w:i w:val="0"/>
          <w:color w:val="333333"/>
          <w:shd w:val="clear" w:color="auto" w:fill="FFFFFF"/>
        </w:rPr>
        <w:t>became “normalized”</w:t>
      </w:r>
      <w:r w:rsidR="00B76991" w:rsidRPr="00283374">
        <w:rPr>
          <w:rStyle w:val="Emphasis"/>
          <w:rFonts w:eastAsia="Times New Roman"/>
          <w:i w:val="0"/>
          <w:color w:val="333333"/>
          <w:shd w:val="clear" w:color="auto" w:fill="FFFFFF"/>
        </w:rPr>
        <w:t xml:space="preserve"> so </w:t>
      </w:r>
      <w:r w:rsidR="0012348A" w:rsidRPr="00283374">
        <w:rPr>
          <w:rStyle w:val="Emphasis"/>
          <w:rFonts w:eastAsia="Times New Roman"/>
          <w:i w:val="0"/>
          <w:color w:val="333333"/>
          <w:shd w:val="clear" w:color="auto" w:fill="FFFFFF"/>
        </w:rPr>
        <w:t xml:space="preserve">that </w:t>
      </w:r>
      <w:r w:rsidR="00B76991" w:rsidRPr="00283374">
        <w:rPr>
          <w:rStyle w:val="Emphasis"/>
          <w:rFonts w:eastAsia="Times New Roman"/>
          <w:i w:val="0"/>
          <w:color w:val="333333"/>
          <w:shd w:val="clear" w:color="auto" w:fill="FFFFFF"/>
        </w:rPr>
        <w:t>this now normalized state</w:t>
      </w:r>
      <w:r w:rsidR="0012348A" w:rsidRPr="00283374">
        <w:rPr>
          <w:rStyle w:val="Emphasis"/>
          <w:rFonts w:eastAsia="Times New Roman"/>
          <w:i w:val="0"/>
          <w:color w:val="333333"/>
          <w:shd w:val="clear" w:color="auto" w:fill="FFFFFF"/>
        </w:rPr>
        <w:t xml:space="preserve"> of affairs minimized and subsumed </w:t>
      </w:r>
      <w:r w:rsidR="00E35CAE">
        <w:rPr>
          <w:rStyle w:val="Emphasis"/>
          <w:rFonts w:eastAsia="Times New Roman"/>
          <w:i w:val="0"/>
          <w:color w:val="333333"/>
          <w:shd w:val="clear" w:color="auto" w:fill="FFFFFF"/>
        </w:rPr>
        <w:t>Indigenous</w:t>
      </w:r>
      <w:r w:rsidR="0012348A" w:rsidRPr="00283374">
        <w:rPr>
          <w:rStyle w:val="Emphasis"/>
          <w:rFonts w:eastAsia="Times New Roman"/>
          <w:i w:val="0"/>
          <w:color w:val="333333"/>
          <w:shd w:val="clear" w:color="auto" w:fill="FFFFFF"/>
        </w:rPr>
        <w:t xml:space="preserve"> </w:t>
      </w:r>
      <w:r w:rsidR="00E35CAE">
        <w:rPr>
          <w:rStyle w:val="Emphasis"/>
          <w:rFonts w:eastAsia="Times New Roman"/>
          <w:i w:val="0"/>
          <w:color w:val="333333"/>
          <w:shd w:val="clear" w:color="auto" w:fill="FFFFFF"/>
        </w:rPr>
        <w:t>Peoples</w:t>
      </w:r>
      <w:r w:rsidR="0012348A" w:rsidRPr="00283374">
        <w:rPr>
          <w:rStyle w:val="Emphasis"/>
          <w:rFonts w:eastAsia="Times New Roman"/>
          <w:i w:val="0"/>
          <w:color w:val="333333"/>
          <w:shd w:val="clear" w:color="auto" w:fill="FFFFFF"/>
        </w:rPr>
        <w:t xml:space="preserve">’ rights to </w:t>
      </w:r>
      <w:r w:rsidR="00E8330D" w:rsidRPr="00283374">
        <w:rPr>
          <w:rStyle w:val="Emphasis"/>
          <w:rFonts w:eastAsia="Times New Roman"/>
          <w:i w:val="0"/>
          <w:color w:val="333333"/>
          <w:shd w:val="clear" w:color="auto" w:fill="FFFFFF"/>
        </w:rPr>
        <w:t>our</w:t>
      </w:r>
      <w:r w:rsidR="0012348A" w:rsidRPr="00283374">
        <w:rPr>
          <w:rStyle w:val="Emphasis"/>
          <w:rFonts w:eastAsia="Times New Roman"/>
          <w:i w:val="0"/>
          <w:color w:val="333333"/>
          <w:shd w:val="clear" w:color="auto" w:fill="FFFFFF"/>
        </w:rPr>
        <w:t xml:space="preserve"> </w:t>
      </w:r>
      <w:r w:rsidR="00007CC9">
        <w:rPr>
          <w:rStyle w:val="Emphasis"/>
          <w:rFonts w:eastAsia="Times New Roman"/>
          <w:i w:val="0"/>
          <w:color w:val="333333"/>
          <w:shd w:val="clear" w:color="auto" w:fill="FFFFFF"/>
        </w:rPr>
        <w:t>Territories</w:t>
      </w:r>
      <w:r w:rsidR="0012348A" w:rsidRPr="00283374">
        <w:rPr>
          <w:rStyle w:val="Emphasis"/>
          <w:rFonts w:eastAsia="Times New Roman"/>
          <w:i w:val="0"/>
          <w:color w:val="333333"/>
          <w:shd w:val="clear" w:color="auto" w:fill="FFFFFF"/>
        </w:rPr>
        <w:t xml:space="preserve"> to that of the British Crown. Such </w:t>
      </w:r>
      <w:r w:rsidR="00B76991" w:rsidRPr="00283374">
        <w:rPr>
          <w:rStyle w:val="Emphasis"/>
          <w:rFonts w:eastAsia="Times New Roman"/>
          <w:i w:val="0"/>
          <w:color w:val="333333"/>
          <w:shd w:val="clear" w:color="auto" w:fill="FFFFFF"/>
        </w:rPr>
        <w:t>presumed</w:t>
      </w:r>
      <w:r w:rsidR="0012348A" w:rsidRPr="00283374">
        <w:rPr>
          <w:rStyle w:val="Emphasis"/>
          <w:rFonts w:eastAsia="Times New Roman"/>
          <w:i w:val="0"/>
          <w:color w:val="333333"/>
          <w:shd w:val="clear" w:color="auto" w:fill="FFFFFF"/>
        </w:rPr>
        <w:t xml:space="preserve"> belief was based </w:t>
      </w:r>
      <w:r w:rsidR="00742B05">
        <w:rPr>
          <w:rStyle w:val="Emphasis"/>
          <w:rFonts w:eastAsia="Times New Roman"/>
          <w:i w:val="0"/>
          <w:color w:val="333333"/>
          <w:shd w:val="clear" w:color="auto" w:fill="FFFFFF"/>
        </w:rPr>
        <w:t>on</w:t>
      </w:r>
      <w:r w:rsidR="0012348A" w:rsidRPr="00283374">
        <w:rPr>
          <w:rStyle w:val="Emphasis"/>
          <w:rFonts w:eastAsia="Times New Roman"/>
          <w:i w:val="0"/>
          <w:color w:val="333333"/>
          <w:shd w:val="clear" w:color="auto" w:fill="FFFFFF"/>
        </w:rPr>
        <w:t xml:space="preserve"> the racial inferior mythos created to serve </w:t>
      </w:r>
      <w:r w:rsidR="00B76991" w:rsidRPr="00283374">
        <w:rPr>
          <w:rStyle w:val="Emphasis"/>
          <w:rFonts w:eastAsia="Times New Roman"/>
          <w:i w:val="0"/>
          <w:color w:val="333333"/>
          <w:shd w:val="clear" w:color="auto" w:fill="FFFFFF"/>
        </w:rPr>
        <w:t xml:space="preserve">early European colonial aspirations </w:t>
      </w:r>
      <w:r w:rsidR="0012348A" w:rsidRPr="00283374">
        <w:rPr>
          <w:rStyle w:val="Emphasis"/>
          <w:rFonts w:eastAsia="Times New Roman"/>
          <w:i w:val="0"/>
          <w:color w:val="333333"/>
          <w:shd w:val="clear" w:color="auto" w:fill="FFFFFF"/>
        </w:rPr>
        <w:t xml:space="preserve">and later modified </w:t>
      </w:r>
      <w:r w:rsidR="007665E1" w:rsidRPr="00283374">
        <w:rPr>
          <w:rStyle w:val="Emphasis"/>
          <w:rFonts w:eastAsia="Times New Roman"/>
          <w:i w:val="0"/>
          <w:color w:val="333333"/>
          <w:shd w:val="clear" w:color="auto" w:fill="FFFFFF"/>
        </w:rPr>
        <w:t xml:space="preserve">and espoused </w:t>
      </w:r>
      <w:r w:rsidR="0012348A" w:rsidRPr="00283374">
        <w:rPr>
          <w:rStyle w:val="Emphasis"/>
          <w:rFonts w:eastAsia="Times New Roman"/>
          <w:i w:val="0"/>
          <w:color w:val="333333"/>
          <w:shd w:val="clear" w:color="auto" w:fill="FFFFFF"/>
        </w:rPr>
        <w:t xml:space="preserve">to justified </w:t>
      </w:r>
      <w:r w:rsidR="007665E1" w:rsidRPr="00283374">
        <w:rPr>
          <w:rStyle w:val="Emphasis"/>
          <w:rFonts w:eastAsia="Times New Roman"/>
          <w:i w:val="0"/>
          <w:color w:val="333333"/>
          <w:shd w:val="clear" w:color="auto" w:fill="FFFFFF"/>
        </w:rPr>
        <w:t>a status quo beneficial to the Canadian state</w:t>
      </w:r>
      <w:r w:rsidR="0012348A" w:rsidRPr="00283374">
        <w:rPr>
          <w:rStyle w:val="Emphasis"/>
          <w:rFonts w:eastAsia="Times New Roman"/>
          <w:i w:val="0"/>
          <w:color w:val="333333"/>
          <w:shd w:val="clear" w:color="auto" w:fill="FFFFFF"/>
        </w:rPr>
        <w:t xml:space="preserve">.  </w:t>
      </w:r>
    </w:p>
    <w:p w14:paraId="7471C63A" w14:textId="77777777" w:rsidR="0012348A" w:rsidRDefault="0012348A" w:rsidP="0012348A"/>
    <w:p w14:paraId="4BCEA2CB" w14:textId="77777777" w:rsidR="001A7AC0" w:rsidRPr="00E46661" w:rsidRDefault="00A077DC" w:rsidP="00760BD7">
      <w:pPr>
        <w:widowControl w:val="0"/>
        <w:autoSpaceDE w:val="0"/>
        <w:autoSpaceDN w:val="0"/>
        <w:adjustRightInd w:val="0"/>
        <w:jc w:val="both"/>
        <w:rPr>
          <w:b/>
          <w:u w:val="single"/>
        </w:rPr>
      </w:pPr>
      <w:r>
        <w:rPr>
          <w:b/>
          <w:u w:val="single"/>
        </w:rPr>
        <w:t>The Expression</w:t>
      </w:r>
      <w:r w:rsidR="00E46661">
        <w:rPr>
          <w:b/>
          <w:u w:val="single"/>
        </w:rPr>
        <w:t xml:space="preserve"> of the </w:t>
      </w:r>
      <w:r w:rsidR="006E2560" w:rsidRPr="00E46661">
        <w:rPr>
          <w:b/>
          <w:u w:val="single"/>
        </w:rPr>
        <w:t>Principles of the Doctrine of Discovery</w:t>
      </w:r>
      <w:r>
        <w:rPr>
          <w:b/>
          <w:u w:val="single"/>
        </w:rPr>
        <w:t xml:space="preserve"> Within </w:t>
      </w:r>
      <w:r w:rsidR="0049003C">
        <w:rPr>
          <w:b/>
          <w:u w:val="single"/>
        </w:rPr>
        <w:t>the</w:t>
      </w:r>
      <w:r>
        <w:rPr>
          <w:b/>
          <w:u w:val="single"/>
        </w:rPr>
        <w:t xml:space="preserve"> Canadian State</w:t>
      </w:r>
    </w:p>
    <w:p w14:paraId="51482C2C" w14:textId="77777777" w:rsidR="008D4A2E" w:rsidRDefault="008D4A2E" w:rsidP="00760BD7">
      <w:pPr>
        <w:widowControl w:val="0"/>
        <w:autoSpaceDE w:val="0"/>
        <w:autoSpaceDN w:val="0"/>
        <w:adjustRightInd w:val="0"/>
        <w:jc w:val="both"/>
      </w:pPr>
    </w:p>
    <w:p w14:paraId="58D37970" w14:textId="611AA06C" w:rsidR="00283374" w:rsidRDefault="001E4D17" w:rsidP="00C86F52">
      <w:pPr>
        <w:pStyle w:val="ListParagraph"/>
        <w:widowControl w:val="0"/>
        <w:numPr>
          <w:ilvl w:val="0"/>
          <w:numId w:val="37"/>
        </w:numPr>
        <w:autoSpaceDE w:val="0"/>
        <w:autoSpaceDN w:val="0"/>
        <w:adjustRightInd w:val="0"/>
        <w:jc w:val="both"/>
      </w:pPr>
      <w:r>
        <w:t>The</w:t>
      </w:r>
      <w:r w:rsidR="009013A6">
        <w:t xml:space="preserve"> principles from the </w:t>
      </w:r>
      <w:r w:rsidR="009013A6" w:rsidRPr="00283374">
        <w:rPr>
          <w:i/>
        </w:rPr>
        <w:t>Doctrine of Discovery</w:t>
      </w:r>
      <w:r w:rsidR="00687808">
        <w:t xml:space="preserve"> have </w:t>
      </w:r>
      <w:r w:rsidR="00FE1C1A">
        <w:t>informed</w:t>
      </w:r>
      <w:r w:rsidR="00687808">
        <w:t>, and continue to inform</w:t>
      </w:r>
      <w:r w:rsidR="004F2765">
        <w:t xml:space="preserve"> not only</w:t>
      </w:r>
      <w:r w:rsidR="00FE1C1A">
        <w:t xml:space="preserve"> Canadian </w:t>
      </w:r>
      <w:r w:rsidR="00AF3090">
        <w:t>legislation and jurisprudence affecting</w:t>
      </w:r>
      <w:r w:rsidR="00FE1C1A">
        <w:t xml:space="preserve"> our Nations’ </w:t>
      </w:r>
      <w:r w:rsidR="00007CC9">
        <w:t>Territories</w:t>
      </w:r>
      <w:r w:rsidR="004F2765">
        <w:t xml:space="preserve">, but also the actions of </w:t>
      </w:r>
      <w:r w:rsidR="00DF658E">
        <w:t xml:space="preserve">government </w:t>
      </w:r>
      <w:r w:rsidR="00FA321F">
        <w:t xml:space="preserve">in regards to our Nations’ </w:t>
      </w:r>
      <w:r w:rsidR="00007CC9">
        <w:t>Territories</w:t>
      </w:r>
      <w:r w:rsidR="00FA321F">
        <w:t xml:space="preserve">. </w:t>
      </w:r>
      <w:r w:rsidR="00E86A30">
        <w:t>As a basis of “Aboriginal”</w:t>
      </w:r>
      <w:r w:rsidR="00B04C92">
        <w:t xml:space="preserve"> law in Canada, a fundamental and allegedly immutable</w:t>
      </w:r>
      <w:r w:rsidR="00E86A30">
        <w:t xml:space="preserve"> princ</w:t>
      </w:r>
      <w:r w:rsidR="00B04C92">
        <w:t>iple</w:t>
      </w:r>
      <w:r w:rsidR="00E86A30">
        <w:t xml:space="preserve"> is </w:t>
      </w:r>
      <w:r w:rsidR="006C53A4">
        <w:t xml:space="preserve">that all of our Nations’ </w:t>
      </w:r>
      <w:r w:rsidR="00007CC9">
        <w:t>Territories</w:t>
      </w:r>
      <w:r w:rsidR="00D41E75">
        <w:t>, including lands set aside as “reserve</w:t>
      </w:r>
      <w:r w:rsidR="007322C4">
        <w:t>d</w:t>
      </w:r>
      <w:r w:rsidR="00D41E75">
        <w:t>” lands, treaty lands, an</w:t>
      </w:r>
      <w:r w:rsidR="008919C0">
        <w:t xml:space="preserve">d lands not subject to treaty, </w:t>
      </w:r>
      <w:r w:rsidR="001C71D8">
        <w:t xml:space="preserve">are subject </w:t>
      </w:r>
      <w:r w:rsidR="00E4486D">
        <w:t>to the false belief that the Crown has underlying title</w:t>
      </w:r>
      <w:r w:rsidR="00C546CD">
        <w:t xml:space="preserve"> due to British</w:t>
      </w:r>
      <w:r w:rsidR="00350607">
        <w:t xml:space="preserve"> assertions of its sovereignty</w:t>
      </w:r>
      <w:r w:rsidR="00E4486D">
        <w:t xml:space="preserve">. </w:t>
      </w:r>
    </w:p>
    <w:p w14:paraId="43E69547" w14:textId="77777777" w:rsidR="00283374" w:rsidRDefault="00283374" w:rsidP="00283374">
      <w:pPr>
        <w:pStyle w:val="ListParagraph"/>
        <w:widowControl w:val="0"/>
        <w:autoSpaceDE w:val="0"/>
        <w:autoSpaceDN w:val="0"/>
        <w:adjustRightInd w:val="0"/>
        <w:jc w:val="both"/>
      </w:pPr>
    </w:p>
    <w:p w14:paraId="7FF9AB97" w14:textId="06C315EC" w:rsidR="00BD7356" w:rsidRDefault="008C0573" w:rsidP="00C86F52">
      <w:pPr>
        <w:pStyle w:val="ListParagraph"/>
        <w:widowControl w:val="0"/>
        <w:numPr>
          <w:ilvl w:val="0"/>
          <w:numId w:val="37"/>
        </w:numPr>
        <w:autoSpaceDE w:val="0"/>
        <w:autoSpaceDN w:val="0"/>
        <w:adjustRightInd w:val="0"/>
        <w:jc w:val="both"/>
      </w:pPr>
      <w:r>
        <w:t xml:space="preserve">These beliefs would have us </w:t>
      </w:r>
      <w:r w:rsidR="003F085D">
        <w:t xml:space="preserve">understand </w:t>
      </w:r>
      <w:r w:rsidR="00BB109C">
        <w:t>that through</w:t>
      </w:r>
      <w:r w:rsidR="00350607">
        <w:t xml:space="preserve"> some </w:t>
      </w:r>
      <w:r w:rsidR="00E64AEB">
        <w:t>legalistic</w:t>
      </w:r>
      <w:r w:rsidR="00350607">
        <w:t xml:space="preserve"> form of </w:t>
      </w:r>
      <w:r w:rsidR="007B723C">
        <w:t>alchemy</w:t>
      </w:r>
      <w:r w:rsidR="00B8048F">
        <w:t>, our</w:t>
      </w:r>
      <w:r w:rsidR="00E4486D">
        <w:t xml:space="preserve"> Nations</w:t>
      </w:r>
      <w:r w:rsidR="00B8048F">
        <w:t xml:space="preserve">’ </w:t>
      </w:r>
      <w:r w:rsidR="00007CC9">
        <w:t>Territories</w:t>
      </w:r>
      <w:r w:rsidR="00EA51CE">
        <w:t>,</w:t>
      </w:r>
      <w:r w:rsidR="00B8048F">
        <w:t xml:space="preserve"> in which we have </w:t>
      </w:r>
      <w:r w:rsidR="00EA51CE">
        <w:t xml:space="preserve">uncountable years of use, occupation and </w:t>
      </w:r>
      <w:r w:rsidR="003F085D">
        <w:t xml:space="preserve">sacred </w:t>
      </w:r>
      <w:r w:rsidR="0080615D">
        <w:t>responsibility</w:t>
      </w:r>
      <w:r w:rsidR="00EA51CE">
        <w:t xml:space="preserve"> </w:t>
      </w:r>
      <w:r w:rsidR="0080615D">
        <w:t xml:space="preserve">as provided </w:t>
      </w:r>
      <w:r w:rsidR="00293C18">
        <w:t xml:space="preserve">by the Creator </w:t>
      </w:r>
      <w:r w:rsidR="00EA51CE">
        <w:t xml:space="preserve">have been </w:t>
      </w:r>
      <w:r w:rsidR="00FE0644">
        <w:t>transmogrified so that such use, occupation and</w:t>
      </w:r>
      <w:r w:rsidR="00293C18">
        <w:t xml:space="preserve"> sacred</w:t>
      </w:r>
      <w:r w:rsidR="00FE0644">
        <w:t xml:space="preserve"> responsibility has been severed and replaced by self-serving</w:t>
      </w:r>
      <w:r w:rsidR="00782800">
        <w:t xml:space="preserve"> ontological systems of European land ownership</w:t>
      </w:r>
      <w:r w:rsidR="00A90735">
        <w:t xml:space="preserve"> that provides for the Crown’s alleged underlying title</w:t>
      </w:r>
      <w:r w:rsidR="00782800">
        <w:t xml:space="preserve">. </w:t>
      </w:r>
      <w:r w:rsidR="00AE3169">
        <w:t>We submit that this belief is not only incorrect</w:t>
      </w:r>
      <w:r w:rsidR="00690AFF">
        <w:t xml:space="preserve"> and based </w:t>
      </w:r>
      <w:r w:rsidR="00742B05">
        <w:t>on</w:t>
      </w:r>
      <w:r w:rsidR="00690AFF">
        <w:t xml:space="preserve"> racist ideas of </w:t>
      </w:r>
      <w:r w:rsidR="00E35CAE">
        <w:t>Indigenous</w:t>
      </w:r>
      <w:r w:rsidR="00690AFF">
        <w:t xml:space="preserve"> </w:t>
      </w:r>
      <w:r w:rsidR="00E35CAE">
        <w:t>Peoples</w:t>
      </w:r>
      <w:r w:rsidR="00690AFF">
        <w:t xml:space="preserve">, our cultures, traditions and laws, but also </w:t>
      </w:r>
      <w:r w:rsidR="00E50159">
        <w:t>results in government actions harmful to our Nations</w:t>
      </w:r>
      <w:r w:rsidR="00DA395A">
        <w:t xml:space="preserve"> and our members, including our culture, health and survival.</w:t>
      </w:r>
    </w:p>
    <w:p w14:paraId="2838C827" w14:textId="77777777" w:rsidR="00C92EAD" w:rsidRDefault="00C92EAD" w:rsidP="00C92EAD">
      <w:pPr>
        <w:widowControl w:val="0"/>
        <w:autoSpaceDE w:val="0"/>
        <w:autoSpaceDN w:val="0"/>
        <w:adjustRightInd w:val="0"/>
      </w:pPr>
    </w:p>
    <w:p w14:paraId="2563433B" w14:textId="77777777" w:rsidR="00C92EAD" w:rsidRPr="00C92EAD" w:rsidRDefault="00C92EAD" w:rsidP="00C92EAD">
      <w:pPr>
        <w:widowControl w:val="0"/>
        <w:autoSpaceDE w:val="0"/>
        <w:autoSpaceDN w:val="0"/>
        <w:adjustRightInd w:val="0"/>
        <w:rPr>
          <w:b/>
          <w:i/>
        </w:rPr>
      </w:pPr>
      <w:r>
        <w:rPr>
          <w:b/>
          <w:i/>
        </w:rPr>
        <w:t>Canadian Legislation</w:t>
      </w:r>
    </w:p>
    <w:p w14:paraId="6C16F7B6" w14:textId="77777777" w:rsidR="00F776D0" w:rsidRDefault="00C92EAD" w:rsidP="00283374">
      <w:pPr>
        <w:pStyle w:val="ListParagraph"/>
        <w:widowControl w:val="0"/>
        <w:numPr>
          <w:ilvl w:val="0"/>
          <w:numId w:val="37"/>
        </w:numPr>
        <w:autoSpaceDE w:val="0"/>
        <w:autoSpaceDN w:val="0"/>
        <w:adjustRightInd w:val="0"/>
        <w:jc w:val="both"/>
      </w:pPr>
      <w:r>
        <w:t xml:space="preserve">As a point of demonstration, the following Canadian legislation </w:t>
      </w:r>
      <w:r w:rsidR="000833AE">
        <w:t xml:space="preserve">and Supreme Court of Canada decisions </w:t>
      </w:r>
      <w:r>
        <w:t xml:space="preserve">contains sections that </w:t>
      </w:r>
      <w:r w:rsidR="00B46265">
        <w:t xml:space="preserve">continue </w:t>
      </w:r>
      <w:r w:rsidR="00F776D0">
        <w:t xml:space="preserve">and perpetuate the previously noted principles that make up the </w:t>
      </w:r>
      <w:r w:rsidR="00F776D0" w:rsidRPr="00283374">
        <w:rPr>
          <w:i/>
        </w:rPr>
        <w:t>Doctrine of Discovery</w:t>
      </w:r>
      <w:r w:rsidR="00F776D0">
        <w:t>:</w:t>
      </w:r>
    </w:p>
    <w:p w14:paraId="4829F3AF" w14:textId="77777777" w:rsidR="00F776D0" w:rsidRDefault="00F776D0" w:rsidP="00C92EAD">
      <w:pPr>
        <w:widowControl w:val="0"/>
        <w:autoSpaceDE w:val="0"/>
        <w:autoSpaceDN w:val="0"/>
        <w:adjustRightInd w:val="0"/>
      </w:pPr>
    </w:p>
    <w:p w14:paraId="0C765014" w14:textId="7AD63A58" w:rsidR="0078661A" w:rsidRPr="00B55027" w:rsidRDefault="0049003C" w:rsidP="00283374">
      <w:pPr>
        <w:pStyle w:val="ListParagraph"/>
        <w:numPr>
          <w:ilvl w:val="0"/>
          <w:numId w:val="30"/>
        </w:numPr>
        <w:ind w:left="1080"/>
        <w:jc w:val="both"/>
        <w:rPr>
          <w:rFonts w:eastAsia="Times New Roman"/>
        </w:rPr>
      </w:pPr>
      <w:r>
        <w:rPr>
          <w:rStyle w:val="sectionlabel"/>
          <w:rFonts w:eastAsia="Times New Roman"/>
          <w:bCs/>
          <w:color w:val="000000"/>
          <w:shd w:val="clear" w:color="auto" w:fill="FFFFFF"/>
        </w:rPr>
        <w:t xml:space="preserve">Section </w:t>
      </w:r>
      <w:r w:rsidR="004E177A" w:rsidRPr="0049003C">
        <w:rPr>
          <w:rStyle w:val="sectionlabel"/>
          <w:rFonts w:eastAsia="Times New Roman"/>
          <w:bCs/>
          <w:color w:val="000000"/>
          <w:shd w:val="clear" w:color="auto" w:fill="FFFFFF"/>
        </w:rPr>
        <w:t>18</w:t>
      </w:r>
      <w:r w:rsidR="004E177A" w:rsidRPr="0049003C">
        <w:rPr>
          <w:rFonts w:eastAsia="Times New Roman"/>
          <w:color w:val="333333"/>
          <w:shd w:val="clear" w:color="auto" w:fill="FFFFFF"/>
        </w:rPr>
        <w:t> </w:t>
      </w:r>
      <w:r w:rsidR="004E177A" w:rsidRPr="0049003C">
        <w:rPr>
          <w:rStyle w:val="lawlabel"/>
          <w:rFonts w:eastAsia="Times New Roman"/>
          <w:bCs/>
          <w:color w:val="000000"/>
        </w:rPr>
        <w:t>(1)</w:t>
      </w:r>
      <w:r w:rsidR="004E177A" w:rsidRPr="0049003C">
        <w:rPr>
          <w:rFonts w:eastAsia="Times New Roman"/>
          <w:color w:val="333333"/>
          <w:shd w:val="clear" w:color="auto" w:fill="FFFFFF"/>
        </w:rPr>
        <w:t> </w:t>
      </w:r>
      <w:r>
        <w:rPr>
          <w:rFonts w:eastAsia="Times New Roman"/>
          <w:color w:val="333333"/>
          <w:shd w:val="clear" w:color="auto" w:fill="FFFFFF"/>
        </w:rPr>
        <w:t xml:space="preserve">of the </w:t>
      </w:r>
      <w:r>
        <w:rPr>
          <w:rFonts w:eastAsia="Times New Roman"/>
          <w:i/>
          <w:color w:val="333333"/>
          <w:shd w:val="clear" w:color="auto" w:fill="FFFFFF"/>
        </w:rPr>
        <w:t xml:space="preserve">Indian Act </w:t>
      </w:r>
      <w:r>
        <w:rPr>
          <w:rFonts w:eastAsia="Times New Roman"/>
          <w:color w:val="333333"/>
          <w:shd w:val="clear" w:color="auto" w:fill="FFFFFF"/>
        </w:rPr>
        <w:t xml:space="preserve">provides that certain of our </w:t>
      </w:r>
      <w:r w:rsidR="00007CC9">
        <w:rPr>
          <w:rFonts w:eastAsia="Times New Roman"/>
          <w:color w:val="333333"/>
          <w:shd w:val="clear" w:color="auto" w:fill="FFFFFF"/>
        </w:rPr>
        <w:t>Territories</w:t>
      </w:r>
      <w:r>
        <w:rPr>
          <w:rFonts w:eastAsia="Times New Roman"/>
          <w:color w:val="333333"/>
          <w:shd w:val="clear" w:color="auto" w:fill="FFFFFF"/>
        </w:rPr>
        <w:t xml:space="preserve"> are “</w:t>
      </w:r>
      <w:r w:rsidR="004E177A" w:rsidRPr="0049003C">
        <w:rPr>
          <w:rFonts w:eastAsia="Times New Roman"/>
          <w:color w:val="333333"/>
          <w:shd w:val="clear" w:color="auto" w:fill="FFFFFF"/>
        </w:rPr>
        <w:t>reserves are held by Her Majesty for the use and benefit of the respective bands for which they were set apart, and subject to this Act and to the terms of any treaty or surrender, the Governor in Council may determine whether any purpose for which lands in a reserve are used or are to be used is for the use and benefit of the band.</w:t>
      </w:r>
      <w:r>
        <w:rPr>
          <w:rFonts w:eastAsia="Times New Roman"/>
          <w:color w:val="333333"/>
          <w:shd w:val="clear" w:color="auto" w:fill="FFFFFF"/>
        </w:rPr>
        <w:t xml:space="preserve">” In effect, even those portions of our </w:t>
      </w:r>
      <w:r w:rsidR="00007CC9">
        <w:rPr>
          <w:rFonts w:eastAsia="Times New Roman"/>
          <w:color w:val="333333"/>
          <w:shd w:val="clear" w:color="auto" w:fill="FFFFFF"/>
        </w:rPr>
        <w:t>Territories</w:t>
      </w:r>
      <w:r>
        <w:rPr>
          <w:rFonts w:eastAsia="Times New Roman"/>
          <w:color w:val="333333"/>
          <w:shd w:val="clear" w:color="auto" w:fill="FFFFFF"/>
        </w:rPr>
        <w:t xml:space="preserve"> that are specifically recognized by Canadian jurisprudence as our Nations are not owned by us,</w:t>
      </w:r>
      <w:r w:rsidR="00D800E5">
        <w:rPr>
          <w:rFonts w:eastAsia="Times New Roman"/>
          <w:color w:val="333333"/>
          <w:shd w:val="clear" w:color="auto" w:fill="FFFFFF"/>
        </w:rPr>
        <w:t xml:space="preserve"> but by the Crown on our behalf;</w:t>
      </w:r>
    </w:p>
    <w:p w14:paraId="31EAB807" w14:textId="77777777" w:rsidR="00B55027" w:rsidRPr="0078661A" w:rsidRDefault="00B55027" w:rsidP="00283374">
      <w:pPr>
        <w:pStyle w:val="ListParagraph"/>
        <w:ind w:left="1080"/>
        <w:jc w:val="both"/>
        <w:rPr>
          <w:rFonts w:eastAsia="Times New Roman"/>
        </w:rPr>
      </w:pPr>
    </w:p>
    <w:p w14:paraId="14A2B731" w14:textId="77777777" w:rsidR="00C27997" w:rsidRPr="00B55027" w:rsidRDefault="0049003C" w:rsidP="00283374">
      <w:pPr>
        <w:pStyle w:val="ListParagraph"/>
        <w:numPr>
          <w:ilvl w:val="0"/>
          <w:numId w:val="30"/>
        </w:numPr>
        <w:ind w:left="1080"/>
        <w:jc w:val="both"/>
        <w:rPr>
          <w:rFonts w:eastAsia="Times New Roman"/>
        </w:rPr>
      </w:pPr>
      <w:r>
        <w:t xml:space="preserve">In the </w:t>
      </w:r>
      <w:r w:rsidR="0078661A">
        <w:t xml:space="preserve">1997 </w:t>
      </w:r>
      <w:r>
        <w:t xml:space="preserve">Supreme Court of Canada’s </w:t>
      </w:r>
      <w:r w:rsidR="00C27997">
        <w:t xml:space="preserve">decision in </w:t>
      </w:r>
      <w:r w:rsidRPr="00C50B44">
        <w:rPr>
          <w:rFonts w:eastAsia="Times New Roman"/>
          <w:i/>
          <w:color w:val="000000"/>
        </w:rPr>
        <w:t>Delgamuukw</w:t>
      </w:r>
      <w:r w:rsidRPr="00C50B44">
        <w:rPr>
          <w:rStyle w:val="apple-converted-space"/>
          <w:rFonts w:eastAsia="Times New Roman"/>
          <w:i/>
          <w:color w:val="000000"/>
        </w:rPr>
        <w:t> </w:t>
      </w:r>
      <w:r w:rsidRPr="00C50B44">
        <w:rPr>
          <w:rFonts w:eastAsia="Times New Roman"/>
          <w:i/>
          <w:iCs/>
          <w:color w:val="000000"/>
        </w:rPr>
        <w:t>v</w:t>
      </w:r>
      <w:r w:rsidRPr="00C50B44">
        <w:rPr>
          <w:rFonts w:eastAsia="Times New Roman"/>
          <w:i/>
          <w:color w:val="000000"/>
        </w:rPr>
        <w:t>. British Columbia</w:t>
      </w:r>
      <w:r w:rsidR="00161A43">
        <w:rPr>
          <w:rStyle w:val="FootnoteReference"/>
          <w:rFonts w:eastAsia="Times New Roman"/>
          <w:color w:val="000000"/>
        </w:rPr>
        <w:footnoteReference w:id="12"/>
      </w:r>
      <w:r w:rsidRPr="0078661A">
        <w:rPr>
          <w:rFonts w:eastAsia="Times New Roman"/>
          <w:color w:val="000000"/>
        </w:rPr>
        <w:t xml:space="preserve">, it was </w:t>
      </w:r>
      <w:r w:rsidR="00C50B44">
        <w:rPr>
          <w:rFonts w:eastAsia="Times New Roman"/>
          <w:color w:val="000000"/>
        </w:rPr>
        <w:t>“</w:t>
      </w:r>
      <w:r w:rsidRPr="0078661A">
        <w:rPr>
          <w:rFonts w:eastAsia="Times New Roman"/>
          <w:color w:val="000000"/>
        </w:rPr>
        <w:t>recognized</w:t>
      </w:r>
      <w:r w:rsidR="00C50B44">
        <w:rPr>
          <w:rFonts w:eastAsia="Times New Roman"/>
          <w:color w:val="000000"/>
        </w:rPr>
        <w:t>”</w:t>
      </w:r>
      <w:r w:rsidRPr="0078661A">
        <w:rPr>
          <w:rFonts w:eastAsia="Times New Roman"/>
          <w:color w:val="000000"/>
        </w:rPr>
        <w:t xml:space="preserve"> for the first time that the concept of “Aboriginal title” could possibly exist, </w:t>
      </w:r>
      <w:r w:rsidRPr="0078661A">
        <w:rPr>
          <w:rFonts w:eastAsia="Times New Roman"/>
          <w:b/>
          <w:i/>
          <w:color w:val="000000"/>
          <w:u w:val="single"/>
        </w:rPr>
        <w:t>however</w:t>
      </w:r>
      <w:r w:rsidRPr="0078661A">
        <w:rPr>
          <w:rFonts w:eastAsia="Times New Roman"/>
          <w:color w:val="000000"/>
        </w:rPr>
        <w:t xml:space="preserve">, with such title </w:t>
      </w:r>
      <w:r w:rsidR="0078661A">
        <w:rPr>
          <w:rFonts w:eastAsia="Times New Roman"/>
          <w:color w:val="000000"/>
        </w:rPr>
        <w:t>was characterized as</w:t>
      </w:r>
      <w:r w:rsidR="0078661A" w:rsidRPr="0078661A">
        <w:rPr>
          <w:rFonts w:eastAsia="Times New Roman"/>
          <w:color w:val="000000"/>
        </w:rPr>
        <w:t xml:space="preserve"> only “the right to </w:t>
      </w:r>
      <w:r w:rsidR="0078661A" w:rsidRPr="0078661A">
        <w:rPr>
          <w:rFonts w:eastAsia="Times New Roman"/>
          <w:b/>
          <w:i/>
          <w:color w:val="000000"/>
          <w:u w:val="single"/>
        </w:rPr>
        <w:t>exclusive use and occupation</w:t>
      </w:r>
      <w:r w:rsidR="0078661A" w:rsidRPr="0078661A">
        <w:rPr>
          <w:rFonts w:eastAsia="Times New Roman"/>
          <w:color w:val="000000"/>
        </w:rPr>
        <w:t xml:space="preserve">” and </w:t>
      </w:r>
      <w:r w:rsidR="0078661A">
        <w:rPr>
          <w:rFonts w:eastAsia="Times New Roman"/>
          <w:color w:val="000000"/>
        </w:rPr>
        <w:t xml:space="preserve">where such “title” </w:t>
      </w:r>
      <w:r w:rsidRPr="0078661A">
        <w:rPr>
          <w:rFonts w:eastAsia="Times New Roman"/>
          <w:color w:val="000000"/>
        </w:rPr>
        <w:t xml:space="preserve">could be infringed by other third parties </w:t>
      </w:r>
      <w:r w:rsidR="0078661A" w:rsidRPr="0078661A">
        <w:rPr>
          <w:rFonts w:eastAsia="Times New Roman"/>
          <w:color w:val="000000"/>
        </w:rPr>
        <w:t xml:space="preserve">for such reasons as </w:t>
      </w:r>
      <w:r w:rsidR="0078661A">
        <w:rPr>
          <w:rFonts w:eastAsia="Times New Roman"/>
          <w:color w:val="000000"/>
        </w:rPr>
        <w:t>t</w:t>
      </w:r>
      <w:r w:rsidR="0078661A" w:rsidRPr="0078661A">
        <w:rPr>
          <w:rFonts w:eastAsia="Times New Roman"/>
          <w:color w:val="000000"/>
        </w:rPr>
        <w:t xml:space="preserve">he </w:t>
      </w:r>
      <w:r w:rsidR="0078661A">
        <w:rPr>
          <w:rFonts w:eastAsia="Times New Roman"/>
          <w:color w:val="000000"/>
        </w:rPr>
        <w:t>“</w:t>
      </w:r>
      <w:r w:rsidR="0078661A" w:rsidRPr="0078661A">
        <w:rPr>
          <w:rFonts w:eastAsia="Times New Roman"/>
          <w:color w:val="000000"/>
        </w:rPr>
        <w:t xml:space="preserve">development of agriculture, forestry, mining and hydroelectric power, the general economic development of the interior of British Columbia, protection of the environment or endangered species, and the building of infrastructure and </w:t>
      </w:r>
      <w:r w:rsidR="0078661A" w:rsidRPr="0078661A">
        <w:rPr>
          <w:rFonts w:eastAsia="Times New Roman"/>
          <w:b/>
          <w:i/>
          <w:color w:val="000000"/>
          <w:u w:val="single"/>
        </w:rPr>
        <w:t>the settlement of foreign populations to support those aims</w:t>
      </w:r>
      <w:r w:rsidR="0078661A">
        <w:rPr>
          <w:rFonts w:eastAsia="Times New Roman"/>
          <w:color w:val="000000"/>
        </w:rPr>
        <w:t xml:space="preserve">;” the highlighted portions are clearly an echo of the principles contained with the </w:t>
      </w:r>
      <w:r w:rsidR="0078661A">
        <w:rPr>
          <w:rFonts w:eastAsia="Times New Roman"/>
          <w:i/>
          <w:color w:val="000000"/>
        </w:rPr>
        <w:t>Doctrine of Discovery</w:t>
      </w:r>
      <w:r w:rsidR="00D800E5">
        <w:rPr>
          <w:rFonts w:eastAsia="Times New Roman"/>
          <w:color w:val="000000"/>
        </w:rPr>
        <w:t>;</w:t>
      </w:r>
      <w:r w:rsidR="00EF20DD">
        <w:rPr>
          <w:rFonts w:eastAsia="Times New Roman"/>
          <w:color w:val="000000"/>
        </w:rPr>
        <w:t xml:space="preserve"> and</w:t>
      </w:r>
    </w:p>
    <w:p w14:paraId="415A93B0" w14:textId="77777777" w:rsidR="00B55027" w:rsidRPr="00B55027" w:rsidRDefault="00B55027" w:rsidP="00283374">
      <w:pPr>
        <w:ind w:left="293"/>
        <w:jc w:val="both"/>
        <w:rPr>
          <w:rFonts w:eastAsia="Times New Roman"/>
        </w:rPr>
      </w:pPr>
    </w:p>
    <w:p w14:paraId="4AE0AC51" w14:textId="52CEEECD" w:rsidR="0073377A" w:rsidRPr="00EF20DD" w:rsidRDefault="00C27997" w:rsidP="00283374">
      <w:pPr>
        <w:pStyle w:val="ListParagraph"/>
        <w:numPr>
          <w:ilvl w:val="0"/>
          <w:numId w:val="30"/>
        </w:numPr>
        <w:ind w:left="1080"/>
        <w:jc w:val="both"/>
        <w:rPr>
          <w:rFonts w:eastAsia="Times New Roman"/>
        </w:rPr>
      </w:pPr>
      <w:r>
        <w:t xml:space="preserve">In the 2014 Supreme Court of Canada’s decision in </w:t>
      </w:r>
      <w:r w:rsidRPr="00C50B44">
        <w:rPr>
          <w:rFonts w:eastAsia="Times New Roman"/>
          <w:i/>
          <w:color w:val="000000"/>
        </w:rPr>
        <w:t>Tsilhqot’in Nation</w:t>
      </w:r>
      <w:r w:rsidRPr="00C50B44">
        <w:rPr>
          <w:rStyle w:val="apple-converted-space"/>
          <w:rFonts w:eastAsia="Times New Roman"/>
          <w:i/>
          <w:color w:val="000000"/>
        </w:rPr>
        <w:t> </w:t>
      </w:r>
      <w:r w:rsidRPr="00C50B44">
        <w:rPr>
          <w:rFonts w:eastAsia="Times New Roman"/>
          <w:i/>
          <w:iCs/>
          <w:color w:val="000000"/>
        </w:rPr>
        <w:t>v.</w:t>
      </w:r>
      <w:r w:rsidRPr="00C50B44">
        <w:rPr>
          <w:rStyle w:val="apple-converted-space"/>
          <w:rFonts w:eastAsia="Times New Roman"/>
          <w:i/>
          <w:color w:val="000000"/>
        </w:rPr>
        <w:t> </w:t>
      </w:r>
      <w:r w:rsidRPr="00C50B44">
        <w:rPr>
          <w:rFonts w:eastAsia="Times New Roman"/>
          <w:i/>
          <w:color w:val="000000"/>
        </w:rPr>
        <w:t>British Columbia</w:t>
      </w:r>
      <w:r w:rsidR="00161A43">
        <w:rPr>
          <w:rStyle w:val="FootnoteReference"/>
          <w:rFonts w:eastAsia="Times New Roman"/>
          <w:color w:val="000000"/>
        </w:rPr>
        <w:footnoteReference w:id="13"/>
      </w:r>
      <w:r w:rsidRPr="00C27997">
        <w:rPr>
          <w:rFonts w:eastAsia="Times New Roman"/>
          <w:color w:val="000000"/>
        </w:rPr>
        <w:t>,</w:t>
      </w:r>
      <w:r>
        <w:rPr>
          <w:rFonts w:eastAsia="Times New Roman"/>
          <w:color w:val="000000"/>
        </w:rPr>
        <w:t xml:space="preserve"> the principles found in </w:t>
      </w:r>
      <w:r w:rsidRPr="00C9245F">
        <w:rPr>
          <w:rFonts w:eastAsia="Times New Roman"/>
          <w:i/>
          <w:color w:val="000000"/>
        </w:rPr>
        <w:t>Delgamuukw</w:t>
      </w:r>
      <w:r>
        <w:rPr>
          <w:rFonts w:eastAsia="Times New Roman"/>
          <w:color w:val="000000"/>
        </w:rPr>
        <w:t xml:space="preserve"> were expanded </w:t>
      </w:r>
      <w:r w:rsidR="00742B05">
        <w:rPr>
          <w:rFonts w:eastAsia="Times New Roman"/>
          <w:color w:val="000000"/>
        </w:rPr>
        <w:t>on</w:t>
      </w:r>
      <w:r>
        <w:rPr>
          <w:rFonts w:eastAsia="Times New Roman"/>
          <w:color w:val="000000"/>
        </w:rPr>
        <w:t xml:space="preserve"> but continued with the previous conception our </w:t>
      </w:r>
      <w:r w:rsidR="00007CC9">
        <w:rPr>
          <w:rFonts w:eastAsia="Times New Roman"/>
          <w:color w:val="000000"/>
        </w:rPr>
        <w:t>Territories</w:t>
      </w:r>
      <w:r>
        <w:rPr>
          <w:rFonts w:eastAsia="Times New Roman"/>
          <w:color w:val="000000"/>
        </w:rPr>
        <w:t xml:space="preserve">. </w:t>
      </w:r>
      <w:r w:rsidR="00161A43">
        <w:rPr>
          <w:rFonts w:eastAsia="Times New Roman"/>
          <w:color w:val="000000"/>
        </w:rPr>
        <w:t xml:space="preserve">While this decision does provide beneficial expression of our Nations’ rights to our </w:t>
      </w:r>
      <w:r w:rsidR="00007CC9">
        <w:rPr>
          <w:rFonts w:eastAsia="Times New Roman"/>
          <w:color w:val="000000"/>
        </w:rPr>
        <w:t>Territories</w:t>
      </w:r>
      <w:r w:rsidR="00161A43">
        <w:rPr>
          <w:rFonts w:eastAsia="Times New Roman"/>
          <w:color w:val="000000"/>
        </w:rPr>
        <w:t xml:space="preserve">, it nonetheless maintains some aspects of the </w:t>
      </w:r>
      <w:r w:rsidR="00161A43">
        <w:rPr>
          <w:rFonts w:eastAsia="Times New Roman"/>
          <w:i/>
          <w:color w:val="000000"/>
        </w:rPr>
        <w:t>Doctrine of Discovery</w:t>
      </w:r>
      <w:r w:rsidR="00161A43">
        <w:rPr>
          <w:rFonts w:eastAsia="Times New Roman"/>
          <w:color w:val="000000"/>
        </w:rPr>
        <w:t xml:space="preserve"> that act to minimize our ownership of our </w:t>
      </w:r>
      <w:r w:rsidR="00007CC9">
        <w:rPr>
          <w:rFonts w:eastAsia="Times New Roman"/>
          <w:color w:val="000000"/>
        </w:rPr>
        <w:t>Territories</w:t>
      </w:r>
      <w:r w:rsidR="00161A43">
        <w:rPr>
          <w:rFonts w:eastAsia="Times New Roman"/>
          <w:color w:val="000000"/>
        </w:rPr>
        <w:t xml:space="preserve">, and subsume our rights to the Crown’s assertion of sovereignty despite the absence of non-discriminatory manner of such a process. As to this latter point, the </w:t>
      </w:r>
      <w:r w:rsidR="00970F57">
        <w:rPr>
          <w:rFonts w:eastAsia="Times New Roman"/>
          <w:color w:val="000000"/>
        </w:rPr>
        <w:t xml:space="preserve">Crown’s assertion of sovereignty is accepted without question as to how such assertion was accomplished and </w:t>
      </w:r>
      <w:r w:rsidR="00742B05">
        <w:rPr>
          <w:rFonts w:eastAsia="Times New Roman"/>
          <w:color w:val="000000"/>
        </w:rPr>
        <w:t>on</w:t>
      </w:r>
      <w:r w:rsidR="00970F57">
        <w:rPr>
          <w:rFonts w:eastAsia="Times New Roman"/>
          <w:color w:val="000000"/>
        </w:rPr>
        <w:t xml:space="preserve"> what legal basis does such assertion allow for it to subsume our Nations rights to our </w:t>
      </w:r>
      <w:r w:rsidR="00007CC9">
        <w:rPr>
          <w:rFonts w:eastAsia="Times New Roman"/>
          <w:color w:val="000000"/>
        </w:rPr>
        <w:t>Territories</w:t>
      </w:r>
      <w:r w:rsidR="00970F57">
        <w:rPr>
          <w:rFonts w:eastAsia="Times New Roman"/>
          <w:color w:val="000000"/>
        </w:rPr>
        <w:t xml:space="preserve"> that are based on countless y</w:t>
      </w:r>
      <w:r w:rsidR="00D800E5">
        <w:rPr>
          <w:rFonts w:eastAsia="Times New Roman"/>
          <w:color w:val="000000"/>
        </w:rPr>
        <w:t xml:space="preserve">ears of being on such </w:t>
      </w:r>
      <w:r w:rsidR="00007CC9">
        <w:rPr>
          <w:rFonts w:eastAsia="Times New Roman"/>
          <w:color w:val="000000"/>
        </w:rPr>
        <w:t>Territories</w:t>
      </w:r>
      <w:r w:rsidR="00EF20DD">
        <w:rPr>
          <w:rFonts w:eastAsia="Times New Roman"/>
          <w:color w:val="000000"/>
        </w:rPr>
        <w:t>.</w:t>
      </w:r>
    </w:p>
    <w:p w14:paraId="283F700D" w14:textId="77777777" w:rsidR="00EF20DD" w:rsidRPr="00EF20DD" w:rsidRDefault="00EF20DD" w:rsidP="00EF20DD">
      <w:pPr>
        <w:jc w:val="both"/>
        <w:rPr>
          <w:rFonts w:eastAsia="Times New Roman"/>
        </w:rPr>
      </w:pPr>
    </w:p>
    <w:p w14:paraId="24BA6749" w14:textId="671734E7" w:rsidR="00895DF9" w:rsidRDefault="00D22C56" w:rsidP="00283374">
      <w:pPr>
        <w:pStyle w:val="ListParagraph"/>
        <w:widowControl w:val="0"/>
        <w:numPr>
          <w:ilvl w:val="0"/>
          <w:numId w:val="37"/>
        </w:numPr>
        <w:autoSpaceDE w:val="0"/>
        <w:autoSpaceDN w:val="0"/>
        <w:adjustRightInd w:val="0"/>
        <w:jc w:val="both"/>
      </w:pPr>
      <w:r>
        <w:t>The above legislat</w:t>
      </w:r>
      <w:r w:rsidR="00D64B9A">
        <w:t xml:space="preserve">ion and Supreme Court of Canada </w:t>
      </w:r>
      <w:r w:rsidR="00701CDB">
        <w:t xml:space="preserve">decisions provide an example of </w:t>
      </w:r>
      <w:r w:rsidR="00480104">
        <w:t xml:space="preserve">the continued expression of </w:t>
      </w:r>
      <w:r w:rsidR="000A1E83">
        <w:t xml:space="preserve">the racist principles of the </w:t>
      </w:r>
      <w:r w:rsidR="000A1E83" w:rsidRPr="00283374">
        <w:rPr>
          <w:i/>
        </w:rPr>
        <w:t>Doctrine of Discovery</w:t>
      </w:r>
      <w:r w:rsidR="0024377E">
        <w:t xml:space="preserve"> as it relates to our Nations’ Territ</w:t>
      </w:r>
      <w:r w:rsidR="00700B81">
        <w:t xml:space="preserve">ories. However, </w:t>
      </w:r>
      <w:r w:rsidR="006F0669">
        <w:t xml:space="preserve">our Nations submit that </w:t>
      </w:r>
      <w:r w:rsidR="00FC7C76">
        <w:t>extrapolat</w:t>
      </w:r>
      <w:r w:rsidR="009F7393">
        <w:t xml:space="preserve">ing </w:t>
      </w:r>
      <w:r w:rsidR="00B132E3">
        <w:t xml:space="preserve">these </w:t>
      </w:r>
      <w:r w:rsidR="00DF4E6D">
        <w:t xml:space="preserve">racist </w:t>
      </w:r>
      <w:r w:rsidR="00052221">
        <w:t>principle</w:t>
      </w:r>
      <w:r w:rsidR="007178FB">
        <w:t>s</w:t>
      </w:r>
      <w:r>
        <w:t xml:space="preserve"> </w:t>
      </w:r>
      <w:r w:rsidR="002F0905">
        <w:t xml:space="preserve">provides </w:t>
      </w:r>
      <w:r w:rsidR="000232D2">
        <w:t xml:space="preserve">additional examples of </w:t>
      </w:r>
      <w:r w:rsidR="00272C84">
        <w:t xml:space="preserve">the Canadian state’s governments actions towards our </w:t>
      </w:r>
      <w:r w:rsidR="000232D2">
        <w:t xml:space="preserve">Nations, </w:t>
      </w:r>
      <w:r w:rsidR="00FB47F1">
        <w:t>Territories</w:t>
      </w:r>
      <w:r w:rsidR="000232D2">
        <w:t xml:space="preserve"> and Peoples</w:t>
      </w:r>
      <w:r w:rsidR="0060718B">
        <w:t xml:space="preserve">. </w:t>
      </w:r>
      <w:r w:rsidR="00E93A83">
        <w:t>Our Nations</w:t>
      </w:r>
      <w:r w:rsidR="00391419">
        <w:t xml:space="preserve"> wis</w:t>
      </w:r>
      <w:r w:rsidR="00E93A83">
        <w:t>h to bring to your attention</w:t>
      </w:r>
      <w:r w:rsidR="00391419">
        <w:t xml:space="preserve"> the following</w:t>
      </w:r>
      <w:r w:rsidR="00E93A83">
        <w:t xml:space="preserve"> examples that show the continued discrimination against the Indigenous </w:t>
      </w:r>
      <w:r w:rsidR="003658C6">
        <w:t>Nations and Peoples within what is now Canada</w:t>
      </w:r>
      <w:r w:rsidR="00391419">
        <w:t>:</w:t>
      </w:r>
    </w:p>
    <w:p w14:paraId="1E1916B7" w14:textId="77777777" w:rsidR="00836783" w:rsidRDefault="00836783" w:rsidP="00C50B44">
      <w:pPr>
        <w:widowControl w:val="0"/>
        <w:autoSpaceDE w:val="0"/>
        <w:autoSpaceDN w:val="0"/>
        <w:adjustRightInd w:val="0"/>
        <w:jc w:val="both"/>
      </w:pPr>
    </w:p>
    <w:p w14:paraId="438930FD" w14:textId="1D89E875" w:rsidR="000919E8" w:rsidRPr="000919E8" w:rsidRDefault="003C1922" w:rsidP="00283374">
      <w:pPr>
        <w:pStyle w:val="ListParagraph"/>
        <w:numPr>
          <w:ilvl w:val="0"/>
          <w:numId w:val="36"/>
        </w:numPr>
        <w:ind w:left="1080"/>
        <w:jc w:val="both"/>
        <w:rPr>
          <w:rFonts w:eastAsia="Times New Roman"/>
        </w:rPr>
      </w:pPr>
      <w:r w:rsidRPr="008319A2">
        <w:t>The T</w:t>
      </w:r>
      <w:r>
        <w:t xml:space="preserve">raditional Ecological </w:t>
      </w:r>
      <w:r w:rsidRPr="008319A2">
        <w:t>K</w:t>
      </w:r>
      <w:r>
        <w:t>nowledge (TEK)</w:t>
      </w:r>
      <w:r w:rsidRPr="008319A2">
        <w:t xml:space="preserve"> Elders Group</w:t>
      </w:r>
      <w:r w:rsidR="00464176">
        <w:rPr>
          <w:rStyle w:val="FootnoteReference"/>
        </w:rPr>
        <w:footnoteReference w:id="14"/>
      </w:r>
      <w:r w:rsidRPr="008319A2">
        <w:t xml:space="preserve"> is comprised</w:t>
      </w:r>
      <w:r>
        <w:t xml:space="preserve"> of E</w:t>
      </w:r>
      <w:r w:rsidRPr="008319A2">
        <w:t xml:space="preserve">lders who </w:t>
      </w:r>
      <w:r>
        <w:t>are</w:t>
      </w:r>
      <w:r w:rsidRPr="008319A2">
        <w:t xml:space="preserve"> dedicated to protecting the medicines, plant and wild life, the water, the fish, and all interdependent life forms of the </w:t>
      </w:r>
      <w:r>
        <w:t xml:space="preserve">forest within </w:t>
      </w:r>
      <w:r w:rsidR="00E8330D">
        <w:t>our</w:t>
      </w:r>
      <w:r>
        <w:t xml:space="preserve"> Nations’ </w:t>
      </w:r>
      <w:r w:rsidR="00007CC9">
        <w:t>Territories</w:t>
      </w:r>
      <w:r w:rsidRPr="008319A2">
        <w:t xml:space="preserve">. In 2014, the core group of </w:t>
      </w:r>
      <w:r>
        <w:t>twelve (12)</w:t>
      </w:r>
      <w:r w:rsidRPr="008319A2">
        <w:t xml:space="preserve"> </w:t>
      </w:r>
      <w:r>
        <w:t xml:space="preserve">TEK </w:t>
      </w:r>
      <w:r w:rsidRPr="008319A2">
        <w:t xml:space="preserve">members gathered through </w:t>
      </w:r>
      <w:r w:rsidR="00E8330D">
        <w:t>our</w:t>
      </w:r>
      <w:r w:rsidRPr="008319A2">
        <w:t xml:space="preserve"> common outrage for the current state of the environment</w:t>
      </w:r>
      <w:r>
        <w:t xml:space="preserve"> within </w:t>
      </w:r>
      <w:r w:rsidR="005E4C9E">
        <w:t>their territory</w:t>
      </w:r>
      <w:r>
        <w:t xml:space="preserve"> particularly</w:t>
      </w:r>
      <w:r w:rsidRPr="008319A2">
        <w:t xml:space="preserve"> the steady decline of </w:t>
      </w:r>
      <w:r>
        <w:t xml:space="preserve">the </w:t>
      </w:r>
      <w:r w:rsidRPr="008319A2">
        <w:t xml:space="preserve">cohesive natural resources as a direct result of aerial spraying in </w:t>
      </w:r>
      <w:r w:rsidR="00E8330D">
        <w:t>our</w:t>
      </w:r>
      <w:r>
        <w:t xml:space="preserve"> </w:t>
      </w:r>
      <w:r w:rsidR="00007CC9">
        <w:t>Territories</w:t>
      </w:r>
      <w:r w:rsidRPr="008319A2">
        <w:t>.</w:t>
      </w:r>
      <w:r w:rsidR="0055405D">
        <w:t xml:space="preserve"> Since 2014, </w:t>
      </w:r>
      <w:r w:rsidR="000919E8">
        <w:t>t</w:t>
      </w:r>
      <w:r w:rsidR="0055405D">
        <w:t xml:space="preserve">he TEK Elders Group has consistently informed the Ontario and Canadian governments of </w:t>
      </w:r>
      <w:r w:rsidR="00E8330D">
        <w:t>our</w:t>
      </w:r>
      <w:r w:rsidR="0055405D">
        <w:t xml:space="preserve"> concerns regarding such aerial spraying and the damage </w:t>
      </w:r>
      <w:r w:rsidR="00742B05">
        <w:t>on</w:t>
      </w:r>
      <w:r w:rsidR="0055405D">
        <w:t xml:space="preserve"> the medicinal and food source plant life, as well </w:t>
      </w:r>
      <w:r w:rsidR="000919E8">
        <w:t xml:space="preserve">as the </w:t>
      </w:r>
      <w:r w:rsidR="0053337C" w:rsidRPr="000919E8">
        <w:rPr>
          <w:rFonts w:eastAsia="Times New Roman"/>
          <w:color w:val="333333"/>
          <w:shd w:val="clear" w:color="auto" w:fill="FFFFFF"/>
        </w:rPr>
        <w:t>health and well-being of the water, soil, birds, fish, amphibians, invertebrates, humans and other mammals.</w:t>
      </w:r>
      <w:r w:rsidR="000919E8" w:rsidRPr="000919E8">
        <w:rPr>
          <w:rFonts w:eastAsia="Times New Roman"/>
          <w:color w:val="333333"/>
          <w:shd w:val="clear" w:color="auto" w:fill="FFFFFF"/>
        </w:rPr>
        <w:t xml:space="preserve">  The TEK has attempted to share </w:t>
      </w:r>
      <w:r w:rsidR="00E8330D">
        <w:rPr>
          <w:rFonts w:eastAsia="Times New Roman"/>
          <w:color w:val="333333"/>
          <w:shd w:val="clear" w:color="auto" w:fill="FFFFFF"/>
        </w:rPr>
        <w:t>our</w:t>
      </w:r>
      <w:r w:rsidR="000919E8" w:rsidRPr="000919E8">
        <w:rPr>
          <w:rFonts w:eastAsia="Times New Roman"/>
          <w:color w:val="333333"/>
          <w:shd w:val="clear" w:color="auto" w:fill="FFFFFF"/>
        </w:rPr>
        <w:t xml:space="preserve"> ecological knowledge with the governments to show the damage being done by the continued aerial spraying</w:t>
      </w:r>
      <w:r w:rsidR="000919E8">
        <w:rPr>
          <w:rFonts w:eastAsia="Times New Roman"/>
          <w:color w:val="333333"/>
          <w:shd w:val="clear" w:color="auto" w:fill="FFFFFF"/>
        </w:rPr>
        <w:t>.</w:t>
      </w:r>
    </w:p>
    <w:p w14:paraId="012930D5" w14:textId="77777777" w:rsidR="000919E8" w:rsidRPr="000919E8" w:rsidRDefault="000919E8" w:rsidP="00283374">
      <w:pPr>
        <w:pStyle w:val="ListParagraph"/>
        <w:ind w:left="1080"/>
        <w:rPr>
          <w:rFonts w:eastAsia="Times New Roman"/>
        </w:rPr>
      </w:pPr>
    </w:p>
    <w:p w14:paraId="24430378" w14:textId="217D1E4D" w:rsidR="0053337C" w:rsidRDefault="000919E8" w:rsidP="00283374">
      <w:pPr>
        <w:pStyle w:val="ListParagraph"/>
        <w:ind w:left="1080"/>
        <w:jc w:val="both"/>
        <w:rPr>
          <w:rFonts w:eastAsia="Times New Roman"/>
          <w:color w:val="333333"/>
          <w:shd w:val="clear" w:color="auto" w:fill="FFFFFF"/>
        </w:rPr>
      </w:pPr>
      <w:r>
        <w:rPr>
          <w:rFonts w:eastAsia="Times New Roman"/>
          <w:color w:val="333333"/>
          <w:shd w:val="clear" w:color="auto" w:fill="FFFFFF"/>
        </w:rPr>
        <w:t xml:space="preserve">However, the governments have continually failed to heed the TEK Elders Group or accept </w:t>
      </w:r>
      <w:r w:rsidR="00E8330D">
        <w:rPr>
          <w:rFonts w:eastAsia="Times New Roman"/>
          <w:color w:val="333333"/>
          <w:shd w:val="clear" w:color="auto" w:fill="FFFFFF"/>
        </w:rPr>
        <w:t>our</w:t>
      </w:r>
      <w:r>
        <w:rPr>
          <w:rFonts w:eastAsia="Times New Roman"/>
          <w:color w:val="333333"/>
          <w:shd w:val="clear" w:color="auto" w:fill="FFFFFF"/>
        </w:rPr>
        <w:t xml:space="preserve"> ecological knowledge</w:t>
      </w:r>
      <w:r w:rsidR="00464176">
        <w:rPr>
          <w:rFonts w:eastAsia="Times New Roman"/>
          <w:color w:val="333333"/>
          <w:shd w:val="clear" w:color="auto" w:fill="FFFFFF"/>
        </w:rPr>
        <w:t xml:space="preserve">. The TEK Elders Group submits that the governments’ failure to heed </w:t>
      </w:r>
      <w:r w:rsidR="005C6DC4">
        <w:rPr>
          <w:rFonts w:eastAsia="Times New Roman"/>
          <w:color w:val="333333"/>
          <w:shd w:val="clear" w:color="auto" w:fill="FFFFFF"/>
        </w:rPr>
        <w:t>their</w:t>
      </w:r>
      <w:r w:rsidR="00464176">
        <w:rPr>
          <w:rFonts w:eastAsia="Times New Roman"/>
          <w:color w:val="333333"/>
          <w:shd w:val="clear" w:color="auto" w:fill="FFFFFF"/>
        </w:rPr>
        <w:t xml:space="preserve"> warnings or accept </w:t>
      </w:r>
      <w:r w:rsidR="005C6DC4">
        <w:rPr>
          <w:rFonts w:eastAsia="Times New Roman"/>
          <w:color w:val="333333"/>
          <w:shd w:val="clear" w:color="auto" w:fill="FFFFFF"/>
        </w:rPr>
        <w:t>their</w:t>
      </w:r>
      <w:r w:rsidR="00464176">
        <w:rPr>
          <w:rFonts w:eastAsia="Times New Roman"/>
          <w:color w:val="333333"/>
          <w:shd w:val="clear" w:color="auto" w:fill="FFFFFF"/>
        </w:rPr>
        <w:t xml:space="preserve"> ecological knowledge is primarily based on the cost efficiencies of the herbicides used for forestry purposes, and that the TEK Elders’ knowledge is viewed as being inferior in comparison to the selective use of “western” knowledge. In connection with the </w:t>
      </w:r>
      <w:r w:rsidR="00464176">
        <w:rPr>
          <w:rFonts w:eastAsia="Times New Roman"/>
          <w:i/>
          <w:color w:val="333333"/>
          <w:shd w:val="clear" w:color="auto" w:fill="FFFFFF"/>
        </w:rPr>
        <w:t>Doctrine of Discovery</w:t>
      </w:r>
      <w:r w:rsidR="00464176">
        <w:rPr>
          <w:rFonts w:eastAsia="Times New Roman"/>
          <w:color w:val="333333"/>
          <w:shd w:val="clear" w:color="auto" w:fill="FFFFFF"/>
        </w:rPr>
        <w:t>, such reliance on “western” knowledge to the failure to consider the T</w:t>
      </w:r>
      <w:r w:rsidR="00083DC8">
        <w:rPr>
          <w:rFonts w:eastAsia="Times New Roman"/>
          <w:color w:val="333333"/>
          <w:shd w:val="clear" w:color="auto" w:fill="FFFFFF"/>
        </w:rPr>
        <w:t>EK Elders’ kno</w:t>
      </w:r>
      <w:r w:rsidR="00464176">
        <w:rPr>
          <w:rFonts w:eastAsia="Times New Roman"/>
          <w:color w:val="333333"/>
          <w:shd w:val="clear" w:color="auto" w:fill="FFFFFF"/>
        </w:rPr>
        <w:t>wledge is akin to the acceptance of the false belief of the supremacy of non-</w:t>
      </w:r>
      <w:r w:rsidR="00E35CAE">
        <w:rPr>
          <w:rFonts w:eastAsia="Times New Roman"/>
          <w:color w:val="333333"/>
          <w:shd w:val="clear" w:color="auto" w:fill="FFFFFF"/>
        </w:rPr>
        <w:t>Indigenous</w:t>
      </w:r>
      <w:r w:rsidR="00464176">
        <w:rPr>
          <w:rFonts w:eastAsia="Times New Roman"/>
          <w:color w:val="333333"/>
          <w:shd w:val="clear" w:color="auto" w:fill="FFFFFF"/>
        </w:rPr>
        <w:t xml:space="preserve"> know</w:t>
      </w:r>
      <w:r w:rsidR="00474100">
        <w:rPr>
          <w:rFonts w:eastAsia="Times New Roman"/>
          <w:color w:val="333333"/>
          <w:shd w:val="clear" w:color="auto" w:fill="FFFFFF"/>
        </w:rPr>
        <w:t xml:space="preserve">ledge over </w:t>
      </w:r>
      <w:r w:rsidR="00E35CAE">
        <w:rPr>
          <w:rFonts w:eastAsia="Times New Roman"/>
          <w:color w:val="333333"/>
          <w:shd w:val="clear" w:color="auto" w:fill="FFFFFF"/>
        </w:rPr>
        <w:t>Indigenous</w:t>
      </w:r>
      <w:r w:rsidR="000F2C13">
        <w:rPr>
          <w:rFonts w:eastAsia="Times New Roman"/>
          <w:color w:val="333333"/>
          <w:shd w:val="clear" w:color="auto" w:fill="FFFFFF"/>
        </w:rPr>
        <w:t xml:space="preserve"> knowledge.</w:t>
      </w:r>
    </w:p>
    <w:p w14:paraId="58002A57" w14:textId="77777777" w:rsidR="000F2C13" w:rsidRDefault="000F2C13" w:rsidP="00283374">
      <w:pPr>
        <w:pStyle w:val="ListParagraph"/>
        <w:ind w:left="1080"/>
        <w:jc w:val="both"/>
        <w:rPr>
          <w:rFonts w:eastAsia="Times New Roman"/>
          <w:color w:val="333333"/>
          <w:shd w:val="clear" w:color="auto" w:fill="FFFFFF"/>
        </w:rPr>
      </w:pPr>
    </w:p>
    <w:p w14:paraId="7650A3FD" w14:textId="2F765DED" w:rsidR="000F2C13" w:rsidRPr="00464176" w:rsidRDefault="000F2C13" w:rsidP="00283374">
      <w:pPr>
        <w:pStyle w:val="ListParagraph"/>
        <w:ind w:left="1080"/>
        <w:jc w:val="both"/>
        <w:rPr>
          <w:rFonts w:eastAsia="Times New Roman"/>
        </w:rPr>
      </w:pPr>
      <w:r>
        <w:rPr>
          <w:rFonts w:eastAsia="Times New Roman"/>
          <w:color w:val="333333"/>
          <w:shd w:val="clear" w:color="auto" w:fill="FFFFFF"/>
        </w:rPr>
        <w:t>The spraying program continues as the two levels of government: federal and provincial, bat the Elders from one process to another process without acknowledging their inherent rights to protect their territory and all the resources that are within th</w:t>
      </w:r>
      <w:r w:rsidR="00D1520E">
        <w:rPr>
          <w:rFonts w:eastAsia="Times New Roman"/>
          <w:color w:val="333333"/>
          <w:shd w:val="clear" w:color="auto" w:fill="FFFFFF"/>
        </w:rPr>
        <w:t>eir</w:t>
      </w:r>
      <w:r>
        <w:rPr>
          <w:rFonts w:eastAsia="Times New Roman"/>
          <w:color w:val="333333"/>
          <w:shd w:val="clear" w:color="auto" w:fill="FFFFFF"/>
        </w:rPr>
        <w:t xml:space="preserve"> territory.</w:t>
      </w:r>
      <w:r w:rsidR="00D1520E">
        <w:rPr>
          <w:rFonts w:eastAsia="Times New Roman"/>
          <w:color w:val="333333"/>
          <w:shd w:val="clear" w:color="auto" w:fill="FFFFFF"/>
        </w:rPr>
        <w:t xml:space="preserve"> It is a fundamental denial and racist denial that Indigenous Peoples have any laws to protect their territory. While the Elders have tried to convey to various officials including various government ministers that the spraying of the land is causing harm to all the creation. The government continues to say that spraying is safe but those doing the spraying are in </w:t>
      </w:r>
      <w:r w:rsidR="00E229E9">
        <w:rPr>
          <w:rFonts w:eastAsia="Times New Roman"/>
          <w:color w:val="333333"/>
          <w:shd w:val="clear" w:color="auto" w:fill="FFFFFF"/>
        </w:rPr>
        <w:t>hazmat</w:t>
      </w:r>
      <w:r w:rsidR="00D1520E">
        <w:rPr>
          <w:rFonts w:eastAsia="Times New Roman"/>
          <w:color w:val="333333"/>
          <w:shd w:val="clear" w:color="auto" w:fill="FFFFFF"/>
        </w:rPr>
        <w:t xml:space="preserve"> suits designed to </w:t>
      </w:r>
      <w:r w:rsidR="00E229E9">
        <w:rPr>
          <w:rFonts w:eastAsia="Times New Roman"/>
          <w:color w:val="333333"/>
          <w:shd w:val="clear" w:color="auto" w:fill="FFFFFF"/>
        </w:rPr>
        <w:t>protect</w:t>
      </w:r>
      <w:r w:rsidR="00D1520E">
        <w:rPr>
          <w:rFonts w:eastAsia="Times New Roman"/>
          <w:color w:val="333333"/>
          <w:shd w:val="clear" w:color="auto" w:fill="FFFFFF"/>
        </w:rPr>
        <w:t xml:space="preserve"> them against the chemicals being released. Those officials doing the spraying to do live with the consequences.</w:t>
      </w:r>
    </w:p>
    <w:p w14:paraId="39E8CCE4" w14:textId="77777777" w:rsidR="003C1922" w:rsidRDefault="003C1922" w:rsidP="00464176">
      <w:pPr>
        <w:widowControl w:val="0"/>
        <w:autoSpaceDE w:val="0"/>
        <w:autoSpaceDN w:val="0"/>
        <w:adjustRightInd w:val="0"/>
      </w:pPr>
    </w:p>
    <w:p w14:paraId="330911F2" w14:textId="77777777" w:rsidR="00D612B2" w:rsidRDefault="00464176" w:rsidP="00FD4ED4">
      <w:pPr>
        <w:pStyle w:val="ListParagraph"/>
        <w:widowControl w:val="0"/>
        <w:numPr>
          <w:ilvl w:val="0"/>
          <w:numId w:val="34"/>
        </w:numPr>
        <w:autoSpaceDE w:val="0"/>
        <w:autoSpaceDN w:val="0"/>
        <w:adjustRightInd w:val="0"/>
        <w:jc w:val="both"/>
      </w:pPr>
      <w:r>
        <w:t xml:space="preserve">The </w:t>
      </w:r>
      <w:r w:rsidR="00836783">
        <w:t>Iskatewizaagegan</w:t>
      </w:r>
      <w:r>
        <w:t xml:space="preserve"> No.39 Independent First Nation </w:t>
      </w:r>
      <w:r w:rsidR="00D612B2">
        <w:t xml:space="preserve">(the Nation) </w:t>
      </w:r>
      <w:r>
        <w:t>is located within northwestern</w:t>
      </w:r>
      <w:r w:rsidR="00BB5643">
        <w:t xml:space="preserve"> Ontario on the shores of Shoal Lake. In 1914</w:t>
      </w:r>
      <w:r w:rsidR="00D612B2">
        <w:t>,</w:t>
      </w:r>
      <w:r w:rsidR="00BB5643">
        <w:t xml:space="preserve"> the City of Winnipeg</w:t>
      </w:r>
      <w:r w:rsidR="00D612B2">
        <w:t xml:space="preserve"> in the adjoining province of Manitoba</w:t>
      </w:r>
      <w:r w:rsidR="00BB5643">
        <w:t xml:space="preserve"> built a massive aqueduct</w:t>
      </w:r>
      <w:r w:rsidR="00A51832">
        <w:t xml:space="preserve"> </w:t>
      </w:r>
      <w:r w:rsidR="00D612B2">
        <w:t xml:space="preserve">right next to the Nation’s community on reserve </w:t>
      </w:r>
      <w:r w:rsidR="00A51832">
        <w:t xml:space="preserve">in order divert up to </w:t>
      </w:r>
      <w:r w:rsidR="00D612B2">
        <w:t xml:space="preserve">100,000,000 gallons per day to the inhabitants of the city over 200km away for sanitary and household purposes. In order for the City of Winnipeg to be granted permission for such a diversion, it was required to receive permission from the province of Ontario, Canada and the International Joint Commission (the IJC), an international body created by a treaty between the United States of America and Canada to regulate shared boundary waters. </w:t>
      </w:r>
    </w:p>
    <w:p w14:paraId="7E023B3D" w14:textId="77777777" w:rsidR="00D612B2" w:rsidRDefault="00D612B2" w:rsidP="00D612B2">
      <w:pPr>
        <w:pStyle w:val="ListParagraph"/>
        <w:widowControl w:val="0"/>
        <w:autoSpaceDE w:val="0"/>
        <w:autoSpaceDN w:val="0"/>
        <w:adjustRightInd w:val="0"/>
      </w:pPr>
    </w:p>
    <w:p w14:paraId="36A79A8E" w14:textId="77777777" w:rsidR="00836783" w:rsidRDefault="00D612B2" w:rsidP="00283374">
      <w:pPr>
        <w:pStyle w:val="ListParagraph"/>
        <w:widowControl w:val="0"/>
        <w:autoSpaceDE w:val="0"/>
        <w:autoSpaceDN w:val="0"/>
        <w:adjustRightInd w:val="0"/>
        <w:ind w:left="1080"/>
        <w:jc w:val="both"/>
      </w:pPr>
      <w:r>
        <w:t xml:space="preserve">As part of the provisions for granting permission, Ontario required that the City of Winnipeg ensure that </w:t>
      </w:r>
      <w:r w:rsidR="001314AB">
        <w:t>“</w:t>
      </w:r>
      <w:r w:rsidR="001314AB">
        <w:rPr>
          <w:i/>
        </w:rPr>
        <w:t xml:space="preserve">. . .  full compensation be made to the Province of </w:t>
      </w:r>
      <w:r w:rsidR="001314AB" w:rsidRPr="000F75AB">
        <w:rPr>
          <w:i/>
        </w:rPr>
        <w:t>Ontario</w:t>
      </w:r>
      <w:r w:rsidR="001314AB" w:rsidRPr="000F75AB">
        <w:rPr>
          <w:b/>
          <w:i/>
        </w:rPr>
        <w:t xml:space="preserve"> </w:t>
      </w:r>
      <w:r w:rsidR="001314AB" w:rsidRPr="000F75AB">
        <w:rPr>
          <w:b/>
          <w:i/>
          <w:u w:val="single"/>
        </w:rPr>
        <w:t>and also to all private parties whose lands or properties may be taken, injuriously affected, or in any way interfered with</w:t>
      </w:r>
      <w:r w:rsidR="001314AB">
        <w:t xml:space="preserve">”. Further, the IJC in granting the requested permission required that </w:t>
      </w:r>
      <w:r w:rsidR="001314AB">
        <w:rPr>
          <w:i/>
        </w:rPr>
        <w:t xml:space="preserve">“the use and diversion of the waters of Shoal Lake and of Lake of the Woods for domestic and sanitary purposes by the inhabitants of the Greater Winnipeg Water District . . </w:t>
      </w:r>
      <w:r w:rsidR="001314AB" w:rsidRPr="0009293D">
        <w:rPr>
          <w:i/>
          <w:u w:val="single"/>
        </w:rPr>
        <w:t xml:space="preserve">. </w:t>
      </w:r>
      <w:r w:rsidR="001314AB" w:rsidRPr="001314AB">
        <w:rPr>
          <w:b/>
          <w:i/>
          <w:u w:val="single"/>
        </w:rPr>
        <w:t>be permitted, subject to the conditions contained in the statutes and orders in council hereinabove recited</w:t>
      </w:r>
      <w:r w:rsidR="001314AB" w:rsidRPr="001314AB">
        <w:rPr>
          <w:b/>
          <w:i/>
        </w:rPr>
        <w:t xml:space="preserve"> . . </w:t>
      </w:r>
      <w:r w:rsidR="001314AB" w:rsidRPr="001314AB">
        <w:rPr>
          <w:b/>
          <w:i/>
          <w:u w:val="single"/>
        </w:rPr>
        <w:t>. that the present approval and permission shall in no way interfere with or prejudice the rights, if any, of any person, corporation, or municipality to damages or compensation for any injuries due in whole or in part to the diversion permitted and approved of</w:t>
      </w:r>
      <w:r w:rsidR="001314AB">
        <w:t xml:space="preserve">”. </w:t>
      </w:r>
    </w:p>
    <w:p w14:paraId="56E11C1E" w14:textId="77777777" w:rsidR="001314AB" w:rsidRDefault="001314AB" w:rsidP="00283374">
      <w:pPr>
        <w:pStyle w:val="ListParagraph"/>
        <w:widowControl w:val="0"/>
        <w:autoSpaceDE w:val="0"/>
        <w:autoSpaceDN w:val="0"/>
        <w:adjustRightInd w:val="0"/>
        <w:ind w:left="1080"/>
      </w:pPr>
    </w:p>
    <w:p w14:paraId="15007F45" w14:textId="1CEF2602" w:rsidR="001314AB" w:rsidRDefault="001314AB" w:rsidP="00283374">
      <w:pPr>
        <w:pStyle w:val="ListParagraph"/>
        <w:widowControl w:val="0"/>
        <w:autoSpaceDE w:val="0"/>
        <w:autoSpaceDN w:val="0"/>
        <w:adjustRightInd w:val="0"/>
        <w:ind w:left="1080"/>
        <w:jc w:val="both"/>
      </w:pPr>
      <w:r>
        <w:t xml:space="preserve">Due to the City of Winnipeg’s diversion of water, the Nation has been unable to economically develop </w:t>
      </w:r>
      <w:r w:rsidR="00E8330D">
        <w:t>our</w:t>
      </w:r>
      <w:r>
        <w:t xml:space="preserve"> reserve community and have been halted in utilizing other po</w:t>
      </w:r>
      <w:r w:rsidR="001F3208">
        <w:t xml:space="preserve">rtions of </w:t>
      </w:r>
      <w:r w:rsidR="00E8330D">
        <w:t>our</w:t>
      </w:r>
      <w:r w:rsidR="001F3208">
        <w:t xml:space="preserve"> </w:t>
      </w:r>
      <w:r w:rsidR="00007CC9">
        <w:t>Territories</w:t>
      </w:r>
      <w:r w:rsidR="001F3208">
        <w:t xml:space="preserve"> as the City of Winnipeg has feared that such development and use would degrade the quality of the water that they are diverting for </w:t>
      </w:r>
      <w:r w:rsidR="00E8330D">
        <w:t>our</w:t>
      </w:r>
      <w:r w:rsidR="001F3208">
        <w:t xml:space="preserve"> uses. Despite numerous years of attempting to be compensated as required by the Ontario Order-in-Council and the IJC Order granting the City of Winnipeg permission, neither the City of Winnipeg, Ontario, Manitoba or Canada have agreed to negotiate. The Nation submits that the government’s failure to negotiate compensation as required, and as done to all other parties affected, is based on the racist belief tha</w:t>
      </w:r>
      <w:r w:rsidR="006175AF">
        <w:t>t the Nation’s rights are valued</w:t>
      </w:r>
      <w:r w:rsidR="001F3208">
        <w:t xml:space="preserve"> as lesser than those other parties, all of which is a logical extension of the principles found within the </w:t>
      </w:r>
      <w:r w:rsidR="001F3208">
        <w:rPr>
          <w:i/>
        </w:rPr>
        <w:t>Doctrine of Discovery</w:t>
      </w:r>
      <w:r w:rsidR="00474100">
        <w:t>;</w:t>
      </w:r>
    </w:p>
    <w:p w14:paraId="4F1F41C6" w14:textId="77777777" w:rsidR="009C55F6" w:rsidRDefault="009C55F6" w:rsidP="00675A84">
      <w:pPr>
        <w:pStyle w:val="ListParagraph"/>
        <w:widowControl w:val="0"/>
        <w:autoSpaceDE w:val="0"/>
        <w:autoSpaceDN w:val="0"/>
        <w:adjustRightInd w:val="0"/>
        <w:jc w:val="both"/>
      </w:pPr>
    </w:p>
    <w:p w14:paraId="7D2B1C3F" w14:textId="68ACCB8A" w:rsidR="002C5572" w:rsidRPr="001C5670" w:rsidRDefault="002D4024" w:rsidP="004B3EA5">
      <w:pPr>
        <w:pStyle w:val="ListParagraph"/>
        <w:widowControl w:val="0"/>
        <w:numPr>
          <w:ilvl w:val="0"/>
          <w:numId w:val="34"/>
        </w:numPr>
        <w:autoSpaceDE w:val="0"/>
        <w:autoSpaceDN w:val="0"/>
        <w:adjustRightInd w:val="0"/>
        <w:jc w:val="both"/>
      </w:pPr>
      <w:r>
        <w:t xml:space="preserve">Similar to the Canadian state’s treatment of minimizing our Nations’ right to our </w:t>
      </w:r>
      <w:r w:rsidR="00007CC9">
        <w:t>Territories</w:t>
      </w:r>
      <w:r>
        <w:t xml:space="preserve">, the </w:t>
      </w:r>
      <w:r w:rsidR="001F0C20">
        <w:t xml:space="preserve">unilateral </w:t>
      </w:r>
      <w:r>
        <w:t>imposition by the Canadian state</w:t>
      </w:r>
      <w:r w:rsidRPr="00021C9E">
        <w:t xml:space="preserve"> </w:t>
      </w:r>
      <w:r w:rsidR="001F0C20">
        <w:t xml:space="preserve">of laws, regulations and policies affecting our Nations and </w:t>
      </w:r>
      <w:r w:rsidR="00007CC9">
        <w:t>Territories</w:t>
      </w:r>
      <w:r w:rsidR="001F0C20">
        <w:t xml:space="preserve"> also minimize our rights as Nations of </w:t>
      </w:r>
      <w:r w:rsidR="00E35CAE">
        <w:t>Indigenous</w:t>
      </w:r>
      <w:r w:rsidR="001F0C20">
        <w:t xml:space="preserve"> </w:t>
      </w:r>
      <w:r w:rsidR="00E35CAE">
        <w:t>Peoples</w:t>
      </w:r>
      <w:r w:rsidR="001F0C20">
        <w:t xml:space="preserve">. Canada’s </w:t>
      </w:r>
      <w:r w:rsidR="008E5C6F">
        <w:t xml:space="preserve">unilateral </w:t>
      </w:r>
      <w:r w:rsidRPr="00021C9E">
        <w:t xml:space="preserve">imposition is based </w:t>
      </w:r>
      <w:r w:rsidR="00742B05">
        <w:t>on</w:t>
      </w:r>
      <w:r w:rsidRPr="00021C9E">
        <w:t xml:space="preserve"> negative racial stereotypes that act to discriminate against us by denying our inherent right to self-determination. </w:t>
      </w:r>
      <w:r w:rsidR="008E5C6F">
        <w:t xml:space="preserve">For example, the </w:t>
      </w:r>
      <w:r w:rsidR="008E5C6F" w:rsidRPr="001C5670">
        <w:rPr>
          <w:i/>
        </w:rPr>
        <w:t>Financial Transparency</w:t>
      </w:r>
      <w:r w:rsidRPr="001C5670">
        <w:rPr>
          <w:i/>
        </w:rPr>
        <w:t xml:space="preserve"> Act</w:t>
      </w:r>
      <w:r w:rsidRPr="00021C9E">
        <w:t xml:space="preserve"> is but another example of the Canadian state’s ongoing racial discrimination by its continued adherence to racists colonial ideologies based </w:t>
      </w:r>
      <w:r w:rsidR="00742B05">
        <w:t>on</w:t>
      </w:r>
      <w:r w:rsidRPr="00021C9E">
        <w:t xml:space="preserve"> the </w:t>
      </w:r>
      <w:r w:rsidR="001C5670">
        <w:t xml:space="preserve">principles contained with the </w:t>
      </w:r>
      <w:r w:rsidR="001C5670">
        <w:rPr>
          <w:i/>
        </w:rPr>
        <w:t>Doctrine of Discovery.</w:t>
      </w:r>
      <w:r w:rsidR="00DF72AA">
        <w:rPr>
          <w:i/>
        </w:rPr>
        <w:t xml:space="preserve"> </w:t>
      </w:r>
      <w:r w:rsidR="00DF72AA">
        <w:t xml:space="preserve">The Liberal Government elected in the fall of 2015 has not repealed this legislation despite a court case ruling against the legislation. Rather the government has engaged in a process of “putting a questionnaire” online but has not met with the Nations who are affected by this racist legislation which takes away our individual rights of privacy. The right of privacy is a fundamental right enjoyed by all Canadians but not by Treaty Peoples. </w:t>
      </w:r>
    </w:p>
    <w:p w14:paraId="79E79C7D" w14:textId="77777777" w:rsidR="001C5670" w:rsidRDefault="001C5670" w:rsidP="001C5670">
      <w:pPr>
        <w:pStyle w:val="ListParagraph"/>
        <w:widowControl w:val="0"/>
        <w:autoSpaceDE w:val="0"/>
        <w:autoSpaceDN w:val="0"/>
        <w:adjustRightInd w:val="0"/>
        <w:jc w:val="both"/>
      </w:pPr>
    </w:p>
    <w:p w14:paraId="456B4E23" w14:textId="1D867E6D" w:rsidR="000A1E83" w:rsidRDefault="002C5572" w:rsidP="00401350">
      <w:pPr>
        <w:pStyle w:val="ListParagraph"/>
        <w:widowControl w:val="0"/>
        <w:autoSpaceDE w:val="0"/>
        <w:autoSpaceDN w:val="0"/>
        <w:adjustRightInd w:val="0"/>
        <w:ind w:left="1077"/>
        <w:jc w:val="both"/>
      </w:pPr>
      <w:r>
        <w:t>Due to such imposition, the Onion Lake Cree Nation, with successful economic development activities from oil extraction and other endeavours, was forced to protect its financial information and economic intellectual property by gaining a non-enforceme</w:t>
      </w:r>
      <w:r w:rsidR="00D173BB">
        <w:t>nt order against Canada. Although</w:t>
      </w:r>
      <w:r>
        <w:t xml:space="preserve"> all other similarly situated non-</w:t>
      </w:r>
      <w:r w:rsidR="00E35CAE">
        <w:t>Indigenous</w:t>
      </w:r>
      <w:r>
        <w:t xml:space="preserve"> economi</w:t>
      </w:r>
      <w:r w:rsidR="00E96EDC">
        <w:t>c development operations, that is,</w:t>
      </w:r>
      <w:r>
        <w:t xml:space="preserve"> Canadian and </w:t>
      </w:r>
      <w:r w:rsidR="00D173BB">
        <w:t xml:space="preserve">international corporations, were </w:t>
      </w:r>
      <w:r>
        <w:t>not required to divulge their financial infor</w:t>
      </w:r>
      <w:r w:rsidR="00E57AE3">
        <w:t xml:space="preserve">mation and economic intellectual </w:t>
      </w:r>
      <w:r>
        <w:t>propert</w:t>
      </w:r>
      <w:r w:rsidR="00E57AE3">
        <w:t>y, our Nations w</w:t>
      </w:r>
      <w:r w:rsidR="00E96EDC">
        <w:t xml:space="preserve">ere </w:t>
      </w:r>
      <w:r w:rsidR="00E57AE3">
        <w:t xml:space="preserve">required and forced by threat of withholding of </w:t>
      </w:r>
      <w:r w:rsidR="00A174C9">
        <w:t>financial transfers</w:t>
      </w:r>
      <w:r w:rsidR="00AC33CC">
        <w:t xml:space="preserve"> from the Canadian state</w:t>
      </w:r>
      <w:r w:rsidR="00AB01BE">
        <w:t>. By being forced to provide such information, our Nations were</w:t>
      </w:r>
      <w:r w:rsidR="00A174C9">
        <w:t xml:space="preserve"> </w:t>
      </w:r>
      <w:r w:rsidR="006B439C">
        <w:t>put</w:t>
      </w:r>
      <w:r w:rsidR="00AC33CC">
        <w:t xml:space="preserve"> </w:t>
      </w:r>
      <w:r>
        <w:t xml:space="preserve">in a position where our competitive edge in economic </w:t>
      </w:r>
      <w:r w:rsidR="001C5670">
        <w:t xml:space="preserve">affairs was compromised. Such discriminatory treatment is linkable to the principles contained with the </w:t>
      </w:r>
      <w:r w:rsidR="001C5670">
        <w:rPr>
          <w:i/>
        </w:rPr>
        <w:t>Doctrine of Discovery</w:t>
      </w:r>
      <w:r w:rsidR="001C5670">
        <w:t xml:space="preserve">, specifically that our Nations, as </w:t>
      </w:r>
      <w:r w:rsidR="00E35CAE">
        <w:t>Indigenous</w:t>
      </w:r>
      <w:r w:rsidR="001C5670">
        <w:t xml:space="preserve"> </w:t>
      </w:r>
      <w:r w:rsidR="00E35CAE">
        <w:t>Peoples</w:t>
      </w:r>
      <w:r w:rsidR="001C5670">
        <w:t xml:space="preserve">, lack the ability </w:t>
      </w:r>
      <w:r w:rsidR="001C5670" w:rsidRPr="00021C9E">
        <w:t xml:space="preserve">to govern our </w:t>
      </w:r>
      <w:r w:rsidR="00007CC9">
        <w:t>Territories</w:t>
      </w:r>
      <w:r w:rsidR="001C5670" w:rsidRPr="00021C9E">
        <w:t>, resources, commu</w:t>
      </w:r>
      <w:r w:rsidR="00706B8F">
        <w:t>nities or our people as other “</w:t>
      </w:r>
      <w:r w:rsidR="00E35CAE">
        <w:t>Peoples</w:t>
      </w:r>
      <w:r w:rsidR="001C5670" w:rsidRPr="00021C9E">
        <w:t>” and Natio</w:t>
      </w:r>
      <w:r w:rsidR="00474100">
        <w:t>ns are capable of accomplishing</w:t>
      </w:r>
      <w:r w:rsidR="006B439C">
        <w:t>,</w:t>
      </w:r>
      <w:r w:rsidR="00706B8F">
        <w:t xml:space="preserve"> and required the</w:t>
      </w:r>
      <w:r w:rsidR="006B439C">
        <w:t xml:space="preserve"> Canadian state</w:t>
      </w:r>
      <w:r w:rsidR="00213955">
        <w:t xml:space="preserve"> to intervene to ensure that our Nations’ leaders managed our economic resources fairly and honestly;</w:t>
      </w:r>
    </w:p>
    <w:p w14:paraId="4BACD644" w14:textId="6411FAD9" w:rsidR="00573BDE" w:rsidRDefault="00573BDE" w:rsidP="00283374">
      <w:pPr>
        <w:pStyle w:val="ListParagraph"/>
        <w:widowControl w:val="0"/>
        <w:autoSpaceDE w:val="0"/>
        <w:autoSpaceDN w:val="0"/>
        <w:adjustRightInd w:val="0"/>
        <w:ind w:left="1080"/>
        <w:jc w:val="both"/>
      </w:pPr>
    </w:p>
    <w:p w14:paraId="0BDC2D9E" w14:textId="30422BC3" w:rsidR="00401350" w:rsidRDefault="0003122B" w:rsidP="00401350">
      <w:pPr>
        <w:pStyle w:val="ListParagraph"/>
        <w:numPr>
          <w:ilvl w:val="0"/>
          <w:numId w:val="48"/>
        </w:numPr>
        <w:ind w:left="1134" w:hanging="708"/>
        <w:jc w:val="both"/>
      </w:pPr>
      <w:r>
        <w:t xml:space="preserve">In addition, the imposition of the </w:t>
      </w:r>
      <w:r w:rsidR="00BA063E">
        <w:rPr>
          <w:i/>
        </w:rPr>
        <w:t xml:space="preserve">Financial </w:t>
      </w:r>
      <w:r w:rsidR="00054E8C">
        <w:rPr>
          <w:i/>
        </w:rPr>
        <w:t>Transparency</w:t>
      </w:r>
      <w:r w:rsidR="00BA063E">
        <w:rPr>
          <w:i/>
        </w:rPr>
        <w:t xml:space="preserve"> </w:t>
      </w:r>
      <w:r w:rsidR="00457773">
        <w:rPr>
          <w:i/>
        </w:rPr>
        <w:t xml:space="preserve">Act </w:t>
      </w:r>
      <w:r w:rsidR="00457773">
        <w:t xml:space="preserve">was held out to the general public as a means of </w:t>
      </w:r>
      <w:r w:rsidR="002001E6">
        <w:t xml:space="preserve">imposing transparency on our Nations’ governments. However, </w:t>
      </w:r>
      <w:r w:rsidR="00401350" w:rsidRPr="002001E6">
        <w:t>Canada’s</w:t>
      </w:r>
      <w:r w:rsidR="00401350">
        <w:t xml:space="preserve"> version of transparency was to </w:t>
      </w:r>
      <w:r w:rsidR="00E20F3A">
        <w:t xml:space="preserve">enforce racial stereotypes and </w:t>
      </w:r>
      <w:r w:rsidR="00401350">
        <w:t xml:space="preserve">expose our </w:t>
      </w:r>
      <w:r w:rsidR="00E20F3A">
        <w:t>Nation Peoples to racism and hatred</w:t>
      </w:r>
      <w:r w:rsidR="00115127">
        <w:t xml:space="preserve"> as t</w:t>
      </w:r>
      <w:r w:rsidR="00401350">
        <w:t xml:space="preserve">here was a perceived idea that our </w:t>
      </w:r>
      <w:r w:rsidR="00115127">
        <w:t xml:space="preserve">Nations and </w:t>
      </w:r>
      <w:r w:rsidR="00401350">
        <w:t xml:space="preserve">Peoples are not accountable.  The transparency of Canada </w:t>
      </w:r>
      <w:r w:rsidR="00F77113">
        <w:t xml:space="preserve">was </w:t>
      </w:r>
      <w:r w:rsidR="00401350">
        <w:t xml:space="preserve">to expose our Nations to the carpet baggers who mined information on the web pages to target our Nations.  The state of Canada further tried to get “organizations” to give their consent to issues </w:t>
      </w:r>
      <w:r w:rsidR="00D71E46">
        <w:t>that directly affect our Nations</w:t>
      </w:r>
      <w:r w:rsidR="00401350">
        <w:t>. Recently, Canada and the Assembly of First Nations (AFN) signed a Memorandum of Understanding (MOU) without our consent.</w:t>
      </w:r>
      <w:r w:rsidR="007B2D56">
        <w:rPr>
          <w:rStyle w:val="FootnoteReference"/>
        </w:rPr>
        <w:footnoteReference w:id="15"/>
      </w:r>
      <w:r w:rsidR="00401350">
        <w:t xml:space="preserve">  T</w:t>
      </w:r>
      <w:r w:rsidR="00DD25B1">
        <w:t>hese processes a</w:t>
      </w:r>
      <w:r w:rsidR="00401350">
        <w:t>re orchestrate</w:t>
      </w:r>
      <w:r w:rsidR="008E6D55">
        <w:t xml:space="preserve">d and manipulated by the Canadian state </w:t>
      </w:r>
      <w:r w:rsidR="00401350">
        <w:t>for specific purposes. There were lots of collaborators who were more than happy to play along with the games</w:t>
      </w:r>
      <w:r w:rsidR="00401350">
        <w:rPr>
          <w:rStyle w:val="FootnoteReference"/>
        </w:rPr>
        <w:footnoteReference w:id="16"/>
      </w:r>
      <w:r w:rsidR="00401350">
        <w:t>. What were t</w:t>
      </w:r>
      <w:r w:rsidR="009D5820">
        <w:t>heir rewards? It seems the reward</w:t>
      </w:r>
      <w:r w:rsidR="00401350">
        <w:t xml:space="preserve"> was to get their names in the media. No thought about the seventh generations and the effect that their action would have on the rest of the creation. </w:t>
      </w:r>
      <w:r w:rsidR="009D5820">
        <w:t xml:space="preserve">Those governments of Indigenous Nations </w:t>
      </w:r>
      <w:r w:rsidR="00401350">
        <w:t xml:space="preserve">who were opposed to the process were branded as uncooperative and punished for non-compliance. </w:t>
      </w:r>
    </w:p>
    <w:p w14:paraId="5B492B3D" w14:textId="77777777" w:rsidR="00DD25B1" w:rsidRDefault="00DD25B1" w:rsidP="00DD25B1">
      <w:pPr>
        <w:pStyle w:val="ListParagraph"/>
        <w:ind w:left="1134"/>
        <w:jc w:val="both"/>
      </w:pPr>
    </w:p>
    <w:p w14:paraId="18CEC1F8" w14:textId="2ADF022E" w:rsidR="00401350" w:rsidRDefault="009C49FC" w:rsidP="009C49FC">
      <w:pPr>
        <w:pStyle w:val="ListParagraph"/>
        <w:ind w:left="1134"/>
        <w:jc w:val="both"/>
      </w:pPr>
      <w:r>
        <w:t xml:space="preserve">Such </w:t>
      </w:r>
      <w:r w:rsidR="00385FC6">
        <w:t>manipulation</w:t>
      </w:r>
      <w:r w:rsidR="005D0499">
        <w:t xml:space="preserve"> of </w:t>
      </w:r>
      <w:r w:rsidR="00401350" w:rsidRPr="00867FB4">
        <w:t>Indigenous</w:t>
      </w:r>
      <w:r w:rsidR="00401350">
        <w:t xml:space="preserve"> Peoples continues unabated.  </w:t>
      </w:r>
      <w:r w:rsidR="00385FC6">
        <w:t xml:space="preserve">As with other </w:t>
      </w:r>
      <w:r w:rsidR="00E07F3F">
        <w:t>state</w:t>
      </w:r>
      <w:r w:rsidR="00401350">
        <w:t xml:space="preserve"> governments</w:t>
      </w:r>
      <w:r w:rsidR="00E07F3F">
        <w:t xml:space="preserve">, </w:t>
      </w:r>
      <w:r w:rsidR="00BB2179">
        <w:t>the</w:t>
      </w:r>
      <w:r w:rsidR="00E07F3F">
        <w:t xml:space="preserve"> Canadian state has </w:t>
      </w:r>
      <w:r w:rsidR="00401350">
        <w:t>organized their own “group” of Indigenous Peoples who have been recognized by their political masters to make “decisions” for</w:t>
      </w:r>
      <w:r w:rsidR="007579CB">
        <w:t xml:space="preserve"> all</w:t>
      </w:r>
      <w:r w:rsidR="00401350">
        <w:t xml:space="preserve"> Indigenous Peoples. Controllers have been used by State governments to enact reg</w:t>
      </w:r>
      <w:r w:rsidR="00DD25B1">
        <w:t>ressive domestic policies designed to undermine our</w:t>
      </w:r>
      <w:r w:rsidR="007579CB">
        <w:t xml:space="preserve"> Nations</w:t>
      </w:r>
      <w:r w:rsidR="00DD25B1">
        <w:t xml:space="preserve"> rights</w:t>
      </w:r>
      <w:r w:rsidR="00A05499">
        <w:t>;</w:t>
      </w:r>
    </w:p>
    <w:p w14:paraId="40A16FC1" w14:textId="77777777" w:rsidR="000A1E83" w:rsidRDefault="000A1E83" w:rsidP="007579CB">
      <w:pPr>
        <w:widowControl w:val="0"/>
        <w:autoSpaceDE w:val="0"/>
        <w:autoSpaceDN w:val="0"/>
        <w:adjustRightInd w:val="0"/>
        <w:jc w:val="both"/>
      </w:pPr>
    </w:p>
    <w:p w14:paraId="0C490D31" w14:textId="5C69379E" w:rsidR="000A1E83" w:rsidRDefault="004C5587" w:rsidP="000A1E83">
      <w:pPr>
        <w:pStyle w:val="ListParagraph"/>
        <w:widowControl w:val="0"/>
        <w:numPr>
          <w:ilvl w:val="0"/>
          <w:numId w:val="34"/>
        </w:numPr>
        <w:autoSpaceDE w:val="0"/>
        <w:autoSpaceDN w:val="0"/>
        <w:adjustRightInd w:val="0"/>
        <w:jc w:val="both"/>
      </w:pPr>
      <w:r w:rsidRPr="000A1E83">
        <w:t xml:space="preserve">Canada announced in the early 1970’s the intention to build a Mackenzie Valley Pipeline to move </w:t>
      </w:r>
      <w:hyperlink r:id="rId10" w:tooltip="Natural gas" w:history="1">
        <w:r w:rsidRPr="000A1E83">
          <w:t>natural gas</w:t>
        </w:r>
      </w:hyperlink>
      <w:r w:rsidRPr="000A1E83">
        <w:t xml:space="preserve"> from the </w:t>
      </w:r>
      <w:hyperlink r:id="rId11" w:tooltip="Beaufort Sea" w:history="1">
        <w:r w:rsidRPr="000A1E83">
          <w:t>Beaufort Sea</w:t>
        </w:r>
      </w:hyperlink>
      <w:r w:rsidRPr="000A1E83">
        <w:t xml:space="preserve"> (in the high Arctic) down the Mackenzie Valley to tie into gas </w:t>
      </w:r>
      <w:hyperlink r:id="rId12" w:tooltip="Pipeline transport" w:history="1">
        <w:r w:rsidRPr="000A1E83">
          <w:t>pipelines</w:t>
        </w:r>
      </w:hyperlink>
      <w:r w:rsidRPr="000A1E83">
        <w:t xml:space="preserve"> in northern </w:t>
      </w:r>
      <w:hyperlink r:id="rId13" w:tooltip="Alberta" w:history="1">
        <w:r w:rsidRPr="000A1E83">
          <w:t>Alberta</w:t>
        </w:r>
      </w:hyperlink>
      <w:r w:rsidRPr="000A1E83">
        <w:t>.  The Dene Chiefs in Treaties 8 and 11 were not consulted about the pipeline. In 1973, the Chiefs led by Chief Francois Paulette</w:t>
      </w:r>
      <w:r w:rsidRPr="000A1E83">
        <w:footnoteReference w:id="17"/>
      </w:r>
      <w:r w:rsidRPr="000A1E83">
        <w:t xml:space="preserve">, along with sixteen NWT Dene Chiefs, attempted to file a caveat at the land titles office in </w:t>
      </w:r>
      <w:hyperlink r:id="rId14" w:tooltip="Yellowknife, Northwest Territories" w:history="1">
        <w:r w:rsidRPr="000A1E83">
          <w:t>Yellowknife</w:t>
        </w:r>
      </w:hyperlink>
      <w:r w:rsidRPr="000A1E83">
        <w:t xml:space="preserve">, </w:t>
      </w:r>
      <w:hyperlink r:id="rId15" w:tooltip="Northwest Territories" w:history="1">
        <w:r w:rsidRPr="000A1E83">
          <w:t>Northwest Territories</w:t>
        </w:r>
      </w:hyperlink>
      <w:r w:rsidRPr="000A1E83">
        <w:t xml:space="preserve"> to gain a legal interest in 450,000 square miles (more than a 1,000,000 square kms) of their </w:t>
      </w:r>
      <w:r w:rsidR="00007CC9">
        <w:t>Territories</w:t>
      </w:r>
      <w:r w:rsidRPr="000A1E83">
        <w:t xml:space="preserve">. The Chiefs asserted their </w:t>
      </w:r>
      <w:r w:rsidR="00283374">
        <w:t xml:space="preserve">rights to their </w:t>
      </w:r>
      <w:r w:rsidR="00007CC9">
        <w:t>Territories</w:t>
      </w:r>
      <w:r w:rsidRPr="000A1E83">
        <w:t xml:space="preserve">, by virtue of their Dene rights, and sought to prevent the construction of the proposed Mackenzie Valley Gas Pipeline across their </w:t>
      </w:r>
      <w:r w:rsidR="00007CC9">
        <w:t>Territories</w:t>
      </w:r>
      <w:r w:rsidRPr="000A1E83">
        <w:t>.</w:t>
      </w:r>
    </w:p>
    <w:p w14:paraId="698BCE9D" w14:textId="77777777" w:rsidR="000A1E83" w:rsidRDefault="000A1E83" w:rsidP="000A1E83">
      <w:pPr>
        <w:pStyle w:val="ListParagraph"/>
        <w:widowControl w:val="0"/>
        <w:autoSpaceDE w:val="0"/>
        <w:autoSpaceDN w:val="0"/>
        <w:adjustRightInd w:val="0"/>
        <w:jc w:val="both"/>
      </w:pPr>
    </w:p>
    <w:p w14:paraId="3382579E" w14:textId="26DF915C" w:rsidR="004C5587" w:rsidRPr="000A1E83" w:rsidRDefault="004C5587" w:rsidP="00283374">
      <w:pPr>
        <w:pStyle w:val="ListParagraph"/>
        <w:widowControl w:val="0"/>
        <w:autoSpaceDE w:val="0"/>
        <w:autoSpaceDN w:val="0"/>
        <w:adjustRightInd w:val="0"/>
        <w:ind w:left="1080"/>
        <w:jc w:val="both"/>
      </w:pPr>
      <w:r w:rsidRPr="000A1E83">
        <w:t xml:space="preserve">The land office was unsure of the filing and referred the caveat to the </w:t>
      </w:r>
      <w:hyperlink r:id="rId16" w:tooltip="Supreme Court of the Northwest Territories" w:history="1">
        <w:r w:rsidRPr="000A1E83">
          <w:t>Supreme Court of the Northwest Territories</w:t>
        </w:r>
      </w:hyperlink>
      <w:r w:rsidRPr="000A1E83">
        <w:t>. Justice William Morrow</w:t>
      </w:r>
      <w:r w:rsidR="007B67B6">
        <w:t xml:space="preserve"> </w:t>
      </w:r>
      <w:r w:rsidRPr="000A1E83">
        <w:t xml:space="preserve">held a six-week hearing process to establish whether the </w:t>
      </w:r>
      <w:r w:rsidR="00E35CAE">
        <w:t>Indigenous</w:t>
      </w:r>
      <w:r w:rsidRPr="000A1E83">
        <w:t xml:space="preserve"> Nations of </w:t>
      </w:r>
      <w:hyperlink r:id="rId17" w:tooltip="Treaty 8" w:history="1">
        <w:r w:rsidRPr="000A1E83">
          <w:t>Treaty No. 8</w:t>
        </w:r>
      </w:hyperlink>
      <w:r w:rsidRPr="000A1E83">
        <w:t xml:space="preserve"> and </w:t>
      </w:r>
      <w:hyperlink r:id="rId18" w:tooltip="Treaty 11" w:history="1">
        <w:r w:rsidRPr="000A1E83">
          <w:t>Treaty No. 11</w:t>
        </w:r>
      </w:hyperlink>
      <w:r w:rsidRPr="000A1E83">
        <w:t xml:space="preserve"> had fully understood the meaning of the treaties they had made in 1900 and 1921 respectively. There were hearings were held in a number of </w:t>
      </w:r>
      <w:r w:rsidR="00E35CAE">
        <w:t>Indigenous</w:t>
      </w:r>
      <w:r w:rsidRPr="000A1E83">
        <w:t xml:space="preserve"> communities in the Northwest Territories (some only accessible by airplane), with some hearings being held in informal settings for the convenience of witnesses, many of whom were elderly. Justice Morrow took their evidence in their languages. The witnesses who were alive at the time of treaty making gave evidence of their first-hand account of the discussions with the Treaty Commissioner.</w:t>
      </w:r>
    </w:p>
    <w:p w14:paraId="2A682888" w14:textId="77777777" w:rsidR="004C5587" w:rsidRDefault="004C5587" w:rsidP="00283374">
      <w:pPr>
        <w:pStyle w:val="NormalWeb"/>
        <w:ind w:left="1080"/>
        <w:jc w:val="both"/>
      </w:pPr>
      <w:r>
        <w:t xml:space="preserve">Many witnesses testified that they did not believe that Treaty No. 8 and No. 11 extinguished their rights to the land and that the Treaties were unfulfilled. Justice Morrow </w:t>
      </w:r>
      <w:r>
        <w:rPr>
          <w:rStyle w:val="FootnoteReference"/>
        </w:rPr>
        <w:footnoteReference w:id="18"/>
      </w:r>
      <w:r>
        <w:t xml:space="preserve">agreed with these witnesses and ruled that the Chiefs had established a case which resulted in a declaration of prior interest in the 450,000 square miles of traditional land and to warrant the filing of a caveat. Mr. Justice Morrow also questioned the cede, release and surrender provisions of the Treaties.  Although the ability to register the caveat was overturned by the Supreme Court of Canada, Justice Morrow's findings in respect to Aboriginal rights were not overturned. </w:t>
      </w:r>
    </w:p>
    <w:p w14:paraId="2BFE719A" w14:textId="748323BB" w:rsidR="00C30BF5" w:rsidRDefault="004C5587" w:rsidP="00283374">
      <w:pPr>
        <w:pStyle w:val="ListParagraph"/>
        <w:widowControl w:val="0"/>
        <w:autoSpaceDE w:val="0"/>
        <w:autoSpaceDN w:val="0"/>
        <w:adjustRightInd w:val="0"/>
        <w:ind w:left="1080"/>
        <w:jc w:val="both"/>
      </w:pPr>
      <w:r>
        <w:t xml:space="preserve">Despite the findings of Justice Morrow, the Canadian and provincial and territorial governments in which Treaty No. 8 and Treaty No. 11 cover continue to treat the </w:t>
      </w:r>
      <w:r w:rsidR="00E35CAE">
        <w:t>Indigenous</w:t>
      </w:r>
      <w:r>
        <w:t xml:space="preserve"> Nations </w:t>
      </w:r>
      <w:r w:rsidR="00007CC9">
        <w:t>Territories</w:t>
      </w:r>
      <w:r>
        <w:t xml:space="preserve"> as being ceded, released and surrendered. Such treatment is based on the presumed superiority of the Crown’s 100 to </w:t>
      </w:r>
      <w:r w:rsidR="00E229E9">
        <w:t>120-year</w:t>
      </w:r>
      <w:r>
        <w:t xml:space="preserve"> assertion of sovereignty claims over the </w:t>
      </w:r>
      <w:r w:rsidR="00E35CAE">
        <w:t>Indigenous</w:t>
      </w:r>
      <w:r>
        <w:t xml:space="preserve"> Nations’ thousand years of connection and rights to their </w:t>
      </w:r>
      <w:r w:rsidR="00007CC9">
        <w:t>Territories</w:t>
      </w:r>
      <w:r>
        <w:t xml:space="preserve">. The Crown’s presumed superiority can be traced directly back to the principles found within the </w:t>
      </w:r>
      <w:r>
        <w:rPr>
          <w:i/>
        </w:rPr>
        <w:t>Doctrine of Discovery</w:t>
      </w:r>
      <w:r>
        <w:t xml:space="preserve">, to wit European assertion of racial superiority over the </w:t>
      </w:r>
      <w:r w:rsidR="00E35CAE">
        <w:t>Indigenous</w:t>
      </w:r>
      <w:r>
        <w:t xml:space="preserve"> Nations through the process of the Cross, the Coin and the Crown as set out earlier in this submission</w:t>
      </w:r>
      <w:r w:rsidR="00A05499">
        <w:t>;</w:t>
      </w:r>
    </w:p>
    <w:p w14:paraId="18054108" w14:textId="61A15251" w:rsidR="00195A95" w:rsidRDefault="00195A95" w:rsidP="00283374">
      <w:pPr>
        <w:pStyle w:val="ListParagraph"/>
        <w:widowControl w:val="0"/>
        <w:autoSpaceDE w:val="0"/>
        <w:autoSpaceDN w:val="0"/>
        <w:adjustRightInd w:val="0"/>
        <w:ind w:left="1080"/>
        <w:jc w:val="both"/>
      </w:pPr>
    </w:p>
    <w:p w14:paraId="0039BD17" w14:textId="6B4A620C" w:rsidR="00DF72AA" w:rsidRPr="00DF72AA" w:rsidRDefault="00DF72AA" w:rsidP="00DF72AA">
      <w:pPr>
        <w:pStyle w:val="ListParagraph"/>
        <w:widowControl w:val="0"/>
        <w:numPr>
          <w:ilvl w:val="0"/>
          <w:numId w:val="47"/>
        </w:numPr>
        <w:autoSpaceDE w:val="0"/>
        <w:autoSpaceDN w:val="0"/>
        <w:adjustRightInd w:val="0"/>
        <w:ind w:left="1134" w:hanging="425"/>
        <w:jc w:val="both"/>
      </w:pPr>
      <w:r w:rsidRPr="00DF72AA">
        <w:t>The Lubicon Lake Nation are Indigenous Peoples and Nations as understood within the international jurisprudence having st</w:t>
      </w:r>
      <w:r>
        <w:t xml:space="preserve">atus to self-determination. Their </w:t>
      </w:r>
      <w:r w:rsidRPr="00DF72AA">
        <w:t xml:space="preserve">Nation has never entered into Treaty with </w:t>
      </w:r>
      <w:r>
        <w:t>any Crown or colonial state. The Lubicon Lake</w:t>
      </w:r>
      <w:r w:rsidRPr="00DF72AA">
        <w:t xml:space="preserve"> </w:t>
      </w:r>
      <w:r w:rsidR="003F7D43">
        <w:t xml:space="preserve">Nation </w:t>
      </w:r>
      <w:r w:rsidR="00406875">
        <w:t>Territory,</w:t>
      </w:r>
      <w:r>
        <w:t xml:space="preserve"> i</w:t>
      </w:r>
      <w:r w:rsidR="00406875">
        <w:t xml:space="preserve">ncluding </w:t>
      </w:r>
      <w:r w:rsidRPr="00DF72AA">
        <w:t xml:space="preserve">our </w:t>
      </w:r>
      <w:r w:rsidR="00406875">
        <w:t xml:space="preserve">Nation’s </w:t>
      </w:r>
      <w:r w:rsidRPr="00DF72AA">
        <w:t>resources</w:t>
      </w:r>
      <w:r w:rsidR="006B3D79">
        <w:t>,</w:t>
      </w:r>
      <w:r w:rsidRPr="00DF72AA">
        <w:t xml:space="preserve"> is constantly being used by the colonial state without our consent.  These actions by the state of Canada deny us our right to freely determine our political status and to freely pursue our economic, social and cultural development. Our right of self-determination has been systemically undermined by the actions of Canada as the state attempted to create entities to represent our interests. These actions were done without our consent. </w:t>
      </w:r>
    </w:p>
    <w:p w14:paraId="0526C698" w14:textId="77777777" w:rsidR="00DF72AA" w:rsidRPr="00DF72AA" w:rsidRDefault="00DF72AA" w:rsidP="00DF72AA">
      <w:pPr>
        <w:pStyle w:val="ListParagraph"/>
        <w:widowControl w:val="0"/>
        <w:autoSpaceDE w:val="0"/>
        <w:autoSpaceDN w:val="0"/>
        <w:adjustRightInd w:val="0"/>
        <w:ind w:left="1134"/>
        <w:jc w:val="both"/>
      </w:pPr>
    </w:p>
    <w:p w14:paraId="4217DC05" w14:textId="6B072197" w:rsidR="00DF72AA" w:rsidRDefault="00BA1423" w:rsidP="00DF72AA">
      <w:pPr>
        <w:widowControl w:val="0"/>
        <w:autoSpaceDE w:val="0"/>
        <w:autoSpaceDN w:val="0"/>
        <w:adjustRightInd w:val="0"/>
        <w:ind w:left="1134"/>
        <w:jc w:val="both"/>
      </w:pPr>
      <w:r>
        <w:t>T</w:t>
      </w:r>
      <w:r w:rsidR="00DF72AA" w:rsidRPr="00DF72AA">
        <w:t>he Lubicon Lake Nation received a letter that the state of Canada has determined that a “band” created under the Canadian legislation known as the “</w:t>
      </w:r>
      <w:r w:rsidR="00DF72AA" w:rsidRPr="00DF72AA">
        <w:rPr>
          <w:i/>
        </w:rPr>
        <w:t>Indian Act</w:t>
      </w:r>
      <w:r w:rsidR="00DF72AA" w:rsidRPr="00DF72AA">
        <w:t>” is the “spoke people” for the Lubicon.  We have never entered into any agreement or arrangement with Canada including agreeing to come under the “</w:t>
      </w:r>
      <w:r w:rsidR="00DF72AA" w:rsidRPr="00DF72AA">
        <w:rPr>
          <w:i/>
        </w:rPr>
        <w:t>Indian Act</w:t>
      </w:r>
      <w:r w:rsidR="00DF72AA" w:rsidRPr="00DF72AA">
        <w:t xml:space="preserve">”. These are clear violation of our rights to freely determine our own political status and our future. These actions by the state of Canada are designed to continue to access our resources without our consent. Our Peoples reject this blatant attempt to undermine our rights within our </w:t>
      </w:r>
      <w:r w:rsidR="00E85B07">
        <w:t>Territory</w:t>
      </w:r>
      <w:r w:rsidR="00DF72AA" w:rsidRPr="00DF72AA">
        <w:t>.</w:t>
      </w:r>
    </w:p>
    <w:p w14:paraId="09E39967" w14:textId="77777777" w:rsidR="00A05C6D" w:rsidRPr="00DF72AA" w:rsidRDefault="00A05C6D" w:rsidP="00DF72AA">
      <w:pPr>
        <w:widowControl w:val="0"/>
        <w:autoSpaceDE w:val="0"/>
        <w:autoSpaceDN w:val="0"/>
        <w:adjustRightInd w:val="0"/>
        <w:ind w:left="1134"/>
        <w:jc w:val="both"/>
      </w:pPr>
    </w:p>
    <w:p w14:paraId="28607C4B" w14:textId="42EF9A56" w:rsidR="00DF72AA" w:rsidRDefault="00DF72AA" w:rsidP="00A05C6D">
      <w:pPr>
        <w:tabs>
          <w:tab w:val="left" w:pos="1418"/>
        </w:tabs>
        <w:ind w:left="1134"/>
        <w:jc w:val="both"/>
      </w:pPr>
      <w:r w:rsidRPr="00716095">
        <w:t xml:space="preserve">The Lubicon Lake Nation had filed a complaint with the Human Rights Committee who made a number of recommendations.  Canada has not followed any of the </w:t>
      </w:r>
      <w:r w:rsidR="00813B01">
        <w:t xml:space="preserve">Committee’s </w:t>
      </w:r>
      <w:r w:rsidR="00624115">
        <w:t>recommendations.</w:t>
      </w:r>
      <w:r w:rsidRPr="00716095">
        <w:t xml:space="preserve"> </w:t>
      </w:r>
      <w:r w:rsidR="007B5664">
        <w:t xml:space="preserve">In 2016, the Lubicon Cree Nation </w:t>
      </w:r>
      <w:r w:rsidRPr="00716095">
        <w:t>file</w:t>
      </w:r>
      <w:r w:rsidR="007B5664">
        <w:t>d an</w:t>
      </w:r>
      <w:r w:rsidRPr="00716095">
        <w:t xml:space="preserve"> urgent action </w:t>
      </w:r>
      <w:r w:rsidR="007B5664">
        <w:t xml:space="preserve">with CERD </w:t>
      </w:r>
      <w:r w:rsidRPr="00716095">
        <w:t>due to the recent developm</w:t>
      </w:r>
      <w:r w:rsidR="002D7275">
        <w:t xml:space="preserve">ents in our </w:t>
      </w:r>
      <w:r w:rsidR="00EB42C6">
        <w:t>Territory,</w:t>
      </w:r>
      <w:r w:rsidR="007B5664">
        <w:t xml:space="preserve"> Canada continues its attempts</w:t>
      </w:r>
      <w:r w:rsidR="00EB42C6">
        <w:t xml:space="preserve"> to crush our Nation. Our Nation</w:t>
      </w:r>
      <w:r w:rsidRPr="00716095">
        <w:t xml:space="preserve"> has never agreed to be part of the state of Canada.</w:t>
      </w:r>
    </w:p>
    <w:p w14:paraId="6ED35FAF" w14:textId="77777777" w:rsidR="00A05C6D" w:rsidRPr="00716095" w:rsidRDefault="00A05C6D" w:rsidP="00A05C6D">
      <w:pPr>
        <w:tabs>
          <w:tab w:val="left" w:pos="1418"/>
        </w:tabs>
        <w:ind w:left="1276"/>
        <w:jc w:val="both"/>
      </w:pPr>
    </w:p>
    <w:p w14:paraId="058057ED" w14:textId="5D4D6697" w:rsidR="00A05C6D" w:rsidRDefault="00DF72AA" w:rsidP="00045F94">
      <w:pPr>
        <w:widowControl w:val="0"/>
        <w:autoSpaceDE w:val="0"/>
        <w:autoSpaceDN w:val="0"/>
        <w:adjustRightInd w:val="0"/>
        <w:ind w:left="1134"/>
        <w:jc w:val="both"/>
      </w:pPr>
      <w:r w:rsidRPr="00716095">
        <w:t>Lubicon Lake Nation</w:t>
      </w:r>
      <w:r w:rsidR="00A05C6D">
        <w:t xml:space="preserve"> requested</w:t>
      </w:r>
      <w:r w:rsidR="00735EC5">
        <w:t xml:space="preserve"> the CERD</w:t>
      </w:r>
      <w:r w:rsidRPr="00716095">
        <w:t xml:space="preserve"> to find the violations and to consider taking the following measures to ensure that the Canadian state takes positiv</w:t>
      </w:r>
      <w:r w:rsidR="00045F94">
        <w:t xml:space="preserve">e action to ensure our Nation’s </w:t>
      </w:r>
      <w:r w:rsidRPr="00716095">
        <w:t xml:space="preserve">free exercise of our inherent right to self-determination and that the Canadian state meets its obligation to sit with the real representatives of the Lubicon </w:t>
      </w:r>
      <w:r w:rsidR="00045F94">
        <w:t xml:space="preserve">Lake </w:t>
      </w:r>
      <w:r w:rsidR="006C717A">
        <w:t>Nation</w:t>
      </w:r>
      <w:r w:rsidRPr="00716095">
        <w:t xml:space="preserve"> and quit trying to manufacture consent for our resources within our territory. </w:t>
      </w:r>
      <w:r w:rsidR="00035B46">
        <w:t xml:space="preserve"> CERD took up the issues raised by the Lubicon Lake Nation.  It is unfortunate that Canada has not complied with any of the requests made in 2016.  The situation continues to go unaddressed by Canada who pursues their own agenda to deny the Lubicon Lake Nation their rights to their territory and resources. </w:t>
      </w:r>
    </w:p>
    <w:p w14:paraId="213E1CC3" w14:textId="50F9A89E" w:rsidR="00353A0E" w:rsidRDefault="00353A0E" w:rsidP="00A05C6D">
      <w:pPr>
        <w:widowControl w:val="0"/>
        <w:autoSpaceDE w:val="0"/>
        <w:autoSpaceDN w:val="0"/>
        <w:adjustRightInd w:val="0"/>
        <w:ind w:left="1276"/>
        <w:jc w:val="both"/>
      </w:pPr>
    </w:p>
    <w:p w14:paraId="2F4560DF" w14:textId="6161CCED" w:rsidR="00035B46" w:rsidRDefault="00353A0E" w:rsidP="00447EF1">
      <w:pPr>
        <w:widowControl w:val="0"/>
        <w:autoSpaceDE w:val="0"/>
        <w:autoSpaceDN w:val="0"/>
        <w:adjustRightInd w:val="0"/>
        <w:ind w:left="1134"/>
        <w:jc w:val="both"/>
      </w:pPr>
      <w:r>
        <w:t>On</w:t>
      </w:r>
      <w:r w:rsidR="00632B70">
        <w:t xml:space="preserve"> 27 May 2016,</w:t>
      </w:r>
      <w:r w:rsidR="00035B46">
        <w:t xml:space="preserve"> the following communication was issued by </w:t>
      </w:r>
      <w:r w:rsidRPr="00353A0E">
        <w:t>CERD/89th/EWUAP/GH/MJA/</w:t>
      </w:r>
      <w:r w:rsidR="00624115" w:rsidRPr="00353A0E">
        <w:t>ks.</w:t>
      </w:r>
      <w:r w:rsidR="00035B46">
        <w:t xml:space="preserve">  The Chair asked Canada:</w:t>
      </w:r>
      <w:r w:rsidR="00035B46" w:rsidRPr="00035B46">
        <w:t xml:space="preserve"> </w:t>
      </w:r>
    </w:p>
    <w:p w14:paraId="26AB6E12" w14:textId="77777777" w:rsidR="00035B46" w:rsidRDefault="00035B46" w:rsidP="00035B46">
      <w:pPr>
        <w:widowControl w:val="0"/>
        <w:autoSpaceDE w:val="0"/>
        <w:autoSpaceDN w:val="0"/>
        <w:adjustRightInd w:val="0"/>
        <w:ind w:left="1276"/>
        <w:jc w:val="both"/>
      </w:pPr>
    </w:p>
    <w:p w14:paraId="19C25FD4" w14:textId="7EDAB053" w:rsidR="00035B46" w:rsidRDefault="00035B46" w:rsidP="00302672">
      <w:pPr>
        <w:widowControl w:val="0"/>
        <w:autoSpaceDE w:val="0"/>
        <w:autoSpaceDN w:val="0"/>
        <w:adjustRightInd w:val="0"/>
        <w:ind w:left="1843" w:right="843" w:firstLine="425"/>
        <w:jc w:val="both"/>
      </w:pPr>
      <w:r>
        <w:t xml:space="preserve">In accordance with Article 9 (1) of the Convention and article 65 of its Rules of Procedure, the Committee requests that the State party submit information on all of the issues and concerns as outlined above by 31 October 2016, as well as on any action already taken to address these concerns. In particular, it requests that the Government of Canada provide information on:  </w:t>
      </w:r>
    </w:p>
    <w:p w14:paraId="50E2FA11" w14:textId="77777777" w:rsidR="00035B46" w:rsidRDefault="00035B46" w:rsidP="00302672">
      <w:pPr>
        <w:widowControl w:val="0"/>
        <w:autoSpaceDE w:val="0"/>
        <w:autoSpaceDN w:val="0"/>
        <w:adjustRightInd w:val="0"/>
        <w:ind w:left="1843" w:right="843" w:firstLine="425"/>
        <w:jc w:val="both"/>
      </w:pPr>
      <w:r>
        <w:t xml:space="preserve"> </w:t>
      </w:r>
    </w:p>
    <w:p w14:paraId="3146A136" w14:textId="77777777" w:rsidR="00035B46" w:rsidRDefault="00035B46" w:rsidP="00302672">
      <w:pPr>
        <w:widowControl w:val="0"/>
        <w:autoSpaceDE w:val="0"/>
        <w:autoSpaceDN w:val="0"/>
        <w:adjustRightInd w:val="0"/>
        <w:ind w:left="1843" w:right="843" w:firstLine="425"/>
        <w:jc w:val="both"/>
      </w:pPr>
      <w:r>
        <w:t xml:space="preserve"> (a) Efforts made to adopt legislative or administrative measures to hold accountable transnational corporations registered in Canada whose activities violate or negatively affect human rights, including the rights of indigenous people and local communities; </w:t>
      </w:r>
    </w:p>
    <w:p w14:paraId="7DA3568D" w14:textId="77777777" w:rsidR="00035B46" w:rsidRDefault="00035B46" w:rsidP="00302672">
      <w:pPr>
        <w:widowControl w:val="0"/>
        <w:autoSpaceDE w:val="0"/>
        <w:autoSpaceDN w:val="0"/>
        <w:adjustRightInd w:val="0"/>
        <w:ind w:left="1843" w:right="843" w:firstLine="425"/>
        <w:jc w:val="both"/>
      </w:pPr>
      <w:r>
        <w:t xml:space="preserve"> </w:t>
      </w:r>
    </w:p>
    <w:p w14:paraId="7E3C596D" w14:textId="77777777" w:rsidR="00035B46" w:rsidRDefault="00035B46" w:rsidP="00302672">
      <w:pPr>
        <w:widowControl w:val="0"/>
        <w:autoSpaceDE w:val="0"/>
        <w:autoSpaceDN w:val="0"/>
        <w:adjustRightInd w:val="0"/>
        <w:ind w:left="1843" w:right="843" w:firstLine="425"/>
        <w:jc w:val="both"/>
      </w:pPr>
      <w:r>
        <w:t xml:space="preserve"> (b) Steps taken to ensure the participation of all Lubikon Lake Nations and their elected representatives in decision-making processes that concern them;  </w:t>
      </w:r>
    </w:p>
    <w:p w14:paraId="6C3FB4B0" w14:textId="77777777" w:rsidR="00035B46" w:rsidRDefault="00035B46" w:rsidP="00302672">
      <w:pPr>
        <w:widowControl w:val="0"/>
        <w:autoSpaceDE w:val="0"/>
        <w:autoSpaceDN w:val="0"/>
        <w:adjustRightInd w:val="0"/>
        <w:ind w:left="1843" w:right="843" w:firstLine="425"/>
        <w:jc w:val="both"/>
      </w:pPr>
      <w:r>
        <w:t xml:space="preserve"> </w:t>
      </w:r>
    </w:p>
    <w:p w14:paraId="6303BB26" w14:textId="77777777" w:rsidR="00035B46" w:rsidRDefault="00035B46" w:rsidP="00302672">
      <w:pPr>
        <w:widowControl w:val="0"/>
        <w:autoSpaceDE w:val="0"/>
        <w:autoSpaceDN w:val="0"/>
        <w:adjustRightInd w:val="0"/>
        <w:ind w:left="1843" w:right="843" w:firstLine="425"/>
        <w:jc w:val="both"/>
      </w:pPr>
      <w:r>
        <w:t xml:space="preserve"> (c) Plans, if any, to negotiate with the Lubikon Lake Nation (MuskotewSakahikan Enowuk) with regard to their land claim referred to above;  </w:t>
      </w:r>
    </w:p>
    <w:p w14:paraId="212F7A59" w14:textId="77777777" w:rsidR="00035B46" w:rsidRDefault="00035B46" w:rsidP="00302672">
      <w:pPr>
        <w:widowControl w:val="0"/>
        <w:autoSpaceDE w:val="0"/>
        <w:autoSpaceDN w:val="0"/>
        <w:adjustRightInd w:val="0"/>
        <w:ind w:left="1843" w:right="843" w:firstLine="425"/>
        <w:jc w:val="both"/>
      </w:pPr>
      <w:r>
        <w:t xml:space="preserve"> </w:t>
      </w:r>
    </w:p>
    <w:p w14:paraId="68545C64" w14:textId="77777777" w:rsidR="00B71F05" w:rsidRDefault="00035B46" w:rsidP="00302672">
      <w:pPr>
        <w:widowControl w:val="0"/>
        <w:autoSpaceDE w:val="0"/>
        <w:autoSpaceDN w:val="0"/>
        <w:adjustRightInd w:val="0"/>
        <w:ind w:left="1843" w:right="843" w:firstLine="425"/>
        <w:jc w:val="both"/>
      </w:pPr>
      <w:r>
        <w:t xml:space="preserve"> (d) Measures to implement in good faith the right to free, prior and informed consent of Aboriginal peoples whenever their rights may be affected by projects carried out on their lands. </w:t>
      </w:r>
      <w:r w:rsidR="00353A0E" w:rsidRPr="00353A0E">
        <w:t xml:space="preserve">    </w:t>
      </w:r>
    </w:p>
    <w:p w14:paraId="31E410E1" w14:textId="77777777" w:rsidR="00B71F05" w:rsidRDefault="00B71F05" w:rsidP="00B71F05">
      <w:pPr>
        <w:widowControl w:val="0"/>
        <w:autoSpaceDE w:val="0"/>
        <w:autoSpaceDN w:val="0"/>
        <w:adjustRightInd w:val="0"/>
        <w:jc w:val="both"/>
      </w:pPr>
    </w:p>
    <w:p w14:paraId="6E500523" w14:textId="77777777" w:rsidR="00A2116F" w:rsidRDefault="00B71F05" w:rsidP="00FC2406">
      <w:pPr>
        <w:widowControl w:val="0"/>
        <w:autoSpaceDE w:val="0"/>
        <w:autoSpaceDN w:val="0"/>
        <w:adjustRightInd w:val="0"/>
        <w:ind w:left="1134"/>
        <w:jc w:val="both"/>
      </w:pPr>
      <w:r>
        <w:tab/>
      </w:r>
    </w:p>
    <w:p w14:paraId="0D9FCD06" w14:textId="7FA785AE" w:rsidR="00AC5103" w:rsidRDefault="00B71F05" w:rsidP="00FC2406">
      <w:pPr>
        <w:widowControl w:val="0"/>
        <w:autoSpaceDE w:val="0"/>
        <w:autoSpaceDN w:val="0"/>
        <w:adjustRightInd w:val="0"/>
        <w:ind w:left="1134"/>
        <w:jc w:val="both"/>
      </w:pPr>
      <w:r>
        <w:t>In the year since the letter was sent by the Chair of CERD – Canada has not complied with any of steps outlined by the Committee.</w:t>
      </w:r>
      <w:r w:rsidR="00353A0E" w:rsidRPr="00353A0E">
        <w:t xml:space="preserve"> </w:t>
      </w:r>
      <w:r w:rsidR="00763C23">
        <w:t>Canada continues its p</w:t>
      </w:r>
      <w:r w:rsidR="00302672">
        <w:t xml:space="preserve">olicy to crush the Lubicon Lake </w:t>
      </w:r>
      <w:r w:rsidR="00763C23">
        <w:t xml:space="preserve">Nation and </w:t>
      </w:r>
      <w:r w:rsidR="00302672">
        <w:t xml:space="preserve">take the resources without our Nation’s </w:t>
      </w:r>
      <w:r w:rsidR="00A05499">
        <w:t>consent;</w:t>
      </w:r>
      <w:r w:rsidR="00914095">
        <w:t xml:space="preserve"> </w:t>
      </w:r>
    </w:p>
    <w:p w14:paraId="5113BF0A" w14:textId="77777777" w:rsidR="00AC5103" w:rsidRDefault="00AC5103" w:rsidP="00035B46">
      <w:pPr>
        <w:widowControl w:val="0"/>
        <w:autoSpaceDE w:val="0"/>
        <w:autoSpaceDN w:val="0"/>
        <w:adjustRightInd w:val="0"/>
        <w:ind w:left="1276"/>
        <w:jc w:val="both"/>
      </w:pPr>
    </w:p>
    <w:p w14:paraId="14C1AEDC" w14:textId="3864F39A" w:rsidR="004E0354" w:rsidRDefault="00924CB0" w:rsidP="00A2116F">
      <w:pPr>
        <w:pStyle w:val="ListParagraph"/>
        <w:numPr>
          <w:ilvl w:val="0"/>
          <w:numId w:val="47"/>
        </w:numPr>
        <w:spacing w:after="315" w:line="265" w:lineRule="auto"/>
        <w:ind w:left="1134" w:right="-7" w:hanging="425"/>
        <w:jc w:val="both"/>
      </w:pPr>
      <w:r>
        <w:t xml:space="preserve">The </w:t>
      </w:r>
      <w:r w:rsidR="000B4794">
        <w:t>Moose Cree's Unanimous Rejecti</w:t>
      </w:r>
      <w:r w:rsidR="002A257A">
        <w:t xml:space="preserve">on of </w:t>
      </w:r>
      <w:r w:rsidR="000B4794">
        <w:t>Proposed Drilling Project by Nio</w:t>
      </w:r>
      <w:r w:rsidR="002A257A">
        <w:t xml:space="preserve">bay Metals Inc (PR16-10977) and Need for Permanent Protection of the North French River </w:t>
      </w:r>
      <w:r w:rsidR="000B4794">
        <w:t>Watershed and South Bluff Creek is a clear example of the Canadian Mining Law which allows for free entry into the territories of Indigenous Nations and allows for staking and registration of mining interests in the territories of Indigenous Nations without</w:t>
      </w:r>
      <w:r w:rsidR="004712B9">
        <w:t xml:space="preserve"> such Indigenous Nations’ </w:t>
      </w:r>
      <w:r w:rsidR="000B4794">
        <w:t>free, prior and informed consent.</w:t>
      </w:r>
      <w:r w:rsidR="00237FEC">
        <w:t xml:space="preserve"> </w:t>
      </w:r>
    </w:p>
    <w:p w14:paraId="4EB35CDF" w14:textId="77777777" w:rsidR="004E0354" w:rsidRDefault="004E0354" w:rsidP="004E0354">
      <w:pPr>
        <w:pStyle w:val="ListParagraph"/>
        <w:spacing w:after="315" w:line="265" w:lineRule="auto"/>
        <w:ind w:right="-7"/>
        <w:jc w:val="both"/>
      </w:pPr>
    </w:p>
    <w:p w14:paraId="3A70C2CC" w14:textId="1FA7111D" w:rsidR="002A257A" w:rsidRDefault="00237FEC" w:rsidP="009A0D92">
      <w:pPr>
        <w:pStyle w:val="ListParagraph"/>
        <w:spacing w:after="315" w:line="265" w:lineRule="auto"/>
        <w:ind w:left="1134" w:right="-7"/>
        <w:jc w:val="both"/>
      </w:pPr>
      <w:r>
        <w:t xml:space="preserve">The allowance of mining permits and staking is based on the notion that the underlying title vests in the Crown. There is no recognition that our Nations have the right to say “no”. </w:t>
      </w:r>
      <w:r w:rsidR="000B4794">
        <w:t xml:space="preserve">Once a company </w:t>
      </w:r>
      <w:r w:rsidR="004E0354">
        <w:t>h</w:t>
      </w:r>
      <w:r w:rsidR="00827634">
        <w:t>as a permit, the</w:t>
      </w:r>
      <w:r w:rsidR="000B4794">
        <w:t xml:space="preserve"> Indigenous Nations are pushed aside. Their concerns for water and the environment are ignored. Numerous attempts by the Moose Cree to bring the matter to the attention of various government officials have gone unanswered. </w:t>
      </w:r>
      <w:r w:rsidR="002A257A">
        <w:t xml:space="preserve">This area and the North French River Watershed lies within the </w:t>
      </w:r>
      <w:r w:rsidR="00097067">
        <w:t>heart of the Moose Cree Territory</w:t>
      </w:r>
      <w:r w:rsidR="002A257A">
        <w:t>. It is an area of great cultural and en</w:t>
      </w:r>
      <w:r w:rsidR="00336F76">
        <w:t>vironmental significance to the Moose Cree Peoples.</w:t>
      </w:r>
      <w:r w:rsidR="002A257A">
        <w:t xml:space="preserve"> The North French River is one of las</w:t>
      </w:r>
      <w:r w:rsidR="00336F76">
        <w:t>t sources of clean water fo</w:t>
      </w:r>
      <w:r w:rsidR="00924CB0">
        <w:t>r the Moose Cree Peoples</w:t>
      </w:r>
      <w:r w:rsidR="000B4794">
        <w:t>, the wildlife and other living beings including fish</w:t>
      </w:r>
      <w:r w:rsidR="002A257A">
        <w:t>. Its protection and preservation are of par</w:t>
      </w:r>
      <w:r w:rsidR="002E0E1A">
        <w:t>amount importance the Moose Cree deemed i</w:t>
      </w:r>
      <w:r w:rsidR="002A257A">
        <w:t>t permanently pro</w:t>
      </w:r>
      <w:r w:rsidR="003D7F9A">
        <w:t>tected in 2002 a</w:t>
      </w:r>
      <w:r w:rsidR="002E0E1A">
        <w:t xml:space="preserve">nd reaffirmed </w:t>
      </w:r>
      <w:r w:rsidR="003D7F9A">
        <w:t>i</w:t>
      </w:r>
      <w:r w:rsidR="002A257A">
        <w:t>n 2015. The South B</w:t>
      </w:r>
      <w:r w:rsidR="003D7F9A">
        <w:t>luff Creek</w:t>
      </w:r>
      <w:r w:rsidR="00DB7D75">
        <w:t xml:space="preserve"> is highly used by the Moose Cree</w:t>
      </w:r>
      <w:r w:rsidR="003D7F9A">
        <w:t xml:space="preserve"> and have</w:t>
      </w:r>
      <w:r w:rsidR="00DB7D75">
        <w:t xml:space="preserve"> camps all along it.</w:t>
      </w:r>
      <w:r w:rsidR="002A257A">
        <w:t xml:space="preserve"> You can still drink the water from the creek and the sensitive wetland area supports brook trout, moose, black bear and boreal caribou. Families that occupy the area are united in their opposition t</w:t>
      </w:r>
      <w:r w:rsidR="003D7F9A">
        <w:t xml:space="preserve">o this project. The protection of this watershed is </w:t>
      </w:r>
      <w:r w:rsidR="002A257A">
        <w:t>of pa</w:t>
      </w:r>
      <w:r w:rsidR="00C83903">
        <w:t>ramount importance to the Moose Cree Peoples</w:t>
      </w:r>
      <w:r w:rsidR="002A257A">
        <w:t>.</w:t>
      </w:r>
      <w:r w:rsidR="005D21E6">
        <w:t xml:space="preserve"> </w:t>
      </w:r>
      <w:r w:rsidR="00EA1D2D">
        <w:t xml:space="preserve">The </w:t>
      </w:r>
      <w:r w:rsidR="005D21E6">
        <w:t xml:space="preserve">Moose Cree took the step to inform the mining companies of their position to </w:t>
      </w:r>
      <w:r w:rsidR="002A257A">
        <w:t>unanimous rejection of the Ontario government's assertion to explore and mine the toxic mineral, niobium, on the South Bluff Creek watershed.</w:t>
      </w:r>
    </w:p>
    <w:p w14:paraId="2B491C5F" w14:textId="77777777" w:rsidR="00603C91" w:rsidRDefault="00603C91" w:rsidP="00603C91">
      <w:pPr>
        <w:pStyle w:val="ListParagraph"/>
        <w:spacing w:after="315" w:line="265" w:lineRule="auto"/>
        <w:ind w:right="1022"/>
        <w:jc w:val="both"/>
      </w:pPr>
    </w:p>
    <w:p w14:paraId="17EA0B75" w14:textId="55A029F8" w:rsidR="002E0E1A" w:rsidRDefault="00603C91" w:rsidP="00A2116F">
      <w:pPr>
        <w:pStyle w:val="ListParagraph"/>
        <w:spacing w:after="3" w:line="258" w:lineRule="auto"/>
        <w:ind w:left="1134" w:right="-7"/>
        <w:jc w:val="both"/>
      </w:pPr>
      <w:r>
        <w:t>Despite the notices and letters,</w:t>
      </w:r>
      <w:r w:rsidR="00CD0B0F">
        <w:t xml:space="preserve"> the</w:t>
      </w:r>
      <w:r>
        <w:t xml:space="preserve"> Moose Cree were </w:t>
      </w:r>
      <w:r w:rsidR="002A257A">
        <w:t xml:space="preserve">alarmed by </w:t>
      </w:r>
      <w:r>
        <w:t xml:space="preserve">a mining </w:t>
      </w:r>
      <w:r w:rsidR="002A257A">
        <w:t xml:space="preserve">company posted plans on their website for mine construction in 2020 and production by 2021. These plans are for potential investors, include </w:t>
      </w:r>
      <w:r w:rsidR="008071CF">
        <w:t xml:space="preserve">several road options through the Moose Cree Territory </w:t>
      </w:r>
      <w:r w:rsidR="002A257A">
        <w:t>and the construction of a transmission line across the North French River Watershed. All of th</w:t>
      </w:r>
      <w:r>
        <w:t>is</w:t>
      </w:r>
      <w:r w:rsidR="00F52EBA">
        <w:t xml:space="preserve"> is being proposed without Moose Cree</w:t>
      </w:r>
      <w:r w:rsidR="002A257A">
        <w:t xml:space="preserve"> consent.</w:t>
      </w:r>
      <w:r>
        <w:t xml:space="preserve"> T</w:t>
      </w:r>
      <w:r w:rsidR="002A257A">
        <w:t>he Sou</w:t>
      </w:r>
      <w:r>
        <w:t>th Bluff Creek is an area that i</w:t>
      </w:r>
      <w:r w:rsidR="002A257A">
        <w:t>s not open to mining or any other industrial develo</w:t>
      </w:r>
      <w:r>
        <w:t>pment. It is not a matter of the</w:t>
      </w:r>
      <w:r w:rsidR="002A257A">
        <w:t xml:space="preserve"> community needing more time to better understand the economics of the project. Moose Cree will not allow any industrial development here ever. </w:t>
      </w:r>
      <w:r w:rsidR="002E0E1A">
        <w:t xml:space="preserve"> </w:t>
      </w:r>
    </w:p>
    <w:p w14:paraId="49CD2E24" w14:textId="77777777" w:rsidR="002E0E1A" w:rsidRDefault="002E0E1A" w:rsidP="002E0E1A">
      <w:pPr>
        <w:pStyle w:val="ListParagraph"/>
        <w:spacing w:after="3" w:line="258" w:lineRule="auto"/>
        <w:ind w:right="-7"/>
        <w:jc w:val="both"/>
      </w:pPr>
    </w:p>
    <w:p w14:paraId="32044F30" w14:textId="77777777" w:rsidR="005D6E26" w:rsidRDefault="007E4CC4" w:rsidP="007522E1">
      <w:pPr>
        <w:pStyle w:val="ListParagraph"/>
        <w:spacing w:after="3" w:line="258" w:lineRule="auto"/>
        <w:ind w:left="1134" w:right="-7"/>
        <w:jc w:val="both"/>
      </w:pPr>
      <w:r>
        <w:t xml:space="preserve">The </w:t>
      </w:r>
      <w:r w:rsidR="00603C91">
        <w:t>Moose Cree</w:t>
      </w:r>
      <w:r w:rsidR="002A257A">
        <w:t xml:space="preserve"> were invited on October 18, 2016 to present to the Federal Standing Committee on Environment and Sustainable Development on Canada's protected areas and conservation objectives. Canada has plans to meet ambitious targets under the Convention of Biological Diversity to protect 17% of lands and inland waters by 2020. Ontario has endorsed these targets as well. </w:t>
      </w:r>
      <w:r w:rsidR="008A0F02">
        <w:t>The Federal Standing Committee on Environment and Sustainable Development</w:t>
      </w:r>
      <w:r w:rsidR="004202BC">
        <w:t xml:space="preserve"> </w:t>
      </w:r>
      <w:r w:rsidR="002A257A">
        <w:t>strongly encouraged the committee and all governments to work</w:t>
      </w:r>
      <w:r w:rsidR="0096328D">
        <w:t xml:space="preserve"> with Indigenous Peoples to enac</w:t>
      </w:r>
      <w:r w:rsidR="002A257A">
        <w:t>t and respect our protected areas in</w:t>
      </w:r>
      <w:r w:rsidR="0096328D">
        <w:t xml:space="preserve"> their plans</w:t>
      </w:r>
      <w:r w:rsidR="002A257A">
        <w:t>.</w:t>
      </w:r>
      <w:r w:rsidR="0096328D">
        <w:t xml:space="preserve"> The </w:t>
      </w:r>
      <w:r w:rsidR="002A257A">
        <w:t>government has not withdrawn the remaining approximately 507,000 ha of the watershed (that is still open to mining). A conservation reserve already exists in the watershed protecting 158,286 ha.</w:t>
      </w:r>
      <w:r w:rsidR="0096328D">
        <w:t xml:space="preserve"> </w:t>
      </w:r>
    </w:p>
    <w:p w14:paraId="65FA833D" w14:textId="77777777" w:rsidR="005D6E26" w:rsidRDefault="005D6E26" w:rsidP="007522E1">
      <w:pPr>
        <w:pStyle w:val="ListParagraph"/>
        <w:spacing w:after="3" w:line="258" w:lineRule="auto"/>
        <w:ind w:left="1134" w:right="-7"/>
        <w:jc w:val="both"/>
      </w:pPr>
    </w:p>
    <w:p w14:paraId="4AACF0E7" w14:textId="4A551D2C" w:rsidR="002A257A" w:rsidRDefault="005D6E26" w:rsidP="007522E1">
      <w:pPr>
        <w:pStyle w:val="ListParagraph"/>
        <w:spacing w:after="3" w:line="258" w:lineRule="auto"/>
        <w:ind w:left="1134" w:right="-7"/>
        <w:jc w:val="both"/>
      </w:pPr>
      <w:r>
        <w:t>The Moose Cree</w:t>
      </w:r>
      <w:r w:rsidR="002A257A">
        <w:t xml:space="preserve"> people are the original people of this la</w:t>
      </w:r>
      <w:r w:rsidR="002C6F19">
        <w:t xml:space="preserve">nd and the Creator has given them this land as their home. </w:t>
      </w:r>
      <w:r w:rsidR="00D219AC">
        <w:t xml:space="preserve">The </w:t>
      </w:r>
      <w:r w:rsidR="002C6F19">
        <w:t>Moose Cree</w:t>
      </w:r>
      <w:r w:rsidR="00DF771D">
        <w:t xml:space="preserve"> have an inherent right to their</w:t>
      </w:r>
      <w:r w:rsidR="0096328D">
        <w:t xml:space="preserve"> Territory. Their</w:t>
      </w:r>
      <w:r w:rsidR="002A257A">
        <w:t xml:space="preserve"> ancestors have lived on this land since time immemorial drawing the </w:t>
      </w:r>
      <w:r w:rsidR="00655785">
        <w:t>animals, fish and plants for their</w:t>
      </w:r>
      <w:r w:rsidR="00A65E6F">
        <w:t xml:space="preserve"> sustenance. The Moose Cree </w:t>
      </w:r>
      <w:r w:rsidR="002A257A">
        <w:t>are charged by the Creator with the sacred duty of preserving and protecting th</w:t>
      </w:r>
      <w:r w:rsidR="00696FA7">
        <w:t xml:space="preserve">e land including its waters for </w:t>
      </w:r>
      <w:r w:rsidR="00C278E9">
        <w:t>future generations. When their forefathers enter</w:t>
      </w:r>
      <w:r w:rsidR="002A257A">
        <w:t>ed</w:t>
      </w:r>
      <w:r w:rsidR="00C278E9">
        <w:t xml:space="preserve"> into</w:t>
      </w:r>
      <w:r w:rsidR="002A257A">
        <w:t xml:space="preserve"> the </w:t>
      </w:r>
      <w:r w:rsidR="00C278E9">
        <w:t xml:space="preserve">peace and friendship </w:t>
      </w:r>
      <w:r w:rsidR="002A257A">
        <w:t>treaty</w:t>
      </w:r>
      <w:r w:rsidR="00C278E9">
        <w:t xml:space="preserve"> with the British Crown, they made it clear they were not giving up the</w:t>
      </w:r>
      <w:r w:rsidR="002A257A">
        <w:t xml:space="preserve"> land</w:t>
      </w:r>
      <w:r w:rsidR="00696FA7">
        <w:t xml:space="preserve"> or the resources. </w:t>
      </w:r>
      <w:r w:rsidR="00227AB4">
        <w:t>The Moose Cree</w:t>
      </w:r>
      <w:r w:rsidR="00C278E9">
        <w:t xml:space="preserve"> ancestors</w:t>
      </w:r>
      <w:r w:rsidR="002A257A">
        <w:t xml:space="preserve"> understood making </w:t>
      </w:r>
      <w:r w:rsidR="0096328D">
        <w:t>the treaty as sharing the land i</w:t>
      </w:r>
      <w:r w:rsidR="00C278E9">
        <w:t>n a way that preserved their</w:t>
      </w:r>
      <w:r w:rsidR="002A257A">
        <w:t xml:space="preserve"> righ</w:t>
      </w:r>
      <w:r w:rsidR="00F114E3">
        <w:t xml:space="preserve">ts to the land. Any </w:t>
      </w:r>
      <w:r w:rsidR="00053501">
        <w:t>activity with the Moose Cree</w:t>
      </w:r>
      <w:r w:rsidR="00842846">
        <w:t xml:space="preserve"> Territory requires their free, prior and informed</w:t>
      </w:r>
      <w:r w:rsidR="002A257A">
        <w:t xml:space="preserve"> consent prior to any</w:t>
      </w:r>
      <w:r w:rsidR="00842846">
        <w:t xml:space="preserve"> development</w:t>
      </w:r>
      <w:r w:rsidR="002A257A">
        <w:t>.</w:t>
      </w:r>
      <w:r w:rsidR="0096328D">
        <w:t xml:space="preserve"> G</w:t>
      </w:r>
      <w:r w:rsidR="002A257A">
        <w:t>overnment</w:t>
      </w:r>
      <w:r w:rsidR="0096328D">
        <w:t>s in Canada have to stop giving</w:t>
      </w:r>
      <w:r w:rsidR="002A257A">
        <w:t xml:space="preserve"> exploration permit</w:t>
      </w:r>
      <w:r w:rsidR="00AD5F3B">
        <w:t xml:space="preserve">s in Moose Cree Territory as it is based </w:t>
      </w:r>
      <w:r w:rsidR="00B50DC9">
        <w:t xml:space="preserve">on </w:t>
      </w:r>
      <w:r w:rsidR="00F33055">
        <w:t xml:space="preserve">racist ideologies that as Indigenous Peoples, they </w:t>
      </w:r>
      <w:r w:rsidR="00197883">
        <w:t>do</w:t>
      </w:r>
      <w:r w:rsidR="00F33055">
        <w:t xml:space="preserve"> not have a right to their Territory, and therefore, their consent is not required</w:t>
      </w:r>
      <w:r w:rsidR="00197883">
        <w:t xml:space="preserve">; </w:t>
      </w:r>
      <w:r w:rsidR="00E6671C">
        <w:t>no</w:t>
      </w:r>
      <w:r w:rsidR="0096328D">
        <w:t xml:space="preserve"> other people can have their land staked by mining companies</w:t>
      </w:r>
      <w:r w:rsidR="00E6671C">
        <w:t xml:space="preserve"> without their consent</w:t>
      </w:r>
      <w:r w:rsidR="0096328D">
        <w:t xml:space="preserve"> C</w:t>
      </w:r>
      <w:r w:rsidR="00E6671C">
        <w:t xml:space="preserve">anada and its provinces beliefs and actions </w:t>
      </w:r>
      <w:r w:rsidR="0096328D">
        <w:t>that they can issue these permits without our c</w:t>
      </w:r>
      <w:r w:rsidR="00204AB9">
        <w:t>onsent is</w:t>
      </w:r>
      <w:r w:rsidR="0096328D">
        <w:t xml:space="preserve"> a violation of </w:t>
      </w:r>
      <w:r w:rsidR="00266517">
        <w:t>Indigenous Peoples</w:t>
      </w:r>
      <w:r w:rsidR="00EE1C71">
        <w:t xml:space="preserve"> rights; and </w:t>
      </w:r>
    </w:p>
    <w:p w14:paraId="4F42A231" w14:textId="77777777" w:rsidR="00EE1C71" w:rsidRDefault="00EE1C71" w:rsidP="007522E1">
      <w:pPr>
        <w:pStyle w:val="ListParagraph"/>
        <w:spacing w:after="3" w:line="258" w:lineRule="auto"/>
        <w:ind w:left="1134" w:right="-7"/>
        <w:jc w:val="both"/>
      </w:pPr>
    </w:p>
    <w:p w14:paraId="14C694DC" w14:textId="1927862B" w:rsidR="00353A0E" w:rsidRDefault="00AF49D9" w:rsidP="00CD1D03">
      <w:pPr>
        <w:pStyle w:val="ListParagraph"/>
        <w:numPr>
          <w:ilvl w:val="0"/>
          <w:numId w:val="34"/>
        </w:numPr>
        <w:spacing w:after="3" w:line="258" w:lineRule="auto"/>
        <w:ind w:right="-7"/>
        <w:jc w:val="both"/>
      </w:pPr>
      <w:r>
        <w:t xml:space="preserve">Perhaps one of the most </w:t>
      </w:r>
      <w:r w:rsidR="00662355">
        <w:t xml:space="preserve">disturbing and blatant </w:t>
      </w:r>
      <w:r w:rsidR="00B4204A">
        <w:t>examples of racism based policies perpetuated by the Canadian state</w:t>
      </w:r>
      <w:r w:rsidR="00C35424">
        <w:t xml:space="preserve">, that places less value on </w:t>
      </w:r>
      <w:r w:rsidR="00BF25CD">
        <w:t>Indigenous Nations and Peoples,</w:t>
      </w:r>
      <w:r w:rsidR="00B4204A">
        <w:t xml:space="preserve"> is the </w:t>
      </w:r>
      <w:r w:rsidR="006E4802">
        <w:t xml:space="preserve">continued issue of </w:t>
      </w:r>
      <w:r w:rsidR="00A033F5">
        <w:t xml:space="preserve">the </w:t>
      </w:r>
      <w:r w:rsidR="00BF25CD">
        <w:t xml:space="preserve">many Indigenous </w:t>
      </w:r>
      <w:r w:rsidR="00F52097">
        <w:t>communities</w:t>
      </w:r>
      <w:r w:rsidR="006E4802">
        <w:t xml:space="preserve"> that do not have access to clean </w:t>
      </w:r>
      <w:r w:rsidR="00ED07E5">
        <w:t>water.</w:t>
      </w:r>
      <w:r w:rsidR="000B2B44" w:rsidRPr="000B2B44">
        <w:rPr>
          <w:rStyle w:val="FootnoteReference"/>
        </w:rPr>
        <w:t xml:space="preserve"> </w:t>
      </w:r>
      <w:r w:rsidR="000B2B44">
        <w:rPr>
          <w:rStyle w:val="FootnoteReference"/>
        </w:rPr>
        <w:footnoteReference w:id="19"/>
      </w:r>
      <w:r w:rsidR="00A033F5">
        <w:t xml:space="preserve"> Despite having approximately 7% of the world’s fresh water, and despite </w:t>
      </w:r>
      <w:r w:rsidR="00E87156">
        <w:t xml:space="preserve">Canada being a developed and modern country, many Indigenous communities must boil their </w:t>
      </w:r>
      <w:r w:rsidR="00B53306">
        <w:t xml:space="preserve">water to drink, cook or </w:t>
      </w:r>
      <w:r w:rsidR="005A0C99">
        <w:t xml:space="preserve">bath. In some </w:t>
      </w:r>
      <w:r w:rsidR="00624115">
        <w:t>instances,</w:t>
      </w:r>
      <w:r w:rsidR="009C40CE">
        <w:t xml:space="preserve"> lack of clean drinking water has been ongoing for many, many years; Shoal Lake #40 First Nation has not had clean drinking water for over twenty (20) years, despite living beside the lake that provides the City of Winn</w:t>
      </w:r>
      <w:r w:rsidR="00D47FD6">
        <w:t>ipeg with their drinking water.</w:t>
      </w:r>
      <w:r w:rsidR="00D47FD6" w:rsidRPr="00D47FD6">
        <w:rPr>
          <w:rStyle w:val="FootnoteReference"/>
        </w:rPr>
        <w:t xml:space="preserve"> </w:t>
      </w:r>
      <w:r w:rsidR="00D47FD6">
        <w:rPr>
          <w:rStyle w:val="FootnoteReference"/>
        </w:rPr>
        <w:footnoteReference w:id="20"/>
      </w:r>
      <w:r w:rsidR="00090051">
        <w:t xml:space="preserve"> Not only is the </w:t>
      </w:r>
      <w:r w:rsidR="00071EFC">
        <w:t xml:space="preserve">lack </w:t>
      </w:r>
      <w:r w:rsidR="00CD3E20">
        <w:t xml:space="preserve">of </w:t>
      </w:r>
      <w:r w:rsidR="00090051">
        <w:t xml:space="preserve">clean drinking water unacceptable, the basis </w:t>
      </w:r>
      <w:r w:rsidR="00804EFC">
        <w:t xml:space="preserve">behind it, which we </w:t>
      </w:r>
      <w:r w:rsidR="00624115">
        <w:t>submit</w:t>
      </w:r>
      <w:r w:rsidR="00804EFC">
        <w:t xml:space="preserve"> is based on racis</w:t>
      </w:r>
      <w:r w:rsidR="00CD3E20">
        <w:t xml:space="preserve">m, </w:t>
      </w:r>
      <w:r w:rsidR="003C3AAD">
        <w:t xml:space="preserve">is unconscionable. We wish to note that when a similar </w:t>
      </w:r>
      <w:r w:rsidR="006247ED">
        <w:t>situation</w:t>
      </w:r>
      <w:r w:rsidR="003C3AAD">
        <w:t xml:space="preserve"> arose in Walkerton, Ontario, </w:t>
      </w:r>
      <w:r w:rsidR="006247ED">
        <w:t xml:space="preserve">where the </w:t>
      </w:r>
      <w:r w:rsidR="007B3B22">
        <w:t xml:space="preserve">non-Indigenous town’s </w:t>
      </w:r>
      <w:r w:rsidR="006247ED">
        <w:t>water system was compromised</w:t>
      </w:r>
      <w:r w:rsidR="007B3B22">
        <w:t>, immediate action was taken, funding provided, and an inquiry created to determine wh</w:t>
      </w:r>
      <w:r w:rsidR="000D5364">
        <w:t>at happened and how to ensure it would not happen again.</w:t>
      </w:r>
      <w:r w:rsidR="005107F0" w:rsidRPr="005107F0">
        <w:rPr>
          <w:rStyle w:val="FootnoteReference"/>
        </w:rPr>
        <w:t xml:space="preserve"> </w:t>
      </w:r>
      <w:r w:rsidR="005107F0">
        <w:rPr>
          <w:rStyle w:val="FootnoteReference"/>
        </w:rPr>
        <w:footnoteReference w:id="21"/>
      </w:r>
      <w:r w:rsidR="008E138F">
        <w:t xml:space="preserve"> </w:t>
      </w:r>
      <w:r w:rsidR="008F62FE">
        <w:t>The Nations</w:t>
      </w:r>
      <w:r w:rsidR="00A87CB1">
        <w:t xml:space="preserve"> submit that the unacceptable behaviour and inactions of Canada’s governments</w:t>
      </w:r>
      <w:r w:rsidR="00F12DEC">
        <w:t xml:space="preserve"> towards taking steps to ensure clean drinking water for all Indigenous</w:t>
      </w:r>
      <w:r w:rsidR="00155705">
        <w:t xml:space="preserve"> communities, particularly juxtaposed with the Walkerton example, is racist</w:t>
      </w:r>
      <w:r w:rsidR="00CD1D03">
        <w:t xml:space="preserve"> and cannot be tolerated.</w:t>
      </w:r>
    </w:p>
    <w:p w14:paraId="6E7C3695" w14:textId="77777777" w:rsidR="008E5C6F" w:rsidRDefault="008E5C6F" w:rsidP="008E5C6F">
      <w:pPr>
        <w:pStyle w:val="ListParagraph"/>
        <w:widowControl w:val="0"/>
        <w:autoSpaceDE w:val="0"/>
        <w:autoSpaceDN w:val="0"/>
        <w:adjustRightInd w:val="0"/>
        <w:jc w:val="both"/>
      </w:pPr>
    </w:p>
    <w:p w14:paraId="2E46DFE6" w14:textId="05F19BFA" w:rsidR="0029632B" w:rsidRPr="00C771CE" w:rsidRDefault="007E183A" w:rsidP="00283374">
      <w:pPr>
        <w:pStyle w:val="ListParagraph"/>
        <w:widowControl w:val="0"/>
        <w:numPr>
          <w:ilvl w:val="0"/>
          <w:numId w:val="37"/>
        </w:numPr>
        <w:autoSpaceDE w:val="0"/>
        <w:autoSpaceDN w:val="0"/>
        <w:adjustRightInd w:val="0"/>
        <w:jc w:val="both"/>
      </w:pPr>
      <w:r>
        <w:t xml:space="preserve">Our Nations reject </w:t>
      </w:r>
      <w:r w:rsidR="000A1E83">
        <w:t>the f</w:t>
      </w:r>
      <w:r>
        <w:t>alse belief</w:t>
      </w:r>
      <w:r w:rsidR="000A1E83">
        <w:t>s demonstrated in the above examples</w:t>
      </w:r>
      <w:r>
        <w:t xml:space="preserve"> as </w:t>
      </w:r>
      <w:r w:rsidR="000A1E83">
        <w:t xml:space="preserve">not only </w:t>
      </w:r>
      <w:r>
        <w:t xml:space="preserve">wrong in fact, but also </w:t>
      </w:r>
      <w:r w:rsidR="00C73BC6">
        <w:t xml:space="preserve">wrong in that it is premised on the racist principles contained in the </w:t>
      </w:r>
      <w:r w:rsidR="00C73BC6" w:rsidRPr="00283374">
        <w:rPr>
          <w:i/>
        </w:rPr>
        <w:t>Doctrine of Discovery</w:t>
      </w:r>
      <w:r w:rsidR="00C771CE">
        <w:t xml:space="preserve">, and contrary </w:t>
      </w:r>
      <w:r w:rsidR="00472FB5">
        <w:t>to Canada’s obligations under the Convention,</w:t>
      </w:r>
      <w:r w:rsidR="00BD7356">
        <w:t xml:space="preserve"> the </w:t>
      </w:r>
      <w:r w:rsidR="00472FB5">
        <w:t xml:space="preserve">CERD’s </w:t>
      </w:r>
      <w:r w:rsidR="00BD7356">
        <w:t>general recommendations a</w:t>
      </w:r>
      <w:r w:rsidR="005A54FA">
        <w:t>nd concluding observations,</w:t>
      </w:r>
      <w:r w:rsidR="00073524">
        <w:t xml:space="preserve"> and</w:t>
      </w:r>
      <w:r w:rsidR="005A54FA">
        <w:t xml:space="preserve"> </w:t>
      </w:r>
      <w:r w:rsidR="00BD7356">
        <w:t xml:space="preserve">the </w:t>
      </w:r>
      <w:r w:rsidR="005A54FA">
        <w:t>Declaration</w:t>
      </w:r>
      <w:r w:rsidR="00073524">
        <w:t>. Continued adherence to this false belief is also contrary to</w:t>
      </w:r>
      <w:r w:rsidR="005A54FA">
        <w:t xml:space="preserve"> Canada’s recent</w:t>
      </w:r>
      <w:r w:rsidR="00073524">
        <w:t xml:space="preserve"> policy of “reconciliation”</w:t>
      </w:r>
      <w:r w:rsidR="00421971">
        <w:t xml:space="preserve"> and alleged desire to create new relationships with our Nations. For true “reconciliation” to take place and thereby create a new relationship as s</w:t>
      </w:r>
      <w:r w:rsidR="008E3B8E">
        <w:t>o desired, Canada must abandon</w:t>
      </w:r>
      <w:r w:rsidR="00A9132D">
        <w:t xml:space="preserve"> its reliance </w:t>
      </w:r>
      <w:r w:rsidR="00742B05">
        <w:t>on</w:t>
      </w:r>
      <w:r w:rsidR="00A9132D">
        <w:t xml:space="preserve"> racist principles that have been normalized through its jurisprudence and </w:t>
      </w:r>
      <w:r w:rsidR="00133C8B">
        <w:t>legislation, and contrary to its international obligations, and truly begin anew</w:t>
      </w:r>
      <w:r w:rsidR="00D3034E">
        <w:t>.</w:t>
      </w:r>
      <w:r w:rsidR="00CE4EAA">
        <w:rPr>
          <w:rStyle w:val="FootnoteReference"/>
        </w:rPr>
        <w:footnoteReference w:id="22"/>
      </w:r>
    </w:p>
    <w:p w14:paraId="70085870" w14:textId="77777777" w:rsidR="00B94B2C" w:rsidRDefault="00B94B2C" w:rsidP="00C92EAD">
      <w:pPr>
        <w:widowControl w:val="0"/>
        <w:autoSpaceDE w:val="0"/>
        <w:autoSpaceDN w:val="0"/>
        <w:adjustRightInd w:val="0"/>
      </w:pPr>
    </w:p>
    <w:p w14:paraId="0B35B162" w14:textId="77777777" w:rsidR="00B94B2C" w:rsidRPr="00021C9E" w:rsidRDefault="00B94B2C" w:rsidP="00B94B2C">
      <w:pPr>
        <w:rPr>
          <w:b/>
          <w:u w:val="single"/>
        </w:rPr>
      </w:pPr>
      <w:r w:rsidRPr="00021C9E">
        <w:rPr>
          <w:b/>
          <w:u w:val="single"/>
        </w:rPr>
        <w:t>Canada’s Actions are a Violation of International Obligations</w:t>
      </w:r>
    </w:p>
    <w:p w14:paraId="25E2B746" w14:textId="77777777" w:rsidR="00B94B2C" w:rsidRPr="00021C9E" w:rsidRDefault="00B94B2C" w:rsidP="00B94B2C">
      <w:pPr>
        <w:rPr>
          <w:b/>
          <w:u w:val="single"/>
        </w:rPr>
      </w:pPr>
    </w:p>
    <w:p w14:paraId="059DB487" w14:textId="77777777" w:rsidR="00B94B2C" w:rsidRPr="00021C9E" w:rsidRDefault="00B94B2C" w:rsidP="00283374">
      <w:pPr>
        <w:pStyle w:val="ListParagraph"/>
        <w:widowControl w:val="0"/>
        <w:numPr>
          <w:ilvl w:val="0"/>
          <w:numId w:val="37"/>
        </w:numPr>
        <w:autoSpaceDE w:val="0"/>
        <w:autoSpaceDN w:val="0"/>
        <w:adjustRightInd w:val="0"/>
        <w:jc w:val="both"/>
      </w:pPr>
      <w:r>
        <w:t>It is the Nation</w:t>
      </w:r>
      <w:r w:rsidRPr="00021C9E">
        <w:t>s</w:t>
      </w:r>
      <w:r>
        <w:t>’</w:t>
      </w:r>
      <w:r w:rsidRPr="00021C9E">
        <w:t xml:space="preserve"> submission that Canada’s actions </w:t>
      </w:r>
      <w:r>
        <w:t xml:space="preserve">and inactions </w:t>
      </w:r>
      <w:r w:rsidRPr="00021C9E">
        <w:t xml:space="preserve">are a violation of its obligations under the following international conventions and customary norms: </w:t>
      </w:r>
    </w:p>
    <w:p w14:paraId="0E234615" w14:textId="77777777" w:rsidR="00B94B2C" w:rsidRPr="00021C9E" w:rsidRDefault="00B94B2C" w:rsidP="00B94B2C">
      <w:pPr>
        <w:widowControl w:val="0"/>
        <w:autoSpaceDE w:val="0"/>
        <w:autoSpaceDN w:val="0"/>
        <w:adjustRightInd w:val="0"/>
      </w:pPr>
    </w:p>
    <w:p w14:paraId="7A445F74" w14:textId="77777777" w:rsidR="00B94B2C" w:rsidRPr="00021C9E" w:rsidRDefault="00B94B2C" w:rsidP="00283374">
      <w:pPr>
        <w:pStyle w:val="ListParagraph"/>
        <w:widowControl w:val="0"/>
        <w:numPr>
          <w:ilvl w:val="0"/>
          <w:numId w:val="4"/>
        </w:numPr>
        <w:autoSpaceDE w:val="0"/>
        <w:autoSpaceDN w:val="0"/>
        <w:adjustRightInd w:val="0"/>
        <w:ind w:left="1440"/>
        <w:jc w:val="both"/>
      </w:pPr>
      <w:r w:rsidRPr="00021C9E">
        <w:t xml:space="preserve">Articles 2(1)(a), and </w:t>
      </w:r>
      <w:r w:rsidR="000E4904">
        <w:t>5(d</w:t>
      </w:r>
      <w:r w:rsidRPr="00021C9E">
        <w:t>)</w:t>
      </w:r>
      <w:r w:rsidR="000E4904">
        <w:t>(v)</w:t>
      </w:r>
      <w:r w:rsidRPr="00021C9E">
        <w:t xml:space="preserve"> of the </w:t>
      </w:r>
      <w:r w:rsidRPr="00021C9E">
        <w:rPr>
          <w:i/>
        </w:rPr>
        <w:t>International Convention on the Elimination of All Forms of Racial Discrimination</w:t>
      </w:r>
      <w:r w:rsidRPr="00021C9E">
        <w:t xml:space="preserve">; </w:t>
      </w:r>
    </w:p>
    <w:p w14:paraId="2C0EDE73" w14:textId="77777777" w:rsidR="00B94B2C" w:rsidRPr="00021C9E" w:rsidRDefault="00B94B2C" w:rsidP="00B94B2C">
      <w:pPr>
        <w:widowControl w:val="0"/>
        <w:autoSpaceDE w:val="0"/>
        <w:autoSpaceDN w:val="0"/>
        <w:adjustRightInd w:val="0"/>
      </w:pPr>
    </w:p>
    <w:p w14:paraId="5178BE9D" w14:textId="77777777" w:rsidR="00B94B2C" w:rsidRPr="00021C9E" w:rsidRDefault="00B94B2C" w:rsidP="00283374">
      <w:pPr>
        <w:pStyle w:val="ListParagraph"/>
        <w:widowControl w:val="0"/>
        <w:numPr>
          <w:ilvl w:val="0"/>
          <w:numId w:val="4"/>
        </w:numPr>
        <w:autoSpaceDE w:val="0"/>
        <w:autoSpaceDN w:val="0"/>
        <w:adjustRightInd w:val="0"/>
        <w:ind w:left="1440"/>
        <w:jc w:val="both"/>
      </w:pPr>
      <w:r w:rsidRPr="00021C9E">
        <w:t>Sections 3, 4 and 5 of the General Recommendation No. 21 of the Committee on the Elimination of Racial Discrimination;</w:t>
      </w:r>
    </w:p>
    <w:p w14:paraId="203568E6" w14:textId="77777777" w:rsidR="00B94B2C" w:rsidRPr="00021C9E" w:rsidRDefault="00B94B2C" w:rsidP="00283374">
      <w:pPr>
        <w:widowControl w:val="0"/>
        <w:autoSpaceDE w:val="0"/>
        <w:autoSpaceDN w:val="0"/>
        <w:adjustRightInd w:val="0"/>
        <w:ind w:left="1440"/>
      </w:pPr>
    </w:p>
    <w:p w14:paraId="3C060D8E" w14:textId="77777777" w:rsidR="00B94B2C" w:rsidRPr="00021C9E" w:rsidRDefault="00B94B2C" w:rsidP="00586E00">
      <w:pPr>
        <w:pStyle w:val="ListParagraph"/>
        <w:widowControl w:val="0"/>
        <w:numPr>
          <w:ilvl w:val="0"/>
          <w:numId w:val="4"/>
        </w:numPr>
        <w:autoSpaceDE w:val="0"/>
        <w:autoSpaceDN w:val="0"/>
        <w:adjustRightInd w:val="0"/>
        <w:ind w:left="1440"/>
        <w:jc w:val="both"/>
      </w:pPr>
      <w:r w:rsidRPr="00021C9E">
        <w:t xml:space="preserve">Section 4 of General Recommendation No. 23 of the Committee on the Elimination of Racial Discrimination; </w:t>
      </w:r>
    </w:p>
    <w:p w14:paraId="4F42DDCC" w14:textId="77777777" w:rsidR="00B94B2C" w:rsidRPr="00021C9E" w:rsidRDefault="00B94B2C" w:rsidP="00283374">
      <w:pPr>
        <w:widowControl w:val="0"/>
        <w:autoSpaceDE w:val="0"/>
        <w:autoSpaceDN w:val="0"/>
        <w:adjustRightInd w:val="0"/>
        <w:ind w:left="1440"/>
      </w:pPr>
    </w:p>
    <w:p w14:paraId="5343B373" w14:textId="77777777" w:rsidR="00B94B2C" w:rsidRPr="00021C9E" w:rsidRDefault="00B94B2C" w:rsidP="00283374">
      <w:pPr>
        <w:pStyle w:val="ListParagraph"/>
        <w:widowControl w:val="0"/>
        <w:numPr>
          <w:ilvl w:val="0"/>
          <w:numId w:val="4"/>
        </w:numPr>
        <w:autoSpaceDE w:val="0"/>
        <w:autoSpaceDN w:val="0"/>
        <w:adjustRightInd w:val="0"/>
        <w:ind w:left="1440"/>
        <w:jc w:val="both"/>
      </w:pPr>
      <w:r w:rsidRPr="00021C9E">
        <w:t xml:space="preserve">Article 1 of the </w:t>
      </w:r>
      <w:r w:rsidRPr="00021C9E">
        <w:rPr>
          <w:i/>
        </w:rPr>
        <w:t>International Covenant on Civil and Political Rights and International Covenant on Economic, Social and Cultural Rights</w:t>
      </w:r>
      <w:r w:rsidRPr="00021C9E">
        <w:t>; and</w:t>
      </w:r>
    </w:p>
    <w:p w14:paraId="67482289" w14:textId="77777777" w:rsidR="00B94B2C" w:rsidRPr="00021C9E" w:rsidRDefault="00B94B2C" w:rsidP="00B94B2C">
      <w:pPr>
        <w:widowControl w:val="0"/>
        <w:autoSpaceDE w:val="0"/>
        <w:autoSpaceDN w:val="0"/>
        <w:adjustRightInd w:val="0"/>
      </w:pPr>
    </w:p>
    <w:p w14:paraId="5561C0DA" w14:textId="77777777" w:rsidR="00B94B2C" w:rsidRPr="00021C9E" w:rsidRDefault="00B94B2C" w:rsidP="00283374">
      <w:pPr>
        <w:pStyle w:val="ListParagraph"/>
        <w:numPr>
          <w:ilvl w:val="0"/>
          <w:numId w:val="37"/>
        </w:numPr>
        <w:jc w:val="both"/>
      </w:pPr>
      <w:r w:rsidRPr="00021C9E">
        <w:t>Canada is a signatory and has ratified both the ICERD and the ICCPR. Accordingly, Canada is bound by the articles contained within each of these instruments, and to the norms that flow from each. The Nation submits below how Canada’s actions in relation its laws and policies relating to First Nations’ education, culminating in the proposed Act is a violation of its obligations under these international instruments and the norms that flow from each.</w:t>
      </w:r>
    </w:p>
    <w:p w14:paraId="2230584B" w14:textId="77777777" w:rsidR="00B94B2C" w:rsidRPr="00021C9E" w:rsidRDefault="00B94B2C" w:rsidP="00B94B2C"/>
    <w:p w14:paraId="33B7FAB5" w14:textId="77777777" w:rsidR="00B94B2C" w:rsidRPr="00021C9E" w:rsidRDefault="00B94B2C" w:rsidP="00B94B2C">
      <w:pPr>
        <w:rPr>
          <w:b/>
          <w:i/>
        </w:rPr>
      </w:pPr>
      <w:r w:rsidRPr="00021C9E">
        <w:rPr>
          <w:b/>
          <w:i/>
        </w:rPr>
        <w:t xml:space="preserve">International Convention on the Elimination of All Forms of Racial Discrimination </w:t>
      </w:r>
    </w:p>
    <w:p w14:paraId="3419B3D7" w14:textId="77777777" w:rsidR="00B94B2C" w:rsidRPr="00021C9E" w:rsidRDefault="00B94B2C" w:rsidP="00283374">
      <w:pPr>
        <w:pStyle w:val="ListParagraph"/>
        <w:numPr>
          <w:ilvl w:val="0"/>
          <w:numId w:val="37"/>
        </w:numPr>
        <w:jc w:val="both"/>
      </w:pPr>
      <w:r w:rsidRPr="00021C9E">
        <w:t xml:space="preserve">According to Articles 2(1) (a) of ICERD, in condemning racial discrimination each State Party to the Convention </w:t>
      </w:r>
      <w:r w:rsidRPr="00283374">
        <w:rPr>
          <w:i/>
        </w:rPr>
        <w:t>“. . . undertakes to engage in no act or practice of racial discrimination against persons, groups of persons or institutions and to ensure that all public authorities and public institutions, national and local, shall act in conformity with this obligation</w:t>
      </w:r>
      <w:r w:rsidRPr="00021C9E">
        <w:t xml:space="preserve">”. </w:t>
      </w:r>
    </w:p>
    <w:p w14:paraId="591520E3" w14:textId="77777777" w:rsidR="00B94B2C" w:rsidRPr="00021C9E" w:rsidRDefault="00B94B2C" w:rsidP="00B94B2C"/>
    <w:p w14:paraId="1A9B7FE1" w14:textId="77777777" w:rsidR="00B94B2C" w:rsidRPr="00021C9E" w:rsidRDefault="000E4904" w:rsidP="00283374">
      <w:pPr>
        <w:pStyle w:val="ListParagraph"/>
        <w:numPr>
          <w:ilvl w:val="0"/>
          <w:numId w:val="37"/>
        </w:numPr>
      </w:pPr>
      <w:r>
        <w:t>Article 5(d</w:t>
      </w:r>
      <w:r w:rsidR="00B94B2C" w:rsidRPr="00021C9E">
        <w:t>)</w:t>
      </w:r>
      <w:r>
        <w:t>(v)</w:t>
      </w:r>
      <w:r w:rsidR="00B94B2C" w:rsidRPr="00021C9E">
        <w:t xml:space="preserve"> provide</w:t>
      </w:r>
      <w:r>
        <w:t>s</w:t>
      </w:r>
      <w:r w:rsidR="00B94B2C" w:rsidRPr="00021C9E">
        <w:t xml:space="preserve"> that State Parties, in compliance with article 2 of the Convention:</w:t>
      </w:r>
    </w:p>
    <w:p w14:paraId="5A85A54A" w14:textId="77777777" w:rsidR="00B94B2C" w:rsidRPr="00021C9E" w:rsidRDefault="00B94B2C" w:rsidP="00B94B2C"/>
    <w:p w14:paraId="5422FDD2" w14:textId="77777777" w:rsidR="00B94B2C" w:rsidRPr="00021C9E" w:rsidRDefault="00B94B2C" w:rsidP="00283374">
      <w:pPr>
        <w:ind w:left="1260" w:right="560"/>
        <w:jc w:val="both"/>
        <w:rPr>
          <w:i/>
        </w:rPr>
      </w:pPr>
      <w:r w:rsidRPr="00021C9E">
        <w:t xml:space="preserve"> “. . . </w:t>
      </w:r>
      <w:r w:rsidRPr="00021C9E">
        <w:rPr>
          <w:i/>
        </w:rPr>
        <w:t xml:space="preserve">undertake to prohibit and to eliminate racial discrimination in all its forms and to guarantee the right of everyone, without distinction as to race, colour, or national or ethnic origin, to equally before the law, notably in the enjoyment of the following rights: . . . </w:t>
      </w:r>
    </w:p>
    <w:p w14:paraId="5D703761" w14:textId="77777777" w:rsidR="00B94B2C" w:rsidRPr="00021C9E" w:rsidRDefault="00B94B2C" w:rsidP="00283374">
      <w:pPr>
        <w:ind w:left="1260" w:right="560"/>
        <w:rPr>
          <w:i/>
        </w:rPr>
      </w:pPr>
    </w:p>
    <w:p w14:paraId="35097921" w14:textId="77777777" w:rsidR="00B94B2C" w:rsidRPr="000E4904" w:rsidRDefault="000E4904" w:rsidP="00283374">
      <w:pPr>
        <w:ind w:left="1260"/>
        <w:rPr>
          <w:rFonts w:eastAsia="Times New Roman"/>
          <w:i/>
        </w:rPr>
      </w:pPr>
      <w:r>
        <w:rPr>
          <w:i/>
        </w:rPr>
        <w:t>(d)(v)</w:t>
      </w:r>
      <w:r w:rsidRPr="000E4904">
        <w:rPr>
          <w:rFonts w:ascii="Verdana" w:eastAsia="Times New Roman" w:hAnsi="Verdana"/>
          <w:color w:val="000000"/>
          <w:sz w:val="19"/>
          <w:szCs w:val="19"/>
          <w:shd w:val="clear" w:color="auto" w:fill="FFFFFF"/>
        </w:rPr>
        <w:t xml:space="preserve"> </w:t>
      </w:r>
      <w:r w:rsidRPr="000E4904">
        <w:rPr>
          <w:rFonts w:eastAsia="Times New Roman"/>
          <w:i/>
          <w:color w:val="000000"/>
          <w:shd w:val="clear" w:color="auto" w:fill="FFFFFF"/>
        </w:rPr>
        <w:t>The right to own property alone as well as in association with other</w:t>
      </w:r>
      <w:r>
        <w:rPr>
          <w:rFonts w:eastAsia="Times New Roman"/>
          <w:i/>
        </w:rPr>
        <w:t>;</w:t>
      </w:r>
      <w:r w:rsidR="00B94B2C" w:rsidRPr="000E4904">
        <w:rPr>
          <w:i/>
        </w:rPr>
        <w:t>”</w:t>
      </w:r>
    </w:p>
    <w:p w14:paraId="4778A840" w14:textId="77777777" w:rsidR="00B94B2C" w:rsidRPr="000E4904" w:rsidRDefault="00B94B2C" w:rsidP="00B94B2C">
      <w:pPr>
        <w:rPr>
          <w:i/>
        </w:rPr>
      </w:pPr>
    </w:p>
    <w:p w14:paraId="7ADB811A" w14:textId="77777777" w:rsidR="00B94B2C" w:rsidRPr="00021C9E" w:rsidRDefault="00B94B2C" w:rsidP="00586E00">
      <w:pPr>
        <w:pStyle w:val="ListParagraph"/>
        <w:numPr>
          <w:ilvl w:val="0"/>
          <w:numId w:val="37"/>
        </w:numPr>
      </w:pPr>
      <w:r w:rsidRPr="00021C9E">
        <w:t>Taking the above articles as whole into consideration, the Nation submits that Canada has failed in its obligations so contained within the articles as follows:</w:t>
      </w:r>
    </w:p>
    <w:p w14:paraId="51F4CB30" w14:textId="77777777" w:rsidR="00B94B2C" w:rsidRPr="00021C9E" w:rsidRDefault="00B94B2C" w:rsidP="00B94B2C"/>
    <w:p w14:paraId="3723DD4F" w14:textId="086CC6CA" w:rsidR="00B94B2C" w:rsidRDefault="00B94B2C" w:rsidP="00586E00">
      <w:pPr>
        <w:pStyle w:val="ListParagraph"/>
        <w:numPr>
          <w:ilvl w:val="0"/>
          <w:numId w:val="31"/>
        </w:numPr>
        <w:tabs>
          <w:tab w:val="left" w:pos="0"/>
        </w:tabs>
        <w:suppressAutoHyphens/>
        <w:ind w:left="1440"/>
        <w:jc w:val="both"/>
      </w:pPr>
      <w:r w:rsidRPr="00021C9E">
        <w:t xml:space="preserve">As to Article 2(1) (a), the Canadian state has engaged in discrimination against our Nations that we submit is based on our status as Nations of </w:t>
      </w:r>
      <w:r w:rsidR="00E35CAE">
        <w:t>Indigenous</w:t>
      </w:r>
      <w:r w:rsidRPr="00021C9E">
        <w:t xml:space="preserve"> </w:t>
      </w:r>
      <w:r w:rsidR="00E35CAE">
        <w:t>Peoples</w:t>
      </w:r>
      <w:r w:rsidRPr="00021C9E">
        <w:t xml:space="preserve">. We assert that as Nations of </w:t>
      </w:r>
      <w:r w:rsidR="00E35CAE">
        <w:t>Indigenous</w:t>
      </w:r>
      <w:r w:rsidRPr="00021C9E">
        <w:t xml:space="preserve"> </w:t>
      </w:r>
      <w:r w:rsidR="00E35CAE">
        <w:t>Peoples</w:t>
      </w:r>
      <w:r w:rsidRPr="00021C9E">
        <w:t>, we are both a sovereign nation and “</w:t>
      </w:r>
      <w:r w:rsidR="00E35CAE">
        <w:t>Peoples</w:t>
      </w:r>
      <w:r w:rsidRPr="00021C9E">
        <w:t xml:space="preserve">” as understood by international jurisprudence, and accordingly possess </w:t>
      </w:r>
      <w:r w:rsidR="00165BC8">
        <w:t>the ability to have ownership and possess</w:t>
      </w:r>
      <w:r w:rsidR="000E4904">
        <w:t xml:space="preserve"> title t</w:t>
      </w:r>
      <w:r w:rsidR="006D446F">
        <w:t xml:space="preserve">o our </w:t>
      </w:r>
      <w:r w:rsidR="00007CC9">
        <w:t>Territories</w:t>
      </w:r>
      <w:r w:rsidR="006D446F">
        <w:t xml:space="preserve"> as a people</w:t>
      </w:r>
      <w:r w:rsidRPr="00021C9E">
        <w:t xml:space="preserve">. Our Nations have neither relinquished our sovereign attributes nor our </w:t>
      </w:r>
      <w:r w:rsidR="000E4904">
        <w:t>ownership or title</w:t>
      </w:r>
      <w:r w:rsidRPr="00021C9E">
        <w:t xml:space="preserve">, whether through the treaty relationship or otherwise. As </w:t>
      </w:r>
      <w:r w:rsidR="00165BC8">
        <w:t xml:space="preserve">a component of our right to ownership and title to our </w:t>
      </w:r>
      <w:r w:rsidR="00007CC9">
        <w:t>Territories</w:t>
      </w:r>
      <w:r w:rsidR="00165BC8">
        <w:t>, our Nations have the right</w:t>
      </w:r>
      <w:r w:rsidRPr="00021C9E">
        <w:t xml:space="preserve"> to develop, control and manage our natural wealth and resources </w:t>
      </w:r>
      <w:r>
        <w:t>on</w:t>
      </w:r>
      <w:r w:rsidRPr="00021C9E">
        <w:t xml:space="preserve"> </w:t>
      </w:r>
      <w:r w:rsidR="00165BC8">
        <w:t xml:space="preserve">such </w:t>
      </w:r>
      <w:r w:rsidR="00007CC9">
        <w:t>Territories</w:t>
      </w:r>
      <w:r w:rsidRPr="00021C9E">
        <w:t>, free from</w:t>
      </w:r>
      <w:r w:rsidR="00395F05">
        <w:t xml:space="preserve"> interference by the state of Canada</w:t>
      </w:r>
      <w:r w:rsidRPr="00021C9E">
        <w:t xml:space="preserve">. </w:t>
      </w:r>
    </w:p>
    <w:p w14:paraId="75EDF69D" w14:textId="77777777" w:rsidR="00165BC8" w:rsidRPr="00021C9E" w:rsidRDefault="00165BC8" w:rsidP="00165BC8">
      <w:pPr>
        <w:pStyle w:val="ListParagraph"/>
        <w:tabs>
          <w:tab w:val="left" w:pos="0"/>
        </w:tabs>
        <w:suppressAutoHyphens/>
      </w:pPr>
    </w:p>
    <w:p w14:paraId="451AD9D9" w14:textId="097A66E3" w:rsidR="002D4024" w:rsidRDefault="00165BC8" w:rsidP="00586E00">
      <w:pPr>
        <w:pStyle w:val="ListParagraph"/>
        <w:numPr>
          <w:ilvl w:val="0"/>
          <w:numId w:val="31"/>
        </w:numPr>
        <w:tabs>
          <w:tab w:val="left" w:pos="0"/>
        </w:tabs>
        <w:suppressAutoHyphens/>
        <w:ind w:left="1440"/>
        <w:jc w:val="both"/>
      </w:pPr>
      <w:r>
        <w:t>As to Article 5(d</w:t>
      </w:r>
      <w:r w:rsidR="00B94B2C" w:rsidRPr="00021C9E">
        <w:t>)</w:t>
      </w:r>
      <w:r>
        <w:t>(v),</w:t>
      </w:r>
      <w:r w:rsidR="00B94B2C" w:rsidRPr="00021C9E">
        <w:t xml:space="preserve"> </w:t>
      </w:r>
      <w:r>
        <w:t>o</w:t>
      </w:r>
      <w:r w:rsidRPr="00021C9E">
        <w:t xml:space="preserve">ur Nations assert that Canada’s </w:t>
      </w:r>
      <w:r>
        <w:t xml:space="preserve">adherence to the principles within the </w:t>
      </w:r>
      <w:r>
        <w:rPr>
          <w:i/>
        </w:rPr>
        <w:t>Doctrine of Discovery</w:t>
      </w:r>
      <w:r w:rsidRPr="00021C9E">
        <w:t xml:space="preserve"> </w:t>
      </w:r>
      <w:r>
        <w:t xml:space="preserve">are </w:t>
      </w:r>
      <w:r w:rsidRPr="00021C9E">
        <w:t xml:space="preserve">based on the racist colonial ideology that holds our Nations as </w:t>
      </w:r>
      <w:r>
        <w:t xml:space="preserve">inferior and incapable of having ownership or title to our </w:t>
      </w:r>
      <w:r w:rsidR="00007CC9">
        <w:t>Territories</w:t>
      </w:r>
      <w:r w:rsidRPr="00021C9E">
        <w:t xml:space="preserve">. </w:t>
      </w:r>
      <w:r w:rsidR="00F36908">
        <w:t>Absent</w:t>
      </w:r>
      <w:r>
        <w:t xml:space="preserve"> any direct evidence of transfer of any right from our individual Nations to the Crown, </w:t>
      </w:r>
      <w:r w:rsidR="00F36908">
        <w:t xml:space="preserve">the belief that the Crown has a presumed underlying title to any </w:t>
      </w:r>
      <w:r w:rsidR="00E35CAE">
        <w:t>Indigenous</w:t>
      </w:r>
      <w:r w:rsidR="00F36908">
        <w:t xml:space="preserve"> land is false and perpetuated through a normalization of the racist principles in the </w:t>
      </w:r>
      <w:r w:rsidR="00F36908">
        <w:rPr>
          <w:i/>
        </w:rPr>
        <w:t>Doctrine of Discovery</w:t>
      </w:r>
      <w:r w:rsidR="00F36908">
        <w:t xml:space="preserve"> </w:t>
      </w:r>
      <w:r w:rsidR="00B01328">
        <w:t xml:space="preserve">within the Canadian </w:t>
      </w:r>
      <w:r w:rsidR="00216412">
        <w:t xml:space="preserve">legislative and juridical structures and processes </w:t>
      </w:r>
      <w:r w:rsidR="00F36908">
        <w:t>and racial discriminates so as to deny our Nations’ right to own property as set out in article 5(d)(v) of ICERD.</w:t>
      </w:r>
    </w:p>
    <w:p w14:paraId="32243A91" w14:textId="77777777" w:rsidR="002D4024" w:rsidRDefault="002D4024" w:rsidP="00586E00">
      <w:pPr>
        <w:tabs>
          <w:tab w:val="left" w:pos="0"/>
        </w:tabs>
        <w:suppressAutoHyphens/>
        <w:ind w:left="1440"/>
        <w:jc w:val="both"/>
      </w:pPr>
    </w:p>
    <w:p w14:paraId="32E79342" w14:textId="223CD0E3" w:rsidR="002D4024" w:rsidRDefault="002D4024" w:rsidP="00586E00">
      <w:pPr>
        <w:tabs>
          <w:tab w:val="left" w:pos="0"/>
        </w:tabs>
        <w:suppressAutoHyphens/>
        <w:ind w:left="1440"/>
        <w:jc w:val="both"/>
      </w:pPr>
      <w:r>
        <w:t>Our Nations assert that the Canadian states failure to uphold its obligations under Article 5(d)(v) in effect prevents our Nations from exercising other our rights</w:t>
      </w:r>
      <w:r w:rsidR="001F0C20">
        <w:t xml:space="preserve"> as </w:t>
      </w:r>
      <w:r w:rsidR="00E35CAE">
        <w:t>Indigenous</w:t>
      </w:r>
      <w:r w:rsidR="001F0C20">
        <w:t xml:space="preserve"> </w:t>
      </w:r>
      <w:r w:rsidR="00E35CAE">
        <w:t>Peoples</w:t>
      </w:r>
      <w:r w:rsidR="001F0C20">
        <w:t xml:space="preserve">. Specifically, in denying our rights to our </w:t>
      </w:r>
      <w:r w:rsidR="00007CC9">
        <w:t>Territories</w:t>
      </w:r>
      <w:r w:rsidR="001F0C20">
        <w:t xml:space="preserve">, our rights to own the property that makes up our </w:t>
      </w:r>
      <w:r w:rsidR="00007CC9">
        <w:t>Territories</w:t>
      </w:r>
      <w:r w:rsidR="001F0C20">
        <w:t xml:space="preserve">, the Canadian state also denies our rights to self-determination, to freely pursue our economic, social and cultural development and to freely dispose of our natural resources. </w:t>
      </w:r>
    </w:p>
    <w:p w14:paraId="790928DC" w14:textId="77777777" w:rsidR="00B94B2C" w:rsidRPr="00021C9E" w:rsidRDefault="00B94B2C" w:rsidP="00B94B2C"/>
    <w:p w14:paraId="6F71709D" w14:textId="77777777" w:rsidR="00B94B2C" w:rsidRPr="00021C9E" w:rsidRDefault="00B94B2C" w:rsidP="00B10A33">
      <w:pPr>
        <w:jc w:val="both"/>
        <w:rPr>
          <w:b/>
          <w:i/>
        </w:rPr>
      </w:pPr>
      <w:r w:rsidRPr="00021C9E">
        <w:rPr>
          <w:b/>
          <w:i/>
        </w:rPr>
        <w:t>General Recommendation No. 21 of the Committee on the Elimination of Racial Discrimination</w:t>
      </w:r>
    </w:p>
    <w:p w14:paraId="6DFA1811" w14:textId="77777777" w:rsidR="00B94B2C" w:rsidRPr="00021C9E" w:rsidRDefault="00B842CA" w:rsidP="00B10A33">
      <w:pPr>
        <w:pStyle w:val="ListParagraph"/>
        <w:numPr>
          <w:ilvl w:val="0"/>
          <w:numId w:val="37"/>
        </w:numPr>
        <w:jc w:val="both"/>
      </w:pPr>
      <w:r>
        <w:t>According to section</w:t>
      </w:r>
      <w:r w:rsidR="00B94B2C" w:rsidRPr="00021C9E">
        <w:t xml:space="preserve"> 3 of </w:t>
      </w:r>
      <w:r w:rsidR="00B94B2C" w:rsidRPr="00586E00">
        <w:rPr>
          <w:i/>
        </w:rPr>
        <w:t>General Recommendation No. 21</w:t>
      </w:r>
      <w:r w:rsidR="00B94B2C" w:rsidRPr="00021C9E">
        <w:t>, CERD emphasized that:</w:t>
      </w:r>
    </w:p>
    <w:p w14:paraId="2E7A26B5" w14:textId="77777777" w:rsidR="00B94B2C" w:rsidRPr="00021C9E" w:rsidRDefault="00B94B2C" w:rsidP="00B10A33">
      <w:pPr>
        <w:jc w:val="both"/>
      </w:pPr>
    </w:p>
    <w:p w14:paraId="1F2BC233" w14:textId="64127E28" w:rsidR="00B94B2C" w:rsidRPr="00021C9E" w:rsidRDefault="00B94B2C" w:rsidP="00B10A33">
      <w:pPr>
        <w:ind w:left="1080" w:right="560"/>
        <w:jc w:val="both"/>
      </w:pPr>
      <w:r w:rsidRPr="00021C9E">
        <w:t xml:space="preserve"> “. . . </w:t>
      </w:r>
      <w:r w:rsidRPr="00021C9E">
        <w:rPr>
          <w:i/>
        </w:rPr>
        <w:t xml:space="preserve">it is the duty of States to promote the right to self-determination of </w:t>
      </w:r>
      <w:r w:rsidR="00E35CAE">
        <w:rPr>
          <w:i/>
        </w:rPr>
        <w:t>Peoples</w:t>
      </w:r>
      <w:r w:rsidRPr="00021C9E">
        <w:rPr>
          <w:i/>
        </w:rPr>
        <w:t xml:space="preserve">. </w:t>
      </w:r>
      <w:r w:rsidRPr="00021C9E">
        <w:t xml:space="preserve"> </w:t>
      </w:r>
      <w:r w:rsidRPr="00021C9E">
        <w:rPr>
          <w:i/>
        </w:rPr>
        <w:t>But the implementation of the principles of self-determination requires every State to promote, through joint and separate action, universal respect for and observance of human rights and fundamental freedoms in accordance with the Charter of the United Nations.</w:t>
      </w:r>
      <w:r w:rsidRPr="00021C9E">
        <w:t>”</w:t>
      </w:r>
    </w:p>
    <w:p w14:paraId="6CC5ED33" w14:textId="77777777" w:rsidR="00B94B2C" w:rsidRPr="00021C9E" w:rsidRDefault="00B94B2C" w:rsidP="00B10A33">
      <w:pPr>
        <w:jc w:val="both"/>
      </w:pPr>
    </w:p>
    <w:p w14:paraId="0029B318" w14:textId="77777777" w:rsidR="00B94B2C" w:rsidRPr="00021C9E" w:rsidRDefault="00B94B2C" w:rsidP="00B10A33">
      <w:pPr>
        <w:ind w:left="720"/>
        <w:jc w:val="both"/>
      </w:pPr>
      <w:r w:rsidRPr="00021C9E">
        <w:t>Section 4 provides:</w:t>
      </w:r>
    </w:p>
    <w:p w14:paraId="5AC8530B" w14:textId="77777777" w:rsidR="00B94B2C" w:rsidRPr="00021C9E" w:rsidRDefault="00B94B2C" w:rsidP="00B10A33">
      <w:pPr>
        <w:jc w:val="both"/>
      </w:pPr>
    </w:p>
    <w:p w14:paraId="5226B718" w14:textId="7C73E74E" w:rsidR="00B94B2C" w:rsidRPr="00021C9E" w:rsidRDefault="00B94B2C" w:rsidP="00B10A33">
      <w:pPr>
        <w:ind w:left="1080" w:right="560"/>
        <w:jc w:val="both"/>
        <w:rPr>
          <w:i/>
        </w:rPr>
      </w:pPr>
      <w:r w:rsidRPr="00021C9E">
        <w:rPr>
          <w:i/>
        </w:rPr>
        <w:t xml:space="preserve">“The right to self-determination of people has an internal aspect, i.e. the rights of </w:t>
      </w:r>
      <w:r w:rsidR="00E35CAE">
        <w:rPr>
          <w:i/>
        </w:rPr>
        <w:t>Peoples</w:t>
      </w:r>
      <w:r w:rsidRPr="00021C9E">
        <w:rPr>
          <w:i/>
        </w:rPr>
        <w:t xml:space="preserve"> to pursue freely </w:t>
      </w:r>
      <w:r w:rsidR="00E8330D">
        <w:rPr>
          <w:i/>
        </w:rPr>
        <w:t>our</w:t>
      </w:r>
      <w:r w:rsidRPr="00021C9E">
        <w:rPr>
          <w:i/>
        </w:rPr>
        <w:t xml:space="preserve"> economic, social and cultural developme</w:t>
      </w:r>
      <w:r w:rsidR="00F36908">
        <w:rPr>
          <w:i/>
        </w:rPr>
        <w:t>nt without outside interference</w:t>
      </w:r>
      <w:r w:rsidRPr="00021C9E">
        <w:rPr>
          <w:i/>
        </w:rPr>
        <w:t>”.</w:t>
      </w:r>
    </w:p>
    <w:p w14:paraId="324B03BD" w14:textId="77777777" w:rsidR="00B94B2C" w:rsidRPr="00021C9E" w:rsidRDefault="00B94B2C" w:rsidP="00B10A33">
      <w:pPr>
        <w:jc w:val="both"/>
        <w:rPr>
          <w:b/>
          <w:i/>
        </w:rPr>
      </w:pPr>
    </w:p>
    <w:p w14:paraId="02DB3258" w14:textId="77777777" w:rsidR="00B94B2C" w:rsidRPr="00021C9E" w:rsidRDefault="00B94B2C" w:rsidP="00B10A33">
      <w:pPr>
        <w:ind w:left="720"/>
        <w:jc w:val="both"/>
      </w:pPr>
      <w:r w:rsidRPr="00021C9E">
        <w:t>Section 5 provides:</w:t>
      </w:r>
    </w:p>
    <w:p w14:paraId="2E2714CA" w14:textId="77777777" w:rsidR="00B94B2C" w:rsidRPr="00021C9E" w:rsidRDefault="00B94B2C" w:rsidP="00B10A33">
      <w:pPr>
        <w:jc w:val="both"/>
      </w:pPr>
    </w:p>
    <w:p w14:paraId="2C55536A" w14:textId="3D1E41D1" w:rsidR="00B94B2C" w:rsidRPr="00021C9E" w:rsidRDefault="00B94B2C" w:rsidP="00B10A33">
      <w:pPr>
        <w:ind w:left="1080" w:right="560"/>
        <w:jc w:val="both"/>
        <w:rPr>
          <w:i/>
        </w:rPr>
      </w:pPr>
      <w:r w:rsidRPr="00021C9E">
        <w:rPr>
          <w:i/>
        </w:rPr>
        <w:t xml:space="preserve">“In order to fully respect the rights of all </w:t>
      </w:r>
      <w:r w:rsidR="00E35CAE">
        <w:rPr>
          <w:i/>
        </w:rPr>
        <w:t>Peoples</w:t>
      </w:r>
      <w:r w:rsidRPr="00021C9E">
        <w:rPr>
          <w:i/>
        </w:rPr>
        <w:t xml:space="preserve"> within a State, government are again called </w:t>
      </w:r>
      <w:r>
        <w:rPr>
          <w:i/>
        </w:rPr>
        <w:t>on</w:t>
      </w:r>
      <w:r w:rsidRPr="00021C9E">
        <w:rPr>
          <w:i/>
        </w:rPr>
        <w:t xml:space="preserve"> to adhere to and implement fully the international human rights instruments and in particular the International Convention of the Elimination of All Forms of Racial Discrimination”.</w:t>
      </w:r>
    </w:p>
    <w:p w14:paraId="606DE5AB" w14:textId="77777777" w:rsidR="00B94B2C" w:rsidRPr="00021C9E" w:rsidRDefault="00B94B2C" w:rsidP="00B10A33">
      <w:pPr>
        <w:jc w:val="both"/>
        <w:rPr>
          <w:b/>
          <w:i/>
        </w:rPr>
      </w:pPr>
    </w:p>
    <w:p w14:paraId="7310BAFE" w14:textId="6D511D60" w:rsidR="005474E8" w:rsidRDefault="00B94B2C" w:rsidP="00B10A33">
      <w:pPr>
        <w:pStyle w:val="ListParagraph"/>
        <w:numPr>
          <w:ilvl w:val="0"/>
          <w:numId w:val="37"/>
        </w:numPr>
        <w:jc w:val="both"/>
      </w:pPr>
      <w:r w:rsidRPr="00021C9E">
        <w:t xml:space="preserve">These sections of </w:t>
      </w:r>
      <w:r w:rsidRPr="00586E00">
        <w:rPr>
          <w:i/>
        </w:rPr>
        <w:t>General Recommendation No. 21</w:t>
      </w:r>
      <w:r w:rsidRPr="00021C9E">
        <w:t xml:space="preserve"> clearly set out that States in guaranteeing the political, economic, social and cultural rights of those people within </w:t>
      </w:r>
      <w:r w:rsidR="00E8330D">
        <w:t>our</w:t>
      </w:r>
      <w:r w:rsidRPr="00021C9E">
        <w:t xml:space="preserve"> boundaries must take into consideration the right of “</w:t>
      </w:r>
      <w:r w:rsidR="00E35CAE">
        <w:t>Peoples</w:t>
      </w:r>
      <w:r w:rsidRPr="00021C9E">
        <w:t xml:space="preserve">” to self-determination. As noted above, the Nations assert that as Nations of </w:t>
      </w:r>
      <w:r w:rsidR="00E35CAE">
        <w:t>Indigenous</w:t>
      </w:r>
      <w:r w:rsidRPr="00021C9E">
        <w:t xml:space="preserve"> </w:t>
      </w:r>
      <w:r w:rsidR="00E35CAE">
        <w:t>Peoples</w:t>
      </w:r>
      <w:r w:rsidRPr="00021C9E">
        <w:t xml:space="preserve"> that they are a “</w:t>
      </w:r>
      <w:r w:rsidR="00E35CAE">
        <w:t>Peoples</w:t>
      </w:r>
      <w:r w:rsidRPr="00021C9E">
        <w:t>” as understood by international jurisprudence and as discussed within this general recommendation. Accordingly, taken together with those articles of the ICERD</w:t>
      </w:r>
      <w:r w:rsidRPr="00586E00">
        <w:rPr>
          <w:i/>
        </w:rPr>
        <w:t xml:space="preserve"> </w:t>
      </w:r>
      <w:r w:rsidRPr="00021C9E">
        <w:t>as noted above, the Canadian state is required when meeting its obligations under the ICERD to fully respect all “</w:t>
      </w:r>
      <w:r w:rsidR="00E35CAE">
        <w:t>Peoples</w:t>
      </w:r>
      <w:r w:rsidRPr="00021C9E">
        <w:t xml:space="preserve">” within its boundaries such that </w:t>
      </w:r>
      <w:r w:rsidR="00E8330D">
        <w:t>our</w:t>
      </w:r>
      <w:r w:rsidRPr="00021C9E">
        <w:t xml:space="preserve"> right to self-determination is promoted. </w:t>
      </w:r>
    </w:p>
    <w:p w14:paraId="63E2955D" w14:textId="77777777" w:rsidR="005474E8" w:rsidRDefault="005474E8" w:rsidP="00B10A33">
      <w:pPr>
        <w:jc w:val="both"/>
      </w:pPr>
    </w:p>
    <w:p w14:paraId="0688EAA1" w14:textId="2066CAFD" w:rsidR="00B94B2C" w:rsidRPr="00021C9E" w:rsidRDefault="00A114D3" w:rsidP="00B10A33">
      <w:pPr>
        <w:pStyle w:val="ListParagraph"/>
        <w:numPr>
          <w:ilvl w:val="0"/>
          <w:numId w:val="37"/>
        </w:numPr>
        <w:jc w:val="both"/>
      </w:pPr>
      <w:r>
        <w:t xml:space="preserve">The Nations submit that the </w:t>
      </w:r>
      <w:r w:rsidR="00EE14B8">
        <w:t xml:space="preserve">right </w:t>
      </w:r>
      <w:r w:rsidR="00F2455F">
        <w:t>contained in section 5 (d)(v)</w:t>
      </w:r>
      <w:r w:rsidR="00EE14B8">
        <w:t xml:space="preserve">, to wit to right to own property alone and in association with others, </w:t>
      </w:r>
      <w:r w:rsidR="00A2617C">
        <w:t>is an integral component to the right of self</w:t>
      </w:r>
      <w:r w:rsidR="00FC7C2A">
        <w:t>-determination. Without a secured right to property</w:t>
      </w:r>
      <w:r w:rsidR="00650F7D">
        <w:t>, the ability of a self-deter</w:t>
      </w:r>
      <w:r w:rsidR="002E61B4">
        <w:t xml:space="preserve">mining </w:t>
      </w:r>
      <w:r w:rsidR="00E35CAE">
        <w:t>Indigenous</w:t>
      </w:r>
      <w:r w:rsidR="00271501">
        <w:t xml:space="preserve"> </w:t>
      </w:r>
      <w:r w:rsidR="00E35CAE">
        <w:t>Peoples</w:t>
      </w:r>
      <w:r w:rsidR="002F2CAB">
        <w:t xml:space="preserve"> to exercise </w:t>
      </w:r>
      <w:r w:rsidR="00E8330D">
        <w:t>our</w:t>
      </w:r>
      <w:r w:rsidR="002F2CAB">
        <w:t xml:space="preserve"> right</w:t>
      </w:r>
      <w:r w:rsidR="002E61B4">
        <w:t xml:space="preserve"> to freely develop </w:t>
      </w:r>
      <w:r w:rsidR="00E8330D">
        <w:t>our</w:t>
      </w:r>
      <w:r w:rsidR="002E61B4">
        <w:t xml:space="preserve"> cultures and societies through the </w:t>
      </w:r>
      <w:r w:rsidR="00271501">
        <w:t xml:space="preserve">use of the natural resources found </w:t>
      </w:r>
      <w:r w:rsidR="00742B05">
        <w:t>on</w:t>
      </w:r>
      <w:r w:rsidR="00271501">
        <w:t xml:space="preserve"> </w:t>
      </w:r>
      <w:r w:rsidR="00E8330D">
        <w:t>our</w:t>
      </w:r>
      <w:r w:rsidR="002F2CAB">
        <w:t xml:space="preserve"> </w:t>
      </w:r>
      <w:r w:rsidR="00007CC9">
        <w:t>Territories</w:t>
      </w:r>
      <w:r w:rsidR="002F2CAB">
        <w:t xml:space="preserve"> is a hollow</w:t>
      </w:r>
      <w:r w:rsidR="00FD3D66">
        <w:t xml:space="preserve"> right.</w:t>
      </w:r>
      <w:r w:rsidR="002F2CAB">
        <w:t xml:space="preserve"> </w:t>
      </w:r>
      <w:r w:rsidR="00271501">
        <w:t xml:space="preserve"> </w:t>
      </w:r>
      <w:r w:rsidR="00650F7D">
        <w:t xml:space="preserve"> </w:t>
      </w:r>
      <w:r w:rsidR="00B94B2C" w:rsidRPr="00021C9E">
        <w:t xml:space="preserve">The </w:t>
      </w:r>
      <w:r w:rsidR="005474E8">
        <w:t xml:space="preserve">Canadian state’s adherence to the racist principles contained in the </w:t>
      </w:r>
      <w:r w:rsidR="005474E8" w:rsidRPr="00586E00">
        <w:rPr>
          <w:i/>
        </w:rPr>
        <w:t>Doctrine of Discovery</w:t>
      </w:r>
      <w:r w:rsidR="005474E8">
        <w:t xml:space="preserve"> whereby our Nations’ rights to our </w:t>
      </w:r>
      <w:r w:rsidR="00007CC9">
        <w:t>Territories</w:t>
      </w:r>
      <w:r w:rsidR="005474E8">
        <w:t xml:space="preserve"> is minimized for the benefit of the Crown </w:t>
      </w:r>
      <w:r w:rsidR="00FD3D66">
        <w:t xml:space="preserve">is therefore not only a </w:t>
      </w:r>
      <w:r w:rsidR="00B94B2C" w:rsidRPr="00021C9E">
        <w:t>violation of its obligations under the ICERD, and the directions provided by CERD</w:t>
      </w:r>
      <w:r w:rsidR="00AD5A3C">
        <w:t xml:space="preserve">, but also the </w:t>
      </w:r>
      <w:r w:rsidR="0034663B" w:rsidRPr="00586E00">
        <w:rPr>
          <w:i/>
        </w:rPr>
        <w:t xml:space="preserve">International Covenant on Civil and Political Rights </w:t>
      </w:r>
      <w:r w:rsidR="0034663B">
        <w:t>(</w:t>
      </w:r>
      <w:r w:rsidR="0034663B" w:rsidRPr="00021C9E">
        <w:t>the ICCPR</w:t>
      </w:r>
      <w:r w:rsidR="0034663B">
        <w:t>)</w:t>
      </w:r>
      <w:r w:rsidR="0034663B" w:rsidRPr="00021C9E">
        <w:t xml:space="preserve"> </w:t>
      </w:r>
      <w:r w:rsidR="0034663B">
        <w:t>and the</w:t>
      </w:r>
      <w:r w:rsidR="0034663B" w:rsidRPr="00586E00">
        <w:rPr>
          <w:i/>
        </w:rPr>
        <w:t xml:space="preserve"> International Covenant on Economic, Social and Cultural Rights</w:t>
      </w:r>
      <w:r w:rsidR="00B94B2C" w:rsidRPr="00021C9E">
        <w:t xml:space="preserve"> </w:t>
      </w:r>
      <w:r w:rsidR="0034663B">
        <w:t>(</w:t>
      </w:r>
      <w:r w:rsidR="0034663B" w:rsidRPr="00021C9E">
        <w:t>the ICESCR</w:t>
      </w:r>
      <w:r w:rsidR="0034663B">
        <w:t xml:space="preserve">) as set our more fully further below. </w:t>
      </w:r>
      <w:r w:rsidR="005474E8">
        <w:t xml:space="preserve">By denying our Nations’ rights to our </w:t>
      </w:r>
      <w:r w:rsidR="00007CC9">
        <w:t>Territories</w:t>
      </w:r>
      <w:r w:rsidR="005474E8">
        <w:t xml:space="preserve">, our rights to freely dispose of the natural resources contained within such </w:t>
      </w:r>
      <w:r w:rsidR="00007CC9">
        <w:t>Territories</w:t>
      </w:r>
      <w:r w:rsidR="005474E8">
        <w:t xml:space="preserve"> is a</w:t>
      </w:r>
      <w:r w:rsidR="0034014C">
        <w:t>lso a</w:t>
      </w:r>
      <w:r w:rsidR="005474E8">
        <w:t xml:space="preserve"> violation </w:t>
      </w:r>
      <w:r w:rsidR="0034014C">
        <w:t xml:space="preserve">of our </w:t>
      </w:r>
      <w:r w:rsidR="009A5BCF">
        <w:t xml:space="preserve">right to self-determination as </w:t>
      </w:r>
      <w:r w:rsidR="00E35CAE">
        <w:t>Peoples</w:t>
      </w:r>
      <w:r w:rsidR="0034014C">
        <w:t>.</w:t>
      </w:r>
    </w:p>
    <w:p w14:paraId="4D9DCDCC" w14:textId="77777777" w:rsidR="00B94B2C" w:rsidRPr="00021C9E" w:rsidRDefault="00B94B2C" w:rsidP="00B10A33">
      <w:pPr>
        <w:jc w:val="both"/>
      </w:pPr>
    </w:p>
    <w:p w14:paraId="39ECE480" w14:textId="77777777" w:rsidR="00B94B2C" w:rsidRPr="00021C9E" w:rsidRDefault="00B94B2C" w:rsidP="00B10A33">
      <w:pPr>
        <w:jc w:val="both"/>
        <w:rPr>
          <w:b/>
          <w:i/>
        </w:rPr>
      </w:pPr>
      <w:r w:rsidRPr="00021C9E">
        <w:rPr>
          <w:b/>
          <w:i/>
        </w:rPr>
        <w:t>General Recommendation No. 23 of the Committee on the Elimination of Racial Discrimination</w:t>
      </w:r>
    </w:p>
    <w:p w14:paraId="5006D0B9" w14:textId="77777777" w:rsidR="00B94B2C" w:rsidRPr="00021C9E" w:rsidRDefault="00B94B2C" w:rsidP="00B10A33">
      <w:pPr>
        <w:pStyle w:val="ListParagraph"/>
        <w:numPr>
          <w:ilvl w:val="0"/>
          <w:numId w:val="37"/>
        </w:numPr>
        <w:jc w:val="both"/>
      </w:pPr>
      <w:r w:rsidRPr="00021C9E">
        <w:t xml:space="preserve">According to section 4 of </w:t>
      </w:r>
      <w:r w:rsidRPr="00586E00">
        <w:rPr>
          <w:i/>
        </w:rPr>
        <w:t>General Recommendation No. 23</w:t>
      </w:r>
      <w:r w:rsidRPr="00021C9E">
        <w:t xml:space="preserve">, CERD called </w:t>
      </w:r>
      <w:r>
        <w:t>on</w:t>
      </w:r>
      <w:r w:rsidRPr="00021C9E">
        <w:t xml:space="preserve"> State parties to:</w:t>
      </w:r>
    </w:p>
    <w:p w14:paraId="30823B53" w14:textId="77777777" w:rsidR="00B94B2C" w:rsidRPr="00021C9E" w:rsidRDefault="00B94B2C" w:rsidP="00B10A33">
      <w:pPr>
        <w:jc w:val="both"/>
      </w:pPr>
    </w:p>
    <w:p w14:paraId="0F2AAB22" w14:textId="16333839" w:rsidR="00B94B2C" w:rsidRPr="00021C9E" w:rsidRDefault="00B94B2C" w:rsidP="00B10A33">
      <w:pPr>
        <w:ind w:left="1080" w:right="560"/>
        <w:jc w:val="both"/>
        <w:rPr>
          <w:i/>
        </w:rPr>
      </w:pPr>
      <w:r w:rsidRPr="00021C9E">
        <w:rPr>
          <w:i/>
        </w:rPr>
        <w:t xml:space="preserve">“(a) Recognize and respect </w:t>
      </w:r>
      <w:r w:rsidR="00E35CAE">
        <w:rPr>
          <w:i/>
        </w:rPr>
        <w:t>Indigenous</w:t>
      </w:r>
      <w:r w:rsidRPr="00021C9E">
        <w:rPr>
          <w:i/>
        </w:rPr>
        <w:t xml:space="preserve"> distinct culture, history, language, and way of life as enrichment of the State’s cultural identity and to promote its preservation;</w:t>
      </w:r>
    </w:p>
    <w:p w14:paraId="72F3F1DE" w14:textId="77777777" w:rsidR="00B94B2C" w:rsidRPr="00021C9E" w:rsidRDefault="00B94B2C" w:rsidP="00B10A33">
      <w:pPr>
        <w:ind w:left="1080" w:right="560"/>
        <w:jc w:val="both"/>
        <w:rPr>
          <w:i/>
        </w:rPr>
      </w:pPr>
    </w:p>
    <w:p w14:paraId="1392CC89" w14:textId="53FBC611" w:rsidR="00B94B2C" w:rsidRPr="00021C9E" w:rsidRDefault="00B94B2C" w:rsidP="00B10A33">
      <w:pPr>
        <w:ind w:left="1080" w:right="560"/>
        <w:jc w:val="both"/>
      </w:pPr>
      <w:r w:rsidRPr="00021C9E">
        <w:rPr>
          <w:i/>
        </w:rPr>
        <w:t xml:space="preserve"> (b) Ensure that members of </w:t>
      </w:r>
      <w:r w:rsidR="00E35CAE">
        <w:rPr>
          <w:i/>
        </w:rPr>
        <w:t>Indigenous</w:t>
      </w:r>
      <w:r w:rsidRPr="00021C9E">
        <w:rPr>
          <w:i/>
        </w:rPr>
        <w:t xml:space="preserve"> </w:t>
      </w:r>
      <w:r w:rsidR="00E35CAE">
        <w:rPr>
          <w:i/>
        </w:rPr>
        <w:t>Peoples</w:t>
      </w:r>
      <w:r w:rsidRPr="00021C9E">
        <w:rPr>
          <w:i/>
        </w:rPr>
        <w:t xml:space="preserve"> are free and equal in dignity and rights and free from any discrimination, in particular that based on </w:t>
      </w:r>
      <w:r w:rsidR="00E35CAE">
        <w:rPr>
          <w:i/>
        </w:rPr>
        <w:t>Indigenous</w:t>
      </w:r>
      <w:r w:rsidRPr="00021C9E">
        <w:rPr>
          <w:i/>
        </w:rPr>
        <w:t xml:space="preserve"> origin or identity</w:t>
      </w:r>
      <w:r w:rsidRPr="00021C9E">
        <w:t>;</w:t>
      </w:r>
    </w:p>
    <w:p w14:paraId="01BD530E" w14:textId="77777777" w:rsidR="00B94B2C" w:rsidRPr="00021C9E" w:rsidRDefault="00B94B2C" w:rsidP="00B10A33">
      <w:pPr>
        <w:ind w:left="1080" w:right="560"/>
        <w:jc w:val="both"/>
      </w:pPr>
    </w:p>
    <w:p w14:paraId="5727E4CD" w14:textId="464C7C1D" w:rsidR="00B94B2C" w:rsidRPr="00021C9E" w:rsidRDefault="00B94B2C" w:rsidP="00B10A33">
      <w:pPr>
        <w:ind w:left="1080" w:right="560"/>
        <w:jc w:val="both"/>
      </w:pPr>
      <w:r w:rsidRPr="00021C9E">
        <w:rPr>
          <w:i/>
        </w:rPr>
        <w:t xml:space="preserve"> (c) Provide </w:t>
      </w:r>
      <w:r w:rsidR="00E35CAE">
        <w:rPr>
          <w:i/>
        </w:rPr>
        <w:t>Indigenous</w:t>
      </w:r>
      <w:r w:rsidRPr="00021C9E">
        <w:rPr>
          <w:i/>
        </w:rPr>
        <w:t xml:space="preserve"> </w:t>
      </w:r>
      <w:r w:rsidR="00E35CAE">
        <w:rPr>
          <w:i/>
        </w:rPr>
        <w:t>Peoples</w:t>
      </w:r>
      <w:r w:rsidRPr="00021C9E">
        <w:rPr>
          <w:i/>
        </w:rPr>
        <w:t xml:space="preserve"> with conditions allowing for a sustainable economic and social development compatible with </w:t>
      </w:r>
      <w:r w:rsidR="00E8330D">
        <w:rPr>
          <w:i/>
        </w:rPr>
        <w:t>our</w:t>
      </w:r>
      <w:r w:rsidRPr="00021C9E">
        <w:rPr>
          <w:i/>
        </w:rPr>
        <w:t xml:space="preserve"> cultural characteristics</w:t>
      </w:r>
      <w:r w:rsidRPr="00021C9E">
        <w:t xml:space="preserve">; </w:t>
      </w:r>
    </w:p>
    <w:p w14:paraId="30816677" w14:textId="77777777" w:rsidR="00B94B2C" w:rsidRPr="00021C9E" w:rsidRDefault="00B94B2C" w:rsidP="00B10A33">
      <w:pPr>
        <w:ind w:left="1080" w:right="560"/>
        <w:jc w:val="both"/>
      </w:pPr>
    </w:p>
    <w:p w14:paraId="6F44B37A" w14:textId="2C84ED5B" w:rsidR="00B94B2C" w:rsidRPr="00021C9E" w:rsidRDefault="00B94B2C" w:rsidP="00B10A33">
      <w:pPr>
        <w:ind w:left="1080" w:right="560"/>
        <w:jc w:val="both"/>
      </w:pPr>
      <w:r w:rsidRPr="00021C9E">
        <w:rPr>
          <w:i/>
        </w:rPr>
        <w:t xml:space="preserve">(d) Ensure that members of </w:t>
      </w:r>
      <w:r w:rsidR="00E35CAE">
        <w:rPr>
          <w:i/>
        </w:rPr>
        <w:t>Indigenous</w:t>
      </w:r>
      <w:r w:rsidRPr="00021C9E">
        <w:rPr>
          <w:i/>
        </w:rPr>
        <w:t xml:space="preserve"> </w:t>
      </w:r>
      <w:r w:rsidR="00E35CAE">
        <w:rPr>
          <w:i/>
        </w:rPr>
        <w:t>Peoples</w:t>
      </w:r>
      <w:r w:rsidRPr="00021C9E">
        <w:rPr>
          <w:i/>
        </w:rPr>
        <w:t xml:space="preserve"> have equal rights in respect of effective participation in public life and that no decisions directly relating to </w:t>
      </w:r>
      <w:r w:rsidR="00E8330D">
        <w:rPr>
          <w:i/>
        </w:rPr>
        <w:t>our</w:t>
      </w:r>
      <w:r w:rsidRPr="00021C9E">
        <w:rPr>
          <w:i/>
        </w:rPr>
        <w:t xml:space="preserve"> rights and interest are taken without </w:t>
      </w:r>
      <w:r w:rsidR="00E8330D">
        <w:rPr>
          <w:i/>
        </w:rPr>
        <w:t>our</w:t>
      </w:r>
      <w:r w:rsidRPr="00021C9E">
        <w:rPr>
          <w:i/>
        </w:rPr>
        <w:t xml:space="preserve"> informed consent</w:t>
      </w:r>
      <w:r w:rsidRPr="00021C9E">
        <w:t xml:space="preserve">; </w:t>
      </w:r>
      <w:r w:rsidRPr="00021C9E">
        <w:rPr>
          <w:i/>
        </w:rPr>
        <w:t>and</w:t>
      </w:r>
    </w:p>
    <w:p w14:paraId="39A63DC4" w14:textId="77777777" w:rsidR="00B94B2C" w:rsidRPr="00021C9E" w:rsidRDefault="00B94B2C" w:rsidP="00B10A33">
      <w:pPr>
        <w:ind w:left="1080" w:right="560"/>
        <w:jc w:val="both"/>
      </w:pPr>
    </w:p>
    <w:p w14:paraId="399C5827" w14:textId="29315802" w:rsidR="00B94B2C" w:rsidRPr="00021C9E" w:rsidRDefault="00B94B2C" w:rsidP="00B10A33">
      <w:pPr>
        <w:ind w:left="1080" w:right="560"/>
        <w:jc w:val="both"/>
      </w:pPr>
      <w:r w:rsidRPr="00021C9E">
        <w:rPr>
          <w:i/>
        </w:rPr>
        <w:t xml:space="preserve">(e) Ensure that </w:t>
      </w:r>
      <w:r w:rsidR="00E35CAE">
        <w:rPr>
          <w:i/>
        </w:rPr>
        <w:t>Indigenous</w:t>
      </w:r>
      <w:r w:rsidRPr="00021C9E">
        <w:rPr>
          <w:i/>
        </w:rPr>
        <w:t xml:space="preserve"> communities can exercise </w:t>
      </w:r>
      <w:r w:rsidR="00E8330D">
        <w:rPr>
          <w:i/>
        </w:rPr>
        <w:t>our</w:t>
      </w:r>
      <w:r w:rsidRPr="00021C9E">
        <w:rPr>
          <w:i/>
        </w:rPr>
        <w:t xml:space="preserve"> rights to practice and revitalize </w:t>
      </w:r>
      <w:r w:rsidR="00E8330D">
        <w:rPr>
          <w:i/>
        </w:rPr>
        <w:t>our</w:t>
      </w:r>
      <w:r w:rsidRPr="00021C9E">
        <w:rPr>
          <w:i/>
        </w:rPr>
        <w:t xml:space="preserve"> cultural traditions and customs and to preserve and to practice </w:t>
      </w:r>
      <w:r w:rsidR="00E8330D">
        <w:rPr>
          <w:i/>
        </w:rPr>
        <w:t>our</w:t>
      </w:r>
      <w:r w:rsidRPr="00021C9E">
        <w:rPr>
          <w:i/>
        </w:rPr>
        <w:t xml:space="preserve"> languages”</w:t>
      </w:r>
    </w:p>
    <w:p w14:paraId="3DEEA2BD" w14:textId="77777777" w:rsidR="00B94B2C" w:rsidRPr="00021C9E" w:rsidRDefault="00B94B2C" w:rsidP="00B10A33">
      <w:pPr>
        <w:jc w:val="both"/>
      </w:pPr>
    </w:p>
    <w:p w14:paraId="06E60CF2" w14:textId="4CBB6828" w:rsidR="00B94B2C" w:rsidRPr="00FC1494" w:rsidRDefault="00B94B2C" w:rsidP="00B10A33">
      <w:pPr>
        <w:pStyle w:val="ListParagraph"/>
        <w:numPr>
          <w:ilvl w:val="0"/>
          <w:numId w:val="37"/>
        </w:numPr>
        <w:jc w:val="both"/>
      </w:pPr>
      <w:r w:rsidRPr="00021C9E">
        <w:t xml:space="preserve">In conjunction with what has been stated above in its totality, the Nations submit that the Canadian state’s failure to meet its obligations under the ICERD and </w:t>
      </w:r>
      <w:r w:rsidRPr="00586E00">
        <w:rPr>
          <w:i/>
        </w:rPr>
        <w:t>General Recommendation No. 21 of the Committee on the Elimination of Racial Discrimination</w:t>
      </w:r>
      <w:r w:rsidRPr="00021C9E">
        <w:t xml:space="preserve"> is also a failure to heed the </w:t>
      </w:r>
      <w:r w:rsidRPr="00586E00">
        <w:rPr>
          <w:i/>
        </w:rPr>
        <w:t>General Recommendation No. 23 of the Committee on the Elimination of Racial Discrimination</w:t>
      </w:r>
      <w:r w:rsidRPr="00021C9E">
        <w:t xml:space="preserve">: </w:t>
      </w:r>
      <w:r w:rsidR="00E35CAE">
        <w:rPr>
          <w:i/>
        </w:rPr>
        <w:t>Indigenous</w:t>
      </w:r>
      <w:r w:rsidRPr="00586E00">
        <w:rPr>
          <w:i/>
        </w:rPr>
        <w:t xml:space="preserve"> </w:t>
      </w:r>
      <w:r w:rsidR="00E35CAE">
        <w:rPr>
          <w:i/>
        </w:rPr>
        <w:t>Peoples</w:t>
      </w:r>
      <w:r w:rsidRPr="00021C9E">
        <w:t>. The Nations submit that the Canadian</w:t>
      </w:r>
      <w:r w:rsidR="00FC1494">
        <w:t xml:space="preserve"> state’s</w:t>
      </w:r>
      <w:r w:rsidRPr="00021C9E">
        <w:t xml:space="preserve"> </w:t>
      </w:r>
      <w:r w:rsidR="00FC1494">
        <w:t>continued adherence to the</w:t>
      </w:r>
      <w:r w:rsidR="00942712">
        <w:t xml:space="preserve"> principles of the</w:t>
      </w:r>
      <w:r w:rsidR="00FC1494">
        <w:t xml:space="preserve"> </w:t>
      </w:r>
      <w:r w:rsidR="00FC1494" w:rsidRPr="00586E00">
        <w:rPr>
          <w:i/>
        </w:rPr>
        <w:t>Doctrine of Discovery</w:t>
      </w:r>
      <w:r w:rsidR="00FC1494">
        <w:t xml:space="preserve"> </w:t>
      </w:r>
      <w:r w:rsidR="007B42C6">
        <w:t>that</w:t>
      </w:r>
      <w:r w:rsidR="00AC5BE2">
        <w:t xml:space="preserve"> minimize</w:t>
      </w:r>
      <w:r w:rsidR="000413F1">
        <w:t>s</w:t>
      </w:r>
      <w:r w:rsidR="00AC5BE2">
        <w:t xml:space="preserve"> our Nation</w:t>
      </w:r>
      <w:r w:rsidR="00D6067F">
        <w:t xml:space="preserve">s’ right to our </w:t>
      </w:r>
      <w:r w:rsidR="00007CC9">
        <w:t>Territories</w:t>
      </w:r>
      <w:r w:rsidR="000413F1">
        <w:t xml:space="preserve">, and thereby legitimizes the Canadian state’s alleged underlying title to our </w:t>
      </w:r>
      <w:r w:rsidR="00007CC9">
        <w:t>Territories</w:t>
      </w:r>
      <w:r w:rsidR="00D43764">
        <w:t xml:space="preserve">, is </w:t>
      </w:r>
      <w:r w:rsidR="00E010FC">
        <w:t xml:space="preserve">based </w:t>
      </w:r>
    </w:p>
    <w:p w14:paraId="428B630D" w14:textId="77777777" w:rsidR="00B94B2C" w:rsidRPr="00021C9E" w:rsidRDefault="00B94B2C" w:rsidP="00B10A33">
      <w:pPr>
        <w:jc w:val="both"/>
      </w:pPr>
    </w:p>
    <w:p w14:paraId="7863B9F8" w14:textId="77777777" w:rsidR="00B94B2C" w:rsidRPr="00021C9E" w:rsidRDefault="00B94B2C" w:rsidP="00B10A33">
      <w:pPr>
        <w:jc w:val="both"/>
        <w:rPr>
          <w:b/>
          <w:i/>
        </w:rPr>
      </w:pPr>
      <w:r w:rsidRPr="00021C9E">
        <w:rPr>
          <w:b/>
          <w:i/>
        </w:rPr>
        <w:t xml:space="preserve">Article 1 of the International Covenant on Civil and Political Rights and International Covenant on Economic, Social and Cultural Rights </w:t>
      </w:r>
    </w:p>
    <w:p w14:paraId="24E24D8A" w14:textId="717CF356" w:rsidR="00B94B2C" w:rsidRPr="00021C9E" w:rsidRDefault="00B94B2C" w:rsidP="00B10A33">
      <w:pPr>
        <w:pStyle w:val="ListParagraph"/>
        <w:numPr>
          <w:ilvl w:val="0"/>
          <w:numId w:val="37"/>
        </w:numPr>
        <w:jc w:val="both"/>
      </w:pPr>
      <w:r w:rsidRPr="00021C9E">
        <w:t>According to Article 1, “</w:t>
      </w:r>
      <w:r w:rsidRPr="00586E00">
        <w:rPr>
          <w:i/>
        </w:rPr>
        <w:t xml:space="preserve">All </w:t>
      </w:r>
      <w:r w:rsidR="00E35CAE">
        <w:rPr>
          <w:i/>
        </w:rPr>
        <w:t>Peoples</w:t>
      </w:r>
      <w:r w:rsidRPr="00586E00">
        <w:rPr>
          <w:i/>
        </w:rPr>
        <w:t xml:space="preserve"> have the right of self-determination. By virtue of that right they freely determine </w:t>
      </w:r>
      <w:r w:rsidR="00E8330D" w:rsidRPr="00586E00">
        <w:rPr>
          <w:i/>
        </w:rPr>
        <w:t>our</w:t>
      </w:r>
      <w:r w:rsidRPr="00586E00">
        <w:rPr>
          <w:i/>
        </w:rPr>
        <w:t xml:space="preserve"> political status and freely pursue </w:t>
      </w:r>
      <w:r w:rsidR="00E8330D" w:rsidRPr="00586E00">
        <w:rPr>
          <w:i/>
        </w:rPr>
        <w:t>our</w:t>
      </w:r>
      <w:r w:rsidRPr="00586E00">
        <w:rPr>
          <w:i/>
        </w:rPr>
        <w:t xml:space="preserve"> economic, social and cultural development”</w:t>
      </w:r>
      <w:r w:rsidRPr="00021C9E">
        <w:t xml:space="preserve">. </w:t>
      </w:r>
    </w:p>
    <w:p w14:paraId="18C57716" w14:textId="77777777" w:rsidR="00B94B2C" w:rsidRPr="00021C9E" w:rsidRDefault="00B94B2C" w:rsidP="00B10A33">
      <w:pPr>
        <w:jc w:val="both"/>
      </w:pPr>
    </w:p>
    <w:p w14:paraId="6A763333" w14:textId="724ECE05" w:rsidR="00B94B2C" w:rsidRPr="00021C9E" w:rsidRDefault="00B94B2C" w:rsidP="00B10A33">
      <w:pPr>
        <w:ind w:left="720"/>
        <w:jc w:val="both"/>
      </w:pPr>
      <w:r w:rsidRPr="00021C9E">
        <w:t xml:space="preserve">The Nations submit that given its recommendations in </w:t>
      </w:r>
      <w:r w:rsidRPr="00021C9E">
        <w:rPr>
          <w:i/>
        </w:rPr>
        <w:t>General Recommendation No. 21 of the Committee on the Elimination of Racial Discrimination</w:t>
      </w:r>
      <w:r w:rsidRPr="00021C9E">
        <w:t xml:space="preserve"> that requires States, in protecting the rights of all </w:t>
      </w:r>
      <w:r w:rsidR="00E35CAE">
        <w:rPr>
          <w:u w:val="single"/>
        </w:rPr>
        <w:t>Peoples</w:t>
      </w:r>
      <w:r w:rsidRPr="0034663B">
        <w:t xml:space="preserve"> </w:t>
      </w:r>
      <w:r w:rsidRPr="00021C9E">
        <w:t>in the State, must adhere to and implement fully the international human rights instruments, the Canadian state must adhere to and implement fully Article 1 of the ICCPR and the ICESCR. The Nations submit that the Canadian state has not only not adhered to or implemented these articles, but have in fact violated these articles by not protecting and implementing our Nations’ inherent right to self-determination as set out in this submission. Since the Canadian state has neither adhered to nor implemented these articles, it is also in violation of ICERD</w:t>
      </w:r>
      <w:r w:rsidRPr="00021C9E">
        <w:rPr>
          <w:i/>
        </w:rPr>
        <w:t xml:space="preserve"> </w:t>
      </w:r>
      <w:r w:rsidRPr="00021C9E">
        <w:t xml:space="preserve">and </w:t>
      </w:r>
      <w:r w:rsidRPr="00021C9E">
        <w:rPr>
          <w:i/>
        </w:rPr>
        <w:t>CERD’s General Recommendation No. 21 of the Committee on the Elimination of Racial Discrimination.</w:t>
      </w:r>
    </w:p>
    <w:p w14:paraId="53970BCF" w14:textId="77777777" w:rsidR="00B94B2C" w:rsidRPr="00021C9E" w:rsidRDefault="00B94B2C" w:rsidP="00B10A33">
      <w:pPr>
        <w:widowControl w:val="0"/>
        <w:autoSpaceDE w:val="0"/>
        <w:autoSpaceDN w:val="0"/>
        <w:adjustRightInd w:val="0"/>
        <w:ind w:right="-7"/>
        <w:jc w:val="both"/>
      </w:pPr>
    </w:p>
    <w:p w14:paraId="64ACEDB2" w14:textId="77777777" w:rsidR="00B94B2C" w:rsidRPr="00021C9E" w:rsidRDefault="00B94B2C" w:rsidP="00B10A33">
      <w:pPr>
        <w:pStyle w:val="ListParagraph"/>
        <w:widowControl w:val="0"/>
        <w:numPr>
          <w:ilvl w:val="0"/>
          <w:numId w:val="37"/>
        </w:numPr>
        <w:autoSpaceDE w:val="0"/>
        <w:autoSpaceDN w:val="0"/>
        <w:adjustRightInd w:val="0"/>
        <w:ind w:right="-7"/>
        <w:jc w:val="both"/>
      </w:pPr>
      <w:r w:rsidRPr="00021C9E">
        <w:t>Although the Canadian state purports to be a “champion of human rights” on the international stage, the Nations agree with Independent Expert Alfred De Zayas’ “Recommendation to States” where he recommends the following:</w:t>
      </w:r>
    </w:p>
    <w:p w14:paraId="5927BC46" w14:textId="77777777" w:rsidR="00B94B2C" w:rsidRPr="00021C9E" w:rsidRDefault="00B94B2C" w:rsidP="00B10A33">
      <w:pPr>
        <w:widowControl w:val="0"/>
        <w:autoSpaceDE w:val="0"/>
        <w:autoSpaceDN w:val="0"/>
        <w:adjustRightInd w:val="0"/>
        <w:ind w:right="-7"/>
        <w:jc w:val="both"/>
      </w:pPr>
    </w:p>
    <w:p w14:paraId="646EB7DF" w14:textId="77777777" w:rsidR="00B94B2C" w:rsidRPr="00021C9E" w:rsidRDefault="00B94B2C" w:rsidP="00B10A33">
      <w:pPr>
        <w:widowControl w:val="0"/>
        <w:autoSpaceDE w:val="0"/>
        <w:autoSpaceDN w:val="0"/>
        <w:adjustRightInd w:val="0"/>
        <w:ind w:left="1080" w:right="468"/>
        <w:jc w:val="both"/>
        <w:rPr>
          <w:i/>
        </w:rPr>
      </w:pPr>
      <w:r w:rsidRPr="00021C9E">
        <w:rPr>
          <w:i/>
        </w:rPr>
        <w:t xml:space="preserve">“States should practice what they preach and test </w:t>
      </w:r>
      <w:r w:rsidR="00E8330D">
        <w:rPr>
          <w:i/>
        </w:rPr>
        <w:t>our</w:t>
      </w:r>
      <w:r w:rsidRPr="00021C9E">
        <w:rPr>
          <w:i/>
        </w:rPr>
        <w:t xml:space="preserve"> actions, in good faith, for consistency with the Purposes and Principles of the United Nations, knowing that the end does not justify the means, and that international law is by definition universal and must not be applied a la carte”.</w:t>
      </w:r>
      <w:r w:rsidRPr="00021C9E">
        <w:rPr>
          <w:rStyle w:val="FootnoteReference"/>
          <w:i/>
        </w:rPr>
        <w:footnoteReference w:id="23"/>
      </w:r>
    </w:p>
    <w:p w14:paraId="0690DC2D" w14:textId="77777777" w:rsidR="00B94B2C" w:rsidRDefault="00B94B2C" w:rsidP="00B10A33">
      <w:pPr>
        <w:widowControl w:val="0"/>
        <w:autoSpaceDE w:val="0"/>
        <w:autoSpaceDN w:val="0"/>
        <w:adjustRightInd w:val="0"/>
        <w:ind w:right="560"/>
        <w:jc w:val="both"/>
      </w:pPr>
    </w:p>
    <w:p w14:paraId="7E5B6EFA" w14:textId="77777777" w:rsidR="00B10A33" w:rsidRDefault="00B10A33" w:rsidP="00B10A33">
      <w:pPr>
        <w:widowControl w:val="0"/>
        <w:autoSpaceDE w:val="0"/>
        <w:autoSpaceDN w:val="0"/>
        <w:adjustRightInd w:val="0"/>
        <w:ind w:right="560"/>
        <w:jc w:val="both"/>
        <w:rPr>
          <w:b/>
          <w:u w:val="single"/>
        </w:rPr>
      </w:pPr>
      <w:r w:rsidRPr="009F19C7">
        <w:rPr>
          <w:b/>
          <w:u w:val="single"/>
        </w:rPr>
        <w:t>Residential School</w:t>
      </w:r>
      <w:r w:rsidR="00850DFF">
        <w:rPr>
          <w:b/>
          <w:u w:val="single"/>
        </w:rPr>
        <w:t>s</w:t>
      </w:r>
      <w:r w:rsidR="00F33CEA">
        <w:rPr>
          <w:b/>
          <w:u w:val="single"/>
        </w:rPr>
        <w:t xml:space="preserve"> and </w:t>
      </w:r>
      <w:r w:rsidR="009F19C7" w:rsidRPr="009F19C7">
        <w:rPr>
          <w:b/>
          <w:u w:val="single"/>
        </w:rPr>
        <w:t>Child Welfare Systems</w:t>
      </w:r>
      <w:r w:rsidR="00DC6116">
        <w:rPr>
          <w:b/>
          <w:u w:val="single"/>
        </w:rPr>
        <w:t xml:space="preserve"> and State Laws</w:t>
      </w:r>
    </w:p>
    <w:p w14:paraId="14BD7BB6" w14:textId="77777777" w:rsidR="009F19C7" w:rsidRPr="009F19C7" w:rsidRDefault="009F19C7" w:rsidP="00B10A33">
      <w:pPr>
        <w:widowControl w:val="0"/>
        <w:autoSpaceDE w:val="0"/>
        <w:autoSpaceDN w:val="0"/>
        <w:adjustRightInd w:val="0"/>
        <w:ind w:right="560"/>
        <w:jc w:val="both"/>
        <w:rPr>
          <w:b/>
          <w:u w:val="single"/>
        </w:rPr>
      </w:pPr>
    </w:p>
    <w:p w14:paraId="443FB794" w14:textId="4D81CF86" w:rsidR="00272A8E" w:rsidRDefault="00272A8E" w:rsidP="00B10A33">
      <w:pPr>
        <w:pStyle w:val="ListParagraph"/>
        <w:numPr>
          <w:ilvl w:val="0"/>
          <w:numId w:val="37"/>
        </w:numPr>
        <w:jc w:val="both"/>
      </w:pPr>
      <w:r w:rsidRPr="004D7B2A">
        <w:t xml:space="preserve">In response to the Canada’s </w:t>
      </w:r>
      <w:r>
        <w:t xml:space="preserve">government’s </w:t>
      </w:r>
      <w:r w:rsidRPr="004D7B2A">
        <w:t xml:space="preserve">periodic report to </w:t>
      </w:r>
      <w:r w:rsidR="009F19C7">
        <w:t>CERD</w:t>
      </w:r>
      <w:r w:rsidRPr="004D7B2A">
        <w:t xml:space="preserve"> </w:t>
      </w:r>
      <w:r w:rsidR="00B10A33">
        <w:t>our Nations</w:t>
      </w:r>
      <w:r w:rsidRPr="004D7B2A">
        <w:t xml:space="preserve"> </w:t>
      </w:r>
      <w:r>
        <w:t xml:space="preserve">vehemently </w:t>
      </w:r>
      <w:r w:rsidRPr="004D7B2A">
        <w:t>object to the claims made by the government.  Canada portrays that it “has a strong legal and policy framework to combat racial discrimination”</w:t>
      </w:r>
      <w:r>
        <w:rPr>
          <w:rStyle w:val="FootnoteReference"/>
        </w:rPr>
        <w:footnoteReference w:id="24"/>
      </w:r>
      <w:r w:rsidR="009F19C7">
        <w:t xml:space="preserve"> The Canadian state</w:t>
      </w:r>
      <w:r w:rsidRPr="004D7B2A">
        <w:t xml:space="preserve"> cites </w:t>
      </w:r>
      <w:r w:rsidRPr="00272A8E">
        <w:rPr>
          <w:i/>
        </w:rPr>
        <w:t>the Canadian Charter of Rights and Freedoms</w:t>
      </w:r>
      <w:r w:rsidRPr="004D7B2A">
        <w:t xml:space="preserve">, the </w:t>
      </w:r>
      <w:r w:rsidRPr="00272A8E">
        <w:rPr>
          <w:i/>
        </w:rPr>
        <w:t>Criminal Code</w:t>
      </w:r>
      <w:r w:rsidRPr="004D7B2A">
        <w:t xml:space="preserve">, and federal and provincial human rights statutes as a basis of promoting that it is peaceful and benevolent toward </w:t>
      </w:r>
      <w:r w:rsidR="00E35CAE">
        <w:t>Indigenous</w:t>
      </w:r>
      <w:r w:rsidR="009F19C7">
        <w:t xml:space="preserve"> </w:t>
      </w:r>
      <w:r w:rsidR="00E35CAE">
        <w:t>Peoples</w:t>
      </w:r>
      <w:r>
        <w:t xml:space="preserve"> and Nations.   The evidence suggests the government has a long standing racist violent past and prese</w:t>
      </w:r>
      <w:r w:rsidR="009F19C7">
        <w:t xml:space="preserve">nt against </w:t>
      </w:r>
      <w:r w:rsidR="00E35CAE">
        <w:t>Indigenous</w:t>
      </w:r>
      <w:r w:rsidR="009F19C7">
        <w:t xml:space="preserve"> </w:t>
      </w:r>
      <w:r w:rsidR="00E35CAE">
        <w:t>Peoples</w:t>
      </w:r>
      <w:r>
        <w:t>.</w:t>
      </w:r>
    </w:p>
    <w:p w14:paraId="5B728706" w14:textId="77777777" w:rsidR="00272A8E" w:rsidRDefault="00272A8E" w:rsidP="00B10A33">
      <w:pPr>
        <w:pStyle w:val="ListParagraph"/>
        <w:jc w:val="both"/>
      </w:pPr>
    </w:p>
    <w:p w14:paraId="53B2DE59" w14:textId="7D0407A5" w:rsidR="00272A8E" w:rsidRDefault="00272A8E" w:rsidP="00B10A33">
      <w:pPr>
        <w:pStyle w:val="ListParagraph"/>
        <w:numPr>
          <w:ilvl w:val="0"/>
          <w:numId w:val="37"/>
        </w:numPr>
        <w:jc w:val="both"/>
      </w:pPr>
      <w:r>
        <w:t>The residential school system was a program designed by the state (from 1883 to 1996</w:t>
      </w:r>
      <w:r>
        <w:rPr>
          <w:rStyle w:val="FootnoteReference"/>
        </w:rPr>
        <w:footnoteReference w:id="25"/>
      </w:r>
      <w:r>
        <w:t>) that utilized a destructive and vicious framework that invoked “theories of racial superiority”</w:t>
      </w:r>
      <w:r>
        <w:rPr>
          <w:rStyle w:val="FootnoteReference"/>
        </w:rPr>
        <w:footnoteReference w:id="26"/>
      </w:r>
      <w:r>
        <w:t xml:space="preserve"> — civilizing project — to forcibly remove hundreds of thousands (even millions)</w:t>
      </w:r>
      <w:r>
        <w:rPr>
          <w:rStyle w:val="FootnoteReference"/>
        </w:rPr>
        <w:footnoteReference w:id="27"/>
      </w:r>
      <w:r>
        <w:t xml:space="preserve"> </w:t>
      </w:r>
      <w:r w:rsidR="009F19C7">
        <w:t xml:space="preserve">of </w:t>
      </w:r>
      <w:r w:rsidR="00E35CAE">
        <w:t>Indigenous</w:t>
      </w:r>
      <w:r w:rsidR="009F19C7">
        <w:t xml:space="preserve"> </w:t>
      </w:r>
      <w:r w:rsidR="00E35CAE">
        <w:t>Peoples</w:t>
      </w:r>
      <w:r>
        <w:t xml:space="preserve">’ children from our Nations and ultimately from our </w:t>
      </w:r>
      <w:r w:rsidR="00007CC9">
        <w:t>Territories</w:t>
      </w:r>
      <w:r>
        <w:t xml:space="preserve">.   </w:t>
      </w:r>
      <w:r w:rsidRPr="001C4F6F">
        <w:t>Our children continue to be removed from our homes and families in</w:t>
      </w:r>
      <w:r>
        <w:t>to</w:t>
      </w:r>
      <w:r w:rsidRPr="001C4F6F">
        <w:t xml:space="preserve"> the</w:t>
      </w:r>
      <w:r>
        <w:t xml:space="preserve"> provincial</w:t>
      </w:r>
      <w:r w:rsidRPr="001C4F6F">
        <w:t xml:space="preserve"> child welfare system</w:t>
      </w:r>
      <w:r>
        <w:t>s</w:t>
      </w:r>
      <w:r w:rsidRPr="001C4F6F">
        <w:t xml:space="preserve"> with no end in sight.</w:t>
      </w:r>
      <w:r>
        <w:rPr>
          <w:rStyle w:val="FootnoteReference"/>
        </w:rPr>
        <w:footnoteReference w:id="28"/>
      </w:r>
      <w:r>
        <w:t xml:space="preserve">  The effects and devastation of racist colonial violence in our Nations continue to be felt through the poverty, incarceration rates, suicides, addictions, among others and the most important being our relationship to our lands and territories.</w:t>
      </w:r>
    </w:p>
    <w:p w14:paraId="1008EF20" w14:textId="77777777" w:rsidR="009F19C7" w:rsidRPr="00D72981" w:rsidRDefault="009F19C7" w:rsidP="009F19C7">
      <w:pPr>
        <w:jc w:val="both"/>
      </w:pPr>
    </w:p>
    <w:p w14:paraId="41CA5C97" w14:textId="77777777" w:rsidR="00272A8E" w:rsidRDefault="00272A8E" w:rsidP="00B10A33">
      <w:pPr>
        <w:pStyle w:val="ListParagraph"/>
        <w:numPr>
          <w:ilvl w:val="0"/>
          <w:numId w:val="37"/>
        </w:numPr>
        <w:jc w:val="both"/>
      </w:pPr>
      <w:r>
        <w:t>The forcible removals of our children are in contravention to CERD’s preamble in the</w:t>
      </w:r>
      <w:r w:rsidRPr="008F2A3A">
        <w:rPr>
          <w:bCs/>
          <w:i/>
          <w:sz w:val="20"/>
          <w:szCs w:val="20"/>
        </w:rPr>
        <w:t xml:space="preserve"> </w:t>
      </w:r>
      <w:r w:rsidR="009F19C7">
        <w:rPr>
          <w:bCs/>
        </w:rPr>
        <w:t>ICERD</w:t>
      </w:r>
      <w:r>
        <w:rPr>
          <w:bCs/>
        </w:rPr>
        <w:t>.</w:t>
      </w:r>
      <w:r>
        <w:rPr>
          <w:bCs/>
          <w:i/>
        </w:rPr>
        <w:t xml:space="preserve"> </w:t>
      </w:r>
      <w:r>
        <w:t xml:space="preserve"> In which it is “c</w:t>
      </w:r>
      <w:r w:rsidRPr="008A5209">
        <w:t>onvinced that any doctrine of superiority based on racial differentiation is scientifically false, morally</w:t>
      </w:r>
      <w:r>
        <w:t xml:space="preserve"> </w:t>
      </w:r>
      <w:r w:rsidRPr="00AA31D5">
        <w:t>condemnable, socially unjust and dangerous, and that there is no justification for racial discrimination,</w:t>
      </w:r>
      <w:r>
        <w:t xml:space="preserve"> </w:t>
      </w:r>
      <w:r w:rsidRPr="00AA31D5">
        <w:t xml:space="preserve">in </w:t>
      </w:r>
      <w:r>
        <w:t>theory or in practice, anywhere[.]”</w:t>
      </w:r>
      <w:r>
        <w:rPr>
          <w:rStyle w:val="FootnoteReference"/>
        </w:rPr>
        <w:footnoteReference w:id="29"/>
      </w:r>
    </w:p>
    <w:p w14:paraId="0B4EEF04" w14:textId="77777777" w:rsidR="00272A8E" w:rsidRPr="00AA31D5" w:rsidRDefault="00272A8E" w:rsidP="00B10A33">
      <w:pPr>
        <w:pStyle w:val="ListParagraph"/>
        <w:jc w:val="both"/>
      </w:pPr>
    </w:p>
    <w:p w14:paraId="6E341DFA" w14:textId="77777777" w:rsidR="00272A8E" w:rsidRDefault="00272A8E" w:rsidP="00B10A33">
      <w:pPr>
        <w:pStyle w:val="ListParagraph"/>
        <w:numPr>
          <w:ilvl w:val="0"/>
          <w:numId w:val="37"/>
        </w:numPr>
        <w:jc w:val="both"/>
      </w:pPr>
      <w:r>
        <w:t>Canada’s perpetration of destruction against our Nations through its forcible removals of our children into state controlled residential institutions continues in the child welfare system.  It is perilous that a state such as Canada engages in destructive conduct against our Nations and there exists no international body to examine this issue.  It is imperative that CERD see through the façade that continues to be portrayed by this government.</w:t>
      </w:r>
    </w:p>
    <w:p w14:paraId="606F027E" w14:textId="77777777" w:rsidR="00272A8E" w:rsidRPr="00003CCB" w:rsidRDefault="00272A8E" w:rsidP="00B10A33">
      <w:pPr>
        <w:jc w:val="both"/>
      </w:pPr>
    </w:p>
    <w:p w14:paraId="1DBF9396" w14:textId="6D3B7CCD" w:rsidR="00272A8E" w:rsidRDefault="00272A8E" w:rsidP="00B10A33">
      <w:pPr>
        <w:pStyle w:val="ListParagraph"/>
        <w:numPr>
          <w:ilvl w:val="0"/>
          <w:numId w:val="37"/>
        </w:numPr>
        <w:jc w:val="both"/>
      </w:pPr>
      <w:r w:rsidRPr="00816F26">
        <w:t xml:space="preserve">Canada claims that its </w:t>
      </w:r>
      <w:r w:rsidR="009F19C7">
        <w:t>“</w:t>
      </w:r>
      <w:r w:rsidRPr="00816F26">
        <w:t>Hate Propaganda</w:t>
      </w:r>
      <w:r w:rsidR="00F54C5C">
        <w:t>”</w:t>
      </w:r>
      <w:r>
        <w:rPr>
          <w:rStyle w:val="FootnoteReference"/>
        </w:rPr>
        <w:footnoteReference w:id="30"/>
      </w:r>
      <w:r w:rsidRPr="00816F26">
        <w:t xml:space="preserve">law is utilized to combat </w:t>
      </w:r>
      <w:r w:rsidR="009F19C7">
        <w:t>“</w:t>
      </w:r>
      <w:r w:rsidRPr="00816F26">
        <w:t>racist violence</w:t>
      </w:r>
      <w:r w:rsidR="009F19C7">
        <w:t>”</w:t>
      </w:r>
      <w:r>
        <w:rPr>
          <w:rStyle w:val="FootnoteReference"/>
        </w:rPr>
        <w:footnoteReference w:id="31"/>
      </w:r>
      <w:r w:rsidRPr="00816F26">
        <w:t xml:space="preserve"> in its </w:t>
      </w:r>
      <w:r w:rsidRPr="00ED1352">
        <w:rPr>
          <w:i/>
        </w:rPr>
        <w:t>Criminal Code</w:t>
      </w:r>
      <w:r>
        <w:t xml:space="preserve">. </w:t>
      </w:r>
      <w:r w:rsidRPr="00816F26">
        <w:t xml:space="preserve">It is critical to </w:t>
      </w:r>
      <w:r>
        <w:t xml:space="preserve">highlight that the </w:t>
      </w:r>
      <w:r w:rsidRPr="00816F26">
        <w:t xml:space="preserve">Hate Propaganda </w:t>
      </w:r>
      <w:r>
        <w:t xml:space="preserve">law </w:t>
      </w:r>
      <w:r w:rsidRPr="00816F26">
        <w:t xml:space="preserve">has its origins in the </w:t>
      </w:r>
      <w:r w:rsidRPr="00816F26">
        <w:rPr>
          <w:i/>
        </w:rPr>
        <w:t>United Nations</w:t>
      </w:r>
      <w:r w:rsidRPr="00816F26">
        <w:t xml:space="preserve"> </w:t>
      </w:r>
      <w:r w:rsidRPr="00816F26">
        <w:rPr>
          <w:i/>
          <w:iCs/>
          <w:lang w:val="en-AU"/>
        </w:rPr>
        <w:t xml:space="preserve">Convention on the Prevention and Punishment of the Crime of Genocide </w:t>
      </w:r>
      <w:r w:rsidRPr="00816F26">
        <w:rPr>
          <w:iCs/>
          <w:lang w:val="en-AU"/>
        </w:rPr>
        <w:t>(UNGC)</w:t>
      </w:r>
      <w:r w:rsidRPr="0050406E">
        <w:rPr>
          <w:i/>
          <w:iCs/>
          <w:vertAlign w:val="superscript"/>
          <w:lang w:val="en-AU"/>
        </w:rPr>
        <w:footnoteReference w:id="32"/>
      </w:r>
      <w:r>
        <w:t xml:space="preserve">.  </w:t>
      </w:r>
      <w:r w:rsidRPr="004C0F6F">
        <w:t>The Canadian state’s participation in the drafting of the UNGC and its ratification of genocide in its domestic penal code has allowed the government to conceal a deadly a</w:t>
      </w:r>
      <w:r>
        <w:t xml:space="preserve">nd destructive past and present with respect to its racism against </w:t>
      </w:r>
      <w:r w:rsidR="00E35CAE">
        <w:t>Indigenous</w:t>
      </w:r>
      <w:r>
        <w:t xml:space="preserve"> </w:t>
      </w:r>
      <w:r w:rsidR="00E35CAE">
        <w:t>Peoples</w:t>
      </w:r>
      <w:r>
        <w:t>.</w:t>
      </w:r>
      <w:r w:rsidRPr="00132C31">
        <w:t xml:space="preserve"> </w:t>
      </w:r>
    </w:p>
    <w:p w14:paraId="598DA5FA" w14:textId="77777777" w:rsidR="00272A8E" w:rsidRDefault="00272A8E" w:rsidP="00B10A33">
      <w:pPr>
        <w:jc w:val="both"/>
      </w:pPr>
    </w:p>
    <w:p w14:paraId="2A254269" w14:textId="28BB9CA1" w:rsidR="00272A8E" w:rsidRDefault="00F54C5C" w:rsidP="00B10A33">
      <w:pPr>
        <w:pStyle w:val="ListParagraph"/>
        <w:numPr>
          <w:ilvl w:val="0"/>
          <w:numId w:val="37"/>
        </w:numPr>
        <w:jc w:val="both"/>
      </w:pPr>
      <w:r>
        <w:t>Our Nations</w:t>
      </w:r>
      <w:r w:rsidR="00272A8E" w:rsidRPr="00150EE6">
        <w:t xml:space="preserve"> acknowledge that genocide is outside of the scope of CERD’s mandate; however, the information is critical to the framework (Hate Propaganda legislation) that Canada espouses to meet international objectives with respect to racial discrimination. </w:t>
      </w:r>
      <w:r w:rsidR="00272A8E">
        <w:t xml:space="preserve"> We refer to genocide in the context of racial violence dominated </w:t>
      </w:r>
      <w:r>
        <w:t xml:space="preserve">against </w:t>
      </w:r>
      <w:r w:rsidR="00E35CAE">
        <w:t>Indigenous</w:t>
      </w:r>
      <w:r>
        <w:t xml:space="preserve"> Nations and </w:t>
      </w:r>
      <w:r w:rsidR="00E35CAE">
        <w:t>Peoples</w:t>
      </w:r>
      <w:r w:rsidR="00272A8E">
        <w:t xml:space="preserve"> in the colonization of our </w:t>
      </w:r>
      <w:r>
        <w:t xml:space="preserve">Homeland </w:t>
      </w:r>
      <w:r w:rsidR="00272A8E">
        <w:t>and territories.</w:t>
      </w:r>
    </w:p>
    <w:p w14:paraId="727180C5" w14:textId="77777777" w:rsidR="00272A8E" w:rsidRPr="00E278E5" w:rsidRDefault="00272A8E" w:rsidP="00B10A33">
      <w:pPr>
        <w:jc w:val="both"/>
      </w:pPr>
    </w:p>
    <w:p w14:paraId="0766027A" w14:textId="77777777" w:rsidR="00272A8E" w:rsidRDefault="00272A8E" w:rsidP="00B10A33">
      <w:pPr>
        <w:pStyle w:val="ListParagraph"/>
        <w:numPr>
          <w:ilvl w:val="0"/>
          <w:numId w:val="37"/>
        </w:numPr>
        <w:jc w:val="both"/>
      </w:pPr>
      <w:r w:rsidRPr="00150EE6">
        <w:t xml:space="preserve"> It is important to expose the true face of Canada, rather than the one the government espouses to the world at large.  Our Original Nations on Great Turtle Island depend on outside interventions from the international mechanisms such as CERD.</w:t>
      </w:r>
    </w:p>
    <w:p w14:paraId="6F79AE00" w14:textId="77777777" w:rsidR="00272A8E" w:rsidRPr="00150EE6" w:rsidRDefault="00272A8E" w:rsidP="00B10A33">
      <w:pPr>
        <w:jc w:val="both"/>
      </w:pPr>
      <w:r w:rsidRPr="00150EE6">
        <w:t xml:space="preserve">  </w:t>
      </w:r>
    </w:p>
    <w:p w14:paraId="2A15323C" w14:textId="53F2EF25" w:rsidR="00272A8E" w:rsidRDefault="00272A8E" w:rsidP="00B10A33">
      <w:pPr>
        <w:pStyle w:val="ListParagraph"/>
        <w:numPr>
          <w:ilvl w:val="0"/>
          <w:numId w:val="37"/>
        </w:numPr>
        <w:jc w:val="both"/>
      </w:pPr>
      <w:r w:rsidRPr="00150EE6">
        <w:t xml:space="preserve">Recent legal scholarship conveys that Canada is culpable for genocide, and violates international customary laws with respect to the forcible transferring of </w:t>
      </w:r>
      <w:r w:rsidR="00E35CAE">
        <w:t>Indigenous</w:t>
      </w:r>
      <w:r w:rsidRPr="00150EE6">
        <w:t xml:space="preserve"> </w:t>
      </w:r>
      <w:r w:rsidR="00E35CAE">
        <w:t>Peoples</w:t>
      </w:r>
      <w:r w:rsidRPr="00150EE6">
        <w:t>’ children from their families and Nations into residential schools and child welfare systems</w:t>
      </w:r>
      <w:r w:rsidRPr="004D7B2A">
        <w:t>,</w:t>
      </w:r>
      <w:r w:rsidRPr="00150EE6">
        <w:rPr>
          <w:rStyle w:val="FootnoteReference"/>
        </w:rPr>
        <w:footnoteReference w:id="33"/>
      </w:r>
      <w:r w:rsidRPr="00150EE6">
        <w:t xml:space="preserve"> despite claims that it has resolved the residential school issue under the Indian Residential School Settlement Agreement.  Furthermore, despite the high threshold of specific intent, a case has been made to show that the state is indeed guilty for crimes against the Original Nations on </w:t>
      </w:r>
      <w:r w:rsidR="00F54C5C">
        <w:t xml:space="preserve">Great </w:t>
      </w:r>
      <w:r w:rsidRPr="00150EE6">
        <w:t>Turtle Island.</w:t>
      </w:r>
    </w:p>
    <w:p w14:paraId="0A34E192" w14:textId="77777777" w:rsidR="00272A8E" w:rsidRDefault="00272A8E" w:rsidP="00B10A33">
      <w:pPr>
        <w:jc w:val="both"/>
      </w:pPr>
    </w:p>
    <w:p w14:paraId="29BE533D" w14:textId="77777777" w:rsidR="00272A8E" w:rsidRDefault="00272A8E" w:rsidP="00B10A33">
      <w:pPr>
        <w:pStyle w:val="ListParagraph"/>
        <w:numPr>
          <w:ilvl w:val="0"/>
          <w:numId w:val="37"/>
        </w:numPr>
        <w:jc w:val="both"/>
      </w:pPr>
      <w:r w:rsidRPr="00080286">
        <w:t>As part of the Indian Residential Settlement School Agreement the Truth and Reconciliation Commission (TRC) was created to “inspire a process of truth and healing leading to reconciliation.”</w:t>
      </w:r>
      <w:r>
        <w:rPr>
          <w:rStyle w:val="FootnoteReference"/>
        </w:rPr>
        <w:footnoteReference w:id="34"/>
      </w:r>
      <w:r w:rsidRPr="00080286">
        <w:t xml:space="preserve"> </w:t>
      </w:r>
      <w:r>
        <w:t xml:space="preserve">  </w:t>
      </w:r>
      <w:r w:rsidRPr="00BD0B42">
        <w:t xml:space="preserve">There is a pretense in Canadian society and in the international community </w:t>
      </w:r>
      <w:r>
        <w:t xml:space="preserve">that </w:t>
      </w:r>
      <w:r w:rsidRPr="00BD0B42">
        <w:t xml:space="preserve">the state has redressed and accepted accountability for the residential </w:t>
      </w:r>
      <w:r>
        <w:t xml:space="preserve">schools through its TRC Process.  </w:t>
      </w:r>
    </w:p>
    <w:p w14:paraId="058C23A8" w14:textId="77777777" w:rsidR="00272A8E" w:rsidRPr="00BD0B42" w:rsidRDefault="00272A8E" w:rsidP="00B10A33">
      <w:pPr>
        <w:jc w:val="both"/>
      </w:pPr>
    </w:p>
    <w:p w14:paraId="6C4084FF" w14:textId="398EAE1B" w:rsidR="00272A8E" w:rsidRDefault="00272A8E" w:rsidP="00B10A33">
      <w:pPr>
        <w:pStyle w:val="ListParagraph"/>
        <w:numPr>
          <w:ilvl w:val="0"/>
          <w:numId w:val="37"/>
        </w:numPr>
        <w:jc w:val="both"/>
      </w:pPr>
      <w:r w:rsidRPr="00080286">
        <w:t>At this point, without deconstructing the loaded language exhibited by words such as “reconciliation” and “truth”, t</w:t>
      </w:r>
      <w:r w:rsidR="00F54C5C">
        <w:t xml:space="preserve">he question remains - </w:t>
      </w:r>
      <w:r>
        <w:t xml:space="preserve">Is it legal or just that a perpetrator state </w:t>
      </w:r>
      <w:r w:rsidRPr="00080286">
        <w:t>responsible for genocide</w:t>
      </w:r>
      <w:r>
        <w:t>,</w:t>
      </w:r>
      <w:r w:rsidRPr="00080286">
        <w:t xml:space="preserve"> appoint a TRC process to investigate </w:t>
      </w:r>
      <w:r>
        <w:t xml:space="preserve">its </w:t>
      </w:r>
      <w:r w:rsidRPr="00080286">
        <w:t>conduct</w:t>
      </w:r>
      <w:r>
        <w:t xml:space="preserve"> for creating and implementing the forcible removals of our </w:t>
      </w:r>
      <w:r w:rsidR="00E35CAE">
        <w:t>Indigenous</w:t>
      </w:r>
      <w:r w:rsidR="00F54C5C">
        <w:t xml:space="preserve"> </w:t>
      </w:r>
      <w:r>
        <w:t>children</w:t>
      </w:r>
      <w:r w:rsidRPr="00080286">
        <w:t>?</w:t>
      </w:r>
      <w:r>
        <w:t xml:space="preserve"> </w:t>
      </w:r>
    </w:p>
    <w:p w14:paraId="023B27D9" w14:textId="77777777" w:rsidR="00272A8E" w:rsidRPr="00080286" w:rsidRDefault="00272A8E" w:rsidP="00B10A33">
      <w:pPr>
        <w:jc w:val="both"/>
      </w:pPr>
      <w:r>
        <w:t xml:space="preserve"> </w:t>
      </w:r>
    </w:p>
    <w:p w14:paraId="32745107" w14:textId="77777777" w:rsidR="00272A8E" w:rsidRPr="00272A8E" w:rsidRDefault="00272A8E" w:rsidP="00B10A33">
      <w:pPr>
        <w:jc w:val="both"/>
        <w:rPr>
          <w:b/>
        </w:rPr>
      </w:pPr>
      <w:r w:rsidRPr="00272A8E">
        <w:rPr>
          <w:b/>
          <w:i/>
        </w:rPr>
        <w:t>Framework of Racial Superiorit</w:t>
      </w:r>
      <w:r w:rsidR="00DC6116">
        <w:rPr>
          <w:b/>
          <w:i/>
        </w:rPr>
        <w:t>y</w:t>
      </w:r>
    </w:p>
    <w:p w14:paraId="33553EEE" w14:textId="77777777" w:rsidR="00272A8E" w:rsidRDefault="00272A8E" w:rsidP="00B10A33">
      <w:pPr>
        <w:pStyle w:val="ListParagraph"/>
        <w:numPr>
          <w:ilvl w:val="0"/>
          <w:numId w:val="37"/>
        </w:numPr>
        <w:jc w:val="both"/>
      </w:pPr>
      <w:r>
        <w:t>Given the civilization project is born from theories of racist superiority, it is critical unpack the importance of this to the Canadian state’s conduct both historically and in contemporary times.</w:t>
      </w:r>
    </w:p>
    <w:p w14:paraId="685C0295" w14:textId="77777777" w:rsidR="00272A8E" w:rsidRDefault="00272A8E" w:rsidP="00B10A33">
      <w:pPr>
        <w:ind w:left="360"/>
        <w:jc w:val="both"/>
      </w:pPr>
    </w:p>
    <w:p w14:paraId="2CDBEAF7" w14:textId="77777777" w:rsidR="00272A8E" w:rsidRDefault="00272A8E" w:rsidP="00B10A33">
      <w:pPr>
        <w:pStyle w:val="ListParagraph"/>
        <w:numPr>
          <w:ilvl w:val="0"/>
          <w:numId w:val="37"/>
        </w:numPr>
        <w:jc w:val="both"/>
      </w:pPr>
      <w:r w:rsidRPr="000F7AF7">
        <w:t>During the drafting of the UNGC, state governments, such as the Ukraine and the USSR contended that cultural genocide is a central tenet of the crime.</w:t>
      </w:r>
      <w:r>
        <w:rPr>
          <w:rStyle w:val="FootnoteReference"/>
        </w:rPr>
        <w:footnoteReference w:id="35"/>
      </w:r>
      <w:r w:rsidRPr="000F7AF7">
        <w:t xml:space="preserve">  The strong opposition with respect to the deletion of cultural genocide concerned that </w:t>
      </w:r>
      <w:r>
        <w:t>“</w:t>
      </w:r>
      <w:r w:rsidRPr="000F7AF7">
        <w:t>fascism, Nazism and doctrines of racial superiorit</w:t>
      </w:r>
      <w:r>
        <w:t>y”</w:t>
      </w:r>
      <w:r>
        <w:rPr>
          <w:rStyle w:val="FootnoteReference"/>
        </w:rPr>
        <w:footnoteReference w:id="36"/>
      </w:r>
      <w:r w:rsidRPr="000F7AF7">
        <w:t xml:space="preserve"> </w:t>
      </w:r>
      <w:r>
        <w:t>are a</w:t>
      </w:r>
      <w:r w:rsidRPr="000F7AF7">
        <w:t>t the root of genocide and should remain in the preamble to the UNGC.</w:t>
      </w:r>
    </w:p>
    <w:p w14:paraId="0BD1E199" w14:textId="77777777" w:rsidR="00272A8E" w:rsidRDefault="00272A8E" w:rsidP="00B10A33">
      <w:pPr>
        <w:jc w:val="both"/>
      </w:pPr>
    </w:p>
    <w:p w14:paraId="0DC85239" w14:textId="4519A41B" w:rsidR="00272A8E" w:rsidRDefault="00272A8E" w:rsidP="00B10A33">
      <w:pPr>
        <w:pStyle w:val="ListParagraph"/>
        <w:numPr>
          <w:ilvl w:val="0"/>
          <w:numId w:val="37"/>
        </w:numPr>
        <w:jc w:val="both"/>
      </w:pPr>
      <w:r>
        <w:t>The concern by the Ukraine and USSR delegations, highlights an important principal that is embodied in ICERD: “</w:t>
      </w:r>
      <w:r w:rsidRPr="008A5209">
        <w:t>Considering that the United Nations has condemned colonialism and all practices of segregation and</w:t>
      </w:r>
      <w:r>
        <w:t xml:space="preserve"> </w:t>
      </w:r>
      <w:r w:rsidRPr="008A5209">
        <w:t>discrimination associated therewith, in whatever form and wherever they exist, and that the</w:t>
      </w:r>
      <w:r>
        <w:t xml:space="preserve"> </w:t>
      </w:r>
      <w:r w:rsidRPr="008A5209">
        <w:t xml:space="preserve">Declaration on the Granting of Independence to Colonial Countries and </w:t>
      </w:r>
      <w:r w:rsidR="00E35CAE">
        <w:t>Peoples</w:t>
      </w:r>
      <w:r w:rsidRPr="008A5209">
        <w:t xml:space="preserve"> of 14 December 1960</w:t>
      </w:r>
      <w:r>
        <w:t xml:space="preserve"> </w:t>
      </w:r>
      <w:r w:rsidRPr="008A5209">
        <w:t>(General Assembly resolution 1514 (XV)) has affirmed and solemnly proclaimed the necessity of</w:t>
      </w:r>
      <w:r>
        <w:t xml:space="preserve"> </w:t>
      </w:r>
      <w:r w:rsidRPr="008A5209">
        <w:t>bringing them to a speedy and unconditional end</w:t>
      </w:r>
      <w:r>
        <w:t>.”</w:t>
      </w:r>
      <w:r>
        <w:rPr>
          <w:rStyle w:val="FootnoteReference"/>
        </w:rPr>
        <w:footnoteReference w:id="37"/>
      </w:r>
      <w:r w:rsidRPr="000F7AF7">
        <w:t xml:space="preserve">  </w:t>
      </w:r>
    </w:p>
    <w:p w14:paraId="59070B8E" w14:textId="77777777" w:rsidR="00F54C5C" w:rsidRDefault="00F54C5C" w:rsidP="00F54C5C">
      <w:pPr>
        <w:jc w:val="both"/>
      </w:pPr>
    </w:p>
    <w:p w14:paraId="7E531EEC" w14:textId="77777777" w:rsidR="00272A8E" w:rsidRDefault="00272A8E" w:rsidP="00B10A33">
      <w:pPr>
        <w:pStyle w:val="ListParagraph"/>
        <w:numPr>
          <w:ilvl w:val="0"/>
          <w:numId w:val="37"/>
        </w:numPr>
        <w:jc w:val="both"/>
      </w:pPr>
      <w:r>
        <w:t>Mr. Morozov, USSR delegate, emphasized his astonishment that some delegations raised objections to the “organic connexion between fascism and racial theories and genocide being emphasized in the convention on genocide.  Should the General Assembly accept that view, it would by that very fact demonstrate its refusal to condemn racial theories, or to admit that those theories led to genocide.  It was clear that such theories were incompatible with the Charter.  T</w:t>
      </w:r>
      <w:r w:rsidRPr="000F7AF7">
        <w:t xml:space="preserve">o say that the crime </w:t>
      </w:r>
      <w:r>
        <w:t xml:space="preserve">of genocide </w:t>
      </w:r>
      <w:r w:rsidRPr="000F7AF7">
        <w:t>had no connexion with racial theories amounted to, in fact, to a re-instatement of such theories.”</w:t>
      </w:r>
      <w:r w:rsidRPr="00540840">
        <w:rPr>
          <w:vertAlign w:val="superscript"/>
        </w:rPr>
        <w:footnoteReference w:id="38"/>
      </w:r>
      <w:r w:rsidRPr="000F7AF7">
        <w:t xml:space="preserve">  Genocide followed “racial theories intended to develop racial and national hatreds, the domination of the so-called ‘higher races’ and the extermination of the so called ‘lower races’. The crime of genocide formed an integral part of the plan for world domination of the supporters of racial ideologies.”</w:t>
      </w:r>
      <w:r w:rsidRPr="000F7AF7">
        <w:rPr>
          <w:vertAlign w:val="superscript"/>
        </w:rPr>
        <w:footnoteReference w:id="39"/>
      </w:r>
      <w:r w:rsidRPr="000F7AF7">
        <w:t xml:space="preserve">  </w:t>
      </w:r>
      <w:r w:rsidRPr="00030E49">
        <w:t>It is not a coincidence that the “colonial clause”</w:t>
      </w:r>
      <w:r>
        <w:rPr>
          <w:rStyle w:val="FootnoteReference"/>
        </w:rPr>
        <w:footnoteReference w:id="40"/>
      </w:r>
      <w:r w:rsidRPr="00030E49">
        <w:t xml:space="preserve"> was a topic during the drafting of the crime of genocide.  The colonial clause designates to which colonial territories a UN convention will apply.</w:t>
      </w:r>
    </w:p>
    <w:p w14:paraId="55D649DB" w14:textId="77777777" w:rsidR="00D046F3" w:rsidRPr="00381BCE" w:rsidRDefault="00D046F3" w:rsidP="00B10A33">
      <w:pPr>
        <w:ind w:left="360"/>
        <w:jc w:val="both"/>
      </w:pPr>
    </w:p>
    <w:p w14:paraId="18DC35CC" w14:textId="77777777" w:rsidR="00272A8E" w:rsidRDefault="00272A8E" w:rsidP="00B10A33">
      <w:pPr>
        <w:pStyle w:val="ListParagraph"/>
        <w:numPr>
          <w:ilvl w:val="0"/>
          <w:numId w:val="37"/>
        </w:numPr>
        <w:jc w:val="both"/>
      </w:pPr>
      <w:r w:rsidRPr="00666A08">
        <w:t>The USSR’s position to have cultural genocide retained in the convention directly relates to its concern that “[c]olonial policy had been a dark page in history[.]”</w:t>
      </w:r>
      <w:r w:rsidRPr="00666A08">
        <w:rPr>
          <w:vertAlign w:val="superscript"/>
        </w:rPr>
        <w:footnoteReference w:id="41"/>
      </w:r>
      <w:r w:rsidRPr="00666A08">
        <w:t xml:space="preserve">  In fact, there was contention between USSR </w:t>
      </w:r>
      <w:r w:rsidR="004B3EA5">
        <w:t>and the United Kingdom on this “dark history”</w:t>
      </w:r>
      <w:r w:rsidRPr="00666A08">
        <w:t xml:space="preserve"> as the United Kingdom delegation “denied the moral authority of the Soviet Union Government to make any such statement, or to set itself up as a model of conduct before the world.”</w:t>
      </w:r>
      <w:r w:rsidRPr="00666A08">
        <w:rPr>
          <w:vertAlign w:val="superscript"/>
        </w:rPr>
        <w:footnoteReference w:id="42"/>
      </w:r>
      <w:r>
        <w:t xml:space="preserve"> The USSR proposed an amendment to the “application in Non-Self-Governing Territories [being] left to the discretion of the administering powers.”</w:t>
      </w:r>
      <w:r>
        <w:rPr>
          <w:rStyle w:val="FootnoteReference"/>
        </w:rPr>
        <w:footnoteReference w:id="43"/>
      </w:r>
      <w:r>
        <w:t xml:space="preserve">  Mr. Morozov proposed that it “should be replaced by a definite clause stipulating that the convention should apply not only to the signatory States, but also to the territories under their administration including all Trust Territories and Non-Self-Governing Territories.”</w:t>
      </w:r>
      <w:r>
        <w:rPr>
          <w:rStyle w:val="FootnoteReference"/>
        </w:rPr>
        <w:footnoteReference w:id="44"/>
      </w:r>
      <w:r>
        <w:t xml:space="preserve"> USSR’s amendment was rejected and in response stated, “</w:t>
      </w:r>
      <w:r w:rsidRPr="0091707E">
        <w:t>In the opinion of the USSR delegation, the reason why the colonial Powers had pressed so strongly for the omission of such a clause, which incidentally appeared in many other conventions was because they intended to have a free hand to ensure that colonial territories were maintained in a position of inferiority.”</w:t>
      </w:r>
      <w:r>
        <w:rPr>
          <w:rStyle w:val="FootnoteReference"/>
        </w:rPr>
        <w:footnoteReference w:id="45"/>
      </w:r>
    </w:p>
    <w:p w14:paraId="5308816A" w14:textId="77777777" w:rsidR="00D046F3" w:rsidRDefault="00D046F3" w:rsidP="00B10A33">
      <w:pPr>
        <w:ind w:left="360"/>
        <w:jc w:val="both"/>
      </w:pPr>
    </w:p>
    <w:p w14:paraId="0859A317" w14:textId="7F7F2FD3" w:rsidR="00272A8E" w:rsidRDefault="00272A8E" w:rsidP="00B10A33">
      <w:pPr>
        <w:pStyle w:val="ListParagraph"/>
        <w:numPr>
          <w:ilvl w:val="0"/>
          <w:numId w:val="37"/>
        </w:numPr>
        <w:jc w:val="both"/>
      </w:pPr>
      <w:r>
        <w:t>Canada is a colony of Great Britain and created by an act of British Parliament.</w:t>
      </w:r>
      <w:r>
        <w:rPr>
          <w:rStyle w:val="FootnoteReference"/>
        </w:rPr>
        <w:footnoteReference w:id="46"/>
      </w:r>
      <w:r>
        <w:t xml:space="preserve">  The Canadian government recommended</w:t>
      </w:r>
      <w:r w:rsidRPr="00CD1988">
        <w:t xml:space="preserve"> the issue of cultural genocide </w:t>
      </w:r>
      <w:r>
        <w:t xml:space="preserve">be </w:t>
      </w:r>
      <w:r w:rsidRPr="00CD1988">
        <w:t>placed under the international covenant of human rights.</w:t>
      </w:r>
      <w:r>
        <w:rPr>
          <w:rStyle w:val="FootnoteReference"/>
        </w:rPr>
        <w:footnoteReference w:id="47"/>
      </w:r>
      <w:r w:rsidRPr="00CD1988">
        <w:t xml:space="preserve">  The result of </w:t>
      </w:r>
      <w:r w:rsidR="003F47F3" w:rsidRPr="00CD1988">
        <w:t>maneuvering</w:t>
      </w:r>
      <w:r w:rsidRPr="00CD1988">
        <w:t xml:space="preserve"> the issue of cultural genocide under a human rights framework is that Canada’s oppression over </w:t>
      </w:r>
      <w:r w:rsidR="00E35CAE">
        <w:t>Indigenous</w:t>
      </w:r>
      <w:r w:rsidR="004B3EA5">
        <w:t xml:space="preserve"> Nations and </w:t>
      </w:r>
      <w:r w:rsidR="00E35CAE">
        <w:t>Peoples</w:t>
      </w:r>
      <w:r w:rsidRPr="00CD1988">
        <w:t xml:space="preserve"> continues unabated and undetected from international scrutiny.</w:t>
      </w:r>
    </w:p>
    <w:p w14:paraId="71D26C30" w14:textId="77777777" w:rsidR="00D046F3" w:rsidRPr="004C719D" w:rsidRDefault="00D046F3" w:rsidP="00B10A33">
      <w:pPr>
        <w:jc w:val="both"/>
      </w:pPr>
    </w:p>
    <w:p w14:paraId="308D6E8A" w14:textId="2A046024" w:rsidR="00D046F3" w:rsidRDefault="00272A8E" w:rsidP="00B10A33">
      <w:pPr>
        <w:pStyle w:val="ListParagraph"/>
        <w:numPr>
          <w:ilvl w:val="0"/>
          <w:numId w:val="37"/>
        </w:numPr>
        <w:jc w:val="both"/>
      </w:pPr>
      <w:r>
        <w:t xml:space="preserve">Racist theories are the cornerstone of the legalized persecution </w:t>
      </w:r>
      <w:r w:rsidR="004B3EA5">
        <w:t xml:space="preserve">against </w:t>
      </w:r>
      <w:r w:rsidR="00E35CAE">
        <w:t>Indigenous</w:t>
      </w:r>
      <w:r w:rsidR="004B3EA5">
        <w:t xml:space="preserve"> Nations and </w:t>
      </w:r>
      <w:r w:rsidR="00E35CAE">
        <w:t>Peoples</w:t>
      </w:r>
      <w:r>
        <w:t>.</w:t>
      </w:r>
      <w:r>
        <w:rPr>
          <w:rStyle w:val="FootnoteReference"/>
        </w:rPr>
        <w:footnoteReference w:id="48"/>
      </w:r>
      <w:r>
        <w:t xml:space="preserve">  Colonial laws forced the removal of our children into the ‘residential school system’</w:t>
      </w:r>
      <w:r w:rsidRPr="00163CBC">
        <w:rPr>
          <w:vertAlign w:val="superscript"/>
        </w:rPr>
        <w:footnoteReference w:id="49"/>
      </w:r>
      <w:r>
        <w:t xml:space="preserve"> and continue the removals into the ‘child welfare systems’</w:t>
      </w:r>
      <w:r w:rsidRPr="0073767A">
        <w:rPr>
          <w:vertAlign w:val="superscript"/>
        </w:rPr>
        <w:footnoteReference w:id="50"/>
      </w:r>
      <w:r>
        <w:t xml:space="preserve">.  </w:t>
      </w:r>
      <w:r w:rsidRPr="002C3E88">
        <w:t>The residential school system destroyed the ability to parent</w:t>
      </w:r>
      <w:r>
        <w:t xml:space="preserve"> by the massive and widespread violence imposed against our children</w:t>
      </w:r>
      <w:r w:rsidRPr="002C3E88">
        <w:t>.  The direct result is the child welfare system.  The traumatic impact of the residential schools, specifically the inability to parent, is</w:t>
      </w:r>
      <w:r>
        <w:t xml:space="preserve"> the basis that maintains racist state oppression.   </w:t>
      </w:r>
      <w:r w:rsidRPr="002C3E88">
        <w:t>The</w:t>
      </w:r>
      <w:r w:rsidR="0080428A">
        <w:t xml:space="preserve"> state develops the standards (“inability to parent”</w:t>
      </w:r>
      <w:r w:rsidRPr="002C3E88">
        <w:t xml:space="preserve">) for forcible removal of </w:t>
      </w:r>
      <w:r w:rsidR="00E35CAE">
        <w:t>Indigenous</w:t>
      </w:r>
      <w:r w:rsidRPr="002C3E88">
        <w:t xml:space="preserve"> children into foster care homes away from their own families and territories</w:t>
      </w:r>
      <w:r>
        <w:t xml:space="preserve"> under a further </w:t>
      </w:r>
      <w:r w:rsidR="0080428A">
        <w:t>destructive auspice termed the “best interests of the child”</w:t>
      </w:r>
      <w:r w:rsidRPr="002C3E88">
        <w:t xml:space="preserve">. </w:t>
      </w:r>
      <w:r>
        <w:t xml:space="preserve"> </w:t>
      </w:r>
    </w:p>
    <w:p w14:paraId="3CD67CC6" w14:textId="77777777" w:rsidR="00D046F3" w:rsidRPr="002C3E88" w:rsidRDefault="00D046F3" w:rsidP="00B10A33">
      <w:pPr>
        <w:jc w:val="both"/>
      </w:pPr>
    </w:p>
    <w:p w14:paraId="0B7D8D34" w14:textId="14EB022C" w:rsidR="00272A8E" w:rsidRDefault="0080428A" w:rsidP="00B10A33">
      <w:pPr>
        <w:pStyle w:val="ListParagraph"/>
        <w:numPr>
          <w:ilvl w:val="0"/>
          <w:numId w:val="37"/>
        </w:numPr>
        <w:jc w:val="both"/>
      </w:pPr>
      <w:r>
        <w:t>As a concept, the concept of the “best interests of the child”</w:t>
      </w:r>
      <w:r w:rsidR="00272A8E" w:rsidRPr="00030E49">
        <w:t xml:space="preserve"> is a colonizer value based judgment. It is a concept th</w:t>
      </w:r>
      <w:r>
        <w:t>at was created to continue the “</w:t>
      </w:r>
      <w:r w:rsidR="00272A8E" w:rsidRPr="00030E49">
        <w:t>domination and dehumanization</w:t>
      </w:r>
      <w:r>
        <w:t>”</w:t>
      </w:r>
      <w:r w:rsidR="00272A8E">
        <w:rPr>
          <w:rStyle w:val="FootnoteReference"/>
        </w:rPr>
        <w:footnoteReference w:id="51"/>
      </w:r>
      <w:r w:rsidR="00272A8E" w:rsidRPr="00030E49">
        <w:t xml:space="preserve"> of our Nations. This is a continuation of</w:t>
      </w:r>
      <w:r w:rsidR="00272A8E">
        <w:t xml:space="preserve"> destruction against our Nations </w:t>
      </w:r>
      <w:r w:rsidR="00272A8E" w:rsidRPr="00030E49">
        <w:t>based on racist values and concepts</w:t>
      </w:r>
      <w:r w:rsidR="00272A8E">
        <w:t xml:space="preserve"> maintained by the colonizer</w:t>
      </w:r>
      <w:r w:rsidR="00272A8E" w:rsidRPr="00030E49">
        <w:t>. This is the face of colonization that continues to this day.</w:t>
      </w:r>
      <w:r w:rsidR="00272A8E">
        <w:t xml:space="preserve">  </w:t>
      </w:r>
      <w:r w:rsidR="00272A8E" w:rsidRPr="00D72981">
        <w:t xml:space="preserve">A recent media outlet reported </w:t>
      </w:r>
      <w:r w:rsidR="00272A8E">
        <w:t xml:space="preserve">that of the 10,501 children in care in Manitoba </w:t>
      </w:r>
      <w:r w:rsidR="00272A8E" w:rsidRPr="00D72981">
        <w:t xml:space="preserve">that </w:t>
      </w:r>
      <w:r w:rsidR="00272A8E">
        <w:t xml:space="preserve">9,205 are </w:t>
      </w:r>
      <w:r w:rsidR="00E35CAE">
        <w:t>Indigenous</w:t>
      </w:r>
      <w:r w:rsidR="00272A8E">
        <w:t xml:space="preserve"> children.</w:t>
      </w:r>
      <w:r w:rsidR="00272A8E">
        <w:rPr>
          <w:rStyle w:val="FootnoteReference"/>
        </w:rPr>
        <w:footnoteReference w:id="52"/>
      </w:r>
      <w:r w:rsidR="00272A8E">
        <w:t xml:space="preserve">  A recent study completed by Statistics Canada shows that, “while Aboriginal children represented 7% of all children in Canada in 2011, they accounted for almost half (48%) of all foster children in the country.”</w:t>
      </w:r>
      <w:r w:rsidR="00272A8E">
        <w:rPr>
          <w:rStyle w:val="FootnoteReference"/>
        </w:rPr>
        <w:footnoteReference w:id="53"/>
      </w:r>
    </w:p>
    <w:p w14:paraId="6A9EAC20" w14:textId="77777777" w:rsidR="00D046F3" w:rsidRDefault="00D046F3" w:rsidP="00B10A33">
      <w:pPr>
        <w:jc w:val="both"/>
      </w:pPr>
    </w:p>
    <w:p w14:paraId="643E3638" w14:textId="77777777" w:rsidR="00272A8E" w:rsidRDefault="00272A8E" w:rsidP="00B10A33">
      <w:pPr>
        <w:pStyle w:val="ListParagraph"/>
        <w:numPr>
          <w:ilvl w:val="0"/>
          <w:numId w:val="37"/>
        </w:numPr>
        <w:jc w:val="both"/>
      </w:pPr>
      <w:r>
        <w:t>The forcible removal of our children past a</w:t>
      </w:r>
      <w:r w:rsidR="00E64B12">
        <w:t>nd present is catastrophic and “</w:t>
      </w:r>
      <w:r>
        <w:t>criminal</w:t>
      </w:r>
      <w:r w:rsidR="00E64B12">
        <w:t>”</w:t>
      </w:r>
      <w:r>
        <w:rPr>
          <w:rStyle w:val="FootnoteReference"/>
        </w:rPr>
        <w:footnoteReference w:id="54"/>
      </w:r>
      <w:r>
        <w:t xml:space="preserve"> when examined from this standpoint. There exists no international reprieve for the Original Nations on </w:t>
      </w:r>
      <w:r w:rsidR="00E64B12">
        <w:t xml:space="preserve">Great </w:t>
      </w:r>
      <w:r>
        <w:t xml:space="preserve">Turtle Island.  </w:t>
      </w:r>
    </w:p>
    <w:p w14:paraId="41B2E014" w14:textId="77777777" w:rsidR="00D046F3" w:rsidRPr="00C40618" w:rsidRDefault="00D046F3" w:rsidP="00B10A33">
      <w:pPr>
        <w:jc w:val="both"/>
      </w:pPr>
    </w:p>
    <w:p w14:paraId="064B4206" w14:textId="77777777" w:rsidR="00272A8E" w:rsidRPr="00850DFF" w:rsidRDefault="00272A8E" w:rsidP="00B10A33">
      <w:pPr>
        <w:jc w:val="both"/>
        <w:rPr>
          <w:b/>
          <w:i/>
        </w:rPr>
      </w:pPr>
      <w:r w:rsidRPr="00850DFF">
        <w:rPr>
          <w:b/>
          <w:i/>
        </w:rPr>
        <w:t>Forcible Removals of Our Children</w:t>
      </w:r>
    </w:p>
    <w:p w14:paraId="1030A318" w14:textId="77777777" w:rsidR="00D046F3" w:rsidRDefault="00272A8E" w:rsidP="00B10A33">
      <w:pPr>
        <w:pStyle w:val="ListParagraph"/>
        <w:numPr>
          <w:ilvl w:val="0"/>
          <w:numId w:val="37"/>
        </w:numPr>
        <w:jc w:val="both"/>
      </w:pPr>
      <w:r>
        <w:t>The Canadian government cloaks the devastation our children endured in the residential sc</w:t>
      </w:r>
      <w:r w:rsidR="00E64B12">
        <w:t>hools with rhetoric and by the “</w:t>
      </w:r>
      <w:r>
        <w:t>loopholes</w:t>
      </w:r>
      <w:r w:rsidR="00E64B12">
        <w:t>”</w:t>
      </w:r>
      <w:r>
        <w:rPr>
          <w:rStyle w:val="FootnoteReference"/>
        </w:rPr>
        <w:footnoteReference w:id="55"/>
      </w:r>
      <w:r>
        <w:t xml:space="preserve"> it created when the drafting of the crime of genocide took place from 1946-48.  It is important to emphasize that this analysis is critical as to how a colonial framework based on theories of racial superiority and violence (domination and dehumanization) is maintained by Canada. </w:t>
      </w:r>
    </w:p>
    <w:p w14:paraId="34ED8B10" w14:textId="77777777" w:rsidR="00272A8E" w:rsidRDefault="00272A8E" w:rsidP="00B10A33">
      <w:pPr>
        <w:pStyle w:val="ListParagraph"/>
        <w:jc w:val="both"/>
      </w:pPr>
      <w:r>
        <w:t xml:space="preserve"> </w:t>
      </w:r>
    </w:p>
    <w:p w14:paraId="17FCB942" w14:textId="77777777" w:rsidR="00D046F3" w:rsidRDefault="00272A8E" w:rsidP="00B10A33">
      <w:pPr>
        <w:pStyle w:val="ListParagraph"/>
        <w:numPr>
          <w:ilvl w:val="0"/>
          <w:numId w:val="37"/>
        </w:numPr>
        <w:jc w:val="both"/>
      </w:pPr>
      <w:r>
        <w:t>First, very briefly, after the ratification of the UNGC state governments were under an obligation to legislate the crime into its domestic penal codes. Canada did not implement the entire UNGC into its Criminal Code and excluded critical elements of the crime.</w:t>
      </w:r>
      <w:r>
        <w:rPr>
          <w:rStyle w:val="FootnoteReference"/>
        </w:rPr>
        <w:footnoteReference w:id="56"/>
      </w:r>
      <w:r>
        <w:t xml:space="preserve">  This is supported by the discussions that took place in 1965 by the Special Committee </w:t>
      </w:r>
      <w:r w:rsidR="00276E12">
        <w:t>on Hate Propaganda (hereinafter the</w:t>
      </w:r>
      <w:r>
        <w:t xml:space="preserve"> </w:t>
      </w:r>
      <w:r w:rsidR="00276E12">
        <w:t>“</w:t>
      </w:r>
      <w:r>
        <w:t>Special Committee</w:t>
      </w:r>
      <w:r w:rsidR="00276E12">
        <w:t>”</w:t>
      </w:r>
      <w:r>
        <w:t>).  The Canadian Civil Liberties Association to the Special Committee acknowledged the residential schools would be in violation of the UNGC.</w:t>
      </w:r>
      <w:r>
        <w:rPr>
          <w:rStyle w:val="FootnoteReference"/>
        </w:rPr>
        <w:footnoteReference w:id="57"/>
      </w:r>
      <w:r>
        <w:t xml:space="preserve">   It was acknowledged by the Special Committee in its report that </w:t>
      </w:r>
      <w:r w:rsidRPr="00276E12">
        <w:rPr>
          <w:i/>
        </w:rPr>
        <w:t>“[f]</w:t>
      </w:r>
      <w:r w:rsidRPr="00276E12">
        <w:rPr>
          <w:bCs/>
          <w:i/>
          <w:iCs/>
        </w:rPr>
        <w:t>or purposes of Canadian law we believe that the definition of genocide should be drawn somewhat more narrowly than in the international Convention so as to include only killing and its substantial equivalent − deliberately inflicting conditions of life calculated to bring about physical destruction and deliberately imposing measures to prevent births.  The other components of the international definition, viz., causing serious bodily or mental harm to members of a group and forcibly transferring children of one group to another group with intent to destroy the group we deem inadvisable for Canada</w:t>
      </w:r>
      <w:r w:rsidRPr="00276E12">
        <w:rPr>
          <w:i/>
        </w:rPr>
        <w:t>”</w:t>
      </w:r>
      <w:r w:rsidRPr="00276E12">
        <w:rPr>
          <w:rStyle w:val="FootnoteReference"/>
          <w:i/>
        </w:rPr>
        <w:footnoteReference w:id="58"/>
      </w:r>
      <w:r w:rsidRPr="00276E12">
        <w:rPr>
          <w:i/>
        </w:rPr>
        <w:t xml:space="preserve"> It was also claimed that the forcible removals of children in Canada are “relatively unknown</w:t>
      </w:r>
      <w:r>
        <w:t>.”</w:t>
      </w:r>
      <w:r>
        <w:rPr>
          <w:rStyle w:val="FootnoteReference"/>
        </w:rPr>
        <w:footnoteReference w:id="59"/>
      </w:r>
    </w:p>
    <w:p w14:paraId="555BE7A6" w14:textId="77777777" w:rsidR="00272A8E" w:rsidRDefault="00272A8E" w:rsidP="00B10A33">
      <w:pPr>
        <w:ind w:left="360"/>
        <w:jc w:val="both"/>
      </w:pPr>
      <w:r>
        <w:t xml:space="preserve">  </w:t>
      </w:r>
    </w:p>
    <w:p w14:paraId="41D2C0DE" w14:textId="77777777" w:rsidR="00272A8E" w:rsidRDefault="00272A8E" w:rsidP="00B10A33">
      <w:pPr>
        <w:pStyle w:val="ListParagraph"/>
        <w:numPr>
          <w:ilvl w:val="0"/>
          <w:numId w:val="37"/>
        </w:numPr>
        <w:jc w:val="both"/>
      </w:pPr>
      <w:r w:rsidRPr="007C087E">
        <w:t>Senator Roebuck conced</w:t>
      </w:r>
      <w:r w:rsidR="00276E12">
        <w:t>ed in 1952</w:t>
      </w:r>
      <w:r w:rsidRPr="007C087E">
        <w:t xml:space="preserve"> </w:t>
      </w:r>
      <w:r>
        <w:t>that involving state governments will not hold their own governments accountable for crimes under the UNGC.</w:t>
      </w:r>
      <w:r>
        <w:rPr>
          <w:rStyle w:val="FootnoteReference"/>
        </w:rPr>
        <w:footnoteReference w:id="60"/>
      </w:r>
      <w:r w:rsidRPr="007C087E">
        <w:t xml:space="preserve"> </w:t>
      </w:r>
      <w:r w:rsidR="00276E12">
        <w:t xml:space="preserve"> This begs a serious question;</w:t>
      </w:r>
      <w:r>
        <w:t xml:space="preserve"> </w:t>
      </w:r>
      <w:r w:rsidR="00276E12">
        <w:t>w</w:t>
      </w:r>
      <w:r w:rsidRPr="007C087E">
        <w:t>hy go to great effort to have genocide recognized as a crime in international law then render the integrity of the crime inapplicable within domestic state borders?  It shows that Canada understood the loopholes created in the ratification process.  The limited crime in domestic laws would later render any possible government conduct of genocide as impossible or moot in a Canadian court.</w:t>
      </w:r>
    </w:p>
    <w:p w14:paraId="4D3DDE43" w14:textId="77777777" w:rsidR="00D046F3" w:rsidRPr="007C087E" w:rsidRDefault="00D046F3" w:rsidP="00B10A33">
      <w:pPr>
        <w:jc w:val="both"/>
      </w:pPr>
    </w:p>
    <w:p w14:paraId="59849378" w14:textId="49A74B42" w:rsidR="00272A8E" w:rsidRDefault="00276E12" w:rsidP="00B10A33">
      <w:pPr>
        <w:pStyle w:val="ListParagraph"/>
        <w:numPr>
          <w:ilvl w:val="0"/>
          <w:numId w:val="37"/>
        </w:numPr>
        <w:jc w:val="both"/>
      </w:pPr>
      <w:r>
        <w:t>We submit that t</w:t>
      </w:r>
      <w:r w:rsidR="00272A8E">
        <w:t>he Canadian government removed any possibility for racist sta</w:t>
      </w:r>
      <w:r>
        <w:t xml:space="preserve">te violence against </w:t>
      </w:r>
      <w:r w:rsidR="00E35CAE">
        <w:t>Indigenous</w:t>
      </w:r>
      <w:r>
        <w:t xml:space="preserve"> </w:t>
      </w:r>
      <w:r w:rsidR="00E35CAE">
        <w:t>Peoples</w:t>
      </w:r>
      <w:r w:rsidR="00272A8E">
        <w:t>’ children to be scrutinized by its own judiciary.</w:t>
      </w:r>
      <w:r w:rsidR="00272A8E">
        <w:rPr>
          <w:rStyle w:val="FootnoteReference"/>
        </w:rPr>
        <w:footnoteReference w:id="61"/>
      </w:r>
      <w:r w:rsidR="00272A8E">
        <w:t xml:space="preserve"> Canada is not above international laws with respect to ICERD and other international conventions.  The Hate Propaganda legislati</w:t>
      </w:r>
      <w:r>
        <w:t xml:space="preserve">on does not protect </w:t>
      </w:r>
      <w:r w:rsidR="00E35CAE">
        <w:t>Indigenous</w:t>
      </w:r>
      <w:r>
        <w:t xml:space="preserve"> </w:t>
      </w:r>
      <w:r w:rsidR="00E35CAE">
        <w:t>Peoples</w:t>
      </w:r>
      <w:r w:rsidR="00272A8E">
        <w:t xml:space="preserve"> from long standing colonial violence.  It entrenches racial domination and dehumanization.</w:t>
      </w:r>
    </w:p>
    <w:p w14:paraId="4E1A4859" w14:textId="77777777" w:rsidR="00D046F3" w:rsidRDefault="00D046F3" w:rsidP="00B10A33">
      <w:pPr>
        <w:jc w:val="both"/>
      </w:pPr>
    </w:p>
    <w:p w14:paraId="61564B6E" w14:textId="1F3B43D5" w:rsidR="00272A8E" w:rsidRDefault="00272A8E" w:rsidP="00B10A33">
      <w:pPr>
        <w:pStyle w:val="ListParagraph"/>
        <w:numPr>
          <w:ilvl w:val="0"/>
          <w:numId w:val="37"/>
        </w:numPr>
        <w:jc w:val="both"/>
      </w:pPr>
      <w:r w:rsidRPr="003862F3">
        <w:t xml:space="preserve">Colonial </w:t>
      </w:r>
      <w:r>
        <w:t xml:space="preserve">violence and </w:t>
      </w:r>
      <w:r w:rsidRPr="003862F3">
        <w:t xml:space="preserve">terror </w:t>
      </w:r>
      <w:r>
        <w:t xml:space="preserve">against our </w:t>
      </w:r>
      <w:r w:rsidR="00276E12">
        <w:t xml:space="preserve">Nations’ </w:t>
      </w:r>
      <w:r>
        <w:t xml:space="preserve">children is </w:t>
      </w:r>
      <w:r w:rsidRPr="003862F3">
        <w:t>a common and massive experience in the form of torture, forced starvation, forced labour, sexual predatory acts, and death by disease and dilapidated living conditions.</w:t>
      </w:r>
      <w:r>
        <w:rPr>
          <w:rStyle w:val="FootnoteReference"/>
        </w:rPr>
        <w:footnoteReference w:id="62"/>
      </w:r>
      <w:r>
        <w:t xml:space="preserve">  So rhetoric like </w:t>
      </w:r>
      <w:r w:rsidR="002B2596">
        <w:t>“</w:t>
      </w:r>
      <w:r>
        <w:t>abuse, mistreatment, and neglect</w:t>
      </w:r>
      <w:r w:rsidR="002B2596">
        <w:t>”</w:t>
      </w:r>
      <w:r>
        <w:rPr>
          <w:rStyle w:val="FootnoteReference"/>
        </w:rPr>
        <w:footnoteReference w:id="63"/>
      </w:r>
      <w:r>
        <w:t xml:space="preserve"> acknowledged in the government Apology in 2008 dodges the implication that the state has engaged in racial destr</w:t>
      </w:r>
      <w:r w:rsidR="002B2596">
        <w:t xml:space="preserve">uction against our Nations and </w:t>
      </w:r>
      <w:r w:rsidR="00E35CAE">
        <w:t>Peoples</w:t>
      </w:r>
      <w:r>
        <w:t xml:space="preserve">.  </w:t>
      </w:r>
    </w:p>
    <w:p w14:paraId="4698B7A4" w14:textId="77777777" w:rsidR="00D046F3" w:rsidRPr="003862F3" w:rsidRDefault="00D046F3" w:rsidP="00B10A33">
      <w:pPr>
        <w:jc w:val="both"/>
      </w:pPr>
    </w:p>
    <w:p w14:paraId="6BC9F201" w14:textId="5E0EF622" w:rsidR="00272A8E" w:rsidRDefault="00E35CAE" w:rsidP="00B10A33">
      <w:pPr>
        <w:pStyle w:val="ListParagraph"/>
        <w:numPr>
          <w:ilvl w:val="0"/>
          <w:numId w:val="37"/>
        </w:numPr>
        <w:jc w:val="both"/>
      </w:pPr>
      <w:r>
        <w:t>Indigenous</w:t>
      </w:r>
      <w:r w:rsidR="00272A8E">
        <w:t xml:space="preserve"> children were dehumanized by denigrations such as “savage” or “heathen” as staff officials </w:t>
      </w:r>
      <w:r w:rsidR="00272A8E" w:rsidRPr="00741FF1">
        <w:t>whipp</w:t>
      </w:r>
      <w:r w:rsidR="00272A8E">
        <w:t xml:space="preserve">ed, </w:t>
      </w:r>
      <w:r w:rsidR="00272A8E" w:rsidRPr="00741FF1">
        <w:t>beat</w:t>
      </w:r>
      <w:r w:rsidR="00272A8E">
        <w:t xml:space="preserve">, </w:t>
      </w:r>
      <w:r w:rsidR="00272A8E" w:rsidRPr="00741FF1">
        <w:t>starv</w:t>
      </w:r>
      <w:r w:rsidR="00272A8E">
        <w:t xml:space="preserve">ed, </w:t>
      </w:r>
      <w:r w:rsidR="00272A8E" w:rsidRPr="00741FF1">
        <w:t>confine</w:t>
      </w:r>
      <w:r w:rsidR="00272A8E">
        <w:t xml:space="preserve">d, and committed brutal acts of </w:t>
      </w:r>
      <w:r w:rsidR="00272A8E" w:rsidRPr="00741FF1">
        <w:t>sexual violence, and many other methods designed to destroy the n</w:t>
      </w:r>
      <w:r w:rsidR="002B2596">
        <w:t xml:space="preserve">ational identity of </w:t>
      </w:r>
      <w:r>
        <w:t>Indigenous</w:t>
      </w:r>
      <w:r w:rsidR="002B2596">
        <w:t xml:space="preserve"> </w:t>
      </w:r>
      <w:r>
        <w:t>Peoples</w:t>
      </w:r>
      <w:r w:rsidR="00272A8E" w:rsidRPr="00741FF1">
        <w:t>’ children.</w:t>
      </w:r>
      <w:r w:rsidR="00272A8E">
        <w:rPr>
          <w:rStyle w:val="FootnoteReference"/>
        </w:rPr>
        <w:footnoteReference w:id="64"/>
      </w:r>
      <w:r w:rsidR="00272A8E" w:rsidRPr="00741FF1">
        <w:t xml:space="preserve">  </w:t>
      </w:r>
      <w:r w:rsidR="00272A8E">
        <w:t>It is common knowledge that children were brutalized with needles through tongues and other forms of violence for speaking their languages.</w:t>
      </w:r>
      <w:r w:rsidR="00272A8E">
        <w:rPr>
          <w:rStyle w:val="FootnoteReference"/>
        </w:rPr>
        <w:footnoteReference w:id="65"/>
      </w:r>
      <w:r w:rsidR="00272A8E">
        <w:t xml:space="preserve"> </w:t>
      </w:r>
      <w:r w:rsidR="00272A8E" w:rsidRPr="00741FF1">
        <w:t xml:space="preserve"> Short of death, atrocities of this kind will cause the collective serious bodily and mental </w:t>
      </w:r>
      <w:r w:rsidR="00272A8E">
        <w:t>destruction (forcible indoctrination</w:t>
      </w:r>
      <w:r w:rsidR="00272A8E">
        <w:rPr>
          <w:rStyle w:val="FootnoteReference"/>
        </w:rPr>
        <w:footnoteReference w:id="66"/>
      </w:r>
      <w:r w:rsidR="00272A8E">
        <w:t xml:space="preserve">) </w:t>
      </w:r>
      <w:r w:rsidR="00272A8E" w:rsidRPr="00741FF1">
        <w:t xml:space="preserve">against </w:t>
      </w:r>
      <w:r w:rsidR="00272A8E">
        <w:t xml:space="preserve">our Original Nations.  We </w:t>
      </w:r>
      <w:r w:rsidR="00272A8E" w:rsidRPr="00741FF1">
        <w:t xml:space="preserve">depend on </w:t>
      </w:r>
      <w:r w:rsidR="00272A8E">
        <w:t xml:space="preserve">our </w:t>
      </w:r>
      <w:r w:rsidR="00272A8E" w:rsidRPr="00741FF1">
        <w:t xml:space="preserve">children to transmit </w:t>
      </w:r>
      <w:r w:rsidR="00272A8E">
        <w:t xml:space="preserve">our national identities </w:t>
      </w:r>
      <w:r w:rsidR="00272A8E" w:rsidRPr="00741FF1">
        <w:t>to further generations.</w:t>
      </w:r>
    </w:p>
    <w:p w14:paraId="3D5611FD" w14:textId="77777777" w:rsidR="00D046F3" w:rsidRDefault="00D046F3" w:rsidP="00B10A33">
      <w:pPr>
        <w:jc w:val="both"/>
      </w:pPr>
    </w:p>
    <w:p w14:paraId="29FCFA0B" w14:textId="232BC038" w:rsidR="00272A8E" w:rsidRDefault="00272A8E" w:rsidP="00B10A33">
      <w:pPr>
        <w:pStyle w:val="ListParagraph"/>
        <w:numPr>
          <w:ilvl w:val="0"/>
          <w:numId w:val="37"/>
        </w:numPr>
        <w:jc w:val="both"/>
      </w:pPr>
      <w:r>
        <w:t xml:space="preserve">Children violated and dehumanized by racist beliefs will believe and accept those ideas about themselves and their people.  </w:t>
      </w:r>
      <w:r w:rsidR="00803EC1">
        <w:t>C</w:t>
      </w:r>
      <w:r w:rsidRPr="003801B5">
        <w:t xml:space="preserve">hildren </w:t>
      </w:r>
      <w:r>
        <w:t>are indoctrinated to view</w:t>
      </w:r>
      <w:r w:rsidRPr="003801B5">
        <w:t xml:space="preserve"> themselves through the eyes of the colonizer a</w:t>
      </w:r>
      <w:r>
        <w:t>s racially inferior and not as children of Nehiyaw (Cree) people.</w:t>
      </w:r>
      <w:r w:rsidRPr="003801B5">
        <w:t xml:space="preserve"> </w:t>
      </w:r>
      <w:r>
        <w:t xml:space="preserve"> Nehiyaw people depend on their children to transmit the healthy and beautiful aspects of their identity onto further generations.</w:t>
      </w:r>
    </w:p>
    <w:p w14:paraId="69113762" w14:textId="77777777" w:rsidR="00D046F3" w:rsidRDefault="00D046F3" w:rsidP="00B10A33">
      <w:pPr>
        <w:jc w:val="both"/>
      </w:pPr>
    </w:p>
    <w:p w14:paraId="54869E11" w14:textId="0F2CE37B" w:rsidR="00272A8E" w:rsidRDefault="00272A8E" w:rsidP="00B10A33">
      <w:pPr>
        <w:pStyle w:val="ListParagraph"/>
        <w:numPr>
          <w:ilvl w:val="0"/>
          <w:numId w:val="37"/>
        </w:numPr>
        <w:jc w:val="both"/>
      </w:pPr>
      <w:r>
        <w:t xml:space="preserve"> Our </w:t>
      </w:r>
      <w:r w:rsidR="002B2596">
        <w:t xml:space="preserve">Nations’ </w:t>
      </w:r>
      <w:r>
        <w:t xml:space="preserve">spiritual laws are encoded in our original languages with respect to our land (Mother Earth) for the future generations. Sharon Venne on our </w:t>
      </w:r>
      <w:r w:rsidR="00E35CAE">
        <w:t>Indigenous</w:t>
      </w:r>
      <w:r>
        <w:t xml:space="preserve"> laws: “</w:t>
      </w:r>
      <w:r w:rsidRPr="002123B1">
        <w:t>We have a relationship with our Creation based on a legal system designed to protect and honour the land.</w:t>
      </w:r>
      <w:r>
        <w:t>”</w:t>
      </w:r>
      <w:r>
        <w:rPr>
          <w:rStyle w:val="FootnoteReference"/>
        </w:rPr>
        <w:footnoteReference w:id="67"/>
      </w:r>
      <w:r>
        <w:t xml:space="preserve"> Children that are dehumanized and racially indoctrinated as inferior will not understand the languages or laws that guide or instruct a Nehiyaw, Anishinaabe, Kanaii or Dene identity are foundational to our way of life and our relationship with our </w:t>
      </w:r>
      <w:r w:rsidR="00007CC9">
        <w:t>Territories</w:t>
      </w:r>
      <w:r>
        <w:t>.</w:t>
      </w:r>
    </w:p>
    <w:p w14:paraId="4B6AC87E" w14:textId="77777777" w:rsidR="00D046F3" w:rsidRDefault="00D046F3" w:rsidP="00B10A33">
      <w:pPr>
        <w:jc w:val="both"/>
      </w:pPr>
    </w:p>
    <w:p w14:paraId="5A9A6D34" w14:textId="77777777" w:rsidR="00272A8E" w:rsidRDefault="00272A8E" w:rsidP="00B10A33">
      <w:pPr>
        <w:pStyle w:val="ListParagraph"/>
        <w:numPr>
          <w:ilvl w:val="0"/>
          <w:numId w:val="37"/>
        </w:numPr>
        <w:jc w:val="both"/>
      </w:pPr>
      <w:r w:rsidRPr="00741FF1">
        <w:t xml:space="preserve">The collective genocidal traumatic effects (inability to parent) brought about by the residential school phase is then used by very dominating society that created that trauma (dysfunction) to justify the child welfare system phase of the process. </w:t>
      </w:r>
      <w:r>
        <w:t xml:space="preserve"> The system carries on the racist beliefs that dominated the residential school system. </w:t>
      </w:r>
      <w:r w:rsidRPr="00741FF1">
        <w:t xml:space="preserve">The state uses its imposed standards of judgment to create the institutions that create the destructive conditions, and then use its standards of judgment to forcibly take away further generations of our </w:t>
      </w:r>
      <w:r w:rsidR="002B2596">
        <w:t xml:space="preserve">Nations’ </w:t>
      </w:r>
      <w:r w:rsidRPr="00741FF1">
        <w:t>children</w:t>
      </w:r>
      <w:r>
        <w:t xml:space="preserve"> by racially demonizing the parents for not having the parenting skills.</w:t>
      </w:r>
      <w:r w:rsidRPr="00741FF1">
        <w:t xml:space="preserve">  It is well acknowledged</w:t>
      </w:r>
      <w:r>
        <w:t xml:space="preserve"> in government reports </w:t>
      </w:r>
      <w:r w:rsidRPr="00741FF1">
        <w:t>the</w:t>
      </w:r>
      <w:r>
        <w:t xml:space="preserve"> high rates of removal in the </w:t>
      </w:r>
      <w:r w:rsidRPr="00741FF1">
        <w:t>child welfare system is a direct effect of the residential school system.</w:t>
      </w:r>
      <w:r w:rsidRPr="00B17FC5">
        <w:rPr>
          <w:vertAlign w:val="superscript"/>
        </w:rPr>
        <w:footnoteReference w:id="68"/>
      </w:r>
      <w:r w:rsidRPr="00741FF1">
        <w:t xml:space="preserve">  The rates of removal are appalling.</w:t>
      </w:r>
      <w:r>
        <w:rPr>
          <w:rStyle w:val="FootnoteReference"/>
        </w:rPr>
        <w:footnoteReference w:id="69"/>
      </w:r>
    </w:p>
    <w:p w14:paraId="715C3F27" w14:textId="77777777" w:rsidR="00D046F3" w:rsidRPr="00666A08" w:rsidRDefault="00D046F3" w:rsidP="00B10A33">
      <w:pPr>
        <w:jc w:val="both"/>
      </w:pPr>
    </w:p>
    <w:p w14:paraId="7AEF9E25" w14:textId="77777777" w:rsidR="00272A8E" w:rsidRDefault="00272A8E" w:rsidP="00B10A33">
      <w:pPr>
        <w:pStyle w:val="ListParagraph"/>
        <w:numPr>
          <w:ilvl w:val="0"/>
          <w:numId w:val="37"/>
        </w:numPr>
        <w:jc w:val="both"/>
      </w:pPr>
      <w:r>
        <w:t xml:space="preserve">Our </w:t>
      </w:r>
      <w:r w:rsidR="002B2596">
        <w:t xml:space="preserve">Nations’ </w:t>
      </w:r>
      <w:r>
        <w:t>children in the child welfare system experience the same rates of racist violence that their predecessors in the residential school endured.</w:t>
      </w:r>
      <w:r>
        <w:rPr>
          <w:rStyle w:val="FootnoteReference"/>
        </w:rPr>
        <w:footnoteReference w:id="70"/>
      </w:r>
      <w:r>
        <w:t xml:space="preserve">   The suicide is rate is pandemic for children in care.</w:t>
      </w:r>
      <w:r>
        <w:rPr>
          <w:rStyle w:val="FootnoteReference"/>
        </w:rPr>
        <w:footnoteReference w:id="71"/>
      </w:r>
      <w:r>
        <w:t xml:space="preserve">  Our </w:t>
      </w:r>
      <w:r w:rsidR="002B2596">
        <w:t xml:space="preserve">Nations’ </w:t>
      </w:r>
      <w:r>
        <w:t>children are sexually preyed on while in the care of the system.</w:t>
      </w:r>
      <w:r>
        <w:rPr>
          <w:rStyle w:val="FootnoteReference"/>
        </w:rPr>
        <w:footnoteReference w:id="72"/>
      </w:r>
      <w:r>
        <w:t xml:space="preserve">  </w:t>
      </w:r>
      <w:r w:rsidRPr="005306AA">
        <w:t xml:space="preserve">The death rates of children in care are at an all-time high. </w:t>
      </w:r>
      <w:r>
        <w:t>Some example</w:t>
      </w:r>
      <w:r w:rsidR="00196B12">
        <w:t>s</w:t>
      </w:r>
      <w:r>
        <w:t xml:space="preserve"> include </w:t>
      </w:r>
      <w:r w:rsidRPr="005306AA">
        <w:t xml:space="preserve">Tina Fontaine, aged 15, </w:t>
      </w:r>
      <w:r w:rsidR="002B2596">
        <w:t xml:space="preserve">who </w:t>
      </w:r>
      <w:r w:rsidRPr="005306AA">
        <w:t xml:space="preserve">was killed after she ran away from a hotel where </w:t>
      </w:r>
      <w:r w:rsidR="002B2596">
        <w:t xml:space="preserve">she </w:t>
      </w:r>
      <w:r w:rsidRPr="005306AA">
        <w:t>was</w:t>
      </w:r>
      <w:r w:rsidR="00414017">
        <w:t xml:space="preserve"> in government care in Manitoba.</w:t>
      </w:r>
      <w:r>
        <w:rPr>
          <w:rStyle w:val="FootnoteReference"/>
        </w:rPr>
        <w:footnoteReference w:id="73"/>
      </w:r>
      <w:r w:rsidRPr="005306AA">
        <w:t xml:space="preserve">  Another young person</w:t>
      </w:r>
      <w:r>
        <w:t xml:space="preserve">, </w:t>
      </w:r>
      <w:r w:rsidRPr="005306AA">
        <w:t>aged 18, Alex Gervais, in British Columbia, jumped out of a hotel window and died.</w:t>
      </w:r>
      <w:r>
        <w:rPr>
          <w:rStyle w:val="FootnoteReference"/>
        </w:rPr>
        <w:footnoteReference w:id="74"/>
      </w:r>
      <w:r w:rsidRPr="005306AA">
        <w:t xml:space="preserve"> Gervais was housed in the hotel room unsupervised by the ministry.</w:t>
      </w:r>
      <w:r>
        <w:t xml:space="preserve">  The residential schools and child welfare systems have devastated our communities and Nations.  </w:t>
      </w:r>
    </w:p>
    <w:p w14:paraId="5592EFB2" w14:textId="77777777" w:rsidR="00D046F3" w:rsidRPr="00331495" w:rsidRDefault="00D046F3" w:rsidP="00B10A33">
      <w:pPr>
        <w:jc w:val="both"/>
      </w:pPr>
    </w:p>
    <w:p w14:paraId="01025C0E" w14:textId="77777777" w:rsidR="00D046F3" w:rsidRDefault="00196B12" w:rsidP="00B10A33">
      <w:pPr>
        <w:pStyle w:val="ListParagraph"/>
        <w:numPr>
          <w:ilvl w:val="0"/>
          <w:numId w:val="37"/>
        </w:numPr>
        <w:jc w:val="both"/>
      </w:pPr>
      <w:r>
        <w:t>We assert that the e</w:t>
      </w:r>
      <w:r w:rsidR="00272A8E">
        <w:t>ffects of racist dehumanization against our Nations have resulted in the eventual and complete disappearance of our identities into state of Canada due to the traumatic patterns that are tran</w:t>
      </w:r>
      <w:r w:rsidR="002B2596">
        <w:t xml:space="preserve">smitted over the generations. </w:t>
      </w:r>
      <w:r w:rsidR="00272A8E">
        <w:t>Suicides, violence, poverty, despair, addictions, and many more egregious disasters permeate our reality.  It is 134 years that Canada has forcibly removed our children from our families and Nations.  We are reeling from the racism that continues to dominate our existence.</w:t>
      </w:r>
    </w:p>
    <w:p w14:paraId="52923723" w14:textId="77777777" w:rsidR="00272A8E" w:rsidRPr="005306AA" w:rsidRDefault="00272A8E" w:rsidP="00B10A33">
      <w:pPr>
        <w:jc w:val="both"/>
      </w:pPr>
      <w:r>
        <w:t xml:space="preserve">     </w:t>
      </w:r>
    </w:p>
    <w:p w14:paraId="4E5A2071" w14:textId="0B7D46FC" w:rsidR="00272A8E" w:rsidRDefault="006335B5" w:rsidP="00B10A33">
      <w:pPr>
        <w:pStyle w:val="ListParagraph"/>
        <w:numPr>
          <w:ilvl w:val="0"/>
          <w:numId w:val="37"/>
        </w:numPr>
        <w:jc w:val="both"/>
      </w:pPr>
      <w:r>
        <w:t>We assert that t</w:t>
      </w:r>
      <w:r w:rsidR="00272A8E">
        <w:t>he racist underpinnings that drive state laws and polic</w:t>
      </w:r>
      <w:r w:rsidR="002B2596">
        <w:t xml:space="preserve">ies with respect to </w:t>
      </w:r>
      <w:r w:rsidR="00E35CAE">
        <w:t>Indigenous</w:t>
      </w:r>
      <w:r w:rsidR="002B2596">
        <w:t xml:space="preserve"> </w:t>
      </w:r>
      <w:r w:rsidR="00E35CAE">
        <w:t>Peoples</w:t>
      </w:r>
      <w:r w:rsidR="00272A8E">
        <w:t xml:space="preserve"> continue to oppress our Nations. Motivated by a framework that is grounded in racial superiority, the </w:t>
      </w:r>
      <w:r>
        <w:t xml:space="preserve">Canadian </w:t>
      </w:r>
      <w:r w:rsidR="00272A8E">
        <w:t>state has not changed its position with respect to the earlier policies and laws.  If it has not ceased, then the catastrophe that we currently are forced to contend with will not cease either.</w:t>
      </w:r>
    </w:p>
    <w:p w14:paraId="729B757A" w14:textId="77777777" w:rsidR="00D046F3" w:rsidRPr="00331495" w:rsidRDefault="00D046F3" w:rsidP="00B10A33">
      <w:pPr>
        <w:jc w:val="both"/>
      </w:pPr>
    </w:p>
    <w:p w14:paraId="50F6AEC6" w14:textId="77777777" w:rsidR="00272A8E" w:rsidRDefault="006335B5" w:rsidP="00B10A33">
      <w:pPr>
        <w:pStyle w:val="ListParagraph"/>
        <w:numPr>
          <w:ilvl w:val="0"/>
          <w:numId w:val="37"/>
        </w:numPr>
        <w:jc w:val="both"/>
      </w:pPr>
      <w:r>
        <w:t xml:space="preserve">We submit that under international jurisprudence, </w:t>
      </w:r>
      <w:r w:rsidR="00272A8E">
        <w:t xml:space="preserve">Canada cannot </w:t>
      </w:r>
      <w:r>
        <w:t xml:space="preserve">unilaterally </w:t>
      </w:r>
      <w:r w:rsidR="00272A8E">
        <w:t xml:space="preserve">decide that international law will not be applicable to its conduct with respect to the on-going forcible transferring of our </w:t>
      </w:r>
      <w:r>
        <w:t xml:space="preserve">Nations’ </w:t>
      </w:r>
      <w:r w:rsidR="00272A8E">
        <w:t xml:space="preserve">children and the serious bodily and mental harm that our </w:t>
      </w:r>
      <w:r w:rsidR="00196B12">
        <w:t>children continue to experience</w:t>
      </w:r>
      <w:r w:rsidR="00272A8E">
        <w:t xml:space="preserve"> at the hands of the </w:t>
      </w:r>
      <w:r>
        <w:t xml:space="preserve">Canadian </w:t>
      </w:r>
      <w:r w:rsidR="00272A8E">
        <w:t xml:space="preserve">state. </w:t>
      </w:r>
      <w:r w:rsidR="00272A8E" w:rsidRPr="001F209C">
        <w:t xml:space="preserve">To reiterate, </w:t>
      </w:r>
      <w:r>
        <w:t xml:space="preserve">our Nations again pose the question as to whether it </w:t>
      </w:r>
      <w:r w:rsidR="00272A8E" w:rsidRPr="001F209C">
        <w:t xml:space="preserve">is it legal or just that a perpetrator state responsible for </w:t>
      </w:r>
      <w:r w:rsidR="00272A8E">
        <w:t xml:space="preserve">destruction against the innocent, </w:t>
      </w:r>
      <w:r w:rsidR="00272A8E" w:rsidRPr="001F209C">
        <w:t>appoint</w:t>
      </w:r>
      <w:r>
        <w:t>,</w:t>
      </w:r>
      <w:r w:rsidRPr="006335B5">
        <w:t xml:space="preserve"> </w:t>
      </w:r>
      <w:r>
        <w:t>fund and set the terms of reference</w:t>
      </w:r>
      <w:r w:rsidR="00272A8E" w:rsidRPr="001F209C">
        <w:t xml:space="preserve"> </w:t>
      </w:r>
      <w:r>
        <w:t xml:space="preserve">for </w:t>
      </w:r>
      <w:r w:rsidR="00272A8E" w:rsidRPr="001F209C">
        <w:t xml:space="preserve">a TRC process to investigate its conduct for creating and implementing </w:t>
      </w:r>
      <w:r w:rsidR="00272A8E">
        <w:t xml:space="preserve">a racist framework that forcibly removes our </w:t>
      </w:r>
      <w:r>
        <w:t xml:space="preserve">Nations’ </w:t>
      </w:r>
      <w:r w:rsidR="00272A8E">
        <w:t>children</w:t>
      </w:r>
      <w:r>
        <w:t>?</w:t>
      </w:r>
      <w:r w:rsidR="00272A8E">
        <w:t xml:space="preserve"> </w:t>
      </w:r>
    </w:p>
    <w:p w14:paraId="229BB9AC" w14:textId="77777777" w:rsidR="00D046F3" w:rsidRPr="00335CAE" w:rsidRDefault="00D046F3" w:rsidP="00B10A33">
      <w:pPr>
        <w:jc w:val="both"/>
      </w:pPr>
    </w:p>
    <w:p w14:paraId="4B2EC9DC" w14:textId="77777777" w:rsidR="00272A8E" w:rsidRPr="00D046F3" w:rsidRDefault="00272A8E" w:rsidP="00B10A33">
      <w:pPr>
        <w:jc w:val="both"/>
        <w:rPr>
          <w:b/>
          <w:i/>
        </w:rPr>
      </w:pPr>
      <w:r w:rsidRPr="00D046F3">
        <w:rPr>
          <w:b/>
          <w:i/>
        </w:rPr>
        <w:t xml:space="preserve">Smoke and Mirrors and </w:t>
      </w:r>
      <w:r w:rsidR="000C6C29">
        <w:rPr>
          <w:b/>
          <w:i/>
        </w:rPr>
        <w:t xml:space="preserve">the </w:t>
      </w:r>
      <w:r w:rsidRPr="00D046F3">
        <w:rPr>
          <w:b/>
          <w:i/>
        </w:rPr>
        <w:t xml:space="preserve">Residential School Settlement Agreement </w:t>
      </w:r>
    </w:p>
    <w:p w14:paraId="5D02D69C" w14:textId="77777777" w:rsidR="00272A8E" w:rsidRDefault="00272A8E" w:rsidP="00B10A33">
      <w:pPr>
        <w:pStyle w:val="ListParagraph"/>
        <w:numPr>
          <w:ilvl w:val="0"/>
          <w:numId w:val="37"/>
        </w:numPr>
        <w:jc w:val="both"/>
      </w:pPr>
      <w:r w:rsidRPr="001F209C">
        <w:t xml:space="preserve">The </w:t>
      </w:r>
      <w:r w:rsidR="006335B5">
        <w:t xml:space="preserve">Canadian state </w:t>
      </w:r>
      <w:r w:rsidRPr="001F209C">
        <w:t>claims the issues with respect to the residential schools are resolved through the Residentia</w:t>
      </w:r>
      <w:r>
        <w:t xml:space="preserve">l School Settlement Agreement.  </w:t>
      </w:r>
      <w:r w:rsidR="006335B5">
        <w:t>The Canadian s</w:t>
      </w:r>
      <w:r>
        <w:t>tate</w:t>
      </w:r>
      <w:r w:rsidR="00850DFF">
        <w:t>’s</w:t>
      </w:r>
      <w:r>
        <w:t xml:space="preserve"> evasion for true accountability for the forcible removal of our children is evidenced by a few factors.  </w:t>
      </w:r>
    </w:p>
    <w:p w14:paraId="50F008C5" w14:textId="77777777" w:rsidR="00D046F3" w:rsidRDefault="00D046F3" w:rsidP="00B10A33">
      <w:pPr>
        <w:ind w:left="360"/>
        <w:jc w:val="both"/>
      </w:pPr>
    </w:p>
    <w:p w14:paraId="238D4F33" w14:textId="33F4C16D" w:rsidR="00272A8E" w:rsidRDefault="00272A8E" w:rsidP="00B10A33">
      <w:pPr>
        <w:pStyle w:val="ListParagraph"/>
        <w:numPr>
          <w:ilvl w:val="0"/>
          <w:numId w:val="37"/>
        </w:numPr>
        <w:jc w:val="both"/>
      </w:pPr>
      <w:r>
        <w:t xml:space="preserve">First, the government </w:t>
      </w:r>
      <w:r w:rsidRPr="006335B5">
        <w:t>apology</w:t>
      </w:r>
      <w:r>
        <w:rPr>
          <w:rStyle w:val="FootnoteReference"/>
          <w:i/>
        </w:rPr>
        <w:footnoteReference w:id="75"/>
      </w:r>
      <w:r>
        <w:t xml:space="preserve"> does not redress the horror we have endured and the destructive reality that has over shadowed our children and ultimately our Nations and our lands and territories.  We depend on our </w:t>
      </w:r>
      <w:r w:rsidR="00007CC9">
        <w:t>Territories</w:t>
      </w:r>
      <w:r>
        <w:t xml:space="preserve"> and this is vital to our identity</w:t>
      </w:r>
      <w:r w:rsidR="009D4375">
        <w:t xml:space="preserve"> as Nations of </w:t>
      </w:r>
      <w:r w:rsidR="00E35CAE">
        <w:t>Indigenous</w:t>
      </w:r>
      <w:r w:rsidR="009D4375">
        <w:t xml:space="preserve"> </w:t>
      </w:r>
      <w:r w:rsidR="00E35CAE">
        <w:t>Peoples</w:t>
      </w:r>
      <w:r>
        <w:t xml:space="preserve">.  The forcible removals are part and parcel of the </w:t>
      </w:r>
      <w:r w:rsidR="00B62A55">
        <w:t>long-standing</w:t>
      </w:r>
      <w:r>
        <w:t xml:space="preserve"> goal to extinguish the underlying title we hold to our </w:t>
      </w:r>
      <w:r w:rsidR="00007CC9">
        <w:t>Territories</w:t>
      </w:r>
      <w:r>
        <w:t>.</w:t>
      </w:r>
      <w:r>
        <w:rPr>
          <w:rStyle w:val="FootnoteReference"/>
        </w:rPr>
        <w:footnoteReference w:id="76"/>
      </w:r>
      <w:r>
        <w:t xml:space="preserve">  Children violently traumatized and indoctrinated in a language that demonizes their identity will not remember that they have a responsibility to protect the land for future generations.  </w:t>
      </w:r>
    </w:p>
    <w:p w14:paraId="7F242500" w14:textId="77777777" w:rsidR="00D046F3" w:rsidRDefault="00D046F3" w:rsidP="00B10A33">
      <w:pPr>
        <w:jc w:val="both"/>
      </w:pPr>
    </w:p>
    <w:p w14:paraId="28AC6A29" w14:textId="42E4DE31" w:rsidR="00272A8E" w:rsidRDefault="00272A8E" w:rsidP="00B10A33">
      <w:pPr>
        <w:pStyle w:val="ListParagraph"/>
        <w:numPr>
          <w:ilvl w:val="0"/>
          <w:numId w:val="37"/>
        </w:numPr>
        <w:jc w:val="both"/>
      </w:pPr>
      <w:r>
        <w:t>Second, the mandate of the TRC illustrates our point with respect to the dodging of full responsibility for it</w:t>
      </w:r>
      <w:r w:rsidR="008518E7">
        <w:t xml:space="preserve">s intent to destroy </w:t>
      </w:r>
      <w:r w:rsidR="00E35CAE">
        <w:t>Indigenous</w:t>
      </w:r>
      <w:r w:rsidR="008518E7">
        <w:t xml:space="preserve"> </w:t>
      </w:r>
      <w:r w:rsidR="00E35CAE">
        <w:t>Peoples</w:t>
      </w:r>
      <w:r>
        <w:t xml:space="preserve"> and Nations.  The commission could not hold criminal hearings or subpoena witnesses.  Further, the T</w:t>
      </w:r>
      <w:r w:rsidRPr="006D1E2A">
        <w:t xml:space="preserve">RC Final Report dodges the implication that the forcible removals are </w:t>
      </w:r>
      <w:r>
        <w:t xml:space="preserve">criminal and </w:t>
      </w:r>
      <w:r w:rsidRPr="006D1E2A">
        <w:t>destructive against our Nations.  The finding of “cultural genocide” does not</w:t>
      </w:r>
      <w:r>
        <w:t xml:space="preserve"> satisfy a truthful account as </w:t>
      </w:r>
      <w:r w:rsidRPr="006D1E2A">
        <w:t xml:space="preserve">cultural genocide is not a crime in international law.   </w:t>
      </w:r>
      <w:r>
        <w:t xml:space="preserve">It does not make the state answerable to any tribunal and it allows Canada to get away with its vicious conduct against our </w:t>
      </w:r>
      <w:r w:rsidR="008518E7">
        <w:t xml:space="preserve">Nations’ </w:t>
      </w:r>
      <w:r>
        <w:t xml:space="preserve">children. </w:t>
      </w:r>
    </w:p>
    <w:p w14:paraId="797175CA" w14:textId="77777777" w:rsidR="00D046F3" w:rsidRDefault="00D046F3" w:rsidP="00B10A33">
      <w:pPr>
        <w:jc w:val="both"/>
      </w:pPr>
    </w:p>
    <w:p w14:paraId="10C0D0DA" w14:textId="77777777" w:rsidR="00272A8E" w:rsidRDefault="00272A8E" w:rsidP="00B10A33">
      <w:pPr>
        <w:pStyle w:val="ListParagraph"/>
        <w:numPr>
          <w:ilvl w:val="0"/>
          <w:numId w:val="37"/>
        </w:numPr>
        <w:jc w:val="both"/>
      </w:pPr>
      <w:r>
        <w:t xml:space="preserve">The TRC conceals </w:t>
      </w:r>
      <w:r w:rsidRPr="006D1E2A">
        <w:t xml:space="preserve">colonial racial violence through words </w:t>
      </w:r>
      <w:r>
        <w:t>that downgrade the truth.  An example is reiterated in Canada’s report to CERD in which is it is claimed that the TRC was created to find a “lasting resolution to the legacy</w:t>
      </w:r>
      <w:r w:rsidRPr="006D1E2A">
        <w:t xml:space="preserve"> of the</w:t>
      </w:r>
      <w:r>
        <w:t xml:space="preserve"> Indian Residential S</w:t>
      </w:r>
      <w:r w:rsidRPr="006D1E2A">
        <w:t>chool</w:t>
      </w:r>
      <w:r>
        <w:t xml:space="preserve"> System.”</w:t>
      </w:r>
      <w:r>
        <w:rPr>
          <w:rStyle w:val="FootnoteReference"/>
        </w:rPr>
        <w:footnoteReference w:id="77"/>
      </w:r>
      <w:r>
        <w:t xml:space="preserve"> </w:t>
      </w:r>
      <w:r w:rsidR="008518E7">
        <w:t>The term “l</w:t>
      </w:r>
      <w:r w:rsidRPr="008518E7">
        <w:t>egacy</w:t>
      </w:r>
      <w:r w:rsidR="008518E7">
        <w:t>”</w:t>
      </w:r>
      <w:r>
        <w:t xml:space="preserve"> connotes a gift or anything handed down from a predecessor or ancestor.  It renders the effects of a racist state framework as benign or less than the destruction these institutions were intended for by the government.</w:t>
      </w:r>
    </w:p>
    <w:p w14:paraId="50190872" w14:textId="77777777" w:rsidR="008518E7" w:rsidRDefault="008518E7" w:rsidP="008518E7">
      <w:pPr>
        <w:jc w:val="both"/>
      </w:pPr>
    </w:p>
    <w:p w14:paraId="6B65E1AA" w14:textId="10C6BB57" w:rsidR="00272A8E" w:rsidRDefault="00272A8E" w:rsidP="00B10A33">
      <w:pPr>
        <w:pStyle w:val="ListParagraph"/>
        <w:numPr>
          <w:ilvl w:val="0"/>
          <w:numId w:val="37"/>
        </w:numPr>
        <w:jc w:val="both"/>
      </w:pPr>
      <w:r>
        <w:t>The solution proposed is a “national reconciliation framework”</w:t>
      </w:r>
      <w:r>
        <w:rPr>
          <w:rStyle w:val="FootnoteReference"/>
        </w:rPr>
        <w:footnoteReference w:id="78"/>
      </w:r>
      <w:r>
        <w:t xml:space="preserve">.  Reconciliation gives the state of Canada the license to continue to destroy our Nations and our </w:t>
      </w:r>
      <w:r w:rsidR="00007CC9">
        <w:t>Territories</w:t>
      </w:r>
      <w:r>
        <w:t xml:space="preserve"> with impunity.  It does not return the land they have illegitimately claimed or resolve the racial destruction they have com</w:t>
      </w:r>
      <w:r w:rsidR="008518E7">
        <w:t xml:space="preserve">mitted against our Nations and </w:t>
      </w:r>
      <w:r w:rsidR="00E35CAE">
        <w:t>Peoples</w:t>
      </w:r>
      <w:r>
        <w:t xml:space="preserve">.  The residential school settlement agreement is smoke and mirrors and contributes to the façade that Canada is peaceful and benevolent.  To be allowed to engage in this display of lies to CERD and the international community is a disgrace to the principles embodied in ICERD and </w:t>
      </w:r>
      <w:r w:rsidRPr="001F209C">
        <w:t>the Charter of the United Nations.</w:t>
      </w:r>
      <w:r>
        <w:t xml:space="preserve"> </w:t>
      </w:r>
    </w:p>
    <w:p w14:paraId="3E8F384F" w14:textId="77777777" w:rsidR="00D046F3" w:rsidRDefault="00D046F3" w:rsidP="00B10A33">
      <w:pPr>
        <w:ind w:left="360"/>
        <w:jc w:val="both"/>
        <w:rPr>
          <w:b/>
          <w:i/>
        </w:rPr>
      </w:pPr>
    </w:p>
    <w:p w14:paraId="17700ACA" w14:textId="77777777" w:rsidR="00272A8E" w:rsidRDefault="008518E7" w:rsidP="00B10A33">
      <w:pPr>
        <w:pStyle w:val="ListParagraph"/>
        <w:numPr>
          <w:ilvl w:val="0"/>
          <w:numId w:val="37"/>
        </w:numPr>
        <w:jc w:val="both"/>
      </w:pPr>
      <w:r>
        <w:t xml:space="preserve">We submit that </w:t>
      </w:r>
      <w:r w:rsidR="00272A8E">
        <w:t xml:space="preserve">Canada cannot decide for itself whether it has engaged in criminal conduct and </w:t>
      </w:r>
      <w:r>
        <w:t xml:space="preserve">unilaterally </w:t>
      </w:r>
      <w:r w:rsidR="00272A8E">
        <w:t xml:space="preserve">create the process that examines its own conduct is a violation of international laws.  </w:t>
      </w:r>
      <w:r w:rsidR="00272A8E" w:rsidRPr="00AF1A4E">
        <w:t xml:space="preserve">The recent research on genocide certainly supports that the causes of racially motivated state violence committed against our </w:t>
      </w:r>
      <w:r>
        <w:t xml:space="preserve">Nations </w:t>
      </w:r>
      <w:r w:rsidR="00272A8E" w:rsidRPr="00AF1A4E">
        <w:t>children in the residential school and currently in the child welfare systems causes the (trauma and dysfunction) high suicide rates, poverty, and despair that is grossly over represented in our Nations to the present day.</w:t>
      </w:r>
      <w:r w:rsidR="00272A8E">
        <w:rPr>
          <w:rStyle w:val="FootnoteReference"/>
        </w:rPr>
        <w:footnoteReference w:id="79"/>
      </w:r>
    </w:p>
    <w:p w14:paraId="405AA3ED" w14:textId="77777777" w:rsidR="00D046F3" w:rsidRPr="00AF1A4E" w:rsidRDefault="00D046F3" w:rsidP="00B10A33">
      <w:pPr>
        <w:ind w:left="360"/>
        <w:jc w:val="both"/>
      </w:pPr>
    </w:p>
    <w:p w14:paraId="704F8BF1" w14:textId="36E1F647" w:rsidR="00272A8E" w:rsidRDefault="009F19C7" w:rsidP="00B10A33">
      <w:pPr>
        <w:pStyle w:val="ListParagraph"/>
        <w:numPr>
          <w:ilvl w:val="0"/>
          <w:numId w:val="37"/>
        </w:numPr>
        <w:jc w:val="both"/>
      </w:pPr>
      <w:r>
        <w:t xml:space="preserve">As </w:t>
      </w:r>
      <w:r w:rsidR="00E35CAE">
        <w:t>Indigenous</w:t>
      </w:r>
      <w:r>
        <w:t xml:space="preserve"> </w:t>
      </w:r>
      <w:r w:rsidR="00E35CAE">
        <w:t>Peoples</w:t>
      </w:r>
      <w:r w:rsidR="00913217">
        <w:t>,</w:t>
      </w:r>
      <w:r w:rsidR="00272A8E">
        <w:t xml:space="preserve"> we depend on our children to transmit our languages, spirituality, cultures, healthy characteristics of our identities so that we can continue to survive as the Original Nations and </w:t>
      </w:r>
      <w:r w:rsidR="00E35CAE">
        <w:t>Peoples</w:t>
      </w:r>
      <w:r w:rsidR="00272A8E">
        <w:t xml:space="preserve"> on Great Turtle Island.</w:t>
      </w:r>
    </w:p>
    <w:p w14:paraId="36B89C61" w14:textId="77777777" w:rsidR="00D046F3" w:rsidRPr="00D20AAC" w:rsidRDefault="00D046F3" w:rsidP="00B10A33">
      <w:pPr>
        <w:jc w:val="both"/>
      </w:pPr>
    </w:p>
    <w:p w14:paraId="63540A94" w14:textId="003D77BE" w:rsidR="00272A8E" w:rsidRPr="00AF1A4E" w:rsidRDefault="00272A8E" w:rsidP="00B10A33">
      <w:pPr>
        <w:pStyle w:val="ListParagraph"/>
        <w:numPr>
          <w:ilvl w:val="0"/>
          <w:numId w:val="37"/>
        </w:numPr>
        <w:jc w:val="both"/>
      </w:pPr>
      <w:r>
        <w:t xml:space="preserve">The solution is embodied in the self-determination of our Nations and the decolonization of our </w:t>
      </w:r>
      <w:r w:rsidR="00007CC9">
        <w:t>Territories</w:t>
      </w:r>
      <w:r w:rsidR="009F19C7">
        <w:t xml:space="preserve">. </w:t>
      </w:r>
      <w:r>
        <w:t xml:space="preserve">We call on CERD to see through the smokescreen portrayed by Canada so that we can begin to heal and recover from the horrors and traumatic impacts caused by a racist regime.  </w:t>
      </w:r>
      <w:r w:rsidRPr="00AF1A4E">
        <w:t>We call on CERD to intervene on our behalf.</w:t>
      </w:r>
    </w:p>
    <w:p w14:paraId="2A26CBB3" w14:textId="77777777" w:rsidR="00272A8E" w:rsidRPr="00E137AC" w:rsidRDefault="00272A8E" w:rsidP="00B10A33">
      <w:pPr>
        <w:jc w:val="both"/>
        <w:rPr>
          <w:strike/>
        </w:rPr>
      </w:pPr>
    </w:p>
    <w:p w14:paraId="2D615623" w14:textId="77777777" w:rsidR="00B94B2C" w:rsidRPr="00021C9E" w:rsidRDefault="00B82890" w:rsidP="00B10A33">
      <w:pPr>
        <w:jc w:val="both"/>
        <w:rPr>
          <w:b/>
          <w:u w:val="single"/>
        </w:rPr>
      </w:pPr>
      <w:r>
        <w:rPr>
          <w:b/>
          <w:u w:val="single"/>
        </w:rPr>
        <w:t>Questions for the Canadian State</w:t>
      </w:r>
    </w:p>
    <w:p w14:paraId="0A325AD4" w14:textId="77777777" w:rsidR="00B94B2C" w:rsidRPr="00021C9E" w:rsidRDefault="00B94B2C" w:rsidP="00B10A33">
      <w:pPr>
        <w:jc w:val="both"/>
        <w:rPr>
          <w:b/>
          <w:u w:val="single"/>
        </w:rPr>
      </w:pPr>
    </w:p>
    <w:p w14:paraId="48D32FE3" w14:textId="47B84FB9" w:rsidR="000A1E83" w:rsidRDefault="00BE0E14" w:rsidP="00B10A33">
      <w:pPr>
        <w:pStyle w:val="ListParagraph"/>
        <w:widowControl w:val="0"/>
        <w:numPr>
          <w:ilvl w:val="0"/>
          <w:numId w:val="37"/>
        </w:numPr>
        <w:autoSpaceDE w:val="0"/>
        <w:autoSpaceDN w:val="0"/>
        <w:adjustRightInd w:val="0"/>
        <w:jc w:val="both"/>
      </w:pPr>
      <w:r>
        <w:t>The Nations submit th</w:t>
      </w:r>
      <w:r w:rsidR="00AD54F2">
        <w:t>at</w:t>
      </w:r>
      <w:r w:rsidR="000608D1">
        <w:t xml:space="preserve"> when</w:t>
      </w:r>
      <w:r w:rsidR="0078734F">
        <w:t xml:space="preserve"> </w:t>
      </w:r>
      <w:r w:rsidR="00AE0A2C">
        <w:t xml:space="preserve">an invading nation </w:t>
      </w:r>
      <w:r w:rsidR="00524D2B">
        <w:t>claims</w:t>
      </w:r>
      <w:r w:rsidR="00AE0A2C">
        <w:t xml:space="preserve"> the </w:t>
      </w:r>
      <w:r w:rsidR="001C0C5C">
        <w:t>lands</w:t>
      </w:r>
      <w:r w:rsidR="00C328C5">
        <w:t xml:space="preserve"> to which another</w:t>
      </w:r>
      <w:r w:rsidR="0078734F">
        <w:t xml:space="preserve"> nation</w:t>
      </w:r>
      <w:r w:rsidR="007157B6">
        <w:t xml:space="preserve"> or </w:t>
      </w:r>
      <w:r w:rsidR="00E35CAE">
        <w:t>Peoples</w:t>
      </w:r>
      <w:r w:rsidR="007157B6">
        <w:t xml:space="preserve"> have a</w:t>
      </w:r>
      <w:r w:rsidR="00FF6A36">
        <w:t>n inherent connection and right</w:t>
      </w:r>
      <w:r w:rsidR="00AD54F2">
        <w:t xml:space="preserve"> </w:t>
      </w:r>
      <w:r w:rsidR="00A0765E">
        <w:t>bas</w:t>
      </w:r>
      <w:r w:rsidR="00423FCB" w:rsidRPr="00423FCB">
        <w:t xml:space="preserve">ed </w:t>
      </w:r>
      <w:r w:rsidR="00742B05">
        <w:t>on</w:t>
      </w:r>
      <w:r w:rsidR="00423FCB" w:rsidRPr="00423FCB">
        <w:t xml:space="preserve"> racist principle</w:t>
      </w:r>
      <w:r w:rsidR="00A0765E">
        <w:t>s</w:t>
      </w:r>
      <w:r w:rsidR="00D05B4A">
        <w:t xml:space="preserve"> such as the </w:t>
      </w:r>
      <w:r w:rsidR="00D05B4A" w:rsidRPr="00486A3D">
        <w:rPr>
          <w:i/>
        </w:rPr>
        <w:t>Doctrine of Discovery</w:t>
      </w:r>
      <w:r w:rsidR="003600AC">
        <w:t xml:space="preserve"> to justify such claims, </w:t>
      </w:r>
      <w:r w:rsidR="00423FCB" w:rsidRPr="00423FCB">
        <w:t>then as the opening quote</w:t>
      </w:r>
      <w:r w:rsidR="003600AC">
        <w:t xml:space="preserve"> by Thomas Paine</w:t>
      </w:r>
      <w:r w:rsidR="00015A1C">
        <w:t xml:space="preserve"> provided, </w:t>
      </w:r>
      <w:r w:rsidR="00F95D53">
        <w:t xml:space="preserve">such a nation </w:t>
      </w:r>
      <w:r w:rsidR="00015A1C">
        <w:t>then must legitimize such claim</w:t>
      </w:r>
      <w:r w:rsidR="00423FCB" w:rsidRPr="00423FCB">
        <w:t>. In Canada</w:t>
      </w:r>
      <w:r w:rsidR="00B252BC">
        <w:t xml:space="preserve">, such legitimization has been the continual minimization of our Nations’ </w:t>
      </w:r>
      <w:r w:rsidR="00481030">
        <w:t xml:space="preserve">rights to our </w:t>
      </w:r>
      <w:r w:rsidR="00007CC9">
        <w:t>Territories</w:t>
      </w:r>
      <w:r w:rsidR="00481030">
        <w:t xml:space="preserve"> and its resources</w:t>
      </w:r>
      <w:r w:rsidR="00DF6374">
        <w:t xml:space="preserve">, as well as who we are as Nations of </w:t>
      </w:r>
      <w:r w:rsidR="00E35CAE">
        <w:t>Indigenous</w:t>
      </w:r>
      <w:r w:rsidR="008518E7">
        <w:t xml:space="preserve"> </w:t>
      </w:r>
      <w:r w:rsidR="00E35CAE">
        <w:t>Peoples</w:t>
      </w:r>
      <w:r w:rsidR="008518E7">
        <w:t>, and the destruction of our Nations through the forceful removal of our children through state sponsored laws, regulations and policies.</w:t>
      </w:r>
      <w:r w:rsidR="00DF6374">
        <w:t xml:space="preserve"> </w:t>
      </w:r>
      <w:r w:rsidR="003B5602">
        <w:t xml:space="preserve">While the Canadian state may </w:t>
      </w:r>
      <w:r w:rsidR="003808D0">
        <w:t xml:space="preserve">currently wish </w:t>
      </w:r>
      <w:r w:rsidR="005715BD">
        <w:t>to “reconcile” with our Nations</w:t>
      </w:r>
      <w:r w:rsidR="003808D0">
        <w:t xml:space="preserve"> and build a “new relationship”</w:t>
      </w:r>
      <w:r w:rsidR="005715BD">
        <w:t>,</w:t>
      </w:r>
      <w:r w:rsidR="003808D0">
        <w:t xml:space="preserve"> </w:t>
      </w:r>
      <w:r w:rsidR="001E738D">
        <w:t xml:space="preserve">our Nations </w:t>
      </w:r>
      <w:r w:rsidR="00E6387C">
        <w:t xml:space="preserve">will </w:t>
      </w:r>
      <w:r w:rsidR="001E738D">
        <w:t>reject the Canadian</w:t>
      </w:r>
      <w:r w:rsidR="00E6387C">
        <w:t xml:space="preserve"> states desired goals</w:t>
      </w:r>
      <w:r w:rsidR="001E738D">
        <w:t xml:space="preserve"> if it continues to </w:t>
      </w:r>
      <w:r w:rsidR="00E6387C">
        <w:t xml:space="preserve">proceed on the presumed baseline that </w:t>
      </w:r>
      <w:r w:rsidR="005259C7">
        <w:t xml:space="preserve">it has a claim to our </w:t>
      </w:r>
      <w:r w:rsidR="00007CC9">
        <w:t>Territories</w:t>
      </w:r>
      <w:r w:rsidR="005259C7">
        <w:t xml:space="preserve"> that is based </w:t>
      </w:r>
      <w:r w:rsidR="00742B05">
        <w:t>on</w:t>
      </w:r>
      <w:r w:rsidR="005259C7">
        <w:t xml:space="preserve"> the racist </w:t>
      </w:r>
      <w:r w:rsidR="005259C7" w:rsidRPr="00486A3D">
        <w:rPr>
          <w:i/>
        </w:rPr>
        <w:t>Doctrine of Discovery</w:t>
      </w:r>
      <w:r w:rsidR="005715BD">
        <w:t>, and refusal to fully address the past and present harms confronting our children.</w:t>
      </w:r>
    </w:p>
    <w:p w14:paraId="68E0EC22" w14:textId="77777777" w:rsidR="000A1E83" w:rsidRDefault="000A1E83" w:rsidP="00B10A33">
      <w:pPr>
        <w:widowControl w:val="0"/>
        <w:autoSpaceDE w:val="0"/>
        <w:autoSpaceDN w:val="0"/>
        <w:adjustRightInd w:val="0"/>
        <w:jc w:val="both"/>
      </w:pPr>
    </w:p>
    <w:p w14:paraId="17CFB7EF" w14:textId="2487B229" w:rsidR="00423FCB" w:rsidRDefault="005F66D3" w:rsidP="00B10A33">
      <w:pPr>
        <w:pStyle w:val="ListParagraph"/>
        <w:widowControl w:val="0"/>
        <w:numPr>
          <w:ilvl w:val="0"/>
          <w:numId w:val="37"/>
        </w:numPr>
        <w:autoSpaceDE w:val="0"/>
        <w:autoSpaceDN w:val="0"/>
        <w:adjustRightInd w:val="0"/>
        <w:jc w:val="both"/>
      </w:pPr>
      <w:r>
        <w:t>Our Nations assert that</w:t>
      </w:r>
      <w:r w:rsidR="00DB4F5B">
        <w:t xml:space="preserve"> </w:t>
      </w:r>
      <w:r w:rsidR="00B64B68">
        <w:t xml:space="preserve">Canadian </w:t>
      </w:r>
      <w:r w:rsidR="00DB4F5B">
        <w:t>governmental policies and actions</w:t>
      </w:r>
      <w:r w:rsidR="00871A09">
        <w:t xml:space="preserve"> towards us</w:t>
      </w:r>
      <w:r w:rsidR="00DB4F5B">
        <w:t xml:space="preserve"> </w:t>
      </w:r>
      <w:r w:rsidR="00D74A50">
        <w:t xml:space="preserve">that are </w:t>
      </w:r>
      <w:r w:rsidR="00574719">
        <w:t xml:space="preserve">supposedly </w:t>
      </w:r>
      <w:r w:rsidR="00042136">
        <w:t xml:space="preserve">based on </w:t>
      </w:r>
      <w:r w:rsidR="003B5602">
        <w:t xml:space="preserve">neoliberalism </w:t>
      </w:r>
      <w:r w:rsidR="00042136">
        <w:t>concepts of equality</w:t>
      </w:r>
      <w:r w:rsidR="00A81FB0">
        <w:t xml:space="preserve"> to sooth its collective cognitive</w:t>
      </w:r>
      <w:r w:rsidR="005769F4">
        <w:t xml:space="preserve"> and moral</w:t>
      </w:r>
      <w:r w:rsidR="00A81FB0">
        <w:t xml:space="preserve"> dissonance</w:t>
      </w:r>
      <w:r w:rsidR="000A1E83">
        <w:t xml:space="preserve"> has nothing to do with equality. In </w:t>
      </w:r>
      <w:r w:rsidR="00574719">
        <w:t>fact</w:t>
      </w:r>
      <w:r w:rsidR="000A1E83">
        <w:t>,</w:t>
      </w:r>
      <w:r w:rsidR="008672DE">
        <w:t xml:space="preserve"> </w:t>
      </w:r>
      <w:r w:rsidR="000A1E83">
        <w:t xml:space="preserve">at their foundation all current Canadian policies and actions that are based on the racist principles of the </w:t>
      </w:r>
      <w:r w:rsidR="000A1E83" w:rsidRPr="00486A3D">
        <w:rPr>
          <w:i/>
        </w:rPr>
        <w:t>Doctrine of Discovery</w:t>
      </w:r>
      <w:r w:rsidR="005715BD">
        <w:t xml:space="preserve"> and fantasies of racial superiority,</w:t>
      </w:r>
      <w:r w:rsidR="00556E70">
        <w:t xml:space="preserve"> </w:t>
      </w:r>
      <w:r w:rsidR="005715BD">
        <w:t xml:space="preserve">including child welfare systems, </w:t>
      </w:r>
      <w:r w:rsidR="00556E70">
        <w:t>act</w:t>
      </w:r>
      <w:r w:rsidR="00684746">
        <w:t xml:space="preserve"> to extinguish our identity as Nations of </w:t>
      </w:r>
      <w:r w:rsidR="00E35CAE">
        <w:t>Indigenous</w:t>
      </w:r>
      <w:r w:rsidR="00684746">
        <w:t xml:space="preserve"> </w:t>
      </w:r>
      <w:r w:rsidR="00E35CAE">
        <w:t>Peoples</w:t>
      </w:r>
      <w:r w:rsidR="000A1E83">
        <w:t xml:space="preserve"> and </w:t>
      </w:r>
      <w:r w:rsidR="005715BD">
        <w:t xml:space="preserve">to </w:t>
      </w:r>
      <w:r w:rsidR="000A1E83">
        <w:t>unilaterally absorb us into the body politic</w:t>
      </w:r>
      <w:r w:rsidR="00556E70">
        <w:t>. We submit that</w:t>
      </w:r>
      <w:r w:rsidR="003D628B">
        <w:t xml:space="preserve"> the continued adherence to </w:t>
      </w:r>
      <w:r w:rsidR="00556E70" w:rsidRPr="00486A3D">
        <w:rPr>
          <w:i/>
        </w:rPr>
        <w:t>Doctrine of Discovery</w:t>
      </w:r>
      <w:r w:rsidR="00556E70">
        <w:t xml:space="preserve"> and neolibe</w:t>
      </w:r>
      <w:r w:rsidR="002C161E">
        <w:t>ralism continues</w:t>
      </w:r>
      <w:r w:rsidR="00871A09">
        <w:t xml:space="preserve"> to </w:t>
      </w:r>
      <w:r w:rsidR="002C161E">
        <w:t>discriminate against us</w:t>
      </w:r>
      <w:r w:rsidR="00225DD5">
        <w:t xml:space="preserve"> in </w:t>
      </w:r>
      <w:r w:rsidR="002C161E">
        <w:t xml:space="preserve">that </w:t>
      </w:r>
      <w:r w:rsidR="00225DD5">
        <w:t xml:space="preserve">the Canadian state </w:t>
      </w:r>
      <w:r w:rsidR="002C161E">
        <w:t xml:space="preserve">does </w:t>
      </w:r>
      <w:r w:rsidR="00225DD5">
        <w:t xml:space="preserve">not accept us as </w:t>
      </w:r>
      <w:r w:rsidR="002C161E">
        <w:t xml:space="preserve">self-determining </w:t>
      </w:r>
      <w:r w:rsidR="00225DD5">
        <w:t xml:space="preserve">Nations of </w:t>
      </w:r>
      <w:r w:rsidR="00E35CAE">
        <w:t>Indigenous</w:t>
      </w:r>
      <w:r w:rsidR="00225DD5">
        <w:t xml:space="preserve"> </w:t>
      </w:r>
      <w:r w:rsidR="00E35CAE">
        <w:t>Peoples</w:t>
      </w:r>
      <w:r w:rsidR="00225DD5">
        <w:t xml:space="preserve"> with </w:t>
      </w:r>
      <w:r w:rsidR="005715BD">
        <w:t>the subsequent inherent rights</w:t>
      </w:r>
      <w:r w:rsidR="00225DD5">
        <w:t>.</w:t>
      </w:r>
    </w:p>
    <w:p w14:paraId="16D00EAA" w14:textId="77777777" w:rsidR="00423FCB" w:rsidRDefault="00423FCB" w:rsidP="00B10A33">
      <w:pPr>
        <w:widowControl w:val="0"/>
        <w:autoSpaceDE w:val="0"/>
        <w:autoSpaceDN w:val="0"/>
        <w:adjustRightInd w:val="0"/>
        <w:jc w:val="both"/>
      </w:pPr>
    </w:p>
    <w:p w14:paraId="46CF4422" w14:textId="77777777" w:rsidR="00B94B2C" w:rsidRDefault="00B94B2C" w:rsidP="00B10A33">
      <w:pPr>
        <w:pStyle w:val="ListParagraph"/>
        <w:widowControl w:val="0"/>
        <w:numPr>
          <w:ilvl w:val="0"/>
          <w:numId w:val="37"/>
        </w:numPr>
        <w:autoSpaceDE w:val="0"/>
        <w:autoSpaceDN w:val="0"/>
        <w:adjustRightInd w:val="0"/>
        <w:jc w:val="both"/>
      </w:pPr>
      <w:r w:rsidRPr="00021C9E">
        <w:t xml:space="preserve">Accordingly, the Nations respectfully requests that the UN Committee on the Elimination of Racial </w:t>
      </w:r>
      <w:r w:rsidR="00E859D6">
        <w:t>Discrimination to put before</w:t>
      </w:r>
      <w:r w:rsidR="00AC6AC8">
        <w:t xml:space="preserve"> the Canadian </w:t>
      </w:r>
      <w:r w:rsidR="00E859D6">
        <w:t>State the following questions:</w:t>
      </w:r>
    </w:p>
    <w:p w14:paraId="1875A4EB" w14:textId="77777777" w:rsidR="00E859D6" w:rsidRDefault="00E859D6" w:rsidP="00B10A33">
      <w:pPr>
        <w:widowControl w:val="0"/>
        <w:autoSpaceDE w:val="0"/>
        <w:autoSpaceDN w:val="0"/>
        <w:adjustRightInd w:val="0"/>
        <w:jc w:val="both"/>
      </w:pPr>
    </w:p>
    <w:p w14:paraId="744499AB" w14:textId="51A70C08" w:rsidR="00E859D6" w:rsidRDefault="00742B05" w:rsidP="00B10A33">
      <w:pPr>
        <w:pStyle w:val="ListParagraph"/>
        <w:widowControl w:val="0"/>
        <w:numPr>
          <w:ilvl w:val="0"/>
          <w:numId w:val="45"/>
        </w:numPr>
        <w:autoSpaceDE w:val="0"/>
        <w:autoSpaceDN w:val="0"/>
        <w:adjustRightInd w:val="0"/>
        <w:ind w:left="1440"/>
        <w:jc w:val="both"/>
      </w:pPr>
      <w:r>
        <w:t>On</w:t>
      </w:r>
      <w:r w:rsidR="00735411">
        <w:t xml:space="preserve"> what legal basis, both domestically and internationally, does Canada claim underlying title to </w:t>
      </w:r>
      <w:r w:rsidR="00E35CAE">
        <w:t>Indigenous</w:t>
      </w:r>
      <w:r w:rsidR="00735411">
        <w:t xml:space="preserve"> lands?</w:t>
      </w:r>
    </w:p>
    <w:p w14:paraId="06C82E36" w14:textId="77777777" w:rsidR="00225DD5" w:rsidRDefault="00225DD5" w:rsidP="00B10A33">
      <w:pPr>
        <w:widowControl w:val="0"/>
        <w:autoSpaceDE w:val="0"/>
        <w:autoSpaceDN w:val="0"/>
        <w:adjustRightInd w:val="0"/>
        <w:ind w:left="2093"/>
        <w:jc w:val="both"/>
      </w:pPr>
    </w:p>
    <w:p w14:paraId="48A16F1C" w14:textId="3BB5D21C" w:rsidR="00735411" w:rsidRDefault="00186051" w:rsidP="00B10A33">
      <w:pPr>
        <w:pStyle w:val="ListParagraph"/>
        <w:widowControl w:val="0"/>
        <w:numPr>
          <w:ilvl w:val="0"/>
          <w:numId w:val="45"/>
        </w:numPr>
        <w:autoSpaceDE w:val="0"/>
        <w:autoSpaceDN w:val="0"/>
        <w:adjustRightInd w:val="0"/>
        <w:ind w:left="1440"/>
        <w:jc w:val="both"/>
      </w:pPr>
      <w:r>
        <w:t xml:space="preserve">Does Canada support that </w:t>
      </w:r>
      <w:r w:rsidR="003B7FF9">
        <w:t>all “</w:t>
      </w:r>
      <w:r w:rsidR="00E35CAE">
        <w:t>Peoples</w:t>
      </w:r>
      <w:r w:rsidR="003B7FF9">
        <w:t>” have an inherent right to self-determination, and that as a component of such a right, that all “</w:t>
      </w:r>
      <w:r w:rsidR="00E35CAE">
        <w:t>Peoples</w:t>
      </w:r>
      <w:r w:rsidR="003B7FF9">
        <w:t>” have a right to</w:t>
      </w:r>
      <w:r w:rsidR="009402E8">
        <w:t xml:space="preserve"> collectively own property and to derive whatever benefit from such property?</w:t>
      </w:r>
    </w:p>
    <w:p w14:paraId="7430666D" w14:textId="77777777" w:rsidR="00902372" w:rsidRDefault="00902372" w:rsidP="00B10A33">
      <w:pPr>
        <w:widowControl w:val="0"/>
        <w:autoSpaceDE w:val="0"/>
        <w:autoSpaceDN w:val="0"/>
        <w:adjustRightInd w:val="0"/>
        <w:ind w:left="2093"/>
        <w:jc w:val="both"/>
      </w:pPr>
    </w:p>
    <w:p w14:paraId="7FD65AF4" w14:textId="77777777" w:rsidR="00930868" w:rsidRDefault="00930868" w:rsidP="00B10A33">
      <w:pPr>
        <w:pStyle w:val="ListParagraph"/>
        <w:widowControl w:val="0"/>
        <w:numPr>
          <w:ilvl w:val="0"/>
          <w:numId w:val="45"/>
        </w:numPr>
        <w:autoSpaceDE w:val="0"/>
        <w:autoSpaceDN w:val="0"/>
        <w:adjustRightInd w:val="0"/>
        <w:ind w:left="1440"/>
        <w:jc w:val="both"/>
      </w:pPr>
      <w:r>
        <w:t xml:space="preserve">Does Canada renounce the </w:t>
      </w:r>
      <w:r>
        <w:rPr>
          <w:i/>
        </w:rPr>
        <w:t>Doctrine of Discovery</w:t>
      </w:r>
      <w:r w:rsidR="009B2FDA">
        <w:t xml:space="preserve">, and the racist </w:t>
      </w:r>
      <w:r w:rsidR="002157A3">
        <w:t>principles and belief that make up such a doctrine?</w:t>
      </w:r>
    </w:p>
    <w:p w14:paraId="5D6C507A" w14:textId="77777777" w:rsidR="00902372" w:rsidRDefault="00902372" w:rsidP="00B10A33">
      <w:pPr>
        <w:widowControl w:val="0"/>
        <w:autoSpaceDE w:val="0"/>
        <w:autoSpaceDN w:val="0"/>
        <w:adjustRightInd w:val="0"/>
        <w:ind w:left="2093"/>
        <w:jc w:val="both"/>
      </w:pPr>
    </w:p>
    <w:p w14:paraId="1F5852AE" w14:textId="2DBAE0CD" w:rsidR="002157A3" w:rsidRDefault="0032425C" w:rsidP="00B10A33">
      <w:pPr>
        <w:pStyle w:val="ListParagraph"/>
        <w:widowControl w:val="0"/>
        <w:numPr>
          <w:ilvl w:val="0"/>
          <w:numId w:val="45"/>
        </w:numPr>
        <w:autoSpaceDE w:val="0"/>
        <w:autoSpaceDN w:val="0"/>
        <w:adjustRightInd w:val="0"/>
        <w:ind w:left="1440"/>
        <w:jc w:val="both"/>
      </w:pPr>
      <w:r>
        <w:t>Does Canada’</w:t>
      </w:r>
      <w:r w:rsidR="00F74E37">
        <w:t xml:space="preserve">s recent declaration of its goal of creating a new relationship with </w:t>
      </w:r>
      <w:r w:rsidR="00E35CAE">
        <w:t>Indigenous</w:t>
      </w:r>
      <w:r w:rsidR="00F74E37">
        <w:t xml:space="preserve"> </w:t>
      </w:r>
      <w:r w:rsidR="00E35CAE">
        <w:t>Peoples</w:t>
      </w:r>
      <w:r w:rsidR="00F74E37">
        <w:t xml:space="preserve"> within Canada</w:t>
      </w:r>
      <w:r w:rsidR="003D0F99">
        <w:t xml:space="preserve">, including the need for reconciliation between the Canadian state and </w:t>
      </w:r>
      <w:r w:rsidR="00E35CAE">
        <w:t>Indigenous</w:t>
      </w:r>
      <w:r w:rsidR="003D0F99">
        <w:t xml:space="preserve"> </w:t>
      </w:r>
      <w:r w:rsidR="00E35CAE">
        <w:t>Peoples</w:t>
      </w:r>
      <w:r w:rsidR="00584A5E">
        <w:t xml:space="preserve"> include</w:t>
      </w:r>
      <w:r w:rsidR="00764870">
        <w:t xml:space="preserve"> Canada’s international legal obligations</w:t>
      </w:r>
      <w:r w:rsidR="00584A5E">
        <w:t xml:space="preserve"> pertaining to </w:t>
      </w:r>
      <w:r w:rsidR="00E35CAE">
        <w:t>Indigenous</w:t>
      </w:r>
      <w:r w:rsidR="00584A5E">
        <w:t xml:space="preserve"> </w:t>
      </w:r>
      <w:r w:rsidR="00E35CAE">
        <w:t>Peoples</w:t>
      </w:r>
      <w:r w:rsidR="00F66477">
        <w:t>, including the norms contained within such obligations?</w:t>
      </w:r>
    </w:p>
    <w:p w14:paraId="3169E3C8" w14:textId="77777777" w:rsidR="00CD1D03" w:rsidRDefault="00CD1D03" w:rsidP="00CD1D03">
      <w:pPr>
        <w:pStyle w:val="ListParagraph"/>
      </w:pPr>
    </w:p>
    <w:p w14:paraId="101FDCE4" w14:textId="6E87838D" w:rsidR="00CD1D03" w:rsidRDefault="00CD1D03" w:rsidP="00B10A33">
      <w:pPr>
        <w:pStyle w:val="ListParagraph"/>
        <w:widowControl w:val="0"/>
        <w:numPr>
          <w:ilvl w:val="0"/>
          <w:numId w:val="45"/>
        </w:numPr>
        <w:autoSpaceDE w:val="0"/>
        <w:autoSpaceDN w:val="0"/>
        <w:adjustRightInd w:val="0"/>
        <w:ind w:left="1440"/>
        <w:jc w:val="both"/>
      </w:pPr>
      <w:r>
        <w:t xml:space="preserve">Does Canada </w:t>
      </w:r>
      <w:r w:rsidR="00FB3770">
        <w:t>believe that having access to clean drinking water is a right that all peoples in developed and modern states are entitled?</w:t>
      </w:r>
    </w:p>
    <w:p w14:paraId="1A68A871" w14:textId="77777777" w:rsidR="00F54C5C" w:rsidRDefault="00F54C5C" w:rsidP="00F54C5C">
      <w:pPr>
        <w:widowControl w:val="0"/>
        <w:autoSpaceDE w:val="0"/>
        <w:autoSpaceDN w:val="0"/>
        <w:adjustRightInd w:val="0"/>
        <w:jc w:val="both"/>
      </w:pPr>
    </w:p>
    <w:p w14:paraId="3C12B89D" w14:textId="77777777" w:rsidR="00F54C5C" w:rsidRDefault="00F54C5C" w:rsidP="00B10A33">
      <w:pPr>
        <w:pStyle w:val="ListParagraph"/>
        <w:widowControl w:val="0"/>
        <w:numPr>
          <w:ilvl w:val="0"/>
          <w:numId w:val="45"/>
        </w:numPr>
        <w:autoSpaceDE w:val="0"/>
        <w:autoSpaceDN w:val="0"/>
        <w:adjustRightInd w:val="0"/>
        <w:ind w:left="1440"/>
        <w:jc w:val="both"/>
      </w:pPr>
      <w:r>
        <w:t xml:space="preserve">Does Canada believe that it is legal or just that a perpetrator state </w:t>
      </w:r>
      <w:r w:rsidRPr="00080286">
        <w:t>responsible for genocide</w:t>
      </w:r>
      <w:r>
        <w:t xml:space="preserve">, appoint, fund and set the terms of reference for a </w:t>
      </w:r>
      <w:r w:rsidRPr="00080286">
        <w:t xml:space="preserve">process to investigate </w:t>
      </w:r>
      <w:r>
        <w:t xml:space="preserve">its </w:t>
      </w:r>
      <w:r w:rsidRPr="00080286">
        <w:t>conduct</w:t>
      </w:r>
      <w:r>
        <w:t xml:space="preserve"> for creating and implementing the</w:t>
      </w:r>
      <w:r w:rsidR="00913217">
        <w:t xml:space="preserve"> genocide</w:t>
      </w:r>
      <w:r>
        <w:t>?</w:t>
      </w:r>
    </w:p>
    <w:p w14:paraId="35413667" w14:textId="77777777" w:rsidR="00B94B2C" w:rsidRPr="00317F36" w:rsidRDefault="00B94B2C" w:rsidP="00B10A33">
      <w:pPr>
        <w:widowControl w:val="0"/>
        <w:autoSpaceDE w:val="0"/>
        <w:autoSpaceDN w:val="0"/>
        <w:adjustRightInd w:val="0"/>
        <w:ind w:left="2093"/>
        <w:jc w:val="both"/>
        <w:rPr>
          <w:b/>
          <w:u w:val="single"/>
        </w:rPr>
      </w:pPr>
    </w:p>
    <w:sectPr w:rsidR="00B94B2C" w:rsidRPr="00317F36" w:rsidSect="00D23F3E">
      <w:footerReference w:type="default" r:id="rId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016A0" w14:textId="77777777" w:rsidR="00206B13" w:rsidRDefault="00206B13" w:rsidP="00423EAE">
      <w:r>
        <w:separator/>
      </w:r>
    </w:p>
  </w:endnote>
  <w:endnote w:type="continuationSeparator" w:id="0">
    <w:p w14:paraId="165FC46B" w14:textId="77777777" w:rsidR="00206B13" w:rsidRDefault="00206B13" w:rsidP="0042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456747"/>
      <w:docPartObj>
        <w:docPartGallery w:val="Page Numbers (Bottom of Page)"/>
        <w:docPartUnique/>
      </w:docPartObj>
    </w:sdtPr>
    <w:sdtEndPr>
      <w:rPr>
        <w:noProof/>
      </w:rPr>
    </w:sdtEndPr>
    <w:sdtContent>
      <w:p w14:paraId="208BF247" w14:textId="5050F92F" w:rsidR="00DF2BDC" w:rsidRDefault="00DF2BDC">
        <w:pPr>
          <w:pStyle w:val="Footer"/>
          <w:jc w:val="right"/>
        </w:pPr>
        <w:r>
          <w:fldChar w:fldCharType="begin"/>
        </w:r>
        <w:r>
          <w:instrText xml:space="preserve"> PAGE   \* MERGEFORMAT </w:instrText>
        </w:r>
        <w:r>
          <w:fldChar w:fldCharType="separate"/>
        </w:r>
        <w:r w:rsidR="00421773">
          <w:rPr>
            <w:noProof/>
          </w:rPr>
          <w:t>1</w:t>
        </w:r>
        <w:r>
          <w:rPr>
            <w:noProof/>
          </w:rPr>
          <w:fldChar w:fldCharType="end"/>
        </w:r>
      </w:p>
    </w:sdtContent>
  </w:sdt>
  <w:p w14:paraId="33DA4850" w14:textId="77777777" w:rsidR="00DF2BDC" w:rsidRDefault="00DF2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33455" w14:textId="77777777" w:rsidR="00206B13" w:rsidRDefault="00206B13" w:rsidP="00423EAE">
      <w:r>
        <w:separator/>
      </w:r>
    </w:p>
  </w:footnote>
  <w:footnote w:type="continuationSeparator" w:id="0">
    <w:p w14:paraId="5B316DDE" w14:textId="77777777" w:rsidR="00206B13" w:rsidRDefault="00206B13" w:rsidP="00423EAE">
      <w:r>
        <w:continuationSeparator/>
      </w:r>
    </w:p>
  </w:footnote>
  <w:footnote w:id="1">
    <w:p w14:paraId="343D51D7" w14:textId="77777777" w:rsidR="00DF2BDC" w:rsidRPr="00DA1DC8" w:rsidRDefault="00DF2BDC" w:rsidP="00D35A4C">
      <w:pPr>
        <w:pStyle w:val="FootnoteText"/>
        <w:jc w:val="both"/>
        <w:rPr>
          <w:sz w:val="20"/>
          <w:szCs w:val="20"/>
        </w:rPr>
      </w:pPr>
      <w:r w:rsidRPr="00DA1DC8">
        <w:rPr>
          <w:rStyle w:val="FootnoteReference"/>
          <w:sz w:val="20"/>
          <w:szCs w:val="20"/>
        </w:rPr>
        <w:footnoteRef/>
      </w:r>
      <w:r w:rsidRPr="00DA1DC8">
        <w:rPr>
          <w:sz w:val="20"/>
          <w:szCs w:val="20"/>
        </w:rPr>
        <w:t xml:space="preserve"> Thomas Paine, “On First Principles of Government (1795)” from </w:t>
      </w:r>
      <w:r w:rsidRPr="00DA1DC8">
        <w:rPr>
          <w:i/>
          <w:sz w:val="20"/>
          <w:szCs w:val="20"/>
        </w:rPr>
        <w:t>The Thomas Paine Reader</w:t>
      </w:r>
      <w:r w:rsidRPr="00DA1DC8">
        <w:rPr>
          <w:sz w:val="20"/>
          <w:szCs w:val="20"/>
        </w:rPr>
        <w:t>, (Toronto: Penguin Press, 1997) at p. 464.</w:t>
      </w:r>
    </w:p>
  </w:footnote>
  <w:footnote w:id="2">
    <w:p w14:paraId="2F7969D1" w14:textId="08EEB49D" w:rsidR="00DF2BDC" w:rsidRPr="00DA1DC8" w:rsidRDefault="00DF2BDC" w:rsidP="00B312E0">
      <w:pPr>
        <w:jc w:val="both"/>
        <w:rPr>
          <w:sz w:val="20"/>
          <w:szCs w:val="20"/>
        </w:rPr>
      </w:pPr>
      <w:r w:rsidRPr="00DA1DC8">
        <w:rPr>
          <w:rStyle w:val="FootnoteReference"/>
          <w:sz w:val="20"/>
          <w:szCs w:val="20"/>
        </w:rPr>
        <w:footnoteRef/>
      </w:r>
      <w:r w:rsidRPr="00DA1DC8">
        <w:rPr>
          <w:sz w:val="20"/>
          <w:szCs w:val="20"/>
        </w:rPr>
        <w:t xml:space="preserve"> The Nations for this submission accept that the working definition of “Indigenous Peoples” as found in the seminal work of Special Rapporteur, Martinez Cobo in his report on the “Study of the Problem of Discrimination Against Indigenous Populations” (Cobo Report), and submits that they meet the criteria as set out in this definition, the definition from the Cobo Report reads as follows:</w:t>
      </w:r>
    </w:p>
    <w:p w14:paraId="5FDD400E" w14:textId="2A19A8EB" w:rsidR="00DF2BDC" w:rsidRPr="00DA1DC8" w:rsidRDefault="00DF2BDC" w:rsidP="00B312E0">
      <w:pPr>
        <w:jc w:val="both"/>
        <w:rPr>
          <w:sz w:val="20"/>
          <w:szCs w:val="20"/>
        </w:rPr>
      </w:pPr>
      <w:r w:rsidRPr="00DA1DC8">
        <w:rPr>
          <w:sz w:val="20"/>
          <w:szCs w:val="20"/>
        </w:rPr>
        <w:tab/>
        <w:t>“Indigenous communities, Peoples and nations are those which, having a historical continuity with pre-invasion and pre-colonial societies that developed on our territories, consider themselves distinct from other sectors of the societies now prevailing on those territories, or parts of them. They form at present non-dominant sectors of society and are determined to preserve, develop and transmit to future generations our ancestral territories, and our ethnic identity, as the basis of our continued existence as Peoples, in accordance with our own cultural patterns, social institutions and legal system.</w:t>
      </w:r>
    </w:p>
    <w:p w14:paraId="45EF3DB7" w14:textId="77777777" w:rsidR="00DF2BDC" w:rsidRPr="00DA1DC8" w:rsidRDefault="00DF2BDC" w:rsidP="005066D3">
      <w:pPr>
        <w:rPr>
          <w:sz w:val="20"/>
          <w:szCs w:val="20"/>
        </w:rPr>
      </w:pPr>
      <w:r w:rsidRPr="00DA1DC8">
        <w:rPr>
          <w:sz w:val="20"/>
          <w:szCs w:val="20"/>
        </w:rPr>
        <w:tab/>
        <w:t>“This historical continuity may consist of the continuation, for an extended period reaching into the present of one or more of the following factors:</w:t>
      </w:r>
    </w:p>
    <w:p w14:paraId="061F6D27" w14:textId="77777777" w:rsidR="00DF2BDC" w:rsidRPr="00DA1DC8" w:rsidRDefault="00DF2BDC" w:rsidP="005066D3">
      <w:pPr>
        <w:numPr>
          <w:ilvl w:val="0"/>
          <w:numId w:val="25"/>
        </w:numPr>
        <w:rPr>
          <w:sz w:val="20"/>
          <w:szCs w:val="20"/>
        </w:rPr>
      </w:pPr>
      <w:r w:rsidRPr="00DA1DC8">
        <w:rPr>
          <w:sz w:val="20"/>
          <w:szCs w:val="20"/>
        </w:rPr>
        <w:t>Occupation of ancestral lands, or at least of part of them;</w:t>
      </w:r>
    </w:p>
    <w:p w14:paraId="7EAB1235" w14:textId="77777777" w:rsidR="00DF2BDC" w:rsidRPr="00DA1DC8" w:rsidRDefault="00DF2BDC" w:rsidP="005066D3">
      <w:pPr>
        <w:numPr>
          <w:ilvl w:val="0"/>
          <w:numId w:val="25"/>
        </w:numPr>
        <w:rPr>
          <w:sz w:val="20"/>
          <w:szCs w:val="20"/>
        </w:rPr>
      </w:pPr>
      <w:r w:rsidRPr="00DA1DC8">
        <w:rPr>
          <w:sz w:val="20"/>
          <w:szCs w:val="20"/>
        </w:rPr>
        <w:t>Common ancestry with the original occupants of these lands;</w:t>
      </w:r>
    </w:p>
    <w:p w14:paraId="03E67F6E" w14:textId="5BD606A9" w:rsidR="00DF2BDC" w:rsidRPr="00DA1DC8" w:rsidRDefault="00DF2BDC" w:rsidP="005066D3">
      <w:pPr>
        <w:numPr>
          <w:ilvl w:val="0"/>
          <w:numId w:val="25"/>
        </w:numPr>
        <w:rPr>
          <w:sz w:val="20"/>
          <w:szCs w:val="20"/>
        </w:rPr>
      </w:pPr>
      <w:r w:rsidRPr="00DA1DC8">
        <w:rPr>
          <w:sz w:val="20"/>
          <w:szCs w:val="20"/>
        </w:rPr>
        <w:t>Culture in general, or in specific manifestations (such as religion, living under a tribal system, membership of an Indigenous community, dress, means of livelihood, lifestyle, etc.);</w:t>
      </w:r>
    </w:p>
    <w:p w14:paraId="3CB36252" w14:textId="77777777" w:rsidR="00DF2BDC" w:rsidRPr="00DA1DC8" w:rsidRDefault="00DF2BDC" w:rsidP="005066D3">
      <w:pPr>
        <w:numPr>
          <w:ilvl w:val="0"/>
          <w:numId w:val="25"/>
        </w:numPr>
        <w:rPr>
          <w:sz w:val="20"/>
          <w:szCs w:val="20"/>
        </w:rPr>
      </w:pPr>
      <w:r w:rsidRPr="00DA1DC8">
        <w:rPr>
          <w:sz w:val="20"/>
          <w:szCs w:val="20"/>
        </w:rPr>
        <w:t>Language (whether used as the only language, as mother-tongue, as the habitual means of communication at home or in the family, or as the main, preferred, habitual, general or normal language);</w:t>
      </w:r>
    </w:p>
    <w:p w14:paraId="48CFC8F1" w14:textId="77777777" w:rsidR="00DF2BDC" w:rsidRPr="00DA1DC8" w:rsidRDefault="00DF2BDC" w:rsidP="005066D3">
      <w:pPr>
        <w:numPr>
          <w:ilvl w:val="0"/>
          <w:numId w:val="25"/>
        </w:numPr>
        <w:rPr>
          <w:sz w:val="20"/>
          <w:szCs w:val="20"/>
        </w:rPr>
      </w:pPr>
      <w:r w:rsidRPr="00DA1DC8">
        <w:rPr>
          <w:sz w:val="20"/>
          <w:szCs w:val="20"/>
        </w:rPr>
        <w:t>Residence on certain parts of the country, or in certain regions of the world;</w:t>
      </w:r>
    </w:p>
    <w:p w14:paraId="665CA7A1" w14:textId="77777777" w:rsidR="00DF2BDC" w:rsidRPr="00DA1DC8" w:rsidRDefault="00DF2BDC" w:rsidP="005066D3">
      <w:pPr>
        <w:numPr>
          <w:ilvl w:val="0"/>
          <w:numId w:val="25"/>
        </w:numPr>
        <w:rPr>
          <w:sz w:val="20"/>
          <w:szCs w:val="20"/>
        </w:rPr>
      </w:pPr>
      <w:r w:rsidRPr="00DA1DC8">
        <w:rPr>
          <w:sz w:val="20"/>
          <w:szCs w:val="20"/>
        </w:rPr>
        <w:t>Other relevant factors.</w:t>
      </w:r>
    </w:p>
    <w:p w14:paraId="0B97C2C7" w14:textId="3F944F95" w:rsidR="00DF2BDC" w:rsidRPr="00DA1DC8" w:rsidRDefault="00DF2BDC" w:rsidP="005066D3">
      <w:pPr>
        <w:rPr>
          <w:sz w:val="20"/>
          <w:szCs w:val="20"/>
        </w:rPr>
      </w:pPr>
      <w:r w:rsidRPr="00DA1DC8">
        <w:rPr>
          <w:sz w:val="20"/>
          <w:szCs w:val="20"/>
        </w:rPr>
        <w:tab/>
        <w:t>“On an individual basis, an Indigenous person is one who belongs to these Indigenous populations through self-identification as Indigenous (group consciousness) and is recognized and accepted by these populations as one of its members (acceptance by the group).</w:t>
      </w:r>
    </w:p>
    <w:p w14:paraId="5818065C" w14:textId="77777777" w:rsidR="00DF2BDC" w:rsidRPr="00DA1DC8" w:rsidRDefault="00DF2BDC" w:rsidP="005066D3">
      <w:pPr>
        <w:pStyle w:val="FootnoteText"/>
        <w:rPr>
          <w:sz w:val="20"/>
          <w:szCs w:val="20"/>
        </w:rPr>
      </w:pPr>
      <w:r w:rsidRPr="00DA1DC8">
        <w:rPr>
          <w:sz w:val="20"/>
          <w:szCs w:val="20"/>
        </w:rPr>
        <w:tab/>
        <w:t>“This preserves for these communities the sovereign right and power to decide who belongs to them, without external interference”. UN Doc. E/CN.4/Sub.2/1986/7 and Add. 1-4.</w:t>
      </w:r>
    </w:p>
  </w:footnote>
  <w:footnote w:id="3">
    <w:p w14:paraId="2CB8EEDC" w14:textId="77777777" w:rsidR="00DF2BDC" w:rsidRPr="00DA1DC8" w:rsidRDefault="00DF2BDC" w:rsidP="00513D7F">
      <w:pPr>
        <w:pStyle w:val="Heading3"/>
        <w:spacing w:before="0" w:beforeAutospacing="0" w:after="0" w:afterAutospacing="0"/>
        <w:rPr>
          <w:b w:val="0"/>
          <w:sz w:val="20"/>
          <w:szCs w:val="20"/>
        </w:rPr>
      </w:pPr>
      <w:r w:rsidRPr="00DA1DC8">
        <w:rPr>
          <w:rStyle w:val="FootnoteReference"/>
          <w:sz w:val="20"/>
          <w:szCs w:val="20"/>
        </w:rPr>
        <w:footnoteRef/>
      </w:r>
      <w:r w:rsidRPr="00DA1DC8">
        <w:rPr>
          <w:sz w:val="20"/>
          <w:szCs w:val="20"/>
        </w:rPr>
        <w:t xml:space="preserve"> </w:t>
      </w:r>
      <w:r w:rsidRPr="00DA1DC8">
        <w:rPr>
          <w:b w:val="0"/>
          <w:i/>
          <w:sz w:val="20"/>
          <w:szCs w:val="20"/>
        </w:rPr>
        <w:t>Tsilhqot’in Nation v. British Columbia</w:t>
      </w:r>
      <w:r w:rsidRPr="00DA1DC8">
        <w:rPr>
          <w:b w:val="0"/>
          <w:sz w:val="20"/>
          <w:szCs w:val="20"/>
        </w:rPr>
        <w:t xml:space="preserve"> [2014] 2 SCR 257 at paragraph 69.</w:t>
      </w:r>
    </w:p>
    <w:p w14:paraId="4DB035ED" w14:textId="77777777" w:rsidR="00DF2BDC" w:rsidRPr="00DA1DC8" w:rsidRDefault="00DF2BDC" w:rsidP="00977617">
      <w:pPr>
        <w:rPr>
          <w:rFonts w:eastAsia="Times New Roman"/>
          <w:sz w:val="20"/>
          <w:szCs w:val="20"/>
        </w:rPr>
      </w:pPr>
    </w:p>
    <w:p w14:paraId="7C11B44A" w14:textId="77777777" w:rsidR="00DF2BDC" w:rsidRPr="00DA1DC8" w:rsidRDefault="00DF2BDC">
      <w:pPr>
        <w:pStyle w:val="FootnoteText"/>
        <w:rPr>
          <w:sz w:val="20"/>
          <w:szCs w:val="20"/>
          <w:lang w:val="en-CA"/>
        </w:rPr>
      </w:pPr>
    </w:p>
  </w:footnote>
  <w:footnote w:id="4">
    <w:p w14:paraId="4E3E6A00" w14:textId="07729E0A" w:rsidR="00DF2BDC" w:rsidRPr="00DA1DC8" w:rsidRDefault="00DF2BDC" w:rsidP="003B00EE">
      <w:pPr>
        <w:pStyle w:val="FootnoteText"/>
        <w:rPr>
          <w:sz w:val="20"/>
          <w:szCs w:val="20"/>
          <w:lang w:val="en-CA"/>
        </w:rPr>
      </w:pPr>
      <w:r w:rsidRPr="00DA1DC8">
        <w:rPr>
          <w:rStyle w:val="FootnoteReference"/>
          <w:sz w:val="20"/>
          <w:szCs w:val="20"/>
        </w:rPr>
        <w:footnoteRef/>
      </w:r>
      <w:r w:rsidRPr="00DA1DC8">
        <w:rPr>
          <w:sz w:val="20"/>
          <w:szCs w:val="20"/>
        </w:rPr>
        <w:t xml:space="preserve"> </w:t>
      </w:r>
      <w:r w:rsidRPr="00DA1DC8">
        <w:rPr>
          <w:sz w:val="20"/>
          <w:szCs w:val="20"/>
          <w:lang w:val="en-CA"/>
        </w:rPr>
        <w:t xml:space="preserve">Robert J. Miller, “The Doctrine of Discovery” from </w:t>
      </w:r>
      <w:r w:rsidRPr="00DA1DC8">
        <w:rPr>
          <w:b/>
          <w:i/>
          <w:sz w:val="20"/>
          <w:szCs w:val="20"/>
          <w:lang w:val="en-CA"/>
        </w:rPr>
        <w:t>Discovering Indigenous Lands: The Doctrine of Discovery in the English Colonies</w:t>
      </w:r>
      <w:r w:rsidRPr="00DA1DC8">
        <w:rPr>
          <w:sz w:val="20"/>
          <w:szCs w:val="20"/>
          <w:lang w:val="en-CA"/>
        </w:rPr>
        <w:t>, (New York: Oxford University Press, 2012) at p.p. 9 -15</w:t>
      </w:r>
    </w:p>
  </w:footnote>
  <w:footnote w:id="5">
    <w:p w14:paraId="4B756A3A" w14:textId="77777777" w:rsidR="00DF2BDC" w:rsidRPr="00DA1DC8" w:rsidRDefault="00DF2BDC" w:rsidP="003B00EE">
      <w:pPr>
        <w:pStyle w:val="FootnoteText"/>
        <w:rPr>
          <w:sz w:val="20"/>
          <w:szCs w:val="20"/>
        </w:rPr>
      </w:pPr>
      <w:r w:rsidRPr="00DA1DC8">
        <w:rPr>
          <w:rStyle w:val="FootnoteReference"/>
          <w:sz w:val="20"/>
          <w:szCs w:val="20"/>
        </w:rPr>
        <w:footnoteRef/>
      </w:r>
      <w:r w:rsidRPr="00DA1DC8">
        <w:rPr>
          <w:sz w:val="20"/>
          <w:szCs w:val="20"/>
        </w:rPr>
        <w:t xml:space="preserve"> </w:t>
      </w:r>
      <w:r w:rsidRPr="00DA1DC8">
        <w:rPr>
          <w:i/>
          <w:sz w:val="20"/>
          <w:szCs w:val="20"/>
        </w:rPr>
        <w:t xml:space="preserve">Ibid </w:t>
      </w:r>
      <w:r w:rsidRPr="00DA1DC8">
        <w:rPr>
          <w:sz w:val="20"/>
          <w:szCs w:val="20"/>
        </w:rPr>
        <w:t>at p.p. 15-19.</w:t>
      </w:r>
    </w:p>
  </w:footnote>
  <w:footnote w:id="6">
    <w:p w14:paraId="7278FFF2" w14:textId="7013B9C7" w:rsidR="00DF2BDC" w:rsidRPr="00DA1DC8" w:rsidRDefault="00DF2BDC" w:rsidP="003B00EE">
      <w:pPr>
        <w:widowControl w:val="0"/>
        <w:autoSpaceDE w:val="0"/>
        <w:autoSpaceDN w:val="0"/>
        <w:adjustRightInd w:val="0"/>
        <w:jc w:val="both"/>
        <w:rPr>
          <w:sz w:val="20"/>
          <w:szCs w:val="20"/>
        </w:rPr>
      </w:pPr>
      <w:r w:rsidRPr="00DA1DC8">
        <w:rPr>
          <w:rStyle w:val="FootnoteReference"/>
          <w:sz w:val="20"/>
          <w:szCs w:val="20"/>
        </w:rPr>
        <w:footnoteRef/>
      </w:r>
      <w:r w:rsidRPr="00DA1DC8">
        <w:rPr>
          <w:sz w:val="20"/>
          <w:szCs w:val="20"/>
        </w:rPr>
        <w:t xml:space="preserve"> </w:t>
      </w:r>
      <w:r w:rsidRPr="00DA1DC8">
        <w:rPr>
          <w:i/>
          <w:sz w:val="20"/>
          <w:szCs w:val="20"/>
        </w:rPr>
        <w:t>Ibid</w:t>
      </w:r>
      <w:r w:rsidRPr="00DA1DC8">
        <w:rPr>
          <w:sz w:val="20"/>
          <w:szCs w:val="20"/>
        </w:rPr>
        <w:t xml:space="preserve"> at p. 21. It is interesting to note that although the Supreme Court of Canada has stated in its </w:t>
      </w:r>
      <w:r w:rsidRPr="00DA1DC8">
        <w:rPr>
          <w:i/>
          <w:sz w:val="20"/>
          <w:szCs w:val="20"/>
        </w:rPr>
        <w:t>Tsilhqot’in Nation v. British Columbia</w:t>
      </w:r>
      <w:r w:rsidRPr="00DA1DC8">
        <w:rPr>
          <w:b/>
          <w:sz w:val="20"/>
          <w:szCs w:val="20"/>
        </w:rPr>
        <w:t xml:space="preserve"> </w:t>
      </w:r>
      <w:r w:rsidRPr="00DA1DC8">
        <w:rPr>
          <w:sz w:val="20"/>
          <w:szCs w:val="20"/>
        </w:rPr>
        <w:t>decision</w:t>
      </w:r>
      <w:r w:rsidRPr="00DA1DC8">
        <w:rPr>
          <w:b/>
          <w:sz w:val="20"/>
          <w:szCs w:val="20"/>
        </w:rPr>
        <w:t xml:space="preserve"> </w:t>
      </w:r>
      <w:r w:rsidRPr="00DA1DC8">
        <w:rPr>
          <w:sz w:val="20"/>
          <w:szCs w:val="20"/>
        </w:rPr>
        <w:t xml:space="preserve">that the doctrine of </w:t>
      </w:r>
      <w:r w:rsidRPr="00DA1DC8">
        <w:rPr>
          <w:i/>
          <w:sz w:val="20"/>
          <w:szCs w:val="20"/>
        </w:rPr>
        <w:t>terra nullius</w:t>
      </w:r>
      <w:r w:rsidRPr="00DA1DC8">
        <w:rPr>
          <w:sz w:val="20"/>
          <w:szCs w:val="20"/>
        </w:rPr>
        <w:t xml:space="preserve"> never applied in Canada, we would submit that in fact it did and still does in that the Courts have consistently held that the infringement of Indigenous Peoples rights to our Territories can be justified by a “pressing public purpose”. It is not a large stretch of the imagination to hear the echoes of </w:t>
      </w:r>
      <w:r w:rsidRPr="00DA1DC8">
        <w:rPr>
          <w:i/>
          <w:sz w:val="20"/>
          <w:szCs w:val="20"/>
        </w:rPr>
        <w:t>terra nullius</w:t>
      </w:r>
      <w:r w:rsidRPr="00DA1DC8">
        <w:rPr>
          <w:sz w:val="20"/>
          <w:szCs w:val="20"/>
        </w:rPr>
        <w:t xml:space="preserve"> in this principle whereby Indigenous use of our Territories is not in accordance with “public purpose” standards and thereby any Indigenous right to such Territories can be infringed. </w:t>
      </w:r>
    </w:p>
  </w:footnote>
  <w:footnote w:id="7">
    <w:p w14:paraId="26FFCEB1" w14:textId="51BB24ED" w:rsidR="00DF2BDC" w:rsidRPr="00DA1DC8" w:rsidRDefault="00DF2BDC" w:rsidP="0027570D">
      <w:pPr>
        <w:jc w:val="both"/>
        <w:rPr>
          <w:rFonts w:eastAsia="Times New Roman"/>
          <w:sz w:val="20"/>
          <w:szCs w:val="20"/>
          <w:lang w:val="en-CA"/>
        </w:rPr>
      </w:pPr>
      <w:r w:rsidRPr="00DA1DC8">
        <w:rPr>
          <w:rStyle w:val="FootnoteReference"/>
          <w:sz w:val="20"/>
          <w:szCs w:val="20"/>
        </w:rPr>
        <w:footnoteRef/>
      </w:r>
      <w:r w:rsidRPr="00DA1DC8">
        <w:rPr>
          <w:sz w:val="20"/>
          <w:szCs w:val="20"/>
        </w:rPr>
        <w:t xml:space="preserve"> Of note in this regard is the work of English philosopher John Locke in his “</w:t>
      </w:r>
      <w:r w:rsidRPr="00DA1DC8">
        <w:rPr>
          <w:i/>
          <w:sz w:val="20"/>
          <w:szCs w:val="20"/>
        </w:rPr>
        <w:t xml:space="preserve">Two Treaties of Government” </w:t>
      </w:r>
      <w:r w:rsidRPr="00DA1DC8">
        <w:rPr>
          <w:sz w:val="20"/>
          <w:szCs w:val="20"/>
        </w:rPr>
        <w:t xml:space="preserve">which has been argued was written in order to justify the dispossession of Indigenous Peoples and deflect claims that European rights to lands in our colonies were limited by the prior occupation of Indigenous Peoples. Please see </w:t>
      </w:r>
      <w:r w:rsidRPr="00DA1DC8">
        <w:rPr>
          <w:i/>
          <w:sz w:val="20"/>
          <w:szCs w:val="20"/>
        </w:rPr>
        <w:t>John Locke: The Devonshire Farmer and the Dispossession Of the Amerindians of Belize And Guyana</w:t>
      </w:r>
      <w:r w:rsidRPr="00DA1DC8">
        <w:rPr>
          <w:sz w:val="20"/>
          <w:szCs w:val="20"/>
        </w:rPr>
        <w:t xml:space="preserve"> by Tara Letwiniuk, </w:t>
      </w:r>
      <w:r w:rsidRPr="00DA1DC8">
        <w:rPr>
          <w:rFonts w:eastAsia="Times New Roman"/>
          <w:sz w:val="20"/>
          <w:szCs w:val="20"/>
          <w:lang w:val="en-CA"/>
        </w:rPr>
        <w:t>a thesis submitted in conformity with the requirements for the degree of Master of Laws Graduate Department of Law University of Toronto, 1998.</w:t>
      </w:r>
    </w:p>
  </w:footnote>
  <w:footnote w:id="8">
    <w:p w14:paraId="3EA925CE" w14:textId="77777777" w:rsidR="00DF2BDC" w:rsidRPr="00DA1DC8" w:rsidRDefault="00DF2BDC" w:rsidP="00383F90">
      <w:pPr>
        <w:pStyle w:val="FootnoteText"/>
        <w:spacing w:line="360" w:lineRule="auto"/>
        <w:rPr>
          <w:sz w:val="20"/>
          <w:szCs w:val="20"/>
          <w:lang w:val="en-AU"/>
        </w:rPr>
      </w:pPr>
      <w:r w:rsidRPr="00DA1DC8">
        <w:rPr>
          <w:rStyle w:val="FootnoteReference"/>
          <w:sz w:val="20"/>
          <w:szCs w:val="20"/>
          <w:lang w:val="en-AU"/>
        </w:rPr>
        <w:footnoteRef/>
      </w:r>
      <w:r w:rsidRPr="00DA1DC8">
        <w:rPr>
          <w:sz w:val="20"/>
          <w:szCs w:val="20"/>
          <w:lang w:val="en-AU"/>
        </w:rPr>
        <w:t xml:space="preserve"> Issued by King George III of Great Britain and Ireland on 7 October 1763.</w:t>
      </w:r>
    </w:p>
  </w:footnote>
  <w:footnote w:id="9">
    <w:p w14:paraId="7A1C30F1" w14:textId="603CCE3A" w:rsidR="00DF2BDC" w:rsidRPr="00DA1DC8" w:rsidRDefault="00DF2BDC" w:rsidP="00B31DE5">
      <w:pPr>
        <w:jc w:val="both"/>
        <w:rPr>
          <w:rFonts w:eastAsia="Times New Roman"/>
          <w:sz w:val="20"/>
          <w:szCs w:val="20"/>
        </w:rPr>
      </w:pPr>
      <w:r w:rsidRPr="00DA1DC8">
        <w:rPr>
          <w:rStyle w:val="FootnoteReference"/>
          <w:sz w:val="20"/>
          <w:szCs w:val="20"/>
        </w:rPr>
        <w:footnoteRef/>
      </w:r>
      <w:r w:rsidRPr="00DA1DC8">
        <w:rPr>
          <w:sz w:val="20"/>
          <w:szCs w:val="20"/>
        </w:rPr>
        <w:t xml:space="preserve"> </w:t>
      </w:r>
      <w:r w:rsidRPr="00DA1DC8">
        <w:rPr>
          <w:sz w:val="20"/>
          <w:szCs w:val="20"/>
          <w:lang w:val="en-CA"/>
        </w:rPr>
        <w:t>These basic principles are congruent with the conclusions reached by Special Rapporteur Miguel Alfonso Martinez in his Final Report “</w:t>
      </w:r>
      <w:r w:rsidRPr="00DA1DC8">
        <w:rPr>
          <w:rFonts w:eastAsia="Times New Roman"/>
          <w:sz w:val="20"/>
          <w:szCs w:val="20"/>
        </w:rPr>
        <w:t>Study on Treaties, Agreements and Other Constructive Arrangements Between States and Indigenous Populations”.</w:t>
      </w:r>
    </w:p>
  </w:footnote>
  <w:footnote w:id="10">
    <w:p w14:paraId="268E76FA" w14:textId="4BBCCC05" w:rsidR="00DF2BDC" w:rsidRPr="00DA1DC8" w:rsidRDefault="00DF2BDC">
      <w:pPr>
        <w:pStyle w:val="FootnoteText"/>
        <w:rPr>
          <w:sz w:val="20"/>
          <w:szCs w:val="20"/>
          <w:lang w:val="en-CA"/>
        </w:rPr>
      </w:pPr>
      <w:r w:rsidRPr="00DA1DC8">
        <w:rPr>
          <w:rStyle w:val="FootnoteReference"/>
          <w:sz w:val="20"/>
          <w:szCs w:val="20"/>
        </w:rPr>
        <w:footnoteRef/>
      </w:r>
      <w:r w:rsidRPr="00DA1DC8">
        <w:rPr>
          <w:sz w:val="20"/>
          <w:szCs w:val="20"/>
        </w:rPr>
        <w:t xml:space="preserve"> </w:t>
      </w:r>
      <w:r w:rsidRPr="00DA1DC8">
        <w:rPr>
          <w:sz w:val="20"/>
          <w:szCs w:val="20"/>
          <w:lang w:val="en-CA"/>
        </w:rPr>
        <w:t xml:space="preserve">Text of the </w:t>
      </w:r>
      <w:r w:rsidRPr="00DA1DC8">
        <w:rPr>
          <w:i/>
          <w:sz w:val="20"/>
          <w:szCs w:val="20"/>
          <w:lang w:val="en-CA"/>
        </w:rPr>
        <w:t>Royal Proclamation 1763</w:t>
      </w:r>
      <w:r w:rsidRPr="00DA1DC8">
        <w:rPr>
          <w:sz w:val="20"/>
          <w:szCs w:val="20"/>
          <w:lang w:val="en-CA"/>
        </w:rPr>
        <w:t xml:space="preserve"> access from Canada’s Indigenous and Northern Affairs website at </w:t>
      </w:r>
      <w:hyperlink r:id="rId1" w:history="1">
        <w:r w:rsidRPr="00DA1DC8">
          <w:rPr>
            <w:rStyle w:val="Hyperlink"/>
            <w:color w:val="auto"/>
            <w:sz w:val="20"/>
            <w:szCs w:val="20"/>
            <w:lang w:val="en-CA"/>
          </w:rPr>
          <w:t>https://www.aadnc-aandc.gc.ca/eng/1370355181092/1370355203645</w:t>
        </w:r>
      </w:hyperlink>
      <w:r w:rsidRPr="00DA1DC8">
        <w:rPr>
          <w:sz w:val="20"/>
          <w:szCs w:val="20"/>
          <w:lang w:val="en-CA"/>
        </w:rPr>
        <w:t xml:space="preserve"> on June 1, 2017.</w:t>
      </w:r>
    </w:p>
  </w:footnote>
  <w:footnote w:id="11">
    <w:p w14:paraId="42771E2D" w14:textId="550BE202" w:rsidR="00DF2BDC" w:rsidRPr="00DA1DC8" w:rsidRDefault="00DF2BDC" w:rsidP="00B31DE5">
      <w:pPr>
        <w:jc w:val="both"/>
        <w:rPr>
          <w:rFonts w:eastAsia="Times New Roman"/>
          <w:sz w:val="20"/>
          <w:szCs w:val="20"/>
        </w:rPr>
      </w:pPr>
      <w:r w:rsidRPr="00DA1DC8">
        <w:rPr>
          <w:rStyle w:val="FootnoteReference"/>
          <w:sz w:val="20"/>
          <w:szCs w:val="20"/>
        </w:rPr>
        <w:footnoteRef/>
      </w:r>
      <w:r w:rsidRPr="00DA1DC8">
        <w:rPr>
          <w:sz w:val="20"/>
          <w:szCs w:val="20"/>
        </w:rPr>
        <w:t xml:space="preserve"> </w:t>
      </w:r>
      <w:r w:rsidRPr="00DA1DC8">
        <w:rPr>
          <w:rFonts w:eastAsia="Times New Roman"/>
          <w:iCs/>
          <w:color w:val="333333"/>
          <w:sz w:val="20"/>
          <w:szCs w:val="20"/>
          <w:shd w:val="clear" w:color="auto" w:fill="FFFFFF"/>
        </w:rPr>
        <w:t>It is also part Canada jurisprudence that one party cannot transfer to another party more of a right or interest than the transferring party possessed. While England may have defeated France in its war within the North American, France neither defeated the Indigenous Peoples whose Territories it claimed as its territory, nor did France sign treaties with the Indigenous Peoples to obtain rights to such Territories. Accordingly, any rights or interests the British Crown may have received from France through the Treaty of Paris, was certainly not underlying title and absent any treaty specifically transferring any right to the British Crown, it is arguable that the Indigenous Peoples in the areas formerly claimed by France retain intact our rights.</w:t>
      </w:r>
    </w:p>
    <w:p w14:paraId="6ECD7784" w14:textId="77777777" w:rsidR="00DF2BDC" w:rsidRPr="00DA1DC8" w:rsidRDefault="00DF2BDC">
      <w:pPr>
        <w:pStyle w:val="FootnoteText"/>
        <w:rPr>
          <w:sz w:val="20"/>
          <w:szCs w:val="20"/>
          <w:lang w:val="en-CA"/>
        </w:rPr>
      </w:pPr>
    </w:p>
  </w:footnote>
  <w:footnote w:id="12">
    <w:p w14:paraId="5B6EF49E" w14:textId="77777777" w:rsidR="00DF2BDC" w:rsidRPr="00DA1DC8" w:rsidRDefault="00DF2BDC">
      <w:pPr>
        <w:pStyle w:val="FootnoteText"/>
        <w:rPr>
          <w:b/>
          <w:sz w:val="20"/>
          <w:szCs w:val="20"/>
          <w:lang w:val="en-CA"/>
        </w:rPr>
      </w:pPr>
      <w:r w:rsidRPr="00DA1DC8">
        <w:rPr>
          <w:rStyle w:val="FootnoteReference"/>
          <w:sz w:val="20"/>
          <w:szCs w:val="20"/>
        </w:rPr>
        <w:footnoteRef/>
      </w:r>
      <w:r w:rsidRPr="00DA1DC8">
        <w:rPr>
          <w:sz w:val="20"/>
          <w:szCs w:val="20"/>
        </w:rPr>
        <w:t xml:space="preserve"> </w:t>
      </w:r>
      <w:r w:rsidRPr="00DA1DC8">
        <w:rPr>
          <w:sz w:val="20"/>
          <w:szCs w:val="20"/>
          <w:lang w:val="en-CA"/>
        </w:rPr>
        <w:t>Found at https://scc-csc.lexum.com/scc-csc/scc-csc/en/item/1569/index.do</w:t>
      </w:r>
    </w:p>
  </w:footnote>
  <w:footnote w:id="13">
    <w:p w14:paraId="4AAB405E" w14:textId="77777777" w:rsidR="00DF2BDC" w:rsidRPr="00DA1DC8" w:rsidRDefault="00DF2BDC">
      <w:pPr>
        <w:pStyle w:val="FootnoteText"/>
        <w:rPr>
          <w:sz w:val="20"/>
          <w:szCs w:val="20"/>
          <w:lang w:val="en-CA"/>
        </w:rPr>
      </w:pPr>
      <w:r w:rsidRPr="00DA1DC8">
        <w:rPr>
          <w:rStyle w:val="FootnoteReference"/>
          <w:sz w:val="20"/>
          <w:szCs w:val="20"/>
        </w:rPr>
        <w:footnoteRef/>
      </w:r>
      <w:r w:rsidRPr="00DA1DC8">
        <w:rPr>
          <w:sz w:val="20"/>
          <w:szCs w:val="20"/>
        </w:rPr>
        <w:t xml:space="preserve"> </w:t>
      </w:r>
      <w:r w:rsidRPr="00DA1DC8">
        <w:rPr>
          <w:sz w:val="20"/>
          <w:szCs w:val="20"/>
          <w:lang w:val="en-CA"/>
        </w:rPr>
        <w:t>Found at https://scc-csc.lexum.com/scc-csc/scc-csc/en/item/14246/index.do</w:t>
      </w:r>
    </w:p>
  </w:footnote>
  <w:footnote w:id="14">
    <w:p w14:paraId="26D1305D" w14:textId="77777777" w:rsidR="00DF2BDC" w:rsidRPr="00DA1DC8" w:rsidRDefault="00DF2BDC">
      <w:pPr>
        <w:pStyle w:val="FootnoteText"/>
        <w:rPr>
          <w:sz w:val="20"/>
          <w:szCs w:val="20"/>
          <w:lang w:val="en-CA"/>
        </w:rPr>
      </w:pPr>
      <w:r w:rsidRPr="00DA1DC8">
        <w:rPr>
          <w:rStyle w:val="FootnoteReference"/>
          <w:sz w:val="20"/>
          <w:szCs w:val="20"/>
        </w:rPr>
        <w:footnoteRef/>
      </w:r>
      <w:r w:rsidRPr="00DA1DC8">
        <w:rPr>
          <w:sz w:val="20"/>
          <w:szCs w:val="20"/>
        </w:rPr>
        <w:t xml:space="preserve"> </w:t>
      </w:r>
      <w:r w:rsidRPr="00DA1DC8">
        <w:rPr>
          <w:sz w:val="20"/>
          <w:szCs w:val="20"/>
          <w:lang w:val="en-CA"/>
        </w:rPr>
        <w:t xml:space="preserve">For further information please see </w:t>
      </w:r>
      <w:hyperlink r:id="rId2" w:history="1">
        <w:r w:rsidRPr="00DA1DC8">
          <w:rPr>
            <w:rStyle w:val="Hyperlink"/>
            <w:color w:val="auto"/>
            <w:sz w:val="20"/>
            <w:szCs w:val="20"/>
            <w:lang w:val="en-CA"/>
          </w:rPr>
          <w:t>http://www.midnorthmonitor.com/2015/06/30/tek-elders-position-paper-takes-stand-against-aerial-spraying</w:t>
        </w:r>
      </w:hyperlink>
      <w:r w:rsidRPr="00DA1DC8">
        <w:rPr>
          <w:sz w:val="20"/>
          <w:szCs w:val="20"/>
          <w:lang w:val="en-CA"/>
        </w:rPr>
        <w:t xml:space="preserve">. </w:t>
      </w:r>
    </w:p>
  </w:footnote>
  <w:footnote w:id="15">
    <w:p w14:paraId="535ACDC7" w14:textId="55D4E5DD" w:rsidR="00DF2BDC" w:rsidRPr="00DA1DC8" w:rsidRDefault="00DF2BDC">
      <w:pPr>
        <w:pStyle w:val="FootnoteText"/>
        <w:rPr>
          <w:sz w:val="20"/>
          <w:szCs w:val="20"/>
          <w:lang w:val="en-CA"/>
        </w:rPr>
      </w:pPr>
      <w:r w:rsidRPr="00DA1DC8">
        <w:rPr>
          <w:rStyle w:val="FootnoteReference"/>
          <w:sz w:val="20"/>
          <w:szCs w:val="20"/>
        </w:rPr>
        <w:footnoteRef/>
      </w:r>
      <w:r w:rsidRPr="00DA1DC8">
        <w:rPr>
          <w:sz w:val="20"/>
          <w:szCs w:val="20"/>
        </w:rPr>
        <w:t xml:space="preserve"> http://www.afn.ca/uploads/files/canada-afn-mou-final-eng.pdf</w:t>
      </w:r>
    </w:p>
  </w:footnote>
  <w:footnote w:id="16">
    <w:p w14:paraId="033389F2" w14:textId="7A4CE52B" w:rsidR="00DF2BDC" w:rsidRPr="00DA1DC8" w:rsidRDefault="00DF2BDC" w:rsidP="00DA1DC8">
      <w:pPr>
        <w:jc w:val="both"/>
        <w:rPr>
          <w:rFonts w:ascii="CG Times" w:eastAsia="Times New Roman" w:hAnsi="CG Times"/>
          <w:spacing w:val="-3"/>
          <w:sz w:val="20"/>
          <w:szCs w:val="20"/>
          <w:lang w:eastAsia="en-CA"/>
        </w:rPr>
      </w:pPr>
      <w:r w:rsidRPr="00DA1DC8">
        <w:rPr>
          <w:rStyle w:val="FootnoteReference"/>
          <w:sz w:val="20"/>
          <w:szCs w:val="20"/>
        </w:rPr>
        <w:footnoteRef/>
      </w:r>
      <w:r w:rsidRPr="00DA1DC8">
        <w:rPr>
          <w:sz w:val="20"/>
          <w:szCs w:val="20"/>
        </w:rPr>
        <w:t xml:space="preserve"> </w:t>
      </w:r>
      <w:hyperlink r:id="rId3" w:history="1">
        <w:r w:rsidRPr="00DA1DC8">
          <w:rPr>
            <w:rStyle w:val="Hyperlink"/>
            <w:color w:val="auto"/>
            <w:sz w:val="20"/>
            <w:szCs w:val="20"/>
          </w:rPr>
          <w:t>http://www.taxpayer.com/commentaries/don-t-force-first-nations-people-to-wait-for-accountability</w:t>
        </w:r>
      </w:hyperlink>
      <w:r w:rsidRPr="00DA1DC8">
        <w:rPr>
          <w:sz w:val="20"/>
          <w:szCs w:val="20"/>
        </w:rPr>
        <w:t xml:space="preserve">. All Consolidated audits are available to members through the Department of Indigenous Affairs (DIAND) or at the local First Nation office – the salaries of the Chiefs and Councillors have been part of the audit requirements of DIAND for years. It is a myth that these are secret. The schedule is not available to the “Canadian public” as the Federal Court had ruled in the </w:t>
      </w:r>
      <w:r w:rsidRPr="00DA1DC8">
        <w:rPr>
          <w:i/>
          <w:sz w:val="20"/>
          <w:szCs w:val="20"/>
        </w:rPr>
        <w:t>Montana Band of Indians v. Canada (Minister of Indian and Northern Affairs</w:t>
      </w:r>
      <w:r w:rsidRPr="00DA1DC8">
        <w:rPr>
          <w:sz w:val="20"/>
          <w:szCs w:val="20"/>
        </w:rPr>
        <w:t xml:space="preserve">)  (1989) 1 F.C. 143 F.C. T.D. </w:t>
      </w:r>
      <w:r w:rsidRPr="00DA1DC8">
        <w:rPr>
          <w:rFonts w:eastAsia="Times New Roman"/>
          <w:spacing w:val="-3"/>
          <w:sz w:val="20"/>
          <w:szCs w:val="20"/>
          <w:lang w:eastAsia="en-CA"/>
        </w:rPr>
        <w:t xml:space="preserve">where Associate Chief Justice Jerome wrote at pages 153 to 155: The core of the applicants’ case and their strongest argument, is that this information is financial…information that is </w:t>
      </w:r>
      <w:r w:rsidRPr="00DA1DC8">
        <w:rPr>
          <w:rFonts w:eastAsia="Times New Roman"/>
          <w:b/>
          <w:spacing w:val="-3"/>
          <w:sz w:val="20"/>
          <w:szCs w:val="20"/>
          <w:lang w:eastAsia="en-CA"/>
        </w:rPr>
        <w:t>confidential information</w:t>
      </w:r>
      <w:r w:rsidRPr="00DA1DC8">
        <w:rPr>
          <w:rFonts w:eastAsia="Times New Roman"/>
          <w:spacing w:val="-3"/>
          <w:sz w:val="20"/>
          <w:szCs w:val="20"/>
          <w:lang w:eastAsia="en-CA"/>
        </w:rPr>
        <w:t xml:space="preserve"> supplied to a government institution by a third party and is treated consistently in a confidential manner by the third party”.</w:t>
      </w:r>
    </w:p>
  </w:footnote>
  <w:footnote w:id="17">
    <w:p w14:paraId="42392DF0" w14:textId="002A3F79" w:rsidR="00DF2BDC" w:rsidRPr="00DA1DC8" w:rsidRDefault="00DF2BDC">
      <w:pPr>
        <w:pStyle w:val="FootnoteText"/>
        <w:rPr>
          <w:sz w:val="20"/>
          <w:szCs w:val="20"/>
        </w:rPr>
      </w:pPr>
      <w:r w:rsidRPr="00DA1DC8">
        <w:rPr>
          <w:rStyle w:val="FootnoteReference"/>
          <w:sz w:val="20"/>
          <w:szCs w:val="20"/>
        </w:rPr>
        <w:footnoteRef/>
      </w:r>
      <w:r w:rsidRPr="00DA1DC8">
        <w:rPr>
          <w:sz w:val="20"/>
          <w:szCs w:val="20"/>
        </w:rPr>
        <w:t xml:space="preserve"> Chief Paulette and a number of Dene Leaders attended the</w:t>
      </w:r>
      <w:r w:rsidRPr="00DA1DC8">
        <w:rPr>
          <w:color w:val="545454"/>
          <w:sz w:val="20"/>
          <w:szCs w:val="20"/>
        </w:rPr>
        <w:t xml:space="preserve"> </w:t>
      </w:r>
      <w:r w:rsidRPr="00DA1DC8">
        <w:rPr>
          <w:bCs/>
          <w:sz w:val="20"/>
          <w:szCs w:val="20"/>
        </w:rPr>
        <w:t>NGO Conference</w:t>
      </w:r>
      <w:r w:rsidRPr="00DA1DC8">
        <w:rPr>
          <w:sz w:val="20"/>
          <w:szCs w:val="20"/>
        </w:rPr>
        <w:t xml:space="preserve"> on </w:t>
      </w:r>
      <w:r w:rsidRPr="00DA1DC8">
        <w:rPr>
          <w:bCs/>
          <w:sz w:val="20"/>
          <w:szCs w:val="20"/>
        </w:rPr>
        <w:t>Indigenous</w:t>
      </w:r>
      <w:r w:rsidRPr="00DA1DC8">
        <w:rPr>
          <w:sz w:val="20"/>
          <w:szCs w:val="20"/>
        </w:rPr>
        <w:t xml:space="preserve"> Populations of the Americas in </w:t>
      </w:r>
      <w:r w:rsidRPr="00DA1DC8">
        <w:rPr>
          <w:bCs/>
          <w:sz w:val="20"/>
          <w:szCs w:val="20"/>
        </w:rPr>
        <w:t>1977</w:t>
      </w:r>
      <w:r w:rsidRPr="00DA1DC8">
        <w:rPr>
          <w:rFonts w:ascii="Arial" w:hAnsi="Arial" w:cs="Arial"/>
          <w:sz w:val="20"/>
          <w:szCs w:val="20"/>
        </w:rPr>
        <w:t xml:space="preserve"> </w:t>
      </w:r>
      <w:r w:rsidRPr="00DA1DC8">
        <w:rPr>
          <w:sz w:val="20"/>
          <w:szCs w:val="20"/>
        </w:rPr>
        <w:t>at the Palais des Nations in Geneva, Switzerland.</w:t>
      </w:r>
    </w:p>
  </w:footnote>
  <w:footnote w:id="18">
    <w:p w14:paraId="26A414F9" w14:textId="77777777" w:rsidR="00DF2BDC" w:rsidRPr="00DA1DC8" w:rsidRDefault="00DF2BDC">
      <w:pPr>
        <w:pStyle w:val="FootnoteText"/>
        <w:rPr>
          <w:sz w:val="20"/>
          <w:szCs w:val="20"/>
        </w:rPr>
      </w:pPr>
      <w:r w:rsidRPr="00DA1DC8">
        <w:rPr>
          <w:rStyle w:val="FootnoteReference"/>
          <w:sz w:val="20"/>
          <w:szCs w:val="20"/>
        </w:rPr>
        <w:footnoteRef/>
      </w:r>
      <w:r w:rsidRPr="00DA1DC8">
        <w:rPr>
          <w:sz w:val="20"/>
          <w:szCs w:val="20"/>
        </w:rPr>
        <w:t xml:space="preserve"> Re: Paulette's Application (1973) 6 W.W.R. 97 (NWT S.C)</w:t>
      </w:r>
    </w:p>
  </w:footnote>
  <w:footnote w:id="19">
    <w:p w14:paraId="776B487F" w14:textId="0AFB0693" w:rsidR="000B2B44" w:rsidRPr="00DA1DC8" w:rsidRDefault="000B2B44">
      <w:pPr>
        <w:pStyle w:val="FootnoteText"/>
        <w:rPr>
          <w:sz w:val="20"/>
          <w:szCs w:val="20"/>
          <w:lang w:val="en-CA"/>
        </w:rPr>
      </w:pPr>
      <w:r w:rsidRPr="00DA1DC8">
        <w:rPr>
          <w:rStyle w:val="FootnoteReference"/>
          <w:sz w:val="20"/>
          <w:szCs w:val="20"/>
        </w:rPr>
        <w:footnoteRef/>
      </w:r>
      <w:r w:rsidRPr="00DA1DC8">
        <w:rPr>
          <w:sz w:val="20"/>
          <w:szCs w:val="20"/>
        </w:rPr>
        <w:t xml:space="preserve"> </w:t>
      </w:r>
      <w:r w:rsidRPr="00DA1DC8">
        <w:rPr>
          <w:sz w:val="20"/>
          <w:szCs w:val="20"/>
          <w:lang w:val="en-CA"/>
        </w:rPr>
        <w:t>For further information please s</w:t>
      </w:r>
      <w:r w:rsidRPr="00A033F5">
        <w:rPr>
          <w:sz w:val="20"/>
          <w:szCs w:val="20"/>
          <w:lang w:val="en-CA"/>
        </w:rPr>
        <w:t xml:space="preserve">ee </w:t>
      </w:r>
      <w:r w:rsidR="007D288C" w:rsidRPr="00A033F5">
        <w:rPr>
          <w:sz w:val="20"/>
          <w:szCs w:val="20"/>
        </w:rPr>
        <w:t>http://www.cbc.ca/news/politics/first-nations-drinking-water-advisories-1.3982999</w:t>
      </w:r>
    </w:p>
  </w:footnote>
  <w:footnote w:id="20">
    <w:p w14:paraId="2551F5A7" w14:textId="75A17895" w:rsidR="00D47FD6" w:rsidRPr="00DA1DC8" w:rsidRDefault="00D47FD6">
      <w:pPr>
        <w:pStyle w:val="FootnoteText"/>
        <w:rPr>
          <w:sz w:val="20"/>
          <w:szCs w:val="20"/>
          <w:lang w:val="en-CA"/>
        </w:rPr>
      </w:pPr>
      <w:r w:rsidRPr="00DA1DC8">
        <w:rPr>
          <w:rStyle w:val="FootnoteReference"/>
          <w:sz w:val="20"/>
          <w:szCs w:val="20"/>
        </w:rPr>
        <w:footnoteRef/>
      </w:r>
      <w:r w:rsidRPr="00DA1DC8">
        <w:rPr>
          <w:sz w:val="20"/>
          <w:szCs w:val="20"/>
        </w:rPr>
        <w:t xml:space="preserve"> </w:t>
      </w:r>
      <w:r w:rsidRPr="00DA1DC8">
        <w:rPr>
          <w:sz w:val="20"/>
          <w:szCs w:val="20"/>
          <w:lang w:val="en-CA"/>
        </w:rPr>
        <w:t>For further information please s</w:t>
      </w:r>
      <w:r w:rsidRPr="00A033F5">
        <w:rPr>
          <w:sz w:val="20"/>
          <w:szCs w:val="20"/>
          <w:lang w:val="en-CA"/>
        </w:rPr>
        <w:t xml:space="preserve">ee </w:t>
      </w:r>
      <w:r w:rsidR="007540C8" w:rsidRPr="007540C8">
        <w:rPr>
          <w:sz w:val="20"/>
          <w:szCs w:val="20"/>
          <w:lang w:val="en-CA"/>
        </w:rPr>
        <w:t>http://www.cbc.ca/news/canada/manitoba/shoal-lake-40-and-winnipeg-s-drinking-water-what-s-at-stake-1.3185733</w:t>
      </w:r>
      <w:r w:rsidR="007540C8">
        <w:rPr>
          <w:sz w:val="20"/>
          <w:szCs w:val="20"/>
          <w:lang w:val="en-CA"/>
        </w:rPr>
        <w:t>.</w:t>
      </w:r>
    </w:p>
  </w:footnote>
  <w:footnote w:id="21">
    <w:p w14:paraId="6AF9E71B" w14:textId="7FC0D3AA" w:rsidR="005107F0" w:rsidRPr="00DA1DC8" w:rsidRDefault="005107F0">
      <w:pPr>
        <w:pStyle w:val="FootnoteText"/>
        <w:rPr>
          <w:sz w:val="20"/>
          <w:szCs w:val="20"/>
          <w:lang w:val="en-CA"/>
        </w:rPr>
      </w:pPr>
      <w:r w:rsidRPr="00DA1DC8">
        <w:rPr>
          <w:rStyle w:val="FootnoteReference"/>
          <w:sz w:val="20"/>
          <w:szCs w:val="20"/>
        </w:rPr>
        <w:footnoteRef/>
      </w:r>
      <w:r w:rsidRPr="00DA1DC8">
        <w:rPr>
          <w:sz w:val="20"/>
          <w:szCs w:val="20"/>
        </w:rPr>
        <w:t xml:space="preserve"> </w:t>
      </w:r>
      <w:r w:rsidRPr="00DA1DC8">
        <w:rPr>
          <w:sz w:val="20"/>
          <w:szCs w:val="20"/>
          <w:lang w:val="en-CA"/>
        </w:rPr>
        <w:t>For further information please s</w:t>
      </w:r>
      <w:r w:rsidRPr="00A033F5">
        <w:rPr>
          <w:sz w:val="20"/>
          <w:szCs w:val="20"/>
          <w:lang w:val="en-CA"/>
        </w:rPr>
        <w:t xml:space="preserve">ee </w:t>
      </w:r>
      <w:r w:rsidR="008E138F" w:rsidRPr="008E138F">
        <w:rPr>
          <w:sz w:val="20"/>
          <w:szCs w:val="20"/>
          <w:lang w:val="en-CA"/>
        </w:rPr>
        <w:t>http://www.cbc.ca/radio/thesundayedition/water-on-first-nations-reserves-islam-and-isis-prison-poem-pricey-glasses-heather-o-neill-1.4005479/no-excuses-for-boil-water-orders-on-first-nations-reserves-michael-s-essay-1.4005482</w:t>
      </w:r>
      <w:r w:rsidR="008E138F">
        <w:rPr>
          <w:sz w:val="20"/>
          <w:szCs w:val="20"/>
          <w:lang w:val="en-CA"/>
        </w:rPr>
        <w:t>.</w:t>
      </w:r>
    </w:p>
  </w:footnote>
  <w:footnote w:id="22">
    <w:p w14:paraId="7FC5648D" w14:textId="1027AD22" w:rsidR="00DF2BDC" w:rsidRPr="00DA1DC8" w:rsidRDefault="00DF2BDC" w:rsidP="00A73B51">
      <w:pPr>
        <w:widowControl w:val="0"/>
        <w:autoSpaceDE w:val="0"/>
        <w:autoSpaceDN w:val="0"/>
        <w:adjustRightInd w:val="0"/>
        <w:jc w:val="both"/>
        <w:rPr>
          <w:sz w:val="20"/>
          <w:szCs w:val="20"/>
        </w:rPr>
      </w:pPr>
      <w:r w:rsidRPr="00DA1DC8">
        <w:rPr>
          <w:rStyle w:val="FootnoteReference"/>
          <w:sz w:val="20"/>
          <w:szCs w:val="20"/>
        </w:rPr>
        <w:footnoteRef/>
      </w:r>
      <w:r w:rsidRPr="00DA1DC8">
        <w:rPr>
          <w:sz w:val="20"/>
          <w:szCs w:val="20"/>
        </w:rPr>
        <w:t xml:space="preserve"> As an aside, it is interesting to note that as recently as March 2017 a member of Canada’s Parliament, that is Senator Lynn Beyak, has stated on the record, including on the floor of the Senate, that “good” things came out of the Canadian Residential Schools. Briefly, beginning in the 1880’s and continuing to 1996, Canada’s Residential Schools existed where Indigenous children were often forcible removed from our communities, taken hundreds of kilometers to schools run by various religious orders, where more often than not, they were denied their culture, physical, emotional and sexually abused, and had medical experiments performed on them. Despite these common atrocities as set out in the Truth and Reconciliation Commission’s findings, Senator Beyak bemoaned the “good” that “well-intentioned” priest and nuns were overshadowed by these atrocities. Senator Beyak provided examples of such “good” as learning the “Christian faith” and the ability to speak “English”. This aside is brought up in this discussion to demonstrate that although Canada may deny the existence of the </w:t>
      </w:r>
      <w:r w:rsidRPr="00DA1DC8">
        <w:rPr>
          <w:i/>
          <w:sz w:val="20"/>
          <w:szCs w:val="20"/>
        </w:rPr>
        <w:t>Doctrine of Discovery</w:t>
      </w:r>
      <w:r w:rsidRPr="00DA1DC8">
        <w:rPr>
          <w:sz w:val="20"/>
          <w:szCs w:val="20"/>
        </w:rPr>
        <w:t xml:space="preserve"> and its racist principles and beliefs, Senator Beyak’s statement provide clear evidence that such racist beliefs that the enforced Christian indoctrination and bringing of European culture to Indigenous Peoples is justified, which the Nations’ submit is the same principle and beliefs behind the </w:t>
      </w:r>
      <w:r w:rsidRPr="00DA1DC8">
        <w:rPr>
          <w:i/>
          <w:sz w:val="20"/>
          <w:szCs w:val="20"/>
        </w:rPr>
        <w:t>Doctrine of Discovery</w:t>
      </w:r>
      <w:r w:rsidRPr="00DA1DC8">
        <w:rPr>
          <w:sz w:val="20"/>
          <w:szCs w:val="20"/>
        </w:rPr>
        <w:t xml:space="preserve">. At the time of this writing, Senator Beyak has not retracted her statements, refused to step down from the Senate Committee on Aboriginal Affairs, and has insisted on an audit of “all money going in and out of First Nation reserves”; </w:t>
      </w:r>
      <w:r w:rsidR="00624115" w:rsidRPr="00DA1DC8">
        <w:rPr>
          <w:sz w:val="20"/>
          <w:szCs w:val="20"/>
        </w:rPr>
        <w:t>indeed,</w:t>
      </w:r>
      <w:r w:rsidRPr="00DA1DC8">
        <w:rPr>
          <w:sz w:val="20"/>
          <w:szCs w:val="20"/>
        </w:rPr>
        <w:t xml:space="preserve"> her views were defended by other Senators. However, due to months of public pressure, Senator Beyak was removed from her position on the Senate Committee of Aboriginal Affairs, but remains in her position as Senator to “promote the causes of her constituents”.</w:t>
      </w:r>
    </w:p>
    <w:p w14:paraId="52AF7C18" w14:textId="77777777" w:rsidR="00DF2BDC" w:rsidRPr="00DA1DC8" w:rsidRDefault="00DF2BDC">
      <w:pPr>
        <w:pStyle w:val="FootnoteText"/>
        <w:rPr>
          <w:sz w:val="20"/>
          <w:szCs w:val="20"/>
          <w:lang w:val="en-CA"/>
        </w:rPr>
      </w:pPr>
    </w:p>
  </w:footnote>
  <w:footnote w:id="23">
    <w:p w14:paraId="31387CC3" w14:textId="77777777" w:rsidR="00DF2BDC" w:rsidRPr="00DA1DC8" w:rsidRDefault="00DF2BDC" w:rsidP="00B94B2C">
      <w:pPr>
        <w:pStyle w:val="FootnoteText"/>
        <w:rPr>
          <w:sz w:val="20"/>
          <w:szCs w:val="20"/>
        </w:rPr>
      </w:pPr>
      <w:r w:rsidRPr="00DA1DC8">
        <w:rPr>
          <w:rStyle w:val="FootnoteReference"/>
          <w:sz w:val="20"/>
          <w:szCs w:val="20"/>
        </w:rPr>
        <w:footnoteRef/>
      </w:r>
      <w:r w:rsidRPr="00DA1DC8">
        <w:rPr>
          <w:sz w:val="20"/>
          <w:szCs w:val="20"/>
        </w:rPr>
        <w:t xml:space="preserve"> See A/HRC/24/38 at paragraph 55(f) at page 18.</w:t>
      </w:r>
    </w:p>
  </w:footnote>
  <w:footnote w:id="24">
    <w:p w14:paraId="5F1708B9" w14:textId="77777777" w:rsidR="00DF2BDC" w:rsidRPr="00DA1DC8" w:rsidRDefault="00DF2BDC" w:rsidP="00BE5B91">
      <w:pPr>
        <w:pStyle w:val="FootnoteText"/>
        <w:jc w:val="both"/>
        <w:rPr>
          <w:sz w:val="20"/>
          <w:szCs w:val="20"/>
        </w:rPr>
      </w:pPr>
      <w:r w:rsidRPr="00DA1DC8">
        <w:rPr>
          <w:rStyle w:val="FootnoteReference"/>
          <w:sz w:val="20"/>
          <w:szCs w:val="20"/>
        </w:rPr>
        <w:footnoteRef/>
      </w:r>
      <w:r w:rsidRPr="00DA1DC8">
        <w:rPr>
          <w:sz w:val="20"/>
          <w:szCs w:val="20"/>
        </w:rPr>
        <w:t xml:space="preserve">Canada, </w:t>
      </w:r>
      <w:r w:rsidRPr="00DA1DC8">
        <w:rPr>
          <w:i/>
          <w:sz w:val="20"/>
          <w:szCs w:val="20"/>
        </w:rPr>
        <w:t>Consideration of reports submitted by States parties under article 9 of the Convention Canada</w:t>
      </w:r>
      <w:r w:rsidRPr="00DA1DC8">
        <w:rPr>
          <w:sz w:val="20"/>
          <w:szCs w:val="20"/>
        </w:rPr>
        <w:t>, United Nations Committee on the Elimination of Racial Discrimination, CERD/C/CAN/21-23/2016 at para 10.</w:t>
      </w:r>
    </w:p>
  </w:footnote>
  <w:footnote w:id="25">
    <w:p w14:paraId="11B690C7" w14:textId="77777777"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 xml:space="preserve"> “Where are the Children”, retrieved on line: </w:t>
      </w:r>
      <w:hyperlink r:id="rId4" w:history="1">
        <w:r w:rsidRPr="00DA1DC8">
          <w:rPr>
            <w:rStyle w:val="Hyperlink"/>
            <w:color w:val="auto"/>
            <w:sz w:val="20"/>
            <w:szCs w:val="20"/>
            <w:u w:val="none"/>
          </w:rPr>
          <w:t>http://wherearethechildren.ca/en/timeline/research/</w:t>
        </w:r>
      </w:hyperlink>
    </w:p>
  </w:footnote>
  <w:footnote w:id="26">
    <w:p w14:paraId="23DCE787" w14:textId="77777777" w:rsidR="00DF2BDC" w:rsidRPr="00DA1DC8" w:rsidRDefault="00DF2BDC" w:rsidP="00BE5B91">
      <w:pPr>
        <w:pStyle w:val="FootnoteText"/>
        <w:jc w:val="both"/>
        <w:rPr>
          <w:sz w:val="20"/>
          <w:szCs w:val="20"/>
        </w:rPr>
      </w:pPr>
      <w:r w:rsidRPr="00DA1DC8">
        <w:rPr>
          <w:rStyle w:val="FootnoteReference"/>
          <w:sz w:val="20"/>
          <w:szCs w:val="20"/>
        </w:rPr>
        <w:footnoteRef/>
      </w:r>
      <w:r w:rsidRPr="00DA1DC8">
        <w:rPr>
          <w:sz w:val="20"/>
          <w:szCs w:val="20"/>
        </w:rPr>
        <w:t xml:space="preserve"> Hirad Abtahi &amp; Phillipa Webb, </w:t>
      </w:r>
      <w:r w:rsidRPr="00DA1DC8">
        <w:rPr>
          <w:i/>
          <w:sz w:val="20"/>
          <w:szCs w:val="20"/>
        </w:rPr>
        <w:t xml:space="preserve">The Genocide Convention: The Travaux Préparatoires, </w:t>
      </w:r>
      <w:r w:rsidRPr="00DA1DC8">
        <w:rPr>
          <w:sz w:val="20"/>
          <w:szCs w:val="20"/>
        </w:rPr>
        <w:t>vol 1 &amp; 2 (Leiden, Netherlands: Martinus Nijhoff Publishers, 2008).  The Ukraine and the USSR argued that theories of racial superiority were at the root of genocide during the drafting of the United Nations Prevention and Punishment of the Crime of Genocide from 1946-1948.</w:t>
      </w:r>
    </w:p>
  </w:footnote>
  <w:footnote w:id="27">
    <w:p w14:paraId="6CAAF996" w14:textId="77777777" w:rsidR="00DF2BDC" w:rsidRPr="00DA1DC8" w:rsidRDefault="00DF2BDC" w:rsidP="00272A8E">
      <w:pPr>
        <w:pStyle w:val="FootnoteText"/>
        <w:rPr>
          <w:i/>
          <w:sz w:val="20"/>
          <w:szCs w:val="20"/>
        </w:rPr>
      </w:pPr>
      <w:r w:rsidRPr="00DA1DC8">
        <w:rPr>
          <w:rStyle w:val="FootnoteReference"/>
          <w:sz w:val="20"/>
          <w:szCs w:val="20"/>
        </w:rPr>
        <w:footnoteRef/>
      </w:r>
      <w:r w:rsidRPr="00DA1DC8">
        <w:rPr>
          <w:sz w:val="20"/>
          <w:szCs w:val="20"/>
        </w:rPr>
        <w:t xml:space="preserve"> Truth and Reconciliation Commission, </w:t>
      </w:r>
      <w:r w:rsidRPr="00DA1DC8">
        <w:rPr>
          <w:i/>
          <w:sz w:val="20"/>
          <w:szCs w:val="20"/>
        </w:rPr>
        <w:t xml:space="preserve">Honouring the Truth, Reconciling for the Future Summary of the </w:t>
      </w:r>
    </w:p>
    <w:p w14:paraId="7635DDA2" w14:textId="4B178854" w:rsidR="00DF2BDC" w:rsidRPr="00DA1DC8" w:rsidRDefault="00DF2BDC" w:rsidP="00BE5B91">
      <w:pPr>
        <w:pStyle w:val="FootnoteText"/>
        <w:jc w:val="both"/>
        <w:rPr>
          <w:sz w:val="20"/>
          <w:szCs w:val="20"/>
        </w:rPr>
      </w:pPr>
      <w:r w:rsidRPr="00DA1DC8">
        <w:rPr>
          <w:i/>
          <w:sz w:val="20"/>
          <w:szCs w:val="20"/>
        </w:rPr>
        <w:t>Final Report of the Truth and Reconciliation Commission of Canada</w:t>
      </w:r>
      <w:r w:rsidRPr="00DA1DC8">
        <w:rPr>
          <w:sz w:val="20"/>
          <w:szCs w:val="20"/>
        </w:rPr>
        <w:t xml:space="preserve"> (Montreal: McGill-Queen’s University Press, 2015) at 3. The federal government claims that at least 150,000 children passed through the system.  It is not clear how the government draws this conclusion.  The TRC recognizes 139 schools across Canada.  The numbers are not accurate.   The system continued for over 100 years. Based on this formula (139 </w:t>
      </w:r>
      <w:r w:rsidR="00624115" w:rsidRPr="00DA1DC8">
        <w:rPr>
          <w:sz w:val="20"/>
          <w:szCs w:val="20"/>
        </w:rPr>
        <w:t>schools’</w:t>
      </w:r>
      <w:r w:rsidRPr="00DA1DC8">
        <w:rPr>
          <w:sz w:val="20"/>
          <w:szCs w:val="20"/>
        </w:rPr>
        <w:t xml:space="preserve"> X 300 children per school X 100 years), there was at least 4, 170, 000 over the entire system. Based on this rough calculation, the numbers are not forthright or honest.  This estimate does not include the rates of children forcibly transferred from our Peoples and Nations into the provincial child welfare systems.  It is accurate to claim that the numbers are catastrophically higher than the numbers claimed by the TRC.</w:t>
      </w:r>
    </w:p>
  </w:footnote>
  <w:footnote w:id="28">
    <w:p w14:paraId="0B8490A8" w14:textId="77777777" w:rsidR="00DF2BDC" w:rsidRPr="00DA1DC8" w:rsidRDefault="00DF2BDC" w:rsidP="00BE5B91">
      <w:pPr>
        <w:pStyle w:val="FootnoteText"/>
        <w:jc w:val="both"/>
        <w:rPr>
          <w:sz w:val="20"/>
          <w:szCs w:val="20"/>
        </w:rPr>
      </w:pPr>
      <w:r w:rsidRPr="00DA1DC8">
        <w:rPr>
          <w:rStyle w:val="FootnoteReference"/>
          <w:sz w:val="20"/>
          <w:szCs w:val="20"/>
        </w:rPr>
        <w:footnoteRef/>
      </w:r>
      <w:r w:rsidRPr="00DA1DC8">
        <w:rPr>
          <w:sz w:val="20"/>
          <w:szCs w:val="20"/>
        </w:rPr>
        <w:t xml:space="preserve"> Truth and Reconciliation Commission, “Chapter One: Child welfare: A system in crisis” in </w:t>
      </w:r>
      <w:r w:rsidRPr="00DA1DC8">
        <w:rPr>
          <w:i/>
          <w:sz w:val="20"/>
          <w:szCs w:val="20"/>
        </w:rPr>
        <w:t>Canada’s Residential Schools: The Legacy The Final Report of the Truth and Reconciliation Commission of Canada Volume 5</w:t>
      </w:r>
      <w:r w:rsidRPr="00DA1DC8">
        <w:rPr>
          <w:sz w:val="20"/>
          <w:szCs w:val="20"/>
        </w:rPr>
        <w:t xml:space="preserve"> (Montreal: McGill-Queen’s University Press, 2015) (“The end of the residential school system did not mean that Aboriginal children were no longer forcibly separated from their families. Child welfare services carried on where the residential schools left off. More Aboriginal children are removed from their families today than attended residential schools in any one year. Following the inquiry into the death of an Aboriginal girl in Manitoba, the Honourable Ted Hughes concluded that the overrepresentation of Aboriginal children in care in Canada is “unconscionable” and “a national embarrassment”) at 11. </w:t>
      </w:r>
    </w:p>
  </w:footnote>
  <w:footnote w:id="29">
    <w:p w14:paraId="77AE39CC" w14:textId="77777777" w:rsidR="00DF2BDC" w:rsidRPr="00DA1DC8" w:rsidRDefault="00DF2BDC" w:rsidP="00272A8E">
      <w:pPr>
        <w:pStyle w:val="FootnoteText"/>
        <w:rPr>
          <w:bCs/>
          <w:sz w:val="20"/>
          <w:szCs w:val="20"/>
        </w:rPr>
      </w:pPr>
      <w:r w:rsidRPr="00DA1DC8">
        <w:rPr>
          <w:rStyle w:val="FootnoteReference"/>
          <w:sz w:val="20"/>
          <w:szCs w:val="20"/>
        </w:rPr>
        <w:footnoteRef/>
      </w:r>
      <w:r w:rsidRPr="00DA1DC8">
        <w:rPr>
          <w:sz w:val="20"/>
          <w:szCs w:val="20"/>
        </w:rPr>
        <w:t xml:space="preserve"> </w:t>
      </w:r>
      <w:r w:rsidRPr="00DA1DC8">
        <w:rPr>
          <w:bCs/>
          <w:i/>
          <w:sz w:val="20"/>
          <w:szCs w:val="20"/>
        </w:rPr>
        <w:t>International Convention on the Elimination of All Forms of Racial Discrimination</w:t>
      </w:r>
      <w:r w:rsidRPr="00DA1DC8">
        <w:rPr>
          <w:bCs/>
          <w:sz w:val="20"/>
          <w:szCs w:val="20"/>
        </w:rPr>
        <w:t xml:space="preserve"> Adopted and opened for signature and ratification by General Assembly resolution 2106 (XX) of 21 December 1965 entry into force 4 January 1969, in accordance with Article 19.</w:t>
      </w:r>
    </w:p>
  </w:footnote>
  <w:footnote w:id="30">
    <w:p w14:paraId="71EC2CDC" w14:textId="77777777"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 xml:space="preserve"> </w:t>
      </w:r>
      <w:r w:rsidRPr="00DA1DC8">
        <w:rPr>
          <w:i/>
          <w:sz w:val="20"/>
          <w:szCs w:val="20"/>
        </w:rPr>
        <w:t>Criminal Code, An Act respecting the criminal law</w:t>
      </w:r>
      <w:r w:rsidRPr="00DA1DC8">
        <w:rPr>
          <w:sz w:val="20"/>
          <w:szCs w:val="20"/>
        </w:rPr>
        <w:t xml:space="preserve"> </w:t>
      </w:r>
      <w:r w:rsidRPr="00DA1DC8">
        <w:rPr>
          <w:bCs/>
          <w:iCs/>
          <w:sz w:val="20"/>
          <w:szCs w:val="20"/>
        </w:rPr>
        <w:t>R.S., 1985, c. C-46, s. 318; 2004, c. 14, s. 1, section 318.</w:t>
      </w:r>
    </w:p>
  </w:footnote>
  <w:footnote w:id="31">
    <w:p w14:paraId="0C81E78A" w14:textId="77777777"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 xml:space="preserve"> </w:t>
      </w:r>
      <w:r w:rsidRPr="00DA1DC8">
        <w:rPr>
          <w:i/>
          <w:sz w:val="20"/>
          <w:szCs w:val="20"/>
        </w:rPr>
        <w:t>Supra</w:t>
      </w:r>
      <w:r w:rsidRPr="00DA1DC8">
        <w:rPr>
          <w:sz w:val="20"/>
          <w:szCs w:val="20"/>
        </w:rPr>
        <w:t xml:space="preserve"> note 19 at para. 4.</w:t>
      </w:r>
    </w:p>
  </w:footnote>
  <w:footnote w:id="32">
    <w:p w14:paraId="6E9C5719" w14:textId="77777777"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 xml:space="preserve"> </w:t>
      </w:r>
      <w:r w:rsidRPr="00DA1DC8">
        <w:rPr>
          <w:i/>
          <w:sz w:val="20"/>
          <w:szCs w:val="20"/>
          <w:lang w:val="en-AU"/>
        </w:rPr>
        <w:t>Convention on the Prevention and Punishment of the Crime of Genocide</w:t>
      </w:r>
      <w:r w:rsidRPr="00DA1DC8">
        <w:rPr>
          <w:sz w:val="20"/>
          <w:szCs w:val="20"/>
          <w:lang w:val="en-AU"/>
        </w:rPr>
        <w:t>, opened for signature 9 December 1948, 78 UNTS 277 (entered into force 12 January 1951, accession by Canada 3 September 1952).</w:t>
      </w:r>
    </w:p>
  </w:footnote>
  <w:footnote w:id="33">
    <w:p w14:paraId="7EC63C3C" w14:textId="64FEC739"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 xml:space="preserve"> See </w:t>
      </w:r>
      <w:r w:rsidRPr="00DA1DC8">
        <w:rPr>
          <w:sz w:val="20"/>
          <w:szCs w:val="20"/>
          <w:lang w:val="en-AU"/>
        </w:rPr>
        <w:t xml:space="preserve">Tamara Starblanket, </w:t>
      </w:r>
      <w:r w:rsidRPr="00DA1DC8">
        <w:rPr>
          <w:i/>
          <w:sz w:val="20"/>
          <w:szCs w:val="20"/>
          <w:lang w:val="en-AU"/>
        </w:rPr>
        <w:t>Suffer the Little Children: Genocide, Indigenous Nations and the Canadian State</w:t>
      </w:r>
      <w:r w:rsidRPr="00DA1DC8">
        <w:rPr>
          <w:sz w:val="20"/>
          <w:szCs w:val="20"/>
          <w:lang w:val="en-AU"/>
        </w:rPr>
        <w:t xml:space="preserve"> (Clarity Press, 2017) [forthcoming]. The book is based on Starblanket’s thesis entitled </w:t>
      </w:r>
      <w:r w:rsidRPr="00DA1DC8">
        <w:rPr>
          <w:bCs/>
          <w:i/>
          <w:iCs/>
          <w:sz w:val="20"/>
          <w:szCs w:val="20"/>
          <w:lang w:val="en-AU"/>
        </w:rPr>
        <w:t xml:space="preserve">Genocide: Indigenous Nations and the State of Canada </w:t>
      </w:r>
      <w:r w:rsidRPr="00DA1DC8">
        <w:rPr>
          <w:bCs/>
          <w:iCs/>
          <w:sz w:val="20"/>
          <w:szCs w:val="20"/>
          <w:lang w:val="en-AU"/>
        </w:rPr>
        <w:t xml:space="preserve">(LLM Thesis, University of Saskatchewan, 2014) [unpublished].  The thesis addresses the legal question of Canadian state culpability for crimes of genocide and the violation of customary international laws on genocide with respect to the residential schools and child welfare systems.  </w:t>
      </w:r>
    </w:p>
  </w:footnote>
  <w:footnote w:id="34">
    <w:p w14:paraId="1601C834" w14:textId="77777777"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 xml:space="preserve"> </w:t>
      </w:r>
      <w:r w:rsidRPr="00DA1DC8">
        <w:rPr>
          <w:i/>
          <w:sz w:val="20"/>
          <w:szCs w:val="20"/>
        </w:rPr>
        <w:t>Supra</w:t>
      </w:r>
      <w:r w:rsidRPr="00DA1DC8">
        <w:rPr>
          <w:sz w:val="20"/>
          <w:szCs w:val="20"/>
        </w:rPr>
        <w:t xml:space="preserve"> note 19 at para. 151.</w:t>
      </w:r>
    </w:p>
  </w:footnote>
  <w:footnote w:id="35">
    <w:p w14:paraId="5D6A36D9" w14:textId="77777777"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 xml:space="preserve"> </w:t>
      </w:r>
      <w:r w:rsidRPr="00DA1DC8">
        <w:rPr>
          <w:i/>
          <w:sz w:val="20"/>
          <w:szCs w:val="20"/>
        </w:rPr>
        <w:t>Supra</w:t>
      </w:r>
      <w:r w:rsidRPr="00DA1DC8">
        <w:rPr>
          <w:sz w:val="20"/>
          <w:szCs w:val="20"/>
        </w:rPr>
        <w:t xml:space="preserve"> note 21 at 1318-1319 for the Ukraine’s position.</w:t>
      </w:r>
    </w:p>
  </w:footnote>
  <w:footnote w:id="36">
    <w:p w14:paraId="4EC7195E" w14:textId="77777777" w:rsidR="00DF2BDC" w:rsidRPr="00DA1DC8" w:rsidRDefault="00DF2BDC" w:rsidP="00272A8E">
      <w:pPr>
        <w:pStyle w:val="FootnoteText"/>
        <w:rPr>
          <w:sz w:val="20"/>
          <w:szCs w:val="20"/>
        </w:rPr>
      </w:pPr>
      <w:r w:rsidRPr="00DA1DC8">
        <w:rPr>
          <w:rStyle w:val="FootnoteReference"/>
          <w:sz w:val="20"/>
          <w:szCs w:val="20"/>
        </w:rPr>
        <w:footnoteRef/>
      </w:r>
      <w:r w:rsidRPr="00DA1DC8">
        <w:rPr>
          <w:i/>
          <w:sz w:val="20"/>
          <w:szCs w:val="20"/>
        </w:rPr>
        <w:t xml:space="preserve"> Supra</w:t>
      </w:r>
      <w:r w:rsidRPr="00DA1DC8">
        <w:rPr>
          <w:sz w:val="20"/>
          <w:szCs w:val="20"/>
        </w:rPr>
        <w:t xml:space="preserve"> note 21 at 2083.</w:t>
      </w:r>
    </w:p>
  </w:footnote>
  <w:footnote w:id="37">
    <w:p w14:paraId="472512A0" w14:textId="77777777"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 xml:space="preserve"> </w:t>
      </w:r>
      <w:r w:rsidRPr="00DA1DC8">
        <w:rPr>
          <w:i/>
          <w:sz w:val="20"/>
          <w:szCs w:val="20"/>
        </w:rPr>
        <w:t>Supra</w:t>
      </w:r>
      <w:r w:rsidRPr="00DA1DC8">
        <w:rPr>
          <w:sz w:val="20"/>
          <w:szCs w:val="20"/>
        </w:rPr>
        <w:t xml:space="preserve"> note 24</w:t>
      </w:r>
    </w:p>
  </w:footnote>
  <w:footnote w:id="38">
    <w:p w14:paraId="7448580B" w14:textId="77777777"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 xml:space="preserve"> </w:t>
      </w:r>
      <w:r w:rsidRPr="00DA1DC8">
        <w:rPr>
          <w:i/>
          <w:sz w:val="20"/>
          <w:szCs w:val="20"/>
        </w:rPr>
        <w:t>Supra</w:t>
      </w:r>
      <w:r w:rsidRPr="00DA1DC8">
        <w:rPr>
          <w:sz w:val="20"/>
          <w:szCs w:val="20"/>
        </w:rPr>
        <w:t xml:space="preserve"> note 21 at 2044.</w:t>
      </w:r>
    </w:p>
  </w:footnote>
  <w:footnote w:id="39">
    <w:p w14:paraId="1666889F" w14:textId="77777777"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 xml:space="preserve"> </w:t>
      </w:r>
      <w:r w:rsidRPr="00DA1DC8">
        <w:rPr>
          <w:i/>
          <w:sz w:val="20"/>
          <w:szCs w:val="20"/>
        </w:rPr>
        <w:t>Supra</w:t>
      </w:r>
      <w:r w:rsidRPr="00DA1DC8">
        <w:rPr>
          <w:sz w:val="20"/>
          <w:szCs w:val="20"/>
        </w:rPr>
        <w:t xml:space="preserve"> note 21 at 2044.</w:t>
      </w:r>
    </w:p>
  </w:footnote>
  <w:footnote w:id="40">
    <w:p w14:paraId="76940184" w14:textId="77777777"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 xml:space="preserve"> </w:t>
      </w:r>
      <w:r w:rsidRPr="00DA1DC8">
        <w:rPr>
          <w:i/>
          <w:sz w:val="20"/>
          <w:szCs w:val="20"/>
        </w:rPr>
        <w:t>Supra</w:t>
      </w:r>
      <w:r w:rsidRPr="00DA1DC8">
        <w:rPr>
          <w:sz w:val="20"/>
          <w:szCs w:val="20"/>
        </w:rPr>
        <w:t xml:space="preserve"> note 21 at 1609: 1816</w:t>
      </w:r>
    </w:p>
  </w:footnote>
  <w:footnote w:id="41">
    <w:p w14:paraId="270B2947" w14:textId="77777777"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 xml:space="preserve"> </w:t>
      </w:r>
      <w:r w:rsidRPr="00DA1DC8">
        <w:rPr>
          <w:i/>
          <w:sz w:val="20"/>
          <w:szCs w:val="20"/>
        </w:rPr>
        <w:t>Supra</w:t>
      </w:r>
      <w:r w:rsidRPr="00DA1DC8">
        <w:rPr>
          <w:sz w:val="20"/>
          <w:szCs w:val="20"/>
        </w:rPr>
        <w:t xml:space="preserve"> note 21 at 1817 (“The Committee did not wish to see those dark pages prolonged by a failure to extend the provisions of the convention on genocide to the colonial territories”).</w:t>
      </w:r>
    </w:p>
  </w:footnote>
  <w:footnote w:id="42">
    <w:p w14:paraId="723B5A3D" w14:textId="77777777"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 xml:space="preserve"> </w:t>
      </w:r>
      <w:r w:rsidRPr="00DA1DC8">
        <w:rPr>
          <w:i/>
          <w:sz w:val="20"/>
          <w:szCs w:val="20"/>
        </w:rPr>
        <w:t>Supra</w:t>
      </w:r>
      <w:r w:rsidRPr="00DA1DC8">
        <w:rPr>
          <w:sz w:val="20"/>
          <w:szCs w:val="20"/>
        </w:rPr>
        <w:t xml:space="preserve"> note 21 at 1822. The UK denied many of the assertions made by the USSR and its denial is important to the overall question of its colonial history the world over.</w:t>
      </w:r>
    </w:p>
  </w:footnote>
  <w:footnote w:id="43">
    <w:p w14:paraId="6A01C101" w14:textId="77777777"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 xml:space="preserve"> </w:t>
      </w:r>
      <w:r w:rsidRPr="00DA1DC8">
        <w:rPr>
          <w:i/>
          <w:sz w:val="20"/>
          <w:szCs w:val="20"/>
        </w:rPr>
        <w:t>Supra</w:t>
      </w:r>
      <w:r w:rsidRPr="00DA1DC8">
        <w:rPr>
          <w:sz w:val="20"/>
          <w:szCs w:val="20"/>
        </w:rPr>
        <w:t xml:space="preserve"> note 21 at 2045</w:t>
      </w:r>
    </w:p>
  </w:footnote>
  <w:footnote w:id="44">
    <w:p w14:paraId="60564477" w14:textId="77777777"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 xml:space="preserve"> </w:t>
      </w:r>
      <w:r w:rsidRPr="00DA1DC8">
        <w:rPr>
          <w:i/>
          <w:sz w:val="20"/>
          <w:szCs w:val="20"/>
        </w:rPr>
        <w:t>Supra</w:t>
      </w:r>
      <w:r w:rsidRPr="00DA1DC8">
        <w:rPr>
          <w:sz w:val="20"/>
          <w:szCs w:val="20"/>
        </w:rPr>
        <w:t xml:space="preserve"> note 21 at 2045</w:t>
      </w:r>
    </w:p>
  </w:footnote>
  <w:footnote w:id="45">
    <w:p w14:paraId="688D61CB" w14:textId="77777777"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 xml:space="preserve"> </w:t>
      </w:r>
      <w:r w:rsidRPr="00DA1DC8">
        <w:rPr>
          <w:i/>
          <w:sz w:val="20"/>
          <w:szCs w:val="20"/>
        </w:rPr>
        <w:t>Supra</w:t>
      </w:r>
      <w:r w:rsidRPr="00DA1DC8">
        <w:rPr>
          <w:sz w:val="20"/>
          <w:szCs w:val="20"/>
        </w:rPr>
        <w:t xml:space="preserve"> note 21 at 2046.</w:t>
      </w:r>
    </w:p>
  </w:footnote>
  <w:footnote w:id="46">
    <w:p w14:paraId="12ED9D6A" w14:textId="00740153"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 xml:space="preserve"> See Sharon Venne, “Understanding Treaty Six: An Indigenous Perspective” in ed. Michael Asch, </w:t>
      </w:r>
      <w:r w:rsidRPr="00DA1DC8">
        <w:rPr>
          <w:i/>
          <w:sz w:val="20"/>
          <w:szCs w:val="20"/>
        </w:rPr>
        <w:t>Aboriginal and Treaty Rights in Canada: Essays on Law, Equality and Respect for Difference</w:t>
      </w:r>
      <w:r w:rsidRPr="00DA1DC8">
        <w:rPr>
          <w:sz w:val="20"/>
          <w:szCs w:val="20"/>
        </w:rPr>
        <w:t xml:space="preserve"> (Vancouver: UBC, Press, 1997 at 173-207.</w:t>
      </w:r>
    </w:p>
  </w:footnote>
  <w:footnote w:id="47">
    <w:p w14:paraId="40BC97DE" w14:textId="77777777"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 xml:space="preserve"> </w:t>
      </w:r>
      <w:r w:rsidRPr="00DA1DC8">
        <w:rPr>
          <w:i/>
          <w:sz w:val="20"/>
          <w:szCs w:val="20"/>
        </w:rPr>
        <w:t>Supra</w:t>
      </w:r>
      <w:r w:rsidRPr="00DA1DC8">
        <w:rPr>
          <w:sz w:val="20"/>
          <w:szCs w:val="20"/>
        </w:rPr>
        <w:t xml:space="preserve"> note 21 at 1510.</w:t>
      </w:r>
    </w:p>
  </w:footnote>
  <w:footnote w:id="48">
    <w:p w14:paraId="1E1AE782" w14:textId="78249CDA" w:rsidR="00DF2BDC" w:rsidRPr="00DA1DC8" w:rsidRDefault="00DF2BDC" w:rsidP="004A1CD3">
      <w:pPr>
        <w:pStyle w:val="FootnoteText"/>
        <w:jc w:val="both"/>
        <w:rPr>
          <w:sz w:val="20"/>
          <w:szCs w:val="20"/>
        </w:rPr>
      </w:pPr>
      <w:r w:rsidRPr="00DA1DC8">
        <w:rPr>
          <w:rStyle w:val="FootnoteReference"/>
          <w:sz w:val="20"/>
          <w:szCs w:val="20"/>
        </w:rPr>
        <w:footnoteRef/>
      </w:r>
      <w:r w:rsidRPr="00DA1DC8">
        <w:rPr>
          <w:sz w:val="20"/>
          <w:szCs w:val="20"/>
        </w:rPr>
        <w:t xml:space="preserve"> </w:t>
      </w:r>
      <w:r w:rsidRPr="00DA1DC8">
        <w:rPr>
          <w:i/>
          <w:sz w:val="20"/>
          <w:szCs w:val="20"/>
        </w:rPr>
        <w:t>House of Commons, Debates</w:t>
      </w:r>
      <w:r w:rsidRPr="00DA1DC8">
        <w:rPr>
          <w:sz w:val="20"/>
          <w:szCs w:val="20"/>
        </w:rPr>
        <w:t xml:space="preserve"> (Canada), 46 Vict. (9 May 1883), 14: 1107-1108.  John A. MacDonald in his address to the House of Commons referred to Indigenous Peoples as “savages” to justify the removal of children from their families; see also Kent McNeil, “Social Darwinism and Judicial Conceptions of Indian Title in Canada in the 1880s” in </w:t>
      </w:r>
      <w:r w:rsidRPr="00DA1DC8">
        <w:rPr>
          <w:i/>
          <w:sz w:val="20"/>
          <w:szCs w:val="20"/>
        </w:rPr>
        <w:t>JOW</w:t>
      </w:r>
      <w:r w:rsidRPr="00DA1DC8">
        <w:rPr>
          <w:sz w:val="20"/>
          <w:szCs w:val="20"/>
        </w:rPr>
        <w:t xml:space="preserve"> Vol. 38. No. 1 (1999) at 71. Kent McNeil, legal scholar, has observed the government’s policies with respect to conception of Indian title and the residential schools are based on “social Darwinism” or what is known as theories of racial superiority</w:t>
      </w:r>
    </w:p>
  </w:footnote>
  <w:footnote w:id="49">
    <w:p w14:paraId="09302120" w14:textId="7B8B5BFD" w:rsidR="00DF2BDC" w:rsidRPr="00DA1DC8" w:rsidRDefault="00DF2BDC" w:rsidP="004A1CD3">
      <w:pPr>
        <w:pStyle w:val="FootnoteText"/>
        <w:jc w:val="both"/>
        <w:rPr>
          <w:sz w:val="20"/>
          <w:szCs w:val="20"/>
        </w:rPr>
      </w:pPr>
      <w:r w:rsidRPr="00DA1DC8">
        <w:rPr>
          <w:rStyle w:val="FootnoteReference"/>
          <w:sz w:val="20"/>
          <w:szCs w:val="20"/>
        </w:rPr>
        <w:footnoteRef/>
      </w:r>
      <w:r w:rsidRPr="00DA1DC8">
        <w:rPr>
          <w:sz w:val="20"/>
          <w:szCs w:val="20"/>
        </w:rPr>
        <w:t xml:space="preserve"> </w:t>
      </w:r>
      <w:r w:rsidRPr="00DA1DC8">
        <w:rPr>
          <w:i/>
          <w:sz w:val="20"/>
          <w:szCs w:val="20"/>
        </w:rPr>
        <w:t>An Act to Amend and consolidate the laws respecting Indians</w:t>
      </w:r>
      <w:r w:rsidRPr="00DA1DC8">
        <w:rPr>
          <w:sz w:val="20"/>
          <w:szCs w:val="20"/>
        </w:rPr>
        <w:t xml:space="preserve">, S.C. 1880, c. 28; </w:t>
      </w:r>
      <w:r w:rsidRPr="00DA1DC8">
        <w:rPr>
          <w:i/>
          <w:sz w:val="20"/>
          <w:szCs w:val="20"/>
        </w:rPr>
        <w:t>The Indian Advancement Act</w:t>
      </w:r>
      <w:r w:rsidRPr="00DA1DC8">
        <w:rPr>
          <w:sz w:val="20"/>
          <w:szCs w:val="20"/>
        </w:rPr>
        <w:t xml:space="preserve">, R.S.C, 1886 c. 44, s. 137(2) and 138; </w:t>
      </w:r>
      <w:r w:rsidRPr="00DA1DC8">
        <w:rPr>
          <w:i/>
          <w:sz w:val="20"/>
          <w:szCs w:val="20"/>
        </w:rPr>
        <w:t>An act further to amend the Indian Act</w:t>
      </w:r>
      <w:r w:rsidRPr="00DA1DC8">
        <w:rPr>
          <w:sz w:val="20"/>
          <w:szCs w:val="20"/>
        </w:rPr>
        <w:t xml:space="preserve">, 1894, c.32, 57-58 Victoria., s. 11 [Indian Act, 1894].  The amendment secured (“the compulsory attendance of children at school.  Such regulations, in addition to any other provisions deemed expedient, may provide for the arrest and conveyance to school, and detention there, of truant children and of children who are prevented by their parents or guardians from attending: and such regulations may provide for the punishment, on summary conviction, by fine or imprisonment, or both of parents or guardians, or persons having the charge of children, who fail, refuse or neglect to cause such children to attend school”); </w:t>
      </w:r>
      <w:r w:rsidRPr="00DA1DC8">
        <w:rPr>
          <w:i/>
          <w:sz w:val="20"/>
          <w:szCs w:val="20"/>
        </w:rPr>
        <w:t>An Act to amend the Indian Act</w:t>
      </w:r>
      <w:r w:rsidRPr="00DA1DC8">
        <w:rPr>
          <w:sz w:val="20"/>
          <w:szCs w:val="20"/>
        </w:rPr>
        <w:t>, S.C. 1920, c. 50, s. 9 and 10.</w:t>
      </w:r>
    </w:p>
  </w:footnote>
  <w:footnote w:id="50">
    <w:p w14:paraId="16737343" w14:textId="0377C0FE" w:rsidR="00DF2BDC" w:rsidRPr="00DA1DC8" w:rsidRDefault="00DF2BDC" w:rsidP="004A1CD3">
      <w:pPr>
        <w:pStyle w:val="FootnoteText"/>
        <w:jc w:val="both"/>
        <w:rPr>
          <w:sz w:val="20"/>
          <w:szCs w:val="20"/>
        </w:rPr>
      </w:pPr>
      <w:r w:rsidRPr="00DA1DC8">
        <w:rPr>
          <w:rStyle w:val="FootnoteReference"/>
          <w:sz w:val="20"/>
          <w:szCs w:val="20"/>
        </w:rPr>
        <w:footnoteRef/>
      </w:r>
      <w:r w:rsidRPr="00DA1DC8">
        <w:rPr>
          <w:sz w:val="20"/>
          <w:szCs w:val="20"/>
        </w:rPr>
        <w:t xml:space="preserve"> See Leroy Little Bear, “Section 88 of the Indian Act and the Application of Provincial Laws to Indians” in Anthony Long &amp; Menno Boldt eds, </w:t>
      </w:r>
      <w:r w:rsidRPr="00DA1DC8">
        <w:rPr>
          <w:i/>
          <w:sz w:val="20"/>
          <w:szCs w:val="20"/>
        </w:rPr>
        <w:t>Governments in Conflict? Provinces and Indian Nations in Canada</w:t>
      </w:r>
      <w:r w:rsidRPr="00DA1DC8">
        <w:rPr>
          <w:sz w:val="20"/>
          <w:szCs w:val="20"/>
        </w:rPr>
        <w:t xml:space="preserve"> (Toronto: University of Toronto Press, 1992) at 175-187.  With the amendments to the </w:t>
      </w:r>
      <w:r w:rsidRPr="00DA1DC8">
        <w:rPr>
          <w:i/>
          <w:sz w:val="20"/>
          <w:szCs w:val="20"/>
        </w:rPr>
        <w:t>Indian</w:t>
      </w:r>
      <w:r w:rsidRPr="00DA1DC8">
        <w:rPr>
          <w:sz w:val="20"/>
          <w:szCs w:val="20"/>
        </w:rPr>
        <w:t xml:space="preserve"> </w:t>
      </w:r>
      <w:r w:rsidRPr="00DA1DC8">
        <w:rPr>
          <w:i/>
          <w:sz w:val="20"/>
          <w:szCs w:val="20"/>
        </w:rPr>
        <w:t>Act</w:t>
      </w:r>
      <w:r w:rsidRPr="00DA1DC8">
        <w:rPr>
          <w:sz w:val="20"/>
          <w:szCs w:val="20"/>
        </w:rPr>
        <w:t xml:space="preserve">, section 88, authorizes the removal of Indigenous children by the provinces; see Marilyn Bennett, “First Nations Fact Sheet: A General Profile on First Nations Child Welfare in Canada” </w:t>
      </w:r>
      <w:r w:rsidRPr="00DA1DC8">
        <w:rPr>
          <w:i/>
          <w:sz w:val="20"/>
          <w:szCs w:val="20"/>
        </w:rPr>
        <w:t>First Nations Child and Family Caring Society</w:t>
      </w:r>
      <w:r w:rsidRPr="00DA1DC8">
        <w:rPr>
          <w:sz w:val="20"/>
          <w:szCs w:val="20"/>
        </w:rPr>
        <w:t xml:space="preserve"> online: &lt;</w:t>
      </w:r>
      <w:hyperlink r:id="rId5" w:tgtFrame="_blank" w:history="1">
        <w:r w:rsidRPr="00DA1DC8">
          <w:rPr>
            <w:rStyle w:val="Hyperlink"/>
            <w:color w:val="auto"/>
            <w:sz w:val="20"/>
            <w:szCs w:val="20"/>
            <w:u w:val="none"/>
          </w:rPr>
          <w:t>http://www.fncfcs.com/docs/FirstNationsFS1.pdf</w:t>
        </w:r>
      </w:hyperlink>
      <w:r w:rsidRPr="00DA1DC8">
        <w:rPr>
          <w:rStyle w:val="Hyperlink"/>
          <w:sz w:val="20"/>
          <w:szCs w:val="20"/>
        </w:rPr>
        <w:t xml:space="preserve">&gt; </w:t>
      </w:r>
      <w:r w:rsidRPr="00DA1DC8">
        <w:rPr>
          <w:sz w:val="20"/>
          <w:szCs w:val="20"/>
        </w:rPr>
        <w:t xml:space="preserve">(Bennett writes, “There is no explicit reference to child welfare in either the </w:t>
      </w:r>
      <w:r w:rsidRPr="00DA1DC8">
        <w:rPr>
          <w:i/>
          <w:sz w:val="20"/>
          <w:szCs w:val="20"/>
        </w:rPr>
        <w:t>Indian</w:t>
      </w:r>
      <w:r w:rsidRPr="00DA1DC8">
        <w:rPr>
          <w:sz w:val="20"/>
          <w:szCs w:val="20"/>
        </w:rPr>
        <w:t xml:space="preserve"> </w:t>
      </w:r>
      <w:r w:rsidRPr="00DA1DC8">
        <w:rPr>
          <w:i/>
          <w:sz w:val="20"/>
          <w:szCs w:val="20"/>
        </w:rPr>
        <w:t>Act</w:t>
      </w:r>
      <w:r w:rsidRPr="00DA1DC8">
        <w:rPr>
          <w:sz w:val="20"/>
          <w:szCs w:val="20"/>
        </w:rPr>
        <w:t xml:space="preserve"> or the </w:t>
      </w:r>
      <w:r w:rsidRPr="00DA1DC8">
        <w:rPr>
          <w:i/>
          <w:sz w:val="20"/>
          <w:szCs w:val="20"/>
        </w:rPr>
        <w:t>Constitutional</w:t>
      </w:r>
      <w:r w:rsidRPr="00DA1DC8">
        <w:rPr>
          <w:sz w:val="20"/>
          <w:szCs w:val="20"/>
        </w:rPr>
        <w:t xml:space="preserve"> </w:t>
      </w:r>
      <w:r w:rsidRPr="00DA1DC8">
        <w:rPr>
          <w:i/>
          <w:sz w:val="20"/>
          <w:szCs w:val="20"/>
        </w:rPr>
        <w:t>Act</w:t>
      </w:r>
      <w:r w:rsidRPr="00DA1DC8">
        <w:rPr>
          <w:sz w:val="20"/>
          <w:szCs w:val="20"/>
        </w:rPr>
        <w:t xml:space="preserve">, </w:t>
      </w:r>
      <w:r w:rsidRPr="00DA1DC8">
        <w:rPr>
          <w:i/>
          <w:sz w:val="20"/>
          <w:szCs w:val="20"/>
        </w:rPr>
        <w:t>1867</w:t>
      </w:r>
      <w:r w:rsidRPr="00DA1DC8">
        <w:rPr>
          <w:sz w:val="20"/>
          <w:szCs w:val="20"/>
        </w:rPr>
        <w:t xml:space="preserve">, </w:t>
      </w:r>
      <w:r w:rsidRPr="00DA1DC8">
        <w:rPr>
          <w:i/>
          <w:sz w:val="20"/>
          <w:szCs w:val="20"/>
        </w:rPr>
        <w:t>1982</w:t>
      </w:r>
      <w:r w:rsidRPr="00DA1DC8">
        <w:rPr>
          <w:sz w:val="20"/>
          <w:szCs w:val="20"/>
        </w:rPr>
        <w:t xml:space="preserve">, it has been subsequently deemed to be the responsibility of the provinces.”  Bennet also refers to the Supreme Court of Canada case in which it was “confirmed in 1976 that the legal jurisdiction of the Province’s ability to extend child welfare services onto reserve, regardless of the provincial incursion into a federal sphere of responsibility”) at 2; see </w:t>
      </w:r>
      <w:r w:rsidRPr="00DA1DC8">
        <w:rPr>
          <w:i/>
          <w:sz w:val="20"/>
          <w:szCs w:val="20"/>
        </w:rPr>
        <w:t>Natural Parents v. Superintendent of Child Welfare</w:t>
      </w:r>
      <w:r w:rsidRPr="00DA1DC8">
        <w:rPr>
          <w:sz w:val="20"/>
          <w:szCs w:val="20"/>
        </w:rPr>
        <w:t>, 1976, 60 D.L.R. 3</w:t>
      </w:r>
      <w:r w:rsidRPr="00DA1DC8">
        <w:rPr>
          <w:sz w:val="20"/>
          <w:szCs w:val="20"/>
          <w:vertAlign w:val="superscript"/>
        </w:rPr>
        <w:t>rd</w:t>
      </w:r>
      <w:r w:rsidRPr="00DA1DC8">
        <w:rPr>
          <w:sz w:val="20"/>
          <w:szCs w:val="20"/>
        </w:rPr>
        <w:t xml:space="preserve"> 148 S.C.C.</w:t>
      </w:r>
    </w:p>
  </w:footnote>
  <w:footnote w:id="51">
    <w:p w14:paraId="66199260" w14:textId="7FF48D56" w:rsidR="00DF2BDC" w:rsidRPr="00DA1DC8" w:rsidRDefault="00DF2BDC" w:rsidP="00272A8E">
      <w:pPr>
        <w:pStyle w:val="FootnoteText"/>
        <w:jc w:val="both"/>
        <w:rPr>
          <w:sz w:val="20"/>
          <w:szCs w:val="20"/>
        </w:rPr>
      </w:pPr>
      <w:r w:rsidRPr="00DA1DC8">
        <w:rPr>
          <w:rStyle w:val="FootnoteReference"/>
          <w:sz w:val="20"/>
          <w:szCs w:val="20"/>
        </w:rPr>
        <w:footnoteRef/>
      </w:r>
      <w:r w:rsidRPr="00DA1DC8">
        <w:rPr>
          <w:sz w:val="20"/>
          <w:szCs w:val="20"/>
        </w:rPr>
        <w:t xml:space="preserve"> See Steven T. Newcomb, </w:t>
      </w:r>
      <w:r w:rsidRPr="00DA1DC8">
        <w:rPr>
          <w:i/>
          <w:sz w:val="20"/>
          <w:szCs w:val="20"/>
        </w:rPr>
        <w:t>Pagans in the Promised Land: Decoding the Christian Doctrine of Discovery</w:t>
      </w:r>
      <w:r w:rsidRPr="00DA1DC8">
        <w:rPr>
          <w:sz w:val="20"/>
          <w:szCs w:val="20"/>
        </w:rPr>
        <w:t xml:space="preserve"> (Golden, CO: Fulcrum Publishing, 2008); see Steven T. Newcomb, “The UN Declaration on the Rights of Indigenous Peoples and the Paradigm of Domination” (2011) 20 </w:t>
      </w:r>
      <w:r w:rsidRPr="00DA1DC8">
        <w:rPr>
          <w:i/>
          <w:sz w:val="20"/>
          <w:szCs w:val="20"/>
        </w:rPr>
        <w:t>Griffiths Law Review</w:t>
      </w:r>
      <w:r w:rsidRPr="00DA1DC8">
        <w:rPr>
          <w:sz w:val="20"/>
          <w:szCs w:val="20"/>
        </w:rPr>
        <w:t xml:space="preserve"> at 578.</w:t>
      </w:r>
    </w:p>
  </w:footnote>
  <w:footnote w:id="52">
    <w:p w14:paraId="7E116030" w14:textId="7DF66905"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 xml:space="preserve"> Jillian Taylor, ‘The ultimate goal is to reduce the number of children in care’: Indigenous Affairs Minister (27 March 2016) CBC News, online: </w:t>
      </w:r>
      <w:hyperlink r:id="rId6" w:history="1">
        <w:r w:rsidRPr="00DA1DC8">
          <w:rPr>
            <w:rStyle w:val="Hyperlink"/>
            <w:color w:val="auto"/>
            <w:sz w:val="20"/>
            <w:szCs w:val="20"/>
            <w:u w:val="none"/>
          </w:rPr>
          <w:t>http://www.cbc.ca/news/canada/manitoba/manitoba-carolyn-bennett-child-welfare-1.4042484</w:t>
        </w:r>
      </w:hyperlink>
    </w:p>
  </w:footnote>
  <w:footnote w:id="53">
    <w:p w14:paraId="7BA4002E" w14:textId="77777777"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 xml:space="preserve"> Statistics Canada, Study: Living arrangements of Aboriginal children aged 14 and under, 2011 (Released at 8:30 a.m. eastern time in The Daily, Wednesday, April 13, 2016.</w:t>
      </w:r>
    </w:p>
  </w:footnote>
  <w:footnote w:id="54">
    <w:p w14:paraId="5DA7D088" w14:textId="77777777"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 xml:space="preserve"> </w:t>
      </w:r>
      <w:r w:rsidRPr="00DA1DC8">
        <w:rPr>
          <w:i/>
          <w:sz w:val="20"/>
          <w:szCs w:val="20"/>
        </w:rPr>
        <w:t>Supra</w:t>
      </w:r>
      <w:r w:rsidRPr="00DA1DC8">
        <w:rPr>
          <w:sz w:val="20"/>
          <w:szCs w:val="20"/>
        </w:rPr>
        <w:t xml:space="preserve"> note 28.</w:t>
      </w:r>
    </w:p>
  </w:footnote>
  <w:footnote w:id="55">
    <w:p w14:paraId="09F7D9EF" w14:textId="77777777"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 xml:space="preserve"> </w:t>
      </w:r>
      <w:r w:rsidRPr="00DA1DC8">
        <w:rPr>
          <w:i/>
          <w:sz w:val="20"/>
          <w:szCs w:val="20"/>
        </w:rPr>
        <w:t>Supra</w:t>
      </w:r>
      <w:r w:rsidRPr="00DA1DC8">
        <w:rPr>
          <w:sz w:val="20"/>
          <w:szCs w:val="20"/>
        </w:rPr>
        <w:t xml:space="preserve"> note 21 at 1296; see Draft Convention on the Crime of Genocide (E/794, E/794/Corr. 1 and E/AC. 27/1, at 710.</w:t>
      </w:r>
    </w:p>
  </w:footnote>
  <w:footnote w:id="56">
    <w:p w14:paraId="04706837" w14:textId="77777777"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 xml:space="preserve"> </w:t>
      </w:r>
      <w:r w:rsidRPr="00DA1DC8">
        <w:rPr>
          <w:i/>
          <w:sz w:val="20"/>
          <w:szCs w:val="20"/>
        </w:rPr>
        <w:t>Supra</w:t>
      </w:r>
      <w:r w:rsidRPr="00DA1DC8">
        <w:rPr>
          <w:sz w:val="20"/>
          <w:szCs w:val="20"/>
        </w:rPr>
        <w:t xml:space="preserve"> note 25. </w:t>
      </w:r>
    </w:p>
  </w:footnote>
  <w:footnote w:id="57">
    <w:p w14:paraId="675AB6E8" w14:textId="77777777"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 xml:space="preserve"> Robert Davis &amp; Mark Zannis, </w:t>
      </w:r>
      <w:r w:rsidRPr="00DA1DC8">
        <w:rPr>
          <w:i/>
          <w:iCs/>
          <w:sz w:val="20"/>
          <w:szCs w:val="20"/>
        </w:rPr>
        <w:t>The Genocide Machine in Canada</w:t>
      </w:r>
      <w:r w:rsidRPr="00DA1DC8">
        <w:rPr>
          <w:sz w:val="20"/>
          <w:szCs w:val="20"/>
        </w:rPr>
        <w:t xml:space="preserve"> (Montreal: Black Rose Books Ltd., 1973) at 23.</w:t>
      </w:r>
    </w:p>
  </w:footnote>
  <w:footnote w:id="58">
    <w:p w14:paraId="1E27D393" w14:textId="77777777"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 xml:space="preserve"> Canada, House of Commons, Report to the Minister of Justice of the Special Committee on Hate Propaganda in Canada, </w:t>
      </w:r>
      <w:r w:rsidRPr="00DA1DC8">
        <w:rPr>
          <w:i/>
          <w:sz w:val="20"/>
          <w:szCs w:val="20"/>
        </w:rPr>
        <w:t>Hate Propaganda in Canada</w:t>
      </w:r>
      <w:r w:rsidRPr="00DA1DC8">
        <w:rPr>
          <w:sz w:val="20"/>
          <w:szCs w:val="20"/>
        </w:rPr>
        <w:t xml:space="preserve"> (November 1966) at 61</w:t>
      </w:r>
    </w:p>
  </w:footnote>
  <w:footnote w:id="59">
    <w:p w14:paraId="78EC7A74" w14:textId="77777777"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 xml:space="preserve"> </w:t>
      </w:r>
      <w:r w:rsidRPr="00DA1DC8">
        <w:rPr>
          <w:i/>
          <w:sz w:val="20"/>
          <w:szCs w:val="20"/>
        </w:rPr>
        <w:t>Ibid</w:t>
      </w:r>
      <w:r w:rsidRPr="00DA1DC8">
        <w:rPr>
          <w:sz w:val="20"/>
          <w:szCs w:val="20"/>
        </w:rPr>
        <w:t>.</w:t>
      </w:r>
    </w:p>
  </w:footnote>
  <w:footnote w:id="60">
    <w:p w14:paraId="23229BFE" w14:textId="3C44E65A" w:rsidR="00DF2BDC" w:rsidRPr="00DA1DC8" w:rsidRDefault="00DF2BDC" w:rsidP="00B511C1">
      <w:pPr>
        <w:pStyle w:val="FootnoteText"/>
        <w:jc w:val="both"/>
        <w:rPr>
          <w:sz w:val="20"/>
          <w:szCs w:val="20"/>
        </w:rPr>
      </w:pPr>
      <w:r w:rsidRPr="00DA1DC8">
        <w:rPr>
          <w:rStyle w:val="FootnoteReference"/>
          <w:sz w:val="20"/>
          <w:szCs w:val="20"/>
        </w:rPr>
        <w:footnoteRef/>
      </w:r>
      <w:r w:rsidRPr="00DA1DC8">
        <w:rPr>
          <w:sz w:val="20"/>
          <w:szCs w:val="20"/>
        </w:rPr>
        <w:t xml:space="preserve"> </w:t>
      </w:r>
      <w:r w:rsidRPr="00DA1DC8">
        <w:rPr>
          <w:i/>
          <w:sz w:val="20"/>
          <w:szCs w:val="20"/>
        </w:rPr>
        <w:t>Debates of the Senate</w:t>
      </w:r>
      <w:r w:rsidRPr="00DA1DC8">
        <w:rPr>
          <w:sz w:val="20"/>
          <w:szCs w:val="20"/>
        </w:rPr>
        <w:t>, 21</w:t>
      </w:r>
      <w:r w:rsidRPr="00DA1DC8">
        <w:rPr>
          <w:sz w:val="20"/>
          <w:szCs w:val="20"/>
          <w:vertAlign w:val="superscript"/>
        </w:rPr>
        <w:t>st</w:t>
      </w:r>
      <w:r w:rsidRPr="00DA1DC8">
        <w:rPr>
          <w:sz w:val="20"/>
          <w:szCs w:val="20"/>
        </w:rPr>
        <w:t xml:space="preserve"> Parl, 6</w:t>
      </w:r>
      <w:r w:rsidRPr="00DA1DC8">
        <w:rPr>
          <w:sz w:val="20"/>
          <w:szCs w:val="20"/>
          <w:vertAlign w:val="superscript"/>
        </w:rPr>
        <w:t>th</w:t>
      </w:r>
      <w:r w:rsidRPr="00DA1DC8">
        <w:rPr>
          <w:sz w:val="20"/>
          <w:szCs w:val="20"/>
        </w:rPr>
        <w:t xml:space="preserve"> Sess, No 1 (27 May 1952) at 313 (Hon. Arthur Roebuck).   Senator Roebuck stated, “In view, </w:t>
      </w:r>
      <w:r w:rsidR="00914095" w:rsidRPr="00DA1DC8">
        <w:rPr>
          <w:sz w:val="20"/>
          <w:szCs w:val="20"/>
        </w:rPr>
        <w:t>Honourable</w:t>
      </w:r>
      <w:r w:rsidRPr="00DA1DC8">
        <w:rPr>
          <w:sz w:val="20"/>
          <w:szCs w:val="20"/>
        </w:rPr>
        <w:t xml:space="preserve"> senators, of the possibility that for years there will not be any international tribunal with penal or criminal jurisdiction, it follows logically from that article that in practice only private individuals may be prosecuted for the crime of genocide, and that they must be prosecuted according to the laws of the state in which they live or in which the crime is committed.  The governments in most countries are not likely to submit their acts to the judgement of their own courts, nor are they likely to submit to those courts the question of the guilt of their high officials, whose criminal acts may have been in accordance with government policy.  The truth is that this convention lacks teeth.”</w:t>
      </w:r>
    </w:p>
  </w:footnote>
  <w:footnote w:id="61">
    <w:p w14:paraId="01C72FD3" w14:textId="5C97E43D" w:rsidR="00DF2BDC" w:rsidRPr="00DA1DC8" w:rsidRDefault="00DF2BDC" w:rsidP="00B511C1">
      <w:pPr>
        <w:pStyle w:val="FootnoteText"/>
        <w:jc w:val="both"/>
        <w:rPr>
          <w:sz w:val="20"/>
          <w:szCs w:val="20"/>
        </w:rPr>
      </w:pPr>
      <w:r w:rsidRPr="00DA1DC8">
        <w:rPr>
          <w:rStyle w:val="FootnoteReference"/>
          <w:sz w:val="20"/>
          <w:szCs w:val="20"/>
        </w:rPr>
        <w:footnoteRef/>
      </w:r>
      <w:r w:rsidRPr="00DA1DC8">
        <w:rPr>
          <w:sz w:val="20"/>
          <w:szCs w:val="20"/>
        </w:rPr>
        <w:t xml:space="preserve"> David B. MacDonald &amp; Graham Hudson, “The Genocide Question and Indian Residential Schools in Canada,” (June 2012) 45:2 in </w:t>
      </w:r>
      <w:r w:rsidRPr="00DA1DC8">
        <w:rPr>
          <w:i/>
          <w:sz w:val="20"/>
          <w:szCs w:val="20"/>
        </w:rPr>
        <w:t xml:space="preserve">Canadian Journal of Political Science </w:t>
      </w:r>
      <w:r w:rsidRPr="00DA1DC8">
        <w:rPr>
          <w:sz w:val="20"/>
          <w:szCs w:val="20"/>
        </w:rPr>
        <w:t>at 436-438. MacDonald and Hudson write on the following case,</w:t>
      </w:r>
      <w:r w:rsidRPr="00DA1DC8">
        <w:rPr>
          <w:i/>
          <w:sz w:val="20"/>
          <w:szCs w:val="20"/>
        </w:rPr>
        <w:t xml:space="preserve"> Re Residential Schools</w:t>
      </w:r>
      <w:r w:rsidRPr="00DA1DC8">
        <w:rPr>
          <w:sz w:val="20"/>
          <w:szCs w:val="20"/>
        </w:rPr>
        <w:t xml:space="preserve"> (2000), A.J. No. 638 9Alta. Q.B.).  The authors also suggest that the courts use the domestic legislation to strike down the defendants claims of genocide in </w:t>
      </w:r>
      <w:r w:rsidRPr="00DA1DC8">
        <w:rPr>
          <w:i/>
          <w:sz w:val="20"/>
          <w:szCs w:val="20"/>
        </w:rPr>
        <w:t>Re Residential Schools</w:t>
      </w:r>
      <w:r w:rsidRPr="00DA1DC8">
        <w:rPr>
          <w:sz w:val="20"/>
          <w:szCs w:val="20"/>
        </w:rPr>
        <w:t xml:space="preserve"> (2000), A.J. No. 638 9Alta. Q.B</w:t>
      </w:r>
      <w:r w:rsidR="00914095" w:rsidRPr="00DA1DC8">
        <w:rPr>
          <w:sz w:val="20"/>
          <w:szCs w:val="20"/>
        </w:rPr>
        <w:t>: “</w:t>
      </w:r>
      <w:r w:rsidRPr="00DA1DC8">
        <w:rPr>
          <w:sz w:val="20"/>
          <w:szCs w:val="20"/>
        </w:rPr>
        <w:t>This judgment highlights a fairly common and contestable judicial attitude towards the UNGC as a ‘political’ or moral standard and not, absent legislation to the contrary, a legally binding document.  It also ignores legal doctrine that makes international customary law an automatic part of Canadian common law, independently of legislative implementation”.</w:t>
      </w:r>
    </w:p>
  </w:footnote>
  <w:footnote w:id="62">
    <w:p w14:paraId="51826F3E" w14:textId="7FB80593" w:rsidR="00DF2BDC" w:rsidRPr="00DA1DC8" w:rsidRDefault="00DF2BDC" w:rsidP="00B511C1">
      <w:pPr>
        <w:pStyle w:val="FootnoteText"/>
        <w:rPr>
          <w:sz w:val="20"/>
          <w:szCs w:val="20"/>
        </w:rPr>
      </w:pPr>
      <w:r w:rsidRPr="00DA1DC8">
        <w:rPr>
          <w:rStyle w:val="FootnoteReference"/>
          <w:sz w:val="20"/>
          <w:szCs w:val="20"/>
        </w:rPr>
        <w:footnoteRef/>
      </w:r>
      <w:r w:rsidRPr="00DA1DC8">
        <w:rPr>
          <w:sz w:val="20"/>
          <w:szCs w:val="20"/>
        </w:rPr>
        <w:t xml:space="preserve">See Ward Churchill, </w:t>
      </w:r>
      <w:r w:rsidRPr="00DA1DC8">
        <w:rPr>
          <w:i/>
          <w:sz w:val="20"/>
          <w:szCs w:val="20"/>
        </w:rPr>
        <w:t>Kill the Indian Save the Man: The Genocidal Impact of American Indian Residential Schools</w:t>
      </w:r>
      <w:r w:rsidRPr="00DA1DC8">
        <w:rPr>
          <w:sz w:val="20"/>
          <w:szCs w:val="20"/>
        </w:rPr>
        <w:t xml:space="preserve"> (San Francisco: City Lights Books, 2004) at 16-76; see Roland Chrisjohn, Sherri Young &amp; Michael Maruan, </w:t>
      </w:r>
      <w:r w:rsidRPr="00DA1DC8">
        <w:rPr>
          <w:i/>
          <w:sz w:val="20"/>
          <w:szCs w:val="20"/>
        </w:rPr>
        <w:t>The Circle Game: Shadows and Substance in the Indian Residential School Experience in Canada</w:t>
      </w:r>
      <w:r w:rsidRPr="00DA1DC8">
        <w:rPr>
          <w:sz w:val="20"/>
          <w:szCs w:val="20"/>
        </w:rPr>
        <w:t xml:space="preserve"> (Penticton: Theytus Books Ltd, 2006); see Canada, Royal Commission on Aboriginal Peoples, “Chapter 10: Residential Schools” vol 1 </w:t>
      </w:r>
      <w:r w:rsidRPr="00DA1DC8">
        <w:rPr>
          <w:i/>
          <w:sz w:val="20"/>
          <w:szCs w:val="20"/>
        </w:rPr>
        <w:t xml:space="preserve">Looking Forward, Looking Back </w:t>
      </w:r>
      <w:r w:rsidRPr="00DA1DC8">
        <w:rPr>
          <w:sz w:val="20"/>
          <w:szCs w:val="20"/>
        </w:rPr>
        <w:t xml:space="preserve"> (Ottawa: Canada Communications Group, 1996); see </w:t>
      </w:r>
      <w:r w:rsidRPr="00DA1DC8">
        <w:rPr>
          <w:i/>
          <w:sz w:val="20"/>
          <w:szCs w:val="20"/>
        </w:rPr>
        <w:t>supra</w:t>
      </w:r>
      <w:r w:rsidRPr="00DA1DC8">
        <w:rPr>
          <w:sz w:val="20"/>
          <w:szCs w:val="20"/>
        </w:rPr>
        <w:t xml:space="preserve"> note 28. </w:t>
      </w:r>
    </w:p>
  </w:footnote>
  <w:footnote w:id="63">
    <w:p w14:paraId="13F28335" w14:textId="77777777"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 xml:space="preserve"> Ottawa: </w:t>
      </w:r>
      <w:r w:rsidRPr="00DA1DC8">
        <w:rPr>
          <w:i/>
          <w:sz w:val="20"/>
          <w:szCs w:val="20"/>
        </w:rPr>
        <w:t>Statement of Apology to Former Students of the Indian Residential Schools</w:t>
      </w:r>
      <w:r w:rsidRPr="00DA1DC8">
        <w:rPr>
          <w:sz w:val="20"/>
          <w:szCs w:val="20"/>
        </w:rPr>
        <w:t>, June 11, 2008.</w:t>
      </w:r>
    </w:p>
  </w:footnote>
  <w:footnote w:id="64">
    <w:p w14:paraId="59A03F06" w14:textId="77777777"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 xml:space="preserve"> Chrisjohn, </w:t>
      </w:r>
      <w:r w:rsidRPr="00DA1DC8">
        <w:rPr>
          <w:i/>
          <w:sz w:val="20"/>
          <w:szCs w:val="20"/>
        </w:rPr>
        <w:t>supra</w:t>
      </w:r>
      <w:r w:rsidRPr="00DA1DC8">
        <w:rPr>
          <w:sz w:val="20"/>
          <w:szCs w:val="20"/>
        </w:rPr>
        <w:t xml:space="preserve"> note 39; Agnes Grant, </w:t>
      </w:r>
      <w:r w:rsidRPr="00DA1DC8">
        <w:rPr>
          <w:i/>
          <w:iCs/>
          <w:sz w:val="20"/>
          <w:szCs w:val="20"/>
        </w:rPr>
        <w:t>No End of Grief: Indian Residential Schools in Canada</w:t>
      </w:r>
      <w:r w:rsidRPr="00DA1DC8">
        <w:rPr>
          <w:sz w:val="20"/>
          <w:szCs w:val="20"/>
        </w:rPr>
        <w:t xml:space="preserve"> (Winnipeg: Pemmican Publications, 1996); Elizabeth Furniss, </w:t>
      </w:r>
      <w:r w:rsidRPr="00DA1DC8">
        <w:rPr>
          <w:i/>
          <w:sz w:val="20"/>
          <w:szCs w:val="20"/>
        </w:rPr>
        <w:t>Victims of Benevolence: The Dark Legacy of the Williams Lake Residential School</w:t>
      </w:r>
      <w:r w:rsidRPr="00DA1DC8">
        <w:rPr>
          <w:sz w:val="20"/>
          <w:szCs w:val="20"/>
        </w:rPr>
        <w:t xml:space="preserve"> (Vancouver: Arsenal Pulp Press, 1992, 1995); Isabelle Knockwood, </w:t>
      </w:r>
      <w:r w:rsidRPr="00DA1DC8">
        <w:rPr>
          <w:i/>
          <w:sz w:val="20"/>
          <w:szCs w:val="20"/>
        </w:rPr>
        <w:t>Out of the Depths: The Experiences of Mi’kmaw Children at the Indian Residential School at Shubenacadie , Nova Scotia</w:t>
      </w:r>
      <w:r w:rsidRPr="00DA1DC8">
        <w:rPr>
          <w:sz w:val="20"/>
          <w:szCs w:val="20"/>
        </w:rPr>
        <w:t xml:space="preserve"> (Lockeport, Nova Scotia, Roseway Publishing, 1992); Agnes Jack, ed, </w:t>
      </w:r>
      <w:r w:rsidRPr="00DA1DC8">
        <w:rPr>
          <w:i/>
          <w:sz w:val="20"/>
          <w:szCs w:val="20"/>
        </w:rPr>
        <w:t>Behind Closed Doors: Stories from the Kamloops Indian Residential School</w:t>
      </w:r>
      <w:r w:rsidRPr="00DA1DC8">
        <w:rPr>
          <w:sz w:val="20"/>
          <w:szCs w:val="20"/>
        </w:rPr>
        <w:t xml:space="preserve"> (Penticton: Theytus Books, 2006).  The list of sources is not exhaustive.</w:t>
      </w:r>
    </w:p>
  </w:footnote>
  <w:footnote w:id="65">
    <w:p w14:paraId="739EC0EA" w14:textId="77777777"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 xml:space="preserve"> </w:t>
      </w:r>
      <w:r w:rsidRPr="00DA1DC8">
        <w:rPr>
          <w:i/>
          <w:sz w:val="20"/>
          <w:szCs w:val="20"/>
        </w:rPr>
        <w:t>Ibid</w:t>
      </w:r>
      <w:r w:rsidRPr="00DA1DC8">
        <w:rPr>
          <w:sz w:val="20"/>
          <w:szCs w:val="20"/>
        </w:rPr>
        <w:t>.</w:t>
      </w:r>
    </w:p>
  </w:footnote>
  <w:footnote w:id="66">
    <w:p w14:paraId="2C5BB4E4" w14:textId="77777777"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 xml:space="preserve"> </w:t>
      </w:r>
      <w:r w:rsidRPr="00DA1DC8">
        <w:rPr>
          <w:i/>
          <w:sz w:val="20"/>
          <w:szCs w:val="20"/>
        </w:rPr>
        <w:t>Supra</w:t>
      </w:r>
      <w:r w:rsidRPr="00DA1DC8">
        <w:rPr>
          <w:sz w:val="20"/>
          <w:szCs w:val="20"/>
        </w:rPr>
        <w:t xml:space="preserve"> note 28.</w:t>
      </w:r>
    </w:p>
  </w:footnote>
  <w:footnote w:id="67">
    <w:p w14:paraId="44B53379" w14:textId="0A170CFC"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 xml:space="preserve">Sharon H. Venne, “Treaties Made in Good Faith” in </w:t>
      </w:r>
      <w:r w:rsidRPr="00DA1DC8">
        <w:rPr>
          <w:i/>
          <w:sz w:val="20"/>
          <w:szCs w:val="20"/>
        </w:rPr>
        <w:t>Native and Settlers – Now and Then</w:t>
      </w:r>
      <w:r w:rsidRPr="00DA1DC8">
        <w:rPr>
          <w:sz w:val="20"/>
          <w:szCs w:val="20"/>
        </w:rPr>
        <w:t xml:space="preserve"> (Edmonton: University of Alberta Press, 2007) at 2; see also Sharon Venne, ed., </w:t>
      </w:r>
      <w:r w:rsidRPr="00DA1DC8">
        <w:rPr>
          <w:i/>
          <w:sz w:val="20"/>
          <w:szCs w:val="20"/>
        </w:rPr>
        <w:t>Honour Bound Onion Lake and the Spirit of Treaty Six: The International Validity of Treaties with Indigenous Peoples</w:t>
      </w:r>
      <w:r w:rsidRPr="00DA1DC8">
        <w:rPr>
          <w:sz w:val="20"/>
          <w:szCs w:val="20"/>
        </w:rPr>
        <w:t xml:space="preserve"> (Copenhagen, Denmark: International Working Group for Indigenous Affairs, 1997)</w:t>
      </w:r>
    </w:p>
  </w:footnote>
  <w:footnote w:id="68">
    <w:p w14:paraId="76847EE6" w14:textId="77777777"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 xml:space="preserve"> See Aboriginal Justice Implementation Commission, “Child Welfare-The Justice System and Aboriginal People” in Report of the Aboriginal Justice Inquiry of Manitoba (November 1999) online: &lt;http://www.ajic.mb.ca/volume.html&gt;.</w:t>
      </w:r>
    </w:p>
  </w:footnote>
  <w:footnote w:id="69">
    <w:p w14:paraId="54052481" w14:textId="51BE1691" w:rsidR="00DF2BDC" w:rsidRPr="00DA1DC8" w:rsidRDefault="00DF2BDC" w:rsidP="00272A8E">
      <w:pPr>
        <w:pStyle w:val="FootnoteText"/>
        <w:rPr>
          <w:bCs/>
          <w:sz w:val="20"/>
          <w:szCs w:val="20"/>
        </w:rPr>
      </w:pPr>
      <w:r w:rsidRPr="00DA1DC8">
        <w:rPr>
          <w:rStyle w:val="FootnoteReference"/>
          <w:sz w:val="20"/>
          <w:szCs w:val="20"/>
        </w:rPr>
        <w:footnoteRef/>
      </w:r>
      <w:r w:rsidRPr="00DA1DC8">
        <w:rPr>
          <w:sz w:val="20"/>
          <w:szCs w:val="20"/>
        </w:rPr>
        <w:t xml:space="preserve"> </w:t>
      </w:r>
      <w:r w:rsidRPr="00DA1DC8">
        <w:rPr>
          <w:i/>
          <w:sz w:val="20"/>
          <w:szCs w:val="20"/>
        </w:rPr>
        <w:t>Supra</w:t>
      </w:r>
      <w:r w:rsidRPr="00DA1DC8">
        <w:rPr>
          <w:sz w:val="20"/>
          <w:szCs w:val="20"/>
        </w:rPr>
        <w:t xml:space="preserve"> note 30; see also Murat Yϋkselir and Evan Annett, “</w:t>
      </w:r>
      <w:r w:rsidRPr="00DA1DC8">
        <w:rPr>
          <w:bCs/>
          <w:sz w:val="20"/>
          <w:szCs w:val="20"/>
        </w:rPr>
        <w:t xml:space="preserve">Where the kids are: How Indigenous children are over-represented in foster care” </w:t>
      </w:r>
      <w:r w:rsidRPr="00DA1DC8">
        <w:rPr>
          <w:bCs/>
          <w:i/>
          <w:sz w:val="20"/>
          <w:szCs w:val="20"/>
        </w:rPr>
        <w:t>Globe and Mail</w:t>
      </w:r>
      <w:r w:rsidRPr="00DA1DC8">
        <w:rPr>
          <w:bCs/>
          <w:sz w:val="20"/>
          <w:szCs w:val="20"/>
        </w:rPr>
        <w:t xml:space="preserve"> (18 April 2016) online: </w:t>
      </w:r>
      <w:hyperlink r:id="rId7" w:history="1">
        <w:r w:rsidRPr="00DA1DC8">
          <w:rPr>
            <w:rStyle w:val="Hyperlink"/>
            <w:bCs/>
            <w:color w:val="auto"/>
            <w:sz w:val="20"/>
            <w:szCs w:val="20"/>
            <w:u w:val="none"/>
          </w:rPr>
          <w:t>http://www.theglobeandmail.com/news/national/Indigenous-kids-made-up-almost-half-of-canadian-foster-children-in-2011statscan/article29616843/</w:t>
        </w:r>
      </w:hyperlink>
    </w:p>
  </w:footnote>
  <w:footnote w:id="70">
    <w:p w14:paraId="645658E1" w14:textId="77777777"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 xml:space="preserve"> See Ernie Crey &amp; Suzanne Fournier, </w:t>
      </w:r>
      <w:r w:rsidRPr="00DA1DC8">
        <w:rPr>
          <w:i/>
          <w:sz w:val="20"/>
          <w:szCs w:val="20"/>
        </w:rPr>
        <w:t>Stolen From Our Embrace: The Abduction of First Nations Children and the Restoration of Aboriginal Communities</w:t>
      </w:r>
      <w:r w:rsidRPr="00DA1DC8">
        <w:rPr>
          <w:sz w:val="20"/>
          <w:szCs w:val="20"/>
        </w:rPr>
        <w:t xml:space="preserve"> (Vancouver: Douglas &amp; McIntyre, 1997).  </w:t>
      </w:r>
    </w:p>
  </w:footnote>
  <w:footnote w:id="71">
    <w:p w14:paraId="5F9C9EC8" w14:textId="77777777"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 xml:space="preserve"> Darcy Denton, “Deaths of Alberta aboriginal children in care no ‘fluke of statistics’’ Calgary Herald (1 August 2014) online:</w:t>
      </w:r>
    </w:p>
    <w:p w14:paraId="16843FD7" w14:textId="77777777" w:rsidR="00DF2BDC" w:rsidRPr="00DA1DC8" w:rsidRDefault="00DF2BDC" w:rsidP="00272A8E">
      <w:pPr>
        <w:pStyle w:val="FootnoteText"/>
        <w:rPr>
          <w:sz w:val="20"/>
          <w:szCs w:val="20"/>
        </w:rPr>
      </w:pPr>
      <w:r w:rsidRPr="00DA1DC8">
        <w:rPr>
          <w:sz w:val="20"/>
          <w:szCs w:val="20"/>
        </w:rPr>
        <w:t>http://www.edmontonjournal.com/life/Deaths+Alberta+aboriginal+children+care+fluke+statistics/9212384/story.html</w:t>
      </w:r>
    </w:p>
  </w:footnote>
  <w:footnote w:id="72">
    <w:p w14:paraId="6A91E522" w14:textId="77777777"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 xml:space="preserve"> Mary Ellen Turpel-Lafond, Representative for Children and Youth, ‘Too Many Victims Sexualized Violence in the Lives of Children and Youth in Care: An Aggregate Review ‘(October 2016).</w:t>
      </w:r>
    </w:p>
  </w:footnote>
  <w:footnote w:id="73">
    <w:p w14:paraId="7A1034DF" w14:textId="77777777"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Chinta Puxley, “Manitoba opens Tina Fontaine case to review by children's advocate” The Globe and Mail (15 December 2014)</w:t>
      </w:r>
    </w:p>
  </w:footnote>
  <w:footnote w:id="74">
    <w:p w14:paraId="5AC941F3" w14:textId="77777777"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 xml:space="preserve"> ‘Teen in B.C. provincial care dies in fall from hotel window’ B.C. children's advocate calls death of Alex Gervais a tragedy, says ministry 'has a lot to answer for' CBC News (23 September 2015) online: http://www.cbc.ca/news/canada/british-columbia/teen-in-b-c-provincial-care-dies-in-fall-from-hotel-window-1.3240959</w:t>
      </w:r>
    </w:p>
  </w:footnote>
  <w:footnote w:id="75">
    <w:p w14:paraId="75F3F9B1" w14:textId="77777777"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 xml:space="preserve"> </w:t>
      </w:r>
      <w:r w:rsidRPr="00DA1DC8">
        <w:rPr>
          <w:i/>
          <w:sz w:val="20"/>
          <w:szCs w:val="20"/>
        </w:rPr>
        <w:t>Supra</w:t>
      </w:r>
      <w:r w:rsidRPr="00DA1DC8">
        <w:rPr>
          <w:sz w:val="20"/>
          <w:szCs w:val="20"/>
        </w:rPr>
        <w:t xml:space="preserve"> note 58.</w:t>
      </w:r>
    </w:p>
  </w:footnote>
  <w:footnote w:id="76">
    <w:p w14:paraId="2BBEE327" w14:textId="77777777"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 xml:space="preserve"> Chrisjohn, </w:t>
      </w:r>
      <w:r w:rsidRPr="00DA1DC8">
        <w:rPr>
          <w:i/>
          <w:sz w:val="20"/>
          <w:szCs w:val="20"/>
        </w:rPr>
        <w:t>supra</w:t>
      </w:r>
      <w:r w:rsidRPr="00DA1DC8">
        <w:rPr>
          <w:sz w:val="20"/>
          <w:szCs w:val="20"/>
        </w:rPr>
        <w:t xml:space="preserve"> note 57 at 71.</w:t>
      </w:r>
    </w:p>
  </w:footnote>
  <w:footnote w:id="77">
    <w:p w14:paraId="551D1FB7" w14:textId="77777777"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 xml:space="preserve"> </w:t>
      </w:r>
      <w:r w:rsidRPr="00DA1DC8">
        <w:rPr>
          <w:i/>
          <w:sz w:val="20"/>
          <w:szCs w:val="20"/>
        </w:rPr>
        <w:t>Supra</w:t>
      </w:r>
      <w:r w:rsidRPr="00DA1DC8">
        <w:rPr>
          <w:sz w:val="20"/>
          <w:szCs w:val="20"/>
        </w:rPr>
        <w:t xml:space="preserve"> note 19.</w:t>
      </w:r>
    </w:p>
  </w:footnote>
  <w:footnote w:id="78">
    <w:p w14:paraId="5956936F" w14:textId="77777777"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 xml:space="preserve"> </w:t>
      </w:r>
      <w:r w:rsidRPr="00DA1DC8">
        <w:rPr>
          <w:i/>
          <w:sz w:val="20"/>
          <w:szCs w:val="20"/>
        </w:rPr>
        <w:t>Supra</w:t>
      </w:r>
      <w:r w:rsidRPr="00DA1DC8">
        <w:rPr>
          <w:sz w:val="20"/>
          <w:szCs w:val="20"/>
        </w:rPr>
        <w:t xml:space="preserve"> note 19.</w:t>
      </w:r>
    </w:p>
  </w:footnote>
  <w:footnote w:id="79">
    <w:p w14:paraId="6962EF00" w14:textId="77777777" w:rsidR="00DF2BDC" w:rsidRPr="00DA1DC8" w:rsidRDefault="00DF2BDC" w:rsidP="00272A8E">
      <w:pPr>
        <w:pStyle w:val="FootnoteText"/>
        <w:rPr>
          <w:sz w:val="20"/>
          <w:szCs w:val="20"/>
        </w:rPr>
      </w:pPr>
      <w:r w:rsidRPr="00DA1DC8">
        <w:rPr>
          <w:rStyle w:val="FootnoteReference"/>
          <w:sz w:val="20"/>
          <w:szCs w:val="20"/>
        </w:rPr>
        <w:footnoteRef/>
      </w:r>
      <w:r w:rsidRPr="00DA1DC8">
        <w:rPr>
          <w:sz w:val="20"/>
          <w:szCs w:val="20"/>
        </w:rPr>
        <w:t xml:space="preserve"> “</w:t>
      </w:r>
      <w:r w:rsidRPr="00DA1DC8">
        <w:rPr>
          <w:bCs/>
          <w:sz w:val="20"/>
          <w:szCs w:val="20"/>
        </w:rPr>
        <w:t xml:space="preserve">Attawapiskat: Four things to help understand the suicide crisis”, The Globe and Mail (5 January 2017) online: </w:t>
      </w:r>
      <w:hyperlink r:id="rId8" w:history="1">
        <w:r w:rsidRPr="00DA1DC8">
          <w:rPr>
            <w:rStyle w:val="Hyperlink"/>
            <w:bCs/>
            <w:color w:val="auto"/>
            <w:sz w:val="20"/>
            <w:szCs w:val="20"/>
            <w:u w:val="none"/>
          </w:rPr>
          <w:t>https://www.theglobeandmail.com/news/national/attawapiskat-four-things-to-help-understand-the-suicidecrisis/article29583059/</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B16A3D"/>
    <w:multiLevelType w:val="hybridMultilevel"/>
    <w:tmpl w:val="F3FE0DD4"/>
    <w:lvl w:ilvl="0" w:tplc="04090017">
      <w:start w:val="1"/>
      <w:numFmt w:val="lowerLetter"/>
      <w:lvlText w:val="%1)"/>
      <w:lvlJc w:val="left"/>
      <w:pPr>
        <w:ind w:left="787"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FE3E7E"/>
    <w:multiLevelType w:val="hybridMultilevel"/>
    <w:tmpl w:val="5D2273F8"/>
    <w:lvl w:ilvl="0" w:tplc="0409000F">
      <w:start w:val="1"/>
      <w:numFmt w:val="decimal"/>
      <w:lvlText w:val="%1."/>
      <w:lvlJc w:val="left"/>
      <w:pPr>
        <w:ind w:left="787" w:hanging="360"/>
      </w:pPr>
    </w:lvl>
    <w:lvl w:ilvl="1" w:tplc="04090019">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
    <w:nsid w:val="0E837791"/>
    <w:multiLevelType w:val="hybridMultilevel"/>
    <w:tmpl w:val="401488EA"/>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4">
    <w:nsid w:val="166E343B"/>
    <w:multiLevelType w:val="hybridMultilevel"/>
    <w:tmpl w:val="F6AEF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F636DB"/>
    <w:multiLevelType w:val="hybridMultilevel"/>
    <w:tmpl w:val="71BC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04E81"/>
    <w:multiLevelType w:val="hybridMultilevel"/>
    <w:tmpl w:val="F98AA91C"/>
    <w:lvl w:ilvl="0" w:tplc="FE7433E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4440A8"/>
    <w:multiLevelType w:val="hybridMultilevel"/>
    <w:tmpl w:val="5608FB1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685CD2"/>
    <w:multiLevelType w:val="hybridMultilevel"/>
    <w:tmpl w:val="6B48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DA6FC9"/>
    <w:multiLevelType w:val="hybridMultilevel"/>
    <w:tmpl w:val="5D2273F8"/>
    <w:lvl w:ilvl="0" w:tplc="0409000F">
      <w:start w:val="1"/>
      <w:numFmt w:val="decimal"/>
      <w:lvlText w:val="%1."/>
      <w:lvlJc w:val="left"/>
      <w:pPr>
        <w:ind w:left="787" w:hanging="360"/>
      </w:pPr>
    </w:lvl>
    <w:lvl w:ilvl="1" w:tplc="04090019">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0">
    <w:nsid w:val="2D9276E3"/>
    <w:multiLevelType w:val="hybridMultilevel"/>
    <w:tmpl w:val="948A1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18F062E"/>
    <w:multiLevelType w:val="hybridMultilevel"/>
    <w:tmpl w:val="9D2890E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nsid w:val="321B6BEE"/>
    <w:multiLevelType w:val="hybridMultilevel"/>
    <w:tmpl w:val="28D01C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8113C2"/>
    <w:multiLevelType w:val="hybridMultilevel"/>
    <w:tmpl w:val="48E6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8017E5"/>
    <w:multiLevelType w:val="multilevel"/>
    <w:tmpl w:val="F01ADA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9DC5B2A"/>
    <w:multiLevelType w:val="multilevel"/>
    <w:tmpl w:val="3068766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C3A4E46"/>
    <w:multiLevelType w:val="hybridMultilevel"/>
    <w:tmpl w:val="533EDCE0"/>
    <w:lvl w:ilvl="0" w:tplc="04090017">
      <w:start w:val="1"/>
      <w:numFmt w:val="lowerLetter"/>
      <w:lvlText w:val="%1)"/>
      <w:lvlJc w:val="left"/>
      <w:pPr>
        <w:ind w:left="787"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843467"/>
    <w:multiLevelType w:val="hybridMultilevel"/>
    <w:tmpl w:val="387C6A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954E0A"/>
    <w:multiLevelType w:val="hybridMultilevel"/>
    <w:tmpl w:val="1C1CE3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B34CE1"/>
    <w:multiLevelType w:val="hybridMultilevel"/>
    <w:tmpl w:val="543C0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85402C"/>
    <w:multiLevelType w:val="hybridMultilevel"/>
    <w:tmpl w:val="1ADCB338"/>
    <w:lvl w:ilvl="0" w:tplc="0409000F">
      <w:start w:val="1"/>
      <w:numFmt w:val="decimal"/>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21">
    <w:nsid w:val="41AE7CDC"/>
    <w:multiLevelType w:val="hybridMultilevel"/>
    <w:tmpl w:val="CB88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CC5843"/>
    <w:multiLevelType w:val="hybridMultilevel"/>
    <w:tmpl w:val="8AD2FAA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3">
    <w:nsid w:val="44A64464"/>
    <w:multiLevelType w:val="hybridMultilevel"/>
    <w:tmpl w:val="C60AF5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26089F"/>
    <w:multiLevelType w:val="hybridMultilevel"/>
    <w:tmpl w:val="E286D604"/>
    <w:lvl w:ilvl="0" w:tplc="0409000F">
      <w:start w:val="1"/>
      <w:numFmt w:val="decimal"/>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25">
    <w:nsid w:val="456A2EF3"/>
    <w:multiLevelType w:val="hybridMultilevel"/>
    <w:tmpl w:val="BF104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705F07"/>
    <w:multiLevelType w:val="hybridMultilevel"/>
    <w:tmpl w:val="C3448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E060764"/>
    <w:multiLevelType w:val="hybridMultilevel"/>
    <w:tmpl w:val="F70ABBF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536F0860"/>
    <w:multiLevelType w:val="hybridMultilevel"/>
    <w:tmpl w:val="D4EA8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A62086"/>
    <w:multiLevelType w:val="hybridMultilevel"/>
    <w:tmpl w:val="FC0016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1B2AA0"/>
    <w:multiLevelType w:val="hybridMultilevel"/>
    <w:tmpl w:val="E6E0DA6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1">
    <w:nsid w:val="55E90F31"/>
    <w:multiLevelType w:val="multilevel"/>
    <w:tmpl w:val="CD826FC0"/>
    <w:lvl w:ilvl="0">
      <w:start w:val="1"/>
      <w:numFmt w:val="decimal"/>
      <w:lvlText w:val="%1."/>
      <w:lvlJc w:val="lef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32">
    <w:nsid w:val="574F2E1B"/>
    <w:multiLevelType w:val="hybridMultilevel"/>
    <w:tmpl w:val="F01AD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9769AE"/>
    <w:multiLevelType w:val="hybridMultilevel"/>
    <w:tmpl w:val="08DE73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C80F27"/>
    <w:multiLevelType w:val="multilevel"/>
    <w:tmpl w:val="BF104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DDC0BF4"/>
    <w:multiLevelType w:val="hybridMultilevel"/>
    <w:tmpl w:val="726C3D5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6">
    <w:nsid w:val="5FB73613"/>
    <w:multiLevelType w:val="hybridMultilevel"/>
    <w:tmpl w:val="7E6A24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2B74073"/>
    <w:multiLevelType w:val="multilevel"/>
    <w:tmpl w:val="806E6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35D31B3"/>
    <w:multiLevelType w:val="hybridMultilevel"/>
    <w:tmpl w:val="8CE23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712E35"/>
    <w:multiLevelType w:val="hybridMultilevel"/>
    <w:tmpl w:val="FA264D8C"/>
    <w:lvl w:ilvl="0" w:tplc="04090017">
      <w:start w:val="1"/>
      <w:numFmt w:val="lowerLetter"/>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0">
    <w:nsid w:val="69192C55"/>
    <w:multiLevelType w:val="hybridMultilevel"/>
    <w:tmpl w:val="0E20437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1">
    <w:nsid w:val="6A521588"/>
    <w:multiLevelType w:val="hybridMultilevel"/>
    <w:tmpl w:val="806E6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99345D"/>
    <w:multiLevelType w:val="hybridMultilevel"/>
    <w:tmpl w:val="1AD831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D46155"/>
    <w:multiLevelType w:val="hybridMultilevel"/>
    <w:tmpl w:val="74E4C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28E0FBF"/>
    <w:multiLevelType w:val="hybridMultilevel"/>
    <w:tmpl w:val="48E6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333676"/>
    <w:multiLevelType w:val="multilevel"/>
    <w:tmpl w:val="FAC4EDE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nsid w:val="73B4215C"/>
    <w:multiLevelType w:val="hybridMultilevel"/>
    <w:tmpl w:val="1F7C565A"/>
    <w:lvl w:ilvl="0" w:tplc="04090017">
      <w:start w:val="1"/>
      <w:numFmt w:val="lowerLetter"/>
      <w:lvlText w:val="%1)"/>
      <w:lvlJc w:val="left"/>
      <w:pPr>
        <w:ind w:left="78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7C623A"/>
    <w:multiLevelType w:val="hybridMultilevel"/>
    <w:tmpl w:val="08C6E8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2"/>
  </w:num>
  <w:num w:numId="3">
    <w:abstractNumId w:val="13"/>
  </w:num>
  <w:num w:numId="4">
    <w:abstractNumId w:val="1"/>
  </w:num>
  <w:num w:numId="5">
    <w:abstractNumId w:val="41"/>
  </w:num>
  <w:num w:numId="6">
    <w:abstractNumId w:val="37"/>
  </w:num>
  <w:num w:numId="7">
    <w:abstractNumId w:val="23"/>
  </w:num>
  <w:num w:numId="8">
    <w:abstractNumId w:val="35"/>
  </w:num>
  <w:num w:numId="9">
    <w:abstractNumId w:val="47"/>
  </w:num>
  <w:num w:numId="10">
    <w:abstractNumId w:val="4"/>
  </w:num>
  <w:num w:numId="11">
    <w:abstractNumId w:val="36"/>
  </w:num>
  <w:num w:numId="12">
    <w:abstractNumId w:val="0"/>
  </w:num>
  <w:num w:numId="13">
    <w:abstractNumId w:val="29"/>
  </w:num>
  <w:num w:numId="14">
    <w:abstractNumId w:val="42"/>
  </w:num>
  <w:num w:numId="15">
    <w:abstractNumId w:val="19"/>
  </w:num>
  <w:num w:numId="16">
    <w:abstractNumId w:val="18"/>
  </w:num>
  <w:num w:numId="17">
    <w:abstractNumId w:val="12"/>
  </w:num>
  <w:num w:numId="18">
    <w:abstractNumId w:val="17"/>
  </w:num>
  <w:num w:numId="19">
    <w:abstractNumId w:val="33"/>
  </w:num>
  <w:num w:numId="20">
    <w:abstractNumId w:val="40"/>
  </w:num>
  <w:num w:numId="21">
    <w:abstractNumId w:val="28"/>
  </w:num>
  <w:num w:numId="22">
    <w:abstractNumId w:val="6"/>
  </w:num>
  <w:num w:numId="23">
    <w:abstractNumId w:val="3"/>
  </w:num>
  <w:num w:numId="24">
    <w:abstractNumId w:val="20"/>
  </w:num>
  <w:num w:numId="25">
    <w:abstractNumId w:val="7"/>
  </w:num>
  <w:num w:numId="26">
    <w:abstractNumId w:val="9"/>
  </w:num>
  <w:num w:numId="27">
    <w:abstractNumId w:val="44"/>
  </w:num>
  <w:num w:numId="28">
    <w:abstractNumId w:val="8"/>
  </w:num>
  <w:num w:numId="29">
    <w:abstractNumId w:val="39"/>
  </w:num>
  <w:num w:numId="30">
    <w:abstractNumId w:val="30"/>
  </w:num>
  <w:num w:numId="31">
    <w:abstractNumId w:val="16"/>
  </w:num>
  <w:num w:numId="32">
    <w:abstractNumId w:val="24"/>
  </w:num>
  <w:num w:numId="33">
    <w:abstractNumId w:val="43"/>
  </w:num>
  <w:num w:numId="34">
    <w:abstractNumId w:val="26"/>
  </w:num>
  <w:num w:numId="35">
    <w:abstractNumId w:val="25"/>
  </w:num>
  <w:num w:numId="36">
    <w:abstractNumId w:val="5"/>
  </w:num>
  <w:num w:numId="37">
    <w:abstractNumId w:val="38"/>
  </w:num>
  <w:num w:numId="38">
    <w:abstractNumId w:val="31"/>
  </w:num>
  <w:num w:numId="39">
    <w:abstractNumId w:val="45"/>
  </w:num>
  <w:num w:numId="40">
    <w:abstractNumId w:val="15"/>
  </w:num>
  <w:num w:numId="41">
    <w:abstractNumId w:val="27"/>
  </w:num>
  <w:num w:numId="42">
    <w:abstractNumId w:val="32"/>
  </w:num>
  <w:num w:numId="43">
    <w:abstractNumId w:val="14"/>
  </w:num>
  <w:num w:numId="44">
    <w:abstractNumId w:val="34"/>
  </w:num>
  <w:num w:numId="45">
    <w:abstractNumId w:val="46"/>
  </w:num>
  <w:num w:numId="46">
    <w:abstractNumId w:val="11"/>
  </w:num>
  <w:num w:numId="47">
    <w:abstractNumId w:val="10"/>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F"/>
    <w:rsid w:val="00000E75"/>
    <w:rsid w:val="00003188"/>
    <w:rsid w:val="00005418"/>
    <w:rsid w:val="000057AE"/>
    <w:rsid w:val="00007CC9"/>
    <w:rsid w:val="000118D6"/>
    <w:rsid w:val="0001443D"/>
    <w:rsid w:val="00014ED4"/>
    <w:rsid w:val="00015A1C"/>
    <w:rsid w:val="0001670E"/>
    <w:rsid w:val="000223FC"/>
    <w:rsid w:val="000229FB"/>
    <w:rsid w:val="00022CAD"/>
    <w:rsid w:val="00022E63"/>
    <w:rsid w:val="00022EE6"/>
    <w:rsid w:val="000232D2"/>
    <w:rsid w:val="000263FD"/>
    <w:rsid w:val="00027DC2"/>
    <w:rsid w:val="00030EE1"/>
    <w:rsid w:val="0003122B"/>
    <w:rsid w:val="00033890"/>
    <w:rsid w:val="00034CC9"/>
    <w:rsid w:val="0003504C"/>
    <w:rsid w:val="00035B46"/>
    <w:rsid w:val="00036D1A"/>
    <w:rsid w:val="000413F1"/>
    <w:rsid w:val="00042136"/>
    <w:rsid w:val="00042A9A"/>
    <w:rsid w:val="0004315F"/>
    <w:rsid w:val="00043596"/>
    <w:rsid w:val="00043759"/>
    <w:rsid w:val="00044361"/>
    <w:rsid w:val="00045F94"/>
    <w:rsid w:val="00052221"/>
    <w:rsid w:val="00053263"/>
    <w:rsid w:val="00053501"/>
    <w:rsid w:val="00054E8C"/>
    <w:rsid w:val="000608D1"/>
    <w:rsid w:val="00060EE6"/>
    <w:rsid w:val="00067168"/>
    <w:rsid w:val="00071EFC"/>
    <w:rsid w:val="00073524"/>
    <w:rsid w:val="000747FD"/>
    <w:rsid w:val="000802C1"/>
    <w:rsid w:val="000833AE"/>
    <w:rsid w:val="00083C61"/>
    <w:rsid w:val="00083DC8"/>
    <w:rsid w:val="000844D8"/>
    <w:rsid w:val="00086B62"/>
    <w:rsid w:val="00087C7A"/>
    <w:rsid w:val="00090051"/>
    <w:rsid w:val="000919E8"/>
    <w:rsid w:val="000934AC"/>
    <w:rsid w:val="00095D67"/>
    <w:rsid w:val="00096CCE"/>
    <w:rsid w:val="00097067"/>
    <w:rsid w:val="000A1E83"/>
    <w:rsid w:val="000B281B"/>
    <w:rsid w:val="000B2B44"/>
    <w:rsid w:val="000B4794"/>
    <w:rsid w:val="000B50BF"/>
    <w:rsid w:val="000B5D00"/>
    <w:rsid w:val="000C0227"/>
    <w:rsid w:val="000C0E7C"/>
    <w:rsid w:val="000C2A17"/>
    <w:rsid w:val="000C3CFB"/>
    <w:rsid w:val="000C3ED3"/>
    <w:rsid w:val="000C602C"/>
    <w:rsid w:val="000C69AC"/>
    <w:rsid w:val="000C6C29"/>
    <w:rsid w:val="000D241B"/>
    <w:rsid w:val="000D5364"/>
    <w:rsid w:val="000D54EF"/>
    <w:rsid w:val="000E19B1"/>
    <w:rsid w:val="000E4322"/>
    <w:rsid w:val="000E4904"/>
    <w:rsid w:val="000E4E27"/>
    <w:rsid w:val="000F2C13"/>
    <w:rsid w:val="000F6A2C"/>
    <w:rsid w:val="00100144"/>
    <w:rsid w:val="0010265D"/>
    <w:rsid w:val="00102DC2"/>
    <w:rsid w:val="00110B17"/>
    <w:rsid w:val="00112645"/>
    <w:rsid w:val="00115127"/>
    <w:rsid w:val="00115EC3"/>
    <w:rsid w:val="00121E66"/>
    <w:rsid w:val="0012257D"/>
    <w:rsid w:val="0012348A"/>
    <w:rsid w:val="0012786E"/>
    <w:rsid w:val="001314AB"/>
    <w:rsid w:val="00133C8B"/>
    <w:rsid w:val="001352E7"/>
    <w:rsid w:val="001355A5"/>
    <w:rsid w:val="00135856"/>
    <w:rsid w:val="00135AFE"/>
    <w:rsid w:val="00137935"/>
    <w:rsid w:val="001420BE"/>
    <w:rsid w:val="00145384"/>
    <w:rsid w:val="001525D9"/>
    <w:rsid w:val="00155095"/>
    <w:rsid w:val="00155705"/>
    <w:rsid w:val="00155EAA"/>
    <w:rsid w:val="00161A43"/>
    <w:rsid w:val="00165BC8"/>
    <w:rsid w:val="00165E6F"/>
    <w:rsid w:val="00170FDC"/>
    <w:rsid w:val="001735F7"/>
    <w:rsid w:val="0018200A"/>
    <w:rsid w:val="00182626"/>
    <w:rsid w:val="001834A5"/>
    <w:rsid w:val="00185744"/>
    <w:rsid w:val="0018597A"/>
    <w:rsid w:val="00186051"/>
    <w:rsid w:val="001863D5"/>
    <w:rsid w:val="00192B23"/>
    <w:rsid w:val="00195A95"/>
    <w:rsid w:val="00196B12"/>
    <w:rsid w:val="00197558"/>
    <w:rsid w:val="00197883"/>
    <w:rsid w:val="001A03EF"/>
    <w:rsid w:val="001A3EDB"/>
    <w:rsid w:val="001A56A0"/>
    <w:rsid w:val="001A63A1"/>
    <w:rsid w:val="001A67DF"/>
    <w:rsid w:val="001A68A3"/>
    <w:rsid w:val="001A778F"/>
    <w:rsid w:val="001A7AC0"/>
    <w:rsid w:val="001B1461"/>
    <w:rsid w:val="001B6263"/>
    <w:rsid w:val="001B763A"/>
    <w:rsid w:val="001C0C5C"/>
    <w:rsid w:val="001C1579"/>
    <w:rsid w:val="001C5670"/>
    <w:rsid w:val="001C71D8"/>
    <w:rsid w:val="001D0277"/>
    <w:rsid w:val="001D232A"/>
    <w:rsid w:val="001E2ED0"/>
    <w:rsid w:val="001E4D17"/>
    <w:rsid w:val="001E738D"/>
    <w:rsid w:val="001F08D9"/>
    <w:rsid w:val="001F0C20"/>
    <w:rsid w:val="001F3208"/>
    <w:rsid w:val="001F35A0"/>
    <w:rsid w:val="001F3A98"/>
    <w:rsid w:val="001F42C4"/>
    <w:rsid w:val="001F69B1"/>
    <w:rsid w:val="001F6D25"/>
    <w:rsid w:val="001F6D4D"/>
    <w:rsid w:val="001F7434"/>
    <w:rsid w:val="002001E6"/>
    <w:rsid w:val="0020226B"/>
    <w:rsid w:val="002027E4"/>
    <w:rsid w:val="00202EC5"/>
    <w:rsid w:val="002041AB"/>
    <w:rsid w:val="002043ED"/>
    <w:rsid w:val="00204AB9"/>
    <w:rsid w:val="00206B13"/>
    <w:rsid w:val="002107F9"/>
    <w:rsid w:val="00213955"/>
    <w:rsid w:val="00213A11"/>
    <w:rsid w:val="002157A3"/>
    <w:rsid w:val="00215842"/>
    <w:rsid w:val="00216125"/>
    <w:rsid w:val="00216412"/>
    <w:rsid w:val="00220C32"/>
    <w:rsid w:val="00220D37"/>
    <w:rsid w:val="00221168"/>
    <w:rsid w:val="00223BCA"/>
    <w:rsid w:val="00225DD5"/>
    <w:rsid w:val="00227AB4"/>
    <w:rsid w:val="00232A11"/>
    <w:rsid w:val="00234620"/>
    <w:rsid w:val="00236DCB"/>
    <w:rsid w:val="00237FEC"/>
    <w:rsid w:val="00241A11"/>
    <w:rsid w:val="00242439"/>
    <w:rsid w:val="0024298D"/>
    <w:rsid w:val="0024377E"/>
    <w:rsid w:val="002452A1"/>
    <w:rsid w:val="00246223"/>
    <w:rsid w:val="002467A6"/>
    <w:rsid w:val="0024715B"/>
    <w:rsid w:val="0025143E"/>
    <w:rsid w:val="00251DD6"/>
    <w:rsid w:val="002601C6"/>
    <w:rsid w:val="00263017"/>
    <w:rsid w:val="002643B1"/>
    <w:rsid w:val="00265269"/>
    <w:rsid w:val="00266517"/>
    <w:rsid w:val="00271501"/>
    <w:rsid w:val="00272A8E"/>
    <w:rsid w:val="00272C84"/>
    <w:rsid w:val="00274DB8"/>
    <w:rsid w:val="0027504C"/>
    <w:rsid w:val="0027570D"/>
    <w:rsid w:val="002769EE"/>
    <w:rsid w:val="00276E12"/>
    <w:rsid w:val="002810B8"/>
    <w:rsid w:val="00281493"/>
    <w:rsid w:val="00283374"/>
    <w:rsid w:val="00283459"/>
    <w:rsid w:val="002858C9"/>
    <w:rsid w:val="00293049"/>
    <w:rsid w:val="00293C18"/>
    <w:rsid w:val="0029632B"/>
    <w:rsid w:val="002A0B23"/>
    <w:rsid w:val="002A257A"/>
    <w:rsid w:val="002A33B1"/>
    <w:rsid w:val="002A479E"/>
    <w:rsid w:val="002A6F13"/>
    <w:rsid w:val="002B0FFD"/>
    <w:rsid w:val="002B2596"/>
    <w:rsid w:val="002C161E"/>
    <w:rsid w:val="002C2A57"/>
    <w:rsid w:val="002C37D5"/>
    <w:rsid w:val="002C5572"/>
    <w:rsid w:val="002C6F19"/>
    <w:rsid w:val="002D1CF7"/>
    <w:rsid w:val="002D1F1F"/>
    <w:rsid w:val="002D3A3F"/>
    <w:rsid w:val="002D3D3E"/>
    <w:rsid w:val="002D4024"/>
    <w:rsid w:val="002D7275"/>
    <w:rsid w:val="002E0E1A"/>
    <w:rsid w:val="002E350E"/>
    <w:rsid w:val="002E38E0"/>
    <w:rsid w:val="002E3A1A"/>
    <w:rsid w:val="002E61B4"/>
    <w:rsid w:val="002F08C7"/>
    <w:rsid w:val="002F0905"/>
    <w:rsid w:val="002F285A"/>
    <w:rsid w:val="002F2CAB"/>
    <w:rsid w:val="002F401C"/>
    <w:rsid w:val="002F4F5B"/>
    <w:rsid w:val="002F78EF"/>
    <w:rsid w:val="00302672"/>
    <w:rsid w:val="00302F45"/>
    <w:rsid w:val="00313C78"/>
    <w:rsid w:val="00317F36"/>
    <w:rsid w:val="0032425C"/>
    <w:rsid w:val="00324E96"/>
    <w:rsid w:val="00325749"/>
    <w:rsid w:val="003259C0"/>
    <w:rsid w:val="00326396"/>
    <w:rsid w:val="003359B9"/>
    <w:rsid w:val="00336F76"/>
    <w:rsid w:val="0034014C"/>
    <w:rsid w:val="00344BAE"/>
    <w:rsid w:val="0034663B"/>
    <w:rsid w:val="00347057"/>
    <w:rsid w:val="00350607"/>
    <w:rsid w:val="00351940"/>
    <w:rsid w:val="00353A0E"/>
    <w:rsid w:val="00356D7D"/>
    <w:rsid w:val="003600AC"/>
    <w:rsid w:val="00362DC8"/>
    <w:rsid w:val="003645BF"/>
    <w:rsid w:val="00364FE4"/>
    <w:rsid w:val="003658C6"/>
    <w:rsid w:val="003711D4"/>
    <w:rsid w:val="00371D26"/>
    <w:rsid w:val="00374672"/>
    <w:rsid w:val="00374C02"/>
    <w:rsid w:val="003775FD"/>
    <w:rsid w:val="003800DD"/>
    <w:rsid w:val="003808D0"/>
    <w:rsid w:val="00383F25"/>
    <w:rsid w:val="00383F90"/>
    <w:rsid w:val="00385FC6"/>
    <w:rsid w:val="00391419"/>
    <w:rsid w:val="00391729"/>
    <w:rsid w:val="00395BC7"/>
    <w:rsid w:val="00395F05"/>
    <w:rsid w:val="00396833"/>
    <w:rsid w:val="003972BC"/>
    <w:rsid w:val="003972D3"/>
    <w:rsid w:val="003A52D9"/>
    <w:rsid w:val="003A7892"/>
    <w:rsid w:val="003B00EE"/>
    <w:rsid w:val="003B03C8"/>
    <w:rsid w:val="003B3AF3"/>
    <w:rsid w:val="003B5602"/>
    <w:rsid w:val="003B7FF9"/>
    <w:rsid w:val="003C1922"/>
    <w:rsid w:val="003C203F"/>
    <w:rsid w:val="003C3AAD"/>
    <w:rsid w:val="003D0F99"/>
    <w:rsid w:val="003D15C0"/>
    <w:rsid w:val="003D1682"/>
    <w:rsid w:val="003D3E14"/>
    <w:rsid w:val="003D628B"/>
    <w:rsid w:val="003D7F9A"/>
    <w:rsid w:val="003E23B1"/>
    <w:rsid w:val="003F085D"/>
    <w:rsid w:val="003F31B0"/>
    <w:rsid w:val="003F4396"/>
    <w:rsid w:val="003F47F3"/>
    <w:rsid w:val="003F4A98"/>
    <w:rsid w:val="003F58B3"/>
    <w:rsid w:val="003F622D"/>
    <w:rsid w:val="003F7D43"/>
    <w:rsid w:val="00400CE3"/>
    <w:rsid w:val="00401350"/>
    <w:rsid w:val="00402535"/>
    <w:rsid w:val="00403192"/>
    <w:rsid w:val="00405345"/>
    <w:rsid w:val="004060FB"/>
    <w:rsid w:val="00406875"/>
    <w:rsid w:val="00414017"/>
    <w:rsid w:val="004202BC"/>
    <w:rsid w:val="00421773"/>
    <w:rsid w:val="00421971"/>
    <w:rsid w:val="00423EAE"/>
    <w:rsid w:val="00423FCB"/>
    <w:rsid w:val="00426169"/>
    <w:rsid w:val="00434EE2"/>
    <w:rsid w:val="004406D8"/>
    <w:rsid w:val="0044121B"/>
    <w:rsid w:val="004414B4"/>
    <w:rsid w:val="00447EF1"/>
    <w:rsid w:val="00451781"/>
    <w:rsid w:val="004548E0"/>
    <w:rsid w:val="00457773"/>
    <w:rsid w:val="00457E47"/>
    <w:rsid w:val="00461E57"/>
    <w:rsid w:val="00464176"/>
    <w:rsid w:val="004712B9"/>
    <w:rsid w:val="00472FB5"/>
    <w:rsid w:val="00474100"/>
    <w:rsid w:val="0047497B"/>
    <w:rsid w:val="00477F20"/>
    <w:rsid w:val="00480104"/>
    <w:rsid w:val="00481030"/>
    <w:rsid w:val="004810F6"/>
    <w:rsid w:val="00482479"/>
    <w:rsid w:val="00484A58"/>
    <w:rsid w:val="00486A3D"/>
    <w:rsid w:val="0049003C"/>
    <w:rsid w:val="00493FB9"/>
    <w:rsid w:val="004A032A"/>
    <w:rsid w:val="004A0480"/>
    <w:rsid w:val="004A13C3"/>
    <w:rsid w:val="004A1CD3"/>
    <w:rsid w:val="004A41FD"/>
    <w:rsid w:val="004B1D3F"/>
    <w:rsid w:val="004B3EA5"/>
    <w:rsid w:val="004B4C9F"/>
    <w:rsid w:val="004B5032"/>
    <w:rsid w:val="004B54C8"/>
    <w:rsid w:val="004B6D2C"/>
    <w:rsid w:val="004C0C60"/>
    <w:rsid w:val="004C3C00"/>
    <w:rsid w:val="004C5587"/>
    <w:rsid w:val="004D7B86"/>
    <w:rsid w:val="004E0354"/>
    <w:rsid w:val="004E08B0"/>
    <w:rsid w:val="004E177A"/>
    <w:rsid w:val="004F20AE"/>
    <w:rsid w:val="004F2765"/>
    <w:rsid w:val="004F6981"/>
    <w:rsid w:val="004F7601"/>
    <w:rsid w:val="004F78DE"/>
    <w:rsid w:val="00502121"/>
    <w:rsid w:val="0050367A"/>
    <w:rsid w:val="00503D61"/>
    <w:rsid w:val="00504849"/>
    <w:rsid w:val="005066D3"/>
    <w:rsid w:val="005107F0"/>
    <w:rsid w:val="00511287"/>
    <w:rsid w:val="00513D7F"/>
    <w:rsid w:val="00515076"/>
    <w:rsid w:val="0051739E"/>
    <w:rsid w:val="00517860"/>
    <w:rsid w:val="00524D2B"/>
    <w:rsid w:val="005259C7"/>
    <w:rsid w:val="0053337C"/>
    <w:rsid w:val="0053683B"/>
    <w:rsid w:val="005379C8"/>
    <w:rsid w:val="005418EB"/>
    <w:rsid w:val="00542513"/>
    <w:rsid w:val="005441D8"/>
    <w:rsid w:val="00544E52"/>
    <w:rsid w:val="00545D6A"/>
    <w:rsid w:val="005474E8"/>
    <w:rsid w:val="0055405D"/>
    <w:rsid w:val="00554238"/>
    <w:rsid w:val="005547D8"/>
    <w:rsid w:val="00554E97"/>
    <w:rsid w:val="0055631D"/>
    <w:rsid w:val="00556E70"/>
    <w:rsid w:val="00560AB2"/>
    <w:rsid w:val="00562DAC"/>
    <w:rsid w:val="0056688E"/>
    <w:rsid w:val="00570F90"/>
    <w:rsid w:val="005715BD"/>
    <w:rsid w:val="00573BDE"/>
    <w:rsid w:val="00574719"/>
    <w:rsid w:val="005769F4"/>
    <w:rsid w:val="00577159"/>
    <w:rsid w:val="00577D27"/>
    <w:rsid w:val="00577ED4"/>
    <w:rsid w:val="00580340"/>
    <w:rsid w:val="00584A5E"/>
    <w:rsid w:val="0058540E"/>
    <w:rsid w:val="00586E00"/>
    <w:rsid w:val="00587AF1"/>
    <w:rsid w:val="00590376"/>
    <w:rsid w:val="0059238A"/>
    <w:rsid w:val="00592662"/>
    <w:rsid w:val="005A0C33"/>
    <w:rsid w:val="005A0C99"/>
    <w:rsid w:val="005A54FA"/>
    <w:rsid w:val="005A6F80"/>
    <w:rsid w:val="005B44C5"/>
    <w:rsid w:val="005B44E2"/>
    <w:rsid w:val="005B4C47"/>
    <w:rsid w:val="005B51EF"/>
    <w:rsid w:val="005B6015"/>
    <w:rsid w:val="005B6A93"/>
    <w:rsid w:val="005C2B83"/>
    <w:rsid w:val="005C61EC"/>
    <w:rsid w:val="005C6DC4"/>
    <w:rsid w:val="005D039C"/>
    <w:rsid w:val="005D0499"/>
    <w:rsid w:val="005D21E6"/>
    <w:rsid w:val="005D6E26"/>
    <w:rsid w:val="005D7CE0"/>
    <w:rsid w:val="005D7D58"/>
    <w:rsid w:val="005E1B26"/>
    <w:rsid w:val="005E2E5A"/>
    <w:rsid w:val="005E483B"/>
    <w:rsid w:val="005E4C9E"/>
    <w:rsid w:val="005E620B"/>
    <w:rsid w:val="005F14E6"/>
    <w:rsid w:val="005F14EE"/>
    <w:rsid w:val="005F30D6"/>
    <w:rsid w:val="005F4012"/>
    <w:rsid w:val="005F592A"/>
    <w:rsid w:val="005F593F"/>
    <w:rsid w:val="005F66D3"/>
    <w:rsid w:val="005F68B0"/>
    <w:rsid w:val="005F7082"/>
    <w:rsid w:val="006039B1"/>
    <w:rsid w:val="00603B5D"/>
    <w:rsid w:val="00603C91"/>
    <w:rsid w:val="00603D7B"/>
    <w:rsid w:val="0060718B"/>
    <w:rsid w:val="00607982"/>
    <w:rsid w:val="0061192D"/>
    <w:rsid w:val="006137D1"/>
    <w:rsid w:val="00614ED2"/>
    <w:rsid w:val="006154F0"/>
    <w:rsid w:val="006175AF"/>
    <w:rsid w:val="00617A4D"/>
    <w:rsid w:val="006233EC"/>
    <w:rsid w:val="00624115"/>
    <w:rsid w:val="00624734"/>
    <w:rsid w:val="006247ED"/>
    <w:rsid w:val="00624EE2"/>
    <w:rsid w:val="00626A3B"/>
    <w:rsid w:val="006301BE"/>
    <w:rsid w:val="00632B70"/>
    <w:rsid w:val="006335B5"/>
    <w:rsid w:val="00634CB4"/>
    <w:rsid w:val="00642B4A"/>
    <w:rsid w:val="0064500F"/>
    <w:rsid w:val="0064530C"/>
    <w:rsid w:val="00647130"/>
    <w:rsid w:val="0065032C"/>
    <w:rsid w:val="00650F7D"/>
    <w:rsid w:val="00655785"/>
    <w:rsid w:val="006610A6"/>
    <w:rsid w:val="00662355"/>
    <w:rsid w:val="00670FF0"/>
    <w:rsid w:val="00671DED"/>
    <w:rsid w:val="00675A84"/>
    <w:rsid w:val="00684746"/>
    <w:rsid w:val="00687808"/>
    <w:rsid w:val="00690AFF"/>
    <w:rsid w:val="00691C67"/>
    <w:rsid w:val="00695FD7"/>
    <w:rsid w:val="006962EE"/>
    <w:rsid w:val="00696F0C"/>
    <w:rsid w:val="00696FA7"/>
    <w:rsid w:val="006A2129"/>
    <w:rsid w:val="006A23E2"/>
    <w:rsid w:val="006A31A0"/>
    <w:rsid w:val="006A58A7"/>
    <w:rsid w:val="006B3C1A"/>
    <w:rsid w:val="006B3D79"/>
    <w:rsid w:val="006B439C"/>
    <w:rsid w:val="006C53A4"/>
    <w:rsid w:val="006C717A"/>
    <w:rsid w:val="006D446F"/>
    <w:rsid w:val="006D58A9"/>
    <w:rsid w:val="006E1D05"/>
    <w:rsid w:val="006E2560"/>
    <w:rsid w:val="006E4802"/>
    <w:rsid w:val="006E6C75"/>
    <w:rsid w:val="006F0669"/>
    <w:rsid w:val="006F1E54"/>
    <w:rsid w:val="006F6A0A"/>
    <w:rsid w:val="00700B81"/>
    <w:rsid w:val="00701CDB"/>
    <w:rsid w:val="00705B3D"/>
    <w:rsid w:val="00706B8F"/>
    <w:rsid w:val="00706C96"/>
    <w:rsid w:val="007102FF"/>
    <w:rsid w:val="00712927"/>
    <w:rsid w:val="00714080"/>
    <w:rsid w:val="00714EE3"/>
    <w:rsid w:val="007155E6"/>
    <w:rsid w:val="007157B6"/>
    <w:rsid w:val="00716095"/>
    <w:rsid w:val="00716A16"/>
    <w:rsid w:val="007178FB"/>
    <w:rsid w:val="0072169B"/>
    <w:rsid w:val="00721A7A"/>
    <w:rsid w:val="00725A39"/>
    <w:rsid w:val="00725EE8"/>
    <w:rsid w:val="007322C4"/>
    <w:rsid w:val="007324B2"/>
    <w:rsid w:val="00732DAD"/>
    <w:rsid w:val="0073377A"/>
    <w:rsid w:val="00735411"/>
    <w:rsid w:val="00735EC5"/>
    <w:rsid w:val="00740D9A"/>
    <w:rsid w:val="007413C2"/>
    <w:rsid w:val="00742B05"/>
    <w:rsid w:val="0074417D"/>
    <w:rsid w:val="00745F7B"/>
    <w:rsid w:val="0074725B"/>
    <w:rsid w:val="0074762A"/>
    <w:rsid w:val="007522E1"/>
    <w:rsid w:val="007540C8"/>
    <w:rsid w:val="0075491F"/>
    <w:rsid w:val="00754EB6"/>
    <w:rsid w:val="00755155"/>
    <w:rsid w:val="007560CC"/>
    <w:rsid w:val="007579CB"/>
    <w:rsid w:val="00760BD7"/>
    <w:rsid w:val="00763B83"/>
    <w:rsid w:val="00763C23"/>
    <w:rsid w:val="00764870"/>
    <w:rsid w:val="00765118"/>
    <w:rsid w:val="00765210"/>
    <w:rsid w:val="00765A73"/>
    <w:rsid w:val="007665E1"/>
    <w:rsid w:val="0076744C"/>
    <w:rsid w:val="00782800"/>
    <w:rsid w:val="00783FA1"/>
    <w:rsid w:val="0078661A"/>
    <w:rsid w:val="0078734F"/>
    <w:rsid w:val="007905E6"/>
    <w:rsid w:val="00790905"/>
    <w:rsid w:val="0079136D"/>
    <w:rsid w:val="00792A30"/>
    <w:rsid w:val="007954FE"/>
    <w:rsid w:val="007A015D"/>
    <w:rsid w:val="007A3275"/>
    <w:rsid w:val="007A45B5"/>
    <w:rsid w:val="007A4AB2"/>
    <w:rsid w:val="007B2D56"/>
    <w:rsid w:val="007B3960"/>
    <w:rsid w:val="007B3B22"/>
    <w:rsid w:val="007B42C6"/>
    <w:rsid w:val="007B5664"/>
    <w:rsid w:val="007B67B6"/>
    <w:rsid w:val="007B723C"/>
    <w:rsid w:val="007C10D5"/>
    <w:rsid w:val="007C1C2A"/>
    <w:rsid w:val="007C387C"/>
    <w:rsid w:val="007C7C39"/>
    <w:rsid w:val="007C7FCD"/>
    <w:rsid w:val="007D1E7F"/>
    <w:rsid w:val="007D288C"/>
    <w:rsid w:val="007D55B8"/>
    <w:rsid w:val="007D5873"/>
    <w:rsid w:val="007D5AAC"/>
    <w:rsid w:val="007E183A"/>
    <w:rsid w:val="007E438C"/>
    <w:rsid w:val="007E4C9A"/>
    <w:rsid w:val="007E4CC4"/>
    <w:rsid w:val="007E6E64"/>
    <w:rsid w:val="007E7F49"/>
    <w:rsid w:val="007F2DB4"/>
    <w:rsid w:val="0080164D"/>
    <w:rsid w:val="00802B8C"/>
    <w:rsid w:val="00802D72"/>
    <w:rsid w:val="00803EC1"/>
    <w:rsid w:val="0080428A"/>
    <w:rsid w:val="00804EFC"/>
    <w:rsid w:val="0080615D"/>
    <w:rsid w:val="008071CF"/>
    <w:rsid w:val="00813B01"/>
    <w:rsid w:val="00823D21"/>
    <w:rsid w:val="00825F05"/>
    <w:rsid w:val="00826C7A"/>
    <w:rsid w:val="00827634"/>
    <w:rsid w:val="00831457"/>
    <w:rsid w:val="00835FBB"/>
    <w:rsid w:val="00836783"/>
    <w:rsid w:val="008371E8"/>
    <w:rsid w:val="00837E91"/>
    <w:rsid w:val="00842846"/>
    <w:rsid w:val="00850DFF"/>
    <w:rsid w:val="008518E7"/>
    <w:rsid w:val="00857313"/>
    <w:rsid w:val="00857968"/>
    <w:rsid w:val="00862161"/>
    <w:rsid w:val="00862B69"/>
    <w:rsid w:val="0086385B"/>
    <w:rsid w:val="00863CC0"/>
    <w:rsid w:val="00864969"/>
    <w:rsid w:val="00865E09"/>
    <w:rsid w:val="008672DE"/>
    <w:rsid w:val="00870933"/>
    <w:rsid w:val="00871A09"/>
    <w:rsid w:val="00872AB0"/>
    <w:rsid w:val="00880733"/>
    <w:rsid w:val="00886BAE"/>
    <w:rsid w:val="00886E28"/>
    <w:rsid w:val="00887178"/>
    <w:rsid w:val="008919C0"/>
    <w:rsid w:val="00891D6D"/>
    <w:rsid w:val="0089261E"/>
    <w:rsid w:val="00894F20"/>
    <w:rsid w:val="00894F93"/>
    <w:rsid w:val="00894FAF"/>
    <w:rsid w:val="00895DF9"/>
    <w:rsid w:val="0089664F"/>
    <w:rsid w:val="008969EF"/>
    <w:rsid w:val="008977EC"/>
    <w:rsid w:val="00897C76"/>
    <w:rsid w:val="008A0F02"/>
    <w:rsid w:val="008A1927"/>
    <w:rsid w:val="008B08F6"/>
    <w:rsid w:val="008B4063"/>
    <w:rsid w:val="008C0573"/>
    <w:rsid w:val="008C1697"/>
    <w:rsid w:val="008C360F"/>
    <w:rsid w:val="008C3EFB"/>
    <w:rsid w:val="008C3F32"/>
    <w:rsid w:val="008C447A"/>
    <w:rsid w:val="008C70AA"/>
    <w:rsid w:val="008D0D6D"/>
    <w:rsid w:val="008D2793"/>
    <w:rsid w:val="008D4A2E"/>
    <w:rsid w:val="008D7A69"/>
    <w:rsid w:val="008E0D59"/>
    <w:rsid w:val="008E138F"/>
    <w:rsid w:val="008E3B8E"/>
    <w:rsid w:val="008E4E67"/>
    <w:rsid w:val="008E5C6F"/>
    <w:rsid w:val="008E6078"/>
    <w:rsid w:val="008E62F4"/>
    <w:rsid w:val="008E6D55"/>
    <w:rsid w:val="008E743A"/>
    <w:rsid w:val="008E7664"/>
    <w:rsid w:val="008F0CB2"/>
    <w:rsid w:val="008F10AC"/>
    <w:rsid w:val="008F3A91"/>
    <w:rsid w:val="008F555F"/>
    <w:rsid w:val="008F614F"/>
    <w:rsid w:val="008F62FE"/>
    <w:rsid w:val="009013A6"/>
    <w:rsid w:val="00901A26"/>
    <w:rsid w:val="00902372"/>
    <w:rsid w:val="0090400E"/>
    <w:rsid w:val="00910E1F"/>
    <w:rsid w:val="00912B89"/>
    <w:rsid w:val="00913217"/>
    <w:rsid w:val="00914095"/>
    <w:rsid w:val="009146D8"/>
    <w:rsid w:val="00923CAB"/>
    <w:rsid w:val="00924CB0"/>
    <w:rsid w:val="00926561"/>
    <w:rsid w:val="00926B7F"/>
    <w:rsid w:val="00927770"/>
    <w:rsid w:val="00930868"/>
    <w:rsid w:val="009316E7"/>
    <w:rsid w:val="00937333"/>
    <w:rsid w:val="009402E8"/>
    <w:rsid w:val="00941272"/>
    <w:rsid w:val="0094146C"/>
    <w:rsid w:val="00942712"/>
    <w:rsid w:val="00942715"/>
    <w:rsid w:val="009522A7"/>
    <w:rsid w:val="00956FBB"/>
    <w:rsid w:val="009577AB"/>
    <w:rsid w:val="00960974"/>
    <w:rsid w:val="0096328D"/>
    <w:rsid w:val="00970F57"/>
    <w:rsid w:val="00971353"/>
    <w:rsid w:val="00973C1E"/>
    <w:rsid w:val="009770BA"/>
    <w:rsid w:val="00977617"/>
    <w:rsid w:val="00985F80"/>
    <w:rsid w:val="00986AFD"/>
    <w:rsid w:val="00987A19"/>
    <w:rsid w:val="009924EC"/>
    <w:rsid w:val="00996C81"/>
    <w:rsid w:val="009A0D92"/>
    <w:rsid w:val="009A342F"/>
    <w:rsid w:val="009A41CC"/>
    <w:rsid w:val="009A48A5"/>
    <w:rsid w:val="009A5BCF"/>
    <w:rsid w:val="009A6EC6"/>
    <w:rsid w:val="009B24EE"/>
    <w:rsid w:val="009B26B3"/>
    <w:rsid w:val="009B2FDA"/>
    <w:rsid w:val="009B37F7"/>
    <w:rsid w:val="009B5DEC"/>
    <w:rsid w:val="009C0361"/>
    <w:rsid w:val="009C2EBA"/>
    <w:rsid w:val="009C40CE"/>
    <w:rsid w:val="009C49FC"/>
    <w:rsid w:val="009C55F6"/>
    <w:rsid w:val="009C64BB"/>
    <w:rsid w:val="009C7C8E"/>
    <w:rsid w:val="009D4375"/>
    <w:rsid w:val="009D5820"/>
    <w:rsid w:val="009D6EFE"/>
    <w:rsid w:val="009E2483"/>
    <w:rsid w:val="009E612D"/>
    <w:rsid w:val="009E6A30"/>
    <w:rsid w:val="009F0DCF"/>
    <w:rsid w:val="009F19C7"/>
    <w:rsid w:val="009F70B3"/>
    <w:rsid w:val="009F7393"/>
    <w:rsid w:val="00A033F5"/>
    <w:rsid w:val="00A03B68"/>
    <w:rsid w:val="00A03DBB"/>
    <w:rsid w:val="00A05499"/>
    <w:rsid w:val="00A05C6D"/>
    <w:rsid w:val="00A0765E"/>
    <w:rsid w:val="00A077DC"/>
    <w:rsid w:val="00A07A8D"/>
    <w:rsid w:val="00A114D3"/>
    <w:rsid w:val="00A11DFA"/>
    <w:rsid w:val="00A138DD"/>
    <w:rsid w:val="00A13EEC"/>
    <w:rsid w:val="00A16A83"/>
    <w:rsid w:val="00A174C9"/>
    <w:rsid w:val="00A2116F"/>
    <w:rsid w:val="00A2117C"/>
    <w:rsid w:val="00A22446"/>
    <w:rsid w:val="00A22455"/>
    <w:rsid w:val="00A2617C"/>
    <w:rsid w:val="00A41E8A"/>
    <w:rsid w:val="00A45DF0"/>
    <w:rsid w:val="00A47A9D"/>
    <w:rsid w:val="00A512BC"/>
    <w:rsid w:val="00A51832"/>
    <w:rsid w:val="00A52C59"/>
    <w:rsid w:val="00A539D5"/>
    <w:rsid w:val="00A53A9D"/>
    <w:rsid w:val="00A54085"/>
    <w:rsid w:val="00A575D1"/>
    <w:rsid w:val="00A65E6F"/>
    <w:rsid w:val="00A676EB"/>
    <w:rsid w:val="00A73B51"/>
    <w:rsid w:val="00A740F3"/>
    <w:rsid w:val="00A805B9"/>
    <w:rsid w:val="00A8110C"/>
    <w:rsid w:val="00A81FB0"/>
    <w:rsid w:val="00A83839"/>
    <w:rsid w:val="00A86BB7"/>
    <w:rsid w:val="00A87CB1"/>
    <w:rsid w:val="00A90735"/>
    <w:rsid w:val="00A9132D"/>
    <w:rsid w:val="00A9218E"/>
    <w:rsid w:val="00A9222A"/>
    <w:rsid w:val="00A95B7A"/>
    <w:rsid w:val="00AA3B6D"/>
    <w:rsid w:val="00AB01BE"/>
    <w:rsid w:val="00AB331E"/>
    <w:rsid w:val="00AB4441"/>
    <w:rsid w:val="00AB5D07"/>
    <w:rsid w:val="00AB7D54"/>
    <w:rsid w:val="00AC31F0"/>
    <w:rsid w:val="00AC331F"/>
    <w:rsid w:val="00AC33CC"/>
    <w:rsid w:val="00AC5103"/>
    <w:rsid w:val="00AC5740"/>
    <w:rsid w:val="00AC5BE2"/>
    <w:rsid w:val="00AC6AC8"/>
    <w:rsid w:val="00AD4256"/>
    <w:rsid w:val="00AD54F2"/>
    <w:rsid w:val="00AD558B"/>
    <w:rsid w:val="00AD5A3C"/>
    <w:rsid w:val="00AD5F3B"/>
    <w:rsid w:val="00AE0A2C"/>
    <w:rsid w:val="00AE197F"/>
    <w:rsid w:val="00AE2646"/>
    <w:rsid w:val="00AE3169"/>
    <w:rsid w:val="00AE4564"/>
    <w:rsid w:val="00AE6EF0"/>
    <w:rsid w:val="00AE7DC4"/>
    <w:rsid w:val="00AF1FD3"/>
    <w:rsid w:val="00AF3090"/>
    <w:rsid w:val="00AF49D9"/>
    <w:rsid w:val="00B00F83"/>
    <w:rsid w:val="00B01328"/>
    <w:rsid w:val="00B031AE"/>
    <w:rsid w:val="00B04B93"/>
    <w:rsid w:val="00B04C92"/>
    <w:rsid w:val="00B06569"/>
    <w:rsid w:val="00B10A33"/>
    <w:rsid w:val="00B11051"/>
    <w:rsid w:val="00B132E3"/>
    <w:rsid w:val="00B13EDF"/>
    <w:rsid w:val="00B22D4A"/>
    <w:rsid w:val="00B2345C"/>
    <w:rsid w:val="00B252BC"/>
    <w:rsid w:val="00B25862"/>
    <w:rsid w:val="00B312E0"/>
    <w:rsid w:val="00B31774"/>
    <w:rsid w:val="00B31DE5"/>
    <w:rsid w:val="00B32CD1"/>
    <w:rsid w:val="00B3619B"/>
    <w:rsid w:val="00B3750E"/>
    <w:rsid w:val="00B4204A"/>
    <w:rsid w:val="00B44293"/>
    <w:rsid w:val="00B44ADB"/>
    <w:rsid w:val="00B45E31"/>
    <w:rsid w:val="00B46265"/>
    <w:rsid w:val="00B46CBE"/>
    <w:rsid w:val="00B47207"/>
    <w:rsid w:val="00B477E4"/>
    <w:rsid w:val="00B50DC9"/>
    <w:rsid w:val="00B511C1"/>
    <w:rsid w:val="00B51D86"/>
    <w:rsid w:val="00B522FB"/>
    <w:rsid w:val="00B53306"/>
    <w:rsid w:val="00B5398A"/>
    <w:rsid w:val="00B55027"/>
    <w:rsid w:val="00B607C2"/>
    <w:rsid w:val="00B62A55"/>
    <w:rsid w:val="00B63378"/>
    <w:rsid w:val="00B64B68"/>
    <w:rsid w:val="00B7178D"/>
    <w:rsid w:val="00B71F05"/>
    <w:rsid w:val="00B74FB0"/>
    <w:rsid w:val="00B76991"/>
    <w:rsid w:val="00B8048F"/>
    <w:rsid w:val="00B82890"/>
    <w:rsid w:val="00B842CA"/>
    <w:rsid w:val="00B93065"/>
    <w:rsid w:val="00B94B2C"/>
    <w:rsid w:val="00BA063E"/>
    <w:rsid w:val="00BA132E"/>
    <w:rsid w:val="00BA1423"/>
    <w:rsid w:val="00BA7E0A"/>
    <w:rsid w:val="00BB109C"/>
    <w:rsid w:val="00BB2179"/>
    <w:rsid w:val="00BB3A43"/>
    <w:rsid w:val="00BB5643"/>
    <w:rsid w:val="00BC1926"/>
    <w:rsid w:val="00BC33D8"/>
    <w:rsid w:val="00BC4B10"/>
    <w:rsid w:val="00BD1ECF"/>
    <w:rsid w:val="00BD2DD2"/>
    <w:rsid w:val="00BD4302"/>
    <w:rsid w:val="00BD5027"/>
    <w:rsid w:val="00BD6150"/>
    <w:rsid w:val="00BD7356"/>
    <w:rsid w:val="00BD739D"/>
    <w:rsid w:val="00BE0525"/>
    <w:rsid w:val="00BE0E14"/>
    <w:rsid w:val="00BE2407"/>
    <w:rsid w:val="00BE420F"/>
    <w:rsid w:val="00BE5B91"/>
    <w:rsid w:val="00BE6A2D"/>
    <w:rsid w:val="00BE7ABF"/>
    <w:rsid w:val="00BF13A4"/>
    <w:rsid w:val="00BF25CD"/>
    <w:rsid w:val="00C005BD"/>
    <w:rsid w:val="00C04657"/>
    <w:rsid w:val="00C04B6A"/>
    <w:rsid w:val="00C10BC1"/>
    <w:rsid w:val="00C121EF"/>
    <w:rsid w:val="00C14B76"/>
    <w:rsid w:val="00C24A7D"/>
    <w:rsid w:val="00C273A6"/>
    <w:rsid w:val="00C278E9"/>
    <w:rsid w:val="00C27997"/>
    <w:rsid w:val="00C27EDF"/>
    <w:rsid w:val="00C30BF5"/>
    <w:rsid w:val="00C328C5"/>
    <w:rsid w:val="00C35424"/>
    <w:rsid w:val="00C37419"/>
    <w:rsid w:val="00C41A05"/>
    <w:rsid w:val="00C469C8"/>
    <w:rsid w:val="00C50B44"/>
    <w:rsid w:val="00C54107"/>
    <w:rsid w:val="00C546CD"/>
    <w:rsid w:val="00C551A2"/>
    <w:rsid w:val="00C55549"/>
    <w:rsid w:val="00C62A1B"/>
    <w:rsid w:val="00C6456A"/>
    <w:rsid w:val="00C71620"/>
    <w:rsid w:val="00C73BC6"/>
    <w:rsid w:val="00C75FAF"/>
    <w:rsid w:val="00C7622B"/>
    <w:rsid w:val="00C771CE"/>
    <w:rsid w:val="00C83903"/>
    <w:rsid w:val="00C86F52"/>
    <w:rsid w:val="00C873DC"/>
    <w:rsid w:val="00C902E0"/>
    <w:rsid w:val="00C9245F"/>
    <w:rsid w:val="00C925E4"/>
    <w:rsid w:val="00C92C11"/>
    <w:rsid w:val="00C92EAD"/>
    <w:rsid w:val="00C92FE7"/>
    <w:rsid w:val="00C93AA2"/>
    <w:rsid w:val="00CA3426"/>
    <w:rsid w:val="00CA4CCA"/>
    <w:rsid w:val="00CB4CD9"/>
    <w:rsid w:val="00CB50A8"/>
    <w:rsid w:val="00CC0499"/>
    <w:rsid w:val="00CC3742"/>
    <w:rsid w:val="00CD0B0F"/>
    <w:rsid w:val="00CD1D03"/>
    <w:rsid w:val="00CD3E20"/>
    <w:rsid w:val="00CD77CB"/>
    <w:rsid w:val="00CD7826"/>
    <w:rsid w:val="00CE1EF4"/>
    <w:rsid w:val="00CE2D1A"/>
    <w:rsid w:val="00CE4EAA"/>
    <w:rsid w:val="00CE5A6A"/>
    <w:rsid w:val="00CE75B2"/>
    <w:rsid w:val="00CE77BC"/>
    <w:rsid w:val="00CF043B"/>
    <w:rsid w:val="00CF1ACF"/>
    <w:rsid w:val="00CF2322"/>
    <w:rsid w:val="00D046F3"/>
    <w:rsid w:val="00D056B4"/>
    <w:rsid w:val="00D05B4A"/>
    <w:rsid w:val="00D0654E"/>
    <w:rsid w:val="00D10001"/>
    <w:rsid w:val="00D13938"/>
    <w:rsid w:val="00D1520E"/>
    <w:rsid w:val="00D173BB"/>
    <w:rsid w:val="00D206E5"/>
    <w:rsid w:val="00D2156C"/>
    <w:rsid w:val="00D219AC"/>
    <w:rsid w:val="00D22C56"/>
    <w:rsid w:val="00D23F3E"/>
    <w:rsid w:val="00D24558"/>
    <w:rsid w:val="00D27981"/>
    <w:rsid w:val="00D3034E"/>
    <w:rsid w:val="00D31E16"/>
    <w:rsid w:val="00D35A4C"/>
    <w:rsid w:val="00D41E75"/>
    <w:rsid w:val="00D43764"/>
    <w:rsid w:val="00D439E9"/>
    <w:rsid w:val="00D4425A"/>
    <w:rsid w:val="00D47FD6"/>
    <w:rsid w:val="00D56D59"/>
    <w:rsid w:val="00D60041"/>
    <w:rsid w:val="00D60086"/>
    <w:rsid w:val="00D603B2"/>
    <w:rsid w:val="00D6067F"/>
    <w:rsid w:val="00D612B2"/>
    <w:rsid w:val="00D64B9A"/>
    <w:rsid w:val="00D66AB4"/>
    <w:rsid w:val="00D67193"/>
    <w:rsid w:val="00D71E46"/>
    <w:rsid w:val="00D74A50"/>
    <w:rsid w:val="00D800E5"/>
    <w:rsid w:val="00D8221E"/>
    <w:rsid w:val="00D8482F"/>
    <w:rsid w:val="00D84F0F"/>
    <w:rsid w:val="00D875BF"/>
    <w:rsid w:val="00D9249C"/>
    <w:rsid w:val="00D93B94"/>
    <w:rsid w:val="00DA1DC8"/>
    <w:rsid w:val="00DA2155"/>
    <w:rsid w:val="00DA395A"/>
    <w:rsid w:val="00DA733A"/>
    <w:rsid w:val="00DA74E8"/>
    <w:rsid w:val="00DB4F5B"/>
    <w:rsid w:val="00DB6E21"/>
    <w:rsid w:val="00DB7D75"/>
    <w:rsid w:val="00DB7F27"/>
    <w:rsid w:val="00DC6116"/>
    <w:rsid w:val="00DC6664"/>
    <w:rsid w:val="00DD1E29"/>
    <w:rsid w:val="00DD25B1"/>
    <w:rsid w:val="00DD46E4"/>
    <w:rsid w:val="00DD60DE"/>
    <w:rsid w:val="00DE1247"/>
    <w:rsid w:val="00DE1F53"/>
    <w:rsid w:val="00DE291F"/>
    <w:rsid w:val="00DE3277"/>
    <w:rsid w:val="00DF192B"/>
    <w:rsid w:val="00DF2BDC"/>
    <w:rsid w:val="00DF4B4A"/>
    <w:rsid w:val="00DF4E6D"/>
    <w:rsid w:val="00DF54CE"/>
    <w:rsid w:val="00DF6374"/>
    <w:rsid w:val="00DF658E"/>
    <w:rsid w:val="00DF6C09"/>
    <w:rsid w:val="00DF72AA"/>
    <w:rsid w:val="00DF771D"/>
    <w:rsid w:val="00E010FC"/>
    <w:rsid w:val="00E0129A"/>
    <w:rsid w:val="00E07F3F"/>
    <w:rsid w:val="00E100D1"/>
    <w:rsid w:val="00E17BBD"/>
    <w:rsid w:val="00E20F3A"/>
    <w:rsid w:val="00E229E9"/>
    <w:rsid w:val="00E22D66"/>
    <w:rsid w:val="00E254C4"/>
    <w:rsid w:val="00E266D9"/>
    <w:rsid w:val="00E32504"/>
    <w:rsid w:val="00E35CAE"/>
    <w:rsid w:val="00E408AB"/>
    <w:rsid w:val="00E40D01"/>
    <w:rsid w:val="00E41AA5"/>
    <w:rsid w:val="00E41C0A"/>
    <w:rsid w:val="00E4486D"/>
    <w:rsid w:val="00E46661"/>
    <w:rsid w:val="00E50159"/>
    <w:rsid w:val="00E54EF1"/>
    <w:rsid w:val="00E577A4"/>
    <w:rsid w:val="00E57AE3"/>
    <w:rsid w:val="00E61027"/>
    <w:rsid w:val="00E6387C"/>
    <w:rsid w:val="00E64AEB"/>
    <w:rsid w:val="00E64B12"/>
    <w:rsid w:val="00E664CC"/>
    <w:rsid w:val="00E6671C"/>
    <w:rsid w:val="00E7093E"/>
    <w:rsid w:val="00E77108"/>
    <w:rsid w:val="00E8330D"/>
    <w:rsid w:val="00E859D6"/>
    <w:rsid w:val="00E85B07"/>
    <w:rsid w:val="00E85CE7"/>
    <w:rsid w:val="00E86419"/>
    <w:rsid w:val="00E86A30"/>
    <w:rsid w:val="00E87156"/>
    <w:rsid w:val="00E877CA"/>
    <w:rsid w:val="00E92C1E"/>
    <w:rsid w:val="00E93A83"/>
    <w:rsid w:val="00E94670"/>
    <w:rsid w:val="00E95517"/>
    <w:rsid w:val="00E96EDC"/>
    <w:rsid w:val="00EA1D2D"/>
    <w:rsid w:val="00EA37A3"/>
    <w:rsid w:val="00EA4E26"/>
    <w:rsid w:val="00EA51CE"/>
    <w:rsid w:val="00EA7906"/>
    <w:rsid w:val="00EB03B5"/>
    <w:rsid w:val="00EB42C6"/>
    <w:rsid w:val="00EC44C5"/>
    <w:rsid w:val="00EC57AF"/>
    <w:rsid w:val="00EC79D2"/>
    <w:rsid w:val="00ED0356"/>
    <w:rsid w:val="00ED07E5"/>
    <w:rsid w:val="00ED2057"/>
    <w:rsid w:val="00ED2695"/>
    <w:rsid w:val="00ED5773"/>
    <w:rsid w:val="00EE14B8"/>
    <w:rsid w:val="00EE1C71"/>
    <w:rsid w:val="00EF20DD"/>
    <w:rsid w:val="00EF4ADD"/>
    <w:rsid w:val="00EF7642"/>
    <w:rsid w:val="00F02F16"/>
    <w:rsid w:val="00F10F2F"/>
    <w:rsid w:val="00F114E3"/>
    <w:rsid w:val="00F12DEC"/>
    <w:rsid w:val="00F1424E"/>
    <w:rsid w:val="00F1439E"/>
    <w:rsid w:val="00F162D6"/>
    <w:rsid w:val="00F17C01"/>
    <w:rsid w:val="00F201A8"/>
    <w:rsid w:val="00F2455F"/>
    <w:rsid w:val="00F33055"/>
    <w:rsid w:val="00F33CEA"/>
    <w:rsid w:val="00F36908"/>
    <w:rsid w:val="00F40088"/>
    <w:rsid w:val="00F47F02"/>
    <w:rsid w:val="00F52097"/>
    <w:rsid w:val="00F52EBA"/>
    <w:rsid w:val="00F5355A"/>
    <w:rsid w:val="00F54C5C"/>
    <w:rsid w:val="00F66477"/>
    <w:rsid w:val="00F745C5"/>
    <w:rsid w:val="00F74E37"/>
    <w:rsid w:val="00F77113"/>
    <w:rsid w:val="00F776D0"/>
    <w:rsid w:val="00F804B6"/>
    <w:rsid w:val="00F806C2"/>
    <w:rsid w:val="00F8327F"/>
    <w:rsid w:val="00F83723"/>
    <w:rsid w:val="00F86C43"/>
    <w:rsid w:val="00F91654"/>
    <w:rsid w:val="00F95D53"/>
    <w:rsid w:val="00FA321F"/>
    <w:rsid w:val="00FA3AC7"/>
    <w:rsid w:val="00FA4890"/>
    <w:rsid w:val="00FB0302"/>
    <w:rsid w:val="00FB2B01"/>
    <w:rsid w:val="00FB3770"/>
    <w:rsid w:val="00FB3B63"/>
    <w:rsid w:val="00FB4413"/>
    <w:rsid w:val="00FB461A"/>
    <w:rsid w:val="00FB47F1"/>
    <w:rsid w:val="00FC08BE"/>
    <w:rsid w:val="00FC1494"/>
    <w:rsid w:val="00FC23EE"/>
    <w:rsid w:val="00FC2406"/>
    <w:rsid w:val="00FC3F3E"/>
    <w:rsid w:val="00FC7C2A"/>
    <w:rsid w:val="00FC7C76"/>
    <w:rsid w:val="00FD1832"/>
    <w:rsid w:val="00FD3D66"/>
    <w:rsid w:val="00FD4ED4"/>
    <w:rsid w:val="00FD7A09"/>
    <w:rsid w:val="00FE0644"/>
    <w:rsid w:val="00FE074F"/>
    <w:rsid w:val="00FE1C1A"/>
    <w:rsid w:val="00FE4777"/>
    <w:rsid w:val="00FE4C93"/>
    <w:rsid w:val="00FE7D5E"/>
    <w:rsid w:val="00FF1C01"/>
    <w:rsid w:val="00FF2BDB"/>
    <w:rsid w:val="00FF3334"/>
    <w:rsid w:val="00FF592E"/>
    <w:rsid w:val="00FF6180"/>
    <w:rsid w:val="00FF6A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4B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38C"/>
    <w:rPr>
      <w:rFonts w:ascii="Times New Roman" w:hAnsi="Times New Roman" w:cs="Times New Roman"/>
    </w:rPr>
  </w:style>
  <w:style w:type="paragraph" w:styleId="Heading3">
    <w:name w:val="heading 3"/>
    <w:basedOn w:val="Normal"/>
    <w:link w:val="Heading3Char"/>
    <w:uiPriority w:val="9"/>
    <w:qFormat/>
    <w:rsid w:val="0097761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w:basedOn w:val="Normal"/>
    <w:link w:val="FootnoteTextChar"/>
    <w:unhideWhenUsed/>
    <w:rsid w:val="00423EAE"/>
  </w:style>
  <w:style w:type="character" w:customStyle="1" w:styleId="FootnoteTextChar">
    <w:name w:val="Footnote Text Char"/>
    <w:aliases w:val=" Char Char"/>
    <w:basedOn w:val="DefaultParagraphFont"/>
    <w:link w:val="FootnoteText"/>
    <w:rsid w:val="00423EAE"/>
  </w:style>
  <w:style w:type="character" w:styleId="FootnoteReference">
    <w:name w:val="footnote reference"/>
    <w:basedOn w:val="DefaultParagraphFont"/>
    <w:unhideWhenUsed/>
    <w:rsid w:val="00423EAE"/>
    <w:rPr>
      <w:vertAlign w:val="superscript"/>
    </w:rPr>
  </w:style>
  <w:style w:type="character" w:styleId="Hyperlink">
    <w:name w:val="Hyperlink"/>
    <w:basedOn w:val="DefaultParagraphFont"/>
    <w:uiPriority w:val="99"/>
    <w:unhideWhenUsed/>
    <w:rsid w:val="00423EAE"/>
    <w:rPr>
      <w:color w:val="0000FF" w:themeColor="hyperlink"/>
      <w:u w:val="single"/>
    </w:rPr>
  </w:style>
  <w:style w:type="paragraph" w:styleId="ListParagraph">
    <w:name w:val="List Paragraph"/>
    <w:basedOn w:val="Normal"/>
    <w:uiPriority w:val="34"/>
    <w:qFormat/>
    <w:rsid w:val="003A7892"/>
    <w:pPr>
      <w:ind w:left="720"/>
      <w:contextualSpacing/>
    </w:pPr>
  </w:style>
  <w:style w:type="paragraph" w:styleId="Header">
    <w:name w:val="header"/>
    <w:basedOn w:val="Normal"/>
    <w:link w:val="HeaderChar"/>
    <w:uiPriority w:val="99"/>
    <w:unhideWhenUsed/>
    <w:rsid w:val="004406D8"/>
    <w:pPr>
      <w:tabs>
        <w:tab w:val="center" w:pos="4680"/>
        <w:tab w:val="right" w:pos="9360"/>
      </w:tabs>
    </w:pPr>
  </w:style>
  <w:style w:type="character" w:customStyle="1" w:styleId="HeaderChar">
    <w:name w:val="Header Char"/>
    <w:basedOn w:val="DefaultParagraphFont"/>
    <w:link w:val="Header"/>
    <w:uiPriority w:val="99"/>
    <w:rsid w:val="004406D8"/>
  </w:style>
  <w:style w:type="paragraph" w:styleId="Footer">
    <w:name w:val="footer"/>
    <w:basedOn w:val="Normal"/>
    <w:link w:val="FooterChar"/>
    <w:uiPriority w:val="99"/>
    <w:unhideWhenUsed/>
    <w:rsid w:val="004406D8"/>
    <w:pPr>
      <w:tabs>
        <w:tab w:val="center" w:pos="4680"/>
        <w:tab w:val="right" w:pos="9360"/>
      </w:tabs>
    </w:pPr>
  </w:style>
  <w:style w:type="character" w:customStyle="1" w:styleId="FooterChar">
    <w:name w:val="Footer Char"/>
    <w:basedOn w:val="DefaultParagraphFont"/>
    <w:link w:val="Footer"/>
    <w:uiPriority w:val="99"/>
    <w:rsid w:val="004406D8"/>
  </w:style>
  <w:style w:type="paragraph" w:styleId="EndnoteText">
    <w:name w:val="endnote text"/>
    <w:basedOn w:val="Normal"/>
    <w:link w:val="EndnoteTextChar"/>
    <w:semiHidden/>
    <w:rsid w:val="005066D3"/>
    <w:rPr>
      <w:rFonts w:eastAsia="Times New Roman"/>
      <w:sz w:val="20"/>
      <w:szCs w:val="20"/>
    </w:rPr>
  </w:style>
  <w:style w:type="character" w:customStyle="1" w:styleId="EndnoteTextChar">
    <w:name w:val="Endnote Text Char"/>
    <w:basedOn w:val="DefaultParagraphFont"/>
    <w:link w:val="EndnoteText"/>
    <w:semiHidden/>
    <w:rsid w:val="005066D3"/>
    <w:rPr>
      <w:rFonts w:ascii="Times New Roman" w:eastAsia="Times New Roman" w:hAnsi="Times New Roman" w:cs="Times New Roman"/>
      <w:sz w:val="20"/>
      <w:szCs w:val="20"/>
    </w:rPr>
  </w:style>
  <w:style w:type="character" w:styleId="EndnoteReference">
    <w:name w:val="endnote reference"/>
    <w:basedOn w:val="DefaultParagraphFont"/>
    <w:semiHidden/>
    <w:rsid w:val="005066D3"/>
    <w:rPr>
      <w:vertAlign w:val="superscript"/>
    </w:rPr>
  </w:style>
  <w:style w:type="character" w:customStyle="1" w:styleId="Heading3Char">
    <w:name w:val="Heading 3 Char"/>
    <w:basedOn w:val="DefaultParagraphFont"/>
    <w:link w:val="Heading3"/>
    <w:uiPriority w:val="9"/>
    <w:rsid w:val="00977617"/>
    <w:rPr>
      <w:rFonts w:ascii="Times New Roman" w:hAnsi="Times New Roman" w:cs="Times New Roman"/>
      <w:b/>
      <w:bCs/>
      <w:sz w:val="27"/>
      <w:szCs w:val="27"/>
    </w:rPr>
  </w:style>
  <w:style w:type="character" w:styleId="Emphasis">
    <w:name w:val="Emphasis"/>
    <w:basedOn w:val="DefaultParagraphFont"/>
    <w:uiPriority w:val="20"/>
    <w:qFormat/>
    <w:rsid w:val="00614ED2"/>
    <w:rPr>
      <w:i/>
      <w:iCs/>
    </w:rPr>
  </w:style>
  <w:style w:type="character" w:customStyle="1" w:styleId="apple-converted-space">
    <w:name w:val="apple-converted-space"/>
    <w:basedOn w:val="DefaultParagraphFont"/>
    <w:rsid w:val="00614ED2"/>
  </w:style>
  <w:style w:type="character" w:customStyle="1" w:styleId="sectionlabel">
    <w:name w:val="sectionlabel"/>
    <w:basedOn w:val="DefaultParagraphFont"/>
    <w:rsid w:val="004E177A"/>
  </w:style>
  <w:style w:type="character" w:customStyle="1" w:styleId="lawlabel">
    <w:name w:val="lawlabel"/>
    <w:basedOn w:val="DefaultParagraphFont"/>
    <w:rsid w:val="004E177A"/>
  </w:style>
  <w:style w:type="paragraph" w:styleId="PlainText">
    <w:name w:val="Plain Text"/>
    <w:basedOn w:val="Normal"/>
    <w:link w:val="PlainTextChar"/>
    <w:uiPriority w:val="99"/>
    <w:unhideWhenUsed/>
    <w:rsid w:val="00725EE8"/>
    <w:rPr>
      <w:rFonts w:ascii="Consolas" w:eastAsiaTheme="minorHAnsi" w:hAnsi="Consolas" w:cstheme="minorBidi"/>
      <w:sz w:val="21"/>
      <w:szCs w:val="21"/>
      <w:lang w:val="en-CA"/>
    </w:rPr>
  </w:style>
  <w:style w:type="character" w:customStyle="1" w:styleId="PlainTextChar">
    <w:name w:val="Plain Text Char"/>
    <w:basedOn w:val="DefaultParagraphFont"/>
    <w:link w:val="PlainText"/>
    <w:uiPriority w:val="99"/>
    <w:rsid w:val="00725EE8"/>
    <w:rPr>
      <w:rFonts w:ascii="Consolas" w:eastAsiaTheme="minorHAnsi" w:hAnsi="Consolas"/>
      <w:sz w:val="21"/>
      <w:szCs w:val="21"/>
      <w:lang w:val="en-CA"/>
    </w:rPr>
  </w:style>
  <w:style w:type="paragraph" w:styleId="NormalWeb">
    <w:name w:val="Normal (Web)"/>
    <w:basedOn w:val="Normal"/>
    <w:uiPriority w:val="99"/>
    <w:unhideWhenUsed/>
    <w:rsid w:val="00725EE8"/>
    <w:pPr>
      <w:spacing w:before="100" w:beforeAutospacing="1" w:after="100" w:afterAutospacing="1"/>
    </w:pPr>
    <w:rPr>
      <w:rFonts w:eastAsia="Times New Roman"/>
      <w:lang w:val="en-CA" w:eastAsia="en-CA"/>
    </w:rPr>
  </w:style>
  <w:style w:type="character" w:customStyle="1" w:styleId="st1">
    <w:name w:val="st1"/>
    <w:basedOn w:val="DefaultParagraphFont"/>
    <w:rsid w:val="00B031AE"/>
  </w:style>
  <w:style w:type="character" w:styleId="CommentReference">
    <w:name w:val="annotation reference"/>
    <w:basedOn w:val="DefaultParagraphFont"/>
    <w:uiPriority w:val="99"/>
    <w:semiHidden/>
    <w:unhideWhenUsed/>
    <w:rsid w:val="00732DAD"/>
    <w:rPr>
      <w:sz w:val="16"/>
      <w:szCs w:val="16"/>
    </w:rPr>
  </w:style>
  <w:style w:type="paragraph" w:styleId="CommentText">
    <w:name w:val="annotation text"/>
    <w:basedOn w:val="Normal"/>
    <w:link w:val="CommentTextChar"/>
    <w:uiPriority w:val="99"/>
    <w:semiHidden/>
    <w:unhideWhenUsed/>
    <w:rsid w:val="00732DAD"/>
    <w:rPr>
      <w:sz w:val="20"/>
      <w:szCs w:val="20"/>
    </w:rPr>
  </w:style>
  <w:style w:type="character" w:customStyle="1" w:styleId="CommentTextChar">
    <w:name w:val="Comment Text Char"/>
    <w:basedOn w:val="DefaultParagraphFont"/>
    <w:link w:val="CommentText"/>
    <w:uiPriority w:val="99"/>
    <w:semiHidden/>
    <w:rsid w:val="00732DA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2DAD"/>
    <w:rPr>
      <w:b/>
      <w:bCs/>
    </w:rPr>
  </w:style>
  <w:style w:type="character" w:customStyle="1" w:styleId="CommentSubjectChar">
    <w:name w:val="Comment Subject Char"/>
    <w:basedOn w:val="CommentTextChar"/>
    <w:link w:val="CommentSubject"/>
    <w:uiPriority w:val="99"/>
    <w:semiHidden/>
    <w:rsid w:val="00732DA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32DAD"/>
    <w:rPr>
      <w:rFonts w:ascii="Arial" w:hAnsi="Arial" w:cs="Arial"/>
      <w:sz w:val="18"/>
      <w:szCs w:val="18"/>
    </w:rPr>
  </w:style>
  <w:style w:type="character" w:customStyle="1" w:styleId="BalloonTextChar">
    <w:name w:val="Balloon Text Char"/>
    <w:basedOn w:val="DefaultParagraphFont"/>
    <w:link w:val="BalloonText"/>
    <w:uiPriority w:val="99"/>
    <w:semiHidden/>
    <w:rsid w:val="00732DAD"/>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38C"/>
    <w:rPr>
      <w:rFonts w:ascii="Times New Roman" w:hAnsi="Times New Roman" w:cs="Times New Roman"/>
    </w:rPr>
  </w:style>
  <w:style w:type="paragraph" w:styleId="Heading3">
    <w:name w:val="heading 3"/>
    <w:basedOn w:val="Normal"/>
    <w:link w:val="Heading3Char"/>
    <w:uiPriority w:val="9"/>
    <w:qFormat/>
    <w:rsid w:val="0097761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w:basedOn w:val="Normal"/>
    <w:link w:val="FootnoteTextChar"/>
    <w:unhideWhenUsed/>
    <w:rsid w:val="00423EAE"/>
  </w:style>
  <w:style w:type="character" w:customStyle="1" w:styleId="FootnoteTextChar">
    <w:name w:val="Footnote Text Char"/>
    <w:aliases w:val=" Char Char"/>
    <w:basedOn w:val="DefaultParagraphFont"/>
    <w:link w:val="FootnoteText"/>
    <w:rsid w:val="00423EAE"/>
  </w:style>
  <w:style w:type="character" w:styleId="FootnoteReference">
    <w:name w:val="footnote reference"/>
    <w:basedOn w:val="DefaultParagraphFont"/>
    <w:unhideWhenUsed/>
    <w:rsid w:val="00423EAE"/>
    <w:rPr>
      <w:vertAlign w:val="superscript"/>
    </w:rPr>
  </w:style>
  <w:style w:type="character" w:styleId="Hyperlink">
    <w:name w:val="Hyperlink"/>
    <w:basedOn w:val="DefaultParagraphFont"/>
    <w:uiPriority w:val="99"/>
    <w:unhideWhenUsed/>
    <w:rsid w:val="00423EAE"/>
    <w:rPr>
      <w:color w:val="0000FF" w:themeColor="hyperlink"/>
      <w:u w:val="single"/>
    </w:rPr>
  </w:style>
  <w:style w:type="paragraph" w:styleId="ListParagraph">
    <w:name w:val="List Paragraph"/>
    <w:basedOn w:val="Normal"/>
    <w:uiPriority w:val="34"/>
    <w:qFormat/>
    <w:rsid w:val="003A7892"/>
    <w:pPr>
      <w:ind w:left="720"/>
      <w:contextualSpacing/>
    </w:pPr>
  </w:style>
  <w:style w:type="paragraph" w:styleId="Header">
    <w:name w:val="header"/>
    <w:basedOn w:val="Normal"/>
    <w:link w:val="HeaderChar"/>
    <w:uiPriority w:val="99"/>
    <w:unhideWhenUsed/>
    <w:rsid w:val="004406D8"/>
    <w:pPr>
      <w:tabs>
        <w:tab w:val="center" w:pos="4680"/>
        <w:tab w:val="right" w:pos="9360"/>
      </w:tabs>
    </w:pPr>
  </w:style>
  <w:style w:type="character" w:customStyle="1" w:styleId="HeaderChar">
    <w:name w:val="Header Char"/>
    <w:basedOn w:val="DefaultParagraphFont"/>
    <w:link w:val="Header"/>
    <w:uiPriority w:val="99"/>
    <w:rsid w:val="004406D8"/>
  </w:style>
  <w:style w:type="paragraph" w:styleId="Footer">
    <w:name w:val="footer"/>
    <w:basedOn w:val="Normal"/>
    <w:link w:val="FooterChar"/>
    <w:uiPriority w:val="99"/>
    <w:unhideWhenUsed/>
    <w:rsid w:val="004406D8"/>
    <w:pPr>
      <w:tabs>
        <w:tab w:val="center" w:pos="4680"/>
        <w:tab w:val="right" w:pos="9360"/>
      </w:tabs>
    </w:pPr>
  </w:style>
  <w:style w:type="character" w:customStyle="1" w:styleId="FooterChar">
    <w:name w:val="Footer Char"/>
    <w:basedOn w:val="DefaultParagraphFont"/>
    <w:link w:val="Footer"/>
    <w:uiPriority w:val="99"/>
    <w:rsid w:val="004406D8"/>
  </w:style>
  <w:style w:type="paragraph" w:styleId="EndnoteText">
    <w:name w:val="endnote text"/>
    <w:basedOn w:val="Normal"/>
    <w:link w:val="EndnoteTextChar"/>
    <w:semiHidden/>
    <w:rsid w:val="005066D3"/>
    <w:rPr>
      <w:rFonts w:eastAsia="Times New Roman"/>
      <w:sz w:val="20"/>
      <w:szCs w:val="20"/>
    </w:rPr>
  </w:style>
  <w:style w:type="character" w:customStyle="1" w:styleId="EndnoteTextChar">
    <w:name w:val="Endnote Text Char"/>
    <w:basedOn w:val="DefaultParagraphFont"/>
    <w:link w:val="EndnoteText"/>
    <w:semiHidden/>
    <w:rsid w:val="005066D3"/>
    <w:rPr>
      <w:rFonts w:ascii="Times New Roman" w:eastAsia="Times New Roman" w:hAnsi="Times New Roman" w:cs="Times New Roman"/>
      <w:sz w:val="20"/>
      <w:szCs w:val="20"/>
    </w:rPr>
  </w:style>
  <w:style w:type="character" w:styleId="EndnoteReference">
    <w:name w:val="endnote reference"/>
    <w:basedOn w:val="DefaultParagraphFont"/>
    <w:semiHidden/>
    <w:rsid w:val="005066D3"/>
    <w:rPr>
      <w:vertAlign w:val="superscript"/>
    </w:rPr>
  </w:style>
  <w:style w:type="character" w:customStyle="1" w:styleId="Heading3Char">
    <w:name w:val="Heading 3 Char"/>
    <w:basedOn w:val="DefaultParagraphFont"/>
    <w:link w:val="Heading3"/>
    <w:uiPriority w:val="9"/>
    <w:rsid w:val="00977617"/>
    <w:rPr>
      <w:rFonts w:ascii="Times New Roman" w:hAnsi="Times New Roman" w:cs="Times New Roman"/>
      <w:b/>
      <w:bCs/>
      <w:sz w:val="27"/>
      <w:szCs w:val="27"/>
    </w:rPr>
  </w:style>
  <w:style w:type="character" w:styleId="Emphasis">
    <w:name w:val="Emphasis"/>
    <w:basedOn w:val="DefaultParagraphFont"/>
    <w:uiPriority w:val="20"/>
    <w:qFormat/>
    <w:rsid w:val="00614ED2"/>
    <w:rPr>
      <w:i/>
      <w:iCs/>
    </w:rPr>
  </w:style>
  <w:style w:type="character" w:customStyle="1" w:styleId="apple-converted-space">
    <w:name w:val="apple-converted-space"/>
    <w:basedOn w:val="DefaultParagraphFont"/>
    <w:rsid w:val="00614ED2"/>
  </w:style>
  <w:style w:type="character" w:customStyle="1" w:styleId="sectionlabel">
    <w:name w:val="sectionlabel"/>
    <w:basedOn w:val="DefaultParagraphFont"/>
    <w:rsid w:val="004E177A"/>
  </w:style>
  <w:style w:type="character" w:customStyle="1" w:styleId="lawlabel">
    <w:name w:val="lawlabel"/>
    <w:basedOn w:val="DefaultParagraphFont"/>
    <w:rsid w:val="004E177A"/>
  </w:style>
  <w:style w:type="paragraph" w:styleId="PlainText">
    <w:name w:val="Plain Text"/>
    <w:basedOn w:val="Normal"/>
    <w:link w:val="PlainTextChar"/>
    <w:uiPriority w:val="99"/>
    <w:unhideWhenUsed/>
    <w:rsid w:val="00725EE8"/>
    <w:rPr>
      <w:rFonts w:ascii="Consolas" w:eastAsiaTheme="minorHAnsi" w:hAnsi="Consolas" w:cstheme="minorBidi"/>
      <w:sz w:val="21"/>
      <w:szCs w:val="21"/>
      <w:lang w:val="en-CA"/>
    </w:rPr>
  </w:style>
  <w:style w:type="character" w:customStyle="1" w:styleId="PlainTextChar">
    <w:name w:val="Plain Text Char"/>
    <w:basedOn w:val="DefaultParagraphFont"/>
    <w:link w:val="PlainText"/>
    <w:uiPriority w:val="99"/>
    <w:rsid w:val="00725EE8"/>
    <w:rPr>
      <w:rFonts w:ascii="Consolas" w:eastAsiaTheme="minorHAnsi" w:hAnsi="Consolas"/>
      <w:sz w:val="21"/>
      <w:szCs w:val="21"/>
      <w:lang w:val="en-CA"/>
    </w:rPr>
  </w:style>
  <w:style w:type="paragraph" w:styleId="NormalWeb">
    <w:name w:val="Normal (Web)"/>
    <w:basedOn w:val="Normal"/>
    <w:uiPriority w:val="99"/>
    <w:unhideWhenUsed/>
    <w:rsid w:val="00725EE8"/>
    <w:pPr>
      <w:spacing w:before="100" w:beforeAutospacing="1" w:after="100" w:afterAutospacing="1"/>
    </w:pPr>
    <w:rPr>
      <w:rFonts w:eastAsia="Times New Roman"/>
      <w:lang w:val="en-CA" w:eastAsia="en-CA"/>
    </w:rPr>
  </w:style>
  <w:style w:type="character" w:customStyle="1" w:styleId="st1">
    <w:name w:val="st1"/>
    <w:basedOn w:val="DefaultParagraphFont"/>
    <w:rsid w:val="00B031AE"/>
  </w:style>
  <w:style w:type="character" w:styleId="CommentReference">
    <w:name w:val="annotation reference"/>
    <w:basedOn w:val="DefaultParagraphFont"/>
    <w:uiPriority w:val="99"/>
    <w:semiHidden/>
    <w:unhideWhenUsed/>
    <w:rsid w:val="00732DAD"/>
    <w:rPr>
      <w:sz w:val="16"/>
      <w:szCs w:val="16"/>
    </w:rPr>
  </w:style>
  <w:style w:type="paragraph" w:styleId="CommentText">
    <w:name w:val="annotation text"/>
    <w:basedOn w:val="Normal"/>
    <w:link w:val="CommentTextChar"/>
    <w:uiPriority w:val="99"/>
    <w:semiHidden/>
    <w:unhideWhenUsed/>
    <w:rsid w:val="00732DAD"/>
    <w:rPr>
      <w:sz w:val="20"/>
      <w:szCs w:val="20"/>
    </w:rPr>
  </w:style>
  <w:style w:type="character" w:customStyle="1" w:styleId="CommentTextChar">
    <w:name w:val="Comment Text Char"/>
    <w:basedOn w:val="DefaultParagraphFont"/>
    <w:link w:val="CommentText"/>
    <w:uiPriority w:val="99"/>
    <w:semiHidden/>
    <w:rsid w:val="00732DA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2DAD"/>
    <w:rPr>
      <w:b/>
      <w:bCs/>
    </w:rPr>
  </w:style>
  <w:style w:type="character" w:customStyle="1" w:styleId="CommentSubjectChar">
    <w:name w:val="Comment Subject Char"/>
    <w:basedOn w:val="CommentTextChar"/>
    <w:link w:val="CommentSubject"/>
    <w:uiPriority w:val="99"/>
    <w:semiHidden/>
    <w:rsid w:val="00732DA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32DAD"/>
    <w:rPr>
      <w:rFonts w:ascii="Arial" w:hAnsi="Arial" w:cs="Arial"/>
      <w:sz w:val="18"/>
      <w:szCs w:val="18"/>
    </w:rPr>
  </w:style>
  <w:style w:type="character" w:customStyle="1" w:styleId="BalloonTextChar">
    <w:name w:val="Balloon Text Char"/>
    <w:basedOn w:val="DefaultParagraphFont"/>
    <w:link w:val="BalloonText"/>
    <w:uiPriority w:val="99"/>
    <w:semiHidden/>
    <w:rsid w:val="00732DAD"/>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1583">
      <w:bodyDiv w:val="1"/>
      <w:marLeft w:val="0"/>
      <w:marRight w:val="0"/>
      <w:marTop w:val="0"/>
      <w:marBottom w:val="0"/>
      <w:divBdr>
        <w:top w:val="none" w:sz="0" w:space="0" w:color="auto"/>
        <w:left w:val="none" w:sz="0" w:space="0" w:color="auto"/>
        <w:bottom w:val="none" w:sz="0" w:space="0" w:color="auto"/>
        <w:right w:val="none" w:sz="0" w:space="0" w:color="auto"/>
      </w:divBdr>
    </w:div>
    <w:div w:id="103693327">
      <w:bodyDiv w:val="1"/>
      <w:marLeft w:val="0"/>
      <w:marRight w:val="0"/>
      <w:marTop w:val="0"/>
      <w:marBottom w:val="0"/>
      <w:divBdr>
        <w:top w:val="none" w:sz="0" w:space="0" w:color="auto"/>
        <w:left w:val="none" w:sz="0" w:space="0" w:color="auto"/>
        <w:bottom w:val="none" w:sz="0" w:space="0" w:color="auto"/>
        <w:right w:val="none" w:sz="0" w:space="0" w:color="auto"/>
      </w:divBdr>
    </w:div>
    <w:div w:id="365183270">
      <w:bodyDiv w:val="1"/>
      <w:marLeft w:val="0"/>
      <w:marRight w:val="0"/>
      <w:marTop w:val="0"/>
      <w:marBottom w:val="0"/>
      <w:divBdr>
        <w:top w:val="none" w:sz="0" w:space="0" w:color="auto"/>
        <w:left w:val="none" w:sz="0" w:space="0" w:color="auto"/>
        <w:bottom w:val="none" w:sz="0" w:space="0" w:color="auto"/>
        <w:right w:val="none" w:sz="0" w:space="0" w:color="auto"/>
      </w:divBdr>
    </w:div>
    <w:div w:id="437064663">
      <w:bodyDiv w:val="1"/>
      <w:marLeft w:val="0"/>
      <w:marRight w:val="0"/>
      <w:marTop w:val="0"/>
      <w:marBottom w:val="0"/>
      <w:divBdr>
        <w:top w:val="none" w:sz="0" w:space="0" w:color="auto"/>
        <w:left w:val="none" w:sz="0" w:space="0" w:color="auto"/>
        <w:bottom w:val="none" w:sz="0" w:space="0" w:color="auto"/>
        <w:right w:val="none" w:sz="0" w:space="0" w:color="auto"/>
      </w:divBdr>
    </w:div>
    <w:div w:id="657461393">
      <w:bodyDiv w:val="1"/>
      <w:marLeft w:val="0"/>
      <w:marRight w:val="0"/>
      <w:marTop w:val="0"/>
      <w:marBottom w:val="0"/>
      <w:divBdr>
        <w:top w:val="none" w:sz="0" w:space="0" w:color="auto"/>
        <w:left w:val="none" w:sz="0" w:space="0" w:color="auto"/>
        <w:bottom w:val="none" w:sz="0" w:space="0" w:color="auto"/>
        <w:right w:val="none" w:sz="0" w:space="0" w:color="auto"/>
      </w:divBdr>
    </w:div>
    <w:div w:id="706836057">
      <w:bodyDiv w:val="1"/>
      <w:marLeft w:val="0"/>
      <w:marRight w:val="0"/>
      <w:marTop w:val="0"/>
      <w:marBottom w:val="0"/>
      <w:divBdr>
        <w:top w:val="none" w:sz="0" w:space="0" w:color="auto"/>
        <w:left w:val="none" w:sz="0" w:space="0" w:color="auto"/>
        <w:bottom w:val="none" w:sz="0" w:space="0" w:color="auto"/>
        <w:right w:val="none" w:sz="0" w:space="0" w:color="auto"/>
      </w:divBdr>
    </w:div>
    <w:div w:id="901529071">
      <w:bodyDiv w:val="1"/>
      <w:marLeft w:val="0"/>
      <w:marRight w:val="0"/>
      <w:marTop w:val="0"/>
      <w:marBottom w:val="0"/>
      <w:divBdr>
        <w:top w:val="none" w:sz="0" w:space="0" w:color="auto"/>
        <w:left w:val="none" w:sz="0" w:space="0" w:color="auto"/>
        <w:bottom w:val="none" w:sz="0" w:space="0" w:color="auto"/>
        <w:right w:val="none" w:sz="0" w:space="0" w:color="auto"/>
      </w:divBdr>
    </w:div>
    <w:div w:id="1121264103">
      <w:bodyDiv w:val="1"/>
      <w:marLeft w:val="0"/>
      <w:marRight w:val="0"/>
      <w:marTop w:val="0"/>
      <w:marBottom w:val="0"/>
      <w:divBdr>
        <w:top w:val="none" w:sz="0" w:space="0" w:color="auto"/>
        <w:left w:val="none" w:sz="0" w:space="0" w:color="auto"/>
        <w:bottom w:val="none" w:sz="0" w:space="0" w:color="auto"/>
        <w:right w:val="none" w:sz="0" w:space="0" w:color="auto"/>
      </w:divBdr>
    </w:div>
    <w:div w:id="1216622652">
      <w:bodyDiv w:val="1"/>
      <w:marLeft w:val="0"/>
      <w:marRight w:val="0"/>
      <w:marTop w:val="0"/>
      <w:marBottom w:val="0"/>
      <w:divBdr>
        <w:top w:val="none" w:sz="0" w:space="0" w:color="auto"/>
        <w:left w:val="none" w:sz="0" w:space="0" w:color="auto"/>
        <w:bottom w:val="none" w:sz="0" w:space="0" w:color="auto"/>
        <w:right w:val="none" w:sz="0" w:space="0" w:color="auto"/>
      </w:divBdr>
    </w:div>
    <w:div w:id="1481075699">
      <w:bodyDiv w:val="1"/>
      <w:marLeft w:val="0"/>
      <w:marRight w:val="0"/>
      <w:marTop w:val="0"/>
      <w:marBottom w:val="0"/>
      <w:divBdr>
        <w:top w:val="none" w:sz="0" w:space="0" w:color="auto"/>
        <w:left w:val="none" w:sz="0" w:space="0" w:color="auto"/>
        <w:bottom w:val="none" w:sz="0" w:space="0" w:color="auto"/>
        <w:right w:val="none" w:sz="0" w:space="0" w:color="auto"/>
      </w:divBdr>
    </w:div>
    <w:div w:id="1546722072">
      <w:bodyDiv w:val="1"/>
      <w:marLeft w:val="0"/>
      <w:marRight w:val="0"/>
      <w:marTop w:val="0"/>
      <w:marBottom w:val="0"/>
      <w:divBdr>
        <w:top w:val="none" w:sz="0" w:space="0" w:color="auto"/>
        <w:left w:val="none" w:sz="0" w:space="0" w:color="auto"/>
        <w:bottom w:val="none" w:sz="0" w:space="0" w:color="auto"/>
        <w:right w:val="none" w:sz="0" w:space="0" w:color="auto"/>
      </w:divBdr>
    </w:div>
    <w:div w:id="1571697959">
      <w:bodyDiv w:val="1"/>
      <w:marLeft w:val="0"/>
      <w:marRight w:val="0"/>
      <w:marTop w:val="0"/>
      <w:marBottom w:val="0"/>
      <w:divBdr>
        <w:top w:val="none" w:sz="0" w:space="0" w:color="auto"/>
        <w:left w:val="none" w:sz="0" w:space="0" w:color="auto"/>
        <w:bottom w:val="none" w:sz="0" w:space="0" w:color="auto"/>
        <w:right w:val="none" w:sz="0" w:space="0" w:color="auto"/>
      </w:divBdr>
    </w:div>
    <w:div w:id="1746611352">
      <w:bodyDiv w:val="1"/>
      <w:marLeft w:val="0"/>
      <w:marRight w:val="0"/>
      <w:marTop w:val="0"/>
      <w:marBottom w:val="0"/>
      <w:divBdr>
        <w:top w:val="none" w:sz="0" w:space="0" w:color="auto"/>
        <w:left w:val="none" w:sz="0" w:space="0" w:color="auto"/>
        <w:bottom w:val="none" w:sz="0" w:space="0" w:color="auto"/>
        <w:right w:val="none" w:sz="0" w:space="0" w:color="auto"/>
      </w:divBdr>
    </w:div>
    <w:div w:id="1819880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Alberta" TargetMode="External"/><Relationship Id="rId18" Type="http://schemas.openxmlformats.org/officeDocument/2006/relationships/hyperlink" Target="https://en.wikipedia.org/wiki/Treaty_1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n.wikipedia.org/wiki/Pipeline_transport" TargetMode="External"/><Relationship Id="rId17" Type="http://schemas.openxmlformats.org/officeDocument/2006/relationships/hyperlink" Target="https://en.wikipedia.org/wiki/Treaty_8" TargetMode="External"/><Relationship Id="rId2" Type="http://schemas.openxmlformats.org/officeDocument/2006/relationships/numbering" Target="numbering.xml"/><Relationship Id="rId16" Type="http://schemas.openxmlformats.org/officeDocument/2006/relationships/hyperlink" Target="https://en.wikipedia.org/wiki/Supreme_Court_of_the_Northwest_Territor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Beaufort_Sea"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s://en.wikipedia.org/wiki/Northwest_Territories" TargetMode="External"/><Relationship Id="rId23" Type="http://schemas.openxmlformats.org/officeDocument/2006/relationships/customXml" Target="../customXml/item3.xml"/><Relationship Id="rId10" Type="http://schemas.openxmlformats.org/officeDocument/2006/relationships/hyperlink" Target="https://en.wikipedia.org/wiki/Natural_ga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n.wikipedia.org/wiki/Yellowknife,_Northwest_Territories" TargetMode="Externa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theglobeandmail.com/news/national/attawapiskat-four-things-to-help-understand-the-suicidecrisis/article29583059/" TargetMode="External"/><Relationship Id="rId3" Type="http://schemas.openxmlformats.org/officeDocument/2006/relationships/hyperlink" Target="http://www.taxpayer.com/commentaries/don-t-force-first-nations-people-to-wait-for-accountability" TargetMode="External"/><Relationship Id="rId7" Type="http://schemas.openxmlformats.org/officeDocument/2006/relationships/hyperlink" Target="http://www.theglobeandmail.com/news/national/indigenous-kids-made-up-almost-half-of-canadian-foster-children-in-2011statscan/article29616843/" TargetMode="External"/><Relationship Id="rId2" Type="http://schemas.openxmlformats.org/officeDocument/2006/relationships/hyperlink" Target="http://www.midnorthmonitor.com/2015/06/30/tek-elders-position-paper-takes-stand-against-aerial-spraying" TargetMode="External"/><Relationship Id="rId1" Type="http://schemas.openxmlformats.org/officeDocument/2006/relationships/hyperlink" Target="https://www.aadnc-aandc.gc.ca/eng/1370355181092/1370355203645" TargetMode="External"/><Relationship Id="rId6" Type="http://schemas.openxmlformats.org/officeDocument/2006/relationships/hyperlink" Target="http://www.cbc.ca/news/canada/manitoba/manitoba-carolyn-bennett-child-welfare-1.4042484" TargetMode="External"/><Relationship Id="rId5" Type="http://schemas.openxmlformats.org/officeDocument/2006/relationships/hyperlink" Target="http://www.fncfcs.com/docs/FirstNationsFS1.pdf" TargetMode="External"/><Relationship Id="rId4" Type="http://schemas.openxmlformats.org/officeDocument/2006/relationships/hyperlink" Target="http://wherearethechildren.ca/en/timeline/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9F83A6D186D14591065E56FDFCE7B0" ma:contentTypeVersion="0" ma:contentTypeDescription="Create a new document." ma:contentTypeScope="" ma:versionID="c437bac2dafaf8737ed4b52229b521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7EC9A3-BF28-416F-AE7C-4D89BF26F0DE}"/>
</file>

<file path=customXml/itemProps2.xml><?xml version="1.0" encoding="utf-8"?>
<ds:datastoreItem xmlns:ds="http://schemas.openxmlformats.org/officeDocument/2006/customXml" ds:itemID="{3C9AC6F8-657B-40BE-B1EE-545CB692A40A}"/>
</file>

<file path=customXml/itemProps3.xml><?xml version="1.0" encoding="utf-8"?>
<ds:datastoreItem xmlns:ds="http://schemas.openxmlformats.org/officeDocument/2006/customXml" ds:itemID="{548A96C8-59BC-4E31-BE25-E4196C649727}"/>
</file>

<file path=customXml/itemProps4.xml><?xml version="1.0" encoding="utf-8"?>
<ds:datastoreItem xmlns:ds="http://schemas.openxmlformats.org/officeDocument/2006/customXml" ds:itemID="{BCB85572-D183-4698-86D7-3150970AA932}"/>
</file>

<file path=docProps/app.xml><?xml version="1.0" encoding="utf-8"?>
<Properties xmlns="http://schemas.openxmlformats.org/officeDocument/2006/extended-properties" xmlns:vt="http://schemas.openxmlformats.org/officeDocument/2006/docPropsVTypes">
  <Template>Normal.dotm</Template>
  <TotalTime>1</TotalTime>
  <Pages>34</Pages>
  <Words>12165</Words>
  <Characters>69345</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Terence Douglas</dc:creator>
  <cp:lastModifiedBy>Kalpana Singh</cp:lastModifiedBy>
  <cp:revision>2</cp:revision>
  <cp:lastPrinted>2017-03-31T12:54:00Z</cp:lastPrinted>
  <dcterms:created xsi:type="dcterms:W3CDTF">2017-08-11T08:51:00Z</dcterms:created>
  <dcterms:modified xsi:type="dcterms:W3CDTF">2017-08-11T08:51:00Z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0x010100619F83A6D186D14591065E56FDFCE7B0</vt:lpwstr>
  </property>
</Properties>
</file>