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C4A4E" w14:textId="77777777" w:rsidR="00A366D9" w:rsidRDefault="009F4415">
      <w:pPr>
        <w:ind w:hanging="2"/>
        <w:jc w:val="center"/>
        <w:rPr>
          <w:rFonts w:ascii="Arial" w:eastAsia="Arial" w:hAnsi="Arial" w:cs="Arial"/>
        </w:rPr>
      </w:pPr>
      <w:bookmarkStart w:id="0" w:name="_GoBack"/>
      <w:bookmarkEnd w:id="0"/>
      <w:r>
        <w:rPr>
          <w:rFonts w:ascii="Arial" w:eastAsia="Arial" w:hAnsi="Arial" w:cs="Arial"/>
          <w:b/>
        </w:rPr>
        <w:t xml:space="preserve">Submission to the </w:t>
      </w:r>
      <w:r>
        <w:rPr>
          <w:rFonts w:ascii="Arial" w:eastAsia="Arial" w:hAnsi="Arial" w:cs="Arial"/>
          <w:b/>
          <w:color w:val="222222"/>
          <w:highlight w:val="white"/>
        </w:rPr>
        <w:t>Committee on Economic, Social, and Cultural Rights (CESCR)</w:t>
      </w:r>
      <w:r>
        <w:rPr>
          <w:rFonts w:ascii="Arial" w:eastAsia="Arial" w:hAnsi="Arial" w:cs="Arial"/>
          <w:b/>
        </w:rPr>
        <w:t xml:space="preserve"> for the consideration of its preparation of</w:t>
      </w:r>
      <w:r>
        <w:rPr>
          <w:rFonts w:ascii="Arial" w:eastAsia="Arial" w:hAnsi="Arial" w:cs="Arial"/>
          <w:b/>
          <w:color w:val="222222"/>
          <w:highlight w:val="white"/>
        </w:rPr>
        <w:t xml:space="preserve"> a list of issues (LoI) at its upcoming 71st pre-sessional working group session (17 to 21 October)</w:t>
      </w:r>
    </w:p>
    <w:p w14:paraId="5CBB5138" w14:textId="77777777" w:rsidR="00A366D9" w:rsidRDefault="009F4415">
      <w:pPr>
        <w:ind w:hanging="2"/>
        <w:jc w:val="right"/>
        <w:rPr>
          <w:rFonts w:ascii="Arial" w:eastAsia="Arial" w:hAnsi="Arial" w:cs="Arial"/>
        </w:rPr>
      </w:pPr>
      <w:r>
        <w:rPr>
          <w:rFonts w:ascii="Arial" w:eastAsia="Arial" w:hAnsi="Arial" w:cs="Arial"/>
          <w:b/>
        </w:rPr>
        <w:t>8 August 2022</w:t>
      </w:r>
    </w:p>
    <w:p w14:paraId="1927B28C" w14:textId="77777777" w:rsidR="00A366D9" w:rsidRDefault="00A366D9">
      <w:pPr>
        <w:spacing w:after="0" w:line="240" w:lineRule="auto"/>
        <w:jc w:val="both"/>
        <w:rPr>
          <w:rFonts w:ascii="Calibri" w:eastAsia="Calibri" w:hAnsi="Calibri" w:cs="Calibri"/>
          <w:color w:val="0B0C0C"/>
          <w:sz w:val="24"/>
          <w:szCs w:val="24"/>
          <w:highlight w:val="white"/>
        </w:rPr>
      </w:pPr>
    </w:p>
    <w:p w14:paraId="22F96706" w14:textId="77777777" w:rsidR="00A366D9" w:rsidRDefault="009F4415">
      <w:pPr>
        <w:spacing w:after="0" w:line="240" w:lineRule="auto"/>
        <w:jc w:val="both"/>
        <w:rPr>
          <w:rFonts w:ascii="Calibri" w:eastAsia="Calibri" w:hAnsi="Calibri" w:cs="Calibri"/>
          <w:color w:val="000000"/>
          <w:sz w:val="24"/>
          <w:szCs w:val="24"/>
        </w:rPr>
      </w:pPr>
      <w:r>
        <w:rPr>
          <w:rFonts w:ascii="Calibri" w:eastAsia="Calibri" w:hAnsi="Calibri" w:cs="Calibri"/>
          <w:color w:val="0B0C0C"/>
          <w:sz w:val="24"/>
          <w:szCs w:val="24"/>
          <w:highlight w:val="white"/>
        </w:rPr>
        <w:t>International Communities Organisation (ICO), in the special consultative status with ESOSOC since 2021, believes communities can come together and achieve a peace, based not on one group’s views prevailing over another, but by constructing a shared vision</w:t>
      </w:r>
      <w:r>
        <w:rPr>
          <w:rFonts w:ascii="Calibri" w:eastAsia="Calibri" w:hAnsi="Calibri" w:cs="Calibri"/>
          <w:color w:val="0B0C0C"/>
          <w:sz w:val="24"/>
          <w:szCs w:val="24"/>
          <w:highlight w:val="white"/>
        </w:rPr>
        <w:t xml:space="preserve"> for a better future.</w:t>
      </w:r>
    </w:p>
    <w:p w14:paraId="54F21391" w14:textId="77777777" w:rsidR="00A366D9" w:rsidRDefault="00A366D9">
      <w:pPr>
        <w:spacing w:after="0" w:line="240" w:lineRule="auto"/>
        <w:jc w:val="both"/>
        <w:rPr>
          <w:rFonts w:ascii="Calibri" w:eastAsia="Calibri" w:hAnsi="Calibri" w:cs="Calibri"/>
          <w:color w:val="000000"/>
          <w:sz w:val="24"/>
          <w:szCs w:val="24"/>
        </w:rPr>
      </w:pPr>
    </w:p>
    <w:p w14:paraId="65E578F7" w14:textId="77777777" w:rsidR="00A366D9" w:rsidRDefault="009F4415">
      <w:pPr>
        <w:spacing w:after="0" w:line="240" w:lineRule="auto"/>
        <w:jc w:val="both"/>
        <w:rPr>
          <w:rFonts w:ascii="Calibri" w:eastAsia="Calibri" w:hAnsi="Calibri" w:cs="Calibri"/>
          <w:color w:val="000000"/>
          <w:sz w:val="24"/>
          <w:szCs w:val="24"/>
        </w:rPr>
      </w:pPr>
      <w:r>
        <w:rPr>
          <w:rFonts w:ascii="Calibri" w:eastAsia="Calibri" w:hAnsi="Calibri" w:cs="Calibri"/>
          <w:color w:val="0B0C0C"/>
          <w:sz w:val="24"/>
          <w:szCs w:val="24"/>
          <w:highlight w:val="white"/>
        </w:rPr>
        <w:t>We are independent, neutral and dedicated to the protection of human rights and giving a voice to those who need it.</w:t>
      </w:r>
    </w:p>
    <w:p w14:paraId="2F5E8D06" w14:textId="77777777" w:rsidR="00A366D9" w:rsidRDefault="00A366D9">
      <w:pPr>
        <w:spacing w:after="0" w:line="240" w:lineRule="auto"/>
        <w:jc w:val="both"/>
        <w:rPr>
          <w:rFonts w:ascii="Calibri" w:eastAsia="Calibri" w:hAnsi="Calibri" w:cs="Calibri"/>
          <w:color w:val="000000"/>
          <w:sz w:val="24"/>
          <w:szCs w:val="24"/>
        </w:rPr>
      </w:pPr>
    </w:p>
    <w:p w14:paraId="5954EB3B" w14:textId="77777777" w:rsidR="00A366D9" w:rsidRDefault="009F4415">
      <w:pPr>
        <w:spacing w:after="0" w:line="240" w:lineRule="auto"/>
        <w:jc w:val="both"/>
        <w:rPr>
          <w:rFonts w:ascii="Calibri" w:eastAsia="Calibri" w:hAnsi="Calibri" w:cs="Calibri"/>
          <w:color w:val="000000"/>
          <w:sz w:val="24"/>
          <w:szCs w:val="24"/>
        </w:rPr>
      </w:pPr>
      <w:r>
        <w:rPr>
          <w:rFonts w:ascii="Calibri" w:eastAsia="Calibri" w:hAnsi="Calibri" w:cs="Calibri"/>
          <w:color w:val="0B0C0C"/>
          <w:sz w:val="24"/>
          <w:szCs w:val="24"/>
          <w:highlight w:val="white"/>
        </w:rPr>
        <w:t xml:space="preserve">We know that peace cannot be imposed from above, and that only communities themselves </w:t>
      </w:r>
      <w:r>
        <w:rPr>
          <w:rFonts w:ascii="Roboto" w:eastAsia="Roboto" w:hAnsi="Roboto" w:cs="Roboto"/>
          <w:color w:val="0B0C0C"/>
          <w:sz w:val="21"/>
          <w:szCs w:val="21"/>
          <w:highlight w:val="white"/>
        </w:rPr>
        <w:t>can determine what peace with</w:t>
      </w:r>
      <w:r>
        <w:rPr>
          <w:rFonts w:ascii="Roboto" w:eastAsia="Roboto" w:hAnsi="Roboto" w:cs="Roboto"/>
          <w:color w:val="0B0C0C"/>
          <w:sz w:val="21"/>
          <w:szCs w:val="21"/>
          <w:highlight w:val="white"/>
        </w:rPr>
        <w:t>in their own societies looks like'</w:t>
      </w:r>
      <w:r>
        <w:rPr>
          <w:rFonts w:ascii="Calibri" w:eastAsia="Calibri" w:hAnsi="Calibri" w:cs="Calibri"/>
          <w:color w:val="0B0C0C"/>
          <w:sz w:val="24"/>
          <w:szCs w:val="24"/>
          <w:highlight w:val="white"/>
        </w:rPr>
        <w:t xml:space="preserve"> At the same time, any lasting settlement requires the involvement of political leaders. It also needs equality and respect, if one side is not to be disadvantaged. That is why we work in three ways.</w:t>
      </w:r>
    </w:p>
    <w:p w14:paraId="29D11E49" w14:textId="77777777" w:rsidR="00A366D9" w:rsidRDefault="00A366D9">
      <w:pPr>
        <w:spacing w:after="240" w:line="240" w:lineRule="auto"/>
        <w:jc w:val="both"/>
        <w:rPr>
          <w:rFonts w:ascii="Calibri" w:eastAsia="Calibri" w:hAnsi="Calibri" w:cs="Calibri"/>
          <w:color w:val="000000"/>
          <w:sz w:val="24"/>
          <w:szCs w:val="24"/>
        </w:rPr>
      </w:pPr>
    </w:p>
    <w:p w14:paraId="5683A6EB" w14:textId="77777777" w:rsidR="00A366D9" w:rsidRDefault="009F4415">
      <w:pPr>
        <w:spacing w:after="0" w:line="240" w:lineRule="auto"/>
        <w:jc w:val="both"/>
        <w:rPr>
          <w:rFonts w:ascii="Calibri" w:eastAsia="Calibri" w:hAnsi="Calibri" w:cs="Calibri"/>
          <w:color w:val="000000"/>
          <w:sz w:val="24"/>
          <w:szCs w:val="24"/>
        </w:rPr>
      </w:pPr>
      <w:r>
        <w:rPr>
          <w:rFonts w:ascii="Calibri" w:eastAsia="Calibri" w:hAnsi="Calibri" w:cs="Calibri"/>
          <w:b/>
          <w:color w:val="0B0C0C"/>
          <w:sz w:val="24"/>
          <w:szCs w:val="24"/>
          <w:highlight w:val="white"/>
        </w:rPr>
        <w:t xml:space="preserve">We bring Communities </w:t>
      </w:r>
      <w:r>
        <w:rPr>
          <w:rFonts w:ascii="Calibri" w:eastAsia="Calibri" w:hAnsi="Calibri" w:cs="Calibri"/>
          <w:b/>
          <w:color w:val="0B0C0C"/>
          <w:sz w:val="24"/>
          <w:szCs w:val="24"/>
          <w:highlight w:val="white"/>
        </w:rPr>
        <w:t>together</w:t>
      </w:r>
      <w:r>
        <w:rPr>
          <w:rFonts w:ascii="Calibri" w:eastAsia="Calibri" w:hAnsi="Calibri" w:cs="Calibri"/>
          <w:color w:val="0B0C0C"/>
          <w:sz w:val="24"/>
          <w:szCs w:val="24"/>
          <w:highlight w:val="white"/>
        </w:rPr>
        <w:t>, recognising that solutions are best found through working collectively and building bridges at the grassroots.</w:t>
      </w:r>
    </w:p>
    <w:p w14:paraId="13A75B64" w14:textId="77777777" w:rsidR="00A366D9" w:rsidRDefault="00A366D9">
      <w:pPr>
        <w:spacing w:after="0" w:line="240" w:lineRule="auto"/>
        <w:jc w:val="both"/>
        <w:rPr>
          <w:rFonts w:ascii="Calibri" w:eastAsia="Calibri" w:hAnsi="Calibri" w:cs="Calibri"/>
          <w:color w:val="000000"/>
          <w:sz w:val="24"/>
          <w:szCs w:val="24"/>
        </w:rPr>
      </w:pPr>
    </w:p>
    <w:p w14:paraId="1669D2E3" w14:textId="77777777" w:rsidR="00A366D9" w:rsidRDefault="009F4415">
      <w:pPr>
        <w:spacing w:after="0" w:line="240" w:lineRule="auto"/>
        <w:jc w:val="both"/>
        <w:rPr>
          <w:rFonts w:ascii="Calibri" w:eastAsia="Calibri" w:hAnsi="Calibri" w:cs="Calibri"/>
          <w:color w:val="000000"/>
          <w:sz w:val="24"/>
          <w:szCs w:val="24"/>
        </w:rPr>
      </w:pPr>
      <w:r>
        <w:rPr>
          <w:rFonts w:ascii="Calibri" w:eastAsia="Calibri" w:hAnsi="Calibri" w:cs="Calibri"/>
          <w:color w:val="0B0C0C"/>
          <w:sz w:val="24"/>
          <w:szCs w:val="24"/>
          <w:highlight w:val="white"/>
        </w:rPr>
        <w:t>This includes organising events, activities and meetings for children and young people, women, the business community and other groups</w:t>
      </w:r>
      <w:r>
        <w:rPr>
          <w:rFonts w:ascii="Calibri" w:eastAsia="Calibri" w:hAnsi="Calibri" w:cs="Calibri"/>
          <w:color w:val="0B0C0C"/>
          <w:sz w:val="24"/>
          <w:szCs w:val="24"/>
          <w:highlight w:val="white"/>
        </w:rPr>
        <w:t xml:space="preserve"> to help them better understand each other and discover their common humanity.</w:t>
      </w:r>
    </w:p>
    <w:p w14:paraId="74CC13D8" w14:textId="77777777" w:rsidR="00A366D9" w:rsidRDefault="00A366D9">
      <w:pPr>
        <w:spacing w:after="0" w:line="240" w:lineRule="auto"/>
        <w:jc w:val="both"/>
        <w:rPr>
          <w:rFonts w:ascii="Calibri" w:eastAsia="Calibri" w:hAnsi="Calibri" w:cs="Calibri"/>
          <w:color w:val="000000"/>
          <w:sz w:val="24"/>
          <w:szCs w:val="24"/>
        </w:rPr>
      </w:pPr>
    </w:p>
    <w:p w14:paraId="54224D50" w14:textId="77777777" w:rsidR="00A366D9" w:rsidRDefault="009F4415">
      <w:pPr>
        <w:spacing w:after="0" w:line="240" w:lineRule="auto"/>
        <w:jc w:val="both"/>
        <w:rPr>
          <w:rFonts w:ascii="Calibri" w:eastAsia="Calibri" w:hAnsi="Calibri" w:cs="Calibri"/>
          <w:color w:val="000000"/>
          <w:sz w:val="24"/>
          <w:szCs w:val="24"/>
        </w:rPr>
      </w:pPr>
      <w:r>
        <w:rPr>
          <w:rFonts w:ascii="Calibri" w:eastAsia="Calibri" w:hAnsi="Calibri" w:cs="Calibri"/>
          <w:color w:val="0B0C0C"/>
          <w:sz w:val="24"/>
          <w:szCs w:val="24"/>
          <w:highlight w:val="white"/>
        </w:rPr>
        <w:t>We offer a place where representatives of divided communities around the world can meet and learn from each other. This exchange enables them to develop practical cross-communi</w:t>
      </w:r>
      <w:r>
        <w:rPr>
          <w:rFonts w:ascii="Calibri" w:eastAsia="Calibri" w:hAnsi="Calibri" w:cs="Calibri"/>
          <w:color w:val="0B0C0C"/>
          <w:sz w:val="24"/>
          <w:szCs w:val="24"/>
          <w:highlight w:val="white"/>
        </w:rPr>
        <w:t>ty solutions at the local level.</w:t>
      </w:r>
    </w:p>
    <w:p w14:paraId="42FCDC0A" w14:textId="77777777" w:rsidR="00A366D9" w:rsidRDefault="00A366D9">
      <w:pPr>
        <w:spacing w:after="0" w:line="240" w:lineRule="auto"/>
        <w:jc w:val="both"/>
        <w:rPr>
          <w:rFonts w:ascii="Calibri" w:eastAsia="Calibri" w:hAnsi="Calibri" w:cs="Calibri"/>
          <w:color w:val="000000"/>
          <w:sz w:val="24"/>
          <w:szCs w:val="24"/>
        </w:rPr>
      </w:pPr>
    </w:p>
    <w:p w14:paraId="79924DA3" w14:textId="77777777" w:rsidR="00A366D9" w:rsidRDefault="009F4415">
      <w:pPr>
        <w:spacing w:after="0" w:line="240" w:lineRule="auto"/>
        <w:jc w:val="both"/>
        <w:rPr>
          <w:rFonts w:ascii="Calibri" w:eastAsia="Calibri" w:hAnsi="Calibri" w:cs="Calibri"/>
          <w:color w:val="000000"/>
          <w:sz w:val="24"/>
          <w:szCs w:val="24"/>
        </w:rPr>
      </w:pPr>
      <w:r>
        <w:rPr>
          <w:rFonts w:ascii="Calibri" w:eastAsia="Calibri" w:hAnsi="Calibri" w:cs="Calibri"/>
          <w:color w:val="0B0C0C"/>
          <w:sz w:val="24"/>
          <w:szCs w:val="24"/>
          <w:highlight w:val="white"/>
        </w:rPr>
        <w:t> We</w:t>
      </w:r>
      <w:r>
        <w:rPr>
          <w:rFonts w:ascii="Calibri" w:eastAsia="Calibri" w:hAnsi="Calibri" w:cs="Calibri"/>
          <w:b/>
          <w:color w:val="0B0C0C"/>
          <w:sz w:val="24"/>
          <w:szCs w:val="24"/>
          <w:highlight w:val="white"/>
        </w:rPr>
        <w:t xml:space="preserve"> tackle inequalities in Societies</w:t>
      </w:r>
      <w:r>
        <w:rPr>
          <w:rFonts w:ascii="Calibri" w:eastAsia="Calibri" w:hAnsi="Calibri" w:cs="Calibri"/>
          <w:color w:val="0B0C0C"/>
          <w:sz w:val="24"/>
          <w:szCs w:val="24"/>
          <w:highlight w:val="white"/>
        </w:rPr>
        <w:t xml:space="preserve"> that can be a driver for conflict. We do this through helping minority and disadvantaged groups to develop social, cultural and political opportunities so that they can be seen as equal</w:t>
      </w:r>
      <w:r>
        <w:rPr>
          <w:rFonts w:ascii="Calibri" w:eastAsia="Calibri" w:hAnsi="Calibri" w:cs="Calibri"/>
          <w:color w:val="0B0C0C"/>
          <w:sz w:val="24"/>
          <w:szCs w:val="24"/>
          <w:highlight w:val="white"/>
        </w:rPr>
        <w:t>s.</w:t>
      </w:r>
    </w:p>
    <w:p w14:paraId="7CB95687" w14:textId="77777777" w:rsidR="00A366D9" w:rsidRDefault="00A366D9">
      <w:pPr>
        <w:spacing w:after="0" w:line="240" w:lineRule="auto"/>
        <w:jc w:val="both"/>
        <w:rPr>
          <w:rFonts w:ascii="Calibri" w:eastAsia="Calibri" w:hAnsi="Calibri" w:cs="Calibri"/>
          <w:color w:val="000000"/>
          <w:sz w:val="24"/>
          <w:szCs w:val="24"/>
        </w:rPr>
      </w:pPr>
    </w:p>
    <w:p w14:paraId="6D398408" w14:textId="77777777" w:rsidR="00A366D9" w:rsidRDefault="009F4415">
      <w:pPr>
        <w:spacing w:after="0" w:line="240" w:lineRule="auto"/>
        <w:jc w:val="both"/>
        <w:rPr>
          <w:rFonts w:ascii="Calibri" w:eastAsia="Calibri" w:hAnsi="Calibri" w:cs="Calibri"/>
          <w:color w:val="000000"/>
          <w:sz w:val="24"/>
          <w:szCs w:val="24"/>
        </w:rPr>
      </w:pPr>
      <w:r>
        <w:rPr>
          <w:rFonts w:ascii="Calibri" w:eastAsia="Calibri" w:hAnsi="Calibri" w:cs="Calibri"/>
          <w:color w:val="0B0C0C"/>
          <w:sz w:val="24"/>
          <w:szCs w:val="24"/>
          <w:highlight w:val="white"/>
        </w:rPr>
        <w:t>By tackling wealth disparities and providing opportunities for personal and community development through projects that promote greater access to education, employment and investment in key sectors such as services and infrastructure, we can have a pos</w:t>
      </w:r>
      <w:r>
        <w:rPr>
          <w:rFonts w:ascii="Calibri" w:eastAsia="Calibri" w:hAnsi="Calibri" w:cs="Calibri"/>
          <w:color w:val="0B0C0C"/>
          <w:sz w:val="24"/>
          <w:szCs w:val="24"/>
          <w:highlight w:val="white"/>
        </w:rPr>
        <w:t>itive impact on quality of life and remove key barriers to peace.</w:t>
      </w:r>
    </w:p>
    <w:p w14:paraId="528B2502" w14:textId="77777777" w:rsidR="00A366D9" w:rsidRDefault="00A366D9">
      <w:pPr>
        <w:spacing w:after="0" w:line="240" w:lineRule="auto"/>
        <w:jc w:val="both"/>
        <w:rPr>
          <w:rFonts w:ascii="Calibri" w:eastAsia="Calibri" w:hAnsi="Calibri" w:cs="Calibri"/>
          <w:color w:val="000000"/>
          <w:sz w:val="24"/>
          <w:szCs w:val="24"/>
        </w:rPr>
      </w:pPr>
    </w:p>
    <w:p w14:paraId="3F17B28A" w14:textId="77777777" w:rsidR="00A366D9" w:rsidRDefault="009F4415">
      <w:pPr>
        <w:spacing w:after="0" w:line="240" w:lineRule="auto"/>
        <w:jc w:val="both"/>
        <w:rPr>
          <w:rFonts w:ascii="Calibri" w:eastAsia="Calibri" w:hAnsi="Calibri" w:cs="Calibri"/>
          <w:color w:val="000000"/>
          <w:sz w:val="24"/>
          <w:szCs w:val="24"/>
        </w:rPr>
      </w:pPr>
      <w:r>
        <w:rPr>
          <w:rFonts w:ascii="Calibri" w:eastAsia="Calibri" w:hAnsi="Calibri" w:cs="Calibri"/>
          <w:color w:val="0B0C0C"/>
          <w:sz w:val="24"/>
          <w:szCs w:val="24"/>
          <w:highlight w:val="white"/>
        </w:rPr>
        <w:t xml:space="preserve">We </w:t>
      </w:r>
      <w:r>
        <w:rPr>
          <w:rFonts w:ascii="Calibri" w:eastAsia="Calibri" w:hAnsi="Calibri" w:cs="Calibri"/>
          <w:b/>
          <w:color w:val="0B0C0C"/>
          <w:sz w:val="24"/>
          <w:szCs w:val="24"/>
          <w:highlight w:val="white"/>
        </w:rPr>
        <w:t>support Diplomatic discussions</w:t>
      </w:r>
      <w:r>
        <w:rPr>
          <w:rFonts w:ascii="Calibri" w:eastAsia="Calibri" w:hAnsi="Calibri" w:cs="Calibri"/>
          <w:color w:val="0B0C0C"/>
          <w:sz w:val="24"/>
          <w:szCs w:val="24"/>
          <w:highlight w:val="white"/>
        </w:rPr>
        <w:t xml:space="preserve"> at the highest level, mediating disputes, building trust and providing the space people need to address their issues positively and constructively. By prov</w:t>
      </w:r>
      <w:r>
        <w:rPr>
          <w:rFonts w:ascii="Calibri" w:eastAsia="Calibri" w:hAnsi="Calibri" w:cs="Calibri"/>
          <w:color w:val="0B0C0C"/>
          <w:sz w:val="24"/>
          <w:szCs w:val="24"/>
          <w:highlight w:val="white"/>
        </w:rPr>
        <w:t xml:space="preserve">iding a private, open environment for individuals to hold conversations and build trust, we can help people arrive at innovative and practical </w:t>
      </w:r>
      <w:r>
        <w:rPr>
          <w:rFonts w:ascii="Calibri" w:eastAsia="Calibri" w:hAnsi="Calibri" w:cs="Calibri"/>
          <w:color w:val="0B0C0C"/>
          <w:sz w:val="24"/>
          <w:szCs w:val="24"/>
          <w:highlight w:val="white"/>
        </w:rPr>
        <w:lastRenderedPageBreak/>
        <w:t>solutions to protracted problems. The aim is to develop workable agreements which will</w:t>
      </w:r>
      <w:r>
        <w:rPr>
          <w:rFonts w:ascii="Calibri" w:eastAsia="Calibri" w:hAnsi="Calibri" w:cs="Calibri"/>
          <w:color w:val="000000"/>
          <w:sz w:val="24"/>
          <w:szCs w:val="24"/>
        </w:rPr>
        <w:t xml:space="preserve"> </w:t>
      </w:r>
      <w:r>
        <w:rPr>
          <w:rFonts w:ascii="Calibri" w:eastAsia="Calibri" w:hAnsi="Calibri" w:cs="Calibri"/>
          <w:color w:val="0B0C0C"/>
          <w:sz w:val="24"/>
          <w:szCs w:val="24"/>
          <w:highlight w:val="white"/>
        </w:rPr>
        <w:t xml:space="preserve">change the status quo and </w:t>
      </w:r>
      <w:r>
        <w:rPr>
          <w:rFonts w:ascii="Calibri" w:eastAsia="Calibri" w:hAnsi="Calibri" w:cs="Calibri"/>
          <w:color w:val="0B0C0C"/>
          <w:sz w:val="24"/>
          <w:szCs w:val="24"/>
          <w:highlight w:val="white"/>
        </w:rPr>
        <w:t>allow the communities to heal together.</w:t>
      </w:r>
    </w:p>
    <w:p w14:paraId="0B2938CB" w14:textId="77777777" w:rsidR="00A366D9" w:rsidRDefault="00A366D9">
      <w:pPr>
        <w:spacing w:after="0" w:line="240" w:lineRule="auto"/>
        <w:jc w:val="both"/>
        <w:rPr>
          <w:rFonts w:ascii="Calibri" w:eastAsia="Calibri" w:hAnsi="Calibri" w:cs="Calibri"/>
          <w:color w:val="000000"/>
          <w:sz w:val="24"/>
          <w:szCs w:val="24"/>
        </w:rPr>
      </w:pPr>
    </w:p>
    <w:p w14:paraId="4774835C" w14:textId="7788F1B2" w:rsidR="00A366D9" w:rsidRDefault="009F4415">
      <w:pPr>
        <w:spacing w:after="0" w:line="240" w:lineRule="auto"/>
        <w:jc w:val="both"/>
        <w:rPr>
          <w:rFonts w:ascii="Calibri" w:eastAsia="Calibri" w:hAnsi="Calibri" w:cs="Calibri"/>
          <w:color w:val="000000"/>
          <w:sz w:val="24"/>
          <w:szCs w:val="24"/>
        </w:rPr>
      </w:pPr>
      <w:r>
        <w:rPr>
          <w:rFonts w:ascii="Calibri" w:eastAsia="Calibri" w:hAnsi="Calibri" w:cs="Calibri"/>
          <w:color w:val="0B0C0C"/>
          <w:sz w:val="24"/>
          <w:szCs w:val="24"/>
          <w:highlight w:val="white"/>
        </w:rPr>
        <w:t>Such a process requires all sides to have the skills and tools they need to represent the interests of their communities</w:t>
      </w:r>
      <w:r w:rsidR="001710E3">
        <w:rPr>
          <w:rFonts w:ascii="Calibri" w:eastAsia="Calibri" w:hAnsi="Calibri" w:cs="Calibri"/>
          <w:color w:val="0B0C0C"/>
          <w:sz w:val="24"/>
          <w:szCs w:val="24"/>
          <w:highlight w:val="white"/>
        </w:rPr>
        <w:t xml:space="preserve"> b</w:t>
      </w:r>
      <w:r>
        <w:rPr>
          <w:rFonts w:ascii="Calibri" w:eastAsia="Calibri" w:hAnsi="Calibri" w:cs="Calibri"/>
          <w:color w:val="0B0C0C"/>
          <w:sz w:val="24"/>
          <w:szCs w:val="24"/>
          <w:highlight w:val="white"/>
        </w:rPr>
        <w:t>ecause representatives of minority and disadvantaged groups may lack these</w:t>
      </w:r>
      <w:r w:rsidR="001710E3">
        <w:rPr>
          <w:rFonts w:ascii="Calibri" w:eastAsia="Calibri" w:hAnsi="Calibri" w:cs="Calibri"/>
          <w:color w:val="0B0C0C"/>
          <w:sz w:val="24"/>
          <w:szCs w:val="24"/>
          <w:highlight w:val="white"/>
        </w:rPr>
        <w:t>. W</w:t>
      </w:r>
      <w:r>
        <w:rPr>
          <w:rFonts w:ascii="Calibri" w:eastAsia="Calibri" w:hAnsi="Calibri" w:cs="Calibri"/>
          <w:color w:val="0B0C0C"/>
          <w:sz w:val="24"/>
          <w:szCs w:val="24"/>
          <w:highlight w:val="white"/>
        </w:rPr>
        <w:t xml:space="preserve">e support them </w:t>
      </w:r>
      <w:r>
        <w:rPr>
          <w:rFonts w:ascii="Calibri" w:eastAsia="Calibri" w:hAnsi="Calibri" w:cs="Calibri"/>
          <w:color w:val="0B0C0C"/>
          <w:sz w:val="24"/>
          <w:szCs w:val="24"/>
          <w:highlight w:val="white"/>
        </w:rPr>
        <w:t>through access to advice from legal experts, academics and other diplomats, so they can better find a fair and pragmatic path to peace.</w:t>
      </w:r>
    </w:p>
    <w:p w14:paraId="5BE0426D" w14:textId="77777777" w:rsidR="00A366D9" w:rsidRDefault="00A366D9">
      <w:pPr>
        <w:jc w:val="both"/>
        <w:rPr>
          <w:rFonts w:ascii="Calibri" w:eastAsia="Calibri" w:hAnsi="Calibri" w:cs="Calibri"/>
          <w:sz w:val="24"/>
          <w:szCs w:val="24"/>
        </w:rPr>
      </w:pPr>
    </w:p>
    <w:p w14:paraId="45613FEA" w14:textId="77777777" w:rsidR="00A366D9" w:rsidRDefault="009F4415">
      <w:pPr>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In Cyprus, we are supporting locally born initiatives that improve Cypriot responses to conflict by establishing and facilitating the program and activities of the Cyprus Peace and Dialogue Centre, which is a unique bi-communal initiative. CPDC brings toge</w:t>
      </w:r>
      <w:r>
        <w:rPr>
          <w:rFonts w:ascii="Calibri" w:eastAsia="Calibri" w:hAnsi="Calibri" w:cs="Calibri"/>
          <w:color w:val="000000"/>
          <w:sz w:val="24"/>
          <w:szCs w:val="24"/>
        </w:rPr>
        <w:t>ther key stakeholders, leading personalities and organisations from the two main communities in Cyprus, to revisit and build on existing mechanisms, and find new creative modalities for long-lasting peace. It is our belief that a comprehensive settlement m</w:t>
      </w:r>
      <w:r>
        <w:rPr>
          <w:rFonts w:ascii="Calibri" w:eastAsia="Calibri" w:hAnsi="Calibri" w:cs="Calibri"/>
          <w:color w:val="000000"/>
          <w:sz w:val="24"/>
          <w:szCs w:val="24"/>
        </w:rPr>
        <w:t>ust be achieved through a holistic approach, and will present a vision of peaceful coexistence to the region.</w:t>
      </w:r>
    </w:p>
    <w:p w14:paraId="3EDDD890" w14:textId="77777777" w:rsidR="00A366D9" w:rsidRDefault="00A366D9">
      <w:pPr>
        <w:pBdr>
          <w:top w:val="nil"/>
          <w:left w:val="nil"/>
          <w:bottom w:val="nil"/>
          <w:right w:val="nil"/>
          <w:between w:val="nil"/>
        </w:pBdr>
        <w:spacing w:after="0" w:line="240" w:lineRule="auto"/>
        <w:jc w:val="both"/>
        <w:rPr>
          <w:rFonts w:ascii="Calibri" w:eastAsia="Calibri" w:hAnsi="Calibri" w:cs="Calibri"/>
          <w:color w:val="000000"/>
          <w:sz w:val="24"/>
          <w:szCs w:val="24"/>
        </w:rPr>
      </w:pPr>
    </w:p>
    <w:p w14:paraId="5FC9DD02" w14:textId="77777777" w:rsidR="00A366D9" w:rsidRDefault="009F4415">
      <w:pPr>
        <w:pBdr>
          <w:top w:val="nil"/>
          <w:left w:val="nil"/>
          <w:bottom w:val="nil"/>
          <w:right w:val="nil"/>
          <w:between w:val="nil"/>
        </w:pBdr>
        <w:spacing w:after="0" w:line="240" w:lineRule="auto"/>
        <w:jc w:val="both"/>
        <w:rPr>
          <w:rFonts w:ascii="Calibri" w:eastAsia="Calibri" w:hAnsi="Calibri" w:cs="Calibri"/>
          <w:b/>
          <w:color w:val="1D2228"/>
          <w:sz w:val="24"/>
          <w:szCs w:val="24"/>
        </w:rPr>
      </w:pPr>
      <w:r>
        <w:rPr>
          <w:rFonts w:ascii="Calibri" w:eastAsia="Calibri" w:hAnsi="Calibri" w:cs="Calibri"/>
          <w:b/>
          <w:color w:val="1D2228"/>
          <w:sz w:val="24"/>
          <w:szCs w:val="24"/>
        </w:rPr>
        <w:t>General Overview of the situation</w:t>
      </w:r>
    </w:p>
    <w:p w14:paraId="5E30879E" w14:textId="77777777" w:rsidR="00A366D9" w:rsidRDefault="00A366D9">
      <w:pPr>
        <w:pBdr>
          <w:top w:val="nil"/>
          <w:left w:val="nil"/>
          <w:bottom w:val="nil"/>
          <w:right w:val="nil"/>
          <w:between w:val="nil"/>
        </w:pBdr>
        <w:spacing w:after="0" w:line="276" w:lineRule="auto"/>
        <w:jc w:val="both"/>
        <w:rPr>
          <w:rFonts w:ascii="Calibri" w:eastAsia="Calibri" w:hAnsi="Calibri" w:cs="Calibri"/>
          <w:b/>
          <w:color w:val="1D2228"/>
          <w:sz w:val="24"/>
          <w:szCs w:val="24"/>
        </w:rPr>
      </w:pPr>
    </w:p>
    <w:p w14:paraId="06CF95D6" w14:textId="77777777" w:rsidR="00A366D9" w:rsidRDefault="009F4415">
      <w:pPr>
        <w:pBdr>
          <w:top w:val="nil"/>
          <w:left w:val="nil"/>
          <w:bottom w:val="nil"/>
          <w:right w:val="nil"/>
          <w:between w:val="nil"/>
        </w:pBdr>
        <w:spacing w:after="0" w:line="276" w:lineRule="auto"/>
        <w:jc w:val="both"/>
        <w:rPr>
          <w:rFonts w:ascii="Calibri" w:eastAsia="Calibri" w:hAnsi="Calibri" w:cs="Calibri"/>
          <w:color w:val="000000"/>
          <w:sz w:val="24"/>
          <w:szCs w:val="24"/>
        </w:rPr>
      </w:pPr>
      <w:r>
        <w:rPr>
          <w:rFonts w:ascii="Calibri" w:eastAsia="Calibri" w:hAnsi="Calibri" w:cs="Calibri"/>
          <w:color w:val="1D2228"/>
          <w:sz w:val="24"/>
          <w:szCs w:val="24"/>
        </w:rPr>
        <w:t>ICO’s mission includes advocacy on behalf of economic, social and cultural rights, within the context of our c</w:t>
      </w:r>
      <w:r>
        <w:rPr>
          <w:rFonts w:ascii="Calibri" w:eastAsia="Calibri" w:hAnsi="Calibri" w:cs="Calibri"/>
          <w:color w:val="1D2228"/>
          <w:sz w:val="24"/>
          <w:szCs w:val="24"/>
        </w:rPr>
        <w:t>ritical work in geographies we are active.</w:t>
      </w:r>
      <w:r>
        <w:rPr>
          <w:rFonts w:ascii="Calibri" w:eastAsia="Calibri" w:hAnsi="Calibri" w:cs="Calibri"/>
          <w:color w:val="000000"/>
          <w:sz w:val="24"/>
          <w:szCs w:val="24"/>
        </w:rPr>
        <w:t xml:space="preserve">  ICO considers that it is worth providing an overview of the current economic, social and cultural conditions </w:t>
      </w:r>
      <w:r>
        <w:rPr>
          <w:rFonts w:ascii="Calibri" w:eastAsia="Calibri" w:hAnsi="Calibri" w:cs="Calibri"/>
          <w:sz w:val="24"/>
          <w:szCs w:val="24"/>
        </w:rPr>
        <w:t>in the Republic</w:t>
      </w:r>
      <w:r>
        <w:rPr>
          <w:rFonts w:ascii="Calibri" w:eastAsia="Calibri" w:hAnsi="Calibri" w:cs="Calibri"/>
          <w:color w:val="000000"/>
          <w:sz w:val="24"/>
          <w:szCs w:val="24"/>
        </w:rPr>
        <w:t xml:space="preserve"> of Cyprus (RoC). It has been estimated that approximately 150,000 Greek Cypriots living</w:t>
      </w:r>
      <w:r>
        <w:rPr>
          <w:rFonts w:ascii="Calibri" w:eastAsia="Calibri" w:hAnsi="Calibri" w:cs="Calibri"/>
          <w:color w:val="000000"/>
          <w:sz w:val="24"/>
          <w:szCs w:val="24"/>
        </w:rPr>
        <w:t xml:space="preserve"> in the North and 50,000 Turkish Cypriots living in the South that respectively moved either side of the </w:t>
      </w:r>
      <w:r>
        <w:rPr>
          <w:rFonts w:ascii="Calibri" w:eastAsia="Calibri" w:hAnsi="Calibri" w:cs="Calibri"/>
          <w:sz w:val="24"/>
          <w:szCs w:val="24"/>
        </w:rPr>
        <w:t>border</w:t>
      </w:r>
      <w:r>
        <w:rPr>
          <w:rFonts w:ascii="Calibri" w:eastAsia="Calibri" w:hAnsi="Calibri" w:cs="Calibri"/>
          <w:color w:val="000000"/>
          <w:sz w:val="24"/>
          <w:szCs w:val="24"/>
          <w:vertAlign w:val="superscript"/>
        </w:rPr>
        <w:footnoteReference w:id="1"/>
      </w:r>
      <w:r>
        <w:rPr>
          <w:rFonts w:ascii="Calibri" w:eastAsia="Calibri" w:hAnsi="Calibri" w:cs="Calibri"/>
          <w:color w:val="000000"/>
          <w:sz w:val="24"/>
          <w:szCs w:val="24"/>
        </w:rPr>
        <w:t xml:space="preserve">. The segregation of the island led to the separation of communities and families, </w:t>
      </w:r>
      <w:r>
        <w:rPr>
          <w:rFonts w:ascii="Calibri" w:eastAsia="Calibri" w:hAnsi="Calibri" w:cs="Calibri"/>
          <w:sz w:val="24"/>
          <w:szCs w:val="24"/>
        </w:rPr>
        <w:t>and residents</w:t>
      </w:r>
      <w:r>
        <w:rPr>
          <w:rFonts w:ascii="Calibri" w:eastAsia="Calibri" w:hAnsi="Calibri" w:cs="Calibri"/>
          <w:color w:val="000000"/>
          <w:sz w:val="24"/>
          <w:szCs w:val="24"/>
        </w:rPr>
        <w:t xml:space="preserve"> became internally displaced with thousands of p</w:t>
      </w:r>
      <w:r>
        <w:rPr>
          <w:rFonts w:ascii="Calibri" w:eastAsia="Calibri" w:hAnsi="Calibri" w:cs="Calibri"/>
          <w:color w:val="000000"/>
          <w:sz w:val="24"/>
          <w:szCs w:val="24"/>
        </w:rPr>
        <w:t xml:space="preserve">eople going missing during the conflict and ‘relocation’ periods. </w:t>
      </w:r>
    </w:p>
    <w:p w14:paraId="64B3F99F" w14:textId="77777777" w:rsidR="00A366D9" w:rsidRDefault="00A366D9">
      <w:pPr>
        <w:pBdr>
          <w:top w:val="nil"/>
          <w:left w:val="nil"/>
          <w:bottom w:val="nil"/>
          <w:right w:val="nil"/>
          <w:between w:val="nil"/>
        </w:pBdr>
        <w:spacing w:after="0" w:line="276" w:lineRule="auto"/>
        <w:jc w:val="both"/>
        <w:rPr>
          <w:rFonts w:ascii="Calibri" w:eastAsia="Calibri" w:hAnsi="Calibri" w:cs="Calibri"/>
          <w:color w:val="000000"/>
          <w:sz w:val="24"/>
          <w:szCs w:val="24"/>
        </w:rPr>
      </w:pPr>
    </w:p>
    <w:p w14:paraId="677C4285" w14:textId="77777777" w:rsidR="00A366D9" w:rsidRDefault="009F4415">
      <w:pPr>
        <w:pBdr>
          <w:top w:val="nil"/>
          <w:left w:val="nil"/>
          <w:bottom w:val="nil"/>
          <w:right w:val="nil"/>
          <w:between w:val="nil"/>
        </w:pBdr>
        <w:spacing w:after="0" w:line="276"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The destruction of properties including cultural sites encouraged the division of culture, cultivated the culture of victimisation </w:t>
      </w:r>
      <w:r>
        <w:rPr>
          <w:rFonts w:ascii="Calibri" w:eastAsia="Calibri" w:hAnsi="Calibri" w:cs="Calibri"/>
          <w:color w:val="000000"/>
          <w:sz w:val="24"/>
          <w:szCs w:val="24"/>
          <w:vertAlign w:val="superscript"/>
        </w:rPr>
        <w:footnoteReference w:id="2"/>
      </w:r>
      <w:r>
        <w:rPr>
          <w:rFonts w:ascii="Calibri" w:eastAsia="Calibri" w:hAnsi="Calibri" w:cs="Calibri"/>
          <w:color w:val="000000"/>
          <w:sz w:val="24"/>
          <w:szCs w:val="24"/>
        </w:rPr>
        <w:t xml:space="preserve">and also re-shaped the new policy </w:t>
      </w:r>
      <w:r>
        <w:rPr>
          <w:rFonts w:ascii="Calibri" w:eastAsia="Calibri" w:hAnsi="Calibri" w:cs="Calibri"/>
          <w:color w:val="000000"/>
          <w:sz w:val="24"/>
          <w:szCs w:val="24"/>
        </w:rPr>
        <w:lastRenderedPageBreak/>
        <w:t xml:space="preserve">perceptions that </w:t>
      </w:r>
      <w:r>
        <w:rPr>
          <w:rFonts w:ascii="Calibri" w:eastAsia="Calibri" w:hAnsi="Calibri" w:cs="Calibri"/>
          <w:sz w:val="24"/>
          <w:szCs w:val="24"/>
        </w:rPr>
        <w:t>imple</w:t>
      </w:r>
      <w:r>
        <w:rPr>
          <w:rFonts w:ascii="Calibri" w:eastAsia="Calibri" w:hAnsi="Calibri" w:cs="Calibri"/>
          <w:sz w:val="24"/>
          <w:szCs w:val="24"/>
        </w:rPr>
        <w:t>ment</w:t>
      </w:r>
      <w:r>
        <w:rPr>
          <w:rFonts w:ascii="Calibri" w:eastAsia="Calibri" w:hAnsi="Calibri" w:cs="Calibri"/>
          <w:color w:val="000000"/>
          <w:sz w:val="24"/>
          <w:szCs w:val="24"/>
        </w:rPr>
        <w:t xml:space="preserve"> economic, social and cultural rights. It is also necessary to be aware of the fact that ‘Greek’ and ‘Turkish’ perceptions cannot be homogenised,</w:t>
      </w:r>
      <w:r>
        <w:rPr>
          <w:rFonts w:ascii="Roboto" w:eastAsia="Roboto" w:hAnsi="Roboto" w:cs="Roboto"/>
          <w:sz w:val="21"/>
          <w:szCs w:val="21"/>
          <w:highlight w:val="white"/>
        </w:rPr>
        <w:t xml:space="preserve"> as significant disparities exist between these communities.</w:t>
      </w:r>
      <w:r>
        <w:rPr>
          <w:rFonts w:ascii="Calibri" w:eastAsia="Calibri" w:hAnsi="Calibri" w:cs="Calibri"/>
          <w:color w:val="000000"/>
          <w:sz w:val="24"/>
          <w:szCs w:val="24"/>
        </w:rPr>
        <w:t xml:space="preserve"> </w:t>
      </w:r>
    </w:p>
    <w:p w14:paraId="2510C887" w14:textId="77777777" w:rsidR="00A366D9" w:rsidRDefault="009F4415">
      <w:pPr>
        <w:pBdr>
          <w:top w:val="nil"/>
          <w:left w:val="nil"/>
          <w:bottom w:val="nil"/>
          <w:right w:val="nil"/>
          <w:between w:val="nil"/>
        </w:pBdr>
        <w:spacing w:after="0" w:line="276"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 </w:t>
      </w:r>
    </w:p>
    <w:p w14:paraId="0FE99F37" w14:textId="77777777" w:rsidR="00A366D9" w:rsidRDefault="009F4415">
      <w:pPr>
        <w:pBdr>
          <w:top w:val="nil"/>
          <w:left w:val="nil"/>
          <w:bottom w:val="nil"/>
          <w:right w:val="nil"/>
          <w:between w:val="nil"/>
        </w:pBdr>
        <w:spacing w:after="0" w:line="276"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ICO works to support peace and reconciliation globally. </w:t>
      </w:r>
      <w:r>
        <w:rPr>
          <w:rFonts w:ascii="Roboto" w:eastAsia="Roboto" w:hAnsi="Roboto" w:cs="Roboto"/>
          <w:sz w:val="21"/>
          <w:szCs w:val="21"/>
          <w:highlight w:val="white"/>
        </w:rPr>
        <w:t>We employ a bottom up approach,</w:t>
      </w:r>
      <w:r>
        <w:rPr>
          <w:rFonts w:ascii="Calibri" w:eastAsia="Calibri" w:hAnsi="Calibri" w:cs="Calibri"/>
          <w:color w:val="000000"/>
          <w:sz w:val="24"/>
          <w:szCs w:val="24"/>
        </w:rPr>
        <w:t xml:space="preserve"> working collaboratively with locally based teams to lean on the local knowledge of the current situation to prepare the list of issues. Much of the issues listed are a </w:t>
      </w:r>
      <w:r>
        <w:rPr>
          <w:rFonts w:ascii="Calibri" w:eastAsia="Calibri" w:hAnsi="Calibri" w:cs="Calibri"/>
          <w:color w:val="000000"/>
          <w:sz w:val="24"/>
          <w:szCs w:val="24"/>
        </w:rPr>
        <w:t>result of CPDC’s activities and consultations:</w:t>
      </w:r>
    </w:p>
    <w:p w14:paraId="108DAEFD" w14:textId="77777777" w:rsidR="00A366D9" w:rsidRDefault="00A366D9">
      <w:pPr>
        <w:pBdr>
          <w:top w:val="nil"/>
          <w:left w:val="nil"/>
          <w:bottom w:val="nil"/>
          <w:right w:val="nil"/>
          <w:between w:val="nil"/>
        </w:pBdr>
        <w:spacing w:after="0" w:line="276" w:lineRule="auto"/>
        <w:jc w:val="both"/>
        <w:rPr>
          <w:rFonts w:ascii="Calibri" w:eastAsia="Calibri" w:hAnsi="Calibri" w:cs="Calibri"/>
          <w:color w:val="000000"/>
          <w:sz w:val="24"/>
          <w:szCs w:val="24"/>
        </w:rPr>
      </w:pPr>
    </w:p>
    <w:p w14:paraId="267EE79E" w14:textId="77777777" w:rsidR="00A366D9" w:rsidRDefault="009F4415">
      <w:pPr>
        <w:pBdr>
          <w:top w:val="nil"/>
          <w:left w:val="nil"/>
          <w:bottom w:val="nil"/>
          <w:right w:val="nil"/>
          <w:between w:val="nil"/>
        </w:pBdr>
        <w:spacing w:before="240" w:after="240" w:line="276" w:lineRule="auto"/>
        <w:jc w:val="both"/>
        <w:rPr>
          <w:rFonts w:ascii="Calibri" w:eastAsia="Calibri" w:hAnsi="Calibri" w:cs="Calibri"/>
          <w:b/>
          <w:color w:val="1D2228"/>
          <w:sz w:val="24"/>
          <w:szCs w:val="24"/>
        </w:rPr>
      </w:pPr>
      <w:r>
        <w:rPr>
          <w:rFonts w:ascii="Calibri" w:eastAsia="Calibri" w:hAnsi="Calibri" w:cs="Calibri"/>
          <w:b/>
          <w:color w:val="1D2228"/>
          <w:sz w:val="24"/>
          <w:szCs w:val="24"/>
        </w:rPr>
        <w:t xml:space="preserve">ISSUES AND QUESTIONS RELATING TO THE GENERAL PROVISIONS OF THE COVENANT </w:t>
      </w:r>
    </w:p>
    <w:p w14:paraId="6D886BB7" w14:textId="77777777" w:rsidR="00A366D9" w:rsidRDefault="009F4415">
      <w:pPr>
        <w:pBdr>
          <w:top w:val="nil"/>
          <w:left w:val="nil"/>
          <w:bottom w:val="nil"/>
          <w:right w:val="nil"/>
          <w:between w:val="nil"/>
        </w:pBdr>
        <w:spacing w:before="240" w:after="240" w:line="276" w:lineRule="auto"/>
        <w:jc w:val="both"/>
        <w:rPr>
          <w:rFonts w:ascii="Calibri" w:eastAsia="Calibri" w:hAnsi="Calibri" w:cs="Calibri"/>
          <w:b/>
          <w:color w:val="1D2228"/>
          <w:sz w:val="24"/>
          <w:szCs w:val="24"/>
        </w:rPr>
      </w:pPr>
      <w:r>
        <w:rPr>
          <w:rFonts w:ascii="Calibri" w:eastAsia="Calibri" w:hAnsi="Calibri" w:cs="Calibri"/>
          <w:b/>
          <w:color w:val="1D2228"/>
          <w:sz w:val="24"/>
          <w:szCs w:val="24"/>
        </w:rPr>
        <w:t>Article 2(2). Non-discrimination</w:t>
      </w:r>
    </w:p>
    <w:p w14:paraId="25994B16" w14:textId="77777777" w:rsidR="00A366D9" w:rsidRDefault="009F4415">
      <w:pPr>
        <w:pBdr>
          <w:top w:val="nil"/>
          <w:left w:val="nil"/>
          <w:bottom w:val="nil"/>
          <w:right w:val="nil"/>
          <w:between w:val="nil"/>
        </w:pBdr>
        <w:spacing w:before="240" w:after="240" w:line="276" w:lineRule="auto"/>
        <w:jc w:val="both"/>
        <w:rPr>
          <w:rFonts w:ascii="Calibri" w:eastAsia="Calibri" w:hAnsi="Calibri" w:cs="Calibri"/>
          <w:color w:val="1D2228"/>
          <w:sz w:val="24"/>
          <w:szCs w:val="24"/>
        </w:rPr>
      </w:pPr>
      <w:r>
        <w:rPr>
          <w:rFonts w:ascii="Calibri" w:eastAsia="Calibri" w:hAnsi="Calibri" w:cs="Calibri"/>
          <w:color w:val="1D2228"/>
          <w:sz w:val="24"/>
          <w:szCs w:val="24"/>
        </w:rPr>
        <w:t>ICO expresses its concerns regarding the characterised</w:t>
      </w:r>
      <w:r>
        <w:rPr>
          <w:rFonts w:ascii="Calibri" w:eastAsia="Calibri" w:hAnsi="Calibri" w:cs="Calibri"/>
          <w:color w:val="1D2228"/>
          <w:sz w:val="24"/>
          <w:szCs w:val="24"/>
        </w:rPr>
        <w:t xml:space="preserve"> tension and conflict due to the diametrically opposed interests of Greek-Cypriots on the one hand, and the Turkish-Cypriots on the other. People who are displaced or returned to neighbourhoods where they experience ethnic discrimination. </w:t>
      </w:r>
    </w:p>
    <w:p w14:paraId="04E24B5C" w14:textId="77777777" w:rsidR="00A366D9" w:rsidRDefault="009F4415">
      <w:pPr>
        <w:numPr>
          <w:ilvl w:val="1"/>
          <w:numId w:val="1"/>
        </w:numPr>
        <w:pBdr>
          <w:top w:val="nil"/>
          <w:left w:val="nil"/>
          <w:bottom w:val="nil"/>
          <w:right w:val="nil"/>
          <w:between w:val="nil"/>
        </w:pBdr>
        <w:spacing w:before="240" w:after="240" w:line="276" w:lineRule="auto"/>
        <w:jc w:val="both"/>
        <w:rPr>
          <w:rFonts w:ascii="Calibri" w:eastAsia="Calibri" w:hAnsi="Calibri" w:cs="Calibri"/>
          <w:color w:val="1D2228"/>
          <w:sz w:val="24"/>
          <w:szCs w:val="24"/>
        </w:rPr>
      </w:pPr>
      <w:r>
        <w:rPr>
          <w:rFonts w:ascii="Calibri" w:eastAsia="Calibri" w:hAnsi="Calibri" w:cs="Calibri"/>
          <w:color w:val="1D2228"/>
          <w:sz w:val="24"/>
          <w:szCs w:val="24"/>
        </w:rPr>
        <w:t>ICO has reported</w:t>
      </w:r>
      <w:r>
        <w:rPr>
          <w:rFonts w:ascii="Calibri" w:eastAsia="Calibri" w:hAnsi="Calibri" w:cs="Calibri"/>
          <w:color w:val="1D2228"/>
          <w:sz w:val="24"/>
          <w:szCs w:val="24"/>
        </w:rPr>
        <w:t xml:space="preserve"> that the government delayed and/or denied citizenship applications of the children of Turkish Cypriots married to Turkish Citizens.</w:t>
      </w:r>
    </w:p>
    <w:p w14:paraId="7871BD05" w14:textId="77777777" w:rsidR="00A366D9" w:rsidRDefault="009F4415">
      <w:pPr>
        <w:numPr>
          <w:ilvl w:val="1"/>
          <w:numId w:val="1"/>
        </w:numPr>
        <w:pBdr>
          <w:top w:val="nil"/>
          <w:left w:val="nil"/>
          <w:bottom w:val="nil"/>
          <w:right w:val="nil"/>
          <w:between w:val="nil"/>
        </w:pBdr>
        <w:spacing w:before="240" w:after="240" w:line="276" w:lineRule="auto"/>
        <w:jc w:val="both"/>
        <w:rPr>
          <w:rFonts w:ascii="Calibri" w:eastAsia="Calibri" w:hAnsi="Calibri" w:cs="Calibri"/>
          <w:color w:val="1D2228"/>
          <w:sz w:val="24"/>
          <w:szCs w:val="24"/>
        </w:rPr>
      </w:pPr>
      <w:r>
        <w:rPr>
          <w:rFonts w:ascii="Calibri" w:eastAsia="Calibri" w:hAnsi="Calibri" w:cs="Calibri"/>
          <w:color w:val="1D2228"/>
          <w:sz w:val="24"/>
          <w:szCs w:val="24"/>
        </w:rPr>
        <w:t>CPDC reported that some Turkish Cypriots’ citizenships have been revoked arbitrarily.</w:t>
      </w:r>
    </w:p>
    <w:p w14:paraId="3E6D5649" w14:textId="5985E35C" w:rsidR="00A366D9" w:rsidRDefault="009F4415">
      <w:pPr>
        <w:numPr>
          <w:ilvl w:val="1"/>
          <w:numId w:val="1"/>
        </w:numPr>
        <w:pBdr>
          <w:top w:val="nil"/>
          <w:left w:val="nil"/>
          <w:bottom w:val="nil"/>
          <w:right w:val="nil"/>
          <w:between w:val="nil"/>
        </w:pBdr>
        <w:spacing w:before="240" w:after="240" w:line="276" w:lineRule="auto"/>
        <w:jc w:val="both"/>
        <w:rPr>
          <w:rFonts w:ascii="Calibri" w:eastAsia="Calibri" w:hAnsi="Calibri" w:cs="Calibri"/>
          <w:color w:val="1D2228"/>
          <w:sz w:val="24"/>
          <w:szCs w:val="24"/>
        </w:rPr>
      </w:pPr>
      <w:r>
        <w:rPr>
          <w:rFonts w:ascii="Calibri" w:eastAsia="Calibri" w:hAnsi="Calibri" w:cs="Calibri"/>
          <w:color w:val="1D2228"/>
          <w:sz w:val="24"/>
          <w:szCs w:val="24"/>
        </w:rPr>
        <w:t xml:space="preserve">CPDC reported that despite being one </w:t>
      </w:r>
      <w:r>
        <w:rPr>
          <w:rFonts w:ascii="Calibri" w:eastAsia="Calibri" w:hAnsi="Calibri" w:cs="Calibri"/>
          <w:color w:val="1D2228"/>
          <w:sz w:val="24"/>
          <w:szCs w:val="24"/>
        </w:rPr>
        <w:t>of the two official languages of the RoC, alongside Greek, the Turkish language is often not employed by state services and therefore Turkish Cypriots are often excluded from use of services, access to opportunities and news,</w:t>
      </w:r>
      <w:r w:rsidR="001710E3">
        <w:rPr>
          <w:rFonts w:ascii="Calibri" w:eastAsia="Calibri" w:hAnsi="Calibri" w:cs="Calibri"/>
          <w:color w:val="1D2228"/>
          <w:sz w:val="24"/>
          <w:szCs w:val="24"/>
        </w:rPr>
        <w:t xml:space="preserve"> </w:t>
      </w:r>
      <w:r>
        <w:rPr>
          <w:rFonts w:ascii="Calibri" w:eastAsia="Calibri" w:hAnsi="Calibri" w:cs="Calibri"/>
          <w:color w:val="1D2228"/>
          <w:sz w:val="24"/>
          <w:szCs w:val="24"/>
        </w:rPr>
        <w:t>which impacts the enjoyment of</w:t>
      </w:r>
      <w:r>
        <w:rPr>
          <w:rFonts w:ascii="Calibri" w:eastAsia="Calibri" w:hAnsi="Calibri" w:cs="Calibri"/>
          <w:color w:val="1D2228"/>
          <w:sz w:val="24"/>
          <w:szCs w:val="24"/>
        </w:rPr>
        <w:t xml:space="preserve"> other economic, social and cultural rights. </w:t>
      </w:r>
    </w:p>
    <w:p w14:paraId="039416E6" w14:textId="77777777" w:rsidR="00A366D9" w:rsidRDefault="009F4415">
      <w:pPr>
        <w:pBdr>
          <w:top w:val="nil"/>
          <w:left w:val="nil"/>
          <w:bottom w:val="nil"/>
          <w:right w:val="nil"/>
          <w:between w:val="nil"/>
        </w:pBdr>
        <w:spacing w:before="240" w:after="240" w:line="276" w:lineRule="auto"/>
        <w:jc w:val="both"/>
        <w:rPr>
          <w:rFonts w:ascii="Calibri" w:eastAsia="Calibri" w:hAnsi="Calibri" w:cs="Calibri"/>
          <w:color w:val="1D2228"/>
          <w:sz w:val="24"/>
          <w:szCs w:val="24"/>
        </w:rPr>
      </w:pPr>
      <w:r>
        <w:rPr>
          <w:rFonts w:ascii="Calibri" w:eastAsia="Calibri" w:hAnsi="Calibri" w:cs="Calibri"/>
          <w:color w:val="1D2228"/>
          <w:sz w:val="24"/>
          <w:szCs w:val="24"/>
        </w:rPr>
        <w:t xml:space="preserve">Questions: </w:t>
      </w:r>
    </w:p>
    <w:p w14:paraId="633F2A01" w14:textId="38A0C9E5" w:rsidR="00A366D9" w:rsidRDefault="009F4415">
      <w:pPr>
        <w:numPr>
          <w:ilvl w:val="0"/>
          <w:numId w:val="2"/>
        </w:numPr>
        <w:pBdr>
          <w:top w:val="nil"/>
          <w:left w:val="nil"/>
          <w:bottom w:val="nil"/>
          <w:right w:val="nil"/>
          <w:between w:val="nil"/>
        </w:pBdr>
        <w:spacing w:before="240" w:after="240" w:line="276" w:lineRule="auto"/>
        <w:jc w:val="both"/>
        <w:rPr>
          <w:rFonts w:ascii="Calibri" w:eastAsia="Calibri" w:hAnsi="Calibri" w:cs="Calibri"/>
          <w:color w:val="1D2228"/>
          <w:sz w:val="24"/>
          <w:szCs w:val="24"/>
        </w:rPr>
      </w:pPr>
      <w:r>
        <w:rPr>
          <w:rFonts w:ascii="Calibri" w:eastAsia="Calibri" w:hAnsi="Calibri" w:cs="Calibri"/>
          <w:color w:val="1D2228"/>
          <w:sz w:val="24"/>
          <w:szCs w:val="24"/>
        </w:rPr>
        <w:t xml:space="preserve">Please outline measures the government has taken to prevent, diminish and eliminate formal and substantial discrimination against Turkish Cypriots? </w:t>
      </w:r>
    </w:p>
    <w:p w14:paraId="093B47E7" w14:textId="77777777" w:rsidR="00A366D9" w:rsidRDefault="009F4415">
      <w:pPr>
        <w:numPr>
          <w:ilvl w:val="0"/>
          <w:numId w:val="2"/>
        </w:numPr>
        <w:pBdr>
          <w:top w:val="nil"/>
          <w:left w:val="nil"/>
          <w:bottom w:val="nil"/>
          <w:right w:val="nil"/>
          <w:between w:val="nil"/>
        </w:pBdr>
        <w:spacing w:before="240" w:after="240" w:line="276" w:lineRule="auto"/>
        <w:jc w:val="both"/>
        <w:rPr>
          <w:rFonts w:ascii="Calibri" w:eastAsia="Calibri" w:hAnsi="Calibri" w:cs="Calibri"/>
          <w:color w:val="1D2228"/>
          <w:sz w:val="24"/>
          <w:szCs w:val="24"/>
        </w:rPr>
      </w:pPr>
      <w:r>
        <w:rPr>
          <w:rFonts w:ascii="Calibri" w:eastAsia="Calibri" w:hAnsi="Calibri" w:cs="Calibri"/>
          <w:color w:val="1D2228"/>
          <w:sz w:val="24"/>
          <w:szCs w:val="24"/>
        </w:rPr>
        <w:t>Please outline the actions the government has tak</w:t>
      </w:r>
      <w:r>
        <w:rPr>
          <w:rFonts w:ascii="Calibri" w:eastAsia="Calibri" w:hAnsi="Calibri" w:cs="Calibri"/>
          <w:color w:val="1D2228"/>
          <w:sz w:val="24"/>
          <w:szCs w:val="24"/>
        </w:rPr>
        <w:t xml:space="preserve">en to investigate revocation of citizenship and </w:t>
      </w:r>
      <w:r>
        <w:rPr>
          <w:rFonts w:ascii="Roboto" w:eastAsia="Roboto" w:hAnsi="Roboto" w:cs="Roboto"/>
          <w:color w:val="1D2228"/>
          <w:sz w:val="21"/>
          <w:szCs w:val="21"/>
          <w:highlight w:val="white"/>
        </w:rPr>
        <w:t>and measures that ensure the occurrence of anti-discrimination actions</w:t>
      </w:r>
    </w:p>
    <w:p w14:paraId="7AEF5B64" w14:textId="5E732F35" w:rsidR="00A366D9" w:rsidRPr="001710E3" w:rsidRDefault="009F4415" w:rsidP="001710E3">
      <w:pPr>
        <w:numPr>
          <w:ilvl w:val="0"/>
          <w:numId w:val="2"/>
        </w:numPr>
        <w:pBdr>
          <w:top w:val="nil"/>
          <w:left w:val="nil"/>
          <w:bottom w:val="nil"/>
          <w:right w:val="nil"/>
          <w:between w:val="nil"/>
        </w:pBdr>
        <w:spacing w:before="240" w:after="240" w:line="276" w:lineRule="auto"/>
        <w:jc w:val="both"/>
        <w:rPr>
          <w:rFonts w:ascii="Calibri" w:eastAsia="Calibri" w:hAnsi="Calibri" w:cs="Calibri"/>
          <w:color w:val="1D2228"/>
          <w:sz w:val="24"/>
          <w:szCs w:val="24"/>
        </w:rPr>
      </w:pPr>
      <w:r>
        <w:rPr>
          <w:rFonts w:ascii="Calibri" w:eastAsia="Calibri" w:hAnsi="Calibri" w:cs="Calibri"/>
          <w:color w:val="1D2228"/>
          <w:sz w:val="24"/>
          <w:szCs w:val="24"/>
        </w:rPr>
        <w:lastRenderedPageBreak/>
        <w:t xml:space="preserve">Please outline concrete plans to include the Turkish language into public services and official communication. </w:t>
      </w:r>
    </w:p>
    <w:p w14:paraId="4B91F607" w14:textId="77777777" w:rsidR="00A366D9" w:rsidRDefault="00A366D9">
      <w:pPr>
        <w:pBdr>
          <w:top w:val="nil"/>
          <w:left w:val="nil"/>
          <w:bottom w:val="nil"/>
          <w:right w:val="nil"/>
          <w:between w:val="nil"/>
        </w:pBdr>
        <w:spacing w:before="240" w:after="240" w:line="276" w:lineRule="auto"/>
        <w:jc w:val="both"/>
        <w:rPr>
          <w:rFonts w:ascii="Calibri" w:eastAsia="Calibri" w:hAnsi="Calibri" w:cs="Calibri"/>
          <w:color w:val="1D2228"/>
          <w:sz w:val="24"/>
          <w:szCs w:val="24"/>
        </w:rPr>
      </w:pPr>
    </w:p>
    <w:p w14:paraId="39983732" w14:textId="77777777" w:rsidR="00A366D9" w:rsidRDefault="009F4415">
      <w:pPr>
        <w:spacing w:before="280" w:after="280" w:line="240" w:lineRule="auto"/>
        <w:jc w:val="both"/>
        <w:rPr>
          <w:rFonts w:ascii="Calibri" w:eastAsia="Calibri" w:hAnsi="Calibri" w:cs="Calibri"/>
          <w:sz w:val="24"/>
          <w:szCs w:val="24"/>
        </w:rPr>
      </w:pPr>
      <w:r>
        <w:rPr>
          <w:rFonts w:ascii="Calibri" w:eastAsia="Calibri" w:hAnsi="Calibri" w:cs="Calibri"/>
          <w:b/>
          <w:sz w:val="24"/>
          <w:szCs w:val="24"/>
        </w:rPr>
        <w:t xml:space="preserve">Article 9 Right to social security </w:t>
      </w:r>
    </w:p>
    <w:p w14:paraId="1BE1FDD4" w14:textId="4B6A2A50" w:rsidR="00A366D9" w:rsidRPr="001710E3" w:rsidRDefault="009F4415">
      <w:pPr>
        <w:pBdr>
          <w:top w:val="nil"/>
          <w:left w:val="nil"/>
          <w:bottom w:val="nil"/>
          <w:right w:val="nil"/>
          <w:between w:val="nil"/>
        </w:pBdr>
        <w:spacing w:before="240" w:after="240" w:line="276" w:lineRule="auto"/>
        <w:jc w:val="both"/>
        <w:rPr>
          <w:rFonts w:ascii="Roboto" w:eastAsia="Roboto" w:hAnsi="Roboto" w:cs="Roboto"/>
          <w:color w:val="1D2228"/>
          <w:sz w:val="21"/>
          <w:szCs w:val="21"/>
        </w:rPr>
      </w:pPr>
      <w:r>
        <w:rPr>
          <w:rFonts w:ascii="Calibri" w:eastAsia="Calibri" w:hAnsi="Calibri" w:cs="Calibri"/>
          <w:color w:val="1D2228"/>
          <w:sz w:val="24"/>
          <w:szCs w:val="24"/>
        </w:rPr>
        <w:t xml:space="preserve">ICO is concerned that there is a lack of harmonised national legislation on social benefits such as pensions. </w:t>
      </w:r>
      <w:r>
        <w:rPr>
          <w:rFonts w:ascii="Roboto" w:eastAsia="Roboto" w:hAnsi="Roboto" w:cs="Roboto"/>
          <w:color w:val="1D2228"/>
          <w:sz w:val="21"/>
          <w:szCs w:val="21"/>
        </w:rPr>
        <w:t xml:space="preserve">CPDC received reports that after passing away, the spouses of Turkish Cypriots who have worked in the RoC for </w:t>
      </w:r>
      <w:r>
        <w:rPr>
          <w:rFonts w:ascii="Roboto" w:eastAsia="Roboto" w:hAnsi="Roboto" w:cs="Roboto"/>
          <w:color w:val="1D2228"/>
          <w:sz w:val="21"/>
          <w:szCs w:val="21"/>
        </w:rPr>
        <w:t>any number of years, if married after 1974, are not entitled to their pensions as would normally be the case.</w:t>
      </w:r>
    </w:p>
    <w:p w14:paraId="47D37FC3" w14:textId="77777777" w:rsidR="00A366D9" w:rsidRDefault="009F4415">
      <w:pPr>
        <w:pBdr>
          <w:top w:val="nil"/>
          <w:left w:val="nil"/>
          <w:bottom w:val="nil"/>
          <w:right w:val="nil"/>
          <w:between w:val="nil"/>
        </w:pBdr>
        <w:spacing w:before="240" w:after="240" w:line="276" w:lineRule="auto"/>
        <w:jc w:val="both"/>
        <w:rPr>
          <w:rFonts w:ascii="Calibri" w:eastAsia="Calibri" w:hAnsi="Calibri" w:cs="Calibri"/>
          <w:b/>
          <w:color w:val="1D2228"/>
          <w:sz w:val="24"/>
          <w:szCs w:val="24"/>
        </w:rPr>
      </w:pPr>
      <w:r>
        <w:rPr>
          <w:rFonts w:ascii="Calibri" w:eastAsia="Calibri" w:hAnsi="Calibri" w:cs="Calibri"/>
          <w:b/>
          <w:color w:val="1D2228"/>
          <w:sz w:val="24"/>
          <w:szCs w:val="24"/>
        </w:rPr>
        <w:t xml:space="preserve">Questions: </w:t>
      </w:r>
    </w:p>
    <w:p w14:paraId="17D93C33" w14:textId="5C4779D3" w:rsidR="00A366D9" w:rsidRDefault="009F4415">
      <w:pPr>
        <w:numPr>
          <w:ilvl w:val="0"/>
          <w:numId w:val="2"/>
        </w:numPr>
        <w:pBdr>
          <w:top w:val="nil"/>
          <w:left w:val="nil"/>
          <w:bottom w:val="nil"/>
          <w:right w:val="nil"/>
          <w:between w:val="nil"/>
        </w:pBdr>
        <w:spacing w:before="240" w:after="240" w:line="276" w:lineRule="auto"/>
        <w:jc w:val="both"/>
        <w:rPr>
          <w:rFonts w:ascii="Calibri" w:eastAsia="Calibri" w:hAnsi="Calibri" w:cs="Calibri"/>
          <w:color w:val="1D2228"/>
          <w:sz w:val="24"/>
          <w:szCs w:val="24"/>
        </w:rPr>
      </w:pPr>
      <w:r>
        <w:rPr>
          <w:rFonts w:ascii="Calibri" w:eastAsia="Calibri" w:hAnsi="Calibri" w:cs="Calibri"/>
          <w:color w:val="1D2228"/>
          <w:sz w:val="24"/>
          <w:szCs w:val="24"/>
        </w:rPr>
        <w:t>Please describe R</w:t>
      </w:r>
      <w:r w:rsidR="001710E3">
        <w:rPr>
          <w:rFonts w:ascii="Calibri" w:eastAsia="Calibri" w:hAnsi="Calibri" w:cs="Calibri"/>
          <w:color w:val="1D2228"/>
          <w:sz w:val="24"/>
          <w:szCs w:val="24"/>
        </w:rPr>
        <w:t>o</w:t>
      </w:r>
      <w:r>
        <w:rPr>
          <w:rFonts w:ascii="Calibri" w:eastAsia="Calibri" w:hAnsi="Calibri" w:cs="Calibri"/>
          <w:color w:val="1D2228"/>
          <w:sz w:val="24"/>
          <w:szCs w:val="24"/>
        </w:rPr>
        <w:t xml:space="preserve">C’s plans to collect and analyse such cases and indicate specific measures that the government has taken to receive </w:t>
      </w:r>
      <w:r>
        <w:rPr>
          <w:rFonts w:ascii="Calibri" w:eastAsia="Calibri" w:hAnsi="Calibri" w:cs="Calibri"/>
          <w:color w:val="1D2228"/>
          <w:sz w:val="24"/>
          <w:szCs w:val="24"/>
        </w:rPr>
        <w:t xml:space="preserve">their social benefits regardless of their ethnicity.  </w:t>
      </w:r>
    </w:p>
    <w:p w14:paraId="03E73AA3" w14:textId="77777777" w:rsidR="00A366D9" w:rsidRDefault="009F4415">
      <w:pPr>
        <w:numPr>
          <w:ilvl w:val="0"/>
          <w:numId w:val="2"/>
        </w:numPr>
        <w:pBdr>
          <w:top w:val="nil"/>
          <w:left w:val="nil"/>
          <w:bottom w:val="nil"/>
          <w:right w:val="nil"/>
          <w:between w:val="nil"/>
        </w:pBdr>
        <w:spacing w:before="240" w:after="240"/>
        <w:jc w:val="both"/>
        <w:rPr>
          <w:rFonts w:ascii="Calibri" w:eastAsia="Calibri" w:hAnsi="Calibri" w:cs="Calibri"/>
          <w:color w:val="1D2228"/>
          <w:sz w:val="24"/>
          <w:szCs w:val="24"/>
        </w:rPr>
      </w:pPr>
      <w:r>
        <w:rPr>
          <w:rFonts w:ascii="Calibri" w:eastAsia="Calibri" w:hAnsi="Calibri" w:cs="Calibri"/>
          <w:color w:val="000000"/>
          <w:sz w:val="24"/>
          <w:szCs w:val="24"/>
        </w:rPr>
        <w:t xml:space="preserve">Please indicate RoC’s plans to implement anti-racism training for civil servants.  </w:t>
      </w:r>
    </w:p>
    <w:p w14:paraId="58C124FA" w14:textId="77777777" w:rsidR="00A366D9" w:rsidRDefault="009F4415">
      <w:pPr>
        <w:spacing w:before="280" w:after="280" w:line="240" w:lineRule="auto"/>
        <w:jc w:val="both"/>
        <w:rPr>
          <w:rFonts w:ascii="Calibri" w:eastAsia="Calibri" w:hAnsi="Calibri" w:cs="Calibri"/>
          <w:sz w:val="24"/>
          <w:szCs w:val="24"/>
        </w:rPr>
      </w:pPr>
      <w:r>
        <w:rPr>
          <w:rFonts w:ascii="Calibri" w:eastAsia="Calibri" w:hAnsi="Calibri" w:cs="Calibri"/>
          <w:b/>
          <w:sz w:val="24"/>
          <w:szCs w:val="24"/>
        </w:rPr>
        <w:t>Article 13 Right to education</w:t>
      </w:r>
    </w:p>
    <w:p w14:paraId="04B479A5" w14:textId="77777777" w:rsidR="00A366D9" w:rsidRDefault="009F4415">
      <w:pPr>
        <w:pBdr>
          <w:top w:val="nil"/>
          <w:left w:val="nil"/>
          <w:bottom w:val="nil"/>
          <w:right w:val="nil"/>
          <w:between w:val="nil"/>
        </w:pBdr>
        <w:spacing w:before="240" w:after="240" w:line="276" w:lineRule="auto"/>
        <w:jc w:val="both"/>
        <w:rPr>
          <w:rFonts w:ascii="Calibri" w:eastAsia="Calibri" w:hAnsi="Calibri" w:cs="Calibri"/>
          <w:color w:val="1D2228"/>
          <w:sz w:val="24"/>
          <w:szCs w:val="24"/>
        </w:rPr>
      </w:pPr>
      <w:r>
        <w:rPr>
          <w:rFonts w:ascii="Calibri" w:eastAsia="Calibri" w:hAnsi="Calibri" w:cs="Calibri"/>
          <w:color w:val="1D2228"/>
          <w:sz w:val="24"/>
          <w:szCs w:val="24"/>
        </w:rPr>
        <w:t xml:space="preserve">Educational reforms that can enable stronger unified sense of community, collective remembering and encourage more inclusive perspectives in the island remains a contested area.  </w:t>
      </w:r>
    </w:p>
    <w:p w14:paraId="1AAB54DC" w14:textId="0FFD0B9A" w:rsidR="00A366D9" w:rsidRDefault="009F4415">
      <w:pPr>
        <w:pBdr>
          <w:top w:val="nil"/>
          <w:left w:val="nil"/>
          <w:bottom w:val="nil"/>
          <w:right w:val="nil"/>
          <w:between w:val="nil"/>
        </w:pBdr>
        <w:spacing w:before="240" w:after="240" w:line="276"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ICO is </w:t>
      </w:r>
      <w:r w:rsidR="001710E3">
        <w:rPr>
          <w:rFonts w:ascii="Calibri" w:eastAsia="Calibri" w:hAnsi="Calibri" w:cs="Calibri"/>
          <w:sz w:val="24"/>
          <w:szCs w:val="24"/>
        </w:rPr>
        <w:t>concerned</w:t>
      </w:r>
      <w:r>
        <w:rPr>
          <w:rFonts w:ascii="Calibri" w:eastAsia="Calibri" w:hAnsi="Calibri" w:cs="Calibri"/>
          <w:sz w:val="24"/>
          <w:szCs w:val="24"/>
        </w:rPr>
        <w:t xml:space="preserve"> </w:t>
      </w:r>
      <w:r>
        <w:rPr>
          <w:rFonts w:ascii="Calibri" w:eastAsia="Calibri" w:hAnsi="Calibri" w:cs="Calibri"/>
          <w:color w:val="000000"/>
          <w:sz w:val="24"/>
          <w:szCs w:val="24"/>
        </w:rPr>
        <w:t>that entering into a nationalist rhetoric loop will exacerb</w:t>
      </w:r>
      <w:r>
        <w:rPr>
          <w:rFonts w:ascii="Calibri" w:eastAsia="Calibri" w:hAnsi="Calibri" w:cs="Calibri"/>
          <w:color w:val="000000"/>
          <w:sz w:val="24"/>
          <w:szCs w:val="24"/>
        </w:rPr>
        <w:t>ate discrimination and perpetuate othering in the island. We therefore urge the need to revisit education systems and textbooks that resurging the conflict and perpetuate its prejudices through the teaching of national history, and the ‘dogma of the Cyprus</w:t>
      </w:r>
      <w:r>
        <w:rPr>
          <w:rFonts w:ascii="Calibri" w:eastAsia="Calibri" w:hAnsi="Calibri" w:cs="Calibri"/>
          <w:color w:val="000000"/>
          <w:sz w:val="24"/>
          <w:szCs w:val="24"/>
        </w:rPr>
        <w:t xml:space="preserve"> problem</w:t>
      </w:r>
      <w:r>
        <w:rPr>
          <w:rFonts w:ascii="Calibri" w:eastAsia="Calibri" w:hAnsi="Calibri" w:cs="Calibri"/>
          <w:color w:val="000000"/>
          <w:sz w:val="24"/>
          <w:szCs w:val="24"/>
          <w:vertAlign w:val="superscript"/>
        </w:rPr>
        <w:footnoteReference w:id="3"/>
      </w:r>
      <w:r>
        <w:rPr>
          <w:rFonts w:ascii="Calibri" w:eastAsia="Calibri" w:hAnsi="Calibri" w:cs="Calibri"/>
          <w:color w:val="000000"/>
          <w:sz w:val="24"/>
          <w:szCs w:val="24"/>
        </w:rPr>
        <w:t xml:space="preserve"> </w:t>
      </w:r>
    </w:p>
    <w:p w14:paraId="39E32BF4" w14:textId="77777777" w:rsidR="00A366D9" w:rsidRDefault="009F4415">
      <w:pPr>
        <w:pBdr>
          <w:top w:val="nil"/>
          <w:left w:val="nil"/>
          <w:bottom w:val="nil"/>
          <w:right w:val="nil"/>
          <w:between w:val="nil"/>
        </w:pBdr>
        <w:spacing w:after="0" w:line="276" w:lineRule="auto"/>
        <w:jc w:val="both"/>
        <w:rPr>
          <w:rFonts w:ascii="Calibri" w:eastAsia="Calibri" w:hAnsi="Calibri" w:cs="Calibri"/>
          <w:color w:val="000000"/>
          <w:sz w:val="24"/>
          <w:szCs w:val="24"/>
        </w:rPr>
      </w:pPr>
      <w:r>
        <w:rPr>
          <w:rFonts w:ascii="Calibri" w:eastAsia="Calibri" w:hAnsi="Calibri" w:cs="Calibri"/>
          <w:color w:val="000000"/>
          <w:sz w:val="24"/>
          <w:szCs w:val="24"/>
        </w:rPr>
        <w:t>It would be necessary to eliminate discrimination at all levels and prevent constructing oppositional group identities. Moreover, despite the fact that reforms have been attempted, the change in content of the history taught is only one componen</w:t>
      </w:r>
      <w:r>
        <w:rPr>
          <w:rFonts w:ascii="Calibri" w:eastAsia="Calibri" w:hAnsi="Calibri" w:cs="Calibri"/>
          <w:color w:val="000000"/>
          <w:sz w:val="24"/>
          <w:szCs w:val="24"/>
        </w:rPr>
        <w:t>t – too often it is neglected that the teachers themselves may be perpetuating their own views or limit the effectiveness of reformed historical recounts when their own disbelief of these more pluralistic versions is evident. In this way, youth are sociali</w:t>
      </w:r>
      <w:r>
        <w:rPr>
          <w:rFonts w:ascii="Calibri" w:eastAsia="Calibri" w:hAnsi="Calibri" w:cs="Calibri"/>
          <w:color w:val="000000"/>
          <w:sz w:val="24"/>
          <w:szCs w:val="24"/>
        </w:rPr>
        <w:t xml:space="preserve">sed </w:t>
      </w:r>
      <w:r>
        <w:rPr>
          <w:rFonts w:ascii="Calibri" w:eastAsia="Calibri" w:hAnsi="Calibri" w:cs="Calibri"/>
          <w:color w:val="000000"/>
          <w:sz w:val="24"/>
          <w:szCs w:val="24"/>
        </w:rPr>
        <w:lastRenderedPageBreak/>
        <w:t xml:space="preserve">into competing group </w:t>
      </w:r>
      <w:r>
        <w:rPr>
          <w:rFonts w:ascii="Calibri" w:eastAsia="Calibri" w:hAnsi="Calibri" w:cs="Calibri"/>
          <w:sz w:val="24"/>
          <w:szCs w:val="24"/>
        </w:rPr>
        <w:t>identities that</w:t>
      </w:r>
      <w:r>
        <w:rPr>
          <w:rFonts w:ascii="Calibri" w:eastAsia="Calibri" w:hAnsi="Calibri" w:cs="Calibri"/>
          <w:color w:val="000000"/>
          <w:sz w:val="24"/>
          <w:szCs w:val="24"/>
        </w:rPr>
        <w:t xml:space="preserve"> </w:t>
      </w:r>
      <w:r>
        <w:rPr>
          <w:rFonts w:ascii="Calibri" w:eastAsia="Calibri" w:hAnsi="Calibri" w:cs="Calibri"/>
          <w:sz w:val="24"/>
          <w:szCs w:val="24"/>
        </w:rPr>
        <w:t>are embedded</w:t>
      </w:r>
      <w:r>
        <w:rPr>
          <w:rFonts w:ascii="Calibri" w:eastAsia="Calibri" w:hAnsi="Calibri" w:cs="Calibri"/>
          <w:color w:val="000000"/>
          <w:sz w:val="24"/>
          <w:szCs w:val="24"/>
        </w:rPr>
        <w:t xml:space="preserve"> and reinforced by the tangible legacies of conflict that are </w:t>
      </w:r>
      <w:r>
        <w:rPr>
          <w:rFonts w:ascii="Calibri" w:eastAsia="Calibri" w:hAnsi="Calibri" w:cs="Calibri"/>
          <w:sz w:val="24"/>
          <w:szCs w:val="24"/>
        </w:rPr>
        <w:t>inescapable</w:t>
      </w:r>
      <w:r>
        <w:rPr>
          <w:rFonts w:ascii="Calibri" w:eastAsia="Calibri" w:hAnsi="Calibri" w:cs="Calibri"/>
          <w:color w:val="000000"/>
          <w:sz w:val="24"/>
          <w:szCs w:val="24"/>
        </w:rPr>
        <w:t xml:space="preserve"> and unavoidable throughout the island. A study conducted in Cyprus</w:t>
      </w:r>
      <w:r>
        <w:rPr>
          <w:rFonts w:ascii="Calibri" w:eastAsia="Calibri" w:hAnsi="Calibri" w:cs="Calibri"/>
          <w:color w:val="000000"/>
          <w:sz w:val="24"/>
          <w:szCs w:val="24"/>
          <w:vertAlign w:val="superscript"/>
        </w:rPr>
        <w:footnoteReference w:id="4"/>
      </w:r>
      <w:r>
        <w:rPr>
          <w:rFonts w:ascii="Calibri" w:eastAsia="Calibri" w:hAnsi="Calibri" w:cs="Calibri"/>
          <w:color w:val="000000"/>
          <w:sz w:val="24"/>
          <w:szCs w:val="24"/>
        </w:rPr>
        <w:t xml:space="preserve"> </w:t>
      </w:r>
      <w:r>
        <w:rPr>
          <w:rFonts w:ascii="Calibri" w:eastAsia="Calibri" w:hAnsi="Calibri" w:cs="Calibri"/>
          <w:sz w:val="24"/>
          <w:szCs w:val="24"/>
        </w:rPr>
        <w:t>showed that teaching</w:t>
      </w:r>
      <w:r>
        <w:rPr>
          <w:rFonts w:ascii="Calibri" w:eastAsia="Calibri" w:hAnsi="Calibri" w:cs="Calibri"/>
          <w:color w:val="000000"/>
          <w:sz w:val="24"/>
          <w:szCs w:val="24"/>
        </w:rPr>
        <w:t xml:space="preserve"> </w:t>
      </w:r>
      <w:r>
        <w:rPr>
          <w:rFonts w:ascii="Calibri" w:eastAsia="Calibri" w:hAnsi="Calibri" w:cs="Calibri"/>
          <w:sz w:val="24"/>
          <w:szCs w:val="24"/>
        </w:rPr>
        <w:t>and the national</w:t>
      </w:r>
      <w:r>
        <w:rPr>
          <w:rFonts w:ascii="Calibri" w:eastAsia="Calibri" w:hAnsi="Calibri" w:cs="Calibri"/>
          <w:color w:val="000000"/>
          <w:sz w:val="24"/>
          <w:szCs w:val="24"/>
        </w:rPr>
        <w:t xml:space="preserve"> environment creates str</w:t>
      </w:r>
      <w:r>
        <w:rPr>
          <w:rFonts w:ascii="Calibri" w:eastAsia="Calibri" w:hAnsi="Calibri" w:cs="Calibri"/>
          <w:color w:val="000000"/>
          <w:sz w:val="24"/>
          <w:szCs w:val="24"/>
        </w:rPr>
        <w:t xml:space="preserve">ong trends of correlation for political preference and identity presentation. The effect of the education system transcends young people and the classroom environment, rather it has repercussions throughout society and permeates how knowledge is acquired. </w:t>
      </w:r>
      <w:r>
        <w:rPr>
          <w:rFonts w:ascii="Calibri" w:eastAsia="Calibri" w:hAnsi="Calibri" w:cs="Calibri"/>
          <w:color w:val="000000"/>
          <w:sz w:val="24"/>
          <w:szCs w:val="24"/>
        </w:rPr>
        <w:t xml:space="preserve">In particular museums, such as the museum of national struggle and museum of barbarism perpetuate similar dynamics, wherein the biases behind knowledge production and dissemination are not fully or adequately addressed. </w:t>
      </w:r>
    </w:p>
    <w:p w14:paraId="5B19F3AD" w14:textId="77777777" w:rsidR="00A366D9" w:rsidRDefault="009F4415">
      <w:pPr>
        <w:pBdr>
          <w:top w:val="nil"/>
          <w:left w:val="nil"/>
          <w:bottom w:val="nil"/>
          <w:right w:val="nil"/>
          <w:between w:val="nil"/>
        </w:pBdr>
        <w:spacing w:before="240" w:after="240" w:line="276" w:lineRule="auto"/>
        <w:jc w:val="both"/>
        <w:rPr>
          <w:rFonts w:ascii="Calibri" w:eastAsia="Calibri" w:hAnsi="Calibri" w:cs="Calibri"/>
          <w:color w:val="000000"/>
          <w:sz w:val="24"/>
          <w:szCs w:val="24"/>
        </w:rPr>
      </w:pPr>
      <w:r>
        <w:rPr>
          <w:rFonts w:ascii="Calibri" w:eastAsia="Calibri" w:hAnsi="Calibri" w:cs="Calibri"/>
          <w:color w:val="000000"/>
          <w:sz w:val="24"/>
          <w:szCs w:val="24"/>
        </w:rPr>
        <w:t>Question</w:t>
      </w:r>
    </w:p>
    <w:p w14:paraId="0DA60AFE" w14:textId="77777777" w:rsidR="00A366D9" w:rsidRDefault="009F4415">
      <w:pPr>
        <w:numPr>
          <w:ilvl w:val="0"/>
          <w:numId w:val="3"/>
        </w:numPr>
        <w:pBdr>
          <w:top w:val="nil"/>
          <w:left w:val="nil"/>
          <w:bottom w:val="nil"/>
          <w:right w:val="nil"/>
          <w:between w:val="nil"/>
        </w:pBdr>
        <w:spacing w:before="240" w:after="240" w:line="276" w:lineRule="auto"/>
        <w:jc w:val="both"/>
        <w:rPr>
          <w:rFonts w:ascii="Calibri" w:eastAsia="Calibri" w:hAnsi="Calibri" w:cs="Calibri"/>
          <w:color w:val="1D2228"/>
          <w:sz w:val="24"/>
          <w:szCs w:val="24"/>
        </w:rPr>
      </w:pPr>
      <w:r>
        <w:rPr>
          <w:rFonts w:ascii="Calibri" w:eastAsia="Calibri" w:hAnsi="Calibri" w:cs="Calibri"/>
          <w:color w:val="000000"/>
          <w:sz w:val="24"/>
          <w:szCs w:val="24"/>
        </w:rPr>
        <w:t xml:space="preserve">Please outline the </w:t>
      </w:r>
      <w:r>
        <w:rPr>
          <w:rFonts w:ascii="Calibri" w:eastAsia="Calibri" w:hAnsi="Calibri" w:cs="Calibri"/>
          <w:color w:val="000000"/>
          <w:sz w:val="24"/>
          <w:szCs w:val="24"/>
        </w:rPr>
        <w:t>involvement of multiple stakeholders in the design of a bi-communal alternative curriculum and text books that will eliminate discrimination at all levels and prevent constructing oppositional group identities.</w:t>
      </w:r>
    </w:p>
    <w:sectPr w:rsidR="00A366D9">
      <w:headerReference w:type="default" r:id="rId8"/>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C1A19" w14:textId="77777777" w:rsidR="002632F5" w:rsidRDefault="002632F5">
      <w:pPr>
        <w:spacing w:after="0" w:line="240" w:lineRule="auto"/>
      </w:pPr>
      <w:r>
        <w:separator/>
      </w:r>
    </w:p>
  </w:endnote>
  <w:endnote w:type="continuationSeparator" w:id="0">
    <w:p w14:paraId="357234F5" w14:textId="77777777" w:rsidR="002632F5" w:rsidRDefault="00263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variable"/>
    <w:sig w:usb0="00000001"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750EF" w14:textId="77777777" w:rsidR="002632F5" w:rsidRDefault="002632F5">
      <w:pPr>
        <w:spacing w:after="0" w:line="240" w:lineRule="auto"/>
      </w:pPr>
      <w:r>
        <w:separator/>
      </w:r>
    </w:p>
  </w:footnote>
  <w:footnote w:type="continuationSeparator" w:id="0">
    <w:p w14:paraId="4FC96937" w14:textId="77777777" w:rsidR="002632F5" w:rsidRDefault="002632F5">
      <w:pPr>
        <w:spacing w:after="0" w:line="240" w:lineRule="auto"/>
      </w:pPr>
      <w:r>
        <w:continuationSeparator/>
      </w:r>
    </w:p>
  </w:footnote>
  <w:footnote w:id="1">
    <w:p w14:paraId="15BE8A45" w14:textId="77777777" w:rsidR="00A366D9" w:rsidRDefault="009F4415">
      <w:pPr>
        <w:pBdr>
          <w:top w:val="nil"/>
          <w:left w:val="nil"/>
          <w:bottom w:val="nil"/>
          <w:right w:val="nil"/>
          <w:between w:val="nil"/>
        </w:pBdr>
        <w:spacing w:line="240" w:lineRule="auto"/>
        <w:rPr>
          <w:rFonts w:ascii="Noto Sans Symbols" w:eastAsia="Noto Sans Symbols" w:hAnsi="Noto Sans Symbols" w:cs="Noto Sans Symbols"/>
          <w:color w:val="000000"/>
          <w:sz w:val="18"/>
          <w:szCs w:val="18"/>
        </w:rPr>
      </w:pPr>
      <w:r>
        <w:rPr>
          <w:rStyle w:val="FootnoteReference"/>
        </w:rPr>
        <w:footnoteRef/>
      </w:r>
      <w:r>
        <w:rPr>
          <w:rFonts w:ascii="Verdana" w:eastAsia="Verdana" w:hAnsi="Verdana" w:cs="Verdana"/>
          <w:color w:val="000000"/>
          <w:sz w:val="18"/>
          <w:szCs w:val="18"/>
        </w:rPr>
        <w:t xml:space="preserve">Snow, A. Aguila, M. Williams, A. </w:t>
      </w:r>
      <w:r>
        <w:rPr>
          <w:rFonts w:ascii="Verdana" w:eastAsia="Verdana" w:hAnsi="Verdana" w:cs="Verdana"/>
          <w:i/>
          <w:color w:val="000000"/>
          <w:sz w:val="18"/>
          <w:szCs w:val="18"/>
          <w:shd w:val="clear" w:color="auto" w:fill="EFEFEA"/>
        </w:rPr>
        <w:t xml:space="preserve">(2021) </w:t>
      </w:r>
      <w:r>
        <w:rPr>
          <w:rFonts w:ascii="Verdana" w:eastAsia="Verdana" w:hAnsi="Verdana" w:cs="Verdana"/>
          <w:color w:val="000000"/>
          <w:sz w:val="18"/>
          <w:szCs w:val="18"/>
          <w:shd w:val="clear" w:color="auto" w:fill="EFEFEA"/>
        </w:rPr>
        <w:t>‘</w:t>
      </w:r>
      <w:r>
        <w:rPr>
          <w:rFonts w:ascii="Verdana" w:eastAsia="Verdana" w:hAnsi="Verdana" w:cs="Verdana"/>
          <w:i/>
          <w:color w:val="000000"/>
          <w:sz w:val="18"/>
          <w:szCs w:val="18"/>
        </w:rPr>
        <w:t xml:space="preserve">The Cyprus Dispute at A Glance,’ </w:t>
      </w:r>
      <w:r>
        <w:rPr>
          <w:rFonts w:ascii="Verdana" w:eastAsia="Verdana" w:hAnsi="Verdana" w:cs="Verdana"/>
          <w:color w:val="000000"/>
          <w:sz w:val="18"/>
          <w:szCs w:val="18"/>
        </w:rPr>
        <w:t>Turkish Heritage Organisation</w:t>
      </w:r>
      <w:r>
        <w:rPr>
          <w:rFonts w:ascii="Verdana" w:eastAsia="Verdana" w:hAnsi="Verdana" w:cs="Verdana"/>
          <w:color w:val="000000"/>
          <w:sz w:val="18"/>
          <w:szCs w:val="18"/>
        </w:rPr>
        <w:t xml:space="preserve">. &lt;https://www.turkheritage.org/en/publications/factsheets/issue-briefs/the- cyprus-dispute-at-a-glance-3300&gt; </w:t>
      </w:r>
    </w:p>
  </w:footnote>
  <w:footnote w:id="2">
    <w:p w14:paraId="49CB2C78" w14:textId="77777777" w:rsidR="00A366D9" w:rsidRDefault="009F4415">
      <w:pPr>
        <w:pBdr>
          <w:top w:val="nil"/>
          <w:left w:val="nil"/>
          <w:bottom w:val="nil"/>
          <w:right w:val="nil"/>
          <w:between w:val="nil"/>
        </w:pBdr>
        <w:rPr>
          <w:rFonts w:ascii="Times New Roman" w:eastAsia="Times New Roman" w:hAnsi="Times New Roman" w:cs="Times New Roman"/>
          <w:color w:val="000000"/>
          <w:sz w:val="24"/>
          <w:szCs w:val="24"/>
        </w:rPr>
      </w:pPr>
      <w:r>
        <w:rPr>
          <w:rStyle w:val="FootnoteReference"/>
        </w:rPr>
        <w:footnoteRef/>
      </w:r>
      <w:r>
        <w:rPr>
          <w:rFonts w:ascii="Times New Roman" w:eastAsia="Times New Roman" w:hAnsi="Times New Roman" w:cs="Times New Roman"/>
          <w:color w:val="000000"/>
        </w:rPr>
        <w:t xml:space="preserve"> H</w:t>
      </w:r>
      <w:r>
        <w:rPr>
          <w:rFonts w:ascii="Verdana" w:eastAsia="Verdana" w:hAnsi="Verdana" w:cs="Verdana"/>
          <w:color w:val="000000"/>
          <w:sz w:val="18"/>
          <w:szCs w:val="18"/>
        </w:rPr>
        <w:t>ensinger, S. (2010) ‘</w:t>
      </w:r>
      <w:r>
        <w:rPr>
          <w:rFonts w:ascii="Verdana" w:eastAsia="Verdana" w:hAnsi="Verdana" w:cs="Verdana"/>
          <w:i/>
          <w:color w:val="000000"/>
          <w:sz w:val="18"/>
          <w:szCs w:val="18"/>
        </w:rPr>
        <w:t xml:space="preserve">The History of the Cyprus Conflict: A Background with Peace Building Strategies, ’ </w:t>
      </w:r>
      <w:r>
        <w:rPr>
          <w:rFonts w:ascii="Verdana" w:eastAsia="Verdana" w:hAnsi="Verdana" w:cs="Verdana"/>
          <w:color w:val="000000"/>
          <w:sz w:val="18"/>
          <w:szCs w:val="18"/>
        </w:rPr>
        <w:t xml:space="preserve">Daily Kos. https://www.dailykos.com/stories/2010/2/20/839037/-&gt; </w:t>
      </w:r>
    </w:p>
    <w:p w14:paraId="1275C24D" w14:textId="77777777" w:rsidR="00A366D9" w:rsidRDefault="009F441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4AABBB1F" w14:textId="77777777" w:rsidR="00A366D9" w:rsidRDefault="00A366D9">
      <w:pPr>
        <w:pBdr>
          <w:top w:val="nil"/>
          <w:left w:val="nil"/>
          <w:bottom w:val="nil"/>
          <w:right w:val="nil"/>
          <w:between w:val="nil"/>
        </w:pBdr>
        <w:rPr>
          <w:rFonts w:ascii="Times New Roman" w:eastAsia="Times New Roman" w:hAnsi="Times New Roman" w:cs="Times New Roman"/>
          <w:color w:val="000000"/>
          <w:sz w:val="24"/>
          <w:szCs w:val="24"/>
        </w:rPr>
      </w:pPr>
    </w:p>
    <w:p w14:paraId="3936621D" w14:textId="77777777" w:rsidR="00A366D9" w:rsidRDefault="00A366D9">
      <w:pPr>
        <w:spacing w:after="0" w:line="240" w:lineRule="auto"/>
        <w:rPr>
          <w:rFonts w:ascii="Times New Roman" w:eastAsia="Times New Roman" w:hAnsi="Times New Roman" w:cs="Times New Roman"/>
          <w:sz w:val="24"/>
          <w:szCs w:val="24"/>
        </w:rPr>
      </w:pPr>
    </w:p>
    <w:p w14:paraId="765EC1CE" w14:textId="77777777" w:rsidR="00A366D9" w:rsidRDefault="00A366D9">
      <w:pPr>
        <w:pBdr>
          <w:top w:val="nil"/>
          <w:left w:val="nil"/>
          <w:bottom w:val="nil"/>
          <w:right w:val="nil"/>
          <w:between w:val="nil"/>
        </w:pBdr>
        <w:spacing w:after="0" w:line="240" w:lineRule="auto"/>
        <w:rPr>
          <w:rFonts w:eastAsia="Cambria"/>
          <w:color w:val="000000"/>
          <w:sz w:val="20"/>
          <w:szCs w:val="20"/>
        </w:rPr>
      </w:pPr>
    </w:p>
  </w:footnote>
  <w:footnote w:id="3">
    <w:p w14:paraId="2C3E02C9" w14:textId="77777777" w:rsidR="00A366D9" w:rsidRDefault="009F4415">
      <w:pPr>
        <w:pBdr>
          <w:top w:val="nil"/>
          <w:left w:val="nil"/>
          <w:bottom w:val="nil"/>
          <w:right w:val="nil"/>
          <w:between w:val="nil"/>
        </w:pBdr>
        <w:spacing w:after="280" w:line="240" w:lineRule="auto"/>
        <w:rPr>
          <w:rFonts w:ascii="Noto Sans Symbols" w:eastAsia="Noto Sans Symbols" w:hAnsi="Noto Sans Symbols" w:cs="Noto Sans Symbols"/>
          <w:color w:val="000000"/>
          <w:sz w:val="18"/>
          <w:szCs w:val="18"/>
        </w:rPr>
      </w:pPr>
      <w:r>
        <w:rPr>
          <w:rStyle w:val="FootnoteReference"/>
        </w:rPr>
        <w:footnoteRef/>
      </w:r>
      <w:r>
        <w:rPr>
          <w:rFonts w:ascii="Times New Roman" w:eastAsia="Times New Roman" w:hAnsi="Times New Roman" w:cs="Times New Roman"/>
          <w:color w:val="000000"/>
        </w:rPr>
        <w:t xml:space="preserve"> </w:t>
      </w:r>
      <w:r>
        <w:rPr>
          <w:rFonts w:ascii="Verdana" w:eastAsia="Verdana" w:hAnsi="Verdana" w:cs="Verdana"/>
          <w:color w:val="000000"/>
          <w:sz w:val="18"/>
          <w:szCs w:val="18"/>
        </w:rPr>
        <w:t>Eleftherios, M. (2015)</w:t>
      </w:r>
      <w:r>
        <w:rPr>
          <w:rFonts w:ascii="Verdana" w:eastAsia="Verdana" w:hAnsi="Verdana" w:cs="Verdana"/>
          <w:i/>
          <w:color w:val="000000"/>
          <w:sz w:val="18"/>
          <w:szCs w:val="18"/>
        </w:rPr>
        <w:t>’Peace-making Strategies in Cyprus: In Search of Lasting Peace</w:t>
      </w:r>
      <w:r>
        <w:rPr>
          <w:rFonts w:ascii="Verdana" w:eastAsia="Verdana" w:hAnsi="Verdana" w:cs="Verdana"/>
          <w:color w:val="000000"/>
          <w:sz w:val="18"/>
          <w:szCs w:val="18"/>
        </w:rPr>
        <w:t xml:space="preserve">,’ Cambridge Scholars Publisher, 2015. </w:t>
      </w:r>
    </w:p>
    <w:p w14:paraId="61FD91BD" w14:textId="77777777" w:rsidR="00A366D9" w:rsidRDefault="00A366D9">
      <w:pPr>
        <w:pBdr>
          <w:top w:val="nil"/>
          <w:left w:val="nil"/>
          <w:bottom w:val="nil"/>
          <w:right w:val="nil"/>
          <w:between w:val="nil"/>
        </w:pBdr>
        <w:spacing w:after="0" w:line="240" w:lineRule="auto"/>
        <w:rPr>
          <w:rFonts w:eastAsia="Cambria"/>
          <w:color w:val="000000"/>
          <w:sz w:val="20"/>
          <w:szCs w:val="20"/>
        </w:rPr>
      </w:pPr>
    </w:p>
  </w:footnote>
  <w:footnote w:id="4">
    <w:p w14:paraId="57CCECC1" w14:textId="77777777" w:rsidR="00A366D9" w:rsidRDefault="009F4415">
      <w:pPr>
        <w:pBdr>
          <w:top w:val="nil"/>
          <w:left w:val="nil"/>
          <w:bottom w:val="nil"/>
          <w:right w:val="nil"/>
          <w:between w:val="nil"/>
        </w:pBdr>
        <w:rPr>
          <w:rFonts w:ascii="Times New Roman" w:eastAsia="Times New Roman" w:hAnsi="Times New Roman" w:cs="Times New Roman"/>
          <w:color w:val="000000"/>
          <w:sz w:val="24"/>
          <w:szCs w:val="24"/>
        </w:rPr>
      </w:pPr>
      <w:r>
        <w:rPr>
          <w:rStyle w:val="FootnoteReference"/>
        </w:rPr>
        <w:footnoteRef/>
      </w:r>
      <w:r>
        <w:rPr>
          <w:rFonts w:ascii="Times New Roman" w:eastAsia="Times New Roman" w:hAnsi="Times New Roman" w:cs="Times New Roman"/>
          <w:color w:val="000000"/>
        </w:rPr>
        <w:t xml:space="preserve"> </w:t>
      </w:r>
      <w:r>
        <w:rPr>
          <w:rFonts w:ascii="Verdana" w:eastAsia="Verdana" w:hAnsi="Verdana" w:cs="Verdana"/>
          <w:color w:val="000000"/>
          <w:sz w:val="18"/>
          <w:szCs w:val="18"/>
        </w:rPr>
        <w:t>Ozgur, S. Koprulu, N. Reuchamps, M. (2019) ‘</w:t>
      </w:r>
      <w:r>
        <w:rPr>
          <w:rFonts w:ascii="Verdana" w:eastAsia="Verdana" w:hAnsi="Verdana" w:cs="Verdana"/>
          <w:i/>
          <w:color w:val="000000"/>
          <w:sz w:val="18"/>
          <w:szCs w:val="18"/>
        </w:rPr>
        <w:t>Drawing Cypru</w:t>
      </w:r>
      <w:r>
        <w:rPr>
          <w:rFonts w:ascii="Verdana" w:eastAsia="Verdana" w:hAnsi="Verdana" w:cs="Verdana"/>
          <w:i/>
          <w:color w:val="000000"/>
          <w:sz w:val="18"/>
          <w:szCs w:val="18"/>
        </w:rPr>
        <w:t xml:space="preserve">s: Power-sharing, identity and expectations among the next generation in Northern Cyprus,’ </w:t>
      </w:r>
      <w:r>
        <w:rPr>
          <w:rFonts w:ascii="Verdana" w:eastAsia="Verdana" w:hAnsi="Verdana" w:cs="Verdana"/>
          <w:color w:val="000000"/>
          <w:sz w:val="18"/>
          <w:szCs w:val="18"/>
        </w:rPr>
        <w:t xml:space="preserve">Mediterranean Politics, 24:2, 237-259, DOI: 10.1080/13629395.2017.1404720 </w:t>
      </w:r>
    </w:p>
    <w:p w14:paraId="6BA393EF" w14:textId="77777777" w:rsidR="00A366D9" w:rsidRDefault="00A366D9">
      <w:pPr>
        <w:spacing w:after="0" w:line="240" w:lineRule="auto"/>
        <w:rPr>
          <w:rFonts w:ascii="Times New Roman" w:eastAsia="Times New Roman" w:hAnsi="Times New Roman" w:cs="Times New Roman"/>
          <w:sz w:val="24"/>
          <w:szCs w:val="24"/>
        </w:rPr>
      </w:pPr>
    </w:p>
    <w:p w14:paraId="7D6F2045" w14:textId="77777777" w:rsidR="00A366D9" w:rsidRDefault="00A366D9">
      <w:pPr>
        <w:pBdr>
          <w:top w:val="nil"/>
          <w:left w:val="nil"/>
          <w:bottom w:val="nil"/>
          <w:right w:val="nil"/>
          <w:between w:val="nil"/>
        </w:pBdr>
        <w:spacing w:after="0" w:line="240" w:lineRule="auto"/>
        <w:rPr>
          <w:rFonts w:eastAsia="Cambria"/>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C27F" w14:textId="77777777" w:rsidR="00A366D9" w:rsidRDefault="009F4415">
    <w:pPr>
      <w:pBdr>
        <w:top w:val="nil"/>
        <w:left w:val="nil"/>
        <w:bottom w:val="nil"/>
        <w:right w:val="nil"/>
        <w:between w:val="nil"/>
      </w:pBdr>
      <w:tabs>
        <w:tab w:val="center" w:pos="4320"/>
        <w:tab w:val="right" w:pos="8640"/>
        <w:tab w:val="left" w:pos="2526"/>
      </w:tabs>
      <w:spacing w:after="0" w:line="240" w:lineRule="auto"/>
      <w:rPr>
        <w:rFonts w:eastAsia="Cambria"/>
        <w:color w:val="4F81BD"/>
        <w:sz w:val="24"/>
        <w:szCs w:val="24"/>
      </w:rPr>
    </w:pPr>
    <w:r>
      <w:rPr>
        <w:rFonts w:eastAsia="Cambria"/>
        <w:noProof/>
        <w:color w:val="4F81BD"/>
        <w:sz w:val="24"/>
        <w:szCs w:val="24"/>
        <w:lang w:val="en-GB"/>
      </w:rPr>
      <w:drawing>
        <wp:inline distT="0" distB="0" distL="0" distR="0" wp14:anchorId="563E78EE" wp14:editId="35B22B83">
          <wp:extent cx="940855" cy="801006"/>
          <wp:effectExtent l="0" t="0" r="0" b="0"/>
          <wp:docPr id="4" name="image2.jpg" descr="Macintosh HD:Users:Kubra:Documents:2020:ICO:LOGO.jpg"/>
          <wp:cNvGraphicFramePr/>
          <a:graphic xmlns:a="http://schemas.openxmlformats.org/drawingml/2006/main">
            <a:graphicData uri="http://schemas.openxmlformats.org/drawingml/2006/picture">
              <pic:pic xmlns:pic="http://schemas.openxmlformats.org/drawingml/2006/picture">
                <pic:nvPicPr>
                  <pic:cNvPr id="0" name="image2.jpg" descr="Macintosh HD:Users:Kubra:Documents:2020:ICO:LOGO.jpg"/>
                  <pic:cNvPicPr preferRelativeResize="0"/>
                </pic:nvPicPr>
                <pic:blipFill>
                  <a:blip r:embed="rId1"/>
                  <a:srcRect/>
                  <a:stretch>
                    <a:fillRect/>
                  </a:stretch>
                </pic:blipFill>
                <pic:spPr>
                  <a:xfrm>
                    <a:off x="0" y="0"/>
                    <a:ext cx="940855" cy="801006"/>
                  </a:xfrm>
                  <a:prstGeom prst="rect">
                    <a:avLst/>
                  </a:prstGeom>
                  <a:ln/>
                </pic:spPr>
              </pic:pic>
            </a:graphicData>
          </a:graphic>
        </wp:inline>
      </w:drawing>
    </w:r>
    <w:r>
      <w:rPr>
        <w:rFonts w:eastAsia="Cambria"/>
        <w:color w:val="4F81BD"/>
        <w:sz w:val="24"/>
        <w:szCs w:val="24"/>
      </w:rPr>
      <w:tab/>
    </w:r>
    <w:r>
      <w:rPr>
        <w:noProof/>
        <w:lang w:val="en-GB"/>
      </w:rPr>
      <mc:AlternateContent>
        <mc:Choice Requires="wpg">
          <w:drawing>
            <wp:anchor distT="0" distB="0" distL="114300" distR="114300" simplePos="0" relativeHeight="251658240" behindDoc="0" locked="0" layoutInCell="1" hidden="0" allowOverlap="1" wp14:anchorId="0F3C0D65" wp14:editId="0DDA9624">
              <wp:simplePos x="0" y="0"/>
              <wp:positionH relativeFrom="column">
                <wp:posOffset>2273300</wp:posOffset>
              </wp:positionH>
              <wp:positionV relativeFrom="paragraph">
                <wp:posOffset>-101599</wp:posOffset>
              </wp:positionV>
              <wp:extent cx="3552825" cy="1266825"/>
              <wp:effectExtent l="0" t="0" r="0" b="0"/>
              <wp:wrapNone/>
              <wp:docPr id="3" name="Rectangle 3"/>
              <wp:cNvGraphicFramePr/>
              <a:graphic xmlns:a="http://schemas.openxmlformats.org/drawingml/2006/main">
                <a:graphicData uri="http://schemas.microsoft.com/office/word/2010/wordprocessingShape">
                  <wps:wsp>
                    <wps:cNvSpPr/>
                    <wps:spPr>
                      <a:xfrm>
                        <a:off x="3574350" y="3151350"/>
                        <a:ext cx="3543300" cy="1257300"/>
                      </a:xfrm>
                      <a:prstGeom prst="rect">
                        <a:avLst/>
                      </a:prstGeom>
                      <a:noFill/>
                      <a:ln>
                        <a:noFill/>
                      </a:ln>
                    </wps:spPr>
                    <wps:txbx>
                      <w:txbxContent>
                        <w:p w14:paraId="519255D8" w14:textId="77777777" w:rsidR="00A366D9" w:rsidRDefault="00A366D9">
                          <w:pPr>
                            <w:spacing w:after="0" w:line="240" w:lineRule="auto"/>
                            <w:ind w:right="188"/>
                            <w:jc w:val="right"/>
                            <w:textDirection w:val="btLr"/>
                          </w:pPr>
                        </w:p>
                        <w:p w14:paraId="75F42F1C" w14:textId="77777777" w:rsidR="00A366D9" w:rsidRDefault="009F4415">
                          <w:pPr>
                            <w:spacing w:after="0" w:line="240" w:lineRule="auto"/>
                            <w:jc w:val="right"/>
                            <w:textDirection w:val="btLr"/>
                          </w:pPr>
                          <w:r>
                            <w:rPr>
                              <w:rFonts w:ascii="Arial" w:eastAsia="Arial" w:hAnsi="Arial" w:cs="Arial"/>
                              <w:b/>
                              <w:color w:val="4F81BD"/>
                              <w:sz w:val="14"/>
                            </w:rPr>
                            <w:t>85 Great Portland Street,</w:t>
                          </w:r>
                        </w:p>
                        <w:p w14:paraId="33C037BD" w14:textId="77777777" w:rsidR="00A366D9" w:rsidRDefault="009F4415">
                          <w:pPr>
                            <w:spacing w:after="0" w:line="240" w:lineRule="auto"/>
                            <w:jc w:val="right"/>
                            <w:textDirection w:val="btLr"/>
                          </w:pPr>
                          <w:r>
                            <w:rPr>
                              <w:rFonts w:ascii="Arial" w:eastAsia="Arial" w:hAnsi="Arial" w:cs="Arial"/>
                              <w:b/>
                              <w:color w:val="4F81BD"/>
                              <w:sz w:val="14"/>
                            </w:rPr>
                            <w:t>London, UK</w:t>
                          </w:r>
                        </w:p>
                        <w:p w14:paraId="70271D28" w14:textId="77777777" w:rsidR="00A366D9" w:rsidRDefault="009F4415">
                          <w:pPr>
                            <w:spacing w:after="0" w:line="240" w:lineRule="auto"/>
                            <w:jc w:val="right"/>
                            <w:textDirection w:val="btLr"/>
                          </w:pPr>
                          <w:r>
                            <w:rPr>
                              <w:rFonts w:ascii="Arial" w:eastAsia="Arial" w:hAnsi="Arial" w:cs="Arial"/>
                              <w:b/>
                              <w:color w:val="4F81BD"/>
                              <w:sz w:val="14"/>
                            </w:rPr>
                            <w:t>W1W 7LT </w:t>
                          </w:r>
                        </w:p>
                        <w:p w14:paraId="27967D05" w14:textId="77777777" w:rsidR="00A366D9" w:rsidRDefault="00A366D9">
                          <w:pPr>
                            <w:spacing w:after="0" w:line="240" w:lineRule="auto"/>
                            <w:jc w:val="right"/>
                            <w:textDirection w:val="btLr"/>
                          </w:pPr>
                        </w:p>
                        <w:p w14:paraId="5346FB76" w14:textId="77777777" w:rsidR="00A366D9" w:rsidRDefault="009F4415">
                          <w:pPr>
                            <w:spacing w:after="0" w:line="240" w:lineRule="auto"/>
                            <w:jc w:val="right"/>
                            <w:textDirection w:val="btLr"/>
                          </w:pPr>
                          <w:r>
                            <w:rPr>
                              <w:rFonts w:ascii="Arial" w:eastAsia="Arial" w:hAnsi="Arial" w:cs="Arial"/>
                              <w:b/>
                              <w:color w:val="0000FF"/>
                              <w:sz w:val="14"/>
                              <w:u w:val="single"/>
                            </w:rPr>
                            <w:t>www.internationalcommunities.org</w:t>
                          </w:r>
                        </w:p>
                        <w:p w14:paraId="6529C51E" w14:textId="77777777" w:rsidR="00A366D9" w:rsidRDefault="009F4415">
                          <w:pPr>
                            <w:spacing w:line="258" w:lineRule="auto"/>
                            <w:jc w:val="right"/>
                            <w:textDirection w:val="btLr"/>
                          </w:pPr>
                          <w:r>
                            <w:rPr>
                              <w:rFonts w:eastAsia="Cambria"/>
                              <w:b/>
                              <w:color w:val="0000FF"/>
                              <w:sz w:val="14"/>
                              <w:u w:val="single"/>
                            </w:rPr>
                            <w:t>info@internationalcommunities.org</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2273300</wp:posOffset>
              </wp:positionH>
              <wp:positionV relativeFrom="paragraph">
                <wp:posOffset>-101599</wp:posOffset>
              </wp:positionV>
              <wp:extent cx="3552825" cy="1266825"/>
              <wp:effectExtent b="0" l="0" r="0" t="0"/>
              <wp:wrapNone/>
              <wp:docPr id="3"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3552825" cy="1266825"/>
                      </a:xfrm>
                      <a:prstGeom prst="rect"/>
                      <a:ln/>
                    </pic:spPr>
                  </pic:pic>
                </a:graphicData>
              </a:graphic>
            </wp:anchor>
          </w:drawing>
        </mc:Fallback>
      </mc:AlternateContent>
    </w:r>
  </w:p>
  <w:p w14:paraId="020473CF" w14:textId="77777777" w:rsidR="00A366D9" w:rsidRDefault="009F4415">
    <w:pPr>
      <w:pBdr>
        <w:top w:val="nil"/>
        <w:left w:val="nil"/>
        <w:bottom w:val="nil"/>
        <w:right w:val="nil"/>
        <w:between w:val="nil"/>
      </w:pBdr>
      <w:tabs>
        <w:tab w:val="center" w:pos="4320"/>
        <w:tab w:val="right" w:pos="8640"/>
        <w:tab w:val="left" w:pos="2526"/>
      </w:tabs>
      <w:spacing w:after="0" w:line="240" w:lineRule="auto"/>
      <w:rPr>
        <w:rFonts w:eastAsia="Cambria"/>
        <w:color w:val="000000"/>
        <w:sz w:val="24"/>
        <w:szCs w:val="24"/>
      </w:rPr>
    </w:pPr>
    <w:r>
      <w:rPr>
        <w:rFonts w:eastAsia="Cambria"/>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A1566"/>
    <w:multiLevelType w:val="multilevel"/>
    <w:tmpl w:val="3404F6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E45DF0"/>
    <w:multiLevelType w:val="multilevel"/>
    <w:tmpl w:val="0590E65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BBE4750"/>
    <w:multiLevelType w:val="multilevel"/>
    <w:tmpl w:val="03A075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6D9"/>
    <w:rsid w:val="001710E3"/>
    <w:rsid w:val="002632F5"/>
    <w:rsid w:val="009F4415"/>
    <w:rsid w:val="00A36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3B384"/>
  <w15:docId w15:val="{A023EC17-8D3C-A049-98DE-ABD65E23A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3B8"/>
    <w:rPr>
      <w:rFonts w:eastAsiaTheme="minorHAnsi"/>
      <w:lang w:val="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F46B0D"/>
    <w:rPr>
      <w:color w:val="0000FF" w:themeColor="hyperlink"/>
      <w:u w:val="single"/>
    </w:rPr>
  </w:style>
  <w:style w:type="paragraph" w:styleId="BalloonText">
    <w:name w:val="Balloon Text"/>
    <w:basedOn w:val="Normal"/>
    <w:link w:val="BalloonTextChar"/>
    <w:uiPriority w:val="99"/>
    <w:semiHidden/>
    <w:unhideWhenUsed/>
    <w:rsid w:val="00071FCB"/>
    <w:pPr>
      <w:spacing w:after="0" w:line="240" w:lineRule="auto"/>
    </w:pPr>
    <w:rPr>
      <w:rFonts w:ascii="Lucida Grande" w:eastAsiaTheme="minorEastAsia" w:hAnsi="Lucida Grande" w:cs="Lucida Grande"/>
      <w:sz w:val="18"/>
      <w:szCs w:val="18"/>
      <w:lang w:val="en-GB"/>
    </w:rPr>
  </w:style>
  <w:style w:type="character" w:customStyle="1" w:styleId="BalloonTextChar">
    <w:name w:val="Balloon Text Char"/>
    <w:basedOn w:val="DefaultParagraphFont"/>
    <w:link w:val="BalloonText"/>
    <w:uiPriority w:val="99"/>
    <w:semiHidden/>
    <w:rsid w:val="00071FCB"/>
    <w:rPr>
      <w:rFonts w:ascii="Lucida Grande" w:hAnsi="Lucida Grande" w:cs="Lucida Grande"/>
      <w:sz w:val="18"/>
      <w:szCs w:val="18"/>
    </w:rPr>
  </w:style>
  <w:style w:type="paragraph" w:styleId="Header">
    <w:name w:val="header"/>
    <w:basedOn w:val="Normal"/>
    <w:link w:val="HeaderChar"/>
    <w:uiPriority w:val="99"/>
    <w:unhideWhenUsed/>
    <w:rsid w:val="00071FCB"/>
    <w:pPr>
      <w:tabs>
        <w:tab w:val="center" w:pos="4320"/>
        <w:tab w:val="right" w:pos="8640"/>
      </w:tabs>
      <w:spacing w:after="0" w:line="240" w:lineRule="auto"/>
    </w:pPr>
    <w:rPr>
      <w:rFonts w:eastAsiaTheme="minorEastAsia"/>
      <w:sz w:val="24"/>
      <w:szCs w:val="24"/>
      <w:lang w:val="en-GB"/>
    </w:rPr>
  </w:style>
  <w:style w:type="character" w:customStyle="1" w:styleId="HeaderChar">
    <w:name w:val="Header Char"/>
    <w:basedOn w:val="DefaultParagraphFont"/>
    <w:link w:val="Header"/>
    <w:uiPriority w:val="99"/>
    <w:rsid w:val="00071FCB"/>
  </w:style>
  <w:style w:type="paragraph" w:styleId="Footer">
    <w:name w:val="footer"/>
    <w:basedOn w:val="Normal"/>
    <w:link w:val="FooterChar"/>
    <w:uiPriority w:val="99"/>
    <w:unhideWhenUsed/>
    <w:rsid w:val="00071FCB"/>
    <w:pPr>
      <w:tabs>
        <w:tab w:val="center" w:pos="4320"/>
        <w:tab w:val="right" w:pos="8640"/>
      </w:tabs>
    </w:pPr>
  </w:style>
  <w:style w:type="character" w:customStyle="1" w:styleId="FooterChar">
    <w:name w:val="Footer Char"/>
    <w:basedOn w:val="DefaultParagraphFont"/>
    <w:link w:val="Footer"/>
    <w:uiPriority w:val="99"/>
    <w:rsid w:val="00071FCB"/>
  </w:style>
  <w:style w:type="character" w:styleId="FollowedHyperlink">
    <w:name w:val="FollowedHyperlink"/>
    <w:basedOn w:val="DefaultParagraphFont"/>
    <w:uiPriority w:val="99"/>
    <w:semiHidden/>
    <w:unhideWhenUsed/>
    <w:rsid w:val="00071FCB"/>
    <w:rPr>
      <w:color w:val="800080" w:themeColor="followedHyperlink"/>
      <w:u w:val="single"/>
    </w:rPr>
  </w:style>
  <w:style w:type="paragraph" w:styleId="NormalWeb">
    <w:name w:val="Normal (Web)"/>
    <w:basedOn w:val="Normal"/>
    <w:uiPriority w:val="99"/>
    <w:unhideWhenUsed/>
    <w:rsid w:val="00372A29"/>
    <w:rPr>
      <w:rFonts w:ascii="Times New Roman" w:hAnsi="Times New Roman" w:cs="Times New Roman"/>
    </w:rPr>
  </w:style>
  <w:style w:type="paragraph" w:customStyle="1" w:styleId="Normal1">
    <w:name w:val="Normal1"/>
    <w:rsid w:val="00BE5E6B"/>
    <w:pPr>
      <w:spacing w:line="276" w:lineRule="auto"/>
    </w:pPr>
    <w:rPr>
      <w:rFonts w:ascii="Arial" w:eastAsia="Arial" w:hAnsi="Arial" w:cs="Arial"/>
      <w:lang w:val="en"/>
    </w:rPr>
  </w:style>
  <w:style w:type="paragraph" w:customStyle="1" w:styleId="Body">
    <w:name w:val="Body"/>
    <w:rsid w:val="002C7592"/>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en-US"/>
      <w14:textOutline w14:w="0" w14:cap="flat" w14:cmpd="sng" w14:algn="ctr">
        <w14:noFill/>
        <w14:prstDash w14:val="solid"/>
        <w14:bevel/>
      </w14:textOutline>
    </w:rPr>
  </w:style>
  <w:style w:type="paragraph" w:styleId="ListParagraph">
    <w:name w:val="List Paragraph"/>
    <w:basedOn w:val="Normal"/>
    <w:uiPriority w:val="34"/>
    <w:qFormat/>
    <w:rsid w:val="0010025A"/>
    <w:pPr>
      <w:ind w:left="720"/>
      <w:contextualSpacing/>
    </w:pPr>
  </w:style>
  <w:style w:type="paragraph" w:styleId="FootnoteText">
    <w:name w:val="footnote text"/>
    <w:basedOn w:val="Normal"/>
    <w:link w:val="FootnoteTextChar"/>
    <w:uiPriority w:val="99"/>
    <w:semiHidden/>
    <w:unhideWhenUsed/>
    <w:rsid w:val="00307A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7AEE"/>
    <w:rPr>
      <w:rFonts w:eastAsiaTheme="minorHAnsi"/>
      <w:sz w:val="20"/>
      <w:szCs w:val="20"/>
      <w:lang w:val="en-US"/>
    </w:rPr>
  </w:style>
  <w:style w:type="character" w:styleId="FootnoteReference">
    <w:name w:val="footnote reference"/>
    <w:basedOn w:val="DefaultParagraphFont"/>
    <w:uiPriority w:val="99"/>
    <w:semiHidden/>
    <w:unhideWhenUsed/>
    <w:rsid w:val="00307AEE"/>
    <w:rPr>
      <w:vertAlign w:val="superscript"/>
    </w:rPr>
  </w:style>
  <w:style w:type="paragraph" w:styleId="Revision">
    <w:name w:val="Revision"/>
    <w:hidden/>
    <w:uiPriority w:val="99"/>
    <w:semiHidden/>
    <w:rsid w:val="00E16D4C"/>
    <w:rPr>
      <w:rFonts w:eastAsiaTheme="minorHAnsi"/>
      <w:lang w:val="en-US"/>
    </w:rPr>
  </w:style>
  <w:style w:type="character" w:styleId="CommentReference">
    <w:name w:val="annotation reference"/>
    <w:basedOn w:val="DefaultParagraphFont"/>
    <w:uiPriority w:val="99"/>
    <w:semiHidden/>
    <w:unhideWhenUsed/>
    <w:rsid w:val="00E16D4C"/>
    <w:rPr>
      <w:sz w:val="16"/>
      <w:szCs w:val="16"/>
    </w:rPr>
  </w:style>
  <w:style w:type="paragraph" w:styleId="CommentText">
    <w:name w:val="annotation text"/>
    <w:basedOn w:val="Normal"/>
    <w:link w:val="CommentTextChar"/>
    <w:uiPriority w:val="99"/>
    <w:semiHidden/>
    <w:unhideWhenUsed/>
    <w:rsid w:val="00E16D4C"/>
    <w:pPr>
      <w:spacing w:line="240" w:lineRule="auto"/>
    </w:pPr>
    <w:rPr>
      <w:sz w:val="20"/>
      <w:szCs w:val="20"/>
    </w:rPr>
  </w:style>
  <w:style w:type="character" w:customStyle="1" w:styleId="CommentTextChar">
    <w:name w:val="Comment Text Char"/>
    <w:basedOn w:val="DefaultParagraphFont"/>
    <w:link w:val="CommentText"/>
    <w:uiPriority w:val="99"/>
    <w:semiHidden/>
    <w:rsid w:val="00E16D4C"/>
    <w:rPr>
      <w:rFonts w:eastAsiaTheme="minorHAnsi"/>
      <w:sz w:val="20"/>
      <w:szCs w:val="20"/>
      <w:lang w:val="en-US"/>
    </w:rPr>
  </w:style>
  <w:style w:type="paragraph" w:styleId="CommentSubject">
    <w:name w:val="annotation subject"/>
    <w:basedOn w:val="CommentText"/>
    <w:next w:val="CommentText"/>
    <w:link w:val="CommentSubjectChar"/>
    <w:uiPriority w:val="99"/>
    <w:semiHidden/>
    <w:unhideWhenUsed/>
    <w:rsid w:val="00E16D4C"/>
    <w:rPr>
      <w:b/>
      <w:bCs/>
    </w:rPr>
  </w:style>
  <w:style w:type="character" w:customStyle="1" w:styleId="CommentSubjectChar">
    <w:name w:val="Comment Subject Char"/>
    <w:basedOn w:val="CommentTextChar"/>
    <w:link w:val="CommentSubject"/>
    <w:uiPriority w:val="99"/>
    <w:semiHidden/>
    <w:rsid w:val="00E16D4C"/>
    <w:rPr>
      <w:rFonts w:eastAsiaTheme="minorHAnsi"/>
      <w:b/>
      <w:bCs/>
      <w:sz w:val="20"/>
      <w:szCs w:val="20"/>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osLrwabqoqgnp++QflQkDnBEgg==">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5c421e79169b6bba174fb07424eb68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4B24935-5B68-4848-ABBB-987D0A5AB3F8}"/>
</file>

<file path=customXml/itemProps3.xml><?xml version="1.0" encoding="utf-8"?>
<ds:datastoreItem xmlns:ds="http://schemas.openxmlformats.org/officeDocument/2006/customXml" ds:itemID="{9E7C51C6-D2EA-4F2F-8B01-94C73FE85234}"/>
</file>

<file path=customXml/itemProps4.xml><?xml version="1.0" encoding="utf-8"?>
<ds:datastoreItem xmlns:ds="http://schemas.openxmlformats.org/officeDocument/2006/customXml" ds:itemID="{CDEE538D-C7DF-499A-8348-3B6C48AD37A8}"/>
</file>

<file path=docProps/app.xml><?xml version="1.0" encoding="utf-8"?>
<Properties xmlns="http://schemas.openxmlformats.org/officeDocument/2006/extended-properties" xmlns:vt="http://schemas.openxmlformats.org/officeDocument/2006/docPropsVTypes">
  <Template>Normal.dotm</Template>
  <TotalTime>1</TotalTime>
  <Pages>5</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Kubra K</dc:creator>
  <cp:lastModifiedBy>REYNAUD Céline</cp:lastModifiedBy>
  <cp:revision>2</cp:revision>
  <cp:lastPrinted>2022-08-09T17:25:00Z</cp:lastPrinted>
  <dcterms:created xsi:type="dcterms:W3CDTF">2022-08-11T08:17:00Z</dcterms:created>
  <dcterms:modified xsi:type="dcterms:W3CDTF">2022-08-11T08:17:00Z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0x010100FAE5DBF0ADA998469064B64F53A76F3C</vt:lpwstr>
  </property>
</Properties>
</file>