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5AC1F" w14:textId="77777777" w:rsidR="006020F5" w:rsidRPr="00F01F57" w:rsidRDefault="006020F5" w:rsidP="006020F5">
      <w:pPr>
        <w:spacing w:after="0" w:line="240" w:lineRule="auto"/>
        <w:jc w:val="both"/>
        <w:rPr>
          <w:rFonts w:ascii="Times New Roman" w:hAnsi="Times New Roman" w:cs="Times New Roman"/>
          <w:b/>
          <w:bCs/>
          <w:i/>
          <w:iCs/>
          <w:sz w:val="24"/>
          <w:szCs w:val="24"/>
          <w:lang w:val="en-US"/>
        </w:rPr>
      </w:pPr>
      <w:r w:rsidRPr="00F01F57">
        <w:rPr>
          <w:rFonts w:ascii="Times New Roman" w:hAnsi="Times New Roman" w:cs="Times New Roman"/>
          <w:b/>
          <w:bCs/>
          <w:i/>
          <w:iCs/>
          <w:sz w:val="24"/>
          <w:szCs w:val="24"/>
          <w:lang w:val="en-US"/>
        </w:rPr>
        <w:t xml:space="preserve">Additional Information </w:t>
      </w:r>
    </w:p>
    <w:p w14:paraId="3668FDCD" w14:textId="33C26DFC" w:rsidR="006020F5" w:rsidRPr="00F01F57" w:rsidRDefault="006020F5" w:rsidP="006020F5">
      <w:pPr>
        <w:spacing w:after="0" w:line="240" w:lineRule="auto"/>
        <w:jc w:val="both"/>
        <w:rPr>
          <w:rFonts w:ascii="Times New Roman" w:hAnsi="Times New Roman" w:cs="Times New Roman"/>
          <w:b/>
          <w:bCs/>
          <w:i/>
          <w:iCs/>
          <w:sz w:val="24"/>
          <w:szCs w:val="24"/>
          <w:lang w:val="en-US"/>
        </w:rPr>
      </w:pPr>
      <w:r w:rsidRPr="00F01F57">
        <w:rPr>
          <w:rFonts w:ascii="Times New Roman" w:hAnsi="Times New Roman" w:cs="Times New Roman"/>
          <w:b/>
          <w:bCs/>
          <w:i/>
          <w:iCs/>
          <w:sz w:val="24"/>
          <w:szCs w:val="24"/>
          <w:lang w:val="en-US"/>
        </w:rPr>
        <w:t xml:space="preserve">Constructive Dialogue on the </w:t>
      </w:r>
      <w:r w:rsidR="00F01F57" w:rsidRPr="00F01F57">
        <w:rPr>
          <w:rFonts w:ascii="Times New Roman" w:hAnsi="Times New Roman" w:cs="Times New Roman"/>
          <w:b/>
          <w:bCs/>
          <w:i/>
          <w:iCs/>
          <w:sz w:val="24"/>
          <w:szCs w:val="24"/>
          <w:lang w:val="en-US"/>
        </w:rPr>
        <w:t xml:space="preserve">consideration of the </w:t>
      </w:r>
      <w:r w:rsidR="00F01F57">
        <w:rPr>
          <w:rFonts w:ascii="Times New Roman" w:hAnsi="Times New Roman" w:cs="Times New Roman"/>
          <w:b/>
          <w:bCs/>
          <w:i/>
          <w:iCs/>
          <w:sz w:val="24"/>
          <w:szCs w:val="24"/>
          <w:lang w:val="en-US"/>
        </w:rPr>
        <w:t>tenth</w:t>
      </w:r>
      <w:r w:rsidRPr="00F01F57">
        <w:rPr>
          <w:rFonts w:ascii="Times New Roman" w:hAnsi="Times New Roman" w:cs="Times New Roman"/>
          <w:b/>
          <w:bCs/>
          <w:i/>
          <w:iCs/>
          <w:sz w:val="24"/>
          <w:szCs w:val="24"/>
          <w:lang w:val="en-US"/>
        </w:rPr>
        <w:t xml:space="preserve"> </w:t>
      </w:r>
      <w:r w:rsidR="00F01F57" w:rsidRPr="00F01F57">
        <w:rPr>
          <w:rFonts w:ascii="Times New Roman" w:hAnsi="Times New Roman" w:cs="Times New Roman"/>
          <w:b/>
          <w:bCs/>
          <w:i/>
          <w:iCs/>
          <w:sz w:val="24"/>
          <w:szCs w:val="24"/>
          <w:lang w:val="en-US"/>
        </w:rPr>
        <w:t>periodic</w:t>
      </w:r>
      <w:r w:rsidRPr="00F01F57">
        <w:rPr>
          <w:rFonts w:ascii="Times New Roman" w:hAnsi="Times New Roman" w:cs="Times New Roman"/>
          <w:b/>
          <w:bCs/>
          <w:i/>
          <w:iCs/>
          <w:sz w:val="24"/>
          <w:szCs w:val="24"/>
          <w:lang w:val="en-US"/>
        </w:rPr>
        <w:t xml:space="preserve"> </w:t>
      </w:r>
      <w:r w:rsidR="00F01F57" w:rsidRPr="00F01F57">
        <w:rPr>
          <w:rFonts w:ascii="Times New Roman" w:hAnsi="Times New Roman" w:cs="Times New Roman"/>
          <w:b/>
          <w:bCs/>
          <w:i/>
          <w:iCs/>
          <w:sz w:val="24"/>
          <w:szCs w:val="24"/>
          <w:lang w:val="en-US"/>
        </w:rPr>
        <w:t>r</w:t>
      </w:r>
      <w:r w:rsidRPr="00F01F57">
        <w:rPr>
          <w:rFonts w:ascii="Times New Roman" w:hAnsi="Times New Roman" w:cs="Times New Roman"/>
          <w:b/>
          <w:bCs/>
          <w:i/>
          <w:iCs/>
          <w:sz w:val="24"/>
          <w:szCs w:val="24"/>
          <w:lang w:val="en-US"/>
        </w:rPr>
        <w:t>eport, Guatemala</w:t>
      </w:r>
    </w:p>
    <w:p w14:paraId="1B1EA053" w14:textId="77777777" w:rsidR="00F01F57" w:rsidRDefault="00F01F57" w:rsidP="006020F5">
      <w:pPr>
        <w:spacing w:after="0" w:line="240" w:lineRule="auto"/>
        <w:jc w:val="both"/>
        <w:rPr>
          <w:rFonts w:ascii="Segoe UI" w:hAnsi="Segoe UI" w:cs="Segoe UI"/>
          <w:color w:val="000000"/>
          <w:sz w:val="18"/>
          <w:szCs w:val="18"/>
          <w:shd w:val="clear" w:color="auto" w:fill="B2CAEB"/>
          <w:lang w:val="en-US"/>
        </w:rPr>
      </w:pPr>
    </w:p>
    <w:p w14:paraId="6BF0CA59" w14:textId="774E8A5A" w:rsidR="006020F5" w:rsidRPr="006020F5" w:rsidRDefault="006020F5" w:rsidP="006020F5">
      <w:pPr>
        <w:spacing w:after="0" w:line="240" w:lineRule="auto"/>
        <w:jc w:val="both"/>
        <w:rPr>
          <w:rFonts w:ascii="Times New Roman" w:hAnsi="Times New Roman" w:cs="Times New Roman"/>
          <w:b/>
          <w:bCs/>
          <w:i/>
          <w:iCs/>
          <w:sz w:val="24"/>
          <w:szCs w:val="24"/>
          <w:lang w:val="en-US"/>
        </w:rPr>
      </w:pPr>
      <w:r w:rsidRPr="006020F5">
        <w:rPr>
          <w:rFonts w:ascii="Times New Roman" w:hAnsi="Times New Roman" w:cs="Times New Roman"/>
          <w:b/>
          <w:bCs/>
          <w:i/>
          <w:iCs/>
          <w:sz w:val="24"/>
          <w:szCs w:val="24"/>
          <w:lang w:val="en-US"/>
        </w:rPr>
        <w:t>Laparra and Gonzalez Cases</w:t>
      </w:r>
    </w:p>
    <w:p w14:paraId="0F8FBA7C" w14:textId="77777777" w:rsidR="006020F5" w:rsidRPr="006020F5" w:rsidRDefault="006020F5" w:rsidP="006020F5">
      <w:pPr>
        <w:spacing w:after="0" w:line="240" w:lineRule="auto"/>
        <w:jc w:val="both"/>
        <w:rPr>
          <w:rFonts w:ascii="Times New Roman" w:hAnsi="Times New Roman" w:cs="Times New Roman"/>
          <w:sz w:val="24"/>
          <w:szCs w:val="24"/>
          <w:lang w:val="en-US"/>
        </w:rPr>
      </w:pPr>
    </w:p>
    <w:p w14:paraId="17F1EE28" w14:textId="7EF35C65"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According to the Universal Declaration of Human Rights, due process must be guaranteed under Article 10 "Everyone is entitled in full equality to a fair and public hearing by an independent and impartial tribunal, in the determination of his rights and obligations and of any criminal charge against him". The Declaration recognizes that human rights must be protected by an institutional and legal framework to enforce them. It recognizes the right to a fair trial and to an independent tribunal, among other procedural guarantees</w:t>
      </w:r>
      <w:r w:rsidR="00F01F57">
        <w:rPr>
          <w:rFonts w:ascii="Times New Roman" w:hAnsi="Times New Roman" w:cs="Times New Roman"/>
          <w:sz w:val="24"/>
          <w:szCs w:val="24"/>
          <w:lang w:val="en-US"/>
        </w:rPr>
        <w:t>,</w:t>
      </w:r>
      <w:r w:rsidRPr="006020F5">
        <w:rPr>
          <w:rFonts w:ascii="Times New Roman" w:hAnsi="Times New Roman" w:cs="Times New Roman"/>
          <w:sz w:val="24"/>
          <w:szCs w:val="24"/>
          <w:lang w:val="en-US"/>
        </w:rPr>
        <w:t xml:space="preserve"> that make up due process of law imperative in any legal system based on the rule of law.</w:t>
      </w:r>
    </w:p>
    <w:p w14:paraId="374A3678" w14:textId="77777777" w:rsidR="006020F5" w:rsidRPr="006020F5" w:rsidRDefault="006020F5" w:rsidP="006020F5">
      <w:pPr>
        <w:spacing w:after="0" w:line="240" w:lineRule="auto"/>
        <w:ind w:left="284" w:hanging="284"/>
        <w:jc w:val="both"/>
        <w:rPr>
          <w:rFonts w:ascii="Times New Roman" w:hAnsi="Times New Roman" w:cs="Times New Roman"/>
          <w:sz w:val="24"/>
          <w:szCs w:val="24"/>
          <w:lang w:val="en-US"/>
        </w:rPr>
      </w:pPr>
    </w:p>
    <w:p w14:paraId="34B410CB" w14:textId="3215D7FA"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Guatemala upholds the principle of presumption of innocence and investigations are conducted in accordance with domestic law, respecting the human rights of both victims and defendants. </w:t>
      </w:r>
      <w:r w:rsidR="00F01F57">
        <w:rPr>
          <w:rFonts w:ascii="Times New Roman" w:hAnsi="Times New Roman" w:cs="Times New Roman"/>
          <w:sz w:val="24"/>
          <w:szCs w:val="24"/>
          <w:lang w:val="en-US"/>
        </w:rPr>
        <w:t>Related</w:t>
      </w:r>
      <w:r w:rsidRPr="006020F5">
        <w:rPr>
          <w:rFonts w:ascii="Times New Roman" w:hAnsi="Times New Roman" w:cs="Times New Roman"/>
          <w:sz w:val="24"/>
          <w:szCs w:val="24"/>
          <w:lang w:val="en-US"/>
        </w:rPr>
        <w:t xml:space="preserve"> to</w:t>
      </w:r>
      <w:r w:rsidR="00F01F57">
        <w:rPr>
          <w:rFonts w:ascii="Times New Roman" w:hAnsi="Times New Roman" w:cs="Times New Roman"/>
          <w:sz w:val="24"/>
          <w:szCs w:val="24"/>
          <w:lang w:val="en-US"/>
        </w:rPr>
        <w:t xml:space="preserve"> </w:t>
      </w:r>
      <w:r w:rsidRPr="006020F5">
        <w:rPr>
          <w:rFonts w:ascii="Times New Roman" w:hAnsi="Times New Roman" w:cs="Times New Roman"/>
          <w:sz w:val="24"/>
          <w:szCs w:val="24"/>
          <w:lang w:val="en-US"/>
        </w:rPr>
        <w:t>persons held in pretrial detention, the jurisdictional bodies, with the means of evidence and conviction, establish whether they meet the requirements for decreeing danger of flight or hindrance to the investigation.</w:t>
      </w:r>
    </w:p>
    <w:p w14:paraId="24C1EFC2" w14:textId="77777777" w:rsidR="006020F5" w:rsidRDefault="006020F5" w:rsidP="006020F5">
      <w:pPr>
        <w:spacing w:after="0" w:line="240" w:lineRule="auto"/>
        <w:ind w:left="284" w:hanging="284"/>
        <w:jc w:val="both"/>
        <w:rPr>
          <w:rFonts w:ascii="Times New Roman" w:hAnsi="Times New Roman" w:cs="Times New Roman"/>
          <w:sz w:val="24"/>
          <w:szCs w:val="24"/>
          <w:lang w:val="en-US"/>
        </w:rPr>
      </w:pPr>
    </w:p>
    <w:p w14:paraId="13221A41" w14:textId="281ABC99"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On 16/12/2022, Laparra was convicted and sentenced to 4 years of commutable imprisonment at the rate of Q.10.00 per day. On 01/25/2023 the sentence was appealed and sent to the Second Chamber of the Criminal Court of Appeals for Drug Trafficking and Crimes against the Environment, which confirmed the ruling. On 06/06/23, the file was sent to the Criminal Chamber of the Supreme Court of Justice, derived from the cassation appeal.  </w:t>
      </w:r>
    </w:p>
    <w:p w14:paraId="1E55E171" w14:textId="77777777" w:rsidR="006020F5" w:rsidRPr="006020F5" w:rsidRDefault="006020F5" w:rsidP="006020F5">
      <w:pPr>
        <w:spacing w:after="0" w:line="240" w:lineRule="auto"/>
        <w:ind w:left="284" w:hanging="284"/>
        <w:jc w:val="both"/>
        <w:rPr>
          <w:rFonts w:ascii="Times New Roman" w:hAnsi="Times New Roman" w:cs="Times New Roman"/>
          <w:sz w:val="24"/>
          <w:szCs w:val="24"/>
          <w:lang w:val="en-US"/>
        </w:rPr>
      </w:pPr>
    </w:p>
    <w:p w14:paraId="68100AC5" w14:textId="3F17A577"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The hearing for the first statement of Gonzalez was held on 09/06/23 and rescheduled on 09/22/23. An indictment was issued, binding her to trial for the crime of abuse of authority, setting 3 months as term for the competent entity to carry out the investigation. Intermediate stage hearing was scheduled for 01/15/2024.</w:t>
      </w:r>
    </w:p>
    <w:p w14:paraId="29062A3B" w14:textId="77777777" w:rsidR="006020F5" w:rsidRDefault="006020F5" w:rsidP="006020F5">
      <w:pPr>
        <w:spacing w:after="0" w:line="240" w:lineRule="auto"/>
        <w:ind w:left="284" w:hanging="284"/>
        <w:jc w:val="both"/>
        <w:rPr>
          <w:rFonts w:ascii="Times New Roman" w:hAnsi="Times New Roman" w:cs="Times New Roman"/>
          <w:sz w:val="24"/>
          <w:szCs w:val="24"/>
          <w:lang w:val="en-US"/>
        </w:rPr>
      </w:pPr>
    </w:p>
    <w:p w14:paraId="086A780A" w14:textId="65C1B161"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Gonzalez and Laparra were subjected to a process that guarantees their right to defense. The date of completion will depend on the judicial decision and the incidents of the process. Coordination was made to guarantee their safety and integrity. Communication is being maintained with the General Directorate of the Penitentiary System to establish the conditions of detention and their state of health. Laparra was attended by the health system, receiving medical treatment from the Guatemalan Institute of Social Security and </w:t>
      </w:r>
      <w:r w:rsidR="00F01F57">
        <w:rPr>
          <w:rFonts w:ascii="Times New Roman" w:hAnsi="Times New Roman" w:cs="Times New Roman"/>
          <w:sz w:val="24"/>
          <w:szCs w:val="24"/>
          <w:lang w:val="en-US"/>
        </w:rPr>
        <w:t xml:space="preserve">National </w:t>
      </w:r>
      <w:r w:rsidRPr="006020F5">
        <w:rPr>
          <w:rFonts w:ascii="Times New Roman" w:hAnsi="Times New Roman" w:cs="Times New Roman"/>
          <w:sz w:val="24"/>
          <w:szCs w:val="24"/>
          <w:lang w:val="en-US"/>
        </w:rPr>
        <w:t xml:space="preserve">Hospital Centers. The National Institute of Forensic Sciences of Guatemala provided accompaniment in the medical evaluations. </w:t>
      </w:r>
    </w:p>
    <w:p w14:paraId="778BC45D" w14:textId="77777777" w:rsidR="006020F5" w:rsidRPr="006020F5" w:rsidRDefault="006020F5" w:rsidP="006020F5">
      <w:pPr>
        <w:spacing w:after="0" w:line="240" w:lineRule="auto"/>
        <w:jc w:val="both"/>
        <w:rPr>
          <w:rFonts w:ascii="Times New Roman" w:hAnsi="Times New Roman" w:cs="Times New Roman"/>
          <w:sz w:val="24"/>
          <w:szCs w:val="24"/>
          <w:lang w:val="en-US"/>
        </w:rPr>
      </w:pPr>
    </w:p>
    <w:p w14:paraId="47F90E7C" w14:textId="77777777" w:rsidR="006020F5" w:rsidRPr="006020F5" w:rsidRDefault="006020F5" w:rsidP="006020F5">
      <w:pPr>
        <w:spacing w:after="0" w:line="240" w:lineRule="auto"/>
        <w:jc w:val="both"/>
        <w:rPr>
          <w:rFonts w:ascii="Times New Roman" w:hAnsi="Times New Roman" w:cs="Times New Roman"/>
          <w:b/>
          <w:bCs/>
          <w:i/>
          <w:iCs/>
          <w:sz w:val="24"/>
          <w:szCs w:val="24"/>
          <w:lang w:val="en-US"/>
        </w:rPr>
      </w:pPr>
      <w:r w:rsidRPr="006020F5">
        <w:rPr>
          <w:rFonts w:ascii="Times New Roman" w:hAnsi="Times New Roman" w:cs="Times New Roman"/>
          <w:b/>
          <w:bCs/>
          <w:i/>
          <w:iCs/>
          <w:sz w:val="24"/>
          <w:szCs w:val="24"/>
          <w:lang w:val="en-US"/>
        </w:rPr>
        <w:t>Reparations to victims of trafficking</w:t>
      </w:r>
    </w:p>
    <w:p w14:paraId="38AD77B3" w14:textId="77777777" w:rsidR="006020F5" w:rsidRPr="006020F5" w:rsidRDefault="006020F5" w:rsidP="006020F5">
      <w:pPr>
        <w:spacing w:after="0" w:line="240" w:lineRule="auto"/>
        <w:jc w:val="both"/>
        <w:rPr>
          <w:rFonts w:ascii="Times New Roman" w:hAnsi="Times New Roman" w:cs="Times New Roman"/>
          <w:sz w:val="24"/>
          <w:szCs w:val="24"/>
          <w:lang w:val="en-US"/>
        </w:rPr>
      </w:pPr>
    </w:p>
    <w:p w14:paraId="544FB373" w14:textId="0806EA72" w:rsidR="006020F5" w:rsidRDefault="00BA3692"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In</w:t>
      </w:r>
      <w:r w:rsidR="006020F5" w:rsidRPr="006020F5">
        <w:rPr>
          <w:rFonts w:ascii="Times New Roman" w:hAnsi="Times New Roman" w:cs="Times New Roman"/>
          <w:sz w:val="24"/>
          <w:szCs w:val="24"/>
          <w:lang w:val="en-US"/>
        </w:rPr>
        <w:t xml:space="preserve"> 2022-2023, the bodies specialized in the crime of human trafficking in Guatemala, Quetzaltenango and Petén issued 255 sentences and 399 dignified reparations were granted. The Victims' Institute approved the Policy for Dignified Reparations to Victims of Crime 2023-2033.</w:t>
      </w:r>
    </w:p>
    <w:p w14:paraId="5934A078"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0C7DABEF" w14:textId="32B491F2"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General Instruction 03-2020 "Conceptual theoretical guide and investigation protocol for crimes of violence against women in the public and private sphere", establishes the </w:t>
      </w:r>
      <w:r w:rsidRPr="006020F5">
        <w:rPr>
          <w:rFonts w:ascii="Times New Roman" w:hAnsi="Times New Roman" w:cs="Times New Roman"/>
          <w:sz w:val="24"/>
          <w:szCs w:val="24"/>
          <w:lang w:val="en-US"/>
        </w:rPr>
        <w:lastRenderedPageBreak/>
        <w:t xml:space="preserve">responsibility of the Public Prosecutor's Office to act with due diligence and the duty to make reparations. It is reiterated to consider the condition of exclusion, </w:t>
      </w:r>
      <w:proofErr w:type="gramStart"/>
      <w:r w:rsidRPr="006020F5">
        <w:rPr>
          <w:rFonts w:ascii="Times New Roman" w:hAnsi="Times New Roman" w:cs="Times New Roman"/>
          <w:sz w:val="24"/>
          <w:szCs w:val="24"/>
          <w:lang w:val="en-US"/>
        </w:rPr>
        <w:t>inequality</w:t>
      </w:r>
      <w:proofErr w:type="gramEnd"/>
      <w:r w:rsidRPr="006020F5">
        <w:rPr>
          <w:rFonts w:ascii="Times New Roman" w:hAnsi="Times New Roman" w:cs="Times New Roman"/>
          <w:sz w:val="24"/>
          <w:szCs w:val="24"/>
          <w:lang w:val="en-US"/>
        </w:rPr>
        <w:t xml:space="preserve"> and discrimination. General Instruction 04-2020 "Guide for the investigation and litigation of cases of femicide", includes among the rights of the victims, the dignified reparation and comprehensive guarantees of these and collateral victims. </w:t>
      </w:r>
    </w:p>
    <w:p w14:paraId="4C39B535"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5CE993BC" w14:textId="77777777" w:rsidR="006020F5" w:rsidRPr="006020F5" w:rsidRDefault="006020F5" w:rsidP="006020F5">
      <w:pPr>
        <w:spacing w:after="0" w:line="240" w:lineRule="auto"/>
        <w:jc w:val="both"/>
        <w:rPr>
          <w:rFonts w:ascii="Times New Roman" w:hAnsi="Times New Roman" w:cs="Times New Roman"/>
          <w:b/>
          <w:bCs/>
          <w:i/>
          <w:iCs/>
          <w:sz w:val="24"/>
          <w:szCs w:val="24"/>
          <w:lang w:val="en-US"/>
        </w:rPr>
      </w:pPr>
      <w:r w:rsidRPr="006020F5">
        <w:rPr>
          <w:rFonts w:ascii="Times New Roman" w:hAnsi="Times New Roman" w:cs="Times New Roman"/>
          <w:b/>
          <w:bCs/>
          <w:i/>
          <w:iCs/>
          <w:sz w:val="24"/>
          <w:szCs w:val="24"/>
          <w:lang w:val="en-US"/>
        </w:rPr>
        <w:t>International representation</w:t>
      </w:r>
    </w:p>
    <w:p w14:paraId="07D57934"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6804086B" w14:textId="5ACDF4BF"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For diplomatic career, according to the Diplomatic Service Law, requirements related to nationality, education, </w:t>
      </w:r>
      <w:proofErr w:type="gramStart"/>
      <w:r w:rsidRPr="006020F5">
        <w:rPr>
          <w:rFonts w:ascii="Times New Roman" w:hAnsi="Times New Roman" w:cs="Times New Roman"/>
          <w:sz w:val="24"/>
          <w:szCs w:val="24"/>
          <w:lang w:val="en-US"/>
        </w:rPr>
        <w:t>health</w:t>
      </w:r>
      <w:proofErr w:type="gramEnd"/>
      <w:r w:rsidRPr="006020F5">
        <w:rPr>
          <w:rFonts w:ascii="Times New Roman" w:hAnsi="Times New Roman" w:cs="Times New Roman"/>
          <w:sz w:val="24"/>
          <w:szCs w:val="24"/>
          <w:lang w:val="en-US"/>
        </w:rPr>
        <w:t xml:space="preserve"> and suitability must be met. The Diplomatic Academy "Antonio José de </w:t>
      </w:r>
      <w:proofErr w:type="spellStart"/>
      <w:r w:rsidRPr="006020F5">
        <w:rPr>
          <w:rFonts w:ascii="Times New Roman" w:hAnsi="Times New Roman" w:cs="Times New Roman"/>
          <w:sz w:val="24"/>
          <w:szCs w:val="24"/>
          <w:lang w:val="en-US"/>
        </w:rPr>
        <w:t>Irrisari</w:t>
      </w:r>
      <w:proofErr w:type="spellEnd"/>
      <w:r w:rsidRPr="006020F5">
        <w:rPr>
          <w:rFonts w:ascii="Times New Roman" w:hAnsi="Times New Roman" w:cs="Times New Roman"/>
          <w:sz w:val="24"/>
          <w:szCs w:val="24"/>
          <w:lang w:val="en-US"/>
        </w:rPr>
        <w:t xml:space="preserve">" requires a university degree in the subject or a Professionalization Program. It is complemented by a </w:t>
      </w:r>
      <w:proofErr w:type="gramStart"/>
      <w:r w:rsidRPr="006020F5">
        <w:rPr>
          <w:rFonts w:ascii="Times New Roman" w:hAnsi="Times New Roman" w:cs="Times New Roman"/>
          <w:sz w:val="24"/>
          <w:szCs w:val="24"/>
          <w:lang w:val="en-US"/>
        </w:rPr>
        <w:t>Master's</w:t>
      </w:r>
      <w:proofErr w:type="gramEnd"/>
      <w:r w:rsidRPr="006020F5">
        <w:rPr>
          <w:rFonts w:ascii="Times New Roman" w:hAnsi="Times New Roman" w:cs="Times New Roman"/>
          <w:sz w:val="24"/>
          <w:szCs w:val="24"/>
          <w:lang w:val="en-US"/>
        </w:rPr>
        <w:t xml:space="preserve"> Program in International Relations or Public International Law, through full scholarships. Between 2017-2023, four promotions with 48 students (31 women)</w:t>
      </w:r>
      <w:r w:rsidR="00BA3692">
        <w:rPr>
          <w:rFonts w:ascii="Times New Roman" w:hAnsi="Times New Roman" w:cs="Times New Roman"/>
          <w:sz w:val="24"/>
          <w:szCs w:val="24"/>
          <w:lang w:val="en-US"/>
        </w:rPr>
        <w:t xml:space="preserve"> have finished</w:t>
      </w:r>
      <w:r w:rsidRPr="006020F5">
        <w:rPr>
          <w:rFonts w:ascii="Times New Roman" w:hAnsi="Times New Roman" w:cs="Times New Roman"/>
          <w:sz w:val="24"/>
          <w:szCs w:val="24"/>
          <w:lang w:val="en-US"/>
        </w:rPr>
        <w:t>. Until 2023, 164 female officials are reported in the foreign service, 23.78% (39</w:t>
      </w:r>
      <w:r w:rsidR="00BA3692">
        <w:rPr>
          <w:rFonts w:ascii="Times New Roman" w:hAnsi="Times New Roman" w:cs="Times New Roman"/>
          <w:sz w:val="24"/>
          <w:szCs w:val="24"/>
          <w:lang w:val="en-US"/>
        </w:rPr>
        <w:t xml:space="preserve"> females</w:t>
      </w:r>
      <w:r w:rsidRPr="006020F5">
        <w:rPr>
          <w:rFonts w:ascii="Times New Roman" w:hAnsi="Times New Roman" w:cs="Times New Roman"/>
          <w:sz w:val="24"/>
          <w:szCs w:val="24"/>
          <w:lang w:val="en-US"/>
        </w:rPr>
        <w:t>) in the diplomatic career, of which 14</w:t>
      </w:r>
      <w:r w:rsidR="00BA3692">
        <w:rPr>
          <w:rFonts w:ascii="Times New Roman" w:hAnsi="Times New Roman" w:cs="Times New Roman"/>
          <w:sz w:val="24"/>
          <w:szCs w:val="24"/>
          <w:lang w:val="en-US"/>
        </w:rPr>
        <w:t xml:space="preserve"> women</w:t>
      </w:r>
      <w:r w:rsidRPr="006020F5">
        <w:rPr>
          <w:rFonts w:ascii="Times New Roman" w:hAnsi="Times New Roman" w:cs="Times New Roman"/>
          <w:sz w:val="24"/>
          <w:szCs w:val="24"/>
          <w:lang w:val="en-US"/>
        </w:rPr>
        <w:t xml:space="preserve"> are heads of mission.</w:t>
      </w:r>
    </w:p>
    <w:p w14:paraId="608190A8" w14:textId="77777777" w:rsid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05FA056A" w14:textId="63417064" w:rsidR="006020F5" w:rsidRPr="006020F5" w:rsidRDefault="006020F5" w:rsidP="006020F5">
      <w:pPr>
        <w:spacing w:after="0" w:line="240" w:lineRule="auto"/>
        <w:jc w:val="both"/>
        <w:rPr>
          <w:rFonts w:ascii="Times New Roman" w:hAnsi="Times New Roman" w:cs="Times New Roman"/>
          <w:b/>
          <w:bCs/>
          <w:i/>
          <w:iCs/>
          <w:sz w:val="24"/>
          <w:szCs w:val="24"/>
          <w:lang w:val="en-US"/>
        </w:rPr>
      </w:pPr>
      <w:r w:rsidRPr="006020F5">
        <w:rPr>
          <w:rFonts w:ascii="Times New Roman" w:hAnsi="Times New Roman" w:cs="Times New Roman"/>
          <w:b/>
          <w:bCs/>
          <w:i/>
          <w:iCs/>
          <w:sz w:val="24"/>
          <w:szCs w:val="24"/>
          <w:lang w:val="en-US"/>
        </w:rPr>
        <w:t>Functional schools</w:t>
      </w:r>
    </w:p>
    <w:p w14:paraId="63AE5466"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31E8C34B" w14:textId="69B6BD8F"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The educational system </w:t>
      </w:r>
      <w:r w:rsidR="00BA3692">
        <w:rPr>
          <w:rFonts w:ascii="Times New Roman" w:hAnsi="Times New Roman" w:cs="Times New Roman"/>
          <w:sz w:val="24"/>
          <w:szCs w:val="24"/>
          <w:lang w:val="en-US"/>
        </w:rPr>
        <w:t>consists in</w:t>
      </w:r>
      <w:r w:rsidRPr="006020F5">
        <w:rPr>
          <w:rFonts w:ascii="Times New Roman" w:hAnsi="Times New Roman" w:cs="Times New Roman"/>
          <w:sz w:val="24"/>
          <w:szCs w:val="24"/>
          <w:lang w:val="en-US"/>
        </w:rPr>
        <w:t xml:space="preserve"> 35,545 centers in the official sector. 81.15% (28,846</w:t>
      </w:r>
      <w:r w:rsidR="00BA3692">
        <w:rPr>
          <w:rFonts w:ascii="Times New Roman" w:hAnsi="Times New Roman" w:cs="Times New Roman"/>
          <w:sz w:val="24"/>
          <w:szCs w:val="24"/>
          <w:lang w:val="en-US"/>
        </w:rPr>
        <w:t xml:space="preserve"> centers</w:t>
      </w:r>
      <w:r w:rsidRPr="006020F5">
        <w:rPr>
          <w:rFonts w:ascii="Times New Roman" w:hAnsi="Times New Roman" w:cs="Times New Roman"/>
          <w:sz w:val="24"/>
          <w:szCs w:val="24"/>
          <w:lang w:val="en-US"/>
        </w:rPr>
        <w:t>) have water service, 72.18% (25,657</w:t>
      </w:r>
      <w:r w:rsidR="00BA3692">
        <w:rPr>
          <w:rFonts w:ascii="Times New Roman" w:hAnsi="Times New Roman" w:cs="Times New Roman"/>
          <w:sz w:val="24"/>
          <w:szCs w:val="24"/>
          <w:lang w:val="en-US"/>
        </w:rPr>
        <w:t xml:space="preserve"> centers</w:t>
      </w:r>
      <w:r w:rsidRPr="006020F5">
        <w:rPr>
          <w:rFonts w:ascii="Times New Roman" w:hAnsi="Times New Roman" w:cs="Times New Roman"/>
          <w:sz w:val="24"/>
          <w:szCs w:val="24"/>
          <w:lang w:val="en-US"/>
        </w:rPr>
        <w:t>) have electricity, and 66.15% (23,512</w:t>
      </w:r>
      <w:r w:rsidR="00BA3692">
        <w:rPr>
          <w:rFonts w:ascii="Times New Roman" w:hAnsi="Times New Roman" w:cs="Times New Roman"/>
          <w:sz w:val="24"/>
          <w:szCs w:val="24"/>
          <w:lang w:val="en-US"/>
        </w:rPr>
        <w:t xml:space="preserve"> centers</w:t>
      </w:r>
      <w:r w:rsidRPr="006020F5">
        <w:rPr>
          <w:rFonts w:ascii="Times New Roman" w:hAnsi="Times New Roman" w:cs="Times New Roman"/>
          <w:sz w:val="24"/>
          <w:szCs w:val="24"/>
          <w:lang w:val="en-US"/>
        </w:rPr>
        <w:t xml:space="preserve">) have both services. </w:t>
      </w:r>
    </w:p>
    <w:p w14:paraId="4998DFD9"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08D06C3D" w14:textId="77777777" w:rsidR="006020F5" w:rsidRPr="006020F5" w:rsidRDefault="006020F5" w:rsidP="006020F5">
      <w:pPr>
        <w:spacing w:after="0" w:line="240" w:lineRule="auto"/>
        <w:jc w:val="both"/>
        <w:rPr>
          <w:rFonts w:ascii="Times New Roman" w:hAnsi="Times New Roman" w:cs="Times New Roman"/>
          <w:b/>
          <w:bCs/>
          <w:i/>
          <w:iCs/>
          <w:sz w:val="24"/>
          <w:szCs w:val="24"/>
          <w:lang w:val="en-US"/>
        </w:rPr>
      </w:pPr>
      <w:r w:rsidRPr="006020F5">
        <w:rPr>
          <w:rFonts w:ascii="Times New Roman" w:hAnsi="Times New Roman" w:cs="Times New Roman"/>
          <w:b/>
          <w:bCs/>
          <w:i/>
          <w:iCs/>
          <w:sz w:val="24"/>
          <w:szCs w:val="24"/>
          <w:lang w:val="en-US"/>
        </w:rPr>
        <w:t xml:space="preserve">LGBTIQ+  </w:t>
      </w:r>
    </w:p>
    <w:p w14:paraId="3ED522EC"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11A98B82" w14:textId="7F479258" w:rsidR="006020F5" w:rsidRPr="006020F5" w:rsidRDefault="00BA3692"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6020F5" w:rsidRPr="006020F5">
        <w:rPr>
          <w:rFonts w:ascii="Times New Roman" w:hAnsi="Times New Roman" w:cs="Times New Roman"/>
          <w:sz w:val="24"/>
          <w:szCs w:val="24"/>
          <w:lang w:val="en-US"/>
        </w:rPr>
        <w:t>Ministry of the Interior implemented Plans No. 02-2022 and 04-2023 "Addressing the LGBTIQ+ Issue with a Human Rights Approach", to strengthen police personnel in terms of dignified treatment and respect for human rights, through training processes and graphic material.</w:t>
      </w:r>
    </w:p>
    <w:p w14:paraId="3059B08D"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657325ED" w14:textId="0D9E339D" w:rsid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The Strategy for Comprehensive and Differentiated Health Care for Trans people 2016-2030 was implemented, the Communication Strategy for the Development and Guidelines for Comprehensive Health Care for Trans people w</w:t>
      </w:r>
      <w:r w:rsidR="00744048">
        <w:rPr>
          <w:rFonts w:ascii="Times New Roman" w:hAnsi="Times New Roman" w:cs="Times New Roman"/>
          <w:sz w:val="24"/>
          <w:szCs w:val="24"/>
          <w:lang w:val="en-US"/>
        </w:rPr>
        <w:t>ere</w:t>
      </w:r>
      <w:r w:rsidRPr="006020F5">
        <w:rPr>
          <w:rFonts w:ascii="Times New Roman" w:hAnsi="Times New Roman" w:cs="Times New Roman"/>
          <w:sz w:val="24"/>
          <w:szCs w:val="24"/>
          <w:lang w:val="en-US"/>
        </w:rPr>
        <w:t xml:space="preserve"> developed</w:t>
      </w:r>
      <w:r w:rsidR="00744048">
        <w:rPr>
          <w:rFonts w:ascii="Times New Roman" w:hAnsi="Times New Roman" w:cs="Times New Roman"/>
          <w:sz w:val="24"/>
          <w:szCs w:val="24"/>
          <w:lang w:val="en-US"/>
        </w:rPr>
        <w:t xml:space="preserve"> as t</w:t>
      </w:r>
      <w:r w:rsidRPr="006020F5">
        <w:rPr>
          <w:rFonts w:ascii="Times New Roman" w:hAnsi="Times New Roman" w:cs="Times New Roman"/>
          <w:sz w:val="24"/>
          <w:szCs w:val="24"/>
          <w:lang w:val="en-US"/>
        </w:rPr>
        <w:t>echnical and regulatory documents to provide timely and quality care, with a gender approach and cultural relevance, without stigma or discrimination. The Ministry of Health's Information System includes the sexual orientation variable in its care forms.</w:t>
      </w:r>
    </w:p>
    <w:p w14:paraId="6596C5DA" w14:textId="77777777" w:rsidR="006020F5" w:rsidRPr="006020F5" w:rsidRDefault="006020F5" w:rsidP="006020F5">
      <w:pPr>
        <w:pStyle w:val="Prrafodelista"/>
        <w:rPr>
          <w:rFonts w:ascii="Times New Roman" w:hAnsi="Times New Roman" w:cs="Times New Roman"/>
          <w:sz w:val="24"/>
          <w:szCs w:val="24"/>
          <w:lang w:val="en-US"/>
        </w:rPr>
      </w:pPr>
    </w:p>
    <w:p w14:paraId="413B14C8" w14:textId="5B88D262"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The Public Prosecutor's Office included in Instruction 05-2019 to mainstream equality and gender approaches in criminal prosecution, the recognition of the term "woman" in a broad manner referring to her life cycle. It includes girls, adolescents, young, </w:t>
      </w:r>
      <w:proofErr w:type="gramStart"/>
      <w:r w:rsidRPr="006020F5">
        <w:rPr>
          <w:rFonts w:ascii="Times New Roman" w:hAnsi="Times New Roman" w:cs="Times New Roman"/>
          <w:sz w:val="24"/>
          <w:szCs w:val="24"/>
          <w:lang w:val="en-US"/>
        </w:rPr>
        <w:t>adult</w:t>
      </w:r>
      <w:proofErr w:type="gramEnd"/>
      <w:r w:rsidRPr="006020F5">
        <w:rPr>
          <w:rFonts w:ascii="Times New Roman" w:hAnsi="Times New Roman" w:cs="Times New Roman"/>
          <w:sz w:val="24"/>
          <w:szCs w:val="24"/>
          <w:lang w:val="en-US"/>
        </w:rPr>
        <w:t xml:space="preserve"> and elderly women; and persons of female gender (regardless of sex assigned at birth and official identification documents). The criteria for the investigation of crimes apply to trans women including transvestites, </w:t>
      </w:r>
      <w:proofErr w:type="gramStart"/>
      <w:r w:rsidRPr="006020F5">
        <w:rPr>
          <w:rFonts w:ascii="Times New Roman" w:hAnsi="Times New Roman" w:cs="Times New Roman"/>
          <w:sz w:val="24"/>
          <w:szCs w:val="24"/>
          <w:lang w:val="en-US"/>
        </w:rPr>
        <w:t>transsexuals</w:t>
      </w:r>
      <w:proofErr w:type="gramEnd"/>
      <w:r w:rsidRPr="006020F5">
        <w:rPr>
          <w:rFonts w:ascii="Times New Roman" w:hAnsi="Times New Roman" w:cs="Times New Roman"/>
          <w:sz w:val="24"/>
          <w:szCs w:val="24"/>
          <w:lang w:val="en-US"/>
        </w:rPr>
        <w:t xml:space="preserve"> and transgender. Based on th</w:t>
      </w:r>
      <w:r w:rsidR="00744048">
        <w:rPr>
          <w:rFonts w:ascii="Times New Roman" w:hAnsi="Times New Roman" w:cs="Times New Roman"/>
          <w:sz w:val="24"/>
          <w:szCs w:val="24"/>
          <w:lang w:val="en-US"/>
        </w:rPr>
        <w:t>is</w:t>
      </w:r>
      <w:r w:rsidRPr="006020F5">
        <w:rPr>
          <w:rFonts w:ascii="Times New Roman" w:hAnsi="Times New Roman" w:cs="Times New Roman"/>
          <w:sz w:val="24"/>
          <w:szCs w:val="24"/>
          <w:lang w:val="en-US"/>
        </w:rPr>
        <w:t xml:space="preserve"> </w:t>
      </w:r>
      <w:r w:rsidR="00744048">
        <w:rPr>
          <w:rFonts w:ascii="Times New Roman" w:hAnsi="Times New Roman" w:cs="Times New Roman"/>
          <w:sz w:val="24"/>
          <w:szCs w:val="24"/>
          <w:lang w:val="en-US"/>
        </w:rPr>
        <w:t>instruction</w:t>
      </w:r>
      <w:r w:rsidRPr="006020F5">
        <w:rPr>
          <w:rFonts w:ascii="Times New Roman" w:hAnsi="Times New Roman" w:cs="Times New Roman"/>
          <w:sz w:val="24"/>
          <w:szCs w:val="24"/>
          <w:lang w:val="en-US"/>
        </w:rPr>
        <w:t>, prosecutors must govern their actions under the principle of gender self-identification, included in the computer system</w:t>
      </w:r>
      <w:r w:rsidR="00744048">
        <w:rPr>
          <w:rFonts w:ascii="Times New Roman" w:hAnsi="Times New Roman" w:cs="Times New Roman"/>
          <w:sz w:val="24"/>
          <w:szCs w:val="24"/>
          <w:lang w:val="en-US"/>
        </w:rPr>
        <w:t xml:space="preserve"> of the </w:t>
      </w:r>
      <w:r w:rsidR="00744048" w:rsidRPr="006020F5">
        <w:rPr>
          <w:rFonts w:ascii="Times New Roman" w:hAnsi="Times New Roman" w:cs="Times New Roman"/>
          <w:sz w:val="24"/>
          <w:szCs w:val="24"/>
          <w:lang w:val="en-US"/>
        </w:rPr>
        <w:t>Public Prosecutor's Office</w:t>
      </w:r>
      <w:r w:rsidRPr="006020F5">
        <w:rPr>
          <w:rFonts w:ascii="Times New Roman" w:hAnsi="Times New Roman" w:cs="Times New Roman"/>
          <w:sz w:val="24"/>
          <w:szCs w:val="24"/>
          <w:lang w:val="en-US"/>
        </w:rPr>
        <w:t>.</w:t>
      </w:r>
    </w:p>
    <w:p w14:paraId="1299027E"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705227E5" w14:textId="6197D316" w:rsidR="006020F5" w:rsidRDefault="00744048"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Also, the note</w:t>
      </w:r>
      <w:r w:rsidR="006020F5" w:rsidRPr="006020F5">
        <w:rPr>
          <w:rFonts w:ascii="Times New Roman" w:hAnsi="Times New Roman" w:cs="Times New Roman"/>
          <w:sz w:val="24"/>
          <w:szCs w:val="24"/>
          <w:lang w:val="en-US"/>
        </w:rPr>
        <w:t xml:space="preserve"> DCAV/SPC/G 2021-000046 of the Department of Coordination of Attention to Victims establishes the implementation of guidelines and routes for the attention of persons with disabilities, </w:t>
      </w:r>
      <w:proofErr w:type="gramStart"/>
      <w:r w:rsidR="006020F5" w:rsidRPr="006020F5">
        <w:rPr>
          <w:rFonts w:ascii="Times New Roman" w:hAnsi="Times New Roman" w:cs="Times New Roman"/>
          <w:sz w:val="24"/>
          <w:szCs w:val="24"/>
          <w:lang w:val="en-US"/>
        </w:rPr>
        <w:t>elderly</w:t>
      </w:r>
      <w:proofErr w:type="gramEnd"/>
      <w:r w:rsidR="006020F5" w:rsidRPr="006020F5">
        <w:rPr>
          <w:rFonts w:ascii="Times New Roman" w:hAnsi="Times New Roman" w:cs="Times New Roman"/>
          <w:sz w:val="24"/>
          <w:szCs w:val="24"/>
          <w:lang w:val="en-US"/>
        </w:rPr>
        <w:t xml:space="preserve"> and sexual diversity victims of crime. It </w:t>
      </w:r>
      <w:r>
        <w:rPr>
          <w:rFonts w:ascii="Times New Roman" w:hAnsi="Times New Roman" w:cs="Times New Roman"/>
          <w:sz w:val="24"/>
          <w:szCs w:val="24"/>
          <w:lang w:val="en-US"/>
        </w:rPr>
        <w:t>becomes a</w:t>
      </w:r>
      <w:r w:rsidR="006020F5" w:rsidRPr="006020F5">
        <w:rPr>
          <w:rFonts w:ascii="Times New Roman" w:hAnsi="Times New Roman" w:cs="Times New Roman"/>
          <w:sz w:val="24"/>
          <w:szCs w:val="24"/>
          <w:lang w:val="en-US"/>
        </w:rPr>
        <w:t xml:space="preserve"> tool to ensure the care and protection of crime victims in accordance with national and international victimological standards.</w:t>
      </w:r>
    </w:p>
    <w:p w14:paraId="7C49D91B" w14:textId="77777777" w:rsidR="00744048" w:rsidRDefault="00744048" w:rsidP="006020F5">
      <w:pPr>
        <w:spacing w:after="0" w:line="240" w:lineRule="auto"/>
        <w:jc w:val="both"/>
        <w:rPr>
          <w:rFonts w:ascii="Times New Roman" w:hAnsi="Times New Roman" w:cs="Times New Roman"/>
          <w:b/>
          <w:bCs/>
          <w:i/>
          <w:iCs/>
          <w:sz w:val="24"/>
          <w:szCs w:val="24"/>
          <w:lang w:val="en-US"/>
        </w:rPr>
      </w:pPr>
    </w:p>
    <w:p w14:paraId="4F77ED0F" w14:textId="1889DF57" w:rsidR="006020F5" w:rsidRPr="006020F5" w:rsidRDefault="006020F5" w:rsidP="006020F5">
      <w:pPr>
        <w:spacing w:after="0" w:line="240" w:lineRule="auto"/>
        <w:jc w:val="both"/>
        <w:rPr>
          <w:rFonts w:ascii="Times New Roman" w:hAnsi="Times New Roman" w:cs="Times New Roman"/>
          <w:b/>
          <w:bCs/>
          <w:i/>
          <w:iCs/>
          <w:sz w:val="24"/>
          <w:szCs w:val="24"/>
          <w:lang w:val="en-US"/>
        </w:rPr>
      </w:pPr>
      <w:r w:rsidRPr="006020F5">
        <w:rPr>
          <w:rFonts w:ascii="Times New Roman" w:hAnsi="Times New Roman" w:cs="Times New Roman"/>
          <w:b/>
          <w:bCs/>
          <w:i/>
          <w:iCs/>
          <w:sz w:val="24"/>
          <w:szCs w:val="24"/>
          <w:lang w:val="en-US"/>
        </w:rPr>
        <w:t>Pregnancy in girls and adolescents</w:t>
      </w:r>
    </w:p>
    <w:p w14:paraId="46CE2733"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6DC2A5B1" w14:textId="13CE59E2"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The Attorney General's Office is the adhesive prosecutor in cases of pregnant girls in situations of abuse or sexual violence, and pregnancy in girls over 14 years of age due to criminal conduct, seeking dignified, </w:t>
      </w:r>
      <w:r w:rsidR="00744048" w:rsidRPr="006020F5">
        <w:rPr>
          <w:rFonts w:ascii="Times New Roman" w:hAnsi="Times New Roman" w:cs="Times New Roman"/>
          <w:sz w:val="24"/>
          <w:szCs w:val="24"/>
          <w:lang w:val="en-US"/>
        </w:rPr>
        <w:t>transformative,</w:t>
      </w:r>
      <w:r w:rsidRPr="006020F5">
        <w:rPr>
          <w:rFonts w:ascii="Times New Roman" w:hAnsi="Times New Roman" w:cs="Times New Roman"/>
          <w:sz w:val="24"/>
          <w:szCs w:val="24"/>
          <w:lang w:val="en-US"/>
        </w:rPr>
        <w:t xml:space="preserve"> and comprehensive reparation. It participates jointly with the </w:t>
      </w:r>
      <w:r w:rsidR="00744048">
        <w:rPr>
          <w:rFonts w:ascii="Times New Roman" w:hAnsi="Times New Roman" w:cs="Times New Roman"/>
          <w:sz w:val="24"/>
          <w:szCs w:val="24"/>
          <w:lang w:val="en-US"/>
        </w:rPr>
        <w:t>Judicial System</w:t>
      </w:r>
      <w:r w:rsidRPr="006020F5">
        <w:rPr>
          <w:rFonts w:ascii="Times New Roman" w:hAnsi="Times New Roman" w:cs="Times New Roman"/>
          <w:sz w:val="24"/>
          <w:szCs w:val="24"/>
          <w:lang w:val="en-US"/>
        </w:rPr>
        <w:t xml:space="preserve"> for restitution and referral to different social support programs.</w:t>
      </w:r>
    </w:p>
    <w:p w14:paraId="5F5B7328"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5AD33DF1" w14:textId="016DA3D0" w:rsid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The National Plan for the Prevention of Adolescent Pregnancy 2018-2022 was updated, and a "Comprehensive Approach Route for pregnant girls and adolescents under 14 years of age in the Adolescence Module in the Comprehensive Health Care Standards"</w:t>
      </w:r>
      <w:r w:rsidR="00744048">
        <w:rPr>
          <w:rFonts w:ascii="Times New Roman" w:hAnsi="Times New Roman" w:cs="Times New Roman"/>
          <w:sz w:val="24"/>
          <w:szCs w:val="24"/>
          <w:lang w:val="en-US"/>
        </w:rPr>
        <w:t xml:space="preserve"> was created. Similarly, </w:t>
      </w:r>
      <w:r w:rsidRPr="006020F5">
        <w:rPr>
          <w:rFonts w:ascii="Times New Roman" w:hAnsi="Times New Roman" w:cs="Times New Roman"/>
          <w:sz w:val="24"/>
          <w:szCs w:val="24"/>
          <w:lang w:val="en-US"/>
        </w:rPr>
        <w:t>the "Epidemiological Surveillance Board for sexual violence and pregnancies in children under 14 years of age"</w:t>
      </w:r>
      <w:r w:rsidR="00744048">
        <w:rPr>
          <w:rFonts w:ascii="Times New Roman" w:hAnsi="Times New Roman" w:cs="Times New Roman"/>
          <w:sz w:val="24"/>
          <w:szCs w:val="24"/>
          <w:lang w:val="en-US"/>
        </w:rPr>
        <w:t>,</w:t>
      </w:r>
      <w:r w:rsidRPr="006020F5">
        <w:rPr>
          <w:rFonts w:ascii="Times New Roman" w:hAnsi="Times New Roman" w:cs="Times New Roman"/>
          <w:sz w:val="24"/>
          <w:szCs w:val="24"/>
          <w:lang w:val="en-US"/>
        </w:rPr>
        <w:t xml:space="preserve"> </w:t>
      </w:r>
      <w:r w:rsidR="00744048">
        <w:rPr>
          <w:rFonts w:ascii="Times New Roman" w:hAnsi="Times New Roman" w:cs="Times New Roman"/>
          <w:sz w:val="24"/>
          <w:szCs w:val="24"/>
          <w:lang w:val="en-US"/>
        </w:rPr>
        <w:t>t</w:t>
      </w:r>
      <w:r w:rsidRPr="006020F5">
        <w:rPr>
          <w:rFonts w:ascii="Times New Roman" w:hAnsi="Times New Roman" w:cs="Times New Roman"/>
          <w:sz w:val="24"/>
          <w:szCs w:val="24"/>
          <w:lang w:val="en-US"/>
        </w:rPr>
        <w:t>h</w:t>
      </w:r>
      <w:r w:rsidR="00744048">
        <w:rPr>
          <w:rFonts w:ascii="Times New Roman" w:hAnsi="Times New Roman" w:cs="Times New Roman"/>
          <w:sz w:val="24"/>
          <w:szCs w:val="24"/>
          <w:lang w:val="en-US"/>
        </w:rPr>
        <w:t>at</w:t>
      </w:r>
      <w:r w:rsidRPr="006020F5">
        <w:rPr>
          <w:rFonts w:ascii="Times New Roman" w:hAnsi="Times New Roman" w:cs="Times New Roman"/>
          <w:sz w:val="24"/>
          <w:szCs w:val="24"/>
          <w:lang w:val="en-US"/>
        </w:rPr>
        <w:t xml:space="preserve"> provides follow-up to strategic actions such as the management of the Departmental and Municipal Roundtables of the </w:t>
      </w:r>
      <w:r w:rsidR="00744048">
        <w:rPr>
          <w:rFonts w:ascii="Times New Roman" w:hAnsi="Times New Roman" w:cs="Times New Roman"/>
          <w:sz w:val="24"/>
          <w:szCs w:val="24"/>
          <w:lang w:val="en-US"/>
        </w:rPr>
        <w:t xml:space="preserve">National </w:t>
      </w:r>
      <w:r w:rsidRPr="006020F5">
        <w:rPr>
          <w:rFonts w:ascii="Times New Roman" w:hAnsi="Times New Roman" w:cs="Times New Roman"/>
          <w:sz w:val="24"/>
          <w:szCs w:val="24"/>
          <w:lang w:val="en-US"/>
        </w:rPr>
        <w:t>Plan, the design of the conceptual framework of the National Social Protection System and the management of the specific budget. Forty-seven clinics for the care of victims of sexual violence and pregnant girls under 14 years of age were implemented in 43 hospitals.</w:t>
      </w:r>
    </w:p>
    <w:p w14:paraId="51BC0B7C" w14:textId="77777777" w:rsidR="006020F5" w:rsidRPr="006020F5" w:rsidRDefault="006020F5" w:rsidP="006020F5">
      <w:pPr>
        <w:pStyle w:val="Prrafodelista"/>
        <w:rPr>
          <w:rFonts w:ascii="Times New Roman" w:hAnsi="Times New Roman" w:cs="Times New Roman"/>
          <w:sz w:val="24"/>
          <w:szCs w:val="24"/>
          <w:lang w:val="en-US"/>
        </w:rPr>
      </w:pPr>
    </w:p>
    <w:p w14:paraId="1C5EB525" w14:textId="67CE221B"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Health areas were strengthened with Q2.5 million for friendly spaces, where Comprehensive Sexuality Education is applied. Technical support was provided to 50 adolescent leaders of friendly spaces in 11 districts in the department of El </w:t>
      </w:r>
      <w:proofErr w:type="spellStart"/>
      <w:r w:rsidRPr="006020F5">
        <w:rPr>
          <w:rFonts w:ascii="Times New Roman" w:hAnsi="Times New Roman" w:cs="Times New Roman"/>
          <w:sz w:val="24"/>
          <w:szCs w:val="24"/>
          <w:lang w:val="en-US"/>
        </w:rPr>
        <w:t>Progreso</w:t>
      </w:r>
      <w:proofErr w:type="spellEnd"/>
      <w:r w:rsidRPr="006020F5">
        <w:rPr>
          <w:rFonts w:ascii="Times New Roman" w:hAnsi="Times New Roman" w:cs="Times New Roman"/>
          <w:sz w:val="24"/>
          <w:szCs w:val="24"/>
          <w:lang w:val="en-US"/>
        </w:rPr>
        <w:t xml:space="preserve">. Within the framework of the Prevent through Education Agreement, training was provided to health personnel, </w:t>
      </w:r>
      <w:proofErr w:type="gramStart"/>
      <w:r w:rsidRPr="006020F5">
        <w:rPr>
          <w:rFonts w:ascii="Times New Roman" w:hAnsi="Times New Roman" w:cs="Times New Roman"/>
          <w:sz w:val="24"/>
          <w:szCs w:val="24"/>
          <w:lang w:val="en-US"/>
        </w:rPr>
        <w:t>adolescents</w:t>
      </w:r>
      <w:proofErr w:type="gramEnd"/>
      <w:r w:rsidRPr="006020F5">
        <w:rPr>
          <w:rFonts w:ascii="Times New Roman" w:hAnsi="Times New Roman" w:cs="Times New Roman"/>
          <w:sz w:val="24"/>
          <w:szCs w:val="24"/>
          <w:lang w:val="en-US"/>
        </w:rPr>
        <w:t xml:space="preserve"> and young people. There are 345 Municipal Health Districts</w:t>
      </w:r>
      <w:r w:rsidR="00744048">
        <w:rPr>
          <w:rFonts w:ascii="Times New Roman" w:hAnsi="Times New Roman" w:cs="Times New Roman"/>
          <w:sz w:val="24"/>
          <w:szCs w:val="24"/>
          <w:lang w:val="en-US"/>
        </w:rPr>
        <w:t>,</w:t>
      </w:r>
      <w:r w:rsidRPr="006020F5">
        <w:rPr>
          <w:rFonts w:ascii="Times New Roman" w:hAnsi="Times New Roman" w:cs="Times New Roman"/>
          <w:sz w:val="24"/>
          <w:szCs w:val="24"/>
          <w:lang w:val="en-US"/>
        </w:rPr>
        <w:t xml:space="preserve"> in 213</w:t>
      </w:r>
      <w:r w:rsidR="00744048">
        <w:rPr>
          <w:rFonts w:ascii="Times New Roman" w:hAnsi="Times New Roman" w:cs="Times New Roman"/>
          <w:sz w:val="24"/>
          <w:szCs w:val="24"/>
          <w:lang w:val="en-US"/>
        </w:rPr>
        <w:t xml:space="preserve"> of them,</w:t>
      </w:r>
      <w:r w:rsidRPr="006020F5">
        <w:rPr>
          <w:rFonts w:ascii="Times New Roman" w:hAnsi="Times New Roman" w:cs="Times New Roman"/>
          <w:sz w:val="24"/>
          <w:szCs w:val="24"/>
          <w:lang w:val="en-US"/>
        </w:rPr>
        <w:t xml:space="preserve"> 777 friendly </w:t>
      </w:r>
      <w:r w:rsidR="00744048" w:rsidRPr="006020F5">
        <w:rPr>
          <w:rFonts w:ascii="Times New Roman" w:hAnsi="Times New Roman" w:cs="Times New Roman"/>
          <w:sz w:val="24"/>
          <w:szCs w:val="24"/>
          <w:lang w:val="en-US"/>
        </w:rPr>
        <w:t>space’s</w:t>
      </w:r>
      <w:r w:rsidR="00744048">
        <w:rPr>
          <w:rFonts w:ascii="Times New Roman" w:hAnsi="Times New Roman" w:cs="Times New Roman"/>
          <w:sz w:val="24"/>
          <w:szCs w:val="24"/>
          <w:lang w:val="en-US"/>
        </w:rPr>
        <w:t xml:space="preserve"> function </w:t>
      </w:r>
      <w:r w:rsidRPr="006020F5">
        <w:rPr>
          <w:rFonts w:ascii="Times New Roman" w:hAnsi="Times New Roman" w:cs="Times New Roman"/>
          <w:sz w:val="24"/>
          <w:szCs w:val="24"/>
          <w:lang w:val="en-US"/>
        </w:rPr>
        <w:t xml:space="preserve">(62%). </w:t>
      </w:r>
      <w:r w:rsidR="00744048">
        <w:rPr>
          <w:rFonts w:ascii="Times New Roman" w:hAnsi="Times New Roman" w:cs="Times New Roman"/>
          <w:sz w:val="24"/>
          <w:szCs w:val="24"/>
          <w:lang w:val="en-US"/>
        </w:rPr>
        <w:t xml:space="preserve">Also, </w:t>
      </w:r>
      <w:r w:rsidRPr="006020F5">
        <w:rPr>
          <w:rFonts w:ascii="Times New Roman" w:hAnsi="Times New Roman" w:cs="Times New Roman"/>
          <w:sz w:val="24"/>
          <w:szCs w:val="24"/>
          <w:lang w:val="en-US"/>
        </w:rPr>
        <w:t xml:space="preserve">53,491 adolescents and young people </w:t>
      </w:r>
      <w:r w:rsidR="00744048">
        <w:rPr>
          <w:rFonts w:ascii="Times New Roman" w:hAnsi="Times New Roman" w:cs="Times New Roman"/>
          <w:sz w:val="24"/>
          <w:szCs w:val="24"/>
          <w:lang w:val="en-US"/>
        </w:rPr>
        <w:t xml:space="preserve">were </w:t>
      </w:r>
      <w:r w:rsidRPr="006020F5">
        <w:rPr>
          <w:rFonts w:ascii="Times New Roman" w:hAnsi="Times New Roman" w:cs="Times New Roman"/>
          <w:sz w:val="24"/>
          <w:szCs w:val="24"/>
          <w:lang w:val="en-US"/>
        </w:rPr>
        <w:t xml:space="preserve">attended (31,669 women and 21,822 men). </w:t>
      </w:r>
    </w:p>
    <w:p w14:paraId="785802E9"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6374A6DE" w14:textId="422FC099"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Pregnant girls and adolescents are incorporated into the Extracurricular Education Subsystem to begin, </w:t>
      </w:r>
      <w:proofErr w:type="gramStart"/>
      <w:r w:rsidRPr="006020F5">
        <w:rPr>
          <w:rFonts w:ascii="Times New Roman" w:hAnsi="Times New Roman" w:cs="Times New Roman"/>
          <w:sz w:val="24"/>
          <w:szCs w:val="24"/>
          <w:lang w:val="en-US"/>
        </w:rPr>
        <w:t>continue</w:t>
      </w:r>
      <w:proofErr w:type="gramEnd"/>
      <w:r w:rsidRPr="006020F5">
        <w:rPr>
          <w:rFonts w:ascii="Times New Roman" w:hAnsi="Times New Roman" w:cs="Times New Roman"/>
          <w:sz w:val="24"/>
          <w:szCs w:val="24"/>
          <w:lang w:val="en-US"/>
        </w:rPr>
        <w:t xml:space="preserve"> or finish their studies. In 2023, 76 girls were identified as continuing their studies in the National Education System. </w:t>
      </w:r>
    </w:p>
    <w:p w14:paraId="28B24519"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5A118A3A" w14:textId="77777777" w:rsidR="006020F5" w:rsidRPr="006020F5" w:rsidRDefault="006020F5" w:rsidP="006020F5">
      <w:pPr>
        <w:spacing w:after="0" w:line="240" w:lineRule="auto"/>
        <w:jc w:val="both"/>
        <w:rPr>
          <w:rFonts w:ascii="Times New Roman" w:hAnsi="Times New Roman" w:cs="Times New Roman"/>
          <w:b/>
          <w:bCs/>
          <w:i/>
          <w:iCs/>
          <w:sz w:val="24"/>
          <w:szCs w:val="24"/>
          <w:lang w:val="en-US"/>
        </w:rPr>
      </w:pPr>
      <w:r w:rsidRPr="006020F5">
        <w:rPr>
          <w:rFonts w:ascii="Times New Roman" w:hAnsi="Times New Roman" w:cs="Times New Roman"/>
          <w:b/>
          <w:bCs/>
          <w:i/>
          <w:iCs/>
          <w:sz w:val="24"/>
          <w:szCs w:val="24"/>
          <w:lang w:val="en-US"/>
        </w:rPr>
        <w:t>Child marriages</w:t>
      </w:r>
    </w:p>
    <w:p w14:paraId="6DF0AB1C"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62A29740" w14:textId="7DDB1528" w:rsid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The National Registry of Persons implemented controls within the Systems do not allow the Registration of marriages of minors authorized</w:t>
      </w:r>
      <w:r w:rsidR="005F4335">
        <w:rPr>
          <w:rFonts w:ascii="Times New Roman" w:hAnsi="Times New Roman" w:cs="Times New Roman"/>
          <w:sz w:val="24"/>
          <w:szCs w:val="24"/>
          <w:lang w:val="en-US"/>
        </w:rPr>
        <w:t>,</w:t>
      </w:r>
      <w:r w:rsidRPr="006020F5">
        <w:rPr>
          <w:rFonts w:ascii="Times New Roman" w:hAnsi="Times New Roman" w:cs="Times New Roman"/>
          <w:sz w:val="24"/>
          <w:szCs w:val="24"/>
          <w:lang w:val="en-US"/>
        </w:rPr>
        <w:t xml:space="preserve"> after the reform of Decree 17-2023</w:t>
      </w:r>
      <w:r w:rsidR="005F4335">
        <w:rPr>
          <w:rFonts w:ascii="Times New Roman" w:hAnsi="Times New Roman" w:cs="Times New Roman"/>
          <w:sz w:val="24"/>
          <w:szCs w:val="24"/>
          <w:lang w:val="en-US"/>
        </w:rPr>
        <w:t>.</w:t>
      </w:r>
      <w:r w:rsidRPr="006020F5">
        <w:rPr>
          <w:rFonts w:ascii="Times New Roman" w:hAnsi="Times New Roman" w:cs="Times New Roman"/>
          <w:sz w:val="24"/>
          <w:szCs w:val="24"/>
          <w:lang w:val="en-US"/>
        </w:rPr>
        <w:t xml:space="preserve"> </w:t>
      </w:r>
      <w:r w:rsidR="005F4335">
        <w:rPr>
          <w:rFonts w:ascii="Times New Roman" w:hAnsi="Times New Roman" w:cs="Times New Roman"/>
          <w:sz w:val="24"/>
          <w:szCs w:val="24"/>
          <w:lang w:val="en-US"/>
        </w:rPr>
        <w:t>The</w:t>
      </w:r>
      <w:r w:rsidRPr="006020F5">
        <w:rPr>
          <w:rFonts w:ascii="Times New Roman" w:hAnsi="Times New Roman" w:cs="Times New Roman"/>
          <w:sz w:val="24"/>
          <w:szCs w:val="24"/>
          <w:lang w:val="en-US"/>
        </w:rPr>
        <w:t xml:space="preserve"> </w:t>
      </w:r>
      <w:r w:rsidR="005F4335">
        <w:rPr>
          <w:rFonts w:ascii="Times New Roman" w:hAnsi="Times New Roman" w:cs="Times New Roman"/>
          <w:sz w:val="24"/>
          <w:szCs w:val="24"/>
          <w:lang w:val="en-US"/>
        </w:rPr>
        <w:t>prohibition</w:t>
      </w:r>
      <w:r w:rsidRPr="006020F5">
        <w:rPr>
          <w:rFonts w:ascii="Times New Roman" w:hAnsi="Times New Roman" w:cs="Times New Roman"/>
          <w:sz w:val="24"/>
          <w:szCs w:val="24"/>
          <w:lang w:val="en-US"/>
        </w:rPr>
        <w:t xml:space="preserve"> w</w:t>
      </w:r>
      <w:r w:rsidR="005F4335">
        <w:rPr>
          <w:rFonts w:ascii="Times New Roman" w:hAnsi="Times New Roman" w:cs="Times New Roman"/>
          <w:sz w:val="24"/>
          <w:szCs w:val="24"/>
          <w:lang w:val="en-US"/>
        </w:rPr>
        <w:t>as</w:t>
      </w:r>
      <w:r w:rsidRPr="006020F5">
        <w:rPr>
          <w:rFonts w:ascii="Times New Roman" w:hAnsi="Times New Roman" w:cs="Times New Roman"/>
          <w:sz w:val="24"/>
          <w:szCs w:val="24"/>
          <w:lang w:val="en-US"/>
        </w:rPr>
        <w:t xml:space="preserve"> issued to the Civil Registrars of Persons. According to statistics of marriages by year of occurrence, between 2017-2022, 22 cases were registered in minors under 18 years of age (</w:t>
      </w:r>
      <w:r w:rsidR="005F4335">
        <w:rPr>
          <w:rFonts w:ascii="Times New Roman" w:hAnsi="Times New Roman" w:cs="Times New Roman"/>
          <w:sz w:val="24"/>
          <w:szCs w:val="24"/>
          <w:lang w:val="en-US"/>
        </w:rPr>
        <w:t>in</w:t>
      </w:r>
      <w:r w:rsidRPr="006020F5">
        <w:rPr>
          <w:rFonts w:ascii="Times New Roman" w:hAnsi="Times New Roman" w:cs="Times New Roman"/>
          <w:sz w:val="24"/>
          <w:szCs w:val="24"/>
          <w:lang w:val="en-US"/>
        </w:rPr>
        <w:t xml:space="preserve"> 2017).</w:t>
      </w:r>
    </w:p>
    <w:p w14:paraId="1A31F6C8" w14:textId="77777777" w:rsidR="006020F5" w:rsidRPr="006020F5" w:rsidRDefault="006020F5" w:rsidP="006020F5">
      <w:pPr>
        <w:pStyle w:val="Prrafodelista"/>
        <w:spacing w:after="0" w:line="240" w:lineRule="auto"/>
        <w:ind w:left="284"/>
        <w:jc w:val="both"/>
        <w:rPr>
          <w:rFonts w:ascii="Times New Roman" w:hAnsi="Times New Roman" w:cs="Times New Roman"/>
          <w:sz w:val="24"/>
          <w:szCs w:val="24"/>
          <w:lang w:val="en-US"/>
        </w:rPr>
      </w:pPr>
    </w:p>
    <w:p w14:paraId="4F6E2399" w14:textId="1ACC5D40" w:rsid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 xml:space="preserve">The Public Prosecutor's Office pursues non-compliance with the </w:t>
      </w:r>
      <w:proofErr w:type="gramStart"/>
      <w:r w:rsidRPr="006020F5">
        <w:rPr>
          <w:rFonts w:ascii="Times New Roman" w:hAnsi="Times New Roman" w:cs="Times New Roman"/>
          <w:sz w:val="24"/>
          <w:szCs w:val="24"/>
          <w:lang w:val="en-US"/>
        </w:rPr>
        <w:t>prohibition,</w:t>
      </w:r>
      <w:proofErr w:type="gramEnd"/>
      <w:r w:rsidRPr="006020F5">
        <w:rPr>
          <w:rFonts w:ascii="Times New Roman" w:hAnsi="Times New Roman" w:cs="Times New Roman"/>
          <w:sz w:val="24"/>
          <w:szCs w:val="24"/>
          <w:lang w:val="en-US"/>
        </w:rPr>
        <w:t xml:space="preserve"> however, early unions continue tak</w:t>
      </w:r>
      <w:r w:rsidR="005F4335">
        <w:rPr>
          <w:rFonts w:ascii="Times New Roman" w:hAnsi="Times New Roman" w:cs="Times New Roman"/>
          <w:sz w:val="24"/>
          <w:szCs w:val="24"/>
          <w:lang w:val="en-US"/>
        </w:rPr>
        <w:t>ing</w:t>
      </w:r>
      <w:r w:rsidRPr="006020F5">
        <w:rPr>
          <w:rFonts w:ascii="Times New Roman" w:hAnsi="Times New Roman" w:cs="Times New Roman"/>
          <w:sz w:val="24"/>
          <w:szCs w:val="24"/>
          <w:lang w:val="en-US"/>
        </w:rPr>
        <w:t xml:space="preserve"> place without registration, due to social and cultural practices. An agreement was signed between both institutions</w:t>
      </w:r>
      <w:r w:rsidR="005F4335">
        <w:rPr>
          <w:rFonts w:ascii="Times New Roman" w:hAnsi="Times New Roman" w:cs="Times New Roman"/>
          <w:sz w:val="24"/>
          <w:szCs w:val="24"/>
          <w:lang w:val="en-US"/>
        </w:rPr>
        <w:t>,</w:t>
      </w:r>
      <w:r w:rsidRPr="006020F5">
        <w:rPr>
          <w:rFonts w:ascii="Times New Roman" w:hAnsi="Times New Roman" w:cs="Times New Roman"/>
          <w:sz w:val="24"/>
          <w:szCs w:val="24"/>
          <w:lang w:val="en-US"/>
        </w:rPr>
        <w:t xml:space="preserve"> to implement the use of technology in the provision of services, guaranteeing the integrity of information and the receipt and investigation of complaints, including pregnancies in girls and adolescents under 14 years of age.</w:t>
      </w:r>
    </w:p>
    <w:p w14:paraId="454217C8" w14:textId="77777777" w:rsidR="005F4335" w:rsidRPr="005F4335" w:rsidRDefault="005F4335" w:rsidP="005F4335">
      <w:pPr>
        <w:pStyle w:val="Prrafodelista"/>
        <w:rPr>
          <w:rFonts w:ascii="Times New Roman" w:hAnsi="Times New Roman" w:cs="Times New Roman"/>
          <w:sz w:val="24"/>
          <w:szCs w:val="24"/>
          <w:lang w:val="en-US"/>
        </w:rPr>
      </w:pPr>
    </w:p>
    <w:p w14:paraId="7A5C62AA" w14:textId="77777777" w:rsidR="005F4335" w:rsidRPr="006020F5" w:rsidRDefault="005F4335" w:rsidP="005F4335">
      <w:pPr>
        <w:pStyle w:val="Prrafodelista"/>
        <w:spacing w:after="0" w:line="240" w:lineRule="auto"/>
        <w:ind w:left="284"/>
        <w:jc w:val="both"/>
        <w:rPr>
          <w:rFonts w:ascii="Times New Roman" w:hAnsi="Times New Roman" w:cs="Times New Roman"/>
          <w:sz w:val="24"/>
          <w:szCs w:val="24"/>
          <w:lang w:val="en-US"/>
        </w:rPr>
      </w:pPr>
    </w:p>
    <w:p w14:paraId="4AD8E7CD" w14:textId="74A3C23C" w:rsidR="006020F5" w:rsidRPr="006020F5" w:rsidRDefault="006020F5" w:rsidP="006020F5">
      <w:pPr>
        <w:pStyle w:val="Prrafodelista"/>
        <w:numPr>
          <w:ilvl w:val="0"/>
          <w:numId w:val="1"/>
        </w:numPr>
        <w:spacing w:after="0" w:line="240" w:lineRule="auto"/>
        <w:ind w:left="284" w:hanging="284"/>
        <w:jc w:val="both"/>
        <w:rPr>
          <w:rFonts w:ascii="Times New Roman" w:hAnsi="Times New Roman" w:cs="Times New Roman"/>
          <w:sz w:val="24"/>
          <w:szCs w:val="24"/>
          <w:lang w:val="en-US"/>
        </w:rPr>
      </w:pPr>
      <w:r w:rsidRPr="006020F5">
        <w:rPr>
          <w:rFonts w:ascii="Times New Roman" w:hAnsi="Times New Roman" w:cs="Times New Roman"/>
          <w:sz w:val="24"/>
          <w:szCs w:val="24"/>
          <w:lang w:val="en-US"/>
        </w:rPr>
        <w:t>When there is a threat or violation of the rights of girls and adolescents, the Attorney General's Office attends and promotes their protection. The complaints received regarding child marriage are not numerous, but there is a greater number of complaints handled and referred for early unions. Special protection measures are provided to prevent further violation of rights and promote full and comprehensive protection through the restitution of rights.</w:t>
      </w:r>
    </w:p>
    <w:sectPr w:rsidR="006020F5" w:rsidRPr="006020F5">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D9700" w14:textId="77777777" w:rsidR="00001BCF" w:rsidRDefault="00001BCF" w:rsidP="00F15ABE">
      <w:pPr>
        <w:spacing w:after="0" w:line="240" w:lineRule="auto"/>
      </w:pPr>
      <w:r>
        <w:separator/>
      </w:r>
    </w:p>
  </w:endnote>
  <w:endnote w:type="continuationSeparator" w:id="0">
    <w:p w14:paraId="22F3BB7D" w14:textId="77777777" w:rsidR="00001BCF" w:rsidRDefault="00001BCF" w:rsidP="00F15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47431"/>
      <w:docPartObj>
        <w:docPartGallery w:val="Page Numbers (Bottom of Page)"/>
        <w:docPartUnique/>
      </w:docPartObj>
    </w:sdtPr>
    <w:sdtContent>
      <w:p w14:paraId="05B585F8" w14:textId="0F8EF2E3" w:rsidR="00F15ABE" w:rsidRDefault="00F15ABE">
        <w:pPr>
          <w:pStyle w:val="Piedepgina"/>
          <w:jc w:val="right"/>
        </w:pPr>
        <w:r>
          <w:fldChar w:fldCharType="begin"/>
        </w:r>
        <w:r>
          <w:instrText>PAGE   \* MERGEFORMAT</w:instrText>
        </w:r>
        <w:r>
          <w:fldChar w:fldCharType="separate"/>
        </w:r>
        <w:r>
          <w:t>2</w:t>
        </w:r>
        <w:r>
          <w:fldChar w:fldCharType="end"/>
        </w:r>
      </w:p>
    </w:sdtContent>
  </w:sdt>
  <w:p w14:paraId="62A915CA" w14:textId="77777777" w:rsidR="00F15ABE" w:rsidRDefault="00F15A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636C5" w14:textId="77777777" w:rsidR="00001BCF" w:rsidRDefault="00001BCF" w:rsidP="00F15ABE">
      <w:pPr>
        <w:spacing w:after="0" w:line="240" w:lineRule="auto"/>
      </w:pPr>
      <w:r>
        <w:separator/>
      </w:r>
    </w:p>
  </w:footnote>
  <w:footnote w:type="continuationSeparator" w:id="0">
    <w:p w14:paraId="4A895CC1" w14:textId="77777777" w:rsidR="00001BCF" w:rsidRDefault="00001BCF" w:rsidP="00F15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7F5346"/>
    <w:multiLevelType w:val="hybridMultilevel"/>
    <w:tmpl w:val="C024B0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79184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0F5"/>
    <w:rsid w:val="00001BCF"/>
    <w:rsid w:val="0006622A"/>
    <w:rsid w:val="005F4335"/>
    <w:rsid w:val="006020F5"/>
    <w:rsid w:val="00744048"/>
    <w:rsid w:val="00BA3692"/>
    <w:rsid w:val="00DF16D3"/>
    <w:rsid w:val="00F01F57"/>
    <w:rsid w:val="00F15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9FDB8"/>
  <w15:chartTrackingRefBased/>
  <w15:docId w15:val="{3C009E01-998E-4C72-9B07-7FA03B522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020F5"/>
    <w:pPr>
      <w:ind w:left="720"/>
      <w:contextualSpacing/>
    </w:pPr>
  </w:style>
  <w:style w:type="paragraph" w:styleId="Encabezado">
    <w:name w:val="header"/>
    <w:basedOn w:val="Normal"/>
    <w:link w:val="EncabezadoCar"/>
    <w:uiPriority w:val="99"/>
    <w:unhideWhenUsed/>
    <w:rsid w:val="00F15A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5ABE"/>
  </w:style>
  <w:style w:type="paragraph" w:styleId="Piedepgina">
    <w:name w:val="footer"/>
    <w:basedOn w:val="Normal"/>
    <w:link w:val="PiedepginaCar"/>
    <w:uiPriority w:val="99"/>
    <w:unhideWhenUsed/>
    <w:rsid w:val="00F15A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5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1473</Words>
  <Characters>8102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Jeanie Herrera</dc:creator>
  <cp:keywords/>
  <dc:description/>
  <cp:lastModifiedBy>Jeanie Herrera</cp:lastModifiedBy>
  <cp:revision>7</cp:revision>
  <dcterms:created xsi:type="dcterms:W3CDTF">2023-10-15T21:27:00Z</dcterms:created>
  <dcterms:modified xsi:type="dcterms:W3CDTF">2023-10-15T21:54:00Z</dcterms:modified>
</cp:coreProperties>
</file>