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36CC396" w14:textId="648DF520" w:rsidR="008C51F8" w:rsidRDefault="00220042" w:rsidP="008C51F8">
      <w:pPr>
        <w:jc w:val="center"/>
        <w:rPr>
          <w:rFonts w:ascii="Century Gothic" w:hAnsi="Century Gothic"/>
          <w:b/>
          <w:bCs/>
          <w:color w:val="0D0D0D" w:themeColor="text1" w:themeTint="F2"/>
          <w:sz w:val="28"/>
          <w:szCs w:val="28"/>
        </w:rPr>
      </w:pPr>
      <w:r>
        <w:rPr>
          <w:noProof/>
        </w:rPr>
        <w:drawing>
          <wp:anchor distT="0" distB="0" distL="114300" distR="114300" simplePos="0" relativeHeight="251662336" behindDoc="1" locked="0" layoutInCell="1" allowOverlap="1" wp14:anchorId="411FC8D3" wp14:editId="55E5CEBE">
            <wp:simplePos x="0" y="0"/>
            <wp:positionH relativeFrom="column">
              <wp:posOffset>2760345</wp:posOffset>
            </wp:positionH>
            <wp:positionV relativeFrom="paragraph">
              <wp:posOffset>-400685</wp:posOffset>
            </wp:positionV>
            <wp:extent cx="2286000" cy="1766359"/>
            <wp:effectExtent l="0" t="0" r="0" b="0"/>
            <wp:wrapNone/>
            <wp:docPr id="51848513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286000" cy="1766359"/>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t xml:space="preserve"> </w:t>
      </w:r>
      <w:r w:rsidR="008C51F8">
        <w:rPr>
          <w:noProof/>
        </w:rPr>
        <w:drawing>
          <wp:anchor distT="0" distB="0" distL="114300" distR="114300" simplePos="0" relativeHeight="251659264" behindDoc="0" locked="0" layoutInCell="1" allowOverlap="1" wp14:anchorId="3AA107E4" wp14:editId="3DC7B81C">
            <wp:simplePos x="0" y="0"/>
            <wp:positionH relativeFrom="margin">
              <wp:posOffset>944880</wp:posOffset>
            </wp:positionH>
            <wp:positionV relativeFrom="paragraph">
              <wp:posOffset>101600</wp:posOffset>
            </wp:positionV>
            <wp:extent cx="1054735" cy="739140"/>
            <wp:effectExtent l="0" t="0" r="0" b="3810"/>
            <wp:wrapSquare wrapText="bothSides"/>
            <wp:docPr id="1181665202" name="Imagen 1181665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054735" cy="73914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7C17E40" w14:textId="77777777" w:rsidR="008C51F8" w:rsidRDefault="008C51F8" w:rsidP="008C51F8">
      <w:pPr>
        <w:jc w:val="center"/>
        <w:rPr>
          <w:rFonts w:ascii="Century Gothic" w:hAnsi="Century Gothic"/>
          <w:b/>
          <w:bCs/>
          <w:color w:val="0D0D0D" w:themeColor="text1" w:themeTint="F2"/>
          <w:sz w:val="28"/>
          <w:szCs w:val="28"/>
        </w:rPr>
      </w:pPr>
    </w:p>
    <w:p w14:paraId="6A0BFDBB" w14:textId="77777777" w:rsidR="008C51F8" w:rsidRDefault="008C51F8" w:rsidP="008C51F8">
      <w:pPr>
        <w:jc w:val="center"/>
        <w:rPr>
          <w:rFonts w:ascii="Century Gothic" w:hAnsi="Century Gothic"/>
          <w:b/>
          <w:bCs/>
          <w:color w:val="0D0D0D" w:themeColor="text1" w:themeTint="F2"/>
          <w:sz w:val="28"/>
          <w:szCs w:val="28"/>
        </w:rPr>
      </w:pPr>
    </w:p>
    <w:p w14:paraId="6F916913" w14:textId="77777777" w:rsidR="008C51F8" w:rsidRDefault="008C51F8" w:rsidP="008C51F8">
      <w:pPr>
        <w:jc w:val="center"/>
        <w:rPr>
          <w:rFonts w:ascii="Century Gothic" w:hAnsi="Century Gothic"/>
          <w:b/>
          <w:bCs/>
          <w:color w:val="0D0D0D" w:themeColor="text1" w:themeTint="F2"/>
          <w:sz w:val="28"/>
          <w:szCs w:val="28"/>
        </w:rPr>
      </w:pPr>
    </w:p>
    <w:p w14:paraId="13157671" w14:textId="77777777" w:rsidR="008C51F8" w:rsidRDefault="008C51F8" w:rsidP="008C51F8">
      <w:pPr>
        <w:jc w:val="center"/>
        <w:rPr>
          <w:rFonts w:ascii="Century Gothic" w:hAnsi="Century Gothic"/>
          <w:b/>
          <w:bCs/>
          <w:color w:val="0D0D0D" w:themeColor="text1" w:themeTint="F2"/>
          <w:sz w:val="28"/>
          <w:szCs w:val="28"/>
        </w:rPr>
      </w:pPr>
    </w:p>
    <w:p w14:paraId="6309939C" w14:textId="3878F32A" w:rsidR="008C51F8" w:rsidRPr="00D967D2" w:rsidRDefault="008C51F8" w:rsidP="008C51F8">
      <w:pPr>
        <w:jc w:val="center"/>
        <w:rPr>
          <w:rFonts w:ascii="Century Gothic" w:hAnsi="Century Gothic"/>
          <w:b/>
          <w:bCs/>
          <w:color w:val="0D0D0D" w:themeColor="text1" w:themeTint="F2"/>
          <w:sz w:val="28"/>
          <w:szCs w:val="28"/>
        </w:rPr>
      </w:pPr>
      <w:r w:rsidRPr="00D967D2">
        <w:rPr>
          <w:rFonts w:ascii="Century Gothic" w:hAnsi="Century Gothic"/>
          <w:b/>
          <w:bCs/>
          <w:color w:val="0D0D0D" w:themeColor="text1" w:themeTint="F2"/>
          <w:sz w:val="28"/>
          <w:szCs w:val="28"/>
        </w:rPr>
        <w:t>Informe Alternativo sobre Venezuela que se presenta al Comité de Seguimiento de la aplicación de la Convención para la Eliminación de todas las formas de Discriminación contra la Mujer (CEDAW).</w:t>
      </w:r>
    </w:p>
    <w:p w14:paraId="0170A616" w14:textId="77777777" w:rsidR="008C51F8" w:rsidRDefault="008C51F8" w:rsidP="008C51F8"/>
    <w:p w14:paraId="59A0485F" w14:textId="77777777" w:rsidR="008C51F8" w:rsidRPr="00D967D2" w:rsidRDefault="008C51F8" w:rsidP="008C51F8">
      <w:pPr>
        <w:rPr>
          <w:rFonts w:ascii="Century Gothic" w:hAnsi="Century Gothic"/>
          <w:sz w:val="24"/>
          <w:szCs w:val="24"/>
        </w:rPr>
      </w:pPr>
    </w:p>
    <w:p w14:paraId="75054F0F" w14:textId="77777777" w:rsidR="008C51F8" w:rsidRPr="00D967D2" w:rsidRDefault="008C51F8" w:rsidP="008C51F8">
      <w:pPr>
        <w:jc w:val="center"/>
        <w:rPr>
          <w:rFonts w:ascii="Century Gothic" w:hAnsi="Century Gothic"/>
          <w:sz w:val="24"/>
          <w:szCs w:val="24"/>
        </w:rPr>
      </w:pPr>
    </w:p>
    <w:p w14:paraId="67B6E2FD" w14:textId="77777777" w:rsidR="008C51F8" w:rsidRPr="00D967D2" w:rsidRDefault="008C51F8" w:rsidP="008C51F8">
      <w:pPr>
        <w:jc w:val="center"/>
        <w:rPr>
          <w:rFonts w:ascii="Century Gothic" w:hAnsi="Century Gothic"/>
          <w:sz w:val="24"/>
          <w:szCs w:val="24"/>
        </w:rPr>
      </w:pPr>
      <w:r w:rsidRPr="00D967D2">
        <w:rPr>
          <w:rFonts w:ascii="Century Gothic" w:hAnsi="Century Gothic"/>
          <w:sz w:val="24"/>
          <w:szCs w:val="24"/>
        </w:rPr>
        <w:t>Informe Alternativo de Seguimiento al Noveno informe periódico de la República Bolivariana de Venezuela en virtud del artículo 18 de la Convención sobre la Eliminación de Todas las Formas de Discriminación contra la Mujer.</w:t>
      </w:r>
    </w:p>
    <w:p w14:paraId="6E2EFD84" w14:textId="77777777" w:rsidR="008C51F8" w:rsidRPr="00D967D2" w:rsidRDefault="008C51F8" w:rsidP="008C51F8">
      <w:pPr>
        <w:jc w:val="center"/>
        <w:rPr>
          <w:rFonts w:ascii="Century Gothic" w:hAnsi="Century Gothic"/>
          <w:sz w:val="24"/>
          <w:szCs w:val="24"/>
        </w:rPr>
      </w:pPr>
    </w:p>
    <w:p w14:paraId="1BC0A997" w14:textId="77777777" w:rsidR="008C51F8" w:rsidRPr="00D967D2" w:rsidRDefault="008C51F8" w:rsidP="008C51F8">
      <w:pPr>
        <w:jc w:val="center"/>
        <w:rPr>
          <w:rFonts w:ascii="Century Gothic" w:hAnsi="Century Gothic"/>
          <w:sz w:val="24"/>
          <w:szCs w:val="24"/>
        </w:rPr>
      </w:pPr>
    </w:p>
    <w:p w14:paraId="4936CA6A" w14:textId="77777777" w:rsidR="008C51F8" w:rsidRPr="00D967D2" w:rsidRDefault="008C51F8" w:rsidP="008C51F8">
      <w:pPr>
        <w:rPr>
          <w:rFonts w:ascii="Century Gothic" w:hAnsi="Century Gothic"/>
          <w:sz w:val="24"/>
          <w:szCs w:val="24"/>
        </w:rPr>
      </w:pPr>
    </w:p>
    <w:p w14:paraId="56002610" w14:textId="77777777" w:rsidR="008C51F8" w:rsidRPr="00D967D2" w:rsidRDefault="008C51F8" w:rsidP="008C51F8">
      <w:pPr>
        <w:jc w:val="center"/>
        <w:rPr>
          <w:rFonts w:ascii="Century Gothic" w:hAnsi="Century Gothic"/>
          <w:sz w:val="24"/>
          <w:szCs w:val="24"/>
        </w:rPr>
      </w:pPr>
    </w:p>
    <w:p w14:paraId="5EC120AF" w14:textId="3117ECF3" w:rsidR="008C51F8" w:rsidRPr="00D967D2" w:rsidRDefault="008C51F8" w:rsidP="008C51F8">
      <w:pPr>
        <w:jc w:val="center"/>
        <w:rPr>
          <w:rFonts w:ascii="Century Gothic" w:hAnsi="Century Gothic"/>
          <w:sz w:val="24"/>
          <w:szCs w:val="24"/>
        </w:rPr>
      </w:pPr>
      <w:r w:rsidRPr="00D967D2">
        <w:rPr>
          <w:rFonts w:ascii="Century Gothic" w:hAnsi="Century Gothic"/>
          <w:sz w:val="24"/>
          <w:szCs w:val="24"/>
        </w:rPr>
        <w:t xml:space="preserve">Coalición de Organizaciones </w:t>
      </w:r>
      <w:r>
        <w:rPr>
          <w:rFonts w:ascii="Century Gothic" w:hAnsi="Century Gothic"/>
          <w:sz w:val="24"/>
          <w:szCs w:val="24"/>
        </w:rPr>
        <w:t>por la erradicación de violencias en espacios públicos</w:t>
      </w:r>
      <w:r w:rsidRPr="00D967D2">
        <w:rPr>
          <w:rFonts w:ascii="Century Gothic" w:hAnsi="Century Gothic"/>
          <w:sz w:val="24"/>
          <w:szCs w:val="24"/>
        </w:rPr>
        <w:t xml:space="preserve">. </w:t>
      </w:r>
    </w:p>
    <w:p w14:paraId="320FB07E" w14:textId="77777777" w:rsidR="008C51F8" w:rsidRDefault="008C51F8" w:rsidP="008C51F8">
      <w:pPr>
        <w:jc w:val="center"/>
      </w:pPr>
    </w:p>
    <w:p w14:paraId="1EF2A03A" w14:textId="77777777" w:rsidR="008C51F8" w:rsidRDefault="008C51F8" w:rsidP="008C51F8">
      <w:pPr>
        <w:jc w:val="center"/>
      </w:pPr>
    </w:p>
    <w:p w14:paraId="5CF98B5D" w14:textId="77777777" w:rsidR="008C51F8" w:rsidRDefault="008C51F8" w:rsidP="008C51F8"/>
    <w:p w14:paraId="6C6454C3" w14:textId="77777777" w:rsidR="008C51F8" w:rsidRDefault="008C51F8" w:rsidP="008C51F8">
      <w:pPr>
        <w:jc w:val="center"/>
      </w:pPr>
    </w:p>
    <w:p w14:paraId="60149ED8" w14:textId="77777777" w:rsidR="008C51F8" w:rsidRPr="00D967D2" w:rsidRDefault="008C51F8" w:rsidP="008C51F8">
      <w:pPr>
        <w:jc w:val="center"/>
        <w:rPr>
          <w:rFonts w:ascii="Century Gothic" w:hAnsi="Century Gothic"/>
          <w:sz w:val="24"/>
          <w:szCs w:val="24"/>
        </w:rPr>
      </w:pPr>
      <w:r w:rsidRPr="00D967D2">
        <w:rPr>
          <w:rFonts w:ascii="Century Gothic" w:hAnsi="Century Gothic"/>
          <w:sz w:val="24"/>
          <w:szCs w:val="24"/>
        </w:rPr>
        <w:t>Abril, 2023.</w:t>
      </w:r>
    </w:p>
    <w:p w14:paraId="2FF13E27" w14:textId="77777777" w:rsidR="00011CAA" w:rsidRDefault="00011CAA" w:rsidP="00011CAA">
      <w:pPr>
        <w:jc w:val="both"/>
        <w:rPr>
          <w:rFonts w:ascii="Century Gothic" w:hAnsi="Century Gothic" w:cstheme="majorHAnsi"/>
          <w:b/>
          <w:bCs/>
          <w:sz w:val="24"/>
          <w:szCs w:val="24"/>
        </w:rPr>
      </w:pPr>
    </w:p>
    <w:p w14:paraId="49D84E4C" w14:textId="77777777" w:rsidR="008C51F8" w:rsidRDefault="008C51F8">
      <w:pPr>
        <w:rPr>
          <w:rFonts w:ascii="Century Gothic" w:hAnsi="Century Gothic" w:cstheme="majorHAnsi"/>
          <w:b/>
          <w:bCs/>
          <w:sz w:val="24"/>
          <w:szCs w:val="24"/>
        </w:rPr>
      </w:pPr>
      <w:r>
        <w:rPr>
          <w:rFonts w:ascii="Century Gothic" w:hAnsi="Century Gothic" w:cstheme="majorHAnsi"/>
          <w:b/>
          <w:bCs/>
          <w:sz w:val="24"/>
          <w:szCs w:val="24"/>
        </w:rPr>
        <w:br w:type="page"/>
      </w:r>
    </w:p>
    <w:p w14:paraId="330582D4" w14:textId="77777777" w:rsidR="006A306E" w:rsidRPr="006A306E" w:rsidRDefault="006A306E" w:rsidP="006A306E">
      <w:pPr>
        <w:spacing w:line="276" w:lineRule="auto"/>
        <w:jc w:val="both"/>
        <w:rPr>
          <w:rFonts w:ascii="Century Gothic" w:hAnsi="Century Gothic" w:cs="Arial"/>
          <w:b/>
          <w:bCs/>
          <w:noProof/>
          <w:color w:val="0D0D0D" w:themeColor="text1" w:themeTint="F2"/>
          <w:sz w:val="24"/>
          <w:szCs w:val="24"/>
        </w:rPr>
      </w:pPr>
      <w:r w:rsidRPr="006A306E">
        <w:rPr>
          <w:rFonts w:ascii="Century Gothic" w:hAnsi="Century Gothic" w:cs="Arial"/>
          <w:b/>
          <w:bCs/>
          <w:noProof/>
          <w:color w:val="0D0D0D" w:themeColor="text1" w:themeTint="F2"/>
          <w:sz w:val="24"/>
          <w:szCs w:val="24"/>
        </w:rPr>
        <w:lastRenderedPageBreak/>
        <w:t>Introducción y Presentación de Organizaciones firmantes:</w:t>
      </w:r>
    </w:p>
    <w:p w14:paraId="7578D900" w14:textId="2086351C" w:rsidR="006A306E" w:rsidRPr="006A306E" w:rsidRDefault="006A306E" w:rsidP="007B46F6">
      <w:pPr>
        <w:spacing w:after="0" w:line="360" w:lineRule="auto"/>
        <w:jc w:val="both"/>
        <w:rPr>
          <w:rFonts w:ascii="Century Gothic" w:hAnsi="Century Gothic" w:cs="Arial"/>
          <w:color w:val="0D0D0D" w:themeColor="text1" w:themeTint="F2"/>
          <w:sz w:val="24"/>
          <w:szCs w:val="24"/>
        </w:rPr>
      </w:pPr>
      <w:r w:rsidRPr="006A306E">
        <w:rPr>
          <w:rFonts w:ascii="Century Gothic" w:hAnsi="Century Gothic" w:cs="Arial"/>
          <w:color w:val="0D0D0D" w:themeColor="text1" w:themeTint="F2"/>
          <w:sz w:val="24"/>
          <w:szCs w:val="24"/>
        </w:rPr>
        <w:t xml:space="preserve">El presente informe es elaborado de forma colaborativa entre organizaciones </w:t>
      </w:r>
      <w:r w:rsidRPr="006A306E">
        <w:rPr>
          <w:rFonts w:ascii="Century Gothic" w:hAnsi="Century Gothic" w:cs="Arial"/>
          <w:color w:val="0D0D0D" w:themeColor="text1" w:themeTint="F2"/>
          <w:sz w:val="24"/>
          <w:szCs w:val="24"/>
        </w:rPr>
        <w:t>feministas que trabajan por la prevención y erradicación de violencias de género desde un enfoque interseccional, realizando abordajes y asumiendo estrategias innovadoras que permitan transformar, documentar e investigar los territorios y comunidades abordadas, propiciando siempre cambios positivos sensibles al género.</w:t>
      </w:r>
    </w:p>
    <w:p w14:paraId="3829DAF9" w14:textId="77777777" w:rsidR="006A306E" w:rsidRPr="006A306E" w:rsidRDefault="006A306E" w:rsidP="007B46F6">
      <w:pPr>
        <w:spacing w:after="0" w:line="360" w:lineRule="auto"/>
        <w:jc w:val="both"/>
        <w:rPr>
          <w:rFonts w:ascii="Century Gothic" w:hAnsi="Century Gothic" w:cs="Arial"/>
          <w:color w:val="0D0D0D" w:themeColor="text1" w:themeTint="F2"/>
          <w:sz w:val="24"/>
          <w:szCs w:val="24"/>
        </w:rPr>
      </w:pPr>
      <w:r w:rsidRPr="006A306E">
        <w:rPr>
          <w:rFonts w:ascii="Century Gothic" w:hAnsi="Century Gothic" w:cs="Arial"/>
          <w:color w:val="0D0D0D" w:themeColor="text1" w:themeTint="F2"/>
          <w:sz w:val="24"/>
          <w:szCs w:val="24"/>
        </w:rPr>
        <w:t xml:space="preserve">De forma respetuosa, nos permitimos enviar este informe alternativo al Noveno informe periódico que la República Bolivariana de Venezuela debía presentar en 2018 en virtud del artículo 18 de la Convención sobre la Eliminación de Todas las Formas de Discriminación contra la Mujer, y fue presentado el 09 de </w:t>
      </w:r>
      <w:proofErr w:type="gramStart"/>
      <w:r w:rsidRPr="006A306E">
        <w:rPr>
          <w:rFonts w:ascii="Century Gothic" w:hAnsi="Century Gothic" w:cs="Arial"/>
          <w:color w:val="0D0D0D" w:themeColor="text1" w:themeTint="F2"/>
          <w:sz w:val="24"/>
          <w:szCs w:val="24"/>
        </w:rPr>
        <w:t>Junio</w:t>
      </w:r>
      <w:proofErr w:type="gramEnd"/>
      <w:r w:rsidRPr="006A306E">
        <w:rPr>
          <w:rFonts w:ascii="Century Gothic" w:hAnsi="Century Gothic" w:cs="Arial"/>
          <w:color w:val="0D0D0D" w:themeColor="text1" w:themeTint="F2"/>
          <w:sz w:val="24"/>
          <w:szCs w:val="24"/>
        </w:rPr>
        <w:t xml:space="preserve"> de 2021. </w:t>
      </w:r>
    </w:p>
    <w:p w14:paraId="38C2539B" w14:textId="77777777" w:rsidR="006A306E" w:rsidRDefault="006A306E" w:rsidP="007B46F6">
      <w:pPr>
        <w:spacing w:after="0" w:line="360" w:lineRule="auto"/>
        <w:jc w:val="both"/>
        <w:rPr>
          <w:rFonts w:ascii="Century Gothic" w:hAnsi="Century Gothic" w:cs="Arial"/>
          <w:color w:val="0D0D0D" w:themeColor="text1" w:themeTint="F2"/>
          <w:sz w:val="24"/>
          <w:szCs w:val="24"/>
        </w:rPr>
      </w:pPr>
      <w:r w:rsidRPr="006A306E">
        <w:rPr>
          <w:rFonts w:ascii="Century Gothic" w:hAnsi="Century Gothic" w:cs="Arial"/>
          <w:color w:val="0D0D0D" w:themeColor="text1" w:themeTint="F2"/>
          <w:sz w:val="24"/>
          <w:szCs w:val="24"/>
        </w:rPr>
        <w:t>Esperamos que los datos presentados en este informe sean de utilidad para evaluar el cumplimiento de las obligaciones del Estado venezolano frente a las recomendaciones del Comité de la CEDAW.</w:t>
      </w:r>
    </w:p>
    <w:p w14:paraId="4BA4322A" w14:textId="77777777" w:rsidR="007B46F6" w:rsidRPr="006A306E" w:rsidRDefault="007B46F6" w:rsidP="007B46F6">
      <w:pPr>
        <w:spacing w:after="0" w:line="360" w:lineRule="auto"/>
        <w:jc w:val="both"/>
        <w:rPr>
          <w:rFonts w:ascii="Century Gothic" w:hAnsi="Century Gothic" w:cs="Arial"/>
          <w:color w:val="0D0D0D" w:themeColor="text1" w:themeTint="F2"/>
          <w:sz w:val="24"/>
          <w:szCs w:val="24"/>
        </w:rPr>
      </w:pPr>
    </w:p>
    <w:p w14:paraId="120E3049" w14:textId="77777777" w:rsidR="006A306E" w:rsidRPr="006A306E" w:rsidRDefault="006A306E" w:rsidP="006A306E">
      <w:pPr>
        <w:spacing w:line="276" w:lineRule="auto"/>
        <w:rPr>
          <w:rFonts w:ascii="Century Gothic" w:hAnsi="Century Gothic" w:cs="Arial"/>
          <w:b/>
          <w:bCs/>
          <w:color w:val="0D0D0D" w:themeColor="text1" w:themeTint="F2"/>
          <w:sz w:val="24"/>
          <w:szCs w:val="24"/>
        </w:rPr>
      </w:pPr>
      <w:r w:rsidRPr="006A306E">
        <w:rPr>
          <w:rFonts w:ascii="Century Gothic" w:hAnsi="Century Gothic" w:cs="Arial"/>
          <w:b/>
          <w:bCs/>
          <w:color w:val="0D0D0D" w:themeColor="text1" w:themeTint="F2"/>
          <w:sz w:val="24"/>
          <w:szCs w:val="24"/>
        </w:rPr>
        <w:t>Organizaciones firmantes del presente informe:</w:t>
      </w:r>
    </w:p>
    <w:p w14:paraId="7280E322" w14:textId="77777777" w:rsidR="006A306E" w:rsidRPr="006A306E" w:rsidRDefault="006A306E" w:rsidP="006A306E">
      <w:pPr>
        <w:spacing w:line="276" w:lineRule="auto"/>
        <w:jc w:val="both"/>
        <w:rPr>
          <w:rFonts w:ascii="Century Gothic" w:hAnsi="Century Gothic" w:cs="Arial"/>
          <w:color w:val="0D0D0D" w:themeColor="text1" w:themeTint="F2"/>
          <w:sz w:val="24"/>
          <w:szCs w:val="24"/>
        </w:rPr>
      </w:pPr>
      <w:r w:rsidRPr="006A306E">
        <w:rPr>
          <w:rFonts w:ascii="Century Gothic" w:hAnsi="Century Gothic" w:cs="Arial"/>
          <w:noProof/>
          <w:color w:val="0D0D0D" w:themeColor="text1" w:themeTint="F2"/>
          <w:sz w:val="24"/>
          <w:szCs w:val="24"/>
        </w:rPr>
        <w:drawing>
          <wp:anchor distT="0" distB="0" distL="114300" distR="114300" simplePos="0" relativeHeight="251661312" behindDoc="0" locked="0" layoutInCell="1" allowOverlap="1" wp14:anchorId="559687C3" wp14:editId="0AE319C9">
            <wp:simplePos x="0" y="0"/>
            <wp:positionH relativeFrom="margin">
              <wp:align>left</wp:align>
            </wp:positionH>
            <wp:positionV relativeFrom="paragraph">
              <wp:posOffset>101459</wp:posOffset>
            </wp:positionV>
            <wp:extent cx="643890" cy="451485"/>
            <wp:effectExtent l="0" t="0" r="3810" b="5715"/>
            <wp:wrapSquare wrapText="bothSides"/>
            <wp:docPr id="268708456" name="Imagen 268708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651079" cy="456266"/>
                    </a:xfrm>
                    <a:prstGeom prst="rect">
                      <a:avLst/>
                    </a:prstGeom>
                    <a:noFill/>
                    <a:ln>
                      <a:noFill/>
                    </a:ln>
                  </pic:spPr>
                </pic:pic>
              </a:graphicData>
            </a:graphic>
            <wp14:sizeRelH relativeFrom="page">
              <wp14:pctWidth>0</wp14:pctWidth>
            </wp14:sizeRelH>
            <wp14:sizeRelV relativeFrom="page">
              <wp14:pctHeight>0</wp14:pctHeight>
            </wp14:sizeRelV>
          </wp:anchor>
        </w:drawing>
      </w:r>
      <w:r w:rsidRPr="006A306E">
        <w:rPr>
          <w:rFonts w:ascii="Century Gothic" w:hAnsi="Century Gothic" w:cs="Arial"/>
          <w:b/>
          <w:bCs/>
          <w:color w:val="0D0D0D" w:themeColor="text1" w:themeTint="F2"/>
          <w:sz w:val="24"/>
          <w:szCs w:val="24"/>
        </w:rPr>
        <w:t>Red Mérida Feminista</w:t>
      </w:r>
      <w:r w:rsidRPr="006A306E">
        <w:rPr>
          <w:rStyle w:val="Refdenotaalpie"/>
          <w:rFonts w:ascii="Century Gothic" w:hAnsi="Century Gothic" w:cs="Arial"/>
          <w:b/>
          <w:bCs/>
          <w:color w:val="0D0D0D" w:themeColor="text1" w:themeTint="F2"/>
          <w:sz w:val="24"/>
          <w:szCs w:val="24"/>
        </w:rPr>
        <w:footnoteReference w:id="1"/>
      </w:r>
      <w:r w:rsidRPr="006A306E">
        <w:rPr>
          <w:rFonts w:ascii="Century Gothic" w:hAnsi="Century Gothic" w:cs="Arial"/>
          <w:b/>
          <w:bCs/>
          <w:color w:val="0D0D0D" w:themeColor="text1" w:themeTint="F2"/>
          <w:sz w:val="24"/>
          <w:szCs w:val="24"/>
        </w:rPr>
        <w:t xml:space="preserve">: </w:t>
      </w:r>
      <w:r w:rsidRPr="006A306E">
        <w:rPr>
          <w:rFonts w:ascii="Century Gothic" w:hAnsi="Century Gothic" w:cs="Arial"/>
          <w:color w:val="0D0D0D" w:themeColor="text1" w:themeTint="F2"/>
          <w:sz w:val="24"/>
          <w:szCs w:val="24"/>
        </w:rPr>
        <w:t xml:space="preserve">organización independiente que desde 2018 promueve acciones para la prevención y erradicación de todas las formas de violencia de género contra todas las mujeres. Prestan servicios de acompañamiento psicosocial y gestoría de casos a víctimas y sobrevivientes de Violencia de Género en estado Mérida con un enfoque interseccional. Realizan también actividades educativas con enfoque preventivo de la violencia de género. </w:t>
      </w:r>
    </w:p>
    <w:p w14:paraId="67689ABF" w14:textId="7345C4F7" w:rsidR="006A306E" w:rsidRPr="006A306E" w:rsidRDefault="00220042" w:rsidP="006A306E">
      <w:pPr>
        <w:spacing w:line="276" w:lineRule="auto"/>
        <w:jc w:val="both"/>
        <w:rPr>
          <w:rFonts w:ascii="Century Gothic" w:hAnsi="Century Gothic" w:cs="Arial"/>
          <w:b/>
          <w:bCs/>
          <w:color w:val="0D0D0D" w:themeColor="text1" w:themeTint="F2"/>
          <w:sz w:val="24"/>
          <w:szCs w:val="24"/>
        </w:rPr>
      </w:pPr>
      <w:r>
        <w:rPr>
          <w:noProof/>
        </w:rPr>
        <w:drawing>
          <wp:anchor distT="0" distB="0" distL="114300" distR="114300" simplePos="0" relativeHeight="251663360" behindDoc="0" locked="0" layoutInCell="1" allowOverlap="1" wp14:anchorId="67463EF0" wp14:editId="171ED7E8">
            <wp:simplePos x="0" y="0"/>
            <wp:positionH relativeFrom="margin">
              <wp:align>left</wp:align>
            </wp:positionH>
            <wp:positionV relativeFrom="paragraph">
              <wp:posOffset>10160</wp:posOffset>
            </wp:positionV>
            <wp:extent cx="701039" cy="792480"/>
            <wp:effectExtent l="0" t="0" r="0" b="7620"/>
            <wp:wrapSquare wrapText="bothSides"/>
            <wp:docPr id="2022377439" name="Imagen 2022377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1" cstate="print">
                      <a:extLst>
                        <a:ext uri="{28A0092B-C50C-407E-A947-70E740481C1C}">
                          <a14:useLocalDpi xmlns:a14="http://schemas.microsoft.com/office/drawing/2010/main" val="0"/>
                        </a:ext>
                      </a:extLst>
                    </a:blip>
                    <a:srcRect l="26549" t="13001" r="23942" b="14567"/>
                    <a:stretch/>
                  </pic:blipFill>
                  <pic:spPr bwMode="auto">
                    <a:xfrm>
                      <a:off x="0" y="0"/>
                      <a:ext cx="701039" cy="79248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6A306E">
        <w:rPr>
          <w:rFonts w:ascii="Century Gothic" w:hAnsi="Century Gothic" w:cs="Arial"/>
          <w:b/>
          <w:bCs/>
          <w:color w:val="0D0D0D" w:themeColor="text1" w:themeTint="F2"/>
          <w:sz w:val="24"/>
          <w:szCs w:val="24"/>
        </w:rPr>
        <w:t xml:space="preserve"> </w:t>
      </w:r>
      <w:proofErr w:type="spellStart"/>
      <w:r w:rsidR="006A306E" w:rsidRPr="006A306E">
        <w:rPr>
          <w:rFonts w:ascii="Century Gothic" w:hAnsi="Century Gothic" w:cs="Arial"/>
          <w:b/>
          <w:bCs/>
          <w:color w:val="0D0D0D" w:themeColor="text1" w:themeTint="F2"/>
          <w:sz w:val="24"/>
          <w:szCs w:val="24"/>
        </w:rPr>
        <w:t>Resonalia</w:t>
      </w:r>
      <w:proofErr w:type="spellEnd"/>
      <w:r w:rsidR="006A306E" w:rsidRPr="006A306E">
        <w:rPr>
          <w:rStyle w:val="Refdenotaalpie"/>
          <w:rFonts w:ascii="Century Gothic" w:hAnsi="Century Gothic" w:cs="Arial"/>
          <w:b/>
          <w:bCs/>
          <w:color w:val="0D0D0D" w:themeColor="text1" w:themeTint="F2"/>
          <w:sz w:val="24"/>
          <w:szCs w:val="24"/>
        </w:rPr>
        <w:footnoteReference w:id="2"/>
      </w:r>
      <w:r w:rsidR="006A306E" w:rsidRPr="006A306E">
        <w:rPr>
          <w:rFonts w:ascii="Century Gothic" w:hAnsi="Century Gothic" w:cs="Arial"/>
          <w:b/>
          <w:bCs/>
          <w:color w:val="0D0D0D" w:themeColor="text1" w:themeTint="F2"/>
          <w:sz w:val="24"/>
          <w:szCs w:val="24"/>
        </w:rPr>
        <w:t>:</w:t>
      </w:r>
      <w:r w:rsidR="006A306E" w:rsidRPr="006A306E">
        <w:rPr>
          <w:rFonts w:ascii="Century Gothic" w:hAnsi="Century Gothic" w:cs="Arial"/>
          <w:b/>
          <w:bCs/>
          <w:color w:val="0D0D0D" w:themeColor="text1" w:themeTint="F2"/>
          <w:sz w:val="24"/>
          <w:szCs w:val="24"/>
        </w:rPr>
        <w:t xml:space="preserve"> </w:t>
      </w:r>
      <w:r w:rsidR="006A306E" w:rsidRPr="006A306E">
        <w:rPr>
          <w:rFonts w:ascii="Century Gothic" w:hAnsi="Century Gothic" w:cs="Arial"/>
          <w:color w:val="0D0D0D" w:themeColor="text1" w:themeTint="F2"/>
          <w:sz w:val="24"/>
          <w:szCs w:val="24"/>
        </w:rPr>
        <w:t xml:space="preserve">organización social que busca comprender e incidir en las maneras en que utilizamos, ocupamos, producimos, transformamos, gobernamos y disfrutamos nuestros territorios. Lo hace tomando como punto de apoyo la experiencia de las </w:t>
      </w:r>
      <w:r w:rsidR="006A306E" w:rsidRPr="006A306E">
        <w:rPr>
          <w:rFonts w:ascii="Century Gothic" w:hAnsi="Century Gothic" w:cs="Arial"/>
          <w:color w:val="0D0D0D" w:themeColor="text1" w:themeTint="F2"/>
          <w:sz w:val="24"/>
          <w:szCs w:val="24"/>
        </w:rPr>
        <w:lastRenderedPageBreak/>
        <w:t xml:space="preserve">mujeres, niñas, minorías en el espacio </w:t>
      </w:r>
      <w:r w:rsidR="006A306E" w:rsidRPr="006A306E">
        <w:rPr>
          <w:rFonts w:ascii="Century Gothic" w:hAnsi="Century Gothic" w:cs="Arial"/>
          <w:color w:val="0D0D0D" w:themeColor="text1" w:themeTint="F2"/>
          <w:sz w:val="24"/>
          <w:szCs w:val="24"/>
        </w:rPr>
        <w:t>público</w:t>
      </w:r>
      <w:r w:rsidR="006A306E" w:rsidRPr="006A306E">
        <w:rPr>
          <w:rFonts w:ascii="Century Gothic" w:hAnsi="Century Gothic" w:cs="Arial"/>
          <w:color w:val="0D0D0D" w:themeColor="text1" w:themeTint="F2"/>
          <w:sz w:val="24"/>
          <w:szCs w:val="24"/>
        </w:rPr>
        <w:t>, aprovechando el potencial oculto de la imaginación colectiva para mantener los diálogos, realizar las investigaciones y promover las acciones que defiendan el derecho de construir colectivamente entre todas y todos espacios justos, democráticos y sostenibles.</w:t>
      </w:r>
    </w:p>
    <w:p w14:paraId="6F79AF33" w14:textId="4AB6F1D7" w:rsidR="00011CAA" w:rsidRPr="006A306E" w:rsidRDefault="00011CAA" w:rsidP="00011CAA">
      <w:pPr>
        <w:jc w:val="both"/>
        <w:rPr>
          <w:rFonts w:ascii="Century Gothic" w:hAnsi="Century Gothic" w:cstheme="majorHAnsi"/>
          <w:b/>
          <w:bCs/>
          <w:sz w:val="24"/>
          <w:szCs w:val="24"/>
        </w:rPr>
      </w:pPr>
      <w:r w:rsidRPr="006A306E">
        <w:rPr>
          <w:rFonts w:ascii="Century Gothic" w:hAnsi="Century Gothic" w:cstheme="majorHAnsi"/>
          <w:b/>
          <w:bCs/>
          <w:sz w:val="24"/>
          <w:szCs w:val="24"/>
        </w:rPr>
        <w:t>Violencia de género contra la mujer</w:t>
      </w:r>
    </w:p>
    <w:p w14:paraId="48D1CCF0" w14:textId="304202FF" w:rsidR="00021C12" w:rsidRPr="006A306E" w:rsidRDefault="00C50B7F" w:rsidP="00011CAA">
      <w:pPr>
        <w:jc w:val="both"/>
        <w:rPr>
          <w:rFonts w:ascii="Century Gothic" w:hAnsi="Century Gothic" w:cstheme="majorHAnsi"/>
          <w:sz w:val="24"/>
          <w:szCs w:val="24"/>
        </w:rPr>
      </w:pPr>
      <w:r w:rsidRPr="006A306E">
        <w:rPr>
          <w:rFonts w:ascii="Century Gothic" w:hAnsi="Century Gothic" w:cstheme="majorHAnsi"/>
          <w:sz w:val="24"/>
          <w:szCs w:val="24"/>
        </w:rPr>
        <w:t xml:space="preserve">En Venezuela existe una amplia legislación en materia de Violencia de Género contra las mujeres, cuyo principal instrumento es la Ley Orgánica sobre el Derecho de las Mujeres a una Vida Libre de Violencias. Esta legislación fue aprobada en Gaceta oficial </w:t>
      </w:r>
      <w:proofErr w:type="spellStart"/>
      <w:r w:rsidRPr="006A306E">
        <w:rPr>
          <w:rFonts w:ascii="Century Gothic" w:hAnsi="Century Gothic" w:cstheme="majorHAnsi"/>
          <w:sz w:val="24"/>
          <w:szCs w:val="24"/>
        </w:rPr>
        <w:t>Nº</w:t>
      </w:r>
      <w:proofErr w:type="spellEnd"/>
      <w:r w:rsidRPr="006A306E">
        <w:rPr>
          <w:rFonts w:ascii="Century Gothic" w:hAnsi="Century Gothic" w:cstheme="majorHAnsi"/>
          <w:sz w:val="24"/>
          <w:szCs w:val="24"/>
        </w:rPr>
        <w:t xml:space="preserve"> 38.668</w:t>
      </w:r>
      <w:r w:rsidRPr="006A306E">
        <w:rPr>
          <w:rFonts w:ascii="Century Gothic" w:hAnsi="Century Gothic" w:cstheme="majorHAnsi"/>
          <w:sz w:val="24"/>
          <w:szCs w:val="24"/>
        </w:rPr>
        <w:t xml:space="preserve"> del 23 de </w:t>
      </w:r>
      <w:proofErr w:type="gramStart"/>
      <w:r w:rsidRPr="006A306E">
        <w:rPr>
          <w:rFonts w:ascii="Century Gothic" w:hAnsi="Century Gothic" w:cstheme="majorHAnsi"/>
          <w:sz w:val="24"/>
          <w:szCs w:val="24"/>
        </w:rPr>
        <w:t>Abril</w:t>
      </w:r>
      <w:proofErr w:type="gramEnd"/>
      <w:r w:rsidRPr="006A306E">
        <w:rPr>
          <w:rFonts w:ascii="Century Gothic" w:hAnsi="Century Gothic" w:cstheme="majorHAnsi"/>
          <w:sz w:val="24"/>
          <w:szCs w:val="24"/>
        </w:rPr>
        <w:t xml:space="preserve"> de 2007 y ha sido objeto de dos reformas, la primera en el año 2014 y la segunda más recientemente en diciembre de 2021. </w:t>
      </w:r>
    </w:p>
    <w:p w14:paraId="644C7B3F" w14:textId="5DC674E6" w:rsidR="00C50B7F" w:rsidRPr="006A306E" w:rsidRDefault="00C50B7F" w:rsidP="005D3E40">
      <w:pPr>
        <w:jc w:val="both"/>
        <w:rPr>
          <w:rFonts w:ascii="Century Gothic" w:hAnsi="Century Gothic" w:cstheme="majorHAnsi"/>
          <w:sz w:val="24"/>
          <w:szCs w:val="24"/>
        </w:rPr>
      </w:pPr>
      <w:r w:rsidRPr="006A306E">
        <w:rPr>
          <w:rFonts w:ascii="Century Gothic" w:hAnsi="Century Gothic" w:cstheme="majorHAnsi"/>
          <w:sz w:val="24"/>
          <w:szCs w:val="24"/>
        </w:rPr>
        <w:t xml:space="preserve">De acuerdo a la última reforma, existen en Venezuela  </w:t>
      </w:r>
      <w:r w:rsidR="005D3E40" w:rsidRPr="006A306E">
        <w:rPr>
          <w:rFonts w:ascii="Century Gothic" w:hAnsi="Century Gothic" w:cstheme="majorHAnsi"/>
          <w:sz w:val="24"/>
          <w:szCs w:val="24"/>
        </w:rPr>
        <w:t xml:space="preserve">25 tipos de violencia de género contra la mujer, que incluyen las últimas formas de violencia </w:t>
      </w:r>
      <w:proofErr w:type="spellStart"/>
      <w:r w:rsidR="005D3E40" w:rsidRPr="006A306E">
        <w:rPr>
          <w:rFonts w:ascii="Century Gothic" w:hAnsi="Century Gothic" w:cstheme="majorHAnsi"/>
          <w:sz w:val="24"/>
          <w:szCs w:val="24"/>
        </w:rPr>
        <w:t>tipificadass</w:t>
      </w:r>
      <w:proofErr w:type="spellEnd"/>
      <w:r w:rsidR="005D3E40" w:rsidRPr="006A306E">
        <w:rPr>
          <w:rFonts w:ascii="Century Gothic" w:hAnsi="Century Gothic" w:cstheme="majorHAnsi"/>
          <w:sz w:val="24"/>
          <w:szCs w:val="24"/>
        </w:rPr>
        <w:t xml:space="preserve">: </w:t>
      </w:r>
      <w:r w:rsidR="005D3E40" w:rsidRPr="006A306E">
        <w:rPr>
          <w:rFonts w:ascii="Century Gothic" w:hAnsi="Century Gothic" w:cstheme="majorHAnsi"/>
          <w:sz w:val="24"/>
          <w:szCs w:val="24"/>
        </w:rPr>
        <w:t>violencia multicausal, violencia ginecológica, violencia informática y la violencia política</w:t>
      </w:r>
      <w:r w:rsidR="005D3E40" w:rsidRPr="006A306E">
        <w:rPr>
          <w:rFonts w:ascii="Century Gothic" w:hAnsi="Century Gothic" w:cstheme="majorHAnsi"/>
          <w:sz w:val="24"/>
          <w:szCs w:val="24"/>
        </w:rPr>
        <w:t>; así como dos tipos de acoso: el acoso u hostigamiento, definido como “</w:t>
      </w:r>
      <w:r w:rsidR="005D3E40" w:rsidRPr="006A306E">
        <w:rPr>
          <w:rFonts w:ascii="Century Gothic" w:hAnsi="Century Gothic" w:cstheme="majorHAnsi"/>
          <w:sz w:val="24"/>
          <w:szCs w:val="24"/>
        </w:rPr>
        <w:t>toda conducta abusiva y</w:t>
      </w:r>
      <w:r w:rsidR="005D3E40" w:rsidRPr="006A306E">
        <w:rPr>
          <w:rFonts w:ascii="Century Gothic" w:hAnsi="Century Gothic" w:cstheme="majorHAnsi"/>
          <w:sz w:val="24"/>
          <w:szCs w:val="24"/>
        </w:rPr>
        <w:t xml:space="preserve"> </w:t>
      </w:r>
      <w:r w:rsidR="005D3E40" w:rsidRPr="006A306E">
        <w:rPr>
          <w:rFonts w:ascii="Century Gothic" w:hAnsi="Century Gothic" w:cstheme="majorHAnsi"/>
          <w:sz w:val="24"/>
          <w:szCs w:val="24"/>
        </w:rPr>
        <w:t>especialmente los comportamientos, palabras, actos,</w:t>
      </w:r>
      <w:r w:rsidR="005D3E40" w:rsidRPr="006A306E">
        <w:rPr>
          <w:rFonts w:ascii="Century Gothic" w:hAnsi="Century Gothic" w:cstheme="majorHAnsi"/>
          <w:sz w:val="24"/>
          <w:szCs w:val="24"/>
        </w:rPr>
        <w:t xml:space="preserve"> </w:t>
      </w:r>
      <w:r w:rsidR="005D3E40" w:rsidRPr="006A306E">
        <w:rPr>
          <w:rFonts w:ascii="Century Gothic" w:hAnsi="Century Gothic" w:cstheme="majorHAnsi"/>
          <w:sz w:val="24"/>
          <w:szCs w:val="24"/>
        </w:rPr>
        <w:t>gestos, escritos o mensajes electrónicos dirigidos a</w:t>
      </w:r>
      <w:r w:rsidR="005D3E40" w:rsidRPr="006A306E">
        <w:rPr>
          <w:rFonts w:ascii="Century Gothic" w:hAnsi="Century Gothic" w:cstheme="majorHAnsi"/>
          <w:sz w:val="24"/>
          <w:szCs w:val="24"/>
        </w:rPr>
        <w:t xml:space="preserve"> </w:t>
      </w:r>
      <w:r w:rsidR="005D3E40" w:rsidRPr="006A306E">
        <w:rPr>
          <w:rFonts w:ascii="Century Gothic" w:hAnsi="Century Gothic" w:cstheme="majorHAnsi"/>
          <w:sz w:val="24"/>
          <w:szCs w:val="24"/>
        </w:rPr>
        <w:t>perseguir, intimidar, chantajear, apremiar,</w:t>
      </w:r>
      <w:r w:rsidR="005D3E40" w:rsidRPr="006A306E">
        <w:rPr>
          <w:rFonts w:ascii="Century Gothic" w:hAnsi="Century Gothic" w:cstheme="majorHAnsi"/>
          <w:sz w:val="24"/>
          <w:szCs w:val="24"/>
        </w:rPr>
        <w:t xml:space="preserve"> </w:t>
      </w:r>
      <w:r w:rsidR="005D3E40" w:rsidRPr="006A306E">
        <w:rPr>
          <w:rFonts w:ascii="Century Gothic" w:hAnsi="Century Gothic" w:cstheme="majorHAnsi"/>
          <w:sz w:val="24"/>
          <w:szCs w:val="24"/>
        </w:rPr>
        <w:t>importunar</w:t>
      </w:r>
      <w:r w:rsidR="005D3E40" w:rsidRPr="006A306E">
        <w:rPr>
          <w:rFonts w:ascii="Century Gothic" w:hAnsi="Century Gothic" w:cstheme="majorHAnsi"/>
          <w:sz w:val="24"/>
          <w:szCs w:val="24"/>
        </w:rPr>
        <w:t xml:space="preserve"> </w:t>
      </w:r>
      <w:r w:rsidR="005D3E40" w:rsidRPr="006A306E">
        <w:rPr>
          <w:rFonts w:ascii="Century Gothic" w:hAnsi="Century Gothic" w:cstheme="majorHAnsi"/>
          <w:sz w:val="24"/>
          <w:szCs w:val="24"/>
        </w:rPr>
        <w:t>y vigilar a una mujer que pueda atentar contra su</w:t>
      </w:r>
      <w:r w:rsidR="005D3E40" w:rsidRPr="006A306E">
        <w:rPr>
          <w:rFonts w:ascii="Century Gothic" w:hAnsi="Century Gothic" w:cstheme="majorHAnsi"/>
          <w:sz w:val="24"/>
          <w:szCs w:val="24"/>
        </w:rPr>
        <w:t xml:space="preserve"> </w:t>
      </w:r>
      <w:r w:rsidR="005D3E40" w:rsidRPr="006A306E">
        <w:rPr>
          <w:rFonts w:ascii="Century Gothic" w:hAnsi="Century Gothic" w:cstheme="majorHAnsi"/>
          <w:sz w:val="24"/>
          <w:szCs w:val="24"/>
        </w:rPr>
        <w:t>estabilidad emocional, dignidad, prestigio, integridad</w:t>
      </w:r>
      <w:r w:rsidR="005D3E40" w:rsidRPr="006A306E">
        <w:rPr>
          <w:rFonts w:ascii="Century Gothic" w:hAnsi="Century Gothic" w:cstheme="majorHAnsi"/>
          <w:sz w:val="24"/>
          <w:szCs w:val="24"/>
        </w:rPr>
        <w:t xml:space="preserve"> </w:t>
      </w:r>
      <w:r w:rsidR="005D3E40" w:rsidRPr="006A306E">
        <w:rPr>
          <w:rFonts w:ascii="Century Gothic" w:hAnsi="Century Gothic" w:cstheme="majorHAnsi"/>
          <w:sz w:val="24"/>
          <w:szCs w:val="24"/>
        </w:rPr>
        <w:t>física o psíquica, o que puedan poner en peligro su</w:t>
      </w:r>
      <w:r w:rsidR="005D3E40" w:rsidRPr="006A306E">
        <w:rPr>
          <w:rFonts w:ascii="Century Gothic" w:hAnsi="Century Gothic" w:cstheme="majorHAnsi"/>
          <w:sz w:val="24"/>
          <w:szCs w:val="24"/>
        </w:rPr>
        <w:t xml:space="preserve"> </w:t>
      </w:r>
      <w:r w:rsidR="005D3E40" w:rsidRPr="006A306E">
        <w:rPr>
          <w:rFonts w:ascii="Century Gothic" w:hAnsi="Century Gothic" w:cstheme="majorHAnsi"/>
          <w:sz w:val="24"/>
          <w:szCs w:val="24"/>
        </w:rPr>
        <w:t>empleo, promoción, reconocimiento en el lugar de</w:t>
      </w:r>
      <w:r w:rsidR="005D3E40" w:rsidRPr="006A306E">
        <w:rPr>
          <w:rFonts w:ascii="Century Gothic" w:hAnsi="Century Gothic" w:cstheme="majorHAnsi"/>
          <w:sz w:val="24"/>
          <w:szCs w:val="24"/>
        </w:rPr>
        <w:t xml:space="preserve"> </w:t>
      </w:r>
      <w:r w:rsidR="005D3E40" w:rsidRPr="006A306E">
        <w:rPr>
          <w:rFonts w:ascii="Century Gothic" w:hAnsi="Century Gothic" w:cstheme="majorHAnsi"/>
          <w:sz w:val="24"/>
          <w:szCs w:val="24"/>
        </w:rPr>
        <w:t>trabajo o fuera de él</w:t>
      </w:r>
      <w:r w:rsidR="005D3E40" w:rsidRPr="006A306E">
        <w:rPr>
          <w:rFonts w:ascii="Century Gothic" w:hAnsi="Century Gothic" w:cstheme="majorHAnsi"/>
          <w:sz w:val="24"/>
          <w:szCs w:val="24"/>
        </w:rPr>
        <w:t xml:space="preserve">”; y el acoso sexual definido como: </w:t>
      </w:r>
      <w:r w:rsidR="005D3E40" w:rsidRPr="006A306E">
        <w:rPr>
          <w:rFonts w:ascii="Century Gothic" w:hAnsi="Century Gothic" w:cstheme="majorHAnsi"/>
          <w:sz w:val="24"/>
          <w:szCs w:val="24"/>
        </w:rPr>
        <w:t>la solicitud de cualquier acto o</w:t>
      </w:r>
      <w:r w:rsidR="005D3E40" w:rsidRPr="006A306E">
        <w:rPr>
          <w:rFonts w:ascii="Century Gothic" w:hAnsi="Century Gothic" w:cstheme="majorHAnsi"/>
          <w:sz w:val="24"/>
          <w:szCs w:val="24"/>
        </w:rPr>
        <w:t xml:space="preserve"> </w:t>
      </w:r>
      <w:r w:rsidR="005D3E40" w:rsidRPr="006A306E">
        <w:rPr>
          <w:rFonts w:ascii="Century Gothic" w:hAnsi="Century Gothic" w:cstheme="majorHAnsi"/>
          <w:sz w:val="24"/>
          <w:szCs w:val="24"/>
        </w:rPr>
        <w:t>comportamiento de contenido sexual, para sí o para</w:t>
      </w:r>
      <w:r w:rsidR="005D3E40" w:rsidRPr="006A306E">
        <w:rPr>
          <w:rFonts w:ascii="Century Gothic" w:hAnsi="Century Gothic" w:cstheme="majorHAnsi"/>
          <w:sz w:val="24"/>
          <w:szCs w:val="24"/>
        </w:rPr>
        <w:t xml:space="preserve"> </w:t>
      </w:r>
      <w:r w:rsidR="005D3E40" w:rsidRPr="006A306E">
        <w:rPr>
          <w:rFonts w:ascii="Century Gothic" w:hAnsi="Century Gothic" w:cstheme="majorHAnsi"/>
          <w:sz w:val="24"/>
          <w:szCs w:val="24"/>
        </w:rPr>
        <w:t>un tercero, o el procurar cualquier tipo de</w:t>
      </w:r>
      <w:r w:rsidR="005D3E40" w:rsidRPr="006A306E">
        <w:rPr>
          <w:rFonts w:ascii="Century Gothic" w:hAnsi="Century Gothic" w:cstheme="majorHAnsi"/>
          <w:sz w:val="24"/>
          <w:szCs w:val="24"/>
        </w:rPr>
        <w:t xml:space="preserve"> </w:t>
      </w:r>
      <w:r w:rsidR="005D3E40" w:rsidRPr="006A306E">
        <w:rPr>
          <w:rFonts w:ascii="Century Gothic" w:hAnsi="Century Gothic" w:cstheme="majorHAnsi"/>
          <w:sz w:val="24"/>
          <w:szCs w:val="24"/>
        </w:rPr>
        <w:t>acercamiento sexual no deseado que realice un</w:t>
      </w:r>
      <w:r w:rsidR="005D3E40" w:rsidRPr="006A306E">
        <w:rPr>
          <w:rFonts w:ascii="Century Gothic" w:hAnsi="Century Gothic" w:cstheme="majorHAnsi"/>
          <w:sz w:val="24"/>
          <w:szCs w:val="24"/>
        </w:rPr>
        <w:t xml:space="preserve"> </w:t>
      </w:r>
      <w:r w:rsidR="005D3E40" w:rsidRPr="006A306E">
        <w:rPr>
          <w:rFonts w:ascii="Century Gothic" w:hAnsi="Century Gothic" w:cstheme="majorHAnsi"/>
          <w:sz w:val="24"/>
          <w:szCs w:val="24"/>
        </w:rPr>
        <w:t>hombre prevaliéndose de una situación de</w:t>
      </w:r>
      <w:r w:rsidR="005D3E40" w:rsidRPr="006A306E">
        <w:rPr>
          <w:rFonts w:ascii="Century Gothic" w:hAnsi="Century Gothic" w:cstheme="majorHAnsi"/>
          <w:sz w:val="24"/>
          <w:szCs w:val="24"/>
        </w:rPr>
        <w:t xml:space="preserve"> </w:t>
      </w:r>
      <w:r w:rsidR="005D3E40" w:rsidRPr="006A306E">
        <w:rPr>
          <w:rFonts w:ascii="Century Gothic" w:hAnsi="Century Gothic" w:cstheme="majorHAnsi"/>
          <w:sz w:val="24"/>
          <w:szCs w:val="24"/>
        </w:rPr>
        <w:t>superioridad laboral, docente o análoga, o con</w:t>
      </w:r>
      <w:r w:rsidR="005D3E40" w:rsidRPr="006A306E">
        <w:rPr>
          <w:rFonts w:ascii="Century Gothic" w:hAnsi="Century Gothic" w:cstheme="majorHAnsi"/>
          <w:sz w:val="24"/>
          <w:szCs w:val="24"/>
        </w:rPr>
        <w:t xml:space="preserve"> </w:t>
      </w:r>
      <w:r w:rsidR="005D3E40" w:rsidRPr="006A306E">
        <w:rPr>
          <w:rFonts w:ascii="Century Gothic" w:hAnsi="Century Gothic" w:cstheme="majorHAnsi"/>
          <w:sz w:val="24"/>
          <w:szCs w:val="24"/>
        </w:rPr>
        <w:t>ocasión de relaciones derivadas del ejercicio</w:t>
      </w:r>
      <w:r w:rsidR="005D3E40" w:rsidRPr="006A306E">
        <w:rPr>
          <w:rFonts w:ascii="Century Gothic" w:hAnsi="Century Gothic" w:cstheme="majorHAnsi"/>
          <w:sz w:val="24"/>
          <w:szCs w:val="24"/>
        </w:rPr>
        <w:t xml:space="preserve"> </w:t>
      </w:r>
      <w:r w:rsidR="005D3E40" w:rsidRPr="006A306E">
        <w:rPr>
          <w:rFonts w:ascii="Century Gothic" w:hAnsi="Century Gothic" w:cstheme="majorHAnsi"/>
          <w:sz w:val="24"/>
          <w:szCs w:val="24"/>
        </w:rPr>
        <w:t>profesional, y con la amenaza expresa o tácita de</w:t>
      </w:r>
      <w:r w:rsidR="005D3E40" w:rsidRPr="006A306E">
        <w:rPr>
          <w:rFonts w:ascii="Century Gothic" w:hAnsi="Century Gothic" w:cstheme="majorHAnsi"/>
          <w:sz w:val="24"/>
          <w:szCs w:val="24"/>
        </w:rPr>
        <w:t xml:space="preserve"> </w:t>
      </w:r>
      <w:r w:rsidR="005D3E40" w:rsidRPr="006A306E">
        <w:rPr>
          <w:rFonts w:ascii="Century Gothic" w:hAnsi="Century Gothic" w:cstheme="majorHAnsi"/>
          <w:sz w:val="24"/>
          <w:szCs w:val="24"/>
        </w:rPr>
        <w:t>causarle a la mujer un daño relacionado con las</w:t>
      </w:r>
      <w:r w:rsidR="005D3E40" w:rsidRPr="006A306E">
        <w:rPr>
          <w:rFonts w:ascii="Century Gothic" w:hAnsi="Century Gothic" w:cstheme="majorHAnsi"/>
          <w:sz w:val="24"/>
          <w:szCs w:val="24"/>
        </w:rPr>
        <w:t xml:space="preserve"> </w:t>
      </w:r>
      <w:r w:rsidR="005D3E40" w:rsidRPr="006A306E">
        <w:rPr>
          <w:rFonts w:ascii="Century Gothic" w:hAnsi="Century Gothic" w:cstheme="majorHAnsi"/>
          <w:sz w:val="24"/>
          <w:szCs w:val="24"/>
        </w:rPr>
        <w:t>legítimas expectativas que ésta pueda tener en el</w:t>
      </w:r>
      <w:r w:rsidR="005D3E40" w:rsidRPr="006A306E">
        <w:rPr>
          <w:rFonts w:ascii="Century Gothic" w:hAnsi="Century Gothic" w:cstheme="majorHAnsi"/>
          <w:sz w:val="24"/>
          <w:szCs w:val="24"/>
        </w:rPr>
        <w:t xml:space="preserve"> </w:t>
      </w:r>
      <w:r w:rsidR="005D3E40" w:rsidRPr="006A306E">
        <w:rPr>
          <w:rFonts w:ascii="Century Gothic" w:hAnsi="Century Gothic" w:cstheme="majorHAnsi"/>
          <w:sz w:val="24"/>
          <w:szCs w:val="24"/>
        </w:rPr>
        <w:t>ámbito de dicha relación.</w:t>
      </w:r>
    </w:p>
    <w:p w14:paraId="357C0AB0" w14:textId="2536333B" w:rsidR="005D3E40" w:rsidRPr="006A306E" w:rsidRDefault="005D3E40" w:rsidP="005D3E40">
      <w:pPr>
        <w:jc w:val="both"/>
        <w:rPr>
          <w:rFonts w:ascii="Century Gothic" w:hAnsi="Century Gothic" w:cstheme="majorHAnsi"/>
          <w:sz w:val="24"/>
          <w:szCs w:val="24"/>
        </w:rPr>
      </w:pPr>
      <w:r w:rsidRPr="006A306E">
        <w:rPr>
          <w:rFonts w:ascii="Century Gothic" w:hAnsi="Century Gothic" w:cstheme="majorHAnsi"/>
          <w:sz w:val="24"/>
          <w:szCs w:val="24"/>
        </w:rPr>
        <w:t xml:space="preserve">Sin embargo, la extensa tipificación de delitos sigue dejando vacíos legales para formas de violencia que son cotidianas en la vida de las venezolanas, pero pasan desapercibidas para el </w:t>
      </w:r>
      <w:r w:rsidR="00A0697C" w:rsidRPr="006A306E">
        <w:rPr>
          <w:rFonts w:ascii="Century Gothic" w:hAnsi="Century Gothic" w:cstheme="majorHAnsi"/>
          <w:sz w:val="24"/>
          <w:szCs w:val="24"/>
        </w:rPr>
        <w:t xml:space="preserve">sistema legislativo y cuerpos de seguridad del Estado, por estar naturalizadas en el sistema cultural del país. </w:t>
      </w:r>
    </w:p>
    <w:p w14:paraId="71B30FC3" w14:textId="6F440135" w:rsidR="00A0697C" w:rsidRPr="006A306E" w:rsidRDefault="00A0697C" w:rsidP="005D3E40">
      <w:pPr>
        <w:jc w:val="both"/>
        <w:rPr>
          <w:rFonts w:ascii="Century Gothic" w:hAnsi="Century Gothic" w:cstheme="majorHAnsi"/>
          <w:sz w:val="24"/>
          <w:szCs w:val="24"/>
        </w:rPr>
      </w:pPr>
      <w:r w:rsidRPr="006A306E">
        <w:rPr>
          <w:rFonts w:ascii="Century Gothic" w:hAnsi="Century Gothic" w:cstheme="majorHAnsi"/>
          <w:sz w:val="24"/>
          <w:szCs w:val="24"/>
        </w:rPr>
        <w:t xml:space="preserve">Una de estas formas de violencia es el acoso callejero, reportado de forma recurrente entre las usuarias de los distintos programas, talleres y demás iniciativas adelantas por </w:t>
      </w:r>
      <w:proofErr w:type="spellStart"/>
      <w:r w:rsidRPr="006A306E">
        <w:rPr>
          <w:rFonts w:ascii="Century Gothic" w:hAnsi="Century Gothic" w:cstheme="majorHAnsi"/>
          <w:sz w:val="24"/>
          <w:szCs w:val="24"/>
        </w:rPr>
        <w:t>Resonalia</w:t>
      </w:r>
      <w:proofErr w:type="spellEnd"/>
      <w:r w:rsidRPr="006A306E">
        <w:rPr>
          <w:rFonts w:ascii="Century Gothic" w:hAnsi="Century Gothic" w:cstheme="majorHAnsi"/>
          <w:sz w:val="24"/>
          <w:szCs w:val="24"/>
        </w:rPr>
        <w:t xml:space="preserve"> en la ciudad de Caracas y Red Mérida Feminista en el estado Mérida. </w:t>
      </w:r>
    </w:p>
    <w:p w14:paraId="7C463E40" w14:textId="4F792DE0" w:rsidR="00A0697C" w:rsidRPr="006A306E" w:rsidRDefault="00A0697C" w:rsidP="005D3E40">
      <w:pPr>
        <w:jc w:val="both"/>
        <w:rPr>
          <w:rFonts w:ascii="Century Gothic" w:hAnsi="Century Gothic" w:cstheme="majorHAnsi"/>
          <w:sz w:val="24"/>
          <w:szCs w:val="24"/>
        </w:rPr>
      </w:pPr>
      <w:r w:rsidRPr="006A306E">
        <w:rPr>
          <w:rFonts w:ascii="Century Gothic" w:hAnsi="Century Gothic" w:cstheme="majorHAnsi"/>
          <w:sz w:val="24"/>
          <w:szCs w:val="24"/>
        </w:rPr>
        <w:lastRenderedPageBreak/>
        <w:t>E</w:t>
      </w:r>
      <w:r w:rsidR="002065E1" w:rsidRPr="006A306E">
        <w:rPr>
          <w:rFonts w:ascii="Century Gothic" w:hAnsi="Century Gothic" w:cstheme="majorHAnsi"/>
          <w:sz w:val="24"/>
          <w:szCs w:val="24"/>
        </w:rPr>
        <w:t xml:space="preserve">n base a la recurrencia de </w:t>
      </w:r>
      <w:r w:rsidR="00825A67" w:rsidRPr="006A306E">
        <w:rPr>
          <w:rFonts w:ascii="Century Gothic" w:hAnsi="Century Gothic" w:cstheme="majorHAnsi"/>
          <w:sz w:val="24"/>
          <w:szCs w:val="24"/>
        </w:rPr>
        <w:t xml:space="preserve">reportes de acoso callejero y violencias sufridas por niñas, adolescentes y mujeres en el espacio público, ambas organizaciones han realizado investigaciones de forma independiente para dar cuenta de cómo este fenómeno afecta el libre desenvolvimiento de las mujeres y se constituye como un problema de seguridad pública frente al que el Estado venezolano debe diseñar e implementar políticas públicas para su prevención y erradicación. </w:t>
      </w:r>
    </w:p>
    <w:p w14:paraId="4E0065DA" w14:textId="4B459A3C" w:rsidR="00825A67" w:rsidRPr="006A306E" w:rsidRDefault="00825A67" w:rsidP="005D3E40">
      <w:pPr>
        <w:jc w:val="both"/>
        <w:rPr>
          <w:rFonts w:ascii="Century Gothic" w:hAnsi="Century Gothic" w:cstheme="majorHAnsi"/>
          <w:sz w:val="24"/>
          <w:szCs w:val="24"/>
        </w:rPr>
      </w:pPr>
      <w:r w:rsidRPr="006A306E">
        <w:rPr>
          <w:rFonts w:ascii="Century Gothic" w:hAnsi="Century Gothic" w:cstheme="majorHAnsi"/>
          <w:sz w:val="24"/>
          <w:szCs w:val="24"/>
        </w:rPr>
        <w:t xml:space="preserve">En el estado Mérida la Red Mérida Feminista realizó un estudio exploratorio en el primer trimestre de 2022, en el que participaron 131 adolescentes y mujeres con edades comprendidas entre 14 y 60 años. El estudio estuvo diseñado en tres dimensiones de análisis: la percepción del acoso callejero; las experiencias con el acoso callejero; y la expectativa del accionar del Estado frente al acoso callejero. </w:t>
      </w:r>
    </w:p>
    <w:p w14:paraId="12BDBF3C" w14:textId="654A1FE3" w:rsidR="00825A67" w:rsidRPr="006A306E" w:rsidRDefault="00825A67" w:rsidP="00985368">
      <w:pPr>
        <w:ind w:firstLine="708"/>
        <w:jc w:val="both"/>
        <w:rPr>
          <w:rFonts w:ascii="Century Gothic" w:hAnsi="Century Gothic" w:cstheme="majorHAnsi"/>
          <w:sz w:val="24"/>
          <w:szCs w:val="24"/>
        </w:rPr>
      </w:pPr>
      <w:r w:rsidRPr="006A306E">
        <w:rPr>
          <w:rFonts w:ascii="Century Gothic" w:hAnsi="Century Gothic" w:cstheme="majorHAnsi"/>
          <w:sz w:val="24"/>
          <w:szCs w:val="24"/>
        </w:rPr>
        <w:t xml:space="preserve">En la primera dimensión de análisis se identificó un consenso generalizado en cuánto a los que se percibe cómo acoso callejero. </w:t>
      </w:r>
      <w:r w:rsidR="00985368" w:rsidRPr="006A306E">
        <w:rPr>
          <w:rFonts w:ascii="Century Gothic" w:hAnsi="Century Gothic" w:cstheme="majorHAnsi"/>
          <w:sz w:val="24"/>
          <w:szCs w:val="24"/>
        </w:rPr>
        <w:t>Mientras que las miradas persistentes por parte de extraños y la emisión de sonidos como los silbidos o toques de cornetas de vehículos fueron consideradas por aproximadamente el 77% de las personas como formas de acoso; las demás formas de acoso descritas en el estudio, que incluían piropos</w:t>
      </w:r>
      <w:r w:rsidR="00985368" w:rsidRPr="006A306E">
        <w:rPr>
          <w:rStyle w:val="Refdenotaalpie"/>
          <w:rFonts w:ascii="Century Gothic" w:hAnsi="Century Gothic" w:cstheme="majorHAnsi"/>
          <w:sz w:val="24"/>
          <w:szCs w:val="24"/>
        </w:rPr>
        <w:footnoteReference w:id="3"/>
      </w:r>
      <w:r w:rsidR="00985368" w:rsidRPr="006A306E">
        <w:rPr>
          <w:rFonts w:ascii="Century Gothic" w:hAnsi="Century Gothic" w:cstheme="majorHAnsi"/>
          <w:sz w:val="24"/>
          <w:szCs w:val="24"/>
        </w:rPr>
        <w:t>, roces no consensuados, p</w:t>
      </w:r>
      <w:r w:rsidR="00985368" w:rsidRPr="006A306E">
        <w:rPr>
          <w:rFonts w:ascii="Century Gothic" w:hAnsi="Century Gothic" w:cstheme="majorHAnsi"/>
          <w:sz w:val="24"/>
          <w:szCs w:val="24"/>
        </w:rPr>
        <w:t>resión o roce hacia el cuerpo de una persona desconocida con los propios genitales</w:t>
      </w:r>
      <w:r w:rsidR="00985368" w:rsidRPr="006A306E">
        <w:rPr>
          <w:rFonts w:ascii="Century Gothic" w:hAnsi="Century Gothic" w:cstheme="majorHAnsi"/>
          <w:sz w:val="24"/>
          <w:szCs w:val="24"/>
        </w:rPr>
        <w:t xml:space="preserve">; masturbación en público; toma de fotografías sin consentimiento; entre otras; fueron consideradas como formas de acoso callejero por aproximadamente el 90% de las personas encuestadas. </w:t>
      </w:r>
    </w:p>
    <w:p w14:paraId="677F6C30" w14:textId="715B7912" w:rsidR="00DF664E" w:rsidRPr="006A306E" w:rsidRDefault="00985368" w:rsidP="005D3E40">
      <w:pPr>
        <w:jc w:val="both"/>
        <w:rPr>
          <w:rFonts w:ascii="Century Gothic" w:hAnsi="Century Gothic" w:cstheme="majorHAnsi"/>
          <w:sz w:val="24"/>
          <w:szCs w:val="24"/>
        </w:rPr>
      </w:pPr>
      <w:r w:rsidRPr="006A306E">
        <w:rPr>
          <w:rFonts w:ascii="Century Gothic" w:hAnsi="Century Gothic" w:cstheme="majorHAnsi"/>
          <w:sz w:val="24"/>
          <w:szCs w:val="24"/>
        </w:rPr>
        <w:tab/>
        <w:t xml:space="preserve">La segunda dimensión de análisis, referente a las experiencias con el acoso en espacios públicos, </w:t>
      </w:r>
      <w:r w:rsidR="00DF664E" w:rsidRPr="006A306E">
        <w:rPr>
          <w:rFonts w:ascii="Century Gothic" w:hAnsi="Century Gothic" w:cstheme="majorHAnsi"/>
          <w:sz w:val="24"/>
          <w:szCs w:val="24"/>
        </w:rPr>
        <w:t xml:space="preserve">reveló que las formas más graves de acoso en espacios públicos, que pudiesen ser tipificadas como formas de violencia sexual, habían sido experimentadas por gran parte de las encuestadas al menos una vez. El 35,8% de las encuestadas declaró que al menos en una ocasión alguien tocó de forma intencional sus partes intimas (vulva, senos, boca, trasero), mientras que el 21% declaró que este tipo de situaciones le había ocurrido más de una vez de forma esporádica. El 29,7% declaró que al menos en una ocasión había sido acorralada en espacios públicos por una persona desconocida con intenciones sexuales, mientras que el 35% declaró que al menos en una ocasión fueron perseguidas de forma persistente por una persona desconocida. Finalmente, el 30% declaró que al menos en una oportunidad alguna persona se había masturbado frente a ellas en espacios públicos de forma no consensuada.  </w:t>
      </w:r>
      <w:r w:rsidR="005E7238">
        <w:rPr>
          <w:rFonts w:ascii="Century Gothic" w:hAnsi="Century Gothic" w:cstheme="majorHAnsi"/>
          <w:sz w:val="24"/>
          <w:szCs w:val="24"/>
        </w:rPr>
        <w:t xml:space="preserve">Las mujeres que se </w:t>
      </w:r>
      <w:r w:rsidR="005E7238">
        <w:rPr>
          <w:rFonts w:ascii="Century Gothic" w:hAnsi="Century Gothic" w:cstheme="majorHAnsi"/>
          <w:sz w:val="24"/>
          <w:szCs w:val="24"/>
        </w:rPr>
        <w:lastRenderedPageBreak/>
        <w:t xml:space="preserve">identificaron como bisexuales o lesbianas reportaron episodios de violencia en espacios públicos que respondían a razones de discriminación y odio por razones de orientación sexual. </w:t>
      </w:r>
    </w:p>
    <w:p w14:paraId="2DE953D4" w14:textId="665B8B55" w:rsidR="00DF664E" w:rsidRPr="006A306E" w:rsidRDefault="00DF664E" w:rsidP="00DF664E">
      <w:pPr>
        <w:ind w:firstLine="708"/>
        <w:jc w:val="both"/>
        <w:rPr>
          <w:rFonts w:ascii="Century Gothic" w:hAnsi="Century Gothic" w:cstheme="majorHAnsi"/>
          <w:sz w:val="24"/>
          <w:szCs w:val="24"/>
        </w:rPr>
      </w:pPr>
      <w:r w:rsidRPr="006A306E">
        <w:rPr>
          <w:rFonts w:ascii="Century Gothic" w:hAnsi="Century Gothic" w:cstheme="majorHAnsi"/>
          <w:sz w:val="24"/>
          <w:szCs w:val="24"/>
        </w:rPr>
        <w:t>Sobre las personas que ejercen este tipo de violencias en espacios públicos, el 74,8% reportó haber recibido estas formas de violencia por parte de un hombre desconocido; 19,1% por parte de un grupo de hombre y en menor medida por grupos mixtos de hombres y mujeres; grupos de mujeres o mujeres.</w:t>
      </w:r>
    </w:p>
    <w:p w14:paraId="6BBABD09" w14:textId="265ED12D" w:rsidR="00DF664E" w:rsidRPr="006A306E" w:rsidRDefault="000554B3" w:rsidP="00DF664E">
      <w:pPr>
        <w:ind w:firstLine="708"/>
        <w:jc w:val="both"/>
        <w:rPr>
          <w:rFonts w:ascii="Century Gothic" w:hAnsi="Century Gothic" w:cstheme="majorHAnsi"/>
          <w:sz w:val="24"/>
          <w:szCs w:val="24"/>
        </w:rPr>
      </w:pPr>
      <w:r w:rsidRPr="006A306E">
        <w:rPr>
          <w:rFonts w:ascii="Century Gothic" w:hAnsi="Century Gothic" w:cstheme="majorHAnsi"/>
          <w:sz w:val="24"/>
          <w:szCs w:val="24"/>
        </w:rPr>
        <w:t xml:space="preserve">Los tres lugares públicos en los que se reportaron mayores incidencias de violencias fueron la vía pública, es decir calles o avenidas de libre tránsito (93,1% reportó alguna vez haber sido acosada en este tipo de espacios); unidades de transporte público (87%); y plazas o parques públicos (73,3%). </w:t>
      </w:r>
    </w:p>
    <w:p w14:paraId="6545A4DD" w14:textId="04AF211B" w:rsidR="000554B3" w:rsidRPr="006A306E" w:rsidRDefault="000554B3" w:rsidP="00DF664E">
      <w:pPr>
        <w:ind w:firstLine="708"/>
        <w:jc w:val="both"/>
        <w:rPr>
          <w:rFonts w:ascii="Century Gothic" w:hAnsi="Century Gothic" w:cstheme="majorHAnsi"/>
          <w:sz w:val="24"/>
          <w:szCs w:val="24"/>
        </w:rPr>
      </w:pPr>
      <w:r w:rsidRPr="006A306E">
        <w:rPr>
          <w:rFonts w:ascii="Century Gothic" w:hAnsi="Century Gothic" w:cstheme="majorHAnsi"/>
          <w:sz w:val="24"/>
          <w:szCs w:val="24"/>
        </w:rPr>
        <w:t xml:space="preserve">Uno de los datos que más nos genera preocupación es sobre la identificación de los agresores como parte de organismos públicos o entes privados. El 33,6% de las encuestadas reportó haberse sentido acosadas en alguna oportunidad por alguien identificado como parte de un organismo de seguridad del Estado, lo que muestra que no sólo hay una carencia de políticas públicas para la prevención de este tipo de violencias, sino que la naturalización de las mismas favorece que sean ejercidas incluso por los funcionarios que deberían ser garantes de la seguridad de las mujeres, adolescentes y ciudadanía en general. </w:t>
      </w:r>
    </w:p>
    <w:p w14:paraId="32557D85" w14:textId="18E4F61C" w:rsidR="00862756" w:rsidRPr="006A306E" w:rsidRDefault="00862756" w:rsidP="00DF664E">
      <w:pPr>
        <w:ind w:firstLine="708"/>
        <w:jc w:val="both"/>
        <w:rPr>
          <w:rFonts w:ascii="Century Gothic" w:hAnsi="Century Gothic" w:cstheme="majorHAnsi"/>
          <w:sz w:val="24"/>
          <w:szCs w:val="24"/>
        </w:rPr>
      </w:pPr>
      <w:r w:rsidRPr="006A306E">
        <w:rPr>
          <w:rFonts w:ascii="Century Gothic" w:hAnsi="Century Gothic" w:cstheme="majorHAnsi"/>
          <w:sz w:val="24"/>
          <w:szCs w:val="24"/>
        </w:rPr>
        <w:t xml:space="preserve">Finalmente, en la última dimensión de análisis, el 99,2% de las encuestadas opinó que el Estado a través de sus cuerpos de seguridad y sistema de justicia no ejecuta acciones suficientes para prevenir y sancionar este tipo de violencias en el estado Mérida. Mientras tanto, el 97,7% opinó que son necesario políticas públicas de prevención frente a las violencias y acoso en los espacios públicos; y 98,5% indicó que es necesario también </w:t>
      </w:r>
      <w:r w:rsidR="004B5BC3" w:rsidRPr="006A306E">
        <w:rPr>
          <w:rFonts w:ascii="Century Gothic" w:hAnsi="Century Gothic" w:cstheme="majorHAnsi"/>
          <w:sz w:val="24"/>
          <w:szCs w:val="24"/>
        </w:rPr>
        <w:t>establecer</w:t>
      </w:r>
      <w:r w:rsidRPr="006A306E">
        <w:rPr>
          <w:rFonts w:ascii="Century Gothic" w:hAnsi="Century Gothic" w:cstheme="majorHAnsi"/>
          <w:sz w:val="24"/>
          <w:szCs w:val="24"/>
        </w:rPr>
        <w:t xml:space="preserve"> sancione</w:t>
      </w:r>
      <w:r w:rsidR="004B5BC3" w:rsidRPr="006A306E">
        <w:rPr>
          <w:rFonts w:ascii="Century Gothic" w:hAnsi="Century Gothic" w:cstheme="majorHAnsi"/>
          <w:sz w:val="24"/>
          <w:szCs w:val="24"/>
        </w:rPr>
        <w:t>s para</w:t>
      </w:r>
      <w:r w:rsidRPr="006A306E">
        <w:rPr>
          <w:rFonts w:ascii="Century Gothic" w:hAnsi="Century Gothic" w:cstheme="majorHAnsi"/>
          <w:sz w:val="24"/>
          <w:szCs w:val="24"/>
        </w:rPr>
        <w:t xml:space="preserve"> estas formas de violencia. </w:t>
      </w:r>
    </w:p>
    <w:p w14:paraId="21353897" w14:textId="77777777" w:rsidR="00011CAA" w:rsidRPr="006A306E" w:rsidRDefault="00011CAA" w:rsidP="00011CAA">
      <w:pPr>
        <w:ind w:firstLine="708"/>
        <w:jc w:val="both"/>
        <w:rPr>
          <w:rFonts w:ascii="Century Gothic" w:hAnsi="Century Gothic" w:cstheme="majorHAnsi"/>
          <w:sz w:val="24"/>
          <w:szCs w:val="24"/>
        </w:rPr>
      </w:pPr>
      <w:r w:rsidRPr="006A306E">
        <w:rPr>
          <w:rFonts w:ascii="Century Gothic" w:hAnsi="Century Gothic" w:cstheme="majorHAnsi"/>
          <w:sz w:val="24"/>
          <w:szCs w:val="24"/>
        </w:rPr>
        <w:t xml:space="preserve">En la ciudad de Caracas, la organización civil </w:t>
      </w:r>
      <w:proofErr w:type="spellStart"/>
      <w:r w:rsidRPr="006A306E">
        <w:rPr>
          <w:rFonts w:ascii="Century Gothic" w:hAnsi="Century Gothic" w:cstheme="majorHAnsi"/>
          <w:sz w:val="24"/>
          <w:szCs w:val="24"/>
        </w:rPr>
        <w:t>Resonalia</w:t>
      </w:r>
      <w:proofErr w:type="spellEnd"/>
      <w:r w:rsidRPr="006A306E">
        <w:rPr>
          <w:rFonts w:ascii="Century Gothic" w:hAnsi="Century Gothic" w:cstheme="majorHAnsi"/>
          <w:sz w:val="24"/>
          <w:szCs w:val="24"/>
        </w:rPr>
        <w:t xml:space="preserve"> se encuentra actualmente realizando un estudio </w:t>
      </w:r>
      <w:r w:rsidRPr="006A306E">
        <w:rPr>
          <w:rFonts w:ascii="Century Gothic" w:hAnsi="Century Gothic" w:cstheme="majorHAnsi"/>
          <w:sz w:val="24"/>
          <w:szCs w:val="24"/>
        </w:rPr>
        <w:t>que permita identificar las violencias que sufren las mujeres en espacios</w:t>
      </w:r>
      <w:r w:rsidRPr="006A306E">
        <w:rPr>
          <w:rFonts w:ascii="Century Gothic" w:hAnsi="Century Gothic" w:cstheme="majorHAnsi"/>
          <w:sz w:val="24"/>
          <w:szCs w:val="24"/>
        </w:rPr>
        <w:t xml:space="preserve"> públicos</w:t>
      </w:r>
      <w:r w:rsidRPr="006A306E">
        <w:rPr>
          <w:rFonts w:ascii="Century Gothic" w:hAnsi="Century Gothic" w:cstheme="majorHAnsi"/>
          <w:sz w:val="24"/>
          <w:szCs w:val="24"/>
        </w:rPr>
        <w:t xml:space="preserve">. Los </w:t>
      </w:r>
      <w:r w:rsidRPr="006A306E">
        <w:rPr>
          <w:rFonts w:ascii="Century Gothic" w:hAnsi="Century Gothic" w:cstheme="majorHAnsi"/>
          <w:sz w:val="24"/>
          <w:szCs w:val="24"/>
        </w:rPr>
        <w:t>resultados preliminares</w:t>
      </w:r>
      <w:r w:rsidRPr="006A306E">
        <w:rPr>
          <w:rFonts w:ascii="Century Gothic" w:hAnsi="Century Gothic" w:cstheme="majorHAnsi"/>
          <w:sz w:val="24"/>
          <w:szCs w:val="24"/>
        </w:rPr>
        <w:t xml:space="preserve"> de</w:t>
      </w:r>
      <w:r w:rsidRPr="006A306E">
        <w:rPr>
          <w:rFonts w:ascii="Century Gothic" w:hAnsi="Century Gothic" w:cstheme="majorHAnsi"/>
          <w:sz w:val="24"/>
          <w:szCs w:val="24"/>
        </w:rPr>
        <w:t xml:space="preserve">l </w:t>
      </w:r>
      <w:r w:rsidRPr="006A306E">
        <w:rPr>
          <w:rFonts w:ascii="Century Gothic" w:hAnsi="Century Gothic" w:cstheme="majorHAnsi"/>
          <w:sz w:val="24"/>
          <w:szCs w:val="24"/>
        </w:rPr>
        <w:t>estudio indican que prácticamente todas las mujeres encuestadas, es decir, un 100%, han sido víctimas de algún tipo de violencia de género en espacios públicos durante los últimos 12 meses y 68% ha sido testigo de alguna.</w:t>
      </w:r>
    </w:p>
    <w:p w14:paraId="68150554" w14:textId="11C8B89F" w:rsidR="00011CAA" w:rsidRPr="006A306E" w:rsidRDefault="00011CAA" w:rsidP="00011CAA">
      <w:pPr>
        <w:ind w:firstLine="708"/>
        <w:jc w:val="both"/>
        <w:rPr>
          <w:rFonts w:ascii="Century Gothic" w:hAnsi="Century Gothic" w:cstheme="majorHAnsi"/>
          <w:sz w:val="24"/>
          <w:szCs w:val="24"/>
        </w:rPr>
      </w:pPr>
      <w:r w:rsidRPr="006A306E">
        <w:rPr>
          <w:rFonts w:ascii="Century Gothic" w:hAnsi="Century Gothic" w:cstheme="majorHAnsi"/>
          <w:sz w:val="24"/>
          <w:szCs w:val="24"/>
        </w:rPr>
        <w:t xml:space="preserve"> La forma más común de violencia fue el acoso sexual callejero, que incluye miradas lascivas, piropos, silbidos, besos no consentidos, escupitajos, gestos obscenos, comentarios sexuales explícitos o implícitos sobre el cuerpo, fotografías y grabaciones del cuerpo sin consentimiento y con </w:t>
      </w:r>
      <w:r w:rsidRPr="006A306E">
        <w:rPr>
          <w:rFonts w:ascii="Century Gothic" w:hAnsi="Century Gothic" w:cstheme="majorHAnsi"/>
          <w:sz w:val="24"/>
          <w:szCs w:val="24"/>
        </w:rPr>
        <w:lastRenderedPageBreak/>
        <w:t xml:space="preserve">connotación sexual, tocamientos no consentidos, persecución y/o arrinconamiento. El 70% de las encuestadas ha sufrido o ha sido testigo de violencia de género en el transporte público, y el 60% de las encuestadas identificó a policías o militares como los sujetos con más probabilidad de </w:t>
      </w:r>
      <w:proofErr w:type="gramStart"/>
      <w:r w:rsidRPr="006A306E">
        <w:rPr>
          <w:rFonts w:ascii="Century Gothic" w:hAnsi="Century Gothic" w:cstheme="majorHAnsi"/>
          <w:sz w:val="24"/>
          <w:szCs w:val="24"/>
        </w:rPr>
        <w:t>ser  perpetradores</w:t>
      </w:r>
      <w:proofErr w:type="gramEnd"/>
      <w:r w:rsidRPr="006A306E">
        <w:rPr>
          <w:rFonts w:ascii="Century Gothic" w:hAnsi="Century Gothic" w:cstheme="majorHAnsi"/>
          <w:sz w:val="24"/>
          <w:szCs w:val="24"/>
        </w:rPr>
        <w:t xml:space="preserve"> de las agresiones. </w:t>
      </w:r>
      <w:proofErr w:type="gramStart"/>
      <w:r w:rsidRPr="006A306E">
        <w:rPr>
          <w:rFonts w:ascii="Century Gothic" w:hAnsi="Century Gothic" w:cstheme="majorHAnsi"/>
          <w:sz w:val="24"/>
          <w:szCs w:val="24"/>
        </w:rPr>
        <w:t>Además</w:t>
      </w:r>
      <w:proofErr w:type="gramEnd"/>
      <w:r w:rsidRPr="006A306E">
        <w:rPr>
          <w:rFonts w:ascii="Century Gothic" w:hAnsi="Century Gothic" w:cstheme="majorHAnsi"/>
          <w:sz w:val="24"/>
          <w:szCs w:val="24"/>
        </w:rPr>
        <w:t xml:space="preserve"> las líneas de taxis de mototaxistas y las paradas de autobús han sido identificados como un lugar con mayor incidencia de casos identificando además a los prestadores de algún servicio para la movilidad cotidiana como los sujetos responsable del 35% de incidencia de actos de violencia de género. En el 85% de los casos las participantes refieren que los testigos de las agresiones tienden a ignorar la agresión, 10% se ríen sólo en un 5% de los casos alguien toma alguna acción en defensa de la víctima. </w:t>
      </w:r>
    </w:p>
    <w:p w14:paraId="3388C1F4" w14:textId="10A2F026" w:rsidR="00011CAA" w:rsidRPr="006A306E" w:rsidRDefault="00011CAA" w:rsidP="00011CAA">
      <w:pPr>
        <w:ind w:firstLine="708"/>
        <w:jc w:val="both"/>
        <w:rPr>
          <w:rFonts w:ascii="Century Gothic" w:hAnsi="Century Gothic" w:cstheme="majorHAnsi"/>
          <w:sz w:val="24"/>
          <w:szCs w:val="24"/>
        </w:rPr>
      </w:pPr>
      <w:r w:rsidRPr="006A306E">
        <w:rPr>
          <w:rFonts w:ascii="Century Gothic" w:hAnsi="Century Gothic" w:cstheme="majorHAnsi"/>
          <w:sz w:val="24"/>
          <w:szCs w:val="24"/>
        </w:rPr>
        <w:t xml:space="preserve">Las mujeres encuestadas identifican los mercados y zonas residenciales y comerciales como los lugares más inseguros en términos de ocurrencia de estos hechos, y las calles como los territorios más inseguros.  Un 73% por ciento de las encuestadas identifican su hogar como el único lugar en donde se sienten plenamente seguras. Esta realidad explica por qué todas las mujeres encuestadas han cambiado su comportamiento para evitar la violencia de género, modificando su forma de vestir, evitando salir de noche, prefiriendo salir acompañada y decidiendo utilizar solo taxis de confianza, salir de noche, solas, con dinero en efectivo, tomar determinadas rutas de transporte público, evitar ciertas calles, etc. Toda ellas </w:t>
      </w:r>
      <w:proofErr w:type="gramStart"/>
      <w:r w:rsidRPr="006A306E">
        <w:rPr>
          <w:rFonts w:ascii="Century Gothic" w:hAnsi="Century Gothic" w:cstheme="majorHAnsi"/>
          <w:sz w:val="24"/>
          <w:szCs w:val="24"/>
        </w:rPr>
        <w:t>son  medidas</w:t>
      </w:r>
      <w:proofErr w:type="gramEnd"/>
      <w:r w:rsidRPr="006A306E">
        <w:rPr>
          <w:rFonts w:ascii="Century Gothic" w:hAnsi="Century Gothic" w:cstheme="majorHAnsi"/>
          <w:sz w:val="24"/>
          <w:szCs w:val="24"/>
        </w:rPr>
        <w:t xml:space="preserve"> que coartan el libre desenvolvimiento de sus vidas  tomadas por las mujeres para evitar </w:t>
      </w:r>
      <w:r w:rsidRPr="006A306E">
        <w:rPr>
          <w:rFonts w:ascii="Century Gothic" w:hAnsi="Century Gothic" w:cstheme="majorHAnsi"/>
          <w:sz w:val="24"/>
          <w:szCs w:val="24"/>
        </w:rPr>
        <w:t>violencias</w:t>
      </w:r>
      <w:r w:rsidRPr="006A306E">
        <w:rPr>
          <w:rFonts w:ascii="Century Gothic" w:hAnsi="Century Gothic" w:cstheme="majorHAnsi"/>
          <w:sz w:val="24"/>
          <w:szCs w:val="24"/>
        </w:rPr>
        <w:t xml:space="preserve"> </w:t>
      </w:r>
      <w:r w:rsidRPr="006A306E">
        <w:rPr>
          <w:rFonts w:ascii="Century Gothic" w:hAnsi="Century Gothic" w:cstheme="majorHAnsi"/>
          <w:sz w:val="24"/>
          <w:szCs w:val="24"/>
        </w:rPr>
        <w:t>más</w:t>
      </w:r>
      <w:r w:rsidRPr="006A306E">
        <w:rPr>
          <w:rFonts w:ascii="Century Gothic" w:hAnsi="Century Gothic" w:cstheme="majorHAnsi"/>
          <w:sz w:val="24"/>
          <w:szCs w:val="24"/>
        </w:rPr>
        <w:t xml:space="preserve"> como el robo, la violación y el asesinato. Todas ellas, mencionadas por las encuestas como temores presentes en sus mentes al momento de transitar las calles. Estos actos de violencia y la amenaza de los mismos no solo tienen un impacto negativo en la salud física y mental de las mujeres, sino que también limitan su libertad y su capacidad para participar plenamente en la sociedad.</w:t>
      </w:r>
    </w:p>
    <w:p w14:paraId="208582FC" w14:textId="73D747C6" w:rsidR="00011CAA" w:rsidRPr="006A306E" w:rsidRDefault="00011CAA" w:rsidP="00011CAA">
      <w:pPr>
        <w:ind w:firstLine="708"/>
        <w:jc w:val="both"/>
        <w:rPr>
          <w:rFonts w:ascii="Century Gothic" w:hAnsi="Century Gothic" w:cstheme="majorHAnsi"/>
          <w:sz w:val="24"/>
          <w:szCs w:val="24"/>
        </w:rPr>
      </w:pPr>
      <w:r w:rsidRPr="006A306E">
        <w:rPr>
          <w:rFonts w:ascii="Century Gothic" w:hAnsi="Century Gothic" w:cstheme="majorHAnsi"/>
          <w:sz w:val="24"/>
          <w:szCs w:val="24"/>
        </w:rPr>
        <w:t xml:space="preserve">Frente a esta realidad es necesario resaltar, que ninguna de las encuestadas está al tanto de alguna política pública tomada por el gobierno nacional o regional para abordar la problemática de la violencia de género en espacios públicos. Esto indica que más allá de la existencia de las mismas las mujeres desconocen la existencia de estas políticas y su funcionamiento. Como estas cifras indican los distintos tipos de violencia de género en espacios públicos son particularmente prevalentes en la vida cotidiana, y al mismo tiempo, subestimada en su impacto e invisibilizadas en su prevalencia por la sociedad en pleno. Esta realidad ayuda a perpetuar la desigualdad de género y limitar el desarrollo económico y social de las comunidades. Para que estas cifras comiencen a cobrar sentido y sean </w:t>
      </w:r>
      <w:r w:rsidRPr="006A306E">
        <w:rPr>
          <w:rFonts w:ascii="Century Gothic" w:hAnsi="Century Gothic" w:cstheme="majorHAnsi"/>
          <w:sz w:val="24"/>
          <w:szCs w:val="24"/>
        </w:rPr>
        <w:lastRenderedPageBreak/>
        <w:t>explicables, es necesario contextualizarlas en</w:t>
      </w:r>
      <w:r w:rsidRPr="006A306E">
        <w:rPr>
          <w:rFonts w:ascii="Century Gothic" w:hAnsi="Century Gothic" w:cstheme="majorHAnsi"/>
          <w:sz w:val="24"/>
          <w:szCs w:val="24"/>
        </w:rPr>
        <w:t xml:space="preserve"> </w:t>
      </w:r>
      <w:r w:rsidRPr="006A306E">
        <w:rPr>
          <w:rFonts w:ascii="Century Gothic" w:hAnsi="Century Gothic" w:cstheme="majorHAnsi"/>
          <w:sz w:val="24"/>
          <w:szCs w:val="24"/>
        </w:rPr>
        <w:t xml:space="preserve">una sociedad que ha discriminado y fragilizado a un colectivo social, que ha normalizado una serie de conductas y un Estado inerte ante tal situación. Esta situación promueve el temor en las mujeres y termina operando como una “profecía autocumplida” que deviene en restricciones a la vida de las mismas para evitar daños mayores. </w:t>
      </w:r>
    </w:p>
    <w:p w14:paraId="775B52D1" w14:textId="77777777" w:rsidR="00FC1BD1" w:rsidRPr="006A306E" w:rsidRDefault="004C4164" w:rsidP="00011CAA">
      <w:pPr>
        <w:ind w:firstLine="708"/>
        <w:jc w:val="both"/>
        <w:rPr>
          <w:rFonts w:ascii="Century Gothic" w:hAnsi="Century Gothic" w:cstheme="majorHAnsi"/>
          <w:sz w:val="24"/>
          <w:szCs w:val="24"/>
        </w:rPr>
      </w:pPr>
      <w:r w:rsidRPr="006A306E">
        <w:rPr>
          <w:rFonts w:ascii="Century Gothic" w:hAnsi="Century Gothic" w:cstheme="majorHAnsi"/>
          <w:sz w:val="24"/>
          <w:szCs w:val="24"/>
        </w:rPr>
        <w:t xml:space="preserve">La </w:t>
      </w:r>
      <w:proofErr w:type="spellStart"/>
      <w:r w:rsidRPr="006A306E">
        <w:rPr>
          <w:rFonts w:ascii="Century Gothic" w:hAnsi="Century Gothic" w:cstheme="majorHAnsi"/>
          <w:sz w:val="24"/>
          <w:szCs w:val="24"/>
        </w:rPr>
        <w:t>invisibilización</w:t>
      </w:r>
      <w:proofErr w:type="spellEnd"/>
      <w:r w:rsidRPr="006A306E">
        <w:rPr>
          <w:rFonts w:ascii="Century Gothic" w:hAnsi="Century Gothic" w:cstheme="majorHAnsi"/>
          <w:sz w:val="24"/>
          <w:szCs w:val="24"/>
        </w:rPr>
        <w:t xml:space="preserve"> y naturalización de la violencia contra las mujeres en el espacio público, además de </w:t>
      </w:r>
      <w:r w:rsidR="00FC1BD1" w:rsidRPr="006A306E">
        <w:rPr>
          <w:rFonts w:ascii="Century Gothic" w:hAnsi="Century Gothic" w:cstheme="majorHAnsi"/>
          <w:sz w:val="24"/>
          <w:szCs w:val="24"/>
        </w:rPr>
        <w:t xml:space="preserve">la falta de publicaciones de estadísticas oficiales, desagregadas por regiones y por tipos de violencia, hacen imposible tener una aproximación real a las características de este fenómeno como delito, dificultando a su vez el diseño de políticas planes y programas para su prevención, sanción y erradicación. </w:t>
      </w:r>
    </w:p>
    <w:p w14:paraId="34E627A4" w14:textId="77777777" w:rsidR="00FC1BD1" w:rsidRPr="006A306E" w:rsidRDefault="00FC1BD1" w:rsidP="00FC1BD1">
      <w:pPr>
        <w:ind w:firstLine="708"/>
        <w:jc w:val="both"/>
        <w:rPr>
          <w:rFonts w:ascii="Century Gothic" w:hAnsi="Century Gothic" w:cstheme="majorHAnsi"/>
          <w:sz w:val="24"/>
          <w:szCs w:val="24"/>
        </w:rPr>
      </w:pPr>
      <w:r w:rsidRPr="006A306E">
        <w:rPr>
          <w:rFonts w:ascii="Century Gothic" w:hAnsi="Century Gothic" w:cstheme="majorHAnsi"/>
          <w:sz w:val="24"/>
          <w:szCs w:val="24"/>
        </w:rPr>
        <w:t>En este sentido, e</w:t>
      </w:r>
      <w:r w:rsidR="004C4164" w:rsidRPr="006A306E">
        <w:rPr>
          <w:rFonts w:ascii="Century Gothic" w:hAnsi="Century Gothic" w:cstheme="majorHAnsi"/>
          <w:sz w:val="24"/>
          <w:szCs w:val="24"/>
        </w:rPr>
        <w:t>n las respuestas de</w:t>
      </w:r>
      <w:r w:rsidRPr="006A306E">
        <w:rPr>
          <w:rFonts w:ascii="Century Gothic" w:hAnsi="Century Gothic" w:cstheme="majorHAnsi"/>
          <w:sz w:val="24"/>
          <w:szCs w:val="24"/>
        </w:rPr>
        <w:t>l Estado Venezolano</w:t>
      </w:r>
      <w:r w:rsidR="004C4164" w:rsidRPr="006A306E">
        <w:rPr>
          <w:rFonts w:ascii="Century Gothic" w:hAnsi="Century Gothic" w:cstheme="majorHAnsi"/>
          <w:sz w:val="24"/>
          <w:szCs w:val="24"/>
        </w:rPr>
        <w:t xml:space="preserve"> a la lista de cuestiones y preguntas relativas a su noveno informe periódico, la mayoría de las respuestas son relativas a los cambios </w:t>
      </w:r>
      <w:r w:rsidRPr="006A306E">
        <w:rPr>
          <w:rFonts w:ascii="Century Gothic" w:hAnsi="Century Gothic" w:cstheme="majorHAnsi"/>
          <w:sz w:val="24"/>
          <w:szCs w:val="24"/>
        </w:rPr>
        <w:t xml:space="preserve">legislativos </w:t>
      </w:r>
      <w:r w:rsidR="004C4164" w:rsidRPr="006A306E">
        <w:rPr>
          <w:rFonts w:ascii="Century Gothic" w:hAnsi="Century Gothic" w:cstheme="majorHAnsi"/>
          <w:sz w:val="24"/>
          <w:szCs w:val="24"/>
        </w:rPr>
        <w:t xml:space="preserve">promulgados </w:t>
      </w:r>
      <w:r w:rsidRPr="006A306E">
        <w:rPr>
          <w:rFonts w:ascii="Century Gothic" w:hAnsi="Century Gothic" w:cstheme="majorHAnsi"/>
          <w:sz w:val="24"/>
          <w:szCs w:val="24"/>
        </w:rPr>
        <w:t xml:space="preserve">a partir de la aprobación de </w:t>
      </w:r>
      <w:r w:rsidR="004C4164" w:rsidRPr="006A306E">
        <w:rPr>
          <w:rFonts w:ascii="Century Gothic" w:hAnsi="Century Gothic" w:cstheme="majorHAnsi"/>
          <w:sz w:val="24"/>
          <w:szCs w:val="24"/>
        </w:rPr>
        <w:t>la L</w:t>
      </w:r>
      <w:r w:rsidRPr="006A306E">
        <w:rPr>
          <w:rFonts w:ascii="Century Gothic" w:hAnsi="Century Gothic" w:cstheme="majorHAnsi"/>
          <w:sz w:val="24"/>
          <w:szCs w:val="24"/>
        </w:rPr>
        <w:t>ey Orgánica sobre el Derecho de las Mujeres a una Vida Libre de Violencia (</w:t>
      </w:r>
      <w:r w:rsidRPr="006A306E">
        <w:rPr>
          <w:rFonts w:ascii="Century Gothic" w:hAnsi="Century Gothic" w:cstheme="majorHAnsi"/>
          <w:sz w:val="24"/>
          <w:szCs w:val="24"/>
        </w:rPr>
        <w:t>LOSDMVLV</w:t>
      </w:r>
      <w:r w:rsidRPr="006A306E">
        <w:rPr>
          <w:rFonts w:ascii="Century Gothic" w:hAnsi="Century Gothic" w:cstheme="majorHAnsi"/>
          <w:sz w:val="24"/>
          <w:szCs w:val="24"/>
        </w:rPr>
        <w:t>)y sus dos posteriores reformas. Sin embargo, aunque</w:t>
      </w:r>
      <w:r w:rsidR="004C4164" w:rsidRPr="006A306E">
        <w:rPr>
          <w:rFonts w:ascii="Century Gothic" w:hAnsi="Century Gothic" w:cstheme="majorHAnsi"/>
          <w:sz w:val="24"/>
          <w:szCs w:val="24"/>
        </w:rPr>
        <w:t xml:space="preserve"> las leyes son una herramienta fundamental para abordar la violencia de género, por sí solas no son suficientes para mitigar el problema. Es necesario que las autoridades y las instituciones correspondientes cumplan con su deber de hacer cumplir las leyes y proteger los derechos humanos de todas las personas, situación que hasta el momento deja mucho que desear. Una de las fallas a resaltar en este informe es que pese a que el mismo estado reconozca en sus respuestas que  “La </w:t>
      </w:r>
      <w:r w:rsidRPr="006A306E">
        <w:rPr>
          <w:rFonts w:ascii="Century Gothic" w:hAnsi="Century Gothic" w:cstheme="majorHAnsi"/>
          <w:sz w:val="24"/>
          <w:szCs w:val="24"/>
        </w:rPr>
        <w:t>Comisión Nacional para Garantizar el Derecho de las Mujeres a una</w:t>
      </w:r>
      <w:r w:rsidRPr="006A306E">
        <w:rPr>
          <w:rFonts w:ascii="Century Gothic" w:hAnsi="Century Gothic" w:cstheme="majorHAnsi"/>
          <w:sz w:val="24"/>
          <w:szCs w:val="24"/>
        </w:rPr>
        <w:t xml:space="preserve"> </w:t>
      </w:r>
      <w:r w:rsidRPr="006A306E">
        <w:rPr>
          <w:rFonts w:ascii="Century Gothic" w:hAnsi="Century Gothic" w:cstheme="majorHAnsi"/>
          <w:sz w:val="24"/>
          <w:szCs w:val="24"/>
        </w:rPr>
        <w:t>Vida Libre de Violencia</w:t>
      </w:r>
      <w:r w:rsidRPr="006A306E">
        <w:rPr>
          <w:rFonts w:ascii="Century Gothic" w:hAnsi="Century Gothic" w:cstheme="majorHAnsi"/>
          <w:sz w:val="24"/>
          <w:szCs w:val="24"/>
        </w:rPr>
        <w:t xml:space="preserve"> </w:t>
      </w:r>
      <w:r w:rsidR="004C4164" w:rsidRPr="006A306E">
        <w:rPr>
          <w:rFonts w:ascii="Century Gothic" w:hAnsi="Century Gothic" w:cstheme="majorHAnsi"/>
          <w:sz w:val="24"/>
          <w:szCs w:val="24"/>
        </w:rPr>
        <w:t>tiene el mandato legal de establecer un sistema integrado de recolección de datos estadísticos sobre la violencia contra las mujeres por razones de género, desglosados en función del tipo de violencia y la relación entre los autores y las víctimas, y sobre el número de denuncias, enjuiciamientos, condenas y penas impuestas a los autores, así como sobre las medidas de protección y reparación a las víctimas</w:t>
      </w:r>
      <w:r w:rsidRPr="006A306E">
        <w:rPr>
          <w:rFonts w:ascii="Century Gothic" w:hAnsi="Century Gothic" w:cstheme="majorHAnsi"/>
          <w:sz w:val="24"/>
          <w:szCs w:val="24"/>
        </w:rPr>
        <w:t>”</w:t>
      </w:r>
      <w:r w:rsidR="004C4164" w:rsidRPr="006A306E">
        <w:rPr>
          <w:rFonts w:ascii="Century Gothic" w:hAnsi="Century Gothic" w:cstheme="majorHAnsi"/>
          <w:sz w:val="24"/>
          <w:szCs w:val="24"/>
        </w:rPr>
        <w:t xml:space="preserve"> (artículo 50.7 LOSDMVLV)</w:t>
      </w:r>
      <w:r w:rsidRPr="006A306E">
        <w:rPr>
          <w:rFonts w:ascii="Century Gothic" w:hAnsi="Century Gothic" w:cstheme="majorHAnsi"/>
          <w:sz w:val="24"/>
          <w:szCs w:val="24"/>
        </w:rPr>
        <w:t>, n</w:t>
      </w:r>
      <w:r w:rsidR="004C4164" w:rsidRPr="006A306E">
        <w:rPr>
          <w:rFonts w:ascii="Century Gothic" w:hAnsi="Century Gothic" w:cstheme="majorHAnsi"/>
          <w:sz w:val="24"/>
          <w:szCs w:val="24"/>
        </w:rPr>
        <w:t xml:space="preserve">o se cuenta todavía con un sistema que cumpla con este mandato plenamente, pues las estadísticas oficiales al respecto y la manera en que fueron procesadas y analizadas no se encuentran disponibles públicamente. </w:t>
      </w:r>
    </w:p>
    <w:p w14:paraId="2B866C84" w14:textId="11B1DBCF" w:rsidR="004C4164" w:rsidRPr="006A306E" w:rsidRDefault="004C4164" w:rsidP="00FC1BD1">
      <w:pPr>
        <w:ind w:firstLine="708"/>
        <w:jc w:val="both"/>
        <w:rPr>
          <w:rFonts w:ascii="Century Gothic" w:hAnsi="Century Gothic" w:cstheme="majorHAnsi"/>
          <w:sz w:val="24"/>
          <w:szCs w:val="24"/>
        </w:rPr>
      </w:pPr>
      <w:r w:rsidRPr="006A306E">
        <w:rPr>
          <w:rFonts w:ascii="Century Gothic" w:hAnsi="Century Gothic" w:cstheme="majorHAnsi"/>
          <w:sz w:val="24"/>
          <w:szCs w:val="24"/>
        </w:rPr>
        <w:t>El acceso a esta información por parte de la ciudadanía y organizaciones de la sociedad civil son fundamentales para combatir la violencia de género. Estas estadísticas pueden proporcionar información valiosa sobre la prevalencia, la intensidad y las tendencias de las distintas</w:t>
      </w:r>
      <w:r w:rsidR="00FC1BD1" w:rsidRPr="006A306E">
        <w:rPr>
          <w:rFonts w:ascii="Century Gothic" w:hAnsi="Century Gothic" w:cstheme="majorHAnsi"/>
          <w:sz w:val="24"/>
          <w:szCs w:val="24"/>
        </w:rPr>
        <w:t xml:space="preserve"> </w:t>
      </w:r>
      <w:r w:rsidRPr="006A306E">
        <w:rPr>
          <w:rFonts w:ascii="Century Gothic" w:hAnsi="Century Gothic" w:cstheme="majorHAnsi"/>
          <w:sz w:val="24"/>
          <w:szCs w:val="24"/>
        </w:rPr>
        <w:lastRenderedPageBreak/>
        <w:t xml:space="preserve">violencias de las que son víctimas las mujeres venezolanas. Esta información es esencial para que los gobiernos, las organizaciones no gubernamentales y otros actores relevantes puedan diseñar políticas y programas efectivos para prevenir y abordar la violencia de género en todas sus formas. Las estadísticas también pueden ayudar a identificar grupos de mujeres que enfrentan un mayor riesgo de violencia, lo que permite a los responsables de la elaboración de políticas y programas brindar servicios y apoyo específicos a estos grupos. Además, las estadísticas pueden ayudar a evaluar la eficacia de las políticas y programas existentes y a identificar áreas que necesitan mejoras. Por lo </w:t>
      </w:r>
      <w:r w:rsidR="00780F93" w:rsidRPr="006A306E">
        <w:rPr>
          <w:rFonts w:ascii="Century Gothic" w:hAnsi="Century Gothic" w:cstheme="majorHAnsi"/>
          <w:sz w:val="24"/>
          <w:szCs w:val="24"/>
        </w:rPr>
        <w:t>demás</w:t>
      </w:r>
      <w:r w:rsidRPr="006A306E">
        <w:rPr>
          <w:rFonts w:ascii="Century Gothic" w:hAnsi="Century Gothic" w:cstheme="majorHAnsi"/>
          <w:sz w:val="24"/>
          <w:szCs w:val="24"/>
        </w:rPr>
        <w:t>, estos datos serian de gran utilidad para el fortalecimiento de los programas formatos y campañas comunicacionales que se requieren para un cambio cultural que promueva la igua</w:t>
      </w:r>
      <w:r w:rsidR="00780F93" w:rsidRPr="006A306E">
        <w:rPr>
          <w:rFonts w:ascii="Century Gothic" w:hAnsi="Century Gothic" w:cstheme="majorHAnsi"/>
          <w:sz w:val="24"/>
          <w:szCs w:val="24"/>
        </w:rPr>
        <w:t>l</w:t>
      </w:r>
      <w:r w:rsidRPr="006A306E">
        <w:rPr>
          <w:rFonts w:ascii="Century Gothic" w:hAnsi="Century Gothic" w:cstheme="majorHAnsi"/>
          <w:sz w:val="24"/>
          <w:szCs w:val="24"/>
        </w:rPr>
        <w:t>dad de género y combata la discriminación y la violencia en todas sus formas.</w:t>
      </w:r>
    </w:p>
    <w:p w14:paraId="30CE95CB" w14:textId="77777777" w:rsidR="00011CAA" w:rsidRPr="006A306E" w:rsidRDefault="00011CAA" w:rsidP="00780F93">
      <w:pPr>
        <w:jc w:val="both"/>
        <w:rPr>
          <w:rFonts w:ascii="Century Gothic" w:hAnsi="Century Gothic" w:cstheme="majorHAnsi"/>
          <w:sz w:val="24"/>
          <w:szCs w:val="24"/>
        </w:rPr>
      </w:pPr>
    </w:p>
    <w:p w14:paraId="652852DD" w14:textId="643B643A" w:rsidR="00011CAA" w:rsidRPr="006A306E" w:rsidRDefault="00011CAA" w:rsidP="00011CAA">
      <w:pPr>
        <w:ind w:firstLine="708"/>
        <w:jc w:val="both"/>
        <w:rPr>
          <w:rFonts w:ascii="Century Gothic" w:hAnsi="Century Gothic" w:cstheme="majorHAnsi"/>
          <w:b/>
          <w:bCs/>
          <w:sz w:val="24"/>
          <w:szCs w:val="24"/>
        </w:rPr>
      </w:pPr>
      <w:r w:rsidRPr="006A306E">
        <w:rPr>
          <w:rFonts w:ascii="Century Gothic" w:hAnsi="Century Gothic" w:cstheme="majorHAnsi"/>
          <w:b/>
          <w:bCs/>
          <w:sz w:val="24"/>
          <w:szCs w:val="24"/>
        </w:rPr>
        <w:t>Recomendaciones</w:t>
      </w:r>
    </w:p>
    <w:p w14:paraId="545B5AD5" w14:textId="03C64933" w:rsidR="0025074B" w:rsidRPr="00DA188D" w:rsidRDefault="00011CAA" w:rsidP="00DA188D">
      <w:pPr>
        <w:pStyle w:val="Prrafodelista"/>
        <w:numPr>
          <w:ilvl w:val="0"/>
          <w:numId w:val="1"/>
        </w:numPr>
        <w:spacing w:after="0"/>
        <w:ind w:left="0" w:firstLine="0"/>
        <w:jc w:val="both"/>
        <w:rPr>
          <w:rFonts w:ascii="Century Gothic" w:hAnsi="Century Gothic" w:cstheme="majorHAnsi"/>
          <w:sz w:val="24"/>
          <w:szCs w:val="24"/>
        </w:rPr>
      </w:pPr>
      <w:r w:rsidRPr="00DA188D">
        <w:rPr>
          <w:rFonts w:ascii="Century Gothic" w:hAnsi="Century Gothic" w:cstheme="majorHAnsi"/>
          <w:sz w:val="24"/>
          <w:szCs w:val="24"/>
        </w:rPr>
        <w:t xml:space="preserve">Por lo dicho anteriormente, es de vital importancia que el </w:t>
      </w:r>
      <w:r w:rsidR="00DA188D" w:rsidRPr="00DA188D">
        <w:rPr>
          <w:rFonts w:ascii="Century Gothic" w:hAnsi="Century Gothic" w:cstheme="majorHAnsi"/>
          <w:sz w:val="24"/>
          <w:szCs w:val="24"/>
        </w:rPr>
        <w:t>Estado Venezolano</w:t>
      </w:r>
      <w:r w:rsidRPr="00DA188D">
        <w:rPr>
          <w:rFonts w:ascii="Century Gothic" w:hAnsi="Century Gothic" w:cstheme="majorHAnsi"/>
          <w:sz w:val="24"/>
          <w:szCs w:val="24"/>
        </w:rPr>
        <w:t xml:space="preserve"> tome medidas integrales para abordar la violencia de género en espacios públicos. </w:t>
      </w:r>
    </w:p>
    <w:p w14:paraId="7609CB40" w14:textId="21D5E231" w:rsidR="0025074B" w:rsidRPr="00DA188D" w:rsidRDefault="0025074B" w:rsidP="00DA188D">
      <w:pPr>
        <w:pStyle w:val="Prrafodelista"/>
        <w:numPr>
          <w:ilvl w:val="0"/>
          <w:numId w:val="1"/>
        </w:numPr>
        <w:spacing w:after="0"/>
        <w:ind w:left="0" w:firstLine="0"/>
        <w:jc w:val="both"/>
        <w:rPr>
          <w:rFonts w:ascii="Century Gothic" w:hAnsi="Century Gothic" w:cstheme="majorHAnsi"/>
          <w:sz w:val="24"/>
          <w:szCs w:val="24"/>
        </w:rPr>
      </w:pPr>
      <w:r w:rsidRPr="00DA188D">
        <w:rPr>
          <w:rFonts w:ascii="Century Gothic" w:hAnsi="Century Gothic" w:cstheme="majorHAnsi"/>
          <w:sz w:val="24"/>
          <w:szCs w:val="24"/>
        </w:rPr>
        <w:t>Promover</w:t>
      </w:r>
      <w:r w:rsidR="00011CAA" w:rsidRPr="00DA188D">
        <w:rPr>
          <w:rFonts w:ascii="Century Gothic" w:hAnsi="Century Gothic" w:cstheme="majorHAnsi"/>
          <w:sz w:val="24"/>
          <w:szCs w:val="24"/>
        </w:rPr>
        <w:t xml:space="preserve"> legislación y políticas integrales que permitan prevenir y mitigar la violencia basada en género contra las mujeres y las niñas en el espacio público y por su puesto cerciorarse de su implementación eficaz. </w:t>
      </w:r>
    </w:p>
    <w:p w14:paraId="4D506E58" w14:textId="3361CE89" w:rsidR="00220042" w:rsidRPr="00DA188D" w:rsidRDefault="00220042" w:rsidP="00DA188D">
      <w:pPr>
        <w:pStyle w:val="Prrafodelista"/>
        <w:numPr>
          <w:ilvl w:val="0"/>
          <w:numId w:val="1"/>
        </w:numPr>
        <w:spacing w:after="0"/>
        <w:ind w:left="0" w:firstLine="0"/>
        <w:jc w:val="both"/>
        <w:rPr>
          <w:rFonts w:ascii="Century Gothic" w:hAnsi="Century Gothic" w:cstheme="majorHAnsi"/>
          <w:sz w:val="24"/>
          <w:szCs w:val="24"/>
        </w:rPr>
      </w:pPr>
      <w:r w:rsidRPr="00DA188D">
        <w:rPr>
          <w:rFonts w:ascii="Century Gothic" w:hAnsi="Century Gothic" w:cstheme="majorHAnsi"/>
          <w:sz w:val="24"/>
          <w:szCs w:val="24"/>
        </w:rPr>
        <w:t xml:space="preserve">Promover programas de sensibilización y formación dirigidos a funcionarios de órganos de seguridad y operadores del sistema de justicia en relación a las violencias contra las mujeres en espacios públicos. </w:t>
      </w:r>
    </w:p>
    <w:p w14:paraId="2AAAA06A" w14:textId="14B9D171" w:rsidR="00220042" w:rsidRPr="00DA188D" w:rsidRDefault="00220042" w:rsidP="00DA188D">
      <w:pPr>
        <w:pStyle w:val="Prrafodelista"/>
        <w:numPr>
          <w:ilvl w:val="0"/>
          <w:numId w:val="1"/>
        </w:numPr>
        <w:spacing w:after="0"/>
        <w:ind w:left="0" w:firstLine="0"/>
        <w:jc w:val="both"/>
        <w:rPr>
          <w:rFonts w:ascii="Century Gothic" w:hAnsi="Century Gothic" w:cstheme="majorHAnsi"/>
          <w:sz w:val="24"/>
          <w:szCs w:val="24"/>
        </w:rPr>
      </w:pPr>
      <w:r w:rsidRPr="00DA188D">
        <w:rPr>
          <w:rFonts w:ascii="Century Gothic" w:hAnsi="Century Gothic" w:cstheme="majorHAnsi"/>
          <w:sz w:val="24"/>
          <w:szCs w:val="24"/>
        </w:rPr>
        <w:t>Promover estrategias comunicacionales desde el sistema de medios públicos para desnaturalizar las formas de violencia de género en espacios públicos y sensibilizar a la población acerca del impacto negativo de estas en las vidas y desarrollo de las niñas, adolescentes y mujeres.</w:t>
      </w:r>
      <w:r w:rsidRPr="00220042">
        <w:t xml:space="preserve"> </w:t>
      </w:r>
    </w:p>
    <w:p w14:paraId="0CAAA21F" w14:textId="6AAB0977" w:rsidR="0025074B" w:rsidRPr="00DA188D" w:rsidRDefault="0025074B" w:rsidP="00DA188D">
      <w:pPr>
        <w:pStyle w:val="Prrafodelista"/>
        <w:numPr>
          <w:ilvl w:val="0"/>
          <w:numId w:val="1"/>
        </w:numPr>
        <w:spacing w:after="0"/>
        <w:ind w:left="0" w:firstLine="0"/>
        <w:jc w:val="both"/>
        <w:rPr>
          <w:rFonts w:ascii="Century Gothic" w:hAnsi="Century Gothic" w:cstheme="majorHAnsi"/>
          <w:sz w:val="24"/>
          <w:szCs w:val="24"/>
        </w:rPr>
      </w:pPr>
      <w:r w:rsidRPr="00DA188D">
        <w:rPr>
          <w:rFonts w:ascii="Century Gothic" w:hAnsi="Century Gothic" w:cstheme="majorHAnsi"/>
          <w:sz w:val="24"/>
          <w:szCs w:val="24"/>
        </w:rPr>
        <w:t>D</w:t>
      </w:r>
      <w:r w:rsidR="00011CAA" w:rsidRPr="00DA188D">
        <w:rPr>
          <w:rFonts w:ascii="Century Gothic" w:hAnsi="Century Gothic" w:cstheme="majorHAnsi"/>
          <w:sz w:val="24"/>
          <w:szCs w:val="24"/>
        </w:rPr>
        <w:t>estinar</w:t>
      </w:r>
      <w:r w:rsidRPr="00DA188D">
        <w:rPr>
          <w:rFonts w:ascii="Century Gothic" w:hAnsi="Century Gothic" w:cstheme="majorHAnsi"/>
          <w:sz w:val="24"/>
          <w:szCs w:val="24"/>
        </w:rPr>
        <w:t xml:space="preserve">, </w:t>
      </w:r>
      <w:r w:rsidRPr="00DA188D">
        <w:rPr>
          <w:rFonts w:ascii="Century Gothic" w:hAnsi="Century Gothic" w:cstheme="majorHAnsi"/>
          <w:sz w:val="24"/>
          <w:szCs w:val="24"/>
        </w:rPr>
        <w:t>de manera transparente</w:t>
      </w:r>
      <w:r w:rsidRPr="00DA188D">
        <w:rPr>
          <w:rFonts w:ascii="Century Gothic" w:hAnsi="Century Gothic" w:cstheme="majorHAnsi"/>
          <w:sz w:val="24"/>
          <w:szCs w:val="24"/>
        </w:rPr>
        <w:t xml:space="preserve"> </w:t>
      </w:r>
      <w:proofErr w:type="spellStart"/>
      <w:r w:rsidRPr="00DA188D">
        <w:rPr>
          <w:rFonts w:ascii="Century Gothic" w:hAnsi="Century Gothic" w:cstheme="majorHAnsi"/>
          <w:sz w:val="24"/>
          <w:szCs w:val="24"/>
        </w:rPr>
        <w:t>y</w:t>
      </w:r>
      <w:proofErr w:type="spellEnd"/>
      <w:r w:rsidRPr="00DA188D">
        <w:rPr>
          <w:rFonts w:ascii="Century Gothic" w:hAnsi="Century Gothic" w:cstheme="majorHAnsi"/>
          <w:sz w:val="24"/>
          <w:szCs w:val="24"/>
        </w:rPr>
        <w:t xml:space="preserve"> participativa de la mano con la sociedad civil organizada,</w:t>
      </w:r>
      <w:r w:rsidR="00011CAA" w:rsidRPr="00DA188D">
        <w:rPr>
          <w:rFonts w:ascii="Century Gothic" w:hAnsi="Century Gothic" w:cstheme="majorHAnsi"/>
          <w:sz w:val="24"/>
          <w:szCs w:val="24"/>
        </w:rPr>
        <w:t xml:space="preserve"> inversiones </w:t>
      </w:r>
      <w:r w:rsidRPr="00DA188D">
        <w:rPr>
          <w:rFonts w:ascii="Century Gothic" w:hAnsi="Century Gothic" w:cstheme="majorHAnsi"/>
          <w:sz w:val="24"/>
          <w:szCs w:val="24"/>
        </w:rPr>
        <w:t xml:space="preserve">en políticas de seguridad ciudadana, apropiación del espacio público y prevención de violencias </w:t>
      </w:r>
      <w:r w:rsidR="00011CAA" w:rsidRPr="00DA188D">
        <w:rPr>
          <w:rFonts w:ascii="Century Gothic" w:hAnsi="Century Gothic" w:cstheme="majorHAnsi"/>
          <w:sz w:val="24"/>
          <w:szCs w:val="24"/>
        </w:rPr>
        <w:t xml:space="preserve">que incrementen la seguridad percibida y real del espacio público para mujeres niñas y adolescentes. </w:t>
      </w:r>
    </w:p>
    <w:p w14:paraId="766C4BAC" w14:textId="0D71120C" w:rsidR="0025074B" w:rsidRPr="00DA188D" w:rsidRDefault="0025074B" w:rsidP="00DA188D">
      <w:pPr>
        <w:pStyle w:val="Prrafodelista"/>
        <w:numPr>
          <w:ilvl w:val="0"/>
          <w:numId w:val="1"/>
        </w:numPr>
        <w:spacing w:after="0"/>
        <w:ind w:left="0" w:firstLine="0"/>
        <w:jc w:val="both"/>
        <w:rPr>
          <w:rFonts w:ascii="Century Gothic" w:hAnsi="Century Gothic" w:cstheme="majorHAnsi"/>
          <w:sz w:val="24"/>
          <w:szCs w:val="24"/>
        </w:rPr>
      </w:pPr>
      <w:r w:rsidRPr="00DA188D">
        <w:rPr>
          <w:rFonts w:ascii="Century Gothic" w:hAnsi="Century Gothic" w:cstheme="majorHAnsi"/>
          <w:sz w:val="24"/>
          <w:szCs w:val="24"/>
        </w:rPr>
        <w:t>Implementar un sistema estadístico que no sólo permita tener acceso a las estadísticas de forma periódica y regular, sino que sea construido con indicadores sensibles al género</w:t>
      </w:r>
      <w:r w:rsidR="00011CAA" w:rsidRPr="00DA188D">
        <w:rPr>
          <w:rFonts w:ascii="Century Gothic" w:hAnsi="Century Gothic" w:cstheme="majorHAnsi"/>
          <w:sz w:val="24"/>
          <w:szCs w:val="24"/>
        </w:rPr>
        <w:t xml:space="preserve">. </w:t>
      </w:r>
    </w:p>
    <w:p w14:paraId="3CFED31E" w14:textId="00D931D8" w:rsidR="00011CAA" w:rsidRPr="00DA188D" w:rsidRDefault="0025074B" w:rsidP="00DA188D">
      <w:pPr>
        <w:pStyle w:val="Prrafodelista"/>
        <w:numPr>
          <w:ilvl w:val="0"/>
          <w:numId w:val="1"/>
        </w:numPr>
        <w:spacing w:after="0"/>
        <w:ind w:left="0" w:firstLine="0"/>
        <w:jc w:val="both"/>
        <w:rPr>
          <w:rFonts w:ascii="Century Gothic" w:hAnsi="Century Gothic" w:cstheme="majorHAnsi"/>
          <w:sz w:val="24"/>
          <w:szCs w:val="24"/>
        </w:rPr>
      </w:pPr>
      <w:r w:rsidRPr="00DA188D">
        <w:rPr>
          <w:rFonts w:ascii="Century Gothic" w:hAnsi="Century Gothic" w:cstheme="majorHAnsi"/>
          <w:sz w:val="24"/>
          <w:szCs w:val="24"/>
        </w:rPr>
        <w:t>Desarrollo</w:t>
      </w:r>
      <w:r w:rsidR="00011CAA" w:rsidRPr="00DA188D">
        <w:rPr>
          <w:rFonts w:ascii="Century Gothic" w:hAnsi="Century Gothic" w:cstheme="majorHAnsi"/>
          <w:sz w:val="24"/>
          <w:szCs w:val="24"/>
        </w:rPr>
        <w:t xml:space="preserve"> de programas y proyectos para incentivar la </w:t>
      </w:r>
      <w:proofErr w:type="spellStart"/>
      <w:r w:rsidR="00011CAA" w:rsidRPr="00DA188D">
        <w:rPr>
          <w:rFonts w:ascii="Century Gothic" w:hAnsi="Century Gothic" w:cstheme="majorHAnsi"/>
          <w:sz w:val="24"/>
          <w:szCs w:val="24"/>
        </w:rPr>
        <w:t>visibilización</w:t>
      </w:r>
      <w:proofErr w:type="spellEnd"/>
      <w:r w:rsidR="00011CAA" w:rsidRPr="00DA188D">
        <w:rPr>
          <w:rFonts w:ascii="Century Gothic" w:hAnsi="Century Gothic" w:cstheme="majorHAnsi"/>
          <w:sz w:val="24"/>
          <w:szCs w:val="24"/>
        </w:rPr>
        <w:t xml:space="preserve"> y prevención de las diferentes violencias que vulneran el derecho de las mujeres y las niñas a disfrutar de un espacio público libre de violencia. </w:t>
      </w:r>
    </w:p>
    <w:p w14:paraId="6A462C86" w14:textId="77777777" w:rsidR="00862756" w:rsidRPr="006A306E" w:rsidRDefault="00862756" w:rsidP="00DA188D">
      <w:pPr>
        <w:jc w:val="both"/>
        <w:rPr>
          <w:rFonts w:ascii="Century Gothic" w:hAnsi="Century Gothic" w:cstheme="majorHAnsi"/>
          <w:sz w:val="24"/>
          <w:szCs w:val="24"/>
        </w:rPr>
      </w:pPr>
    </w:p>
    <w:sectPr w:rsidR="00862756" w:rsidRPr="006A306E">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037FF5F" w14:textId="77777777" w:rsidR="00650D31" w:rsidRDefault="00650D31" w:rsidP="00985368">
      <w:pPr>
        <w:spacing w:after="0" w:line="240" w:lineRule="auto"/>
      </w:pPr>
      <w:r>
        <w:separator/>
      </w:r>
    </w:p>
  </w:endnote>
  <w:endnote w:type="continuationSeparator" w:id="0">
    <w:p w14:paraId="34C74714" w14:textId="77777777" w:rsidR="00650D31" w:rsidRDefault="00650D31" w:rsidP="0098536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55670FF" w14:textId="77777777" w:rsidR="00650D31" w:rsidRDefault="00650D31" w:rsidP="00985368">
      <w:pPr>
        <w:spacing w:after="0" w:line="240" w:lineRule="auto"/>
      </w:pPr>
      <w:r>
        <w:separator/>
      </w:r>
    </w:p>
  </w:footnote>
  <w:footnote w:type="continuationSeparator" w:id="0">
    <w:p w14:paraId="60E7CD85" w14:textId="77777777" w:rsidR="00650D31" w:rsidRDefault="00650D31" w:rsidP="00985368">
      <w:pPr>
        <w:spacing w:after="0" w:line="240" w:lineRule="auto"/>
      </w:pPr>
      <w:r>
        <w:continuationSeparator/>
      </w:r>
    </w:p>
  </w:footnote>
  <w:footnote w:id="1">
    <w:p w14:paraId="4560F49C" w14:textId="31D3CBD2" w:rsidR="006A306E" w:rsidRDefault="006A306E" w:rsidP="006A306E">
      <w:pPr>
        <w:pStyle w:val="Textonotapie"/>
        <w:rPr>
          <w:rStyle w:val="s1ppyq"/>
          <w:color w:val="231F20"/>
        </w:rPr>
      </w:pPr>
      <w:r>
        <w:rPr>
          <w:rStyle w:val="Refdenotaalpie"/>
        </w:rPr>
        <w:footnoteRef/>
      </w:r>
      <w:r>
        <w:t xml:space="preserve"> Correo electrónico: </w:t>
      </w:r>
      <w:hyperlink r:id="rId1" w:history="1">
        <w:r w:rsidRPr="001A2819">
          <w:rPr>
            <w:rStyle w:val="Hipervnculo"/>
          </w:rPr>
          <w:t>redfeministamerida@gmail.com</w:t>
        </w:r>
      </w:hyperlink>
      <w:r>
        <w:t xml:space="preserve"> </w:t>
      </w:r>
      <w:r>
        <w:t xml:space="preserve"> P</w:t>
      </w:r>
      <w:r>
        <w:rPr>
          <w:rStyle w:val="s1ppyq"/>
          <w:color w:val="231F20"/>
        </w:rPr>
        <w:t xml:space="preserve">ágina web disponible en: </w:t>
      </w:r>
      <w:hyperlink r:id="rId2" w:history="1">
        <w:r w:rsidRPr="00043D84">
          <w:rPr>
            <w:rStyle w:val="Hipervnculo"/>
          </w:rPr>
          <w:t>https://redmeridafeminista.wordpress.com/</w:t>
        </w:r>
      </w:hyperlink>
      <w:r>
        <w:rPr>
          <w:rStyle w:val="Hipervnculo"/>
        </w:rPr>
        <w:t xml:space="preserve"> </w:t>
      </w:r>
    </w:p>
    <w:p w14:paraId="3394CE2D" w14:textId="77777777" w:rsidR="006A306E" w:rsidRDefault="006A306E" w:rsidP="006A306E">
      <w:pPr>
        <w:pStyle w:val="Textonotapie"/>
      </w:pPr>
    </w:p>
  </w:footnote>
  <w:footnote w:id="2">
    <w:p w14:paraId="4D95F415" w14:textId="4CEB5FA6" w:rsidR="006A306E" w:rsidRDefault="006A306E">
      <w:pPr>
        <w:pStyle w:val="Textonotapie"/>
      </w:pPr>
      <w:r>
        <w:rPr>
          <w:rStyle w:val="Refdenotaalpie"/>
        </w:rPr>
        <w:footnoteRef/>
      </w:r>
      <w:r>
        <w:t xml:space="preserve"> Correo electrónico: </w:t>
      </w:r>
      <w:hyperlink r:id="rId3" w:history="1">
        <w:r w:rsidRPr="001A2819">
          <w:rPr>
            <w:rStyle w:val="Hipervnculo"/>
          </w:rPr>
          <w:t>Info@resonalia.org</w:t>
        </w:r>
      </w:hyperlink>
      <w:r>
        <w:t xml:space="preserve"> Página web disponible en: </w:t>
      </w:r>
      <w:hyperlink r:id="rId4" w:history="1">
        <w:r w:rsidRPr="001A2819">
          <w:rPr>
            <w:rStyle w:val="Hipervnculo"/>
          </w:rPr>
          <w:t>Www.Resonalia.org</w:t>
        </w:r>
      </w:hyperlink>
      <w:r>
        <w:t xml:space="preserve"> </w:t>
      </w:r>
    </w:p>
  </w:footnote>
  <w:footnote w:id="3">
    <w:p w14:paraId="67E21AC6" w14:textId="7C753F8E" w:rsidR="00985368" w:rsidRDefault="00985368">
      <w:pPr>
        <w:pStyle w:val="Textonotapie"/>
      </w:pPr>
      <w:r>
        <w:rPr>
          <w:rStyle w:val="Refdenotaalpie"/>
        </w:rPr>
        <w:footnoteRef/>
      </w:r>
      <w:r>
        <w:t xml:space="preserve"> Comentarios alusivos al cuerpo o apariencia de otra persona, generalmente en forma de halago, pero que pueden llegar a ser vulgares e intimidatorios.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B897399"/>
    <w:multiLevelType w:val="hybridMultilevel"/>
    <w:tmpl w:val="12A80C7E"/>
    <w:lvl w:ilvl="0" w:tplc="200A0001">
      <w:start w:val="1"/>
      <w:numFmt w:val="bullet"/>
      <w:lvlText w:val=""/>
      <w:lvlJc w:val="left"/>
      <w:pPr>
        <w:ind w:left="1428" w:hanging="360"/>
      </w:pPr>
      <w:rPr>
        <w:rFonts w:ascii="Symbol" w:hAnsi="Symbol" w:hint="default"/>
      </w:rPr>
    </w:lvl>
    <w:lvl w:ilvl="1" w:tplc="200A0003" w:tentative="1">
      <w:start w:val="1"/>
      <w:numFmt w:val="bullet"/>
      <w:lvlText w:val="o"/>
      <w:lvlJc w:val="left"/>
      <w:pPr>
        <w:ind w:left="2148" w:hanging="360"/>
      </w:pPr>
      <w:rPr>
        <w:rFonts w:ascii="Courier New" w:hAnsi="Courier New" w:cs="Courier New" w:hint="default"/>
      </w:rPr>
    </w:lvl>
    <w:lvl w:ilvl="2" w:tplc="200A0005" w:tentative="1">
      <w:start w:val="1"/>
      <w:numFmt w:val="bullet"/>
      <w:lvlText w:val=""/>
      <w:lvlJc w:val="left"/>
      <w:pPr>
        <w:ind w:left="2868" w:hanging="360"/>
      </w:pPr>
      <w:rPr>
        <w:rFonts w:ascii="Wingdings" w:hAnsi="Wingdings" w:hint="default"/>
      </w:rPr>
    </w:lvl>
    <w:lvl w:ilvl="3" w:tplc="200A0001" w:tentative="1">
      <w:start w:val="1"/>
      <w:numFmt w:val="bullet"/>
      <w:lvlText w:val=""/>
      <w:lvlJc w:val="left"/>
      <w:pPr>
        <w:ind w:left="3588" w:hanging="360"/>
      </w:pPr>
      <w:rPr>
        <w:rFonts w:ascii="Symbol" w:hAnsi="Symbol" w:hint="default"/>
      </w:rPr>
    </w:lvl>
    <w:lvl w:ilvl="4" w:tplc="200A0003" w:tentative="1">
      <w:start w:val="1"/>
      <w:numFmt w:val="bullet"/>
      <w:lvlText w:val="o"/>
      <w:lvlJc w:val="left"/>
      <w:pPr>
        <w:ind w:left="4308" w:hanging="360"/>
      </w:pPr>
      <w:rPr>
        <w:rFonts w:ascii="Courier New" w:hAnsi="Courier New" w:cs="Courier New" w:hint="default"/>
      </w:rPr>
    </w:lvl>
    <w:lvl w:ilvl="5" w:tplc="200A0005" w:tentative="1">
      <w:start w:val="1"/>
      <w:numFmt w:val="bullet"/>
      <w:lvlText w:val=""/>
      <w:lvlJc w:val="left"/>
      <w:pPr>
        <w:ind w:left="5028" w:hanging="360"/>
      </w:pPr>
      <w:rPr>
        <w:rFonts w:ascii="Wingdings" w:hAnsi="Wingdings" w:hint="default"/>
      </w:rPr>
    </w:lvl>
    <w:lvl w:ilvl="6" w:tplc="200A0001" w:tentative="1">
      <w:start w:val="1"/>
      <w:numFmt w:val="bullet"/>
      <w:lvlText w:val=""/>
      <w:lvlJc w:val="left"/>
      <w:pPr>
        <w:ind w:left="5748" w:hanging="360"/>
      </w:pPr>
      <w:rPr>
        <w:rFonts w:ascii="Symbol" w:hAnsi="Symbol" w:hint="default"/>
      </w:rPr>
    </w:lvl>
    <w:lvl w:ilvl="7" w:tplc="200A0003" w:tentative="1">
      <w:start w:val="1"/>
      <w:numFmt w:val="bullet"/>
      <w:lvlText w:val="o"/>
      <w:lvlJc w:val="left"/>
      <w:pPr>
        <w:ind w:left="6468" w:hanging="360"/>
      </w:pPr>
      <w:rPr>
        <w:rFonts w:ascii="Courier New" w:hAnsi="Courier New" w:cs="Courier New" w:hint="default"/>
      </w:rPr>
    </w:lvl>
    <w:lvl w:ilvl="8" w:tplc="200A0005" w:tentative="1">
      <w:start w:val="1"/>
      <w:numFmt w:val="bullet"/>
      <w:lvlText w:val=""/>
      <w:lvlJc w:val="left"/>
      <w:pPr>
        <w:ind w:left="7188" w:hanging="360"/>
      </w:pPr>
      <w:rPr>
        <w:rFonts w:ascii="Wingdings" w:hAnsi="Wingdings" w:hint="default"/>
      </w:rPr>
    </w:lvl>
  </w:abstractNum>
  <w:num w:numId="1" w16cid:durableId="127081317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54"/>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A0689"/>
    <w:rsid w:val="00011CAA"/>
    <w:rsid w:val="00021C12"/>
    <w:rsid w:val="000554B3"/>
    <w:rsid w:val="002065E1"/>
    <w:rsid w:val="00220042"/>
    <w:rsid w:val="0025074B"/>
    <w:rsid w:val="004B5BC3"/>
    <w:rsid w:val="004C4164"/>
    <w:rsid w:val="005D3E40"/>
    <w:rsid w:val="005E7238"/>
    <w:rsid w:val="00650D31"/>
    <w:rsid w:val="006A306E"/>
    <w:rsid w:val="00703778"/>
    <w:rsid w:val="00780F93"/>
    <w:rsid w:val="007B46F6"/>
    <w:rsid w:val="00825A67"/>
    <w:rsid w:val="00862756"/>
    <w:rsid w:val="008C51F8"/>
    <w:rsid w:val="00985368"/>
    <w:rsid w:val="00A0697C"/>
    <w:rsid w:val="00AE2EC1"/>
    <w:rsid w:val="00C50B7F"/>
    <w:rsid w:val="00DA188D"/>
    <w:rsid w:val="00DF664E"/>
    <w:rsid w:val="00F1502A"/>
    <w:rsid w:val="00FA0689"/>
    <w:rsid w:val="00FC1BD1"/>
  </w:rsids>
  <m:mathPr>
    <m:mathFont m:val="Cambria Math"/>
    <m:brkBin m:val="before"/>
    <m:brkBinSub m:val="--"/>
    <m:smallFrac m:val="0"/>
    <m:dispDef/>
    <m:lMargin m:val="0"/>
    <m:rMargin m:val="0"/>
    <m:defJc m:val="centerGroup"/>
    <m:wrapIndent m:val="1440"/>
    <m:intLim m:val="subSup"/>
    <m:naryLim m:val="undOvr"/>
  </m:mathPr>
  <w:themeFontLang w:val="es-V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AEC580"/>
  <w15:chartTrackingRefBased/>
  <w15:docId w15:val="{7B986476-C80F-4DF6-A94F-EC4FB17594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s-VE"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notapie">
    <w:name w:val="footnote text"/>
    <w:basedOn w:val="Normal"/>
    <w:link w:val="TextonotapieCar"/>
    <w:uiPriority w:val="99"/>
    <w:semiHidden/>
    <w:unhideWhenUsed/>
    <w:rsid w:val="00985368"/>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985368"/>
    <w:rPr>
      <w:sz w:val="20"/>
      <w:szCs w:val="20"/>
    </w:rPr>
  </w:style>
  <w:style w:type="character" w:styleId="Refdenotaalpie">
    <w:name w:val="footnote reference"/>
    <w:basedOn w:val="Fuentedeprrafopredeter"/>
    <w:uiPriority w:val="99"/>
    <w:semiHidden/>
    <w:unhideWhenUsed/>
    <w:rsid w:val="00985368"/>
    <w:rPr>
      <w:vertAlign w:val="superscript"/>
    </w:rPr>
  </w:style>
  <w:style w:type="paragraph" w:styleId="Encabezado">
    <w:name w:val="header"/>
    <w:basedOn w:val="Normal"/>
    <w:link w:val="EncabezadoCar"/>
    <w:uiPriority w:val="99"/>
    <w:unhideWhenUsed/>
    <w:rsid w:val="008C51F8"/>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8C51F8"/>
  </w:style>
  <w:style w:type="paragraph" w:styleId="Piedepgina">
    <w:name w:val="footer"/>
    <w:basedOn w:val="Normal"/>
    <w:link w:val="PiedepginaCar"/>
    <w:uiPriority w:val="99"/>
    <w:unhideWhenUsed/>
    <w:rsid w:val="008C51F8"/>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8C51F8"/>
  </w:style>
  <w:style w:type="character" w:styleId="Hipervnculo">
    <w:name w:val="Hyperlink"/>
    <w:basedOn w:val="Fuentedeprrafopredeter"/>
    <w:uiPriority w:val="99"/>
    <w:unhideWhenUsed/>
    <w:rsid w:val="006A306E"/>
    <w:rPr>
      <w:color w:val="0563C1" w:themeColor="hyperlink"/>
      <w:u w:val="single"/>
    </w:rPr>
  </w:style>
  <w:style w:type="character" w:customStyle="1" w:styleId="s1ppyq">
    <w:name w:val="s1ppyq"/>
    <w:basedOn w:val="Fuentedeprrafopredeter"/>
    <w:rsid w:val="006A306E"/>
  </w:style>
  <w:style w:type="character" w:styleId="Mencinsinresolver">
    <w:name w:val="Unresolved Mention"/>
    <w:basedOn w:val="Fuentedeprrafopredeter"/>
    <w:uiPriority w:val="99"/>
    <w:semiHidden/>
    <w:unhideWhenUsed/>
    <w:rsid w:val="006A306E"/>
    <w:rPr>
      <w:color w:val="605E5C"/>
      <w:shd w:val="clear" w:color="auto" w:fill="E1DFDD"/>
    </w:rPr>
  </w:style>
  <w:style w:type="paragraph" w:styleId="Prrafodelista">
    <w:name w:val="List Paragraph"/>
    <w:basedOn w:val="Normal"/>
    <w:uiPriority w:val="34"/>
    <w:qFormat/>
    <w:rsid w:val="00DA188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02223234">
      <w:bodyDiv w:val="1"/>
      <w:marLeft w:val="0"/>
      <w:marRight w:val="0"/>
      <w:marTop w:val="0"/>
      <w:marBottom w:val="0"/>
      <w:divBdr>
        <w:top w:val="none" w:sz="0" w:space="0" w:color="auto"/>
        <w:left w:val="none" w:sz="0" w:space="0" w:color="auto"/>
        <w:bottom w:val="none" w:sz="0" w:space="0" w:color="auto"/>
        <w:right w:val="none" w:sz="0" w:space="0" w:color="auto"/>
      </w:divBdr>
    </w:div>
    <w:div w:id="21109248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mailto:Info@resonalia.org" TargetMode="External"/><Relationship Id="rId2" Type="http://schemas.openxmlformats.org/officeDocument/2006/relationships/hyperlink" Target="https://redmeridafeminista.wordpress.com/" TargetMode="External"/><Relationship Id="rId1" Type="http://schemas.openxmlformats.org/officeDocument/2006/relationships/hyperlink" Target="mailto:redfeministamerida@gmail.com" TargetMode="External"/><Relationship Id="rId4" Type="http://schemas.openxmlformats.org/officeDocument/2006/relationships/hyperlink" Target="http://Www.Resonalia.org"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5D2080E-DA73-45DB-8B60-222EF7CF72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149</TotalTime>
  <Pages>9</Pages>
  <Words>2782</Words>
  <Characters>15301</Characters>
  <Application>Microsoft Office Word</Application>
  <DocSecurity>0</DocSecurity>
  <Lines>127</Lines>
  <Paragraphs>36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18047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Richard</dc:creator>
  <cp:keywords/>
  <dc:description/>
  <cp:lastModifiedBy>Richard</cp:lastModifiedBy>
  <cp:revision>18</cp:revision>
  <dcterms:created xsi:type="dcterms:W3CDTF">2023-04-11T01:49:00Z</dcterms:created>
  <dcterms:modified xsi:type="dcterms:W3CDTF">2023-04-11T04:34:00Z</dcterms:modified>
</cp:coreProperties>
</file>