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9377A" w14:textId="6BCEC6EC" w:rsidR="004E0342" w:rsidRPr="007451A5" w:rsidRDefault="004E0342" w:rsidP="004E0342">
      <w:pPr>
        <w:rPr>
          <w:b/>
          <w:bCs/>
        </w:rPr>
      </w:pPr>
      <w:r w:rsidRPr="007451A5">
        <w:rPr>
          <w:b/>
          <w:bCs/>
          <w:lang w:val="fr-FR"/>
        </w:rPr>
        <w:t xml:space="preserve">Déclaration sur la compétence </w:t>
      </w:r>
      <w:r w:rsidRPr="007451A5">
        <w:rPr>
          <w:b/>
          <w:bCs/>
          <w:i/>
          <w:iCs/>
          <w:lang w:val="fr-FR"/>
        </w:rPr>
        <w:t>ratione temporis</w:t>
      </w:r>
      <w:r w:rsidRPr="007451A5">
        <w:rPr>
          <w:b/>
          <w:bCs/>
        </w:rPr>
        <w:t xml:space="preserve"> </w:t>
      </w:r>
      <w:r w:rsidRPr="007451A5">
        <w:rPr>
          <w:b/>
          <w:bCs/>
          <w:lang w:val="fr-FR"/>
        </w:rPr>
        <w:t>dans le contexte de l’examen des rapports soumis</w:t>
      </w:r>
      <w:r w:rsidRPr="007451A5">
        <w:rPr>
          <w:b/>
          <w:bCs/>
        </w:rPr>
        <w:t xml:space="preserve"> </w:t>
      </w:r>
      <w:r w:rsidRPr="007451A5">
        <w:rPr>
          <w:b/>
          <w:bCs/>
          <w:lang w:val="fr-FR"/>
        </w:rPr>
        <w:t>par les États parties en application de la Convention</w:t>
      </w:r>
      <w:r w:rsidRPr="007451A5">
        <w:rPr>
          <w:b/>
          <w:bCs/>
        </w:rPr>
        <w:t xml:space="preserve"> </w:t>
      </w:r>
      <w:r w:rsidRPr="007451A5">
        <w:rPr>
          <w:b/>
          <w:bCs/>
          <w:lang w:val="fr-FR"/>
        </w:rPr>
        <w:t>internationale pour la protection de toutes les personnes</w:t>
      </w:r>
      <w:r w:rsidRPr="007451A5">
        <w:rPr>
          <w:b/>
          <w:bCs/>
        </w:rPr>
        <w:t xml:space="preserve"> </w:t>
      </w:r>
      <w:r w:rsidRPr="007451A5">
        <w:rPr>
          <w:b/>
          <w:bCs/>
          <w:lang w:val="fr-FR"/>
        </w:rPr>
        <w:t>contre les disparitions forcées</w:t>
      </w:r>
    </w:p>
    <w:p w14:paraId="76B242F1" w14:textId="77777777" w:rsidR="004E0342" w:rsidRPr="007451A5" w:rsidRDefault="004E0342" w:rsidP="004E0342">
      <w:pPr>
        <w:rPr>
          <w:lang w:val="fr-FR"/>
        </w:rPr>
      </w:pPr>
    </w:p>
    <w:p w14:paraId="4442064E" w14:textId="2FBF1774" w:rsidR="004E0342" w:rsidRPr="001D0FA7" w:rsidRDefault="004E0342" w:rsidP="004E0342">
      <w:pPr>
        <w:rPr>
          <w:b/>
          <w:bCs/>
          <w:lang w:val="fr-FR"/>
        </w:rPr>
      </w:pPr>
      <w:r w:rsidRPr="001D0FA7">
        <w:rPr>
          <w:b/>
          <w:bCs/>
          <w:lang w:val="fr-FR"/>
        </w:rPr>
        <w:t>Comité des disparitions forcées, cinquième session, 15 novembre 2013</w:t>
      </w:r>
    </w:p>
    <w:p w14:paraId="50F39960" w14:textId="77777777" w:rsidR="004E0342" w:rsidRPr="004E0342" w:rsidRDefault="004E0342" w:rsidP="004E0342">
      <w:pPr>
        <w:rPr>
          <w:lang w:val="fr-FR"/>
        </w:rPr>
      </w:pPr>
    </w:p>
    <w:p w14:paraId="33F8C703" w14:textId="77777777" w:rsidR="004E0342" w:rsidRP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Le Comité des disparitions forcées,</w:t>
      </w:r>
    </w:p>
    <w:p w14:paraId="591F478E" w14:textId="01AD88D5" w:rsidR="004E0342" w:rsidRP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Considérant les dispositions pertinentes de la Convention de Vienne sur le droit des</w:t>
      </w:r>
      <w:r>
        <w:rPr>
          <w:lang w:val="fr-FR"/>
        </w:rPr>
        <w:t xml:space="preserve"> </w:t>
      </w:r>
      <w:r w:rsidRPr="004E0342">
        <w:rPr>
          <w:lang w:val="fr-FR"/>
        </w:rPr>
        <w:t>traités de 1969,</w:t>
      </w:r>
    </w:p>
    <w:p w14:paraId="309B27D5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Ayant à l’esprit l’objet et le but de la Convention internationale pour la protection de</w:t>
      </w:r>
      <w:r>
        <w:rPr>
          <w:lang w:val="fr-FR"/>
        </w:rPr>
        <w:t xml:space="preserve"> </w:t>
      </w:r>
      <w:r w:rsidRPr="004E0342">
        <w:rPr>
          <w:lang w:val="fr-FR"/>
        </w:rPr>
        <w:t xml:space="preserve">toutes les personnes contre les disparitions forcées (ci-après «la </w:t>
      </w:r>
      <w:proofErr w:type="gramStart"/>
      <w:r w:rsidRPr="004E0342">
        <w:rPr>
          <w:lang w:val="fr-FR"/>
        </w:rPr>
        <w:t>Convention»</w:t>
      </w:r>
      <w:proofErr w:type="gramEnd"/>
      <w:r w:rsidRPr="004E0342">
        <w:rPr>
          <w:lang w:val="fr-FR"/>
        </w:rPr>
        <w:t>),</w:t>
      </w:r>
    </w:p>
    <w:p w14:paraId="0323FAEB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Rappelant le préambule de la Convention, dans lequel les États parties se déclarent</w:t>
      </w:r>
      <w:r>
        <w:rPr>
          <w:lang w:val="fr-FR"/>
        </w:rPr>
        <w:t xml:space="preserve"> </w:t>
      </w:r>
      <w:r w:rsidRPr="004E0342">
        <w:rPr>
          <w:lang w:val="fr-FR"/>
        </w:rPr>
        <w:t>déterminés à</w:t>
      </w:r>
      <w:proofErr w:type="gramStart"/>
      <w:r w:rsidRPr="004E0342">
        <w:rPr>
          <w:lang w:val="fr-FR"/>
        </w:rPr>
        <w:t xml:space="preserve"> «lutter</w:t>
      </w:r>
      <w:proofErr w:type="gramEnd"/>
      <w:r w:rsidRPr="004E0342">
        <w:rPr>
          <w:lang w:val="fr-FR"/>
        </w:rPr>
        <w:t xml:space="preserve"> contre l’impunité du crime de disparition forcée» et réaffirment «le droit</w:t>
      </w:r>
      <w:r>
        <w:rPr>
          <w:lang w:val="fr-FR"/>
        </w:rPr>
        <w:t xml:space="preserve"> </w:t>
      </w:r>
      <w:r w:rsidRPr="004E0342">
        <w:rPr>
          <w:lang w:val="fr-FR"/>
        </w:rPr>
        <w:t>des victimes à la justice et à réparation» et «le droit de toute victime de savoir la vérité sur les</w:t>
      </w:r>
      <w:r>
        <w:rPr>
          <w:lang w:val="fr-FR"/>
        </w:rPr>
        <w:t xml:space="preserve"> </w:t>
      </w:r>
      <w:r w:rsidRPr="004E0342">
        <w:rPr>
          <w:lang w:val="fr-FR"/>
        </w:rPr>
        <w:t>circonstances d’une disparition forcée et de connaître le sort de la personne disparue, ainsi que</w:t>
      </w:r>
      <w:r>
        <w:rPr>
          <w:lang w:val="fr-FR"/>
        </w:rPr>
        <w:t xml:space="preserve"> </w:t>
      </w:r>
      <w:r w:rsidRPr="004E0342">
        <w:rPr>
          <w:lang w:val="fr-FR"/>
        </w:rPr>
        <w:t>le droit à la liberté de recueillir, de recevoir et de diffuser des informations à cette fin»,</w:t>
      </w:r>
    </w:p>
    <w:p w14:paraId="403355BE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Prenant en considération la définition figurant au paragraphe 1 de l’article 24, qui</w:t>
      </w:r>
      <w:r>
        <w:rPr>
          <w:lang w:val="fr-FR"/>
        </w:rPr>
        <w:t xml:space="preserve"> </w:t>
      </w:r>
      <w:r w:rsidRPr="004E0342">
        <w:rPr>
          <w:lang w:val="fr-FR"/>
        </w:rPr>
        <w:t>souligne que</w:t>
      </w:r>
      <w:proofErr w:type="gramStart"/>
      <w:r w:rsidRPr="004E0342">
        <w:rPr>
          <w:lang w:val="fr-FR"/>
        </w:rPr>
        <w:t xml:space="preserve"> «aux</w:t>
      </w:r>
      <w:proofErr w:type="gramEnd"/>
      <w:r w:rsidRPr="004E0342">
        <w:rPr>
          <w:lang w:val="fr-FR"/>
        </w:rPr>
        <w:t xml:space="preserve"> fins de [la] Convention, on entend par “victime” la personne disparue et</w:t>
      </w:r>
      <w:r>
        <w:rPr>
          <w:lang w:val="fr-FR"/>
        </w:rPr>
        <w:t xml:space="preserve"> </w:t>
      </w:r>
      <w:r w:rsidRPr="004E0342">
        <w:rPr>
          <w:lang w:val="fr-FR"/>
        </w:rPr>
        <w:t>toute personne physique ayant subi un préjudice direct du fait d’une disparition forcée»,</w:t>
      </w:r>
    </w:p>
    <w:p w14:paraId="4D5FE891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Rappelant que, par essence, la disparition forcée est un crime continu,</w:t>
      </w:r>
    </w:p>
    <w:p w14:paraId="37A1CBF1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Rappelant le paragraphe 2 de l’article 35, qui établit que «si un État devient partie à</w:t>
      </w:r>
      <w:r>
        <w:rPr>
          <w:lang w:val="fr-FR"/>
        </w:rPr>
        <w:t xml:space="preserve"> </w:t>
      </w:r>
      <w:r w:rsidRPr="004E0342">
        <w:rPr>
          <w:lang w:val="fr-FR"/>
        </w:rPr>
        <w:t>[la] Convention après l’entrée en vigueur de celle-ci, ses obligations vis-à-vis du Comité ne</w:t>
      </w:r>
      <w:r>
        <w:rPr>
          <w:lang w:val="fr-FR"/>
        </w:rPr>
        <w:t xml:space="preserve"> </w:t>
      </w:r>
      <w:r w:rsidRPr="004E0342">
        <w:rPr>
          <w:lang w:val="fr-FR"/>
        </w:rPr>
        <w:t>concernent que les disparitions forcées ayant débuté postérieurement à l’entrée en vigueur</w:t>
      </w:r>
      <w:r>
        <w:rPr>
          <w:lang w:val="fr-FR"/>
        </w:rPr>
        <w:t xml:space="preserve"> </w:t>
      </w:r>
      <w:r w:rsidRPr="004E0342">
        <w:rPr>
          <w:lang w:val="fr-FR"/>
        </w:rPr>
        <w:t xml:space="preserve">de [la] Convention à son </w:t>
      </w:r>
      <w:proofErr w:type="gramStart"/>
      <w:r w:rsidRPr="004E0342">
        <w:rPr>
          <w:lang w:val="fr-FR"/>
        </w:rPr>
        <w:t>égard»</w:t>
      </w:r>
      <w:proofErr w:type="gramEnd"/>
      <w:r w:rsidRPr="004E0342">
        <w:rPr>
          <w:lang w:val="fr-FR"/>
        </w:rPr>
        <w:t>,</w:t>
      </w:r>
      <w:r>
        <w:rPr>
          <w:lang w:val="fr-FR"/>
        </w:rPr>
        <w:t xml:space="preserve"> </w:t>
      </w:r>
    </w:p>
    <w:p w14:paraId="3492F28A" w14:textId="77777777" w:rsidR="004E0342" w:rsidRDefault="004E0342" w:rsidP="004E0342">
      <w:pPr>
        <w:spacing w:before="240" w:line="360" w:lineRule="auto"/>
        <w:rPr>
          <w:lang w:val="fr-FR"/>
        </w:rPr>
      </w:pPr>
      <w:r w:rsidRPr="004E0342">
        <w:rPr>
          <w:lang w:val="fr-FR"/>
        </w:rPr>
        <w:t>Soulignant que, conformément à l’article 37,</w:t>
      </w:r>
      <w:proofErr w:type="gramStart"/>
      <w:r w:rsidRPr="004E0342">
        <w:rPr>
          <w:lang w:val="fr-FR"/>
        </w:rPr>
        <w:t xml:space="preserve"> «aucune</w:t>
      </w:r>
      <w:proofErr w:type="gramEnd"/>
      <w:r w:rsidRPr="004E0342">
        <w:rPr>
          <w:lang w:val="fr-FR"/>
        </w:rPr>
        <w:t xml:space="preserve"> des dispositions de [la]</w:t>
      </w:r>
      <w:r>
        <w:rPr>
          <w:lang w:val="fr-FR"/>
        </w:rPr>
        <w:t xml:space="preserve"> </w:t>
      </w:r>
      <w:r w:rsidRPr="004E0342">
        <w:rPr>
          <w:lang w:val="fr-FR"/>
        </w:rPr>
        <w:t>Convention ne porte atteinte aux dispositions plus favorables à la protection de toutes les</w:t>
      </w:r>
      <w:r>
        <w:rPr>
          <w:lang w:val="fr-FR"/>
        </w:rPr>
        <w:t xml:space="preserve"> </w:t>
      </w:r>
      <w:r w:rsidRPr="004E0342">
        <w:rPr>
          <w:lang w:val="fr-FR"/>
        </w:rPr>
        <w:t xml:space="preserve">personnes contre les disparitions forcées qui peuvent figurer: </w:t>
      </w:r>
    </w:p>
    <w:p w14:paraId="79A278CA" w14:textId="77777777" w:rsidR="004E0342" w:rsidRDefault="004E0342" w:rsidP="004E0342">
      <w:pPr>
        <w:spacing w:before="240" w:line="360" w:lineRule="auto"/>
        <w:rPr>
          <w:lang w:val="fr-FR"/>
        </w:rPr>
      </w:pPr>
      <w:r>
        <w:rPr>
          <w:lang w:val="fr-FR"/>
        </w:rPr>
        <w:tab/>
      </w:r>
      <w:r w:rsidRPr="004E0342">
        <w:rPr>
          <w:lang w:val="fr-FR"/>
        </w:rPr>
        <w:t>a) dans la législation d’un État</w:t>
      </w:r>
      <w:r>
        <w:rPr>
          <w:lang w:val="fr-FR"/>
        </w:rPr>
        <w:t xml:space="preserve"> </w:t>
      </w:r>
      <w:proofErr w:type="gramStart"/>
      <w:r w:rsidRPr="004E0342">
        <w:rPr>
          <w:lang w:val="fr-FR"/>
        </w:rPr>
        <w:t>partie;</w:t>
      </w:r>
      <w:proofErr w:type="gramEnd"/>
    </w:p>
    <w:p w14:paraId="55354DB7" w14:textId="77777777" w:rsidR="001D0FA7" w:rsidRDefault="004E0342" w:rsidP="001D0FA7">
      <w:pPr>
        <w:spacing w:before="240" w:line="360" w:lineRule="auto"/>
        <w:rPr>
          <w:lang w:val="fr-FR"/>
        </w:rPr>
      </w:pPr>
      <w:r>
        <w:rPr>
          <w:lang w:val="fr-FR"/>
        </w:rPr>
        <w:tab/>
      </w:r>
      <w:r w:rsidRPr="004E0342">
        <w:rPr>
          <w:lang w:val="fr-FR"/>
        </w:rPr>
        <w:t xml:space="preserve"> b) dans le droit international en vigueur pour cet </w:t>
      </w:r>
      <w:proofErr w:type="gramStart"/>
      <w:r w:rsidRPr="004E0342">
        <w:rPr>
          <w:lang w:val="fr-FR"/>
        </w:rPr>
        <w:t>État»</w:t>
      </w:r>
      <w:proofErr w:type="gramEnd"/>
      <w:r w:rsidRPr="004E0342">
        <w:rPr>
          <w:lang w:val="fr-FR"/>
        </w:rPr>
        <w:t>,</w:t>
      </w:r>
    </w:p>
    <w:p w14:paraId="641C9FF2" w14:textId="77777777" w:rsidR="001D0FA7" w:rsidRDefault="004E0342" w:rsidP="001D0FA7">
      <w:pPr>
        <w:spacing w:before="240" w:line="360" w:lineRule="auto"/>
        <w:rPr>
          <w:lang w:val="fr-FR"/>
        </w:rPr>
      </w:pPr>
      <w:r w:rsidRPr="004E0342">
        <w:rPr>
          <w:lang w:val="fr-FR"/>
        </w:rPr>
        <w:t>Prenant note du paragraphe 1 de l’article 29, qui dispose que</w:t>
      </w:r>
      <w:proofErr w:type="gramStart"/>
      <w:r w:rsidRPr="004E0342">
        <w:rPr>
          <w:lang w:val="fr-FR"/>
        </w:rPr>
        <w:t xml:space="preserve"> «tout</w:t>
      </w:r>
      <w:proofErr w:type="gramEnd"/>
      <w:r w:rsidRPr="004E0342">
        <w:rPr>
          <w:lang w:val="fr-FR"/>
        </w:rPr>
        <w:t xml:space="preserve"> État partie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présente au Comité […] un rapport sur les mesures qu’il a prises pour donner effet à ses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obligations au titre de [la] Convention, dans un délai de deux ans à compter de l’entrée en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vigueur de la Convention pour l’État partie concerné»,</w:t>
      </w:r>
    </w:p>
    <w:p w14:paraId="356521CD" w14:textId="77777777" w:rsidR="001D0FA7" w:rsidRDefault="004E0342" w:rsidP="001D0FA7">
      <w:pPr>
        <w:spacing w:before="240" w:line="360" w:lineRule="auto"/>
        <w:rPr>
          <w:lang w:val="fr-FR"/>
        </w:rPr>
      </w:pPr>
      <w:r w:rsidRPr="004E0342">
        <w:rPr>
          <w:lang w:val="fr-FR"/>
        </w:rPr>
        <w:t xml:space="preserve">Désireux de préciser le champ de ses attributions </w:t>
      </w:r>
      <w:r w:rsidRPr="001D0FA7">
        <w:rPr>
          <w:i/>
          <w:iCs/>
          <w:lang w:val="fr-FR"/>
        </w:rPr>
        <w:t>ratione temporis</w:t>
      </w:r>
      <w:r w:rsidRPr="004E0342">
        <w:rPr>
          <w:lang w:val="fr-FR"/>
        </w:rPr>
        <w:t xml:space="preserve"> dans un souci de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cohérence, de prévisibilité et de sûreté juridique pour les États parties comme pour les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 xml:space="preserve">victimes, déclare ce qui </w:t>
      </w:r>
      <w:proofErr w:type="gramStart"/>
      <w:r w:rsidRPr="004E0342">
        <w:rPr>
          <w:lang w:val="fr-FR"/>
        </w:rPr>
        <w:t>suit:</w:t>
      </w:r>
      <w:proofErr w:type="gramEnd"/>
    </w:p>
    <w:p w14:paraId="12B5D6DF" w14:textId="77777777" w:rsidR="001D0FA7" w:rsidRDefault="004E0342" w:rsidP="001D0FA7">
      <w:pPr>
        <w:spacing w:before="240" w:line="360" w:lineRule="auto"/>
        <w:rPr>
          <w:lang w:val="fr-FR"/>
        </w:rPr>
      </w:pPr>
      <w:r w:rsidRPr="004E0342">
        <w:rPr>
          <w:lang w:val="fr-FR"/>
        </w:rPr>
        <w:t>1. Le Comité est lié par l’article 35 dans l’exercice de sa compétence et ne peut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statuer sur des cas de disparition forcée ayant débuté avant l’entrée en vigueur de la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 xml:space="preserve">Convention à l’égard de l’État </w:t>
      </w:r>
      <w:proofErr w:type="gramStart"/>
      <w:r w:rsidRPr="004E0342">
        <w:rPr>
          <w:lang w:val="fr-FR"/>
        </w:rPr>
        <w:t>concerné;</w:t>
      </w:r>
      <w:proofErr w:type="gramEnd"/>
    </w:p>
    <w:p w14:paraId="13192BFD" w14:textId="77777777" w:rsidR="001D0FA7" w:rsidRDefault="004E0342" w:rsidP="001D0FA7">
      <w:pPr>
        <w:spacing w:before="240" w:line="360" w:lineRule="auto"/>
        <w:rPr>
          <w:lang w:val="fr-FR"/>
        </w:rPr>
      </w:pPr>
      <w:r w:rsidRPr="004E0342">
        <w:rPr>
          <w:lang w:val="fr-FR"/>
        </w:rPr>
        <w:lastRenderedPageBreak/>
        <w:t>2. L’article 29 traite des</w:t>
      </w:r>
      <w:proofErr w:type="gramStart"/>
      <w:r w:rsidRPr="004E0342">
        <w:rPr>
          <w:lang w:val="fr-FR"/>
        </w:rPr>
        <w:t xml:space="preserve"> «obligations</w:t>
      </w:r>
      <w:proofErr w:type="gramEnd"/>
      <w:r w:rsidRPr="004E0342">
        <w:rPr>
          <w:lang w:val="fr-FR"/>
        </w:rPr>
        <w:t xml:space="preserve"> au titre de la Convention» à la lumière du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«droit international en vigueur pour [l’]État partie [concerné]» et impose de prendre en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considération l’ensemble des obligations actuelles de cet État dans le cadre du processus de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présentation de rapports;</w:t>
      </w:r>
      <w:r w:rsidR="001D0FA7">
        <w:rPr>
          <w:lang w:val="fr-FR"/>
        </w:rPr>
        <w:t xml:space="preserve"> </w:t>
      </w:r>
    </w:p>
    <w:p w14:paraId="784AD21E" w14:textId="77777777" w:rsidR="007451A5" w:rsidRDefault="004E0342" w:rsidP="007451A5">
      <w:pPr>
        <w:spacing w:before="240" w:line="360" w:lineRule="auto"/>
        <w:rPr>
          <w:lang w:val="fr-FR"/>
        </w:rPr>
      </w:pPr>
      <w:r w:rsidRPr="004E0342">
        <w:rPr>
          <w:lang w:val="fr-FR"/>
        </w:rPr>
        <w:t>3. Si des éléments d’information ayant trait au passé sont utiles dans le cadre du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processus de présentation de rapports pour comprendre pleinement les difficultés présentes,</w:t>
      </w:r>
      <w:r w:rsidR="001D0FA7">
        <w:rPr>
          <w:lang w:val="fr-FR"/>
        </w:rPr>
        <w:t xml:space="preserve"> l</w:t>
      </w:r>
      <w:r w:rsidRPr="004E0342">
        <w:rPr>
          <w:lang w:val="fr-FR"/>
        </w:rPr>
        <w:t>e Comité est tenu d’appeler l’attention, dans ses observations finales, sur les obligations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 xml:space="preserve">actuelles de l’État </w:t>
      </w:r>
      <w:proofErr w:type="gramStart"/>
      <w:r w:rsidRPr="004E0342">
        <w:rPr>
          <w:lang w:val="fr-FR"/>
        </w:rPr>
        <w:t>concerné;</w:t>
      </w:r>
      <w:proofErr w:type="gramEnd"/>
    </w:p>
    <w:p w14:paraId="592AD77F" w14:textId="3B604BDB" w:rsidR="00446FE5" w:rsidRPr="004E0342" w:rsidRDefault="004E0342" w:rsidP="007451A5">
      <w:pPr>
        <w:spacing w:before="240" w:line="360" w:lineRule="auto"/>
        <w:rPr>
          <w:lang w:val="fr-FR"/>
        </w:rPr>
      </w:pPr>
      <w:r w:rsidRPr="004E0342">
        <w:rPr>
          <w:lang w:val="fr-FR"/>
        </w:rPr>
        <w:t xml:space="preserve">4. La présente déclaration n’affecte en rien le caractère </w:t>
      </w:r>
      <w:r w:rsidRPr="001D0FA7">
        <w:rPr>
          <w:i/>
          <w:iCs/>
          <w:lang w:val="fr-FR"/>
        </w:rPr>
        <w:t>erga omnes</w:t>
      </w:r>
      <w:r w:rsidRPr="004E0342">
        <w:rPr>
          <w:lang w:val="fr-FR"/>
        </w:rPr>
        <w:t xml:space="preserve"> des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obligations que la Convention impose aux États, ni la juridiction universelle des tribunaux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nationaux ou le champ d’application de l’article 42 dans le contexte du règlement des</w:t>
      </w:r>
      <w:r w:rsidR="001D0FA7">
        <w:rPr>
          <w:lang w:val="fr-FR"/>
        </w:rPr>
        <w:t xml:space="preserve"> </w:t>
      </w:r>
      <w:r w:rsidRPr="004E0342">
        <w:rPr>
          <w:lang w:val="fr-FR"/>
        </w:rPr>
        <w:t>différends au niveau international.</w:t>
      </w:r>
    </w:p>
    <w:sectPr w:rsidR="00446FE5" w:rsidRPr="004E034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03060E" w14:textId="77777777" w:rsidR="004E0342" w:rsidRDefault="004E0342" w:rsidP="00F95C08"/>
  </w:endnote>
  <w:endnote w:type="continuationSeparator" w:id="0">
    <w:p w14:paraId="31833F57" w14:textId="77777777" w:rsidR="004E0342" w:rsidRPr="00AC3823" w:rsidRDefault="004E0342" w:rsidP="00AC3823">
      <w:pPr>
        <w:pStyle w:val="Footer"/>
      </w:pPr>
    </w:p>
  </w:endnote>
  <w:endnote w:type="continuationNotice" w:id="1">
    <w:p w14:paraId="116AD93A" w14:textId="77777777" w:rsidR="004E0342" w:rsidRDefault="004E0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A110E" w14:textId="77777777" w:rsidR="004E0342" w:rsidRPr="00AC3823" w:rsidRDefault="004E034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BD99DD" w14:textId="77777777" w:rsidR="004E0342" w:rsidRPr="00AC3823" w:rsidRDefault="004E034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A75E3B0" w14:textId="77777777" w:rsidR="004E0342" w:rsidRPr="00AC3823" w:rsidRDefault="004E0342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342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D0FA7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4E0342"/>
    <w:rsid w:val="005505B7"/>
    <w:rsid w:val="005706C8"/>
    <w:rsid w:val="00573BE5"/>
    <w:rsid w:val="00586ED3"/>
    <w:rsid w:val="00596AA9"/>
    <w:rsid w:val="006122C4"/>
    <w:rsid w:val="006E2C9B"/>
    <w:rsid w:val="0071601D"/>
    <w:rsid w:val="007451A5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0078A"/>
  <w15:chartTrackingRefBased/>
  <w15:docId w15:val="{D4EC4252-2F1F-4D33-8DC8-60C48A47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C73F0B-609C-48D1-BBFC-A7F7B6419679}"/>
</file>

<file path=customXml/itemProps2.xml><?xml version="1.0" encoding="utf-8"?>
<ds:datastoreItem xmlns:ds="http://schemas.openxmlformats.org/officeDocument/2006/customXml" ds:itemID="{99A23C65-3D4F-48C2-BA59-95741DCF6DC4}"/>
</file>

<file path=customXml/itemProps3.xml><?xml version="1.0" encoding="utf-8"?>
<ds:datastoreItem xmlns:ds="http://schemas.openxmlformats.org/officeDocument/2006/customXml" ds:itemID="{169A9AA2-81FC-4201-B8AE-69E3604065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Deja</dc:creator>
  <cp:keywords/>
  <dc:description/>
  <cp:lastModifiedBy>Perrine Deja</cp:lastModifiedBy>
  <cp:revision>2</cp:revision>
  <cp:lastPrinted>2014-05-14T10:59:00Z</cp:lastPrinted>
  <dcterms:created xsi:type="dcterms:W3CDTF">2022-01-13T14:22:00Z</dcterms:created>
  <dcterms:modified xsi:type="dcterms:W3CDTF">2022-01-13T14:46:00Z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