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848152" w14:textId="77777777" w:rsidR="005D1AD7" w:rsidRPr="000A1FAF" w:rsidRDefault="005D1AD7" w:rsidP="005D1AD7">
      <w:pPr>
        <w:jc w:val="both"/>
        <w:rPr>
          <w:rFonts w:ascii="Daxline Offc Pro" w:eastAsia="Times New Roman" w:hAnsi="Daxline Offc Pro" w:cs="Times New Roman"/>
          <w:color w:val="17365D"/>
          <w:spacing w:val="5"/>
          <w:kern w:val="28"/>
          <w:sz w:val="40"/>
          <w:szCs w:val="40"/>
          <w:lang w:val="en-IE"/>
        </w:rPr>
      </w:pPr>
      <w:bookmarkStart w:id="0" w:name="_GoBack"/>
      <w:bookmarkEnd w:id="0"/>
      <w:r w:rsidRPr="000A1FAF">
        <w:rPr>
          <w:rFonts w:ascii="Daxline Offc Pro" w:eastAsia="Times New Roman" w:hAnsi="Daxline Offc Pro" w:cs="Times New Roman"/>
          <w:color w:val="17365D"/>
          <w:spacing w:val="5"/>
          <w:kern w:val="28"/>
          <w:sz w:val="40"/>
          <w:szCs w:val="40"/>
          <w:lang w:val="en-IE"/>
        </w:rPr>
        <w:t xml:space="preserve">European Union Agency for Fundamental Rights, selection of relevant and recent passages from published reports related to </w:t>
      </w:r>
      <w:r>
        <w:rPr>
          <w:rFonts w:ascii="Daxline Offc Pro" w:eastAsia="Times New Roman" w:hAnsi="Daxline Offc Pro" w:cs="Times New Roman"/>
          <w:color w:val="17365D"/>
          <w:spacing w:val="5"/>
          <w:kern w:val="28"/>
          <w:sz w:val="40"/>
          <w:szCs w:val="40"/>
          <w:lang w:val="en-IE"/>
        </w:rPr>
        <w:t xml:space="preserve">Bulgaria and the </w:t>
      </w:r>
      <w:r w:rsidRPr="005D1AD7">
        <w:rPr>
          <w:rFonts w:ascii="Daxline Offc Pro" w:eastAsia="Times New Roman" w:hAnsi="Daxline Offc Pro" w:cs="Times New Roman"/>
          <w:color w:val="17365D"/>
          <w:spacing w:val="5"/>
          <w:kern w:val="28"/>
          <w:sz w:val="40"/>
          <w:szCs w:val="40"/>
          <w:lang w:val="en-IE"/>
        </w:rPr>
        <w:t>Convention against Torture and Other Cruel, Inhuman or Degrading Treatment or Punishment</w:t>
      </w:r>
    </w:p>
    <w:p w14:paraId="6661F1B7" w14:textId="77777777" w:rsidR="005D1AD7" w:rsidRPr="005D1AD7" w:rsidRDefault="007352D2" w:rsidP="005D1AD7">
      <w:pPr>
        <w:pBdr>
          <w:bottom w:val="single" w:sz="8" w:space="4" w:color="4F81BD"/>
        </w:pBdr>
        <w:spacing w:after="300" w:line="240" w:lineRule="auto"/>
        <w:contextualSpacing/>
        <w:jc w:val="both"/>
        <w:rPr>
          <w:rFonts w:ascii="Daxline Offc Pro" w:eastAsia="Times New Roman" w:hAnsi="Daxline Offc Pro" w:cs="Times New Roman"/>
          <w:color w:val="17365D"/>
          <w:spacing w:val="5"/>
          <w:kern w:val="28"/>
          <w:sz w:val="40"/>
          <w:szCs w:val="40"/>
          <w:lang w:val="it-IT"/>
        </w:rPr>
      </w:pPr>
      <w:hyperlink r:id="rId12" w:history="1">
        <w:r w:rsidR="005D1AD7" w:rsidRPr="005D1AD7">
          <w:rPr>
            <w:rStyle w:val="Hyperlink"/>
            <w:rFonts w:ascii="Daxline Offc Pro" w:eastAsia="Times New Roman" w:hAnsi="Daxline Offc Pro" w:cs="Times New Roman"/>
            <w:spacing w:val="5"/>
            <w:kern w:val="28"/>
            <w:sz w:val="40"/>
            <w:szCs w:val="40"/>
            <w:u w:val="none"/>
            <w:lang w:val="it-IT"/>
          </w:rPr>
          <w:t>fra.europa.eu</w:t>
        </w:r>
      </w:hyperlink>
    </w:p>
    <w:p w14:paraId="6E831840" w14:textId="73C3A733" w:rsidR="00CF0D62" w:rsidRDefault="003D040B" w:rsidP="005D1AD7">
      <w:pPr>
        <w:numPr>
          <w:ilvl w:val="1"/>
          <w:numId w:val="0"/>
        </w:numPr>
        <w:spacing w:after="200" w:line="276" w:lineRule="auto"/>
        <w:jc w:val="both"/>
        <w:rPr>
          <w:rFonts w:ascii="Daxline Offc Pro" w:eastAsia="Times New Roman" w:hAnsi="Daxline Offc Pro" w:cs="Times New Roman"/>
          <w:i/>
          <w:iCs/>
          <w:color w:val="4F81BD"/>
          <w:spacing w:val="15"/>
          <w:sz w:val="24"/>
          <w:szCs w:val="24"/>
          <w:lang w:val="it-IT"/>
        </w:rPr>
      </w:pPr>
      <w:r>
        <w:rPr>
          <w:rFonts w:ascii="Daxline Offc Pro" w:eastAsia="Times New Roman" w:hAnsi="Daxline Offc Pro" w:cs="Times New Roman"/>
          <w:i/>
          <w:iCs/>
          <w:color w:val="4F81BD"/>
          <w:spacing w:val="15"/>
          <w:sz w:val="24"/>
          <w:szCs w:val="24"/>
          <w:lang w:val="it-IT"/>
        </w:rPr>
        <w:t>6 October</w:t>
      </w:r>
      <w:r w:rsidR="005D1AD7" w:rsidRPr="007D6A24">
        <w:rPr>
          <w:rFonts w:ascii="Daxline Offc Pro" w:eastAsia="Times New Roman" w:hAnsi="Daxline Offc Pro" w:cs="Times New Roman"/>
          <w:i/>
          <w:iCs/>
          <w:color w:val="4F81BD"/>
          <w:spacing w:val="15"/>
          <w:sz w:val="24"/>
          <w:szCs w:val="24"/>
          <w:lang w:val="it-IT"/>
        </w:rPr>
        <w:t xml:space="preserve"> 2017, Vienna</w:t>
      </w:r>
    </w:p>
    <w:sdt>
      <w:sdtPr>
        <w:rPr>
          <w:rFonts w:asciiTheme="minorHAnsi" w:eastAsiaTheme="minorHAnsi" w:hAnsiTheme="minorHAnsi" w:cstheme="minorBidi"/>
          <w:color w:val="auto"/>
          <w:sz w:val="22"/>
          <w:szCs w:val="22"/>
          <w:lang w:val="en-GB"/>
        </w:rPr>
        <w:id w:val="1725940370"/>
        <w:docPartObj>
          <w:docPartGallery w:val="Table of Contents"/>
          <w:docPartUnique/>
        </w:docPartObj>
      </w:sdtPr>
      <w:sdtEndPr>
        <w:rPr>
          <w:b/>
          <w:bCs/>
          <w:noProof/>
        </w:rPr>
      </w:sdtEndPr>
      <w:sdtContent>
        <w:p w14:paraId="4AC4D60F" w14:textId="007D0AB9" w:rsidR="00CF0D62" w:rsidRPr="007352D2" w:rsidRDefault="00CF0D62">
          <w:pPr>
            <w:pStyle w:val="TOCHeading"/>
            <w:rPr>
              <w:rFonts w:ascii="Daxline Offc Pro" w:hAnsi="Daxline Offc Pro"/>
              <w:lang w:val="fr-CH"/>
            </w:rPr>
          </w:pPr>
          <w:r w:rsidRPr="007352D2">
            <w:rPr>
              <w:rFonts w:ascii="Daxline Offc Pro" w:hAnsi="Daxline Offc Pro"/>
              <w:lang w:val="fr-CH"/>
            </w:rPr>
            <w:t>Contents</w:t>
          </w:r>
        </w:p>
        <w:p w14:paraId="0AD7359B" w14:textId="77777777" w:rsidR="0019104F" w:rsidRDefault="00CF0D62">
          <w:pPr>
            <w:pStyle w:val="TOC1"/>
            <w:tabs>
              <w:tab w:val="right" w:leader="dot" w:pos="9016"/>
            </w:tabs>
            <w:rPr>
              <w:rFonts w:eastAsiaTheme="minorEastAsia"/>
              <w:noProof/>
              <w:lang w:eastAsia="en-GB"/>
            </w:rPr>
          </w:pPr>
          <w:r w:rsidRPr="009A081D">
            <w:rPr>
              <w:rFonts w:ascii="Daxline Offc Pro" w:hAnsi="Daxline Offc Pro"/>
            </w:rPr>
            <w:fldChar w:fldCharType="begin"/>
          </w:r>
          <w:r w:rsidRPr="009A081D">
            <w:rPr>
              <w:rFonts w:ascii="Daxline Offc Pro" w:hAnsi="Daxline Offc Pro"/>
            </w:rPr>
            <w:instrText xml:space="preserve"> TOC \o "1-3" \h \z \u </w:instrText>
          </w:r>
          <w:r w:rsidRPr="009A081D">
            <w:rPr>
              <w:rFonts w:ascii="Daxline Offc Pro" w:hAnsi="Daxline Offc Pro"/>
            </w:rPr>
            <w:fldChar w:fldCharType="separate"/>
          </w:r>
          <w:hyperlink w:anchor="_Toc495069924" w:history="1">
            <w:r w:rsidR="0019104F" w:rsidRPr="002049BA">
              <w:rPr>
                <w:rStyle w:val="Hyperlink"/>
                <w:rFonts w:eastAsia="Times New Roman"/>
                <w:noProof/>
                <w:lang w:eastAsia="en-GB"/>
              </w:rPr>
              <w:t>Article 2 and Article 16</w:t>
            </w:r>
            <w:r w:rsidR="0019104F">
              <w:rPr>
                <w:noProof/>
                <w:webHidden/>
              </w:rPr>
              <w:tab/>
            </w:r>
            <w:r w:rsidR="0019104F">
              <w:rPr>
                <w:noProof/>
                <w:webHidden/>
              </w:rPr>
              <w:fldChar w:fldCharType="begin"/>
            </w:r>
            <w:r w:rsidR="0019104F">
              <w:rPr>
                <w:noProof/>
                <w:webHidden/>
              </w:rPr>
              <w:instrText xml:space="preserve"> PAGEREF _Toc495069924 \h </w:instrText>
            </w:r>
            <w:r w:rsidR="0019104F">
              <w:rPr>
                <w:noProof/>
                <w:webHidden/>
              </w:rPr>
            </w:r>
            <w:r w:rsidR="0019104F">
              <w:rPr>
                <w:noProof/>
                <w:webHidden/>
              </w:rPr>
              <w:fldChar w:fldCharType="separate"/>
            </w:r>
            <w:r w:rsidR="0019104F">
              <w:rPr>
                <w:noProof/>
                <w:webHidden/>
              </w:rPr>
              <w:t>1</w:t>
            </w:r>
            <w:r w:rsidR="0019104F">
              <w:rPr>
                <w:noProof/>
                <w:webHidden/>
              </w:rPr>
              <w:fldChar w:fldCharType="end"/>
            </w:r>
          </w:hyperlink>
        </w:p>
        <w:p w14:paraId="7D301FB8" w14:textId="77777777" w:rsidR="0019104F" w:rsidRDefault="007352D2">
          <w:pPr>
            <w:pStyle w:val="TOC2"/>
            <w:tabs>
              <w:tab w:val="right" w:leader="dot" w:pos="9016"/>
            </w:tabs>
            <w:rPr>
              <w:rFonts w:eastAsiaTheme="minorEastAsia"/>
              <w:noProof/>
              <w:lang w:eastAsia="en-GB"/>
            </w:rPr>
          </w:pPr>
          <w:hyperlink w:anchor="_Toc495069925" w:history="1">
            <w:r w:rsidR="0019104F" w:rsidRPr="002049BA">
              <w:rPr>
                <w:rStyle w:val="Hyperlink"/>
                <w:noProof/>
              </w:rPr>
              <w:t>Migration-related torture and ill-treatment</w:t>
            </w:r>
            <w:r w:rsidR="0019104F">
              <w:rPr>
                <w:noProof/>
                <w:webHidden/>
              </w:rPr>
              <w:tab/>
            </w:r>
            <w:r w:rsidR="0019104F">
              <w:rPr>
                <w:noProof/>
                <w:webHidden/>
              </w:rPr>
              <w:fldChar w:fldCharType="begin"/>
            </w:r>
            <w:r w:rsidR="0019104F">
              <w:rPr>
                <w:noProof/>
                <w:webHidden/>
              </w:rPr>
              <w:instrText xml:space="preserve"> PAGEREF _Toc495069925 \h </w:instrText>
            </w:r>
            <w:r w:rsidR="0019104F">
              <w:rPr>
                <w:noProof/>
                <w:webHidden/>
              </w:rPr>
            </w:r>
            <w:r w:rsidR="0019104F">
              <w:rPr>
                <w:noProof/>
                <w:webHidden/>
              </w:rPr>
              <w:fldChar w:fldCharType="separate"/>
            </w:r>
            <w:r w:rsidR="0019104F">
              <w:rPr>
                <w:noProof/>
                <w:webHidden/>
              </w:rPr>
              <w:t>1</w:t>
            </w:r>
            <w:r w:rsidR="0019104F">
              <w:rPr>
                <w:noProof/>
                <w:webHidden/>
              </w:rPr>
              <w:fldChar w:fldCharType="end"/>
            </w:r>
          </w:hyperlink>
        </w:p>
        <w:p w14:paraId="3A3DE0B0" w14:textId="77777777" w:rsidR="0019104F" w:rsidRDefault="007352D2">
          <w:pPr>
            <w:pStyle w:val="TOC2"/>
            <w:tabs>
              <w:tab w:val="right" w:leader="dot" w:pos="9016"/>
            </w:tabs>
            <w:rPr>
              <w:rFonts w:eastAsiaTheme="minorEastAsia"/>
              <w:noProof/>
              <w:lang w:eastAsia="en-GB"/>
            </w:rPr>
          </w:pPr>
          <w:hyperlink w:anchor="_Toc495069926" w:history="1">
            <w:r w:rsidR="0019104F" w:rsidRPr="002049BA">
              <w:rPr>
                <w:rStyle w:val="Hyperlink"/>
                <w:noProof/>
              </w:rPr>
              <w:t>Torture and other cruel, inhuman or degrading treatment or punishment in police custody and pre-trial detention</w:t>
            </w:r>
            <w:r w:rsidR="0019104F">
              <w:rPr>
                <w:noProof/>
                <w:webHidden/>
              </w:rPr>
              <w:tab/>
            </w:r>
            <w:r w:rsidR="0019104F">
              <w:rPr>
                <w:noProof/>
                <w:webHidden/>
              </w:rPr>
              <w:fldChar w:fldCharType="begin"/>
            </w:r>
            <w:r w:rsidR="0019104F">
              <w:rPr>
                <w:noProof/>
                <w:webHidden/>
              </w:rPr>
              <w:instrText xml:space="preserve"> PAGEREF _Toc495069926 \h </w:instrText>
            </w:r>
            <w:r w:rsidR="0019104F">
              <w:rPr>
                <w:noProof/>
                <w:webHidden/>
              </w:rPr>
            </w:r>
            <w:r w:rsidR="0019104F">
              <w:rPr>
                <w:noProof/>
                <w:webHidden/>
              </w:rPr>
              <w:fldChar w:fldCharType="separate"/>
            </w:r>
            <w:r w:rsidR="0019104F">
              <w:rPr>
                <w:noProof/>
                <w:webHidden/>
              </w:rPr>
              <w:t>2</w:t>
            </w:r>
            <w:r w:rsidR="0019104F">
              <w:rPr>
                <w:noProof/>
                <w:webHidden/>
              </w:rPr>
              <w:fldChar w:fldCharType="end"/>
            </w:r>
          </w:hyperlink>
        </w:p>
        <w:p w14:paraId="72E189BD" w14:textId="77777777" w:rsidR="0019104F" w:rsidRDefault="007352D2">
          <w:pPr>
            <w:pStyle w:val="TOC1"/>
            <w:tabs>
              <w:tab w:val="right" w:leader="dot" w:pos="9016"/>
            </w:tabs>
            <w:rPr>
              <w:rFonts w:eastAsiaTheme="minorEastAsia"/>
              <w:noProof/>
              <w:lang w:eastAsia="en-GB"/>
            </w:rPr>
          </w:pPr>
          <w:hyperlink w:anchor="_Toc495069927" w:history="1">
            <w:r w:rsidR="0019104F" w:rsidRPr="002049BA">
              <w:rPr>
                <w:rStyle w:val="Hyperlink"/>
                <w:rFonts w:eastAsia="Times New Roman"/>
                <w:noProof/>
                <w:lang w:eastAsia="en-GB"/>
              </w:rPr>
              <w:t>Article 3</w:t>
            </w:r>
            <w:r w:rsidR="0019104F">
              <w:rPr>
                <w:noProof/>
                <w:webHidden/>
              </w:rPr>
              <w:tab/>
            </w:r>
            <w:r w:rsidR="0019104F">
              <w:rPr>
                <w:noProof/>
                <w:webHidden/>
              </w:rPr>
              <w:fldChar w:fldCharType="begin"/>
            </w:r>
            <w:r w:rsidR="0019104F">
              <w:rPr>
                <w:noProof/>
                <w:webHidden/>
              </w:rPr>
              <w:instrText xml:space="preserve"> PAGEREF _Toc495069927 \h </w:instrText>
            </w:r>
            <w:r w:rsidR="0019104F">
              <w:rPr>
                <w:noProof/>
                <w:webHidden/>
              </w:rPr>
            </w:r>
            <w:r w:rsidR="0019104F">
              <w:rPr>
                <w:noProof/>
                <w:webHidden/>
              </w:rPr>
              <w:fldChar w:fldCharType="separate"/>
            </w:r>
            <w:r w:rsidR="0019104F">
              <w:rPr>
                <w:noProof/>
                <w:webHidden/>
              </w:rPr>
              <w:t>2</w:t>
            </w:r>
            <w:r w:rsidR="0019104F">
              <w:rPr>
                <w:noProof/>
                <w:webHidden/>
              </w:rPr>
              <w:fldChar w:fldCharType="end"/>
            </w:r>
          </w:hyperlink>
        </w:p>
        <w:p w14:paraId="516E14A4" w14:textId="77777777" w:rsidR="0019104F" w:rsidRDefault="007352D2">
          <w:pPr>
            <w:pStyle w:val="TOC2"/>
            <w:tabs>
              <w:tab w:val="right" w:leader="dot" w:pos="9016"/>
            </w:tabs>
            <w:rPr>
              <w:rFonts w:eastAsiaTheme="minorEastAsia"/>
              <w:noProof/>
              <w:lang w:eastAsia="en-GB"/>
            </w:rPr>
          </w:pPr>
          <w:hyperlink w:anchor="_Toc495069928" w:history="1">
            <w:r w:rsidR="0019104F" w:rsidRPr="002049BA">
              <w:rPr>
                <w:rStyle w:val="Hyperlink"/>
                <w:noProof/>
              </w:rPr>
              <w:t>Non-refoulement</w:t>
            </w:r>
            <w:r w:rsidR="0019104F">
              <w:rPr>
                <w:noProof/>
                <w:webHidden/>
              </w:rPr>
              <w:tab/>
            </w:r>
            <w:r w:rsidR="0019104F">
              <w:rPr>
                <w:noProof/>
                <w:webHidden/>
              </w:rPr>
              <w:fldChar w:fldCharType="begin"/>
            </w:r>
            <w:r w:rsidR="0019104F">
              <w:rPr>
                <w:noProof/>
                <w:webHidden/>
              </w:rPr>
              <w:instrText xml:space="preserve"> PAGEREF _Toc495069928 \h </w:instrText>
            </w:r>
            <w:r w:rsidR="0019104F">
              <w:rPr>
                <w:noProof/>
                <w:webHidden/>
              </w:rPr>
            </w:r>
            <w:r w:rsidR="0019104F">
              <w:rPr>
                <w:noProof/>
                <w:webHidden/>
              </w:rPr>
              <w:fldChar w:fldCharType="separate"/>
            </w:r>
            <w:r w:rsidR="0019104F">
              <w:rPr>
                <w:noProof/>
                <w:webHidden/>
              </w:rPr>
              <w:t>2</w:t>
            </w:r>
            <w:r w:rsidR="0019104F">
              <w:rPr>
                <w:noProof/>
                <w:webHidden/>
              </w:rPr>
              <w:fldChar w:fldCharType="end"/>
            </w:r>
          </w:hyperlink>
        </w:p>
        <w:p w14:paraId="77A0980A" w14:textId="6C126F89" w:rsidR="00B1494B" w:rsidRPr="00CF0D62" w:rsidRDefault="00CF0D62" w:rsidP="00CF0D62">
          <w:r w:rsidRPr="009A081D">
            <w:rPr>
              <w:rFonts w:ascii="Daxline Offc Pro" w:hAnsi="Daxline Offc Pro"/>
              <w:b/>
              <w:bCs/>
              <w:noProof/>
            </w:rPr>
            <w:fldChar w:fldCharType="end"/>
          </w:r>
        </w:p>
      </w:sdtContent>
    </w:sdt>
    <w:p w14:paraId="29EDC7A2" w14:textId="77777777" w:rsidR="0019104F" w:rsidRDefault="0019104F" w:rsidP="005E2C3E">
      <w:pPr>
        <w:rPr>
          <w:rFonts w:ascii="Daxline Offc Pro" w:hAnsi="Daxline Offc Pro"/>
          <w:lang w:eastAsia="en-GB"/>
        </w:rPr>
      </w:pPr>
    </w:p>
    <w:p w14:paraId="232651B0" w14:textId="22105C7B" w:rsidR="0019104F" w:rsidRDefault="0019104F" w:rsidP="005E2C3E">
      <w:pPr>
        <w:rPr>
          <w:rFonts w:ascii="Daxline Offc Pro" w:hAnsi="Daxline Offc Pro"/>
          <w:lang w:eastAsia="en-GB"/>
        </w:rPr>
      </w:pPr>
      <w:r w:rsidRPr="005E2C3E">
        <w:rPr>
          <w:rFonts w:ascii="Daxline Offc Pro" w:hAnsi="Daxline Offc Pro"/>
          <w:lang w:eastAsia="en-GB"/>
        </w:rPr>
        <w:t xml:space="preserve">Emphasis in </w:t>
      </w:r>
      <w:r w:rsidRPr="005E2C3E">
        <w:rPr>
          <w:rFonts w:ascii="Daxline Offc Pro" w:hAnsi="Daxline Offc Pro"/>
          <w:b/>
          <w:lang w:eastAsia="en-GB"/>
        </w:rPr>
        <w:t>bold</w:t>
      </w:r>
      <w:r w:rsidRPr="005E2C3E">
        <w:rPr>
          <w:rFonts w:ascii="Daxline Offc Pro" w:hAnsi="Daxline Offc Pro"/>
          <w:lang w:eastAsia="en-GB"/>
        </w:rPr>
        <w:t xml:space="preserve"> added </w:t>
      </w:r>
    </w:p>
    <w:p w14:paraId="66F5AE64" w14:textId="101895C5" w:rsidR="00B242F7" w:rsidRPr="00B242F7" w:rsidRDefault="00A726EE" w:rsidP="00B242F7">
      <w:pPr>
        <w:pStyle w:val="Heading1"/>
        <w:rPr>
          <w:rFonts w:eastAsia="Times New Roman"/>
          <w:lang w:eastAsia="en-GB"/>
        </w:rPr>
      </w:pPr>
      <w:bookmarkStart w:id="1" w:name="_Toc495069924"/>
      <w:r>
        <w:rPr>
          <w:rFonts w:eastAsia="Times New Roman"/>
          <w:lang w:eastAsia="en-GB"/>
        </w:rPr>
        <w:t xml:space="preserve">Article 2 and </w:t>
      </w:r>
      <w:r w:rsidR="00A20989" w:rsidRPr="00A20989">
        <w:rPr>
          <w:rFonts w:eastAsia="Times New Roman"/>
          <w:lang w:eastAsia="en-GB"/>
        </w:rPr>
        <w:t>Article 16</w:t>
      </w:r>
      <w:bookmarkEnd w:id="1"/>
      <w:r w:rsidR="00A20989" w:rsidRPr="00A20989">
        <w:rPr>
          <w:rFonts w:eastAsia="Times New Roman"/>
          <w:lang w:eastAsia="en-GB"/>
        </w:rPr>
        <w:t xml:space="preserve"> </w:t>
      </w:r>
    </w:p>
    <w:p w14:paraId="7A302EC8" w14:textId="77777777" w:rsidR="00B242F7" w:rsidRPr="00B242F7" w:rsidRDefault="001A21AA" w:rsidP="00B242F7">
      <w:pPr>
        <w:pStyle w:val="Heading2"/>
      </w:pPr>
      <w:bookmarkStart w:id="2" w:name="_Toc495069925"/>
      <w:r>
        <w:t>Migration-related torture and ill-treatment</w:t>
      </w:r>
      <w:bookmarkEnd w:id="2"/>
    </w:p>
    <w:p w14:paraId="257FA38C" w14:textId="77777777" w:rsidR="00A726EE" w:rsidRPr="00A726EE" w:rsidRDefault="00A726EE" w:rsidP="00A726EE">
      <w:pPr>
        <w:jc w:val="both"/>
        <w:rPr>
          <w:rFonts w:ascii="Daxline Offc Pro" w:hAnsi="Daxline Offc Pro"/>
        </w:rPr>
      </w:pPr>
      <w:r w:rsidRPr="00A726EE">
        <w:rPr>
          <w:rFonts w:ascii="Daxline Offc Pro" w:hAnsi="Daxline Offc Pro"/>
        </w:rPr>
        <w:t xml:space="preserve">“Meanwhile, serious incidents are reported more frequently along the external borders of the Schengen area. Allegations of </w:t>
      </w:r>
      <w:r w:rsidRPr="003561D7">
        <w:rPr>
          <w:rFonts w:ascii="Daxline Offc Pro" w:hAnsi="Daxline Offc Pro"/>
          <w:b/>
        </w:rPr>
        <w:t xml:space="preserve">ill-treatment </w:t>
      </w:r>
      <w:r w:rsidRPr="00A726EE">
        <w:rPr>
          <w:rFonts w:ascii="Daxline Offc Pro" w:hAnsi="Daxline Offc Pro"/>
        </w:rPr>
        <w:t xml:space="preserve">and </w:t>
      </w:r>
      <w:r w:rsidRPr="003561D7">
        <w:rPr>
          <w:rFonts w:ascii="Daxline Offc Pro" w:hAnsi="Daxline Offc Pro"/>
          <w:b/>
        </w:rPr>
        <w:t>excessive use of forc</w:t>
      </w:r>
      <w:r w:rsidRPr="00CF0D62">
        <w:rPr>
          <w:rFonts w:ascii="Daxline Offc Pro" w:hAnsi="Daxline Offc Pro"/>
          <w:b/>
        </w:rPr>
        <w:t>e</w:t>
      </w:r>
      <w:r w:rsidRPr="00A726EE">
        <w:rPr>
          <w:rFonts w:ascii="Daxline Offc Pro" w:hAnsi="Daxline Offc Pro"/>
        </w:rPr>
        <w:t xml:space="preserve"> have emerged, for example, from Hungary, </w:t>
      </w:r>
      <w:r w:rsidRPr="003561D7">
        <w:rPr>
          <w:rFonts w:ascii="Daxline Offc Pro" w:hAnsi="Daxline Offc Pro"/>
          <w:b/>
        </w:rPr>
        <w:t>Bulgaria</w:t>
      </w:r>
      <w:r w:rsidRPr="00A726EE">
        <w:rPr>
          <w:rFonts w:ascii="Daxline Offc Pro" w:hAnsi="Daxline Offc Pro"/>
        </w:rPr>
        <w:t xml:space="preserve">, Greece, Italy and Spain. Although not covered by this data collection, recent reports also concern Croatia.” </w:t>
      </w:r>
      <w:r w:rsidRPr="00A726EE">
        <w:rPr>
          <w:rFonts w:ascii="Daxline Offc Pro" w:hAnsi="Daxline Offc Pro"/>
          <w:i/>
        </w:rPr>
        <w:t xml:space="preserve">(FRA, </w:t>
      </w:r>
      <w:hyperlink r:id="rId13" w:history="1">
        <w:r w:rsidRPr="00A726EE">
          <w:rPr>
            <w:rStyle w:val="Hyperlink"/>
            <w:rFonts w:ascii="Daxline Offc Pro" w:hAnsi="Daxline Offc Pro"/>
            <w:i/>
            <w:lang w:val="en"/>
          </w:rPr>
          <w:t xml:space="preserve">Current migration situation in </w:t>
        </w:r>
        <w:r w:rsidRPr="00A726EE">
          <w:rPr>
            <w:rStyle w:val="Hyperlink"/>
            <w:rFonts w:ascii="Daxline Offc Pro" w:hAnsi="Daxline Offc Pro"/>
            <w:i/>
            <w:lang w:val="en"/>
          </w:rPr>
          <w:lastRenderedPageBreak/>
          <w:t>the EU: Torture, trauma and its possible impact on drug use</w:t>
        </w:r>
      </w:hyperlink>
      <w:r w:rsidRPr="00A726EE">
        <w:rPr>
          <w:rFonts w:ascii="Daxline Offc Pro" w:hAnsi="Daxline Offc Pro"/>
          <w:i/>
          <w:color w:val="333333"/>
          <w:lang w:val="en"/>
        </w:rPr>
        <w:t>, February 2017,</w:t>
      </w:r>
      <w:r w:rsidRPr="00A726EE">
        <w:rPr>
          <w:rFonts w:ascii="Daxline Offc Pro" w:hAnsi="Daxline Offc Pro"/>
          <w:i/>
        </w:rPr>
        <w:t xml:space="preserve"> p. 8)</w:t>
      </w:r>
    </w:p>
    <w:p w14:paraId="2CB1F320" w14:textId="77777777" w:rsidR="00A726EE" w:rsidRPr="00A726EE" w:rsidRDefault="00A726EE" w:rsidP="003561D7">
      <w:pPr>
        <w:spacing w:after="240"/>
        <w:jc w:val="both"/>
        <w:rPr>
          <w:rFonts w:ascii="Daxline Offc Pro" w:hAnsi="Daxline Offc Pro"/>
        </w:rPr>
      </w:pPr>
      <w:r w:rsidRPr="00A726EE">
        <w:rPr>
          <w:rFonts w:ascii="Daxline Offc Pro" w:hAnsi="Daxline Offc Pro"/>
        </w:rPr>
        <w:t xml:space="preserve">“Several incidents are also reported from </w:t>
      </w:r>
      <w:r w:rsidRPr="003561D7">
        <w:rPr>
          <w:rFonts w:ascii="Daxline Offc Pro" w:hAnsi="Daxline Offc Pro"/>
          <w:b/>
        </w:rPr>
        <w:t>Bulgaria</w:t>
      </w:r>
      <w:r w:rsidRPr="00A726EE">
        <w:rPr>
          <w:rFonts w:ascii="Daxline Offc Pro" w:hAnsi="Daxline Offc Pro"/>
        </w:rPr>
        <w:t xml:space="preserve"> and Greece. In Bulgaria, in October 2015, an Afghan asylum seeker was shot dead by </w:t>
      </w:r>
      <w:r w:rsidRPr="003561D7">
        <w:rPr>
          <w:rFonts w:ascii="Daxline Offc Pro" w:hAnsi="Daxline Offc Pro"/>
          <w:b/>
        </w:rPr>
        <w:t>Bulgarian police</w:t>
      </w:r>
      <w:r w:rsidRPr="00A726EE">
        <w:rPr>
          <w:rFonts w:ascii="Daxline Offc Pro" w:hAnsi="Daxline Offc Pro"/>
        </w:rPr>
        <w:t xml:space="preserve"> after crossing the Bulgarian-Turkish border. Some of the perpetrators are now under investigation. Last year, the media also reported on several vigilante groups detaining and </w:t>
      </w:r>
      <w:r w:rsidRPr="003561D7">
        <w:rPr>
          <w:rFonts w:ascii="Daxline Offc Pro" w:hAnsi="Daxline Offc Pro"/>
          <w:b/>
        </w:rPr>
        <w:t>abusing</w:t>
      </w:r>
      <w:r w:rsidRPr="00A726EE">
        <w:rPr>
          <w:rFonts w:ascii="Daxline Offc Pro" w:hAnsi="Daxline Offc Pro"/>
        </w:rPr>
        <w:t xml:space="preserve"> asylum seekers and migrants close to the Bulgarian-Turkish border. This includes the group ‘Vasil </w:t>
      </w:r>
      <w:proofErr w:type="spellStart"/>
      <w:r w:rsidRPr="00A726EE">
        <w:rPr>
          <w:rFonts w:ascii="Daxline Offc Pro" w:hAnsi="Daxline Offc Pro"/>
        </w:rPr>
        <w:t>Levski</w:t>
      </w:r>
      <w:proofErr w:type="spellEnd"/>
      <w:r w:rsidRPr="00A726EE">
        <w:rPr>
          <w:rFonts w:ascii="Daxline Offc Pro" w:hAnsi="Daxline Offc Pro"/>
        </w:rPr>
        <w:t xml:space="preserve">’, a union of former police and military force trainees.”  </w:t>
      </w:r>
      <w:r w:rsidRPr="00A726EE">
        <w:rPr>
          <w:rFonts w:ascii="Daxline Offc Pro" w:hAnsi="Daxline Offc Pro"/>
          <w:i/>
        </w:rPr>
        <w:t xml:space="preserve">(FRA, </w:t>
      </w:r>
      <w:hyperlink r:id="rId14" w:history="1">
        <w:r w:rsidRPr="00A726EE">
          <w:rPr>
            <w:rStyle w:val="Hyperlink"/>
            <w:rFonts w:ascii="Daxline Offc Pro" w:hAnsi="Daxline Offc Pro"/>
            <w:i/>
            <w:lang w:val="en"/>
          </w:rPr>
          <w:t>Current migration situation in the EU: Torture, trauma and its possible impact on drug use</w:t>
        </w:r>
      </w:hyperlink>
      <w:r w:rsidRPr="00A726EE">
        <w:rPr>
          <w:rFonts w:ascii="Daxline Offc Pro" w:hAnsi="Daxline Offc Pro"/>
          <w:i/>
          <w:color w:val="333333"/>
          <w:lang w:val="en"/>
        </w:rPr>
        <w:t>, February 2017,</w:t>
      </w:r>
      <w:r w:rsidRPr="00A726EE">
        <w:rPr>
          <w:rFonts w:ascii="Daxline Offc Pro" w:hAnsi="Daxline Offc Pro"/>
          <w:i/>
        </w:rPr>
        <w:t xml:space="preserve"> p. 8)</w:t>
      </w:r>
    </w:p>
    <w:p w14:paraId="41C8CE1E" w14:textId="7E44AAFA" w:rsidR="001A21AA" w:rsidRDefault="001A21AA" w:rsidP="00B242F7">
      <w:pPr>
        <w:pStyle w:val="Heading2"/>
        <w:rPr>
          <w:rFonts w:ascii="Daxline Offc Pro" w:hAnsi="Daxline Offc Pro" w:cs="DaxlinePro-Regular"/>
          <w:color w:val="000000"/>
        </w:rPr>
      </w:pPr>
      <w:bookmarkStart w:id="3" w:name="_Toc495069926"/>
      <w:r>
        <w:t xml:space="preserve">Torture and other cruel, inhuman or degrading treatment or punishment in police custody and </w:t>
      </w:r>
      <w:r w:rsidR="003D040B">
        <w:t>pre-trial</w:t>
      </w:r>
      <w:r>
        <w:t xml:space="preserve"> detention</w:t>
      </w:r>
      <w:bookmarkEnd w:id="3"/>
    </w:p>
    <w:p w14:paraId="4F983747" w14:textId="77777777" w:rsidR="00D840BC" w:rsidRPr="00D840BC" w:rsidRDefault="00146762" w:rsidP="00D840BC">
      <w:pPr>
        <w:jc w:val="both"/>
        <w:rPr>
          <w:rFonts w:ascii="Daxline Offc Pro" w:hAnsi="Daxline Offc Pro" w:cs="DaxlinePro-Regular"/>
          <w:color w:val="000000"/>
        </w:rPr>
      </w:pPr>
      <w:r w:rsidRPr="00D840BC">
        <w:rPr>
          <w:rFonts w:ascii="Daxline Offc Pro" w:hAnsi="Daxline Offc Pro" w:cs="DaxlinePro-Regular"/>
          <w:color w:val="000000"/>
        </w:rPr>
        <w:t>The three Framework Decisions [on transfer of prisoners, probation and alternative sanctions, and the ESO] partly share and partly have individual overarching goals. In general, the instru</w:t>
      </w:r>
      <w:r w:rsidRPr="00D840BC">
        <w:rPr>
          <w:rFonts w:ascii="Daxline Offc Pro" w:hAnsi="Daxline Offc Pro" w:cs="DaxlinePro-Regular"/>
          <w:color w:val="000000"/>
        </w:rPr>
        <w:softHyphen/>
        <w:t>ments seek to promote social rehabilitation and, apart from the Framework Decision on transfer of prison</w:t>
      </w:r>
      <w:r w:rsidRPr="00D840BC">
        <w:rPr>
          <w:rFonts w:ascii="Daxline Offc Pro" w:hAnsi="Daxline Offc Pro" w:cs="DaxlinePro-Regular"/>
          <w:color w:val="000000"/>
        </w:rPr>
        <w:softHyphen/>
        <w:t>ers, also promote alternatives to detention, as well as the protection of crime victims and the public in gen</w:t>
      </w:r>
      <w:r w:rsidRPr="00D840BC">
        <w:rPr>
          <w:rFonts w:ascii="Daxline Offc Pro" w:hAnsi="Daxline Offc Pro" w:cs="DaxlinePro-Regular"/>
          <w:color w:val="000000"/>
        </w:rPr>
        <w:softHyphen/>
        <w:t xml:space="preserve">eral. The fundamental rights-links to these concepts include explicit provisions calling for a minimal use of detention, especially pre-trial, as well as </w:t>
      </w:r>
      <w:r w:rsidRPr="003561D7">
        <w:rPr>
          <w:rFonts w:ascii="Daxline Offc Pro" w:hAnsi="Daxline Offc Pro" w:cs="DaxlinePro-Regular"/>
          <w:b/>
          <w:color w:val="000000"/>
        </w:rPr>
        <w:t>the prohibition of torture and degrading treatment</w:t>
      </w:r>
      <w:r w:rsidRPr="00D840BC">
        <w:rPr>
          <w:rFonts w:ascii="Daxline Offc Pro" w:hAnsi="Daxline Offc Pro" w:cs="DaxlinePro-Regular"/>
          <w:color w:val="000000"/>
        </w:rPr>
        <w:t xml:space="preserve">. </w:t>
      </w:r>
      <w:r w:rsidR="00D840BC" w:rsidRPr="00D840BC">
        <w:rPr>
          <w:rFonts w:ascii="Daxline Offc Pro" w:hAnsi="Daxline Offc Pro"/>
          <w:i/>
        </w:rPr>
        <w:t xml:space="preserve">(FRA, </w:t>
      </w:r>
      <w:hyperlink r:id="rId15" w:history="1">
        <w:r w:rsidR="00D840BC" w:rsidRPr="00D840BC">
          <w:rPr>
            <w:rStyle w:val="Hyperlink"/>
            <w:rFonts w:ascii="Daxline Offc Pro" w:hAnsi="Daxline Offc Pro"/>
            <w:lang w:val="en"/>
          </w:rPr>
          <w:t>Criminal detention and alternatives: fundamental rights aspects in EU cross-border transfers</w:t>
        </w:r>
      </w:hyperlink>
      <w:r w:rsidR="00D840BC" w:rsidRPr="00D840BC">
        <w:rPr>
          <w:rFonts w:ascii="Daxline Offc Pro" w:hAnsi="Daxline Offc Pro"/>
          <w:i/>
          <w:color w:val="333333"/>
          <w:lang w:val="en"/>
        </w:rPr>
        <w:t>, November 2016,</w:t>
      </w:r>
      <w:r w:rsidR="00D840BC" w:rsidRPr="00D840BC">
        <w:rPr>
          <w:rFonts w:ascii="Daxline Offc Pro" w:hAnsi="Daxline Offc Pro"/>
          <w:i/>
        </w:rPr>
        <w:t xml:space="preserve"> p. 12)</w:t>
      </w:r>
    </w:p>
    <w:p w14:paraId="5A30EFCD" w14:textId="54C3C633" w:rsidR="000F12B1" w:rsidRPr="003561D7" w:rsidRDefault="00146762" w:rsidP="003561D7">
      <w:pPr>
        <w:spacing w:after="240"/>
        <w:jc w:val="both"/>
        <w:rPr>
          <w:rFonts w:ascii="Daxline Offc Pro" w:hAnsi="Daxline Offc Pro" w:cs="DaxlinePro-Regular"/>
          <w:color w:val="000000"/>
        </w:rPr>
      </w:pPr>
      <w:r w:rsidRPr="00D840BC">
        <w:rPr>
          <w:rFonts w:ascii="Daxline Offc Pro" w:hAnsi="Daxline Offc Pro" w:cs="DaxlinePro-Regular"/>
          <w:color w:val="000000"/>
        </w:rPr>
        <w:t>As of 1 May 2016</w:t>
      </w:r>
      <w:r w:rsidRPr="003561D7">
        <w:rPr>
          <w:rFonts w:ascii="Daxline Offc Pro" w:hAnsi="Daxline Offc Pro" w:cs="DaxlinePro-Regular"/>
          <w:b/>
          <w:color w:val="000000"/>
        </w:rPr>
        <w:t>, Bulgaria</w:t>
      </w:r>
      <w:r w:rsidRPr="00D840BC">
        <w:rPr>
          <w:rFonts w:ascii="Daxline Offc Pro" w:hAnsi="Daxline Offc Pro" w:cs="DaxlinePro-Regular"/>
          <w:color w:val="000000"/>
        </w:rPr>
        <w:t xml:space="preserve"> and Ireland had not fully implemented the Framework Decision on transfer of prisoners (imple</w:t>
      </w:r>
      <w:r w:rsidRPr="00D840BC">
        <w:rPr>
          <w:rFonts w:ascii="Daxline Offc Pro" w:hAnsi="Daxline Offc Pro" w:cs="DaxlinePro-Regular"/>
          <w:color w:val="000000"/>
        </w:rPr>
        <w:softHyphen/>
        <w:t>mentation processes are ongoing in both countries). For the Framework Decision on probation and alterna</w:t>
      </w:r>
      <w:r w:rsidRPr="00D840BC">
        <w:rPr>
          <w:rFonts w:ascii="Daxline Offc Pro" w:hAnsi="Daxline Offc Pro" w:cs="DaxlinePro-Regular"/>
          <w:color w:val="000000"/>
        </w:rPr>
        <w:softHyphen/>
        <w:t>tive sanctions, only Ireland had not completed imple</w:t>
      </w:r>
      <w:r w:rsidRPr="00D840BC">
        <w:rPr>
          <w:rFonts w:ascii="Daxline Offc Pro" w:hAnsi="Daxline Offc Pro" w:cs="DaxlinePro-Regular"/>
          <w:color w:val="000000"/>
        </w:rPr>
        <w:softHyphen/>
        <w:t>mentation, but this is pending (the United Kingdom is not taking part). Twenty-three EU Member States had implemented the Framework Decision on the ESO, with an additional three (Cyprus, Ireland, and Luxembourg) being in the process of implementation and two (Bel</w:t>
      </w:r>
      <w:r w:rsidRPr="00D840BC">
        <w:rPr>
          <w:rFonts w:ascii="Daxline Offc Pro" w:hAnsi="Daxline Offc Pro" w:cs="DaxlinePro-Regular"/>
          <w:color w:val="000000"/>
        </w:rPr>
        <w:softHyphen/>
        <w:t xml:space="preserve">gium and </w:t>
      </w:r>
      <w:r w:rsidRPr="003561D7">
        <w:rPr>
          <w:rFonts w:ascii="Daxline Offc Pro" w:hAnsi="Daxline Offc Pro" w:cs="DaxlinePro-Regular"/>
          <w:b/>
          <w:color w:val="000000"/>
        </w:rPr>
        <w:t>Bulgaria</w:t>
      </w:r>
      <w:r w:rsidRPr="00D840BC">
        <w:rPr>
          <w:rFonts w:ascii="Daxline Offc Pro" w:hAnsi="Daxline Offc Pro" w:cs="DaxlinePro-Regular"/>
          <w:color w:val="000000"/>
        </w:rPr>
        <w:t>)</w:t>
      </w:r>
      <w:r w:rsidR="003561D7">
        <w:rPr>
          <w:rFonts w:ascii="Daxline Offc Pro" w:hAnsi="Daxline Offc Pro" w:cs="DaxlinePro-Regular"/>
          <w:color w:val="000000"/>
        </w:rPr>
        <w:t xml:space="preserve"> having yet to implement it. </w:t>
      </w:r>
      <w:r w:rsidR="000F12B1" w:rsidRPr="00D840BC">
        <w:rPr>
          <w:rFonts w:ascii="Daxline Offc Pro" w:hAnsi="Daxline Offc Pro"/>
          <w:i/>
        </w:rPr>
        <w:t xml:space="preserve">(FRA, </w:t>
      </w:r>
      <w:hyperlink r:id="rId16" w:history="1">
        <w:r w:rsidR="000F12B1" w:rsidRPr="00D840BC">
          <w:rPr>
            <w:rStyle w:val="Hyperlink"/>
            <w:rFonts w:ascii="Daxline Offc Pro" w:hAnsi="Daxline Offc Pro"/>
            <w:lang w:val="en"/>
          </w:rPr>
          <w:t>Criminal detention and alternatives: fundamental rights aspects in EU cross-border transfers</w:t>
        </w:r>
      </w:hyperlink>
      <w:r w:rsidR="000F12B1" w:rsidRPr="00D840BC">
        <w:rPr>
          <w:rFonts w:ascii="Daxline Offc Pro" w:hAnsi="Daxline Offc Pro"/>
          <w:i/>
          <w:color w:val="333333"/>
          <w:lang w:val="en"/>
        </w:rPr>
        <w:t xml:space="preserve">, </w:t>
      </w:r>
      <w:r w:rsidR="00D840BC" w:rsidRPr="00D840BC">
        <w:rPr>
          <w:rFonts w:ascii="Daxline Offc Pro" w:hAnsi="Daxline Offc Pro"/>
          <w:i/>
          <w:color w:val="333333"/>
          <w:lang w:val="en"/>
        </w:rPr>
        <w:t>November 2016</w:t>
      </w:r>
      <w:r w:rsidR="000F12B1" w:rsidRPr="00D840BC">
        <w:rPr>
          <w:rFonts w:ascii="Daxline Offc Pro" w:hAnsi="Daxline Offc Pro"/>
          <w:i/>
          <w:color w:val="333333"/>
          <w:lang w:val="en"/>
        </w:rPr>
        <w:t>,</w:t>
      </w:r>
      <w:r w:rsidR="000F12B1" w:rsidRPr="00D840BC">
        <w:rPr>
          <w:rFonts w:ascii="Daxline Offc Pro" w:hAnsi="Daxline Offc Pro"/>
          <w:i/>
        </w:rPr>
        <w:t xml:space="preserve"> p. </w:t>
      </w:r>
      <w:r w:rsidR="00D840BC" w:rsidRPr="00D840BC">
        <w:rPr>
          <w:rFonts w:ascii="Daxline Offc Pro" w:hAnsi="Daxline Offc Pro"/>
          <w:i/>
        </w:rPr>
        <w:t>27</w:t>
      </w:r>
      <w:r w:rsidR="000F12B1" w:rsidRPr="00D840BC">
        <w:rPr>
          <w:rFonts w:ascii="Daxline Offc Pro" w:hAnsi="Daxline Offc Pro"/>
          <w:i/>
        </w:rPr>
        <w:t>)</w:t>
      </w:r>
    </w:p>
    <w:p w14:paraId="226C8469" w14:textId="77777777" w:rsidR="00A726EE" w:rsidRPr="00A20989" w:rsidRDefault="00A726EE" w:rsidP="00B242F7">
      <w:pPr>
        <w:pStyle w:val="Heading1"/>
        <w:rPr>
          <w:rFonts w:eastAsia="Times New Roman"/>
          <w:lang w:eastAsia="en-GB"/>
        </w:rPr>
      </w:pPr>
      <w:bookmarkStart w:id="4" w:name="_Toc495069927"/>
      <w:r w:rsidRPr="00A20989">
        <w:rPr>
          <w:rFonts w:eastAsia="Times New Roman"/>
          <w:lang w:eastAsia="en-GB"/>
        </w:rPr>
        <w:lastRenderedPageBreak/>
        <w:t>Article 3</w:t>
      </w:r>
      <w:bookmarkEnd w:id="4"/>
      <w:r w:rsidRPr="00A20989">
        <w:rPr>
          <w:rFonts w:eastAsia="Times New Roman"/>
          <w:lang w:eastAsia="en-GB"/>
        </w:rPr>
        <w:t xml:space="preserve"> </w:t>
      </w:r>
    </w:p>
    <w:p w14:paraId="711A81D5" w14:textId="192D4731" w:rsidR="00390840" w:rsidRPr="003561D7" w:rsidRDefault="00390840" w:rsidP="003561D7">
      <w:pPr>
        <w:pStyle w:val="Heading2"/>
      </w:pPr>
      <w:bookmarkStart w:id="5" w:name="_Toc495069928"/>
      <w:r>
        <w:t>Non-</w:t>
      </w:r>
      <w:proofErr w:type="spellStart"/>
      <w:r>
        <w:t>refoulement</w:t>
      </w:r>
      <w:bookmarkEnd w:id="5"/>
      <w:proofErr w:type="spellEnd"/>
      <w:r>
        <w:t xml:space="preserve"> </w:t>
      </w:r>
    </w:p>
    <w:p w14:paraId="20F3C609" w14:textId="7910E3C3" w:rsidR="00A726EE" w:rsidRPr="00DD2C16" w:rsidRDefault="00A726EE" w:rsidP="00A726EE">
      <w:pPr>
        <w:jc w:val="both"/>
        <w:rPr>
          <w:rFonts w:ascii="Daxline Offc Pro" w:hAnsi="Daxline Offc Pro"/>
        </w:rPr>
      </w:pPr>
      <w:r w:rsidRPr="00DD2C16">
        <w:rPr>
          <w:rFonts w:ascii="Daxline Offc Pro" w:hAnsi="Daxline Offc Pro"/>
        </w:rPr>
        <w:t xml:space="preserve">“In </w:t>
      </w:r>
      <w:r w:rsidRPr="003561D7">
        <w:rPr>
          <w:rFonts w:ascii="Daxline Offc Pro" w:hAnsi="Daxline Offc Pro"/>
          <w:b/>
        </w:rPr>
        <w:t>Bulgaria</w:t>
      </w:r>
      <w:r w:rsidRPr="00DD2C16">
        <w:rPr>
          <w:rFonts w:ascii="Daxline Offc Pro" w:hAnsi="Daxline Offc Pro"/>
        </w:rPr>
        <w:t xml:space="preserve">, Denmark and Sweden, non-governmental organisations (NGOs) provided unofficial estimates on </w:t>
      </w:r>
      <w:r w:rsidRPr="003561D7">
        <w:rPr>
          <w:rFonts w:ascii="Daxline Offc Pro" w:hAnsi="Daxline Offc Pro"/>
          <w:b/>
        </w:rPr>
        <w:t>victims of torture</w:t>
      </w:r>
      <w:r w:rsidRPr="00DD2C16">
        <w:rPr>
          <w:rFonts w:ascii="Daxline Offc Pro" w:hAnsi="Daxline Offc Pro"/>
        </w:rPr>
        <w:t xml:space="preserve"> identified among asylum applicants in 2016. In </w:t>
      </w:r>
      <w:r w:rsidRPr="003561D7">
        <w:rPr>
          <w:rFonts w:ascii="Daxline Offc Pro" w:hAnsi="Daxline Offc Pro"/>
          <w:b/>
        </w:rPr>
        <w:t>Bulgaria</w:t>
      </w:r>
      <w:r w:rsidRPr="00DD2C16">
        <w:rPr>
          <w:rFonts w:ascii="Daxline Offc Pro" w:hAnsi="Daxline Offc Pro"/>
        </w:rPr>
        <w:t xml:space="preserve">, three victims were </w:t>
      </w:r>
      <w:r w:rsidRPr="003561D7">
        <w:rPr>
          <w:rFonts w:ascii="Daxline Offc Pro" w:hAnsi="Daxline Offc Pro"/>
          <w:b/>
        </w:rPr>
        <w:t>tortured</w:t>
      </w:r>
      <w:r w:rsidRPr="00DD2C16">
        <w:rPr>
          <w:rFonts w:ascii="Daxline Offc Pro" w:hAnsi="Daxline Offc Pro"/>
        </w:rPr>
        <w:t xml:space="preserve"> in their countries of origin and two or three persons were subjected to sexual violence and exploitation by smugglers.” </w:t>
      </w:r>
      <w:r w:rsidRPr="00DD2C16">
        <w:rPr>
          <w:rFonts w:ascii="Daxline Offc Pro" w:hAnsi="Daxline Offc Pro"/>
          <w:i/>
        </w:rPr>
        <w:t xml:space="preserve">(FRA, </w:t>
      </w:r>
      <w:hyperlink r:id="rId17" w:history="1">
        <w:r w:rsidRPr="00DD2C16">
          <w:rPr>
            <w:rStyle w:val="Hyperlink"/>
            <w:rFonts w:ascii="Daxline Offc Pro" w:hAnsi="Daxline Offc Pro"/>
            <w:i/>
            <w:lang w:val="en"/>
          </w:rPr>
          <w:t>Current migration situation in the EU: Torture, trauma and its possible impact on drug use</w:t>
        </w:r>
      </w:hyperlink>
      <w:r w:rsidRPr="00DD2C16">
        <w:rPr>
          <w:rFonts w:ascii="Daxline Offc Pro" w:hAnsi="Daxline Offc Pro"/>
          <w:i/>
          <w:color w:val="333333"/>
          <w:lang w:val="en"/>
        </w:rPr>
        <w:t>, February 2017,</w:t>
      </w:r>
      <w:r w:rsidRPr="00DD2C16">
        <w:rPr>
          <w:rFonts w:ascii="Daxline Offc Pro" w:hAnsi="Daxline Offc Pro"/>
          <w:i/>
        </w:rPr>
        <w:t xml:space="preserve"> p. 3-4)</w:t>
      </w:r>
    </w:p>
    <w:p w14:paraId="1D1C073B" w14:textId="77777777" w:rsidR="003561D7" w:rsidRDefault="00A726EE" w:rsidP="00A726EE">
      <w:pPr>
        <w:jc w:val="both"/>
        <w:rPr>
          <w:rFonts w:ascii="Daxline Offc Pro" w:hAnsi="Daxline Offc Pro"/>
        </w:rPr>
      </w:pPr>
      <w:r w:rsidRPr="00DD2C16">
        <w:rPr>
          <w:rFonts w:ascii="Daxline Offc Pro" w:hAnsi="Daxline Offc Pro"/>
        </w:rPr>
        <w:t xml:space="preserve">“As with </w:t>
      </w:r>
      <w:r w:rsidRPr="003561D7">
        <w:rPr>
          <w:rFonts w:ascii="Daxline Offc Pro" w:hAnsi="Daxline Offc Pro"/>
          <w:b/>
        </w:rPr>
        <w:t>victims of torture</w:t>
      </w:r>
      <w:r w:rsidRPr="00DD2C16">
        <w:rPr>
          <w:rFonts w:ascii="Daxline Offc Pro" w:hAnsi="Daxline Offc Pro"/>
        </w:rPr>
        <w:t xml:space="preserve">, the EU Member States covered do not collect statistics on how many asylum seekers or migrants are severely traumatised or suffer from posttraumatic stress disorder (PTSD). Existing data mainly originate from civil society organisations and their collection is not systematic. (…) In </w:t>
      </w:r>
      <w:r w:rsidRPr="00B10418">
        <w:rPr>
          <w:rFonts w:ascii="Daxline Offc Pro" w:hAnsi="Daxline Offc Pro"/>
          <w:b/>
        </w:rPr>
        <w:t>Bulgaria</w:t>
      </w:r>
      <w:r w:rsidRPr="00DD2C16">
        <w:rPr>
          <w:rFonts w:ascii="Daxline Offc Pro" w:hAnsi="Daxline Offc Pro"/>
        </w:rPr>
        <w:t xml:space="preserve">, between April and September 2016, the </w:t>
      </w:r>
      <w:proofErr w:type="spellStart"/>
      <w:r w:rsidRPr="00DD2C16">
        <w:rPr>
          <w:rFonts w:ascii="Daxline Offc Pro" w:hAnsi="Daxline Offc Pro"/>
        </w:rPr>
        <w:t>Nadja</w:t>
      </w:r>
      <w:proofErr w:type="spellEnd"/>
      <w:r w:rsidRPr="00DD2C16">
        <w:rPr>
          <w:rFonts w:ascii="Daxline Offc Pro" w:hAnsi="Daxline Offc Pro"/>
        </w:rPr>
        <w:t xml:space="preserve"> Centre provided consultations to 250-300 persons, out of whom 20-30 were diagnosed with PTSD.” </w:t>
      </w:r>
      <w:r w:rsidRPr="00DD2C16">
        <w:rPr>
          <w:rFonts w:ascii="Daxline Offc Pro" w:hAnsi="Daxline Offc Pro"/>
          <w:i/>
        </w:rPr>
        <w:t xml:space="preserve">(FRA, </w:t>
      </w:r>
      <w:hyperlink r:id="rId18" w:history="1">
        <w:r w:rsidRPr="00DD2C16">
          <w:rPr>
            <w:rStyle w:val="Hyperlink"/>
            <w:rFonts w:ascii="Daxline Offc Pro" w:hAnsi="Daxline Offc Pro"/>
            <w:i/>
            <w:lang w:val="en"/>
          </w:rPr>
          <w:t>Current migration situation in the EU: Torture, trauma and its possible impact on drug use</w:t>
        </w:r>
      </w:hyperlink>
      <w:r w:rsidRPr="00DD2C16">
        <w:rPr>
          <w:rFonts w:ascii="Daxline Offc Pro" w:hAnsi="Daxline Offc Pro"/>
          <w:i/>
          <w:color w:val="333333"/>
          <w:lang w:val="en"/>
        </w:rPr>
        <w:t xml:space="preserve">, </w:t>
      </w:r>
      <w:r w:rsidRPr="00B242F7">
        <w:rPr>
          <w:rFonts w:ascii="Daxline Offc Pro" w:hAnsi="Daxline Offc Pro"/>
          <w:i/>
          <w:lang w:val="en"/>
        </w:rPr>
        <w:t>February 2017,</w:t>
      </w:r>
      <w:r w:rsidRPr="00B242F7">
        <w:rPr>
          <w:rFonts w:ascii="Daxline Offc Pro" w:hAnsi="Daxline Offc Pro"/>
          <w:i/>
        </w:rPr>
        <w:t xml:space="preserve"> p. 4)</w:t>
      </w:r>
      <w:r w:rsidRPr="00B242F7">
        <w:rPr>
          <w:rFonts w:ascii="Daxline Offc Pro" w:hAnsi="Daxline Offc Pro"/>
        </w:rPr>
        <w:t xml:space="preserve"> </w:t>
      </w:r>
    </w:p>
    <w:p w14:paraId="1B26DA74" w14:textId="574E11DD" w:rsidR="00A726EE" w:rsidRPr="00DD2C16" w:rsidRDefault="00A726EE" w:rsidP="00A726EE">
      <w:pPr>
        <w:jc w:val="both"/>
        <w:rPr>
          <w:rFonts w:ascii="Daxline Offc Pro" w:hAnsi="Daxline Offc Pro"/>
        </w:rPr>
      </w:pPr>
      <w:r w:rsidRPr="00DD2C16">
        <w:rPr>
          <w:rFonts w:ascii="Daxline Offc Pro" w:hAnsi="Daxline Offc Pro"/>
        </w:rPr>
        <w:t xml:space="preserve">“Some countries use special questionnaires to identify </w:t>
      </w:r>
      <w:r w:rsidRPr="003561D7">
        <w:rPr>
          <w:rFonts w:ascii="Daxline Offc Pro" w:hAnsi="Daxline Offc Pro"/>
          <w:b/>
        </w:rPr>
        <w:t>victims of torture</w:t>
      </w:r>
      <w:r w:rsidRPr="00DD2C16">
        <w:rPr>
          <w:rFonts w:ascii="Daxline Offc Pro" w:hAnsi="Daxline Offc Pro"/>
        </w:rPr>
        <w:t xml:space="preserve"> and other abuse, such as the PROTECT questionnaire (</w:t>
      </w:r>
      <w:r w:rsidRPr="003561D7">
        <w:rPr>
          <w:rFonts w:ascii="Daxline Offc Pro" w:hAnsi="Daxline Offc Pro"/>
          <w:b/>
        </w:rPr>
        <w:t>Bulgaria</w:t>
      </w:r>
      <w:r w:rsidRPr="00DD2C16">
        <w:rPr>
          <w:rFonts w:ascii="Daxline Offc Pro" w:hAnsi="Daxline Offc Pro"/>
        </w:rPr>
        <w:t xml:space="preserve">, Hungary, Spain, and, in the frame of a 2014-2015 project, France). This questionnaire was developed as part of a project to identify specific categories of vulnerable persons, such as persons who have been subjected to </w:t>
      </w:r>
      <w:r w:rsidRPr="003561D7">
        <w:rPr>
          <w:rFonts w:ascii="Daxline Offc Pro" w:hAnsi="Daxline Offc Pro"/>
          <w:b/>
        </w:rPr>
        <w:t>torture,</w:t>
      </w:r>
      <w:r w:rsidRPr="00DD2C16">
        <w:rPr>
          <w:rFonts w:ascii="Daxline Offc Pro" w:hAnsi="Daxline Offc Pro"/>
        </w:rPr>
        <w:t xml:space="preserve"> rape or other forms of severe psychological, physical or sexual violence. It intends to ensure that such people receive the necessary treatment for the damages caused by those acts. The questionnaire consists of 10 questions on psychological vulnerability and on the most important psychological problems resulting from severe trauma.” </w:t>
      </w:r>
      <w:r w:rsidRPr="00DD2C16">
        <w:rPr>
          <w:rFonts w:ascii="Daxline Offc Pro" w:hAnsi="Daxline Offc Pro"/>
          <w:i/>
        </w:rPr>
        <w:t xml:space="preserve">(FRA, </w:t>
      </w:r>
      <w:hyperlink r:id="rId19" w:history="1">
        <w:r w:rsidRPr="00DD2C16">
          <w:rPr>
            <w:rStyle w:val="Hyperlink"/>
            <w:rFonts w:ascii="Daxline Offc Pro" w:hAnsi="Daxline Offc Pro"/>
            <w:i/>
            <w:lang w:val="en"/>
          </w:rPr>
          <w:t>Current migration situation in the EU: Torture, trauma and its possible impact on drug use</w:t>
        </w:r>
      </w:hyperlink>
      <w:r w:rsidRPr="00DD2C16">
        <w:rPr>
          <w:rFonts w:ascii="Daxline Offc Pro" w:hAnsi="Daxline Offc Pro"/>
          <w:i/>
          <w:color w:val="333333"/>
          <w:lang w:val="en"/>
        </w:rPr>
        <w:t>, February 2017,</w:t>
      </w:r>
      <w:r w:rsidRPr="00DD2C16">
        <w:rPr>
          <w:rFonts w:ascii="Daxline Offc Pro" w:hAnsi="Daxline Offc Pro"/>
          <w:i/>
        </w:rPr>
        <w:t xml:space="preserve"> p. 7)</w:t>
      </w:r>
    </w:p>
    <w:p w14:paraId="3C975182" w14:textId="17FE9C30" w:rsidR="00A726EE" w:rsidRPr="00DD2C16" w:rsidRDefault="00A726EE" w:rsidP="00A726EE">
      <w:pPr>
        <w:jc w:val="both"/>
        <w:rPr>
          <w:rFonts w:ascii="Daxline Offc Pro" w:hAnsi="Daxline Offc Pro"/>
        </w:rPr>
      </w:pPr>
      <w:r w:rsidRPr="00DD2C16">
        <w:rPr>
          <w:rFonts w:ascii="Daxline Offc Pro" w:hAnsi="Daxline Offc Pro"/>
        </w:rPr>
        <w:t xml:space="preserve">“The manner in which victims of </w:t>
      </w:r>
      <w:r w:rsidRPr="003561D7">
        <w:rPr>
          <w:rFonts w:ascii="Daxline Offc Pro" w:hAnsi="Daxline Offc Pro"/>
          <w:b/>
        </w:rPr>
        <w:t>torture</w:t>
      </w:r>
      <w:r w:rsidRPr="00DD2C16">
        <w:rPr>
          <w:rFonts w:ascii="Daxline Offc Pro" w:hAnsi="Daxline Offc Pro"/>
        </w:rPr>
        <w:t xml:space="preserve"> or traumatised persons are informed about their options also varies. (…)Language barriers can often prevent victims from receiving necessary care. Information regarding access to care is in principle given to victims in a language which they understand or through interpreters – for example, in Slovakia, Austria, and Hungary. (…)In </w:t>
      </w:r>
      <w:r w:rsidRPr="003561D7">
        <w:rPr>
          <w:rFonts w:ascii="Daxline Offc Pro" w:hAnsi="Daxline Offc Pro"/>
          <w:b/>
        </w:rPr>
        <w:t>Bulgaria,</w:t>
      </w:r>
      <w:r w:rsidRPr="00DD2C16">
        <w:rPr>
          <w:rFonts w:ascii="Daxline Offc Pro" w:hAnsi="Daxline Offc Pro"/>
        </w:rPr>
        <w:t xml:space="preserve"> the Nadia Centre reported that a number of </w:t>
      </w:r>
      <w:r w:rsidRPr="00DD2C16">
        <w:rPr>
          <w:rFonts w:ascii="Daxline Offc Pro" w:hAnsi="Daxline Offc Pro"/>
        </w:rPr>
        <w:lastRenderedPageBreak/>
        <w:t xml:space="preserve">newly appointed interpreters and social mediators lack the necessary knowledge and skills to deal with such delicate situations and may actually hamper the proper provision of psychological care.” </w:t>
      </w:r>
      <w:r w:rsidRPr="00DD2C16">
        <w:rPr>
          <w:rFonts w:ascii="Daxline Offc Pro" w:hAnsi="Daxline Offc Pro"/>
          <w:i/>
        </w:rPr>
        <w:t xml:space="preserve">(FRA, </w:t>
      </w:r>
      <w:hyperlink r:id="rId20" w:history="1">
        <w:r w:rsidRPr="00DD2C16">
          <w:rPr>
            <w:rStyle w:val="Hyperlink"/>
            <w:rFonts w:ascii="Daxline Offc Pro" w:hAnsi="Daxline Offc Pro"/>
            <w:i/>
            <w:lang w:val="en"/>
          </w:rPr>
          <w:t>Current migration situation in the EU: Torture, trauma and its possible impact on drug use</w:t>
        </w:r>
      </w:hyperlink>
      <w:r w:rsidRPr="00DD2C16">
        <w:rPr>
          <w:rFonts w:ascii="Daxline Offc Pro" w:hAnsi="Daxline Offc Pro"/>
          <w:i/>
          <w:color w:val="333333"/>
          <w:lang w:val="en"/>
        </w:rPr>
        <w:t>, February 2017,</w:t>
      </w:r>
      <w:r w:rsidRPr="00DD2C16">
        <w:rPr>
          <w:rFonts w:ascii="Daxline Offc Pro" w:hAnsi="Daxline Offc Pro"/>
          <w:i/>
        </w:rPr>
        <w:t xml:space="preserve"> p. 14)</w:t>
      </w:r>
    </w:p>
    <w:p w14:paraId="141EB901" w14:textId="1BFF0E54" w:rsidR="00A726EE" w:rsidRPr="00DD2C16" w:rsidRDefault="003561D7" w:rsidP="00A726EE">
      <w:pPr>
        <w:jc w:val="both"/>
        <w:rPr>
          <w:rFonts w:ascii="Daxline Offc Pro" w:hAnsi="Daxline Offc Pro"/>
          <w:i/>
        </w:rPr>
      </w:pPr>
      <w:r>
        <w:rPr>
          <w:rFonts w:ascii="Daxline Offc Pro" w:hAnsi="Daxline Offc Pro"/>
        </w:rPr>
        <w:t>“</w:t>
      </w:r>
      <w:r w:rsidR="00A726EE" w:rsidRPr="00DD2C16">
        <w:rPr>
          <w:rFonts w:ascii="Daxline Offc Pro" w:hAnsi="Daxline Offc Pro"/>
        </w:rPr>
        <w:t xml:space="preserve">FRA also explored to what extent victims of </w:t>
      </w:r>
      <w:r w:rsidR="00A726EE" w:rsidRPr="003561D7">
        <w:rPr>
          <w:rFonts w:ascii="Daxline Offc Pro" w:hAnsi="Daxline Offc Pro"/>
          <w:b/>
        </w:rPr>
        <w:t>torture</w:t>
      </w:r>
      <w:r w:rsidR="00A726EE" w:rsidRPr="00DD2C16">
        <w:rPr>
          <w:rFonts w:ascii="Daxline Offc Pro" w:hAnsi="Daxline Offc Pro"/>
        </w:rPr>
        <w:t xml:space="preserve"> or severely traumatised persons display signs of drug dependence. Limited information on the link between trauma and drug use emerged. Drug problems among asylum applicants and migrants have been given little attention so far. However, it affects a number of young people, including children, and creates safety risks for others in reception facilities. (…)In 2016, three cases of illicit drug dependence were identified </w:t>
      </w:r>
      <w:r w:rsidR="00A726EE" w:rsidRPr="003561D7">
        <w:rPr>
          <w:rFonts w:ascii="Daxline Offc Pro" w:hAnsi="Daxline Offc Pro"/>
          <w:b/>
        </w:rPr>
        <w:t>in Bulgaria</w:t>
      </w:r>
      <w:r w:rsidR="00A726EE" w:rsidRPr="00DD2C16">
        <w:rPr>
          <w:rFonts w:ascii="Daxline Offc Pro" w:hAnsi="Daxline Offc Pro"/>
        </w:rPr>
        <w:t xml:space="preserve"> and a number of cases were identified in Hungary, which variously relate to asylum applicants/migrants. “</w:t>
      </w:r>
      <w:r w:rsidR="00A726EE" w:rsidRPr="00DD2C16">
        <w:rPr>
          <w:rFonts w:ascii="Daxline Offc Pro" w:hAnsi="Daxline Offc Pro"/>
          <w:i/>
        </w:rPr>
        <w:t xml:space="preserve">(FRA, </w:t>
      </w:r>
      <w:hyperlink r:id="rId21" w:history="1">
        <w:r w:rsidR="00A726EE" w:rsidRPr="00DD2C16">
          <w:rPr>
            <w:rStyle w:val="Hyperlink"/>
            <w:rFonts w:ascii="Daxline Offc Pro" w:hAnsi="Daxline Offc Pro"/>
            <w:i/>
            <w:lang w:val="en"/>
          </w:rPr>
          <w:t>Current migration situation in the EU: Torture, trauma and its possible impact on drug use</w:t>
        </w:r>
      </w:hyperlink>
      <w:r w:rsidR="00A726EE" w:rsidRPr="00DD2C16">
        <w:rPr>
          <w:rFonts w:ascii="Daxline Offc Pro" w:hAnsi="Daxline Offc Pro"/>
          <w:i/>
          <w:color w:val="333333"/>
          <w:lang w:val="en"/>
        </w:rPr>
        <w:t xml:space="preserve">, </w:t>
      </w:r>
      <w:r w:rsidR="00A726EE" w:rsidRPr="00B242F7">
        <w:rPr>
          <w:rFonts w:ascii="Daxline Offc Pro" w:hAnsi="Daxline Offc Pro"/>
          <w:i/>
          <w:lang w:val="en"/>
        </w:rPr>
        <w:t>February 2017,</w:t>
      </w:r>
      <w:r w:rsidR="00A726EE" w:rsidRPr="00B242F7">
        <w:rPr>
          <w:rFonts w:ascii="Daxline Offc Pro" w:hAnsi="Daxline Offc Pro"/>
          <w:i/>
        </w:rPr>
        <w:t xml:space="preserve"> p. 14-15)</w:t>
      </w:r>
    </w:p>
    <w:p w14:paraId="79AC077E" w14:textId="77777777" w:rsidR="000F12B1" w:rsidRPr="00146762" w:rsidRDefault="000F12B1" w:rsidP="00146762">
      <w:pPr>
        <w:jc w:val="both"/>
        <w:rPr>
          <w:rFonts w:cs="DaxlinePro-Regular"/>
          <w:color w:val="000000"/>
          <w:sz w:val="18"/>
          <w:szCs w:val="18"/>
        </w:rPr>
      </w:pPr>
    </w:p>
    <w:sectPr w:rsidR="000F12B1" w:rsidRPr="00146762" w:rsidSect="0019104F">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A2B812" w14:textId="77777777" w:rsidR="00391804" w:rsidRDefault="00391804" w:rsidP="005D1AD7">
      <w:pPr>
        <w:spacing w:after="0" w:line="240" w:lineRule="auto"/>
      </w:pPr>
      <w:r>
        <w:separator/>
      </w:r>
    </w:p>
  </w:endnote>
  <w:endnote w:type="continuationSeparator" w:id="0">
    <w:p w14:paraId="0BD33289" w14:textId="77777777" w:rsidR="00391804" w:rsidRDefault="00391804" w:rsidP="005D1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axlinePro-Regular">
    <w:altName w:val="Arial"/>
    <w:panose1 w:val="00000000000000000000"/>
    <w:charset w:val="00"/>
    <w:family w:val="modern"/>
    <w:notTrueType/>
    <w:pitch w:val="variable"/>
    <w:sig w:usb0="00000001" w:usb1="4000A4FB" w:usb2="00000000" w:usb3="00000000" w:csb0="0000009F" w:csb1="00000000"/>
  </w:font>
  <w:font w:name="Segoe UI">
    <w:panose1 w:val="020B0502040204020203"/>
    <w:charset w:val="00"/>
    <w:family w:val="swiss"/>
    <w:pitch w:val="variable"/>
    <w:sig w:usb0="E10022FF" w:usb1="C000E47F" w:usb2="00000029" w:usb3="00000000" w:csb0="000001DF" w:csb1="00000000"/>
  </w:font>
  <w:font w:name="Daxline Offc Pro">
    <w:altName w:val="Segoe Script"/>
    <w:charset w:val="00"/>
    <w:family w:val="swiss"/>
    <w:pitch w:val="variable"/>
    <w:sig w:usb0="00000001" w:usb1="4000A4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519444"/>
      <w:docPartObj>
        <w:docPartGallery w:val="Page Numbers (Bottom of Page)"/>
        <w:docPartUnique/>
      </w:docPartObj>
    </w:sdtPr>
    <w:sdtEndPr>
      <w:rPr>
        <w:noProof/>
      </w:rPr>
    </w:sdtEndPr>
    <w:sdtContent>
      <w:p w14:paraId="6EC8A328" w14:textId="7B156574" w:rsidR="0019104F" w:rsidRDefault="0019104F">
        <w:pPr>
          <w:pStyle w:val="Footer"/>
          <w:jc w:val="right"/>
        </w:pPr>
        <w:r>
          <w:fldChar w:fldCharType="begin"/>
        </w:r>
        <w:r>
          <w:instrText xml:space="preserve"> PAGE   \* MERGEFORMAT </w:instrText>
        </w:r>
        <w:r>
          <w:fldChar w:fldCharType="separate"/>
        </w:r>
        <w:r w:rsidR="007352D2">
          <w:rPr>
            <w:noProof/>
          </w:rPr>
          <w:t>4</w:t>
        </w:r>
        <w:r>
          <w:rPr>
            <w:noProof/>
          </w:rPr>
          <w:fldChar w:fldCharType="end"/>
        </w:r>
      </w:p>
    </w:sdtContent>
  </w:sdt>
  <w:p w14:paraId="54520C08" w14:textId="77777777" w:rsidR="0019104F" w:rsidRDefault="001910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44BB44" w14:textId="77777777" w:rsidR="00391804" w:rsidRDefault="00391804" w:rsidP="005D1AD7">
      <w:pPr>
        <w:spacing w:after="0" w:line="240" w:lineRule="auto"/>
      </w:pPr>
      <w:r>
        <w:separator/>
      </w:r>
    </w:p>
  </w:footnote>
  <w:footnote w:type="continuationSeparator" w:id="0">
    <w:p w14:paraId="18F4955E" w14:textId="77777777" w:rsidR="00391804" w:rsidRDefault="00391804" w:rsidP="005D1A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2E3142"/>
    <w:multiLevelType w:val="hybridMultilevel"/>
    <w:tmpl w:val="290AB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AD7"/>
    <w:rsid w:val="000367CD"/>
    <w:rsid w:val="000634B0"/>
    <w:rsid w:val="000F12B1"/>
    <w:rsid w:val="00146762"/>
    <w:rsid w:val="0019104F"/>
    <w:rsid w:val="001A21AA"/>
    <w:rsid w:val="002F6655"/>
    <w:rsid w:val="003561D7"/>
    <w:rsid w:val="00390840"/>
    <w:rsid w:val="00391804"/>
    <w:rsid w:val="003D040B"/>
    <w:rsid w:val="005D1AD7"/>
    <w:rsid w:val="005E2C3E"/>
    <w:rsid w:val="005E7CC4"/>
    <w:rsid w:val="00713E87"/>
    <w:rsid w:val="007352D2"/>
    <w:rsid w:val="009347FD"/>
    <w:rsid w:val="00952453"/>
    <w:rsid w:val="009A081D"/>
    <w:rsid w:val="00A20989"/>
    <w:rsid w:val="00A726EE"/>
    <w:rsid w:val="00B10418"/>
    <w:rsid w:val="00B1494B"/>
    <w:rsid w:val="00B242F7"/>
    <w:rsid w:val="00CB1B9B"/>
    <w:rsid w:val="00CF0D62"/>
    <w:rsid w:val="00D73A18"/>
    <w:rsid w:val="00D840BC"/>
    <w:rsid w:val="00DD2C16"/>
    <w:rsid w:val="00EA06D5"/>
    <w:rsid w:val="00F06ACC"/>
    <w:rsid w:val="00FA0E74"/>
    <w:rsid w:val="00FF5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8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AD7"/>
  </w:style>
  <w:style w:type="paragraph" w:styleId="Heading1">
    <w:name w:val="heading 1"/>
    <w:basedOn w:val="Normal"/>
    <w:next w:val="Normal"/>
    <w:link w:val="Heading1Char"/>
    <w:uiPriority w:val="9"/>
    <w:qFormat/>
    <w:rsid w:val="00B242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242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1AD7"/>
    <w:rPr>
      <w:color w:val="0563C1" w:themeColor="hyperlink"/>
      <w:u w:val="single"/>
    </w:rPr>
  </w:style>
  <w:style w:type="paragraph" w:styleId="Header">
    <w:name w:val="header"/>
    <w:basedOn w:val="Normal"/>
    <w:link w:val="HeaderChar"/>
    <w:uiPriority w:val="99"/>
    <w:unhideWhenUsed/>
    <w:rsid w:val="005D1A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AD7"/>
  </w:style>
  <w:style w:type="paragraph" w:styleId="Footer">
    <w:name w:val="footer"/>
    <w:basedOn w:val="Normal"/>
    <w:link w:val="FooterChar"/>
    <w:uiPriority w:val="99"/>
    <w:unhideWhenUsed/>
    <w:rsid w:val="005D1A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AD7"/>
  </w:style>
  <w:style w:type="paragraph" w:styleId="FootnoteText">
    <w:name w:val="footnote text"/>
    <w:basedOn w:val="Normal"/>
    <w:link w:val="FootnoteTextChar"/>
    <w:uiPriority w:val="99"/>
    <w:semiHidden/>
    <w:unhideWhenUsed/>
    <w:rsid w:val="005E7C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7CC4"/>
    <w:rPr>
      <w:sz w:val="20"/>
      <w:szCs w:val="20"/>
    </w:rPr>
  </w:style>
  <w:style w:type="character" w:styleId="FootnoteReference">
    <w:name w:val="footnote reference"/>
    <w:basedOn w:val="DefaultParagraphFont"/>
    <w:uiPriority w:val="99"/>
    <w:semiHidden/>
    <w:unhideWhenUsed/>
    <w:rsid w:val="005E7CC4"/>
    <w:rPr>
      <w:vertAlign w:val="superscript"/>
    </w:rPr>
  </w:style>
  <w:style w:type="character" w:customStyle="1" w:styleId="A10">
    <w:name w:val="A10"/>
    <w:uiPriority w:val="99"/>
    <w:rsid w:val="00FF552F"/>
    <w:rPr>
      <w:rFonts w:cs="DaxlinePro-Regular"/>
      <w:color w:val="000000"/>
      <w:sz w:val="10"/>
      <w:szCs w:val="10"/>
    </w:rPr>
  </w:style>
  <w:style w:type="paragraph" w:styleId="NormalWeb">
    <w:name w:val="Normal (Web)"/>
    <w:basedOn w:val="Normal"/>
    <w:uiPriority w:val="99"/>
    <w:semiHidden/>
    <w:unhideWhenUsed/>
    <w:rsid w:val="00A209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0989"/>
    <w:rPr>
      <w:b/>
      <w:bCs/>
    </w:rPr>
  </w:style>
  <w:style w:type="paragraph" w:styleId="ListParagraph">
    <w:name w:val="List Paragraph"/>
    <w:basedOn w:val="Normal"/>
    <w:uiPriority w:val="34"/>
    <w:qFormat/>
    <w:rsid w:val="00A20989"/>
    <w:pPr>
      <w:ind w:left="720"/>
      <w:contextualSpacing/>
    </w:pPr>
  </w:style>
  <w:style w:type="character" w:styleId="FollowedHyperlink">
    <w:name w:val="FollowedHyperlink"/>
    <w:basedOn w:val="DefaultParagraphFont"/>
    <w:uiPriority w:val="99"/>
    <w:semiHidden/>
    <w:unhideWhenUsed/>
    <w:rsid w:val="000F12B1"/>
    <w:rPr>
      <w:color w:val="954F72" w:themeColor="followedHyperlink"/>
      <w:u w:val="single"/>
    </w:rPr>
  </w:style>
  <w:style w:type="character" w:customStyle="1" w:styleId="date-display-single1">
    <w:name w:val="date-display-single1"/>
    <w:basedOn w:val="DefaultParagraphFont"/>
    <w:rsid w:val="000F12B1"/>
    <w:rPr>
      <w:i/>
      <w:iCs/>
      <w:color w:val="808080"/>
      <w:sz w:val="22"/>
      <w:szCs w:val="22"/>
    </w:rPr>
  </w:style>
  <w:style w:type="character" w:styleId="CommentReference">
    <w:name w:val="annotation reference"/>
    <w:basedOn w:val="DefaultParagraphFont"/>
    <w:uiPriority w:val="99"/>
    <w:semiHidden/>
    <w:unhideWhenUsed/>
    <w:rsid w:val="00A726EE"/>
    <w:rPr>
      <w:sz w:val="16"/>
      <w:szCs w:val="16"/>
    </w:rPr>
  </w:style>
  <w:style w:type="paragraph" w:styleId="CommentText">
    <w:name w:val="annotation text"/>
    <w:basedOn w:val="Normal"/>
    <w:link w:val="CommentTextChar"/>
    <w:uiPriority w:val="99"/>
    <w:semiHidden/>
    <w:unhideWhenUsed/>
    <w:rsid w:val="00A726EE"/>
    <w:pPr>
      <w:spacing w:line="240" w:lineRule="auto"/>
    </w:pPr>
    <w:rPr>
      <w:sz w:val="20"/>
      <w:szCs w:val="20"/>
    </w:rPr>
  </w:style>
  <w:style w:type="character" w:customStyle="1" w:styleId="CommentTextChar">
    <w:name w:val="Comment Text Char"/>
    <w:basedOn w:val="DefaultParagraphFont"/>
    <w:link w:val="CommentText"/>
    <w:uiPriority w:val="99"/>
    <w:semiHidden/>
    <w:rsid w:val="00A726EE"/>
    <w:rPr>
      <w:sz w:val="20"/>
      <w:szCs w:val="20"/>
    </w:rPr>
  </w:style>
  <w:style w:type="paragraph" w:styleId="CommentSubject">
    <w:name w:val="annotation subject"/>
    <w:basedOn w:val="CommentText"/>
    <w:next w:val="CommentText"/>
    <w:link w:val="CommentSubjectChar"/>
    <w:uiPriority w:val="99"/>
    <w:semiHidden/>
    <w:unhideWhenUsed/>
    <w:rsid w:val="00A726EE"/>
    <w:rPr>
      <w:b/>
      <w:bCs/>
    </w:rPr>
  </w:style>
  <w:style w:type="character" w:customStyle="1" w:styleId="CommentSubjectChar">
    <w:name w:val="Comment Subject Char"/>
    <w:basedOn w:val="CommentTextChar"/>
    <w:link w:val="CommentSubject"/>
    <w:uiPriority w:val="99"/>
    <w:semiHidden/>
    <w:rsid w:val="00A726EE"/>
    <w:rPr>
      <w:b/>
      <w:bCs/>
      <w:sz w:val="20"/>
      <w:szCs w:val="20"/>
    </w:rPr>
  </w:style>
  <w:style w:type="paragraph" w:styleId="BalloonText">
    <w:name w:val="Balloon Text"/>
    <w:basedOn w:val="Normal"/>
    <w:link w:val="BalloonTextChar"/>
    <w:uiPriority w:val="99"/>
    <w:semiHidden/>
    <w:unhideWhenUsed/>
    <w:rsid w:val="00A726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6EE"/>
    <w:rPr>
      <w:rFonts w:ascii="Segoe UI" w:hAnsi="Segoe UI" w:cs="Segoe UI"/>
      <w:sz w:val="18"/>
      <w:szCs w:val="18"/>
    </w:rPr>
  </w:style>
  <w:style w:type="paragraph" w:customStyle="1" w:styleId="SingleTxtG">
    <w:name w:val="_ Single Txt_G"/>
    <w:basedOn w:val="Normal"/>
    <w:qFormat/>
    <w:rsid w:val="00390840"/>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rPr>
  </w:style>
  <w:style w:type="table" w:styleId="TableGrid">
    <w:name w:val="Table Grid"/>
    <w:basedOn w:val="TableNormal"/>
    <w:uiPriority w:val="39"/>
    <w:rsid w:val="00390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242F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242F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F0D62"/>
    <w:pPr>
      <w:outlineLvl w:val="9"/>
    </w:pPr>
    <w:rPr>
      <w:lang w:val="en-US"/>
    </w:rPr>
  </w:style>
  <w:style w:type="paragraph" w:styleId="TOC1">
    <w:name w:val="toc 1"/>
    <w:basedOn w:val="Normal"/>
    <w:next w:val="Normal"/>
    <w:autoRedefine/>
    <w:uiPriority w:val="39"/>
    <w:unhideWhenUsed/>
    <w:rsid w:val="00CF0D62"/>
    <w:pPr>
      <w:spacing w:after="100"/>
    </w:pPr>
  </w:style>
  <w:style w:type="paragraph" w:styleId="TOC2">
    <w:name w:val="toc 2"/>
    <w:basedOn w:val="Normal"/>
    <w:next w:val="Normal"/>
    <w:autoRedefine/>
    <w:uiPriority w:val="39"/>
    <w:unhideWhenUsed/>
    <w:rsid w:val="00CF0D62"/>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AD7"/>
  </w:style>
  <w:style w:type="paragraph" w:styleId="Heading1">
    <w:name w:val="heading 1"/>
    <w:basedOn w:val="Normal"/>
    <w:next w:val="Normal"/>
    <w:link w:val="Heading1Char"/>
    <w:uiPriority w:val="9"/>
    <w:qFormat/>
    <w:rsid w:val="00B242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242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1AD7"/>
    <w:rPr>
      <w:color w:val="0563C1" w:themeColor="hyperlink"/>
      <w:u w:val="single"/>
    </w:rPr>
  </w:style>
  <w:style w:type="paragraph" w:styleId="Header">
    <w:name w:val="header"/>
    <w:basedOn w:val="Normal"/>
    <w:link w:val="HeaderChar"/>
    <w:uiPriority w:val="99"/>
    <w:unhideWhenUsed/>
    <w:rsid w:val="005D1A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AD7"/>
  </w:style>
  <w:style w:type="paragraph" w:styleId="Footer">
    <w:name w:val="footer"/>
    <w:basedOn w:val="Normal"/>
    <w:link w:val="FooterChar"/>
    <w:uiPriority w:val="99"/>
    <w:unhideWhenUsed/>
    <w:rsid w:val="005D1A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AD7"/>
  </w:style>
  <w:style w:type="paragraph" w:styleId="FootnoteText">
    <w:name w:val="footnote text"/>
    <w:basedOn w:val="Normal"/>
    <w:link w:val="FootnoteTextChar"/>
    <w:uiPriority w:val="99"/>
    <w:semiHidden/>
    <w:unhideWhenUsed/>
    <w:rsid w:val="005E7C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7CC4"/>
    <w:rPr>
      <w:sz w:val="20"/>
      <w:szCs w:val="20"/>
    </w:rPr>
  </w:style>
  <w:style w:type="character" w:styleId="FootnoteReference">
    <w:name w:val="footnote reference"/>
    <w:basedOn w:val="DefaultParagraphFont"/>
    <w:uiPriority w:val="99"/>
    <w:semiHidden/>
    <w:unhideWhenUsed/>
    <w:rsid w:val="005E7CC4"/>
    <w:rPr>
      <w:vertAlign w:val="superscript"/>
    </w:rPr>
  </w:style>
  <w:style w:type="character" w:customStyle="1" w:styleId="A10">
    <w:name w:val="A10"/>
    <w:uiPriority w:val="99"/>
    <w:rsid w:val="00FF552F"/>
    <w:rPr>
      <w:rFonts w:cs="DaxlinePro-Regular"/>
      <w:color w:val="000000"/>
      <w:sz w:val="10"/>
      <w:szCs w:val="10"/>
    </w:rPr>
  </w:style>
  <w:style w:type="paragraph" w:styleId="NormalWeb">
    <w:name w:val="Normal (Web)"/>
    <w:basedOn w:val="Normal"/>
    <w:uiPriority w:val="99"/>
    <w:semiHidden/>
    <w:unhideWhenUsed/>
    <w:rsid w:val="00A209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0989"/>
    <w:rPr>
      <w:b/>
      <w:bCs/>
    </w:rPr>
  </w:style>
  <w:style w:type="paragraph" w:styleId="ListParagraph">
    <w:name w:val="List Paragraph"/>
    <w:basedOn w:val="Normal"/>
    <w:uiPriority w:val="34"/>
    <w:qFormat/>
    <w:rsid w:val="00A20989"/>
    <w:pPr>
      <w:ind w:left="720"/>
      <w:contextualSpacing/>
    </w:pPr>
  </w:style>
  <w:style w:type="character" w:styleId="FollowedHyperlink">
    <w:name w:val="FollowedHyperlink"/>
    <w:basedOn w:val="DefaultParagraphFont"/>
    <w:uiPriority w:val="99"/>
    <w:semiHidden/>
    <w:unhideWhenUsed/>
    <w:rsid w:val="000F12B1"/>
    <w:rPr>
      <w:color w:val="954F72" w:themeColor="followedHyperlink"/>
      <w:u w:val="single"/>
    </w:rPr>
  </w:style>
  <w:style w:type="character" w:customStyle="1" w:styleId="date-display-single1">
    <w:name w:val="date-display-single1"/>
    <w:basedOn w:val="DefaultParagraphFont"/>
    <w:rsid w:val="000F12B1"/>
    <w:rPr>
      <w:i/>
      <w:iCs/>
      <w:color w:val="808080"/>
      <w:sz w:val="22"/>
      <w:szCs w:val="22"/>
    </w:rPr>
  </w:style>
  <w:style w:type="character" w:styleId="CommentReference">
    <w:name w:val="annotation reference"/>
    <w:basedOn w:val="DefaultParagraphFont"/>
    <w:uiPriority w:val="99"/>
    <w:semiHidden/>
    <w:unhideWhenUsed/>
    <w:rsid w:val="00A726EE"/>
    <w:rPr>
      <w:sz w:val="16"/>
      <w:szCs w:val="16"/>
    </w:rPr>
  </w:style>
  <w:style w:type="paragraph" w:styleId="CommentText">
    <w:name w:val="annotation text"/>
    <w:basedOn w:val="Normal"/>
    <w:link w:val="CommentTextChar"/>
    <w:uiPriority w:val="99"/>
    <w:semiHidden/>
    <w:unhideWhenUsed/>
    <w:rsid w:val="00A726EE"/>
    <w:pPr>
      <w:spacing w:line="240" w:lineRule="auto"/>
    </w:pPr>
    <w:rPr>
      <w:sz w:val="20"/>
      <w:szCs w:val="20"/>
    </w:rPr>
  </w:style>
  <w:style w:type="character" w:customStyle="1" w:styleId="CommentTextChar">
    <w:name w:val="Comment Text Char"/>
    <w:basedOn w:val="DefaultParagraphFont"/>
    <w:link w:val="CommentText"/>
    <w:uiPriority w:val="99"/>
    <w:semiHidden/>
    <w:rsid w:val="00A726EE"/>
    <w:rPr>
      <w:sz w:val="20"/>
      <w:szCs w:val="20"/>
    </w:rPr>
  </w:style>
  <w:style w:type="paragraph" w:styleId="CommentSubject">
    <w:name w:val="annotation subject"/>
    <w:basedOn w:val="CommentText"/>
    <w:next w:val="CommentText"/>
    <w:link w:val="CommentSubjectChar"/>
    <w:uiPriority w:val="99"/>
    <w:semiHidden/>
    <w:unhideWhenUsed/>
    <w:rsid w:val="00A726EE"/>
    <w:rPr>
      <w:b/>
      <w:bCs/>
    </w:rPr>
  </w:style>
  <w:style w:type="character" w:customStyle="1" w:styleId="CommentSubjectChar">
    <w:name w:val="Comment Subject Char"/>
    <w:basedOn w:val="CommentTextChar"/>
    <w:link w:val="CommentSubject"/>
    <w:uiPriority w:val="99"/>
    <w:semiHidden/>
    <w:rsid w:val="00A726EE"/>
    <w:rPr>
      <w:b/>
      <w:bCs/>
      <w:sz w:val="20"/>
      <w:szCs w:val="20"/>
    </w:rPr>
  </w:style>
  <w:style w:type="paragraph" w:styleId="BalloonText">
    <w:name w:val="Balloon Text"/>
    <w:basedOn w:val="Normal"/>
    <w:link w:val="BalloonTextChar"/>
    <w:uiPriority w:val="99"/>
    <w:semiHidden/>
    <w:unhideWhenUsed/>
    <w:rsid w:val="00A726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6EE"/>
    <w:rPr>
      <w:rFonts w:ascii="Segoe UI" w:hAnsi="Segoe UI" w:cs="Segoe UI"/>
      <w:sz w:val="18"/>
      <w:szCs w:val="18"/>
    </w:rPr>
  </w:style>
  <w:style w:type="paragraph" w:customStyle="1" w:styleId="SingleTxtG">
    <w:name w:val="_ Single Txt_G"/>
    <w:basedOn w:val="Normal"/>
    <w:qFormat/>
    <w:rsid w:val="00390840"/>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rPr>
  </w:style>
  <w:style w:type="table" w:styleId="TableGrid">
    <w:name w:val="Table Grid"/>
    <w:basedOn w:val="TableNormal"/>
    <w:uiPriority w:val="39"/>
    <w:rsid w:val="00390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242F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242F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F0D62"/>
    <w:pPr>
      <w:outlineLvl w:val="9"/>
    </w:pPr>
    <w:rPr>
      <w:lang w:val="en-US"/>
    </w:rPr>
  </w:style>
  <w:style w:type="paragraph" w:styleId="TOC1">
    <w:name w:val="toc 1"/>
    <w:basedOn w:val="Normal"/>
    <w:next w:val="Normal"/>
    <w:autoRedefine/>
    <w:uiPriority w:val="39"/>
    <w:unhideWhenUsed/>
    <w:rsid w:val="00CF0D62"/>
    <w:pPr>
      <w:spacing w:after="100"/>
    </w:pPr>
  </w:style>
  <w:style w:type="paragraph" w:styleId="TOC2">
    <w:name w:val="toc 2"/>
    <w:basedOn w:val="Normal"/>
    <w:next w:val="Normal"/>
    <w:autoRedefine/>
    <w:uiPriority w:val="39"/>
    <w:unhideWhenUsed/>
    <w:rsid w:val="00CF0D6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71383">
      <w:bodyDiv w:val="1"/>
      <w:marLeft w:val="0"/>
      <w:marRight w:val="0"/>
      <w:marTop w:val="0"/>
      <w:marBottom w:val="0"/>
      <w:divBdr>
        <w:top w:val="none" w:sz="0" w:space="0" w:color="auto"/>
        <w:left w:val="none" w:sz="0" w:space="0" w:color="auto"/>
        <w:bottom w:val="none" w:sz="0" w:space="0" w:color="auto"/>
        <w:right w:val="none" w:sz="0" w:space="0" w:color="auto"/>
      </w:divBdr>
      <w:divsChild>
        <w:div w:id="1391659159">
          <w:marLeft w:val="0"/>
          <w:marRight w:val="0"/>
          <w:marTop w:val="345"/>
          <w:marBottom w:val="0"/>
          <w:divBdr>
            <w:top w:val="none" w:sz="0" w:space="0" w:color="auto"/>
            <w:left w:val="none" w:sz="0" w:space="0" w:color="auto"/>
            <w:bottom w:val="none" w:sz="0" w:space="0" w:color="auto"/>
            <w:right w:val="none" w:sz="0" w:space="0" w:color="auto"/>
          </w:divBdr>
          <w:divsChild>
            <w:div w:id="558982770">
              <w:marLeft w:val="0"/>
              <w:marRight w:val="0"/>
              <w:marTop w:val="0"/>
              <w:marBottom w:val="0"/>
              <w:divBdr>
                <w:top w:val="none" w:sz="0" w:space="0" w:color="auto"/>
                <w:left w:val="none" w:sz="0" w:space="0" w:color="auto"/>
                <w:bottom w:val="none" w:sz="0" w:space="0" w:color="auto"/>
                <w:right w:val="none" w:sz="0" w:space="0" w:color="auto"/>
              </w:divBdr>
              <w:divsChild>
                <w:div w:id="640689742">
                  <w:marLeft w:val="0"/>
                  <w:marRight w:val="-14400"/>
                  <w:marTop w:val="0"/>
                  <w:marBottom w:val="0"/>
                  <w:divBdr>
                    <w:top w:val="none" w:sz="0" w:space="0" w:color="auto"/>
                    <w:left w:val="none" w:sz="0" w:space="0" w:color="auto"/>
                    <w:bottom w:val="none" w:sz="0" w:space="0" w:color="auto"/>
                    <w:right w:val="none" w:sz="0" w:space="0" w:color="auto"/>
                  </w:divBdr>
                  <w:divsChild>
                    <w:div w:id="847405834">
                      <w:marLeft w:val="0"/>
                      <w:marRight w:val="0"/>
                      <w:marTop w:val="0"/>
                      <w:marBottom w:val="0"/>
                      <w:divBdr>
                        <w:top w:val="none" w:sz="0" w:space="0" w:color="auto"/>
                        <w:left w:val="none" w:sz="0" w:space="0" w:color="auto"/>
                        <w:bottom w:val="none" w:sz="0" w:space="0" w:color="auto"/>
                        <w:right w:val="none" w:sz="0" w:space="0" w:color="auto"/>
                      </w:divBdr>
                      <w:divsChild>
                        <w:div w:id="1708791694">
                          <w:marLeft w:val="0"/>
                          <w:marRight w:val="0"/>
                          <w:marTop w:val="0"/>
                          <w:marBottom w:val="0"/>
                          <w:divBdr>
                            <w:top w:val="none" w:sz="0" w:space="0" w:color="auto"/>
                            <w:left w:val="none" w:sz="0" w:space="0" w:color="auto"/>
                            <w:bottom w:val="none" w:sz="0" w:space="0" w:color="auto"/>
                            <w:right w:val="none" w:sz="0" w:space="0" w:color="auto"/>
                          </w:divBdr>
                          <w:divsChild>
                            <w:div w:id="1444809913">
                              <w:marLeft w:val="0"/>
                              <w:marRight w:val="0"/>
                              <w:marTop w:val="0"/>
                              <w:marBottom w:val="0"/>
                              <w:divBdr>
                                <w:top w:val="none" w:sz="0" w:space="0" w:color="auto"/>
                                <w:left w:val="none" w:sz="0" w:space="0" w:color="auto"/>
                                <w:bottom w:val="none" w:sz="0" w:space="0" w:color="auto"/>
                                <w:right w:val="none" w:sz="0" w:space="0" w:color="auto"/>
                              </w:divBdr>
                              <w:divsChild>
                                <w:div w:id="1446925680">
                                  <w:marLeft w:val="0"/>
                                  <w:marRight w:val="0"/>
                                  <w:marTop w:val="0"/>
                                  <w:marBottom w:val="0"/>
                                  <w:divBdr>
                                    <w:top w:val="none" w:sz="0" w:space="0" w:color="auto"/>
                                    <w:left w:val="none" w:sz="0" w:space="0" w:color="auto"/>
                                    <w:bottom w:val="none" w:sz="0" w:space="0" w:color="auto"/>
                                    <w:right w:val="none" w:sz="0" w:space="0" w:color="auto"/>
                                  </w:divBdr>
                                  <w:divsChild>
                                    <w:div w:id="95945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16301">
                              <w:marLeft w:val="0"/>
                              <w:marRight w:val="0"/>
                              <w:marTop w:val="0"/>
                              <w:marBottom w:val="0"/>
                              <w:divBdr>
                                <w:top w:val="none" w:sz="0" w:space="0" w:color="auto"/>
                                <w:left w:val="none" w:sz="0" w:space="0" w:color="auto"/>
                                <w:bottom w:val="none" w:sz="0" w:space="0" w:color="auto"/>
                                <w:right w:val="none" w:sz="0" w:space="0" w:color="auto"/>
                              </w:divBdr>
                              <w:divsChild>
                                <w:div w:id="779224496">
                                  <w:marLeft w:val="0"/>
                                  <w:marRight w:val="0"/>
                                  <w:marTop w:val="0"/>
                                  <w:marBottom w:val="0"/>
                                  <w:divBdr>
                                    <w:top w:val="none" w:sz="0" w:space="0" w:color="auto"/>
                                    <w:left w:val="none" w:sz="0" w:space="0" w:color="auto"/>
                                    <w:bottom w:val="none" w:sz="0" w:space="0" w:color="auto"/>
                                    <w:right w:val="none" w:sz="0" w:space="0" w:color="auto"/>
                                  </w:divBdr>
                                  <w:divsChild>
                                    <w:div w:id="34979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326372">
      <w:bodyDiv w:val="1"/>
      <w:marLeft w:val="0"/>
      <w:marRight w:val="0"/>
      <w:marTop w:val="0"/>
      <w:marBottom w:val="0"/>
      <w:divBdr>
        <w:top w:val="none" w:sz="0" w:space="0" w:color="auto"/>
        <w:left w:val="none" w:sz="0" w:space="0" w:color="auto"/>
        <w:bottom w:val="none" w:sz="0" w:space="0" w:color="auto"/>
        <w:right w:val="none" w:sz="0" w:space="0" w:color="auto"/>
      </w:divBdr>
      <w:divsChild>
        <w:div w:id="61030769">
          <w:marLeft w:val="0"/>
          <w:marRight w:val="0"/>
          <w:marTop w:val="0"/>
          <w:marBottom w:val="0"/>
          <w:divBdr>
            <w:top w:val="none" w:sz="0" w:space="0" w:color="auto"/>
            <w:left w:val="none" w:sz="0" w:space="0" w:color="auto"/>
            <w:bottom w:val="none" w:sz="0" w:space="0" w:color="auto"/>
            <w:right w:val="none" w:sz="0" w:space="0" w:color="auto"/>
          </w:divBdr>
          <w:divsChild>
            <w:div w:id="417018443">
              <w:marLeft w:val="0"/>
              <w:marRight w:val="0"/>
              <w:marTop w:val="0"/>
              <w:marBottom w:val="0"/>
              <w:divBdr>
                <w:top w:val="none" w:sz="0" w:space="0" w:color="auto"/>
                <w:left w:val="none" w:sz="0" w:space="0" w:color="auto"/>
                <w:bottom w:val="none" w:sz="0" w:space="0" w:color="auto"/>
                <w:right w:val="none" w:sz="0" w:space="0" w:color="auto"/>
              </w:divBdr>
              <w:divsChild>
                <w:div w:id="1445688392">
                  <w:marLeft w:val="0"/>
                  <w:marRight w:val="0"/>
                  <w:marTop w:val="0"/>
                  <w:marBottom w:val="0"/>
                  <w:divBdr>
                    <w:top w:val="none" w:sz="0" w:space="0" w:color="auto"/>
                    <w:left w:val="none" w:sz="0" w:space="0" w:color="auto"/>
                    <w:bottom w:val="none" w:sz="0" w:space="0" w:color="auto"/>
                    <w:right w:val="none" w:sz="0" w:space="0" w:color="auto"/>
                  </w:divBdr>
                  <w:divsChild>
                    <w:div w:id="1400397089">
                      <w:marLeft w:val="0"/>
                      <w:marRight w:val="0"/>
                      <w:marTop w:val="0"/>
                      <w:marBottom w:val="0"/>
                      <w:divBdr>
                        <w:top w:val="none" w:sz="0" w:space="0" w:color="auto"/>
                        <w:left w:val="none" w:sz="0" w:space="0" w:color="auto"/>
                        <w:bottom w:val="none" w:sz="0" w:space="0" w:color="auto"/>
                        <w:right w:val="none" w:sz="0" w:space="0" w:color="auto"/>
                      </w:divBdr>
                      <w:divsChild>
                        <w:div w:id="1377196108">
                          <w:marLeft w:val="0"/>
                          <w:marRight w:val="0"/>
                          <w:marTop w:val="0"/>
                          <w:marBottom w:val="0"/>
                          <w:divBdr>
                            <w:top w:val="none" w:sz="0" w:space="0" w:color="auto"/>
                            <w:left w:val="none" w:sz="0" w:space="0" w:color="auto"/>
                            <w:bottom w:val="none" w:sz="0" w:space="0" w:color="auto"/>
                            <w:right w:val="none" w:sz="0" w:space="0" w:color="auto"/>
                          </w:divBdr>
                          <w:divsChild>
                            <w:div w:id="190744996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726720">
      <w:bodyDiv w:val="1"/>
      <w:marLeft w:val="0"/>
      <w:marRight w:val="0"/>
      <w:marTop w:val="0"/>
      <w:marBottom w:val="0"/>
      <w:divBdr>
        <w:top w:val="none" w:sz="0" w:space="0" w:color="auto"/>
        <w:left w:val="none" w:sz="0" w:space="0" w:color="auto"/>
        <w:bottom w:val="none" w:sz="0" w:space="0" w:color="auto"/>
        <w:right w:val="none" w:sz="0" w:space="0" w:color="auto"/>
      </w:divBdr>
      <w:divsChild>
        <w:div w:id="1367491057">
          <w:marLeft w:val="0"/>
          <w:marRight w:val="0"/>
          <w:marTop w:val="0"/>
          <w:marBottom w:val="0"/>
          <w:divBdr>
            <w:top w:val="none" w:sz="0" w:space="0" w:color="auto"/>
            <w:left w:val="none" w:sz="0" w:space="0" w:color="auto"/>
            <w:bottom w:val="none" w:sz="0" w:space="0" w:color="auto"/>
            <w:right w:val="none" w:sz="0" w:space="0" w:color="auto"/>
          </w:divBdr>
          <w:divsChild>
            <w:div w:id="164982470">
              <w:marLeft w:val="0"/>
              <w:marRight w:val="0"/>
              <w:marTop w:val="0"/>
              <w:marBottom w:val="0"/>
              <w:divBdr>
                <w:top w:val="none" w:sz="0" w:space="0" w:color="auto"/>
                <w:left w:val="none" w:sz="0" w:space="0" w:color="auto"/>
                <w:bottom w:val="none" w:sz="0" w:space="0" w:color="auto"/>
                <w:right w:val="none" w:sz="0" w:space="0" w:color="auto"/>
              </w:divBdr>
              <w:divsChild>
                <w:div w:id="1613584444">
                  <w:marLeft w:val="0"/>
                  <w:marRight w:val="0"/>
                  <w:marTop w:val="0"/>
                  <w:marBottom w:val="0"/>
                  <w:divBdr>
                    <w:top w:val="none" w:sz="0" w:space="0" w:color="auto"/>
                    <w:left w:val="none" w:sz="0" w:space="0" w:color="auto"/>
                    <w:bottom w:val="none" w:sz="0" w:space="0" w:color="auto"/>
                    <w:right w:val="none" w:sz="0" w:space="0" w:color="auto"/>
                  </w:divBdr>
                  <w:divsChild>
                    <w:div w:id="1698001517">
                      <w:marLeft w:val="0"/>
                      <w:marRight w:val="0"/>
                      <w:marTop w:val="0"/>
                      <w:marBottom w:val="0"/>
                      <w:divBdr>
                        <w:top w:val="none" w:sz="0" w:space="0" w:color="auto"/>
                        <w:left w:val="none" w:sz="0" w:space="0" w:color="auto"/>
                        <w:bottom w:val="none" w:sz="0" w:space="0" w:color="auto"/>
                        <w:right w:val="none" w:sz="0" w:space="0" w:color="auto"/>
                      </w:divBdr>
                      <w:divsChild>
                        <w:div w:id="1964265913">
                          <w:marLeft w:val="0"/>
                          <w:marRight w:val="0"/>
                          <w:marTop w:val="0"/>
                          <w:marBottom w:val="0"/>
                          <w:divBdr>
                            <w:top w:val="none" w:sz="0" w:space="0" w:color="auto"/>
                            <w:left w:val="none" w:sz="0" w:space="0" w:color="auto"/>
                            <w:bottom w:val="none" w:sz="0" w:space="0" w:color="auto"/>
                            <w:right w:val="none" w:sz="0" w:space="0" w:color="auto"/>
                          </w:divBdr>
                          <w:divsChild>
                            <w:div w:id="102389681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3069836">
      <w:bodyDiv w:val="1"/>
      <w:marLeft w:val="0"/>
      <w:marRight w:val="0"/>
      <w:marTop w:val="0"/>
      <w:marBottom w:val="0"/>
      <w:divBdr>
        <w:top w:val="none" w:sz="0" w:space="0" w:color="auto"/>
        <w:left w:val="none" w:sz="0" w:space="0" w:color="auto"/>
        <w:bottom w:val="none" w:sz="0" w:space="0" w:color="auto"/>
        <w:right w:val="none" w:sz="0" w:space="0" w:color="auto"/>
      </w:divBdr>
    </w:div>
    <w:div w:id="1867328571">
      <w:bodyDiv w:val="1"/>
      <w:marLeft w:val="0"/>
      <w:marRight w:val="0"/>
      <w:marTop w:val="0"/>
      <w:marBottom w:val="0"/>
      <w:divBdr>
        <w:top w:val="none" w:sz="0" w:space="0" w:color="auto"/>
        <w:left w:val="none" w:sz="0" w:space="0" w:color="auto"/>
        <w:bottom w:val="none" w:sz="0" w:space="0" w:color="auto"/>
        <w:right w:val="none" w:sz="0" w:space="0" w:color="auto"/>
      </w:divBdr>
      <w:divsChild>
        <w:div w:id="1717387174">
          <w:marLeft w:val="0"/>
          <w:marRight w:val="0"/>
          <w:marTop w:val="0"/>
          <w:marBottom w:val="0"/>
          <w:divBdr>
            <w:top w:val="none" w:sz="0" w:space="0" w:color="auto"/>
            <w:left w:val="none" w:sz="0" w:space="0" w:color="auto"/>
            <w:bottom w:val="none" w:sz="0" w:space="0" w:color="auto"/>
            <w:right w:val="none" w:sz="0" w:space="0" w:color="auto"/>
          </w:divBdr>
          <w:divsChild>
            <w:div w:id="375355456">
              <w:marLeft w:val="0"/>
              <w:marRight w:val="0"/>
              <w:marTop w:val="0"/>
              <w:marBottom w:val="0"/>
              <w:divBdr>
                <w:top w:val="none" w:sz="0" w:space="0" w:color="auto"/>
                <w:left w:val="none" w:sz="0" w:space="0" w:color="auto"/>
                <w:bottom w:val="none" w:sz="0" w:space="0" w:color="auto"/>
                <w:right w:val="none" w:sz="0" w:space="0" w:color="auto"/>
              </w:divBdr>
              <w:divsChild>
                <w:div w:id="252592160">
                  <w:marLeft w:val="0"/>
                  <w:marRight w:val="0"/>
                  <w:marTop w:val="0"/>
                  <w:marBottom w:val="0"/>
                  <w:divBdr>
                    <w:top w:val="none" w:sz="0" w:space="0" w:color="auto"/>
                    <w:left w:val="none" w:sz="0" w:space="0" w:color="auto"/>
                    <w:bottom w:val="none" w:sz="0" w:space="0" w:color="auto"/>
                    <w:right w:val="none" w:sz="0" w:space="0" w:color="auto"/>
                  </w:divBdr>
                  <w:divsChild>
                    <w:div w:id="1012533422">
                      <w:marLeft w:val="0"/>
                      <w:marRight w:val="0"/>
                      <w:marTop w:val="0"/>
                      <w:marBottom w:val="0"/>
                      <w:divBdr>
                        <w:top w:val="none" w:sz="0" w:space="0" w:color="auto"/>
                        <w:left w:val="none" w:sz="0" w:space="0" w:color="auto"/>
                        <w:bottom w:val="none" w:sz="0" w:space="0" w:color="auto"/>
                        <w:right w:val="none" w:sz="0" w:space="0" w:color="auto"/>
                      </w:divBdr>
                      <w:divsChild>
                        <w:div w:id="1271353186">
                          <w:marLeft w:val="0"/>
                          <w:marRight w:val="0"/>
                          <w:marTop w:val="0"/>
                          <w:marBottom w:val="0"/>
                          <w:divBdr>
                            <w:top w:val="none" w:sz="0" w:space="0" w:color="auto"/>
                            <w:left w:val="none" w:sz="0" w:space="0" w:color="auto"/>
                            <w:bottom w:val="none" w:sz="0" w:space="0" w:color="auto"/>
                            <w:right w:val="none" w:sz="0" w:space="0" w:color="auto"/>
                          </w:divBdr>
                          <w:divsChild>
                            <w:div w:id="45104795">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3881306">
      <w:bodyDiv w:val="1"/>
      <w:marLeft w:val="0"/>
      <w:marRight w:val="0"/>
      <w:marTop w:val="0"/>
      <w:marBottom w:val="0"/>
      <w:divBdr>
        <w:top w:val="none" w:sz="0" w:space="0" w:color="auto"/>
        <w:left w:val="none" w:sz="0" w:space="0" w:color="auto"/>
        <w:bottom w:val="none" w:sz="0" w:space="0" w:color="auto"/>
        <w:right w:val="none" w:sz="0" w:space="0" w:color="auto"/>
      </w:divBdr>
      <w:divsChild>
        <w:div w:id="635569055">
          <w:marLeft w:val="0"/>
          <w:marRight w:val="0"/>
          <w:marTop w:val="0"/>
          <w:marBottom w:val="0"/>
          <w:divBdr>
            <w:top w:val="none" w:sz="0" w:space="0" w:color="auto"/>
            <w:left w:val="none" w:sz="0" w:space="0" w:color="auto"/>
            <w:bottom w:val="none" w:sz="0" w:space="0" w:color="auto"/>
            <w:right w:val="none" w:sz="0" w:space="0" w:color="auto"/>
          </w:divBdr>
          <w:divsChild>
            <w:div w:id="732898828">
              <w:marLeft w:val="0"/>
              <w:marRight w:val="0"/>
              <w:marTop w:val="0"/>
              <w:marBottom w:val="0"/>
              <w:divBdr>
                <w:top w:val="none" w:sz="0" w:space="0" w:color="auto"/>
                <w:left w:val="none" w:sz="0" w:space="0" w:color="auto"/>
                <w:bottom w:val="none" w:sz="0" w:space="0" w:color="auto"/>
                <w:right w:val="none" w:sz="0" w:space="0" w:color="auto"/>
              </w:divBdr>
              <w:divsChild>
                <w:div w:id="119686347">
                  <w:marLeft w:val="0"/>
                  <w:marRight w:val="0"/>
                  <w:marTop w:val="0"/>
                  <w:marBottom w:val="0"/>
                  <w:divBdr>
                    <w:top w:val="none" w:sz="0" w:space="0" w:color="auto"/>
                    <w:left w:val="none" w:sz="0" w:space="0" w:color="auto"/>
                    <w:bottom w:val="none" w:sz="0" w:space="0" w:color="auto"/>
                    <w:right w:val="none" w:sz="0" w:space="0" w:color="auto"/>
                  </w:divBdr>
                  <w:divsChild>
                    <w:div w:id="1213150452">
                      <w:marLeft w:val="0"/>
                      <w:marRight w:val="0"/>
                      <w:marTop w:val="0"/>
                      <w:marBottom w:val="0"/>
                      <w:divBdr>
                        <w:top w:val="none" w:sz="0" w:space="0" w:color="auto"/>
                        <w:left w:val="none" w:sz="0" w:space="0" w:color="auto"/>
                        <w:bottom w:val="none" w:sz="0" w:space="0" w:color="auto"/>
                        <w:right w:val="none" w:sz="0" w:space="0" w:color="auto"/>
                      </w:divBdr>
                      <w:divsChild>
                        <w:div w:id="83381798">
                          <w:marLeft w:val="0"/>
                          <w:marRight w:val="0"/>
                          <w:marTop w:val="0"/>
                          <w:marBottom w:val="0"/>
                          <w:divBdr>
                            <w:top w:val="none" w:sz="0" w:space="0" w:color="auto"/>
                            <w:left w:val="none" w:sz="0" w:space="0" w:color="auto"/>
                            <w:bottom w:val="none" w:sz="0" w:space="0" w:color="auto"/>
                            <w:right w:val="none" w:sz="0" w:space="0" w:color="auto"/>
                          </w:divBdr>
                          <w:divsChild>
                            <w:div w:id="1641766812">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fra.europa.eu/en/publication/2017/february-monthly-migration-focus-torture" TargetMode="External"/><Relationship Id="rId18" Type="http://schemas.openxmlformats.org/officeDocument/2006/relationships/hyperlink" Target="http://fra.europa.eu/en/publication/2017/february-monthly-migration-focus-torture" TargetMode="External"/><Relationship Id="rId3" Type="http://schemas.openxmlformats.org/officeDocument/2006/relationships/customXml" Target="../customXml/item3.xml"/><Relationship Id="rId21" Type="http://schemas.openxmlformats.org/officeDocument/2006/relationships/hyperlink" Target="http://fra.europa.eu/en/publication/2017/february-monthly-migration-focus-torture" TargetMode="External"/><Relationship Id="rId7" Type="http://schemas.microsoft.com/office/2007/relationships/stylesWithEffects" Target="stylesWithEffects.xml"/><Relationship Id="rId12" Type="http://schemas.openxmlformats.org/officeDocument/2006/relationships/hyperlink" Target="http://fra.europa.eu/" TargetMode="External"/><Relationship Id="rId17" Type="http://schemas.openxmlformats.org/officeDocument/2006/relationships/hyperlink" Target="http://fra.europa.eu/en/publication/2017/february-monthly-migration-focus-torture" TargetMode="External"/><Relationship Id="rId2" Type="http://schemas.openxmlformats.org/officeDocument/2006/relationships/customXml" Target="../customXml/item2.xml"/><Relationship Id="rId16" Type="http://schemas.openxmlformats.org/officeDocument/2006/relationships/hyperlink" Target="http://fra.europa.eu/en/publication/2016/criminal-detention-and-alternatives-fundamental-rights-aspects-eu-cross-border" TargetMode="External"/><Relationship Id="rId20" Type="http://schemas.openxmlformats.org/officeDocument/2006/relationships/hyperlink" Target="http://fra.europa.eu/en/publication/2017/february-monthly-migration-focus-tortu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fra.europa.eu/en/publication/2016/criminal-detention-and-alternatives-fundamental-rights-aspects-eu-cross-border"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fra.europa.eu/en/publication/2017/february-monthly-migration-focus-tortur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fra.europa.eu/en/publication/2017/february-monthly-migration-focus-tortur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D2F58D-79A8-492D-8A68-93D1AE461037}"/>
</file>

<file path=customXml/itemProps2.xml><?xml version="1.0" encoding="utf-8"?>
<ds:datastoreItem xmlns:ds="http://schemas.openxmlformats.org/officeDocument/2006/customXml" ds:itemID="{343D83EF-0EB9-4E9F-9000-30173CAAE4C9}"/>
</file>

<file path=customXml/itemProps3.xml><?xml version="1.0" encoding="utf-8"?>
<ds:datastoreItem xmlns:ds="http://schemas.openxmlformats.org/officeDocument/2006/customXml" ds:itemID="{959717DA-9791-433D-88FB-F4AF7F68EB3F}"/>
</file>

<file path=customXml/itemProps4.xml><?xml version="1.0" encoding="utf-8"?>
<ds:datastoreItem xmlns:ds="http://schemas.openxmlformats.org/officeDocument/2006/customXml" ds:itemID="{6607792C-CEEB-405A-94D4-4CE8F4356C48}"/>
</file>

<file path=docProps/app.xml><?xml version="1.0" encoding="utf-8"?>
<Properties xmlns="http://schemas.openxmlformats.org/officeDocument/2006/extended-properties" xmlns:vt="http://schemas.openxmlformats.org/officeDocument/2006/docPropsVTypes">
  <Template>Normal.dotm</Template>
  <TotalTime>1</TotalTime>
  <Pages>4</Pages>
  <Words>1175</Words>
  <Characters>6701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BOURGEAIS Caroline (FRA)</dc:creator>
  <cp:lastModifiedBy>Darka Topali</cp:lastModifiedBy>
  <cp:revision>2</cp:revision>
  <dcterms:created xsi:type="dcterms:W3CDTF">2017-10-11T10:01:00Z</dcterms:created>
  <dcterms:modified xsi:type="dcterms:W3CDTF">2017-10-11T10:01:00Z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