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B76D99" w:rsidRDefault="00C05D9B" w:rsidP="00626C39"/>
    <w:p w14:paraId="1C13D389" w14:textId="77777777" w:rsidR="00FA630E" w:rsidRPr="00B76D99" w:rsidRDefault="00FA630E" w:rsidP="40B962A2">
      <w:pPr>
        <w:pStyle w:val="TitlePageHeading"/>
        <w:tabs>
          <w:tab w:val="left" w:pos="5370"/>
        </w:tabs>
        <w:rPr>
          <w:rFonts w:cs="Times New Roman"/>
          <w:szCs w:val="24"/>
        </w:rPr>
      </w:pPr>
    </w:p>
    <w:p w14:paraId="43F13231" w14:textId="4AB1A500" w:rsidR="004B1E4E" w:rsidRPr="00B76D99" w:rsidRDefault="005C5C56" w:rsidP="40B962A2">
      <w:pPr>
        <w:pStyle w:val="TitlePageHeading"/>
        <w:tabs>
          <w:tab w:val="left" w:pos="5370"/>
        </w:tabs>
        <w:rPr>
          <w:rFonts w:cs="Times New Roman"/>
          <w:szCs w:val="24"/>
        </w:rPr>
      </w:pPr>
      <w:r w:rsidRPr="00B76D99">
        <w:rPr>
          <w:rFonts w:cs="Times New Roman"/>
          <w:szCs w:val="24"/>
        </w:rPr>
        <w:t>Kuwait</w:t>
      </w:r>
      <w:r w:rsidR="00BA5990" w:rsidRPr="00B76D99">
        <w:rPr>
          <w:rFonts w:cs="Times New Roman"/>
          <w:szCs w:val="24"/>
        </w:rPr>
        <w:t>’s</w:t>
      </w:r>
      <w:r w:rsidR="004B1E4E" w:rsidRPr="00B76D99">
        <w:rPr>
          <w:rFonts w:cs="Times New Roman"/>
          <w:szCs w:val="24"/>
        </w:rPr>
        <w:t xml:space="preserve"> Compliance with </w:t>
      </w:r>
      <w:r w:rsidRPr="00B76D99">
        <w:rPr>
          <w:rFonts w:cs="Times New Roman"/>
          <w:szCs w:val="24"/>
        </w:rPr>
        <w:t>Convention against Torture and Other Cruel, Inhuman or Degrading Treatment or Punishment</w:t>
      </w:r>
      <w:r w:rsidR="00E114C5" w:rsidRPr="00B76D99">
        <w:rPr>
          <w:rFonts w:cs="Times New Roman"/>
          <w:szCs w:val="24"/>
        </w:rPr>
        <w:t xml:space="preserve">: </w:t>
      </w:r>
      <w:r w:rsidRPr="00B76D99">
        <w:rPr>
          <w:rFonts w:cs="Times New Roman"/>
          <w:szCs w:val="24"/>
        </w:rPr>
        <w:t>The Death Penalty</w:t>
      </w:r>
    </w:p>
    <w:p w14:paraId="5DC74E00" w14:textId="77777777" w:rsidR="00550A8F" w:rsidRPr="00B76D99" w:rsidRDefault="00550A8F" w:rsidP="00550A8F">
      <w:pPr>
        <w:pStyle w:val="TitlePageHeading"/>
        <w:rPr>
          <w:rFonts w:cs="Times New Roman"/>
          <w:szCs w:val="24"/>
        </w:rPr>
      </w:pPr>
    </w:p>
    <w:p w14:paraId="26D24DDC" w14:textId="77777777" w:rsidR="004B1E4E" w:rsidRPr="00B76D99" w:rsidRDefault="004B1E4E" w:rsidP="00550A8F">
      <w:pPr>
        <w:pStyle w:val="TitlePageHeading"/>
        <w:rPr>
          <w:rFonts w:cs="Times New Roman"/>
          <w:szCs w:val="24"/>
        </w:rPr>
      </w:pPr>
      <w:r w:rsidRPr="00B76D99">
        <w:rPr>
          <w:rFonts w:cs="Times New Roman"/>
          <w:szCs w:val="24"/>
        </w:rPr>
        <w:t xml:space="preserve">Submitted by </w:t>
      </w:r>
      <w:r w:rsidR="00AA7FCB" w:rsidRPr="00B76D99">
        <w:rPr>
          <w:rFonts w:cs="Times New Roman"/>
          <w:szCs w:val="24"/>
        </w:rPr>
        <w:t>T</w:t>
      </w:r>
      <w:r w:rsidRPr="00B76D99">
        <w:rPr>
          <w:rFonts w:cs="Times New Roman"/>
          <w:szCs w:val="24"/>
        </w:rPr>
        <w:t>he Advocates for Human Rights</w:t>
      </w:r>
    </w:p>
    <w:p w14:paraId="25D3BE21" w14:textId="00763DB5" w:rsidR="00550A8F" w:rsidRPr="00B76D99" w:rsidRDefault="004B1E4E" w:rsidP="00550A8F">
      <w:pPr>
        <w:pStyle w:val="TitlePageSubheading"/>
      </w:pPr>
      <w:r w:rsidRPr="00B76D99">
        <w:t>a non-governmental organization in special consultative status with ECOSOC</w:t>
      </w:r>
      <w:r w:rsidR="00624A10" w:rsidRPr="00B76D99">
        <w:t xml:space="preserve"> since 1996</w:t>
      </w:r>
    </w:p>
    <w:p w14:paraId="5415E788" w14:textId="7A074E0B" w:rsidR="0031166B" w:rsidRPr="00B76D99" w:rsidRDefault="00A11DA2" w:rsidP="00550A8F">
      <w:pPr>
        <w:pStyle w:val="TitlePageSubheading"/>
      </w:pPr>
      <w:r w:rsidRPr="00B76D99">
        <w:t>and</w:t>
      </w:r>
    </w:p>
    <w:p w14:paraId="03515736" w14:textId="1F0140FC" w:rsidR="00A11DA2" w:rsidRPr="00B76D99" w:rsidRDefault="00A11DA2" w:rsidP="00550A8F">
      <w:pPr>
        <w:pStyle w:val="TitlePageSubheading"/>
        <w:rPr>
          <w:b/>
          <w:bCs/>
        </w:rPr>
      </w:pPr>
      <w:r w:rsidRPr="00B76D99">
        <w:rPr>
          <w:b/>
          <w:bCs/>
        </w:rPr>
        <w:t>The World Coalition Against the Death Penalty</w:t>
      </w:r>
    </w:p>
    <w:p w14:paraId="293CADF8" w14:textId="77777777" w:rsidR="0031628C" w:rsidRPr="00B76D99" w:rsidRDefault="0031628C" w:rsidP="00550A8F">
      <w:pPr>
        <w:pStyle w:val="TitlePageSubheading"/>
        <w:rPr>
          <w:b/>
          <w:bCs/>
        </w:rPr>
      </w:pPr>
    </w:p>
    <w:p w14:paraId="24E688AE" w14:textId="48E41C66" w:rsidR="004B1E4E" w:rsidRPr="00B76D99" w:rsidRDefault="004B1E4E" w:rsidP="0031166B">
      <w:pPr>
        <w:pStyle w:val="TitlePageSubheading"/>
      </w:pPr>
      <w:r w:rsidRPr="00B76D99">
        <w:t>for the</w:t>
      </w:r>
      <w:r w:rsidR="00EE3828" w:rsidRPr="00B76D99">
        <w:t xml:space="preserve"> </w:t>
      </w:r>
      <w:r w:rsidR="003134BF" w:rsidRPr="00B76D99">
        <w:t>81st</w:t>
      </w:r>
      <w:r w:rsidRPr="00B76D99">
        <w:t xml:space="preserve"> Session of the </w:t>
      </w:r>
      <w:r w:rsidR="00EE3828" w:rsidRPr="00B76D99">
        <w:t>Committee</w:t>
      </w:r>
      <w:r w:rsidR="00E83FCD" w:rsidRPr="00B76D99">
        <w:t xml:space="preserve"> Against Torture</w:t>
      </w:r>
    </w:p>
    <w:p w14:paraId="2364C833" w14:textId="7DEF3FF6" w:rsidR="0031166B" w:rsidRPr="00B76D99" w:rsidRDefault="003134BF" w:rsidP="0031166B">
      <w:pPr>
        <w:pStyle w:val="TitlePageSubheading"/>
      </w:pPr>
      <w:r w:rsidRPr="00B76D99">
        <w:t>28 October</w:t>
      </w:r>
      <w:r w:rsidR="005933C7" w:rsidRPr="00B76D99">
        <w:t>–</w:t>
      </w:r>
      <w:r w:rsidRPr="00B76D99">
        <w:t>22 November 2024</w:t>
      </w:r>
    </w:p>
    <w:p w14:paraId="4E22A074" w14:textId="77777777" w:rsidR="005933C7" w:rsidRPr="00B76D99" w:rsidRDefault="005933C7" w:rsidP="0031166B">
      <w:pPr>
        <w:pStyle w:val="TitlePageSubheading"/>
      </w:pPr>
    </w:p>
    <w:p w14:paraId="3D93E372" w14:textId="7D82E371" w:rsidR="00C214BA" w:rsidRPr="00B76D99" w:rsidRDefault="00C214BA" w:rsidP="0031166B">
      <w:pPr>
        <w:pStyle w:val="TitlePageSubheading"/>
      </w:pPr>
      <w:r w:rsidRPr="00B76D99">
        <w:t xml:space="preserve">Submitted </w:t>
      </w:r>
      <w:r w:rsidR="003134BF" w:rsidRPr="00B76D99">
        <w:t xml:space="preserve">30 </w:t>
      </w:r>
      <w:r w:rsidR="005C5C56" w:rsidRPr="00B76D99">
        <w:t>September</w:t>
      </w:r>
      <w:r w:rsidRPr="00B76D99">
        <w:t xml:space="preserve"> </w:t>
      </w:r>
      <w:r w:rsidR="005C5C56" w:rsidRPr="00B76D99">
        <w:t>2024</w:t>
      </w:r>
    </w:p>
    <w:p w14:paraId="4EBFAEDD" w14:textId="5A1D8358" w:rsidR="004B1E4E" w:rsidRPr="00B76D99" w:rsidRDefault="004B1E4E" w:rsidP="40B962A2">
      <w:pPr>
        <w:pStyle w:val="TitlePageSubheading"/>
      </w:pPr>
    </w:p>
    <w:p w14:paraId="6D55D554" w14:textId="5F6D8C92" w:rsidR="004B1E4E" w:rsidRPr="00B76D99" w:rsidRDefault="56F42F0B" w:rsidP="00CE29CA">
      <w:pPr>
        <w:widowControl w:val="0"/>
        <w:spacing w:after="240"/>
        <w:jc w:val="both"/>
        <w:rPr>
          <w:color w:val="000000" w:themeColor="text1"/>
        </w:rPr>
      </w:pPr>
      <w:r w:rsidRPr="00B76D99">
        <w:rPr>
          <w:rStyle w:val="BoilerplateTitleChar0"/>
          <w:rFonts w:eastAsia="Times New Roman" w:cs="Times New Roman"/>
          <w:color w:val="000000" w:themeColor="text1"/>
          <w:szCs w:val="24"/>
        </w:rPr>
        <w:t>The Advocates for Human Rights</w:t>
      </w:r>
      <w:r w:rsidRPr="00B76D99">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w:t>
      </w:r>
      <w:r w:rsidR="00C80D0C" w:rsidRPr="00B76D99">
        <w:rPr>
          <w:color w:val="000000" w:themeColor="text1"/>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CD58046" w14:textId="77777777" w:rsidR="001E394F" w:rsidRPr="00B76D99" w:rsidRDefault="001E394F" w:rsidP="001E394F">
      <w:pPr>
        <w:pStyle w:val="AuthorDescriptiontext"/>
        <w:rPr>
          <w:rStyle w:val="normaltextrun"/>
          <w:rFonts w:eastAsia="Times New Roman"/>
          <w:color w:val="000000" w:themeColor="text1"/>
        </w:rPr>
      </w:pPr>
      <w:r w:rsidRPr="00B76D99">
        <w:rPr>
          <w:rStyle w:val="normaltextrun"/>
          <w:rFonts w:eastAsia="Times New Roman"/>
          <w:b/>
          <w:bCs/>
          <w:color w:val="000000" w:themeColor="text1"/>
        </w:rPr>
        <w:t>The World Coalition Against the Death Penalty (WCADP),</w:t>
      </w:r>
      <w:r w:rsidRPr="00B76D99">
        <w:rPr>
          <w:rStyle w:val="normaltextrun"/>
          <w:rFonts w:eastAsia="Times New Roman"/>
          <w:color w:val="000000" w:themeColor="text1"/>
        </w:rPr>
        <w:t xml:space="preserve"> an alliance of more than 150 NGOs, bar associations, local authorities, and unions, was created in Rome on 13 May 2002. The aim of the World Coalition is to strengthen the international dimension of the fight against the death penalty. Its ultimate </w:t>
      </w:r>
      <w:r w:rsidRPr="00B76D99">
        <w:rPr>
          <w:rStyle w:val="AuthorDescriptiontextChar"/>
        </w:rPr>
        <w:t>objective</w:t>
      </w:r>
      <w:r w:rsidRPr="00B76D99">
        <w:rPr>
          <w:rStyle w:val="normaltextrun"/>
          <w:rFonts w:eastAsia="Times New Roman"/>
          <w:color w:val="000000" w:themeColor="text1"/>
        </w:rPr>
        <w:t xml:space="preser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0CB01CC4" w14:textId="77777777" w:rsidR="005D53CC" w:rsidRPr="00B76D99" w:rsidRDefault="005D53CC">
      <w:pPr>
        <w:rPr>
          <w:b/>
          <w:caps/>
        </w:rPr>
      </w:pPr>
      <w:r w:rsidRPr="00B76D99">
        <w:br w:type="page"/>
      </w:r>
    </w:p>
    <w:p w14:paraId="1FC77D31" w14:textId="70BFE48E" w:rsidR="004B1E4E" w:rsidRPr="00B76D99" w:rsidRDefault="004B1E4E" w:rsidP="00EF4293">
      <w:pPr>
        <w:pStyle w:val="ExecutiveSummary"/>
      </w:pPr>
      <w:r w:rsidRPr="00B76D99">
        <w:lastRenderedPageBreak/>
        <w:t>Executive Summary</w:t>
      </w:r>
    </w:p>
    <w:p w14:paraId="4A35F7AC" w14:textId="77777777" w:rsidR="00303F60" w:rsidRPr="00B76D99" w:rsidRDefault="00303F60" w:rsidP="00EF4293">
      <w:pPr>
        <w:pStyle w:val="ExecutiveSummary"/>
      </w:pPr>
    </w:p>
    <w:p w14:paraId="6CD9AC33" w14:textId="41798F26" w:rsidR="004B1E4E" w:rsidRPr="00B76D99" w:rsidRDefault="00C80D0C" w:rsidP="00234644">
      <w:pPr>
        <w:pStyle w:val="Paragraph"/>
      </w:pPr>
      <w:r w:rsidRPr="00B76D99">
        <w:t>This report outlines human rights violations in Kuwait in the context of the death penalty and persons charged with capital crimes.</w:t>
      </w:r>
      <w:r w:rsidR="00B76D99" w:rsidRPr="00B76D99">
        <w:t xml:space="preserve"> </w:t>
      </w:r>
      <w:r w:rsidR="00191426" w:rsidRPr="00B76D99">
        <w:t>The</w:t>
      </w:r>
      <w:r w:rsidR="00A7008B" w:rsidRPr="00B76D99">
        <w:t xml:space="preserve"> </w:t>
      </w:r>
      <w:r w:rsidR="00191426" w:rsidRPr="00B76D99">
        <w:t xml:space="preserve">media </w:t>
      </w:r>
      <w:r w:rsidR="0007341F" w:rsidRPr="00B76D99">
        <w:t xml:space="preserve">and NGOs </w:t>
      </w:r>
      <w:r w:rsidR="00191426" w:rsidRPr="00B76D99">
        <w:t xml:space="preserve">report </w:t>
      </w:r>
      <w:r w:rsidR="00A7008B" w:rsidRPr="00B76D99">
        <w:t xml:space="preserve">that law enforcement officers and other government officials </w:t>
      </w:r>
      <w:r w:rsidR="00191426" w:rsidRPr="00B76D99">
        <w:t>torture, abuse and mistreat</w:t>
      </w:r>
      <w:r w:rsidR="00A7008B" w:rsidRPr="00B76D99">
        <w:t xml:space="preserve"> individuals</w:t>
      </w:r>
      <w:r w:rsidR="00A61FF3" w:rsidRPr="00B76D99">
        <w:t xml:space="preserve">, including </w:t>
      </w:r>
      <w:r w:rsidR="00544E13" w:rsidRPr="00B76D99">
        <w:rPr>
          <w:lang w:val="en-GB"/>
        </w:rPr>
        <w:t>LGBTQI+ individuals</w:t>
      </w:r>
      <w:r w:rsidR="00A61FF3" w:rsidRPr="00B76D99">
        <w:t>,</w:t>
      </w:r>
      <w:r w:rsidR="00544E13" w:rsidRPr="00B76D99">
        <w:t xml:space="preserve"> </w:t>
      </w:r>
      <w:r w:rsidR="00191426" w:rsidRPr="00B76D99">
        <w:t>during arrest</w:t>
      </w:r>
      <w:r w:rsidR="004E7CF9" w:rsidRPr="00B76D99">
        <w:t xml:space="preserve"> (including arbitrary arrests)</w:t>
      </w:r>
      <w:r w:rsidR="00191426" w:rsidRPr="00B76D99">
        <w:t xml:space="preserve">, interrogation, and </w:t>
      </w:r>
      <w:r w:rsidR="00253E6C" w:rsidRPr="00B76D99">
        <w:t>imprisonment</w:t>
      </w:r>
      <w:r w:rsidRPr="00B76D99">
        <w:t>.</w:t>
      </w:r>
      <w:r w:rsidR="00B76D99" w:rsidRPr="00B76D99">
        <w:t xml:space="preserve"> </w:t>
      </w:r>
      <w:r w:rsidRPr="00B76D99">
        <w:t>Kuwait continues to impose and carry out death sentences</w:t>
      </w:r>
      <w:r w:rsidR="00F95374" w:rsidRPr="00B76D99">
        <w:t>, including for offenses that do not constitute the “most serious crimes</w:t>
      </w:r>
      <w:r w:rsidR="007613D0" w:rsidRPr="00B76D99">
        <w:t>.</w:t>
      </w:r>
      <w:r w:rsidR="00F95374" w:rsidRPr="00B76D99">
        <w:t>”</w:t>
      </w:r>
      <w:r w:rsidR="007C0AD0">
        <w:t xml:space="preserve"> Women in conflict with the law face intersectional discrimination, particularly in capital cases, because the criminal legal system does not account for their </w:t>
      </w:r>
      <w:r w:rsidR="00DC6EA5">
        <w:t>lived experiences, including gender-based violence, trafficking, and poverty.</w:t>
      </w:r>
    </w:p>
    <w:p w14:paraId="51BE79E2" w14:textId="318D745C" w:rsidR="004E150B" w:rsidRPr="00B76D99" w:rsidRDefault="00C80D0C" w:rsidP="007613D0">
      <w:pPr>
        <w:pStyle w:val="SectionSummary"/>
        <w:ind w:left="360"/>
      </w:pPr>
      <w:r w:rsidRPr="00B76D99">
        <w:t>Kuwait</w:t>
      </w:r>
      <w:r w:rsidR="008F2F99" w:rsidRPr="00B76D99">
        <w:t xml:space="preserve"> fails to uphold its obligations under the </w:t>
      </w:r>
      <w:r w:rsidRPr="00B76D99">
        <w:t>Convention against Torture and Other Cruel, Inhuman or Degrading Treatment or Punishment</w:t>
      </w:r>
    </w:p>
    <w:p w14:paraId="71FF20C1" w14:textId="31DC943E" w:rsidR="004B1E4E" w:rsidRPr="00B76D99" w:rsidRDefault="007613D0" w:rsidP="00C05D23">
      <w:pPr>
        <w:pStyle w:val="SectionHeading"/>
        <w:rPr>
          <w:rFonts w:cs="Times New Roman"/>
          <w:szCs w:val="24"/>
        </w:rPr>
      </w:pPr>
      <w:r w:rsidRPr="00B76D99">
        <w:rPr>
          <w:rFonts w:cs="Times New Roman"/>
          <w:szCs w:val="24"/>
        </w:rPr>
        <w:t xml:space="preserve">Kuwait continues to violate its obligations under article 15 </w:t>
      </w:r>
      <w:r w:rsidR="00E61231" w:rsidRPr="00B76D99">
        <w:rPr>
          <w:rFonts w:cs="Times New Roman"/>
          <w:szCs w:val="24"/>
        </w:rPr>
        <w:t>(List of Issues Prior to Reporting (LOIP</w:t>
      </w:r>
      <w:r w:rsidRPr="00B76D99">
        <w:rPr>
          <w:rFonts w:cs="Times New Roman"/>
          <w:szCs w:val="24"/>
        </w:rPr>
        <w:t>R</w:t>
      </w:r>
      <w:r w:rsidR="00E61231" w:rsidRPr="00B76D99">
        <w:rPr>
          <w:rFonts w:cs="Times New Roman"/>
          <w:szCs w:val="24"/>
        </w:rPr>
        <w:t>), para</w:t>
      </w:r>
      <w:r w:rsidR="00FE1664" w:rsidRPr="00B76D99">
        <w:rPr>
          <w:rFonts w:cs="Times New Roman"/>
          <w:szCs w:val="24"/>
        </w:rPr>
        <w:t>.</w:t>
      </w:r>
      <w:r w:rsidR="00CF56D2" w:rsidRPr="00B76D99">
        <w:rPr>
          <w:rFonts w:cs="Times New Roman"/>
          <w:szCs w:val="24"/>
        </w:rPr>
        <w:t xml:space="preserve"> </w:t>
      </w:r>
      <w:r w:rsidRPr="00B76D99">
        <w:rPr>
          <w:rFonts w:cs="Times New Roman"/>
          <w:szCs w:val="24"/>
        </w:rPr>
        <w:t>34</w:t>
      </w:r>
      <w:r w:rsidR="00E61231" w:rsidRPr="00B76D99">
        <w:rPr>
          <w:rFonts w:cs="Times New Roman"/>
          <w:szCs w:val="24"/>
        </w:rPr>
        <w:t>)</w:t>
      </w:r>
      <w:r w:rsidR="00E17FD1" w:rsidRPr="00B76D99">
        <w:rPr>
          <w:rFonts w:cs="Times New Roman"/>
          <w:szCs w:val="24"/>
        </w:rPr>
        <w:t>.</w:t>
      </w:r>
    </w:p>
    <w:p w14:paraId="639881D3" w14:textId="4DB22D9F" w:rsidR="00757A1C" w:rsidRPr="00B76D99" w:rsidRDefault="00E61231" w:rsidP="00813859">
      <w:pPr>
        <w:pStyle w:val="Paragraph"/>
      </w:pPr>
      <w:r w:rsidRPr="00B76D99">
        <w:t xml:space="preserve">In its </w:t>
      </w:r>
      <w:r w:rsidR="00A665F2" w:rsidRPr="00B76D99">
        <w:t>LOIPR</w:t>
      </w:r>
      <w:r w:rsidRPr="00B76D99">
        <w:t>, the Committee</w:t>
      </w:r>
      <w:r w:rsidR="00A665F2" w:rsidRPr="00B76D99">
        <w:t xml:space="preserve"> </w:t>
      </w:r>
      <w:r w:rsidR="007613D0" w:rsidRPr="00B76D99">
        <w:t>requested “information on the concrete measures taken to ensure respect, in practice, for the principle of the inadmissibility of evidence obtained through torture or cruel, inhuman or degrading treatment,” as well as examples of cases that courts have dismissed due to the introduction of such evidence.”</w:t>
      </w:r>
      <w:r w:rsidR="004D51DD" w:rsidRPr="00B76D99">
        <w:rPr>
          <w:rStyle w:val="FootnoteReference"/>
        </w:rPr>
        <w:footnoteReference w:id="2"/>
      </w:r>
    </w:p>
    <w:p w14:paraId="6BCB9A46" w14:textId="48ACFE4A" w:rsidR="00F16374" w:rsidRPr="00B76D99" w:rsidRDefault="00EF761E" w:rsidP="00DC6EA5">
      <w:pPr>
        <w:pStyle w:val="Paragraph"/>
      </w:pPr>
      <w:r w:rsidRPr="00B76D99">
        <w:rPr>
          <w:rStyle w:val="ParagraphChar"/>
        </w:rPr>
        <w:t xml:space="preserve">In </w:t>
      </w:r>
      <w:r w:rsidR="007613D0" w:rsidRPr="00B76D99">
        <w:rPr>
          <w:rStyle w:val="ParagraphChar"/>
        </w:rPr>
        <w:t xml:space="preserve">its </w:t>
      </w:r>
      <w:r w:rsidR="008D7D46" w:rsidRPr="00B76D99">
        <w:rPr>
          <w:rStyle w:val="ParagraphChar"/>
        </w:rPr>
        <w:t>Fourth periodic report</w:t>
      </w:r>
      <w:r w:rsidRPr="00B76D99">
        <w:rPr>
          <w:rStyle w:val="ParagraphChar"/>
        </w:rPr>
        <w:t>, Kuwait point</w:t>
      </w:r>
      <w:r w:rsidR="007613D0" w:rsidRPr="00B76D99">
        <w:rPr>
          <w:rStyle w:val="ParagraphChar"/>
        </w:rPr>
        <w:t>s</w:t>
      </w:r>
      <w:r w:rsidRPr="00B76D99">
        <w:rPr>
          <w:rStyle w:val="ParagraphChar"/>
        </w:rPr>
        <w:t xml:space="preserve"> to </w:t>
      </w:r>
      <w:r w:rsidR="007B55D5" w:rsidRPr="00B76D99">
        <w:rPr>
          <w:rStyle w:val="ParagraphChar"/>
        </w:rPr>
        <w:t>A</w:t>
      </w:r>
      <w:r w:rsidRPr="00B76D99">
        <w:rPr>
          <w:rStyle w:val="ParagraphChar"/>
        </w:rPr>
        <w:t>rticle 184 of the Criminal Code, which states that</w:t>
      </w:r>
      <w:r w:rsidR="00F87D96" w:rsidRPr="00B76D99">
        <w:rPr>
          <w:rStyle w:val="ParagraphChar"/>
        </w:rPr>
        <w:t xml:space="preserve"> </w:t>
      </w:r>
      <w:r w:rsidRPr="00B76D99">
        <w:rPr>
          <w:rStyle w:val="ParagraphChar"/>
        </w:rPr>
        <w:t xml:space="preserve">anyone who arrests, </w:t>
      </w:r>
      <w:r w:rsidRPr="00DC6EA5">
        <w:t>imprisons</w:t>
      </w:r>
      <w:r w:rsidR="007613D0" w:rsidRPr="00B76D99">
        <w:rPr>
          <w:rStyle w:val="ParagraphChar"/>
        </w:rPr>
        <w:t>,</w:t>
      </w:r>
      <w:r w:rsidRPr="00B76D99">
        <w:rPr>
          <w:rStyle w:val="ParagraphChar"/>
        </w:rPr>
        <w:t xml:space="preserve"> or detains another person</w:t>
      </w:r>
      <w:r w:rsidR="00E40BFC" w:rsidRPr="00B76D99">
        <w:rPr>
          <w:rStyle w:val="ParagraphChar"/>
        </w:rPr>
        <w:t xml:space="preserve"> </w:t>
      </w:r>
      <w:r w:rsidR="00B62C37" w:rsidRPr="00B76D99">
        <w:rPr>
          <w:rStyle w:val="ParagraphChar"/>
        </w:rPr>
        <w:t xml:space="preserve">not </w:t>
      </w:r>
      <w:r w:rsidR="00F87D96" w:rsidRPr="00B76D99">
        <w:rPr>
          <w:rStyle w:val="ParagraphChar"/>
        </w:rPr>
        <w:t xml:space="preserve">in accordance with law or </w:t>
      </w:r>
      <w:r w:rsidR="00E40BFC" w:rsidRPr="00B76D99">
        <w:rPr>
          <w:rStyle w:val="ParagraphChar"/>
        </w:rPr>
        <w:t xml:space="preserve">without following due procedure and </w:t>
      </w:r>
      <w:r w:rsidR="006111C3" w:rsidRPr="00B76D99">
        <w:rPr>
          <w:rStyle w:val="ParagraphChar"/>
        </w:rPr>
        <w:t xml:space="preserve">where </w:t>
      </w:r>
      <w:r w:rsidR="00E40BFC" w:rsidRPr="00B76D99">
        <w:rPr>
          <w:rStyle w:val="ParagraphChar"/>
        </w:rPr>
        <w:t xml:space="preserve">such </w:t>
      </w:r>
      <w:r w:rsidR="006111C3" w:rsidRPr="00B76D99">
        <w:rPr>
          <w:rStyle w:val="ParagraphChar"/>
        </w:rPr>
        <w:t>arrests, imprisonments</w:t>
      </w:r>
      <w:r w:rsidR="007613D0" w:rsidRPr="00B76D99">
        <w:rPr>
          <w:rStyle w:val="ParagraphChar"/>
        </w:rPr>
        <w:t>,</w:t>
      </w:r>
      <w:r w:rsidR="006111C3" w:rsidRPr="00B76D99">
        <w:rPr>
          <w:rStyle w:val="ParagraphChar"/>
        </w:rPr>
        <w:t xml:space="preserve"> or detainments </w:t>
      </w:r>
      <w:r w:rsidR="00E40BFC" w:rsidRPr="00B76D99">
        <w:rPr>
          <w:rStyle w:val="ParagraphChar"/>
        </w:rPr>
        <w:t>are “accompanied by physical torture or threat of death</w:t>
      </w:r>
      <w:r w:rsidR="007613D0" w:rsidRPr="00B76D99">
        <w:rPr>
          <w:rStyle w:val="ParagraphChar"/>
        </w:rPr>
        <w:t>,</w:t>
      </w:r>
      <w:r w:rsidR="00E40BFC" w:rsidRPr="00B76D99">
        <w:rPr>
          <w:rStyle w:val="ParagraphChar"/>
        </w:rPr>
        <w:t>”</w:t>
      </w:r>
      <w:r w:rsidR="00F87D96" w:rsidRPr="00B76D99">
        <w:rPr>
          <w:rStyle w:val="ParagraphChar"/>
        </w:rPr>
        <w:t xml:space="preserve"> the perpetrator </w:t>
      </w:r>
      <w:r w:rsidR="00E40BFC" w:rsidRPr="00B76D99">
        <w:rPr>
          <w:rStyle w:val="ParagraphChar"/>
        </w:rPr>
        <w:t>shall be liable for up to 7 years of imprisonment</w:t>
      </w:r>
      <w:r w:rsidR="00AC040C" w:rsidRPr="00B76D99">
        <w:rPr>
          <w:rStyle w:val="ParagraphChar"/>
        </w:rPr>
        <w:t>.</w:t>
      </w:r>
      <w:r w:rsidR="007C7CCE" w:rsidRPr="00B76D99">
        <w:rPr>
          <w:rStyle w:val="FootnoteReference"/>
        </w:rPr>
        <w:footnoteReference w:id="3"/>
      </w:r>
      <w:r w:rsidR="00B76D99" w:rsidRPr="00B76D99">
        <w:rPr>
          <w:rStyle w:val="ParagraphChar"/>
        </w:rPr>
        <w:t xml:space="preserve"> </w:t>
      </w:r>
      <w:r w:rsidR="00C8699C" w:rsidRPr="00B76D99">
        <w:rPr>
          <w:rStyle w:val="ParagraphChar"/>
        </w:rPr>
        <w:t xml:space="preserve">Kuwait also </w:t>
      </w:r>
      <w:r w:rsidR="00F87D96" w:rsidRPr="00B76D99">
        <w:rPr>
          <w:rStyle w:val="ParagraphChar"/>
        </w:rPr>
        <w:t>reference</w:t>
      </w:r>
      <w:r w:rsidR="007613D0" w:rsidRPr="00B76D99">
        <w:rPr>
          <w:rStyle w:val="ParagraphChar"/>
        </w:rPr>
        <w:t>s other prohibitions against coercion of defendants in criminal cases and a provision in the Code of Criminal Procedure that “stipulates that any confessions made as a result of torture or coercion shall be regarded as null and void.”</w:t>
      </w:r>
      <w:r w:rsidR="00C9167E" w:rsidRPr="00B76D99">
        <w:rPr>
          <w:rStyle w:val="FootnoteReference"/>
        </w:rPr>
        <w:footnoteReference w:id="4"/>
      </w:r>
    </w:p>
    <w:p w14:paraId="604C103E" w14:textId="4B161A65" w:rsidR="003B1714" w:rsidRPr="00B76D99" w:rsidRDefault="00DF25D4" w:rsidP="00500BAB">
      <w:pPr>
        <w:pStyle w:val="Paragraph"/>
        <w:rPr>
          <w:lang w:val="en-GB"/>
        </w:rPr>
      </w:pPr>
      <w:r w:rsidRPr="00B76D99">
        <w:t xml:space="preserve">Despite these </w:t>
      </w:r>
      <w:r w:rsidR="007613D0" w:rsidRPr="00B76D99">
        <w:t xml:space="preserve">legal </w:t>
      </w:r>
      <w:r w:rsidR="006111C3" w:rsidRPr="00B76D99">
        <w:t>provisions</w:t>
      </w:r>
      <w:r w:rsidRPr="00B76D99">
        <w:t>,</w:t>
      </w:r>
      <w:r w:rsidRPr="00B76D99">
        <w:rPr>
          <w:lang w:val="en-GB"/>
        </w:rPr>
        <w:t xml:space="preserve"> </w:t>
      </w:r>
      <w:r w:rsidR="007613D0" w:rsidRPr="00B76D99">
        <w:rPr>
          <w:lang w:val="en-GB"/>
        </w:rPr>
        <w:t xml:space="preserve">there are reports </w:t>
      </w:r>
      <w:r w:rsidR="006825F8" w:rsidRPr="00B76D99">
        <w:rPr>
          <w:lang w:val="en-GB"/>
        </w:rPr>
        <w:t xml:space="preserve">of </w:t>
      </w:r>
      <w:r w:rsidR="007613D0" w:rsidRPr="00B76D99">
        <w:rPr>
          <w:lang w:val="en-GB"/>
        </w:rPr>
        <w:t xml:space="preserve">law enforcement officers, including members of the Ministry of Interior’s Drug Enforcement Directorate (DEGD) and Kuwaiti State Security (KSS), engaging in </w:t>
      </w:r>
      <w:r w:rsidR="006825F8" w:rsidRPr="00B76D99">
        <w:rPr>
          <w:lang w:val="en-GB"/>
        </w:rPr>
        <w:t xml:space="preserve">abuse </w:t>
      </w:r>
      <w:r w:rsidR="007613D0" w:rsidRPr="00B76D99">
        <w:rPr>
          <w:lang w:val="en-GB"/>
        </w:rPr>
        <w:t xml:space="preserve">and other ill-treatment </w:t>
      </w:r>
      <w:r w:rsidR="006825F8" w:rsidRPr="00B76D99">
        <w:rPr>
          <w:lang w:val="en-GB"/>
        </w:rPr>
        <w:t>mistreatment during arrest or interrogation</w:t>
      </w:r>
      <w:r w:rsidR="0022067D" w:rsidRPr="00B76D99">
        <w:rPr>
          <w:lang w:val="en-GB"/>
        </w:rPr>
        <w:t>.</w:t>
      </w:r>
      <w:r w:rsidR="0022067D" w:rsidRPr="00B76D99">
        <w:rPr>
          <w:rStyle w:val="FootnoteReference"/>
          <w:lang w:val="en-GB"/>
        </w:rPr>
        <w:footnoteReference w:id="5"/>
      </w:r>
      <w:r w:rsidR="00B76D99" w:rsidRPr="00B76D99">
        <w:rPr>
          <w:lang w:val="en-GB"/>
        </w:rPr>
        <w:t xml:space="preserve"> </w:t>
      </w:r>
    </w:p>
    <w:p w14:paraId="6CAC4FB9" w14:textId="43A768F8" w:rsidR="003B1714" w:rsidRPr="00B76D99" w:rsidRDefault="009D0AC0" w:rsidP="00500BAB">
      <w:pPr>
        <w:pStyle w:val="Paragraph"/>
        <w:rPr>
          <w:lang w:val="en-GB"/>
        </w:rPr>
      </w:pPr>
      <w:r w:rsidRPr="00B76D99">
        <w:rPr>
          <w:lang w:val="en-GB"/>
        </w:rPr>
        <w:t xml:space="preserve">The </w:t>
      </w:r>
      <w:r w:rsidR="00F04B65" w:rsidRPr="00B76D99">
        <w:rPr>
          <w:lang w:val="en-GB"/>
        </w:rPr>
        <w:t>U.S. Department of State</w:t>
      </w:r>
      <w:r w:rsidRPr="00B76D99">
        <w:rPr>
          <w:lang w:val="en-GB"/>
        </w:rPr>
        <w:t xml:space="preserve"> in 2023 reported</w:t>
      </w:r>
      <w:r w:rsidR="00F04B65" w:rsidRPr="00B76D99">
        <w:rPr>
          <w:lang w:val="en-GB"/>
        </w:rPr>
        <w:t xml:space="preserve"> “</w:t>
      </w:r>
      <w:r w:rsidR="004337DE" w:rsidRPr="00B76D99">
        <w:rPr>
          <w:lang w:val="en-GB"/>
        </w:rPr>
        <w:t xml:space="preserve">credible indications that police, </w:t>
      </w:r>
      <w:r w:rsidR="00772A2C" w:rsidRPr="00B76D99">
        <w:rPr>
          <w:lang w:val="en-GB"/>
        </w:rPr>
        <w:t xml:space="preserve">KSS </w:t>
      </w:r>
      <w:r w:rsidR="004337DE" w:rsidRPr="00B76D99">
        <w:rPr>
          <w:lang w:val="en-GB"/>
        </w:rPr>
        <w:t>members</w:t>
      </w:r>
      <w:r w:rsidR="00F04B65" w:rsidRPr="00B76D99">
        <w:rPr>
          <w:lang w:val="en-GB"/>
        </w:rPr>
        <w:t>,</w:t>
      </w:r>
      <w:r w:rsidR="004337DE" w:rsidRPr="00B76D99">
        <w:rPr>
          <w:lang w:val="en-GB"/>
        </w:rPr>
        <w:t xml:space="preserve"> and DEGD officers</w:t>
      </w:r>
      <w:r w:rsidR="00F04B65" w:rsidRPr="00B76D99">
        <w:rPr>
          <w:lang w:val="en-GB"/>
        </w:rPr>
        <w:t xml:space="preserve"> </w:t>
      </w:r>
      <w:r w:rsidR="004337DE" w:rsidRPr="00B76D99">
        <w:rPr>
          <w:lang w:val="en-GB"/>
        </w:rPr>
        <w:t xml:space="preserve">abused prisoners during arrest </w:t>
      </w:r>
      <w:r w:rsidR="00F04B65" w:rsidRPr="00B76D99">
        <w:rPr>
          <w:lang w:val="en-GB"/>
        </w:rPr>
        <w:t>or</w:t>
      </w:r>
      <w:r w:rsidR="004337DE" w:rsidRPr="00B76D99">
        <w:rPr>
          <w:lang w:val="en-GB"/>
        </w:rPr>
        <w:t xml:space="preserve"> interrogation</w:t>
      </w:r>
      <w:r w:rsidRPr="00B76D99">
        <w:rPr>
          <w:lang w:val="en-GB"/>
        </w:rPr>
        <w:t>.</w:t>
      </w:r>
      <w:r w:rsidR="00F04B65" w:rsidRPr="00B76D99">
        <w:rPr>
          <w:lang w:val="en-GB"/>
        </w:rPr>
        <w:t>”</w:t>
      </w:r>
      <w:r w:rsidR="006825F8" w:rsidRPr="00B76D99">
        <w:rPr>
          <w:rStyle w:val="FootnoteReference"/>
          <w:lang w:val="en-GB"/>
        </w:rPr>
        <w:footnoteReference w:id="6"/>
      </w:r>
      <w:r w:rsidR="00B76D99" w:rsidRPr="00B76D99">
        <w:rPr>
          <w:lang w:val="en-GB"/>
        </w:rPr>
        <w:t xml:space="preserve"> </w:t>
      </w:r>
      <w:r w:rsidR="002D5C10" w:rsidRPr="00B76D99">
        <w:rPr>
          <w:lang w:val="en-GB"/>
        </w:rPr>
        <w:t xml:space="preserve">Additionally, </w:t>
      </w:r>
      <w:r w:rsidR="00672026" w:rsidRPr="00B76D99">
        <w:t xml:space="preserve">KSS force members have allegedly beaten noncitizens at police checkpoints </w:t>
      </w:r>
      <w:r w:rsidRPr="00B76D99">
        <w:lastRenderedPageBreak/>
        <w:t>and</w:t>
      </w:r>
      <w:r w:rsidR="00672026" w:rsidRPr="00B76D99">
        <w:t xml:space="preserve"> in detention.</w:t>
      </w:r>
      <w:r w:rsidR="00752A6B" w:rsidRPr="00B76D99">
        <w:rPr>
          <w:rStyle w:val="FootnoteReference"/>
        </w:rPr>
        <w:footnoteReference w:id="7"/>
      </w:r>
      <w:r w:rsidR="00B76D99" w:rsidRPr="00B76D99">
        <w:t xml:space="preserve"> </w:t>
      </w:r>
      <w:r w:rsidR="00BA57D8" w:rsidRPr="00B76D99">
        <w:t>Various</w:t>
      </w:r>
      <w:r w:rsidR="00672026" w:rsidRPr="00B76D99">
        <w:t xml:space="preserve"> foreign nationals have</w:t>
      </w:r>
      <w:r w:rsidR="00BA57D8" w:rsidRPr="00B76D99">
        <w:t xml:space="preserve"> </w:t>
      </w:r>
      <w:r w:rsidR="00672026" w:rsidRPr="00B76D99">
        <w:t xml:space="preserve">reported </w:t>
      </w:r>
      <w:r w:rsidR="00BA57D8" w:rsidRPr="00B76D99">
        <w:t xml:space="preserve">“credible” </w:t>
      </w:r>
      <w:r w:rsidR="00672026" w:rsidRPr="00B76D99">
        <w:t>cases of abuse by law enforcement officials, including KSS, DEGD and other police officials, during arrest and interrogation.</w:t>
      </w:r>
      <w:r w:rsidR="00672026" w:rsidRPr="00B76D99">
        <w:rPr>
          <w:rStyle w:val="FootnoteReference"/>
        </w:rPr>
        <w:footnoteReference w:id="8"/>
      </w:r>
      <w:r w:rsidR="00B76D99" w:rsidRPr="00B76D99">
        <w:t xml:space="preserve"> </w:t>
      </w:r>
    </w:p>
    <w:p w14:paraId="7134894D" w14:textId="326C7AA0" w:rsidR="003B1714" w:rsidRPr="00B76D99" w:rsidRDefault="006825F8" w:rsidP="00500BAB">
      <w:pPr>
        <w:pStyle w:val="Paragraph"/>
        <w:rPr>
          <w:lang w:val="en-GB"/>
        </w:rPr>
      </w:pPr>
      <w:r w:rsidRPr="00B76D99">
        <w:rPr>
          <w:lang w:val="en-GB"/>
        </w:rPr>
        <w:t>In</w:t>
      </w:r>
      <w:r w:rsidR="00AA08DC" w:rsidRPr="00B76D99">
        <w:rPr>
          <w:lang w:val="en-GB"/>
        </w:rPr>
        <w:t xml:space="preserve"> June 2022, Kuwaiti media reported that a Kuwaiti citizen was admitted to an intensive care unit following torture involving members of the criminal investigation department.</w:t>
      </w:r>
      <w:r w:rsidR="00AA08DC" w:rsidRPr="00B76D99">
        <w:rPr>
          <w:rStyle w:val="FootnoteReference"/>
          <w:lang w:val="en-GB"/>
        </w:rPr>
        <w:footnoteReference w:id="9"/>
      </w:r>
      <w:r w:rsidR="00B76D99" w:rsidRPr="00B76D99">
        <w:rPr>
          <w:lang w:val="en-GB"/>
        </w:rPr>
        <w:t xml:space="preserve"> </w:t>
      </w:r>
      <w:r w:rsidR="00500BAB" w:rsidRPr="00B76D99">
        <w:rPr>
          <w:lang w:val="en-GB"/>
        </w:rPr>
        <w:t xml:space="preserve">Additionally, </w:t>
      </w:r>
      <w:r w:rsidR="00AA08DC" w:rsidRPr="00B76D99">
        <w:rPr>
          <w:lang w:val="en-GB"/>
        </w:rPr>
        <w:t xml:space="preserve">in </w:t>
      </w:r>
      <w:r w:rsidRPr="00B76D99">
        <w:rPr>
          <w:lang w:val="en-GB"/>
        </w:rPr>
        <w:t xml:space="preserve">December </w:t>
      </w:r>
      <w:r w:rsidR="00E379CA" w:rsidRPr="00B76D99">
        <w:rPr>
          <w:lang w:val="en-GB"/>
        </w:rPr>
        <w:t>2023, Kuwaiti media reported that the Kuwaiti defen</w:t>
      </w:r>
      <w:r w:rsidR="009E2B82" w:rsidRPr="00B76D99">
        <w:rPr>
          <w:lang w:val="en-GB"/>
        </w:rPr>
        <w:t>c</w:t>
      </w:r>
      <w:r w:rsidR="00E379CA" w:rsidRPr="00B76D99">
        <w:rPr>
          <w:lang w:val="en-GB"/>
        </w:rPr>
        <w:t>e minister</w:t>
      </w:r>
      <w:r w:rsidR="009E2B82" w:rsidRPr="00B76D99">
        <w:rPr>
          <w:lang w:val="en-GB"/>
        </w:rPr>
        <w:t xml:space="preserve"> </w:t>
      </w:r>
      <w:r w:rsidR="00E379CA" w:rsidRPr="00B76D99">
        <w:rPr>
          <w:lang w:val="en-GB"/>
        </w:rPr>
        <w:t xml:space="preserve">ordered an urgent </w:t>
      </w:r>
      <w:r w:rsidR="00500BAB" w:rsidRPr="00B76D99">
        <w:rPr>
          <w:lang w:val="en-GB"/>
        </w:rPr>
        <w:t>investigation</w:t>
      </w:r>
      <w:r w:rsidR="00E379CA" w:rsidRPr="00B76D99">
        <w:rPr>
          <w:lang w:val="en-GB"/>
        </w:rPr>
        <w:t xml:space="preserve"> into the case of a Kuwaiti citizen who was allegedly illegally arrested and tortured by the ministry of defence intelligence.</w:t>
      </w:r>
      <w:r w:rsidR="00E379CA" w:rsidRPr="00B76D99">
        <w:rPr>
          <w:rStyle w:val="FootnoteReference"/>
          <w:lang w:val="en-GB"/>
        </w:rPr>
        <w:footnoteReference w:id="10"/>
      </w:r>
      <w:r w:rsidR="00B76D99" w:rsidRPr="00B76D99">
        <w:rPr>
          <w:lang w:val="en-GB"/>
        </w:rPr>
        <w:t xml:space="preserve"> </w:t>
      </w:r>
    </w:p>
    <w:p w14:paraId="15A1BF87" w14:textId="1F36E808" w:rsidR="003B1714" w:rsidRPr="00B76D99" w:rsidRDefault="009D0AC0" w:rsidP="00500BAB">
      <w:pPr>
        <w:pStyle w:val="Paragraph"/>
        <w:rPr>
          <w:lang w:val="en-GB"/>
        </w:rPr>
      </w:pPr>
      <w:r w:rsidRPr="00B76D99">
        <w:rPr>
          <w:lang w:val="en-GB"/>
        </w:rPr>
        <w:t xml:space="preserve">Members of the </w:t>
      </w:r>
      <w:r w:rsidR="00223BF1" w:rsidRPr="00B76D99">
        <w:rPr>
          <w:lang w:val="en-GB"/>
        </w:rPr>
        <w:t>LGBT</w:t>
      </w:r>
      <w:r w:rsidRPr="00B76D99">
        <w:rPr>
          <w:lang w:val="en-GB"/>
        </w:rPr>
        <w:t>IQ</w:t>
      </w:r>
      <w:r w:rsidR="00223BF1" w:rsidRPr="00B76D99">
        <w:rPr>
          <w:lang w:val="en-GB"/>
        </w:rPr>
        <w:t>+</w:t>
      </w:r>
      <w:r w:rsidRPr="00B76D99">
        <w:rPr>
          <w:lang w:val="en-GB"/>
        </w:rPr>
        <w:t xml:space="preserve"> community</w:t>
      </w:r>
      <w:r w:rsidR="00223BF1" w:rsidRPr="00B76D99">
        <w:rPr>
          <w:lang w:val="en-GB"/>
        </w:rPr>
        <w:t xml:space="preserve"> </w:t>
      </w:r>
      <w:r w:rsidR="00500BAB" w:rsidRPr="00B76D99">
        <w:rPr>
          <w:lang w:val="en-GB"/>
        </w:rPr>
        <w:t>ha</w:t>
      </w:r>
      <w:r w:rsidR="00DA4AAF" w:rsidRPr="00B76D99">
        <w:rPr>
          <w:lang w:val="en-GB"/>
        </w:rPr>
        <w:t>ve</w:t>
      </w:r>
      <w:r w:rsidR="00500BAB" w:rsidRPr="00B76D99">
        <w:rPr>
          <w:lang w:val="en-GB"/>
        </w:rPr>
        <w:t xml:space="preserve"> also</w:t>
      </w:r>
      <w:r w:rsidR="007E0A62" w:rsidRPr="00B76D99">
        <w:rPr>
          <w:lang w:val="en-GB"/>
        </w:rPr>
        <w:t xml:space="preserve"> </w:t>
      </w:r>
      <w:r w:rsidR="00500BAB" w:rsidRPr="00B76D99">
        <w:rPr>
          <w:lang w:val="en-GB"/>
        </w:rPr>
        <w:t xml:space="preserve">reported multiple forms of </w:t>
      </w:r>
      <w:r w:rsidR="00E9466B" w:rsidRPr="00B76D99">
        <w:rPr>
          <w:lang w:val="en-GB"/>
        </w:rPr>
        <w:t>physical</w:t>
      </w:r>
      <w:r w:rsidR="00B9566B" w:rsidRPr="00B76D99">
        <w:rPr>
          <w:lang w:val="en-GB"/>
        </w:rPr>
        <w:t>, emotional</w:t>
      </w:r>
      <w:r w:rsidRPr="00B76D99">
        <w:rPr>
          <w:lang w:val="en-GB"/>
        </w:rPr>
        <w:t>,</w:t>
      </w:r>
      <w:r w:rsidR="00E9466B" w:rsidRPr="00B76D99">
        <w:rPr>
          <w:lang w:val="en-GB"/>
        </w:rPr>
        <w:t xml:space="preserve"> and verbal </w:t>
      </w:r>
      <w:r w:rsidR="00500BAB" w:rsidRPr="00B76D99">
        <w:rPr>
          <w:lang w:val="en-GB"/>
        </w:rPr>
        <w:t>abuse</w:t>
      </w:r>
      <w:r w:rsidR="00B9566B" w:rsidRPr="00B76D99">
        <w:rPr>
          <w:lang w:val="en-GB"/>
        </w:rPr>
        <w:t xml:space="preserve"> </w:t>
      </w:r>
      <w:r w:rsidR="004B1FE2" w:rsidRPr="00B76D99">
        <w:rPr>
          <w:lang w:val="en-GB"/>
        </w:rPr>
        <w:t>that constitute torture</w:t>
      </w:r>
      <w:r w:rsidR="00B9566B" w:rsidRPr="00B76D99">
        <w:rPr>
          <w:lang w:val="en-GB"/>
        </w:rPr>
        <w:t xml:space="preserve"> </w:t>
      </w:r>
      <w:r w:rsidR="00500BAB" w:rsidRPr="00B76D99">
        <w:rPr>
          <w:lang w:val="en-GB"/>
        </w:rPr>
        <w:t>at the hands of the police while in detention</w:t>
      </w:r>
      <w:r w:rsidR="00E9466B" w:rsidRPr="00B76D99">
        <w:rPr>
          <w:lang w:val="en-GB"/>
        </w:rPr>
        <w:t>, including rape</w:t>
      </w:r>
      <w:r w:rsidR="00B9566B" w:rsidRPr="00B76D99">
        <w:rPr>
          <w:lang w:val="en-GB"/>
        </w:rPr>
        <w:t xml:space="preserve">, </w:t>
      </w:r>
      <w:r w:rsidR="00E9466B" w:rsidRPr="00B76D99">
        <w:rPr>
          <w:lang w:val="en-GB"/>
        </w:rPr>
        <w:t>blackmail</w:t>
      </w:r>
      <w:r w:rsidR="00B9566B" w:rsidRPr="00B76D99">
        <w:rPr>
          <w:lang w:val="en-GB"/>
        </w:rPr>
        <w:t>, being forced to strip and parade around police stations, being forced to dance for officers, sexual humiliation</w:t>
      </w:r>
      <w:r w:rsidRPr="00B76D99">
        <w:rPr>
          <w:lang w:val="en-GB"/>
        </w:rPr>
        <w:t>,</w:t>
      </w:r>
      <w:r w:rsidR="00B9566B" w:rsidRPr="00B76D99">
        <w:rPr>
          <w:lang w:val="en-GB"/>
        </w:rPr>
        <w:t xml:space="preserve"> and solitary confinement</w:t>
      </w:r>
      <w:r w:rsidR="00500BAB" w:rsidRPr="00B76D99">
        <w:rPr>
          <w:lang w:val="en-GB"/>
        </w:rPr>
        <w:t>.</w:t>
      </w:r>
      <w:r w:rsidR="00500BAB" w:rsidRPr="00B76D99">
        <w:rPr>
          <w:rStyle w:val="FootnoteReference"/>
          <w:lang w:val="en-GB"/>
        </w:rPr>
        <w:footnoteReference w:id="11"/>
      </w:r>
      <w:r w:rsidR="00B76D99" w:rsidRPr="00B76D99">
        <w:rPr>
          <w:lang w:val="en-GB"/>
        </w:rPr>
        <w:t xml:space="preserve"> </w:t>
      </w:r>
    </w:p>
    <w:p w14:paraId="7E4FBC1C" w14:textId="3AC86CED" w:rsidR="00EA0EEB" w:rsidRPr="00B76D99" w:rsidRDefault="00672026" w:rsidP="00500BAB">
      <w:pPr>
        <w:pStyle w:val="Paragraph"/>
        <w:rPr>
          <w:lang w:val="en-GB"/>
        </w:rPr>
      </w:pPr>
      <w:r w:rsidRPr="00B76D99">
        <w:t>While the U.S. Department of State</w:t>
      </w:r>
      <w:r w:rsidR="007E0A62" w:rsidRPr="00B76D99">
        <w:t xml:space="preserve"> details</w:t>
      </w:r>
      <w:r w:rsidRPr="00B76D99">
        <w:t xml:space="preserve"> </w:t>
      </w:r>
      <w:r w:rsidR="007E0A62" w:rsidRPr="00B76D99">
        <w:t xml:space="preserve">certain </w:t>
      </w:r>
      <w:r w:rsidRPr="00B76D99">
        <w:t xml:space="preserve">positive efforts by the Kuwaiti government to investigate and punish these </w:t>
      </w:r>
      <w:r w:rsidR="009D0AC0" w:rsidRPr="00B76D99">
        <w:t xml:space="preserve">official </w:t>
      </w:r>
      <w:r w:rsidRPr="00B76D99">
        <w:t xml:space="preserve">acts of torture </w:t>
      </w:r>
      <w:r w:rsidR="009D0AC0" w:rsidRPr="00B76D99">
        <w:t>and ill-treatment</w:t>
      </w:r>
      <w:r w:rsidRPr="00B76D99">
        <w:t>, they remain frequent in nature</w:t>
      </w:r>
      <w:r w:rsidR="00BF31D4" w:rsidRPr="00B76D99">
        <w:t>.</w:t>
      </w:r>
      <w:r w:rsidR="00BF31D4" w:rsidRPr="00B76D99">
        <w:rPr>
          <w:rStyle w:val="FootnoteReference"/>
          <w:lang w:val="en-GB"/>
        </w:rPr>
        <w:footnoteReference w:id="12"/>
      </w:r>
    </w:p>
    <w:p w14:paraId="53F06C3E" w14:textId="0A87FBB2" w:rsidR="004B1E4E" w:rsidRPr="00B76D99" w:rsidRDefault="00FE1664" w:rsidP="00646DE9">
      <w:pPr>
        <w:pStyle w:val="SectionHeading"/>
        <w:rPr>
          <w:rFonts w:cs="Times New Roman"/>
          <w:szCs w:val="24"/>
        </w:rPr>
      </w:pPr>
      <w:r w:rsidRPr="00B76D99">
        <w:rPr>
          <w:rFonts w:cs="Times New Roman"/>
          <w:szCs w:val="24"/>
        </w:rPr>
        <w:t>Kuwait fails to respect</w:t>
      </w:r>
      <w:r w:rsidR="005463A9" w:rsidRPr="00B76D99">
        <w:rPr>
          <w:rFonts w:cs="Times New Roman"/>
          <w:szCs w:val="24"/>
        </w:rPr>
        <w:t xml:space="preserve"> safeguards and due process rights for people suspected of criminal offenses</w:t>
      </w:r>
      <w:r w:rsidR="002A199A" w:rsidRPr="00B76D99">
        <w:rPr>
          <w:rFonts w:cs="Times New Roman"/>
          <w:szCs w:val="24"/>
        </w:rPr>
        <w:t xml:space="preserve"> </w:t>
      </w:r>
      <w:r w:rsidR="00E16D1C" w:rsidRPr="00B76D99">
        <w:rPr>
          <w:rFonts w:cs="Times New Roman"/>
          <w:szCs w:val="24"/>
        </w:rPr>
        <w:t>(LOIPR paras. 3, 4, 5</w:t>
      </w:r>
      <w:r w:rsidR="0000283E" w:rsidRPr="00B76D99">
        <w:rPr>
          <w:rFonts w:cs="Times New Roman"/>
          <w:szCs w:val="24"/>
        </w:rPr>
        <w:t xml:space="preserve"> and 6</w:t>
      </w:r>
      <w:r w:rsidR="00E16D1C" w:rsidRPr="00B76D99">
        <w:rPr>
          <w:rFonts w:cs="Times New Roman"/>
          <w:szCs w:val="24"/>
        </w:rPr>
        <w:t>)</w:t>
      </w:r>
      <w:r w:rsidR="005463A9" w:rsidRPr="00B76D99">
        <w:rPr>
          <w:rFonts w:cs="Times New Roman"/>
          <w:szCs w:val="24"/>
        </w:rPr>
        <w:t>.</w:t>
      </w:r>
    </w:p>
    <w:p w14:paraId="497559EB" w14:textId="22377CB5" w:rsidR="00085935" w:rsidRPr="00B76D99" w:rsidRDefault="009D0AC0" w:rsidP="00F21059">
      <w:pPr>
        <w:pStyle w:val="Paragraph"/>
      </w:pPr>
      <w:r w:rsidRPr="00B76D99">
        <w:t>T</w:t>
      </w:r>
      <w:r w:rsidR="00E16D1C" w:rsidRPr="00B76D99">
        <w:t xml:space="preserve">he Committee asked </w:t>
      </w:r>
      <w:r w:rsidRPr="00B76D99">
        <w:t xml:space="preserve">Kuwait </w:t>
      </w:r>
      <w:r w:rsidR="00E16D1C" w:rsidRPr="00B76D99">
        <w:t xml:space="preserve">to provide information on </w:t>
      </w:r>
      <w:r w:rsidR="00992E4D" w:rsidRPr="00B76D99">
        <w:t xml:space="preserve">the </w:t>
      </w:r>
      <w:r w:rsidR="00E16D1C" w:rsidRPr="00B76D99">
        <w:t>measures taken</w:t>
      </w:r>
      <w:r w:rsidR="00992E4D" w:rsidRPr="00B76D99">
        <w:t xml:space="preserve">, and the procedures in place, </w:t>
      </w:r>
      <w:r w:rsidR="00E16D1C" w:rsidRPr="00B76D99">
        <w:t>to ensure that “all detainees enjoy</w:t>
      </w:r>
      <w:r w:rsidR="000A48DC" w:rsidRPr="00B76D99">
        <w:t xml:space="preserve"> </w:t>
      </w:r>
      <w:r w:rsidR="00E16D1C" w:rsidRPr="00B76D99">
        <w:t xml:space="preserve">in practice all </w:t>
      </w:r>
      <w:r w:rsidR="000A48DC" w:rsidRPr="00B76D99">
        <w:t xml:space="preserve">fundamental </w:t>
      </w:r>
      <w:r w:rsidR="00E16D1C" w:rsidRPr="00B76D99">
        <w:t>legal safeguards from the outset of their deprivation of liberty</w:t>
      </w:r>
      <w:r w:rsidR="000A48DC" w:rsidRPr="00B76D99">
        <w:t>, in particular the rights to have access to a lawyer, to request and receive an examination by an independent physician of their choice, to be informed of their rights and of the charges against them, to notify a relative or any other person of their choice of their arrest, and to be brought promptly before a judge</w:t>
      </w:r>
      <w:r w:rsidR="00E16D1C" w:rsidRPr="00B76D99">
        <w:t>.”</w:t>
      </w:r>
      <w:r w:rsidR="00E16D1C" w:rsidRPr="00B76D99">
        <w:rPr>
          <w:rStyle w:val="FootnoteReference"/>
        </w:rPr>
        <w:footnoteReference w:id="13"/>
      </w:r>
      <w:r w:rsidR="00B76D99" w:rsidRPr="00B76D99">
        <w:t xml:space="preserve"> </w:t>
      </w:r>
    </w:p>
    <w:p w14:paraId="36076C94" w14:textId="0BE1DAAE" w:rsidR="00E114C5" w:rsidRPr="00B76D99" w:rsidRDefault="0017602C" w:rsidP="00E80985">
      <w:pPr>
        <w:pStyle w:val="Paragraph"/>
      </w:pPr>
      <w:r w:rsidRPr="00B76D99">
        <w:t>In its State Party Report, Kuwait point</w:t>
      </w:r>
      <w:r w:rsidR="009D0AC0" w:rsidRPr="00B76D99">
        <w:t>s</w:t>
      </w:r>
      <w:r w:rsidRPr="00B76D99">
        <w:t xml:space="preserve"> to provisions </w:t>
      </w:r>
      <w:r w:rsidR="007B2D6C" w:rsidRPr="00B76D99">
        <w:t>in</w:t>
      </w:r>
      <w:r w:rsidRPr="00B76D99">
        <w:t xml:space="preserve"> the Code of Criminal Procedure (Act No. 17 of 1960), as amended by Act No. 35 of 2016, which provide for accused persons</w:t>
      </w:r>
      <w:r w:rsidR="007B2D6C" w:rsidRPr="00B76D99">
        <w:t>, detainees</w:t>
      </w:r>
      <w:r w:rsidR="009D0AC0" w:rsidRPr="00B76D99">
        <w:t>,</w:t>
      </w:r>
      <w:r w:rsidR="007B2D6C" w:rsidRPr="00B76D99">
        <w:t xml:space="preserve"> and inmates, as applicable,</w:t>
      </w:r>
      <w:r w:rsidRPr="00B76D99">
        <w:t xml:space="preserve"> to have </w:t>
      </w:r>
      <w:r w:rsidR="007B2D6C" w:rsidRPr="00B76D99">
        <w:t>the</w:t>
      </w:r>
      <w:r w:rsidRPr="00B76D99">
        <w:t xml:space="preserve"> right to a lawyer, medical examinations, </w:t>
      </w:r>
      <w:r w:rsidR="007B2D6C" w:rsidRPr="00B76D99">
        <w:t xml:space="preserve">information regarding </w:t>
      </w:r>
      <w:r w:rsidRPr="00B76D99">
        <w:t>their rights and the charges against them, appeal</w:t>
      </w:r>
      <w:r w:rsidR="007B2D6C" w:rsidRPr="00B76D99">
        <w:t>s of</w:t>
      </w:r>
      <w:r w:rsidRPr="00B76D99">
        <w:t xml:space="preserve"> their sentence</w:t>
      </w:r>
      <w:r w:rsidR="009D0AC0" w:rsidRPr="00B76D99">
        <w:t>,</w:t>
      </w:r>
      <w:r w:rsidRPr="00B76D99">
        <w:t xml:space="preserve"> and </w:t>
      </w:r>
      <w:r w:rsidR="007B2D6C" w:rsidRPr="00B76D99">
        <w:t>the ability</w:t>
      </w:r>
      <w:r w:rsidRPr="00B76D99">
        <w:t xml:space="preserve"> to notify a relative or other person of their choice </w:t>
      </w:r>
      <w:r w:rsidR="007B2D6C" w:rsidRPr="00B76D99">
        <w:t>of</w:t>
      </w:r>
      <w:r w:rsidRPr="00B76D99">
        <w:t xml:space="preserve"> their arrest.</w:t>
      </w:r>
      <w:r w:rsidRPr="00B76D99">
        <w:rPr>
          <w:rStyle w:val="FootnoteReference"/>
        </w:rPr>
        <w:footnoteReference w:id="14"/>
      </w:r>
      <w:r w:rsidR="00B76D99" w:rsidRPr="00B76D99">
        <w:t xml:space="preserve"> </w:t>
      </w:r>
      <w:r w:rsidR="007F6CF2" w:rsidRPr="00B76D99">
        <w:t>Kuwait further note</w:t>
      </w:r>
      <w:r w:rsidR="009D0AC0" w:rsidRPr="00B76D99">
        <w:t>s</w:t>
      </w:r>
      <w:r w:rsidR="007F6CF2" w:rsidRPr="00B76D99">
        <w:t xml:space="preserve"> that there are steps in place to ensure </w:t>
      </w:r>
      <w:r w:rsidR="009D0AC0" w:rsidRPr="00B76D99">
        <w:t xml:space="preserve">that law enforcement officials respect </w:t>
      </w:r>
      <w:r w:rsidR="005F1870" w:rsidRPr="00B76D99">
        <w:t>fundamental legal safeguards</w:t>
      </w:r>
      <w:r w:rsidR="007F6CF2" w:rsidRPr="00B76D99">
        <w:t xml:space="preserve"> </w:t>
      </w:r>
      <w:r w:rsidR="005F1870" w:rsidRPr="00B76D99">
        <w:t>for</w:t>
      </w:r>
      <w:r w:rsidR="007F6CF2" w:rsidRPr="00B76D99">
        <w:t xml:space="preserve"> detainees, such as surveillance cameras</w:t>
      </w:r>
      <w:r w:rsidR="005F1870" w:rsidRPr="00B76D99">
        <w:t xml:space="preserve"> in places of detention, a special detention register, </w:t>
      </w:r>
      <w:r w:rsidR="007F6CF2" w:rsidRPr="00B76D99">
        <w:t>periodic visits</w:t>
      </w:r>
      <w:r w:rsidR="005F1870" w:rsidRPr="00B76D99">
        <w:t xml:space="preserve"> to places of detention</w:t>
      </w:r>
      <w:r w:rsidR="007F6CF2" w:rsidRPr="00B76D99">
        <w:t xml:space="preserve"> by </w:t>
      </w:r>
      <w:r w:rsidR="007F6CF2" w:rsidRPr="00B76D99">
        <w:lastRenderedPageBreak/>
        <w:t>officials</w:t>
      </w:r>
      <w:r w:rsidR="005F1870" w:rsidRPr="00B76D99">
        <w:t xml:space="preserve">, daily detention reviews covering the time of detention and reason for the deprivation of liberty, daily inspections of temporary detention </w:t>
      </w:r>
      <w:r w:rsidR="00AB060B" w:rsidRPr="00B76D99">
        <w:t>centers</w:t>
      </w:r>
      <w:r w:rsidR="005F1870" w:rsidRPr="00B76D99">
        <w:t>, police stations</w:t>
      </w:r>
      <w:r w:rsidR="009D0AC0" w:rsidRPr="00B76D99">
        <w:t>,</w:t>
      </w:r>
      <w:r w:rsidR="005F1870" w:rsidRPr="00B76D99">
        <w:t xml:space="preserve"> and investigation and enforcement offices</w:t>
      </w:r>
      <w:r w:rsidR="007F6CF2" w:rsidRPr="00B76D99">
        <w:t>.</w:t>
      </w:r>
      <w:r w:rsidR="007F6CF2" w:rsidRPr="00B76D99">
        <w:rPr>
          <w:rStyle w:val="FootnoteReference"/>
        </w:rPr>
        <w:footnoteReference w:id="15"/>
      </w:r>
      <w:r w:rsidR="00B76D99" w:rsidRPr="00B76D99">
        <w:t xml:space="preserve"> </w:t>
      </w:r>
      <w:r w:rsidR="00CA5574" w:rsidRPr="00B76D99">
        <w:t>Kuwait state</w:t>
      </w:r>
      <w:r w:rsidR="009D0AC0" w:rsidRPr="00B76D99">
        <w:t>s</w:t>
      </w:r>
      <w:r w:rsidR="00CA5574" w:rsidRPr="00B76D99">
        <w:t xml:space="preserve"> that if the result of any of the foregoing measures indicate that law enforcement officials have mistreated persons deprived of their liberty, “the authorities do not hesitate to launch administrative inquiries” into such law enforcement officials.</w:t>
      </w:r>
      <w:r w:rsidR="00CA5574" w:rsidRPr="00B76D99">
        <w:rPr>
          <w:rStyle w:val="FootnoteReference"/>
        </w:rPr>
        <w:footnoteReference w:id="16"/>
      </w:r>
      <w:r w:rsidR="00B76D99" w:rsidRPr="00B76D99">
        <w:t xml:space="preserve"> </w:t>
      </w:r>
    </w:p>
    <w:p w14:paraId="0D881CCD" w14:textId="6806D643" w:rsidR="0007341F" w:rsidRPr="00B76D99" w:rsidRDefault="00E81A9F" w:rsidP="00672026">
      <w:pPr>
        <w:pStyle w:val="Paragraph"/>
      </w:pPr>
      <w:r w:rsidRPr="00B76D99">
        <w:t xml:space="preserve">Despite the foregoing legal safeguards and due process requirements, </w:t>
      </w:r>
      <w:r w:rsidR="00863BD0" w:rsidRPr="00B76D99">
        <w:t xml:space="preserve">Amnesty International reported that </w:t>
      </w:r>
      <w:r w:rsidR="00EA4002" w:rsidRPr="00B76D99">
        <w:t xml:space="preserve">Kuwaiti </w:t>
      </w:r>
      <w:r w:rsidR="000E1ECB" w:rsidRPr="00B76D99">
        <w:t>security forces</w:t>
      </w:r>
      <w:r w:rsidR="00863BD0" w:rsidRPr="00B76D99">
        <w:t xml:space="preserve"> </w:t>
      </w:r>
      <w:r w:rsidR="00FE2AEC" w:rsidRPr="00B76D99">
        <w:t xml:space="preserve">arbitrarily </w:t>
      </w:r>
      <w:r w:rsidR="000E1ECB" w:rsidRPr="00B76D99">
        <w:t>held</w:t>
      </w:r>
      <w:r w:rsidR="00EA4002" w:rsidRPr="00B76D99">
        <w:t xml:space="preserve"> eight individuals </w:t>
      </w:r>
      <w:r w:rsidR="000E1ECB" w:rsidRPr="00B76D99">
        <w:t xml:space="preserve">(all of whom </w:t>
      </w:r>
      <w:r w:rsidR="00863BD0" w:rsidRPr="00B76D99">
        <w:t>were</w:t>
      </w:r>
      <w:r w:rsidR="000E1ECB" w:rsidRPr="00B76D99">
        <w:t xml:space="preserve"> over 50 years of age and at least two</w:t>
      </w:r>
      <w:r w:rsidR="00FE2AEC" w:rsidRPr="00B76D99">
        <w:t xml:space="preserve"> of whom</w:t>
      </w:r>
      <w:r w:rsidR="000E1ECB" w:rsidRPr="00B76D99">
        <w:t xml:space="preserve"> suffer</w:t>
      </w:r>
      <w:r w:rsidR="00863BD0" w:rsidRPr="00B76D99">
        <w:t>ed</w:t>
      </w:r>
      <w:r w:rsidR="000E1ECB" w:rsidRPr="00B76D99">
        <w:t xml:space="preserve"> from serious health issues) </w:t>
      </w:r>
      <w:r w:rsidR="00EA4002" w:rsidRPr="00B76D99">
        <w:t>without charge</w:t>
      </w:r>
      <w:r w:rsidR="000E1ECB" w:rsidRPr="00B76D99">
        <w:t xml:space="preserve"> for over a month</w:t>
      </w:r>
      <w:r w:rsidR="00EA4002" w:rsidRPr="00B76D99">
        <w:t xml:space="preserve"> and interrogated</w:t>
      </w:r>
      <w:r w:rsidR="00FE2AEC" w:rsidRPr="00B76D99">
        <w:t xml:space="preserve"> </w:t>
      </w:r>
      <w:r w:rsidR="00EA4002" w:rsidRPr="00B76D99">
        <w:t>them for several days without access to</w:t>
      </w:r>
      <w:r w:rsidR="00F9074F" w:rsidRPr="00B76D99">
        <w:t>, or the presence of,</w:t>
      </w:r>
      <w:r w:rsidR="00EA4002" w:rsidRPr="00B76D99">
        <w:t xml:space="preserve"> a lawyer.</w:t>
      </w:r>
      <w:r w:rsidR="00EA4002" w:rsidRPr="00B76D99">
        <w:rPr>
          <w:rStyle w:val="FootnoteReference"/>
        </w:rPr>
        <w:footnoteReference w:id="17"/>
      </w:r>
      <w:r w:rsidR="00B76D99" w:rsidRPr="00B76D99">
        <w:t xml:space="preserve"> </w:t>
      </w:r>
      <w:r w:rsidR="009D0AC0" w:rsidRPr="00B76D99">
        <w:t>Without providing any specific evidence, g</w:t>
      </w:r>
      <w:r w:rsidR="00E15B30" w:rsidRPr="00B76D99">
        <w:t xml:space="preserve">overnment sources </w:t>
      </w:r>
      <w:r w:rsidR="009D0AC0" w:rsidRPr="00B76D99">
        <w:t xml:space="preserve">had </w:t>
      </w:r>
      <w:r w:rsidR="00E15B30" w:rsidRPr="00B76D99">
        <w:t>accuse</w:t>
      </w:r>
      <w:r w:rsidRPr="00B76D99">
        <w:t>d</w:t>
      </w:r>
      <w:r w:rsidR="00E15B30" w:rsidRPr="00B76D99">
        <w:t xml:space="preserve"> the </w:t>
      </w:r>
      <w:r w:rsidR="009D0AC0" w:rsidRPr="00B76D99">
        <w:t xml:space="preserve">individuals </w:t>
      </w:r>
      <w:r w:rsidR="00013FB3" w:rsidRPr="00B76D99">
        <w:t>of aiding Hezbollah.</w:t>
      </w:r>
      <w:r w:rsidR="00013FB3" w:rsidRPr="00B76D99">
        <w:rPr>
          <w:rStyle w:val="FootnoteReference"/>
        </w:rPr>
        <w:footnoteReference w:id="18"/>
      </w:r>
      <w:r w:rsidR="00B76D99" w:rsidRPr="00B76D99">
        <w:t xml:space="preserve"> </w:t>
      </w:r>
      <w:r w:rsidR="00FE2AEC" w:rsidRPr="00B76D99">
        <w:t xml:space="preserve">Amnesty International contacted Kuwait’s National Diwan for Human Rights to request information about </w:t>
      </w:r>
      <w:r w:rsidR="00796C56" w:rsidRPr="00B76D99">
        <w:t xml:space="preserve">the </w:t>
      </w:r>
      <w:r w:rsidR="00FE2AEC" w:rsidRPr="00B76D99">
        <w:t xml:space="preserve">identities, dates of detention, and </w:t>
      </w:r>
      <w:r w:rsidR="00535DD7" w:rsidRPr="00B76D99">
        <w:t>charges</w:t>
      </w:r>
      <w:r w:rsidR="00796C56" w:rsidRPr="00B76D99">
        <w:t xml:space="preserve"> with respect to certain other individuals detained as part of the same case</w:t>
      </w:r>
      <w:r w:rsidR="00FE2AEC" w:rsidRPr="00B76D99">
        <w:t>, but the organization</w:t>
      </w:r>
      <w:r w:rsidR="006256BC" w:rsidRPr="00B76D99">
        <w:t xml:space="preserve"> </w:t>
      </w:r>
      <w:r w:rsidR="00F4381F" w:rsidRPr="00B76D99">
        <w:t>did not</w:t>
      </w:r>
      <w:r w:rsidR="00FE2AEC" w:rsidRPr="00B76D99">
        <w:t xml:space="preserve"> respond.</w:t>
      </w:r>
      <w:r w:rsidR="00FE2AEC" w:rsidRPr="00B76D99">
        <w:rPr>
          <w:rStyle w:val="FootnoteReference"/>
        </w:rPr>
        <w:footnoteReference w:id="19"/>
      </w:r>
    </w:p>
    <w:p w14:paraId="4E13037B" w14:textId="3F8982FD" w:rsidR="000A7719" w:rsidRPr="00B76D99" w:rsidRDefault="009D0AC0" w:rsidP="00707A45">
      <w:pPr>
        <w:pStyle w:val="Paragraph"/>
      </w:pPr>
      <w:r w:rsidRPr="00B76D99">
        <w:t>T</w:t>
      </w:r>
      <w:r w:rsidR="003B1714" w:rsidRPr="00B76D99">
        <w:t>he U.S. Department of State</w:t>
      </w:r>
      <w:r w:rsidR="00707A45" w:rsidRPr="00B76D99">
        <w:t xml:space="preserve"> reported </w:t>
      </w:r>
      <w:r w:rsidRPr="00B76D99">
        <w:t xml:space="preserve">several </w:t>
      </w:r>
      <w:r w:rsidR="00707A45" w:rsidRPr="00B76D99">
        <w:t>instances of arbitrary arrests</w:t>
      </w:r>
      <w:r w:rsidRPr="00B76D99">
        <w:t>,</w:t>
      </w:r>
      <w:r w:rsidR="00707A45" w:rsidRPr="00B76D99">
        <w:t xml:space="preserve"> in certain cases based on speech on social media.</w:t>
      </w:r>
      <w:r w:rsidR="00707A45" w:rsidRPr="00B76D99">
        <w:rPr>
          <w:rStyle w:val="FootnoteReference"/>
        </w:rPr>
        <w:footnoteReference w:id="20"/>
      </w:r>
      <w:r w:rsidR="00B76D99" w:rsidRPr="00B76D99">
        <w:t xml:space="preserve"> </w:t>
      </w:r>
      <w:r w:rsidR="00E81A9F" w:rsidRPr="00B76D99">
        <w:t>A former parliamentarian, Abdulrahman al-</w:t>
      </w:r>
      <w:proofErr w:type="spellStart"/>
      <w:r w:rsidR="00E81A9F" w:rsidRPr="00B76D99">
        <w:t>Anjari</w:t>
      </w:r>
      <w:proofErr w:type="spellEnd"/>
      <w:r w:rsidR="00E81A9F" w:rsidRPr="00B76D99">
        <w:t xml:space="preserve">, and a prominent advocate for Bidoon rights, Fadel Farhan Saket (known as Abu Turki), were arrested </w:t>
      </w:r>
      <w:r w:rsidR="00362CAC" w:rsidRPr="00B76D99">
        <w:t xml:space="preserve">and detained </w:t>
      </w:r>
      <w:r w:rsidR="00E81A9F" w:rsidRPr="00B76D99">
        <w:t>for remarks on social media.</w:t>
      </w:r>
      <w:r w:rsidR="00362CAC" w:rsidRPr="00B76D99">
        <w:rPr>
          <w:rStyle w:val="FootnoteReference"/>
        </w:rPr>
        <w:footnoteReference w:id="21"/>
      </w:r>
      <w:r w:rsidR="00362CAC" w:rsidRPr="00B76D99">
        <w:t xml:space="preserve"> </w:t>
      </w:r>
    </w:p>
    <w:p w14:paraId="670C7A4F" w14:textId="6D1E4DAB" w:rsidR="00816595" w:rsidRPr="00B76D99" w:rsidRDefault="00707A45" w:rsidP="00707A45">
      <w:pPr>
        <w:pStyle w:val="Paragraph"/>
      </w:pPr>
      <w:r w:rsidRPr="00B76D99">
        <w:t xml:space="preserve">Additionally, </w:t>
      </w:r>
      <w:r w:rsidR="009D0AC0" w:rsidRPr="00B76D99">
        <w:t xml:space="preserve">people </w:t>
      </w:r>
      <w:r w:rsidR="00C338AE" w:rsidRPr="00B76D99">
        <w:t xml:space="preserve">facing state security charges are routinely denied access to their lawyers, interpreters, and document translators before hearings, and </w:t>
      </w:r>
      <w:r w:rsidR="008D6A2A" w:rsidRPr="00B76D99">
        <w:t xml:space="preserve">there are other instances where </w:t>
      </w:r>
      <w:r w:rsidR="00C338AE" w:rsidRPr="00B76D99">
        <w:t xml:space="preserve">authorities have detained some </w:t>
      </w:r>
      <w:r w:rsidR="009D0AC0" w:rsidRPr="00B76D99">
        <w:t>individuals</w:t>
      </w:r>
      <w:r w:rsidR="00C338AE" w:rsidRPr="00B76D99">
        <w:t xml:space="preserve">, especially in </w:t>
      </w:r>
      <w:r w:rsidR="008D6A2A" w:rsidRPr="00B76D99">
        <w:t>drug</w:t>
      </w:r>
      <w:r w:rsidR="00C338AE" w:rsidRPr="00B76D99">
        <w:t xml:space="preserve"> and state security cases, for up to two weeks without notification of the charges against them</w:t>
      </w:r>
      <w:r w:rsidRPr="00B76D99">
        <w:t>.</w:t>
      </w:r>
      <w:r w:rsidRPr="00B76D99">
        <w:rPr>
          <w:rStyle w:val="FootnoteReference"/>
        </w:rPr>
        <w:footnoteReference w:id="22"/>
      </w:r>
      <w:r w:rsidR="00B76D99" w:rsidRPr="00B76D99">
        <w:t xml:space="preserve"> </w:t>
      </w:r>
      <w:r w:rsidRPr="00B76D99">
        <w:t xml:space="preserve">Those </w:t>
      </w:r>
      <w:r w:rsidR="009D0AC0" w:rsidRPr="00B76D99">
        <w:t xml:space="preserve">people </w:t>
      </w:r>
      <w:r w:rsidRPr="00B76D99">
        <w:t xml:space="preserve">were also not permitted </w:t>
      </w:r>
      <w:r w:rsidR="00804F8B" w:rsidRPr="00B76D99">
        <w:t>to make any telephone calls to lawyers or family members</w:t>
      </w:r>
      <w:r w:rsidR="00C338AE" w:rsidRPr="00B76D99">
        <w:t>.</w:t>
      </w:r>
      <w:r w:rsidR="00C338AE" w:rsidRPr="00B76D99">
        <w:rPr>
          <w:rStyle w:val="FootnoteReference"/>
        </w:rPr>
        <w:footnoteReference w:id="23"/>
      </w:r>
    </w:p>
    <w:p w14:paraId="04EE37F3" w14:textId="7FF1E75B" w:rsidR="006A2FED" w:rsidRPr="00B76D99" w:rsidRDefault="00E04C43" w:rsidP="00262845">
      <w:pPr>
        <w:pStyle w:val="SectionHeading"/>
        <w:rPr>
          <w:rFonts w:cs="Times New Roman"/>
          <w:szCs w:val="24"/>
        </w:rPr>
      </w:pPr>
      <w:bookmarkStart w:id="0" w:name="_Hlk175943113"/>
      <w:r w:rsidRPr="00B76D99">
        <w:rPr>
          <w:rFonts w:cs="Times New Roman"/>
          <w:szCs w:val="24"/>
        </w:rPr>
        <w:t xml:space="preserve">Conditions of </w:t>
      </w:r>
      <w:r w:rsidR="00361830" w:rsidRPr="00B76D99">
        <w:rPr>
          <w:rFonts w:cs="Times New Roman"/>
          <w:szCs w:val="24"/>
        </w:rPr>
        <w:t>d</w:t>
      </w:r>
      <w:r w:rsidRPr="00B76D99">
        <w:rPr>
          <w:rFonts w:cs="Times New Roman"/>
          <w:szCs w:val="24"/>
        </w:rPr>
        <w:t xml:space="preserve">etention </w:t>
      </w:r>
      <w:r w:rsidR="00361830" w:rsidRPr="00B76D99">
        <w:rPr>
          <w:rFonts w:cs="Times New Roman"/>
          <w:szCs w:val="24"/>
        </w:rPr>
        <w:t xml:space="preserve">continue to violate the Convention </w:t>
      </w:r>
      <w:r w:rsidR="00F46C63" w:rsidRPr="00B76D99">
        <w:rPr>
          <w:rFonts w:cs="Times New Roman"/>
          <w:szCs w:val="24"/>
        </w:rPr>
        <w:t>(LOIPR para</w:t>
      </w:r>
      <w:r w:rsidR="004934C5" w:rsidRPr="00B76D99">
        <w:rPr>
          <w:rFonts w:cs="Times New Roman"/>
          <w:szCs w:val="24"/>
        </w:rPr>
        <w:t xml:space="preserve">. </w:t>
      </w:r>
      <w:r w:rsidR="00F46C63" w:rsidRPr="00B76D99">
        <w:rPr>
          <w:rFonts w:cs="Times New Roman"/>
          <w:szCs w:val="24"/>
        </w:rPr>
        <w:t>18)</w:t>
      </w:r>
      <w:r w:rsidR="00361830" w:rsidRPr="00B76D99">
        <w:rPr>
          <w:rFonts w:cs="Times New Roman"/>
          <w:szCs w:val="24"/>
        </w:rPr>
        <w:t>.</w:t>
      </w:r>
    </w:p>
    <w:bookmarkEnd w:id="0"/>
    <w:p w14:paraId="79F8D470" w14:textId="60ED8C68" w:rsidR="00442033" w:rsidRPr="00B76D99" w:rsidRDefault="009D0AC0" w:rsidP="00442033">
      <w:pPr>
        <w:pStyle w:val="Paragraph"/>
        <w:rPr>
          <w:lang w:val="en-GB"/>
        </w:rPr>
      </w:pPr>
      <w:r w:rsidRPr="00B76D99">
        <w:t>T</w:t>
      </w:r>
      <w:r w:rsidR="00F46C63" w:rsidRPr="00B76D99">
        <w:t xml:space="preserve">he Committee asked </w:t>
      </w:r>
      <w:r w:rsidRPr="00B76D99">
        <w:t>Kuwait</w:t>
      </w:r>
      <w:r w:rsidR="00F46C63" w:rsidRPr="00B76D99">
        <w:t xml:space="preserve"> </w:t>
      </w:r>
      <w:r w:rsidR="0067513E" w:rsidRPr="00B76D99">
        <w:t>(</w:t>
      </w:r>
      <w:proofErr w:type="spellStart"/>
      <w:r w:rsidR="0067513E" w:rsidRPr="00B76D99">
        <w:t>i</w:t>
      </w:r>
      <w:proofErr w:type="spellEnd"/>
      <w:r w:rsidR="0067513E" w:rsidRPr="00B76D99">
        <w:t xml:space="preserve">) </w:t>
      </w:r>
      <w:r w:rsidR="00F46C63" w:rsidRPr="00B76D99">
        <w:t xml:space="preserve">to provide </w:t>
      </w:r>
      <w:r w:rsidR="0067513E" w:rsidRPr="00B76D99">
        <w:t xml:space="preserve">statistical </w:t>
      </w:r>
      <w:r w:rsidR="00E04C43" w:rsidRPr="00B76D99">
        <w:t>data on the</w:t>
      </w:r>
      <w:r w:rsidR="0068176B" w:rsidRPr="00B76D99">
        <w:rPr>
          <w:lang w:val="en-GB"/>
        </w:rPr>
        <w:t xml:space="preserve"> occupancy rate of all places of detention</w:t>
      </w:r>
      <w:r w:rsidR="00E04C43" w:rsidRPr="00B76D99">
        <w:rPr>
          <w:lang w:val="en-GB"/>
        </w:rPr>
        <w:t xml:space="preserve">, and </w:t>
      </w:r>
      <w:r w:rsidR="0067513E" w:rsidRPr="00B76D99">
        <w:rPr>
          <w:lang w:val="en-GB"/>
        </w:rPr>
        <w:t xml:space="preserve">(ii) </w:t>
      </w:r>
      <w:r w:rsidR="00E04C43" w:rsidRPr="00B76D99">
        <w:rPr>
          <w:lang w:val="en-GB"/>
        </w:rPr>
        <w:t>to describe</w:t>
      </w:r>
      <w:r w:rsidR="00A24BEF" w:rsidRPr="00B76D99">
        <w:rPr>
          <w:lang w:val="en-GB"/>
        </w:rPr>
        <w:t xml:space="preserve"> </w:t>
      </w:r>
      <w:r w:rsidR="0067513E" w:rsidRPr="00B76D99">
        <w:rPr>
          <w:lang w:val="en-GB"/>
        </w:rPr>
        <w:t xml:space="preserve">the </w:t>
      </w:r>
      <w:r w:rsidR="00864EC7" w:rsidRPr="00B76D99">
        <w:rPr>
          <w:lang w:val="en-GB"/>
        </w:rPr>
        <w:t>measures taken to reduce prison overcrowding and improve the material conditions in all places of detention</w:t>
      </w:r>
      <w:r w:rsidR="00E04C43" w:rsidRPr="00B76D99">
        <w:rPr>
          <w:lang w:val="en-GB"/>
        </w:rPr>
        <w:t>.</w:t>
      </w:r>
      <w:r w:rsidR="00A24BEF" w:rsidRPr="00B76D99">
        <w:rPr>
          <w:rStyle w:val="FootnoteReference"/>
        </w:rPr>
        <w:footnoteReference w:id="24"/>
      </w:r>
    </w:p>
    <w:p w14:paraId="5EAD5374" w14:textId="2F239DE7" w:rsidR="00E05269" w:rsidRPr="00B76D99" w:rsidRDefault="0035276E" w:rsidP="00E05269">
      <w:pPr>
        <w:pStyle w:val="Paragraph"/>
        <w:rPr>
          <w:lang w:val="en-GB"/>
        </w:rPr>
      </w:pPr>
      <w:r w:rsidRPr="00B76D99">
        <w:rPr>
          <w:rStyle w:val="ParagraphChar"/>
        </w:rPr>
        <w:lastRenderedPageBreak/>
        <w:t>In its State Party Report, Kuwait</w:t>
      </w:r>
      <w:r w:rsidR="008E59BA" w:rsidRPr="00B76D99">
        <w:rPr>
          <w:rStyle w:val="ParagraphChar"/>
        </w:rPr>
        <w:t xml:space="preserve"> provide</w:t>
      </w:r>
      <w:r w:rsidR="009D0AC0" w:rsidRPr="00B76D99">
        <w:rPr>
          <w:rStyle w:val="ParagraphChar"/>
        </w:rPr>
        <w:t>s</w:t>
      </w:r>
      <w:r w:rsidR="008E59BA" w:rsidRPr="00B76D99">
        <w:rPr>
          <w:rStyle w:val="ParagraphChar"/>
        </w:rPr>
        <w:t xml:space="preserve"> the requested statistics concerning the number of pretrial detainees and convicted </w:t>
      </w:r>
      <w:r w:rsidR="005456D2" w:rsidRPr="00B76D99">
        <w:rPr>
          <w:rStyle w:val="ParagraphChar"/>
        </w:rPr>
        <w:t>persons</w:t>
      </w:r>
      <w:r w:rsidR="008E59BA" w:rsidRPr="00B76D99">
        <w:rPr>
          <w:rStyle w:val="ParagraphChar"/>
        </w:rPr>
        <w:t>, along with the occupancy rate of places of detention, disaggregated by sex, age</w:t>
      </w:r>
      <w:r w:rsidR="005456D2" w:rsidRPr="00B76D99">
        <w:rPr>
          <w:rStyle w:val="ParagraphChar"/>
        </w:rPr>
        <w:t>,</w:t>
      </w:r>
      <w:r w:rsidR="008E59BA" w:rsidRPr="00B76D99">
        <w:rPr>
          <w:rStyle w:val="ParagraphChar"/>
        </w:rPr>
        <w:t xml:space="preserve"> and nationality.</w:t>
      </w:r>
      <w:r w:rsidR="008E59BA" w:rsidRPr="00B76D99">
        <w:rPr>
          <w:rStyle w:val="FootnoteReference"/>
        </w:rPr>
        <w:footnoteReference w:id="25"/>
      </w:r>
      <w:r w:rsidR="008E59BA" w:rsidRPr="00B76D99">
        <w:rPr>
          <w:rStyle w:val="ParagraphChar"/>
        </w:rPr>
        <w:t xml:space="preserve"> Kuwait also</w:t>
      </w:r>
      <w:r w:rsidR="00686C22" w:rsidRPr="00B76D99">
        <w:rPr>
          <w:rStyle w:val="ParagraphChar"/>
        </w:rPr>
        <w:t xml:space="preserve"> </w:t>
      </w:r>
      <w:r w:rsidR="00E05269" w:rsidRPr="00B76D99">
        <w:rPr>
          <w:lang w:val="en-GB"/>
        </w:rPr>
        <w:t>reference</w:t>
      </w:r>
      <w:r w:rsidR="005456D2" w:rsidRPr="00B76D99">
        <w:rPr>
          <w:lang w:val="en-GB"/>
        </w:rPr>
        <w:t>s</w:t>
      </w:r>
      <w:r w:rsidR="00E05269" w:rsidRPr="00B76D99">
        <w:rPr>
          <w:lang w:val="en-GB"/>
        </w:rPr>
        <w:t xml:space="preserve"> </w:t>
      </w:r>
      <w:r w:rsidR="00686C22" w:rsidRPr="00B76D99">
        <w:rPr>
          <w:lang w:val="en-GB"/>
        </w:rPr>
        <w:t>certain measures taken</w:t>
      </w:r>
      <w:r w:rsidR="00572E3D" w:rsidRPr="00B76D99">
        <w:rPr>
          <w:lang w:val="en-GB"/>
        </w:rPr>
        <w:t>, and laws in place,</w:t>
      </w:r>
      <w:r w:rsidR="00E05269" w:rsidRPr="00B76D99">
        <w:rPr>
          <w:lang w:val="en-GB"/>
        </w:rPr>
        <w:t xml:space="preserve"> to improve</w:t>
      </w:r>
      <w:r w:rsidR="00686C22" w:rsidRPr="00B76D99">
        <w:rPr>
          <w:lang w:val="en-GB"/>
        </w:rPr>
        <w:t xml:space="preserve"> prison overcrowding and</w:t>
      </w:r>
      <w:r w:rsidR="00BF0833" w:rsidRPr="00B76D99">
        <w:rPr>
          <w:lang w:val="en-GB"/>
        </w:rPr>
        <w:t xml:space="preserve"> the </w:t>
      </w:r>
      <w:r w:rsidR="00686C22" w:rsidRPr="00B76D99">
        <w:rPr>
          <w:lang w:val="en-GB"/>
        </w:rPr>
        <w:t>material conditions in places of detention</w:t>
      </w:r>
      <w:r w:rsidR="00610CD4" w:rsidRPr="00B76D99">
        <w:t>,</w:t>
      </w:r>
      <w:r w:rsidR="009C4184" w:rsidRPr="00B76D99">
        <w:t xml:space="preserve"> including articles of the Prisons Act No. 26 of 1962, which contain</w:t>
      </w:r>
      <w:r w:rsidR="004B776E" w:rsidRPr="00B76D99">
        <w:t xml:space="preserve"> </w:t>
      </w:r>
      <w:r w:rsidR="009C4184" w:rsidRPr="00B76D99">
        <w:t>measures to ensure the health of inmates</w:t>
      </w:r>
      <w:r w:rsidR="00BF0833" w:rsidRPr="00B76D99">
        <w:t xml:space="preserve"> and </w:t>
      </w:r>
      <w:r w:rsidR="009C4184" w:rsidRPr="00B76D99">
        <w:t>the cleanliness of places of detention and provide</w:t>
      </w:r>
      <w:r w:rsidR="00BF0833" w:rsidRPr="00B76D99">
        <w:t xml:space="preserve"> for</w:t>
      </w:r>
      <w:r w:rsidR="009C4184" w:rsidRPr="00B76D99">
        <w:t xml:space="preserve"> daily physical exercise opportunities for inmates.</w:t>
      </w:r>
      <w:r w:rsidR="00BF0833" w:rsidRPr="00B76D99">
        <w:rPr>
          <w:rStyle w:val="FootnoteReference"/>
        </w:rPr>
        <w:footnoteReference w:id="26"/>
      </w:r>
      <w:r w:rsidR="00B76D99" w:rsidRPr="00B76D99">
        <w:t xml:space="preserve"> </w:t>
      </w:r>
      <w:r w:rsidR="009C4184" w:rsidRPr="00B76D99">
        <w:t>Kuwait also highlight</w:t>
      </w:r>
      <w:r w:rsidR="005456D2" w:rsidRPr="00B76D99">
        <w:t>s</w:t>
      </w:r>
      <w:r w:rsidR="009C4184" w:rsidRPr="00B76D99">
        <w:t xml:space="preserve"> certain measures it is taking to improve poor ventilation and insufficient daylight in prisons</w:t>
      </w:r>
      <w:r w:rsidR="00837280" w:rsidRPr="00B76D99">
        <w:t xml:space="preserve">, including a plan </w:t>
      </w:r>
      <w:r w:rsidR="00BE7A8C" w:rsidRPr="00B76D99">
        <w:t>to build</w:t>
      </w:r>
      <w:r w:rsidR="00837280" w:rsidRPr="00B76D99">
        <w:t xml:space="preserve"> a modern prison </w:t>
      </w:r>
      <w:r w:rsidR="00BE7A8C" w:rsidRPr="00B76D99">
        <w:t>that complies</w:t>
      </w:r>
      <w:r w:rsidR="00837280" w:rsidRPr="00B76D99">
        <w:t xml:space="preserve"> with international ventilation standards</w:t>
      </w:r>
      <w:r w:rsidR="00610CD4" w:rsidRPr="00B76D99">
        <w:t>.</w:t>
      </w:r>
      <w:r w:rsidR="00610CD4" w:rsidRPr="00B76D99">
        <w:rPr>
          <w:rStyle w:val="FootnoteReference"/>
        </w:rPr>
        <w:footnoteReference w:id="27"/>
      </w:r>
    </w:p>
    <w:p w14:paraId="155C33A0" w14:textId="1ED68CAC" w:rsidR="00752EAD" w:rsidRPr="00B76D99" w:rsidRDefault="00E30B06" w:rsidP="00FD5FA7">
      <w:pPr>
        <w:pStyle w:val="Paragraph"/>
        <w:rPr>
          <w:rFonts w:eastAsia="Aptos"/>
          <w:lang w:val="en-SG" w:eastAsia="en-US"/>
        </w:rPr>
      </w:pPr>
      <w:r w:rsidRPr="00B76D99">
        <w:rPr>
          <w:rFonts w:eastAsia="Aptos"/>
          <w:lang w:val="en-SG" w:eastAsia="en-US"/>
        </w:rPr>
        <w:t xml:space="preserve">Despite </w:t>
      </w:r>
      <w:r w:rsidR="00C25B42" w:rsidRPr="00B76D99">
        <w:rPr>
          <w:rFonts w:eastAsia="Aptos"/>
          <w:lang w:val="en-SG" w:eastAsia="en-US"/>
        </w:rPr>
        <w:t xml:space="preserve">Kuwait’s </w:t>
      </w:r>
      <w:r w:rsidRPr="00B76D99">
        <w:rPr>
          <w:rFonts w:eastAsia="Aptos"/>
          <w:lang w:val="en-SG" w:eastAsia="en-US"/>
        </w:rPr>
        <w:t>efforts, p</w:t>
      </w:r>
      <w:r w:rsidR="00621ADC" w:rsidRPr="00B76D99">
        <w:rPr>
          <w:rFonts w:eastAsia="Aptos"/>
          <w:lang w:val="en-SG" w:eastAsia="en-US"/>
        </w:rPr>
        <w:t xml:space="preserve">rison overcrowding </w:t>
      </w:r>
      <w:r w:rsidRPr="00B76D99">
        <w:rPr>
          <w:rFonts w:eastAsia="Aptos"/>
          <w:lang w:val="en-SG" w:eastAsia="en-US"/>
        </w:rPr>
        <w:t>remains</w:t>
      </w:r>
      <w:r w:rsidR="00621ADC" w:rsidRPr="00B76D99">
        <w:rPr>
          <w:rFonts w:eastAsia="Aptos"/>
          <w:lang w:val="en-SG" w:eastAsia="en-US"/>
        </w:rPr>
        <w:t xml:space="preserve"> a significant problem.</w:t>
      </w:r>
      <w:r w:rsidR="00B76D99" w:rsidRPr="00B76D99">
        <w:rPr>
          <w:rFonts w:eastAsia="Aptos"/>
          <w:lang w:val="en-SG" w:eastAsia="en-US"/>
        </w:rPr>
        <w:t xml:space="preserve"> </w:t>
      </w:r>
      <w:r w:rsidR="00621ADC" w:rsidRPr="00B76D99">
        <w:rPr>
          <w:rFonts w:eastAsia="Aptos"/>
          <w:lang w:val="en-SG" w:eastAsia="en-US"/>
        </w:rPr>
        <w:t>According to Kuwait’s Ministry of Interior, the designed capacity of t</w:t>
      </w:r>
      <w:r w:rsidR="00FD5FA7" w:rsidRPr="00B76D99">
        <w:rPr>
          <w:rFonts w:eastAsia="Aptos"/>
          <w:lang w:val="en-SG" w:eastAsia="en-US"/>
        </w:rPr>
        <w:t xml:space="preserve">he </w:t>
      </w:r>
      <w:r w:rsidR="00621ADC" w:rsidRPr="00B76D99">
        <w:rPr>
          <w:rFonts w:eastAsia="Aptos"/>
          <w:lang w:val="en-SG" w:eastAsia="en-US"/>
        </w:rPr>
        <w:t>C</w:t>
      </w:r>
      <w:r w:rsidR="00FD5FA7" w:rsidRPr="00B76D99">
        <w:rPr>
          <w:rFonts w:eastAsia="Aptos"/>
          <w:lang w:val="en-SG" w:eastAsia="en-US"/>
        </w:rPr>
        <w:t xml:space="preserve">entral </w:t>
      </w:r>
      <w:r w:rsidR="00621ADC" w:rsidRPr="00B76D99">
        <w:rPr>
          <w:rFonts w:eastAsia="Aptos"/>
          <w:lang w:val="en-SG" w:eastAsia="en-US"/>
        </w:rPr>
        <w:t>P</w:t>
      </w:r>
      <w:r w:rsidR="00FD5FA7" w:rsidRPr="00B76D99">
        <w:rPr>
          <w:rFonts w:eastAsia="Aptos"/>
          <w:lang w:val="en-SG" w:eastAsia="en-US"/>
        </w:rPr>
        <w:t xml:space="preserve">rison </w:t>
      </w:r>
      <w:r w:rsidR="00621ADC" w:rsidRPr="00B76D99">
        <w:rPr>
          <w:rFonts w:eastAsia="Aptos"/>
          <w:lang w:val="en-SG" w:eastAsia="en-US"/>
        </w:rPr>
        <w:t xml:space="preserve">was 2,709 </w:t>
      </w:r>
      <w:r w:rsidR="00544557" w:rsidRPr="00B76D99">
        <w:rPr>
          <w:rFonts w:eastAsia="Aptos"/>
          <w:lang w:val="en-SG" w:eastAsia="en-US"/>
        </w:rPr>
        <w:t xml:space="preserve">persons </w:t>
      </w:r>
      <w:r w:rsidR="00621ADC" w:rsidRPr="00B76D99">
        <w:rPr>
          <w:rFonts w:eastAsia="Aptos"/>
          <w:lang w:val="en-SG" w:eastAsia="en-US"/>
        </w:rPr>
        <w:t xml:space="preserve">but it held 3,308 </w:t>
      </w:r>
      <w:r w:rsidR="00544557" w:rsidRPr="00B76D99">
        <w:rPr>
          <w:rFonts w:eastAsia="Aptos"/>
          <w:lang w:val="en-SG" w:eastAsia="en-US"/>
        </w:rPr>
        <w:t xml:space="preserve">persons </w:t>
      </w:r>
      <w:r w:rsidR="00621ADC" w:rsidRPr="00B76D99">
        <w:rPr>
          <w:rFonts w:eastAsia="Aptos"/>
          <w:lang w:val="en-SG" w:eastAsia="en-US"/>
        </w:rPr>
        <w:t xml:space="preserve">as of October 2023, and the designed capacity of the public prison was 856 but it held 1,192 </w:t>
      </w:r>
      <w:r w:rsidR="00544557" w:rsidRPr="00B76D99">
        <w:rPr>
          <w:rFonts w:eastAsia="Aptos"/>
          <w:lang w:val="en-SG" w:eastAsia="en-US"/>
        </w:rPr>
        <w:t xml:space="preserve">persons </w:t>
      </w:r>
      <w:r w:rsidR="00621ADC" w:rsidRPr="00B76D99">
        <w:rPr>
          <w:rFonts w:eastAsia="Aptos"/>
          <w:lang w:val="en-SG" w:eastAsia="en-US"/>
        </w:rPr>
        <w:t>as of October 2023.</w:t>
      </w:r>
      <w:r w:rsidR="00621ADC" w:rsidRPr="00B76D99">
        <w:rPr>
          <w:rStyle w:val="FootnoteReference"/>
          <w:rFonts w:eastAsia="Aptos"/>
          <w:lang w:val="en-SG" w:eastAsia="en-US"/>
        </w:rPr>
        <w:footnoteReference w:id="28"/>
      </w:r>
      <w:r w:rsidR="00B76D99" w:rsidRPr="00B76D99">
        <w:rPr>
          <w:rFonts w:eastAsia="Aptos"/>
          <w:lang w:val="en-SG" w:eastAsia="en-US"/>
        </w:rPr>
        <w:t xml:space="preserve"> </w:t>
      </w:r>
      <w:r w:rsidR="004A2E8E" w:rsidRPr="00B76D99">
        <w:rPr>
          <w:rFonts w:eastAsia="Aptos"/>
          <w:lang w:val="en-SG" w:eastAsia="en-US"/>
        </w:rPr>
        <w:t xml:space="preserve">Local NGOs also reported overcrowding at Kuwait’s deportation </w:t>
      </w:r>
      <w:proofErr w:type="spellStart"/>
      <w:r w:rsidR="00422D90" w:rsidRPr="00B76D99">
        <w:rPr>
          <w:rFonts w:eastAsia="Aptos"/>
          <w:lang w:val="en-SG" w:eastAsia="en-US"/>
        </w:rPr>
        <w:t>centers</w:t>
      </w:r>
      <w:proofErr w:type="spellEnd"/>
      <w:r w:rsidR="00D973EA" w:rsidRPr="00B76D99">
        <w:rPr>
          <w:rFonts w:eastAsia="Aptos"/>
          <w:lang w:val="en-SG" w:eastAsia="en-US"/>
        </w:rPr>
        <w:t xml:space="preserve"> </w:t>
      </w:r>
      <w:r w:rsidR="004A2E8E" w:rsidRPr="00B76D99">
        <w:rPr>
          <w:rFonts w:eastAsia="Aptos"/>
          <w:lang w:val="en-SG" w:eastAsia="en-US"/>
        </w:rPr>
        <w:t>throughout 2023.</w:t>
      </w:r>
      <w:r w:rsidR="004A2E8E" w:rsidRPr="00B76D99">
        <w:rPr>
          <w:rStyle w:val="FootnoteReference"/>
          <w:rFonts w:eastAsia="Aptos"/>
          <w:lang w:val="en-SG" w:eastAsia="en-US"/>
        </w:rPr>
        <w:footnoteReference w:id="29"/>
      </w:r>
      <w:r w:rsidR="00B76D99" w:rsidRPr="00B76D99">
        <w:rPr>
          <w:rFonts w:eastAsia="Aptos"/>
          <w:lang w:val="en-SG" w:eastAsia="en-US"/>
        </w:rPr>
        <w:t xml:space="preserve"> </w:t>
      </w:r>
    </w:p>
    <w:p w14:paraId="2BBEDA82" w14:textId="575C514F" w:rsidR="00FD5FA7" w:rsidRPr="00B76D99" w:rsidRDefault="003C01D6" w:rsidP="00FD5FA7">
      <w:pPr>
        <w:pStyle w:val="Paragraph"/>
        <w:rPr>
          <w:rFonts w:eastAsia="Aptos"/>
          <w:lang w:val="en-SG" w:eastAsia="en-US"/>
        </w:rPr>
      </w:pPr>
      <w:r w:rsidRPr="00B76D99">
        <w:rPr>
          <w:rFonts w:eastAsia="Aptos"/>
          <w:lang w:val="en-SG" w:eastAsia="en-US"/>
        </w:rPr>
        <w:t xml:space="preserve">Other NGOs that study the judicial system believe that the </w:t>
      </w:r>
      <w:r w:rsidR="00D675F1" w:rsidRPr="00B76D99">
        <w:rPr>
          <w:rFonts w:eastAsia="Aptos"/>
          <w:lang w:val="en-SG" w:eastAsia="en-US"/>
        </w:rPr>
        <w:t xml:space="preserve">number </w:t>
      </w:r>
      <w:r w:rsidRPr="00B76D99">
        <w:rPr>
          <w:rFonts w:eastAsia="Aptos"/>
          <w:lang w:val="en-SG" w:eastAsia="en-US"/>
        </w:rPr>
        <w:t>of Ministry of Justice judges and prosecutors is insufficient to process cases in a timely manner.</w:t>
      </w:r>
      <w:r w:rsidR="00F024C4" w:rsidRPr="00B76D99">
        <w:rPr>
          <w:rStyle w:val="FootnoteReference"/>
          <w:rFonts w:eastAsia="Aptos"/>
          <w:lang w:val="en-SG" w:eastAsia="en-US"/>
        </w:rPr>
        <w:footnoteReference w:id="30"/>
      </w:r>
      <w:r w:rsidR="00B76D99" w:rsidRPr="00B76D99">
        <w:rPr>
          <w:rFonts w:eastAsia="Aptos"/>
          <w:lang w:val="en-SG" w:eastAsia="en-US"/>
        </w:rPr>
        <w:t xml:space="preserve"> </w:t>
      </w:r>
      <w:r w:rsidRPr="00B76D99">
        <w:rPr>
          <w:rFonts w:eastAsia="Aptos"/>
          <w:lang w:val="en-SG" w:eastAsia="en-US"/>
        </w:rPr>
        <w:t>Detainees are sometimes held beyond the maximum</w:t>
      </w:r>
      <w:r w:rsidR="00F024C4" w:rsidRPr="00B76D99">
        <w:rPr>
          <w:rFonts w:eastAsia="Aptos"/>
          <w:lang w:val="en-SG" w:eastAsia="en-US"/>
        </w:rPr>
        <w:t xml:space="preserve"> pretrial detention period of six months.</w:t>
      </w:r>
      <w:r w:rsidR="00F024C4" w:rsidRPr="00B76D99">
        <w:rPr>
          <w:rStyle w:val="FootnoteReference"/>
          <w:rFonts w:eastAsia="Aptos"/>
          <w:lang w:val="en-SG" w:eastAsia="en-US"/>
        </w:rPr>
        <w:footnoteReference w:id="31"/>
      </w:r>
      <w:r w:rsidR="00B76D99" w:rsidRPr="00B76D99">
        <w:rPr>
          <w:rFonts w:eastAsia="Aptos"/>
          <w:lang w:val="en-SG" w:eastAsia="en-US"/>
        </w:rPr>
        <w:t xml:space="preserve"> </w:t>
      </w:r>
      <w:r w:rsidR="00F024C4" w:rsidRPr="00B76D99">
        <w:rPr>
          <w:rFonts w:eastAsia="Aptos"/>
          <w:lang w:val="en-SG" w:eastAsia="en-US"/>
        </w:rPr>
        <w:t xml:space="preserve">While the Kuwaiti </w:t>
      </w:r>
      <w:r w:rsidR="00D675F1" w:rsidRPr="00B76D99">
        <w:rPr>
          <w:rFonts w:eastAsia="Aptos"/>
          <w:lang w:val="en-SG" w:eastAsia="en-US"/>
        </w:rPr>
        <w:t>G</w:t>
      </w:r>
      <w:r w:rsidR="00F024C4" w:rsidRPr="00B76D99">
        <w:rPr>
          <w:rFonts w:eastAsia="Aptos"/>
          <w:lang w:val="en-SG" w:eastAsia="en-US"/>
        </w:rPr>
        <w:t>overnment claims that it resolves most deportation cases within three days, international organizations conversely report that deportation cases can take up to a month to conclude.</w:t>
      </w:r>
      <w:r w:rsidR="00F024C4" w:rsidRPr="00B76D99">
        <w:rPr>
          <w:rStyle w:val="FootnoteReference"/>
          <w:rFonts w:eastAsia="Aptos"/>
          <w:lang w:val="en-SG" w:eastAsia="en-US"/>
        </w:rPr>
        <w:footnoteReference w:id="32"/>
      </w:r>
      <w:r w:rsidR="00B76D99" w:rsidRPr="00B76D99">
        <w:rPr>
          <w:rFonts w:eastAsia="Aptos"/>
          <w:lang w:val="en-SG" w:eastAsia="en-US"/>
        </w:rPr>
        <w:t xml:space="preserve"> </w:t>
      </w:r>
      <w:r w:rsidR="00D973EA" w:rsidRPr="00B76D99">
        <w:rPr>
          <w:rFonts w:eastAsia="Aptos"/>
          <w:lang w:val="en-SG" w:eastAsia="en-US"/>
        </w:rPr>
        <w:t>Furthermore</w:t>
      </w:r>
      <w:r w:rsidR="00DC32FE" w:rsidRPr="00B76D99">
        <w:rPr>
          <w:rFonts w:eastAsia="Aptos"/>
          <w:lang w:val="en-SG" w:eastAsia="en-US"/>
        </w:rPr>
        <w:t>, there have been numerous reports of abuse and mistreatment at detention facilities in Kuwait</w:t>
      </w:r>
      <w:r w:rsidR="00D973EA" w:rsidRPr="00B76D99">
        <w:rPr>
          <w:rFonts w:eastAsia="Aptos"/>
          <w:lang w:val="en-SG" w:eastAsia="en-US"/>
        </w:rPr>
        <w:t>, including beating</w:t>
      </w:r>
      <w:r w:rsidR="00D675F1" w:rsidRPr="00B76D99">
        <w:rPr>
          <w:rFonts w:eastAsia="Aptos"/>
          <w:lang w:val="en-SG" w:eastAsia="en-US"/>
        </w:rPr>
        <w:t>s</w:t>
      </w:r>
      <w:r w:rsidR="00D973EA" w:rsidRPr="00B76D99">
        <w:rPr>
          <w:rFonts w:eastAsia="Aptos"/>
          <w:lang w:val="en-SG" w:eastAsia="en-US"/>
        </w:rPr>
        <w:t xml:space="preserve">, fights between </w:t>
      </w:r>
      <w:r w:rsidR="00E938DE" w:rsidRPr="00B76D99">
        <w:rPr>
          <w:rFonts w:eastAsia="Aptos"/>
          <w:lang w:val="en-SG" w:eastAsia="en-US"/>
        </w:rPr>
        <w:t xml:space="preserve">people in detention </w:t>
      </w:r>
      <w:r w:rsidR="00D973EA" w:rsidRPr="00B76D99">
        <w:rPr>
          <w:rFonts w:eastAsia="Aptos"/>
          <w:lang w:val="en-SG" w:eastAsia="en-US"/>
        </w:rPr>
        <w:t>and prison officials</w:t>
      </w:r>
      <w:r w:rsidR="00E938DE" w:rsidRPr="00B76D99">
        <w:rPr>
          <w:rFonts w:eastAsia="Aptos"/>
          <w:lang w:val="en-SG" w:eastAsia="en-US"/>
        </w:rPr>
        <w:t>,</w:t>
      </w:r>
      <w:r w:rsidR="00D973EA" w:rsidRPr="00B76D99">
        <w:rPr>
          <w:rFonts w:eastAsia="Aptos"/>
          <w:lang w:val="en-SG" w:eastAsia="en-US"/>
        </w:rPr>
        <w:t xml:space="preserve"> and sexual and physical abuse</w:t>
      </w:r>
      <w:r w:rsidR="00DC32FE" w:rsidRPr="00B76D99">
        <w:rPr>
          <w:rFonts w:eastAsia="Aptos"/>
          <w:lang w:val="en-SG" w:eastAsia="en-US"/>
        </w:rPr>
        <w:t>.</w:t>
      </w:r>
      <w:r w:rsidR="00D973EA" w:rsidRPr="00B76D99">
        <w:rPr>
          <w:rStyle w:val="FootnoteReference"/>
          <w:rFonts w:eastAsia="Aptos"/>
          <w:lang w:val="en-SG" w:eastAsia="en-US"/>
        </w:rPr>
        <w:footnoteReference w:id="33"/>
      </w:r>
    </w:p>
    <w:p w14:paraId="4D3AD0D1" w14:textId="2038AE00" w:rsidR="00161B46" w:rsidRPr="00B76D99" w:rsidRDefault="00161B46" w:rsidP="00FD5FA7">
      <w:pPr>
        <w:pStyle w:val="Paragraph"/>
        <w:rPr>
          <w:rFonts w:eastAsia="Aptos"/>
          <w:lang w:val="en-SG" w:eastAsia="en-US"/>
        </w:rPr>
      </w:pPr>
      <w:r w:rsidRPr="00B76D99">
        <w:rPr>
          <w:lang w:val="en-GB"/>
        </w:rPr>
        <w:t xml:space="preserve">Between 2016 and 2019, the International Committee of the Red Cross conducted dozens of visits to </w:t>
      </w:r>
      <w:r w:rsidR="00990244" w:rsidRPr="00B76D99">
        <w:rPr>
          <w:lang w:val="en-GB"/>
        </w:rPr>
        <w:t xml:space="preserve">and inspections of </w:t>
      </w:r>
      <w:r w:rsidRPr="00B76D99">
        <w:rPr>
          <w:lang w:val="en-GB"/>
        </w:rPr>
        <w:t xml:space="preserve">prisons and detention </w:t>
      </w:r>
      <w:proofErr w:type="spellStart"/>
      <w:r w:rsidRPr="00B76D99">
        <w:rPr>
          <w:lang w:val="en-GB"/>
        </w:rPr>
        <w:t>centers</w:t>
      </w:r>
      <w:proofErr w:type="spellEnd"/>
      <w:r w:rsidRPr="00B76D99">
        <w:rPr>
          <w:lang w:val="en-GB"/>
        </w:rPr>
        <w:t xml:space="preserve"> each year</w:t>
      </w:r>
      <w:r w:rsidR="00990244" w:rsidRPr="00B76D99">
        <w:rPr>
          <w:lang w:val="en-GB"/>
        </w:rPr>
        <w:t>, but has not conducted any visits since that time.</w:t>
      </w:r>
      <w:r w:rsidRPr="00B76D99">
        <w:rPr>
          <w:rStyle w:val="FootnoteReference"/>
          <w:lang w:val="en-GB"/>
        </w:rPr>
        <w:footnoteReference w:id="34"/>
      </w:r>
    </w:p>
    <w:p w14:paraId="2C7A1946" w14:textId="325BDAA7" w:rsidR="004934C5" w:rsidRPr="00B76D99" w:rsidRDefault="007B601F" w:rsidP="00515C4B">
      <w:pPr>
        <w:pStyle w:val="SectionHeading"/>
        <w:rPr>
          <w:rFonts w:cs="Times New Roman"/>
          <w:szCs w:val="24"/>
        </w:rPr>
      </w:pPr>
      <w:r w:rsidRPr="00B76D99">
        <w:rPr>
          <w:rFonts w:cs="Times New Roman"/>
          <w:szCs w:val="24"/>
        </w:rPr>
        <w:t xml:space="preserve">Kuwait </w:t>
      </w:r>
      <w:r w:rsidR="005463A9" w:rsidRPr="00B76D99">
        <w:rPr>
          <w:rFonts w:cs="Times New Roman"/>
          <w:szCs w:val="24"/>
        </w:rPr>
        <w:t xml:space="preserve">persists in using </w:t>
      </w:r>
      <w:r w:rsidRPr="00B76D99">
        <w:rPr>
          <w:rFonts w:cs="Times New Roman"/>
          <w:szCs w:val="24"/>
        </w:rPr>
        <w:t>the d</w:t>
      </w:r>
      <w:r w:rsidR="00515C4B" w:rsidRPr="00B76D99">
        <w:rPr>
          <w:rFonts w:cs="Times New Roman"/>
          <w:szCs w:val="24"/>
        </w:rPr>
        <w:t xml:space="preserve">eath </w:t>
      </w:r>
      <w:r w:rsidRPr="00B76D99">
        <w:rPr>
          <w:rFonts w:cs="Times New Roman"/>
          <w:szCs w:val="24"/>
        </w:rPr>
        <w:t>p</w:t>
      </w:r>
      <w:r w:rsidR="00515C4B" w:rsidRPr="00B76D99">
        <w:rPr>
          <w:rFonts w:cs="Times New Roman"/>
          <w:szCs w:val="24"/>
        </w:rPr>
        <w:t>enalty (LOIPR para. 35)</w:t>
      </w:r>
      <w:r w:rsidRPr="00B76D99">
        <w:rPr>
          <w:rFonts w:cs="Times New Roman"/>
          <w:szCs w:val="24"/>
        </w:rPr>
        <w:t>.</w:t>
      </w:r>
    </w:p>
    <w:p w14:paraId="2A008C85" w14:textId="1B26E215" w:rsidR="00515C4B" w:rsidRPr="00B76D99" w:rsidRDefault="00E938DE" w:rsidP="004934C5">
      <w:pPr>
        <w:pStyle w:val="Paragraph"/>
      </w:pPr>
      <w:r w:rsidRPr="00B76D99">
        <w:t>T</w:t>
      </w:r>
      <w:r w:rsidR="00515C4B" w:rsidRPr="00B76D99">
        <w:t xml:space="preserve">he Committee asked </w:t>
      </w:r>
      <w:r w:rsidRPr="00B76D99">
        <w:t xml:space="preserve">Kuwait </w:t>
      </w:r>
      <w:r w:rsidR="00515C4B" w:rsidRPr="00B76D99">
        <w:t xml:space="preserve">to indicate whether the State Party </w:t>
      </w:r>
      <w:r w:rsidR="00DB0B7E" w:rsidRPr="00B76D99">
        <w:t>“</w:t>
      </w:r>
      <w:r w:rsidR="00515C4B" w:rsidRPr="00B76D99">
        <w:t>envisage</w:t>
      </w:r>
      <w:r w:rsidR="00DB0B7E" w:rsidRPr="00B76D99">
        <w:t>[</w:t>
      </w:r>
      <w:r w:rsidR="00515C4B" w:rsidRPr="00B76D99">
        <w:t>d</w:t>
      </w:r>
      <w:r w:rsidR="00DB0B7E" w:rsidRPr="00B76D99">
        <w:t>]</w:t>
      </w:r>
      <w:r w:rsidR="00515C4B" w:rsidRPr="00B76D99">
        <w:t xml:space="preserve"> reinstating</w:t>
      </w:r>
      <w:r w:rsidR="00DB0B7E" w:rsidRPr="00B76D99">
        <w:t xml:space="preserve"> </w:t>
      </w:r>
      <w:r w:rsidR="00515C4B" w:rsidRPr="00B76D99">
        <w:rPr>
          <w:lang w:val="en-GB"/>
        </w:rPr>
        <w:t xml:space="preserve">the de facto moratorium on the use of the death penalty and ratifying the Second Optional </w:t>
      </w:r>
      <w:r w:rsidR="00515C4B" w:rsidRPr="00B76D99">
        <w:rPr>
          <w:lang w:val="en-GB"/>
        </w:rPr>
        <w:lastRenderedPageBreak/>
        <w:t>Protocol to the International Covenant on Civil and Political Rights, aiming at the abolition of the death penalty</w:t>
      </w:r>
      <w:r w:rsidR="00FC075A" w:rsidRPr="00B76D99">
        <w:rPr>
          <w:lang w:val="en-GB"/>
        </w:rPr>
        <w:t>.</w:t>
      </w:r>
      <w:r w:rsidR="00515C4B" w:rsidRPr="00B76D99">
        <w:rPr>
          <w:lang w:val="en-GB"/>
        </w:rPr>
        <w:t>”</w:t>
      </w:r>
      <w:r w:rsidR="00515C4B" w:rsidRPr="00B76D99">
        <w:rPr>
          <w:rStyle w:val="FootnoteReference"/>
        </w:rPr>
        <w:footnoteReference w:id="35"/>
      </w:r>
    </w:p>
    <w:p w14:paraId="7673C2BF" w14:textId="4DF2283C" w:rsidR="00116F20" w:rsidRPr="00B76D99" w:rsidRDefault="00032BB7" w:rsidP="00032BB7">
      <w:pPr>
        <w:pStyle w:val="Paragraph"/>
      </w:pPr>
      <w:r w:rsidRPr="00B76D99">
        <w:rPr>
          <w:rStyle w:val="ParagraphChar"/>
        </w:rPr>
        <w:t>In its State Party Report, Kuwait respond</w:t>
      </w:r>
      <w:r w:rsidR="00E938DE" w:rsidRPr="00B76D99">
        <w:rPr>
          <w:rStyle w:val="ParagraphChar"/>
        </w:rPr>
        <w:t>s</w:t>
      </w:r>
      <w:r w:rsidRPr="00B76D99">
        <w:rPr>
          <w:rStyle w:val="ParagraphChar"/>
        </w:rPr>
        <w:t xml:space="preserve"> that </w:t>
      </w:r>
      <w:r w:rsidRPr="00B76D99">
        <w:rPr>
          <w:lang w:val="en-GB"/>
        </w:rPr>
        <w:t>Kuwaiti legislation prescribes the death penalty “solely for the most serious crimes, in accordance with the provisions of article 6 of the International Covenant on Civil and Political Rights</w:t>
      </w:r>
      <w:r w:rsidR="00F97955" w:rsidRPr="00B76D99">
        <w:rPr>
          <w:lang w:val="en-GB"/>
        </w:rPr>
        <w:t>.</w:t>
      </w:r>
      <w:r w:rsidRPr="00B76D99">
        <w:rPr>
          <w:lang w:val="en-GB"/>
        </w:rPr>
        <w:t>”</w:t>
      </w:r>
      <w:r w:rsidR="00DB0B7E" w:rsidRPr="00B76D99">
        <w:rPr>
          <w:rStyle w:val="FootnoteReference"/>
          <w:lang w:val="en-GB"/>
        </w:rPr>
        <w:footnoteReference w:id="36"/>
      </w:r>
      <w:r w:rsidR="00B76D99" w:rsidRPr="00B76D99">
        <w:rPr>
          <w:lang w:val="en-GB"/>
        </w:rPr>
        <w:t xml:space="preserve"> </w:t>
      </w:r>
      <w:r w:rsidRPr="00B76D99">
        <w:t>Kuwait also report</w:t>
      </w:r>
      <w:r w:rsidR="00C52D7D" w:rsidRPr="00B76D99">
        <w:t>s</w:t>
      </w:r>
      <w:r w:rsidRPr="00B76D99">
        <w:t xml:space="preserve"> that the death penalty is incorporated into its domestic law </w:t>
      </w:r>
      <w:r w:rsidR="00336B61" w:rsidRPr="00B76D99">
        <w:t xml:space="preserve">through </w:t>
      </w:r>
      <w:r w:rsidRPr="00B76D99">
        <w:t>Islamic sharia,</w:t>
      </w:r>
      <w:r w:rsidR="000564EB" w:rsidRPr="00B76D99">
        <w:t xml:space="preserve"> in which</w:t>
      </w:r>
      <w:r w:rsidR="00E7063E" w:rsidRPr="00B76D99">
        <w:t xml:space="preserve"> </w:t>
      </w:r>
      <w:r w:rsidR="000564EB" w:rsidRPr="00B76D99">
        <w:t>retribution</w:t>
      </w:r>
      <w:r w:rsidR="00E7063E" w:rsidRPr="00B76D99">
        <w:t xml:space="preserve"> </w:t>
      </w:r>
      <w:r w:rsidR="000564EB" w:rsidRPr="00B76D99">
        <w:t xml:space="preserve">penalties are mandatory, </w:t>
      </w:r>
      <w:r w:rsidRPr="00B76D99">
        <w:t xml:space="preserve">and that abolition of the death penalty would be </w:t>
      </w:r>
      <w:r w:rsidR="00116F20" w:rsidRPr="00B76D99">
        <w:t xml:space="preserve">“absolutely </w:t>
      </w:r>
      <w:r w:rsidRPr="00B76D99">
        <w:t>incompatible</w:t>
      </w:r>
      <w:r w:rsidR="00116F20" w:rsidRPr="00B76D99">
        <w:t>”</w:t>
      </w:r>
      <w:r w:rsidRPr="00B76D99">
        <w:t xml:space="preserve"> with sharia.</w:t>
      </w:r>
      <w:r w:rsidRPr="00B76D99">
        <w:rPr>
          <w:rStyle w:val="FootnoteReference"/>
        </w:rPr>
        <w:footnoteReference w:id="37"/>
      </w:r>
      <w:r w:rsidR="00E7063E" w:rsidRPr="00B76D99">
        <w:t xml:space="preserve"> </w:t>
      </w:r>
      <w:r w:rsidR="00DE7F30" w:rsidRPr="00B76D99">
        <w:t>Kuwait highlight</w:t>
      </w:r>
      <w:r w:rsidR="001315E3" w:rsidRPr="00B76D99">
        <w:t>s</w:t>
      </w:r>
      <w:r w:rsidR="00DE7F30" w:rsidRPr="00B76D99">
        <w:t xml:space="preserve"> various procedural safeguards with respect to “the imposition and enforcement of the death penalty</w:t>
      </w:r>
      <w:r w:rsidR="001315E3" w:rsidRPr="00B76D99">
        <w:t>,</w:t>
      </w:r>
      <w:r w:rsidR="00DE7F30" w:rsidRPr="00B76D99">
        <w:t>” including</w:t>
      </w:r>
      <w:r w:rsidR="00785B0C" w:rsidRPr="00B76D99">
        <w:t>:</w:t>
      </w:r>
      <w:r w:rsidR="00DE7F30" w:rsidRPr="00B76D99">
        <w:t xml:space="preserve"> </w:t>
      </w:r>
      <w:r w:rsidR="00C07798" w:rsidRPr="00B76D99">
        <w:t xml:space="preserve">every death sentence is subject to a </w:t>
      </w:r>
      <w:r w:rsidR="00DE7F30" w:rsidRPr="00B76D99">
        <w:t>mandatory appeal</w:t>
      </w:r>
      <w:r w:rsidR="00785B0C" w:rsidRPr="00B76D99">
        <w:t>;</w:t>
      </w:r>
      <w:r w:rsidR="00DE7F30" w:rsidRPr="00B76D99">
        <w:t xml:space="preserve"> </w:t>
      </w:r>
      <w:r w:rsidR="00C07798" w:rsidRPr="00B76D99">
        <w:t xml:space="preserve">authorities may execute a person </w:t>
      </w:r>
      <w:r w:rsidR="00ED0A39" w:rsidRPr="00B76D99">
        <w:t xml:space="preserve">only </w:t>
      </w:r>
      <w:r w:rsidR="00C41004" w:rsidRPr="00B76D99">
        <w:t>with the approval of the Amir (who has the authority to commute a death sentence or issue a full pardon)</w:t>
      </w:r>
      <w:r w:rsidR="00C6551B" w:rsidRPr="00B76D99">
        <w:t xml:space="preserve"> and </w:t>
      </w:r>
      <w:r w:rsidR="00785B0C" w:rsidRPr="00B76D99">
        <w:t xml:space="preserve">only </w:t>
      </w:r>
      <w:r w:rsidR="00C41004" w:rsidRPr="00B76D99">
        <w:t>on the basis of a final judgment from a competent and impartial court</w:t>
      </w:r>
      <w:r w:rsidR="00C6551B" w:rsidRPr="00B76D99">
        <w:t>; capital cases include</w:t>
      </w:r>
      <w:r w:rsidR="00C41004" w:rsidRPr="00B76D99">
        <w:t xml:space="preserve"> legal procedures intended to ensure a fair and impartial trial</w:t>
      </w:r>
      <w:r w:rsidR="00C6551B" w:rsidRPr="00B76D99">
        <w:t xml:space="preserve">; and executions are suspended </w:t>
      </w:r>
      <w:r w:rsidR="00C41004" w:rsidRPr="00B76D99">
        <w:t>until all appeals and other legal protections have been exhausted.</w:t>
      </w:r>
      <w:r w:rsidR="00C41004" w:rsidRPr="00B76D99">
        <w:rPr>
          <w:rStyle w:val="FootnoteReference"/>
        </w:rPr>
        <w:footnoteReference w:id="38"/>
      </w:r>
      <w:r w:rsidR="00B76D99" w:rsidRPr="00B76D99">
        <w:t xml:space="preserve"> </w:t>
      </w:r>
      <w:r w:rsidR="00C0733A" w:rsidRPr="00B76D99">
        <w:t>Kuwait further note</w:t>
      </w:r>
      <w:r w:rsidR="00785B0C" w:rsidRPr="00B76D99">
        <w:t>s</w:t>
      </w:r>
      <w:r w:rsidR="00C0733A" w:rsidRPr="00B76D99">
        <w:t xml:space="preserve"> that current law does not allow for the death penalty to be imposed upon individuals under the age of 18, </w:t>
      </w:r>
      <w:r w:rsidR="00D31D8C" w:rsidRPr="00B76D99">
        <w:t>“</w:t>
      </w:r>
      <w:r w:rsidR="00C0733A" w:rsidRPr="00B76D99">
        <w:t>mentally unsound</w:t>
      </w:r>
      <w:r w:rsidR="00D31D8C" w:rsidRPr="00B76D99">
        <w:t>”</w:t>
      </w:r>
      <w:r w:rsidR="00C0733A" w:rsidRPr="00B76D99">
        <w:t xml:space="preserve"> persons</w:t>
      </w:r>
      <w:r w:rsidR="00D31D8C" w:rsidRPr="00B76D99">
        <w:t>,</w:t>
      </w:r>
      <w:r w:rsidR="00C0733A" w:rsidRPr="00B76D99">
        <w:t xml:space="preserve"> or pregnant women.</w:t>
      </w:r>
      <w:r w:rsidR="00C0733A" w:rsidRPr="00B76D99">
        <w:rPr>
          <w:rStyle w:val="FootnoteReference"/>
        </w:rPr>
        <w:footnoteReference w:id="39"/>
      </w:r>
    </w:p>
    <w:p w14:paraId="5CADE6F5" w14:textId="3ECA548A" w:rsidR="004934C5" w:rsidRPr="00B76D99" w:rsidRDefault="00C55416" w:rsidP="00032BB7">
      <w:pPr>
        <w:pStyle w:val="Paragraph"/>
      </w:pPr>
      <w:bookmarkStart w:id="1" w:name="_Ref177851654"/>
      <w:r w:rsidRPr="00B76D99">
        <w:t>Notwithstanding the</w:t>
      </w:r>
      <w:r w:rsidR="008B1FBC" w:rsidRPr="00B76D99">
        <w:t>se restrictions</w:t>
      </w:r>
      <w:r w:rsidRPr="00B76D99">
        <w:t xml:space="preserve">, </w:t>
      </w:r>
      <w:r w:rsidR="00116F20" w:rsidRPr="00B76D99">
        <w:t xml:space="preserve">Kuwait continues to </w:t>
      </w:r>
      <w:r w:rsidR="00F065E0" w:rsidRPr="00B76D99">
        <w:t xml:space="preserve">mete out death sentences and </w:t>
      </w:r>
      <w:r w:rsidR="00116F20" w:rsidRPr="00B76D99">
        <w:t>carry out executions.</w:t>
      </w:r>
      <w:r w:rsidR="004B4363" w:rsidRPr="00B76D99">
        <w:rPr>
          <w:rStyle w:val="FootnoteReference"/>
        </w:rPr>
        <w:footnoteReference w:id="40"/>
      </w:r>
      <w:r w:rsidR="00B76D99" w:rsidRPr="00B76D99">
        <w:t xml:space="preserve"> </w:t>
      </w:r>
      <w:r w:rsidR="00116F20" w:rsidRPr="00B76D99">
        <w:t>In 2022, Kuwait executed seven people</w:t>
      </w:r>
      <w:r w:rsidR="000F7911" w:rsidRPr="00B76D99">
        <w:t xml:space="preserve"> (</w:t>
      </w:r>
      <w:r w:rsidR="00116F20" w:rsidRPr="00B76D99">
        <w:t xml:space="preserve">four Kuwaiti </w:t>
      </w:r>
      <w:r w:rsidR="00DF5F99" w:rsidRPr="00B76D99">
        <w:t>citizens</w:t>
      </w:r>
      <w:r w:rsidR="00116F20" w:rsidRPr="00B76D99">
        <w:t xml:space="preserve"> and three foreign nationals, </w:t>
      </w:r>
      <w:r w:rsidR="007469BA" w:rsidRPr="00B76D99">
        <w:t xml:space="preserve">including </w:t>
      </w:r>
      <w:r w:rsidR="00DF5F99" w:rsidRPr="00B76D99">
        <w:t>two</w:t>
      </w:r>
      <w:r w:rsidR="00116F20" w:rsidRPr="00B76D99">
        <w:t xml:space="preserve"> wom</w:t>
      </w:r>
      <w:r w:rsidR="00DF5F99" w:rsidRPr="00B76D99">
        <w:t>en</w:t>
      </w:r>
      <w:r w:rsidR="000F7911" w:rsidRPr="00B76D99">
        <w:t>) in a mass execution</w:t>
      </w:r>
      <w:r w:rsidR="00116F20" w:rsidRPr="00B76D99">
        <w:t>.</w:t>
      </w:r>
      <w:r w:rsidR="00116F20" w:rsidRPr="00B76D99">
        <w:rPr>
          <w:rStyle w:val="FootnoteReference"/>
        </w:rPr>
        <w:footnoteReference w:id="41"/>
      </w:r>
      <w:r w:rsidR="007469BA" w:rsidRPr="00B76D99">
        <w:t xml:space="preserve"> </w:t>
      </w:r>
      <w:r w:rsidR="00690604" w:rsidRPr="00B76D99">
        <w:t>In 2023, Kuwait executed five individuals by hanging, including a Sri Lankan national for a drug-related offense.</w:t>
      </w:r>
      <w:r w:rsidR="00690604" w:rsidRPr="00B76D99">
        <w:rPr>
          <w:rStyle w:val="FootnoteReference"/>
        </w:rPr>
        <w:footnoteReference w:id="42"/>
      </w:r>
      <w:r w:rsidR="007469BA" w:rsidRPr="00B76D99">
        <w:t xml:space="preserve"> </w:t>
      </w:r>
      <w:r w:rsidR="00690604" w:rsidRPr="00B76D99">
        <w:t xml:space="preserve">Kuwaiti courts </w:t>
      </w:r>
      <w:r w:rsidR="00B44269" w:rsidRPr="00B76D99">
        <w:t xml:space="preserve">imposed at least five death sentences in 2021 and sixteen </w:t>
      </w:r>
      <w:r w:rsidR="00116F20" w:rsidRPr="00B76D99">
        <w:t>in 2022.</w:t>
      </w:r>
      <w:r w:rsidR="00A9664A" w:rsidRPr="00B76D99">
        <w:rPr>
          <w:rStyle w:val="FootnoteReference"/>
        </w:rPr>
        <w:footnoteReference w:id="43"/>
      </w:r>
      <w:r w:rsidR="00B76D99" w:rsidRPr="00B76D99">
        <w:t xml:space="preserve"> </w:t>
      </w:r>
      <w:r w:rsidR="00140808" w:rsidRPr="00B76D99">
        <w:t xml:space="preserve">In 2022, </w:t>
      </w:r>
      <w:r w:rsidR="00140808" w:rsidRPr="00B76D99">
        <w:lastRenderedPageBreak/>
        <w:t>the Kuwaiti government again voted against the UN General Assembly resolution calling for a moratorium on use of the death penalty.</w:t>
      </w:r>
      <w:r w:rsidR="00140808" w:rsidRPr="00B76D99">
        <w:rPr>
          <w:rStyle w:val="FootnoteReference"/>
        </w:rPr>
        <w:footnoteReference w:id="44"/>
      </w:r>
      <w:bookmarkEnd w:id="1"/>
      <w:r w:rsidR="00B76D99" w:rsidRPr="00B76D99">
        <w:t xml:space="preserve"> </w:t>
      </w:r>
    </w:p>
    <w:p w14:paraId="2A30D343" w14:textId="44B31F6F" w:rsidR="005F03AB" w:rsidRPr="00B76D99" w:rsidRDefault="00547BDB" w:rsidP="00547BDB">
      <w:pPr>
        <w:pStyle w:val="SectionHeading"/>
        <w:keepNext/>
        <w:rPr>
          <w:rFonts w:cs="Times New Roman"/>
          <w:szCs w:val="24"/>
        </w:rPr>
      </w:pPr>
      <w:r w:rsidRPr="00B76D99">
        <w:rPr>
          <w:rFonts w:cs="Times New Roman"/>
          <w:szCs w:val="24"/>
        </w:rPr>
        <w:t>Women in conflict with the law face intersectional discrimination (LOIPR paras. 7-8).</w:t>
      </w:r>
    </w:p>
    <w:p w14:paraId="23AC2BF6" w14:textId="44732F96" w:rsidR="00547BDB" w:rsidRPr="00B76D99" w:rsidRDefault="00547BDB" w:rsidP="00032BB7">
      <w:pPr>
        <w:pStyle w:val="Paragraph"/>
      </w:pPr>
      <w:r w:rsidRPr="00B76D99">
        <w:t xml:space="preserve">The Committee requested </w:t>
      </w:r>
      <w:r w:rsidR="0019453F" w:rsidRPr="00B76D99">
        <w:t xml:space="preserve">information about “measures taken to combat all forms of violence against women,” as well as “support services available to victims of all forms </w:t>
      </w:r>
      <w:r w:rsidR="00507D2E" w:rsidRPr="00B76D99">
        <w:t>of</w:t>
      </w:r>
      <w:r w:rsidR="0019453F" w:rsidRPr="00B76D99">
        <w:t xml:space="preserve"> violence against women that involve actions or omissions of the State authorities</w:t>
      </w:r>
      <w:r w:rsidR="008F6555" w:rsidRPr="00B76D99">
        <w:t>,”</w:t>
      </w:r>
      <w:r w:rsidR="00507D2E" w:rsidRPr="00B76D99">
        <w:rPr>
          <w:rStyle w:val="FootnoteReference"/>
        </w:rPr>
        <w:footnoteReference w:id="45"/>
      </w:r>
      <w:r w:rsidR="008F6555" w:rsidRPr="00B76D99">
        <w:t xml:space="preserve"> and information regarding </w:t>
      </w:r>
      <w:r w:rsidR="00785165" w:rsidRPr="00B76D99">
        <w:t xml:space="preserve">“trafficking in foreign women on the domestic </w:t>
      </w:r>
      <w:proofErr w:type="spellStart"/>
      <w:r w:rsidR="00785165" w:rsidRPr="00B76D99">
        <w:t>labour</w:t>
      </w:r>
      <w:proofErr w:type="spellEnd"/>
      <w:r w:rsidR="00785165" w:rsidRPr="00B76D99">
        <w:t xml:space="preserve"> market . . . by recruitment agents who sell the services of such women on multiple occasions under slave-like conditions to various employers.”</w:t>
      </w:r>
      <w:r w:rsidR="00507D2E" w:rsidRPr="00B76D99">
        <w:rPr>
          <w:rStyle w:val="FootnoteReference"/>
        </w:rPr>
        <w:footnoteReference w:id="46"/>
      </w:r>
    </w:p>
    <w:p w14:paraId="35081F3F" w14:textId="20C70A9B" w:rsidR="006A471D" w:rsidRPr="00B76D99" w:rsidRDefault="00C77E55" w:rsidP="00032BB7">
      <w:pPr>
        <w:pStyle w:val="Paragraph"/>
      </w:pPr>
      <w:r w:rsidRPr="00B76D99">
        <w:t xml:space="preserve">Kuwait’s State Party Report </w:t>
      </w:r>
      <w:r w:rsidR="00151A84" w:rsidRPr="00B76D99">
        <w:t xml:space="preserve">outlines relevant provisions criminalizing </w:t>
      </w:r>
      <w:r w:rsidR="003C3034" w:rsidRPr="00B76D99">
        <w:t>domestic violence and trafficking in persons</w:t>
      </w:r>
      <w:r w:rsidR="00987544" w:rsidRPr="00B76D99">
        <w:t xml:space="preserve"> and services available to victims</w:t>
      </w:r>
      <w:r w:rsidR="003C3034" w:rsidRPr="00B76D99">
        <w:t xml:space="preserve">, but the provisions pertaining to domestic violence appear to apply only to </w:t>
      </w:r>
      <w:r w:rsidR="00C77BAE" w:rsidRPr="00B76D99">
        <w:t>people within the family unit, and not people in the household such as domestic workers.</w:t>
      </w:r>
      <w:r w:rsidR="00C77BAE" w:rsidRPr="00B76D99">
        <w:rPr>
          <w:rStyle w:val="FootnoteReference"/>
          <w:lang w:val="en-GB"/>
        </w:rPr>
        <w:footnoteReference w:id="47"/>
      </w:r>
      <w:r w:rsidR="00CB3D96" w:rsidRPr="00B76D99">
        <w:rPr>
          <w:lang w:val="en-GB"/>
        </w:rPr>
        <w:t xml:space="preserve"> Moreover, the State Party Report concedes that marital rape is not criminalized.</w:t>
      </w:r>
      <w:r w:rsidR="00CB3D96" w:rsidRPr="00B76D99">
        <w:rPr>
          <w:rStyle w:val="FootnoteReference"/>
          <w:lang w:val="en-GB"/>
        </w:rPr>
        <w:footnoteReference w:id="48"/>
      </w:r>
      <w:r w:rsidR="003B2D39" w:rsidRPr="00B76D99">
        <w:rPr>
          <w:lang w:val="en-GB"/>
        </w:rPr>
        <w:t xml:space="preserve"> The State Party Report further outlines various legal provisions prohibiting forced </w:t>
      </w:r>
      <w:proofErr w:type="spellStart"/>
      <w:r w:rsidR="003B2D39" w:rsidRPr="00B76D99">
        <w:rPr>
          <w:lang w:val="en-GB"/>
        </w:rPr>
        <w:t>labor</w:t>
      </w:r>
      <w:proofErr w:type="spellEnd"/>
      <w:r w:rsidR="003B2D39" w:rsidRPr="00B76D99">
        <w:rPr>
          <w:lang w:val="en-GB"/>
        </w:rPr>
        <w:t xml:space="preserve"> and exploitation</w:t>
      </w:r>
      <w:r w:rsidR="00713EAA" w:rsidRPr="00B76D99">
        <w:rPr>
          <w:lang w:val="en-GB"/>
        </w:rPr>
        <w:t xml:space="preserve"> as well as the existence of a shelter for female migrant workers.</w:t>
      </w:r>
      <w:r w:rsidR="00713EAA" w:rsidRPr="00B76D99">
        <w:rPr>
          <w:rStyle w:val="FootnoteReference"/>
          <w:lang w:val="en-GB"/>
        </w:rPr>
        <w:footnoteReference w:id="49"/>
      </w:r>
    </w:p>
    <w:p w14:paraId="35C9CD98" w14:textId="71C3C4FF" w:rsidR="00936819" w:rsidRPr="00B76D99" w:rsidRDefault="00936819" w:rsidP="00032BB7">
      <w:pPr>
        <w:pStyle w:val="Paragraph"/>
      </w:pPr>
      <w:r w:rsidRPr="00B76D99">
        <w:rPr>
          <w:lang w:val="en-GB"/>
        </w:rPr>
        <w:t>None of these responses, however, envision that women who experience</w:t>
      </w:r>
      <w:r w:rsidR="0001313D" w:rsidRPr="00B76D99">
        <w:rPr>
          <w:lang w:val="en-GB"/>
        </w:rPr>
        <w:t xml:space="preserve"> human trafficking or</w:t>
      </w:r>
      <w:r w:rsidRPr="00B76D99">
        <w:rPr>
          <w:lang w:val="en-GB"/>
        </w:rPr>
        <w:t xml:space="preserve"> gender-based violence may themselves be in conflict with the law, or foresee the </w:t>
      </w:r>
      <w:r w:rsidR="0062339B" w:rsidRPr="00B76D99">
        <w:rPr>
          <w:lang w:val="en-GB"/>
        </w:rPr>
        <w:t>need to address discrimination within the criminal legal system as it interacts with these defendants.</w:t>
      </w:r>
    </w:p>
    <w:p w14:paraId="744AB874" w14:textId="4F5F231D" w:rsidR="00E654D1" w:rsidRPr="00B76D99" w:rsidRDefault="0062339B" w:rsidP="00E654D1">
      <w:pPr>
        <w:pStyle w:val="Paragraph"/>
        <w:rPr>
          <w:spacing w:val="-2"/>
        </w:rPr>
      </w:pPr>
      <w:r w:rsidRPr="00B76D99">
        <w:rPr>
          <w:lang w:val="en-GB"/>
        </w:rPr>
        <w:t xml:space="preserve">As stated in paragraph </w:t>
      </w:r>
      <w:r w:rsidRPr="00B76D99">
        <w:rPr>
          <w:lang w:val="en-GB"/>
        </w:rPr>
        <w:fldChar w:fldCharType="begin"/>
      </w:r>
      <w:r w:rsidRPr="00B76D99">
        <w:rPr>
          <w:lang w:val="en-GB"/>
        </w:rPr>
        <w:instrText xml:space="preserve"> REF _Ref177851654 \r \h </w:instrText>
      </w:r>
      <w:r w:rsidR="00B76D99" w:rsidRPr="00B76D99">
        <w:rPr>
          <w:lang w:val="en-GB"/>
        </w:rPr>
        <w:instrText xml:space="preserve"> \* MERGEFORMAT </w:instrText>
      </w:r>
      <w:r w:rsidRPr="00B76D99">
        <w:rPr>
          <w:lang w:val="en-GB"/>
        </w:rPr>
      </w:r>
      <w:r w:rsidRPr="00B76D99">
        <w:rPr>
          <w:lang w:val="en-GB"/>
        </w:rPr>
        <w:fldChar w:fldCharType="separate"/>
      </w:r>
      <w:r w:rsidRPr="00B76D99">
        <w:rPr>
          <w:lang w:val="en-GB"/>
        </w:rPr>
        <w:t>21</w:t>
      </w:r>
      <w:r w:rsidRPr="00B76D99">
        <w:rPr>
          <w:lang w:val="en-GB"/>
        </w:rPr>
        <w:fldChar w:fldCharType="end"/>
      </w:r>
      <w:r w:rsidRPr="00B76D99">
        <w:rPr>
          <w:lang w:val="en-GB"/>
        </w:rPr>
        <w:t xml:space="preserve"> above, Kuwait executed two women in 2022</w:t>
      </w:r>
      <w:r w:rsidR="00333731" w:rsidRPr="00B76D99">
        <w:rPr>
          <w:lang w:val="en-GB"/>
        </w:rPr>
        <w:t xml:space="preserve">—one Kuwait and one Ethiopian. </w:t>
      </w:r>
      <w:r w:rsidR="003A5EA8" w:rsidRPr="00B76D99">
        <w:rPr>
          <w:spacing w:val="-2"/>
        </w:rPr>
        <w:t xml:space="preserve">Regarding the two women executed in 2022, a Kuwaiti government spokesperson provided the </w:t>
      </w:r>
      <w:r w:rsidR="003A5EA8" w:rsidRPr="00B76D99">
        <w:rPr>
          <w:lang w:val="en-GB"/>
        </w:rPr>
        <w:t>only</w:t>
      </w:r>
      <w:r w:rsidR="003A5EA8" w:rsidRPr="00B76D99">
        <w:rPr>
          <w:spacing w:val="-2"/>
        </w:rPr>
        <w:t xml:space="preserve"> official information to the state-run KUNA news agency: “the female Kuwaiti . . . was found guilty for premeditated crime,” and “the Ethiopian woman was executed for intentional killing.”</w:t>
      </w:r>
      <w:r w:rsidR="00E654D1" w:rsidRPr="00B76D99">
        <w:rPr>
          <w:spacing w:val="-2"/>
          <w:vertAlign w:val="superscript"/>
        </w:rPr>
        <w:footnoteReference w:id="50"/>
      </w:r>
      <w:r w:rsidR="00E654D1" w:rsidRPr="00B76D99">
        <w:rPr>
          <w:spacing w:val="-2"/>
          <w:vertAlign w:val="superscript"/>
        </w:rPr>
        <w:t xml:space="preserve"> </w:t>
      </w:r>
      <w:r w:rsidR="00E654D1" w:rsidRPr="00B76D99">
        <w:rPr>
          <w:spacing w:val="-2"/>
        </w:rPr>
        <w:t>Even though no further official information is available, it is likely that the Ethiopian woman was a migrant domestic worker.</w:t>
      </w:r>
      <w:r w:rsidR="00E654D1" w:rsidRPr="00B76D99">
        <w:rPr>
          <w:rStyle w:val="FootnoteReference"/>
          <w:spacing w:val="-2"/>
        </w:rPr>
        <w:footnoteReference w:id="51"/>
      </w:r>
      <w:r w:rsidR="00E654D1" w:rsidRPr="00B76D99">
        <w:rPr>
          <w:spacing w:val="-2"/>
        </w:rPr>
        <w:t xml:space="preserve"> According to one report, Kuwait is facing a shortage of domestic workers “because of the reluctance of </w:t>
      </w:r>
      <w:r w:rsidR="00E654D1" w:rsidRPr="00B76D99">
        <w:rPr>
          <w:spacing w:val="-2"/>
        </w:rPr>
        <w:lastRenderedPageBreak/>
        <w:t>a number of countries to send their citizens, especially their female citizens, to work as maids in Kuwait after several workers were subjected to harsh treatment.”</w:t>
      </w:r>
      <w:r w:rsidR="00E654D1" w:rsidRPr="00B76D99">
        <w:rPr>
          <w:rStyle w:val="FootnoteReference"/>
          <w:spacing w:val="-2"/>
        </w:rPr>
        <w:footnoteReference w:id="52"/>
      </w:r>
      <w:r w:rsidR="00E654D1" w:rsidRPr="00B76D99">
        <w:rPr>
          <w:spacing w:val="-2"/>
        </w:rPr>
        <w:t xml:space="preserve"> According to one report, the Ethiopian woman worked in the kitchen of a private home and had killed an Indian “colleague” over a dispute about work duties.</w:t>
      </w:r>
      <w:r w:rsidR="00E654D1" w:rsidRPr="00B76D99">
        <w:rPr>
          <w:rStyle w:val="FootnoteReference"/>
          <w:spacing w:val="-2"/>
        </w:rPr>
        <w:footnoteReference w:id="53"/>
      </w:r>
    </w:p>
    <w:p w14:paraId="71933E76" w14:textId="77777777" w:rsidR="00E654D1" w:rsidRPr="00B76D99" w:rsidRDefault="00E654D1" w:rsidP="00E654D1">
      <w:pPr>
        <w:pStyle w:val="Paragraph"/>
        <w:rPr>
          <w:spacing w:val="-2"/>
        </w:rPr>
      </w:pPr>
      <w:r w:rsidRPr="00B76D99">
        <w:rPr>
          <w:spacing w:val="-2"/>
        </w:rPr>
        <w:t xml:space="preserve">Women at risk of being sentenced to death in Kuwait face gender bias throughout the </w:t>
      </w:r>
      <w:r w:rsidRPr="00B76D99">
        <w:rPr>
          <w:lang w:val="en-GB"/>
        </w:rPr>
        <w:t>criminal</w:t>
      </w:r>
      <w:r w:rsidRPr="00B76D99">
        <w:rPr>
          <w:spacing w:val="-2"/>
        </w:rPr>
        <w:t xml:space="preserve"> legal process. The legal system fails to account for the context in which women commit crimes and often holds them to higher standards than their male codefendants.</w:t>
      </w:r>
      <w:r w:rsidRPr="00B76D99">
        <w:rPr>
          <w:spacing w:val="-2"/>
          <w:vertAlign w:val="superscript"/>
        </w:rPr>
        <w:footnoteReference w:id="54"/>
      </w:r>
      <w:r w:rsidRPr="00B76D99">
        <w:rPr>
          <w:spacing w:val="-2"/>
          <w:vertAlign w:val="superscript"/>
        </w:rPr>
        <w:t xml:space="preserve"> </w:t>
      </w:r>
    </w:p>
    <w:p w14:paraId="38D02CAE" w14:textId="77777777" w:rsidR="00E654D1" w:rsidRPr="00B76D99" w:rsidRDefault="00E654D1" w:rsidP="00E654D1">
      <w:pPr>
        <w:pStyle w:val="Paragraph"/>
        <w:rPr>
          <w:spacing w:val="-2"/>
        </w:rPr>
      </w:pPr>
      <w:r w:rsidRPr="00B76D99">
        <w:rPr>
          <w:spacing w:val="-2"/>
        </w:rPr>
        <w:t xml:space="preserve">Women who face </w:t>
      </w:r>
      <w:r w:rsidRPr="00B76D99">
        <w:rPr>
          <w:lang w:val="en-GB"/>
        </w:rPr>
        <w:t>extensive</w:t>
      </w:r>
      <w:r w:rsidRPr="00B76D99">
        <w:rPr>
          <w:spacing w:val="-2"/>
        </w:rPr>
        <w:t xml:space="preserve"> gender-based violence are disproportionately affected by the death penalty, including women who seek to protect themselves against their abusers.</w:t>
      </w:r>
      <w:r w:rsidRPr="00B76D99">
        <w:rPr>
          <w:spacing w:val="-2"/>
          <w:vertAlign w:val="superscript"/>
        </w:rPr>
        <w:footnoteReference w:id="55"/>
      </w:r>
      <w:r w:rsidRPr="00B76D99">
        <w:rPr>
          <w:spacing w:val="-2"/>
        </w:rPr>
        <w:t xml:space="preserve"> Long histories of gender-based violence can result in complex trauma and can exacerbate the effects of psycho-social or intellectual disabilities.</w:t>
      </w:r>
      <w:r w:rsidRPr="00B76D99">
        <w:rPr>
          <w:spacing w:val="-2"/>
          <w:vertAlign w:val="superscript"/>
        </w:rPr>
        <w:footnoteReference w:id="56"/>
      </w:r>
      <w:r w:rsidRPr="00B76D99">
        <w:rPr>
          <w:spacing w:val="-2"/>
        </w:rPr>
        <w:t xml:space="preserve"> </w:t>
      </w:r>
    </w:p>
    <w:p w14:paraId="254ED3C6" w14:textId="77777777" w:rsidR="00E654D1" w:rsidRPr="00B76D99" w:rsidRDefault="00E654D1" w:rsidP="00E654D1">
      <w:pPr>
        <w:pStyle w:val="Paragraph"/>
        <w:rPr>
          <w:spacing w:val="-2"/>
        </w:rPr>
      </w:pPr>
      <w:r w:rsidRPr="00B76D99">
        <w:rPr>
          <w:spacing w:val="-2"/>
        </w:rPr>
        <w:t xml:space="preserve">In a 2018 study, the Cornell Center on the Death Penalty Worldwide found that, in the global context, women are more vulnerable and most likely to be sentenced to death for criminal offenses committed </w:t>
      </w:r>
      <w:r w:rsidRPr="00B76D99">
        <w:rPr>
          <w:lang w:val="en-GB"/>
        </w:rPr>
        <w:t>within</w:t>
      </w:r>
      <w:r w:rsidRPr="00B76D99">
        <w:rPr>
          <w:spacing w:val="-2"/>
        </w:rPr>
        <w:t xml:space="preserve"> the context of gender-based violence</w:t>
      </w:r>
      <w:r w:rsidRPr="00B76D99">
        <w:rPr>
          <w:rStyle w:val="FootnoteReference"/>
          <w:spacing w:val="-2"/>
        </w:rPr>
        <w:footnoteReference w:id="57"/>
      </w:r>
      <w:r w:rsidRPr="00B76D99">
        <w:rPr>
          <w:spacing w:val="-2"/>
        </w:rPr>
        <w:t xml:space="preserve"> and manipulative or coercive relationships with male co-</w:t>
      </w:r>
      <w:r w:rsidRPr="00B76D99">
        <w:rPr>
          <w:lang w:eastAsia="zh-CN"/>
        </w:rPr>
        <w:t>defendants</w:t>
      </w:r>
      <w:r w:rsidRPr="00B76D99">
        <w:rPr>
          <w:spacing w:val="-2"/>
        </w:rPr>
        <w:t>.</w:t>
      </w:r>
      <w:r w:rsidRPr="00B76D99">
        <w:rPr>
          <w:rStyle w:val="FootnoteReference"/>
          <w:spacing w:val="-2"/>
        </w:rPr>
        <w:footnoteReference w:id="58"/>
      </w:r>
      <w:r w:rsidRPr="00B76D99">
        <w:rPr>
          <w:spacing w:val="-2"/>
        </w:rPr>
        <w:t xml:space="preserve"> Cornell’s data </w:t>
      </w:r>
      <w:r w:rsidRPr="00B76D99">
        <w:t>indicate that most women under sentence of death have been sentenced to death for the crime of murder.</w:t>
      </w:r>
      <w:r w:rsidRPr="00B76D99">
        <w:rPr>
          <w:rStyle w:val="FootnoteReference"/>
        </w:rPr>
        <w:footnoteReference w:id="59"/>
      </w:r>
      <w:r w:rsidRPr="00B76D99">
        <w:t xml:space="preserve"> These women have overwhelmingly experienced prolonged domestic violence at the hands of a partner, spouse, or another family member.</w:t>
      </w:r>
      <w:r w:rsidRPr="00B76D99">
        <w:rPr>
          <w:vertAlign w:val="superscript"/>
          <w:lang w:eastAsia="zh-CN"/>
        </w:rPr>
        <w:footnoteReference w:id="60"/>
      </w:r>
      <w:r w:rsidRPr="00B76D99">
        <w:t xml:space="preserve"> </w:t>
      </w:r>
      <w:r w:rsidRPr="00B76D99">
        <w:rPr>
          <w:lang w:eastAsia="zh-CN"/>
        </w:rPr>
        <w:t>Many women under sentence of death are survivors of gender-based violence and come from disadvantaged socio-economic backgrounds.</w:t>
      </w:r>
      <w:r w:rsidRPr="00B76D99">
        <w:rPr>
          <w:vertAlign w:val="superscript"/>
          <w:lang w:eastAsia="zh-CN"/>
        </w:rPr>
        <w:footnoteReference w:id="61"/>
      </w:r>
      <w:r w:rsidRPr="00B76D99">
        <w:t xml:space="preserve"> At a global level, sentencing </w:t>
      </w:r>
      <w:r w:rsidRPr="00B76D99">
        <w:rPr>
          <w:spacing w:val="-2"/>
        </w:rPr>
        <w:t xml:space="preserve">courts typically fail to take into account a defendant’s experience as a survivor of gender-based violence or a victim of a manipulative or coercive relationship (for example in cases where women are pressured or tricked into </w:t>
      </w:r>
      <w:r w:rsidRPr="00B76D99">
        <w:rPr>
          <w:spacing w:val="-2"/>
        </w:rPr>
        <w:lastRenderedPageBreak/>
        <w:t>transporting drugs) as mitigating factors during sentencing.</w:t>
      </w:r>
      <w:r w:rsidRPr="00B76D99">
        <w:rPr>
          <w:rStyle w:val="FootnoteReference"/>
          <w:spacing w:val="-2"/>
        </w:rPr>
        <w:footnoteReference w:id="62"/>
      </w:r>
      <w:r w:rsidRPr="00B76D99">
        <w:rPr>
          <w:spacing w:val="-2"/>
        </w:rPr>
        <w:t xml:space="preserve"> </w:t>
      </w:r>
      <w:r w:rsidRPr="00B76D99">
        <w:t xml:space="preserve">Research also indicates that courts fail to account for power dynamics and tactics of coercive control that may affect a woman’s involvement in and culpability for a crime. </w:t>
      </w:r>
    </w:p>
    <w:p w14:paraId="5C1F0E1F" w14:textId="77777777" w:rsidR="00E654D1" w:rsidRPr="00B76D99" w:rsidRDefault="00E654D1" w:rsidP="00E654D1">
      <w:pPr>
        <w:pStyle w:val="Paragraph"/>
      </w:pPr>
      <w:r w:rsidRPr="00B76D99">
        <w:rPr>
          <w:spacing w:val="-2"/>
        </w:rPr>
        <w:t xml:space="preserve">Cases documented by the Cornell Center have shown violations of </w:t>
      </w:r>
      <w:r w:rsidRPr="00B76D99">
        <w:rPr>
          <w:lang w:eastAsia="zh-CN"/>
        </w:rPr>
        <w:t>women’s</w:t>
      </w:r>
      <w:r w:rsidRPr="00B76D99">
        <w:rPr>
          <w:spacing w:val="-2"/>
        </w:rPr>
        <w:t xml:space="preserve"> right to a fair trial. A 2021 follow-up study </w:t>
      </w:r>
      <w:r w:rsidRPr="00B76D99">
        <w:rPr>
          <w:lang w:val="en-GB"/>
        </w:rPr>
        <w:t>demonstrated</w:t>
      </w:r>
      <w:r w:rsidRPr="00B76D99">
        <w:rPr>
          <w:spacing w:val="-2"/>
        </w:rPr>
        <w:t xml:space="preserve"> that “fair trial principles dictate that courts should consider all relevant mitigating circumstances before imposing a sentence. In practice, however, many courts neglect gender-specific mitigation.”</w:t>
      </w:r>
      <w:r w:rsidRPr="00B76D99">
        <w:rPr>
          <w:rStyle w:val="FootnoteReference"/>
          <w:spacing w:val="-2"/>
        </w:rPr>
        <w:footnoteReference w:id="63"/>
      </w:r>
    </w:p>
    <w:p w14:paraId="2E6DA822" w14:textId="77777777" w:rsidR="00E654D1" w:rsidRPr="00B76D99" w:rsidRDefault="00E654D1" w:rsidP="00E654D1">
      <w:pPr>
        <w:pStyle w:val="Paragraph"/>
      </w:pPr>
      <w:r w:rsidRPr="00B76D99">
        <w:rPr>
          <w:lang w:eastAsia="zh-CN"/>
        </w:rPr>
        <w:t xml:space="preserve">The Cornell Center also found that women are more likely to receive a death sentence when the </w:t>
      </w:r>
      <w:r w:rsidRPr="00B76D99">
        <w:rPr>
          <w:spacing w:val="-2"/>
        </w:rPr>
        <w:t>adjudicating</w:t>
      </w:r>
      <w:r w:rsidRPr="00B76D99">
        <w:rPr>
          <w:lang w:eastAsia="zh-CN"/>
        </w:rPr>
        <w:t xml:space="preserve"> authority </w:t>
      </w:r>
      <w:r w:rsidRPr="00B76D99">
        <w:rPr>
          <w:lang w:val="en-GB"/>
        </w:rPr>
        <w:t>perceives</w:t>
      </w:r>
      <w:r w:rsidRPr="00B76D99">
        <w:rPr>
          <w:lang w:eastAsia="zh-CN"/>
        </w:rPr>
        <w:t xml:space="preserve"> that they are violating entrenched gender norms, being cast as the “female fatale” or the “witch.” Women are often put on trial not only for acts they performed but also for allegedly being “a bad wife, a bad mother, and a bad woman.”</w:t>
      </w:r>
      <w:r w:rsidRPr="00B76D99">
        <w:rPr>
          <w:vertAlign w:val="superscript"/>
          <w:lang w:eastAsia="zh-CN"/>
        </w:rPr>
        <w:footnoteReference w:id="64"/>
      </w:r>
    </w:p>
    <w:p w14:paraId="3FD7F745" w14:textId="77777777" w:rsidR="00E654D1" w:rsidRPr="00B76D99" w:rsidRDefault="00E654D1" w:rsidP="00E654D1">
      <w:pPr>
        <w:pStyle w:val="Paragraph"/>
      </w:pPr>
      <w:r w:rsidRPr="00B76D99">
        <w:t>Women perceived as the perpetrator of the crime are more likely to receive a harsher punishment than men accused of similar offenses.</w:t>
      </w:r>
      <w:r w:rsidRPr="00B76D99">
        <w:rPr>
          <w:rStyle w:val="FootnoteReference"/>
        </w:rPr>
        <w:footnoteReference w:id="65"/>
      </w:r>
      <w:r w:rsidRPr="00B76D99">
        <w:t xml:space="preserve"> The death penalty disproportionally affects those individuals who face “gender stereotypes, stigma, harmful and patriarchal cultural norms, and gender-based violence.”</w:t>
      </w:r>
      <w:r w:rsidRPr="00B76D99">
        <w:rPr>
          <w:rStyle w:val="FootnoteReference"/>
        </w:rPr>
        <w:footnoteReference w:id="66"/>
      </w:r>
      <w:r w:rsidRPr="00B76D99">
        <w:t xml:space="preserve"> This discrepancy has an “adverse impact on the ability of women to gain access to justice on an equal basis with men.”</w:t>
      </w:r>
      <w:r w:rsidRPr="00B76D99">
        <w:rPr>
          <w:rStyle w:val="FootnoteReference"/>
        </w:rPr>
        <w:footnoteReference w:id="67"/>
      </w:r>
      <w:r w:rsidRPr="00B76D99">
        <w:t xml:space="preserve"> </w:t>
      </w:r>
    </w:p>
    <w:p w14:paraId="5B35E084" w14:textId="77777777" w:rsidR="00E654D1" w:rsidRPr="00B76D99" w:rsidRDefault="00E654D1" w:rsidP="00E654D1">
      <w:pPr>
        <w:pStyle w:val="Paragraph"/>
        <w:rPr>
          <w:rStyle w:val="normaltextrun"/>
        </w:rPr>
      </w:pPr>
      <w:r w:rsidRPr="00B76D99">
        <w:rPr>
          <w:rStyle w:val="normaltextrun"/>
        </w:rPr>
        <w:t>Global trends show that women sentenced to death face intersectional discrimination. According to Cornell’s 2018 report, most women on death row come from backgrounds of severe socio-economic disadvantage and many are not literate, disadvantages that can reinforce unequal access to effective legal representation.</w:t>
      </w:r>
      <w:r w:rsidRPr="00B76D99">
        <w:rPr>
          <w:rStyle w:val="superscript"/>
          <w:vertAlign w:val="superscript"/>
        </w:rPr>
        <w:t>42</w:t>
      </w:r>
      <w:r w:rsidRPr="00B76D99">
        <w:rPr>
          <w:rStyle w:val="normaltextrun"/>
        </w:rPr>
        <w:t xml:space="preserve"> These women are more likely to be unaware of their legal rights.</w:t>
      </w:r>
      <w:r w:rsidRPr="00B76D99">
        <w:rPr>
          <w:rStyle w:val="superscript"/>
          <w:vertAlign w:val="superscript"/>
        </w:rPr>
        <w:t>43</w:t>
      </w:r>
      <w:r w:rsidRPr="00B76D99">
        <w:rPr>
          <w:rStyle w:val="normaltextrun"/>
        </w:rPr>
        <w:t xml:space="preserve"> Illiteracy and lack of formal education among women from disadvantaged socio-economic backgrounds leave them more vulnerable to discrimination, coercion, and exploitation.</w:t>
      </w:r>
      <w:r w:rsidRPr="00B76D99">
        <w:rPr>
          <w:rStyle w:val="superscript"/>
          <w:vertAlign w:val="superscript"/>
        </w:rPr>
        <w:t>44</w:t>
      </w:r>
      <w:r w:rsidRPr="00B76D99">
        <w:rPr>
          <w:rStyle w:val="normaltextrun"/>
        </w:rPr>
        <w:t xml:space="preserve"> This intersectional discrimination exacerbates the risk that a woman charged with a capital crime will be subjected to an unfair trial. </w:t>
      </w:r>
    </w:p>
    <w:p w14:paraId="3CF3089C" w14:textId="77777777" w:rsidR="00E654D1" w:rsidRPr="00B76D99" w:rsidRDefault="00E654D1" w:rsidP="00E654D1">
      <w:pPr>
        <w:pStyle w:val="Paragraph"/>
      </w:pPr>
      <w:r w:rsidRPr="00B76D99">
        <w:rPr>
          <w:rStyle w:val="normaltextrun"/>
        </w:rPr>
        <w:lastRenderedPageBreak/>
        <w:t xml:space="preserve">Failure to address domestic violence in Kuwait may lead to victim-survivors of domestic violence committing a death-eligible offense. </w:t>
      </w:r>
      <w:r w:rsidRPr="00B76D99">
        <w:t>In Kuwait, the police present a bottleneck for women reporting gender-based violence,</w:t>
      </w:r>
      <w:r w:rsidRPr="00B76D99">
        <w:rPr>
          <w:rStyle w:val="FootnoteReference"/>
        </w:rPr>
        <w:footnoteReference w:id="68"/>
      </w:r>
      <w:r w:rsidRPr="00B76D99">
        <w:t xml:space="preserve"> and the law requires two male witnesses.</w:t>
      </w:r>
      <w:r w:rsidRPr="00B76D99">
        <w:rPr>
          <w:rStyle w:val="FootnoteReference"/>
        </w:rPr>
        <w:footnoteReference w:id="69"/>
      </w:r>
      <w:r w:rsidRPr="00B76D99">
        <w:t xml:space="preserve"> </w:t>
      </w:r>
    </w:p>
    <w:p w14:paraId="670BE21E" w14:textId="63D824A4" w:rsidR="0062339B" w:rsidRPr="00B76D99" w:rsidRDefault="00E654D1" w:rsidP="00B96E7A">
      <w:pPr>
        <w:pStyle w:val="Paragraph"/>
      </w:pPr>
      <w:r w:rsidRPr="00B76D99">
        <w:t xml:space="preserve">Foreign nationals employed as migrant workers, such as the Ethiopian woman executed in 2022, face </w:t>
      </w:r>
      <w:r w:rsidRPr="00B76D99">
        <w:rPr>
          <w:rStyle w:val="normaltextrun"/>
        </w:rPr>
        <w:t>heightened</w:t>
      </w:r>
      <w:r w:rsidRPr="00B76D99">
        <w:t xml:space="preserve"> </w:t>
      </w:r>
      <w:r w:rsidRPr="00B76D99">
        <w:rPr>
          <w:rStyle w:val="normaltextrun"/>
        </w:rPr>
        <w:t>vulnerabilities</w:t>
      </w:r>
      <w:r w:rsidRPr="00B76D99">
        <w:t>. On a global scale, “[f]</w:t>
      </w:r>
      <w:proofErr w:type="spellStart"/>
      <w:r w:rsidRPr="00B76D99">
        <w:t>oreign</w:t>
      </w:r>
      <w:proofErr w:type="spellEnd"/>
      <w:r w:rsidRPr="00B76D99">
        <w:t xml:space="preserve"> nationals face particular disadvantages in criminal prosecutions: they often do not speak the language of the police or the courts and have difficulty accessing interpreters; they have little local support in navigating the criminal system; and their families are too far to contribute to the background investigation necessary for an adequate defense.”</w:t>
      </w:r>
      <w:r w:rsidRPr="00B76D99">
        <w:rPr>
          <w:rStyle w:val="FootnoteReference"/>
        </w:rPr>
        <w:footnoteReference w:id="70"/>
      </w:r>
      <w:r w:rsidRPr="00B76D99">
        <w:t xml:space="preserve"> A ground breaking 2018 study by the Cornell Center on the Death Penalty Worldwide observed that in the region, many women on death row are migrant domestic workers.</w:t>
      </w:r>
      <w:r w:rsidRPr="00B76D99">
        <w:rPr>
          <w:rStyle w:val="FootnoteReference"/>
        </w:rPr>
        <w:footnoteReference w:id="71"/>
      </w:r>
      <w:r w:rsidRPr="00B76D99">
        <w:t xml:space="preserve"> In many cases, the female domestic worker was accused of killing her employer, suggesting a “pattern of female migrant domestic workers sentenced to death in . . . Middle Eastern countries, who suffer from intersecting forms of oppression based on class, foreign nationality, precarious immigration status, and gender.”</w:t>
      </w:r>
      <w:r w:rsidRPr="00B76D99">
        <w:rPr>
          <w:rStyle w:val="FootnoteReference"/>
        </w:rPr>
        <w:footnoteReference w:id="72"/>
      </w:r>
    </w:p>
    <w:p w14:paraId="5BA5FD26" w14:textId="540A5EF0" w:rsidR="00085935" w:rsidRPr="00B76D99" w:rsidRDefault="00111994" w:rsidP="005463A9">
      <w:pPr>
        <w:pStyle w:val="SectionHeading"/>
        <w:keepNext/>
        <w:rPr>
          <w:rFonts w:cs="Times New Roman"/>
          <w:szCs w:val="24"/>
        </w:rPr>
      </w:pPr>
      <w:r w:rsidRPr="00B76D99">
        <w:rPr>
          <w:rFonts w:cs="Times New Roman"/>
          <w:szCs w:val="24"/>
        </w:rPr>
        <w:t>Suggested</w:t>
      </w:r>
      <w:r w:rsidR="00B65BAE" w:rsidRPr="00B76D99">
        <w:rPr>
          <w:rFonts w:cs="Times New Roman"/>
          <w:szCs w:val="24"/>
        </w:rPr>
        <w:t xml:space="preserve"> </w:t>
      </w:r>
      <w:r w:rsidRPr="00B76D99">
        <w:rPr>
          <w:rFonts w:cs="Times New Roman"/>
          <w:szCs w:val="24"/>
        </w:rPr>
        <w:t>recommendations</w:t>
      </w:r>
      <w:r w:rsidR="00255789" w:rsidRPr="00B76D99">
        <w:rPr>
          <w:rFonts w:cs="Times New Roman"/>
          <w:szCs w:val="24"/>
        </w:rPr>
        <w:t xml:space="preserve"> for</w:t>
      </w:r>
      <w:r w:rsidR="000A66B8" w:rsidRPr="00B76D99">
        <w:rPr>
          <w:rFonts w:cs="Times New Roman"/>
          <w:szCs w:val="24"/>
        </w:rPr>
        <w:t xml:space="preserve"> the Government of </w:t>
      </w:r>
      <w:r w:rsidR="00561604" w:rsidRPr="00B76D99">
        <w:rPr>
          <w:rFonts w:cs="Times New Roman"/>
          <w:szCs w:val="24"/>
        </w:rPr>
        <w:t>Kuwait</w:t>
      </w:r>
      <w:r w:rsidR="00EA0EEB" w:rsidRPr="00B76D99">
        <w:rPr>
          <w:rFonts w:cs="Times New Roman"/>
          <w:szCs w:val="24"/>
        </w:rPr>
        <w:t xml:space="preserve"> </w:t>
      </w:r>
    </w:p>
    <w:p w14:paraId="09ED740C" w14:textId="0C8EE819" w:rsidR="00111994" w:rsidRPr="00B76D99" w:rsidRDefault="00D87D03" w:rsidP="00DC6EA5">
      <w:pPr>
        <w:pStyle w:val="Paragraph"/>
      </w:pPr>
      <w:r w:rsidRPr="00DC6EA5">
        <w:t>Kuwait</w:t>
      </w:r>
      <w:r w:rsidR="00E114C5" w:rsidRPr="00B76D99">
        <w:rPr>
          <w:rStyle w:val="ParagraphChar"/>
        </w:rPr>
        <w:t xml:space="preserve"> </w:t>
      </w:r>
      <w:r w:rsidR="00255789" w:rsidRPr="00B76D99">
        <w:rPr>
          <w:rStyle w:val="ParagraphChar"/>
        </w:rPr>
        <w:t>should</w:t>
      </w:r>
      <w:r w:rsidR="00255789" w:rsidRPr="00B76D99">
        <w:t>:</w:t>
      </w:r>
    </w:p>
    <w:p w14:paraId="1992DBD0" w14:textId="77777777" w:rsidR="008E2C72" w:rsidRPr="00B76D99" w:rsidRDefault="008E2C72" w:rsidP="00217FF7">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Abolish the death penalty and replace it with penalties that are fair, proportionate, and consistent with international human rights standards.</w:t>
      </w:r>
    </w:p>
    <w:p w14:paraId="3CC59E9D" w14:textId="77777777" w:rsidR="008E2C72" w:rsidRPr="00B76D99" w:rsidRDefault="008E2C72" w:rsidP="00217FF7">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In the meantime:</w:t>
      </w:r>
    </w:p>
    <w:p w14:paraId="2B6CF725" w14:textId="57B2E092" w:rsidR="000E1D29" w:rsidRPr="00B76D99" w:rsidRDefault="000E1D29" w:rsidP="008E2C72">
      <w:pPr>
        <w:pStyle w:val="ListParagraph"/>
        <w:numPr>
          <w:ilvl w:val="1"/>
          <w:numId w:val="17"/>
        </w:numPr>
        <w:jc w:val="both"/>
        <w:rPr>
          <w:rFonts w:ascii="Times New Roman" w:hAnsi="Times New Roman"/>
          <w:sz w:val="24"/>
          <w:szCs w:val="24"/>
          <w:lang w:val="en-GB"/>
        </w:rPr>
      </w:pPr>
      <w:r w:rsidRPr="00B76D99">
        <w:rPr>
          <w:rFonts w:ascii="Times New Roman" w:hAnsi="Times New Roman"/>
          <w:sz w:val="24"/>
          <w:szCs w:val="24"/>
          <w:lang w:val="en-GB"/>
        </w:rPr>
        <w:t xml:space="preserve">Institute </w:t>
      </w:r>
      <w:r w:rsidR="008E2C72" w:rsidRPr="00B76D99">
        <w:rPr>
          <w:rFonts w:ascii="Times New Roman" w:hAnsi="Times New Roman"/>
          <w:sz w:val="24"/>
          <w:szCs w:val="24"/>
          <w:lang w:val="en-GB"/>
        </w:rPr>
        <w:t xml:space="preserve">a formal moratorium on executions </w:t>
      </w:r>
    </w:p>
    <w:p w14:paraId="5677CF67" w14:textId="61199347" w:rsidR="001A42F5" w:rsidRPr="00B76D99" w:rsidRDefault="000E1D29" w:rsidP="001A42F5">
      <w:pPr>
        <w:pStyle w:val="ListParagraph"/>
        <w:numPr>
          <w:ilvl w:val="1"/>
          <w:numId w:val="17"/>
        </w:numPr>
        <w:jc w:val="both"/>
        <w:rPr>
          <w:rFonts w:ascii="Times New Roman" w:hAnsi="Times New Roman"/>
          <w:sz w:val="24"/>
          <w:szCs w:val="24"/>
          <w:lang w:val="en-GB"/>
        </w:rPr>
      </w:pPr>
      <w:r w:rsidRPr="00B76D99">
        <w:rPr>
          <w:rFonts w:ascii="Times New Roman" w:hAnsi="Times New Roman"/>
          <w:sz w:val="24"/>
          <w:szCs w:val="24"/>
          <w:lang w:val="en-GB"/>
        </w:rPr>
        <w:t>C</w:t>
      </w:r>
      <w:r w:rsidR="008E2C72" w:rsidRPr="00B76D99">
        <w:rPr>
          <w:rFonts w:ascii="Times New Roman" w:hAnsi="Times New Roman"/>
          <w:sz w:val="24"/>
          <w:szCs w:val="24"/>
          <w:lang w:val="en-GB"/>
        </w:rPr>
        <w:t xml:space="preserve">ommute the </w:t>
      </w:r>
      <w:r w:rsidR="00361830" w:rsidRPr="00B76D99">
        <w:rPr>
          <w:rFonts w:ascii="Times New Roman" w:hAnsi="Times New Roman"/>
          <w:sz w:val="24"/>
          <w:szCs w:val="24"/>
          <w:lang w:val="en-GB"/>
        </w:rPr>
        <w:t xml:space="preserve">sentences of any </w:t>
      </w:r>
      <w:r w:rsidR="00AC5552" w:rsidRPr="00B76D99">
        <w:rPr>
          <w:rFonts w:ascii="Times New Roman" w:hAnsi="Times New Roman"/>
          <w:sz w:val="24"/>
          <w:szCs w:val="24"/>
          <w:lang w:val="en-GB"/>
        </w:rPr>
        <w:t xml:space="preserve">people </w:t>
      </w:r>
      <w:r w:rsidR="00361830" w:rsidRPr="00B76D99">
        <w:rPr>
          <w:rFonts w:ascii="Times New Roman" w:hAnsi="Times New Roman"/>
          <w:sz w:val="24"/>
          <w:szCs w:val="24"/>
          <w:lang w:val="en-GB"/>
        </w:rPr>
        <w:t>currently under sentence of death</w:t>
      </w:r>
      <w:r w:rsidRPr="00B76D99">
        <w:rPr>
          <w:rFonts w:ascii="Times New Roman" w:hAnsi="Times New Roman"/>
          <w:sz w:val="24"/>
          <w:szCs w:val="24"/>
          <w:lang w:val="en-GB"/>
        </w:rPr>
        <w:t xml:space="preserve"> to penalties that are fair, proportionate, and in compliance with international human rights standards</w:t>
      </w:r>
      <w:r w:rsidR="00361830" w:rsidRPr="00B76D99">
        <w:rPr>
          <w:rFonts w:ascii="Times New Roman" w:hAnsi="Times New Roman"/>
          <w:sz w:val="24"/>
          <w:szCs w:val="24"/>
          <w:lang w:val="en-GB"/>
        </w:rPr>
        <w:t>.</w:t>
      </w:r>
    </w:p>
    <w:p w14:paraId="4392168C" w14:textId="00B5A8AF" w:rsidR="001A42F5" w:rsidRPr="00B76D99" w:rsidRDefault="001A42F5" w:rsidP="00A568C1">
      <w:pPr>
        <w:pStyle w:val="ListParagraph"/>
        <w:numPr>
          <w:ilvl w:val="1"/>
          <w:numId w:val="17"/>
        </w:numPr>
        <w:jc w:val="both"/>
        <w:rPr>
          <w:rFonts w:ascii="Times New Roman" w:hAnsi="Times New Roman"/>
          <w:sz w:val="24"/>
          <w:szCs w:val="24"/>
          <w:lang w:val="en-GB"/>
        </w:rPr>
      </w:pPr>
      <w:r w:rsidRPr="00B76D99">
        <w:rPr>
          <w:rFonts w:ascii="Times New Roman" w:hAnsi="Times New Roman"/>
          <w:sz w:val="24"/>
          <w:szCs w:val="24"/>
          <w:lang w:val="en-GB"/>
        </w:rPr>
        <w:t xml:space="preserve">Ensure that individuals charged with capital crimes </w:t>
      </w:r>
      <w:r w:rsidR="00302C17" w:rsidRPr="00B76D99">
        <w:rPr>
          <w:rFonts w:ascii="Times New Roman" w:hAnsi="Times New Roman"/>
          <w:sz w:val="24"/>
          <w:szCs w:val="24"/>
          <w:lang w:val="en-GB"/>
        </w:rPr>
        <w:t xml:space="preserve">receive </w:t>
      </w:r>
      <w:r w:rsidRPr="00B76D99">
        <w:rPr>
          <w:rFonts w:ascii="Times New Roman" w:hAnsi="Times New Roman"/>
          <w:sz w:val="24"/>
          <w:szCs w:val="24"/>
          <w:lang w:val="en-GB"/>
        </w:rPr>
        <w:t>free, effective, and adequately funded legal representation</w:t>
      </w:r>
      <w:r w:rsidR="00A568C1" w:rsidRPr="00B76D99">
        <w:rPr>
          <w:rFonts w:ascii="Times New Roman" w:hAnsi="Times New Roman"/>
          <w:sz w:val="24"/>
          <w:szCs w:val="24"/>
          <w:lang w:val="en-GB"/>
        </w:rPr>
        <w:t xml:space="preserve"> by attorneys with experience trying capital cases</w:t>
      </w:r>
      <w:r w:rsidRPr="00B76D99">
        <w:rPr>
          <w:rFonts w:ascii="Times New Roman" w:hAnsi="Times New Roman"/>
          <w:sz w:val="24"/>
          <w:szCs w:val="24"/>
          <w:lang w:val="en-GB"/>
        </w:rPr>
        <w:t>.</w:t>
      </w:r>
    </w:p>
    <w:p w14:paraId="241FC46A" w14:textId="72FA3711" w:rsidR="00AC5552" w:rsidRPr="00B76D99" w:rsidRDefault="00A568C1" w:rsidP="00A568C1">
      <w:pPr>
        <w:pStyle w:val="ListParagraph"/>
        <w:numPr>
          <w:ilvl w:val="1"/>
          <w:numId w:val="17"/>
        </w:numPr>
        <w:jc w:val="both"/>
        <w:rPr>
          <w:rFonts w:ascii="Times New Roman" w:hAnsi="Times New Roman"/>
          <w:sz w:val="24"/>
          <w:szCs w:val="24"/>
          <w:lang w:val="en-GB"/>
        </w:rPr>
      </w:pPr>
      <w:r w:rsidRPr="00B76D99">
        <w:rPr>
          <w:rFonts w:ascii="Times New Roman" w:hAnsi="Times New Roman"/>
          <w:sz w:val="24"/>
          <w:szCs w:val="24"/>
          <w:lang w:val="en-GB"/>
        </w:rPr>
        <w:t>As an incremental measure while working toward abolition of the death penalty, r</w:t>
      </w:r>
      <w:r w:rsidR="00AC5552" w:rsidRPr="00B76D99">
        <w:rPr>
          <w:rFonts w:ascii="Times New Roman" w:hAnsi="Times New Roman"/>
          <w:sz w:val="24"/>
          <w:szCs w:val="24"/>
          <w:lang w:val="en-GB"/>
        </w:rPr>
        <w:t xml:space="preserve">evise the penal code </w:t>
      </w:r>
      <w:r w:rsidR="001A42F5" w:rsidRPr="00B76D99">
        <w:rPr>
          <w:rFonts w:ascii="Times New Roman" w:hAnsi="Times New Roman"/>
          <w:sz w:val="24"/>
          <w:szCs w:val="24"/>
          <w:lang w:val="en-GB"/>
        </w:rPr>
        <w:t xml:space="preserve">to ensure that </w:t>
      </w:r>
      <w:r w:rsidR="00AC5552" w:rsidRPr="00B76D99">
        <w:rPr>
          <w:rFonts w:ascii="Times New Roman" w:hAnsi="Times New Roman"/>
          <w:sz w:val="24"/>
          <w:szCs w:val="24"/>
          <w:lang w:val="en-GB"/>
        </w:rPr>
        <w:t xml:space="preserve">the death penalty </w:t>
      </w:r>
      <w:r w:rsidR="001A42F5" w:rsidRPr="00B76D99">
        <w:rPr>
          <w:rFonts w:ascii="Times New Roman" w:hAnsi="Times New Roman"/>
          <w:sz w:val="24"/>
          <w:szCs w:val="24"/>
          <w:lang w:val="en-GB"/>
        </w:rPr>
        <w:t xml:space="preserve">is an available punishment </w:t>
      </w:r>
      <w:r w:rsidR="00AC5552" w:rsidRPr="00B76D99">
        <w:rPr>
          <w:rFonts w:ascii="Times New Roman" w:hAnsi="Times New Roman"/>
          <w:sz w:val="24"/>
          <w:szCs w:val="24"/>
          <w:lang w:val="en-GB"/>
        </w:rPr>
        <w:t xml:space="preserve">for </w:t>
      </w:r>
      <w:r w:rsidR="00302C17" w:rsidRPr="00B76D99">
        <w:rPr>
          <w:rFonts w:ascii="Times New Roman" w:hAnsi="Times New Roman"/>
          <w:sz w:val="24"/>
          <w:szCs w:val="24"/>
          <w:lang w:val="en-GB"/>
        </w:rPr>
        <w:t xml:space="preserve">only </w:t>
      </w:r>
      <w:r w:rsidR="00AC5552" w:rsidRPr="00B76D99">
        <w:rPr>
          <w:rFonts w:ascii="Times New Roman" w:hAnsi="Times New Roman"/>
          <w:sz w:val="24"/>
          <w:szCs w:val="24"/>
          <w:lang w:val="en-GB"/>
        </w:rPr>
        <w:t xml:space="preserve">the “most serious crimes” involving intentional killing by the person charged </w:t>
      </w:r>
      <w:r w:rsidR="00AC5552" w:rsidRPr="00B76D99">
        <w:rPr>
          <w:rFonts w:ascii="Times New Roman" w:hAnsi="Times New Roman"/>
          <w:sz w:val="24"/>
          <w:szCs w:val="24"/>
          <w:lang w:val="en-GB"/>
        </w:rPr>
        <w:lastRenderedPageBreak/>
        <w:t>with the death-eligible offense</w:t>
      </w:r>
      <w:r w:rsidR="00F04FFC" w:rsidRPr="00B76D99">
        <w:rPr>
          <w:rFonts w:ascii="Times New Roman" w:hAnsi="Times New Roman"/>
          <w:sz w:val="24"/>
          <w:szCs w:val="24"/>
          <w:lang w:val="en-GB"/>
        </w:rPr>
        <w:t>, and expressly prohibit the death penalty for non-lethal drug-related offenses</w:t>
      </w:r>
      <w:r w:rsidR="00AC5552" w:rsidRPr="00B76D99">
        <w:rPr>
          <w:rFonts w:ascii="Times New Roman" w:hAnsi="Times New Roman"/>
          <w:sz w:val="24"/>
          <w:szCs w:val="24"/>
          <w:lang w:val="en-GB"/>
        </w:rPr>
        <w:t>.</w:t>
      </w:r>
    </w:p>
    <w:p w14:paraId="13FF20E1" w14:textId="77777777" w:rsidR="00B33248" w:rsidRPr="00B76D99" w:rsidRDefault="00B33248" w:rsidP="00B33248">
      <w:pPr>
        <w:pStyle w:val="RecommendationsQuestions"/>
        <w:numPr>
          <w:ilvl w:val="1"/>
          <w:numId w:val="17"/>
        </w:numPr>
        <w:rPr>
          <w:rStyle w:val="None"/>
          <w:rFonts w:cs="Times New Roman"/>
        </w:rPr>
      </w:pPr>
      <w:r w:rsidRPr="00B76D99">
        <w:rPr>
          <w:rStyle w:val="None"/>
          <w:rFonts w:cs="Times New Roman"/>
        </w:rPr>
        <w:t>Collect and regularly publish, on at least an annual basis, disaggregated data on people executed and on death row during the reporting period, disaggregated by sex, age, ethnicity, nationality, crime of conviction, profession at the time of arrest, relationship to any victim or codefendant, age of any dependent children, and current location.</w:t>
      </w:r>
    </w:p>
    <w:p w14:paraId="3DAFDCC7" w14:textId="77777777" w:rsidR="009014C3" w:rsidRPr="00B76D99" w:rsidRDefault="009014C3" w:rsidP="009014C3">
      <w:pPr>
        <w:pStyle w:val="RecommendationsQuestions"/>
        <w:numPr>
          <w:ilvl w:val="1"/>
          <w:numId w:val="17"/>
        </w:numPr>
        <w:rPr>
          <w:rFonts w:cs="Times New Roman"/>
        </w:rPr>
      </w:pPr>
      <w:r w:rsidRPr="00B76D99">
        <w:rPr>
          <w:rFonts w:cs="Times New Roman"/>
        </w:rPr>
        <w:t xml:space="preserve">Ensure that law enforcement, prosecutors, and defense counsel in capital cases receive training on gender sensitivity as it relates to criminal procedure and sentencing outcomes. </w:t>
      </w:r>
    </w:p>
    <w:p w14:paraId="1EB59F2D" w14:textId="77777777" w:rsidR="009014C3" w:rsidRPr="00B76D99" w:rsidRDefault="009014C3" w:rsidP="009014C3">
      <w:pPr>
        <w:pStyle w:val="RecommendationsQuestions"/>
        <w:numPr>
          <w:ilvl w:val="1"/>
          <w:numId w:val="17"/>
        </w:numPr>
        <w:rPr>
          <w:rFonts w:cs="Times New Roman"/>
        </w:rPr>
      </w:pPr>
      <w:r w:rsidRPr="00B76D99">
        <w:rPr>
          <w:rFonts w:cs="Times New Roman"/>
        </w:rPr>
        <w:t>Codify gender-specific defenses and mitigation in capital cases, encompassing women’s experiences of trauma, poverty, and gender-based violence.</w:t>
      </w:r>
    </w:p>
    <w:p w14:paraId="38A855DE" w14:textId="77777777" w:rsidR="009014C3" w:rsidRPr="00B76D99" w:rsidRDefault="009014C3" w:rsidP="009014C3">
      <w:pPr>
        <w:pStyle w:val="RecommendationsQuestions"/>
        <w:numPr>
          <w:ilvl w:val="1"/>
          <w:numId w:val="17"/>
        </w:numPr>
        <w:rPr>
          <w:rFonts w:cs="Times New Roman"/>
        </w:rPr>
      </w:pPr>
      <w:r w:rsidRPr="00B76D99">
        <w:rPr>
          <w:rFonts w:cs="Times New Roman"/>
        </w:rPr>
        <w:t>Implement measures to ensure that all judicial officers responsible for sentencing in capital cases receive comprehensive training on gender-based discrimination, domestic violence, and tactics of coercive control that may influence or prompt a woman to commit a death-eligible offense.</w:t>
      </w:r>
    </w:p>
    <w:p w14:paraId="741564F8" w14:textId="77777777" w:rsidR="00CE620D" w:rsidRPr="00B76D99" w:rsidRDefault="00CE620D" w:rsidP="00CE620D">
      <w:pPr>
        <w:pStyle w:val="RecommendationsQuestions"/>
        <w:numPr>
          <w:ilvl w:val="1"/>
          <w:numId w:val="17"/>
        </w:numPr>
        <w:rPr>
          <w:rFonts w:cs="Times New Roman"/>
        </w:rPr>
      </w:pPr>
      <w:r w:rsidRPr="00B76D99">
        <w:rPr>
          <w:rFonts w:cs="Times New Roman"/>
        </w:rPr>
        <w:t>Ensure that any foreign national in conflict with the law is afforded their right to consular notification under the Vienna Convention.</w:t>
      </w:r>
    </w:p>
    <w:p w14:paraId="532D82C8" w14:textId="1E3B9164" w:rsidR="00B33248" w:rsidRPr="00B76D99" w:rsidRDefault="00CE620D" w:rsidP="002B2E43">
      <w:pPr>
        <w:pStyle w:val="RecommendationsQuestions"/>
        <w:numPr>
          <w:ilvl w:val="1"/>
          <w:numId w:val="17"/>
        </w:numPr>
        <w:rPr>
          <w:rFonts w:cs="Times New Roman"/>
          <w:lang w:val="en-GB"/>
        </w:rPr>
      </w:pPr>
      <w:r w:rsidRPr="00B76D99">
        <w:rPr>
          <w:rFonts w:cs="Times New Roman"/>
        </w:rPr>
        <w:t>Provide heightened fair trial safeguards in capital cases in which the defendant is a foreign national, including qualified interpretation services from the time of arrest through any appeals.</w:t>
      </w:r>
    </w:p>
    <w:p w14:paraId="77313277" w14:textId="43BBE6BA" w:rsidR="006D39B7" w:rsidRPr="00B76D99" w:rsidRDefault="006D39B7" w:rsidP="00361830">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Thoroughly and impartially investigate allegations and reports of torture</w:t>
      </w:r>
      <w:r w:rsidR="005463A9" w:rsidRPr="00B76D99">
        <w:rPr>
          <w:rFonts w:ascii="Times New Roman" w:hAnsi="Times New Roman"/>
          <w:sz w:val="24"/>
          <w:szCs w:val="24"/>
          <w:lang w:val="en-GB"/>
        </w:rPr>
        <w:t xml:space="preserve"> and</w:t>
      </w:r>
      <w:r w:rsidR="00F365D7" w:rsidRPr="00B76D99">
        <w:rPr>
          <w:rFonts w:ascii="Times New Roman" w:hAnsi="Times New Roman"/>
          <w:sz w:val="24"/>
          <w:szCs w:val="24"/>
          <w:lang w:val="en-GB"/>
        </w:rPr>
        <w:t xml:space="preserve"> other</w:t>
      </w:r>
      <w:r w:rsidR="005463A9" w:rsidRPr="00B76D99">
        <w:rPr>
          <w:rFonts w:ascii="Times New Roman" w:hAnsi="Times New Roman"/>
          <w:sz w:val="24"/>
          <w:szCs w:val="24"/>
          <w:lang w:val="en-GB"/>
        </w:rPr>
        <w:t xml:space="preserve"> ill-treatment</w:t>
      </w:r>
      <w:r w:rsidRPr="00B76D99">
        <w:rPr>
          <w:rFonts w:ascii="Times New Roman" w:hAnsi="Times New Roman"/>
          <w:sz w:val="24"/>
          <w:szCs w:val="24"/>
          <w:lang w:val="en-GB"/>
        </w:rPr>
        <w:t xml:space="preserve"> by police and security forces during arrest, interrogation, and detention, particularly cases of rape, sexual abuse, and </w:t>
      </w:r>
      <w:r w:rsidR="006B5F7E" w:rsidRPr="00B76D99">
        <w:rPr>
          <w:rFonts w:ascii="Times New Roman" w:hAnsi="Times New Roman"/>
          <w:sz w:val="24"/>
          <w:szCs w:val="24"/>
          <w:lang w:val="en-GB"/>
        </w:rPr>
        <w:t xml:space="preserve">other torture and degrading treatment </w:t>
      </w:r>
      <w:r w:rsidRPr="00B76D99">
        <w:rPr>
          <w:rFonts w:ascii="Times New Roman" w:hAnsi="Times New Roman"/>
          <w:sz w:val="24"/>
          <w:szCs w:val="24"/>
          <w:lang w:val="en-GB"/>
        </w:rPr>
        <w:t>of LGBT</w:t>
      </w:r>
      <w:r w:rsidR="006B5F7E" w:rsidRPr="00B76D99">
        <w:rPr>
          <w:rFonts w:ascii="Times New Roman" w:hAnsi="Times New Roman"/>
          <w:sz w:val="24"/>
          <w:szCs w:val="24"/>
          <w:lang w:val="en-GB"/>
        </w:rPr>
        <w:t>IQ</w:t>
      </w:r>
      <w:r w:rsidRPr="00B76D99">
        <w:rPr>
          <w:rFonts w:ascii="Times New Roman" w:hAnsi="Times New Roman"/>
          <w:sz w:val="24"/>
          <w:szCs w:val="24"/>
          <w:lang w:val="en-GB"/>
        </w:rPr>
        <w:t>+ individuals.</w:t>
      </w:r>
    </w:p>
    <w:p w14:paraId="26172EB5" w14:textId="189DA332" w:rsidR="004E1BDE" w:rsidRPr="00B76D99" w:rsidRDefault="004E1BDE" w:rsidP="00217FF7">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 xml:space="preserve">Ensure that </w:t>
      </w:r>
      <w:r w:rsidR="002C1B5B" w:rsidRPr="00B76D99">
        <w:rPr>
          <w:rFonts w:ascii="Times New Roman" w:hAnsi="Times New Roman"/>
          <w:sz w:val="24"/>
          <w:szCs w:val="24"/>
          <w:lang w:val="en-GB"/>
        </w:rPr>
        <w:t xml:space="preserve">judicial officers and prosecutors apply </w:t>
      </w:r>
      <w:r w:rsidRPr="00B76D99">
        <w:rPr>
          <w:rFonts w:ascii="Times New Roman" w:hAnsi="Times New Roman"/>
          <w:sz w:val="24"/>
          <w:szCs w:val="24"/>
          <w:lang w:val="en-GB"/>
        </w:rPr>
        <w:t xml:space="preserve">the </w:t>
      </w:r>
      <w:r w:rsidR="00AC331C" w:rsidRPr="00B76D99">
        <w:rPr>
          <w:rFonts w:ascii="Times New Roman" w:hAnsi="Times New Roman"/>
          <w:sz w:val="24"/>
          <w:szCs w:val="24"/>
          <w:lang w:val="en-GB"/>
        </w:rPr>
        <w:t xml:space="preserve">existing </w:t>
      </w:r>
      <w:r w:rsidRPr="00B76D99">
        <w:rPr>
          <w:rFonts w:ascii="Times New Roman" w:hAnsi="Times New Roman"/>
          <w:sz w:val="24"/>
          <w:szCs w:val="24"/>
          <w:lang w:val="en-GB"/>
        </w:rPr>
        <w:t xml:space="preserve">provisions of the Criminal Code </w:t>
      </w:r>
      <w:r w:rsidR="002C1B5B" w:rsidRPr="00B76D99">
        <w:rPr>
          <w:rFonts w:ascii="Times New Roman" w:hAnsi="Times New Roman"/>
          <w:sz w:val="24"/>
          <w:szCs w:val="24"/>
          <w:lang w:val="en-GB"/>
        </w:rPr>
        <w:t xml:space="preserve">and Criminal Procedure Code </w:t>
      </w:r>
      <w:r w:rsidRPr="00B76D99">
        <w:rPr>
          <w:rFonts w:ascii="Times New Roman" w:hAnsi="Times New Roman"/>
          <w:sz w:val="24"/>
          <w:szCs w:val="24"/>
          <w:lang w:val="en-GB"/>
        </w:rPr>
        <w:t xml:space="preserve">prohibiting torture in a consistent manner. </w:t>
      </w:r>
    </w:p>
    <w:p w14:paraId="1DDA8B77" w14:textId="2CAF6D2B" w:rsidR="00C01B93" w:rsidRPr="00B76D99" w:rsidRDefault="00240978" w:rsidP="002038DF">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Expressly b</w:t>
      </w:r>
      <w:r w:rsidR="00C01B93" w:rsidRPr="00B76D99">
        <w:rPr>
          <w:rFonts w:ascii="Times New Roman" w:hAnsi="Times New Roman"/>
          <w:sz w:val="24"/>
          <w:szCs w:val="24"/>
          <w:lang w:val="en-GB"/>
        </w:rPr>
        <w:t>ar courts from considering any evidence obtained through torture, except with respect to evidence of the crime of torture itself</w:t>
      </w:r>
      <w:r w:rsidR="001A42F5" w:rsidRPr="00B76D99">
        <w:rPr>
          <w:rFonts w:ascii="Times New Roman" w:hAnsi="Times New Roman"/>
          <w:sz w:val="24"/>
          <w:szCs w:val="24"/>
          <w:lang w:val="en-GB"/>
        </w:rPr>
        <w:t xml:space="preserve"> </w:t>
      </w:r>
      <w:r w:rsidR="00C01B93" w:rsidRPr="00B76D99">
        <w:rPr>
          <w:rFonts w:ascii="Times New Roman" w:hAnsi="Times New Roman"/>
          <w:sz w:val="24"/>
          <w:szCs w:val="24"/>
          <w:lang w:val="en-GB"/>
        </w:rPr>
        <w:t xml:space="preserve">and create a mechanism by which </w:t>
      </w:r>
      <w:proofErr w:type="spellStart"/>
      <w:r w:rsidR="00F365D7" w:rsidRPr="00B76D99">
        <w:rPr>
          <w:rFonts w:ascii="Times New Roman" w:hAnsi="Times New Roman"/>
          <w:sz w:val="24"/>
          <w:szCs w:val="24"/>
          <w:lang w:val="en-GB"/>
        </w:rPr>
        <w:t>defense</w:t>
      </w:r>
      <w:proofErr w:type="spellEnd"/>
      <w:r w:rsidR="00F365D7" w:rsidRPr="00B76D99">
        <w:rPr>
          <w:rFonts w:ascii="Times New Roman" w:hAnsi="Times New Roman"/>
          <w:sz w:val="24"/>
          <w:szCs w:val="24"/>
          <w:lang w:val="en-GB"/>
        </w:rPr>
        <w:t xml:space="preserve"> counsel</w:t>
      </w:r>
      <w:r w:rsidR="00415716" w:rsidRPr="00B76D99">
        <w:rPr>
          <w:rFonts w:ascii="Times New Roman" w:hAnsi="Times New Roman"/>
          <w:sz w:val="24"/>
          <w:szCs w:val="24"/>
          <w:lang w:val="en-GB"/>
        </w:rPr>
        <w:t xml:space="preserve"> and defendants</w:t>
      </w:r>
      <w:r w:rsidR="00C01B93" w:rsidRPr="00B76D99">
        <w:rPr>
          <w:rFonts w:ascii="Times New Roman" w:hAnsi="Times New Roman"/>
          <w:sz w:val="24"/>
          <w:szCs w:val="24"/>
          <w:lang w:val="en-GB"/>
        </w:rPr>
        <w:t xml:space="preserve"> may raise the issue of inadmissibility before trial. Ensure that all judicial authorities receive adequate training and support to </w:t>
      </w:r>
      <w:r w:rsidR="00415716" w:rsidRPr="00B76D99">
        <w:rPr>
          <w:rFonts w:ascii="Times New Roman" w:hAnsi="Times New Roman"/>
          <w:sz w:val="24"/>
          <w:szCs w:val="24"/>
          <w:lang w:val="en-GB"/>
        </w:rPr>
        <w:t xml:space="preserve">comply with the </w:t>
      </w:r>
      <w:r w:rsidR="00C01B93" w:rsidRPr="00B76D99">
        <w:rPr>
          <w:rFonts w:ascii="Times New Roman" w:hAnsi="Times New Roman"/>
          <w:sz w:val="24"/>
          <w:szCs w:val="24"/>
          <w:lang w:val="en-GB"/>
        </w:rPr>
        <w:t xml:space="preserve">bar </w:t>
      </w:r>
      <w:r w:rsidR="00415716" w:rsidRPr="00B76D99">
        <w:rPr>
          <w:rFonts w:ascii="Times New Roman" w:hAnsi="Times New Roman"/>
          <w:sz w:val="24"/>
          <w:szCs w:val="24"/>
          <w:lang w:val="en-GB"/>
        </w:rPr>
        <w:t xml:space="preserve">on </w:t>
      </w:r>
      <w:r w:rsidR="00C01B93" w:rsidRPr="00B76D99">
        <w:rPr>
          <w:rFonts w:ascii="Times New Roman" w:hAnsi="Times New Roman"/>
          <w:sz w:val="24"/>
          <w:szCs w:val="24"/>
          <w:lang w:val="en-GB"/>
        </w:rPr>
        <w:t>such evidence.</w:t>
      </w:r>
    </w:p>
    <w:p w14:paraId="2AB81653" w14:textId="1A0B283F" w:rsidR="008D307D" w:rsidRPr="00B76D99" w:rsidRDefault="00240978" w:rsidP="001A42F5">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 xml:space="preserve">Ensure that the Criminal Code’s definition of torture </w:t>
      </w:r>
      <w:r w:rsidR="00613B37" w:rsidRPr="00B76D99">
        <w:rPr>
          <w:rFonts w:ascii="Times New Roman" w:hAnsi="Times New Roman"/>
          <w:sz w:val="24"/>
          <w:szCs w:val="24"/>
          <w:lang w:val="en-GB"/>
        </w:rPr>
        <w:t>includes rape and sexual abuse</w:t>
      </w:r>
      <w:r w:rsidR="001377FE" w:rsidRPr="00B76D99">
        <w:rPr>
          <w:rFonts w:ascii="Times New Roman" w:hAnsi="Times New Roman"/>
          <w:sz w:val="24"/>
          <w:szCs w:val="24"/>
          <w:lang w:val="en-GB"/>
        </w:rPr>
        <w:t>.</w:t>
      </w:r>
    </w:p>
    <w:p w14:paraId="473A8A3E" w14:textId="36AFC3BF" w:rsidR="001377FE" w:rsidRPr="00B76D99" w:rsidRDefault="001377FE" w:rsidP="001A42F5">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Ensure that the Criminal Code expressly criminalizes marital rape.</w:t>
      </w:r>
    </w:p>
    <w:p w14:paraId="5D95021A" w14:textId="77777777" w:rsidR="002221F4" w:rsidRPr="00B76D99" w:rsidRDefault="002221F4" w:rsidP="002221F4">
      <w:pPr>
        <w:pStyle w:val="ListParagraph"/>
        <w:numPr>
          <w:ilvl w:val="0"/>
          <w:numId w:val="17"/>
        </w:numPr>
        <w:jc w:val="both"/>
        <w:rPr>
          <w:rFonts w:ascii="Times New Roman" w:hAnsi="Times New Roman"/>
          <w:sz w:val="24"/>
          <w:szCs w:val="24"/>
        </w:rPr>
      </w:pPr>
      <w:r w:rsidRPr="00B76D99">
        <w:rPr>
          <w:rFonts w:ascii="Times New Roman" w:hAnsi="Times New Roman"/>
          <w:sz w:val="24"/>
          <w:szCs w:val="24"/>
          <w:lang w:val="en-GB"/>
        </w:rPr>
        <w:t>Increase the number of women with leadership positions in the criminal legal system, including judges, prosecutors, and court administrators.</w:t>
      </w:r>
    </w:p>
    <w:p w14:paraId="075FB3A8" w14:textId="3B994132" w:rsidR="00EC6CF2" w:rsidRPr="00B76D99" w:rsidRDefault="00EC6CF2" w:rsidP="00217FF7">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 xml:space="preserve">Ensure that there are </w:t>
      </w:r>
      <w:r w:rsidR="00CC4198" w:rsidRPr="00B76D99">
        <w:rPr>
          <w:rFonts w:ascii="Times New Roman" w:hAnsi="Times New Roman"/>
          <w:sz w:val="24"/>
          <w:szCs w:val="24"/>
          <w:lang w:val="en-GB"/>
        </w:rPr>
        <w:t>sufficient</w:t>
      </w:r>
      <w:r w:rsidRPr="00B76D99">
        <w:rPr>
          <w:rFonts w:ascii="Times New Roman" w:hAnsi="Times New Roman"/>
          <w:sz w:val="24"/>
          <w:szCs w:val="24"/>
          <w:lang w:val="en-GB"/>
        </w:rPr>
        <w:t xml:space="preserve"> judges</w:t>
      </w:r>
      <w:r w:rsidR="00F0786F" w:rsidRPr="00B76D99">
        <w:rPr>
          <w:rFonts w:ascii="Times New Roman" w:hAnsi="Times New Roman"/>
          <w:sz w:val="24"/>
          <w:szCs w:val="24"/>
          <w:lang w:val="en-GB"/>
        </w:rPr>
        <w:t xml:space="preserve"> and prosecutors</w:t>
      </w:r>
      <w:r w:rsidR="005D3034" w:rsidRPr="00B76D99">
        <w:rPr>
          <w:rFonts w:ascii="Times New Roman" w:hAnsi="Times New Roman"/>
          <w:sz w:val="24"/>
          <w:szCs w:val="24"/>
          <w:lang w:val="en-GB"/>
        </w:rPr>
        <w:t>, with adequate resources,</w:t>
      </w:r>
      <w:r w:rsidRPr="00B76D99">
        <w:rPr>
          <w:rFonts w:ascii="Times New Roman" w:hAnsi="Times New Roman"/>
          <w:sz w:val="24"/>
          <w:szCs w:val="24"/>
          <w:lang w:val="en-GB"/>
        </w:rPr>
        <w:t xml:space="preserve"> to expeditiously resolve cases</w:t>
      </w:r>
      <w:r w:rsidR="00AF1678" w:rsidRPr="00B76D99">
        <w:rPr>
          <w:rFonts w:ascii="Times New Roman" w:hAnsi="Times New Roman"/>
          <w:sz w:val="24"/>
          <w:szCs w:val="24"/>
          <w:lang w:val="en-GB"/>
        </w:rPr>
        <w:t xml:space="preserve">, including </w:t>
      </w:r>
      <w:r w:rsidR="00F04FFC" w:rsidRPr="00B76D99">
        <w:rPr>
          <w:rFonts w:ascii="Times New Roman" w:hAnsi="Times New Roman"/>
          <w:sz w:val="24"/>
          <w:szCs w:val="24"/>
          <w:lang w:val="en-GB"/>
        </w:rPr>
        <w:t xml:space="preserve">capital </w:t>
      </w:r>
      <w:r w:rsidR="00AF1678" w:rsidRPr="00B76D99">
        <w:rPr>
          <w:rFonts w:ascii="Times New Roman" w:hAnsi="Times New Roman"/>
          <w:sz w:val="24"/>
          <w:szCs w:val="24"/>
          <w:lang w:val="en-GB"/>
        </w:rPr>
        <w:t>trials and appeals</w:t>
      </w:r>
      <w:r w:rsidRPr="00B76D99">
        <w:rPr>
          <w:rFonts w:ascii="Times New Roman" w:hAnsi="Times New Roman"/>
          <w:sz w:val="24"/>
          <w:szCs w:val="24"/>
          <w:lang w:val="en-GB"/>
        </w:rPr>
        <w:t>.</w:t>
      </w:r>
    </w:p>
    <w:p w14:paraId="243E246F" w14:textId="610924A7" w:rsidR="00254F26" w:rsidRPr="00B76D99" w:rsidRDefault="00254F26" w:rsidP="00217FF7">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lastRenderedPageBreak/>
        <w:t xml:space="preserve">Reduce </w:t>
      </w:r>
      <w:r w:rsidR="00E415CD" w:rsidRPr="00B76D99">
        <w:rPr>
          <w:rFonts w:ascii="Times New Roman" w:hAnsi="Times New Roman"/>
          <w:sz w:val="24"/>
          <w:szCs w:val="24"/>
          <w:lang w:val="en-GB"/>
        </w:rPr>
        <w:t xml:space="preserve">the use of pretrial detention </w:t>
      </w:r>
      <w:r w:rsidRPr="00B76D99">
        <w:rPr>
          <w:rFonts w:ascii="Times New Roman" w:hAnsi="Times New Roman"/>
          <w:sz w:val="24"/>
          <w:szCs w:val="24"/>
          <w:lang w:val="en-GB"/>
        </w:rPr>
        <w:t xml:space="preserve">to </w:t>
      </w:r>
      <w:r w:rsidR="00E415CD" w:rsidRPr="00B76D99">
        <w:rPr>
          <w:rFonts w:ascii="Times New Roman" w:hAnsi="Times New Roman"/>
          <w:sz w:val="24"/>
          <w:szCs w:val="24"/>
          <w:lang w:val="en-GB"/>
        </w:rPr>
        <w:t xml:space="preserve">address </w:t>
      </w:r>
      <w:r w:rsidRPr="00B76D99">
        <w:rPr>
          <w:rFonts w:ascii="Times New Roman" w:hAnsi="Times New Roman"/>
          <w:sz w:val="24"/>
          <w:szCs w:val="24"/>
          <w:lang w:val="en-GB"/>
        </w:rPr>
        <w:t xml:space="preserve">prison overcrowding or, at a minimum, build additional </w:t>
      </w:r>
      <w:r w:rsidR="00E415CD" w:rsidRPr="00B76D99">
        <w:rPr>
          <w:rFonts w:ascii="Times New Roman" w:hAnsi="Times New Roman"/>
          <w:sz w:val="24"/>
          <w:szCs w:val="24"/>
          <w:lang w:val="en-GB"/>
        </w:rPr>
        <w:t xml:space="preserve">detention facilities </w:t>
      </w:r>
      <w:r w:rsidRPr="00B76D99">
        <w:rPr>
          <w:rFonts w:ascii="Times New Roman" w:hAnsi="Times New Roman"/>
          <w:sz w:val="24"/>
          <w:szCs w:val="24"/>
          <w:lang w:val="en-GB"/>
        </w:rPr>
        <w:t>that comply with international standards</w:t>
      </w:r>
      <w:r w:rsidR="00E415CD" w:rsidRPr="00B76D99">
        <w:rPr>
          <w:rFonts w:ascii="Times New Roman" w:hAnsi="Times New Roman"/>
          <w:sz w:val="24"/>
          <w:szCs w:val="24"/>
          <w:lang w:val="en-GB"/>
        </w:rPr>
        <w:t xml:space="preserve"> under the Nelson Mandela Rules and the Bangkok Rules</w:t>
      </w:r>
      <w:r w:rsidRPr="00B76D99">
        <w:rPr>
          <w:rFonts w:ascii="Times New Roman" w:hAnsi="Times New Roman"/>
          <w:sz w:val="24"/>
          <w:szCs w:val="24"/>
          <w:lang w:val="en-GB"/>
        </w:rPr>
        <w:t>.</w:t>
      </w:r>
    </w:p>
    <w:p w14:paraId="483EF415" w14:textId="338BCFF8" w:rsidR="002038DF" w:rsidRPr="00B76D99" w:rsidRDefault="00370846" w:rsidP="00217FF7">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lang w:val="en-GB"/>
        </w:rPr>
        <w:t xml:space="preserve">Authorize </w:t>
      </w:r>
      <w:r w:rsidR="002038DF" w:rsidRPr="00B76D99">
        <w:rPr>
          <w:rFonts w:ascii="Times New Roman" w:hAnsi="Times New Roman"/>
          <w:sz w:val="24"/>
          <w:szCs w:val="24"/>
          <w:lang w:val="en-GB"/>
        </w:rPr>
        <w:t>international observers</w:t>
      </w:r>
      <w:r w:rsidR="00B670BD" w:rsidRPr="00B76D99">
        <w:rPr>
          <w:rFonts w:ascii="Times New Roman" w:hAnsi="Times New Roman"/>
          <w:sz w:val="24"/>
          <w:szCs w:val="24"/>
          <w:lang w:val="en-GB"/>
        </w:rPr>
        <w:t xml:space="preserve"> and human rights organizations</w:t>
      </w:r>
      <w:r w:rsidR="002038DF" w:rsidRPr="00B76D99">
        <w:rPr>
          <w:rFonts w:ascii="Times New Roman" w:hAnsi="Times New Roman"/>
          <w:sz w:val="24"/>
          <w:szCs w:val="24"/>
          <w:lang w:val="en-GB"/>
        </w:rPr>
        <w:t xml:space="preserve"> such as the International Committee of the Red Cross</w:t>
      </w:r>
      <w:r w:rsidR="00B670BD" w:rsidRPr="00B76D99">
        <w:rPr>
          <w:rFonts w:ascii="Times New Roman" w:hAnsi="Times New Roman"/>
          <w:sz w:val="24"/>
          <w:szCs w:val="24"/>
          <w:lang w:val="en-GB"/>
        </w:rPr>
        <w:t xml:space="preserve"> </w:t>
      </w:r>
      <w:r w:rsidRPr="00B76D99">
        <w:rPr>
          <w:rFonts w:ascii="Times New Roman" w:hAnsi="Times New Roman"/>
          <w:sz w:val="24"/>
          <w:szCs w:val="24"/>
          <w:lang w:val="en-GB"/>
        </w:rPr>
        <w:t xml:space="preserve">to visit and inspect detention facilities. </w:t>
      </w:r>
    </w:p>
    <w:p w14:paraId="635E7043" w14:textId="58ADEA7E" w:rsidR="00AF1678" w:rsidRPr="00B76D99" w:rsidRDefault="00C01B93" w:rsidP="00AF1678">
      <w:pPr>
        <w:pStyle w:val="ListParagraph"/>
        <w:numPr>
          <w:ilvl w:val="0"/>
          <w:numId w:val="17"/>
        </w:numPr>
        <w:jc w:val="both"/>
        <w:rPr>
          <w:rFonts w:ascii="Times New Roman" w:hAnsi="Times New Roman"/>
          <w:sz w:val="24"/>
          <w:szCs w:val="24"/>
          <w:lang w:val="en-GB"/>
        </w:rPr>
      </w:pPr>
      <w:r w:rsidRPr="00B76D99">
        <w:rPr>
          <w:rFonts w:ascii="Times New Roman" w:hAnsi="Times New Roman"/>
          <w:sz w:val="24"/>
          <w:szCs w:val="24"/>
        </w:rPr>
        <w:t>Take concrete measures to improve conditions in prisons for all persons, including people on death row, in accordance with the Nelson Mandela Rules</w:t>
      </w:r>
      <w:r w:rsidR="00015DD5" w:rsidRPr="00B76D99">
        <w:rPr>
          <w:rFonts w:ascii="Times New Roman" w:hAnsi="Times New Roman"/>
          <w:sz w:val="24"/>
          <w:szCs w:val="24"/>
        </w:rPr>
        <w:t xml:space="preserve"> and the Bangkok Rules</w:t>
      </w:r>
      <w:r w:rsidRPr="00B76D99">
        <w:rPr>
          <w:rFonts w:ascii="Times New Roman" w:hAnsi="Times New Roman"/>
          <w:sz w:val="24"/>
          <w:szCs w:val="24"/>
        </w:rPr>
        <w:t>.</w:t>
      </w:r>
    </w:p>
    <w:sectPr w:rsidR="00AF1678" w:rsidRPr="00B76D99" w:rsidSect="008504A9">
      <w:headerReference w:type="default"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FD6F7" w14:textId="77777777" w:rsidR="00A06318" w:rsidRDefault="00A06318">
      <w:r>
        <w:separator/>
      </w:r>
    </w:p>
  </w:endnote>
  <w:endnote w:type="continuationSeparator" w:id="0">
    <w:p w14:paraId="19B23257" w14:textId="77777777" w:rsidR="00A06318" w:rsidRDefault="00A06318">
      <w:r>
        <w:continuationSeparator/>
      </w:r>
    </w:p>
  </w:endnote>
  <w:endnote w:type="continuationNotice" w:id="1">
    <w:p w14:paraId="51788936" w14:textId="77777777" w:rsidR="00A06318" w:rsidRDefault="00A06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Helvetica Neue">
    <w:altName w:val="Times New Roman"/>
    <w:charset w:val="00"/>
    <w:family w:val="roman"/>
    <w:pitch w:val="default"/>
  </w:font>
  <w:font w:name="Aptos">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218CB" w14:textId="77777777" w:rsidR="00EA573A" w:rsidRDefault="00804604">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p w14:paraId="5F3DF431" w14:textId="23D7215F" w:rsidR="00EA573A" w:rsidRDefault="00EA57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7728"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0BC237C" id="Straight Connector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A134FE7"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B76D99">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37DC090" w14:textId="7D0C99F3" w:rsidR="00EA573A"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B76D99">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B76D99">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50E4A528" w14:textId="2E2A690E" w:rsidR="00EA573A" w:rsidRDefault="00EA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5D450" w14:textId="77777777" w:rsidR="00A06318" w:rsidRDefault="00A06318">
      <w:r>
        <w:separator/>
      </w:r>
    </w:p>
  </w:footnote>
  <w:footnote w:type="continuationSeparator" w:id="0">
    <w:p w14:paraId="167A4EC5" w14:textId="77777777" w:rsidR="00A06318" w:rsidRDefault="00A06318">
      <w:r>
        <w:continuationSeparator/>
      </w:r>
    </w:p>
  </w:footnote>
  <w:footnote w:type="continuationNotice" w:id="1">
    <w:p w14:paraId="602819CC" w14:textId="77777777" w:rsidR="00A06318" w:rsidRDefault="00A06318"/>
  </w:footnote>
  <w:footnote w:id="2">
    <w:p w14:paraId="0857E500" w14:textId="51A53724" w:rsidR="004D51DD" w:rsidRPr="00BA4EC0" w:rsidRDefault="004D51DD">
      <w:pPr>
        <w:pStyle w:val="FootnoteText"/>
        <w:rPr>
          <w:sz w:val="20"/>
          <w:szCs w:val="20"/>
        </w:rPr>
      </w:pPr>
      <w:r w:rsidRPr="00BA4EC0">
        <w:rPr>
          <w:rStyle w:val="FootnoteReference"/>
          <w:sz w:val="20"/>
          <w:szCs w:val="20"/>
        </w:rPr>
        <w:footnoteRef/>
      </w:r>
      <w:r w:rsidR="20EBB8F7" w:rsidRPr="00BA4EC0">
        <w:rPr>
          <w:sz w:val="20"/>
          <w:szCs w:val="20"/>
        </w:rPr>
        <w:t xml:space="preserve"> Committee Against Torture, </w:t>
      </w:r>
      <w:r w:rsidR="20EBB8F7" w:rsidRPr="00BA4EC0">
        <w:rPr>
          <w:i/>
          <w:iCs/>
          <w:sz w:val="20"/>
          <w:szCs w:val="20"/>
        </w:rPr>
        <w:t xml:space="preserve">List of issues prior to the submission of the </w:t>
      </w:r>
      <w:r w:rsidR="00E61231" w:rsidRPr="00BA4EC0">
        <w:rPr>
          <w:i/>
          <w:iCs/>
          <w:sz w:val="20"/>
          <w:szCs w:val="20"/>
        </w:rPr>
        <w:t>four</w:t>
      </w:r>
      <w:r w:rsidR="20EBB8F7" w:rsidRPr="00BA4EC0">
        <w:rPr>
          <w:i/>
          <w:iCs/>
          <w:sz w:val="20"/>
          <w:szCs w:val="20"/>
        </w:rPr>
        <w:t xml:space="preserve">th periodic report of </w:t>
      </w:r>
      <w:r w:rsidR="00E61231" w:rsidRPr="00BA4EC0">
        <w:rPr>
          <w:i/>
          <w:iCs/>
          <w:sz w:val="20"/>
          <w:szCs w:val="20"/>
        </w:rPr>
        <w:t>Kuwait</w:t>
      </w:r>
      <w:r w:rsidR="20EBB8F7" w:rsidRPr="00BA4EC0">
        <w:rPr>
          <w:sz w:val="20"/>
          <w:szCs w:val="20"/>
        </w:rPr>
        <w:t>, (June 1</w:t>
      </w:r>
      <w:r w:rsidR="00E61231" w:rsidRPr="00BA4EC0">
        <w:rPr>
          <w:sz w:val="20"/>
          <w:szCs w:val="20"/>
        </w:rPr>
        <w:t>4</w:t>
      </w:r>
      <w:r w:rsidR="20EBB8F7" w:rsidRPr="00BA4EC0">
        <w:rPr>
          <w:sz w:val="20"/>
          <w:szCs w:val="20"/>
        </w:rPr>
        <w:t>, 201</w:t>
      </w:r>
      <w:r w:rsidR="00E61231" w:rsidRPr="00BA4EC0">
        <w:rPr>
          <w:sz w:val="20"/>
          <w:szCs w:val="20"/>
        </w:rPr>
        <w:t>9</w:t>
      </w:r>
      <w:r w:rsidR="20EBB8F7" w:rsidRPr="00BA4EC0">
        <w:rPr>
          <w:sz w:val="20"/>
          <w:szCs w:val="20"/>
        </w:rPr>
        <w:t>), U.N. Doc. CAT/C/</w:t>
      </w:r>
      <w:r w:rsidR="00E61231" w:rsidRPr="00BA4EC0">
        <w:rPr>
          <w:sz w:val="20"/>
          <w:szCs w:val="20"/>
        </w:rPr>
        <w:t>KWT</w:t>
      </w:r>
      <w:r w:rsidR="20EBB8F7" w:rsidRPr="00BA4EC0">
        <w:rPr>
          <w:sz w:val="20"/>
          <w:szCs w:val="20"/>
        </w:rPr>
        <w:t>/QPR/</w:t>
      </w:r>
      <w:r w:rsidR="00E61231" w:rsidRPr="00BA4EC0">
        <w:rPr>
          <w:sz w:val="20"/>
          <w:szCs w:val="20"/>
        </w:rPr>
        <w:t>4</w:t>
      </w:r>
      <w:r w:rsidR="20EBB8F7" w:rsidRPr="00BA4EC0">
        <w:rPr>
          <w:sz w:val="20"/>
          <w:szCs w:val="20"/>
        </w:rPr>
        <w:t xml:space="preserve">, ¶ </w:t>
      </w:r>
      <w:r w:rsidR="007613D0" w:rsidRPr="00BA4EC0">
        <w:rPr>
          <w:sz w:val="20"/>
          <w:szCs w:val="20"/>
        </w:rPr>
        <w:t>34</w:t>
      </w:r>
      <w:r w:rsidR="20EBB8F7" w:rsidRPr="00BA4EC0">
        <w:rPr>
          <w:sz w:val="20"/>
          <w:szCs w:val="20"/>
        </w:rPr>
        <w:t>.</w:t>
      </w:r>
    </w:p>
  </w:footnote>
  <w:footnote w:id="3">
    <w:p w14:paraId="2EF8D68A" w14:textId="06461CFB" w:rsidR="007C7CCE" w:rsidRPr="00BA4EC0" w:rsidRDefault="007C7CCE">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00EF761E" w:rsidRPr="00BA4EC0">
        <w:rPr>
          <w:i/>
          <w:sz w:val="20"/>
          <w:szCs w:val="20"/>
        </w:rPr>
        <w:t>Fourth</w:t>
      </w:r>
      <w:proofErr w:type="gramEnd"/>
      <w:r w:rsidRPr="00BA4EC0">
        <w:rPr>
          <w:i/>
          <w:sz w:val="20"/>
          <w:szCs w:val="20"/>
        </w:rPr>
        <w:t xml:space="preserve"> periodic report submitted by </w:t>
      </w:r>
      <w:r w:rsidR="00EF761E" w:rsidRPr="00BA4EC0">
        <w:rPr>
          <w:i/>
          <w:sz w:val="20"/>
          <w:szCs w:val="20"/>
        </w:rPr>
        <w:t>Kuwait</w:t>
      </w:r>
      <w:r w:rsidRPr="00BA4EC0">
        <w:rPr>
          <w:i/>
          <w:sz w:val="20"/>
          <w:szCs w:val="20"/>
        </w:rPr>
        <w:t xml:space="preserve"> under article 19 of the Convention</w:t>
      </w:r>
      <w:r w:rsidRPr="00BA4EC0">
        <w:rPr>
          <w:sz w:val="20"/>
          <w:szCs w:val="20"/>
        </w:rPr>
        <w:t>,</w:t>
      </w:r>
      <w:r w:rsidRPr="00BA4EC0">
        <w:rPr>
          <w:i/>
          <w:sz w:val="20"/>
          <w:szCs w:val="20"/>
        </w:rPr>
        <w:t xml:space="preserve"> due in 20</w:t>
      </w:r>
      <w:r w:rsidR="00EF761E" w:rsidRPr="00BA4EC0">
        <w:rPr>
          <w:i/>
          <w:sz w:val="20"/>
          <w:szCs w:val="20"/>
        </w:rPr>
        <w:t>20</w:t>
      </w:r>
      <w:r w:rsidRPr="00BA4EC0">
        <w:rPr>
          <w:sz w:val="20"/>
          <w:szCs w:val="20"/>
        </w:rPr>
        <w:t>, (</w:t>
      </w:r>
      <w:r w:rsidR="00EF761E" w:rsidRPr="00BA4EC0">
        <w:rPr>
          <w:sz w:val="20"/>
          <w:szCs w:val="20"/>
        </w:rPr>
        <w:t>Oct. 27, 2020</w:t>
      </w:r>
      <w:r w:rsidRPr="00BA4EC0">
        <w:rPr>
          <w:sz w:val="20"/>
          <w:szCs w:val="20"/>
        </w:rPr>
        <w:t>), U.N. Doc. CAT/C/</w:t>
      </w:r>
      <w:r w:rsidR="00EF761E" w:rsidRPr="00BA4EC0">
        <w:rPr>
          <w:sz w:val="20"/>
          <w:szCs w:val="20"/>
        </w:rPr>
        <w:t>KWT</w:t>
      </w:r>
      <w:r w:rsidRPr="00BA4EC0">
        <w:rPr>
          <w:sz w:val="20"/>
          <w:szCs w:val="20"/>
        </w:rPr>
        <w:t>/</w:t>
      </w:r>
      <w:r w:rsidR="00EF761E" w:rsidRPr="00BA4EC0">
        <w:rPr>
          <w:sz w:val="20"/>
          <w:szCs w:val="20"/>
        </w:rPr>
        <w:t>4</w:t>
      </w:r>
      <w:r w:rsidRPr="00BA4EC0">
        <w:rPr>
          <w:sz w:val="20"/>
          <w:szCs w:val="20"/>
        </w:rPr>
        <w:t xml:space="preserve">, ¶ </w:t>
      </w:r>
      <w:r w:rsidR="00EF761E" w:rsidRPr="00BA4EC0">
        <w:rPr>
          <w:sz w:val="20"/>
          <w:szCs w:val="20"/>
        </w:rPr>
        <w:t>7</w:t>
      </w:r>
      <w:r w:rsidRPr="00BA4EC0">
        <w:rPr>
          <w:sz w:val="20"/>
          <w:szCs w:val="20"/>
        </w:rPr>
        <w:t>.</w:t>
      </w:r>
    </w:p>
  </w:footnote>
  <w:footnote w:id="4">
    <w:p w14:paraId="0E18E41A" w14:textId="6D1024E5" w:rsidR="00C9167E" w:rsidRPr="00BA4EC0" w:rsidRDefault="00C9167E">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xml:space="preserve">, (Oct. 27, 2020), U.N. Doc. CAT/C/KWT/4, </w:t>
      </w:r>
      <w:r w:rsidR="007613D0" w:rsidRPr="00BA4EC0">
        <w:rPr>
          <w:sz w:val="20"/>
          <w:szCs w:val="20"/>
        </w:rPr>
        <w:t>¶</w:t>
      </w:r>
      <w:r w:rsidRPr="00BA4EC0">
        <w:rPr>
          <w:sz w:val="20"/>
          <w:szCs w:val="20"/>
        </w:rPr>
        <w:t xml:space="preserve">¶ </w:t>
      </w:r>
      <w:r w:rsidR="007613D0" w:rsidRPr="00BA4EC0">
        <w:rPr>
          <w:sz w:val="20"/>
          <w:szCs w:val="20"/>
        </w:rPr>
        <w:t>125-126</w:t>
      </w:r>
      <w:r w:rsidRPr="00BA4EC0">
        <w:rPr>
          <w:sz w:val="20"/>
          <w:szCs w:val="20"/>
        </w:rPr>
        <w:t>.</w:t>
      </w:r>
    </w:p>
  </w:footnote>
  <w:footnote w:id="5">
    <w:p w14:paraId="646B7C5D" w14:textId="2F8E479B" w:rsidR="0022067D" w:rsidRPr="00BA4EC0" w:rsidRDefault="0022067D">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2-</w:t>
      </w:r>
      <w:r w:rsidR="005F1DA5" w:rsidRPr="00BA4EC0">
        <w:rPr>
          <w:sz w:val="20"/>
          <w:szCs w:val="20"/>
        </w:rPr>
        <w:t>6</w:t>
      </w:r>
      <w:r w:rsidRPr="00BA4EC0">
        <w:rPr>
          <w:sz w:val="20"/>
          <w:szCs w:val="20"/>
        </w:rPr>
        <w:t>.</w:t>
      </w:r>
    </w:p>
  </w:footnote>
  <w:footnote w:id="6">
    <w:p w14:paraId="12EB2DFD" w14:textId="59DA9C1B" w:rsidR="006825F8" w:rsidRPr="00BA4EC0" w:rsidRDefault="006825F8" w:rsidP="006825F8">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w:t>
      </w:r>
      <w:r w:rsidR="004337DE" w:rsidRPr="00BA4EC0">
        <w:rPr>
          <w:i/>
          <w:iCs/>
          <w:sz w:val="20"/>
          <w:szCs w:val="20"/>
        </w:rPr>
        <w:t>3</w:t>
      </w:r>
      <w:r w:rsidRPr="00BA4EC0">
        <w:rPr>
          <w:i/>
          <w:iCs/>
          <w:sz w:val="20"/>
          <w:szCs w:val="20"/>
        </w:rPr>
        <w:t xml:space="preserve"> Country Reports on Human Rights Practices: </w:t>
      </w:r>
      <w:r w:rsidR="004337DE" w:rsidRPr="00BA4EC0">
        <w:rPr>
          <w:i/>
          <w:iCs/>
          <w:sz w:val="20"/>
          <w:szCs w:val="20"/>
        </w:rPr>
        <w:t>Kuwait</w:t>
      </w:r>
      <w:r w:rsidRPr="00BA4EC0">
        <w:rPr>
          <w:sz w:val="20"/>
          <w:szCs w:val="20"/>
        </w:rPr>
        <w:t xml:space="preserve">, </w:t>
      </w:r>
      <w:r w:rsidR="005F1DA5" w:rsidRPr="00BA4EC0">
        <w:rPr>
          <w:sz w:val="20"/>
          <w:szCs w:val="20"/>
        </w:rPr>
        <w:t>2-6</w:t>
      </w:r>
      <w:r w:rsidR="0022067D" w:rsidRPr="00BA4EC0">
        <w:rPr>
          <w:sz w:val="20"/>
          <w:szCs w:val="20"/>
        </w:rPr>
        <w:t>.</w:t>
      </w:r>
    </w:p>
  </w:footnote>
  <w:footnote w:id="7">
    <w:p w14:paraId="572A6C82" w14:textId="7F5945BD" w:rsidR="00752A6B" w:rsidRPr="00BA4EC0" w:rsidRDefault="00752A6B">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xml:space="preserve">, </w:t>
      </w:r>
      <w:r w:rsidR="002D5C10" w:rsidRPr="00BA4EC0">
        <w:rPr>
          <w:sz w:val="20"/>
          <w:szCs w:val="20"/>
        </w:rPr>
        <w:t>3</w:t>
      </w:r>
      <w:r w:rsidRPr="00BA4EC0">
        <w:rPr>
          <w:sz w:val="20"/>
          <w:szCs w:val="20"/>
        </w:rPr>
        <w:t>.</w:t>
      </w:r>
    </w:p>
  </w:footnote>
  <w:footnote w:id="8">
    <w:p w14:paraId="5DB41156" w14:textId="113D00AC" w:rsidR="00672026" w:rsidRPr="00BA4EC0" w:rsidRDefault="00672026" w:rsidP="00672026">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xml:space="preserve">, </w:t>
      </w:r>
      <w:r w:rsidR="00BA57D8" w:rsidRPr="00BA4EC0">
        <w:rPr>
          <w:sz w:val="20"/>
          <w:szCs w:val="20"/>
        </w:rPr>
        <w:t>3</w:t>
      </w:r>
      <w:r w:rsidRPr="00BA4EC0">
        <w:rPr>
          <w:sz w:val="20"/>
          <w:szCs w:val="20"/>
        </w:rPr>
        <w:t>.</w:t>
      </w:r>
    </w:p>
  </w:footnote>
  <w:footnote w:id="9">
    <w:p w14:paraId="54CCE127" w14:textId="77777777" w:rsidR="00AA08DC" w:rsidRPr="00BA4EC0" w:rsidRDefault="00AA08DC" w:rsidP="00AA08DC">
      <w:pPr>
        <w:pStyle w:val="FootnoteText"/>
        <w:jc w:val="both"/>
        <w:rPr>
          <w:sz w:val="20"/>
          <w:szCs w:val="20"/>
        </w:rPr>
      </w:pPr>
      <w:r w:rsidRPr="00BA4EC0">
        <w:rPr>
          <w:rStyle w:val="FootnoteReference"/>
          <w:sz w:val="20"/>
          <w:szCs w:val="20"/>
        </w:rPr>
        <w:footnoteRef/>
      </w:r>
      <w:r w:rsidRPr="00BA4EC0">
        <w:rPr>
          <w:sz w:val="20"/>
          <w:szCs w:val="20"/>
        </w:rPr>
        <w:t xml:space="preserve"> </w:t>
      </w:r>
      <w:r w:rsidRPr="00BA4EC0">
        <w:rPr>
          <w:i/>
          <w:iCs/>
          <w:sz w:val="20"/>
          <w:szCs w:val="20"/>
        </w:rPr>
        <w:t>Torture problem continues in Kuwait as reforms lag</w:t>
      </w:r>
      <w:r w:rsidRPr="00BA4EC0">
        <w:rPr>
          <w:sz w:val="20"/>
          <w:szCs w:val="20"/>
        </w:rPr>
        <w:t>, The Arab Weekly, June 6, 2022, https://thearabweekly.com/torture-problem-continues-kuwait-reforms-lag (accessed August 30, 2024)</w:t>
      </w:r>
    </w:p>
  </w:footnote>
  <w:footnote w:id="10">
    <w:p w14:paraId="64F2F5B3" w14:textId="67F93E56" w:rsidR="00E379CA" w:rsidRPr="00BA4EC0" w:rsidRDefault="00E379CA" w:rsidP="004F5394">
      <w:pPr>
        <w:pStyle w:val="FootnoteText"/>
        <w:jc w:val="both"/>
        <w:rPr>
          <w:sz w:val="20"/>
          <w:szCs w:val="20"/>
        </w:rPr>
      </w:pPr>
      <w:r w:rsidRPr="00BA4EC0">
        <w:rPr>
          <w:rStyle w:val="FootnoteReference"/>
          <w:sz w:val="20"/>
          <w:szCs w:val="20"/>
        </w:rPr>
        <w:footnoteRef/>
      </w:r>
      <w:r w:rsidR="004F5394" w:rsidRPr="00BA4EC0">
        <w:rPr>
          <w:sz w:val="20"/>
          <w:szCs w:val="20"/>
        </w:rPr>
        <w:t xml:space="preserve"> </w:t>
      </w:r>
      <w:r w:rsidRPr="00BA4EC0">
        <w:rPr>
          <w:sz w:val="20"/>
          <w:szCs w:val="20"/>
        </w:rPr>
        <w:t xml:space="preserve">B </w:t>
      </w:r>
      <w:proofErr w:type="spellStart"/>
      <w:r w:rsidRPr="00BA4EC0">
        <w:rPr>
          <w:sz w:val="20"/>
          <w:szCs w:val="20"/>
        </w:rPr>
        <w:t>Izzak</w:t>
      </w:r>
      <w:proofErr w:type="spellEnd"/>
      <w:r w:rsidRPr="00BA4EC0">
        <w:rPr>
          <w:sz w:val="20"/>
          <w:szCs w:val="20"/>
        </w:rPr>
        <w:t xml:space="preserve">, </w:t>
      </w:r>
      <w:r w:rsidRPr="00BA4EC0">
        <w:rPr>
          <w:i/>
          <w:iCs/>
          <w:sz w:val="20"/>
          <w:szCs w:val="20"/>
        </w:rPr>
        <w:t>Minister orders torture probe</w:t>
      </w:r>
      <w:r w:rsidRPr="00BA4EC0">
        <w:rPr>
          <w:sz w:val="20"/>
          <w:szCs w:val="20"/>
        </w:rPr>
        <w:t xml:space="preserve">, </w:t>
      </w:r>
      <w:r w:rsidR="004F5394" w:rsidRPr="00BA4EC0">
        <w:rPr>
          <w:sz w:val="20"/>
          <w:szCs w:val="20"/>
        </w:rPr>
        <w:t xml:space="preserve">Kuwait Times, </w:t>
      </w:r>
      <w:r w:rsidRPr="00BA4EC0">
        <w:rPr>
          <w:sz w:val="20"/>
          <w:szCs w:val="20"/>
        </w:rPr>
        <w:t xml:space="preserve">December 7, 2023, https://kuwaittimes.com/article/8787/kuwait/politics/minister-orders-torture-probe/ (accessed August 30, 2024) </w:t>
      </w:r>
    </w:p>
  </w:footnote>
  <w:footnote w:id="11">
    <w:p w14:paraId="37349E45" w14:textId="72C472BF" w:rsidR="00500BAB" w:rsidRPr="00BA4EC0" w:rsidRDefault="00500BAB">
      <w:pPr>
        <w:pStyle w:val="FootnoteText"/>
        <w:rPr>
          <w:sz w:val="20"/>
          <w:szCs w:val="20"/>
        </w:rPr>
      </w:pPr>
      <w:r w:rsidRPr="00BA4EC0">
        <w:rPr>
          <w:rStyle w:val="FootnoteReference"/>
          <w:sz w:val="20"/>
          <w:szCs w:val="20"/>
        </w:rPr>
        <w:footnoteRef/>
      </w:r>
      <w:r w:rsidRPr="00BA4EC0">
        <w:rPr>
          <w:sz w:val="20"/>
          <w:szCs w:val="20"/>
        </w:rPr>
        <w:t xml:space="preserve"> </w:t>
      </w:r>
      <w:r w:rsidR="00C338AE" w:rsidRPr="00BA4EC0">
        <w:rPr>
          <w:sz w:val="20"/>
          <w:szCs w:val="20"/>
        </w:rPr>
        <w:t>U</w:t>
      </w:r>
      <w:r w:rsidRPr="00BA4EC0">
        <w:rPr>
          <w:sz w:val="20"/>
          <w:szCs w:val="20"/>
        </w:rPr>
        <w:t xml:space="preserve">.S. Department of State, </w:t>
      </w:r>
      <w:r w:rsidRPr="00BA4EC0">
        <w:rPr>
          <w:i/>
          <w:iCs/>
          <w:sz w:val="20"/>
          <w:szCs w:val="20"/>
        </w:rPr>
        <w:t>2023 Country Reports on Human Rights Practices: Kuwait</w:t>
      </w:r>
      <w:r w:rsidRPr="00BA4EC0">
        <w:rPr>
          <w:sz w:val="20"/>
          <w:szCs w:val="20"/>
        </w:rPr>
        <w:t>, 59</w:t>
      </w:r>
      <w:r w:rsidR="00672026" w:rsidRPr="00BA4EC0">
        <w:rPr>
          <w:sz w:val="20"/>
          <w:szCs w:val="20"/>
        </w:rPr>
        <w:t>.</w:t>
      </w:r>
    </w:p>
  </w:footnote>
  <w:footnote w:id="12">
    <w:p w14:paraId="63C281A8" w14:textId="77777777" w:rsidR="00BF31D4" w:rsidRPr="00BA4EC0" w:rsidRDefault="00BF31D4" w:rsidP="00BF31D4">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2-4.</w:t>
      </w:r>
    </w:p>
  </w:footnote>
  <w:footnote w:id="13">
    <w:p w14:paraId="2CD36FE7" w14:textId="24508BCC" w:rsidR="00E16D1C" w:rsidRPr="00BA4EC0" w:rsidRDefault="00E16D1C">
      <w:pPr>
        <w:pStyle w:val="FootnoteText"/>
        <w:rPr>
          <w:sz w:val="20"/>
          <w:szCs w:val="20"/>
        </w:rPr>
      </w:pPr>
      <w:r w:rsidRPr="00BA4EC0">
        <w:rPr>
          <w:rStyle w:val="FootnoteReference"/>
          <w:sz w:val="20"/>
          <w:szCs w:val="20"/>
        </w:rPr>
        <w:footnoteRef/>
      </w:r>
      <w:r w:rsidRPr="00BA4EC0">
        <w:rPr>
          <w:sz w:val="20"/>
          <w:szCs w:val="20"/>
        </w:rPr>
        <w:t xml:space="preserve"> </w:t>
      </w:r>
      <w:r w:rsidR="0017602C" w:rsidRPr="00BA4EC0">
        <w:rPr>
          <w:sz w:val="20"/>
          <w:szCs w:val="20"/>
        </w:rPr>
        <w:t xml:space="preserve">Committee Against Torture, </w:t>
      </w:r>
      <w:r w:rsidR="0017602C" w:rsidRPr="00BA4EC0">
        <w:rPr>
          <w:i/>
          <w:iCs/>
          <w:sz w:val="20"/>
          <w:szCs w:val="20"/>
        </w:rPr>
        <w:t>List of issues prior to the submission of the fourth periodic report of Kuwait</w:t>
      </w:r>
      <w:r w:rsidR="0017602C" w:rsidRPr="00BA4EC0">
        <w:rPr>
          <w:sz w:val="20"/>
          <w:szCs w:val="20"/>
        </w:rPr>
        <w:t>, (June 14, 2019), U.N. Doc. CAT/C/KWT/QPR/4, ¶ 3.</w:t>
      </w:r>
    </w:p>
  </w:footnote>
  <w:footnote w:id="14">
    <w:p w14:paraId="714EB839" w14:textId="77B42C53" w:rsidR="0017602C" w:rsidRPr="00BA4EC0" w:rsidRDefault="0017602C">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13.</w:t>
      </w:r>
    </w:p>
  </w:footnote>
  <w:footnote w:id="15">
    <w:p w14:paraId="41A60C73" w14:textId="1780F444" w:rsidR="007F6CF2" w:rsidRPr="00BA4EC0" w:rsidRDefault="007F6CF2">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w:t>
      </w:r>
      <w:r w:rsidR="00CA5574" w:rsidRPr="00BA4EC0">
        <w:rPr>
          <w:sz w:val="20"/>
          <w:szCs w:val="20"/>
        </w:rPr>
        <w:t xml:space="preserve"> </w:t>
      </w:r>
      <w:r w:rsidRPr="00BA4EC0">
        <w:rPr>
          <w:sz w:val="20"/>
          <w:szCs w:val="20"/>
        </w:rPr>
        <w:t>14.</w:t>
      </w:r>
    </w:p>
  </w:footnote>
  <w:footnote w:id="16">
    <w:p w14:paraId="5E32B071" w14:textId="5579795D" w:rsidR="00CA5574" w:rsidRPr="00BA4EC0" w:rsidRDefault="00CA5574">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15.</w:t>
      </w:r>
    </w:p>
  </w:footnote>
  <w:footnote w:id="17">
    <w:p w14:paraId="5CDED9EE" w14:textId="40B70B9B" w:rsidR="00EA4002" w:rsidRPr="00BA4EC0" w:rsidRDefault="00EA4002">
      <w:pPr>
        <w:pStyle w:val="FootnoteText"/>
        <w:rPr>
          <w:sz w:val="20"/>
          <w:szCs w:val="20"/>
        </w:rPr>
      </w:pPr>
      <w:r w:rsidRPr="00BA4EC0">
        <w:rPr>
          <w:rStyle w:val="FootnoteReference"/>
          <w:sz w:val="20"/>
          <w:szCs w:val="20"/>
        </w:rPr>
        <w:footnoteRef/>
      </w:r>
      <w:r w:rsidRPr="00BA4EC0">
        <w:rPr>
          <w:sz w:val="20"/>
          <w:szCs w:val="20"/>
        </w:rPr>
        <w:t xml:space="preserve"> Amnesty International, </w:t>
      </w:r>
      <w:r w:rsidRPr="00BA4EC0">
        <w:rPr>
          <w:i/>
          <w:iCs/>
          <w:sz w:val="20"/>
          <w:szCs w:val="20"/>
        </w:rPr>
        <w:t>Kuwait: Authorities must release arbitrarily detained individuals</w:t>
      </w:r>
      <w:r w:rsidRPr="00BA4EC0">
        <w:rPr>
          <w:sz w:val="20"/>
          <w:szCs w:val="20"/>
        </w:rPr>
        <w:t>, (December 14, 2021), Available at https://www.amnesty.org/en/latest/news/2021/12/kuwait-release-arbitrarily-detained-individuals/.</w:t>
      </w:r>
    </w:p>
  </w:footnote>
  <w:footnote w:id="18">
    <w:p w14:paraId="77F507E4" w14:textId="0E3F959E" w:rsidR="00013FB3" w:rsidRPr="00BA4EC0" w:rsidRDefault="00013FB3">
      <w:pPr>
        <w:pStyle w:val="FootnoteText"/>
        <w:rPr>
          <w:sz w:val="20"/>
          <w:szCs w:val="20"/>
        </w:rPr>
      </w:pPr>
      <w:r w:rsidRPr="00BA4EC0">
        <w:rPr>
          <w:rStyle w:val="FootnoteReference"/>
          <w:sz w:val="20"/>
          <w:szCs w:val="20"/>
        </w:rPr>
        <w:footnoteRef/>
      </w:r>
      <w:r w:rsidRPr="00BA4EC0">
        <w:rPr>
          <w:sz w:val="20"/>
          <w:szCs w:val="20"/>
        </w:rPr>
        <w:t xml:space="preserve"> </w:t>
      </w:r>
      <w:r w:rsidR="00B947C2" w:rsidRPr="00BA4EC0">
        <w:rPr>
          <w:sz w:val="20"/>
          <w:szCs w:val="20"/>
        </w:rPr>
        <w:t xml:space="preserve">Amnesty International, </w:t>
      </w:r>
      <w:r w:rsidR="00B947C2" w:rsidRPr="00BA4EC0">
        <w:rPr>
          <w:i/>
          <w:iCs/>
          <w:sz w:val="20"/>
          <w:szCs w:val="20"/>
        </w:rPr>
        <w:t>Kuwait: Authorities must release arbitrarily detained individuals</w:t>
      </w:r>
      <w:r w:rsidR="00B947C2" w:rsidRPr="00BA4EC0">
        <w:rPr>
          <w:sz w:val="20"/>
          <w:szCs w:val="20"/>
        </w:rPr>
        <w:t>, (December 14, 2021), Available at https://www.amnesty.org/en/latest/news/2021/12/kuwait-release-arbitrarily-detained-individuals/.</w:t>
      </w:r>
    </w:p>
  </w:footnote>
  <w:footnote w:id="19">
    <w:p w14:paraId="1891D78A" w14:textId="2300DF7F" w:rsidR="00FE2AEC" w:rsidRPr="00BA4EC0" w:rsidRDefault="00FE2AEC">
      <w:pPr>
        <w:pStyle w:val="FootnoteText"/>
        <w:rPr>
          <w:sz w:val="20"/>
          <w:szCs w:val="20"/>
        </w:rPr>
      </w:pPr>
      <w:r w:rsidRPr="00BA4EC0">
        <w:rPr>
          <w:rStyle w:val="FootnoteReference"/>
          <w:sz w:val="20"/>
          <w:szCs w:val="20"/>
        </w:rPr>
        <w:footnoteRef/>
      </w:r>
      <w:r w:rsidRPr="00BA4EC0">
        <w:rPr>
          <w:sz w:val="20"/>
          <w:szCs w:val="20"/>
        </w:rPr>
        <w:t xml:space="preserve"> Amnesty International, </w:t>
      </w:r>
      <w:r w:rsidRPr="00BA4EC0">
        <w:rPr>
          <w:i/>
          <w:iCs/>
          <w:sz w:val="20"/>
          <w:szCs w:val="20"/>
        </w:rPr>
        <w:t>Kuwait: Authorities must release arbitrarily detained individuals</w:t>
      </w:r>
      <w:r w:rsidRPr="00BA4EC0">
        <w:rPr>
          <w:sz w:val="20"/>
          <w:szCs w:val="20"/>
        </w:rPr>
        <w:t>, (December 14, 2021), Available at https://www.amnesty.org/en/latest/news/2021/12/kuwait-release-arbitrarily-detained-individuals/.</w:t>
      </w:r>
    </w:p>
  </w:footnote>
  <w:footnote w:id="20">
    <w:p w14:paraId="586C6AE3" w14:textId="77777777" w:rsidR="00707A45" w:rsidRPr="00BA4EC0" w:rsidRDefault="00707A45" w:rsidP="00707A45">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8.</w:t>
      </w:r>
    </w:p>
  </w:footnote>
  <w:footnote w:id="21">
    <w:p w14:paraId="45CC991D" w14:textId="6E40A7C6" w:rsidR="00362CAC" w:rsidRPr="00BA4EC0" w:rsidRDefault="00362CAC">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8.</w:t>
      </w:r>
    </w:p>
  </w:footnote>
  <w:footnote w:id="22">
    <w:p w14:paraId="28B04E8D" w14:textId="2FB7D359" w:rsidR="00707A45" w:rsidRPr="00BA4EC0" w:rsidRDefault="00707A45">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7.</w:t>
      </w:r>
    </w:p>
  </w:footnote>
  <w:footnote w:id="23">
    <w:p w14:paraId="0A11B50E" w14:textId="174C1697" w:rsidR="00C338AE" w:rsidRPr="00BA4EC0" w:rsidRDefault="00C338AE">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xml:space="preserve">, </w:t>
      </w:r>
      <w:r w:rsidR="000C42BE" w:rsidRPr="00BA4EC0">
        <w:rPr>
          <w:sz w:val="20"/>
          <w:szCs w:val="20"/>
        </w:rPr>
        <w:t>7.</w:t>
      </w:r>
    </w:p>
  </w:footnote>
  <w:footnote w:id="24">
    <w:p w14:paraId="4238D3F4" w14:textId="7371E5B7" w:rsidR="00A24BEF" w:rsidRPr="00BA4EC0" w:rsidRDefault="00A24BEF" w:rsidP="00A24BEF">
      <w:pPr>
        <w:pStyle w:val="FootnoteText"/>
        <w:rPr>
          <w:sz w:val="20"/>
          <w:szCs w:val="20"/>
        </w:rPr>
      </w:pPr>
      <w:r w:rsidRPr="00BA4EC0">
        <w:rPr>
          <w:rStyle w:val="FootnoteReference"/>
          <w:sz w:val="20"/>
          <w:szCs w:val="20"/>
        </w:rPr>
        <w:footnoteRef/>
      </w:r>
      <w:r w:rsidRPr="00BA4EC0">
        <w:rPr>
          <w:sz w:val="20"/>
          <w:szCs w:val="20"/>
        </w:rPr>
        <w:t xml:space="preserve"> Committee Against Torture, </w:t>
      </w:r>
      <w:r w:rsidRPr="00BA4EC0">
        <w:rPr>
          <w:i/>
          <w:iCs/>
          <w:sz w:val="20"/>
          <w:szCs w:val="20"/>
        </w:rPr>
        <w:t>List of issues prior to the submission of the fourth periodic report of Kuwait</w:t>
      </w:r>
      <w:r w:rsidRPr="00BA4EC0">
        <w:rPr>
          <w:sz w:val="20"/>
          <w:szCs w:val="20"/>
        </w:rPr>
        <w:t>, (June 14, 2019), U.N. Doc. CAT/C/KWT/QPR/4, ¶ 18.</w:t>
      </w:r>
    </w:p>
  </w:footnote>
  <w:footnote w:id="25">
    <w:p w14:paraId="62FC54AD" w14:textId="7B177154" w:rsidR="008E59BA" w:rsidRPr="00BA4EC0" w:rsidRDefault="008E59BA">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90.</w:t>
      </w:r>
    </w:p>
  </w:footnote>
  <w:footnote w:id="26">
    <w:p w14:paraId="15E665B5" w14:textId="4A3548E7" w:rsidR="00BF0833" w:rsidRPr="00BA4EC0" w:rsidRDefault="00BF0833">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91-93.</w:t>
      </w:r>
    </w:p>
  </w:footnote>
  <w:footnote w:id="27">
    <w:p w14:paraId="4C62E374" w14:textId="70CA9533" w:rsidR="00610CD4" w:rsidRPr="00BA4EC0" w:rsidRDefault="00610CD4" w:rsidP="00610CD4">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w:t>
      </w:r>
      <w:r w:rsidR="00D70610" w:rsidRPr="00BA4EC0">
        <w:rPr>
          <w:sz w:val="20"/>
          <w:szCs w:val="20"/>
        </w:rPr>
        <w:t>¶</w:t>
      </w:r>
      <w:r w:rsidRPr="00BA4EC0">
        <w:rPr>
          <w:sz w:val="20"/>
          <w:szCs w:val="20"/>
        </w:rPr>
        <w:t xml:space="preserve"> 91</w:t>
      </w:r>
      <w:r w:rsidR="00D70610" w:rsidRPr="00BA4EC0">
        <w:rPr>
          <w:sz w:val="20"/>
          <w:szCs w:val="20"/>
        </w:rPr>
        <w:t>-93</w:t>
      </w:r>
      <w:r w:rsidRPr="00BA4EC0">
        <w:rPr>
          <w:sz w:val="20"/>
          <w:szCs w:val="20"/>
        </w:rPr>
        <w:t>.</w:t>
      </w:r>
    </w:p>
  </w:footnote>
  <w:footnote w:id="28">
    <w:p w14:paraId="795F7271" w14:textId="7D8114E5" w:rsidR="00621ADC" w:rsidRPr="00BA4EC0" w:rsidRDefault="00621ADC">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xml:space="preserve">, </w:t>
      </w:r>
      <w:r w:rsidR="008D6A2A" w:rsidRPr="00BA4EC0">
        <w:rPr>
          <w:sz w:val="20"/>
          <w:szCs w:val="20"/>
        </w:rPr>
        <w:t>5</w:t>
      </w:r>
      <w:r w:rsidR="004A2E8E" w:rsidRPr="00BA4EC0">
        <w:rPr>
          <w:sz w:val="20"/>
          <w:szCs w:val="20"/>
        </w:rPr>
        <w:t>.</w:t>
      </w:r>
    </w:p>
  </w:footnote>
  <w:footnote w:id="29">
    <w:p w14:paraId="23BFF11B" w14:textId="09A7980E" w:rsidR="004A2E8E" w:rsidRPr="00BA4EC0" w:rsidRDefault="004A2E8E">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5.</w:t>
      </w:r>
    </w:p>
  </w:footnote>
  <w:footnote w:id="30">
    <w:p w14:paraId="22B2FDDD" w14:textId="4627A9C6" w:rsidR="00F024C4" w:rsidRPr="00BA4EC0" w:rsidRDefault="00F024C4">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8.</w:t>
      </w:r>
    </w:p>
  </w:footnote>
  <w:footnote w:id="31">
    <w:p w14:paraId="715AAD72" w14:textId="26F3E7B2" w:rsidR="00F024C4" w:rsidRPr="00BA4EC0" w:rsidRDefault="00F024C4">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8.</w:t>
      </w:r>
    </w:p>
  </w:footnote>
  <w:footnote w:id="32">
    <w:p w14:paraId="719BBE75" w14:textId="0C3E6D04" w:rsidR="00F024C4" w:rsidRPr="00BA4EC0" w:rsidRDefault="00F024C4">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8-9.</w:t>
      </w:r>
    </w:p>
  </w:footnote>
  <w:footnote w:id="33">
    <w:p w14:paraId="23782E70" w14:textId="120DFC48" w:rsidR="00D973EA" w:rsidRPr="00BA4EC0" w:rsidRDefault="00D973EA">
      <w:pPr>
        <w:pStyle w:val="FootnoteText"/>
        <w:rPr>
          <w:sz w:val="20"/>
          <w:szCs w:val="20"/>
        </w:rPr>
      </w:pPr>
      <w:r w:rsidRPr="00BA4EC0">
        <w:rPr>
          <w:rStyle w:val="FootnoteReference"/>
          <w:sz w:val="20"/>
          <w:szCs w:val="20"/>
        </w:rPr>
        <w:footnoteRef/>
      </w:r>
      <w:r w:rsidRPr="00BA4EC0">
        <w:rPr>
          <w:sz w:val="20"/>
          <w:szCs w:val="20"/>
        </w:rPr>
        <w:t xml:space="preserve"> U.S. Department of State, </w:t>
      </w:r>
      <w:r w:rsidRPr="00BA4EC0">
        <w:rPr>
          <w:i/>
          <w:iCs/>
          <w:sz w:val="20"/>
          <w:szCs w:val="20"/>
        </w:rPr>
        <w:t>2023 Country Reports on Human Rights Practices: Kuwait</w:t>
      </w:r>
      <w:r w:rsidRPr="00BA4EC0">
        <w:rPr>
          <w:sz w:val="20"/>
          <w:szCs w:val="20"/>
        </w:rPr>
        <w:t>, 5-6.</w:t>
      </w:r>
    </w:p>
  </w:footnote>
  <w:footnote w:id="34">
    <w:p w14:paraId="4A34FEC4" w14:textId="77777777" w:rsidR="00161B46" w:rsidRPr="00BA4EC0" w:rsidRDefault="00161B46" w:rsidP="00161B46">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102.</w:t>
      </w:r>
    </w:p>
  </w:footnote>
  <w:footnote w:id="35">
    <w:p w14:paraId="6D867758" w14:textId="187D6338" w:rsidR="00515C4B" w:rsidRPr="00BA4EC0" w:rsidRDefault="00515C4B" w:rsidP="00515C4B">
      <w:pPr>
        <w:pStyle w:val="FootnoteText"/>
        <w:rPr>
          <w:sz w:val="20"/>
          <w:szCs w:val="20"/>
        </w:rPr>
      </w:pPr>
      <w:r w:rsidRPr="00BA4EC0">
        <w:rPr>
          <w:rStyle w:val="FootnoteReference"/>
          <w:sz w:val="20"/>
          <w:szCs w:val="20"/>
        </w:rPr>
        <w:footnoteRef/>
      </w:r>
      <w:r w:rsidRPr="00BA4EC0">
        <w:rPr>
          <w:sz w:val="20"/>
          <w:szCs w:val="20"/>
        </w:rPr>
        <w:t xml:space="preserve"> Committee Against Torture, </w:t>
      </w:r>
      <w:r w:rsidRPr="00BA4EC0">
        <w:rPr>
          <w:i/>
          <w:iCs/>
          <w:sz w:val="20"/>
          <w:szCs w:val="20"/>
        </w:rPr>
        <w:t>List of issues prior to the submission of the fourth periodic report of Kuwait</w:t>
      </w:r>
      <w:r w:rsidRPr="00BA4EC0">
        <w:rPr>
          <w:sz w:val="20"/>
          <w:szCs w:val="20"/>
        </w:rPr>
        <w:t>, (June 14, 2019), U.N. Doc. CAT/C/KWT/QPR/4,</w:t>
      </w:r>
      <w:r w:rsidR="00CD2706" w:rsidRPr="00BA4EC0">
        <w:rPr>
          <w:sz w:val="20"/>
          <w:szCs w:val="20"/>
        </w:rPr>
        <w:t xml:space="preserve"> ¶ </w:t>
      </w:r>
      <w:r w:rsidRPr="00BA4EC0">
        <w:rPr>
          <w:sz w:val="20"/>
          <w:szCs w:val="20"/>
        </w:rPr>
        <w:t>35.</w:t>
      </w:r>
    </w:p>
  </w:footnote>
  <w:footnote w:id="36">
    <w:p w14:paraId="052401E8" w14:textId="7AD94BE7" w:rsidR="00DB0B7E" w:rsidRPr="00BA4EC0" w:rsidRDefault="00DB0B7E">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129.</w:t>
      </w:r>
    </w:p>
  </w:footnote>
  <w:footnote w:id="37">
    <w:p w14:paraId="32F529F2" w14:textId="1D540D2C" w:rsidR="00032BB7" w:rsidRPr="00BA4EC0" w:rsidRDefault="00032BB7" w:rsidP="00032BB7">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w:t>
      </w:r>
      <w:r w:rsidR="00CD2706" w:rsidRPr="00BA4EC0">
        <w:rPr>
          <w:sz w:val="20"/>
          <w:szCs w:val="20"/>
        </w:rPr>
        <w:t xml:space="preserve"> </w:t>
      </w:r>
      <w:r w:rsidRPr="00BA4EC0">
        <w:rPr>
          <w:sz w:val="20"/>
          <w:szCs w:val="20"/>
        </w:rPr>
        <w:t>129.</w:t>
      </w:r>
    </w:p>
  </w:footnote>
  <w:footnote w:id="38">
    <w:p w14:paraId="531AB526" w14:textId="7359CD98" w:rsidR="00C41004" w:rsidRPr="00BA4EC0" w:rsidRDefault="00C41004">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129-135.</w:t>
      </w:r>
    </w:p>
  </w:footnote>
  <w:footnote w:id="39">
    <w:p w14:paraId="6F534E4D" w14:textId="71D5C949" w:rsidR="00C0733A" w:rsidRPr="00BA4EC0" w:rsidRDefault="00C0733A">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136-138.</w:t>
      </w:r>
    </w:p>
  </w:footnote>
  <w:footnote w:id="40">
    <w:p w14:paraId="3546BC1D" w14:textId="49D05F89" w:rsidR="004B4363" w:rsidRPr="00BA4EC0" w:rsidRDefault="004B4363">
      <w:pPr>
        <w:pStyle w:val="FootnoteText"/>
        <w:rPr>
          <w:sz w:val="20"/>
          <w:szCs w:val="20"/>
        </w:rPr>
      </w:pPr>
      <w:r w:rsidRPr="00BA4EC0">
        <w:rPr>
          <w:rStyle w:val="FootnoteReference"/>
          <w:sz w:val="20"/>
          <w:szCs w:val="20"/>
        </w:rPr>
        <w:footnoteRef/>
      </w:r>
      <w:r w:rsidRPr="00BA4EC0">
        <w:rPr>
          <w:sz w:val="20"/>
          <w:szCs w:val="20"/>
        </w:rPr>
        <w:t xml:space="preserve"> Amnesty International, </w:t>
      </w:r>
      <w:r w:rsidRPr="00BA4EC0">
        <w:rPr>
          <w:i/>
          <w:iCs/>
          <w:sz w:val="20"/>
          <w:szCs w:val="20"/>
        </w:rPr>
        <w:t>Kuwait: Five hanged as Kuwait continues execution spree into second year</w:t>
      </w:r>
      <w:r w:rsidRPr="00BA4EC0">
        <w:rPr>
          <w:sz w:val="20"/>
          <w:szCs w:val="20"/>
        </w:rPr>
        <w:t>, (July 28, 2023), Available at https://www.amnesty.org/en/latest/news/2023/07/kuwait-five-hanged-as-kuwait-continues-execution-spree-into-second-year/#:~:text=Kuwait's%20Office%20of%20Public%20Prosecution,illegal%20resident%E2%80%9D%20and%20convicted%20of.</w:t>
      </w:r>
    </w:p>
  </w:footnote>
  <w:footnote w:id="41">
    <w:p w14:paraId="6516E207" w14:textId="120180AC" w:rsidR="00116F20" w:rsidRPr="00BA4EC0" w:rsidRDefault="00116F20" w:rsidP="00A9664A">
      <w:pPr>
        <w:pStyle w:val="FootnoteText"/>
        <w:jc w:val="both"/>
        <w:rPr>
          <w:sz w:val="20"/>
          <w:szCs w:val="20"/>
        </w:rPr>
      </w:pPr>
      <w:r w:rsidRPr="00BA4EC0">
        <w:rPr>
          <w:rStyle w:val="FootnoteReference"/>
          <w:sz w:val="20"/>
          <w:szCs w:val="20"/>
        </w:rPr>
        <w:footnoteRef/>
      </w:r>
      <w:r w:rsidRPr="00BA4EC0">
        <w:rPr>
          <w:sz w:val="20"/>
          <w:szCs w:val="20"/>
        </w:rPr>
        <w:t xml:space="preserve"> Amnesty International, </w:t>
      </w:r>
      <w:r w:rsidRPr="00BA4EC0">
        <w:rPr>
          <w:i/>
          <w:iCs/>
          <w:sz w:val="20"/>
          <w:szCs w:val="20"/>
        </w:rPr>
        <w:t>Kuwait: Five hanged as Kuwait continues execution spree into second year</w:t>
      </w:r>
      <w:r w:rsidRPr="00BA4EC0">
        <w:rPr>
          <w:sz w:val="20"/>
          <w:szCs w:val="20"/>
        </w:rPr>
        <w:t>, (July 28, 2023), Available at https://www.amnesty.org/en/latest/news/2023/07/kuwait-five-hanged-as-kuwait-continues-execution-spree-into-second</w:t>
      </w:r>
      <w:r w:rsidR="00A9664A" w:rsidRPr="00BA4EC0">
        <w:rPr>
          <w:sz w:val="20"/>
          <w:szCs w:val="20"/>
        </w:rPr>
        <w:t>-</w:t>
      </w:r>
      <w:r w:rsidRPr="00BA4EC0">
        <w:rPr>
          <w:sz w:val="20"/>
          <w:szCs w:val="20"/>
        </w:rPr>
        <w:t xml:space="preserve">year/#:~:text=Kuwait's%20Office%20of%20Public%20Prosecution,illegal%20resident%E2%80%9D%20and%20convicted%20of. </w:t>
      </w:r>
    </w:p>
  </w:footnote>
  <w:footnote w:id="42">
    <w:p w14:paraId="5569957D" w14:textId="77777777" w:rsidR="00690604" w:rsidRPr="00BA4EC0" w:rsidRDefault="00690604" w:rsidP="00690604">
      <w:pPr>
        <w:pStyle w:val="FootnoteText"/>
        <w:rPr>
          <w:sz w:val="20"/>
          <w:szCs w:val="20"/>
        </w:rPr>
      </w:pPr>
      <w:r w:rsidRPr="00BA4EC0">
        <w:rPr>
          <w:rStyle w:val="FootnoteReference"/>
          <w:sz w:val="20"/>
          <w:szCs w:val="20"/>
        </w:rPr>
        <w:footnoteRef/>
      </w:r>
      <w:r w:rsidRPr="00BA4EC0">
        <w:rPr>
          <w:sz w:val="20"/>
          <w:szCs w:val="20"/>
        </w:rPr>
        <w:t xml:space="preserve"> Amnesty International, </w:t>
      </w:r>
      <w:r w:rsidRPr="00BA4EC0">
        <w:rPr>
          <w:i/>
          <w:iCs/>
          <w:sz w:val="20"/>
          <w:szCs w:val="20"/>
        </w:rPr>
        <w:t>Kuwait: Five hanged as Kuwait continues execution spree into second year</w:t>
      </w:r>
      <w:r w:rsidRPr="00BA4EC0">
        <w:rPr>
          <w:sz w:val="20"/>
          <w:szCs w:val="20"/>
        </w:rPr>
        <w:t>, (July 28, 2023), Available at https://www.amnesty.org/en/latest/news/2023/07/kuwait-five-hanged-as-kuwait-continues-execution-spree-into-second-year/#:~:text=Kuwait's%20Office%20of%20Public%20Prosecution,illegal%20resident%E2%80%9D%20and%20convicted%20of.</w:t>
      </w:r>
    </w:p>
  </w:footnote>
  <w:footnote w:id="43">
    <w:p w14:paraId="23E93BDE" w14:textId="1E860A65" w:rsidR="00A9664A" w:rsidRPr="00BA4EC0" w:rsidRDefault="00A9664A" w:rsidP="00A9664A">
      <w:pPr>
        <w:pStyle w:val="FootnoteText"/>
        <w:jc w:val="both"/>
        <w:rPr>
          <w:sz w:val="20"/>
          <w:szCs w:val="20"/>
        </w:rPr>
      </w:pPr>
      <w:r w:rsidRPr="00BA4EC0">
        <w:rPr>
          <w:rStyle w:val="FootnoteReference"/>
          <w:sz w:val="20"/>
          <w:szCs w:val="20"/>
        </w:rPr>
        <w:footnoteRef/>
      </w:r>
      <w:r w:rsidRPr="00BA4EC0">
        <w:rPr>
          <w:sz w:val="20"/>
          <w:szCs w:val="20"/>
        </w:rPr>
        <w:t xml:space="preserve"> Amnesty International, </w:t>
      </w:r>
      <w:r w:rsidRPr="00BA4EC0">
        <w:rPr>
          <w:i/>
          <w:iCs/>
          <w:sz w:val="20"/>
          <w:szCs w:val="20"/>
        </w:rPr>
        <w:t>Death sentences and executions 2022</w:t>
      </w:r>
      <w:r w:rsidRPr="00BA4EC0">
        <w:rPr>
          <w:sz w:val="20"/>
          <w:szCs w:val="20"/>
        </w:rPr>
        <w:t>, (May 16, 2023), ACT 50/6548/2023, Available at https://www.amnesty.org/en/documents/act50/6548/2023/en/.</w:t>
      </w:r>
    </w:p>
  </w:footnote>
  <w:footnote w:id="44">
    <w:p w14:paraId="5F4B5FBC" w14:textId="77777777" w:rsidR="00140808" w:rsidRPr="00BA4EC0" w:rsidRDefault="00140808" w:rsidP="00140808">
      <w:pPr>
        <w:pStyle w:val="FootnoteText"/>
        <w:jc w:val="both"/>
        <w:rPr>
          <w:sz w:val="20"/>
          <w:szCs w:val="20"/>
        </w:rPr>
      </w:pPr>
      <w:r w:rsidRPr="00BA4EC0">
        <w:rPr>
          <w:rStyle w:val="FootnoteReference"/>
          <w:sz w:val="20"/>
          <w:szCs w:val="20"/>
        </w:rPr>
        <w:footnoteRef/>
      </w:r>
      <w:r w:rsidRPr="00BA4EC0">
        <w:rPr>
          <w:sz w:val="20"/>
          <w:szCs w:val="20"/>
        </w:rPr>
        <w:t xml:space="preserve"> The Advocates for Human Rights, </w:t>
      </w:r>
      <w:r w:rsidRPr="00BA4EC0">
        <w:rPr>
          <w:i/>
          <w:iCs/>
          <w:sz w:val="20"/>
          <w:szCs w:val="20"/>
        </w:rPr>
        <w:t>The Compliance of Kuwait with the Convention on the Rights of the Child Alternative Report about the Rights of Children Whose Parents are Sentenced to Death or Executed</w:t>
      </w:r>
      <w:r w:rsidRPr="00BA4EC0">
        <w:rPr>
          <w:sz w:val="20"/>
          <w:szCs w:val="20"/>
        </w:rPr>
        <w:t>, accessed on Aug. 27, 2023, available at: https://www.theadvocatesforhumanrights.org/Res/Kuwait%20CRC%20Shadow%20Report%20Children%20of%20 People%20Sentenced%20to%20Death%20final.pdf.</w:t>
      </w:r>
    </w:p>
  </w:footnote>
  <w:footnote w:id="45">
    <w:p w14:paraId="27401167" w14:textId="622454D8" w:rsidR="00507D2E" w:rsidRPr="00BA4EC0" w:rsidRDefault="00507D2E" w:rsidP="00507D2E">
      <w:pPr>
        <w:pStyle w:val="FootnoteText"/>
        <w:rPr>
          <w:sz w:val="20"/>
          <w:szCs w:val="20"/>
        </w:rPr>
      </w:pPr>
      <w:r w:rsidRPr="00BA4EC0">
        <w:rPr>
          <w:rStyle w:val="FootnoteReference"/>
          <w:sz w:val="20"/>
          <w:szCs w:val="20"/>
        </w:rPr>
        <w:footnoteRef/>
      </w:r>
      <w:r w:rsidRPr="00BA4EC0">
        <w:rPr>
          <w:sz w:val="20"/>
          <w:szCs w:val="20"/>
        </w:rPr>
        <w:t xml:space="preserve"> Committee Against Torture, </w:t>
      </w:r>
      <w:r w:rsidRPr="00BA4EC0">
        <w:rPr>
          <w:i/>
          <w:iCs/>
          <w:sz w:val="20"/>
          <w:szCs w:val="20"/>
        </w:rPr>
        <w:t>List of issues prior to the submission of the fourth periodic report of Kuwait</w:t>
      </w:r>
      <w:r w:rsidRPr="00BA4EC0">
        <w:rPr>
          <w:sz w:val="20"/>
          <w:szCs w:val="20"/>
        </w:rPr>
        <w:t>, (June 14, 2019), U.N. Doc. CAT/C/KWT/QPR/4, ¶ 7.</w:t>
      </w:r>
    </w:p>
  </w:footnote>
  <w:footnote w:id="46">
    <w:p w14:paraId="4C305D40" w14:textId="6E04573C" w:rsidR="00507D2E" w:rsidRPr="00BA4EC0" w:rsidRDefault="00507D2E" w:rsidP="00507D2E">
      <w:pPr>
        <w:pStyle w:val="FootnoteText"/>
        <w:rPr>
          <w:sz w:val="20"/>
          <w:szCs w:val="20"/>
        </w:rPr>
      </w:pPr>
      <w:r w:rsidRPr="00BA4EC0">
        <w:rPr>
          <w:rStyle w:val="FootnoteReference"/>
          <w:sz w:val="20"/>
          <w:szCs w:val="20"/>
        </w:rPr>
        <w:footnoteRef/>
      </w:r>
      <w:r w:rsidRPr="00BA4EC0">
        <w:rPr>
          <w:sz w:val="20"/>
          <w:szCs w:val="20"/>
        </w:rPr>
        <w:t xml:space="preserve"> Committee Against Torture, </w:t>
      </w:r>
      <w:r w:rsidRPr="00BA4EC0">
        <w:rPr>
          <w:i/>
          <w:iCs/>
          <w:sz w:val="20"/>
          <w:szCs w:val="20"/>
        </w:rPr>
        <w:t>List of issues prior to the submission of the fourth periodic report of Kuwait</w:t>
      </w:r>
      <w:r w:rsidRPr="00BA4EC0">
        <w:rPr>
          <w:sz w:val="20"/>
          <w:szCs w:val="20"/>
        </w:rPr>
        <w:t xml:space="preserve">, (June 14, 2019), U.N. Doc. CAT/C/KWT/QPR/4, ¶ </w:t>
      </w:r>
      <w:r w:rsidR="006A471D" w:rsidRPr="00BA4EC0">
        <w:rPr>
          <w:sz w:val="20"/>
          <w:szCs w:val="20"/>
        </w:rPr>
        <w:t>8</w:t>
      </w:r>
      <w:r w:rsidRPr="00BA4EC0">
        <w:rPr>
          <w:sz w:val="20"/>
          <w:szCs w:val="20"/>
        </w:rPr>
        <w:t>.</w:t>
      </w:r>
    </w:p>
  </w:footnote>
  <w:footnote w:id="47">
    <w:p w14:paraId="0AD20A7B" w14:textId="03AEE731" w:rsidR="00C77BAE" w:rsidRPr="00BA4EC0" w:rsidRDefault="00C77BAE" w:rsidP="00C77BAE">
      <w:pPr>
        <w:pStyle w:val="FootnoteText"/>
        <w:rPr>
          <w:sz w:val="20"/>
          <w:szCs w:val="20"/>
        </w:rPr>
      </w:pPr>
      <w:r w:rsidRPr="00BA4EC0">
        <w:rPr>
          <w:rStyle w:val="FootnoteReference"/>
          <w:sz w:val="20"/>
          <w:szCs w:val="20"/>
        </w:rPr>
        <w:footnoteRef/>
      </w:r>
      <w:r w:rsidRPr="00BA4EC0">
        <w:rPr>
          <w:sz w:val="20"/>
          <w:szCs w:val="20"/>
        </w:rPr>
        <w:t xml:space="preserve"> Committee Against Torture, </w:t>
      </w:r>
      <w:proofErr w:type="gramStart"/>
      <w:r w:rsidRPr="00BA4EC0">
        <w:rPr>
          <w:i/>
          <w:sz w:val="20"/>
          <w:szCs w:val="20"/>
        </w:rPr>
        <w:t>Fourth</w:t>
      </w:r>
      <w:proofErr w:type="gramEnd"/>
      <w:r w:rsidRPr="00BA4EC0">
        <w:rPr>
          <w:i/>
          <w:sz w:val="20"/>
          <w:szCs w:val="20"/>
        </w:rPr>
        <w:t xml:space="preserve"> periodic report submitted by Kuwait under article 19 of the Convention</w:t>
      </w:r>
      <w:r w:rsidRPr="00BA4EC0">
        <w:rPr>
          <w:sz w:val="20"/>
          <w:szCs w:val="20"/>
        </w:rPr>
        <w:t>,</w:t>
      </w:r>
      <w:r w:rsidRPr="00BA4EC0">
        <w:rPr>
          <w:i/>
          <w:sz w:val="20"/>
          <w:szCs w:val="20"/>
        </w:rPr>
        <w:t xml:space="preserve"> due in 2020</w:t>
      </w:r>
      <w:r w:rsidRPr="00BA4EC0">
        <w:rPr>
          <w:sz w:val="20"/>
          <w:szCs w:val="20"/>
        </w:rPr>
        <w:t>, (Oct. 27, 2020), U.N. Doc. CAT/C/KWT/4, ¶¶ </w:t>
      </w:r>
      <w:r w:rsidR="00987544" w:rsidRPr="00BA4EC0">
        <w:rPr>
          <w:sz w:val="20"/>
          <w:szCs w:val="20"/>
        </w:rPr>
        <w:t>31-37</w:t>
      </w:r>
      <w:r w:rsidRPr="00BA4EC0">
        <w:rPr>
          <w:sz w:val="20"/>
          <w:szCs w:val="20"/>
        </w:rPr>
        <w:t>.</w:t>
      </w:r>
    </w:p>
  </w:footnote>
  <w:footnote w:id="48">
    <w:p w14:paraId="7F4D008C" w14:textId="581924E2" w:rsidR="00CB3D96" w:rsidRPr="00BA4EC0" w:rsidRDefault="00CB3D96">
      <w:pPr>
        <w:pStyle w:val="FootnoteText"/>
        <w:rPr>
          <w:sz w:val="20"/>
          <w:szCs w:val="20"/>
        </w:rPr>
      </w:pPr>
      <w:r w:rsidRPr="00BA4EC0">
        <w:rPr>
          <w:rStyle w:val="FootnoteReference"/>
          <w:sz w:val="20"/>
          <w:szCs w:val="20"/>
        </w:rPr>
        <w:footnoteRef/>
      </w:r>
      <w:r w:rsidRPr="00BA4EC0">
        <w:rPr>
          <w:sz w:val="20"/>
          <w:szCs w:val="20"/>
        </w:rPr>
        <w:t xml:space="preserve"> </w:t>
      </w:r>
      <w:r w:rsidRPr="00BA4EC0">
        <w:rPr>
          <w:i/>
          <w:iCs/>
          <w:sz w:val="20"/>
          <w:szCs w:val="20"/>
        </w:rPr>
        <w:t>Id.</w:t>
      </w:r>
      <w:r w:rsidRPr="00BA4EC0">
        <w:rPr>
          <w:sz w:val="20"/>
          <w:szCs w:val="20"/>
        </w:rPr>
        <w:t xml:space="preserve"> ¶ 38.</w:t>
      </w:r>
    </w:p>
  </w:footnote>
  <w:footnote w:id="49">
    <w:p w14:paraId="0EEE8DFD" w14:textId="3C845AD9" w:rsidR="00713EAA" w:rsidRPr="00BA4EC0" w:rsidRDefault="00713EAA">
      <w:pPr>
        <w:pStyle w:val="FootnoteText"/>
        <w:rPr>
          <w:sz w:val="20"/>
          <w:szCs w:val="20"/>
        </w:rPr>
      </w:pPr>
      <w:r w:rsidRPr="00BA4EC0">
        <w:rPr>
          <w:rStyle w:val="FootnoteReference"/>
          <w:sz w:val="20"/>
          <w:szCs w:val="20"/>
        </w:rPr>
        <w:footnoteRef/>
      </w:r>
      <w:r w:rsidRPr="00BA4EC0">
        <w:rPr>
          <w:sz w:val="20"/>
          <w:szCs w:val="20"/>
        </w:rPr>
        <w:t xml:space="preserve"> </w:t>
      </w:r>
      <w:r w:rsidRPr="00BA4EC0">
        <w:rPr>
          <w:i/>
          <w:iCs/>
          <w:sz w:val="20"/>
          <w:szCs w:val="20"/>
        </w:rPr>
        <w:t>Id.</w:t>
      </w:r>
      <w:r w:rsidRPr="00BA4EC0">
        <w:rPr>
          <w:sz w:val="20"/>
          <w:szCs w:val="20"/>
        </w:rPr>
        <w:t xml:space="preserve"> ¶¶ </w:t>
      </w:r>
      <w:r w:rsidR="005A2920" w:rsidRPr="00BA4EC0">
        <w:rPr>
          <w:sz w:val="20"/>
          <w:szCs w:val="20"/>
        </w:rPr>
        <w:t>44-50, 59.</w:t>
      </w:r>
    </w:p>
  </w:footnote>
  <w:footnote w:id="50">
    <w:p w14:paraId="0AC45F05"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Kuwait News Agency, </w:t>
      </w:r>
      <w:r w:rsidRPr="00BA4EC0">
        <w:rPr>
          <w:i/>
          <w:iCs/>
          <w:sz w:val="20"/>
          <w:szCs w:val="20"/>
        </w:rPr>
        <w:t>Kuwait prosecution oversees execution of 7 convicts</w:t>
      </w:r>
      <w:r w:rsidRPr="00BA4EC0">
        <w:rPr>
          <w:sz w:val="20"/>
          <w:szCs w:val="20"/>
        </w:rPr>
        <w:t>, (Nov. 16, 2022), available at https://www.kuna.net.kw/ArticleDetails.aspx?id=3069030&amp;Language=en (accessed on September 6, 2024).</w:t>
      </w:r>
    </w:p>
  </w:footnote>
  <w:footnote w:id="51">
    <w:p w14:paraId="2A7E0102"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w:t>
      </w:r>
      <w:r w:rsidRPr="00BA4EC0">
        <w:rPr>
          <w:i/>
          <w:iCs/>
          <w:sz w:val="20"/>
          <w:szCs w:val="20"/>
        </w:rPr>
        <w:t xml:space="preserve">See Kuwait turns to domestic workers from Ethiopia amid </w:t>
      </w:r>
      <w:proofErr w:type="spellStart"/>
      <w:r w:rsidRPr="00BA4EC0">
        <w:rPr>
          <w:i/>
          <w:iCs/>
          <w:sz w:val="20"/>
          <w:szCs w:val="20"/>
        </w:rPr>
        <w:t>labour</w:t>
      </w:r>
      <w:proofErr w:type="spellEnd"/>
      <w:r w:rsidRPr="00BA4EC0">
        <w:rPr>
          <w:i/>
          <w:iCs/>
          <w:sz w:val="20"/>
          <w:szCs w:val="20"/>
        </w:rPr>
        <w:t xml:space="preserve"> crisis</w:t>
      </w:r>
      <w:r w:rsidRPr="00BA4EC0">
        <w:rPr>
          <w:sz w:val="20"/>
          <w:szCs w:val="20"/>
        </w:rPr>
        <w:t>, Arab Weekly, Dec. 25, 2023, available at https://thearabweekly.com/kuwait-turns-domestic-workers-ethiopia-amid-labour-crisis (last visited Sept. 21, 2024).</w:t>
      </w:r>
    </w:p>
  </w:footnote>
  <w:footnote w:id="52">
    <w:p w14:paraId="3EF97A6D"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w:t>
      </w:r>
      <w:r w:rsidRPr="00BA4EC0">
        <w:rPr>
          <w:i/>
          <w:iCs/>
          <w:sz w:val="20"/>
          <w:szCs w:val="20"/>
        </w:rPr>
        <w:t xml:space="preserve">Kuwait turns to domestic workers from Ethiopia amid </w:t>
      </w:r>
      <w:proofErr w:type="spellStart"/>
      <w:r w:rsidRPr="00BA4EC0">
        <w:rPr>
          <w:i/>
          <w:iCs/>
          <w:sz w:val="20"/>
          <w:szCs w:val="20"/>
        </w:rPr>
        <w:t>labour</w:t>
      </w:r>
      <w:proofErr w:type="spellEnd"/>
      <w:r w:rsidRPr="00BA4EC0">
        <w:rPr>
          <w:i/>
          <w:iCs/>
          <w:sz w:val="20"/>
          <w:szCs w:val="20"/>
        </w:rPr>
        <w:t xml:space="preserve"> crisis</w:t>
      </w:r>
      <w:r w:rsidRPr="00BA4EC0">
        <w:rPr>
          <w:sz w:val="20"/>
          <w:szCs w:val="20"/>
        </w:rPr>
        <w:t>, Arab Weekly, Dec. 25, 2023, available at https://thearabweekly.com/kuwait-turns-domestic-workers-ethiopia-amid-labour-crisis (last visited Sept. 21, 2024).</w:t>
      </w:r>
    </w:p>
  </w:footnote>
  <w:footnote w:id="53">
    <w:p w14:paraId="03DA7321"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w:t>
      </w:r>
      <w:r w:rsidRPr="00BA4EC0">
        <w:rPr>
          <w:i/>
          <w:iCs/>
          <w:sz w:val="20"/>
          <w:szCs w:val="20"/>
        </w:rPr>
        <w:t>Kuwait: An Ethiopian Is Sentenced to Death for Killing an Indian Colleague</w:t>
      </w:r>
      <w:r w:rsidRPr="00BA4EC0">
        <w:rPr>
          <w:sz w:val="20"/>
          <w:szCs w:val="20"/>
        </w:rPr>
        <w:t>, Hands Off Cain, May 28, 2022, available at https://www.handsoffcain.info/notizia/kuwait-an-ethiopian-is-sentenced-to-death-for-killing-an-indian-colleague-60352363 (last visited Sept. 21, 2024).</w:t>
      </w:r>
    </w:p>
  </w:footnote>
  <w:footnote w:id="54">
    <w:p w14:paraId="6E7F700F" w14:textId="77777777" w:rsidR="00E654D1" w:rsidRPr="00BA4EC0" w:rsidRDefault="00E654D1" w:rsidP="003A5EA8">
      <w:pPr>
        <w:rPr>
          <w:sz w:val="20"/>
          <w:szCs w:val="20"/>
        </w:rPr>
      </w:pPr>
      <w:r w:rsidRPr="00BA4EC0">
        <w:rPr>
          <w:rStyle w:val="FootnoteReference"/>
          <w:sz w:val="20"/>
          <w:szCs w:val="20"/>
        </w:rPr>
        <w:footnoteRef/>
      </w:r>
      <w:r w:rsidRPr="00BA4EC0">
        <w:rPr>
          <w:sz w:val="20"/>
          <w:szCs w:val="20"/>
        </w:rPr>
        <w:t xml:space="preserve"> U.S. State Department, </w:t>
      </w:r>
      <w:r w:rsidRPr="00BA4EC0">
        <w:rPr>
          <w:i/>
          <w:iCs/>
          <w:sz w:val="20"/>
          <w:szCs w:val="20"/>
        </w:rPr>
        <w:t>2021 Country</w:t>
      </w:r>
      <w:r w:rsidRPr="00BA4EC0">
        <w:rPr>
          <w:i/>
          <w:sz w:val="20"/>
          <w:szCs w:val="20"/>
        </w:rPr>
        <w:t xml:space="preserve"> Reports on Human Rights Practices: Kuwait</w:t>
      </w:r>
      <w:r w:rsidRPr="00BA4EC0">
        <w:rPr>
          <w:iCs/>
          <w:sz w:val="20"/>
          <w:szCs w:val="20"/>
        </w:rPr>
        <w:t>,</w:t>
      </w:r>
      <w:r w:rsidRPr="00BA4EC0">
        <w:rPr>
          <w:i/>
          <w:sz w:val="20"/>
          <w:szCs w:val="20"/>
        </w:rPr>
        <w:t xml:space="preserve"> </w:t>
      </w:r>
      <w:r w:rsidRPr="00BA4EC0">
        <w:rPr>
          <w:iCs/>
          <w:sz w:val="20"/>
          <w:szCs w:val="20"/>
        </w:rPr>
        <w:t xml:space="preserve">available at </w:t>
      </w:r>
      <w:r w:rsidRPr="00BA4EC0">
        <w:rPr>
          <w:sz w:val="20"/>
          <w:szCs w:val="20"/>
        </w:rPr>
        <w:t xml:space="preserve">https://www.state.gov/wp-content/uploads/2022/03/313615_KUWAIT-2021-HUMAN-RIGHTS-REPORT.pdf. </w:t>
      </w:r>
    </w:p>
  </w:footnote>
  <w:footnote w:id="55">
    <w:p w14:paraId="29FADCB2"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World Coalition Against the Death Penalty and The Advocates for Human Rights</w:t>
      </w:r>
      <w:r w:rsidRPr="00BA4EC0">
        <w:rPr>
          <w:i/>
          <w:iCs/>
          <w:sz w:val="20"/>
          <w:szCs w:val="20"/>
        </w:rPr>
        <w:t>, Detailed Fact Sheet, Women Sentenced to Death: An Invisible Reality</w:t>
      </w:r>
      <w:r w:rsidRPr="00BA4EC0">
        <w:rPr>
          <w:sz w:val="20"/>
          <w:szCs w:val="20"/>
        </w:rPr>
        <w:t xml:space="preserve">, (Oct. 10, 2021). </w:t>
      </w:r>
    </w:p>
  </w:footnote>
  <w:footnote w:id="56">
    <w:p w14:paraId="17F16C36"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World Coalition Against the Death Penalty and The Advocates for Human Rights, </w:t>
      </w:r>
      <w:r w:rsidRPr="00BA4EC0">
        <w:rPr>
          <w:i/>
          <w:iCs/>
          <w:sz w:val="20"/>
          <w:szCs w:val="20"/>
        </w:rPr>
        <w:t xml:space="preserve">Detailed Fact Sheet, Women Sentenced to Death: An Invisible Reality, </w:t>
      </w:r>
      <w:r w:rsidRPr="00BA4EC0">
        <w:rPr>
          <w:sz w:val="20"/>
          <w:szCs w:val="20"/>
        </w:rPr>
        <w:t>(Oct. 10, 2021).</w:t>
      </w:r>
    </w:p>
  </w:footnote>
  <w:footnote w:id="57">
    <w:p w14:paraId="23D11B67"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Judged for More Than Her Crime: A Global Overview of Women Facing the Death Penalty</w:t>
      </w:r>
      <w:r w:rsidRPr="00BA4EC0">
        <w:rPr>
          <w:sz w:val="20"/>
          <w:szCs w:val="20"/>
        </w:rPr>
        <w:t xml:space="preserve">, (Sept. 4, 2018), available at https://www.deathpenaltyworldwide.org/wp-content/uploads/2019/12/Judged-More-Than-Her-Crime.pdf. </w:t>
      </w:r>
    </w:p>
  </w:footnote>
  <w:footnote w:id="58">
    <w:p w14:paraId="2814F258"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“No One Believed Me”: A Global Overview of Women Facing the Death Penalty for Drug Offenses</w:t>
      </w:r>
      <w:r w:rsidRPr="00BA4EC0">
        <w:rPr>
          <w:sz w:val="20"/>
          <w:szCs w:val="20"/>
        </w:rPr>
        <w:t>, (Sept. 6, 2021), available at https://deathpenaltyworldwide.org/publication/no-one-believed-me-a-global-overview-of-women-facing-the-death-penalty-for-drug-offenses/.</w:t>
      </w:r>
    </w:p>
  </w:footnote>
  <w:footnote w:id="59">
    <w:p w14:paraId="46A1EF16"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“No One Believed Me”: A Global Overview of Women Facing the Death Penalty for Drug Offenses</w:t>
      </w:r>
      <w:r w:rsidRPr="00BA4EC0">
        <w:rPr>
          <w:sz w:val="20"/>
          <w:szCs w:val="20"/>
        </w:rPr>
        <w:t>, (Sept. 6, 2021), available at https://deathpenaltyworldwide.org/publication/no-one-believed-me-a-global-overview-of-women-facing-the-death-penalty-for-drug-offenses/.</w:t>
      </w:r>
    </w:p>
  </w:footnote>
  <w:footnote w:id="60">
    <w:p w14:paraId="4D5E0605" w14:textId="77777777" w:rsidR="00E654D1" w:rsidRPr="00BA4EC0" w:rsidRDefault="00E654D1" w:rsidP="003A5EA8">
      <w:pPr>
        <w:pStyle w:val="NormalWeb"/>
        <w:spacing w:before="0" w:beforeAutospacing="0" w:after="0" w:afterAutospacing="0"/>
        <w:rPr>
          <w:sz w:val="20"/>
          <w:szCs w:val="20"/>
          <w:lang w:eastAsia="zh-CN"/>
        </w:rPr>
      </w:pPr>
      <w:r w:rsidRPr="00BA4EC0">
        <w:rPr>
          <w:rStyle w:val="FootnoteReference"/>
          <w:sz w:val="20"/>
          <w:szCs w:val="20"/>
        </w:rPr>
        <w:footnoteRef/>
      </w:r>
      <w:r w:rsidRPr="00BA4EC0">
        <w:rPr>
          <w:i/>
          <w:iCs/>
          <w:sz w:val="20"/>
          <w:szCs w:val="20"/>
        </w:rPr>
        <w:t xml:space="preserve"> </w:t>
      </w:r>
      <w:r w:rsidRPr="00BA4EC0">
        <w:rPr>
          <w:sz w:val="20"/>
          <w:szCs w:val="20"/>
        </w:rPr>
        <w:t xml:space="preserve">Cornell Center on the Death Penalty Worldwide, </w:t>
      </w:r>
      <w:r w:rsidRPr="00BA4EC0">
        <w:rPr>
          <w:i/>
          <w:iCs/>
          <w:sz w:val="20"/>
          <w:szCs w:val="20"/>
        </w:rPr>
        <w:t>Judged for More Than Her Crime: A Global Overview of Women Facing the Death Penalty</w:t>
      </w:r>
      <w:r w:rsidRPr="00BA4EC0">
        <w:rPr>
          <w:sz w:val="20"/>
          <w:szCs w:val="20"/>
        </w:rPr>
        <w:t xml:space="preserve">, (Sept. 4, 2018), available at https://www.deathpenaltyworldwide.org/wp-content/uploads/2019/12/Judged-More-Than-Her-Crime.pdf. </w:t>
      </w:r>
    </w:p>
  </w:footnote>
  <w:footnote w:id="61">
    <w:p w14:paraId="2B19BE4A" w14:textId="77777777" w:rsidR="00E654D1" w:rsidRPr="00BA4EC0" w:rsidRDefault="00E654D1" w:rsidP="003A5EA8">
      <w:pPr>
        <w:pStyle w:val="NormalWeb"/>
        <w:spacing w:before="0" w:beforeAutospacing="0" w:after="0" w:afterAutospacing="0"/>
        <w:rPr>
          <w:sz w:val="20"/>
          <w:szCs w:val="20"/>
          <w:lang w:eastAsia="zh-CN"/>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Judged for More Than Her Crime: A Global Overview of Women Facing the Death Penalty</w:t>
      </w:r>
      <w:r w:rsidRPr="00BA4EC0">
        <w:rPr>
          <w:sz w:val="20"/>
          <w:szCs w:val="20"/>
        </w:rPr>
        <w:t>, (Sept. 4, 2018), available at https://www.deathpenaltyworldwide.org/wp-content/uploads/2019/12/Judged-More-Than-Her-Crime.pdf.</w:t>
      </w:r>
    </w:p>
  </w:footnote>
  <w:footnote w:id="62">
    <w:p w14:paraId="15A5F9DF"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“No One Believed Me”: A Global Overview of Women Facing the Death Penalty for Drug Offenses</w:t>
      </w:r>
      <w:r w:rsidRPr="00BA4EC0">
        <w:rPr>
          <w:sz w:val="20"/>
          <w:szCs w:val="20"/>
        </w:rPr>
        <w:t xml:space="preserve"> (Sept. 20120), 6. Available online at https://deathpenaltyworldwide.org/publication/no-one-believed-me-a-global-overview-of-women-facing-the-death-penalty-for-drug-offenses/.</w:t>
      </w:r>
    </w:p>
  </w:footnote>
  <w:footnote w:id="63">
    <w:p w14:paraId="1B6FA373" w14:textId="478C952D"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“No One Believed Me”: A Global Overview of Women Facing the Death Penalty for Drug Offenses</w:t>
      </w:r>
      <w:r w:rsidRPr="00BA4EC0">
        <w:rPr>
          <w:sz w:val="20"/>
          <w:szCs w:val="20"/>
        </w:rPr>
        <w:t xml:space="preserve"> (Sept. 6, 2021). Available online at</w:t>
      </w:r>
      <w:r w:rsidR="00B76D99" w:rsidRPr="00BA4EC0">
        <w:rPr>
          <w:sz w:val="20"/>
          <w:szCs w:val="20"/>
        </w:rPr>
        <w:t xml:space="preserve"> </w:t>
      </w:r>
      <w:r w:rsidRPr="00BA4EC0">
        <w:rPr>
          <w:sz w:val="20"/>
          <w:szCs w:val="20"/>
        </w:rPr>
        <w:t xml:space="preserve">https://deathpenaltyworldwide.org/publication/no-one-believed-me-a-global-overview-of-women-facing-the-death-penalty-for-drug-offenses/. </w:t>
      </w:r>
    </w:p>
  </w:footnote>
  <w:footnote w:id="64">
    <w:p w14:paraId="24DE388A" w14:textId="77777777" w:rsidR="00E654D1" w:rsidRPr="00BA4EC0" w:rsidRDefault="00E654D1" w:rsidP="003A5EA8">
      <w:pPr>
        <w:pStyle w:val="NormalWeb"/>
        <w:spacing w:before="0" w:beforeAutospacing="0" w:after="0" w:afterAutospacing="0"/>
        <w:rPr>
          <w:sz w:val="20"/>
          <w:szCs w:val="20"/>
          <w:lang w:eastAsia="zh-CN"/>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Judged for More Than Her Crime: A Global Overview of Women Facing the Death Penalty</w:t>
      </w:r>
      <w:r w:rsidRPr="00BA4EC0">
        <w:rPr>
          <w:sz w:val="20"/>
          <w:szCs w:val="20"/>
        </w:rPr>
        <w:t>, (Sept. 4, 2018), available at https://www.deathpenaltyworldwide.org/wp-content/uploads/2019/12/Judged-More-Than-Her-Crime.pdf.</w:t>
      </w:r>
    </w:p>
  </w:footnote>
  <w:footnote w:id="65">
    <w:p w14:paraId="7C2BBDBA"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Emma Milne &amp; Jackie Turton, </w:t>
      </w:r>
      <w:r w:rsidRPr="00BA4EC0">
        <w:rPr>
          <w:i/>
          <w:iCs/>
          <w:sz w:val="20"/>
          <w:szCs w:val="20"/>
        </w:rPr>
        <w:t>Understanding Violent Women</w:t>
      </w:r>
      <w:r w:rsidRPr="00BA4EC0">
        <w:rPr>
          <w:sz w:val="20"/>
          <w:szCs w:val="20"/>
        </w:rPr>
        <w:t xml:space="preserve">, </w:t>
      </w:r>
      <w:r w:rsidRPr="00BA4EC0">
        <w:rPr>
          <w:i/>
          <w:iCs/>
          <w:sz w:val="20"/>
          <w:szCs w:val="20"/>
        </w:rPr>
        <w:t xml:space="preserve">in </w:t>
      </w:r>
      <w:r w:rsidRPr="00BA4EC0">
        <w:rPr>
          <w:smallCaps/>
          <w:sz w:val="20"/>
          <w:szCs w:val="20"/>
        </w:rPr>
        <w:t>Women and the Criminal Justice System: Falling Victim and Offenders?</w:t>
      </w:r>
      <w:r w:rsidRPr="00BA4EC0">
        <w:rPr>
          <w:sz w:val="20"/>
          <w:szCs w:val="20"/>
        </w:rPr>
        <w:t xml:space="preserve"> 119, 124-25 (Palgrave Macmillan, 2018).</w:t>
      </w:r>
    </w:p>
  </w:footnote>
  <w:footnote w:id="66">
    <w:p w14:paraId="351A803B"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U.N. Office of the High Commissioner for Human Rights, </w:t>
      </w:r>
      <w:r w:rsidRPr="00BA4EC0">
        <w:rPr>
          <w:i/>
          <w:iCs/>
          <w:sz w:val="20"/>
          <w:szCs w:val="20"/>
        </w:rPr>
        <w:t>Death penalty disproportionately affects the poor, U.N. rights experts warn</w:t>
      </w:r>
      <w:r w:rsidRPr="00BA4EC0">
        <w:rPr>
          <w:sz w:val="20"/>
          <w:szCs w:val="20"/>
        </w:rPr>
        <w:t xml:space="preserve"> (Oct. 10, 2017), available at http://www.ohchr.org/EN/NewsEvents/Pages/DisplayNews.aspx?NewsID=22208&amp;LangID=E (accessed on September 6, 2024). </w:t>
      </w:r>
    </w:p>
  </w:footnote>
  <w:footnote w:id="67">
    <w:p w14:paraId="54B6346B"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U.N. Office of the High Commissioner for Human Rights, </w:t>
      </w:r>
      <w:r w:rsidRPr="00BA4EC0">
        <w:rPr>
          <w:i/>
          <w:iCs/>
          <w:sz w:val="20"/>
          <w:szCs w:val="20"/>
        </w:rPr>
        <w:t>Death penalty disproportionately affects the poor, U.N. rights experts warn</w:t>
      </w:r>
      <w:r w:rsidRPr="00BA4EC0">
        <w:rPr>
          <w:sz w:val="20"/>
          <w:szCs w:val="20"/>
        </w:rPr>
        <w:t xml:space="preserve"> (Oct. 10, 2017), available at http://www.ohchr.org/EN/NewsEvents/Pages/DisplayNews.aspx?NewsID=22208&amp;LangID=E (accessed on September 6, 2024).</w:t>
      </w:r>
    </w:p>
  </w:footnote>
  <w:footnote w:id="68">
    <w:p w14:paraId="6D05D6AB" w14:textId="77777777" w:rsidR="00E654D1" w:rsidRPr="00BA4EC0" w:rsidRDefault="00E654D1" w:rsidP="003A5EA8">
      <w:pPr>
        <w:rPr>
          <w:sz w:val="20"/>
          <w:szCs w:val="20"/>
        </w:rPr>
      </w:pPr>
      <w:r w:rsidRPr="00BA4EC0">
        <w:rPr>
          <w:rStyle w:val="FootnoteReference"/>
          <w:sz w:val="20"/>
          <w:szCs w:val="20"/>
        </w:rPr>
        <w:footnoteRef/>
      </w:r>
      <w:r w:rsidRPr="00BA4EC0">
        <w:rPr>
          <w:sz w:val="20"/>
          <w:szCs w:val="20"/>
        </w:rPr>
        <w:t xml:space="preserve"> U.S. State Department, </w:t>
      </w:r>
      <w:r w:rsidRPr="00BA4EC0">
        <w:rPr>
          <w:i/>
          <w:iCs/>
          <w:sz w:val="20"/>
          <w:szCs w:val="20"/>
        </w:rPr>
        <w:t>2021 Country</w:t>
      </w:r>
      <w:r w:rsidRPr="00BA4EC0">
        <w:rPr>
          <w:i/>
          <w:sz w:val="20"/>
          <w:szCs w:val="20"/>
        </w:rPr>
        <w:t xml:space="preserve"> Reports on Human Rights Practices: Kuwait,</w:t>
      </w:r>
      <w:r w:rsidRPr="00BA4EC0">
        <w:rPr>
          <w:sz w:val="20"/>
          <w:szCs w:val="20"/>
        </w:rPr>
        <w:t xml:space="preserve"> 29-30. Available online at https://www.state.gov/wp-content/uploads/2022/03/313615_KUWAIT-2021-HUMAN-RIGHTS-REPORT.pdf. </w:t>
      </w:r>
    </w:p>
  </w:footnote>
  <w:footnote w:id="69">
    <w:p w14:paraId="14094A3F"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U.S. State Department, </w:t>
      </w:r>
      <w:r w:rsidRPr="00BA4EC0">
        <w:rPr>
          <w:i/>
          <w:iCs/>
          <w:sz w:val="20"/>
          <w:szCs w:val="20"/>
        </w:rPr>
        <w:t>2021 Country</w:t>
      </w:r>
      <w:r w:rsidRPr="00BA4EC0">
        <w:rPr>
          <w:i/>
          <w:sz w:val="20"/>
          <w:szCs w:val="20"/>
        </w:rPr>
        <w:t xml:space="preserve"> Reports on Human Rights Practices: Kuwait,</w:t>
      </w:r>
      <w:r w:rsidRPr="00BA4EC0">
        <w:rPr>
          <w:sz w:val="20"/>
          <w:szCs w:val="20"/>
        </w:rPr>
        <w:t xml:space="preserve"> 29-30. Available online at https://www.state.gov/wp-content/uploads/2022/03/313615_KUWAIT-2021-HUMAN-RIGHTS-REPORT.pdf.</w:t>
      </w:r>
    </w:p>
  </w:footnote>
  <w:footnote w:id="70">
    <w:p w14:paraId="43720A8F" w14:textId="77777777" w:rsidR="00E654D1" w:rsidRPr="00BA4EC0" w:rsidRDefault="00E654D1" w:rsidP="003A5EA8">
      <w:pPr>
        <w:pStyle w:val="FootnoteText"/>
        <w:rPr>
          <w:color w:val="000000" w:themeColor="text1"/>
          <w:sz w:val="20"/>
          <w:szCs w:val="20"/>
        </w:rPr>
      </w:pPr>
      <w:r w:rsidRPr="00BA4EC0">
        <w:rPr>
          <w:rStyle w:val="FootnoteReference"/>
          <w:color w:val="000000" w:themeColor="text1"/>
          <w:sz w:val="20"/>
          <w:szCs w:val="20"/>
        </w:rPr>
        <w:footnoteRef/>
      </w:r>
      <w:r w:rsidRPr="00BA4EC0">
        <w:rPr>
          <w:color w:val="000000" w:themeColor="text1"/>
          <w:sz w:val="20"/>
          <w:szCs w:val="20"/>
        </w:rPr>
        <w:t xml:space="preserve"> The Cornell Center on the Death Penalty Worldwide, No One Believed Me: A Global Overview of Women Facing the Death Penalty for Drug Offenses, September 2021, available at: </w:t>
      </w:r>
      <w:hyperlink r:id="rId1" w:history="1">
        <w:r w:rsidRPr="00BA4EC0">
          <w:rPr>
            <w:color w:val="000000" w:themeColor="text1"/>
            <w:sz w:val="20"/>
            <w:szCs w:val="20"/>
          </w:rPr>
          <w:t>“No One Believed Me”: A Global Overview of Women Facing the Death Penalty for Drug Offenses (deathpenaltyworldwide.org)</w:t>
        </w:r>
      </w:hyperlink>
      <w:r w:rsidRPr="00BA4EC0">
        <w:rPr>
          <w:color w:val="000000" w:themeColor="text1"/>
          <w:sz w:val="20"/>
          <w:szCs w:val="20"/>
        </w:rPr>
        <w:t xml:space="preserve"> at p. 16.</w:t>
      </w:r>
    </w:p>
  </w:footnote>
  <w:footnote w:id="71">
    <w:p w14:paraId="090BE838"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Judged for More Than Her Crime: A Global Overview of Women Facing the Death Penalty</w:t>
      </w:r>
      <w:r w:rsidRPr="00BA4EC0">
        <w:rPr>
          <w:sz w:val="20"/>
          <w:szCs w:val="20"/>
        </w:rPr>
        <w:t>, Sept. 2018, at 17-18, available at https://www.deathpenaltyworldwide.org/wp-content/uploads/2019/12/Judged-More-Than-Her-Crime.pdf (last visited Dec. 29, 2022).</w:t>
      </w:r>
    </w:p>
  </w:footnote>
  <w:footnote w:id="72">
    <w:p w14:paraId="28D85EC6" w14:textId="77777777" w:rsidR="00E654D1" w:rsidRPr="00BA4EC0" w:rsidRDefault="00E654D1" w:rsidP="003A5EA8">
      <w:pPr>
        <w:pStyle w:val="FootnoteText"/>
        <w:rPr>
          <w:sz w:val="20"/>
          <w:szCs w:val="20"/>
        </w:rPr>
      </w:pPr>
      <w:r w:rsidRPr="00BA4EC0">
        <w:rPr>
          <w:rStyle w:val="FootnoteReference"/>
          <w:sz w:val="20"/>
          <w:szCs w:val="20"/>
        </w:rPr>
        <w:footnoteRef/>
      </w:r>
      <w:r w:rsidRPr="00BA4EC0">
        <w:rPr>
          <w:sz w:val="20"/>
          <w:szCs w:val="20"/>
        </w:rPr>
        <w:t xml:space="preserve"> Cornell Center on the Death Penalty Worldwide, </w:t>
      </w:r>
      <w:r w:rsidRPr="00BA4EC0">
        <w:rPr>
          <w:i/>
          <w:iCs/>
          <w:sz w:val="20"/>
          <w:szCs w:val="20"/>
        </w:rPr>
        <w:t>Judged for More Than Her Crime: A Global Overview of Women Facing the Death Penalty</w:t>
      </w:r>
      <w:r w:rsidRPr="00BA4EC0">
        <w:rPr>
          <w:sz w:val="20"/>
          <w:szCs w:val="20"/>
        </w:rPr>
        <w:t>, Sept. 2018, at 28, available at https://www.deathpenaltyworldwide.org/wp-content/uploads/2019/12/Judged-More-Than-Her-Crime.pdf (last visited Dec. 29,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27E4DF1E" w:rsidR="00804604" w:rsidRDefault="00FA630E">
    <w:pPr>
      <w:pStyle w:val="Header"/>
    </w:pPr>
    <w:r>
      <w:rPr>
        <w:noProof/>
      </w:rPr>
      <w:drawing>
        <wp:anchor distT="0" distB="0" distL="114300" distR="114300" simplePos="0" relativeHeight="251658752" behindDoc="0" locked="0" layoutInCell="1" allowOverlap="1" wp14:anchorId="125056A5" wp14:editId="7AD4A457">
          <wp:simplePos x="0" y="0"/>
          <wp:positionH relativeFrom="column">
            <wp:posOffset>0</wp:posOffset>
          </wp:positionH>
          <wp:positionV relativeFrom="paragraph">
            <wp:posOffset>-85725</wp:posOffset>
          </wp:positionV>
          <wp:extent cx="1638300" cy="876300"/>
          <wp:effectExtent l="0" t="0" r="0" b="0"/>
          <wp:wrapNone/>
          <wp:docPr id="1494608629" name="Picture 1494608629"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08629" name="Picture 1494608629" descr="A white and grey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38300" cy="876300"/>
                  </a:xfrm>
                  <a:prstGeom prst="rect">
                    <a:avLst/>
                  </a:prstGeom>
                </pic:spPr>
              </pic:pic>
            </a:graphicData>
          </a:graphic>
        </wp:anchor>
      </w:drawing>
    </w:r>
    <w:r w:rsidR="006848F5">
      <w:rPr>
        <w:noProof/>
      </w:rPr>
      <w:drawing>
        <wp:anchor distT="0" distB="0" distL="114300" distR="114300" simplePos="0" relativeHeight="251656704" behindDoc="0" locked="0" layoutInCell="1" allowOverlap="1" wp14:anchorId="0D691956" wp14:editId="4113ADC7">
          <wp:simplePos x="0" y="0"/>
          <wp:positionH relativeFrom="margin">
            <wp:align>right</wp:align>
          </wp:positionH>
          <wp:positionV relativeFrom="paragraph">
            <wp:posOffset>-165873</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3509"/>
    <w:multiLevelType w:val="hybridMultilevel"/>
    <w:tmpl w:val="48961F94"/>
    <w:lvl w:ilvl="0" w:tplc="CBC0369C">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2987F04"/>
    <w:multiLevelType w:val="hybridMultilevel"/>
    <w:tmpl w:val="FFD05A7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82761B"/>
    <w:multiLevelType w:val="hybridMultilevel"/>
    <w:tmpl w:val="9A32212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BC0B64"/>
    <w:multiLevelType w:val="hybridMultilevel"/>
    <w:tmpl w:val="E824545E"/>
    <w:lvl w:ilvl="0" w:tplc="8F7628A6">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9848D1"/>
    <w:multiLevelType w:val="hybridMultilevel"/>
    <w:tmpl w:val="7848C50A"/>
    <w:styleLink w:val="ImportedStyle4"/>
    <w:lvl w:ilvl="0" w:tplc="B23C53FE">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2443F8">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1E92D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38B4E0">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B6BAD0">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4ED9F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2A2108">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5A56EC">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BC2F2E">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64826D0"/>
    <w:multiLevelType w:val="hybridMultilevel"/>
    <w:tmpl w:val="EFA8C81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3E7372C7"/>
    <w:multiLevelType w:val="hybridMultilevel"/>
    <w:tmpl w:val="0DFA80E4"/>
    <w:styleLink w:val="ImportedStyle1"/>
    <w:lvl w:ilvl="0" w:tplc="27380A2A">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9543946">
      <w:start w:val="1"/>
      <w:numFmt w:val="decimal"/>
      <w:lvlText w:val="%2."/>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44A7390">
      <w:start w:val="1"/>
      <w:numFmt w:val="decimal"/>
      <w:lvlText w:val="%3."/>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E8C21AFE">
      <w:start w:val="1"/>
      <w:numFmt w:val="decimal"/>
      <w:lvlText w:val="%4."/>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1A2991A">
      <w:start w:val="1"/>
      <w:numFmt w:val="decimal"/>
      <w:lvlText w:val="%5."/>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2DC0C6E">
      <w:start w:val="1"/>
      <w:numFmt w:val="decimal"/>
      <w:lvlText w:val="%6."/>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4502A9E">
      <w:start w:val="1"/>
      <w:numFmt w:val="decimal"/>
      <w:lvlText w:val="%7."/>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1E8AABE">
      <w:start w:val="1"/>
      <w:numFmt w:val="decimal"/>
      <w:lvlText w:val="%8."/>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288A508">
      <w:start w:val="1"/>
      <w:numFmt w:val="decimal"/>
      <w:lvlText w:val="%9."/>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260228F"/>
    <w:multiLevelType w:val="multilevel"/>
    <w:tmpl w:val="0DFA80E4"/>
    <w:numStyleLink w:val="ImportedStyle1"/>
  </w:abstractNum>
  <w:abstractNum w:abstractNumId="15" w15:restartNumberingAfterBreak="0">
    <w:nsid w:val="47432521"/>
    <w:multiLevelType w:val="hybridMultilevel"/>
    <w:tmpl w:val="E7900CF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15:restartNumberingAfterBreak="0">
    <w:nsid w:val="4A416BFC"/>
    <w:multiLevelType w:val="hybridMultilevel"/>
    <w:tmpl w:val="7848C50A"/>
    <w:numStyleLink w:val="ImportedStyle4"/>
  </w:abstractNum>
  <w:abstractNum w:abstractNumId="1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D92398"/>
    <w:multiLevelType w:val="hybridMultilevel"/>
    <w:tmpl w:val="8F147414"/>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915969075">
    <w:abstractNumId w:val="9"/>
  </w:num>
  <w:num w:numId="2" w16cid:durableId="2029719975">
    <w:abstractNumId w:val="7"/>
  </w:num>
  <w:num w:numId="3" w16cid:durableId="1539776804">
    <w:abstractNumId w:val="17"/>
  </w:num>
  <w:num w:numId="4" w16cid:durableId="363679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0"/>
  </w:num>
  <w:num w:numId="6" w16cid:durableId="594171688">
    <w:abstractNumId w:val="2"/>
  </w:num>
  <w:num w:numId="7" w16cid:durableId="1938251912">
    <w:abstractNumId w:val="5"/>
  </w:num>
  <w:num w:numId="8" w16cid:durableId="1784962959">
    <w:abstractNumId w:val="19"/>
  </w:num>
  <w:num w:numId="9" w16cid:durableId="1023946614">
    <w:abstractNumId w:val="3"/>
  </w:num>
  <w:num w:numId="10" w16cid:durableId="191308430">
    <w:abstractNumId w:val="18"/>
  </w:num>
  <w:num w:numId="11" w16cid:durableId="2019916894">
    <w:abstractNumId w:val="15"/>
  </w:num>
  <w:num w:numId="12" w16cid:durableId="350646555">
    <w:abstractNumId w:val="12"/>
  </w:num>
  <w:num w:numId="13" w16cid:durableId="385105438">
    <w:abstractNumId w:val="6"/>
  </w:num>
  <w:num w:numId="14" w16cid:durableId="136185774">
    <w:abstractNumId w:val="8"/>
  </w:num>
  <w:num w:numId="15" w16cid:durableId="356081689">
    <w:abstractNumId w:val="0"/>
  </w:num>
  <w:num w:numId="16" w16cid:durableId="949360848">
    <w:abstractNumId w:val="1"/>
  </w:num>
  <w:num w:numId="17" w16cid:durableId="1618174608">
    <w:abstractNumId w:val="20"/>
  </w:num>
  <w:num w:numId="18" w16cid:durableId="599726660">
    <w:abstractNumId w:val="18"/>
  </w:num>
  <w:num w:numId="19" w16cid:durableId="1903832620">
    <w:abstractNumId w:val="13"/>
  </w:num>
  <w:num w:numId="20" w16cid:durableId="671028047">
    <w:abstractNumId w:val="14"/>
  </w:num>
  <w:num w:numId="21" w16cid:durableId="318507005">
    <w:abstractNumId w:val="5"/>
  </w:num>
  <w:num w:numId="22" w16cid:durableId="1261136772">
    <w:abstractNumId w:val="5"/>
  </w:num>
  <w:num w:numId="23" w16cid:durableId="1921015973">
    <w:abstractNumId w:val="5"/>
  </w:num>
  <w:num w:numId="24" w16cid:durableId="1129204535">
    <w:abstractNumId w:val="5"/>
  </w:num>
  <w:num w:numId="25" w16cid:durableId="1857960917">
    <w:abstractNumId w:val="5"/>
  </w:num>
  <w:num w:numId="26" w16cid:durableId="1695768822">
    <w:abstractNumId w:val="5"/>
  </w:num>
  <w:num w:numId="27" w16cid:durableId="1613977490">
    <w:abstractNumId w:val="5"/>
  </w:num>
  <w:num w:numId="28" w16cid:durableId="1978492214">
    <w:abstractNumId w:val="5"/>
  </w:num>
  <w:num w:numId="29" w16cid:durableId="711156331">
    <w:abstractNumId w:val="5"/>
  </w:num>
  <w:num w:numId="30" w16cid:durableId="994147168">
    <w:abstractNumId w:val="5"/>
  </w:num>
  <w:num w:numId="31" w16cid:durableId="498543574">
    <w:abstractNumId w:val="5"/>
  </w:num>
  <w:num w:numId="32" w16cid:durableId="661348542">
    <w:abstractNumId w:val="11"/>
  </w:num>
  <w:num w:numId="33" w16cid:durableId="1128932404">
    <w:abstractNumId w:val="16"/>
  </w:num>
  <w:num w:numId="34" w16cid:durableId="1732339833">
    <w:abstractNumId w:val="5"/>
  </w:num>
  <w:num w:numId="35" w16cid:durableId="3462542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DMINISTRATION||1~7277823||2~4||3~CAT Shadow Report - Kuwait||5~EHOLLAND||6~AANDREWS||7~WORDX||8~DOC||10~9/3/2024 8:55:25 PM||11~9/2/2024 5:02:55 PM||13~767563||14~False||17~public||18~AANDREWS||21~False||22~False||24~originated from document #7277823v3||25~380780||26~212076||53~58||54~9999||60~Advocates for Human Rights (The)||61~Report on Death Penalty in Kuwait for UN Universal PeriodicR||72~Pro Bono||73~Non-Earning||74~Holland, Eric||75~Andrews, Alexander||76~WORD 2007||77~Documents||82~docx||85~9/3/2024 8:55:25 PM||99~1/1/0001 12:00:00 AM||107~1/1/0001 12:00:00 AM||109~1/1/0001 12:00:00 AM||113~9/2/2024 5:02:53 PM||114~9/3/2024 8:54:22 PM||117~True||124~False||"/>
    <w:docVar w:name="ForteTempFile" w:val="C:\Users\vswad\AppData\Local\Temp\d8d3c99d-5ecf-457d-9798-18faf3097e6b.docx"/>
    <w:docVar w:name="zzmp10LastTrailerInserted" w:val="^`~#mp!@!P⌘#^├┦&lt;&gt;8ŕmÓ⌕•B⌛Mñ°p´A)mCÆ⌔#⌏nR!ÛÃç⌡•⌚qJÿç×@À|Þù1ójàℤDïÐ÷1Ö^&lt;µ¶“×ë&quot;×Æ»Ò‟)´Ø_@­V8E×òK`Ü1VaƆü¸1⌡&lt;6V­+±·⌡‚‫OrR⌊±⌐ËV42W¬TźÞ⌂‣J2)L⌏u£ûÑℤ0ïni'ê¦⌅YcDÊÇ⌛où‥bq.śÁ”⌖¾pJpèKéLˏ+ü_¦í⌘Ɓµ⌊MÇÝI⌕ì5.ƅ1Í¯JUKRF&gt;011"/>
    <w:docVar w:name="zzmp10LastTrailerInserted_1078" w:val="^`~#mp!@!P⌘#^├┦&lt;&gt;8ŕmÓ⌕•B⌛Mñ°p´A)mCÆ⌔#⌏nR!ÛÃç⌡•⌚qJÿç×@À|Þù1ójàℤDïÐ÷1Ö^&lt;µ¶“×ë&quot;×Æ»Ò‟)´Ø_@­V8E×òK`Ü1VaƆü¸1⌡&lt;6V­+±·⌡‚‫OrR⌊±⌐ËV42W¬TźÞ⌂‣J2)L⌏u£ûÑℤ0ïni'ê¦⌅YcDÊÇ⌛où‥bq.śÁ”⌖¾pJpèKéLˏ+ü_¦í⌘Ɓµ⌊MÇÝI⌕ì5.ƅ1Í¯JUKRF&gt;011"/>
    <w:docVar w:name="zzmp10mSEGsValidated" w:val="1"/>
    <w:docVar w:name="zzmpCompatibilityMode" w:val="15"/>
  </w:docVars>
  <w:rsids>
    <w:rsidRoot w:val="00DC41C9"/>
    <w:rsid w:val="0000283E"/>
    <w:rsid w:val="00005635"/>
    <w:rsid w:val="0001313D"/>
    <w:rsid w:val="00013FB3"/>
    <w:rsid w:val="000156A8"/>
    <w:rsid w:val="00015DD5"/>
    <w:rsid w:val="00020381"/>
    <w:rsid w:val="000206F8"/>
    <w:rsid w:val="00021325"/>
    <w:rsid w:val="00023471"/>
    <w:rsid w:val="00030D18"/>
    <w:rsid w:val="00030F59"/>
    <w:rsid w:val="00032BB7"/>
    <w:rsid w:val="000342B6"/>
    <w:rsid w:val="00043DAF"/>
    <w:rsid w:val="00046377"/>
    <w:rsid w:val="000539B4"/>
    <w:rsid w:val="000564EB"/>
    <w:rsid w:val="00056CF5"/>
    <w:rsid w:val="0007341F"/>
    <w:rsid w:val="000734A4"/>
    <w:rsid w:val="0008238F"/>
    <w:rsid w:val="00085935"/>
    <w:rsid w:val="000910FC"/>
    <w:rsid w:val="00095D74"/>
    <w:rsid w:val="0009644E"/>
    <w:rsid w:val="00097CF8"/>
    <w:rsid w:val="000A1E8E"/>
    <w:rsid w:val="000A1F17"/>
    <w:rsid w:val="000A48DC"/>
    <w:rsid w:val="000A59BB"/>
    <w:rsid w:val="000A5ABF"/>
    <w:rsid w:val="000A66B8"/>
    <w:rsid w:val="000A7719"/>
    <w:rsid w:val="000B042D"/>
    <w:rsid w:val="000B4DB3"/>
    <w:rsid w:val="000B66D5"/>
    <w:rsid w:val="000C2C35"/>
    <w:rsid w:val="000C42BE"/>
    <w:rsid w:val="000C6340"/>
    <w:rsid w:val="000D0680"/>
    <w:rsid w:val="000D6DAD"/>
    <w:rsid w:val="000E10B7"/>
    <w:rsid w:val="000E1D29"/>
    <w:rsid w:val="000E1DDC"/>
    <w:rsid w:val="000E1ECB"/>
    <w:rsid w:val="000E6D38"/>
    <w:rsid w:val="000F198A"/>
    <w:rsid w:val="000F1E67"/>
    <w:rsid w:val="000F56E0"/>
    <w:rsid w:val="000F7911"/>
    <w:rsid w:val="001008D1"/>
    <w:rsid w:val="00111994"/>
    <w:rsid w:val="00112B12"/>
    <w:rsid w:val="00116F20"/>
    <w:rsid w:val="00120CB9"/>
    <w:rsid w:val="001215B4"/>
    <w:rsid w:val="001233CD"/>
    <w:rsid w:val="001237C0"/>
    <w:rsid w:val="001315E3"/>
    <w:rsid w:val="00136514"/>
    <w:rsid w:val="00137229"/>
    <w:rsid w:val="001377FE"/>
    <w:rsid w:val="001379C3"/>
    <w:rsid w:val="00140808"/>
    <w:rsid w:val="00143423"/>
    <w:rsid w:val="00147EA4"/>
    <w:rsid w:val="00151A84"/>
    <w:rsid w:val="0015406F"/>
    <w:rsid w:val="001565F9"/>
    <w:rsid w:val="00160BDA"/>
    <w:rsid w:val="00161B46"/>
    <w:rsid w:val="001638F0"/>
    <w:rsid w:val="00163FBF"/>
    <w:rsid w:val="0017602C"/>
    <w:rsid w:val="00176FFA"/>
    <w:rsid w:val="00181B2A"/>
    <w:rsid w:val="00181EF5"/>
    <w:rsid w:val="00182F7A"/>
    <w:rsid w:val="0018488A"/>
    <w:rsid w:val="0018642B"/>
    <w:rsid w:val="0018758E"/>
    <w:rsid w:val="00191426"/>
    <w:rsid w:val="0019453F"/>
    <w:rsid w:val="00195965"/>
    <w:rsid w:val="001A34F4"/>
    <w:rsid w:val="001A42F5"/>
    <w:rsid w:val="001A59C1"/>
    <w:rsid w:val="001A5ED5"/>
    <w:rsid w:val="001A7AF4"/>
    <w:rsid w:val="001B1AC4"/>
    <w:rsid w:val="001B27D7"/>
    <w:rsid w:val="001B46C2"/>
    <w:rsid w:val="001B799A"/>
    <w:rsid w:val="001C2906"/>
    <w:rsid w:val="001C42EB"/>
    <w:rsid w:val="001C652D"/>
    <w:rsid w:val="001E2D50"/>
    <w:rsid w:val="001E394F"/>
    <w:rsid w:val="001F17A7"/>
    <w:rsid w:val="002030AE"/>
    <w:rsid w:val="002038DF"/>
    <w:rsid w:val="0021104F"/>
    <w:rsid w:val="00211315"/>
    <w:rsid w:val="00212943"/>
    <w:rsid w:val="00215D99"/>
    <w:rsid w:val="00217FF7"/>
    <w:rsid w:val="0022067D"/>
    <w:rsid w:val="00220D48"/>
    <w:rsid w:val="002221F4"/>
    <w:rsid w:val="002226C2"/>
    <w:rsid w:val="00223BF1"/>
    <w:rsid w:val="00231E7F"/>
    <w:rsid w:val="00234644"/>
    <w:rsid w:val="00235DB4"/>
    <w:rsid w:val="00237C8C"/>
    <w:rsid w:val="00240978"/>
    <w:rsid w:val="00241BCA"/>
    <w:rsid w:val="00242F64"/>
    <w:rsid w:val="0024315E"/>
    <w:rsid w:val="002439A3"/>
    <w:rsid w:val="00243E14"/>
    <w:rsid w:val="00243EB4"/>
    <w:rsid w:val="002468AD"/>
    <w:rsid w:val="00253800"/>
    <w:rsid w:val="00253E6C"/>
    <w:rsid w:val="00254F26"/>
    <w:rsid w:val="00255789"/>
    <w:rsid w:val="00255CB9"/>
    <w:rsid w:val="00257A23"/>
    <w:rsid w:val="002609F3"/>
    <w:rsid w:val="00262845"/>
    <w:rsid w:val="00270FFB"/>
    <w:rsid w:val="00272519"/>
    <w:rsid w:val="002734D9"/>
    <w:rsid w:val="00273933"/>
    <w:rsid w:val="00275842"/>
    <w:rsid w:val="00282223"/>
    <w:rsid w:val="002869FE"/>
    <w:rsid w:val="00286F10"/>
    <w:rsid w:val="00286FCE"/>
    <w:rsid w:val="00291BE8"/>
    <w:rsid w:val="00293348"/>
    <w:rsid w:val="0029647E"/>
    <w:rsid w:val="002A0797"/>
    <w:rsid w:val="002A199A"/>
    <w:rsid w:val="002A4838"/>
    <w:rsid w:val="002A4AA8"/>
    <w:rsid w:val="002B1275"/>
    <w:rsid w:val="002B7C80"/>
    <w:rsid w:val="002C1B5B"/>
    <w:rsid w:val="002C4F97"/>
    <w:rsid w:val="002C57BC"/>
    <w:rsid w:val="002C7856"/>
    <w:rsid w:val="002D36C6"/>
    <w:rsid w:val="002D4246"/>
    <w:rsid w:val="002D4932"/>
    <w:rsid w:val="002D5C10"/>
    <w:rsid w:val="002D7706"/>
    <w:rsid w:val="002E34EA"/>
    <w:rsid w:val="002E46A1"/>
    <w:rsid w:val="002E4DE3"/>
    <w:rsid w:val="002F5A08"/>
    <w:rsid w:val="002F6FF2"/>
    <w:rsid w:val="002F7A11"/>
    <w:rsid w:val="00302C17"/>
    <w:rsid w:val="00303F60"/>
    <w:rsid w:val="003058F0"/>
    <w:rsid w:val="0031166B"/>
    <w:rsid w:val="003134BF"/>
    <w:rsid w:val="00315C53"/>
    <w:rsid w:val="00315D06"/>
    <w:rsid w:val="0031628C"/>
    <w:rsid w:val="00322CB1"/>
    <w:rsid w:val="003244CB"/>
    <w:rsid w:val="00326B56"/>
    <w:rsid w:val="00331200"/>
    <w:rsid w:val="00333005"/>
    <w:rsid w:val="00333731"/>
    <w:rsid w:val="003369A6"/>
    <w:rsid w:val="00336B61"/>
    <w:rsid w:val="00340484"/>
    <w:rsid w:val="003416BB"/>
    <w:rsid w:val="00344140"/>
    <w:rsid w:val="00344556"/>
    <w:rsid w:val="00344CEC"/>
    <w:rsid w:val="00345B90"/>
    <w:rsid w:val="00346007"/>
    <w:rsid w:val="0035276E"/>
    <w:rsid w:val="0035378E"/>
    <w:rsid w:val="0035424D"/>
    <w:rsid w:val="00361830"/>
    <w:rsid w:val="0036202F"/>
    <w:rsid w:val="00362CAC"/>
    <w:rsid w:val="00370846"/>
    <w:rsid w:val="00374FD8"/>
    <w:rsid w:val="00376FCE"/>
    <w:rsid w:val="0038144E"/>
    <w:rsid w:val="00390AC3"/>
    <w:rsid w:val="00390C90"/>
    <w:rsid w:val="00392CBE"/>
    <w:rsid w:val="00393200"/>
    <w:rsid w:val="003937C6"/>
    <w:rsid w:val="00396A1A"/>
    <w:rsid w:val="00397397"/>
    <w:rsid w:val="003A0BC2"/>
    <w:rsid w:val="003A1D3E"/>
    <w:rsid w:val="003A5974"/>
    <w:rsid w:val="003A5EA8"/>
    <w:rsid w:val="003A6F6D"/>
    <w:rsid w:val="003B1714"/>
    <w:rsid w:val="003B2D39"/>
    <w:rsid w:val="003B691F"/>
    <w:rsid w:val="003C01D6"/>
    <w:rsid w:val="003C1E49"/>
    <w:rsid w:val="003C3034"/>
    <w:rsid w:val="003C60FE"/>
    <w:rsid w:val="003D28BE"/>
    <w:rsid w:val="003D365C"/>
    <w:rsid w:val="003D608F"/>
    <w:rsid w:val="003E19EB"/>
    <w:rsid w:val="003E6A6D"/>
    <w:rsid w:val="003F0E3A"/>
    <w:rsid w:val="003F4B28"/>
    <w:rsid w:val="00407082"/>
    <w:rsid w:val="004071FE"/>
    <w:rsid w:val="004076CD"/>
    <w:rsid w:val="004131DD"/>
    <w:rsid w:val="0041342B"/>
    <w:rsid w:val="00415716"/>
    <w:rsid w:val="00417CE5"/>
    <w:rsid w:val="00422D90"/>
    <w:rsid w:val="004240D7"/>
    <w:rsid w:val="00426D40"/>
    <w:rsid w:val="00430A63"/>
    <w:rsid w:val="00431F58"/>
    <w:rsid w:val="004337DE"/>
    <w:rsid w:val="00442033"/>
    <w:rsid w:val="004474B2"/>
    <w:rsid w:val="00450118"/>
    <w:rsid w:val="00450405"/>
    <w:rsid w:val="00453314"/>
    <w:rsid w:val="00453B09"/>
    <w:rsid w:val="00464E8A"/>
    <w:rsid w:val="00476CC4"/>
    <w:rsid w:val="00477D71"/>
    <w:rsid w:val="004866AE"/>
    <w:rsid w:val="004934C5"/>
    <w:rsid w:val="00493951"/>
    <w:rsid w:val="00493FBF"/>
    <w:rsid w:val="00495A61"/>
    <w:rsid w:val="004A17D9"/>
    <w:rsid w:val="004A2E8E"/>
    <w:rsid w:val="004A5B01"/>
    <w:rsid w:val="004A7D93"/>
    <w:rsid w:val="004A7FF9"/>
    <w:rsid w:val="004B1E4E"/>
    <w:rsid w:val="004B1FE2"/>
    <w:rsid w:val="004B4363"/>
    <w:rsid w:val="004B4CAF"/>
    <w:rsid w:val="004B6A53"/>
    <w:rsid w:val="004B73AF"/>
    <w:rsid w:val="004B776E"/>
    <w:rsid w:val="004C03BF"/>
    <w:rsid w:val="004C350D"/>
    <w:rsid w:val="004C5974"/>
    <w:rsid w:val="004D2568"/>
    <w:rsid w:val="004D3EE9"/>
    <w:rsid w:val="004D51DD"/>
    <w:rsid w:val="004E1026"/>
    <w:rsid w:val="004E150B"/>
    <w:rsid w:val="004E1BDE"/>
    <w:rsid w:val="004E2CD9"/>
    <w:rsid w:val="004E3F90"/>
    <w:rsid w:val="004E59D7"/>
    <w:rsid w:val="004E7176"/>
    <w:rsid w:val="004E783D"/>
    <w:rsid w:val="004E7CF9"/>
    <w:rsid w:val="004F2465"/>
    <w:rsid w:val="004F2845"/>
    <w:rsid w:val="004F34E5"/>
    <w:rsid w:val="004F5394"/>
    <w:rsid w:val="00500BAB"/>
    <w:rsid w:val="005032E1"/>
    <w:rsid w:val="005042C9"/>
    <w:rsid w:val="00507D2E"/>
    <w:rsid w:val="005132BB"/>
    <w:rsid w:val="0051494C"/>
    <w:rsid w:val="00515C4B"/>
    <w:rsid w:val="005167AA"/>
    <w:rsid w:val="0052347D"/>
    <w:rsid w:val="00523D0C"/>
    <w:rsid w:val="00524166"/>
    <w:rsid w:val="00524C18"/>
    <w:rsid w:val="005336C2"/>
    <w:rsid w:val="00535DD7"/>
    <w:rsid w:val="005403E3"/>
    <w:rsid w:val="00544557"/>
    <w:rsid w:val="00544E13"/>
    <w:rsid w:val="005456D2"/>
    <w:rsid w:val="005463A9"/>
    <w:rsid w:val="0054682B"/>
    <w:rsid w:val="00547BDB"/>
    <w:rsid w:val="00550A8F"/>
    <w:rsid w:val="005512A0"/>
    <w:rsid w:val="005518C1"/>
    <w:rsid w:val="005528AA"/>
    <w:rsid w:val="0055461C"/>
    <w:rsid w:val="00554BC9"/>
    <w:rsid w:val="00561360"/>
    <w:rsid w:val="00561604"/>
    <w:rsid w:val="00564848"/>
    <w:rsid w:val="00566D44"/>
    <w:rsid w:val="00567571"/>
    <w:rsid w:val="00567887"/>
    <w:rsid w:val="00567FD1"/>
    <w:rsid w:val="00571963"/>
    <w:rsid w:val="00571EF6"/>
    <w:rsid w:val="00572E3D"/>
    <w:rsid w:val="00576084"/>
    <w:rsid w:val="00576B01"/>
    <w:rsid w:val="0058707D"/>
    <w:rsid w:val="00590165"/>
    <w:rsid w:val="00591962"/>
    <w:rsid w:val="005933C7"/>
    <w:rsid w:val="0059754B"/>
    <w:rsid w:val="005A2920"/>
    <w:rsid w:val="005B0C1B"/>
    <w:rsid w:val="005B2D86"/>
    <w:rsid w:val="005B7726"/>
    <w:rsid w:val="005C183B"/>
    <w:rsid w:val="005C58B6"/>
    <w:rsid w:val="005C5BF7"/>
    <w:rsid w:val="005C5C56"/>
    <w:rsid w:val="005C7D4E"/>
    <w:rsid w:val="005D3034"/>
    <w:rsid w:val="005D4EE6"/>
    <w:rsid w:val="005D53CC"/>
    <w:rsid w:val="005D5F82"/>
    <w:rsid w:val="005E0134"/>
    <w:rsid w:val="005E4096"/>
    <w:rsid w:val="005E45C0"/>
    <w:rsid w:val="005E7314"/>
    <w:rsid w:val="005F03AB"/>
    <w:rsid w:val="005F1870"/>
    <w:rsid w:val="005F1DA5"/>
    <w:rsid w:val="005F2A19"/>
    <w:rsid w:val="005F716E"/>
    <w:rsid w:val="006014C3"/>
    <w:rsid w:val="0060568A"/>
    <w:rsid w:val="0060622C"/>
    <w:rsid w:val="00610CD4"/>
    <w:rsid w:val="006111C3"/>
    <w:rsid w:val="006113F9"/>
    <w:rsid w:val="00613B37"/>
    <w:rsid w:val="0061778F"/>
    <w:rsid w:val="00621ADC"/>
    <w:rsid w:val="0062339B"/>
    <w:rsid w:val="00624A10"/>
    <w:rsid w:val="006256BC"/>
    <w:rsid w:val="00625A3B"/>
    <w:rsid w:val="00626173"/>
    <w:rsid w:val="00626943"/>
    <w:rsid w:val="00626C39"/>
    <w:rsid w:val="006331E9"/>
    <w:rsid w:val="00643D7A"/>
    <w:rsid w:val="00646D29"/>
    <w:rsid w:val="00646DE9"/>
    <w:rsid w:val="006476A7"/>
    <w:rsid w:val="00654E60"/>
    <w:rsid w:val="00655957"/>
    <w:rsid w:val="0065726D"/>
    <w:rsid w:val="00657622"/>
    <w:rsid w:val="0066318F"/>
    <w:rsid w:val="00663832"/>
    <w:rsid w:val="00672026"/>
    <w:rsid w:val="0067513E"/>
    <w:rsid w:val="006761A7"/>
    <w:rsid w:val="00680B87"/>
    <w:rsid w:val="0068176B"/>
    <w:rsid w:val="006825F8"/>
    <w:rsid w:val="006835AA"/>
    <w:rsid w:val="006839CC"/>
    <w:rsid w:val="006848F5"/>
    <w:rsid w:val="00686C22"/>
    <w:rsid w:val="006871A6"/>
    <w:rsid w:val="00690604"/>
    <w:rsid w:val="006927DD"/>
    <w:rsid w:val="0069784C"/>
    <w:rsid w:val="006A2FED"/>
    <w:rsid w:val="006A471D"/>
    <w:rsid w:val="006B5F7E"/>
    <w:rsid w:val="006B7B89"/>
    <w:rsid w:val="006C4372"/>
    <w:rsid w:val="006D39B7"/>
    <w:rsid w:val="006D39C4"/>
    <w:rsid w:val="006E0467"/>
    <w:rsid w:val="006E6289"/>
    <w:rsid w:val="006E7D5B"/>
    <w:rsid w:val="006F582F"/>
    <w:rsid w:val="006F784B"/>
    <w:rsid w:val="0070358A"/>
    <w:rsid w:val="00704B36"/>
    <w:rsid w:val="007064C2"/>
    <w:rsid w:val="0070771A"/>
    <w:rsid w:val="00707A45"/>
    <w:rsid w:val="00707D30"/>
    <w:rsid w:val="00713EAA"/>
    <w:rsid w:val="007143B8"/>
    <w:rsid w:val="00716484"/>
    <w:rsid w:val="007174BE"/>
    <w:rsid w:val="0072241B"/>
    <w:rsid w:val="007316AA"/>
    <w:rsid w:val="00741B9C"/>
    <w:rsid w:val="00742944"/>
    <w:rsid w:val="00742A2A"/>
    <w:rsid w:val="007469BA"/>
    <w:rsid w:val="00751E1B"/>
    <w:rsid w:val="00751E9F"/>
    <w:rsid w:val="00752A6B"/>
    <w:rsid w:val="00752EAD"/>
    <w:rsid w:val="00757A1C"/>
    <w:rsid w:val="007613D0"/>
    <w:rsid w:val="007637D8"/>
    <w:rsid w:val="00765EBC"/>
    <w:rsid w:val="0077231B"/>
    <w:rsid w:val="00772A2C"/>
    <w:rsid w:val="00774643"/>
    <w:rsid w:val="00781853"/>
    <w:rsid w:val="007838DE"/>
    <w:rsid w:val="00783A56"/>
    <w:rsid w:val="00785165"/>
    <w:rsid w:val="00785B0C"/>
    <w:rsid w:val="007920C4"/>
    <w:rsid w:val="00796C56"/>
    <w:rsid w:val="007A23AF"/>
    <w:rsid w:val="007A278F"/>
    <w:rsid w:val="007B2D6C"/>
    <w:rsid w:val="007B46CD"/>
    <w:rsid w:val="007B55D5"/>
    <w:rsid w:val="007B601F"/>
    <w:rsid w:val="007B6608"/>
    <w:rsid w:val="007C0AD0"/>
    <w:rsid w:val="007C2F38"/>
    <w:rsid w:val="007C4387"/>
    <w:rsid w:val="007C60E6"/>
    <w:rsid w:val="007C763C"/>
    <w:rsid w:val="007C7CCE"/>
    <w:rsid w:val="007D18A7"/>
    <w:rsid w:val="007D1A7C"/>
    <w:rsid w:val="007D2FB7"/>
    <w:rsid w:val="007E0A62"/>
    <w:rsid w:val="007E2F74"/>
    <w:rsid w:val="007E351D"/>
    <w:rsid w:val="007E6DF6"/>
    <w:rsid w:val="007E79C4"/>
    <w:rsid w:val="007F23A8"/>
    <w:rsid w:val="007F5382"/>
    <w:rsid w:val="007F6CF2"/>
    <w:rsid w:val="007F705D"/>
    <w:rsid w:val="00804604"/>
    <w:rsid w:val="00804F8B"/>
    <w:rsid w:val="00807A06"/>
    <w:rsid w:val="00810477"/>
    <w:rsid w:val="008106AE"/>
    <w:rsid w:val="0081221D"/>
    <w:rsid w:val="00814636"/>
    <w:rsid w:val="00816595"/>
    <w:rsid w:val="00822955"/>
    <w:rsid w:val="00826961"/>
    <w:rsid w:val="00836428"/>
    <w:rsid w:val="00837280"/>
    <w:rsid w:val="00847871"/>
    <w:rsid w:val="00847C78"/>
    <w:rsid w:val="008504A9"/>
    <w:rsid w:val="00852B97"/>
    <w:rsid w:val="00863BD0"/>
    <w:rsid w:val="0086424B"/>
    <w:rsid w:val="008648B0"/>
    <w:rsid w:val="00864EC7"/>
    <w:rsid w:val="00870521"/>
    <w:rsid w:val="008716D8"/>
    <w:rsid w:val="0087642D"/>
    <w:rsid w:val="008806CE"/>
    <w:rsid w:val="008856D7"/>
    <w:rsid w:val="00890056"/>
    <w:rsid w:val="0089523C"/>
    <w:rsid w:val="008A0E80"/>
    <w:rsid w:val="008B0C21"/>
    <w:rsid w:val="008B1FBC"/>
    <w:rsid w:val="008B2761"/>
    <w:rsid w:val="008B5EC2"/>
    <w:rsid w:val="008B7CC7"/>
    <w:rsid w:val="008C1E8E"/>
    <w:rsid w:val="008C2CB2"/>
    <w:rsid w:val="008C3B9B"/>
    <w:rsid w:val="008C519D"/>
    <w:rsid w:val="008C7B1F"/>
    <w:rsid w:val="008C7B63"/>
    <w:rsid w:val="008C7FF3"/>
    <w:rsid w:val="008D307D"/>
    <w:rsid w:val="008D3FDC"/>
    <w:rsid w:val="008D5FBA"/>
    <w:rsid w:val="008D6A2A"/>
    <w:rsid w:val="008D7D46"/>
    <w:rsid w:val="008E0859"/>
    <w:rsid w:val="008E2C72"/>
    <w:rsid w:val="008E59BA"/>
    <w:rsid w:val="008E70CF"/>
    <w:rsid w:val="008F0BDD"/>
    <w:rsid w:val="008F2F99"/>
    <w:rsid w:val="008F3372"/>
    <w:rsid w:val="008F6084"/>
    <w:rsid w:val="008F6555"/>
    <w:rsid w:val="009014C3"/>
    <w:rsid w:val="009057C8"/>
    <w:rsid w:val="00905FAC"/>
    <w:rsid w:val="009136FD"/>
    <w:rsid w:val="00917FA2"/>
    <w:rsid w:val="009245E8"/>
    <w:rsid w:val="0093009C"/>
    <w:rsid w:val="009302F5"/>
    <w:rsid w:val="0093193B"/>
    <w:rsid w:val="00936819"/>
    <w:rsid w:val="00940188"/>
    <w:rsid w:val="0094505C"/>
    <w:rsid w:val="00947170"/>
    <w:rsid w:val="00947B3D"/>
    <w:rsid w:val="00956E94"/>
    <w:rsid w:val="009579D7"/>
    <w:rsid w:val="00962312"/>
    <w:rsid w:val="009627A1"/>
    <w:rsid w:val="00966EE0"/>
    <w:rsid w:val="009712FE"/>
    <w:rsid w:val="009727D6"/>
    <w:rsid w:val="00972979"/>
    <w:rsid w:val="009778FD"/>
    <w:rsid w:val="00977D97"/>
    <w:rsid w:val="00987544"/>
    <w:rsid w:val="009875AD"/>
    <w:rsid w:val="00990244"/>
    <w:rsid w:val="009924AF"/>
    <w:rsid w:val="00992E4D"/>
    <w:rsid w:val="009A2A7E"/>
    <w:rsid w:val="009A7F71"/>
    <w:rsid w:val="009B08B4"/>
    <w:rsid w:val="009B51D7"/>
    <w:rsid w:val="009C0F20"/>
    <w:rsid w:val="009C4184"/>
    <w:rsid w:val="009C50EA"/>
    <w:rsid w:val="009C5FA0"/>
    <w:rsid w:val="009C60EF"/>
    <w:rsid w:val="009D0AC0"/>
    <w:rsid w:val="009D1242"/>
    <w:rsid w:val="009D3437"/>
    <w:rsid w:val="009D3BEA"/>
    <w:rsid w:val="009D5161"/>
    <w:rsid w:val="009D5B07"/>
    <w:rsid w:val="009E1E73"/>
    <w:rsid w:val="009E23C6"/>
    <w:rsid w:val="009E2B82"/>
    <w:rsid w:val="009E4D16"/>
    <w:rsid w:val="009F039C"/>
    <w:rsid w:val="009F04C6"/>
    <w:rsid w:val="009F12E2"/>
    <w:rsid w:val="009F3358"/>
    <w:rsid w:val="009F413B"/>
    <w:rsid w:val="009F478B"/>
    <w:rsid w:val="009F607C"/>
    <w:rsid w:val="009F69C1"/>
    <w:rsid w:val="00A06318"/>
    <w:rsid w:val="00A11C8A"/>
    <w:rsid w:val="00A11DA2"/>
    <w:rsid w:val="00A24703"/>
    <w:rsid w:val="00A24BEF"/>
    <w:rsid w:val="00A271A1"/>
    <w:rsid w:val="00A30E21"/>
    <w:rsid w:val="00A40EE1"/>
    <w:rsid w:val="00A423ED"/>
    <w:rsid w:val="00A43B86"/>
    <w:rsid w:val="00A50A9F"/>
    <w:rsid w:val="00A51872"/>
    <w:rsid w:val="00A536F3"/>
    <w:rsid w:val="00A55FCD"/>
    <w:rsid w:val="00A568C1"/>
    <w:rsid w:val="00A60C58"/>
    <w:rsid w:val="00A61FF3"/>
    <w:rsid w:val="00A63D6C"/>
    <w:rsid w:val="00A647C0"/>
    <w:rsid w:val="00A665F2"/>
    <w:rsid w:val="00A7008B"/>
    <w:rsid w:val="00A72103"/>
    <w:rsid w:val="00A74E9A"/>
    <w:rsid w:val="00A75C67"/>
    <w:rsid w:val="00A75D30"/>
    <w:rsid w:val="00A7604F"/>
    <w:rsid w:val="00A8482D"/>
    <w:rsid w:val="00A84EEE"/>
    <w:rsid w:val="00A90BF4"/>
    <w:rsid w:val="00A91D08"/>
    <w:rsid w:val="00A94972"/>
    <w:rsid w:val="00A95161"/>
    <w:rsid w:val="00A9656F"/>
    <w:rsid w:val="00A9664A"/>
    <w:rsid w:val="00A975D1"/>
    <w:rsid w:val="00AA08DC"/>
    <w:rsid w:val="00AA17FA"/>
    <w:rsid w:val="00AA1A99"/>
    <w:rsid w:val="00AA6318"/>
    <w:rsid w:val="00AA7FCB"/>
    <w:rsid w:val="00AB060B"/>
    <w:rsid w:val="00AB54F8"/>
    <w:rsid w:val="00AB59AE"/>
    <w:rsid w:val="00AB5BD9"/>
    <w:rsid w:val="00AC040C"/>
    <w:rsid w:val="00AC331C"/>
    <w:rsid w:val="00AC5552"/>
    <w:rsid w:val="00AD0AA1"/>
    <w:rsid w:val="00AD3BA4"/>
    <w:rsid w:val="00AD55D3"/>
    <w:rsid w:val="00AD7D9B"/>
    <w:rsid w:val="00AE07A3"/>
    <w:rsid w:val="00AE345C"/>
    <w:rsid w:val="00AE366E"/>
    <w:rsid w:val="00AE372A"/>
    <w:rsid w:val="00AF1678"/>
    <w:rsid w:val="00B01619"/>
    <w:rsid w:val="00B02629"/>
    <w:rsid w:val="00B06A72"/>
    <w:rsid w:val="00B124D8"/>
    <w:rsid w:val="00B13DD0"/>
    <w:rsid w:val="00B1408B"/>
    <w:rsid w:val="00B25203"/>
    <w:rsid w:val="00B275A9"/>
    <w:rsid w:val="00B33248"/>
    <w:rsid w:val="00B40DBF"/>
    <w:rsid w:val="00B44231"/>
    <w:rsid w:val="00B44269"/>
    <w:rsid w:val="00B445CA"/>
    <w:rsid w:val="00B457C4"/>
    <w:rsid w:val="00B478BE"/>
    <w:rsid w:val="00B52109"/>
    <w:rsid w:val="00B533DC"/>
    <w:rsid w:val="00B53F2E"/>
    <w:rsid w:val="00B54060"/>
    <w:rsid w:val="00B54AFC"/>
    <w:rsid w:val="00B62659"/>
    <w:rsid w:val="00B62C37"/>
    <w:rsid w:val="00B65BAE"/>
    <w:rsid w:val="00B670BD"/>
    <w:rsid w:val="00B71178"/>
    <w:rsid w:val="00B76D99"/>
    <w:rsid w:val="00B900AC"/>
    <w:rsid w:val="00B914A2"/>
    <w:rsid w:val="00B947C2"/>
    <w:rsid w:val="00B9541E"/>
    <w:rsid w:val="00B9566B"/>
    <w:rsid w:val="00BA00D4"/>
    <w:rsid w:val="00BA4CDE"/>
    <w:rsid w:val="00BA4EC0"/>
    <w:rsid w:val="00BA57D8"/>
    <w:rsid w:val="00BA5990"/>
    <w:rsid w:val="00BB01E6"/>
    <w:rsid w:val="00BB0488"/>
    <w:rsid w:val="00BB3ED5"/>
    <w:rsid w:val="00BB4AB9"/>
    <w:rsid w:val="00BC07C0"/>
    <w:rsid w:val="00BC4E8D"/>
    <w:rsid w:val="00BC59AC"/>
    <w:rsid w:val="00BD3CFF"/>
    <w:rsid w:val="00BD72D3"/>
    <w:rsid w:val="00BE59BD"/>
    <w:rsid w:val="00BE7A8C"/>
    <w:rsid w:val="00BF0833"/>
    <w:rsid w:val="00BF31D4"/>
    <w:rsid w:val="00BF499F"/>
    <w:rsid w:val="00C0174A"/>
    <w:rsid w:val="00C01B93"/>
    <w:rsid w:val="00C05D23"/>
    <w:rsid w:val="00C05D9B"/>
    <w:rsid w:val="00C0733A"/>
    <w:rsid w:val="00C07436"/>
    <w:rsid w:val="00C07798"/>
    <w:rsid w:val="00C157D8"/>
    <w:rsid w:val="00C17550"/>
    <w:rsid w:val="00C214BA"/>
    <w:rsid w:val="00C25B42"/>
    <w:rsid w:val="00C25C87"/>
    <w:rsid w:val="00C26130"/>
    <w:rsid w:val="00C26B28"/>
    <w:rsid w:val="00C315B6"/>
    <w:rsid w:val="00C338AE"/>
    <w:rsid w:val="00C36C74"/>
    <w:rsid w:val="00C376F3"/>
    <w:rsid w:val="00C378C9"/>
    <w:rsid w:val="00C40B27"/>
    <w:rsid w:val="00C41004"/>
    <w:rsid w:val="00C4132F"/>
    <w:rsid w:val="00C43935"/>
    <w:rsid w:val="00C44451"/>
    <w:rsid w:val="00C463D2"/>
    <w:rsid w:val="00C52D7D"/>
    <w:rsid w:val="00C55416"/>
    <w:rsid w:val="00C62A44"/>
    <w:rsid w:val="00C6551B"/>
    <w:rsid w:val="00C77BAE"/>
    <w:rsid w:val="00C77E55"/>
    <w:rsid w:val="00C80A39"/>
    <w:rsid w:val="00C80D0C"/>
    <w:rsid w:val="00C81936"/>
    <w:rsid w:val="00C84C4C"/>
    <w:rsid w:val="00C86720"/>
    <w:rsid w:val="00C8699C"/>
    <w:rsid w:val="00C90A3B"/>
    <w:rsid w:val="00C9167E"/>
    <w:rsid w:val="00C926FB"/>
    <w:rsid w:val="00C967AB"/>
    <w:rsid w:val="00C96C0B"/>
    <w:rsid w:val="00CA1702"/>
    <w:rsid w:val="00CA497B"/>
    <w:rsid w:val="00CA4A7C"/>
    <w:rsid w:val="00CA5574"/>
    <w:rsid w:val="00CA5B98"/>
    <w:rsid w:val="00CA5CC2"/>
    <w:rsid w:val="00CA7D78"/>
    <w:rsid w:val="00CB3D96"/>
    <w:rsid w:val="00CB631F"/>
    <w:rsid w:val="00CC34D8"/>
    <w:rsid w:val="00CC4198"/>
    <w:rsid w:val="00CC5314"/>
    <w:rsid w:val="00CC79FE"/>
    <w:rsid w:val="00CC7B30"/>
    <w:rsid w:val="00CD11AB"/>
    <w:rsid w:val="00CD2706"/>
    <w:rsid w:val="00CD52F9"/>
    <w:rsid w:val="00CD7142"/>
    <w:rsid w:val="00CE29CA"/>
    <w:rsid w:val="00CE620D"/>
    <w:rsid w:val="00CE6537"/>
    <w:rsid w:val="00CF0CDA"/>
    <w:rsid w:val="00CF5003"/>
    <w:rsid w:val="00CF5099"/>
    <w:rsid w:val="00CF56D2"/>
    <w:rsid w:val="00D0019C"/>
    <w:rsid w:val="00D17F80"/>
    <w:rsid w:val="00D2563C"/>
    <w:rsid w:val="00D27EA2"/>
    <w:rsid w:val="00D3182B"/>
    <w:rsid w:val="00D31D8C"/>
    <w:rsid w:val="00D32E4A"/>
    <w:rsid w:val="00D52AD6"/>
    <w:rsid w:val="00D562C5"/>
    <w:rsid w:val="00D634B3"/>
    <w:rsid w:val="00D64693"/>
    <w:rsid w:val="00D675F1"/>
    <w:rsid w:val="00D70610"/>
    <w:rsid w:val="00D73183"/>
    <w:rsid w:val="00D77DFF"/>
    <w:rsid w:val="00D803AD"/>
    <w:rsid w:val="00D8168D"/>
    <w:rsid w:val="00D81A79"/>
    <w:rsid w:val="00D83D50"/>
    <w:rsid w:val="00D86181"/>
    <w:rsid w:val="00D861C1"/>
    <w:rsid w:val="00D86901"/>
    <w:rsid w:val="00D87D03"/>
    <w:rsid w:val="00D90E5E"/>
    <w:rsid w:val="00D92835"/>
    <w:rsid w:val="00D94424"/>
    <w:rsid w:val="00D94846"/>
    <w:rsid w:val="00D973EA"/>
    <w:rsid w:val="00DA0256"/>
    <w:rsid w:val="00DA4AAF"/>
    <w:rsid w:val="00DA6DB6"/>
    <w:rsid w:val="00DB0B7E"/>
    <w:rsid w:val="00DB3358"/>
    <w:rsid w:val="00DC0617"/>
    <w:rsid w:val="00DC32FE"/>
    <w:rsid w:val="00DC41C9"/>
    <w:rsid w:val="00DC5473"/>
    <w:rsid w:val="00DC6A3F"/>
    <w:rsid w:val="00DC6EA5"/>
    <w:rsid w:val="00DD2F76"/>
    <w:rsid w:val="00DD3996"/>
    <w:rsid w:val="00DE26B7"/>
    <w:rsid w:val="00DE3DC0"/>
    <w:rsid w:val="00DE43B5"/>
    <w:rsid w:val="00DE6FE8"/>
    <w:rsid w:val="00DE7F30"/>
    <w:rsid w:val="00DF03B1"/>
    <w:rsid w:val="00DF0A54"/>
    <w:rsid w:val="00DF25D4"/>
    <w:rsid w:val="00DF2C76"/>
    <w:rsid w:val="00DF4A0E"/>
    <w:rsid w:val="00DF5F99"/>
    <w:rsid w:val="00DF7B55"/>
    <w:rsid w:val="00E0027C"/>
    <w:rsid w:val="00E04C43"/>
    <w:rsid w:val="00E05269"/>
    <w:rsid w:val="00E07CA8"/>
    <w:rsid w:val="00E114C5"/>
    <w:rsid w:val="00E13D93"/>
    <w:rsid w:val="00E15625"/>
    <w:rsid w:val="00E15B30"/>
    <w:rsid w:val="00E162F5"/>
    <w:rsid w:val="00E16D1C"/>
    <w:rsid w:val="00E1750C"/>
    <w:rsid w:val="00E17FD1"/>
    <w:rsid w:val="00E24F8E"/>
    <w:rsid w:val="00E307F3"/>
    <w:rsid w:val="00E30B06"/>
    <w:rsid w:val="00E3230E"/>
    <w:rsid w:val="00E34CFE"/>
    <w:rsid w:val="00E35775"/>
    <w:rsid w:val="00E379CA"/>
    <w:rsid w:val="00E40BFC"/>
    <w:rsid w:val="00E415CD"/>
    <w:rsid w:val="00E42EAD"/>
    <w:rsid w:val="00E4594C"/>
    <w:rsid w:val="00E47986"/>
    <w:rsid w:val="00E50192"/>
    <w:rsid w:val="00E561DD"/>
    <w:rsid w:val="00E607A2"/>
    <w:rsid w:val="00E61231"/>
    <w:rsid w:val="00E6333F"/>
    <w:rsid w:val="00E654D1"/>
    <w:rsid w:val="00E67F0C"/>
    <w:rsid w:val="00E70114"/>
    <w:rsid w:val="00E7063E"/>
    <w:rsid w:val="00E75C4C"/>
    <w:rsid w:val="00E81A9F"/>
    <w:rsid w:val="00E826D1"/>
    <w:rsid w:val="00E83FCD"/>
    <w:rsid w:val="00E87BEE"/>
    <w:rsid w:val="00E938DE"/>
    <w:rsid w:val="00E9466B"/>
    <w:rsid w:val="00E95CF7"/>
    <w:rsid w:val="00E96F48"/>
    <w:rsid w:val="00EA0EEB"/>
    <w:rsid w:val="00EA4002"/>
    <w:rsid w:val="00EA573A"/>
    <w:rsid w:val="00EA6B46"/>
    <w:rsid w:val="00EC3563"/>
    <w:rsid w:val="00EC6CF2"/>
    <w:rsid w:val="00ED0199"/>
    <w:rsid w:val="00ED0A39"/>
    <w:rsid w:val="00ED2912"/>
    <w:rsid w:val="00ED2DCC"/>
    <w:rsid w:val="00ED551B"/>
    <w:rsid w:val="00EE291A"/>
    <w:rsid w:val="00EE3828"/>
    <w:rsid w:val="00EE3DC9"/>
    <w:rsid w:val="00EE6C8C"/>
    <w:rsid w:val="00EF2BE5"/>
    <w:rsid w:val="00EF4293"/>
    <w:rsid w:val="00EF761E"/>
    <w:rsid w:val="00F024C4"/>
    <w:rsid w:val="00F042FA"/>
    <w:rsid w:val="00F046AB"/>
    <w:rsid w:val="00F04B65"/>
    <w:rsid w:val="00F04FFC"/>
    <w:rsid w:val="00F065E0"/>
    <w:rsid w:val="00F0786F"/>
    <w:rsid w:val="00F10373"/>
    <w:rsid w:val="00F1112A"/>
    <w:rsid w:val="00F11DEB"/>
    <w:rsid w:val="00F128D9"/>
    <w:rsid w:val="00F16374"/>
    <w:rsid w:val="00F21578"/>
    <w:rsid w:val="00F21A76"/>
    <w:rsid w:val="00F22813"/>
    <w:rsid w:val="00F23CD7"/>
    <w:rsid w:val="00F2442A"/>
    <w:rsid w:val="00F27394"/>
    <w:rsid w:val="00F32938"/>
    <w:rsid w:val="00F365D7"/>
    <w:rsid w:val="00F3661F"/>
    <w:rsid w:val="00F37BE1"/>
    <w:rsid w:val="00F4107A"/>
    <w:rsid w:val="00F4381F"/>
    <w:rsid w:val="00F43FE7"/>
    <w:rsid w:val="00F44F18"/>
    <w:rsid w:val="00F46C63"/>
    <w:rsid w:val="00F51AFD"/>
    <w:rsid w:val="00F526A3"/>
    <w:rsid w:val="00F612FF"/>
    <w:rsid w:val="00F63070"/>
    <w:rsid w:val="00F6493F"/>
    <w:rsid w:val="00F66C6A"/>
    <w:rsid w:val="00F70648"/>
    <w:rsid w:val="00F7284A"/>
    <w:rsid w:val="00F72C90"/>
    <w:rsid w:val="00F75663"/>
    <w:rsid w:val="00F811E7"/>
    <w:rsid w:val="00F87D96"/>
    <w:rsid w:val="00F9056C"/>
    <w:rsid w:val="00F9074F"/>
    <w:rsid w:val="00F92EF4"/>
    <w:rsid w:val="00F95374"/>
    <w:rsid w:val="00F97955"/>
    <w:rsid w:val="00F97EF1"/>
    <w:rsid w:val="00FA12FC"/>
    <w:rsid w:val="00FA2927"/>
    <w:rsid w:val="00FA36C2"/>
    <w:rsid w:val="00FA5A94"/>
    <w:rsid w:val="00FA630E"/>
    <w:rsid w:val="00FB03FB"/>
    <w:rsid w:val="00FB4891"/>
    <w:rsid w:val="00FC075A"/>
    <w:rsid w:val="00FC20A3"/>
    <w:rsid w:val="00FC686F"/>
    <w:rsid w:val="00FC7FBE"/>
    <w:rsid w:val="00FD0EA2"/>
    <w:rsid w:val="00FD212D"/>
    <w:rsid w:val="00FD5FA7"/>
    <w:rsid w:val="00FD6C24"/>
    <w:rsid w:val="00FE0368"/>
    <w:rsid w:val="00FE0378"/>
    <w:rsid w:val="00FE1664"/>
    <w:rsid w:val="00FE2347"/>
    <w:rsid w:val="00FE2AEC"/>
    <w:rsid w:val="00FF3D21"/>
    <w:rsid w:val="00FF4D17"/>
    <w:rsid w:val="0AC93A0E"/>
    <w:rsid w:val="109FC7F2"/>
    <w:rsid w:val="20EBB8F7"/>
    <w:rsid w:val="258D87B4"/>
    <w:rsid w:val="27553789"/>
    <w:rsid w:val="33A7E4E3"/>
    <w:rsid w:val="40B962A2"/>
    <w:rsid w:val="562F667A"/>
    <w:rsid w:val="56F42F0B"/>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Subtitle" w:uiPriority="11" w:qFormat="1"/>
    <w:lsdException w:name="Hyperlink" w:uiPriority="99"/>
    <w:lsdException w:name="Emphasis" w:uiPriority="20"/>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paragraph" w:styleId="Heading4">
    <w:name w:val="heading 4"/>
    <w:basedOn w:val="Normal"/>
    <w:next w:val="Normal"/>
    <w:link w:val="Heading4Char"/>
    <w:semiHidden/>
    <w:unhideWhenUsed/>
    <w:qFormat/>
    <w:rsid w:val="005468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uiPriority w:val="11"/>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uiPriority w:val="11"/>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rsid w:val="40B962A2"/>
    <w:rPr>
      <w:rFonts w:ascii="Times New Roman" w:eastAsia="Arial" w:hAnsi="Times New Roman" w:cs="Times New Roman"/>
      <w:sz w:val="24"/>
      <w:szCs w:val="24"/>
      <w:lang w:eastAsia="en-US"/>
    </w:rPr>
  </w:style>
  <w:style w:type="paragraph" w:customStyle="1" w:styleId="MacPacTrailer">
    <w:name w:val="MacPac Trailer"/>
    <w:rsid w:val="00EA573A"/>
    <w:pPr>
      <w:widowControl w:val="0"/>
      <w:spacing w:line="200" w:lineRule="exact"/>
    </w:pPr>
    <w:rPr>
      <w:kern w:val="0"/>
      <w:sz w:val="16"/>
      <w:szCs w:val="22"/>
      <w:lang w:eastAsia="en-US"/>
    </w:rPr>
  </w:style>
  <w:style w:type="character" w:styleId="PlaceholderText">
    <w:name w:val="Placeholder Text"/>
    <w:basedOn w:val="DefaultParagraphFont"/>
    <w:uiPriority w:val="99"/>
    <w:semiHidden/>
    <w:rsid w:val="00E61231"/>
    <w:rPr>
      <w:color w:val="666666"/>
    </w:rPr>
  </w:style>
  <w:style w:type="character" w:styleId="UnresolvedMention">
    <w:name w:val="Unresolved Mention"/>
    <w:basedOn w:val="DefaultParagraphFont"/>
    <w:uiPriority w:val="99"/>
    <w:semiHidden/>
    <w:unhideWhenUsed/>
    <w:rsid w:val="00DF4A0E"/>
    <w:rPr>
      <w:color w:val="605E5C"/>
      <w:shd w:val="clear" w:color="auto" w:fill="E1DFDD"/>
    </w:rPr>
  </w:style>
  <w:style w:type="character" w:styleId="FollowedHyperlink">
    <w:name w:val="FollowedHyperlink"/>
    <w:basedOn w:val="DefaultParagraphFont"/>
    <w:rsid w:val="002F6FF2"/>
    <w:rPr>
      <w:color w:val="954F72" w:themeColor="followedHyperlink"/>
      <w:u w:val="single"/>
    </w:rPr>
  </w:style>
  <w:style w:type="character" w:customStyle="1" w:styleId="Heading4Char">
    <w:name w:val="Heading 4 Char"/>
    <w:basedOn w:val="DefaultParagraphFont"/>
    <w:link w:val="Heading4"/>
    <w:semiHidden/>
    <w:rsid w:val="0054682B"/>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B62C37"/>
  </w:style>
  <w:style w:type="numbering" w:customStyle="1" w:styleId="ImportedStyle1">
    <w:name w:val="Imported Style 1"/>
    <w:rsid w:val="003A5EA8"/>
    <w:pPr>
      <w:numPr>
        <w:numId w:val="19"/>
      </w:numPr>
    </w:pPr>
  </w:style>
  <w:style w:type="paragraph" w:styleId="EndnoteText">
    <w:name w:val="endnote text"/>
    <w:link w:val="EndnoteTextChar"/>
    <w:rsid w:val="003A5EA8"/>
    <w:pPr>
      <w:pBdr>
        <w:top w:val="nil"/>
        <w:left w:val="nil"/>
        <w:bottom w:val="nil"/>
        <w:right w:val="nil"/>
        <w:between w:val="nil"/>
        <w:bar w:val="nil"/>
      </w:pBdr>
      <w:spacing w:line="276" w:lineRule="auto"/>
    </w:pPr>
    <w:rPr>
      <w:rFonts w:ascii="Arial" w:eastAsia="Arial" w:hAnsi="Arial" w:cs="Arial"/>
      <w:color w:val="000000"/>
      <w:kern w:val="0"/>
      <w:sz w:val="20"/>
      <w:szCs w:val="20"/>
      <w:u w:color="000000"/>
      <w:bdr w:val="nil"/>
      <w:lang w:eastAsia="en-US"/>
    </w:rPr>
  </w:style>
  <w:style w:type="character" w:customStyle="1" w:styleId="EndnoteTextChar">
    <w:name w:val="Endnote Text Char"/>
    <w:basedOn w:val="DefaultParagraphFont"/>
    <w:link w:val="EndnoteText"/>
    <w:rsid w:val="003A5EA8"/>
    <w:rPr>
      <w:rFonts w:ascii="Arial" w:eastAsia="Arial" w:hAnsi="Arial" w:cs="Arial"/>
      <w:color w:val="000000"/>
      <w:kern w:val="0"/>
      <w:sz w:val="20"/>
      <w:szCs w:val="20"/>
      <w:u w:color="000000"/>
      <w:bdr w:val="nil"/>
      <w:lang w:eastAsia="en-US"/>
    </w:rPr>
  </w:style>
  <w:style w:type="paragraph" w:customStyle="1" w:styleId="Default">
    <w:name w:val="Default"/>
    <w:rsid w:val="003A5EA8"/>
    <w:pPr>
      <w:pBdr>
        <w:top w:val="nil"/>
        <w:left w:val="nil"/>
        <w:bottom w:val="nil"/>
        <w:right w:val="nil"/>
        <w:between w:val="nil"/>
        <w:bar w:val="nil"/>
      </w:pBdr>
      <w:spacing w:before="160" w:line="288" w:lineRule="auto"/>
    </w:pPr>
    <w:rPr>
      <w:rFonts w:ascii="Helvetica Neue" w:eastAsia="Helvetica Neue" w:hAnsi="Helvetica Neue" w:cs="Helvetica Neue"/>
      <w:color w:val="000000"/>
      <w:kern w:val="0"/>
      <w:u w:color="000000"/>
      <w:bdr w:val="nil"/>
      <w:lang w:eastAsia="en-US"/>
      <w14:textOutline w14:w="12700" w14:cap="flat" w14:cmpd="sng" w14:algn="ctr">
        <w14:noFill/>
        <w14:prstDash w14:val="solid"/>
        <w14:miter w14:lim="400000"/>
      </w14:textOutline>
    </w:rPr>
  </w:style>
  <w:style w:type="character" w:customStyle="1" w:styleId="superscript">
    <w:name w:val="superscript"/>
    <w:basedOn w:val="DefaultParagraphFont"/>
    <w:rsid w:val="003A5EA8"/>
  </w:style>
  <w:style w:type="character" w:styleId="EndnoteReference">
    <w:name w:val="endnote reference"/>
    <w:basedOn w:val="DefaultParagraphFont"/>
    <w:uiPriority w:val="99"/>
    <w:unhideWhenUsed/>
    <w:rsid w:val="003A5EA8"/>
    <w:rPr>
      <w:vertAlign w:val="superscript"/>
    </w:rPr>
  </w:style>
  <w:style w:type="character" w:customStyle="1" w:styleId="None">
    <w:name w:val="None"/>
    <w:rsid w:val="00B33248"/>
  </w:style>
  <w:style w:type="paragraph" w:customStyle="1" w:styleId="RecommendationsQuestions">
    <w:name w:val="Recommendations/Questions"/>
    <w:rsid w:val="00B33248"/>
    <w:pPr>
      <w:pBdr>
        <w:top w:val="nil"/>
        <w:left w:val="nil"/>
        <w:bottom w:val="nil"/>
        <w:right w:val="nil"/>
        <w:between w:val="nil"/>
        <w:bar w:val="nil"/>
      </w:pBdr>
      <w:tabs>
        <w:tab w:val="left" w:pos="360"/>
      </w:tabs>
      <w:spacing w:after="120"/>
      <w:jc w:val="both"/>
    </w:pPr>
    <w:rPr>
      <w:rFonts w:eastAsia="Arial Unicode MS" w:cs="Arial Unicode MS"/>
      <w:color w:val="000000"/>
      <w:kern w:val="0"/>
      <w:u w:color="000000"/>
      <w:bdr w:val="nil"/>
      <w:lang w:eastAsia="en-US"/>
    </w:rPr>
  </w:style>
  <w:style w:type="numbering" w:customStyle="1" w:styleId="ImportedStyle4">
    <w:name w:val="Imported Style 4"/>
    <w:rsid w:val="00B33248"/>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0172784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eathpenaltyworldwide.org/wp-content/uploads/2021/10/No-One-Believed-Me-A-Global-Overview-of-Women-Facing-the-Death-Penalty-for-Drug-Offenses.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2024-10-09T13:58:11+00:00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2024-10-09T13:58:11+00:00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2024-10-09T13:58:11+00:00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D7126C63-043B-499F-8242-47B8056A484C}">
  <ds:schemaRefs>
    <ds:schemaRef ds:uri="http://www.imanage.com/work/xmlschema"/>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6.xml><?xml version="1.0" encoding="utf-8"?>
<ds:datastoreItem xmlns:ds="http://schemas.openxmlformats.org/officeDocument/2006/customXml" ds:itemID="{1648BB09-6B6C-4217-85C7-71D1D09E2DD6}"/>
</file>

<file path=docProps/app.xml><?xml version="1.0" encoding="utf-8"?>
<Properties xmlns="http://schemas.openxmlformats.org/officeDocument/2006/extended-properties" xmlns:vt="http://schemas.openxmlformats.org/officeDocument/2006/docPropsVTypes">
  <Template>Normal.dotm</Template>
  <TotalTime>1</TotalTime>
  <Pages>12</Pages>
  <Words>3801</Words>
  <Characters>21335</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Youssef Hamdan</cp:lastModifiedBy>
  <cp:revision>2</cp:revision>
  <cp:lastPrinted>2011-09-16T20:52:00Z</cp:lastPrinted>
  <dcterms:created xsi:type="dcterms:W3CDTF">2024-10-01T18:49:00Z</dcterms:created>
  <dcterms:modified xsi:type="dcterms:W3CDTF">2024-10-01T18:49:00Z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ContentTypeId">
    <vt:lpwstr>0x010100A7FA57C9FAB45A42AB7F0F2F29DA9B83</vt:lpwstr>
  </property>
  <property fmtid="{D5CDD505-2E9C-101B-9397-08002B2CF9AE}" pid="7" name="MediaServiceImageTags">
    <vt:lpwstr/>
  </property>
</Properties>
</file>