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E7AD10" w14:textId="77777777" w:rsidR="00FA7A82" w:rsidRPr="00E062F6" w:rsidRDefault="00000000">
      <w:pPr>
        <w:spacing w:line="276" w:lineRule="auto"/>
        <w:jc w:val="both"/>
        <w:rPr>
          <w:rFonts w:ascii="Roboto" w:hAnsi="Roboto"/>
        </w:rPr>
      </w:pPr>
      <w:r w:rsidRPr="00E062F6">
        <w:rPr>
          <w:rFonts w:ascii="Roboto" w:hAnsi="Roboto"/>
          <w:noProof/>
          <w:lang w:val="fr-FR" w:eastAsia="fr-FR"/>
        </w:rPr>
        <mc:AlternateContent>
          <mc:Choice Requires="wpg">
            <w:drawing>
              <wp:inline distT="0" distB="0" distL="0" distR="0" wp14:anchorId="1E9B340E" wp14:editId="4328BEA6">
                <wp:extent cx="1504950" cy="775335"/>
                <wp:effectExtent l="0" t="0" r="0" b="0"/>
                <wp:docPr id="5" name="_x0000_i102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pic:blipFill>
                      <pic:spPr bwMode="auto">
                        <a:xfrm>
                          <a:off x="0" y="0"/>
                          <a:ext cx="1504950" cy="775334"/>
                        </a:xfrm>
                        <a:prstGeom prst="rect">
                          <a:avLst/>
                        </a:prstGeom>
                        <a:noFill/>
                        <a:ln>
                          <a:noFill/>
                          <a:miter/>
                        </a:ln>
                      </pic:spPr>
                    </pic:pic>
                  </a:graphicData>
                </a:graphic>
              </wp:inline>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4" o:spid="_x0000_s4" type="#_x0000_t75" style="width:118.50pt;height:61.05pt;mso-wrap-distance-left:0.00pt;mso-wrap-distance-top:0.00pt;mso-wrap-distance-right:0.00pt;mso-wrap-distance-bottom:0.00pt;z-index:1;" stroked="f">
                <v:imagedata r:id="rId15" o:title=""/>
                <o:lock v:ext="edit" rotation="t"/>
              </v:shape>
            </w:pict>
          </mc:Fallback>
        </mc:AlternateContent>
      </w:r>
    </w:p>
    <w:p w14:paraId="73E6F223" w14:textId="77777777" w:rsidR="00FA7A82" w:rsidRPr="00E062F6" w:rsidRDefault="00FA7A82">
      <w:pPr>
        <w:spacing w:line="276" w:lineRule="auto"/>
        <w:jc w:val="both"/>
        <w:rPr>
          <w:rFonts w:ascii="Roboto" w:hAnsi="Roboto"/>
        </w:rPr>
      </w:pPr>
    </w:p>
    <w:p w14:paraId="7DE412CF" w14:textId="77777777" w:rsidR="00FA7A82" w:rsidRPr="00E062F6" w:rsidRDefault="00FA7A82">
      <w:pPr>
        <w:spacing w:line="276" w:lineRule="auto"/>
        <w:jc w:val="both"/>
        <w:rPr>
          <w:rFonts w:ascii="Roboto" w:hAnsi="Roboto"/>
          <w:b/>
          <w:bCs/>
          <w:color w:val="361F5C"/>
          <w:sz w:val="72"/>
          <w:szCs w:val="72"/>
        </w:rPr>
      </w:pPr>
    </w:p>
    <w:p w14:paraId="31B29732" w14:textId="77777777" w:rsidR="00FA7A82" w:rsidRPr="00E062F6" w:rsidRDefault="00FA7A82">
      <w:pPr>
        <w:spacing w:line="276" w:lineRule="auto"/>
        <w:jc w:val="both"/>
        <w:rPr>
          <w:rFonts w:ascii="Roboto" w:hAnsi="Roboto"/>
          <w:b/>
          <w:bCs/>
          <w:color w:val="361F5C"/>
          <w:sz w:val="72"/>
          <w:szCs w:val="72"/>
        </w:rPr>
      </w:pPr>
    </w:p>
    <w:p w14:paraId="2B5F26B7" w14:textId="77777777" w:rsidR="00FA7A82" w:rsidRPr="00E062F6" w:rsidRDefault="00000000">
      <w:pPr>
        <w:spacing w:line="276" w:lineRule="auto"/>
        <w:jc w:val="both"/>
        <w:rPr>
          <w:rFonts w:ascii="Roboto" w:hAnsi="Roboto"/>
          <w:b/>
          <w:bCs/>
          <w:color w:val="543192"/>
          <w:sz w:val="72"/>
          <w:szCs w:val="72"/>
        </w:rPr>
      </w:pPr>
      <w:r w:rsidRPr="00E062F6">
        <w:rPr>
          <w:rFonts w:ascii="Roboto" w:hAnsi="Roboto"/>
          <w:b/>
          <w:bCs/>
          <w:color w:val="543192"/>
          <w:sz w:val="72"/>
          <w:szCs w:val="72"/>
        </w:rPr>
        <w:t>Jordan</w:t>
      </w:r>
    </w:p>
    <w:p w14:paraId="7C5D143E" w14:textId="77777777" w:rsidR="00FA7A82" w:rsidRPr="00E062F6" w:rsidRDefault="00000000">
      <w:pPr>
        <w:spacing w:line="276" w:lineRule="auto"/>
        <w:jc w:val="both"/>
        <w:rPr>
          <w:rFonts w:ascii="Roboto" w:hAnsi="Roboto"/>
          <w:b/>
          <w:bCs/>
          <w:color w:val="555656"/>
          <w:sz w:val="52"/>
          <w:szCs w:val="52"/>
        </w:rPr>
      </w:pPr>
      <w:r w:rsidRPr="00E062F6">
        <w:rPr>
          <w:rFonts w:ascii="Roboto" w:hAnsi="Roboto"/>
          <w:b/>
          <w:bCs/>
          <w:color w:val="555656"/>
          <w:sz w:val="52"/>
          <w:szCs w:val="52"/>
        </w:rPr>
        <w:t>Alternative Report</w:t>
      </w:r>
    </w:p>
    <w:p w14:paraId="19DE7F98" w14:textId="77777777" w:rsidR="00FA7A82" w:rsidRPr="00E062F6" w:rsidRDefault="00FA7A82">
      <w:pPr>
        <w:spacing w:line="276" w:lineRule="auto"/>
        <w:jc w:val="both"/>
        <w:rPr>
          <w:rFonts w:ascii="Roboto" w:hAnsi="Roboto"/>
          <w:color w:val="949494"/>
          <w:sz w:val="52"/>
          <w:szCs w:val="52"/>
        </w:rPr>
      </w:pPr>
    </w:p>
    <w:p w14:paraId="07D1A172" w14:textId="77777777" w:rsidR="00FA7A82" w:rsidRPr="00E062F6" w:rsidRDefault="00000000">
      <w:pPr>
        <w:pStyle w:val="BasicParagraph"/>
        <w:spacing w:line="276" w:lineRule="auto"/>
        <w:jc w:val="both"/>
        <w:rPr>
          <w:rFonts w:ascii="Roboto" w:hAnsi="Roboto" w:cs="Roboto"/>
          <w:i/>
          <w:iCs/>
          <w:color w:val="949494"/>
          <w:sz w:val="42"/>
          <w:szCs w:val="42"/>
        </w:rPr>
      </w:pPr>
      <w:r w:rsidRPr="00E062F6">
        <w:rPr>
          <w:rFonts w:ascii="Roboto" w:hAnsi="Roboto" w:cs="Roboto"/>
          <w:i/>
          <w:iCs/>
          <w:color w:val="949494"/>
          <w:sz w:val="40"/>
          <w:szCs w:val="40"/>
        </w:rPr>
        <w:t xml:space="preserve">Alternative report submitted in the context of the review of Jordan’s fourth periodic report. </w:t>
      </w:r>
    </w:p>
    <w:p w14:paraId="102B40DF" w14:textId="77777777" w:rsidR="00FA7A82" w:rsidRPr="00E062F6" w:rsidRDefault="00FA7A82">
      <w:pPr>
        <w:spacing w:line="276" w:lineRule="auto"/>
        <w:jc w:val="both"/>
        <w:rPr>
          <w:rFonts w:ascii="Roboto" w:hAnsi="Roboto"/>
          <w:color w:val="292929"/>
          <w:sz w:val="52"/>
          <w:szCs w:val="52"/>
        </w:rPr>
      </w:pPr>
    </w:p>
    <w:p w14:paraId="6664762A" w14:textId="77777777" w:rsidR="00FA7A82" w:rsidRPr="00E062F6" w:rsidRDefault="00000000">
      <w:pPr>
        <w:spacing w:line="276" w:lineRule="auto"/>
        <w:jc w:val="both"/>
        <w:rPr>
          <w:rFonts w:ascii="Roboto" w:hAnsi="Roboto"/>
          <w:b/>
          <w:bCs/>
          <w:color w:val="555656"/>
          <w:sz w:val="48"/>
          <w:szCs w:val="48"/>
        </w:rPr>
      </w:pPr>
      <w:r w:rsidRPr="00E062F6">
        <w:rPr>
          <w:rFonts w:ascii="Roboto" w:hAnsi="Roboto"/>
          <w:b/>
          <w:bCs/>
          <w:color w:val="555656"/>
          <w:sz w:val="48"/>
          <w:szCs w:val="48"/>
        </w:rPr>
        <w:t>September 2024</w:t>
      </w:r>
    </w:p>
    <w:p w14:paraId="37160A37" w14:textId="77777777" w:rsidR="00FA7A82" w:rsidRPr="00E062F6" w:rsidRDefault="00FA7A82">
      <w:pPr>
        <w:spacing w:line="276" w:lineRule="auto"/>
        <w:jc w:val="both"/>
        <w:rPr>
          <w:rFonts w:ascii="Roboto" w:hAnsi="Roboto"/>
          <w:color w:val="292929"/>
          <w:sz w:val="52"/>
          <w:szCs w:val="52"/>
        </w:rPr>
      </w:pPr>
    </w:p>
    <w:p w14:paraId="6392BB77" w14:textId="77777777" w:rsidR="00FA7A82" w:rsidRPr="00E062F6" w:rsidRDefault="00FA7A82">
      <w:pPr>
        <w:spacing w:line="276" w:lineRule="auto"/>
        <w:jc w:val="both"/>
        <w:rPr>
          <w:rFonts w:ascii="Roboto" w:hAnsi="Roboto"/>
          <w:color w:val="292929"/>
          <w:sz w:val="52"/>
          <w:szCs w:val="52"/>
        </w:rPr>
      </w:pPr>
    </w:p>
    <w:p w14:paraId="0F2EBC1E" w14:textId="77777777" w:rsidR="00FA7A82" w:rsidRPr="00E062F6" w:rsidRDefault="00000000">
      <w:pPr>
        <w:spacing w:line="276" w:lineRule="auto"/>
        <w:jc w:val="both"/>
        <w:rPr>
          <w:rFonts w:ascii="Roboto" w:hAnsi="Roboto"/>
          <w:color w:val="292929"/>
          <w:sz w:val="52"/>
          <w:szCs w:val="52"/>
        </w:rPr>
      </w:pPr>
      <w:r w:rsidRPr="00E062F6">
        <w:rPr>
          <w:rFonts w:ascii="Roboto" w:hAnsi="Roboto"/>
          <w:noProof/>
          <w:lang w:val="fr-FR" w:eastAsia="fr-FR"/>
        </w:rPr>
        <mc:AlternateContent>
          <mc:Choice Requires="wps">
            <w:drawing>
              <wp:anchor distT="0" distB="0" distL="114300" distR="114300" simplePos="0" relativeHeight="251659264" behindDoc="0" locked="0" layoutInCell="1" allowOverlap="1" wp14:anchorId="0D26BDAD" wp14:editId="22474162">
                <wp:simplePos x="0" y="0"/>
                <wp:positionH relativeFrom="page">
                  <wp:posOffset>-186690</wp:posOffset>
                </wp:positionH>
                <wp:positionV relativeFrom="paragraph">
                  <wp:posOffset>223520</wp:posOffset>
                </wp:positionV>
                <wp:extent cx="7867650" cy="2085340"/>
                <wp:effectExtent l="0" t="0" r="19050" b="10160"/>
                <wp:wrapNone/>
                <wp:docPr id="6" name="Rectangle 10"/>
                <wp:cNvGraphicFramePr/>
                <a:graphic xmlns:a="http://schemas.openxmlformats.org/drawingml/2006/main">
                  <a:graphicData uri="http://schemas.microsoft.com/office/word/2010/wordprocessingShape">
                    <wps:wsp>
                      <wps:cNvSpPr/>
                      <wps:spPr bwMode="auto">
                        <a:xfrm>
                          <a:off x="0" y="0"/>
                          <a:ext cx="7867649" cy="2085340"/>
                        </a:xfrm>
                        <a:prstGeom prst="rect">
                          <a:avLst/>
                        </a:prstGeom>
                        <a:solidFill>
                          <a:srgbClr val="543192"/>
                        </a:solidFill>
                        <a:ln>
                          <a:solidFill>
                            <a:srgbClr val="54319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42DF45D" w14:textId="77777777" w:rsidR="00FA7A82" w:rsidRDefault="00FA7A82">
                            <w:pPr>
                              <w:rPr>
                                <w:lang w:val="fr-FR"/>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26BDAD" id="Rectangle 10" o:spid="_x0000_s1026" style="position:absolute;left:0;text-align:left;margin-left:-14.7pt;margin-top:17.6pt;width:619.5pt;height:164.2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2oL8kwIAAKIFAAAOAAAAZHJzL2Uyb0RvYy54bWysVEtv2zAMvg/YfxB0X+2k6cuoUwQtOgzo&#13;&#10;2qLt0LMiS7EAWdQkJXb260fJj3ZdsUMxHwTRJD+Sn0ieX3SNJjvhvAJT0tlBTokwHCplNiX98XT9&#13;&#10;5ZQSH5ipmAYjSroXnl4sP386b20h5lCDroQjCGJ80dqS1iHYIss8r0XD/AFYYVApwTUsoOg2WeVY&#13;&#10;i+iNzuZ5fpy14CrrgAvv8e9Vr6TLhC+l4OFOSi8C0SXF3EI6XTrX8cyW56zYOGZrxYc02AeyaJgy&#13;&#10;GHSCumKBka1Tf0E1ijvwIMMBhyYDKRUXqQasZpa/qeaxZlakWpAcbyea/P+D5be7R3vvkIbW+sLj&#13;&#10;lazb71DhU7FtgFRTJ10Ta8NsSZeo20/UiS4Qjj9PTo9PjhdnlHDUzfPTo8NFIjdjxehunQ9fBTQk&#13;&#10;Xkrq8G0SPNvd+IAJoOloEqN50Kq6VlonwW3Wl9qRHcN3PFoczs7m8enQ5Q8zbT7miTjRNRs5GNgI&#13;&#10;ey0ioDYPQhJVYZ3zlHJqTzElxDgXJsx6Vc0qMeSZ4zemGRs6eqSkE2BElljfhD0AjJY9yIjdVzvY&#13;&#10;R1eRuntyzv+VWO88eaTIYMLk3CgD7j0AjVUNkXv7kaSemshX6NYdmsTrGqo9NpCDfsy85dcK3/qG&#13;&#10;+XDPHM4VTiDuinCHh9TQlhSGGyU1uF/v/Y/22O6opaTFOS2p/7llTlCivxkchLPZAjuNhCQsjk7m&#13;&#10;KLjXmvVrjdk2l4AtNMOtZHm6Rvugx6t00DzjSlnFqKhihmPskvLgRuEy9PsDlxIXq1Uyw2G2LNyY&#13;&#10;R8sjeCQ49vJT98ycHRo+4KzcwjjTrHjT971t9DSwwtGTKg3FC68D9bgIUg8NSytumtdysnpZrcvf&#13;&#10;AAAA//8DAFBLAwQUAAYACAAAACEAckx8geQAAAAQAQAADwAAAGRycy9kb3ducmV2LnhtbExPy07D&#13;&#10;MBC8I/EP1iJxa20SGrVpnIrnCUrUwqHc3HhxIuJ1FLtt+HvcE1xW2p3ZeRSr0XbsiINvHUm4mQpg&#13;&#10;SLXTLRkJH+/PkzkwHxRp1TlCCT/oYVVeXhQq1+5EGzxug2FRhHyuJDQh9Dnnvm7QKj91PVLEvtxg&#13;&#10;VYjrYLge1CmK244nQmTcqpaiQ6N6fGiw/t4erITP12z3tjYzk1Zrcb+zRrxU1ZOU11fj4zKOuyWw&#13;&#10;gGP4+4Bzh5gfyhhs7w6kPeskTJLFbaRKSGcJsDMhEYsM2D5esjQDXhb8f5HyFwAA//8DAFBLAQIt&#13;&#10;ABQABgAIAAAAIQC2gziS/gAAAOEBAAATAAAAAAAAAAAAAAAAAAAAAABbQ29udGVudF9UeXBlc10u&#13;&#10;eG1sUEsBAi0AFAAGAAgAAAAhADj9If/WAAAAlAEAAAsAAAAAAAAAAAAAAAAALwEAAF9yZWxzLy5y&#13;&#10;ZWxzUEsBAi0AFAAGAAgAAAAhABnagvyTAgAAogUAAA4AAAAAAAAAAAAAAAAALgIAAGRycy9lMm9E&#13;&#10;b2MueG1sUEsBAi0AFAAGAAgAAAAhAHJMfIHkAAAAEAEAAA8AAAAAAAAAAAAAAAAA7QQAAGRycy9k&#13;&#10;b3ducmV2LnhtbFBLBQYAAAAABAAEAPMAAAD+BQAAAAA=&#13;&#10;" fillcolor="#543192" strokecolor="#543192" strokeweight="1pt">
                <v:textbox>
                  <w:txbxContent>
                    <w:p w14:paraId="242DF45D" w14:textId="77777777" w:rsidR="00FA7A82" w:rsidRDefault="00FA7A82">
                      <w:pPr>
                        <w:rPr>
                          <w:lang w:val="fr-FR"/>
                        </w:rPr>
                      </w:pPr>
                    </w:p>
                  </w:txbxContent>
                </v:textbox>
                <w10:wrap anchorx="page"/>
              </v:rect>
            </w:pict>
          </mc:Fallback>
        </mc:AlternateContent>
      </w:r>
    </w:p>
    <w:p w14:paraId="12045128" w14:textId="77777777" w:rsidR="00FA7A82" w:rsidRPr="00E062F6" w:rsidRDefault="00FA7A82">
      <w:pPr>
        <w:pStyle w:val="Title"/>
        <w:jc w:val="both"/>
        <w:rPr>
          <w:rFonts w:eastAsiaTheme="minorHAnsi" w:cstheme="minorBidi"/>
          <w:color w:val="292929"/>
          <w:spacing w:val="0"/>
          <w:sz w:val="52"/>
          <w:szCs w:val="52"/>
          <w:shd w:val="clear" w:color="auto" w:fill="auto"/>
        </w:rPr>
      </w:pPr>
    </w:p>
    <w:p w14:paraId="4AAA15F1" w14:textId="77777777" w:rsidR="00FA7A82" w:rsidRPr="00E062F6" w:rsidRDefault="00FA7A82">
      <w:pPr>
        <w:pStyle w:val="Title"/>
        <w:jc w:val="both"/>
        <w:rPr>
          <w:sz w:val="44"/>
          <w:szCs w:val="44"/>
        </w:rPr>
      </w:pPr>
    </w:p>
    <w:sdt>
      <w:sdtPr>
        <w:rPr>
          <w:rFonts w:eastAsiaTheme="minorHAnsi" w:cstheme="minorBidi"/>
          <w:color w:val="auto"/>
          <w:spacing w:val="0"/>
          <w:sz w:val="48"/>
          <w:szCs w:val="48"/>
          <w:shd w:val="clear" w:color="auto" w:fill="auto"/>
        </w:rPr>
        <w:id w:val="-1827118391"/>
        <w:docPartObj>
          <w:docPartGallery w:val="Table of Contents"/>
          <w:docPartUnique/>
        </w:docPartObj>
      </w:sdtPr>
      <w:sdtContent>
        <w:p w14:paraId="7A18910B" w14:textId="77777777" w:rsidR="00FA7A82" w:rsidRPr="00E062F6" w:rsidRDefault="00000000">
          <w:pPr>
            <w:pStyle w:val="Title"/>
            <w:jc w:val="both"/>
            <w:rPr>
              <w:rStyle w:val="Strong"/>
              <w:sz w:val="48"/>
              <w:szCs w:val="48"/>
            </w:rPr>
          </w:pPr>
          <w:r w:rsidRPr="00E062F6">
            <w:rPr>
              <w:rStyle w:val="Strong"/>
              <w:sz w:val="48"/>
              <w:szCs w:val="48"/>
            </w:rPr>
            <w:t>Table of Contents</w:t>
          </w:r>
        </w:p>
        <w:p w14:paraId="1B8152AD" w14:textId="77777777" w:rsidR="00FA7A82" w:rsidRPr="00E062F6" w:rsidRDefault="00FA7A82">
          <w:pPr>
            <w:jc w:val="both"/>
            <w:rPr>
              <w:rFonts w:ascii="Roboto" w:hAnsi="Roboto"/>
            </w:rPr>
          </w:pPr>
        </w:p>
        <w:p w14:paraId="10549BD9" w14:textId="6975044E" w:rsidR="00891EDE" w:rsidRPr="00E062F6" w:rsidRDefault="00000000">
          <w:pPr>
            <w:pStyle w:val="TOC1"/>
            <w:tabs>
              <w:tab w:val="left" w:pos="440"/>
              <w:tab w:val="right" w:leader="dot" w:pos="9060"/>
            </w:tabs>
            <w:rPr>
              <w:rFonts w:ascii="Roboto" w:eastAsiaTheme="minorEastAsia" w:hAnsi="Roboto"/>
              <w:noProof/>
              <w:kern w:val="2"/>
              <w:sz w:val="24"/>
              <w:szCs w:val="24"/>
              <w:lang w:val="en-CH" w:eastAsia="en-GB"/>
              <w14:ligatures w14:val="standardContextual"/>
            </w:rPr>
          </w:pPr>
          <w:r w:rsidRPr="00E062F6">
            <w:rPr>
              <w:rFonts w:ascii="Roboto" w:hAnsi="Roboto"/>
              <w:b/>
              <w:bCs/>
            </w:rPr>
            <w:fldChar w:fldCharType="begin"/>
          </w:r>
          <w:r w:rsidRPr="00E062F6">
            <w:rPr>
              <w:rFonts w:ascii="Roboto" w:hAnsi="Roboto"/>
              <w:b/>
              <w:bCs/>
            </w:rPr>
            <w:instrText xml:space="preserve"> TOC \o "1-3" \h \z \u </w:instrText>
          </w:r>
          <w:r w:rsidRPr="00E062F6">
            <w:rPr>
              <w:rFonts w:ascii="Roboto" w:hAnsi="Roboto"/>
              <w:b/>
              <w:bCs/>
            </w:rPr>
            <w:fldChar w:fldCharType="separate"/>
          </w:r>
          <w:hyperlink w:anchor="_Toc178610922" w:history="1">
            <w:r w:rsidR="00891EDE" w:rsidRPr="00E062F6">
              <w:rPr>
                <w:rStyle w:val="Hyperlink"/>
                <w:rFonts w:ascii="Roboto" w:hAnsi="Roboto"/>
                <w:noProof/>
              </w:rPr>
              <w:t>1</w:t>
            </w:r>
            <w:r w:rsidR="00891EDE" w:rsidRPr="00E062F6">
              <w:rPr>
                <w:rFonts w:ascii="Roboto" w:eastAsiaTheme="minorEastAsia" w:hAnsi="Roboto"/>
                <w:noProof/>
                <w:kern w:val="2"/>
                <w:sz w:val="24"/>
                <w:szCs w:val="24"/>
                <w:lang w:val="en-CH" w:eastAsia="en-GB"/>
                <w14:ligatures w14:val="standardContextual"/>
              </w:rPr>
              <w:tab/>
            </w:r>
            <w:r w:rsidR="00891EDE" w:rsidRPr="00E062F6">
              <w:rPr>
                <w:rStyle w:val="Hyperlink"/>
                <w:rFonts w:ascii="Roboto" w:hAnsi="Roboto"/>
                <w:noProof/>
              </w:rPr>
              <w:t>Introduction</w:t>
            </w:r>
            <w:r w:rsidR="00891EDE" w:rsidRPr="00E062F6">
              <w:rPr>
                <w:rFonts w:ascii="Roboto" w:hAnsi="Roboto"/>
                <w:noProof/>
                <w:webHidden/>
              </w:rPr>
              <w:tab/>
            </w:r>
            <w:r w:rsidR="00891EDE" w:rsidRPr="00E062F6">
              <w:rPr>
                <w:rFonts w:ascii="Roboto" w:hAnsi="Roboto"/>
                <w:noProof/>
                <w:webHidden/>
              </w:rPr>
              <w:fldChar w:fldCharType="begin"/>
            </w:r>
            <w:r w:rsidR="00891EDE" w:rsidRPr="00E062F6">
              <w:rPr>
                <w:rFonts w:ascii="Roboto" w:hAnsi="Roboto"/>
                <w:noProof/>
                <w:webHidden/>
              </w:rPr>
              <w:instrText xml:space="preserve"> PAGEREF _Toc178610922 \h </w:instrText>
            </w:r>
            <w:r w:rsidR="00891EDE" w:rsidRPr="00E062F6">
              <w:rPr>
                <w:rFonts w:ascii="Roboto" w:hAnsi="Roboto"/>
                <w:noProof/>
                <w:webHidden/>
              </w:rPr>
            </w:r>
            <w:r w:rsidR="00891EDE" w:rsidRPr="00E062F6">
              <w:rPr>
                <w:rFonts w:ascii="Roboto" w:hAnsi="Roboto"/>
                <w:noProof/>
                <w:webHidden/>
              </w:rPr>
              <w:fldChar w:fldCharType="separate"/>
            </w:r>
            <w:r w:rsidR="00891EDE" w:rsidRPr="00E062F6">
              <w:rPr>
                <w:rFonts w:ascii="Roboto" w:hAnsi="Roboto"/>
                <w:noProof/>
                <w:webHidden/>
              </w:rPr>
              <w:t>4</w:t>
            </w:r>
            <w:r w:rsidR="00891EDE" w:rsidRPr="00E062F6">
              <w:rPr>
                <w:rFonts w:ascii="Roboto" w:hAnsi="Roboto"/>
                <w:noProof/>
                <w:webHidden/>
              </w:rPr>
              <w:fldChar w:fldCharType="end"/>
            </w:r>
          </w:hyperlink>
        </w:p>
        <w:p w14:paraId="18EBA0B6" w14:textId="5AFC7FDB" w:rsidR="00891EDE" w:rsidRPr="00E062F6" w:rsidRDefault="00891EDE">
          <w:pPr>
            <w:pStyle w:val="TOC1"/>
            <w:tabs>
              <w:tab w:val="left" w:pos="440"/>
              <w:tab w:val="right" w:leader="dot" w:pos="9060"/>
            </w:tabs>
            <w:rPr>
              <w:rFonts w:ascii="Roboto" w:eastAsiaTheme="minorEastAsia" w:hAnsi="Roboto"/>
              <w:noProof/>
              <w:kern w:val="2"/>
              <w:sz w:val="24"/>
              <w:szCs w:val="24"/>
              <w:lang w:val="en-CH" w:eastAsia="en-GB"/>
              <w14:ligatures w14:val="standardContextual"/>
            </w:rPr>
          </w:pPr>
          <w:hyperlink w:anchor="_Toc178610923" w:history="1">
            <w:r w:rsidRPr="00E062F6">
              <w:rPr>
                <w:rStyle w:val="Hyperlink"/>
                <w:rFonts w:ascii="Roboto" w:hAnsi="Roboto"/>
                <w:noProof/>
              </w:rPr>
              <w:t>2</w:t>
            </w:r>
            <w:r w:rsidRPr="00E062F6">
              <w:rPr>
                <w:rFonts w:ascii="Roboto" w:eastAsiaTheme="minorEastAsia" w:hAnsi="Roboto"/>
                <w:noProof/>
                <w:kern w:val="2"/>
                <w:sz w:val="24"/>
                <w:szCs w:val="24"/>
                <w:lang w:val="en-CH" w:eastAsia="en-GB"/>
                <w14:ligatures w14:val="standardContextual"/>
              </w:rPr>
              <w:tab/>
            </w:r>
            <w:r w:rsidRPr="00E062F6">
              <w:rPr>
                <w:rStyle w:val="Hyperlink"/>
                <w:rFonts w:ascii="Roboto" w:hAnsi="Roboto"/>
                <w:noProof/>
              </w:rPr>
              <w:t>Definition and criminalisation of torture (articles 1 and 4)</w:t>
            </w:r>
            <w:r w:rsidRPr="00E062F6">
              <w:rPr>
                <w:rFonts w:ascii="Roboto" w:hAnsi="Roboto"/>
                <w:noProof/>
                <w:webHidden/>
              </w:rPr>
              <w:tab/>
            </w:r>
            <w:r w:rsidRPr="00E062F6">
              <w:rPr>
                <w:rFonts w:ascii="Roboto" w:hAnsi="Roboto"/>
                <w:noProof/>
                <w:webHidden/>
              </w:rPr>
              <w:fldChar w:fldCharType="begin"/>
            </w:r>
            <w:r w:rsidRPr="00E062F6">
              <w:rPr>
                <w:rFonts w:ascii="Roboto" w:hAnsi="Roboto"/>
                <w:noProof/>
                <w:webHidden/>
              </w:rPr>
              <w:instrText xml:space="preserve"> PAGEREF _Toc178610923 \h </w:instrText>
            </w:r>
            <w:r w:rsidRPr="00E062F6">
              <w:rPr>
                <w:rFonts w:ascii="Roboto" w:hAnsi="Roboto"/>
                <w:noProof/>
                <w:webHidden/>
              </w:rPr>
            </w:r>
            <w:r w:rsidRPr="00E062F6">
              <w:rPr>
                <w:rFonts w:ascii="Roboto" w:hAnsi="Roboto"/>
                <w:noProof/>
                <w:webHidden/>
              </w:rPr>
              <w:fldChar w:fldCharType="separate"/>
            </w:r>
            <w:r w:rsidRPr="00E062F6">
              <w:rPr>
                <w:rFonts w:ascii="Roboto" w:hAnsi="Roboto"/>
                <w:noProof/>
                <w:webHidden/>
              </w:rPr>
              <w:t>5</w:t>
            </w:r>
            <w:r w:rsidRPr="00E062F6">
              <w:rPr>
                <w:rFonts w:ascii="Roboto" w:hAnsi="Roboto"/>
                <w:noProof/>
                <w:webHidden/>
              </w:rPr>
              <w:fldChar w:fldCharType="end"/>
            </w:r>
          </w:hyperlink>
        </w:p>
        <w:p w14:paraId="22812788" w14:textId="05A60722" w:rsidR="00891EDE" w:rsidRPr="00E062F6" w:rsidRDefault="00891EDE">
          <w:pPr>
            <w:pStyle w:val="TOC1"/>
            <w:tabs>
              <w:tab w:val="left" w:pos="440"/>
              <w:tab w:val="right" w:leader="dot" w:pos="9060"/>
            </w:tabs>
            <w:rPr>
              <w:rFonts w:ascii="Roboto" w:eastAsiaTheme="minorEastAsia" w:hAnsi="Roboto"/>
              <w:noProof/>
              <w:kern w:val="2"/>
              <w:sz w:val="24"/>
              <w:szCs w:val="24"/>
              <w:lang w:val="en-CH" w:eastAsia="en-GB"/>
              <w14:ligatures w14:val="standardContextual"/>
            </w:rPr>
          </w:pPr>
          <w:hyperlink w:anchor="_Toc178610924" w:history="1">
            <w:r w:rsidRPr="00E062F6">
              <w:rPr>
                <w:rStyle w:val="Hyperlink"/>
                <w:rFonts w:ascii="Roboto" w:hAnsi="Roboto"/>
                <w:noProof/>
              </w:rPr>
              <w:t>3</w:t>
            </w:r>
            <w:r w:rsidRPr="00E062F6">
              <w:rPr>
                <w:rFonts w:ascii="Roboto" w:eastAsiaTheme="minorEastAsia" w:hAnsi="Roboto"/>
                <w:noProof/>
                <w:kern w:val="2"/>
                <w:sz w:val="24"/>
                <w:szCs w:val="24"/>
                <w:lang w:val="en-CH" w:eastAsia="en-GB"/>
                <w14:ligatures w14:val="standardContextual"/>
              </w:rPr>
              <w:tab/>
            </w:r>
            <w:r w:rsidRPr="00E062F6">
              <w:rPr>
                <w:rStyle w:val="Hyperlink"/>
                <w:rFonts w:ascii="Roboto" w:hAnsi="Roboto"/>
                <w:noProof/>
              </w:rPr>
              <w:t>Effective measures to prevent torture (article 2)</w:t>
            </w:r>
            <w:r w:rsidRPr="00E062F6">
              <w:rPr>
                <w:rFonts w:ascii="Roboto" w:hAnsi="Roboto"/>
                <w:noProof/>
                <w:webHidden/>
              </w:rPr>
              <w:tab/>
            </w:r>
            <w:r w:rsidRPr="00E062F6">
              <w:rPr>
                <w:rFonts w:ascii="Roboto" w:hAnsi="Roboto"/>
                <w:noProof/>
                <w:webHidden/>
              </w:rPr>
              <w:fldChar w:fldCharType="begin"/>
            </w:r>
            <w:r w:rsidRPr="00E062F6">
              <w:rPr>
                <w:rFonts w:ascii="Roboto" w:hAnsi="Roboto"/>
                <w:noProof/>
                <w:webHidden/>
              </w:rPr>
              <w:instrText xml:space="preserve"> PAGEREF _Toc178610924 \h </w:instrText>
            </w:r>
            <w:r w:rsidRPr="00E062F6">
              <w:rPr>
                <w:rFonts w:ascii="Roboto" w:hAnsi="Roboto"/>
                <w:noProof/>
                <w:webHidden/>
              </w:rPr>
            </w:r>
            <w:r w:rsidRPr="00E062F6">
              <w:rPr>
                <w:rFonts w:ascii="Roboto" w:hAnsi="Roboto"/>
                <w:noProof/>
                <w:webHidden/>
              </w:rPr>
              <w:fldChar w:fldCharType="separate"/>
            </w:r>
            <w:r w:rsidRPr="00E062F6">
              <w:rPr>
                <w:rFonts w:ascii="Roboto" w:hAnsi="Roboto"/>
                <w:noProof/>
                <w:webHidden/>
              </w:rPr>
              <w:t>8</w:t>
            </w:r>
            <w:r w:rsidRPr="00E062F6">
              <w:rPr>
                <w:rFonts w:ascii="Roboto" w:hAnsi="Roboto"/>
                <w:noProof/>
                <w:webHidden/>
              </w:rPr>
              <w:fldChar w:fldCharType="end"/>
            </w:r>
          </w:hyperlink>
        </w:p>
        <w:p w14:paraId="4FD655D6" w14:textId="54E55F10" w:rsidR="00891EDE" w:rsidRPr="00E062F6" w:rsidRDefault="00891EDE">
          <w:pPr>
            <w:pStyle w:val="TOC2"/>
            <w:tabs>
              <w:tab w:val="left" w:pos="960"/>
              <w:tab w:val="right" w:leader="dot" w:pos="9060"/>
            </w:tabs>
            <w:rPr>
              <w:rFonts w:ascii="Roboto" w:eastAsiaTheme="minorEastAsia" w:hAnsi="Roboto"/>
              <w:noProof/>
              <w:kern w:val="2"/>
              <w:sz w:val="24"/>
              <w:szCs w:val="24"/>
              <w:lang w:val="en-CH" w:eastAsia="en-GB"/>
              <w14:ligatures w14:val="standardContextual"/>
            </w:rPr>
          </w:pPr>
          <w:hyperlink w:anchor="_Toc178610925" w:history="1">
            <w:r w:rsidRPr="00E062F6">
              <w:rPr>
                <w:rStyle w:val="Hyperlink"/>
                <w:rFonts w:ascii="Roboto" w:hAnsi="Roboto"/>
                <w:noProof/>
              </w:rPr>
              <w:t>3.1</w:t>
            </w:r>
            <w:r w:rsidRPr="00E062F6">
              <w:rPr>
                <w:rFonts w:ascii="Roboto" w:eastAsiaTheme="minorEastAsia" w:hAnsi="Roboto"/>
                <w:noProof/>
                <w:kern w:val="2"/>
                <w:sz w:val="24"/>
                <w:szCs w:val="24"/>
                <w:lang w:val="en-CH" w:eastAsia="en-GB"/>
                <w14:ligatures w14:val="standardContextual"/>
              </w:rPr>
              <w:tab/>
            </w:r>
            <w:r w:rsidRPr="00E062F6">
              <w:rPr>
                <w:rStyle w:val="Hyperlink"/>
                <w:rFonts w:ascii="Roboto" w:hAnsi="Roboto"/>
                <w:noProof/>
              </w:rPr>
              <w:t>Lack of fundamental legal safeguards from the outset of deprivation of liberty</w:t>
            </w:r>
            <w:r w:rsidRPr="00E062F6">
              <w:rPr>
                <w:rFonts w:ascii="Roboto" w:hAnsi="Roboto"/>
                <w:noProof/>
                <w:webHidden/>
              </w:rPr>
              <w:tab/>
            </w:r>
            <w:r w:rsidRPr="00E062F6">
              <w:rPr>
                <w:rFonts w:ascii="Roboto" w:hAnsi="Roboto"/>
                <w:noProof/>
                <w:webHidden/>
              </w:rPr>
              <w:fldChar w:fldCharType="begin"/>
            </w:r>
            <w:r w:rsidRPr="00E062F6">
              <w:rPr>
                <w:rFonts w:ascii="Roboto" w:hAnsi="Roboto"/>
                <w:noProof/>
                <w:webHidden/>
              </w:rPr>
              <w:instrText xml:space="preserve"> PAGEREF _Toc178610925 \h </w:instrText>
            </w:r>
            <w:r w:rsidRPr="00E062F6">
              <w:rPr>
                <w:rFonts w:ascii="Roboto" w:hAnsi="Roboto"/>
                <w:noProof/>
                <w:webHidden/>
              </w:rPr>
            </w:r>
            <w:r w:rsidRPr="00E062F6">
              <w:rPr>
                <w:rFonts w:ascii="Roboto" w:hAnsi="Roboto"/>
                <w:noProof/>
                <w:webHidden/>
              </w:rPr>
              <w:fldChar w:fldCharType="separate"/>
            </w:r>
            <w:r w:rsidRPr="00E062F6">
              <w:rPr>
                <w:rFonts w:ascii="Roboto" w:hAnsi="Roboto"/>
                <w:noProof/>
                <w:webHidden/>
              </w:rPr>
              <w:t>8</w:t>
            </w:r>
            <w:r w:rsidRPr="00E062F6">
              <w:rPr>
                <w:rFonts w:ascii="Roboto" w:hAnsi="Roboto"/>
                <w:noProof/>
                <w:webHidden/>
              </w:rPr>
              <w:fldChar w:fldCharType="end"/>
            </w:r>
          </w:hyperlink>
        </w:p>
        <w:p w14:paraId="6CA7CCE1" w14:textId="7A18389E" w:rsidR="00891EDE" w:rsidRPr="00E062F6" w:rsidRDefault="00891EDE">
          <w:pPr>
            <w:pStyle w:val="TOC2"/>
            <w:tabs>
              <w:tab w:val="left" w:pos="960"/>
              <w:tab w:val="right" w:leader="dot" w:pos="9060"/>
            </w:tabs>
            <w:rPr>
              <w:rFonts w:ascii="Roboto" w:eastAsiaTheme="minorEastAsia" w:hAnsi="Roboto"/>
              <w:noProof/>
              <w:kern w:val="2"/>
              <w:sz w:val="24"/>
              <w:szCs w:val="24"/>
              <w:lang w:val="en-CH" w:eastAsia="en-GB"/>
              <w14:ligatures w14:val="standardContextual"/>
            </w:rPr>
          </w:pPr>
          <w:hyperlink w:anchor="_Toc178610926" w:history="1">
            <w:r w:rsidRPr="00E062F6">
              <w:rPr>
                <w:rStyle w:val="Hyperlink"/>
                <w:rFonts w:ascii="Roboto" w:hAnsi="Roboto"/>
                <w:noProof/>
              </w:rPr>
              <w:t>3.2</w:t>
            </w:r>
            <w:r w:rsidRPr="00E062F6">
              <w:rPr>
                <w:rFonts w:ascii="Roboto" w:eastAsiaTheme="minorEastAsia" w:hAnsi="Roboto"/>
                <w:noProof/>
                <w:kern w:val="2"/>
                <w:sz w:val="24"/>
                <w:szCs w:val="24"/>
                <w:lang w:val="en-CH" w:eastAsia="en-GB"/>
                <w14:ligatures w14:val="standardContextual"/>
              </w:rPr>
              <w:tab/>
            </w:r>
            <w:r w:rsidRPr="00E062F6">
              <w:rPr>
                <w:rStyle w:val="Hyperlink"/>
                <w:rFonts w:ascii="Roboto" w:hAnsi="Roboto"/>
                <w:noProof/>
              </w:rPr>
              <w:t>Administrative detention</w:t>
            </w:r>
            <w:r w:rsidRPr="00E062F6">
              <w:rPr>
                <w:rFonts w:ascii="Roboto" w:hAnsi="Roboto"/>
                <w:noProof/>
                <w:webHidden/>
              </w:rPr>
              <w:tab/>
            </w:r>
            <w:r w:rsidRPr="00E062F6">
              <w:rPr>
                <w:rFonts w:ascii="Roboto" w:hAnsi="Roboto"/>
                <w:noProof/>
                <w:webHidden/>
              </w:rPr>
              <w:fldChar w:fldCharType="begin"/>
            </w:r>
            <w:r w:rsidRPr="00E062F6">
              <w:rPr>
                <w:rFonts w:ascii="Roboto" w:hAnsi="Roboto"/>
                <w:noProof/>
                <w:webHidden/>
              </w:rPr>
              <w:instrText xml:space="preserve"> PAGEREF _Toc178610926 \h </w:instrText>
            </w:r>
            <w:r w:rsidRPr="00E062F6">
              <w:rPr>
                <w:rFonts w:ascii="Roboto" w:hAnsi="Roboto"/>
                <w:noProof/>
                <w:webHidden/>
              </w:rPr>
            </w:r>
            <w:r w:rsidRPr="00E062F6">
              <w:rPr>
                <w:rFonts w:ascii="Roboto" w:hAnsi="Roboto"/>
                <w:noProof/>
                <w:webHidden/>
              </w:rPr>
              <w:fldChar w:fldCharType="separate"/>
            </w:r>
            <w:r w:rsidRPr="00E062F6">
              <w:rPr>
                <w:rFonts w:ascii="Roboto" w:hAnsi="Roboto"/>
                <w:noProof/>
                <w:webHidden/>
              </w:rPr>
              <w:t>9</w:t>
            </w:r>
            <w:r w:rsidRPr="00E062F6">
              <w:rPr>
                <w:rFonts w:ascii="Roboto" w:hAnsi="Roboto"/>
                <w:noProof/>
                <w:webHidden/>
              </w:rPr>
              <w:fldChar w:fldCharType="end"/>
            </w:r>
          </w:hyperlink>
        </w:p>
        <w:p w14:paraId="7C6BC148" w14:textId="1A4B41DF" w:rsidR="00891EDE" w:rsidRPr="00E062F6" w:rsidRDefault="00891EDE">
          <w:pPr>
            <w:pStyle w:val="TOC2"/>
            <w:tabs>
              <w:tab w:val="left" w:pos="960"/>
              <w:tab w:val="right" w:leader="dot" w:pos="9060"/>
            </w:tabs>
            <w:rPr>
              <w:rFonts w:ascii="Roboto" w:eastAsiaTheme="minorEastAsia" w:hAnsi="Roboto"/>
              <w:noProof/>
              <w:kern w:val="2"/>
              <w:sz w:val="24"/>
              <w:szCs w:val="24"/>
              <w:lang w:val="en-CH" w:eastAsia="en-GB"/>
              <w14:ligatures w14:val="standardContextual"/>
            </w:rPr>
          </w:pPr>
          <w:hyperlink w:anchor="_Toc178610927" w:history="1">
            <w:r w:rsidRPr="00E062F6">
              <w:rPr>
                <w:rStyle w:val="Hyperlink"/>
                <w:rFonts w:ascii="Roboto" w:hAnsi="Roboto"/>
                <w:noProof/>
              </w:rPr>
              <w:t>3.3</w:t>
            </w:r>
            <w:r w:rsidRPr="00E062F6">
              <w:rPr>
                <w:rFonts w:ascii="Roboto" w:eastAsiaTheme="minorEastAsia" w:hAnsi="Roboto"/>
                <w:noProof/>
                <w:kern w:val="2"/>
                <w:sz w:val="24"/>
                <w:szCs w:val="24"/>
                <w:lang w:val="en-CH" w:eastAsia="en-GB"/>
                <w14:ligatures w14:val="standardContextual"/>
              </w:rPr>
              <w:tab/>
            </w:r>
            <w:r w:rsidRPr="00E062F6">
              <w:rPr>
                <w:rStyle w:val="Hyperlink"/>
                <w:rFonts w:ascii="Roboto" w:hAnsi="Roboto"/>
                <w:noProof/>
              </w:rPr>
              <w:t>Jordan’s National Human Rights Institution (NHRI)</w:t>
            </w:r>
            <w:r w:rsidRPr="00E062F6">
              <w:rPr>
                <w:rFonts w:ascii="Roboto" w:hAnsi="Roboto"/>
                <w:noProof/>
                <w:webHidden/>
              </w:rPr>
              <w:tab/>
            </w:r>
            <w:r w:rsidRPr="00E062F6">
              <w:rPr>
                <w:rFonts w:ascii="Roboto" w:hAnsi="Roboto"/>
                <w:noProof/>
                <w:webHidden/>
              </w:rPr>
              <w:fldChar w:fldCharType="begin"/>
            </w:r>
            <w:r w:rsidRPr="00E062F6">
              <w:rPr>
                <w:rFonts w:ascii="Roboto" w:hAnsi="Roboto"/>
                <w:noProof/>
                <w:webHidden/>
              </w:rPr>
              <w:instrText xml:space="preserve"> PAGEREF _Toc178610927 \h </w:instrText>
            </w:r>
            <w:r w:rsidRPr="00E062F6">
              <w:rPr>
                <w:rFonts w:ascii="Roboto" w:hAnsi="Roboto"/>
                <w:noProof/>
                <w:webHidden/>
              </w:rPr>
            </w:r>
            <w:r w:rsidRPr="00E062F6">
              <w:rPr>
                <w:rFonts w:ascii="Roboto" w:hAnsi="Roboto"/>
                <w:noProof/>
                <w:webHidden/>
              </w:rPr>
              <w:fldChar w:fldCharType="separate"/>
            </w:r>
            <w:r w:rsidRPr="00E062F6">
              <w:rPr>
                <w:rFonts w:ascii="Roboto" w:hAnsi="Roboto"/>
                <w:noProof/>
                <w:webHidden/>
              </w:rPr>
              <w:t>11</w:t>
            </w:r>
            <w:r w:rsidRPr="00E062F6">
              <w:rPr>
                <w:rFonts w:ascii="Roboto" w:hAnsi="Roboto"/>
                <w:noProof/>
                <w:webHidden/>
              </w:rPr>
              <w:fldChar w:fldCharType="end"/>
            </w:r>
          </w:hyperlink>
        </w:p>
        <w:p w14:paraId="4CE2D66D" w14:textId="7250FF5D" w:rsidR="00891EDE" w:rsidRPr="00E062F6" w:rsidRDefault="00891EDE">
          <w:pPr>
            <w:pStyle w:val="TOC1"/>
            <w:tabs>
              <w:tab w:val="left" w:pos="440"/>
              <w:tab w:val="right" w:leader="dot" w:pos="9060"/>
            </w:tabs>
            <w:rPr>
              <w:rFonts w:ascii="Roboto" w:eastAsiaTheme="minorEastAsia" w:hAnsi="Roboto"/>
              <w:noProof/>
              <w:kern w:val="2"/>
              <w:sz w:val="24"/>
              <w:szCs w:val="24"/>
              <w:lang w:val="en-CH" w:eastAsia="en-GB"/>
              <w14:ligatures w14:val="standardContextual"/>
            </w:rPr>
          </w:pPr>
          <w:hyperlink w:anchor="_Toc178610928" w:history="1">
            <w:r w:rsidRPr="00E062F6">
              <w:rPr>
                <w:rStyle w:val="Hyperlink"/>
                <w:rFonts w:ascii="Roboto" w:hAnsi="Roboto"/>
                <w:noProof/>
              </w:rPr>
              <w:t>4</w:t>
            </w:r>
            <w:r w:rsidRPr="00E062F6">
              <w:rPr>
                <w:rFonts w:ascii="Roboto" w:eastAsiaTheme="minorEastAsia" w:hAnsi="Roboto"/>
                <w:noProof/>
                <w:kern w:val="2"/>
                <w:sz w:val="24"/>
                <w:szCs w:val="24"/>
                <w:lang w:val="en-CH" w:eastAsia="en-GB"/>
                <w14:ligatures w14:val="standardContextual"/>
              </w:rPr>
              <w:tab/>
            </w:r>
            <w:r w:rsidRPr="00E062F6">
              <w:rPr>
                <w:rStyle w:val="Hyperlink"/>
                <w:rFonts w:ascii="Roboto" w:hAnsi="Roboto"/>
                <w:noProof/>
              </w:rPr>
              <w:t>Extradition and prohibition of non-refoulement (article 3)</w:t>
            </w:r>
            <w:r w:rsidRPr="00E062F6">
              <w:rPr>
                <w:rFonts w:ascii="Roboto" w:hAnsi="Roboto"/>
                <w:noProof/>
                <w:webHidden/>
              </w:rPr>
              <w:tab/>
            </w:r>
            <w:r w:rsidRPr="00E062F6">
              <w:rPr>
                <w:rFonts w:ascii="Roboto" w:hAnsi="Roboto"/>
                <w:noProof/>
                <w:webHidden/>
              </w:rPr>
              <w:fldChar w:fldCharType="begin"/>
            </w:r>
            <w:r w:rsidRPr="00E062F6">
              <w:rPr>
                <w:rFonts w:ascii="Roboto" w:hAnsi="Roboto"/>
                <w:noProof/>
                <w:webHidden/>
              </w:rPr>
              <w:instrText xml:space="preserve"> PAGEREF _Toc178610928 \h </w:instrText>
            </w:r>
            <w:r w:rsidRPr="00E062F6">
              <w:rPr>
                <w:rFonts w:ascii="Roboto" w:hAnsi="Roboto"/>
                <w:noProof/>
                <w:webHidden/>
              </w:rPr>
            </w:r>
            <w:r w:rsidRPr="00E062F6">
              <w:rPr>
                <w:rFonts w:ascii="Roboto" w:hAnsi="Roboto"/>
                <w:noProof/>
                <w:webHidden/>
              </w:rPr>
              <w:fldChar w:fldCharType="separate"/>
            </w:r>
            <w:r w:rsidRPr="00E062F6">
              <w:rPr>
                <w:rFonts w:ascii="Roboto" w:hAnsi="Roboto"/>
                <w:noProof/>
                <w:webHidden/>
              </w:rPr>
              <w:t>13</w:t>
            </w:r>
            <w:r w:rsidRPr="00E062F6">
              <w:rPr>
                <w:rFonts w:ascii="Roboto" w:hAnsi="Roboto"/>
                <w:noProof/>
                <w:webHidden/>
              </w:rPr>
              <w:fldChar w:fldCharType="end"/>
            </w:r>
          </w:hyperlink>
        </w:p>
        <w:p w14:paraId="3548E366" w14:textId="22879F2E" w:rsidR="00891EDE" w:rsidRPr="00E062F6" w:rsidRDefault="00891EDE">
          <w:pPr>
            <w:pStyle w:val="TOC2"/>
            <w:tabs>
              <w:tab w:val="left" w:pos="960"/>
              <w:tab w:val="right" w:leader="dot" w:pos="9060"/>
            </w:tabs>
            <w:rPr>
              <w:rFonts w:ascii="Roboto" w:eastAsiaTheme="minorEastAsia" w:hAnsi="Roboto"/>
              <w:noProof/>
              <w:kern w:val="2"/>
              <w:sz w:val="24"/>
              <w:szCs w:val="24"/>
              <w:lang w:val="en-CH" w:eastAsia="en-GB"/>
              <w14:ligatures w14:val="standardContextual"/>
            </w:rPr>
          </w:pPr>
          <w:hyperlink w:anchor="_Toc178610929" w:history="1">
            <w:r w:rsidRPr="00E062F6">
              <w:rPr>
                <w:rStyle w:val="Hyperlink"/>
                <w:rFonts w:ascii="Roboto" w:hAnsi="Roboto"/>
                <w:noProof/>
              </w:rPr>
              <w:t>4.1</w:t>
            </w:r>
            <w:r w:rsidRPr="00E062F6">
              <w:rPr>
                <w:rFonts w:ascii="Roboto" w:eastAsiaTheme="minorEastAsia" w:hAnsi="Roboto"/>
                <w:noProof/>
                <w:kern w:val="2"/>
                <w:sz w:val="24"/>
                <w:szCs w:val="24"/>
                <w:lang w:val="en-CH" w:eastAsia="en-GB"/>
                <w14:ligatures w14:val="standardContextual"/>
              </w:rPr>
              <w:tab/>
            </w:r>
            <w:r w:rsidRPr="00E062F6">
              <w:rPr>
                <w:rStyle w:val="Hyperlink"/>
                <w:rFonts w:ascii="Roboto" w:hAnsi="Roboto"/>
                <w:noProof/>
              </w:rPr>
              <w:t>Regional legal framework governing judicial cooperation and extradition proceedings</w:t>
            </w:r>
            <w:r w:rsidRPr="00E062F6">
              <w:rPr>
                <w:rFonts w:ascii="Roboto" w:hAnsi="Roboto"/>
                <w:noProof/>
                <w:webHidden/>
              </w:rPr>
              <w:tab/>
            </w:r>
            <w:r w:rsidRPr="00E062F6">
              <w:rPr>
                <w:rFonts w:ascii="Roboto" w:hAnsi="Roboto"/>
                <w:noProof/>
                <w:webHidden/>
              </w:rPr>
              <w:fldChar w:fldCharType="begin"/>
            </w:r>
            <w:r w:rsidRPr="00E062F6">
              <w:rPr>
                <w:rFonts w:ascii="Roboto" w:hAnsi="Roboto"/>
                <w:noProof/>
                <w:webHidden/>
              </w:rPr>
              <w:instrText xml:space="preserve"> PAGEREF _Toc178610929 \h </w:instrText>
            </w:r>
            <w:r w:rsidRPr="00E062F6">
              <w:rPr>
                <w:rFonts w:ascii="Roboto" w:hAnsi="Roboto"/>
                <w:noProof/>
                <w:webHidden/>
              </w:rPr>
            </w:r>
            <w:r w:rsidRPr="00E062F6">
              <w:rPr>
                <w:rFonts w:ascii="Roboto" w:hAnsi="Roboto"/>
                <w:noProof/>
                <w:webHidden/>
              </w:rPr>
              <w:fldChar w:fldCharType="separate"/>
            </w:r>
            <w:r w:rsidRPr="00E062F6">
              <w:rPr>
                <w:rFonts w:ascii="Roboto" w:hAnsi="Roboto"/>
                <w:noProof/>
                <w:webHidden/>
              </w:rPr>
              <w:t>14</w:t>
            </w:r>
            <w:r w:rsidRPr="00E062F6">
              <w:rPr>
                <w:rFonts w:ascii="Roboto" w:hAnsi="Roboto"/>
                <w:noProof/>
                <w:webHidden/>
              </w:rPr>
              <w:fldChar w:fldCharType="end"/>
            </w:r>
          </w:hyperlink>
        </w:p>
        <w:p w14:paraId="484884B0" w14:textId="65F7FBE2" w:rsidR="00891EDE" w:rsidRPr="00E062F6" w:rsidRDefault="00891EDE">
          <w:pPr>
            <w:pStyle w:val="TOC2"/>
            <w:tabs>
              <w:tab w:val="left" w:pos="960"/>
              <w:tab w:val="right" w:leader="dot" w:pos="9060"/>
            </w:tabs>
            <w:rPr>
              <w:rFonts w:ascii="Roboto" w:eastAsiaTheme="minorEastAsia" w:hAnsi="Roboto"/>
              <w:noProof/>
              <w:kern w:val="2"/>
              <w:sz w:val="24"/>
              <w:szCs w:val="24"/>
              <w:lang w:val="en-CH" w:eastAsia="en-GB"/>
              <w14:ligatures w14:val="standardContextual"/>
            </w:rPr>
          </w:pPr>
          <w:hyperlink w:anchor="_Toc178610930" w:history="1">
            <w:r w:rsidRPr="00E062F6">
              <w:rPr>
                <w:rStyle w:val="Hyperlink"/>
                <w:rFonts w:ascii="Roboto" w:hAnsi="Roboto"/>
                <w:noProof/>
              </w:rPr>
              <w:t>4.2</w:t>
            </w:r>
            <w:r w:rsidRPr="00E062F6">
              <w:rPr>
                <w:rFonts w:ascii="Roboto" w:eastAsiaTheme="minorEastAsia" w:hAnsi="Roboto"/>
                <w:noProof/>
                <w:kern w:val="2"/>
                <w:sz w:val="24"/>
                <w:szCs w:val="24"/>
                <w:lang w:val="en-CH" w:eastAsia="en-GB"/>
                <w14:ligatures w14:val="standardContextual"/>
              </w:rPr>
              <w:tab/>
            </w:r>
            <w:r w:rsidRPr="00E062F6">
              <w:rPr>
                <w:rStyle w:val="Hyperlink"/>
                <w:rFonts w:ascii="Roboto" w:hAnsi="Roboto"/>
                <w:noProof/>
              </w:rPr>
              <w:t>The Arab Interior Ministers’ Council (AIMC) and its role in facilitating politically motivated extraditions in the Arab region</w:t>
            </w:r>
            <w:r w:rsidRPr="00E062F6">
              <w:rPr>
                <w:rFonts w:ascii="Roboto" w:hAnsi="Roboto"/>
                <w:noProof/>
                <w:webHidden/>
              </w:rPr>
              <w:tab/>
            </w:r>
            <w:r w:rsidRPr="00E062F6">
              <w:rPr>
                <w:rFonts w:ascii="Roboto" w:hAnsi="Roboto"/>
                <w:noProof/>
                <w:webHidden/>
              </w:rPr>
              <w:fldChar w:fldCharType="begin"/>
            </w:r>
            <w:r w:rsidRPr="00E062F6">
              <w:rPr>
                <w:rFonts w:ascii="Roboto" w:hAnsi="Roboto"/>
                <w:noProof/>
                <w:webHidden/>
              </w:rPr>
              <w:instrText xml:space="preserve"> PAGEREF _Toc178610930 \h </w:instrText>
            </w:r>
            <w:r w:rsidRPr="00E062F6">
              <w:rPr>
                <w:rFonts w:ascii="Roboto" w:hAnsi="Roboto"/>
                <w:noProof/>
                <w:webHidden/>
              </w:rPr>
            </w:r>
            <w:r w:rsidRPr="00E062F6">
              <w:rPr>
                <w:rFonts w:ascii="Roboto" w:hAnsi="Roboto"/>
                <w:noProof/>
                <w:webHidden/>
              </w:rPr>
              <w:fldChar w:fldCharType="separate"/>
            </w:r>
            <w:r w:rsidRPr="00E062F6">
              <w:rPr>
                <w:rFonts w:ascii="Roboto" w:hAnsi="Roboto"/>
                <w:noProof/>
                <w:webHidden/>
              </w:rPr>
              <w:t>14</w:t>
            </w:r>
            <w:r w:rsidRPr="00E062F6">
              <w:rPr>
                <w:rFonts w:ascii="Roboto" w:hAnsi="Roboto"/>
                <w:noProof/>
                <w:webHidden/>
              </w:rPr>
              <w:fldChar w:fldCharType="end"/>
            </w:r>
          </w:hyperlink>
        </w:p>
        <w:p w14:paraId="21173C77" w14:textId="395A1FB4" w:rsidR="00891EDE" w:rsidRPr="00E062F6" w:rsidRDefault="00891EDE">
          <w:pPr>
            <w:pStyle w:val="TOC2"/>
            <w:tabs>
              <w:tab w:val="left" w:pos="960"/>
              <w:tab w:val="right" w:leader="dot" w:pos="9060"/>
            </w:tabs>
            <w:rPr>
              <w:rFonts w:ascii="Roboto" w:eastAsiaTheme="minorEastAsia" w:hAnsi="Roboto"/>
              <w:noProof/>
              <w:kern w:val="2"/>
              <w:sz w:val="24"/>
              <w:szCs w:val="24"/>
              <w:lang w:val="en-CH" w:eastAsia="en-GB"/>
              <w14:ligatures w14:val="standardContextual"/>
            </w:rPr>
          </w:pPr>
          <w:hyperlink w:anchor="_Toc178610931" w:history="1">
            <w:r w:rsidRPr="00E062F6">
              <w:rPr>
                <w:rStyle w:val="Hyperlink"/>
                <w:rFonts w:ascii="Roboto" w:hAnsi="Roboto"/>
                <w:noProof/>
              </w:rPr>
              <w:t>4.3</w:t>
            </w:r>
            <w:r w:rsidRPr="00E062F6">
              <w:rPr>
                <w:rFonts w:ascii="Roboto" w:eastAsiaTheme="minorEastAsia" w:hAnsi="Roboto"/>
                <w:noProof/>
                <w:kern w:val="2"/>
                <w:sz w:val="24"/>
                <w:szCs w:val="24"/>
                <w:lang w:val="en-CH" w:eastAsia="en-GB"/>
                <w14:ligatures w14:val="standardContextual"/>
              </w:rPr>
              <w:tab/>
            </w:r>
            <w:r w:rsidRPr="00E062F6">
              <w:rPr>
                <w:rStyle w:val="Hyperlink"/>
                <w:rFonts w:ascii="Roboto" w:hAnsi="Roboto"/>
                <w:noProof/>
              </w:rPr>
              <w:t>The extradition of UAE94 member Khalaf al-Romaithi</w:t>
            </w:r>
            <w:r w:rsidRPr="00E062F6">
              <w:rPr>
                <w:rFonts w:ascii="Roboto" w:hAnsi="Roboto"/>
                <w:noProof/>
                <w:webHidden/>
              </w:rPr>
              <w:tab/>
            </w:r>
            <w:r w:rsidRPr="00E062F6">
              <w:rPr>
                <w:rFonts w:ascii="Roboto" w:hAnsi="Roboto"/>
                <w:noProof/>
                <w:webHidden/>
              </w:rPr>
              <w:fldChar w:fldCharType="begin"/>
            </w:r>
            <w:r w:rsidRPr="00E062F6">
              <w:rPr>
                <w:rFonts w:ascii="Roboto" w:hAnsi="Roboto"/>
                <w:noProof/>
                <w:webHidden/>
              </w:rPr>
              <w:instrText xml:space="preserve"> PAGEREF _Toc178610931 \h </w:instrText>
            </w:r>
            <w:r w:rsidRPr="00E062F6">
              <w:rPr>
                <w:rFonts w:ascii="Roboto" w:hAnsi="Roboto"/>
                <w:noProof/>
                <w:webHidden/>
              </w:rPr>
            </w:r>
            <w:r w:rsidRPr="00E062F6">
              <w:rPr>
                <w:rFonts w:ascii="Roboto" w:hAnsi="Roboto"/>
                <w:noProof/>
                <w:webHidden/>
              </w:rPr>
              <w:fldChar w:fldCharType="separate"/>
            </w:r>
            <w:r w:rsidRPr="00E062F6">
              <w:rPr>
                <w:rFonts w:ascii="Roboto" w:hAnsi="Roboto"/>
                <w:noProof/>
                <w:webHidden/>
              </w:rPr>
              <w:t>17</w:t>
            </w:r>
            <w:r w:rsidRPr="00E062F6">
              <w:rPr>
                <w:rFonts w:ascii="Roboto" w:hAnsi="Roboto"/>
                <w:noProof/>
                <w:webHidden/>
              </w:rPr>
              <w:fldChar w:fldCharType="end"/>
            </w:r>
          </w:hyperlink>
        </w:p>
        <w:p w14:paraId="1377639F" w14:textId="0127678D" w:rsidR="00891EDE" w:rsidRPr="00E062F6" w:rsidRDefault="00891EDE">
          <w:pPr>
            <w:pStyle w:val="TOC1"/>
            <w:tabs>
              <w:tab w:val="left" w:pos="440"/>
              <w:tab w:val="right" w:leader="dot" w:pos="9060"/>
            </w:tabs>
            <w:rPr>
              <w:rFonts w:ascii="Roboto" w:eastAsiaTheme="minorEastAsia" w:hAnsi="Roboto"/>
              <w:noProof/>
              <w:kern w:val="2"/>
              <w:sz w:val="24"/>
              <w:szCs w:val="24"/>
              <w:lang w:val="en-CH" w:eastAsia="en-GB"/>
              <w14:ligatures w14:val="standardContextual"/>
            </w:rPr>
          </w:pPr>
          <w:hyperlink w:anchor="_Toc178610932" w:history="1">
            <w:r w:rsidRPr="00E062F6">
              <w:rPr>
                <w:rStyle w:val="Hyperlink"/>
                <w:rFonts w:ascii="Roboto" w:hAnsi="Roboto"/>
                <w:noProof/>
              </w:rPr>
              <w:t>5</w:t>
            </w:r>
            <w:r w:rsidRPr="00E062F6">
              <w:rPr>
                <w:rFonts w:ascii="Roboto" w:eastAsiaTheme="minorEastAsia" w:hAnsi="Roboto"/>
                <w:noProof/>
                <w:kern w:val="2"/>
                <w:sz w:val="24"/>
                <w:szCs w:val="24"/>
                <w:lang w:val="en-CH" w:eastAsia="en-GB"/>
                <w14:ligatures w14:val="standardContextual"/>
              </w:rPr>
              <w:tab/>
            </w:r>
            <w:r w:rsidRPr="00E062F6">
              <w:rPr>
                <w:rStyle w:val="Hyperlink"/>
                <w:rFonts w:ascii="Roboto" w:hAnsi="Roboto"/>
                <w:noProof/>
              </w:rPr>
              <w:t>Treatment of persons subjected to arrest, detention or imprisonment (article 11)</w:t>
            </w:r>
            <w:r w:rsidRPr="00E062F6">
              <w:rPr>
                <w:rFonts w:ascii="Roboto" w:hAnsi="Roboto"/>
                <w:noProof/>
                <w:webHidden/>
              </w:rPr>
              <w:tab/>
            </w:r>
            <w:r w:rsidRPr="00E062F6">
              <w:rPr>
                <w:rFonts w:ascii="Roboto" w:hAnsi="Roboto"/>
                <w:noProof/>
                <w:webHidden/>
              </w:rPr>
              <w:fldChar w:fldCharType="begin"/>
            </w:r>
            <w:r w:rsidRPr="00E062F6">
              <w:rPr>
                <w:rFonts w:ascii="Roboto" w:hAnsi="Roboto"/>
                <w:noProof/>
                <w:webHidden/>
              </w:rPr>
              <w:instrText xml:space="preserve"> PAGEREF _Toc178610932 \h </w:instrText>
            </w:r>
            <w:r w:rsidRPr="00E062F6">
              <w:rPr>
                <w:rFonts w:ascii="Roboto" w:hAnsi="Roboto"/>
                <w:noProof/>
                <w:webHidden/>
              </w:rPr>
            </w:r>
            <w:r w:rsidRPr="00E062F6">
              <w:rPr>
                <w:rFonts w:ascii="Roboto" w:hAnsi="Roboto"/>
                <w:noProof/>
                <w:webHidden/>
              </w:rPr>
              <w:fldChar w:fldCharType="separate"/>
            </w:r>
            <w:r w:rsidRPr="00E062F6">
              <w:rPr>
                <w:rFonts w:ascii="Roboto" w:hAnsi="Roboto"/>
                <w:noProof/>
                <w:webHidden/>
              </w:rPr>
              <w:t>19</w:t>
            </w:r>
            <w:r w:rsidRPr="00E062F6">
              <w:rPr>
                <w:rFonts w:ascii="Roboto" w:hAnsi="Roboto"/>
                <w:noProof/>
                <w:webHidden/>
              </w:rPr>
              <w:fldChar w:fldCharType="end"/>
            </w:r>
          </w:hyperlink>
        </w:p>
        <w:p w14:paraId="66357BB0" w14:textId="799B329F" w:rsidR="00891EDE" w:rsidRPr="00E062F6" w:rsidRDefault="00891EDE">
          <w:pPr>
            <w:pStyle w:val="TOC2"/>
            <w:tabs>
              <w:tab w:val="left" w:pos="960"/>
              <w:tab w:val="right" w:leader="dot" w:pos="9060"/>
            </w:tabs>
            <w:rPr>
              <w:rFonts w:ascii="Roboto" w:eastAsiaTheme="minorEastAsia" w:hAnsi="Roboto"/>
              <w:noProof/>
              <w:kern w:val="2"/>
              <w:sz w:val="24"/>
              <w:szCs w:val="24"/>
              <w:lang w:val="en-CH" w:eastAsia="en-GB"/>
              <w14:ligatures w14:val="standardContextual"/>
            </w:rPr>
          </w:pPr>
          <w:hyperlink w:anchor="_Toc178610933" w:history="1">
            <w:r w:rsidRPr="00E062F6">
              <w:rPr>
                <w:rStyle w:val="Hyperlink"/>
                <w:rFonts w:ascii="Roboto" w:hAnsi="Roboto"/>
                <w:noProof/>
              </w:rPr>
              <w:t>5.1</w:t>
            </w:r>
            <w:r w:rsidRPr="00E062F6">
              <w:rPr>
                <w:rFonts w:ascii="Roboto" w:eastAsiaTheme="minorEastAsia" w:hAnsi="Roboto"/>
                <w:noProof/>
                <w:kern w:val="2"/>
                <w:sz w:val="24"/>
                <w:szCs w:val="24"/>
                <w:lang w:val="en-CH" w:eastAsia="en-GB"/>
                <w14:ligatures w14:val="standardContextual"/>
              </w:rPr>
              <w:tab/>
            </w:r>
            <w:r w:rsidRPr="00E062F6">
              <w:rPr>
                <w:rStyle w:val="Hyperlink"/>
                <w:rFonts w:ascii="Roboto" w:hAnsi="Roboto"/>
                <w:noProof/>
              </w:rPr>
              <w:t>Violent arrests</w:t>
            </w:r>
            <w:r w:rsidRPr="00E062F6">
              <w:rPr>
                <w:rFonts w:ascii="Roboto" w:hAnsi="Roboto"/>
                <w:noProof/>
                <w:webHidden/>
              </w:rPr>
              <w:tab/>
            </w:r>
            <w:r w:rsidRPr="00E062F6">
              <w:rPr>
                <w:rFonts w:ascii="Roboto" w:hAnsi="Roboto"/>
                <w:noProof/>
                <w:webHidden/>
              </w:rPr>
              <w:fldChar w:fldCharType="begin"/>
            </w:r>
            <w:r w:rsidRPr="00E062F6">
              <w:rPr>
                <w:rFonts w:ascii="Roboto" w:hAnsi="Roboto"/>
                <w:noProof/>
                <w:webHidden/>
              </w:rPr>
              <w:instrText xml:space="preserve"> PAGEREF _Toc178610933 \h </w:instrText>
            </w:r>
            <w:r w:rsidRPr="00E062F6">
              <w:rPr>
                <w:rFonts w:ascii="Roboto" w:hAnsi="Roboto"/>
                <w:noProof/>
                <w:webHidden/>
              </w:rPr>
            </w:r>
            <w:r w:rsidRPr="00E062F6">
              <w:rPr>
                <w:rFonts w:ascii="Roboto" w:hAnsi="Roboto"/>
                <w:noProof/>
                <w:webHidden/>
              </w:rPr>
              <w:fldChar w:fldCharType="separate"/>
            </w:r>
            <w:r w:rsidRPr="00E062F6">
              <w:rPr>
                <w:rFonts w:ascii="Roboto" w:hAnsi="Roboto"/>
                <w:noProof/>
                <w:webHidden/>
              </w:rPr>
              <w:t>19</w:t>
            </w:r>
            <w:r w:rsidRPr="00E062F6">
              <w:rPr>
                <w:rFonts w:ascii="Roboto" w:hAnsi="Roboto"/>
                <w:noProof/>
                <w:webHidden/>
              </w:rPr>
              <w:fldChar w:fldCharType="end"/>
            </w:r>
          </w:hyperlink>
        </w:p>
        <w:p w14:paraId="2CD7003B" w14:textId="3B2D8E16" w:rsidR="00891EDE" w:rsidRPr="00E062F6" w:rsidRDefault="00891EDE">
          <w:pPr>
            <w:pStyle w:val="TOC2"/>
            <w:tabs>
              <w:tab w:val="left" w:pos="960"/>
              <w:tab w:val="right" w:leader="dot" w:pos="9060"/>
            </w:tabs>
            <w:rPr>
              <w:rFonts w:ascii="Roboto" w:eastAsiaTheme="minorEastAsia" w:hAnsi="Roboto"/>
              <w:noProof/>
              <w:kern w:val="2"/>
              <w:sz w:val="24"/>
              <w:szCs w:val="24"/>
              <w:lang w:val="en-CH" w:eastAsia="en-GB"/>
              <w14:ligatures w14:val="standardContextual"/>
            </w:rPr>
          </w:pPr>
          <w:hyperlink w:anchor="_Toc178610934" w:history="1">
            <w:r w:rsidRPr="00E062F6">
              <w:rPr>
                <w:rStyle w:val="Hyperlink"/>
                <w:rFonts w:ascii="Roboto" w:hAnsi="Roboto"/>
                <w:noProof/>
              </w:rPr>
              <w:t>5.2</w:t>
            </w:r>
            <w:r w:rsidRPr="00E062F6">
              <w:rPr>
                <w:rFonts w:ascii="Roboto" w:eastAsiaTheme="minorEastAsia" w:hAnsi="Roboto"/>
                <w:noProof/>
                <w:kern w:val="2"/>
                <w:sz w:val="24"/>
                <w:szCs w:val="24"/>
                <w:lang w:val="en-CH" w:eastAsia="en-GB"/>
                <w14:ligatures w14:val="standardContextual"/>
              </w:rPr>
              <w:tab/>
            </w:r>
            <w:r w:rsidRPr="00E062F6">
              <w:rPr>
                <w:rStyle w:val="Hyperlink"/>
                <w:rFonts w:ascii="Roboto" w:hAnsi="Roboto"/>
                <w:i/>
                <w:iCs/>
                <w:noProof/>
              </w:rPr>
              <w:t>Incommunicado</w:t>
            </w:r>
            <w:r w:rsidRPr="00E062F6">
              <w:rPr>
                <w:rStyle w:val="Hyperlink"/>
                <w:rFonts w:ascii="Roboto" w:hAnsi="Roboto"/>
                <w:noProof/>
              </w:rPr>
              <w:t xml:space="preserve"> detention</w:t>
            </w:r>
            <w:r w:rsidRPr="00E062F6">
              <w:rPr>
                <w:rFonts w:ascii="Roboto" w:hAnsi="Roboto"/>
                <w:noProof/>
                <w:webHidden/>
              </w:rPr>
              <w:tab/>
            </w:r>
            <w:r w:rsidRPr="00E062F6">
              <w:rPr>
                <w:rFonts w:ascii="Roboto" w:hAnsi="Roboto"/>
                <w:noProof/>
                <w:webHidden/>
              </w:rPr>
              <w:fldChar w:fldCharType="begin"/>
            </w:r>
            <w:r w:rsidRPr="00E062F6">
              <w:rPr>
                <w:rFonts w:ascii="Roboto" w:hAnsi="Roboto"/>
                <w:noProof/>
                <w:webHidden/>
              </w:rPr>
              <w:instrText xml:space="preserve"> PAGEREF _Toc178610934 \h </w:instrText>
            </w:r>
            <w:r w:rsidRPr="00E062F6">
              <w:rPr>
                <w:rFonts w:ascii="Roboto" w:hAnsi="Roboto"/>
                <w:noProof/>
                <w:webHidden/>
              </w:rPr>
            </w:r>
            <w:r w:rsidRPr="00E062F6">
              <w:rPr>
                <w:rFonts w:ascii="Roboto" w:hAnsi="Roboto"/>
                <w:noProof/>
                <w:webHidden/>
              </w:rPr>
              <w:fldChar w:fldCharType="separate"/>
            </w:r>
            <w:r w:rsidRPr="00E062F6">
              <w:rPr>
                <w:rFonts w:ascii="Roboto" w:hAnsi="Roboto"/>
                <w:noProof/>
                <w:webHidden/>
              </w:rPr>
              <w:t>21</w:t>
            </w:r>
            <w:r w:rsidRPr="00E062F6">
              <w:rPr>
                <w:rFonts w:ascii="Roboto" w:hAnsi="Roboto"/>
                <w:noProof/>
                <w:webHidden/>
              </w:rPr>
              <w:fldChar w:fldCharType="end"/>
            </w:r>
          </w:hyperlink>
        </w:p>
        <w:p w14:paraId="4F30A37C" w14:textId="2D2F481D" w:rsidR="00891EDE" w:rsidRPr="00E062F6" w:rsidRDefault="00891EDE">
          <w:pPr>
            <w:pStyle w:val="TOC2"/>
            <w:tabs>
              <w:tab w:val="left" w:pos="960"/>
              <w:tab w:val="right" w:leader="dot" w:pos="9060"/>
            </w:tabs>
            <w:rPr>
              <w:rFonts w:ascii="Roboto" w:eastAsiaTheme="minorEastAsia" w:hAnsi="Roboto"/>
              <w:noProof/>
              <w:kern w:val="2"/>
              <w:sz w:val="24"/>
              <w:szCs w:val="24"/>
              <w:lang w:val="en-CH" w:eastAsia="en-GB"/>
              <w14:ligatures w14:val="standardContextual"/>
            </w:rPr>
          </w:pPr>
          <w:hyperlink w:anchor="_Toc178610935" w:history="1">
            <w:r w:rsidRPr="00E062F6">
              <w:rPr>
                <w:rStyle w:val="Hyperlink"/>
                <w:rFonts w:ascii="Roboto" w:hAnsi="Roboto"/>
                <w:noProof/>
              </w:rPr>
              <w:t>5.3</w:t>
            </w:r>
            <w:r w:rsidRPr="00E062F6">
              <w:rPr>
                <w:rFonts w:ascii="Roboto" w:eastAsiaTheme="minorEastAsia" w:hAnsi="Roboto"/>
                <w:noProof/>
                <w:kern w:val="2"/>
                <w:sz w:val="24"/>
                <w:szCs w:val="24"/>
                <w:lang w:val="en-CH" w:eastAsia="en-GB"/>
                <w14:ligatures w14:val="standardContextual"/>
              </w:rPr>
              <w:tab/>
            </w:r>
            <w:r w:rsidRPr="00E062F6">
              <w:rPr>
                <w:rStyle w:val="Hyperlink"/>
                <w:rFonts w:ascii="Roboto" w:hAnsi="Roboto"/>
                <w:noProof/>
              </w:rPr>
              <w:t>Torture in detention</w:t>
            </w:r>
            <w:r w:rsidRPr="00E062F6">
              <w:rPr>
                <w:rFonts w:ascii="Roboto" w:hAnsi="Roboto"/>
                <w:noProof/>
                <w:webHidden/>
              </w:rPr>
              <w:tab/>
            </w:r>
            <w:r w:rsidRPr="00E062F6">
              <w:rPr>
                <w:rFonts w:ascii="Roboto" w:hAnsi="Roboto"/>
                <w:noProof/>
                <w:webHidden/>
              </w:rPr>
              <w:fldChar w:fldCharType="begin"/>
            </w:r>
            <w:r w:rsidRPr="00E062F6">
              <w:rPr>
                <w:rFonts w:ascii="Roboto" w:hAnsi="Roboto"/>
                <w:noProof/>
                <w:webHidden/>
              </w:rPr>
              <w:instrText xml:space="preserve"> PAGEREF _Toc178610935 \h </w:instrText>
            </w:r>
            <w:r w:rsidRPr="00E062F6">
              <w:rPr>
                <w:rFonts w:ascii="Roboto" w:hAnsi="Roboto"/>
                <w:noProof/>
                <w:webHidden/>
              </w:rPr>
            </w:r>
            <w:r w:rsidRPr="00E062F6">
              <w:rPr>
                <w:rFonts w:ascii="Roboto" w:hAnsi="Roboto"/>
                <w:noProof/>
                <w:webHidden/>
              </w:rPr>
              <w:fldChar w:fldCharType="separate"/>
            </w:r>
            <w:r w:rsidRPr="00E062F6">
              <w:rPr>
                <w:rFonts w:ascii="Roboto" w:hAnsi="Roboto"/>
                <w:noProof/>
                <w:webHidden/>
              </w:rPr>
              <w:t>21</w:t>
            </w:r>
            <w:r w:rsidRPr="00E062F6">
              <w:rPr>
                <w:rFonts w:ascii="Roboto" w:hAnsi="Roboto"/>
                <w:noProof/>
                <w:webHidden/>
              </w:rPr>
              <w:fldChar w:fldCharType="end"/>
            </w:r>
          </w:hyperlink>
        </w:p>
        <w:p w14:paraId="17FCB3E6" w14:textId="23B04533" w:rsidR="00891EDE" w:rsidRPr="00E062F6" w:rsidRDefault="00891EDE">
          <w:pPr>
            <w:pStyle w:val="TOC2"/>
            <w:tabs>
              <w:tab w:val="left" w:pos="960"/>
              <w:tab w:val="right" w:leader="dot" w:pos="9060"/>
            </w:tabs>
            <w:rPr>
              <w:rFonts w:ascii="Roboto" w:eastAsiaTheme="minorEastAsia" w:hAnsi="Roboto"/>
              <w:noProof/>
              <w:kern w:val="2"/>
              <w:sz w:val="24"/>
              <w:szCs w:val="24"/>
              <w:lang w:val="en-CH" w:eastAsia="en-GB"/>
              <w14:ligatures w14:val="standardContextual"/>
            </w:rPr>
          </w:pPr>
          <w:hyperlink w:anchor="_Toc178610936" w:history="1">
            <w:r w:rsidRPr="00E062F6">
              <w:rPr>
                <w:rStyle w:val="Hyperlink"/>
                <w:rFonts w:ascii="Roboto" w:hAnsi="Roboto"/>
                <w:noProof/>
              </w:rPr>
              <w:t>5.4</w:t>
            </w:r>
            <w:r w:rsidRPr="00E062F6">
              <w:rPr>
                <w:rFonts w:ascii="Roboto" w:eastAsiaTheme="minorEastAsia" w:hAnsi="Roboto"/>
                <w:noProof/>
                <w:kern w:val="2"/>
                <w:sz w:val="24"/>
                <w:szCs w:val="24"/>
                <w:lang w:val="en-CH" w:eastAsia="en-GB"/>
                <w14:ligatures w14:val="standardContextual"/>
              </w:rPr>
              <w:tab/>
            </w:r>
            <w:r w:rsidRPr="00E062F6">
              <w:rPr>
                <w:rStyle w:val="Hyperlink"/>
                <w:rFonts w:ascii="Roboto" w:hAnsi="Roboto"/>
                <w:noProof/>
              </w:rPr>
              <w:t>Prison overcrowding</w:t>
            </w:r>
            <w:r w:rsidRPr="00E062F6">
              <w:rPr>
                <w:rFonts w:ascii="Roboto" w:hAnsi="Roboto"/>
                <w:noProof/>
                <w:webHidden/>
              </w:rPr>
              <w:tab/>
            </w:r>
            <w:r w:rsidRPr="00E062F6">
              <w:rPr>
                <w:rFonts w:ascii="Roboto" w:hAnsi="Roboto"/>
                <w:noProof/>
                <w:webHidden/>
              </w:rPr>
              <w:fldChar w:fldCharType="begin"/>
            </w:r>
            <w:r w:rsidRPr="00E062F6">
              <w:rPr>
                <w:rFonts w:ascii="Roboto" w:hAnsi="Roboto"/>
                <w:noProof/>
                <w:webHidden/>
              </w:rPr>
              <w:instrText xml:space="preserve"> PAGEREF _Toc178610936 \h </w:instrText>
            </w:r>
            <w:r w:rsidRPr="00E062F6">
              <w:rPr>
                <w:rFonts w:ascii="Roboto" w:hAnsi="Roboto"/>
                <w:noProof/>
                <w:webHidden/>
              </w:rPr>
            </w:r>
            <w:r w:rsidRPr="00E062F6">
              <w:rPr>
                <w:rFonts w:ascii="Roboto" w:hAnsi="Roboto"/>
                <w:noProof/>
                <w:webHidden/>
              </w:rPr>
              <w:fldChar w:fldCharType="separate"/>
            </w:r>
            <w:r w:rsidRPr="00E062F6">
              <w:rPr>
                <w:rFonts w:ascii="Roboto" w:hAnsi="Roboto"/>
                <w:noProof/>
                <w:webHidden/>
              </w:rPr>
              <w:t>23</w:t>
            </w:r>
            <w:r w:rsidRPr="00E062F6">
              <w:rPr>
                <w:rFonts w:ascii="Roboto" w:hAnsi="Roboto"/>
                <w:noProof/>
                <w:webHidden/>
              </w:rPr>
              <w:fldChar w:fldCharType="end"/>
            </w:r>
          </w:hyperlink>
        </w:p>
        <w:p w14:paraId="548E4EF4" w14:textId="10B99D62" w:rsidR="00891EDE" w:rsidRPr="00E062F6" w:rsidRDefault="00891EDE">
          <w:pPr>
            <w:pStyle w:val="TOC2"/>
            <w:tabs>
              <w:tab w:val="left" w:pos="960"/>
              <w:tab w:val="right" w:leader="dot" w:pos="9060"/>
            </w:tabs>
            <w:rPr>
              <w:rFonts w:ascii="Roboto" w:eastAsiaTheme="minorEastAsia" w:hAnsi="Roboto"/>
              <w:noProof/>
              <w:kern w:val="2"/>
              <w:sz w:val="24"/>
              <w:szCs w:val="24"/>
              <w:lang w:val="en-CH" w:eastAsia="en-GB"/>
              <w14:ligatures w14:val="standardContextual"/>
            </w:rPr>
          </w:pPr>
          <w:hyperlink w:anchor="_Toc178610937" w:history="1">
            <w:r w:rsidRPr="00E062F6">
              <w:rPr>
                <w:rStyle w:val="Hyperlink"/>
                <w:rFonts w:ascii="Roboto" w:hAnsi="Roboto"/>
                <w:noProof/>
              </w:rPr>
              <w:t>5.5</w:t>
            </w:r>
            <w:r w:rsidRPr="00E062F6">
              <w:rPr>
                <w:rFonts w:ascii="Roboto" w:eastAsiaTheme="minorEastAsia" w:hAnsi="Roboto"/>
                <w:noProof/>
                <w:kern w:val="2"/>
                <w:sz w:val="24"/>
                <w:szCs w:val="24"/>
                <w:lang w:val="en-CH" w:eastAsia="en-GB"/>
                <w14:ligatures w14:val="standardContextual"/>
              </w:rPr>
              <w:tab/>
            </w:r>
            <w:r w:rsidRPr="00E062F6">
              <w:rPr>
                <w:rStyle w:val="Hyperlink"/>
                <w:rFonts w:ascii="Roboto" w:hAnsi="Roboto"/>
                <w:noProof/>
              </w:rPr>
              <w:t>Ratification of the Optional Protocol to the Convention</w:t>
            </w:r>
            <w:r w:rsidRPr="00E062F6">
              <w:rPr>
                <w:rFonts w:ascii="Roboto" w:hAnsi="Roboto"/>
                <w:noProof/>
                <w:webHidden/>
              </w:rPr>
              <w:tab/>
            </w:r>
            <w:r w:rsidRPr="00E062F6">
              <w:rPr>
                <w:rFonts w:ascii="Roboto" w:hAnsi="Roboto"/>
                <w:noProof/>
                <w:webHidden/>
              </w:rPr>
              <w:fldChar w:fldCharType="begin"/>
            </w:r>
            <w:r w:rsidRPr="00E062F6">
              <w:rPr>
                <w:rFonts w:ascii="Roboto" w:hAnsi="Roboto"/>
                <w:noProof/>
                <w:webHidden/>
              </w:rPr>
              <w:instrText xml:space="preserve"> PAGEREF _Toc178610937 \h </w:instrText>
            </w:r>
            <w:r w:rsidRPr="00E062F6">
              <w:rPr>
                <w:rFonts w:ascii="Roboto" w:hAnsi="Roboto"/>
                <w:noProof/>
                <w:webHidden/>
              </w:rPr>
            </w:r>
            <w:r w:rsidRPr="00E062F6">
              <w:rPr>
                <w:rFonts w:ascii="Roboto" w:hAnsi="Roboto"/>
                <w:noProof/>
                <w:webHidden/>
              </w:rPr>
              <w:fldChar w:fldCharType="separate"/>
            </w:r>
            <w:r w:rsidRPr="00E062F6">
              <w:rPr>
                <w:rFonts w:ascii="Roboto" w:hAnsi="Roboto"/>
                <w:noProof/>
                <w:webHidden/>
              </w:rPr>
              <w:t>23</w:t>
            </w:r>
            <w:r w:rsidRPr="00E062F6">
              <w:rPr>
                <w:rFonts w:ascii="Roboto" w:hAnsi="Roboto"/>
                <w:noProof/>
                <w:webHidden/>
              </w:rPr>
              <w:fldChar w:fldCharType="end"/>
            </w:r>
          </w:hyperlink>
        </w:p>
        <w:p w14:paraId="7277BCA8" w14:textId="14537824" w:rsidR="00891EDE" w:rsidRPr="00E062F6" w:rsidRDefault="00891EDE">
          <w:pPr>
            <w:pStyle w:val="TOC1"/>
            <w:tabs>
              <w:tab w:val="left" w:pos="440"/>
              <w:tab w:val="right" w:leader="dot" w:pos="9060"/>
            </w:tabs>
            <w:rPr>
              <w:rFonts w:ascii="Roboto" w:eastAsiaTheme="minorEastAsia" w:hAnsi="Roboto"/>
              <w:noProof/>
              <w:kern w:val="2"/>
              <w:sz w:val="24"/>
              <w:szCs w:val="24"/>
              <w:lang w:val="en-CH" w:eastAsia="en-GB"/>
              <w14:ligatures w14:val="standardContextual"/>
            </w:rPr>
          </w:pPr>
          <w:hyperlink w:anchor="_Toc178610938" w:history="1">
            <w:r w:rsidRPr="00E062F6">
              <w:rPr>
                <w:rStyle w:val="Hyperlink"/>
                <w:rFonts w:ascii="Roboto" w:hAnsi="Roboto"/>
                <w:noProof/>
              </w:rPr>
              <w:t>6</w:t>
            </w:r>
            <w:r w:rsidRPr="00E062F6">
              <w:rPr>
                <w:rFonts w:ascii="Roboto" w:eastAsiaTheme="minorEastAsia" w:hAnsi="Roboto"/>
                <w:noProof/>
                <w:kern w:val="2"/>
                <w:sz w:val="24"/>
                <w:szCs w:val="24"/>
                <w:lang w:val="en-CH" w:eastAsia="en-GB"/>
                <w14:ligatures w14:val="standardContextual"/>
              </w:rPr>
              <w:tab/>
            </w:r>
            <w:r w:rsidRPr="00E062F6">
              <w:rPr>
                <w:rStyle w:val="Hyperlink"/>
                <w:rFonts w:ascii="Roboto" w:hAnsi="Roboto"/>
                <w:noProof/>
              </w:rPr>
              <w:t>Coerced confessions and evidence obtained under torture (article 15)</w:t>
            </w:r>
            <w:r w:rsidRPr="00E062F6">
              <w:rPr>
                <w:rFonts w:ascii="Roboto" w:hAnsi="Roboto"/>
                <w:noProof/>
                <w:webHidden/>
              </w:rPr>
              <w:tab/>
            </w:r>
            <w:r w:rsidRPr="00E062F6">
              <w:rPr>
                <w:rFonts w:ascii="Roboto" w:hAnsi="Roboto"/>
                <w:noProof/>
                <w:webHidden/>
              </w:rPr>
              <w:fldChar w:fldCharType="begin"/>
            </w:r>
            <w:r w:rsidRPr="00E062F6">
              <w:rPr>
                <w:rFonts w:ascii="Roboto" w:hAnsi="Roboto"/>
                <w:noProof/>
                <w:webHidden/>
              </w:rPr>
              <w:instrText xml:space="preserve"> PAGEREF _Toc178610938 \h </w:instrText>
            </w:r>
            <w:r w:rsidRPr="00E062F6">
              <w:rPr>
                <w:rFonts w:ascii="Roboto" w:hAnsi="Roboto"/>
                <w:noProof/>
                <w:webHidden/>
              </w:rPr>
            </w:r>
            <w:r w:rsidRPr="00E062F6">
              <w:rPr>
                <w:rFonts w:ascii="Roboto" w:hAnsi="Roboto"/>
                <w:noProof/>
                <w:webHidden/>
              </w:rPr>
              <w:fldChar w:fldCharType="separate"/>
            </w:r>
            <w:r w:rsidRPr="00E062F6">
              <w:rPr>
                <w:rFonts w:ascii="Roboto" w:hAnsi="Roboto"/>
                <w:noProof/>
                <w:webHidden/>
              </w:rPr>
              <w:t>24</w:t>
            </w:r>
            <w:r w:rsidRPr="00E062F6">
              <w:rPr>
                <w:rFonts w:ascii="Roboto" w:hAnsi="Roboto"/>
                <w:noProof/>
                <w:webHidden/>
              </w:rPr>
              <w:fldChar w:fldCharType="end"/>
            </w:r>
          </w:hyperlink>
        </w:p>
        <w:p w14:paraId="768D66F3" w14:textId="1696070D" w:rsidR="00891EDE" w:rsidRPr="00E062F6" w:rsidRDefault="00891EDE">
          <w:pPr>
            <w:pStyle w:val="TOC2"/>
            <w:tabs>
              <w:tab w:val="left" w:pos="960"/>
              <w:tab w:val="right" w:leader="dot" w:pos="9060"/>
            </w:tabs>
            <w:rPr>
              <w:rFonts w:ascii="Roboto" w:eastAsiaTheme="minorEastAsia" w:hAnsi="Roboto"/>
              <w:noProof/>
              <w:kern w:val="2"/>
              <w:sz w:val="24"/>
              <w:szCs w:val="24"/>
              <w:lang w:val="en-CH" w:eastAsia="en-GB"/>
              <w14:ligatures w14:val="standardContextual"/>
            </w:rPr>
          </w:pPr>
          <w:hyperlink w:anchor="_Toc178610939" w:history="1">
            <w:r w:rsidRPr="00E062F6">
              <w:rPr>
                <w:rStyle w:val="Hyperlink"/>
                <w:rFonts w:ascii="Roboto" w:hAnsi="Roboto"/>
                <w:noProof/>
              </w:rPr>
              <w:t>6.1</w:t>
            </w:r>
            <w:r w:rsidRPr="00E062F6">
              <w:rPr>
                <w:rFonts w:ascii="Roboto" w:eastAsiaTheme="minorEastAsia" w:hAnsi="Roboto"/>
                <w:noProof/>
                <w:kern w:val="2"/>
                <w:sz w:val="24"/>
                <w:szCs w:val="24"/>
                <w:lang w:val="en-CH" w:eastAsia="en-GB"/>
                <w14:ligatures w14:val="standardContextual"/>
              </w:rPr>
              <w:tab/>
            </w:r>
            <w:r w:rsidRPr="00E062F6">
              <w:rPr>
                <w:rStyle w:val="Hyperlink"/>
                <w:rFonts w:ascii="Roboto" w:hAnsi="Roboto"/>
                <w:noProof/>
              </w:rPr>
              <w:t>The practice of torture to obtain a confession</w:t>
            </w:r>
            <w:r w:rsidRPr="00E062F6">
              <w:rPr>
                <w:rFonts w:ascii="Roboto" w:hAnsi="Roboto"/>
                <w:noProof/>
                <w:webHidden/>
              </w:rPr>
              <w:tab/>
            </w:r>
            <w:r w:rsidRPr="00E062F6">
              <w:rPr>
                <w:rFonts w:ascii="Roboto" w:hAnsi="Roboto"/>
                <w:noProof/>
                <w:webHidden/>
              </w:rPr>
              <w:fldChar w:fldCharType="begin"/>
            </w:r>
            <w:r w:rsidRPr="00E062F6">
              <w:rPr>
                <w:rFonts w:ascii="Roboto" w:hAnsi="Roboto"/>
                <w:noProof/>
                <w:webHidden/>
              </w:rPr>
              <w:instrText xml:space="preserve"> PAGEREF _Toc178610939 \h </w:instrText>
            </w:r>
            <w:r w:rsidRPr="00E062F6">
              <w:rPr>
                <w:rFonts w:ascii="Roboto" w:hAnsi="Roboto"/>
                <w:noProof/>
                <w:webHidden/>
              </w:rPr>
            </w:r>
            <w:r w:rsidRPr="00E062F6">
              <w:rPr>
                <w:rFonts w:ascii="Roboto" w:hAnsi="Roboto"/>
                <w:noProof/>
                <w:webHidden/>
              </w:rPr>
              <w:fldChar w:fldCharType="separate"/>
            </w:r>
            <w:r w:rsidRPr="00E062F6">
              <w:rPr>
                <w:rFonts w:ascii="Roboto" w:hAnsi="Roboto"/>
                <w:noProof/>
                <w:webHidden/>
              </w:rPr>
              <w:t>24</w:t>
            </w:r>
            <w:r w:rsidRPr="00E062F6">
              <w:rPr>
                <w:rFonts w:ascii="Roboto" w:hAnsi="Roboto"/>
                <w:noProof/>
                <w:webHidden/>
              </w:rPr>
              <w:fldChar w:fldCharType="end"/>
            </w:r>
          </w:hyperlink>
        </w:p>
        <w:p w14:paraId="29B3641A" w14:textId="4CF95F51" w:rsidR="00891EDE" w:rsidRPr="00E062F6" w:rsidRDefault="00891EDE">
          <w:pPr>
            <w:pStyle w:val="TOC2"/>
            <w:tabs>
              <w:tab w:val="left" w:pos="960"/>
              <w:tab w:val="right" w:leader="dot" w:pos="9060"/>
            </w:tabs>
            <w:rPr>
              <w:rFonts w:ascii="Roboto" w:eastAsiaTheme="minorEastAsia" w:hAnsi="Roboto"/>
              <w:noProof/>
              <w:kern w:val="2"/>
              <w:sz w:val="24"/>
              <w:szCs w:val="24"/>
              <w:lang w:val="en-CH" w:eastAsia="en-GB"/>
              <w14:ligatures w14:val="standardContextual"/>
            </w:rPr>
          </w:pPr>
          <w:hyperlink w:anchor="_Toc178610940" w:history="1">
            <w:r w:rsidRPr="00E062F6">
              <w:rPr>
                <w:rStyle w:val="Hyperlink"/>
                <w:rFonts w:ascii="Roboto" w:hAnsi="Roboto"/>
                <w:noProof/>
              </w:rPr>
              <w:t>6.2</w:t>
            </w:r>
            <w:r w:rsidRPr="00E062F6">
              <w:rPr>
                <w:rFonts w:ascii="Roboto" w:eastAsiaTheme="minorEastAsia" w:hAnsi="Roboto"/>
                <w:noProof/>
                <w:kern w:val="2"/>
                <w:sz w:val="24"/>
                <w:szCs w:val="24"/>
                <w:lang w:val="en-CH" w:eastAsia="en-GB"/>
                <w14:ligatures w14:val="standardContextual"/>
              </w:rPr>
              <w:tab/>
            </w:r>
            <w:r w:rsidRPr="00E062F6">
              <w:rPr>
                <w:rStyle w:val="Hyperlink"/>
                <w:rFonts w:ascii="Roboto" w:hAnsi="Roboto"/>
                <w:noProof/>
              </w:rPr>
              <w:t>Admissibility of coerced confessions before the State Security Court</w:t>
            </w:r>
            <w:r w:rsidRPr="00E062F6">
              <w:rPr>
                <w:rFonts w:ascii="Roboto" w:hAnsi="Roboto"/>
                <w:noProof/>
                <w:webHidden/>
              </w:rPr>
              <w:tab/>
            </w:r>
            <w:r w:rsidRPr="00E062F6">
              <w:rPr>
                <w:rFonts w:ascii="Roboto" w:hAnsi="Roboto"/>
                <w:noProof/>
                <w:webHidden/>
              </w:rPr>
              <w:fldChar w:fldCharType="begin"/>
            </w:r>
            <w:r w:rsidRPr="00E062F6">
              <w:rPr>
                <w:rFonts w:ascii="Roboto" w:hAnsi="Roboto"/>
                <w:noProof/>
                <w:webHidden/>
              </w:rPr>
              <w:instrText xml:space="preserve"> PAGEREF _Toc178610940 \h </w:instrText>
            </w:r>
            <w:r w:rsidRPr="00E062F6">
              <w:rPr>
                <w:rFonts w:ascii="Roboto" w:hAnsi="Roboto"/>
                <w:noProof/>
                <w:webHidden/>
              </w:rPr>
            </w:r>
            <w:r w:rsidRPr="00E062F6">
              <w:rPr>
                <w:rFonts w:ascii="Roboto" w:hAnsi="Roboto"/>
                <w:noProof/>
                <w:webHidden/>
              </w:rPr>
              <w:fldChar w:fldCharType="separate"/>
            </w:r>
            <w:r w:rsidRPr="00E062F6">
              <w:rPr>
                <w:rFonts w:ascii="Roboto" w:hAnsi="Roboto"/>
                <w:noProof/>
                <w:webHidden/>
              </w:rPr>
              <w:t>24</w:t>
            </w:r>
            <w:r w:rsidRPr="00E062F6">
              <w:rPr>
                <w:rFonts w:ascii="Roboto" w:hAnsi="Roboto"/>
                <w:noProof/>
                <w:webHidden/>
              </w:rPr>
              <w:fldChar w:fldCharType="end"/>
            </w:r>
          </w:hyperlink>
        </w:p>
        <w:p w14:paraId="6213FB9B" w14:textId="0E6B7D2F" w:rsidR="00891EDE" w:rsidRPr="00E062F6" w:rsidRDefault="00891EDE">
          <w:pPr>
            <w:pStyle w:val="TOC1"/>
            <w:tabs>
              <w:tab w:val="left" w:pos="440"/>
              <w:tab w:val="right" w:leader="dot" w:pos="9060"/>
            </w:tabs>
            <w:rPr>
              <w:rFonts w:ascii="Roboto" w:eastAsiaTheme="minorEastAsia" w:hAnsi="Roboto"/>
              <w:noProof/>
              <w:kern w:val="2"/>
              <w:sz w:val="24"/>
              <w:szCs w:val="24"/>
              <w:lang w:val="en-CH" w:eastAsia="en-GB"/>
              <w14:ligatures w14:val="standardContextual"/>
            </w:rPr>
          </w:pPr>
          <w:hyperlink w:anchor="_Toc178610941" w:history="1">
            <w:r w:rsidRPr="00E062F6">
              <w:rPr>
                <w:rStyle w:val="Hyperlink"/>
                <w:rFonts w:ascii="Roboto" w:hAnsi="Roboto"/>
                <w:noProof/>
              </w:rPr>
              <w:t>7</w:t>
            </w:r>
            <w:r w:rsidRPr="00E062F6">
              <w:rPr>
                <w:rFonts w:ascii="Roboto" w:eastAsiaTheme="minorEastAsia" w:hAnsi="Roboto"/>
                <w:noProof/>
                <w:kern w:val="2"/>
                <w:sz w:val="24"/>
                <w:szCs w:val="24"/>
                <w:lang w:val="en-CH" w:eastAsia="en-GB"/>
                <w14:ligatures w14:val="standardContextual"/>
              </w:rPr>
              <w:tab/>
            </w:r>
            <w:r w:rsidRPr="00E062F6">
              <w:rPr>
                <w:rStyle w:val="Hyperlink"/>
                <w:rFonts w:ascii="Roboto" w:hAnsi="Roboto"/>
                <w:noProof/>
              </w:rPr>
              <w:t>Prompt and impartial investigation into torture complaints (articles 12-13)</w:t>
            </w:r>
            <w:r w:rsidRPr="00E062F6">
              <w:rPr>
                <w:rFonts w:ascii="Roboto" w:hAnsi="Roboto"/>
                <w:noProof/>
                <w:webHidden/>
              </w:rPr>
              <w:tab/>
            </w:r>
            <w:r w:rsidRPr="00E062F6">
              <w:rPr>
                <w:rFonts w:ascii="Roboto" w:hAnsi="Roboto"/>
                <w:noProof/>
                <w:webHidden/>
              </w:rPr>
              <w:fldChar w:fldCharType="begin"/>
            </w:r>
            <w:r w:rsidRPr="00E062F6">
              <w:rPr>
                <w:rFonts w:ascii="Roboto" w:hAnsi="Roboto"/>
                <w:noProof/>
                <w:webHidden/>
              </w:rPr>
              <w:instrText xml:space="preserve"> PAGEREF _Toc178610941 \h </w:instrText>
            </w:r>
            <w:r w:rsidRPr="00E062F6">
              <w:rPr>
                <w:rFonts w:ascii="Roboto" w:hAnsi="Roboto"/>
                <w:noProof/>
                <w:webHidden/>
              </w:rPr>
            </w:r>
            <w:r w:rsidRPr="00E062F6">
              <w:rPr>
                <w:rFonts w:ascii="Roboto" w:hAnsi="Roboto"/>
                <w:noProof/>
                <w:webHidden/>
              </w:rPr>
              <w:fldChar w:fldCharType="separate"/>
            </w:r>
            <w:r w:rsidRPr="00E062F6">
              <w:rPr>
                <w:rFonts w:ascii="Roboto" w:hAnsi="Roboto"/>
                <w:noProof/>
                <w:webHidden/>
              </w:rPr>
              <w:t>26</w:t>
            </w:r>
            <w:r w:rsidRPr="00E062F6">
              <w:rPr>
                <w:rFonts w:ascii="Roboto" w:hAnsi="Roboto"/>
                <w:noProof/>
                <w:webHidden/>
              </w:rPr>
              <w:fldChar w:fldCharType="end"/>
            </w:r>
          </w:hyperlink>
        </w:p>
        <w:p w14:paraId="33A8520F" w14:textId="6C802912" w:rsidR="00891EDE" w:rsidRPr="00E062F6" w:rsidRDefault="00891EDE">
          <w:pPr>
            <w:pStyle w:val="TOC2"/>
            <w:tabs>
              <w:tab w:val="left" w:pos="960"/>
              <w:tab w:val="right" w:leader="dot" w:pos="9060"/>
            </w:tabs>
            <w:rPr>
              <w:rFonts w:ascii="Roboto" w:eastAsiaTheme="minorEastAsia" w:hAnsi="Roboto"/>
              <w:noProof/>
              <w:kern w:val="2"/>
              <w:sz w:val="24"/>
              <w:szCs w:val="24"/>
              <w:lang w:val="en-CH" w:eastAsia="en-GB"/>
              <w14:ligatures w14:val="standardContextual"/>
            </w:rPr>
          </w:pPr>
          <w:hyperlink w:anchor="_Toc178610942" w:history="1">
            <w:r w:rsidRPr="00E062F6">
              <w:rPr>
                <w:rStyle w:val="Hyperlink"/>
                <w:rFonts w:ascii="Roboto" w:hAnsi="Roboto"/>
                <w:noProof/>
              </w:rPr>
              <w:t>7.1</w:t>
            </w:r>
            <w:r w:rsidRPr="00E062F6">
              <w:rPr>
                <w:rFonts w:ascii="Roboto" w:eastAsiaTheme="minorEastAsia" w:hAnsi="Roboto"/>
                <w:noProof/>
                <w:kern w:val="2"/>
                <w:sz w:val="24"/>
                <w:szCs w:val="24"/>
                <w:lang w:val="en-CH" w:eastAsia="en-GB"/>
                <w14:ligatures w14:val="standardContextual"/>
              </w:rPr>
              <w:tab/>
            </w:r>
            <w:r w:rsidRPr="00E062F6">
              <w:rPr>
                <w:rStyle w:val="Hyperlink"/>
                <w:rFonts w:ascii="Roboto" w:hAnsi="Roboto"/>
                <w:noProof/>
              </w:rPr>
              <w:t>Inadequacy and lack of independence of complaint mechanisms</w:t>
            </w:r>
            <w:r w:rsidRPr="00E062F6">
              <w:rPr>
                <w:rFonts w:ascii="Roboto" w:hAnsi="Roboto"/>
                <w:noProof/>
                <w:webHidden/>
              </w:rPr>
              <w:tab/>
            </w:r>
            <w:r w:rsidRPr="00E062F6">
              <w:rPr>
                <w:rFonts w:ascii="Roboto" w:hAnsi="Roboto"/>
                <w:noProof/>
                <w:webHidden/>
              </w:rPr>
              <w:fldChar w:fldCharType="begin"/>
            </w:r>
            <w:r w:rsidRPr="00E062F6">
              <w:rPr>
                <w:rFonts w:ascii="Roboto" w:hAnsi="Roboto"/>
                <w:noProof/>
                <w:webHidden/>
              </w:rPr>
              <w:instrText xml:space="preserve"> PAGEREF _Toc178610942 \h </w:instrText>
            </w:r>
            <w:r w:rsidRPr="00E062F6">
              <w:rPr>
                <w:rFonts w:ascii="Roboto" w:hAnsi="Roboto"/>
                <w:noProof/>
                <w:webHidden/>
              </w:rPr>
            </w:r>
            <w:r w:rsidRPr="00E062F6">
              <w:rPr>
                <w:rFonts w:ascii="Roboto" w:hAnsi="Roboto"/>
                <w:noProof/>
                <w:webHidden/>
              </w:rPr>
              <w:fldChar w:fldCharType="separate"/>
            </w:r>
            <w:r w:rsidRPr="00E062F6">
              <w:rPr>
                <w:rFonts w:ascii="Roboto" w:hAnsi="Roboto"/>
                <w:noProof/>
                <w:webHidden/>
              </w:rPr>
              <w:t>26</w:t>
            </w:r>
            <w:r w:rsidRPr="00E062F6">
              <w:rPr>
                <w:rFonts w:ascii="Roboto" w:hAnsi="Roboto"/>
                <w:noProof/>
                <w:webHidden/>
              </w:rPr>
              <w:fldChar w:fldCharType="end"/>
            </w:r>
          </w:hyperlink>
        </w:p>
        <w:p w14:paraId="5B60E0BD" w14:textId="22CC7549" w:rsidR="00891EDE" w:rsidRPr="00E062F6" w:rsidRDefault="00891EDE">
          <w:pPr>
            <w:pStyle w:val="TOC2"/>
            <w:tabs>
              <w:tab w:val="left" w:pos="960"/>
              <w:tab w:val="right" w:leader="dot" w:pos="9060"/>
            </w:tabs>
            <w:rPr>
              <w:rFonts w:ascii="Roboto" w:eastAsiaTheme="minorEastAsia" w:hAnsi="Roboto"/>
              <w:noProof/>
              <w:kern w:val="2"/>
              <w:sz w:val="24"/>
              <w:szCs w:val="24"/>
              <w:lang w:val="en-CH" w:eastAsia="en-GB"/>
              <w14:ligatures w14:val="standardContextual"/>
            </w:rPr>
          </w:pPr>
          <w:hyperlink w:anchor="_Toc178610943" w:history="1">
            <w:r w:rsidRPr="00E062F6">
              <w:rPr>
                <w:rStyle w:val="Hyperlink"/>
                <w:rFonts w:ascii="Roboto" w:hAnsi="Roboto"/>
                <w:noProof/>
              </w:rPr>
              <w:t>7.2</w:t>
            </w:r>
            <w:r w:rsidRPr="00E062F6">
              <w:rPr>
                <w:rFonts w:ascii="Roboto" w:eastAsiaTheme="minorEastAsia" w:hAnsi="Roboto"/>
                <w:noProof/>
                <w:kern w:val="2"/>
                <w:sz w:val="24"/>
                <w:szCs w:val="24"/>
                <w:lang w:val="en-CH" w:eastAsia="en-GB"/>
                <w14:ligatures w14:val="standardContextual"/>
              </w:rPr>
              <w:tab/>
            </w:r>
            <w:r w:rsidRPr="00E062F6">
              <w:rPr>
                <w:rStyle w:val="Hyperlink"/>
                <w:rFonts w:ascii="Roboto" w:hAnsi="Roboto"/>
                <w:noProof/>
              </w:rPr>
              <w:t>Special court system for torture cases</w:t>
            </w:r>
            <w:r w:rsidRPr="00E062F6">
              <w:rPr>
                <w:rFonts w:ascii="Roboto" w:hAnsi="Roboto"/>
                <w:noProof/>
                <w:webHidden/>
              </w:rPr>
              <w:tab/>
            </w:r>
            <w:r w:rsidRPr="00E062F6">
              <w:rPr>
                <w:rFonts w:ascii="Roboto" w:hAnsi="Roboto"/>
                <w:noProof/>
                <w:webHidden/>
              </w:rPr>
              <w:fldChar w:fldCharType="begin"/>
            </w:r>
            <w:r w:rsidRPr="00E062F6">
              <w:rPr>
                <w:rFonts w:ascii="Roboto" w:hAnsi="Roboto"/>
                <w:noProof/>
                <w:webHidden/>
              </w:rPr>
              <w:instrText xml:space="preserve"> PAGEREF _Toc178610943 \h </w:instrText>
            </w:r>
            <w:r w:rsidRPr="00E062F6">
              <w:rPr>
                <w:rFonts w:ascii="Roboto" w:hAnsi="Roboto"/>
                <w:noProof/>
                <w:webHidden/>
              </w:rPr>
            </w:r>
            <w:r w:rsidRPr="00E062F6">
              <w:rPr>
                <w:rFonts w:ascii="Roboto" w:hAnsi="Roboto"/>
                <w:noProof/>
                <w:webHidden/>
              </w:rPr>
              <w:fldChar w:fldCharType="separate"/>
            </w:r>
            <w:r w:rsidRPr="00E062F6">
              <w:rPr>
                <w:rFonts w:ascii="Roboto" w:hAnsi="Roboto"/>
                <w:noProof/>
                <w:webHidden/>
              </w:rPr>
              <w:t>27</w:t>
            </w:r>
            <w:r w:rsidRPr="00E062F6">
              <w:rPr>
                <w:rFonts w:ascii="Roboto" w:hAnsi="Roboto"/>
                <w:noProof/>
                <w:webHidden/>
              </w:rPr>
              <w:fldChar w:fldCharType="end"/>
            </w:r>
          </w:hyperlink>
        </w:p>
        <w:p w14:paraId="2E9AA3F4" w14:textId="5161FEF1" w:rsidR="00891EDE" w:rsidRPr="00E062F6" w:rsidRDefault="00891EDE">
          <w:pPr>
            <w:pStyle w:val="TOC1"/>
            <w:tabs>
              <w:tab w:val="left" w:pos="440"/>
              <w:tab w:val="right" w:leader="dot" w:pos="9060"/>
            </w:tabs>
            <w:rPr>
              <w:rFonts w:ascii="Roboto" w:eastAsiaTheme="minorEastAsia" w:hAnsi="Roboto"/>
              <w:noProof/>
              <w:kern w:val="2"/>
              <w:sz w:val="24"/>
              <w:szCs w:val="24"/>
              <w:lang w:val="en-CH" w:eastAsia="en-GB"/>
              <w14:ligatures w14:val="standardContextual"/>
            </w:rPr>
          </w:pPr>
          <w:hyperlink w:anchor="_Toc178610944" w:history="1">
            <w:r w:rsidRPr="00E062F6">
              <w:rPr>
                <w:rStyle w:val="Hyperlink"/>
                <w:rFonts w:ascii="Roboto" w:hAnsi="Roboto"/>
                <w:noProof/>
              </w:rPr>
              <w:t>8</w:t>
            </w:r>
            <w:r w:rsidRPr="00E062F6">
              <w:rPr>
                <w:rFonts w:ascii="Roboto" w:eastAsiaTheme="minorEastAsia" w:hAnsi="Roboto"/>
                <w:noProof/>
                <w:kern w:val="2"/>
                <w:sz w:val="24"/>
                <w:szCs w:val="24"/>
                <w:lang w:val="en-CH" w:eastAsia="en-GB"/>
                <w14:ligatures w14:val="standardContextual"/>
              </w:rPr>
              <w:tab/>
            </w:r>
            <w:r w:rsidRPr="00E062F6">
              <w:rPr>
                <w:rStyle w:val="Hyperlink"/>
                <w:rFonts w:ascii="Roboto" w:hAnsi="Roboto"/>
                <w:noProof/>
              </w:rPr>
              <w:t>Right to redress, compensation and rehabilitation (article 14)</w:t>
            </w:r>
            <w:r w:rsidRPr="00E062F6">
              <w:rPr>
                <w:rFonts w:ascii="Roboto" w:hAnsi="Roboto"/>
                <w:noProof/>
                <w:webHidden/>
              </w:rPr>
              <w:tab/>
            </w:r>
            <w:r w:rsidRPr="00E062F6">
              <w:rPr>
                <w:rFonts w:ascii="Roboto" w:hAnsi="Roboto"/>
                <w:noProof/>
                <w:webHidden/>
              </w:rPr>
              <w:fldChar w:fldCharType="begin"/>
            </w:r>
            <w:r w:rsidRPr="00E062F6">
              <w:rPr>
                <w:rFonts w:ascii="Roboto" w:hAnsi="Roboto"/>
                <w:noProof/>
                <w:webHidden/>
              </w:rPr>
              <w:instrText xml:space="preserve"> PAGEREF _Toc178610944 \h </w:instrText>
            </w:r>
            <w:r w:rsidRPr="00E062F6">
              <w:rPr>
                <w:rFonts w:ascii="Roboto" w:hAnsi="Roboto"/>
                <w:noProof/>
                <w:webHidden/>
              </w:rPr>
            </w:r>
            <w:r w:rsidRPr="00E062F6">
              <w:rPr>
                <w:rFonts w:ascii="Roboto" w:hAnsi="Roboto"/>
                <w:noProof/>
                <w:webHidden/>
              </w:rPr>
              <w:fldChar w:fldCharType="separate"/>
            </w:r>
            <w:r w:rsidRPr="00E062F6">
              <w:rPr>
                <w:rFonts w:ascii="Roboto" w:hAnsi="Roboto"/>
                <w:noProof/>
                <w:webHidden/>
              </w:rPr>
              <w:t>29</w:t>
            </w:r>
            <w:r w:rsidRPr="00E062F6">
              <w:rPr>
                <w:rFonts w:ascii="Roboto" w:hAnsi="Roboto"/>
                <w:noProof/>
                <w:webHidden/>
              </w:rPr>
              <w:fldChar w:fldCharType="end"/>
            </w:r>
          </w:hyperlink>
        </w:p>
        <w:p w14:paraId="7D9093B0" w14:textId="5EE7958F" w:rsidR="00891EDE" w:rsidRPr="00E062F6" w:rsidRDefault="00891EDE">
          <w:pPr>
            <w:pStyle w:val="TOC1"/>
            <w:tabs>
              <w:tab w:val="left" w:pos="440"/>
              <w:tab w:val="right" w:leader="dot" w:pos="9060"/>
            </w:tabs>
            <w:rPr>
              <w:rFonts w:ascii="Roboto" w:eastAsiaTheme="minorEastAsia" w:hAnsi="Roboto"/>
              <w:noProof/>
              <w:kern w:val="2"/>
              <w:sz w:val="24"/>
              <w:szCs w:val="24"/>
              <w:lang w:val="en-CH" w:eastAsia="en-GB"/>
              <w14:ligatures w14:val="standardContextual"/>
            </w:rPr>
          </w:pPr>
          <w:hyperlink w:anchor="_Toc178610945" w:history="1">
            <w:r w:rsidRPr="00E062F6">
              <w:rPr>
                <w:rStyle w:val="Hyperlink"/>
                <w:rFonts w:ascii="Roboto" w:hAnsi="Roboto"/>
                <w:noProof/>
              </w:rPr>
              <w:t>9</w:t>
            </w:r>
            <w:r w:rsidRPr="00E062F6">
              <w:rPr>
                <w:rFonts w:ascii="Roboto" w:eastAsiaTheme="minorEastAsia" w:hAnsi="Roboto"/>
                <w:noProof/>
                <w:kern w:val="2"/>
                <w:sz w:val="24"/>
                <w:szCs w:val="24"/>
                <w:lang w:val="en-CH" w:eastAsia="en-GB"/>
                <w14:ligatures w14:val="standardContextual"/>
              </w:rPr>
              <w:tab/>
            </w:r>
            <w:r w:rsidRPr="00E062F6">
              <w:rPr>
                <w:rStyle w:val="Hyperlink"/>
                <w:rFonts w:ascii="Roboto" w:hAnsi="Roboto"/>
                <w:noProof/>
              </w:rPr>
              <w:t>Acts of cruel, inhuman or degrading treatment or punishment (article 16)</w:t>
            </w:r>
            <w:r w:rsidRPr="00E062F6">
              <w:rPr>
                <w:rFonts w:ascii="Roboto" w:hAnsi="Roboto"/>
                <w:noProof/>
                <w:webHidden/>
              </w:rPr>
              <w:tab/>
            </w:r>
            <w:r w:rsidRPr="00E062F6">
              <w:rPr>
                <w:rFonts w:ascii="Roboto" w:hAnsi="Roboto"/>
                <w:noProof/>
                <w:webHidden/>
              </w:rPr>
              <w:fldChar w:fldCharType="begin"/>
            </w:r>
            <w:r w:rsidRPr="00E062F6">
              <w:rPr>
                <w:rFonts w:ascii="Roboto" w:hAnsi="Roboto"/>
                <w:noProof/>
                <w:webHidden/>
              </w:rPr>
              <w:instrText xml:space="preserve"> PAGEREF _Toc178610945 \h </w:instrText>
            </w:r>
            <w:r w:rsidRPr="00E062F6">
              <w:rPr>
                <w:rFonts w:ascii="Roboto" w:hAnsi="Roboto"/>
                <w:noProof/>
                <w:webHidden/>
              </w:rPr>
            </w:r>
            <w:r w:rsidRPr="00E062F6">
              <w:rPr>
                <w:rFonts w:ascii="Roboto" w:hAnsi="Roboto"/>
                <w:noProof/>
                <w:webHidden/>
              </w:rPr>
              <w:fldChar w:fldCharType="separate"/>
            </w:r>
            <w:r w:rsidRPr="00E062F6">
              <w:rPr>
                <w:rFonts w:ascii="Roboto" w:hAnsi="Roboto"/>
                <w:noProof/>
                <w:webHidden/>
              </w:rPr>
              <w:t>30</w:t>
            </w:r>
            <w:r w:rsidRPr="00E062F6">
              <w:rPr>
                <w:rFonts w:ascii="Roboto" w:hAnsi="Roboto"/>
                <w:noProof/>
                <w:webHidden/>
              </w:rPr>
              <w:fldChar w:fldCharType="end"/>
            </w:r>
          </w:hyperlink>
        </w:p>
        <w:p w14:paraId="2E7ED527" w14:textId="5E6A7295" w:rsidR="00891EDE" w:rsidRPr="00E062F6" w:rsidRDefault="00891EDE">
          <w:pPr>
            <w:pStyle w:val="TOC2"/>
            <w:tabs>
              <w:tab w:val="left" w:pos="960"/>
              <w:tab w:val="right" w:leader="dot" w:pos="9060"/>
            </w:tabs>
            <w:rPr>
              <w:rFonts w:ascii="Roboto" w:eastAsiaTheme="minorEastAsia" w:hAnsi="Roboto"/>
              <w:noProof/>
              <w:kern w:val="2"/>
              <w:sz w:val="24"/>
              <w:szCs w:val="24"/>
              <w:lang w:val="en-CH" w:eastAsia="en-GB"/>
              <w14:ligatures w14:val="standardContextual"/>
            </w:rPr>
          </w:pPr>
          <w:hyperlink w:anchor="_Toc178610946" w:history="1">
            <w:r w:rsidRPr="00E062F6">
              <w:rPr>
                <w:rStyle w:val="Hyperlink"/>
                <w:rFonts w:ascii="Roboto" w:hAnsi="Roboto"/>
                <w:noProof/>
              </w:rPr>
              <w:t>9.1</w:t>
            </w:r>
            <w:r w:rsidRPr="00E062F6">
              <w:rPr>
                <w:rFonts w:ascii="Roboto" w:eastAsiaTheme="minorEastAsia" w:hAnsi="Roboto"/>
                <w:noProof/>
                <w:kern w:val="2"/>
                <w:sz w:val="24"/>
                <w:szCs w:val="24"/>
                <w:lang w:val="en-CH" w:eastAsia="en-GB"/>
                <w14:ligatures w14:val="standardContextual"/>
              </w:rPr>
              <w:tab/>
            </w:r>
            <w:r w:rsidRPr="00E062F6">
              <w:rPr>
                <w:rStyle w:val="Hyperlink"/>
                <w:rFonts w:ascii="Roboto" w:hAnsi="Roboto"/>
                <w:noProof/>
              </w:rPr>
              <w:t>The death penalty</w:t>
            </w:r>
            <w:r w:rsidRPr="00E062F6">
              <w:rPr>
                <w:rFonts w:ascii="Roboto" w:hAnsi="Roboto"/>
                <w:noProof/>
                <w:webHidden/>
              </w:rPr>
              <w:tab/>
            </w:r>
            <w:r w:rsidRPr="00E062F6">
              <w:rPr>
                <w:rFonts w:ascii="Roboto" w:hAnsi="Roboto"/>
                <w:noProof/>
                <w:webHidden/>
              </w:rPr>
              <w:fldChar w:fldCharType="begin"/>
            </w:r>
            <w:r w:rsidRPr="00E062F6">
              <w:rPr>
                <w:rFonts w:ascii="Roboto" w:hAnsi="Roboto"/>
                <w:noProof/>
                <w:webHidden/>
              </w:rPr>
              <w:instrText xml:space="preserve"> PAGEREF _Toc178610946 \h </w:instrText>
            </w:r>
            <w:r w:rsidRPr="00E062F6">
              <w:rPr>
                <w:rFonts w:ascii="Roboto" w:hAnsi="Roboto"/>
                <w:noProof/>
                <w:webHidden/>
              </w:rPr>
            </w:r>
            <w:r w:rsidRPr="00E062F6">
              <w:rPr>
                <w:rFonts w:ascii="Roboto" w:hAnsi="Roboto"/>
                <w:noProof/>
                <w:webHidden/>
              </w:rPr>
              <w:fldChar w:fldCharType="separate"/>
            </w:r>
            <w:r w:rsidRPr="00E062F6">
              <w:rPr>
                <w:rFonts w:ascii="Roboto" w:hAnsi="Roboto"/>
                <w:noProof/>
                <w:webHidden/>
              </w:rPr>
              <w:t>30</w:t>
            </w:r>
            <w:r w:rsidRPr="00E062F6">
              <w:rPr>
                <w:rFonts w:ascii="Roboto" w:hAnsi="Roboto"/>
                <w:noProof/>
                <w:webHidden/>
              </w:rPr>
              <w:fldChar w:fldCharType="end"/>
            </w:r>
          </w:hyperlink>
        </w:p>
        <w:p w14:paraId="52C40991" w14:textId="02E6BFD7" w:rsidR="00891EDE" w:rsidRPr="00E062F6" w:rsidRDefault="00891EDE">
          <w:pPr>
            <w:pStyle w:val="TOC2"/>
            <w:tabs>
              <w:tab w:val="left" w:pos="960"/>
              <w:tab w:val="right" w:leader="dot" w:pos="9060"/>
            </w:tabs>
            <w:rPr>
              <w:rFonts w:ascii="Roboto" w:eastAsiaTheme="minorEastAsia" w:hAnsi="Roboto"/>
              <w:noProof/>
              <w:kern w:val="2"/>
              <w:sz w:val="24"/>
              <w:szCs w:val="24"/>
              <w:lang w:val="en-CH" w:eastAsia="en-GB"/>
              <w14:ligatures w14:val="standardContextual"/>
            </w:rPr>
          </w:pPr>
          <w:hyperlink w:anchor="_Toc178610947" w:history="1">
            <w:r w:rsidRPr="00E062F6">
              <w:rPr>
                <w:rStyle w:val="Hyperlink"/>
                <w:rFonts w:ascii="Roboto" w:hAnsi="Roboto"/>
                <w:noProof/>
              </w:rPr>
              <w:t>9.2</w:t>
            </w:r>
            <w:r w:rsidRPr="00E062F6">
              <w:rPr>
                <w:rFonts w:ascii="Roboto" w:eastAsiaTheme="minorEastAsia" w:hAnsi="Roboto"/>
                <w:noProof/>
                <w:kern w:val="2"/>
                <w:sz w:val="24"/>
                <w:szCs w:val="24"/>
                <w:lang w:val="en-CH" w:eastAsia="en-GB"/>
                <w14:ligatures w14:val="standardContextual"/>
              </w:rPr>
              <w:tab/>
            </w:r>
            <w:r w:rsidRPr="00E062F6">
              <w:rPr>
                <w:rStyle w:val="Hyperlink"/>
                <w:rFonts w:ascii="Roboto" w:hAnsi="Roboto"/>
                <w:noProof/>
              </w:rPr>
              <w:t>Crackdown on free assembly and violence against peaceful protestors</w:t>
            </w:r>
            <w:r w:rsidRPr="00E062F6">
              <w:rPr>
                <w:rFonts w:ascii="Roboto" w:hAnsi="Roboto"/>
                <w:noProof/>
                <w:webHidden/>
              </w:rPr>
              <w:tab/>
            </w:r>
            <w:r w:rsidRPr="00E062F6">
              <w:rPr>
                <w:rFonts w:ascii="Roboto" w:hAnsi="Roboto"/>
                <w:noProof/>
                <w:webHidden/>
              </w:rPr>
              <w:fldChar w:fldCharType="begin"/>
            </w:r>
            <w:r w:rsidRPr="00E062F6">
              <w:rPr>
                <w:rFonts w:ascii="Roboto" w:hAnsi="Roboto"/>
                <w:noProof/>
                <w:webHidden/>
              </w:rPr>
              <w:instrText xml:space="preserve"> PAGEREF _Toc178610947 \h </w:instrText>
            </w:r>
            <w:r w:rsidRPr="00E062F6">
              <w:rPr>
                <w:rFonts w:ascii="Roboto" w:hAnsi="Roboto"/>
                <w:noProof/>
                <w:webHidden/>
              </w:rPr>
            </w:r>
            <w:r w:rsidRPr="00E062F6">
              <w:rPr>
                <w:rFonts w:ascii="Roboto" w:hAnsi="Roboto"/>
                <w:noProof/>
                <w:webHidden/>
              </w:rPr>
              <w:fldChar w:fldCharType="separate"/>
            </w:r>
            <w:r w:rsidRPr="00E062F6">
              <w:rPr>
                <w:rFonts w:ascii="Roboto" w:hAnsi="Roboto"/>
                <w:noProof/>
                <w:webHidden/>
              </w:rPr>
              <w:t>31</w:t>
            </w:r>
            <w:r w:rsidRPr="00E062F6">
              <w:rPr>
                <w:rFonts w:ascii="Roboto" w:hAnsi="Roboto"/>
                <w:noProof/>
                <w:webHidden/>
              </w:rPr>
              <w:fldChar w:fldCharType="end"/>
            </w:r>
          </w:hyperlink>
        </w:p>
        <w:p w14:paraId="45AFD5B2" w14:textId="595398FE" w:rsidR="00891EDE" w:rsidRPr="00E062F6" w:rsidRDefault="00891EDE">
          <w:pPr>
            <w:pStyle w:val="TOC1"/>
            <w:tabs>
              <w:tab w:val="left" w:pos="720"/>
              <w:tab w:val="right" w:leader="dot" w:pos="9060"/>
            </w:tabs>
            <w:rPr>
              <w:rFonts w:ascii="Roboto" w:eastAsiaTheme="minorEastAsia" w:hAnsi="Roboto"/>
              <w:noProof/>
              <w:kern w:val="2"/>
              <w:sz w:val="24"/>
              <w:szCs w:val="24"/>
              <w:lang w:val="en-CH" w:eastAsia="en-GB"/>
              <w14:ligatures w14:val="standardContextual"/>
            </w:rPr>
          </w:pPr>
          <w:hyperlink w:anchor="_Toc178610948" w:history="1">
            <w:r w:rsidRPr="00E062F6">
              <w:rPr>
                <w:rStyle w:val="Hyperlink"/>
                <w:rFonts w:ascii="Roboto" w:hAnsi="Roboto"/>
                <w:noProof/>
              </w:rPr>
              <w:t>10</w:t>
            </w:r>
            <w:r w:rsidRPr="00E062F6">
              <w:rPr>
                <w:rFonts w:ascii="Roboto" w:eastAsiaTheme="minorEastAsia" w:hAnsi="Roboto"/>
                <w:noProof/>
                <w:kern w:val="2"/>
                <w:sz w:val="24"/>
                <w:szCs w:val="24"/>
                <w:lang w:val="en-CH" w:eastAsia="en-GB"/>
                <w14:ligatures w14:val="standardContextual"/>
              </w:rPr>
              <w:tab/>
            </w:r>
            <w:r w:rsidRPr="00E062F6">
              <w:rPr>
                <w:rStyle w:val="Hyperlink"/>
                <w:rFonts w:ascii="Roboto" w:hAnsi="Roboto"/>
                <w:noProof/>
              </w:rPr>
              <w:t>Other issues: counter-terrorism and human rights</w:t>
            </w:r>
            <w:r w:rsidRPr="00E062F6">
              <w:rPr>
                <w:rFonts w:ascii="Roboto" w:hAnsi="Roboto"/>
                <w:noProof/>
                <w:webHidden/>
              </w:rPr>
              <w:tab/>
            </w:r>
            <w:r w:rsidRPr="00E062F6">
              <w:rPr>
                <w:rFonts w:ascii="Roboto" w:hAnsi="Roboto"/>
                <w:noProof/>
                <w:webHidden/>
              </w:rPr>
              <w:fldChar w:fldCharType="begin"/>
            </w:r>
            <w:r w:rsidRPr="00E062F6">
              <w:rPr>
                <w:rFonts w:ascii="Roboto" w:hAnsi="Roboto"/>
                <w:noProof/>
                <w:webHidden/>
              </w:rPr>
              <w:instrText xml:space="preserve"> PAGEREF _Toc178610948 \h </w:instrText>
            </w:r>
            <w:r w:rsidRPr="00E062F6">
              <w:rPr>
                <w:rFonts w:ascii="Roboto" w:hAnsi="Roboto"/>
                <w:noProof/>
                <w:webHidden/>
              </w:rPr>
            </w:r>
            <w:r w:rsidRPr="00E062F6">
              <w:rPr>
                <w:rFonts w:ascii="Roboto" w:hAnsi="Roboto"/>
                <w:noProof/>
                <w:webHidden/>
              </w:rPr>
              <w:fldChar w:fldCharType="separate"/>
            </w:r>
            <w:r w:rsidRPr="00E062F6">
              <w:rPr>
                <w:rFonts w:ascii="Roboto" w:hAnsi="Roboto"/>
                <w:noProof/>
                <w:webHidden/>
              </w:rPr>
              <w:t>33</w:t>
            </w:r>
            <w:r w:rsidRPr="00E062F6">
              <w:rPr>
                <w:rFonts w:ascii="Roboto" w:hAnsi="Roboto"/>
                <w:noProof/>
                <w:webHidden/>
              </w:rPr>
              <w:fldChar w:fldCharType="end"/>
            </w:r>
          </w:hyperlink>
        </w:p>
        <w:p w14:paraId="05A5D539" w14:textId="60C9DA78" w:rsidR="00891EDE" w:rsidRPr="00E062F6" w:rsidRDefault="00891EDE">
          <w:pPr>
            <w:pStyle w:val="TOC2"/>
            <w:tabs>
              <w:tab w:val="left" w:pos="960"/>
              <w:tab w:val="right" w:leader="dot" w:pos="9060"/>
            </w:tabs>
            <w:rPr>
              <w:rFonts w:ascii="Roboto" w:eastAsiaTheme="minorEastAsia" w:hAnsi="Roboto"/>
              <w:noProof/>
              <w:kern w:val="2"/>
              <w:sz w:val="24"/>
              <w:szCs w:val="24"/>
              <w:lang w:val="en-CH" w:eastAsia="en-GB"/>
              <w14:ligatures w14:val="standardContextual"/>
            </w:rPr>
          </w:pPr>
          <w:hyperlink w:anchor="_Toc178610949" w:history="1">
            <w:r w:rsidRPr="00E062F6">
              <w:rPr>
                <w:rStyle w:val="Hyperlink"/>
                <w:rFonts w:ascii="Roboto" w:hAnsi="Roboto"/>
                <w:noProof/>
              </w:rPr>
              <w:t>10.1</w:t>
            </w:r>
            <w:r w:rsidRPr="00E062F6">
              <w:rPr>
                <w:rFonts w:ascii="Roboto" w:eastAsiaTheme="minorEastAsia" w:hAnsi="Roboto"/>
                <w:noProof/>
                <w:kern w:val="2"/>
                <w:sz w:val="24"/>
                <w:szCs w:val="24"/>
                <w:lang w:val="en-CH" w:eastAsia="en-GB"/>
                <w14:ligatures w14:val="standardContextual"/>
              </w:rPr>
              <w:tab/>
            </w:r>
            <w:r w:rsidRPr="00E062F6">
              <w:rPr>
                <w:rStyle w:val="Hyperlink"/>
                <w:rFonts w:ascii="Roboto" w:hAnsi="Roboto"/>
                <w:noProof/>
              </w:rPr>
              <w:t>Domestic legal framework</w:t>
            </w:r>
            <w:r w:rsidRPr="00E062F6">
              <w:rPr>
                <w:rFonts w:ascii="Roboto" w:hAnsi="Roboto"/>
                <w:noProof/>
                <w:webHidden/>
              </w:rPr>
              <w:tab/>
            </w:r>
            <w:r w:rsidRPr="00E062F6">
              <w:rPr>
                <w:rFonts w:ascii="Roboto" w:hAnsi="Roboto"/>
                <w:noProof/>
                <w:webHidden/>
              </w:rPr>
              <w:fldChar w:fldCharType="begin"/>
            </w:r>
            <w:r w:rsidRPr="00E062F6">
              <w:rPr>
                <w:rFonts w:ascii="Roboto" w:hAnsi="Roboto"/>
                <w:noProof/>
                <w:webHidden/>
              </w:rPr>
              <w:instrText xml:space="preserve"> PAGEREF _Toc178610949 \h </w:instrText>
            </w:r>
            <w:r w:rsidRPr="00E062F6">
              <w:rPr>
                <w:rFonts w:ascii="Roboto" w:hAnsi="Roboto"/>
                <w:noProof/>
                <w:webHidden/>
              </w:rPr>
            </w:r>
            <w:r w:rsidRPr="00E062F6">
              <w:rPr>
                <w:rFonts w:ascii="Roboto" w:hAnsi="Roboto"/>
                <w:noProof/>
                <w:webHidden/>
              </w:rPr>
              <w:fldChar w:fldCharType="separate"/>
            </w:r>
            <w:r w:rsidRPr="00E062F6">
              <w:rPr>
                <w:rFonts w:ascii="Roboto" w:hAnsi="Roboto"/>
                <w:noProof/>
                <w:webHidden/>
              </w:rPr>
              <w:t>33</w:t>
            </w:r>
            <w:r w:rsidRPr="00E062F6">
              <w:rPr>
                <w:rFonts w:ascii="Roboto" w:hAnsi="Roboto"/>
                <w:noProof/>
                <w:webHidden/>
              </w:rPr>
              <w:fldChar w:fldCharType="end"/>
            </w:r>
          </w:hyperlink>
        </w:p>
        <w:p w14:paraId="45F1B117" w14:textId="4A2D6C0E" w:rsidR="00891EDE" w:rsidRPr="00E062F6" w:rsidRDefault="00891EDE">
          <w:pPr>
            <w:pStyle w:val="TOC2"/>
            <w:tabs>
              <w:tab w:val="left" w:pos="960"/>
              <w:tab w:val="right" w:leader="dot" w:pos="9060"/>
            </w:tabs>
            <w:rPr>
              <w:rFonts w:ascii="Roboto" w:eastAsiaTheme="minorEastAsia" w:hAnsi="Roboto"/>
              <w:noProof/>
              <w:kern w:val="2"/>
              <w:sz w:val="24"/>
              <w:szCs w:val="24"/>
              <w:lang w:val="en-CH" w:eastAsia="en-GB"/>
              <w14:ligatures w14:val="standardContextual"/>
            </w:rPr>
          </w:pPr>
          <w:hyperlink w:anchor="_Toc178610950" w:history="1">
            <w:r w:rsidRPr="00E062F6">
              <w:rPr>
                <w:rStyle w:val="Hyperlink"/>
                <w:rFonts w:ascii="Roboto" w:hAnsi="Roboto"/>
                <w:noProof/>
              </w:rPr>
              <w:t>10.2</w:t>
            </w:r>
            <w:r w:rsidRPr="00E062F6">
              <w:rPr>
                <w:rFonts w:ascii="Roboto" w:eastAsiaTheme="minorEastAsia" w:hAnsi="Roboto"/>
                <w:noProof/>
                <w:kern w:val="2"/>
                <w:sz w:val="24"/>
                <w:szCs w:val="24"/>
                <w:lang w:val="en-CH" w:eastAsia="en-GB"/>
                <w14:ligatures w14:val="standardContextual"/>
              </w:rPr>
              <w:tab/>
            </w:r>
            <w:r w:rsidRPr="00E062F6">
              <w:rPr>
                <w:rStyle w:val="Hyperlink"/>
                <w:rFonts w:ascii="Roboto" w:hAnsi="Roboto"/>
                <w:noProof/>
              </w:rPr>
              <w:t>Regional legal framework</w:t>
            </w:r>
            <w:r w:rsidRPr="00E062F6">
              <w:rPr>
                <w:rFonts w:ascii="Roboto" w:hAnsi="Roboto"/>
                <w:noProof/>
                <w:webHidden/>
              </w:rPr>
              <w:tab/>
            </w:r>
            <w:r w:rsidRPr="00E062F6">
              <w:rPr>
                <w:rFonts w:ascii="Roboto" w:hAnsi="Roboto"/>
                <w:noProof/>
                <w:webHidden/>
              </w:rPr>
              <w:fldChar w:fldCharType="begin"/>
            </w:r>
            <w:r w:rsidRPr="00E062F6">
              <w:rPr>
                <w:rFonts w:ascii="Roboto" w:hAnsi="Roboto"/>
                <w:noProof/>
                <w:webHidden/>
              </w:rPr>
              <w:instrText xml:space="preserve"> PAGEREF _Toc178610950 \h </w:instrText>
            </w:r>
            <w:r w:rsidRPr="00E062F6">
              <w:rPr>
                <w:rFonts w:ascii="Roboto" w:hAnsi="Roboto"/>
                <w:noProof/>
                <w:webHidden/>
              </w:rPr>
            </w:r>
            <w:r w:rsidRPr="00E062F6">
              <w:rPr>
                <w:rFonts w:ascii="Roboto" w:hAnsi="Roboto"/>
                <w:noProof/>
                <w:webHidden/>
              </w:rPr>
              <w:fldChar w:fldCharType="separate"/>
            </w:r>
            <w:r w:rsidRPr="00E062F6">
              <w:rPr>
                <w:rFonts w:ascii="Roboto" w:hAnsi="Roboto"/>
                <w:noProof/>
                <w:webHidden/>
              </w:rPr>
              <w:t>34</w:t>
            </w:r>
            <w:r w:rsidRPr="00E062F6">
              <w:rPr>
                <w:rFonts w:ascii="Roboto" w:hAnsi="Roboto"/>
                <w:noProof/>
                <w:webHidden/>
              </w:rPr>
              <w:fldChar w:fldCharType="end"/>
            </w:r>
          </w:hyperlink>
        </w:p>
        <w:p w14:paraId="03BC469C" w14:textId="6423A0D6" w:rsidR="00FA7A82" w:rsidRPr="00E062F6" w:rsidRDefault="00000000">
          <w:pPr>
            <w:spacing w:line="276" w:lineRule="auto"/>
            <w:jc w:val="both"/>
            <w:rPr>
              <w:rFonts w:ascii="Roboto" w:hAnsi="Roboto"/>
              <w:sz w:val="24"/>
              <w:szCs w:val="24"/>
            </w:rPr>
          </w:pPr>
          <w:r w:rsidRPr="00E062F6">
            <w:rPr>
              <w:rFonts w:ascii="Roboto" w:hAnsi="Roboto"/>
              <w:b/>
              <w:bCs/>
            </w:rPr>
            <w:fldChar w:fldCharType="end"/>
          </w:r>
        </w:p>
      </w:sdtContent>
    </w:sdt>
    <w:p w14:paraId="68ED6FB7" w14:textId="77777777" w:rsidR="00FA7A82" w:rsidRPr="00E062F6" w:rsidRDefault="00FA7A82">
      <w:pPr>
        <w:spacing w:line="276" w:lineRule="auto"/>
        <w:jc w:val="both"/>
        <w:rPr>
          <w:rFonts w:ascii="Roboto" w:hAnsi="Roboto"/>
          <w:color w:val="292929"/>
          <w:sz w:val="52"/>
          <w:szCs w:val="52"/>
        </w:rPr>
      </w:pPr>
    </w:p>
    <w:p w14:paraId="77E39D4A" w14:textId="77777777" w:rsidR="00FA7A82" w:rsidRPr="00E062F6" w:rsidRDefault="00FA7A82">
      <w:pPr>
        <w:spacing w:line="276" w:lineRule="auto"/>
        <w:jc w:val="both"/>
        <w:rPr>
          <w:rFonts w:ascii="Roboto" w:hAnsi="Roboto"/>
          <w:color w:val="292929"/>
          <w:sz w:val="52"/>
          <w:szCs w:val="52"/>
        </w:rPr>
      </w:pPr>
    </w:p>
    <w:p w14:paraId="7216099B" w14:textId="77777777" w:rsidR="00FA7A82" w:rsidRPr="00E062F6" w:rsidRDefault="00FA7A82">
      <w:pPr>
        <w:spacing w:line="276" w:lineRule="auto"/>
        <w:jc w:val="both"/>
        <w:rPr>
          <w:rFonts w:ascii="Roboto" w:hAnsi="Roboto"/>
          <w:color w:val="292929"/>
          <w:sz w:val="52"/>
          <w:szCs w:val="52"/>
        </w:rPr>
      </w:pPr>
    </w:p>
    <w:p w14:paraId="527B6489" w14:textId="77777777" w:rsidR="00FA7A82" w:rsidRPr="00E062F6" w:rsidRDefault="00FA7A82">
      <w:pPr>
        <w:jc w:val="both"/>
        <w:rPr>
          <w:rStyle w:val="SubtleEmphasis"/>
        </w:rPr>
      </w:pPr>
    </w:p>
    <w:p w14:paraId="62CCC4E4" w14:textId="77777777" w:rsidR="00FA7A82" w:rsidRPr="00E062F6" w:rsidRDefault="00FA7A82">
      <w:pPr>
        <w:spacing w:line="276" w:lineRule="auto"/>
        <w:jc w:val="both"/>
        <w:rPr>
          <w:rFonts w:ascii="Roboto" w:hAnsi="Roboto"/>
          <w:color w:val="292929"/>
          <w:sz w:val="52"/>
          <w:szCs w:val="52"/>
        </w:rPr>
      </w:pPr>
    </w:p>
    <w:p w14:paraId="64AA58F6" w14:textId="77777777" w:rsidR="00FA7A82" w:rsidRPr="00E062F6" w:rsidRDefault="00FA7A82">
      <w:pPr>
        <w:spacing w:line="276" w:lineRule="auto"/>
        <w:jc w:val="both"/>
        <w:rPr>
          <w:rFonts w:ascii="Roboto" w:hAnsi="Roboto"/>
          <w:color w:val="292929"/>
          <w:sz w:val="52"/>
          <w:szCs w:val="52"/>
        </w:rPr>
      </w:pPr>
    </w:p>
    <w:p w14:paraId="7623B20D" w14:textId="77777777" w:rsidR="00FA7A82" w:rsidRPr="00E062F6" w:rsidRDefault="00FA7A82">
      <w:pPr>
        <w:spacing w:line="276" w:lineRule="auto"/>
        <w:jc w:val="both"/>
        <w:rPr>
          <w:rFonts w:ascii="Roboto" w:hAnsi="Roboto"/>
          <w:color w:val="292929"/>
          <w:sz w:val="52"/>
          <w:szCs w:val="52"/>
        </w:rPr>
      </w:pPr>
    </w:p>
    <w:p w14:paraId="52729103" w14:textId="77777777" w:rsidR="00FA7A82" w:rsidRPr="00E062F6" w:rsidRDefault="00000000">
      <w:pPr>
        <w:spacing w:before="0"/>
        <w:jc w:val="both"/>
        <w:rPr>
          <w:rFonts w:ascii="Roboto" w:hAnsi="Roboto"/>
          <w:color w:val="6600FF"/>
          <w:sz w:val="48"/>
          <w:szCs w:val="48"/>
        </w:rPr>
      </w:pPr>
      <w:r w:rsidRPr="00E062F6">
        <w:rPr>
          <w:rFonts w:ascii="Roboto" w:hAnsi="Roboto"/>
          <w:color w:val="6600FF"/>
          <w:sz w:val="48"/>
          <w:szCs w:val="48"/>
        </w:rPr>
        <w:br w:type="page" w:clear="all"/>
      </w:r>
    </w:p>
    <w:p w14:paraId="1031F656" w14:textId="77777777" w:rsidR="00FA7A82" w:rsidRPr="00E062F6" w:rsidRDefault="00000000">
      <w:pPr>
        <w:pStyle w:val="Heading1"/>
        <w:spacing w:line="276" w:lineRule="auto"/>
        <w:jc w:val="both"/>
      </w:pPr>
      <w:bookmarkStart w:id="0" w:name="_Toc178610922"/>
      <w:r w:rsidRPr="00E062F6">
        <w:lastRenderedPageBreak/>
        <w:t>Introduction</w:t>
      </w:r>
      <w:bookmarkEnd w:id="0"/>
    </w:p>
    <w:p w14:paraId="67C3F757" w14:textId="77777777" w:rsidR="00FA7A82" w:rsidRPr="00E062F6" w:rsidRDefault="00000000">
      <w:pPr>
        <w:spacing w:line="276" w:lineRule="auto"/>
        <w:jc w:val="both"/>
        <w:rPr>
          <w:rStyle w:val="SubtleEmphasis"/>
        </w:rPr>
      </w:pPr>
      <w:r w:rsidRPr="00E062F6">
        <w:rPr>
          <w:rStyle w:val="SubtleEmphasis"/>
        </w:rPr>
        <w:t xml:space="preserve">This report analyses Jordan's implementation in law and practice of the </w:t>
      </w:r>
      <w:r w:rsidRPr="00E062F6">
        <w:rPr>
          <w:rFonts w:ascii="Roboto" w:hAnsi="Roboto"/>
        </w:rPr>
        <w:t>United Nations Convention against Torture and Other Cruel, Inhuman or Degrading Treatment or Punishment (hereinafter: the Convention)</w:t>
      </w:r>
      <w:r w:rsidRPr="00E062F6">
        <w:rPr>
          <w:rStyle w:val="SubtleEmphasis"/>
        </w:rPr>
        <w:t xml:space="preserve">, ratified in 1991. </w:t>
      </w:r>
    </w:p>
    <w:p w14:paraId="63F4A3FD" w14:textId="77777777" w:rsidR="00FA7A82" w:rsidRPr="00E062F6" w:rsidRDefault="00000000">
      <w:pPr>
        <w:spacing w:line="276" w:lineRule="auto"/>
        <w:jc w:val="both"/>
        <w:rPr>
          <w:rFonts w:ascii="Roboto" w:hAnsi="Roboto"/>
        </w:rPr>
      </w:pPr>
      <w:r w:rsidRPr="00E062F6">
        <w:rPr>
          <w:rFonts w:ascii="Roboto" w:hAnsi="Roboto"/>
        </w:rPr>
        <w:t>The report examines the definition and criminalisation of torture in Jordanian legislation (Articles 1 and 4</w:t>
      </w:r>
      <w:proofErr w:type="gramStart"/>
      <w:r w:rsidRPr="00E062F6">
        <w:rPr>
          <w:rFonts w:ascii="Roboto" w:hAnsi="Roboto"/>
        </w:rPr>
        <w:t>), and</w:t>
      </w:r>
      <w:proofErr w:type="gramEnd"/>
      <w:r w:rsidRPr="00E062F6">
        <w:rPr>
          <w:rFonts w:ascii="Roboto" w:hAnsi="Roboto"/>
        </w:rPr>
        <w:t xml:space="preserve"> analyses the effective measures to prevent torture (Article 2) such as the legal safeguards afforded to individuals deprived of their liberty, the practice of administrative detention, and the role of Jordan's National Human Rights Institution.</w:t>
      </w:r>
    </w:p>
    <w:p w14:paraId="3B440384" w14:textId="77777777" w:rsidR="00FA7A82" w:rsidRPr="00E062F6" w:rsidRDefault="00000000">
      <w:pPr>
        <w:spacing w:line="276" w:lineRule="auto"/>
        <w:jc w:val="both"/>
        <w:rPr>
          <w:rFonts w:ascii="Roboto" w:hAnsi="Roboto"/>
        </w:rPr>
      </w:pPr>
      <w:r w:rsidRPr="00E062F6">
        <w:rPr>
          <w:rFonts w:ascii="Roboto" w:hAnsi="Roboto"/>
        </w:rPr>
        <w:t xml:space="preserve">It then addresses extradition and the prohibition of </w:t>
      </w:r>
      <w:r w:rsidRPr="00E062F6">
        <w:rPr>
          <w:rFonts w:ascii="Roboto" w:hAnsi="Roboto"/>
          <w:i/>
          <w:iCs/>
        </w:rPr>
        <w:t>non-refoulement</w:t>
      </w:r>
      <w:r w:rsidRPr="00E062F6">
        <w:rPr>
          <w:rFonts w:ascii="Roboto" w:hAnsi="Roboto"/>
        </w:rPr>
        <w:t xml:space="preserve"> (Article 3), focusing on the regional legal framework and the specific case of the politically motivated extradition of Khalaf al-</w:t>
      </w:r>
      <w:proofErr w:type="spellStart"/>
      <w:r w:rsidRPr="00E062F6">
        <w:rPr>
          <w:rFonts w:ascii="Roboto" w:hAnsi="Roboto"/>
        </w:rPr>
        <w:t>Romaithi</w:t>
      </w:r>
      <w:proofErr w:type="spellEnd"/>
      <w:r w:rsidRPr="00E062F6">
        <w:rPr>
          <w:rFonts w:ascii="Roboto" w:hAnsi="Roboto"/>
        </w:rPr>
        <w:t xml:space="preserve">. The treatment of persons subjected to arrest and detention (Article 11) is also explored, covering issues like violent arrests, </w:t>
      </w:r>
      <w:r w:rsidRPr="00E062F6">
        <w:rPr>
          <w:rFonts w:ascii="Roboto" w:hAnsi="Roboto"/>
          <w:i/>
          <w:iCs/>
        </w:rPr>
        <w:t>incommunicado</w:t>
      </w:r>
      <w:r w:rsidRPr="00E062F6">
        <w:rPr>
          <w:rFonts w:ascii="Roboto" w:hAnsi="Roboto"/>
        </w:rPr>
        <w:t xml:space="preserve"> detention, and prison overcrowding, as well as Jordan's ratification of the Optional Protocol to the Convention.</w:t>
      </w:r>
    </w:p>
    <w:p w14:paraId="3B47BA4B" w14:textId="77777777" w:rsidR="00FA7A82" w:rsidRPr="00E062F6" w:rsidRDefault="00000000">
      <w:pPr>
        <w:spacing w:line="276" w:lineRule="auto"/>
        <w:jc w:val="both"/>
        <w:rPr>
          <w:rFonts w:ascii="Roboto" w:hAnsi="Roboto"/>
        </w:rPr>
      </w:pPr>
      <w:r w:rsidRPr="00E062F6">
        <w:rPr>
          <w:rFonts w:ascii="Roboto" w:hAnsi="Roboto"/>
        </w:rPr>
        <w:t>The report also focuses on the issue of coerced confessions and evidence obtained under torture (Article 15) and the admissibility of such evidence in courts, including the State Security Court. It assesses the prompt and impartial investigation of torture complaints (Articles 12 and 13), highlighting the inadequacies of current complaint mechanisms and the role of special courts in handling torture cases.</w:t>
      </w:r>
    </w:p>
    <w:p w14:paraId="49C292D5" w14:textId="719D25EE" w:rsidR="00FA7A82" w:rsidRPr="00E062F6" w:rsidRDefault="00000000">
      <w:pPr>
        <w:spacing w:line="276" w:lineRule="auto"/>
        <w:jc w:val="both"/>
        <w:rPr>
          <w:rFonts w:ascii="Roboto" w:hAnsi="Roboto"/>
        </w:rPr>
      </w:pPr>
      <w:r w:rsidRPr="00E062F6">
        <w:rPr>
          <w:rFonts w:ascii="Roboto" w:hAnsi="Roboto"/>
        </w:rPr>
        <w:t>Furthermore, the report touches on victims’ right to redress, compensation, and rehabilitation (Article 14), and addresses acts of cruel, inhuman, or degrading treatment or punishment (Article 16), such as the death penalty and violence against peaceful protestors.</w:t>
      </w:r>
    </w:p>
    <w:p w14:paraId="4887C913" w14:textId="34C516CB" w:rsidR="00FA7A82" w:rsidRPr="00E062F6" w:rsidRDefault="00000000">
      <w:pPr>
        <w:spacing w:line="276" w:lineRule="auto"/>
        <w:jc w:val="both"/>
        <w:rPr>
          <w:rFonts w:ascii="Roboto" w:hAnsi="Roboto"/>
        </w:rPr>
      </w:pPr>
      <w:r w:rsidRPr="00E062F6">
        <w:rPr>
          <w:rFonts w:ascii="Roboto" w:hAnsi="Roboto"/>
        </w:rPr>
        <w:t>Lastly, the protection of human rights and fundamental freedoms while countering terrorism</w:t>
      </w:r>
      <w:r w:rsidR="00125A42" w:rsidRPr="00E062F6">
        <w:rPr>
          <w:rFonts w:ascii="Roboto" w:hAnsi="Roboto"/>
        </w:rPr>
        <w:t xml:space="preserve"> </w:t>
      </w:r>
      <w:r w:rsidRPr="00E062F6">
        <w:rPr>
          <w:rFonts w:ascii="Roboto" w:hAnsi="Roboto"/>
        </w:rPr>
        <w:t>is examined, evaluating Jordan's domestic and regional legal frameworks in this context.</w:t>
      </w:r>
    </w:p>
    <w:p w14:paraId="1C39B39F" w14:textId="77777777" w:rsidR="00FA7A82" w:rsidRPr="00E062F6" w:rsidRDefault="00000000">
      <w:pPr>
        <w:spacing w:line="276" w:lineRule="auto"/>
        <w:jc w:val="both"/>
        <w:rPr>
          <w:rStyle w:val="SubtleEmphasis"/>
        </w:rPr>
      </w:pPr>
      <w:r w:rsidRPr="00E062F6">
        <w:rPr>
          <w:rStyle w:val="SubtleEmphasis"/>
        </w:rPr>
        <w:t xml:space="preserve">The report is based </w:t>
      </w:r>
      <w:proofErr w:type="gramStart"/>
      <w:r w:rsidRPr="00E062F6">
        <w:rPr>
          <w:rStyle w:val="SubtleEmphasis"/>
        </w:rPr>
        <w:t>in particular on</w:t>
      </w:r>
      <w:proofErr w:type="gramEnd"/>
      <w:r w:rsidRPr="00E062F6">
        <w:rPr>
          <w:rStyle w:val="SubtleEmphasis"/>
        </w:rPr>
        <w:t xml:space="preserve"> the list of issues provided by the Committee against Torture (CAT) dated 13 June 2018,</w:t>
      </w:r>
      <w:r w:rsidRPr="00E062F6">
        <w:rPr>
          <w:rStyle w:val="FootnoteReference"/>
          <w:rFonts w:ascii="Roboto" w:hAnsi="Roboto"/>
        </w:rPr>
        <w:footnoteReference w:id="1"/>
      </w:r>
      <w:r w:rsidRPr="00E062F6">
        <w:rPr>
          <w:rStyle w:val="SubtleEmphasis"/>
        </w:rPr>
        <w:t xml:space="preserve"> and on the information provided by the State party in its fourth periodic report dated 19 February 2021.</w:t>
      </w:r>
      <w:r w:rsidRPr="00E062F6">
        <w:rPr>
          <w:rStyle w:val="FootnoteReference"/>
          <w:rFonts w:ascii="Roboto" w:hAnsi="Roboto"/>
        </w:rPr>
        <w:footnoteReference w:id="2"/>
      </w:r>
      <w:r w:rsidRPr="00E062F6">
        <w:rPr>
          <w:rStyle w:val="SubtleEmphasis"/>
        </w:rPr>
        <w:t xml:space="preserve"> The content of this report is founded upon a combination of open-source information and testimonies of victims of human rights abuses gathered by MENA Rights Group.</w:t>
      </w:r>
    </w:p>
    <w:p w14:paraId="1E927D86" w14:textId="77777777" w:rsidR="00FA7A82" w:rsidRPr="00E062F6" w:rsidRDefault="00000000">
      <w:pPr>
        <w:pStyle w:val="Heading1"/>
        <w:spacing w:line="276" w:lineRule="auto"/>
        <w:jc w:val="both"/>
      </w:pPr>
      <w:bookmarkStart w:id="1" w:name="_Toc178610923"/>
      <w:r w:rsidRPr="00E062F6">
        <w:lastRenderedPageBreak/>
        <w:t>Definition and criminalisation of torture (articles 1 and 4)</w:t>
      </w:r>
      <w:bookmarkEnd w:id="1"/>
    </w:p>
    <w:p w14:paraId="6F9FB29C" w14:textId="77777777" w:rsidR="00FA7A82" w:rsidRPr="00E062F6" w:rsidRDefault="00000000">
      <w:pPr>
        <w:spacing w:line="276" w:lineRule="auto"/>
        <w:jc w:val="both"/>
        <w:rPr>
          <w:rFonts w:ascii="Roboto" w:hAnsi="Roboto"/>
        </w:rPr>
      </w:pPr>
      <w:r w:rsidRPr="00E062F6">
        <w:rPr>
          <w:rFonts w:ascii="Roboto" w:hAnsi="Roboto"/>
        </w:rPr>
        <w:t>In its previous concluding observations, the Committee recommended that Jordan align the definition of torture set out in article 208 of its Penal Code with article 1 of the Convention.</w:t>
      </w:r>
      <w:r w:rsidRPr="00E062F6">
        <w:rPr>
          <w:rStyle w:val="FootnoteReference"/>
          <w:rFonts w:ascii="Roboto" w:hAnsi="Roboto"/>
        </w:rPr>
        <w:footnoteReference w:id="3"/>
      </w:r>
      <w:r w:rsidRPr="00E062F6">
        <w:rPr>
          <w:rFonts w:ascii="Roboto" w:hAnsi="Roboto"/>
        </w:rPr>
        <w:t xml:space="preserve"> The Committee had notably asked the State party to “report on measures adopted to extend punishment for torture to anyone who attempts to commit torture, or who instigates, consents to or acquiesces to the commission of such acts”.</w:t>
      </w:r>
      <w:r w:rsidRPr="00E062F6">
        <w:rPr>
          <w:rStyle w:val="FootnoteReference"/>
          <w:rFonts w:ascii="Roboto" w:hAnsi="Roboto"/>
        </w:rPr>
        <w:footnoteReference w:id="4"/>
      </w:r>
    </w:p>
    <w:p w14:paraId="2DED48AE" w14:textId="77777777" w:rsidR="00FA7A82" w:rsidRPr="00E062F6" w:rsidRDefault="00000000">
      <w:pPr>
        <w:spacing w:line="276" w:lineRule="auto"/>
        <w:jc w:val="both"/>
        <w:rPr>
          <w:rFonts w:ascii="Roboto" w:hAnsi="Roboto"/>
        </w:rPr>
      </w:pPr>
      <w:r w:rsidRPr="00E062F6">
        <w:rPr>
          <w:rStyle w:val="SubtleEmphasis"/>
        </w:rPr>
        <w:t>In 2018, Jordan amended article 208 of its Penal Code.</w:t>
      </w:r>
      <w:r w:rsidRPr="00E062F6">
        <w:rPr>
          <w:rStyle w:val="FootnoteReference"/>
          <w:rFonts w:ascii="Roboto" w:hAnsi="Roboto"/>
        </w:rPr>
        <w:footnoteReference w:id="5"/>
      </w:r>
      <w:r w:rsidRPr="00E062F6">
        <w:rPr>
          <w:rStyle w:val="SubtleEmphasis"/>
        </w:rPr>
        <w:t xml:space="preserve">  As amended, article 208 of </w:t>
      </w:r>
      <w:r w:rsidRPr="00E062F6">
        <w:rPr>
          <w:rFonts w:ascii="Roboto" w:hAnsi="Roboto"/>
        </w:rPr>
        <w:t>the Penal Code</w:t>
      </w:r>
      <w:r w:rsidRPr="00E062F6">
        <w:rPr>
          <w:rStyle w:val="SubtleEmphasis"/>
        </w:rPr>
        <w:t xml:space="preserve"> defines torture </w:t>
      </w:r>
      <w:r w:rsidRPr="00E062F6">
        <w:rPr>
          <w:rFonts w:ascii="Roboto" w:hAnsi="Roboto"/>
        </w:rPr>
        <w:t>as any act intentionally causing physical or mental pain to obtain information or confessions or to punish for a suspected crime. This provision includes instigation, intimidation, or coercion and explicitly prohibits acts of torture based on discriminatory grounds.</w:t>
      </w:r>
    </w:p>
    <w:p w14:paraId="1087525D" w14:textId="77777777" w:rsidR="00FA7A82" w:rsidRPr="00E062F6" w:rsidRDefault="00000000">
      <w:pPr>
        <w:spacing w:line="276" w:lineRule="auto"/>
        <w:jc w:val="both"/>
        <w:rPr>
          <w:rFonts w:ascii="Roboto" w:hAnsi="Roboto"/>
        </w:rPr>
      </w:pPr>
      <w:r w:rsidRPr="00E062F6">
        <w:rPr>
          <w:rFonts w:ascii="Roboto" w:hAnsi="Roboto"/>
        </w:rPr>
        <w:t>However, Jordan’s definition falls short of complying with the Convention. According to the State party, torture requires specific intent, namely, to obtain confessions or information.</w:t>
      </w:r>
      <w:r w:rsidRPr="00E062F6">
        <w:rPr>
          <w:rStyle w:val="FootnoteReference"/>
          <w:rFonts w:ascii="Roboto" w:hAnsi="Roboto"/>
        </w:rPr>
        <w:footnoteReference w:id="6"/>
      </w:r>
      <w:r w:rsidRPr="00E062F6">
        <w:rPr>
          <w:rFonts w:ascii="Roboto" w:hAnsi="Roboto"/>
        </w:rPr>
        <w:t xml:space="preserve"> If this intent is absent, the act may be classified as abuse or ill-treatment, but not torture.</w:t>
      </w:r>
      <w:r w:rsidRPr="00E062F6">
        <w:rPr>
          <w:rStyle w:val="FootnoteReference"/>
          <w:rFonts w:ascii="Roboto" w:hAnsi="Roboto"/>
        </w:rPr>
        <w:footnoteReference w:id="7"/>
      </w:r>
      <w:r w:rsidRPr="00E062F6">
        <w:rPr>
          <w:rFonts w:ascii="Roboto" w:hAnsi="Roboto"/>
        </w:rPr>
        <w:t xml:space="preserve"> This subjective intent requirement contrasts with the Committee’s General Comment No. 2, which states that intent and purpose should be assessed objectively rather than focusing on the perpetrator’s motivations.</w:t>
      </w:r>
      <w:r w:rsidRPr="00E062F6">
        <w:rPr>
          <w:rStyle w:val="FootnoteReference"/>
          <w:rFonts w:ascii="Roboto" w:hAnsi="Roboto"/>
          <w:sz w:val="21"/>
          <w:szCs w:val="21"/>
        </w:rPr>
        <w:footnoteReference w:id="8"/>
      </w:r>
      <w:r w:rsidRPr="00E062F6">
        <w:rPr>
          <w:rFonts w:ascii="Roboto" w:hAnsi="Roboto"/>
          <w:sz w:val="21"/>
          <w:szCs w:val="21"/>
        </w:rPr>
        <w:t xml:space="preserve"> </w:t>
      </w:r>
      <w:r w:rsidRPr="00E062F6">
        <w:rPr>
          <w:rFonts w:ascii="Roboto" w:hAnsi="Roboto"/>
        </w:rPr>
        <w:t>The Committee also emphasizes that acts of torture must not be prosecuted merely as ill-treatment when they meet the elements of torture.</w:t>
      </w:r>
      <w:r w:rsidRPr="00E062F6">
        <w:rPr>
          <w:rStyle w:val="FootnoteReference"/>
          <w:rFonts w:ascii="Roboto" w:hAnsi="Roboto"/>
          <w:sz w:val="21"/>
          <w:szCs w:val="21"/>
        </w:rPr>
        <w:footnoteReference w:id="9"/>
      </w:r>
    </w:p>
    <w:p w14:paraId="70FB56C6" w14:textId="77777777" w:rsidR="00FA7A82" w:rsidRPr="00E062F6" w:rsidRDefault="00000000">
      <w:pPr>
        <w:spacing w:line="276" w:lineRule="auto"/>
        <w:jc w:val="both"/>
        <w:rPr>
          <w:rFonts w:ascii="Roboto" w:hAnsi="Roboto"/>
        </w:rPr>
      </w:pPr>
      <w:r w:rsidRPr="00E062F6">
        <w:rPr>
          <w:rFonts w:ascii="Roboto" w:hAnsi="Roboto"/>
        </w:rPr>
        <w:lastRenderedPageBreak/>
        <w:t>Furthermore, t</w:t>
      </w:r>
      <w:r w:rsidRPr="00E062F6">
        <w:rPr>
          <w:rStyle w:val="SubtleEmphasis"/>
        </w:rPr>
        <w:t>he Committee expressed concern that the punishments foreseen for acts of torture in Jordan’s Penal Code were “not commensurate with the gravity of the acts”.</w:t>
      </w:r>
      <w:r w:rsidRPr="00E062F6">
        <w:rPr>
          <w:rFonts w:ascii="Roboto" w:hAnsi="Roboto"/>
        </w:rPr>
        <w:t xml:space="preserve"> The Committee recommended that acts of torture be considered as a criminal offence, rather than a misdemeanour, and asked to increase the maximum three-year sentence to be increased, </w:t>
      </w:r>
      <w:proofErr w:type="gramStart"/>
      <w:r w:rsidRPr="00E062F6">
        <w:rPr>
          <w:rFonts w:ascii="Roboto" w:hAnsi="Roboto"/>
        </w:rPr>
        <w:t>so as to</w:t>
      </w:r>
      <w:proofErr w:type="gramEnd"/>
      <w:r w:rsidRPr="00E062F6">
        <w:rPr>
          <w:rFonts w:ascii="Roboto" w:hAnsi="Roboto"/>
        </w:rPr>
        <w:t xml:space="preserve"> fully align with article 4 of the Convention.</w:t>
      </w:r>
      <w:r w:rsidRPr="00E062F6">
        <w:rPr>
          <w:rStyle w:val="FootnoteReference"/>
          <w:rFonts w:ascii="Roboto" w:hAnsi="Roboto"/>
        </w:rPr>
        <w:footnoteReference w:id="10"/>
      </w:r>
      <w:r w:rsidRPr="00E062F6">
        <w:rPr>
          <w:rFonts w:ascii="Roboto" w:hAnsi="Roboto"/>
        </w:rPr>
        <w:t xml:space="preserve">  </w:t>
      </w:r>
    </w:p>
    <w:p w14:paraId="385FE09B" w14:textId="07DAE49E" w:rsidR="00FA7A82" w:rsidRPr="00E062F6" w:rsidRDefault="00000000">
      <w:pPr>
        <w:spacing w:line="276" w:lineRule="auto"/>
        <w:jc w:val="both"/>
        <w:rPr>
          <w:rStyle w:val="SubtleEmphasis"/>
        </w:rPr>
      </w:pPr>
      <w:r w:rsidRPr="00E062F6">
        <w:rPr>
          <w:rStyle w:val="SubtleEmphasis"/>
        </w:rPr>
        <w:t>Following the 2018 amendments, article 208 (1) of the Penal Code now provides a sentence of one to three years of imprisonment for “</w:t>
      </w:r>
      <w:r w:rsidR="00A16493">
        <w:rPr>
          <w:rStyle w:val="SubtleEmphasis"/>
          <w:rFonts w:eastAsia="Symbol" w:cs="Symbol"/>
        </w:rPr>
        <w:sym w:font="Symbol" w:char="F05B"/>
      </w:r>
      <w:r w:rsidRPr="00E062F6">
        <w:rPr>
          <w:rStyle w:val="SubtleEmphasis"/>
        </w:rPr>
        <w:t>a</w:t>
      </w:r>
      <w:r w:rsidR="00A16493">
        <w:rPr>
          <w:rStyle w:val="SubtleEmphasis"/>
          <w:rFonts w:eastAsia="Symbol" w:cs="Symbol"/>
        </w:rPr>
        <w:sym w:font="Symbol" w:char="F05D"/>
      </w:r>
      <w:proofErr w:type="spellStart"/>
      <w:r w:rsidRPr="00E062F6">
        <w:rPr>
          <w:rStyle w:val="SubtleEmphasis"/>
        </w:rPr>
        <w:t>nyone</w:t>
      </w:r>
      <w:proofErr w:type="spellEnd"/>
      <w:r w:rsidRPr="00E062F6">
        <w:rPr>
          <w:rStyle w:val="SubtleEmphasis"/>
        </w:rPr>
        <w:t xml:space="preserve"> who subjects a person to any kind of torture in order to obtain a confession or information about a crime”. </w:t>
      </w:r>
    </w:p>
    <w:p w14:paraId="51386BE8" w14:textId="77777777" w:rsidR="00FA7A82" w:rsidRPr="00E062F6" w:rsidRDefault="00000000">
      <w:pPr>
        <w:spacing w:line="276" w:lineRule="auto"/>
        <w:jc w:val="both"/>
        <w:rPr>
          <w:rFonts w:ascii="Roboto" w:hAnsi="Roboto"/>
        </w:rPr>
      </w:pPr>
      <w:r w:rsidRPr="00E062F6">
        <w:rPr>
          <w:rStyle w:val="SubtleEmphasis"/>
        </w:rPr>
        <w:t>Additionally, article 208 (3) of the Penal Code, in conjunction with article 20 (2), imposes a penalty of three years to 20 years of imprisonment if the torture results in serious illness or injury. These changes reflect progress, as the Penal Code previously allowed for a sentence as low as three months for torture.</w:t>
      </w:r>
    </w:p>
    <w:p w14:paraId="7C9075B3" w14:textId="77777777" w:rsidR="00FA7A82" w:rsidRPr="00E062F6" w:rsidRDefault="00000000">
      <w:pPr>
        <w:spacing w:line="276" w:lineRule="auto"/>
        <w:jc w:val="both"/>
        <w:rPr>
          <w:rFonts w:ascii="Roboto" w:hAnsi="Roboto"/>
        </w:rPr>
      </w:pPr>
      <w:r w:rsidRPr="00E062F6">
        <w:rPr>
          <w:rFonts w:ascii="Roboto" w:hAnsi="Roboto"/>
        </w:rPr>
        <w:t>The Human Rights Committee had also noted that Jordan’s definition of torture did not fully ensure that all acts and actors covered by the internationally accepted definition of torture were criminalised.</w:t>
      </w:r>
      <w:r w:rsidRPr="00E062F6">
        <w:rPr>
          <w:rStyle w:val="FootnoteReference"/>
          <w:rFonts w:ascii="Roboto" w:hAnsi="Roboto"/>
        </w:rPr>
        <w:footnoteReference w:id="11"/>
      </w:r>
      <w:r w:rsidRPr="00E062F6">
        <w:rPr>
          <w:rFonts w:ascii="Roboto" w:hAnsi="Roboto"/>
        </w:rPr>
        <w:t xml:space="preserve"> In this regard, pursuant to the 2018 amendments, article 208 (2) of the Penal Code extended the scope of indictment for acts of torture to include public officials or other persons acting in an official capacity who instigate, consent to or acquiesce in such acts. Prior to these amendments, only those who directly ordered or carried out torture were criminally liable.</w:t>
      </w:r>
      <w:r w:rsidRPr="00E062F6">
        <w:rPr>
          <w:rStyle w:val="FootnoteReference"/>
          <w:rFonts w:ascii="Roboto" w:hAnsi="Roboto"/>
        </w:rPr>
        <w:footnoteReference w:id="12"/>
      </w:r>
    </w:p>
    <w:p w14:paraId="74CCC100" w14:textId="77777777" w:rsidR="00FA7A82" w:rsidRPr="00E062F6" w:rsidRDefault="00000000">
      <w:pPr>
        <w:spacing w:line="276" w:lineRule="auto"/>
        <w:jc w:val="both"/>
        <w:rPr>
          <w:rFonts w:ascii="Roboto" w:hAnsi="Roboto"/>
        </w:rPr>
      </w:pPr>
      <w:r w:rsidRPr="00E062F6">
        <w:rPr>
          <w:rStyle w:val="SubtleEmphasis"/>
        </w:rPr>
        <w:t>The Committee has also raised concern that acts of torture could be subject to amnesty as well as to statutes of limitations.</w:t>
      </w:r>
      <w:r w:rsidRPr="00E062F6">
        <w:rPr>
          <w:rStyle w:val="FootnoteReference"/>
          <w:rFonts w:ascii="Roboto" w:hAnsi="Roboto"/>
        </w:rPr>
        <w:footnoteReference w:id="13"/>
      </w:r>
      <w:r w:rsidRPr="00E062F6">
        <w:rPr>
          <w:rStyle w:val="SubtleEmphasis"/>
        </w:rPr>
        <w:t xml:space="preserve"> It recommended that Jordan amend the Penal Code so as to </w:t>
      </w:r>
      <w:r w:rsidRPr="00E062F6">
        <w:rPr>
          <w:rFonts w:ascii="Roboto" w:hAnsi="Roboto"/>
        </w:rPr>
        <w:t xml:space="preserve">explicitly state that acts of torture are not subject to either amnesty </w:t>
      </w:r>
      <w:proofErr w:type="gramStart"/>
      <w:r w:rsidRPr="00E062F6">
        <w:rPr>
          <w:rFonts w:ascii="Roboto" w:hAnsi="Roboto"/>
        </w:rPr>
        <w:t>nor</w:t>
      </w:r>
      <w:proofErr w:type="gramEnd"/>
      <w:r w:rsidRPr="00E062F6">
        <w:rPr>
          <w:rFonts w:ascii="Roboto" w:hAnsi="Roboto"/>
        </w:rPr>
        <w:t xml:space="preserve"> statutes of limitations.</w:t>
      </w:r>
      <w:r w:rsidRPr="00E062F6">
        <w:rPr>
          <w:rStyle w:val="FootnoteReference"/>
          <w:rFonts w:ascii="Roboto" w:hAnsi="Roboto"/>
        </w:rPr>
        <w:footnoteReference w:id="14"/>
      </w:r>
      <w:r w:rsidRPr="00E062F6">
        <w:rPr>
          <w:rFonts w:ascii="Roboto" w:hAnsi="Roboto"/>
        </w:rPr>
        <w:t xml:space="preserve"> However, Jordan has not implemented this recommendation, as the Penal Code still fails to include such safeguards.</w:t>
      </w:r>
    </w:p>
    <w:p w14:paraId="5E50D84B" w14:textId="77777777" w:rsidR="00FA7A82" w:rsidRPr="00E062F6" w:rsidRDefault="00000000">
      <w:pPr>
        <w:spacing w:line="276" w:lineRule="auto"/>
        <w:jc w:val="both"/>
        <w:rPr>
          <w:rFonts w:ascii="Roboto" w:hAnsi="Roboto"/>
        </w:rPr>
      </w:pPr>
      <w:r w:rsidRPr="00E062F6">
        <w:rPr>
          <w:rFonts w:ascii="Roboto" w:hAnsi="Roboto"/>
        </w:rPr>
        <w:t>Moreover, as part of the 2018 amendments, article 208 (4) was introduced to prohibit mitigating circumstances suspended sentences for acts of torture.</w:t>
      </w:r>
      <w:r w:rsidRPr="00E062F6">
        <w:rPr>
          <w:rStyle w:val="FootnoteReference"/>
          <w:rFonts w:ascii="Roboto" w:hAnsi="Roboto"/>
        </w:rPr>
        <w:footnoteReference w:id="15"/>
      </w:r>
      <w:r w:rsidRPr="00E062F6">
        <w:rPr>
          <w:rFonts w:ascii="Roboto" w:hAnsi="Roboto"/>
        </w:rPr>
        <w:t xml:space="preserve"> While this is a positive </w:t>
      </w:r>
      <w:r w:rsidRPr="00E062F6">
        <w:rPr>
          <w:rFonts w:ascii="Roboto" w:hAnsi="Roboto"/>
        </w:rPr>
        <w:lastRenderedPageBreak/>
        <w:t>step, Jordanian law still does not explicitly ensure the absolute and non-</w:t>
      </w:r>
      <w:proofErr w:type="spellStart"/>
      <w:r w:rsidRPr="00E062F6">
        <w:rPr>
          <w:rFonts w:ascii="Roboto" w:hAnsi="Roboto"/>
        </w:rPr>
        <w:t>derogable</w:t>
      </w:r>
      <w:proofErr w:type="spellEnd"/>
      <w:r w:rsidRPr="00E062F6">
        <w:rPr>
          <w:rFonts w:ascii="Roboto" w:hAnsi="Roboto"/>
        </w:rPr>
        <w:t xml:space="preserve"> prohibition of torture. </w:t>
      </w:r>
    </w:p>
    <w:p w14:paraId="6FFD392E" w14:textId="77777777" w:rsidR="00FA7A82" w:rsidRPr="00E062F6" w:rsidRDefault="00000000">
      <w:pPr>
        <w:spacing w:line="276" w:lineRule="auto"/>
        <w:jc w:val="both"/>
        <w:rPr>
          <w:rFonts w:ascii="Roboto" w:hAnsi="Roboto"/>
        </w:rPr>
      </w:pPr>
      <w:r w:rsidRPr="00E062F6">
        <w:rPr>
          <w:rFonts w:ascii="Roboto" w:hAnsi="Roboto"/>
        </w:rPr>
        <w:t>In this regard, the State party raised that article 61 of the Penal Code does not admit any exception to or restriction on such a prohibition, and that it provides subordinates with a legal means to refuse to obey illegal orders.</w:t>
      </w:r>
      <w:r w:rsidRPr="00E062F6">
        <w:rPr>
          <w:rStyle w:val="FootnoteReference"/>
          <w:rFonts w:ascii="Roboto" w:hAnsi="Roboto"/>
        </w:rPr>
        <w:footnoteReference w:id="16"/>
      </w:r>
      <w:r w:rsidRPr="00E062F6">
        <w:rPr>
          <w:rFonts w:ascii="Roboto" w:hAnsi="Roboto"/>
        </w:rPr>
        <w:t xml:space="preserve"> However, the Committee expressed its concern about “the lack of information on whether mechanisms or procedures for protecting subordinates from reprisals exist so as to enable subordinates to refuse to obey illegal orders in practice”.</w:t>
      </w:r>
      <w:r w:rsidRPr="00E062F6">
        <w:rPr>
          <w:rStyle w:val="FootnoteReference"/>
          <w:rFonts w:ascii="Roboto" w:hAnsi="Roboto"/>
        </w:rPr>
        <w:footnoteReference w:id="17"/>
      </w:r>
    </w:p>
    <w:p w14:paraId="0909E2F6" w14:textId="77777777" w:rsidR="00FA7A82" w:rsidRPr="00E062F6" w:rsidRDefault="00000000">
      <w:pPr>
        <w:spacing w:line="276" w:lineRule="auto"/>
        <w:jc w:val="both"/>
        <w:rPr>
          <w:rFonts w:ascii="Roboto" w:hAnsi="Roboto"/>
        </w:rPr>
      </w:pPr>
      <w:r w:rsidRPr="00E062F6">
        <w:rPr>
          <w:rFonts w:ascii="Roboto" w:hAnsi="Roboto"/>
        </w:rPr>
        <w:t>The Committee has urged Jordan to ensure that perpetrators are prosecuted and convicted in accordance with the gravity of their acts, as required by article 4 of the Convention.</w:t>
      </w:r>
      <w:r w:rsidRPr="00E062F6">
        <w:rPr>
          <w:rStyle w:val="FootnoteReference"/>
          <w:rFonts w:ascii="Roboto" w:hAnsi="Roboto"/>
        </w:rPr>
        <w:footnoteReference w:id="18"/>
      </w:r>
      <w:r w:rsidRPr="00E062F6">
        <w:rPr>
          <w:rFonts w:ascii="Roboto" w:hAnsi="Roboto"/>
        </w:rPr>
        <w:t xml:space="preserve"> However, in practice, it has been reported that officials tried for torture and mistreatment are most often convicted of excessive use of force rather than torture.</w:t>
      </w:r>
      <w:r w:rsidRPr="00E062F6">
        <w:rPr>
          <w:rStyle w:val="FootnoteReference"/>
          <w:rFonts w:ascii="Roboto" w:hAnsi="Roboto"/>
        </w:rPr>
        <w:footnoteReference w:id="19"/>
      </w:r>
    </w:p>
    <w:p w14:paraId="7B667C38" w14:textId="77777777" w:rsidR="00FA7A82" w:rsidRPr="00E062F6" w:rsidRDefault="00000000">
      <w:pPr>
        <w:pStyle w:val="Title"/>
        <w:jc w:val="both"/>
      </w:pPr>
      <w:r w:rsidRPr="00E062F6">
        <w:t>Recommendations:</w:t>
      </w:r>
    </w:p>
    <w:p w14:paraId="25B86888" w14:textId="77777777" w:rsidR="00FA7A82" w:rsidRPr="00E062F6" w:rsidRDefault="00000000">
      <w:pPr>
        <w:pStyle w:val="ListParagraph"/>
        <w:numPr>
          <w:ilvl w:val="0"/>
          <w:numId w:val="5"/>
        </w:numPr>
        <w:jc w:val="both"/>
        <w:rPr>
          <w:rFonts w:ascii="Roboto" w:hAnsi="Roboto"/>
          <w:color w:val="543192"/>
        </w:rPr>
      </w:pPr>
      <w:r w:rsidRPr="00E062F6">
        <w:rPr>
          <w:rFonts w:ascii="Roboto" w:hAnsi="Roboto"/>
          <w:color w:val="543192"/>
        </w:rPr>
        <w:t xml:space="preserve">Review the Penal Code in order to ensure that the definition of torture is fully in line with the Convention and international </w:t>
      </w:r>
      <w:proofErr w:type="gramStart"/>
      <w:r w:rsidRPr="00E062F6">
        <w:rPr>
          <w:rFonts w:ascii="Roboto" w:hAnsi="Roboto"/>
          <w:color w:val="543192"/>
        </w:rPr>
        <w:t>standards;</w:t>
      </w:r>
      <w:proofErr w:type="gramEnd"/>
    </w:p>
    <w:p w14:paraId="2E8EEA5F" w14:textId="77777777" w:rsidR="00FA7A82" w:rsidRPr="00E062F6" w:rsidRDefault="00000000">
      <w:pPr>
        <w:pStyle w:val="ListParagraph"/>
        <w:numPr>
          <w:ilvl w:val="0"/>
          <w:numId w:val="5"/>
        </w:numPr>
        <w:jc w:val="both"/>
        <w:rPr>
          <w:rFonts w:ascii="Roboto" w:hAnsi="Roboto"/>
          <w:color w:val="543192"/>
        </w:rPr>
      </w:pPr>
      <w:r w:rsidRPr="00E062F6">
        <w:rPr>
          <w:rFonts w:ascii="Roboto" w:hAnsi="Roboto"/>
          <w:color w:val="543192"/>
        </w:rPr>
        <w:t xml:space="preserve">Amend the Penal Code so as to explicitly state that acts of torture are not subject to either amnesty or statutes of </w:t>
      </w:r>
      <w:proofErr w:type="gramStart"/>
      <w:r w:rsidRPr="00E062F6">
        <w:rPr>
          <w:rFonts w:ascii="Roboto" w:hAnsi="Roboto"/>
          <w:color w:val="543192"/>
        </w:rPr>
        <w:t>limitations;</w:t>
      </w:r>
      <w:proofErr w:type="gramEnd"/>
    </w:p>
    <w:p w14:paraId="3BC2047F" w14:textId="77777777" w:rsidR="00FA7A82" w:rsidRPr="00E062F6" w:rsidRDefault="00000000">
      <w:pPr>
        <w:pStyle w:val="ListParagraph"/>
        <w:numPr>
          <w:ilvl w:val="0"/>
          <w:numId w:val="5"/>
        </w:numPr>
        <w:jc w:val="both"/>
        <w:rPr>
          <w:rFonts w:ascii="Roboto" w:hAnsi="Roboto"/>
          <w:color w:val="543192"/>
        </w:rPr>
      </w:pPr>
      <w:r w:rsidRPr="00E062F6">
        <w:rPr>
          <w:rFonts w:ascii="Roboto" w:hAnsi="Roboto"/>
          <w:color w:val="543192"/>
        </w:rPr>
        <w:t>Ensure that the principle of absolute and non-</w:t>
      </w:r>
      <w:proofErr w:type="spellStart"/>
      <w:r w:rsidRPr="00E062F6">
        <w:rPr>
          <w:rFonts w:ascii="Roboto" w:hAnsi="Roboto"/>
          <w:color w:val="543192"/>
        </w:rPr>
        <w:t>derogable</w:t>
      </w:r>
      <w:proofErr w:type="spellEnd"/>
      <w:r w:rsidRPr="00E062F6">
        <w:rPr>
          <w:rFonts w:ascii="Roboto" w:hAnsi="Roboto"/>
          <w:color w:val="543192"/>
        </w:rPr>
        <w:t xml:space="preserve"> prohibition of torture is explicitly incorporated in domestic </w:t>
      </w:r>
      <w:proofErr w:type="gramStart"/>
      <w:r w:rsidRPr="00E062F6">
        <w:rPr>
          <w:rFonts w:ascii="Roboto" w:hAnsi="Roboto"/>
          <w:color w:val="543192"/>
        </w:rPr>
        <w:t>legislation;</w:t>
      </w:r>
      <w:proofErr w:type="gramEnd"/>
    </w:p>
    <w:p w14:paraId="1D3348A4" w14:textId="77777777" w:rsidR="00FA7A82" w:rsidRPr="00E062F6" w:rsidRDefault="00000000">
      <w:pPr>
        <w:pStyle w:val="ListParagraph"/>
        <w:numPr>
          <w:ilvl w:val="0"/>
          <w:numId w:val="5"/>
        </w:numPr>
        <w:jc w:val="both"/>
        <w:rPr>
          <w:rStyle w:val="SubtleEmphasis"/>
          <w:color w:val="543192"/>
        </w:rPr>
      </w:pPr>
      <w:r w:rsidRPr="00E062F6">
        <w:rPr>
          <w:rFonts w:ascii="Roboto" w:hAnsi="Roboto"/>
          <w:color w:val="543192"/>
        </w:rPr>
        <w:t>Ensure that officials responsible for acts of torture are prosecuted and convicted in a manner that is commensurate with the gravity of their acts.</w:t>
      </w:r>
    </w:p>
    <w:p w14:paraId="53768083" w14:textId="77777777" w:rsidR="00FA7A82" w:rsidRPr="00E062F6" w:rsidRDefault="00000000">
      <w:pPr>
        <w:pStyle w:val="Heading1"/>
        <w:spacing w:line="276" w:lineRule="auto"/>
        <w:jc w:val="both"/>
      </w:pPr>
      <w:bookmarkStart w:id="2" w:name="_Toc178610924"/>
      <w:r w:rsidRPr="00E062F6">
        <w:lastRenderedPageBreak/>
        <w:t>Effective measures to prevent torture (article 2)</w:t>
      </w:r>
      <w:bookmarkEnd w:id="2"/>
    </w:p>
    <w:p w14:paraId="0A25F22B" w14:textId="77777777" w:rsidR="00FA7A82" w:rsidRPr="00E062F6" w:rsidRDefault="00000000">
      <w:pPr>
        <w:pStyle w:val="Heading2"/>
        <w:jc w:val="both"/>
        <w:rPr>
          <w:rStyle w:val="SubtleEmphasis"/>
        </w:rPr>
      </w:pPr>
      <w:bookmarkStart w:id="3" w:name="_Toc178610925"/>
      <w:r w:rsidRPr="00E062F6">
        <w:t>Lack of fundamental legal safeguards from the outset of deprivation of liberty</w:t>
      </w:r>
      <w:bookmarkEnd w:id="3"/>
    </w:p>
    <w:p w14:paraId="5530FEA3" w14:textId="77777777" w:rsidR="00FA7A82" w:rsidRPr="00E062F6" w:rsidRDefault="00000000">
      <w:pPr>
        <w:spacing w:line="276" w:lineRule="auto"/>
        <w:jc w:val="both"/>
        <w:rPr>
          <w:rFonts w:ascii="Roboto" w:hAnsi="Roboto"/>
        </w:rPr>
      </w:pPr>
      <w:r w:rsidRPr="00E062F6">
        <w:rPr>
          <w:rStyle w:val="SubtleEmphasis"/>
        </w:rPr>
        <w:t xml:space="preserve">In its list of issues, the Committee asked Jordan to </w:t>
      </w:r>
      <w:r w:rsidRPr="00E062F6">
        <w:rPr>
          <w:rFonts w:ascii="Roboto" w:hAnsi="Roboto"/>
        </w:rPr>
        <w:t>report on measures to guarantee that all detained persons, including those held in facilities of the General Intelligence Directorate (GID) and the Public Security Directorate (PSD), are afforded, in law and in practice, all fundamental legal safeguards from the outset of their deprivation of liberty, including the right to promptly access a lawyer.</w:t>
      </w:r>
      <w:r w:rsidRPr="00E062F6">
        <w:rPr>
          <w:rStyle w:val="FootnoteReference"/>
          <w:rFonts w:ascii="Roboto" w:hAnsi="Roboto"/>
        </w:rPr>
        <w:footnoteReference w:id="20"/>
      </w:r>
    </w:p>
    <w:p w14:paraId="120CD928" w14:textId="77777777" w:rsidR="00FA7A82" w:rsidRPr="00E062F6" w:rsidRDefault="00000000">
      <w:pPr>
        <w:spacing w:line="276" w:lineRule="auto"/>
        <w:jc w:val="both"/>
        <w:rPr>
          <w:rFonts w:ascii="Roboto" w:hAnsi="Roboto"/>
        </w:rPr>
      </w:pPr>
      <w:r w:rsidRPr="00E062F6">
        <w:rPr>
          <w:rFonts w:ascii="Roboto" w:hAnsi="Roboto"/>
        </w:rPr>
        <w:t>The State party claimed that “there is nothing in legislation or practice to prevent a person from appointing a lawyer from the moment of arrest”, and that “the practice followed is to allow the person, at his request, to communicate with anyone, including a lawyer, with a view to appointing counsel”.</w:t>
      </w:r>
      <w:r w:rsidRPr="00E062F6">
        <w:rPr>
          <w:rStyle w:val="FootnoteReference"/>
          <w:rFonts w:ascii="Roboto" w:hAnsi="Roboto"/>
        </w:rPr>
        <w:footnoteReference w:id="21"/>
      </w:r>
    </w:p>
    <w:p w14:paraId="2525FB93" w14:textId="77777777" w:rsidR="00D06DFF" w:rsidRPr="00E062F6" w:rsidRDefault="00000000" w:rsidP="00F16F84">
      <w:pPr>
        <w:spacing w:line="276" w:lineRule="auto"/>
        <w:jc w:val="both"/>
        <w:rPr>
          <w:rFonts w:ascii="Roboto" w:hAnsi="Roboto"/>
        </w:rPr>
      </w:pPr>
      <w:r w:rsidRPr="00E062F6">
        <w:rPr>
          <w:rFonts w:ascii="Roboto" w:hAnsi="Roboto"/>
        </w:rPr>
        <w:t>However, Jordan’s Code of Criminal Procedure does not guarantee the right of suspects to contact their lawyer from the moment of their arrest. Instead, this right is only granted once they are brought before a prosecutor.</w:t>
      </w:r>
      <w:r w:rsidRPr="00E062F6">
        <w:rPr>
          <w:rStyle w:val="FootnoteReference"/>
          <w:rFonts w:ascii="Roboto" w:hAnsi="Roboto"/>
        </w:rPr>
        <w:footnoteReference w:id="22"/>
      </w:r>
      <w:r w:rsidRPr="00E062F6">
        <w:rPr>
          <w:rFonts w:ascii="Roboto" w:hAnsi="Roboto"/>
        </w:rPr>
        <w:t xml:space="preserve"> </w:t>
      </w:r>
    </w:p>
    <w:p w14:paraId="3607C8EE" w14:textId="74701E60" w:rsidR="00F16F84" w:rsidRPr="00E062F6" w:rsidRDefault="004025BC" w:rsidP="00F16F84">
      <w:pPr>
        <w:spacing w:line="276" w:lineRule="auto"/>
        <w:jc w:val="both"/>
        <w:rPr>
          <w:rFonts w:ascii="Roboto" w:hAnsi="Roboto"/>
        </w:rPr>
      </w:pPr>
      <w:r w:rsidRPr="00E062F6">
        <w:rPr>
          <w:rFonts w:ascii="Roboto" w:hAnsi="Roboto"/>
        </w:rPr>
        <w:t>P</w:t>
      </w:r>
      <w:r w:rsidRPr="009679A4">
        <w:rPr>
          <w:rFonts w:ascii="Roboto" w:hAnsi="Roboto"/>
        </w:rPr>
        <w:t>olice custody is normally limited to twenty-four hours, after which the judicial police must present the detainee to the prosecutor</w:t>
      </w:r>
      <w:r w:rsidRPr="00E062F6">
        <w:rPr>
          <w:rFonts w:ascii="Roboto" w:hAnsi="Roboto"/>
        </w:rPr>
        <w:t>.</w:t>
      </w:r>
      <w:r w:rsidR="006F5AA4" w:rsidRPr="00E062F6">
        <w:rPr>
          <w:rStyle w:val="FootnoteReference"/>
          <w:rFonts w:ascii="Roboto" w:hAnsi="Roboto"/>
        </w:rPr>
        <w:footnoteReference w:id="23"/>
      </w:r>
      <w:r w:rsidR="00F16F84" w:rsidRPr="00E062F6">
        <w:rPr>
          <w:rFonts w:ascii="Roboto" w:hAnsi="Roboto"/>
        </w:rPr>
        <w:t xml:space="preserve"> </w:t>
      </w:r>
      <w:r w:rsidR="00F16F84" w:rsidRPr="00E062F6">
        <w:rPr>
          <w:rFonts w:ascii="Roboto" w:hAnsi="Roboto"/>
        </w:rPr>
        <w:t>When the arrested person is suspected of having committed a crime under the jurisdiction of the State Security Court (mainly cases relating to state security and drug trafficking), the judicial police - usually GID officers - may keep him or her in custody for seven days before presenting him or her to the court prosecutor.</w:t>
      </w:r>
      <w:r w:rsidR="00E87FE3" w:rsidRPr="00E062F6">
        <w:rPr>
          <w:rStyle w:val="FootnoteReference"/>
          <w:rFonts w:ascii="Roboto" w:hAnsi="Roboto"/>
        </w:rPr>
        <w:footnoteReference w:id="24"/>
      </w:r>
      <w:r w:rsidR="00F16F84" w:rsidRPr="00E062F6">
        <w:rPr>
          <w:rFonts w:ascii="Roboto" w:hAnsi="Roboto"/>
        </w:rPr>
        <w:t xml:space="preserve"> </w:t>
      </w:r>
    </w:p>
    <w:p w14:paraId="47979D80" w14:textId="0EDF6947" w:rsidR="00FA7A82" w:rsidRPr="00E062F6" w:rsidRDefault="00000000">
      <w:pPr>
        <w:spacing w:line="276" w:lineRule="auto"/>
        <w:jc w:val="both"/>
        <w:rPr>
          <w:rFonts w:ascii="Roboto" w:hAnsi="Roboto"/>
        </w:rPr>
      </w:pPr>
      <w:r w:rsidRPr="00E062F6">
        <w:rPr>
          <w:rFonts w:ascii="Roboto" w:hAnsi="Roboto"/>
        </w:rPr>
        <w:t>Although a detainee has the right not to reply to the charges unless in the presence of a lawyer,</w:t>
      </w:r>
      <w:r w:rsidRPr="00E062F6">
        <w:rPr>
          <w:rStyle w:val="FootnoteReference"/>
          <w:rFonts w:ascii="Roboto" w:hAnsi="Roboto"/>
        </w:rPr>
        <w:footnoteReference w:id="25"/>
      </w:r>
      <w:r w:rsidRPr="00E062F6">
        <w:rPr>
          <w:rFonts w:ascii="Roboto" w:hAnsi="Roboto"/>
        </w:rPr>
        <w:t xml:space="preserve"> the prosecutor can still interrogate suspects “in case of urgency” and until the completion of the investigation.</w:t>
      </w:r>
      <w:r w:rsidRPr="00E062F6">
        <w:rPr>
          <w:rStyle w:val="FootnoteReference"/>
          <w:rFonts w:ascii="Roboto" w:hAnsi="Roboto"/>
        </w:rPr>
        <w:footnoteReference w:id="26"/>
      </w:r>
      <w:r w:rsidRPr="00E062F6">
        <w:rPr>
          <w:rFonts w:ascii="Roboto" w:hAnsi="Roboto"/>
        </w:rPr>
        <w:t xml:space="preserve"> </w:t>
      </w:r>
    </w:p>
    <w:p w14:paraId="07D9B460" w14:textId="13AD568B" w:rsidR="009679A4" w:rsidRPr="00E062F6" w:rsidRDefault="009679A4" w:rsidP="009679A4">
      <w:pPr>
        <w:spacing w:line="276" w:lineRule="auto"/>
        <w:jc w:val="both"/>
        <w:rPr>
          <w:rFonts w:ascii="Roboto" w:hAnsi="Roboto"/>
        </w:rPr>
      </w:pPr>
      <w:r w:rsidRPr="00E062F6">
        <w:rPr>
          <w:rFonts w:ascii="Roboto" w:hAnsi="Roboto"/>
        </w:rPr>
        <w:lastRenderedPageBreak/>
        <w:t>When the arrested person is suspected of having committed a crime under the jurisdiction of the State Security Court (mainly cases relating to state security and drug trafficking), the judicial police - usually GID officers - may keep him or her in custody for seven days before presenting him or her to the court prosecutor. Article 7(b)(1) of the State Security Court Law.</w:t>
      </w:r>
    </w:p>
    <w:p w14:paraId="1D117553" w14:textId="77777777" w:rsidR="00FA7A82" w:rsidRPr="00E062F6" w:rsidRDefault="00000000">
      <w:pPr>
        <w:spacing w:line="276" w:lineRule="auto"/>
        <w:jc w:val="both"/>
        <w:rPr>
          <w:rFonts w:ascii="Roboto" w:hAnsi="Roboto"/>
        </w:rPr>
      </w:pPr>
      <w:r w:rsidRPr="00E062F6">
        <w:rPr>
          <w:rFonts w:ascii="Roboto" w:hAnsi="Roboto"/>
        </w:rPr>
        <w:t xml:space="preserve">A notable example illustrating this issue is the case of activist Fatima </w:t>
      </w:r>
      <w:proofErr w:type="spellStart"/>
      <w:r w:rsidRPr="00E062F6">
        <w:rPr>
          <w:rFonts w:ascii="Roboto" w:hAnsi="Roboto"/>
          <w:bCs/>
        </w:rPr>
        <w:t>Shubeilat</w:t>
      </w:r>
      <w:proofErr w:type="spellEnd"/>
      <w:r w:rsidRPr="00E062F6">
        <w:rPr>
          <w:rFonts w:ascii="Roboto" w:hAnsi="Roboto"/>
          <w:bCs/>
        </w:rPr>
        <w:t>, who</w:t>
      </w:r>
      <w:r w:rsidRPr="00E062F6">
        <w:rPr>
          <w:rFonts w:ascii="Roboto" w:hAnsi="Roboto"/>
        </w:rPr>
        <w:t xml:space="preserve"> was arrested on 17 April 2024 at a shopping mall in Amman after a video surfaced on social media showing her participation in a pro-Gaza sit-in.</w:t>
      </w:r>
      <w:r w:rsidRPr="00E062F6">
        <w:rPr>
          <w:rFonts w:ascii="Roboto" w:hAnsi="Roboto"/>
          <w:vertAlign w:val="superscript"/>
        </w:rPr>
        <w:footnoteReference w:id="27"/>
      </w:r>
      <w:r w:rsidRPr="00E062F6">
        <w:rPr>
          <w:rFonts w:ascii="Roboto" w:hAnsi="Roboto"/>
        </w:rPr>
        <w:t xml:space="preserve"> She was taken to the Central Amman Police Directorate of the PSD and transferred to the Cybercrimes unit of the PSD, where she was questioned without the presence of a lawyer. Despite several requests for bail, which were denied three times, she remained detained for 13 days before her release on 30 April 2024. </w:t>
      </w:r>
      <w:proofErr w:type="spellStart"/>
      <w:r w:rsidRPr="00E062F6">
        <w:rPr>
          <w:rFonts w:ascii="Roboto" w:hAnsi="Roboto"/>
        </w:rPr>
        <w:t>Shubeilat</w:t>
      </w:r>
      <w:proofErr w:type="spellEnd"/>
      <w:r w:rsidRPr="00E062F6">
        <w:rPr>
          <w:rFonts w:ascii="Roboto" w:hAnsi="Roboto"/>
        </w:rPr>
        <w:t xml:space="preserve"> currently remains on trial, facing charges under the Penal Code and Cybercrime Law, notably for “unlawful gathering”.</w:t>
      </w:r>
      <w:r w:rsidRPr="00E062F6">
        <w:rPr>
          <w:rStyle w:val="FootnoteReference"/>
          <w:rFonts w:ascii="Roboto" w:hAnsi="Roboto"/>
          <w:bCs/>
        </w:rPr>
        <w:footnoteReference w:id="28"/>
      </w:r>
    </w:p>
    <w:p w14:paraId="247D424A" w14:textId="77777777" w:rsidR="00FA7A82" w:rsidRPr="00E062F6" w:rsidRDefault="00000000">
      <w:pPr>
        <w:pStyle w:val="Heading2"/>
        <w:jc w:val="both"/>
      </w:pPr>
      <w:bookmarkStart w:id="4" w:name="_Toc178610926"/>
      <w:r w:rsidRPr="00E062F6">
        <w:t>Administrative detention</w:t>
      </w:r>
      <w:bookmarkEnd w:id="4"/>
    </w:p>
    <w:p w14:paraId="7464C3C2" w14:textId="77777777" w:rsidR="00FA7A82" w:rsidRPr="00E062F6" w:rsidRDefault="00000000">
      <w:pPr>
        <w:spacing w:line="276" w:lineRule="auto"/>
        <w:jc w:val="both"/>
        <w:rPr>
          <w:rFonts w:ascii="Roboto" w:hAnsi="Roboto"/>
        </w:rPr>
      </w:pPr>
      <w:r w:rsidRPr="00E062F6">
        <w:rPr>
          <w:rFonts w:ascii="Roboto" w:hAnsi="Roboto"/>
        </w:rPr>
        <w:t>In its list of issues, the Committee requested that Jordan provide information on steps taken to amend or repeal the 1954 Crimes Prevention Act, with a view to abolishing the practice of administrative detention.</w:t>
      </w:r>
      <w:r w:rsidRPr="00E062F6">
        <w:rPr>
          <w:rStyle w:val="FootnoteReference"/>
          <w:rFonts w:ascii="Roboto" w:hAnsi="Roboto"/>
        </w:rPr>
        <w:footnoteReference w:id="29"/>
      </w:r>
      <w:r w:rsidRPr="00E062F6">
        <w:rPr>
          <w:rFonts w:ascii="Roboto" w:hAnsi="Roboto"/>
        </w:rPr>
        <w:t xml:space="preserve"> The Committee had previously expressed particular concern over the increasing number of persons held in administrative detention and for long periods, during which detainees are deprived of procedural guarantees.</w:t>
      </w:r>
      <w:r w:rsidRPr="00E062F6">
        <w:rPr>
          <w:rStyle w:val="FootnoteReference"/>
          <w:rFonts w:ascii="Roboto" w:hAnsi="Roboto"/>
        </w:rPr>
        <w:footnoteReference w:id="30"/>
      </w:r>
    </w:p>
    <w:p w14:paraId="5612E6DB" w14:textId="77777777" w:rsidR="00FA7A82" w:rsidRPr="00E062F6" w:rsidRDefault="00000000">
      <w:pPr>
        <w:spacing w:line="276" w:lineRule="auto"/>
        <w:jc w:val="both"/>
        <w:rPr>
          <w:rFonts w:ascii="Roboto" w:hAnsi="Roboto"/>
        </w:rPr>
      </w:pPr>
      <w:r w:rsidRPr="00E062F6">
        <w:rPr>
          <w:rFonts w:ascii="Roboto" w:hAnsi="Roboto"/>
        </w:rPr>
        <w:t>The Committee also asked the Jordanian authorities to clarify any efforts made to ensure routine judicial review of administrative detentions and to include an explicit provision that entitles victims of arbitrary or unlawful detention to redress.</w:t>
      </w:r>
      <w:r w:rsidRPr="00E062F6">
        <w:rPr>
          <w:rStyle w:val="FootnoteReference"/>
          <w:rFonts w:ascii="Roboto" w:hAnsi="Roboto"/>
        </w:rPr>
        <w:footnoteReference w:id="31"/>
      </w:r>
    </w:p>
    <w:p w14:paraId="104F4592" w14:textId="35979D06" w:rsidR="00FA7A82" w:rsidRPr="00E062F6" w:rsidRDefault="00000000">
      <w:pPr>
        <w:spacing w:line="276" w:lineRule="auto"/>
        <w:jc w:val="both"/>
        <w:rPr>
          <w:rFonts w:ascii="Roboto" w:hAnsi="Roboto"/>
        </w:rPr>
      </w:pPr>
      <w:r w:rsidRPr="00E062F6">
        <w:rPr>
          <w:rFonts w:ascii="Roboto" w:hAnsi="Roboto"/>
        </w:rPr>
        <w:t xml:space="preserve">The </w:t>
      </w:r>
      <w:r w:rsidRPr="00E062F6">
        <w:rPr>
          <w:rFonts w:ascii="Roboto" w:hAnsi="Roboto"/>
        </w:rPr>
        <w:t>Crimes Prevention Act allows for detention without charge and raises issues about the separation of powers between the executive and judicial branches.</w:t>
      </w:r>
      <w:r w:rsidRPr="00E062F6">
        <w:rPr>
          <w:rStyle w:val="FootnoteReference"/>
          <w:rFonts w:ascii="Roboto" w:hAnsi="Roboto"/>
        </w:rPr>
        <w:footnoteReference w:id="32"/>
      </w:r>
      <w:r w:rsidRPr="00E062F6">
        <w:rPr>
          <w:rFonts w:ascii="Roboto" w:hAnsi="Roboto"/>
        </w:rPr>
        <w:t xml:space="preserve"> Under this law, local governors (also known as</w:t>
      </w:r>
      <w:r w:rsidR="00310F3E" w:rsidRPr="00E062F6">
        <w:rPr>
          <w:rFonts w:ascii="Roboto" w:hAnsi="Roboto"/>
        </w:rPr>
        <w:t xml:space="preserve"> </w:t>
      </w:r>
      <w:r w:rsidRPr="00E062F6">
        <w:rPr>
          <w:rFonts w:ascii="Roboto" w:hAnsi="Roboto"/>
        </w:rPr>
        <w:t xml:space="preserve">district administrators) are granted discretion to detain anyone “about to commit a crime or assist in its commission,” those who “habitually” steal, shelter </w:t>
      </w:r>
      <w:r w:rsidRPr="00E062F6">
        <w:rPr>
          <w:rFonts w:ascii="Roboto" w:hAnsi="Roboto"/>
        </w:rPr>
        <w:lastRenderedPageBreak/>
        <w:t>thieves, or fence stolen goods, and anyone who, if remaining at liberty, would constitute a “danger to the people” for up to one year.</w:t>
      </w:r>
      <w:r w:rsidRPr="00E062F6">
        <w:rPr>
          <w:rStyle w:val="FootnoteReference"/>
          <w:rFonts w:ascii="Roboto" w:hAnsi="Roboto"/>
        </w:rPr>
        <w:footnoteReference w:id="33"/>
      </w:r>
      <w:r w:rsidRPr="00E062F6">
        <w:rPr>
          <w:rFonts w:ascii="Roboto" w:hAnsi="Roboto"/>
        </w:rPr>
        <w:t xml:space="preserve"> </w:t>
      </w:r>
    </w:p>
    <w:p w14:paraId="61606085" w14:textId="77777777" w:rsidR="00FA7A82" w:rsidRPr="00E062F6" w:rsidRDefault="00000000">
      <w:pPr>
        <w:spacing w:line="276" w:lineRule="auto"/>
        <w:jc w:val="both"/>
        <w:rPr>
          <w:rFonts w:ascii="Roboto" w:hAnsi="Roboto"/>
        </w:rPr>
      </w:pPr>
      <w:r w:rsidRPr="00E062F6">
        <w:rPr>
          <w:rFonts w:ascii="Roboto" w:hAnsi="Roboto"/>
        </w:rPr>
        <w:t>This process circumvents the safeguards of a fair trial usually provided in criminal proceedings under the Code of Criminal Procedure,</w:t>
      </w:r>
      <w:r w:rsidRPr="00E062F6">
        <w:rPr>
          <w:rStyle w:val="FootnoteReference"/>
          <w:rFonts w:ascii="Roboto" w:hAnsi="Roboto"/>
          <w:bCs/>
        </w:rPr>
        <w:footnoteReference w:id="34"/>
      </w:r>
      <w:r w:rsidRPr="00E062F6">
        <w:rPr>
          <w:rFonts w:ascii="Roboto" w:hAnsi="Roboto"/>
        </w:rPr>
        <w:t xml:space="preserve"> and the law does not provide an effective means to challenge detention before a judicial authority.</w:t>
      </w:r>
      <w:r w:rsidRPr="00E062F6">
        <w:rPr>
          <w:rStyle w:val="FootnoteReference"/>
          <w:rFonts w:ascii="Roboto" w:hAnsi="Roboto"/>
        </w:rPr>
        <w:footnoteReference w:id="35"/>
      </w:r>
      <w:r w:rsidRPr="00E062F6">
        <w:rPr>
          <w:rFonts w:ascii="Roboto" w:hAnsi="Roboto"/>
        </w:rPr>
        <w:t xml:space="preserve"> </w:t>
      </w:r>
    </w:p>
    <w:p w14:paraId="7CA84E3E" w14:textId="38B2FA9F" w:rsidR="00FA7A82" w:rsidRPr="00E062F6" w:rsidRDefault="00000000" w:rsidP="00D6259D">
      <w:pPr>
        <w:spacing w:line="276" w:lineRule="auto"/>
        <w:jc w:val="both"/>
        <w:rPr>
          <w:rFonts w:ascii="Roboto" w:hAnsi="Roboto"/>
        </w:rPr>
      </w:pPr>
      <w:r w:rsidRPr="00E062F6">
        <w:rPr>
          <w:rFonts w:ascii="Roboto" w:hAnsi="Roboto"/>
        </w:rPr>
        <w:t>According to the Human Rights Committee’s 2017 Concluding Observations, “while an appeal is possible,</w:t>
      </w:r>
      <w:r w:rsidR="00A553AE" w:rsidRPr="00E062F6">
        <w:rPr>
          <w:rStyle w:val="FootnoteReference"/>
          <w:rFonts w:ascii="Roboto" w:hAnsi="Roboto"/>
        </w:rPr>
        <w:footnoteReference w:id="36"/>
      </w:r>
      <w:r w:rsidRPr="00E062F6">
        <w:rPr>
          <w:rFonts w:ascii="Roboto" w:hAnsi="Roboto"/>
        </w:rPr>
        <w:t xml:space="preserve"> lawyers with special qualifications are required to bring such cases and their services are expensive, and […] such an appeal is a remedy with little prospect of success and is not often used in practice.”</w:t>
      </w:r>
      <w:r w:rsidRPr="00E062F6">
        <w:rPr>
          <w:rStyle w:val="FootnoteReference"/>
          <w:rFonts w:ascii="Roboto" w:hAnsi="Roboto"/>
        </w:rPr>
        <w:footnoteReference w:id="37"/>
      </w:r>
    </w:p>
    <w:p w14:paraId="4E59757E" w14:textId="77777777" w:rsidR="00FA7A82" w:rsidRPr="00E062F6" w:rsidRDefault="00000000">
      <w:pPr>
        <w:spacing w:line="276" w:lineRule="auto"/>
        <w:jc w:val="both"/>
        <w:rPr>
          <w:rFonts w:ascii="Roboto" w:hAnsi="Roboto"/>
        </w:rPr>
      </w:pPr>
      <w:r w:rsidRPr="00E062F6">
        <w:rPr>
          <w:rFonts w:ascii="Roboto" w:hAnsi="Roboto"/>
        </w:rPr>
        <w:t>Even more concerning, administrative detainees also cannot rely on routine amnesties or case reviews at the governorate or national level.</w:t>
      </w:r>
      <w:r w:rsidRPr="00E062F6">
        <w:rPr>
          <w:rStyle w:val="FootnoteReference"/>
          <w:rFonts w:ascii="Roboto" w:hAnsi="Roboto"/>
        </w:rPr>
        <w:footnoteReference w:id="38"/>
      </w:r>
    </w:p>
    <w:p w14:paraId="083E8B5D" w14:textId="77777777" w:rsidR="00FA7A82" w:rsidRPr="00E062F6" w:rsidRDefault="00000000">
      <w:pPr>
        <w:spacing w:line="276" w:lineRule="auto"/>
        <w:jc w:val="both"/>
        <w:rPr>
          <w:rFonts w:ascii="Roboto" w:hAnsi="Roboto"/>
        </w:rPr>
      </w:pPr>
      <w:r w:rsidRPr="00E062F6">
        <w:rPr>
          <w:rFonts w:ascii="Roboto" w:hAnsi="Roboto"/>
        </w:rPr>
        <w:t>In practice, administrative detention is often employed to repress political dissidents, activists, journalists, teachers and others who participate in anti-government protests.</w:t>
      </w:r>
      <w:r w:rsidRPr="00E062F6">
        <w:rPr>
          <w:rStyle w:val="FootnoteReference"/>
          <w:rFonts w:ascii="Roboto" w:hAnsi="Roboto"/>
        </w:rPr>
        <w:footnoteReference w:id="39"/>
      </w:r>
      <w:r w:rsidRPr="00E062F6">
        <w:rPr>
          <w:rFonts w:ascii="Roboto" w:hAnsi="Roboto"/>
        </w:rPr>
        <w:t xml:space="preserve"> For instance, in February 2022, Jordanian authorities arrested 11 political activists under this law.</w:t>
      </w:r>
      <w:r w:rsidRPr="00E062F6">
        <w:rPr>
          <w:rStyle w:val="FootnoteReference"/>
          <w:rFonts w:ascii="Roboto" w:hAnsi="Roboto"/>
        </w:rPr>
        <w:footnoteReference w:id="40"/>
      </w:r>
      <w:r w:rsidRPr="00E062F6">
        <w:rPr>
          <w:rFonts w:ascii="Roboto" w:hAnsi="Roboto"/>
        </w:rPr>
        <w:t xml:space="preserve"> In March 2023, the law was used to arrest at least 150 activists, journalists, and teachers, in an apparent effort to suppress protests.</w:t>
      </w:r>
      <w:r w:rsidRPr="00E062F6">
        <w:rPr>
          <w:rStyle w:val="FootnoteReference"/>
          <w:rFonts w:ascii="Roboto" w:hAnsi="Roboto"/>
        </w:rPr>
        <w:footnoteReference w:id="41"/>
      </w:r>
    </w:p>
    <w:p w14:paraId="36519804" w14:textId="77777777" w:rsidR="00FA7A82" w:rsidRPr="00E062F6" w:rsidRDefault="00000000">
      <w:pPr>
        <w:spacing w:line="276" w:lineRule="auto"/>
        <w:jc w:val="both"/>
        <w:rPr>
          <w:rFonts w:ascii="Roboto" w:hAnsi="Roboto"/>
        </w:rPr>
      </w:pPr>
      <w:r w:rsidRPr="00E062F6">
        <w:rPr>
          <w:rFonts w:ascii="Roboto" w:hAnsi="Roboto"/>
        </w:rPr>
        <w:t>In 2023, the Ministry of Interior reported that approximately 37,000 persons served in administrative detention without charge or trial during the year.</w:t>
      </w:r>
      <w:r w:rsidRPr="00E062F6">
        <w:rPr>
          <w:rStyle w:val="FootnoteReference"/>
          <w:rFonts w:ascii="Roboto" w:hAnsi="Roboto"/>
        </w:rPr>
        <w:footnoteReference w:id="42"/>
      </w:r>
    </w:p>
    <w:p w14:paraId="37EAFE37" w14:textId="77777777" w:rsidR="00FA7A82" w:rsidRPr="00E062F6" w:rsidRDefault="00000000">
      <w:pPr>
        <w:spacing w:line="276" w:lineRule="auto"/>
        <w:jc w:val="both"/>
        <w:rPr>
          <w:rFonts w:ascii="Roboto" w:hAnsi="Roboto"/>
        </w:rPr>
      </w:pPr>
      <w:r w:rsidRPr="00E062F6">
        <w:rPr>
          <w:rFonts w:ascii="Roboto" w:hAnsi="Roboto"/>
        </w:rPr>
        <w:lastRenderedPageBreak/>
        <w:t>In response to mass protests and online advocacy in support of Palestine since the beginning of Israel’s offensive in Gaza in October 2023, at least 21 individuals were detained administratively on orders of the Governor of Amman, even though the public prosecutor permitted their release.</w:t>
      </w:r>
      <w:r w:rsidRPr="00E062F6">
        <w:rPr>
          <w:rFonts w:ascii="Roboto" w:hAnsi="Roboto"/>
          <w:vertAlign w:val="superscript"/>
        </w:rPr>
        <w:footnoteReference w:id="43"/>
      </w:r>
      <w:r w:rsidRPr="00E062F6">
        <w:rPr>
          <w:rFonts w:ascii="Roboto" w:hAnsi="Roboto"/>
        </w:rPr>
        <w:t xml:space="preserve"> For example, in December 2023, activist </w:t>
      </w:r>
      <w:proofErr w:type="spellStart"/>
      <w:r w:rsidRPr="00E062F6">
        <w:rPr>
          <w:rFonts w:ascii="Roboto" w:hAnsi="Roboto"/>
        </w:rPr>
        <w:t>Majd</w:t>
      </w:r>
      <w:proofErr w:type="spellEnd"/>
      <w:r w:rsidRPr="00E062F6">
        <w:rPr>
          <w:rFonts w:ascii="Roboto" w:hAnsi="Roboto"/>
        </w:rPr>
        <w:t xml:space="preserve"> al-</w:t>
      </w:r>
      <w:proofErr w:type="spellStart"/>
      <w:r w:rsidRPr="00E062F6">
        <w:rPr>
          <w:rFonts w:ascii="Roboto" w:hAnsi="Roboto"/>
        </w:rPr>
        <w:t>Farraj</w:t>
      </w:r>
      <w:proofErr w:type="spellEnd"/>
      <w:r w:rsidRPr="00E062F6">
        <w:rPr>
          <w:rFonts w:ascii="Roboto" w:hAnsi="Roboto"/>
        </w:rPr>
        <w:t xml:space="preserve"> was summoned for interrogation over pro-Palestine social media posts and, though acquitted by a criminal court, was re-arrested in March 2024 during a protest and detained administratively for 40 days.</w:t>
      </w:r>
      <w:r w:rsidRPr="00E062F6">
        <w:rPr>
          <w:rStyle w:val="FootnoteReference"/>
          <w:rFonts w:ascii="Roboto" w:hAnsi="Roboto"/>
          <w:bCs/>
        </w:rPr>
        <w:footnoteReference w:id="44"/>
      </w:r>
    </w:p>
    <w:p w14:paraId="7892536F" w14:textId="77777777" w:rsidR="00FA7A82" w:rsidRPr="00E062F6" w:rsidRDefault="00000000">
      <w:pPr>
        <w:spacing w:line="276" w:lineRule="auto"/>
        <w:jc w:val="both"/>
        <w:rPr>
          <w:rFonts w:ascii="Roboto" w:hAnsi="Roboto"/>
        </w:rPr>
      </w:pPr>
      <w:r w:rsidRPr="00E062F6">
        <w:rPr>
          <w:rFonts w:ascii="Roboto" w:hAnsi="Roboto"/>
        </w:rPr>
        <w:t xml:space="preserve">Similarly, </w:t>
      </w:r>
      <w:r w:rsidRPr="00E062F6">
        <w:rPr>
          <w:rFonts w:ascii="Roboto" w:hAnsi="Roboto"/>
        </w:rPr>
        <w:t>on 24 April 2024, activist Samer al-</w:t>
      </w:r>
      <w:proofErr w:type="spellStart"/>
      <w:r w:rsidRPr="00E062F6">
        <w:rPr>
          <w:rFonts w:ascii="Roboto" w:hAnsi="Roboto"/>
        </w:rPr>
        <w:t>Qassem</w:t>
      </w:r>
      <w:proofErr w:type="spellEnd"/>
      <w:r w:rsidRPr="00E062F6">
        <w:rPr>
          <w:rFonts w:ascii="Roboto" w:hAnsi="Roboto"/>
        </w:rPr>
        <w:t xml:space="preserve"> was arrested by General Security officers over a TikTok video concerning Palestinian refugees. Despite being released on bail on 14 May 2024, the Governor of Amman ordered his administrative detention for one month.</w:t>
      </w:r>
      <w:r w:rsidRPr="00E062F6">
        <w:rPr>
          <w:rStyle w:val="FootnoteReference"/>
          <w:rFonts w:ascii="Roboto" w:hAnsi="Roboto"/>
          <w:bCs/>
        </w:rPr>
        <w:footnoteReference w:id="45"/>
      </w:r>
      <w:r w:rsidRPr="00E062F6">
        <w:rPr>
          <w:rFonts w:ascii="Roboto" w:hAnsi="Roboto"/>
        </w:rPr>
        <w:t xml:space="preserve"> </w:t>
      </w:r>
    </w:p>
    <w:p w14:paraId="4F07B52B" w14:textId="6FC9989E" w:rsidR="00BE61DD" w:rsidRPr="00E062F6" w:rsidRDefault="00BE61DD" w:rsidP="00BE61DD">
      <w:pPr>
        <w:spacing w:line="276" w:lineRule="auto"/>
        <w:jc w:val="both"/>
        <w:rPr>
          <w:rFonts w:ascii="Roboto" w:hAnsi="Roboto"/>
        </w:rPr>
      </w:pPr>
      <w:r w:rsidRPr="00E062F6">
        <w:rPr>
          <w:rFonts w:ascii="Roboto" w:hAnsi="Roboto"/>
        </w:rPr>
        <w:t>In addition to people peaceful exercising their rights to freedom of expression and assembly, women and men in “protective” custody, and foreigners are also among those detained outside of the scope of the Crime Prevention Law.</w:t>
      </w:r>
      <w:r w:rsidRPr="00E062F6">
        <w:rPr>
          <w:rFonts w:ascii="Roboto" w:hAnsi="Roboto"/>
          <w:vertAlign w:val="superscript"/>
        </w:rPr>
        <w:footnoteReference w:id="46"/>
      </w:r>
      <w:r w:rsidRPr="00E062F6">
        <w:rPr>
          <w:rFonts w:ascii="Roboto" w:hAnsi="Roboto"/>
        </w:rPr>
        <w:t xml:space="preserve"> Governors invoke the Crime Prevention Law, although it does not explicitly cover such situations, to place women in protective custody because family members have threatened their lives for perceived moral lapses creating a situation where victims are punished and those responsible for such threats not prosecuted.</w:t>
      </w:r>
      <w:r w:rsidRPr="00E062F6">
        <w:rPr>
          <w:rFonts w:ascii="Roboto" w:hAnsi="Roboto"/>
          <w:vertAlign w:val="superscript"/>
        </w:rPr>
        <w:footnoteReference w:id="47"/>
      </w:r>
    </w:p>
    <w:p w14:paraId="4D740919" w14:textId="77777777" w:rsidR="00FA7A82" w:rsidRPr="00E062F6" w:rsidRDefault="00000000">
      <w:pPr>
        <w:pStyle w:val="Heading2"/>
        <w:jc w:val="both"/>
      </w:pPr>
      <w:bookmarkStart w:id="5" w:name="_Toc178610927"/>
      <w:r w:rsidRPr="00E062F6">
        <w:t>Jordan’s National Human Rights Institution (NHRI)</w:t>
      </w:r>
      <w:bookmarkEnd w:id="5"/>
      <w:r w:rsidRPr="00E062F6">
        <w:t xml:space="preserve"> </w:t>
      </w:r>
    </w:p>
    <w:p w14:paraId="778DF346" w14:textId="77777777" w:rsidR="00FA7A82" w:rsidRPr="00E062F6" w:rsidRDefault="00000000">
      <w:pPr>
        <w:spacing w:line="276" w:lineRule="auto"/>
        <w:jc w:val="both"/>
        <w:rPr>
          <w:rFonts w:ascii="Roboto" w:hAnsi="Roboto"/>
        </w:rPr>
      </w:pPr>
      <w:r w:rsidRPr="00E062F6">
        <w:rPr>
          <w:rFonts w:ascii="Roboto" w:hAnsi="Roboto"/>
        </w:rPr>
        <w:t>In the list of issues, the Committee requested information about the National Centre for Human Rights (NCHR), Jordan’s National Human Rights Institutions (NHRI), and its compliance with the principles relating to the status of national institutions for the promotion and protection of human rights (the Paris Principles).</w:t>
      </w:r>
      <w:r w:rsidRPr="00E062F6">
        <w:rPr>
          <w:rStyle w:val="FootnoteReference"/>
          <w:rFonts w:ascii="Roboto" w:hAnsi="Roboto"/>
        </w:rPr>
        <w:footnoteReference w:id="48"/>
      </w:r>
      <w:r w:rsidRPr="00E062F6">
        <w:rPr>
          <w:rFonts w:ascii="Roboto" w:hAnsi="Roboto"/>
        </w:rPr>
        <w:t xml:space="preserve"> The Committee specifically referred to the allocation of financial and human resources, the appointment process of its members, and the NCHR’s ability to make unannounced visits to detention facilities, particularly those of the General Intelligence Directorate (GID).</w:t>
      </w:r>
      <w:r w:rsidRPr="00E062F6">
        <w:rPr>
          <w:rStyle w:val="FootnoteReference"/>
          <w:rFonts w:ascii="Roboto" w:hAnsi="Roboto"/>
        </w:rPr>
        <w:footnoteReference w:id="49"/>
      </w:r>
    </w:p>
    <w:p w14:paraId="72469E6C" w14:textId="7F4AEBF4" w:rsidR="00FA7A82" w:rsidRPr="00E062F6" w:rsidRDefault="00000000">
      <w:pPr>
        <w:spacing w:line="276" w:lineRule="auto"/>
        <w:jc w:val="both"/>
        <w:rPr>
          <w:rStyle w:val="SubtleEmphasis"/>
        </w:rPr>
      </w:pPr>
      <w:r w:rsidRPr="00E062F6">
        <w:rPr>
          <w:rStyle w:val="SubtleEmphasis"/>
        </w:rPr>
        <w:t xml:space="preserve">In response, the State party claimed that the NCHR is compliant with the Paris Principles and that it is supported by the government, notably raising that the latter augmented the Centre’s </w:t>
      </w:r>
      <w:r w:rsidRPr="00E062F6">
        <w:rPr>
          <w:rStyle w:val="SubtleEmphasis"/>
        </w:rPr>
        <w:lastRenderedPageBreak/>
        <w:t>financial resources in 2017</w:t>
      </w:r>
      <w:r w:rsidRPr="00E062F6">
        <w:rPr>
          <w:rFonts w:ascii="Roboto" w:hAnsi="Roboto"/>
        </w:rPr>
        <w:t>, as a result of which staff numbers increased by 20%.</w:t>
      </w:r>
      <w:r w:rsidRPr="00E062F6">
        <w:rPr>
          <w:rStyle w:val="FootnoteReference"/>
          <w:rFonts w:ascii="Roboto" w:hAnsi="Roboto"/>
        </w:rPr>
        <w:footnoteReference w:id="50"/>
      </w:r>
      <w:r w:rsidRPr="00E062F6">
        <w:rPr>
          <w:rFonts w:ascii="Roboto" w:hAnsi="Roboto"/>
        </w:rPr>
        <w:t xml:space="preserve"> Jordan also asserted that since 2017, the GID has allowed the NCHR to make unannounced visits to its detention centres.</w:t>
      </w:r>
      <w:r w:rsidRPr="00E062F6">
        <w:rPr>
          <w:rStyle w:val="FootnoteReference"/>
          <w:rFonts w:ascii="Roboto" w:hAnsi="Roboto"/>
        </w:rPr>
        <w:footnoteReference w:id="51"/>
      </w:r>
    </w:p>
    <w:p w14:paraId="36B46316" w14:textId="59240998" w:rsidR="00FD5A66" w:rsidRPr="00E062F6" w:rsidRDefault="00000000" w:rsidP="00D54CD6">
      <w:pPr>
        <w:spacing w:line="276" w:lineRule="auto"/>
        <w:jc w:val="both"/>
        <w:rPr>
          <w:rStyle w:val="SubtleEmphasis"/>
        </w:rPr>
      </w:pPr>
      <w:r w:rsidRPr="00E062F6">
        <w:rPr>
          <w:rStyle w:val="SubtleEmphasis"/>
        </w:rPr>
        <w:t xml:space="preserve">The NCHR </w:t>
      </w:r>
      <w:r w:rsidR="00E70BC2" w:rsidRPr="00E062F6">
        <w:rPr>
          <w:rStyle w:val="SubtleEmphasis"/>
        </w:rPr>
        <w:t>obtained</w:t>
      </w:r>
      <w:r w:rsidRPr="00E062F6">
        <w:rPr>
          <w:rStyle w:val="SubtleEmphasis"/>
        </w:rPr>
        <w:t xml:space="preserve"> A status </w:t>
      </w:r>
      <w:r w:rsidR="001122A2" w:rsidRPr="00E062F6">
        <w:rPr>
          <w:rStyle w:val="SubtleEmphasis"/>
        </w:rPr>
        <w:t>following</w:t>
      </w:r>
      <w:r w:rsidRPr="00E062F6">
        <w:rPr>
          <w:rStyle w:val="SubtleEmphasis"/>
        </w:rPr>
        <w:t xml:space="preserve"> its review by the Subcommittee on Accreditation (SCA) of the Global Alliance of National Human Rights Institutions (GANHRI), indicating compliance with the Paris Principles.</w:t>
      </w:r>
      <w:r w:rsidRPr="00E062F6">
        <w:rPr>
          <w:rStyle w:val="FootnoteReference"/>
          <w:rFonts w:ascii="Roboto" w:hAnsi="Roboto"/>
        </w:rPr>
        <w:footnoteReference w:id="52"/>
      </w:r>
      <w:r w:rsidRPr="00E062F6">
        <w:rPr>
          <w:rStyle w:val="SubtleEmphasis"/>
        </w:rPr>
        <w:t xml:space="preserve"> However, </w:t>
      </w:r>
      <w:r w:rsidR="00D54CD6" w:rsidRPr="00E062F6">
        <w:rPr>
          <w:rStyle w:val="SubtleEmphasis"/>
        </w:rPr>
        <w:t>t</w:t>
      </w:r>
      <w:r w:rsidR="00FD5A66" w:rsidRPr="00E062F6">
        <w:rPr>
          <w:rStyle w:val="SubtleEmphasis"/>
        </w:rPr>
        <w:t>he Chairperson and members of the Board are appointed by Royal Decree at the recommendation of the Prime Minister, raising concerns about the independence of the NCHR.</w:t>
      </w:r>
      <w:r w:rsidR="00FD5A66" w:rsidRPr="00E062F6">
        <w:rPr>
          <w:rStyle w:val="FootnoteReference"/>
          <w:rFonts w:ascii="Roboto" w:hAnsi="Roboto"/>
        </w:rPr>
        <w:footnoteReference w:id="53"/>
      </w:r>
    </w:p>
    <w:p w14:paraId="315C6856" w14:textId="39272013" w:rsidR="007E61D7" w:rsidRPr="00E062F6" w:rsidRDefault="00000000" w:rsidP="00601F50">
      <w:pPr>
        <w:spacing w:line="276" w:lineRule="auto"/>
        <w:jc w:val="both"/>
        <w:rPr>
          <w:rStyle w:val="SubtleEmphasis"/>
        </w:rPr>
      </w:pPr>
      <w:r w:rsidRPr="00E062F6">
        <w:rPr>
          <w:rStyle w:val="SubtleEmphasis"/>
        </w:rPr>
        <w:t>In October 2022, the SCA expressed doubt over the NCHR’s continued adherence to the Paris Principles, including its independence and capacity to fulfil its mandate.</w:t>
      </w:r>
      <w:r w:rsidRPr="00E062F6">
        <w:rPr>
          <w:rStyle w:val="FootnoteReference"/>
          <w:rFonts w:ascii="Roboto" w:hAnsi="Roboto"/>
        </w:rPr>
        <w:footnoteReference w:id="54"/>
      </w:r>
      <w:r w:rsidRPr="00E062F6">
        <w:rPr>
          <w:rStyle w:val="SubtleEmphasis"/>
        </w:rPr>
        <w:t xml:space="preserve"> These concerns followed amendments to the NCHR Law, which introduced a provision requiring the Chairperson of the Board of Trustees and the Commissioner General for Human Rights not be affiliated to a political party.</w:t>
      </w:r>
      <w:r w:rsidRPr="00E062F6">
        <w:rPr>
          <w:rStyle w:val="FootnoteReference"/>
          <w:rFonts w:ascii="Roboto" w:hAnsi="Roboto"/>
        </w:rPr>
        <w:footnoteReference w:id="55"/>
      </w:r>
      <w:r w:rsidRPr="00E062F6">
        <w:rPr>
          <w:rStyle w:val="SubtleEmphasis"/>
        </w:rPr>
        <w:t xml:space="preserve"> This change occurred only two months after a prominent member of a political party was elected Chair of the NCHR Board of Trustees.</w:t>
      </w:r>
      <w:r w:rsidRPr="00E062F6">
        <w:rPr>
          <w:rStyle w:val="FootnoteReference"/>
          <w:rFonts w:ascii="Roboto" w:hAnsi="Roboto"/>
        </w:rPr>
        <w:footnoteReference w:id="56"/>
      </w:r>
      <w:r w:rsidR="00542E50" w:rsidRPr="00E062F6">
        <w:rPr>
          <w:rStyle w:val="SubtleEmphasis"/>
        </w:rPr>
        <w:t xml:space="preserve"> </w:t>
      </w:r>
    </w:p>
    <w:p w14:paraId="1544C16F" w14:textId="55893181" w:rsidR="00FA7A82" w:rsidRPr="00E062F6" w:rsidRDefault="00000000">
      <w:pPr>
        <w:spacing w:line="276" w:lineRule="auto"/>
        <w:jc w:val="both"/>
        <w:rPr>
          <w:rStyle w:val="SubtleEmphasis"/>
        </w:rPr>
      </w:pPr>
      <w:r w:rsidRPr="00E062F6">
        <w:rPr>
          <w:rStyle w:val="SubtleEmphasis"/>
        </w:rPr>
        <w:t xml:space="preserve">The SCA also </w:t>
      </w:r>
      <w:r w:rsidR="00705E4C" w:rsidRPr="00E062F6">
        <w:rPr>
          <w:rStyle w:val="SubtleEmphasis"/>
        </w:rPr>
        <w:t>expressed concern about</w:t>
      </w:r>
      <w:r w:rsidRPr="00E062F6">
        <w:rPr>
          <w:rStyle w:val="SubtleEmphasis"/>
        </w:rPr>
        <w:t xml:space="preserve"> the prosecution and suspension of several NCHR staff members, which was viewed by civil society organisations as a deliberate campaign to undermine the independence of the institution and silence the NCHR for its outspoken critique of government actions.</w:t>
      </w:r>
      <w:r w:rsidR="001E7D91" w:rsidRPr="00E062F6">
        <w:rPr>
          <w:rStyle w:val="FootnoteReference"/>
          <w:rFonts w:ascii="Roboto" w:hAnsi="Roboto"/>
        </w:rPr>
        <w:footnoteReference w:id="57"/>
      </w:r>
      <w:r w:rsidRPr="00E062F6">
        <w:rPr>
          <w:rStyle w:val="SubtleEmphasis"/>
        </w:rPr>
        <w:t xml:space="preserve"> In May 2022, the former NCHR General Commissioner </w:t>
      </w:r>
      <w:proofErr w:type="spellStart"/>
      <w:r w:rsidRPr="00E062F6">
        <w:rPr>
          <w:rStyle w:val="SubtleEmphasis"/>
        </w:rPr>
        <w:t>Alaedine</w:t>
      </w:r>
      <w:proofErr w:type="spellEnd"/>
      <w:r w:rsidRPr="00E062F6">
        <w:rPr>
          <w:rStyle w:val="SubtleEmphasis"/>
        </w:rPr>
        <w:t xml:space="preserve"> </w:t>
      </w:r>
      <w:proofErr w:type="spellStart"/>
      <w:r w:rsidRPr="00E062F6">
        <w:rPr>
          <w:rStyle w:val="SubtleEmphasis"/>
        </w:rPr>
        <w:t>Armouti</w:t>
      </w:r>
      <w:proofErr w:type="spellEnd"/>
      <w:r w:rsidRPr="00E062F6">
        <w:rPr>
          <w:rStyle w:val="SubtleEmphasis"/>
        </w:rPr>
        <w:t xml:space="preserve"> was suspended from his duties, investigated and, along with other members of staff, put on trial for alleged “financial malfeasance” and “abuse of power” relating to a project financed by foreign donors, including the European Union. </w:t>
      </w:r>
      <w:proofErr w:type="spellStart"/>
      <w:r w:rsidRPr="00E062F6">
        <w:rPr>
          <w:rStyle w:val="SubtleEmphasis"/>
        </w:rPr>
        <w:t>Armouti</w:t>
      </w:r>
      <w:proofErr w:type="spellEnd"/>
      <w:r w:rsidRPr="00E062F6">
        <w:rPr>
          <w:rStyle w:val="SubtleEmphasis"/>
        </w:rPr>
        <w:t xml:space="preserve">, who described the charges as “manufactured, intended to keep me away”, had been very vocal in criticising the government, publicly denouncing the government's imposition of drastic curfews during the COVID-19 pandemic, the arbitrary closure of teachers’ unions and restrictions on their right to protest, the alleged pressure and vote-buying during the 2020 legislative elections, and the </w:t>
      </w:r>
      <w:r w:rsidRPr="00E062F6">
        <w:rPr>
          <w:rStyle w:val="SubtleEmphasis"/>
        </w:rPr>
        <w:lastRenderedPageBreak/>
        <w:t>2022 constitutional amendments that expanded the king's authority over various institutions, including the security services.</w:t>
      </w:r>
      <w:r w:rsidRPr="00E062F6">
        <w:rPr>
          <w:rStyle w:val="FootnoteReference"/>
          <w:rFonts w:ascii="Roboto" w:hAnsi="Roboto"/>
        </w:rPr>
        <w:footnoteReference w:id="58"/>
      </w:r>
      <w:r w:rsidRPr="00E062F6">
        <w:rPr>
          <w:rStyle w:val="SubtleEmphasis"/>
        </w:rPr>
        <w:t xml:space="preserve"> </w:t>
      </w:r>
    </w:p>
    <w:p w14:paraId="3C86CEAC" w14:textId="77777777" w:rsidR="00FA7A82" w:rsidRPr="00E062F6" w:rsidRDefault="00000000">
      <w:pPr>
        <w:spacing w:line="276" w:lineRule="auto"/>
        <w:jc w:val="both"/>
        <w:rPr>
          <w:rStyle w:val="SubtleEmphasis"/>
        </w:rPr>
      </w:pPr>
      <w:r w:rsidRPr="00E062F6">
        <w:rPr>
          <w:rStyle w:val="SubtleEmphasis"/>
        </w:rPr>
        <w:t>The SCA expressed concern that these developments occurred without due process, and in response, initiated a Special Review of the NCHR during its first session of 2023 to assess the NCHR’s compliance with the Paris Principles.</w:t>
      </w:r>
      <w:r w:rsidRPr="00E062F6">
        <w:rPr>
          <w:rStyle w:val="FootnoteReference"/>
          <w:rFonts w:ascii="Roboto" w:hAnsi="Roboto"/>
        </w:rPr>
        <w:footnoteReference w:id="59"/>
      </w:r>
      <w:r w:rsidRPr="00E062F6">
        <w:rPr>
          <w:rStyle w:val="SubtleEmphasis"/>
        </w:rPr>
        <w:t xml:space="preserve"> Despite these concerns, the SCA ultimately regranted the NCHR ‘A’ status during its March 2023 session.</w:t>
      </w:r>
      <w:r w:rsidRPr="00E062F6">
        <w:rPr>
          <w:rStyle w:val="FootnoteReference"/>
          <w:rFonts w:ascii="Roboto" w:hAnsi="Roboto"/>
        </w:rPr>
        <w:footnoteReference w:id="60"/>
      </w:r>
    </w:p>
    <w:p w14:paraId="22704336" w14:textId="77777777" w:rsidR="00FA7A82" w:rsidRPr="00E062F6" w:rsidRDefault="00000000">
      <w:pPr>
        <w:pStyle w:val="Title"/>
        <w:jc w:val="both"/>
      </w:pPr>
      <w:r w:rsidRPr="00E062F6">
        <w:t>Recommendations:</w:t>
      </w:r>
    </w:p>
    <w:p w14:paraId="47CF405D" w14:textId="77777777" w:rsidR="00FA7A82" w:rsidRPr="00E062F6" w:rsidRDefault="00000000">
      <w:pPr>
        <w:pStyle w:val="ListParagraph"/>
        <w:numPr>
          <w:ilvl w:val="0"/>
          <w:numId w:val="5"/>
        </w:numPr>
        <w:jc w:val="both"/>
        <w:rPr>
          <w:rFonts w:ascii="Roboto" w:hAnsi="Roboto"/>
          <w:color w:val="543192"/>
        </w:rPr>
      </w:pPr>
      <w:r w:rsidRPr="00E062F6">
        <w:rPr>
          <w:rFonts w:ascii="Roboto" w:hAnsi="Roboto"/>
          <w:color w:val="543192"/>
        </w:rPr>
        <w:t xml:space="preserve">Ensure that individuals are granted their fundamental legal safeguards from the outset of deprivation of liberty, including their right to promptly access a </w:t>
      </w:r>
      <w:proofErr w:type="gramStart"/>
      <w:r w:rsidRPr="00E062F6">
        <w:rPr>
          <w:rFonts w:ascii="Roboto" w:hAnsi="Roboto"/>
          <w:color w:val="543192"/>
        </w:rPr>
        <w:t>lawyer;</w:t>
      </w:r>
      <w:proofErr w:type="gramEnd"/>
      <w:r w:rsidRPr="00E062F6">
        <w:rPr>
          <w:rFonts w:ascii="Roboto" w:hAnsi="Roboto"/>
          <w:color w:val="543192"/>
        </w:rPr>
        <w:t xml:space="preserve"> </w:t>
      </w:r>
    </w:p>
    <w:p w14:paraId="74E51024" w14:textId="77777777" w:rsidR="00FA7A82" w:rsidRPr="00E062F6" w:rsidRDefault="00000000">
      <w:pPr>
        <w:pStyle w:val="ListParagraph"/>
        <w:numPr>
          <w:ilvl w:val="0"/>
          <w:numId w:val="5"/>
        </w:numPr>
        <w:jc w:val="both"/>
        <w:rPr>
          <w:rFonts w:ascii="Roboto" w:hAnsi="Roboto"/>
          <w:color w:val="543192"/>
        </w:rPr>
      </w:pPr>
      <w:r w:rsidRPr="00E062F6">
        <w:rPr>
          <w:rFonts w:ascii="Roboto" w:hAnsi="Roboto"/>
          <w:color w:val="543192"/>
        </w:rPr>
        <w:t xml:space="preserve">Ensure due process guarantees for individuals held in administrative </w:t>
      </w:r>
      <w:proofErr w:type="gramStart"/>
      <w:r w:rsidRPr="00E062F6">
        <w:rPr>
          <w:rFonts w:ascii="Roboto" w:hAnsi="Roboto"/>
          <w:color w:val="543192"/>
        </w:rPr>
        <w:t>detention;</w:t>
      </w:r>
      <w:proofErr w:type="gramEnd"/>
    </w:p>
    <w:p w14:paraId="12A9258C" w14:textId="77777777" w:rsidR="00FA7A82" w:rsidRPr="00E062F6" w:rsidRDefault="00000000">
      <w:pPr>
        <w:pStyle w:val="ListParagraph"/>
        <w:numPr>
          <w:ilvl w:val="0"/>
          <w:numId w:val="5"/>
        </w:numPr>
        <w:jc w:val="both"/>
        <w:rPr>
          <w:rFonts w:ascii="Roboto" w:hAnsi="Roboto"/>
          <w:color w:val="543192"/>
        </w:rPr>
      </w:pPr>
      <w:r w:rsidRPr="00E062F6">
        <w:rPr>
          <w:rFonts w:ascii="Roboto" w:hAnsi="Roboto"/>
          <w:color w:val="543192"/>
        </w:rPr>
        <w:t xml:space="preserve">Abolish the practice of administrative </w:t>
      </w:r>
      <w:proofErr w:type="gramStart"/>
      <w:r w:rsidRPr="00E062F6">
        <w:rPr>
          <w:rFonts w:ascii="Roboto" w:hAnsi="Roboto"/>
          <w:color w:val="543192"/>
        </w:rPr>
        <w:t>detention;</w:t>
      </w:r>
      <w:proofErr w:type="gramEnd"/>
      <w:r w:rsidRPr="00E062F6">
        <w:rPr>
          <w:rFonts w:ascii="Roboto" w:hAnsi="Roboto"/>
          <w:color w:val="543192"/>
        </w:rPr>
        <w:t xml:space="preserve"> </w:t>
      </w:r>
    </w:p>
    <w:p w14:paraId="7E12380F" w14:textId="77777777" w:rsidR="00FA7A82" w:rsidRPr="00E062F6" w:rsidRDefault="00000000">
      <w:pPr>
        <w:pStyle w:val="ListParagraph"/>
        <w:numPr>
          <w:ilvl w:val="0"/>
          <w:numId w:val="5"/>
        </w:numPr>
        <w:jc w:val="both"/>
        <w:rPr>
          <w:rFonts w:ascii="Roboto" w:hAnsi="Roboto"/>
          <w:color w:val="543192"/>
        </w:rPr>
      </w:pPr>
      <w:r w:rsidRPr="00E062F6">
        <w:rPr>
          <w:rFonts w:ascii="Roboto" w:hAnsi="Roboto"/>
          <w:color w:val="543192"/>
        </w:rPr>
        <w:t xml:space="preserve">Abolish the Crimes Prevention Act, or amend it with a view to bringing it into compliance with international human rights standards and with Jordan’s obligations under the </w:t>
      </w:r>
      <w:proofErr w:type="gramStart"/>
      <w:r w:rsidRPr="00E062F6">
        <w:rPr>
          <w:rFonts w:ascii="Roboto" w:hAnsi="Roboto"/>
          <w:color w:val="543192"/>
        </w:rPr>
        <w:t>Convention;</w:t>
      </w:r>
      <w:proofErr w:type="gramEnd"/>
    </w:p>
    <w:p w14:paraId="1BFD8D3D" w14:textId="77777777" w:rsidR="00FA7A82" w:rsidRPr="00E062F6" w:rsidRDefault="00000000">
      <w:pPr>
        <w:pStyle w:val="ListParagraph"/>
        <w:numPr>
          <w:ilvl w:val="0"/>
          <w:numId w:val="5"/>
        </w:numPr>
        <w:jc w:val="both"/>
        <w:rPr>
          <w:rFonts w:ascii="Roboto" w:hAnsi="Roboto"/>
          <w:color w:val="543192"/>
        </w:rPr>
      </w:pPr>
      <w:r w:rsidRPr="00E062F6">
        <w:rPr>
          <w:rFonts w:ascii="Roboto" w:hAnsi="Roboto"/>
          <w:color w:val="543192"/>
        </w:rPr>
        <w:t xml:space="preserve">Strengthen the independence and capacity of the National Centre for Human Rights to ensure its compliance with the Paris Principles, allowing it to effectively carry out its mandate, particularly </w:t>
      </w:r>
      <w:proofErr w:type="gramStart"/>
      <w:r w:rsidRPr="00E062F6">
        <w:rPr>
          <w:rFonts w:ascii="Roboto" w:hAnsi="Roboto"/>
          <w:color w:val="543192"/>
        </w:rPr>
        <w:t>with regard to</w:t>
      </w:r>
      <w:proofErr w:type="gramEnd"/>
      <w:r w:rsidRPr="00E062F6">
        <w:rPr>
          <w:rFonts w:ascii="Roboto" w:hAnsi="Roboto"/>
          <w:color w:val="543192"/>
        </w:rPr>
        <w:t xml:space="preserve"> allegations of torture and ill-treatment.  </w:t>
      </w:r>
    </w:p>
    <w:p w14:paraId="69202550" w14:textId="77777777" w:rsidR="00FA7A82" w:rsidRPr="00E062F6" w:rsidRDefault="00000000">
      <w:pPr>
        <w:pStyle w:val="Heading1"/>
        <w:spacing w:line="276" w:lineRule="auto"/>
        <w:jc w:val="both"/>
      </w:pPr>
      <w:bookmarkStart w:id="6" w:name="_Toc178610928"/>
      <w:r w:rsidRPr="00E062F6">
        <w:t>Extradition and prohibition of non-refoulement (article 3)</w:t>
      </w:r>
      <w:bookmarkEnd w:id="6"/>
    </w:p>
    <w:p w14:paraId="2D7BAA9E" w14:textId="7F2404BD" w:rsidR="00FA7A82" w:rsidRPr="00E062F6" w:rsidRDefault="00000000">
      <w:pPr>
        <w:jc w:val="both"/>
        <w:rPr>
          <w:rFonts w:ascii="Roboto" w:hAnsi="Roboto"/>
          <w:color w:val="000000" w:themeColor="text1"/>
        </w:rPr>
      </w:pPr>
      <w:r w:rsidRPr="00E062F6">
        <w:rPr>
          <w:rFonts w:ascii="Roboto" w:hAnsi="Roboto"/>
          <w:color w:val="000000" w:themeColor="text1"/>
        </w:rPr>
        <w:t xml:space="preserve">As part of the list of issues, the Committee had requested information about refoulements, extraditions and expulsions carried out by the State party, </w:t>
      </w:r>
      <w:r w:rsidR="000256BB" w:rsidRPr="00E062F6">
        <w:rPr>
          <w:rFonts w:ascii="Roboto" w:hAnsi="Roboto"/>
          <w:color w:val="000000" w:themeColor="text1"/>
        </w:rPr>
        <w:t>“</w:t>
      </w:r>
      <w:r w:rsidRPr="00E062F6">
        <w:rPr>
          <w:rFonts w:ascii="Roboto" w:hAnsi="Roboto"/>
        </w:rPr>
        <w:t>on the basis of the acceptance of diplomatic assurances or the equivalent thereof</w:t>
      </w:r>
      <w:r w:rsidR="000256BB" w:rsidRPr="00E062F6">
        <w:rPr>
          <w:rFonts w:ascii="Roboto" w:hAnsi="Roboto"/>
        </w:rPr>
        <w:t>”</w:t>
      </w:r>
      <w:r w:rsidRPr="00E062F6">
        <w:rPr>
          <w:rFonts w:ascii="Roboto" w:hAnsi="Roboto"/>
          <w:color w:val="000000" w:themeColor="text1"/>
        </w:rPr>
        <w:t>.</w:t>
      </w:r>
      <w:r w:rsidRPr="00E062F6">
        <w:rPr>
          <w:rStyle w:val="FootnoteReference"/>
          <w:rFonts w:ascii="Roboto" w:hAnsi="Roboto"/>
        </w:rPr>
        <w:footnoteReference w:id="61"/>
      </w:r>
      <w:r w:rsidRPr="00E062F6">
        <w:rPr>
          <w:rFonts w:ascii="Roboto" w:hAnsi="Roboto"/>
          <w:color w:val="000000" w:themeColor="text1"/>
        </w:rPr>
        <w:t xml:space="preserve"> The State party indicated that it had “n</w:t>
      </w:r>
      <w:r w:rsidRPr="00E062F6">
        <w:rPr>
          <w:rFonts w:ascii="Roboto" w:hAnsi="Roboto"/>
        </w:rPr>
        <w:t>ot given or received any diplomatic assurances in this regard”.</w:t>
      </w:r>
      <w:r w:rsidRPr="00E062F6">
        <w:rPr>
          <w:rStyle w:val="FootnoteReference"/>
          <w:rFonts w:ascii="Roboto" w:hAnsi="Roboto"/>
        </w:rPr>
        <w:footnoteReference w:id="62"/>
      </w:r>
    </w:p>
    <w:p w14:paraId="63146301" w14:textId="77777777" w:rsidR="00FA7A82" w:rsidRPr="00E062F6" w:rsidRDefault="00000000">
      <w:pPr>
        <w:pStyle w:val="Heading2"/>
        <w:jc w:val="both"/>
      </w:pPr>
      <w:bookmarkStart w:id="7" w:name="_Toc178610929"/>
      <w:r w:rsidRPr="00E062F6">
        <w:lastRenderedPageBreak/>
        <w:t>Regional legal framework governing judicial cooperation and extradition proceedings</w:t>
      </w:r>
      <w:bookmarkEnd w:id="7"/>
    </w:p>
    <w:p w14:paraId="2027195F" w14:textId="767983D8" w:rsidR="00FA7A82" w:rsidRPr="00E062F6" w:rsidRDefault="00000000">
      <w:pPr>
        <w:jc w:val="both"/>
        <w:rPr>
          <w:rFonts w:ascii="Roboto" w:hAnsi="Roboto"/>
          <w:color w:val="000000" w:themeColor="text1"/>
        </w:rPr>
      </w:pPr>
      <w:r w:rsidRPr="00E062F6">
        <w:rPr>
          <w:rFonts w:ascii="Roboto" w:hAnsi="Roboto"/>
          <w:color w:val="000000" w:themeColor="text1"/>
        </w:rPr>
        <w:t>Jordan is a party to the 1983 Riyadh Arab Agreement for Judicial Cooperation</w:t>
      </w:r>
      <w:r w:rsidRPr="00E062F6">
        <w:rPr>
          <w:rFonts w:ascii="Roboto" w:hAnsi="Roboto"/>
          <w:color w:val="000000" w:themeColor="text1"/>
          <w:vertAlign w:val="superscript"/>
        </w:rPr>
        <w:footnoteReference w:id="63"/>
      </w:r>
      <w:r w:rsidRPr="00E062F6">
        <w:rPr>
          <w:rFonts w:ascii="Roboto" w:hAnsi="Roboto"/>
          <w:color w:val="000000" w:themeColor="text1"/>
        </w:rPr>
        <w:t xml:space="preserve"> (Riyadh Convention), adopted and endorsed by the Council of Arab Ministers of Justice. This </w:t>
      </w:r>
      <w:r w:rsidRPr="00E062F6">
        <w:rPr>
          <w:rFonts w:ascii="Roboto" w:hAnsi="Roboto"/>
          <w:color w:val="000000" w:themeColor="text1"/>
        </w:rPr>
        <w:t>Convention aims to facilitate judicial cooperation between its 18 signatory Arab countries, includ</w:t>
      </w:r>
      <w:r w:rsidR="009A0322" w:rsidRPr="00E062F6">
        <w:rPr>
          <w:rFonts w:ascii="Roboto" w:hAnsi="Roboto"/>
          <w:color w:val="000000" w:themeColor="text1"/>
        </w:rPr>
        <w:t>ing</w:t>
      </w:r>
      <w:r w:rsidRPr="00E062F6">
        <w:rPr>
          <w:rFonts w:ascii="Roboto" w:hAnsi="Roboto"/>
          <w:color w:val="000000" w:themeColor="text1"/>
        </w:rPr>
        <w:t xml:space="preserve"> Jordan.</w:t>
      </w:r>
    </w:p>
    <w:p w14:paraId="6E782D8E" w14:textId="7ECE6013" w:rsidR="00FA7A82" w:rsidRPr="00E062F6" w:rsidRDefault="00000000">
      <w:pPr>
        <w:jc w:val="both"/>
        <w:rPr>
          <w:rFonts w:ascii="Roboto" w:hAnsi="Roboto"/>
          <w:color w:val="000000" w:themeColor="text1"/>
        </w:rPr>
      </w:pPr>
      <w:r w:rsidRPr="00E062F6">
        <w:rPr>
          <w:rFonts w:ascii="Roboto" w:hAnsi="Roboto"/>
          <w:color w:val="000000" w:themeColor="text1"/>
        </w:rPr>
        <w:t>The Riyadh Convention contains several exceptions under which extradition cannot be carried out, including if “the crime for which extradition is requested is considered by the laws of the requested party as a crime of a political nature”. Despite this prohibition of extradition for political offences, the assessment of the political nature of the crime is left to the discretion of the requested country</w:t>
      </w:r>
      <w:r w:rsidRPr="00E062F6">
        <w:rPr>
          <w:rFonts w:ascii="Roboto" w:hAnsi="Roboto"/>
          <w:color w:val="000000" w:themeColor="text1"/>
        </w:rPr>
        <w:t xml:space="preserve">. In addition, the Riyadh Convention excludes </w:t>
      </w:r>
      <w:proofErr w:type="gramStart"/>
      <w:r w:rsidRPr="00E062F6">
        <w:rPr>
          <w:rFonts w:ascii="Roboto" w:hAnsi="Roboto"/>
          <w:color w:val="000000" w:themeColor="text1"/>
        </w:rPr>
        <w:t>a number of</w:t>
      </w:r>
      <w:proofErr w:type="gramEnd"/>
      <w:r w:rsidRPr="00E062F6">
        <w:rPr>
          <w:rFonts w:ascii="Roboto" w:hAnsi="Roboto"/>
          <w:color w:val="000000" w:themeColor="text1"/>
        </w:rPr>
        <w:t xml:space="preserve"> offences from being defined as political, notably assaults on kings and presidents as well as robberies committed against individuals or authorities.</w:t>
      </w:r>
      <w:r w:rsidRPr="00E062F6">
        <w:rPr>
          <w:rStyle w:val="FootnoteReference"/>
          <w:rFonts w:ascii="Roboto" w:hAnsi="Roboto"/>
          <w:color w:val="000000" w:themeColor="text1"/>
        </w:rPr>
        <w:footnoteReference w:id="64"/>
      </w:r>
      <w:r w:rsidRPr="00E062F6">
        <w:rPr>
          <w:rFonts w:ascii="Roboto" w:hAnsi="Roboto"/>
          <w:color w:val="000000" w:themeColor="text1"/>
        </w:rPr>
        <w:t xml:space="preserve"> Similarly, Jordan is a party to the Arab Convention for the Suppression of Terrorism</w:t>
      </w:r>
      <w:r w:rsidRPr="00E062F6">
        <w:rPr>
          <w:rStyle w:val="FootnoteReference"/>
          <w:rFonts w:ascii="Roboto" w:hAnsi="Roboto"/>
          <w:color w:val="000000" w:themeColor="text1"/>
        </w:rPr>
        <w:footnoteReference w:id="65"/>
      </w:r>
      <w:r w:rsidRPr="00E062F6">
        <w:rPr>
          <w:rFonts w:ascii="Roboto" w:hAnsi="Roboto"/>
          <w:color w:val="000000" w:themeColor="text1"/>
        </w:rPr>
        <w:t xml:space="preserve"> (hereinafter: Arab CT Convention), adopted by the League of Arab States (LAS) in 1998. Article 6(a) of the Arab CT Convention prohibits extradition for political offenses, but article 2(b) excludes </w:t>
      </w:r>
      <w:r w:rsidRPr="00E062F6">
        <w:rPr>
          <w:rFonts w:ascii="Roboto" w:hAnsi="Roboto"/>
          <w:color w:val="000000" w:themeColor="text1"/>
        </w:rPr>
        <w:t>attacks on kings, heads of states, crown princes, vice-presidents, heads of government or ministers from being categorised as political offenses. Additionally, article 5 of the Arab CT Convention foresees the extradition of individuals accused of terrorist offenses to requesting states.</w:t>
      </w:r>
    </w:p>
    <w:p w14:paraId="139DEF80" w14:textId="77777777" w:rsidR="00FA7A82" w:rsidRPr="00E062F6" w:rsidRDefault="00000000">
      <w:pPr>
        <w:jc w:val="both"/>
        <w:rPr>
          <w:rFonts w:ascii="Roboto" w:hAnsi="Roboto"/>
          <w:color w:val="000000" w:themeColor="text1"/>
        </w:rPr>
      </w:pPr>
      <w:r w:rsidRPr="00E062F6">
        <w:rPr>
          <w:rFonts w:ascii="Roboto" w:hAnsi="Roboto"/>
          <w:color w:val="000000" w:themeColor="text1"/>
        </w:rPr>
        <w:t xml:space="preserve">As such, the restrictive interpretation of political offences found in the Arab CT Convention and the Riyadh Convention allow for transnational repression through the extradition of individuals on political grounds, which is inconsistent with international human rights standards. Of particular concern is that fact that, despite all LAS Member States being parties to the Convention, these Convention do not refer to the </w:t>
      </w:r>
      <w:r w:rsidRPr="00E062F6">
        <w:rPr>
          <w:rFonts w:ascii="Roboto" w:hAnsi="Roboto"/>
          <w:i/>
          <w:color w:val="000000" w:themeColor="text1"/>
        </w:rPr>
        <w:t>non-refoulement</w:t>
      </w:r>
      <w:r w:rsidRPr="00E062F6">
        <w:rPr>
          <w:rFonts w:ascii="Roboto" w:hAnsi="Roboto"/>
          <w:color w:val="000000" w:themeColor="text1"/>
        </w:rPr>
        <w:t xml:space="preserve"> obligation enshrined in article 3 of the Convention.</w:t>
      </w:r>
    </w:p>
    <w:p w14:paraId="2CF9C024" w14:textId="77777777" w:rsidR="00FA7A82" w:rsidRPr="00E062F6" w:rsidRDefault="00000000">
      <w:pPr>
        <w:pStyle w:val="Heading2"/>
        <w:jc w:val="both"/>
        <w:rPr>
          <w:rStyle w:val="SubtleEmphasis"/>
        </w:rPr>
      </w:pPr>
      <w:bookmarkStart w:id="8" w:name="_Toc178610930"/>
      <w:r w:rsidRPr="00E062F6">
        <w:rPr>
          <w:rStyle w:val="SubtleEmphasis"/>
        </w:rPr>
        <w:t>The Arab Interior Ministers’ Council (AIMC) and its role in facilitating politically motivated extraditions in the Arab region</w:t>
      </w:r>
      <w:bookmarkEnd w:id="8"/>
    </w:p>
    <w:p w14:paraId="044CF93A" w14:textId="510580E8" w:rsidR="00FA7A82" w:rsidRPr="00E062F6" w:rsidRDefault="00000000">
      <w:pPr>
        <w:spacing w:line="276" w:lineRule="auto"/>
        <w:jc w:val="both"/>
        <w:rPr>
          <w:rFonts w:ascii="Roboto" w:hAnsi="Roboto"/>
        </w:rPr>
      </w:pPr>
      <w:r w:rsidRPr="00E062F6">
        <w:rPr>
          <w:rFonts w:ascii="Roboto" w:hAnsi="Roboto"/>
        </w:rPr>
        <w:t xml:space="preserve">The Arab Interior Ministers’ Council (AIMC) is a specialised Ministerial Council of the </w:t>
      </w:r>
      <w:r w:rsidRPr="00E062F6">
        <w:rPr>
          <w:rFonts w:ascii="Roboto" w:hAnsi="Roboto"/>
        </w:rPr>
        <w:t>LAS</w:t>
      </w:r>
      <w:r w:rsidR="00A93C0A" w:rsidRPr="00E062F6">
        <w:rPr>
          <w:rFonts w:ascii="Roboto" w:hAnsi="Roboto"/>
        </w:rPr>
        <w:t xml:space="preserve"> </w:t>
      </w:r>
      <w:r w:rsidRPr="00E062F6">
        <w:rPr>
          <w:rFonts w:ascii="Roboto" w:hAnsi="Roboto"/>
        </w:rPr>
        <w:t>tasked with developing and strengthening cooperation and coordinating efforts between Arab countries in the field of internal security and prevention of crime.</w:t>
      </w:r>
      <w:r w:rsidRPr="00E062F6">
        <w:rPr>
          <w:rStyle w:val="FootnoteReference"/>
          <w:rFonts w:ascii="Roboto" w:hAnsi="Roboto"/>
        </w:rPr>
        <w:footnoteReference w:id="66"/>
      </w:r>
      <w:r w:rsidRPr="00E062F6">
        <w:rPr>
          <w:rFonts w:ascii="Roboto" w:hAnsi="Roboto"/>
        </w:rPr>
        <w:t xml:space="preserve"> The AIMC's current Secretary General, Mohammad bin Ali Kuman, is a Saudi national who has held the post since 2001, with his term of office systematically renewed every three years.</w:t>
      </w:r>
      <w:r w:rsidRPr="00E062F6">
        <w:rPr>
          <w:rStyle w:val="FootnoteReference"/>
          <w:rFonts w:ascii="Roboto" w:hAnsi="Roboto"/>
        </w:rPr>
        <w:footnoteReference w:id="67"/>
      </w:r>
      <w:r w:rsidRPr="00E062F6">
        <w:rPr>
          <w:rFonts w:ascii="Roboto" w:hAnsi="Roboto"/>
        </w:rPr>
        <w:t xml:space="preserve"> </w:t>
      </w:r>
    </w:p>
    <w:p w14:paraId="37DEFEC8" w14:textId="77777777" w:rsidR="00FA7A82" w:rsidRPr="00E062F6" w:rsidRDefault="00000000">
      <w:pPr>
        <w:spacing w:line="276" w:lineRule="auto"/>
        <w:jc w:val="both"/>
        <w:rPr>
          <w:rFonts w:ascii="Roboto" w:hAnsi="Roboto"/>
        </w:rPr>
      </w:pPr>
      <w:r w:rsidRPr="00E062F6">
        <w:rPr>
          <w:rFonts w:ascii="Roboto" w:hAnsi="Roboto"/>
        </w:rPr>
        <w:lastRenderedPageBreak/>
        <w:t xml:space="preserve">The AIMC’s General Secretariat, acting as its technical and administrative body, </w:t>
      </w:r>
      <w:proofErr w:type="gramStart"/>
      <w:r w:rsidRPr="00E062F6">
        <w:rPr>
          <w:rFonts w:ascii="Roboto" w:hAnsi="Roboto"/>
        </w:rPr>
        <w:t>is located in</w:t>
      </w:r>
      <w:proofErr w:type="gramEnd"/>
      <w:r w:rsidRPr="00E062F6">
        <w:rPr>
          <w:rFonts w:ascii="Roboto" w:hAnsi="Roboto"/>
        </w:rPr>
        <w:t xml:space="preserve"> Tunis, Tunisia. The Arab Office for Combating Extremism and Terrorism, one of the five specialised offices of the AIMC, is based in Riyadh, Saudi Arabia.</w:t>
      </w:r>
      <w:r w:rsidRPr="00E062F6">
        <w:rPr>
          <w:rStyle w:val="FootnoteReference"/>
          <w:rFonts w:ascii="Roboto" w:hAnsi="Roboto"/>
        </w:rPr>
        <w:footnoteReference w:id="68"/>
      </w:r>
      <w:r w:rsidRPr="00E062F6">
        <w:rPr>
          <w:rFonts w:ascii="Roboto" w:hAnsi="Roboto"/>
        </w:rPr>
        <w:t xml:space="preserve"> </w:t>
      </w:r>
    </w:p>
    <w:p w14:paraId="5436ABAC" w14:textId="77777777" w:rsidR="00FA7A82" w:rsidRPr="00E062F6" w:rsidRDefault="00000000">
      <w:pPr>
        <w:spacing w:line="276" w:lineRule="auto"/>
        <w:jc w:val="both"/>
        <w:rPr>
          <w:rFonts w:ascii="Roboto" w:hAnsi="Roboto"/>
        </w:rPr>
      </w:pPr>
      <w:r w:rsidRPr="00E062F6">
        <w:rPr>
          <w:rFonts w:ascii="Roboto" w:hAnsi="Roboto"/>
        </w:rPr>
        <w:t xml:space="preserve">Regarding its legal framework, the AIMC </w:t>
      </w:r>
      <w:proofErr w:type="gramStart"/>
      <w:r w:rsidRPr="00E062F6">
        <w:rPr>
          <w:rFonts w:ascii="Roboto" w:hAnsi="Roboto"/>
        </w:rPr>
        <w:t>is in charge of</w:t>
      </w:r>
      <w:proofErr w:type="gramEnd"/>
      <w:r w:rsidRPr="00E062F6">
        <w:rPr>
          <w:rFonts w:ascii="Roboto" w:hAnsi="Roboto"/>
        </w:rPr>
        <w:t xml:space="preserve"> monitoring the implementation of the Arab CT Convention. It also finds its legal basis in the Riyadh Convention, which enables the Council to circulate warrants at the request of states parties to the Convention.</w:t>
      </w:r>
      <w:r w:rsidRPr="00E062F6">
        <w:rPr>
          <w:rStyle w:val="FootnoteReference"/>
          <w:rFonts w:ascii="Roboto" w:hAnsi="Roboto"/>
        </w:rPr>
        <w:footnoteReference w:id="69"/>
      </w:r>
      <w:r w:rsidRPr="00E062F6">
        <w:rPr>
          <w:rFonts w:ascii="Roboto" w:hAnsi="Roboto"/>
        </w:rPr>
        <w:t xml:space="preserve"> The AIMC also has Basic Laws, adopted by the LAS in 1982, which do not make reference to any human rights standards, nor do they grant individuals the right to file an access request or to demand the removal of arrest warrants diffused against them.</w:t>
      </w:r>
      <w:r w:rsidRPr="00E062F6">
        <w:rPr>
          <w:rStyle w:val="FootnoteReference"/>
          <w:rFonts w:ascii="Roboto" w:hAnsi="Roboto"/>
        </w:rPr>
        <w:footnoteReference w:id="70"/>
      </w:r>
      <w:r w:rsidRPr="00E062F6">
        <w:rPr>
          <w:rFonts w:ascii="Roboto" w:hAnsi="Roboto"/>
        </w:rPr>
        <w:t xml:space="preserve"> Similarly, they do not mention standards of procedure regarding the circulation of arrest warrants or human rights standards. </w:t>
      </w:r>
    </w:p>
    <w:p w14:paraId="7463F1CB" w14:textId="718B7640" w:rsidR="00FA7A82" w:rsidRPr="00E062F6" w:rsidRDefault="00000000">
      <w:pPr>
        <w:spacing w:line="276" w:lineRule="auto"/>
        <w:jc w:val="both"/>
        <w:rPr>
          <w:rFonts w:ascii="Roboto" w:hAnsi="Roboto"/>
        </w:rPr>
      </w:pPr>
      <w:r w:rsidRPr="00E062F6">
        <w:rPr>
          <w:rStyle w:val="SubtleEmphasis"/>
        </w:rPr>
        <w:t>T</w:t>
      </w:r>
      <w:r w:rsidRPr="00E062F6">
        <w:rPr>
          <w:rFonts w:ascii="Roboto" w:hAnsi="Roboto"/>
        </w:rPr>
        <w:t xml:space="preserve">he AIMC can circulate state-requested warrants to LAS Member States, thus facilitating the apprehension and extradition of persons notably wanted on terrorism charges. </w:t>
      </w:r>
      <w:r w:rsidR="00396E22" w:rsidRPr="00E062F6">
        <w:rPr>
          <w:rFonts w:ascii="Roboto" w:hAnsi="Roboto"/>
        </w:rPr>
        <w:t>This is done through liaison divisions, present in each LAS Member State.</w:t>
      </w:r>
      <w:r w:rsidR="0010606D" w:rsidRPr="00E062F6">
        <w:rPr>
          <w:rStyle w:val="FootnoteReference"/>
          <w:rFonts w:ascii="Roboto" w:hAnsi="Roboto"/>
        </w:rPr>
        <w:footnoteReference w:id="71"/>
      </w:r>
      <w:r w:rsidR="00396E22" w:rsidRPr="00E062F6">
        <w:rPr>
          <w:rFonts w:ascii="Roboto" w:hAnsi="Roboto"/>
        </w:rPr>
        <w:t xml:space="preserve"> </w:t>
      </w:r>
      <w:r w:rsidRPr="00E062F6">
        <w:rPr>
          <w:rFonts w:ascii="Roboto" w:hAnsi="Roboto"/>
        </w:rPr>
        <w:t xml:space="preserve">However, as mentioned above, the domestic CT laws at the basis of these warrants and the regional legal framework governing its operations pose </w:t>
      </w:r>
      <w:proofErr w:type="gramStart"/>
      <w:r w:rsidRPr="00E062F6">
        <w:rPr>
          <w:rFonts w:ascii="Roboto" w:hAnsi="Roboto"/>
        </w:rPr>
        <w:t>a number of</w:t>
      </w:r>
      <w:proofErr w:type="gramEnd"/>
      <w:r w:rsidRPr="00E062F6">
        <w:rPr>
          <w:rFonts w:ascii="Roboto" w:hAnsi="Roboto"/>
        </w:rPr>
        <w:t xml:space="preserve"> human rights concerns. Targeted individuals do not have the possibility to file access requests or to demand the removal of arrest warrants diffused against them</w:t>
      </w:r>
      <w:r w:rsidRPr="00E062F6">
        <w:rPr>
          <w:rStyle w:val="SubtleEmphasis"/>
        </w:rPr>
        <w:t xml:space="preserve">, and there is no oversight mechanism </w:t>
      </w:r>
      <w:r w:rsidRPr="00E062F6">
        <w:rPr>
          <w:rFonts w:ascii="Roboto" w:hAnsi="Roboto"/>
        </w:rPr>
        <w:t>filtering out abuses of its systems.</w:t>
      </w:r>
    </w:p>
    <w:p w14:paraId="393FEA90" w14:textId="77777777" w:rsidR="00FA7A82" w:rsidRPr="00E062F6" w:rsidRDefault="00000000">
      <w:pPr>
        <w:spacing w:line="276" w:lineRule="auto"/>
        <w:jc w:val="both"/>
        <w:rPr>
          <w:rFonts w:ascii="Roboto" w:hAnsi="Roboto"/>
        </w:rPr>
      </w:pPr>
      <w:r w:rsidRPr="00E062F6">
        <w:rPr>
          <w:rFonts w:ascii="Roboto" w:hAnsi="Roboto"/>
        </w:rPr>
        <w:t>The responsibility of circulating the warrants lies with the Department of Criminal Prosecution and Data within the General Secretariat.</w:t>
      </w:r>
      <w:r w:rsidRPr="00E062F6">
        <w:rPr>
          <w:rStyle w:val="FootnoteReference"/>
          <w:rFonts w:ascii="Roboto" w:hAnsi="Roboto"/>
        </w:rPr>
        <w:footnoteReference w:id="72"/>
      </w:r>
      <w:r w:rsidRPr="00E062F6">
        <w:rPr>
          <w:rFonts w:ascii="Roboto" w:hAnsi="Roboto"/>
        </w:rPr>
        <w:t xml:space="preserve"> In 2016, the Department of Prosecution and Criminal Data reportedly issued over a thousand search warrants reported to the AIMC by Member States, including 80 warrants aiming to locate individuals wanted for terrorist acts.</w:t>
      </w:r>
      <w:r w:rsidRPr="00E062F6">
        <w:rPr>
          <w:rStyle w:val="FootnoteReference"/>
          <w:rFonts w:ascii="Roboto" w:hAnsi="Roboto"/>
        </w:rPr>
        <w:footnoteReference w:id="73"/>
      </w:r>
      <w:r w:rsidRPr="00E062F6">
        <w:rPr>
          <w:rFonts w:ascii="Roboto" w:hAnsi="Roboto"/>
        </w:rPr>
        <w:t xml:space="preserve"> In 2017, Secretary-General Muhammad bin Ali </w:t>
      </w:r>
      <w:proofErr w:type="spellStart"/>
      <w:r w:rsidRPr="00E062F6">
        <w:rPr>
          <w:rFonts w:ascii="Roboto" w:hAnsi="Roboto"/>
        </w:rPr>
        <w:t>Koman</w:t>
      </w:r>
      <w:proofErr w:type="spellEnd"/>
      <w:r w:rsidRPr="00E062F6">
        <w:rPr>
          <w:rFonts w:ascii="Roboto" w:hAnsi="Roboto"/>
        </w:rPr>
        <w:t xml:space="preserve"> announced that AIMC had developed a new application introducing an electronic mechanism for generating search warrants in an effort </w:t>
      </w:r>
      <w:r w:rsidRPr="00E062F6">
        <w:rPr>
          <w:rFonts w:ascii="Roboto" w:hAnsi="Roboto"/>
        </w:rPr>
        <w:lastRenderedPageBreak/>
        <w:t>to locate wanted individuals, this streamlined process aiming to minimise the search duration upon data input.</w:t>
      </w:r>
      <w:r w:rsidRPr="00E062F6">
        <w:rPr>
          <w:rStyle w:val="FootnoteReference"/>
          <w:rFonts w:ascii="Roboto" w:hAnsi="Roboto"/>
        </w:rPr>
        <w:footnoteReference w:id="74"/>
      </w:r>
    </w:p>
    <w:p w14:paraId="05431B72" w14:textId="77777777" w:rsidR="00FA7A82" w:rsidRPr="00E062F6" w:rsidRDefault="00000000">
      <w:pPr>
        <w:spacing w:line="276" w:lineRule="auto"/>
        <w:jc w:val="both"/>
        <w:rPr>
          <w:rFonts w:ascii="Roboto" w:hAnsi="Roboto"/>
        </w:rPr>
      </w:pPr>
      <w:proofErr w:type="gramStart"/>
      <w:r w:rsidRPr="00E062F6">
        <w:rPr>
          <w:rFonts w:ascii="Roboto" w:hAnsi="Roboto"/>
        </w:rPr>
        <w:t>In order to</w:t>
      </w:r>
      <w:proofErr w:type="gramEnd"/>
      <w:r w:rsidRPr="00E062F6">
        <w:rPr>
          <w:rFonts w:ascii="Roboto" w:hAnsi="Roboto"/>
        </w:rPr>
        <w:t xml:space="preserve"> facilitate the tracking and apprehension of wanted individuals, the General Secretariat reportedly holds a database containing information on individuals wanted for alleged criminal activities across its Member States, including acts of terrorism.</w:t>
      </w:r>
      <w:r w:rsidRPr="00E062F6">
        <w:rPr>
          <w:rStyle w:val="FootnoteReference"/>
          <w:rFonts w:ascii="Roboto" w:hAnsi="Roboto"/>
        </w:rPr>
        <w:footnoteReference w:id="75"/>
      </w:r>
      <w:r w:rsidRPr="00E062F6">
        <w:rPr>
          <w:rFonts w:ascii="Roboto" w:hAnsi="Roboto"/>
        </w:rPr>
        <w:t xml:space="preserve"> This database, notably populated with data from Member States, contains wanted individuals’ personal information as well as alleged insights into the methodologies employed for acts of terrorism, among other crimes. </w:t>
      </w:r>
    </w:p>
    <w:p w14:paraId="306CED3A" w14:textId="77777777" w:rsidR="00FA7A82" w:rsidRPr="00E062F6" w:rsidRDefault="00000000">
      <w:pPr>
        <w:spacing w:line="276" w:lineRule="auto"/>
        <w:jc w:val="both"/>
        <w:rPr>
          <w:rFonts w:ascii="Roboto" w:hAnsi="Roboto"/>
        </w:rPr>
      </w:pPr>
      <w:r w:rsidRPr="00E062F6">
        <w:rPr>
          <w:rFonts w:ascii="Roboto" w:hAnsi="Roboto"/>
        </w:rPr>
        <w:t>The AIMC reportedly established a Legal Committee tasked with reviewing Member States’ requests to issue search warrants, assessing their alignment with approved standards and mechanisms, and addressing objections raised against search warrants issued by countries, the individuals being sought, or their legal representatives.</w:t>
      </w:r>
      <w:r w:rsidRPr="00E062F6">
        <w:rPr>
          <w:rStyle w:val="FootnoteReference"/>
          <w:rFonts w:ascii="Roboto" w:hAnsi="Roboto"/>
        </w:rPr>
        <w:footnoteReference w:id="76"/>
      </w:r>
      <w:r w:rsidRPr="00E062F6">
        <w:rPr>
          <w:rFonts w:ascii="Roboto" w:hAnsi="Roboto"/>
        </w:rPr>
        <w:t xml:space="preserve"> Although the scope of the Legal Committee's mandate suggests the possibility of an individual's right to challenge an arrest warrant, the actual process for doing so is uncertain and seems to lack accessibility. Further, the composition of this Legal Committee includes representative from Member States, giving rise to apprehensions about the impartiality and independence of its functioning. </w:t>
      </w:r>
    </w:p>
    <w:p w14:paraId="6831B0FD" w14:textId="77777777" w:rsidR="00FA7A82" w:rsidRPr="00E062F6" w:rsidRDefault="00000000">
      <w:pPr>
        <w:spacing w:line="276" w:lineRule="auto"/>
        <w:jc w:val="both"/>
        <w:rPr>
          <w:rFonts w:ascii="Roboto" w:hAnsi="Roboto"/>
        </w:rPr>
      </w:pPr>
      <w:r w:rsidRPr="00E062F6">
        <w:rPr>
          <w:rFonts w:ascii="Roboto" w:hAnsi="Roboto"/>
        </w:rPr>
        <w:t>While the AIMC’s warrant circulation appears similar to the practices of INTERPOL, the Commission for the Control of INTERPOL’s Files (CCF) can, at the request of individuals, remove a red notice if found to be in violation of INTERPOL’s constitution and rules, it is deleted from the organisation’s systems.</w:t>
      </w:r>
      <w:r w:rsidRPr="00E062F6">
        <w:rPr>
          <w:rStyle w:val="FootnoteReference"/>
          <w:rFonts w:ascii="Roboto" w:hAnsi="Roboto"/>
        </w:rPr>
        <w:footnoteReference w:id="77"/>
      </w:r>
      <w:r w:rsidRPr="00E062F6">
        <w:rPr>
          <w:rFonts w:ascii="Roboto" w:hAnsi="Roboto"/>
        </w:rPr>
        <w:t xml:space="preserve"> Similarly, the Notices and Diffusions Task Force, an institution established by INTERPOL’s Secretary General in 2016, may also unilaterally review red notices on the basis of all available information, including information received from member countries other than the requesting country, and media monitoring.</w:t>
      </w:r>
      <w:r w:rsidRPr="00E062F6">
        <w:rPr>
          <w:rStyle w:val="FootnoteReference"/>
          <w:rFonts w:ascii="Roboto" w:hAnsi="Roboto"/>
        </w:rPr>
        <w:footnoteReference w:id="78"/>
      </w:r>
      <w:r w:rsidRPr="00E062F6">
        <w:rPr>
          <w:rFonts w:ascii="Roboto" w:hAnsi="Roboto"/>
        </w:rPr>
        <w:t xml:space="preserve"> In the case of the AIMC, should a review mechanism be established, it would be undermined by the lack of reference to human rights standards in the AIMC’s basic laws.</w:t>
      </w:r>
    </w:p>
    <w:p w14:paraId="71A1038F" w14:textId="52386FE4" w:rsidR="00FA7A82" w:rsidRPr="00E062F6" w:rsidRDefault="00000000">
      <w:pPr>
        <w:spacing w:line="276" w:lineRule="auto"/>
        <w:jc w:val="both"/>
        <w:rPr>
          <w:rFonts w:ascii="Roboto" w:hAnsi="Roboto"/>
        </w:rPr>
      </w:pPr>
      <w:r w:rsidRPr="00E062F6">
        <w:rPr>
          <w:rStyle w:val="SubtleEmphasis"/>
        </w:rPr>
        <w:t xml:space="preserve">In practice, MENA Rights Group has documented the cases of </w:t>
      </w:r>
      <w:r w:rsidRPr="00E062F6">
        <w:rPr>
          <w:rFonts w:ascii="Roboto" w:hAnsi="Roboto"/>
        </w:rPr>
        <w:t xml:space="preserve">individuals who have faced politically motivated extradition proceedings </w:t>
      </w:r>
      <w:proofErr w:type="gramStart"/>
      <w:r w:rsidRPr="00E062F6">
        <w:rPr>
          <w:rFonts w:ascii="Roboto" w:hAnsi="Roboto"/>
        </w:rPr>
        <w:t>as a result of</w:t>
      </w:r>
      <w:proofErr w:type="gramEnd"/>
      <w:r w:rsidRPr="00E062F6">
        <w:rPr>
          <w:rFonts w:ascii="Roboto" w:hAnsi="Roboto"/>
        </w:rPr>
        <w:t xml:space="preserve"> the AIMC’s circulation of their arrest </w:t>
      </w:r>
      <w:r w:rsidRPr="00E062F6">
        <w:rPr>
          <w:rFonts w:ascii="Roboto" w:hAnsi="Roboto"/>
        </w:rPr>
        <w:t>warrants.</w:t>
      </w:r>
      <w:r w:rsidRPr="00E062F6">
        <w:rPr>
          <w:rStyle w:val="FootnoteReference"/>
          <w:rFonts w:ascii="Roboto" w:hAnsi="Roboto"/>
        </w:rPr>
        <w:footnoteReference w:id="79"/>
      </w:r>
    </w:p>
    <w:p w14:paraId="1D3C9A53" w14:textId="0AA3A8BC" w:rsidR="00FA7A82" w:rsidRPr="00E062F6" w:rsidRDefault="00000000" w:rsidP="00FE25D0">
      <w:pPr>
        <w:spacing w:line="276" w:lineRule="auto"/>
        <w:jc w:val="both"/>
        <w:rPr>
          <w:rFonts w:ascii="Roboto" w:hAnsi="Roboto"/>
          <w:strike/>
        </w:rPr>
      </w:pPr>
      <w:r w:rsidRPr="00E062F6">
        <w:rPr>
          <w:rFonts w:ascii="Roboto" w:hAnsi="Roboto"/>
        </w:rPr>
        <w:t xml:space="preserve">The AIMC’s systems can be used to put persecuted minority members at risk of torture and other human rights violations </w:t>
      </w:r>
      <w:r w:rsidRPr="00E062F6">
        <w:rPr>
          <w:rFonts w:ascii="Roboto" w:hAnsi="Roboto"/>
        </w:rPr>
        <w:t>in the requesting states.</w:t>
      </w:r>
    </w:p>
    <w:p w14:paraId="38F91601" w14:textId="77777777" w:rsidR="00FA7A82" w:rsidRPr="00E062F6" w:rsidRDefault="00000000">
      <w:pPr>
        <w:spacing w:line="276" w:lineRule="auto"/>
        <w:jc w:val="both"/>
        <w:rPr>
          <w:rFonts w:ascii="Roboto" w:hAnsi="Roboto"/>
        </w:rPr>
      </w:pPr>
      <w:r w:rsidRPr="00E062F6">
        <w:rPr>
          <w:rFonts w:ascii="Roboto" w:hAnsi="Roboto"/>
        </w:rPr>
        <w:lastRenderedPageBreak/>
        <w:t>The human rights concerns posed by the AIMC’s operations have been highlighted by UN Special Procedures mandate holders in a communication addressed to the LAS,</w:t>
      </w:r>
      <w:r w:rsidRPr="00E062F6">
        <w:rPr>
          <w:rStyle w:val="FootnoteReference"/>
          <w:rFonts w:ascii="Roboto" w:hAnsi="Roboto"/>
        </w:rPr>
        <w:footnoteReference w:id="80"/>
      </w:r>
      <w:r w:rsidRPr="00E062F6">
        <w:rPr>
          <w:rFonts w:ascii="Roboto" w:hAnsi="Roboto"/>
        </w:rPr>
        <w:t xml:space="preserve"> and identified as a key regional issue in the former Special Rapporteur on </w:t>
      </w:r>
      <w:proofErr w:type="gramStart"/>
      <w:r w:rsidRPr="00E062F6">
        <w:rPr>
          <w:rFonts w:ascii="Roboto" w:hAnsi="Roboto"/>
        </w:rPr>
        <w:t>counter-terrorism</w:t>
      </w:r>
      <w:proofErr w:type="gramEnd"/>
      <w:r w:rsidRPr="00E062F6">
        <w:rPr>
          <w:rFonts w:ascii="Roboto" w:hAnsi="Roboto"/>
        </w:rPr>
        <w:t xml:space="preserve"> and human rights’ Global Study on the Impact of counter-terrorism measures on civil society and civic space.</w:t>
      </w:r>
      <w:r w:rsidRPr="00E062F6">
        <w:rPr>
          <w:rStyle w:val="FootnoteReference"/>
          <w:rFonts w:ascii="Roboto" w:hAnsi="Roboto"/>
        </w:rPr>
        <w:footnoteReference w:id="81"/>
      </w:r>
    </w:p>
    <w:p w14:paraId="7C2100C1" w14:textId="77777777" w:rsidR="00FA7A82" w:rsidRPr="00E062F6" w:rsidRDefault="00000000">
      <w:pPr>
        <w:pStyle w:val="Heading2"/>
        <w:jc w:val="both"/>
      </w:pPr>
      <w:bookmarkStart w:id="9" w:name="_Toc178610931"/>
      <w:r w:rsidRPr="00E062F6">
        <w:t>The extradition of UAE94 member Khalaf al-</w:t>
      </w:r>
      <w:proofErr w:type="spellStart"/>
      <w:r w:rsidRPr="00E062F6">
        <w:t>Romaithi</w:t>
      </w:r>
      <w:bookmarkEnd w:id="9"/>
      <w:proofErr w:type="spellEnd"/>
      <w:r w:rsidRPr="00E062F6">
        <w:t xml:space="preserve"> </w:t>
      </w:r>
    </w:p>
    <w:p w14:paraId="1926F2FD" w14:textId="77777777" w:rsidR="00FA7A82" w:rsidRPr="00E062F6" w:rsidRDefault="00000000">
      <w:pPr>
        <w:jc w:val="both"/>
        <w:rPr>
          <w:rFonts w:ascii="Roboto" w:hAnsi="Roboto"/>
          <w:color w:val="000000" w:themeColor="text1"/>
        </w:rPr>
      </w:pPr>
      <w:r w:rsidRPr="00E062F6">
        <w:rPr>
          <w:rFonts w:ascii="Roboto" w:hAnsi="Roboto"/>
          <w:color w:val="000000" w:themeColor="text1"/>
        </w:rPr>
        <w:t xml:space="preserve">In May 2023, Jordanian authorities committed a grave violation of the </w:t>
      </w:r>
      <w:r w:rsidRPr="00E062F6">
        <w:rPr>
          <w:rFonts w:ascii="Roboto" w:hAnsi="Roboto"/>
          <w:i/>
          <w:iCs/>
          <w:color w:val="000000" w:themeColor="text1"/>
        </w:rPr>
        <w:t>non-refoulement</w:t>
      </w:r>
      <w:r w:rsidRPr="00E062F6">
        <w:rPr>
          <w:rFonts w:ascii="Roboto" w:hAnsi="Roboto"/>
          <w:color w:val="000000" w:themeColor="text1"/>
        </w:rPr>
        <w:t xml:space="preserve"> principle by extraditing Khalaf Abdul Rahman Abdulla Humaid al-</w:t>
      </w:r>
      <w:proofErr w:type="spellStart"/>
      <w:r w:rsidRPr="00E062F6">
        <w:rPr>
          <w:rFonts w:ascii="Roboto" w:hAnsi="Roboto"/>
          <w:color w:val="000000" w:themeColor="text1"/>
        </w:rPr>
        <w:t>Romaithi</w:t>
      </w:r>
      <w:proofErr w:type="spellEnd"/>
      <w:r w:rsidRPr="00E062F6">
        <w:rPr>
          <w:rFonts w:ascii="Roboto" w:hAnsi="Roboto"/>
          <w:color w:val="000000" w:themeColor="text1"/>
        </w:rPr>
        <w:t>, a Turkish and Emirati national and prominent Emirati dissident, to the United Arab Emirates (UAE).</w:t>
      </w:r>
      <w:r w:rsidRPr="00E062F6">
        <w:rPr>
          <w:rStyle w:val="FootnoteReference"/>
          <w:rFonts w:ascii="Roboto" w:hAnsi="Roboto"/>
          <w:color w:val="000000" w:themeColor="text1"/>
        </w:rPr>
        <w:footnoteReference w:id="82"/>
      </w:r>
    </w:p>
    <w:p w14:paraId="0DC5B5BE" w14:textId="77777777" w:rsidR="00FA7A82" w:rsidRPr="00E062F6" w:rsidRDefault="00000000">
      <w:pPr>
        <w:jc w:val="both"/>
        <w:rPr>
          <w:rFonts w:ascii="Roboto" w:hAnsi="Roboto"/>
          <w:color w:val="000000" w:themeColor="text1"/>
        </w:rPr>
      </w:pPr>
      <w:r w:rsidRPr="00E062F6">
        <w:rPr>
          <w:rFonts w:ascii="Roboto" w:hAnsi="Roboto"/>
          <w:color w:val="000000" w:themeColor="text1"/>
        </w:rPr>
        <w:t>Khalaf al-</w:t>
      </w:r>
      <w:proofErr w:type="spellStart"/>
      <w:r w:rsidRPr="00E062F6">
        <w:rPr>
          <w:rFonts w:ascii="Roboto" w:hAnsi="Roboto"/>
          <w:color w:val="000000" w:themeColor="text1"/>
        </w:rPr>
        <w:t>Romaithi</w:t>
      </w:r>
      <w:proofErr w:type="spellEnd"/>
      <w:r w:rsidRPr="00E062F6">
        <w:rPr>
          <w:rFonts w:ascii="Roboto" w:hAnsi="Roboto"/>
          <w:color w:val="000000" w:themeColor="text1"/>
        </w:rPr>
        <w:t xml:space="preserve"> is a member of the “UAE 94”, a group of 94 Emirati scholars, activists, lawyers, doctors, and human rights defenders who were tried in 2013 after signing a petition that asked for democratic reforms in the UAE.</w:t>
      </w:r>
      <w:r w:rsidRPr="00E062F6">
        <w:rPr>
          <w:rStyle w:val="FootnoteReference"/>
          <w:rFonts w:ascii="Roboto" w:hAnsi="Roboto"/>
          <w:color w:val="000000" w:themeColor="text1"/>
        </w:rPr>
        <w:footnoteReference w:id="83"/>
      </w:r>
      <w:r w:rsidRPr="00E062F6">
        <w:rPr>
          <w:rFonts w:ascii="Roboto" w:hAnsi="Roboto"/>
          <w:color w:val="000000" w:themeColor="text1"/>
        </w:rPr>
        <w:t> </w:t>
      </w:r>
    </w:p>
    <w:p w14:paraId="6ABAB3AA" w14:textId="77777777" w:rsidR="00FA7A82" w:rsidRPr="00E062F6" w:rsidRDefault="00000000">
      <w:pPr>
        <w:jc w:val="both"/>
        <w:rPr>
          <w:rFonts w:ascii="Roboto" w:hAnsi="Roboto"/>
          <w:color w:val="000000" w:themeColor="text1"/>
        </w:rPr>
      </w:pPr>
      <w:r w:rsidRPr="00E062F6">
        <w:rPr>
          <w:rFonts w:ascii="Roboto" w:hAnsi="Roboto"/>
          <w:color w:val="000000" w:themeColor="text1"/>
        </w:rPr>
        <w:t>On 2 July 2013, al-</w:t>
      </w:r>
      <w:proofErr w:type="spellStart"/>
      <w:r w:rsidRPr="00E062F6">
        <w:rPr>
          <w:rFonts w:ascii="Roboto" w:hAnsi="Roboto"/>
          <w:color w:val="000000" w:themeColor="text1"/>
        </w:rPr>
        <w:t>Romaithi</w:t>
      </w:r>
      <w:proofErr w:type="spellEnd"/>
      <w:r w:rsidRPr="00E062F6">
        <w:rPr>
          <w:rFonts w:ascii="Roboto" w:hAnsi="Roboto"/>
          <w:color w:val="000000" w:themeColor="text1"/>
        </w:rPr>
        <w:t xml:space="preserve"> was convicted </w:t>
      </w:r>
      <w:r w:rsidRPr="00E062F6">
        <w:rPr>
          <w:rFonts w:ascii="Roboto" w:hAnsi="Roboto"/>
          <w:i/>
          <w:iCs/>
          <w:color w:val="000000" w:themeColor="text1"/>
        </w:rPr>
        <w:t>in absentia</w:t>
      </w:r>
      <w:r w:rsidRPr="00E062F6">
        <w:rPr>
          <w:rFonts w:ascii="Roboto" w:hAnsi="Roboto"/>
          <w:color w:val="000000" w:themeColor="text1"/>
        </w:rPr>
        <w:t xml:space="preserve"> to 15 years in prison based on vague national security-related charges by the Federal Supreme Court in Abu Dhabi, following a grossly unfair trial. In 2013, the UN Working Group on Arbitrary Detention issued </w:t>
      </w:r>
      <w:r w:rsidRPr="00E062F6">
        <w:rPr>
          <w:rFonts w:ascii="Roboto" w:hAnsi="Roboto"/>
        </w:rPr>
        <w:t>Opinion No. 60/2013</w:t>
      </w:r>
      <w:r w:rsidRPr="00E062F6">
        <w:rPr>
          <w:rFonts w:ascii="Roboto" w:hAnsi="Roboto"/>
          <w:color w:val="000000" w:themeColor="text1"/>
        </w:rPr>
        <w:t>, in which it found that the detention of the 61 individuals convicted in the UAE94 trial was arbitrary.</w:t>
      </w:r>
      <w:r w:rsidRPr="00E062F6">
        <w:rPr>
          <w:rStyle w:val="FootnoteReference"/>
          <w:rFonts w:ascii="Roboto" w:hAnsi="Roboto"/>
          <w:color w:val="000000" w:themeColor="text1"/>
        </w:rPr>
        <w:footnoteReference w:id="84"/>
      </w:r>
    </w:p>
    <w:p w14:paraId="630B712B" w14:textId="6504DB8F" w:rsidR="00E12911" w:rsidRPr="00E062F6" w:rsidRDefault="00000000" w:rsidP="00454F90">
      <w:pPr>
        <w:rPr>
          <w:rFonts w:ascii="Roboto" w:hAnsi="Roboto"/>
          <w:color w:val="000000" w:themeColor="text1"/>
        </w:rPr>
      </w:pPr>
      <w:r w:rsidRPr="00E062F6">
        <w:rPr>
          <w:rFonts w:ascii="Roboto" w:hAnsi="Roboto"/>
          <w:color w:val="000000" w:themeColor="text1"/>
        </w:rPr>
        <w:t xml:space="preserve">On 7 May 2023, based on a request by the UAE, he was arrested in Amman airport, Jordan, while he was travelling for a short visit. He was informed that there was an arrest warrant issued by the </w:t>
      </w:r>
      <w:r w:rsidRPr="00E062F6">
        <w:rPr>
          <w:rFonts w:ascii="Roboto" w:hAnsi="Roboto"/>
        </w:rPr>
        <w:t>Arab and International Police Department / Interpol</w:t>
      </w:r>
      <w:r w:rsidRPr="00E062F6">
        <w:rPr>
          <w:rFonts w:ascii="Roboto" w:hAnsi="Roboto"/>
          <w:color w:val="000000" w:themeColor="text1"/>
        </w:rPr>
        <w:t> of the Public Security Directorate</w:t>
      </w:r>
      <w:r w:rsidRPr="00E062F6">
        <w:rPr>
          <w:rStyle w:val="FootnoteReference"/>
          <w:rFonts w:ascii="Roboto" w:hAnsi="Roboto"/>
          <w:color w:val="000000" w:themeColor="text1"/>
        </w:rPr>
        <w:footnoteReference w:id="85"/>
      </w:r>
      <w:r w:rsidRPr="00E062F6">
        <w:rPr>
          <w:rFonts w:ascii="Roboto" w:hAnsi="Roboto"/>
          <w:color w:val="000000" w:themeColor="text1"/>
        </w:rPr>
        <w:t xml:space="preserve"> at the request of the UAE. </w:t>
      </w:r>
      <w:r w:rsidR="00E12911" w:rsidRPr="00E062F6">
        <w:rPr>
          <w:rFonts w:ascii="Roboto" w:hAnsi="Roboto"/>
          <w:color w:val="000000" w:themeColor="text1"/>
        </w:rPr>
        <w:t>This Department</w:t>
      </w:r>
      <w:r w:rsidR="0065243C" w:rsidRPr="00E062F6">
        <w:rPr>
          <w:rFonts w:ascii="Roboto" w:hAnsi="Roboto"/>
          <w:color w:val="000000" w:themeColor="text1"/>
        </w:rPr>
        <w:t xml:space="preserve">, </w:t>
      </w:r>
      <w:r w:rsidR="00667618" w:rsidRPr="00E062F6">
        <w:rPr>
          <w:rFonts w:ascii="Roboto" w:hAnsi="Roboto"/>
          <w:color w:val="000000" w:themeColor="text1"/>
        </w:rPr>
        <w:t>which serves as</w:t>
      </w:r>
      <w:r w:rsidR="00B22B3E" w:rsidRPr="00E062F6">
        <w:rPr>
          <w:rFonts w:ascii="Roboto" w:hAnsi="Roboto"/>
          <w:color w:val="000000" w:themeColor="text1"/>
        </w:rPr>
        <w:t xml:space="preserve"> </w:t>
      </w:r>
      <w:r w:rsidR="00A5396C" w:rsidRPr="00E062F6">
        <w:rPr>
          <w:rFonts w:ascii="Roboto" w:hAnsi="Roboto"/>
          <w:color w:val="000000" w:themeColor="text1"/>
        </w:rPr>
        <w:t>a</w:t>
      </w:r>
      <w:r w:rsidR="00AE1080" w:rsidRPr="00E062F6">
        <w:rPr>
          <w:rFonts w:ascii="Roboto" w:hAnsi="Roboto"/>
          <w:color w:val="000000" w:themeColor="text1"/>
        </w:rPr>
        <w:t xml:space="preserve"> </w:t>
      </w:r>
      <w:r w:rsidR="00A5396C" w:rsidRPr="00E062F6">
        <w:rPr>
          <w:rFonts w:ascii="Roboto" w:hAnsi="Roboto"/>
          <w:color w:val="000000" w:themeColor="text1"/>
        </w:rPr>
        <w:t>l</w:t>
      </w:r>
      <w:r w:rsidR="00B22B3E" w:rsidRPr="00E062F6">
        <w:rPr>
          <w:rFonts w:ascii="Roboto" w:hAnsi="Roboto"/>
          <w:color w:val="000000" w:themeColor="text1"/>
        </w:rPr>
        <w:t xml:space="preserve">iaison </w:t>
      </w:r>
      <w:r w:rsidR="00BF7ECE" w:rsidRPr="00E062F6">
        <w:rPr>
          <w:rFonts w:ascii="Roboto" w:hAnsi="Roboto"/>
          <w:color w:val="000000" w:themeColor="text1"/>
        </w:rPr>
        <w:t>d</w:t>
      </w:r>
      <w:r w:rsidR="00B22B3E" w:rsidRPr="00E062F6">
        <w:rPr>
          <w:rFonts w:ascii="Roboto" w:hAnsi="Roboto"/>
          <w:color w:val="000000" w:themeColor="text1"/>
        </w:rPr>
        <w:t xml:space="preserve">ivision of the </w:t>
      </w:r>
      <w:r w:rsidR="00B91EFF" w:rsidRPr="00E062F6">
        <w:rPr>
          <w:rFonts w:ascii="Roboto" w:hAnsi="Roboto"/>
          <w:color w:val="000000" w:themeColor="text1"/>
        </w:rPr>
        <w:t xml:space="preserve">AIMC, </w:t>
      </w:r>
      <w:r w:rsidR="00846A60" w:rsidRPr="00E062F6">
        <w:rPr>
          <w:rFonts w:ascii="Roboto" w:hAnsi="Roboto"/>
          <w:color w:val="000000" w:themeColor="text1"/>
        </w:rPr>
        <w:t xml:space="preserve">is notably tasked with </w:t>
      </w:r>
      <w:r w:rsidR="0065243C" w:rsidRPr="00E062F6">
        <w:rPr>
          <w:rFonts w:ascii="Roboto" w:hAnsi="Roboto"/>
          <w:color w:val="000000" w:themeColor="text1"/>
        </w:rPr>
        <w:t>circulat</w:t>
      </w:r>
      <w:r w:rsidR="00846A60" w:rsidRPr="00E062F6">
        <w:rPr>
          <w:rFonts w:ascii="Roboto" w:hAnsi="Roboto"/>
          <w:color w:val="000000" w:themeColor="text1"/>
        </w:rPr>
        <w:t>ing</w:t>
      </w:r>
      <w:r w:rsidR="00AE1080" w:rsidRPr="00E062F6">
        <w:rPr>
          <w:rFonts w:ascii="Roboto" w:hAnsi="Roboto"/>
          <w:color w:val="000000" w:themeColor="text1"/>
        </w:rPr>
        <w:t xml:space="preserve"> </w:t>
      </w:r>
      <w:r w:rsidR="00D24833" w:rsidRPr="00E062F6">
        <w:rPr>
          <w:rFonts w:ascii="Roboto" w:hAnsi="Roboto"/>
          <w:color w:val="000000" w:themeColor="text1"/>
        </w:rPr>
        <w:t xml:space="preserve">warrants and extradition requests issued by </w:t>
      </w:r>
      <w:r w:rsidR="00855F6E" w:rsidRPr="00E062F6">
        <w:rPr>
          <w:rFonts w:ascii="Roboto" w:hAnsi="Roboto"/>
          <w:color w:val="000000" w:themeColor="text1"/>
        </w:rPr>
        <w:t>the AIMC</w:t>
      </w:r>
      <w:r w:rsidR="00E848E0" w:rsidRPr="00E062F6">
        <w:rPr>
          <w:rFonts w:ascii="Roboto" w:hAnsi="Roboto"/>
          <w:color w:val="000000" w:themeColor="text1"/>
        </w:rPr>
        <w:t>.</w:t>
      </w:r>
      <w:r w:rsidR="00F35307" w:rsidRPr="00E062F6">
        <w:rPr>
          <w:rStyle w:val="FootnoteReference"/>
          <w:rFonts w:ascii="Roboto" w:hAnsi="Roboto"/>
          <w:color w:val="000000" w:themeColor="text1"/>
        </w:rPr>
        <w:footnoteReference w:id="86"/>
      </w:r>
      <w:r w:rsidR="009E34FF" w:rsidRPr="00E062F6">
        <w:rPr>
          <w:rFonts w:ascii="Roboto" w:hAnsi="Roboto"/>
          <w:color w:val="000000" w:themeColor="text1"/>
        </w:rPr>
        <w:t xml:space="preserve"> </w:t>
      </w:r>
    </w:p>
    <w:p w14:paraId="5CEDB9E7" w14:textId="2957CB2B" w:rsidR="00FA7A82" w:rsidRPr="00E062F6" w:rsidRDefault="00000000">
      <w:pPr>
        <w:jc w:val="both"/>
        <w:rPr>
          <w:rFonts w:ascii="Roboto" w:hAnsi="Roboto"/>
          <w:color w:val="000000" w:themeColor="text1"/>
        </w:rPr>
      </w:pPr>
      <w:r w:rsidRPr="00E062F6">
        <w:rPr>
          <w:rFonts w:ascii="Roboto" w:hAnsi="Roboto"/>
          <w:color w:val="000000" w:themeColor="text1"/>
        </w:rPr>
        <w:t xml:space="preserve">The same day, he was brought before a judge, a hearing was set for </w:t>
      </w:r>
      <w:r w:rsidRPr="00E062F6">
        <w:rPr>
          <w:rFonts w:ascii="Roboto" w:hAnsi="Roboto"/>
          <w:color w:val="000000" w:themeColor="text1"/>
        </w:rPr>
        <w:t xml:space="preserve">21 May 2023, and </w:t>
      </w:r>
      <w:r w:rsidRPr="00E062F6">
        <w:rPr>
          <w:rFonts w:ascii="Roboto" w:hAnsi="Roboto"/>
          <w:color w:val="000000" w:themeColor="text1"/>
        </w:rPr>
        <w:t>he was released on bail.</w:t>
      </w:r>
    </w:p>
    <w:p w14:paraId="7714E689" w14:textId="77777777" w:rsidR="00FA7A82" w:rsidRPr="00E062F6" w:rsidRDefault="00000000">
      <w:pPr>
        <w:jc w:val="both"/>
        <w:rPr>
          <w:rFonts w:ascii="Roboto" w:hAnsi="Roboto"/>
          <w:color w:val="000000" w:themeColor="text1"/>
        </w:rPr>
      </w:pPr>
      <w:r w:rsidRPr="00E062F6">
        <w:rPr>
          <w:rFonts w:ascii="Roboto" w:hAnsi="Roboto"/>
          <w:color w:val="000000" w:themeColor="text1"/>
        </w:rPr>
        <w:lastRenderedPageBreak/>
        <w:t>However, the following day, on 8 May 2023, at 5 p.m., he was arrested in a coffee shop in Amman by four members believed to be from the General Intelligence Directorate who were wearing civilian clothes. They told al-</w:t>
      </w:r>
      <w:proofErr w:type="spellStart"/>
      <w:r w:rsidRPr="00E062F6">
        <w:rPr>
          <w:rFonts w:ascii="Roboto" w:hAnsi="Roboto"/>
          <w:color w:val="000000" w:themeColor="text1"/>
        </w:rPr>
        <w:t>Romaithi</w:t>
      </w:r>
      <w:proofErr w:type="spellEnd"/>
      <w:r w:rsidRPr="00E062F6">
        <w:rPr>
          <w:rFonts w:ascii="Roboto" w:hAnsi="Roboto"/>
          <w:color w:val="000000" w:themeColor="text1"/>
        </w:rPr>
        <w:t xml:space="preserve"> that the release decision had been cancelled and that the hearing date had been brought forward to 16 May 2023.</w:t>
      </w:r>
    </w:p>
    <w:p w14:paraId="77DD0C9A" w14:textId="0F69172C" w:rsidR="00FA7A82" w:rsidRPr="00E062F6" w:rsidRDefault="00000000">
      <w:pPr>
        <w:jc w:val="both"/>
        <w:rPr>
          <w:rFonts w:ascii="Roboto" w:hAnsi="Roboto"/>
          <w:color w:val="000000" w:themeColor="text1"/>
        </w:rPr>
      </w:pPr>
      <w:r w:rsidRPr="00E062F6">
        <w:rPr>
          <w:rFonts w:ascii="Roboto" w:hAnsi="Roboto"/>
          <w:color w:val="000000" w:themeColor="text1"/>
        </w:rPr>
        <w:t>On 9 May 2023, al-</w:t>
      </w:r>
      <w:proofErr w:type="spellStart"/>
      <w:r w:rsidRPr="00E062F6">
        <w:rPr>
          <w:rFonts w:ascii="Roboto" w:hAnsi="Roboto"/>
          <w:color w:val="000000" w:themeColor="text1"/>
        </w:rPr>
        <w:t>Romaithi</w:t>
      </w:r>
      <w:proofErr w:type="spellEnd"/>
      <w:r w:rsidRPr="00E062F6">
        <w:rPr>
          <w:rFonts w:ascii="Roboto" w:hAnsi="Roboto"/>
          <w:color w:val="000000" w:themeColor="text1"/>
        </w:rPr>
        <w:t xml:space="preserve"> was able to meet with his lawyer during his court session. The lawyer was surprised that the Public Prosecutor had obtained approval from the judge to cancel the bail, and thus the release decision, hours before his second arrest. On the same day, another session took </w:t>
      </w:r>
      <w:proofErr w:type="gramStart"/>
      <w:r w:rsidRPr="00E062F6">
        <w:rPr>
          <w:rFonts w:ascii="Roboto" w:hAnsi="Roboto"/>
          <w:color w:val="000000" w:themeColor="text1"/>
        </w:rPr>
        <w:t>place</w:t>
      </w:r>
      <w:proofErr w:type="gramEnd"/>
      <w:r w:rsidRPr="00E062F6">
        <w:rPr>
          <w:rFonts w:ascii="Roboto" w:hAnsi="Roboto"/>
          <w:color w:val="000000" w:themeColor="text1"/>
        </w:rPr>
        <w:t xml:space="preserve"> and he was transferred to </w:t>
      </w:r>
      <w:proofErr w:type="spellStart"/>
      <w:r w:rsidRPr="00E062F6">
        <w:rPr>
          <w:rFonts w:ascii="Roboto" w:hAnsi="Roboto"/>
          <w:color w:val="000000" w:themeColor="text1"/>
        </w:rPr>
        <w:t>Marka</w:t>
      </w:r>
      <w:proofErr w:type="spellEnd"/>
      <w:r w:rsidRPr="00E062F6">
        <w:rPr>
          <w:rFonts w:ascii="Roboto" w:hAnsi="Roboto"/>
          <w:color w:val="000000" w:themeColor="text1"/>
        </w:rPr>
        <w:t> prison immediately after. He was supposed to be detained there until his next session on 16 May 2023.</w:t>
      </w:r>
    </w:p>
    <w:p w14:paraId="1508EE1F" w14:textId="77777777" w:rsidR="00FA7A82" w:rsidRPr="00E062F6" w:rsidRDefault="00000000">
      <w:pPr>
        <w:jc w:val="both"/>
        <w:rPr>
          <w:rFonts w:ascii="Roboto" w:hAnsi="Roboto"/>
          <w:color w:val="000000" w:themeColor="text1"/>
        </w:rPr>
      </w:pPr>
      <w:r w:rsidRPr="00E062F6">
        <w:rPr>
          <w:rFonts w:ascii="Roboto" w:hAnsi="Roboto"/>
          <w:color w:val="000000" w:themeColor="text1"/>
        </w:rPr>
        <w:t>However, on 10 May 2023, his lawyer discovered that a decision to release al-</w:t>
      </w:r>
      <w:proofErr w:type="spellStart"/>
      <w:r w:rsidRPr="00E062F6">
        <w:rPr>
          <w:rFonts w:ascii="Roboto" w:hAnsi="Roboto"/>
          <w:color w:val="000000" w:themeColor="text1"/>
        </w:rPr>
        <w:t>Romaithi</w:t>
      </w:r>
      <w:proofErr w:type="spellEnd"/>
      <w:r w:rsidRPr="00E062F6">
        <w:rPr>
          <w:rFonts w:ascii="Roboto" w:hAnsi="Roboto"/>
          <w:color w:val="000000" w:themeColor="text1"/>
        </w:rPr>
        <w:t xml:space="preserve"> was issued, without any notification. When his lawyer tried to meet with him in </w:t>
      </w:r>
      <w:proofErr w:type="spellStart"/>
      <w:r w:rsidRPr="00E062F6">
        <w:rPr>
          <w:rFonts w:ascii="Roboto" w:hAnsi="Roboto"/>
          <w:color w:val="000000" w:themeColor="text1"/>
        </w:rPr>
        <w:t>Marka</w:t>
      </w:r>
      <w:proofErr w:type="spellEnd"/>
      <w:r w:rsidRPr="00E062F6">
        <w:rPr>
          <w:rFonts w:ascii="Roboto" w:hAnsi="Roboto"/>
          <w:color w:val="000000" w:themeColor="text1"/>
        </w:rPr>
        <w:t xml:space="preserve"> prison, the prison’s administration asked him to report to the </w:t>
      </w:r>
      <w:r w:rsidRPr="00E062F6">
        <w:rPr>
          <w:rFonts w:ascii="Roboto" w:hAnsi="Roboto"/>
        </w:rPr>
        <w:t>Arab and International Police Department / Interpol</w:t>
      </w:r>
      <w:r w:rsidRPr="00E062F6">
        <w:rPr>
          <w:rFonts w:ascii="Roboto" w:hAnsi="Roboto"/>
          <w:color w:val="000000" w:themeColor="text1"/>
        </w:rPr>
        <w:t>. However, this department refused to give him any information about his whereabouts. The same day, the lawyer was informed by the same judge who issued the release decision that the Public Prosecutor decided to refer al-</w:t>
      </w:r>
      <w:proofErr w:type="spellStart"/>
      <w:r w:rsidRPr="00E062F6">
        <w:rPr>
          <w:rFonts w:ascii="Roboto" w:hAnsi="Roboto"/>
          <w:color w:val="000000" w:themeColor="text1"/>
        </w:rPr>
        <w:t>Romaithi</w:t>
      </w:r>
      <w:proofErr w:type="spellEnd"/>
      <w:r w:rsidRPr="00E062F6">
        <w:rPr>
          <w:rFonts w:ascii="Roboto" w:hAnsi="Roboto"/>
          <w:color w:val="000000" w:themeColor="text1"/>
        </w:rPr>
        <w:t xml:space="preserve"> to the governor of Amman, who decided to deport him outside of the country. He did not specify where he was deported, and whether it was to Turkey or the UAE.</w:t>
      </w:r>
    </w:p>
    <w:p w14:paraId="12A3E811" w14:textId="77777777" w:rsidR="00FA7A82" w:rsidRPr="00E062F6" w:rsidRDefault="00000000">
      <w:pPr>
        <w:jc w:val="both"/>
        <w:rPr>
          <w:rFonts w:ascii="Roboto" w:hAnsi="Roboto"/>
          <w:color w:val="000000" w:themeColor="text1"/>
        </w:rPr>
      </w:pPr>
      <w:r w:rsidRPr="00E062F6">
        <w:rPr>
          <w:rFonts w:ascii="Roboto" w:hAnsi="Roboto"/>
          <w:color w:val="000000" w:themeColor="text1"/>
        </w:rPr>
        <w:t>On 12 May 2023, al-</w:t>
      </w:r>
      <w:proofErr w:type="spellStart"/>
      <w:r w:rsidRPr="00E062F6">
        <w:rPr>
          <w:rFonts w:ascii="Roboto" w:hAnsi="Roboto"/>
          <w:color w:val="000000" w:themeColor="text1"/>
        </w:rPr>
        <w:t>Romaithi’s</w:t>
      </w:r>
      <w:proofErr w:type="spellEnd"/>
      <w:r w:rsidRPr="00E062F6">
        <w:rPr>
          <w:rFonts w:ascii="Roboto" w:hAnsi="Roboto"/>
          <w:color w:val="000000" w:themeColor="text1"/>
        </w:rPr>
        <w:t xml:space="preserve"> family was informed informally by a Turkish official that he had been extradited to the UAE.</w:t>
      </w:r>
    </w:p>
    <w:p w14:paraId="350A8E9F" w14:textId="77777777" w:rsidR="00FA7A82" w:rsidRPr="00E062F6" w:rsidRDefault="00000000">
      <w:pPr>
        <w:jc w:val="both"/>
        <w:rPr>
          <w:rFonts w:ascii="Roboto" w:hAnsi="Roboto"/>
          <w:color w:val="000000" w:themeColor="text1"/>
        </w:rPr>
      </w:pPr>
      <w:r w:rsidRPr="00E062F6">
        <w:rPr>
          <w:rFonts w:ascii="Roboto" w:hAnsi="Roboto"/>
          <w:color w:val="000000" w:themeColor="text1"/>
        </w:rPr>
        <w:t>Al-</w:t>
      </w:r>
      <w:proofErr w:type="spellStart"/>
      <w:r w:rsidRPr="00E062F6">
        <w:rPr>
          <w:rFonts w:ascii="Roboto" w:hAnsi="Roboto"/>
          <w:color w:val="000000" w:themeColor="text1"/>
        </w:rPr>
        <w:t>Romaithi</w:t>
      </w:r>
      <w:proofErr w:type="spellEnd"/>
      <w:r w:rsidRPr="00E062F6">
        <w:rPr>
          <w:rFonts w:ascii="Roboto" w:hAnsi="Roboto"/>
          <w:color w:val="000000" w:themeColor="text1"/>
        </w:rPr>
        <w:t xml:space="preserve"> remains forcibly disappeared since 9 May 2023, when his lawyer last saw him.</w:t>
      </w:r>
    </w:p>
    <w:p w14:paraId="710E374F" w14:textId="49FD2841" w:rsidR="00FA7A82" w:rsidRPr="00E062F6" w:rsidRDefault="00000000">
      <w:pPr>
        <w:jc w:val="both"/>
        <w:rPr>
          <w:rFonts w:ascii="Roboto" w:hAnsi="Roboto"/>
          <w:color w:val="000000" w:themeColor="text1"/>
        </w:rPr>
      </w:pPr>
      <w:r w:rsidRPr="00E062F6">
        <w:rPr>
          <w:rFonts w:ascii="Roboto" w:hAnsi="Roboto"/>
          <w:color w:val="000000" w:themeColor="text1"/>
        </w:rPr>
        <w:t>On 12 May 2023, Jordanian authorities extradited al-</w:t>
      </w:r>
      <w:proofErr w:type="spellStart"/>
      <w:r w:rsidRPr="00E062F6">
        <w:rPr>
          <w:rFonts w:ascii="Roboto" w:hAnsi="Roboto"/>
          <w:color w:val="000000" w:themeColor="text1"/>
        </w:rPr>
        <w:t>Romaithi</w:t>
      </w:r>
      <w:proofErr w:type="spellEnd"/>
      <w:r w:rsidRPr="00E062F6">
        <w:rPr>
          <w:rFonts w:ascii="Roboto" w:hAnsi="Roboto"/>
          <w:color w:val="000000" w:themeColor="text1"/>
        </w:rPr>
        <w:t xml:space="preserve"> to the UAE. Emirati state media </w:t>
      </w:r>
      <w:r w:rsidRPr="00E062F6">
        <w:rPr>
          <w:rFonts w:ascii="Roboto" w:hAnsi="Roboto"/>
        </w:rPr>
        <w:t>claimed</w:t>
      </w:r>
      <w:r w:rsidRPr="00E062F6">
        <w:rPr>
          <w:rFonts w:ascii="Roboto" w:hAnsi="Roboto"/>
          <w:color w:val="000000" w:themeColor="text1"/>
        </w:rPr>
        <w:t xml:space="preserve"> al-</w:t>
      </w:r>
      <w:proofErr w:type="spellStart"/>
      <w:r w:rsidRPr="00E062F6">
        <w:rPr>
          <w:rFonts w:ascii="Roboto" w:hAnsi="Roboto"/>
          <w:color w:val="000000" w:themeColor="text1"/>
        </w:rPr>
        <w:t>Romaithi</w:t>
      </w:r>
      <w:proofErr w:type="spellEnd"/>
      <w:r w:rsidRPr="00E062F6">
        <w:rPr>
          <w:rFonts w:ascii="Roboto" w:hAnsi="Roboto"/>
          <w:color w:val="000000" w:themeColor="text1"/>
        </w:rPr>
        <w:t xml:space="preserve"> is a 'terrorist' charged with the creation and establishment of a secret organisation affiliated with the terrorist Muslim Brotherhood.</w:t>
      </w:r>
      <w:r w:rsidRPr="00E062F6">
        <w:rPr>
          <w:rStyle w:val="FootnoteReference"/>
          <w:rFonts w:ascii="Roboto" w:hAnsi="Roboto"/>
          <w:color w:val="000000" w:themeColor="text1"/>
        </w:rPr>
        <w:footnoteReference w:id="87"/>
      </w:r>
    </w:p>
    <w:p w14:paraId="034F7C5C" w14:textId="77777777" w:rsidR="00FA7A82" w:rsidRPr="00E062F6" w:rsidRDefault="00000000">
      <w:pPr>
        <w:jc w:val="both"/>
        <w:rPr>
          <w:rFonts w:ascii="Roboto" w:hAnsi="Roboto"/>
          <w:color w:val="000000" w:themeColor="text1"/>
        </w:rPr>
      </w:pPr>
      <w:r w:rsidRPr="00E062F6">
        <w:rPr>
          <w:rFonts w:ascii="Roboto" w:hAnsi="Roboto"/>
          <w:color w:val="000000" w:themeColor="text1"/>
        </w:rPr>
        <w:t>On 15 May 2023, MENA Rights Group submitted an urgent appeal to the UN Working Group on Enforced or Involuntary Disappearances, urging them to intervene with Jordanian and Emirati authorities to clarify al-</w:t>
      </w:r>
      <w:proofErr w:type="spellStart"/>
      <w:r w:rsidRPr="00E062F6">
        <w:rPr>
          <w:rFonts w:ascii="Roboto" w:hAnsi="Roboto"/>
          <w:color w:val="000000" w:themeColor="text1"/>
        </w:rPr>
        <w:t>Romaithi’s</w:t>
      </w:r>
      <w:proofErr w:type="spellEnd"/>
      <w:r w:rsidRPr="00E062F6">
        <w:rPr>
          <w:rFonts w:ascii="Roboto" w:hAnsi="Roboto"/>
          <w:color w:val="000000" w:themeColor="text1"/>
        </w:rPr>
        <w:t xml:space="preserve"> fate and whereabouts. </w:t>
      </w:r>
      <w:r w:rsidRPr="00E062F6">
        <w:rPr>
          <w:rFonts w:ascii="Roboto" w:hAnsi="Roboto"/>
          <w:color w:val="000000" w:themeColor="text1"/>
        </w:rPr>
        <w:t>On 22 June 2023, the Emirati authorities responded saying that al-</w:t>
      </w:r>
      <w:proofErr w:type="spellStart"/>
      <w:r w:rsidRPr="00E062F6">
        <w:rPr>
          <w:rFonts w:ascii="Roboto" w:hAnsi="Roboto"/>
          <w:color w:val="000000" w:themeColor="text1"/>
        </w:rPr>
        <w:t>Romaithi</w:t>
      </w:r>
      <w:proofErr w:type="spellEnd"/>
      <w:r w:rsidRPr="00E062F6">
        <w:rPr>
          <w:rFonts w:ascii="Roboto" w:hAnsi="Roboto"/>
          <w:color w:val="000000" w:themeColor="text1"/>
        </w:rPr>
        <w:t xml:space="preserve"> was being detained in a “prison facility in Abu Dhabi”. </w:t>
      </w:r>
    </w:p>
    <w:p w14:paraId="1B627CE9" w14:textId="46AB272F" w:rsidR="00FA7A82" w:rsidRPr="00E062F6" w:rsidRDefault="00000000">
      <w:pPr>
        <w:jc w:val="both"/>
        <w:rPr>
          <w:rFonts w:ascii="Roboto" w:hAnsi="Roboto"/>
          <w:color w:val="000000" w:themeColor="text1"/>
        </w:rPr>
      </w:pPr>
      <w:r w:rsidRPr="00E062F6">
        <w:rPr>
          <w:rFonts w:ascii="Roboto" w:hAnsi="Roboto"/>
          <w:color w:val="000000" w:themeColor="text1"/>
        </w:rPr>
        <w:t>It was later reported that he was one of the defendants tried in the UAE84 trial, which began in December 2023. Those on trial included prominent activists and dissidents already serving long prison sentences based on abusive charges, including Ahmed Mansoor, a prominent human rights defender</w:t>
      </w:r>
      <w:r w:rsidR="009E34FF" w:rsidRPr="00E062F6">
        <w:rPr>
          <w:rFonts w:ascii="Roboto" w:hAnsi="Roboto"/>
          <w:color w:val="000000" w:themeColor="text1"/>
        </w:rPr>
        <w:t>, and</w:t>
      </w:r>
      <w:r w:rsidRPr="00E062F6">
        <w:rPr>
          <w:rFonts w:ascii="Roboto" w:hAnsi="Roboto"/>
          <w:color w:val="000000" w:themeColor="text1"/>
        </w:rPr>
        <w:t xml:space="preserve"> Nasser bin </w:t>
      </w:r>
      <w:proofErr w:type="spellStart"/>
      <w:r w:rsidRPr="00E062F6">
        <w:rPr>
          <w:rFonts w:ascii="Roboto" w:hAnsi="Roboto"/>
          <w:color w:val="000000" w:themeColor="text1"/>
        </w:rPr>
        <w:t>Ghaith</w:t>
      </w:r>
      <w:proofErr w:type="spellEnd"/>
      <w:r w:rsidRPr="00E062F6">
        <w:rPr>
          <w:rFonts w:ascii="Roboto" w:hAnsi="Roboto"/>
          <w:color w:val="000000" w:themeColor="text1"/>
        </w:rPr>
        <w:t>, an academic, as well as those convicted following the aforementioned UAE94 mass trial of 2013.</w:t>
      </w:r>
      <w:r w:rsidRPr="00E062F6">
        <w:rPr>
          <w:rStyle w:val="FootnoteReference"/>
          <w:rFonts w:ascii="Roboto" w:hAnsi="Roboto"/>
          <w:color w:val="000000" w:themeColor="text1"/>
        </w:rPr>
        <w:footnoteReference w:id="88"/>
      </w:r>
      <w:r w:rsidRPr="00E062F6">
        <w:rPr>
          <w:rFonts w:ascii="Roboto" w:hAnsi="Roboto"/>
          <w:color w:val="000000" w:themeColor="text1"/>
        </w:rPr>
        <w:t xml:space="preserve"> On </w:t>
      </w:r>
      <w:r w:rsidR="00F232A6" w:rsidRPr="00E062F6">
        <w:rPr>
          <w:rFonts w:ascii="Roboto" w:hAnsi="Roboto"/>
          <w:color w:val="000000" w:themeColor="text1"/>
        </w:rPr>
        <w:t xml:space="preserve">10 </w:t>
      </w:r>
      <w:r w:rsidRPr="00E062F6">
        <w:rPr>
          <w:rFonts w:ascii="Roboto" w:hAnsi="Roboto"/>
          <w:color w:val="000000" w:themeColor="text1"/>
        </w:rPr>
        <w:t>July 2024, the Abu Dhabi Federal Appeals Court meted out sentences ranging from between 15 years to life in prison in the UAE’s second largest unfair mass trial. It is not clear what sentence was handed down to al-</w:t>
      </w:r>
      <w:proofErr w:type="spellStart"/>
      <w:r w:rsidRPr="00E062F6">
        <w:rPr>
          <w:rFonts w:ascii="Roboto" w:hAnsi="Roboto"/>
          <w:color w:val="000000" w:themeColor="text1"/>
        </w:rPr>
        <w:t>Romaithi</w:t>
      </w:r>
      <w:proofErr w:type="spellEnd"/>
      <w:r w:rsidRPr="00E062F6">
        <w:rPr>
          <w:rFonts w:ascii="Roboto" w:hAnsi="Roboto"/>
          <w:color w:val="000000" w:themeColor="text1"/>
        </w:rPr>
        <w:t>.</w:t>
      </w:r>
    </w:p>
    <w:p w14:paraId="4ADBBFF5" w14:textId="77777777" w:rsidR="00FA7A82" w:rsidRPr="00E062F6" w:rsidRDefault="00000000">
      <w:pPr>
        <w:pStyle w:val="Title"/>
        <w:jc w:val="both"/>
      </w:pPr>
      <w:r w:rsidRPr="00E062F6">
        <w:t>Recommendations:</w:t>
      </w:r>
    </w:p>
    <w:p w14:paraId="6B5FEFF2" w14:textId="77777777" w:rsidR="00FA7A82" w:rsidRPr="00E062F6" w:rsidRDefault="00000000">
      <w:pPr>
        <w:pStyle w:val="ListParagraph"/>
        <w:numPr>
          <w:ilvl w:val="0"/>
          <w:numId w:val="5"/>
        </w:numPr>
        <w:jc w:val="both"/>
        <w:rPr>
          <w:rFonts w:ascii="Roboto" w:hAnsi="Roboto"/>
          <w:color w:val="543192"/>
        </w:rPr>
      </w:pPr>
      <w:r w:rsidRPr="00E062F6">
        <w:rPr>
          <w:rFonts w:ascii="Roboto" w:hAnsi="Roboto"/>
          <w:color w:val="543192"/>
        </w:rPr>
        <w:t xml:space="preserve">Review existing regional legal frameworks, such as the Riyadh Arab Agreement for Judicial Cooperation and the Arab Convention for the Suppression of Terrorism, to </w:t>
      </w:r>
      <w:r w:rsidRPr="00E062F6">
        <w:rPr>
          <w:rFonts w:ascii="Roboto" w:hAnsi="Roboto"/>
          <w:color w:val="543192"/>
        </w:rPr>
        <w:lastRenderedPageBreak/>
        <w:t xml:space="preserve">align them with international human rights standards, specifically ensuring the protection of individuals from politically motivated </w:t>
      </w:r>
      <w:proofErr w:type="gramStart"/>
      <w:r w:rsidRPr="00E062F6">
        <w:rPr>
          <w:rFonts w:ascii="Roboto" w:hAnsi="Roboto"/>
          <w:color w:val="543192"/>
        </w:rPr>
        <w:t>extraditions;</w:t>
      </w:r>
      <w:proofErr w:type="gramEnd"/>
    </w:p>
    <w:p w14:paraId="5A84FDDD" w14:textId="77777777" w:rsidR="00FA7A82" w:rsidRPr="00E062F6" w:rsidRDefault="00000000">
      <w:pPr>
        <w:pStyle w:val="ListParagraph"/>
        <w:numPr>
          <w:ilvl w:val="0"/>
          <w:numId w:val="5"/>
        </w:numPr>
        <w:jc w:val="both"/>
        <w:rPr>
          <w:rFonts w:ascii="Roboto" w:hAnsi="Roboto"/>
          <w:color w:val="543192"/>
        </w:rPr>
      </w:pPr>
      <w:r w:rsidRPr="00E062F6">
        <w:rPr>
          <w:rFonts w:ascii="Roboto" w:hAnsi="Roboto"/>
          <w:color w:val="543192"/>
        </w:rPr>
        <w:t xml:space="preserve">Establish clear and transparent procedures for evaluating states’ extradition requests, ensuring they meet international human rights standards and that they do not violate the non-refoulement </w:t>
      </w:r>
      <w:proofErr w:type="gramStart"/>
      <w:r w:rsidRPr="00E062F6">
        <w:rPr>
          <w:rFonts w:ascii="Roboto" w:hAnsi="Roboto"/>
          <w:color w:val="543192"/>
        </w:rPr>
        <w:t>principle;</w:t>
      </w:r>
      <w:proofErr w:type="gramEnd"/>
    </w:p>
    <w:p w14:paraId="3B0BF727" w14:textId="77777777" w:rsidR="00FA7A82" w:rsidRPr="00E062F6" w:rsidRDefault="00000000">
      <w:pPr>
        <w:pStyle w:val="ListParagraph"/>
        <w:numPr>
          <w:ilvl w:val="0"/>
          <w:numId w:val="5"/>
        </w:numPr>
        <w:jc w:val="both"/>
        <w:rPr>
          <w:rFonts w:ascii="Roboto" w:hAnsi="Roboto"/>
          <w:color w:val="543192"/>
        </w:rPr>
      </w:pPr>
      <w:r w:rsidRPr="00E062F6">
        <w:rPr>
          <w:rFonts w:ascii="Roboto" w:hAnsi="Roboto"/>
          <w:color w:val="543192"/>
        </w:rPr>
        <w:t xml:space="preserve">Introduce independent oversight mechanisms to review extradition requests made under the frameworks of regional agreements like the Arab Interior Ministers' Council (AIMC), so as to ensure that extradition procedures are not misused for political repression or to violate the non-refoulement </w:t>
      </w:r>
      <w:proofErr w:type="gramStart"/>
      <w:r w:rsidRPr="00E062F6">
        <w:rPr>
          <w:rFonts w:ascii="Roboto" w:hAnsi="Roboto"/>
          <w:color w:val="543192"/>
        </w:rPr>
        <w:t>principle;</w:t>
      </w:r>
      <w:proofErr w:type="gramEnd"/>
    </w:p>
    <w:p w14:paraId="55157446" w14:textId="77777777" w:rsidR="00FA7A82" w:rsidRPr="00E062F6" w:rsidRDefault="00000000">
      <w:pPr>
        <w:pStyle w:val="ListParagraph"/>
        <w:numPr>
          <w:ilvl w:val="0"/>
          <w:numId w:val="5"/>
        </w:numPr>
        <w:jc w:val="both"/>
        <w:rPr>
          <w:rFonts w:ascii="Roboto" w:hAnsi="Roboto"/>
          <w:color w:val="543192"/>
        </w:rPr>
      </w:pPr>
      <w:r w:rsidRPr="00E062F6">
        <w:rPr>
          <w:rFonts w:ascii="Roboto" w:hAnsi="Roboto"/>
          <w:color w:val="543192"/>
        </w:rPr>
        <w:t xml:space="preserve">Cease carrying out arrests and extradition proceedings on the basis of warrants issued by the Arab Interior Ministers’ Council, as long as its functioning and legal framework do not comply with international human rights </w:t>
      </w:r>
      <w:proofErr w:type="gramStart"/>
      <w:r w:rsidRPr="00E062F6">
        <w:rPr>
          <w:rFonts w:ascii="Roboto" w:hAnsi="Roboto"/>
          <w:color w:val="543192"/>
        </w:rPr>
        <w:t>law;</w:t>
      </w:r>
      <w:proofErr w:type="gramEnd"/>
    </w:p>
    <w:p w14:paraId="331A8ADB" w14:textId="77777777" w:rsidR="00FA7A82" w:rsidRPr="00E062F6" w:rsidRDefault="00000000">
      <w:pPr>
        <w:pStyle w:val="ListParagraph"/>
        <w:numPr>
          <w:ilvl w:val="0"/>
          <w:numId w:val="5"/>
        </w:numPr>
        <w:jc w:val="both"/>
        <w:rPr>
          <w:rFonts w:ascii="Roboto" w:hAnsi="Roboto"/>
          <w:color w:val="543192"/>
        </w:rPr>
      </w:pPr>
      <w:r w:rsidRPr="00E062F6">
        <w:rPr>
          <w:rFonts w:ascii="Roboto" w:hAnsi="Roboto"/>
          <w:color w:val="543192"/>
        </w:rPr>
        <w:t>Ensure victims of unlawful extraditions, including Khalaf al-</w:t>
      </w:r>
      <w:proofErr w:type="spellStart"/>
      <w:r w:rsidRPr="00E062F6">
        <w:rPr>
          <w:rFonts w:ascii="Roboto" w:hAnsi="Roboto"/>
          <w:color w:val="543192"/>
        </w:rPr>
        <w:t>Romaithi</w:t>
      </w:r>
      <w:proofErr w:type="spellEnd"/>
      <w:r w:rsidRPr="00E062F6">
        <w:rPr>
          <w:rFonts w:ascii="Roboto" w:hAnsi="Roboto"/>
          <w:color w:val="543192"/>
        </w:rPr>
        <w:t>, are provided with remedies, including reparation and guarantees of non-repetition</w:t>
      </w:r>
    </w:p>
    <w:p w14:paraId="1C4DBCD7" w14:textId="77777777" w:rsidR="00FA7A82" w:rsidRPr="00E062F6" w:rsidRDefault="00000000">
      <w:pPr>
        <w:pStyle w:val="ListParagraph"/>
        <w:numPr>
          <w:ilvl w:val="0"/>
          <w:numId w:val="5"/>
        </w:numPr>
        <w:jc w:val="both"/>
        <w:rPr>
          <w:rFonts w:ascii="Roboto" w:hAnsi="Roboto"/>
          <w:color w:val="543192"/>
        </w:rPr>
      </w:pPr>
      <w:r w:rsidRPr="00E062F6">
        <w:rPr>
          <w:rFonts w:ascii="Roboto" w:hAnsi="Roboto"/>
          <w:color w:val="543192"/>
        </w:rPr>
        <w:t xml:space="preserve">Guarantee that individuals subject to extradition have access to fair legal processes, including the right to challenge extradition decisions before independent courts or tribunals, and ensure that these challenges suspend the enforcement of any deportation or extradition </w:t>
      </w:r>
      <w:proofErr w:type="gramStart"/>
      <w:r w:rsidRPr="00E062F6">
        <w:rPr>
          <w:rFonts w:ascii="Roboto" w:hAnsi="Roboto"/>
          <w:color w:val="543192"/>
        </w:rPr>
        <w:t>orders;</w:t>
      </w:r>
      <w:proofErr w:type="gramEnd"/>
    </w:p>
    <w:p w14:paraId="6D52504E" w14:textId="77777777" w:rsidR="00FA7A82" w:rsidRPr="00E062F6" w:rsidRDefault="00000000">
      <w:pPr>
        <w:pStyle w:val="ListParagraph"/>
        <w:numPr>
          <w:ilvl w:val="0"/>
          <w:numId w:val="5"/>
        </w:numPr>
        <w:jc w:val="both"/>
        <w:rPr>
          <w:rFonts w:ascii="Roboto" w:hAnsi="Roboto"/>
          <w:color w:val="543192"/>
        </w:rPr>
      </w:pPr>
      <w:r w:rsidRPr="00E062F6">
        <w:rPr>
          <w:rFonts w:ascii="Roboto" w:hAnsi="Roboto"/>
          <w:color w:val="543192"/>
        </w:rPr>
        <w:t>Advocate for the inclusion of non-refoulement and other human rights safeguards in all regional and international judicial cooperation agreements to prevent the misuse of extradition for politically motivated purposes.</w:t>
      </w:r>
    </w:p>
    <w:p w14:paraId="09DFB620" w14:textId="77777777" w:rsidR="00FA7A82" w:rsidRPr="00E062F6" w:rsidRDefault="00000000">
      <w:pPr>
        <w:pStyle w:val="Heading1"/>
        <w:spacing w:line="276" w:lineRule="auto"/>
        <w:jc w:val="both"/>
      </w:pPr>
      <w:bookmarkStart w:id="10" w:name="_Toc178092640"/>
      <w:bookmarkStart w:id="11" w:name="_Toc178610932"/>
      <w:r w:rsidRPr="00E062F6">
        <w:t>Treatment of persons subjected to arrest, detention or imprisonment (article 11)</w:t>
      </w:r>
      <w:bookmarkEnd w:id="10"/>
      <w:bookmarkEnd w:id="11"/>
    </w:p>
    <w:p w14:paraId="3546421D" w14:textId="77777777" w:rsidR="00FA7A82" w:rsidRPr="00E062F6" w:rsidRDefault="00000000">
      <w:pPr>
        <w:pStyle w:val="Heading2"/>
        <w:jc w:val="both"/>
      </w:pPr>
      <w:bookmarkStart w:id="12" w:name="_Toc178610933"/>
      <w:r w:rsidRPr="00E062F6">
        <w:t>Violent arrests</w:t>
      </w:r>
      <w:bookmarkEnd w:id="12"/>
    </w:p>
    <w:p w14:paraId="63631512" w14:textId="77777777" w:rsidR="00FA7A82" w:rsidRPr="00E062F6" w:rsidRDefault="00000000">
      <w:pPr>
        <w:jc w:val="both"/>
        <w:rPr>
          <w:rFonts w:ascii="Roboto" w:hAnsi="Roboto"/>
          <w:color w:val="000000" w:themeColor="text1"/>
        </w:rPr>
      </w:pPr>
      <w:r w:rsidRPr="00E062F6">
        <w:rPr>
          <w:rFonts w:ascii="Roboto" w:hAnsi="Roboto"/>
          <w:color w:val="000000" w:themeColor="text1"/>
        </w:rPr>
        <w:t>In Jordan, arrests are often carried out with excessive physical force and violence. These practices are routinely executed by members of Jordan’s two primary security agencies: the General Intelligence Department (GID) and the Preventative Security branch of the Public Security Directorate (PSD).</w:t>
      </w:r>
      <w:r w:rsidRPr="00E062F6">
        <w:rPr>
          <w:rFonts w:ascii="Roboto" w:hAnsi="Roboto"/>
          <w:color w:val="000000" w:themeColor="text1"/>
          <w:vertAlign w:val="superscript"/>
        </w:rPr>
        <w:footnoteReference w:id="89"/>
      </w:r>
    </w:p>
    <w:p w14:paraId="1A8AA041" w14:textId="77777777" w:rsidR="00FA7A82" w:rsidRPr="00E062F6" w:rsidRDefault="00000000">
      <w:pPr>
        <w:jc w:val="both"/>
        <w:rPr>
          <w:rFonts w:ascii="Roboto" w:hAnsi="Roboto"/>
          <w:color w:val="000000" w:themeColor="text1"/>
        </w:rPr>
      </w:pPr>
      <w:r w:rsidRPr="00E062F6">
        <w:rPr>
          <w:rFonts w:ascii="Roboto" w:hAnsi="Roboto"/>
          <w:color w:val="000000" w:themeColor="text1"/>
        </w:rPr>
        <w:t>The PSD is composed of the police, prison, and border services and falls under the authority of the Ministry of Interior.</w:t>
      </w:r>
      <w:r w:rsidRPr="00E062F6">
        <w:rPr>
          <w:rStyle w:val="FootnoteReference"/>
          <w:rFonts w:ascii="Roboto" w:hAnsi="Roboto"/>
          <w:color w:val="000000" w:themeColor="text1"/>
        </w:rPr>
        <w:footnoteReference w:id="90"/>
      </w:r>
      <w:r w:rsidRPr="00E062F6">
        <w:rPr>
          <w:rFonts w:ascii="Roboto" w:hAnsi="Roboto"/>
          <w:color w:val="000000" w:themeColor="text1"/>
        </w:rPr>
        <w:t xml:space="preserve"> </w:t>
      </w:r>
    </w:p>
    <w:p w14:paraId="59C08550" w14:textId="77777777" w:rsidR="00FA7A82" w:rsidRPr="00E062F6" w:rsidRDefault="00000000">
      <w:pPr>
        <w:jc w:val="both"/>
        <w:rPr>
          <w:rFonts w:ascii="Roboto" w:hAnsi="Roboto"/>
          <w:color w:val="000000" w:themeColor="text1"/>
        </w:rPr>
      </w:pPr>
      <w:r w:rsidRPr="00E062F6">
        <w:rPr>
          <w:rFonts w:ascii="Roboto" w:hAnsi="Roboto"/>
          <w:color w:val="000000" w:themeColor="text1"/>
        </w:rPr>
        <w:lastRenderedPageBreak/>
        <w:t>The GID, established by Act No. 24 of 1964</w:t>
      </w:r>
      <w:r w:rsidRPr="00E062F6">
        <w:rPr>
          <w:rFonts w:ascii="Roboto" w:hAnsi="Roboto"/>
          <w:color w:val="000000" w:themeColor="text1"/>
        </w:rPr>
        <w:t xml:space="preserve"> (also known as the GID law)</w:t>
      </w:r>
      <w:r w:rsidRPr="00E062F6">
        <w:rPr>
          <w:rFonts w:ascii="Roboto" w:hAnsi="Roboto"/>
          <w:color w:val="000000" w:themeColor="text1"/>
        </w:rPr>
        <w:t>, is notably tasked with carrying out “intelligence duties and operations to safeguard national security”.</w:t>
      </w:r>
      <w:r w:rsidRPr="00E062F6">
        <w:rPr>
          <w:rStyle w:val="FootnoteReference"/>
          <w:rFonts w:ascii="Roboto" w:hAnsi="Roboto"/>
          <w:color w:val="000000" w:themeColor="text1"/>
        </w:rPr>
        <w:footnoteReference w:id="91"/>
      </w:r>
      <w:r w:rsidRPr="00E062F6">
        <w:rPr>
          <w:rFonts w:ascii="Roboto" w:hAnsi="Roboto"/>
          <w:color w:val="000000" w:themeColor="text1"/>
        </w:rPr>
        <w:t xml:space="preserve"> The GID General Director is appointed directly by the king and reports to the prime minister, and GID officers are appointed by royal decree and are considered members of the armed forces.</w:t>
      </w:r>
      <w:r w:rsidRPr="00E062F6">
        <w:rPr>
          <w:rStyle w:val="FootnoteReference"/>
          <w:rFonts w:ascii="Roboto" w:hAnsi="Roboto"/>
          <w:color w:val="000000" w:themeColor="text1"/>
        </w:rPr>
        <w:footnoteReference w:id="92"/>
      </w:r>
      <w:r w:rsidRPr="00E062F6">
        <w:rPr>
          <w:rFonts w:ascii="Roboto" w:hAnsi="Roboto"/>
          <w:color w:val="000000" w:themeColor="text1"/>
        </w:rPr>
        <w:t xml:space="preserve"> </w:t>
      </w:r>
    </w:p>
    <w:p w14:paraId="7BB95E31" w14:textId="77777777" w:rsidR="00FA7A82" w:rsidRPr="00E062F6" w:rsidRDefault="00000000">
      <w:pPr>
        <w:jc w:val="both"/>
        <w:rPr>
          <w:rFonts w:ascii="Roboto" w:hAnsi="Roboto"/>
          <w:color w:val="000000" w:themeColor="text1"/>
        </w:rPr>
      </w:pPr>
      <w:r w:rsidRPr="00E062F6">
        <w:rPr>
          <w:rFonts w:ascii="Roboto" w:hAnsi="Roboto"/>
          <w:color w:val="000000" w:themeColor="text1"/>
        </w:rPr>
        <w:t>The Committee has asked the State party to indicate steps taken to place all State security departments under civilian authority and oversight, particularly the GID.</w:t>
      </w:r>
      <w:r w:rsidRPr="00E062F6">
        <w:rPr>
          <w:rStyle w:val="FootnoteReference"/>
          <w:rFonts w:ascii="Roboto" w:hAnsi="Roboto"/>
        </w:rPr>
        <w:footnoteReference w:id="93"/>
      </w:r>
      <w:r w:rsidRPr="00E062F6">
        <w:rPr>
          <w:rFonts w:ascii="Roboto" w:hAnsi="Roboto"/>
          <w:color w:val="000000" w:themeColor="text1"/>
        </w:rPr>
        <w:t xml:space="preserve"> Although the GID is not a law enforcement agency and therefore lacks formal powers of arrest or detention, it exercises such powers in practice.</w:t>
      </w:r>
      <w:r w:rsidRPr="00E062F6">
        <w:rPr>
          <w:rStyle w:val="FootnoteReference"/>
          <w:rFonts w:ascii="Roboto" w:hAnsi="Roboto"/>
          <w:color w:val="000000" w:themeColor="text1"/>
        </w:rPr>
        <w:footnoteReference w:id="94"/>
      </w:r>
      <w:r w:rsidRPr="00E062F6">
        <w:rPr>
          <w:rFonts w:ascii="Roboto" w:hAnsi="Roboto"/>
          <w:color w:val="000000" w:themeColor="text1"/>
        </w:rPr>
        <w:t xml:space="preserve"> GID officers regularly carry out arrests without warrants and in civilian clothing.</w:t>
      </w:r>
      <w:r w:rsidRPr="00E062F6">
        <w:rPr>
          <w:rStyle w:val="FootnoteReference"/>
          <w:rFonts w:ascii="Roboto" w:hAnsi="Roboto"/>
          <w:color w:val="000000" w:themeColor="text1"/>
        </w:rPr>
        <w:footnoteReference w:id="95"/>
      </w:r>
    </w:p>
    <w:p w14:paraId="417C8DA6" w14:textId="77777777" w:rsidR="00FA7A82" w:rsidRPr="00E062F6" w:rsidRDefault="00000000">
      <w:pPr>
        <w:jc w:val="both"/>
        <w:rPr>
          <w:rFonts w:ascii="Roboto" w:hAnsi="Roboto"/>
          <w:color w:val="000000" w:themeColor="text1"/>
        </w:rPr>
      </w:pPr>
      <w:r w:rsidRPr="00E062F6">
        <w:rPr>
          <w:rFonts w:ascii="Roboto" w:hAnsi="Roboto"/>
          <w:color w:val="000000" w:themeColor="text1"/>
        </w:rPr>
        <w:t>Between 2018 and 2021, Human Rights Watch documented 10 cases of activists arrested by members of the GID and the Preventive Security of the PSD wearing civilian clothing.</w:t>
      </w:r>
      <w:r w:rsidRPr="00E062F6">
        <w:rPr>
          <w:rStyle w:val="FootnoteReference"/>
          <w:rFonts w:ascii="Roboto" w:hAnsi="Roboto"/>
          <w:color w:val="000000" w:themeColor="text1"/>
        </w:rPr>
        <w:footnoteReference w:id="96"/>
      </w:r>
      <w:r w:rsidRPr="00E062F6">
        <w:rPr>
          <w:rFonts w:ascii="Roboto" w:hAnsi="Roboto"/>
          <w:color w:val="000000" w:themeColor="text1"/>
        </w:rPr>
        <w:t xml:space="preserve"> </w:t>
      </w:r>
    </w:p>
    <w:p w14:paraId="239440A0" w14:textId="753AF7D2" w:rsidR="00FA7A82" w:rsidRPr="00E062F6" w:rsidRDefault="00000000">
      <w:pPr>
        <w:jc w:val="both"/>
        <w:rPr>
          <w:rFonts w:ascii="Roboto" w:hAnsi="Roboto"/>
          <w:color w:val="000000" w:themeColor="text1"/>
        </w:rPr>
      </w:pPr>
      <w:r w:rsidRPr="00E062F6">
        <w:rPr>
          <w:rFonts w:ascii="Roboto" w:hAnsi="Roboto"/>
          <w:color w:val="000000" w:themeColor="text1"/>
        </w:rPr>
        <w:t>On 13 November 2023, activist Kamil al-</w:t>
      </w:r>
      <w:proofErr w:type="spellStart"/>
      <w:r w:rsidRPr="00E062F6">
        <w:rPr>
          <w:rFonts w:ascii="Roboto" w:hAnsi="Roboto"/>
          <w:color w:val="000000" w:themeColor="text1"/>
        </w:rPr>
        <w:t>Zoubi</w:t>
      </w:r>
      <w:proofErr w:type="spellEnd"/>
      <w:r w:rsidRPr="00E062F6">
        <w:rPr>
          <w:rFonts w:ascii="Roboto" w:hAnsi="Roboto"/>
          <w:color w:val="000000" w:themeColor="text1"/>
        </w:rPr>
        <w:t xml:space="preserve"> was violently arrested in Ramtha city by members of the GID and the Preventive Security branch of the PSD. The arrest took place near the main Ramtha roundabout, following a march in support of Gaza. There, about </w:t>
      </w:r>
      <w:r w:rsidRPr="00E062F6">
        <w:rPr>
          <w:rFonts w:ascii="Roboto" w:hAnsi="Roboto"/>
          <w:color w:val="000000" w:themeColor="text1"/>
        </w:rPr>
        <w:t>five</w:t>
      </w:r>
      <w:r w:rsidRPr="00E062F6">
        <w:rPr>
          <w:rFonts w:ascii="Roboto" w:hAnsi="Roboto"/>
          <w:color w:val="000000" w:themeColor="text1"/>
        </w:rPr>
        <w:t xml:space="preserve"> cars of the GID and the PSD arrived, and about 20 members from both agencies arrested him. He was beaten, pinned to the ground and dragged across the roundabout. Al-</w:t>
      </w:r>
      <w:proofErr w:type="spellStart"/>
      <w:r w:rsidRPr="00E062F6">
        <w:rPr>
          <w:rFonts w:ascii="Roboto" w:hAnsi="Roboto"/>
          <w:color w:val="000000" w:themeColor="text1"/>
        </w:rPr>
        <w:t>Zoubi</w:t>
      </w:r>
      <w:proofErr w:type="spellEnd"/>
      <w:r w:rsidRPr="00E062F6">
        <w:rPr>
          <w:rFonts w:ascii="Roboto" w:hAnsi="Roboto"/>
          <w:color w:val="000000" w:themeColor="text1"/>
        </w:rPr>
        <w:t xml:space="preserve"> was ultimately charged </w:t>
      </w:r>
      <w:proofErr w:type="gramStart"/>
      <w:r w:rsidRPr="00E062F6">
        <w:rPr>
          <w:rFonts w:ascii="Roboto" w:hAnsi="Roboto"/>
          <w:color w:val="000000" w:themeColor="text1"/>
        </w:rPr>
        <w:t>on the basis of</w:t>
      </w:r>
      <w:proofErr w:type="gramEnd"/>
      <w:r w:rsidRPr="00E062F6">
        <w:rPr>
          <w:rFonts w:ascii="Roboto" w:hAnsi="Roboto"/>
          <w:color w:val="000000" w:themeColor="text1"/>
        </w:rPr>
        <w:t xml:space="preserve"> the Cybercrime Law and sentenced to three months of imprisonment for a post on his Twitter </w:t>
      </w:r>
      <w:r w:rsidRPr="00E062F6">
        <w:rPr>
          <w:rFonts w:ascii="Roboto" w:hAnsi="Roboto"/>
          <w:color w:val="000000" w:themeColor="text1"/>
        </w:rPr>
        <w:t xml:space="preserve">(or “X”) </w:t>
      </w:r>
      <w:r w:rsidRPr="00E062F6">
        <w:rPr>
          <w:rFonts w:ascii="Roboto" w:hAnsi="Roboto"/>
          <w:color w:val="000000" w:themeColor="text1"/>
        </w:rPr>
        <w:t>profile.</w:t>
      </w:r>
      <w:r w:rsidRPr="00E062F6">
        <w:rPr>
          <w:rFonts w:ascii="Roboto" w:hAnsi="Roboto"/>
          <w:color w:val="000000" w:themeColor="text1"/>
          <w:vertAlign w:val="superscript"/>
        </w:rPr>
        <w:footnoteReference w:id="97"/>
      </w:r>
      <w:r w:rsidRPr="00E062F6">
        <w:rPr>
          <w:rFonts w:ascii="Roboto" w:hAnsi="Roboto"/>
          <w:color w:val="000000" w:themeColor="text1"/>
        </w:rPr>
        <w:t xml:space="preserve">  The post included a short video showing trucks transporting American equipment to Israel from bases within Jordan, with text asking for accountability for the responsibility of the Jordanian government.</w:t>
      </w:r>
      <w:r w:rsidRPr="00E062F6">
        <w:rPr>
          <w:rStyle w:val="FootnoteReference"/>
          <w:rFonts w:ascii="Roboto" w:hAnsi="Roboto"/>
          <w:color w:val="000000" w:themeColor="text1"/>
        </w:rPr>
        <w:footnoteReference w:id="98"/>
      </w:r>
    </w:p>
    <w:p w14:paraId="67F769DE" w14:textId="77777777" w:rsidR="00FA7A82" w:rsidRPr="00E062F6" w:rsidRDefault="00000000">
      <w:pPr>
        <w:jc w:val="both"/>
        <w:rPr>
          <w:rFonts w:ascii="Roboto" w:hAnsi="Roboto"/>
          <w:color w:val="000000" w:themeColor="text1"/>
        </w:rPr>
      </w:pPr>
      <w:r w:rsidRPr="00E062F6">
        <w:rPr>
          <w:rFonts w:ascii="Roboto" w:hAnsi="Roboto"/>
          <w:color w:val="000000" w:themeColor="text1"/>
        </w:rPr>
        <w:t xml:space="preserve">Similarly, on 7 November 2023, activist Sameer </w:t>
      </w:r>
      <w:proofErr w:type="spellStart"/>
      <w:r w:rsidRPr="00E062F6">
        <w:rPr>
          <w:rFonts w:ascii="Roboto" w:hAnsi="Roboto"/>
          <w:color w:val="000000" w:themeColor="text1"/>
        </w:rPr>
        <w:t>Nemrawi</w:t>
      </w:r>
      <w:proofErr w:type="spellEnd"/>
      <w:r w:rsidRPr="00E062F6">
        <w:rPr>
          <w:rFonts w:ascii="Roboto" w:hAnsi="Roboto"/>
          <w:color w:val="000000" w:themeColor="text1"/>
        </w:rPr>
        <w:t xml:space="preserve"> was arrested on a street in Irbid governorate by members of the GID and the Preventive Security branch of the PSD, who dragged and beat him.</w:t>
      </w:r>
      <w:r w:rsidRPr="00E062F6">
        <w:rPr>
          <w:rStyle w:val="FootnoteReference"/>
          <w:rFonts w:ascii="Roboto" w:hAnsi="Roboto"/>
          <w:color w:val="000000" w:themeColor="text1"/>
        </w:rPr>
        <w:footnoteReference w:id="99"/>
      </w:r>
      <w:r w:rsidRPr="00E062F6">
        <w:rPr>
          <w:rFonts w:ascii="Roboto" w:hAnsi="Roboto"/>
          <w:color w:val="000000" w:themeColor="text1"/>
        </w:rPr>
        <w:t xml:space="preserve"> He had notably been calling for demonstrations in support of Gaza. He was ultimately charged with “unlawful gathering”, “spreading false news targeting the </w:t>
      </w:r>
      <w:r w:rsidRPr="00E062F6">
        <w:rPr>
          <w:rFonts w:ascii="Roboto" w:hAnsi="Roboto"/>
          <w:color w:val="000000" w:themeColor="text1"/>
        </w:rPr>
        <w:lastRenderedPageBreak/>
        <w:t xml:space="preserve">national security and community peace”, and “insulting a symbol of the state” under the Cybercrime Law and the Penal </w:t>
      </w:r>
      <w:proofErr w:type="gramStart"/>
      <w:r w:rsidRPr="00E062F6">
        <w:rPr>
          <w:rFonts w:ascii="Roboto" w:hAnsi="Roboto"/>
          <w:color w:val="000000" w:themeColor="text1"/>
        </w:rPr>
        <w:t>Code, and</w:t>
      </w:r>
      <w:proofErr w:type="gramEnd"/>
      <w:r w:rsidRPr="00E062F6">
        <w:rPr>
          <w:rFonts w:ascii="Roboto" w:hAnsi="Roboto"/>
          <w:color w:val="000000" w:themeColor="text1"/>
        </w:rPr>
        <w:t xml:space="preserve"> sentenced to one year in prison.</w:t>
      </w:r>
    </w:p>
    <w:p w14:paraId="74E41B07" w14:textId="77777777" w:rsidR="00FA7A82" w:rsidRPr="00E062F6" w:rsidRDefault="00000000">
      <w:pPr>
        <w:pStyle w:val="Heading2"/>
        <w:jc w:val="both"/>
      </w:pPr>
      <w:bookmarkStart w:id="13" w:name="_Toc178610934"/>
      <w:r w:rsidRPr="00E062F6">
        <w:rPr>
          <w:i/>
          <w:iCs/>
        </w:rPr>
        <w:t>Incommunicado</w:t>
      </w:r>
      <w:r w:rsidRPr="00E062F6">
        <w:t xml:space="preserve"> detention</w:t>
      </w:r>
      <w:bookmarkEnd w:id="13"/>
    </w:p>
    <w:p w14:paraId="6DEDC75D" w14:textId="77777777" w:rsidR="00FA7A82" w:rsidRPr="00E062F6" w:rsidRDefault="00000000">
      <w:pPr>
        <w:jc w:val="both"/>
        <w:rPr>
          <w:rFonts w:ascii="Roboto" w:hAnsi="Roboto"/>
          <w:color w:val="000000" w:themeColor="text1"/>
        </w:rPr>
      </w:pPr>
      <w:r w:rsidRPr="00E062F6">
        <w:rPr>
          <w:rFonts w:ascii="Roboto" w:hAnsi="Roboto"/>
          <w:color w:val="000000" w:themeColor="text1"/>
        </w:rPr>
        <w:t xml:space="preserve">Following arrests carried out by members of the GID, suspects are typically taken to GID headquarters in Amman, which operate as a detention facility, where they are held </w:t>
      </w:r>
      <w:r w:rsidRPr="00E062F6">
        <w:rPr>
          <w:rFonts w:ascii="Roboto" w:hAnsi="Roboto"/>
          <w:i/>
          <w:iCs/>
          <w:color w:val="000000" w:themeColor="text1"/>
        </w:rPr>
        <w:t>incommunicado,</w:t>
      </w:r>
      <w:r w:rsidRPr="00E062F6">
        <w:rPr>
          <w:rFonts w:ascii="Roboto" w:hAnsi="Roboto"/>
          <w:color w:val="000000" w:themeColor="text1"/>
        </w:rPr>
        <w:t xml:space="preserve"> effectively placing them outside the protection of the law and depriving them of legal safeguards.</w:t>
      </w:r>
      <w:r w:rsidRPr="00E062F6">
        <w:rPr>
          <w:rStyle w:val="FootnoteReference"/>
          <w:rFonts w:ascii="Roboto" w:hAnsi="Roboto"/>
          <w:color w:val="000000" w:themeColor="text1"/>
        </w:rPr>
        <w:footnoteReference w:id="100"/>
      </w:r>
      <w:r w:rsidRPr="00E062F6">
        <w:rPr>
          <w:rFonts w:ascii="Roboto" w:hAnsi="Roboto"/>
          <w:color w:val="000000" w:themeColor="text1"/>
        </w:rPr>
        <w:t xml:space="preserve"> </w:t>
      </w:r>
    </w:p>
    <w:p w14:paraId="44857686" w14:textId="77777777" w:rsidR="00FA7A82" w:rsidRPr="00E062F6" w:rsidRDefault="00000000">
      <w:pPr>
        <w:jc w:val="both"/>
        <w:rPr>
          <w:rFonts w:ascii="Roboto" w:hAnsi="Roboto"/>
          <w:color w:val="000000" w:themeColor="text1"/>
        </w:rPr>
      </w:pPr>
      <w:r w:rsidRPr="00E062F6">
        <w:rPr>
          <w:rFonts w:ascii="Roboto" w:hAnsi="Roboto"/>
          <w:color w:val="000000" w:themeColor="text1"/>
        </w:rPr>
        <w:t>Between 2018 and 2021, Human Rights Watch documented the cases of three activists who were held in solitary confinement at the GID headquarters in Amman. They were held with limited or no light, and irregular or no visits from families and lawyers.</w:t>
      </w:r>
      <w:r w:rsidRPr="00E062F6">
        <w:rPr>
          <w:rStyle w:val="FootnoteReference"/>
          <w:rFonts w:ascii="Roboto" w:hAnsi="Roboto"/>
          <w:color w:val="000000" w:themeColor="text1"/>
        </w:rPr>
        <w:footnoteReference w:id="101"/>
      </w:r>
      <w:r w:rsidRPr="00E062F6">
        <w:rPr>
          <w:rFonts w:ascii="Roboto" w:hAnsi="Roboto"/>
          <w:color w:val="000000" w:themeColor="text1"/>
        </w:rPr>
        <w:t xml:space="preserve"> In 2023, further reports indicated that arrested human rights activists were held </w:t>
      </w:r>
      <w:r w:rsidRPr="00E062F6">
        <w:rPr>
          <w:rFonts w:ascii="Roboto" w:hAnsi="Roboto"/>
          <w:i/>
          <w:iCs/>
          <w:color w:val="000000" w:themeColor="text1"/>
        </w:rPr>
        <w:t>incommunicado</w:t>
      </w:r>
      <w:r w:rsidRPr="00E062F6">
        <w:rPr>
          <w:rFonts w:ascii="Roboto" w:hAnsi="Roboto"/>
          <w:color w:val="000000" w:themeColor="text1"/>
        </w:rPr>
        <w:t xml:space="preserve"> to hide evidence of physical abuse by security forces.</w:t>
      </w:r>
      <w:r w:rsidRPr="00E062F6">
        <w:rPr>
          <w:rStyle w:val="FootnoteReference"/>
          <w:rFonts w:ascii="Roboto" w:hAnsi="Roboto"/>
          <w:color w:val="000000" w:themeColor="text1"/>
        </w:rPr>
        <w:footnoteReference w:id="102"/>
      </w:r>
    </w:p>
    <w:p w14:paraId="4808B9D9" w14:textId="77777777" w:rsidR="00FA7A82" w:rsidRPr="00E062F6" w:rsidRDefault="00000000">
      <w:pPr>
        <w:jc w:val="both"/>
        <w:rPr>
          <w:rFonts w:ascii="Roboto" w:hAnsi="Roboto"/>
          <w:color w:val="000000" w:themeColor="text1"/>
        </w:rPr>
      </w:pPr>
      <w:r w:rsidRPr="00E062F6">
        <w:rPr>
          <w:rFonts w:ascii="Roboto" w:hAnsi="Roboto"/>
          <w:color w:val="000000" w:themeColor="text1"/>
        </w:rPr>
        <w:t>A recent case involves activist</w:t>
      </w:r>
      <w:r w:rsidRPr="00E062F6">
        <w:rPr>
          <w:rFonts w:ascii="Roboto" w:hAnsi="Roboto"/>
          <w:b/>
          <w:bCs/>
          <w:color w:val="000000" w:themeColor="text1"/>
        </w:rPr>
        <w:t xml:space="preserve"> </w:t>
      </w:r>
      <w:r w:rsidRPr="00E062F6">
        <w:rPr>
          <w:rFonts w:ascii="Roboto" w:hAnsi="Roboto"/>
          <w:color w:val="000000" w:themeColor="text1"/>
        </w:rPr>
        <w:t xml:space="preserve">Sameer </w:t>
      </w:r>
      <w:proofErr w:type="spellStart"/>
      <w:r w:rsidRPr="00E062F6">
        <w:rPr>
          <w:rFonts w:ascii="Roboto" w:hAnsi="Roboto"/>
          <w:color w:val="000000" w:themeColor="text1"/>
        </w:rPr>
        <w:t>Nemrawi</w:t>
      </w:r>
      <w:proofErr w:type="spellEnd"/>
      <w:r w:rsidRPr="00E062F6">
        <w:rPr>
          <w:rFonts w:ascii="Roboto" w:hAnsi="Roboto"/>
          <w:color w:val="000000" w:themeColor="text1"/>
        </w:rPr>
        <w:t xml:space="preserve">, who was violently arrested in November 2023 by members of the GID and the Preventive Security branch of the Public Security Directorate (PSD) for his online advocacy in support of Palestine. </w:t>
      </w:r>
      <w:proofErr w:type="spellStart"/>
      <w:r w:rsidRPr="00E062F6">
        <w:rPr>
          <w:rFonts w:ascii="Roboto" w:hAnsi="Roboto"/>
          <w:color w:val="000000" w:themeColor="text1"/>
        </w:rPr>
        <w:t>Nemrawi</w:t>
      </w:r>
      <w:proofErr w:type="spellEnd"/>
      <w:r w:rsidRPr="00E062F6">
        <w:rPr>
          <w:rFonts w:ascii="Roboto" w:hAnsi="Roboto"/>
          <w:color w:val="000000" w:themeColor="text1"/>
        </w:rPr>
        <w:t xml:space="preserve"> was sentenced to one year of imprisonment and detained at </w:t>
      </w:r>
      <w:proofErr w:type="spellStart"/>
      <w:r w:rsidRPr="00E062F6">
        <w:rPr>
          <w:rFonts w:ascii="Roboto" w:hAnsi="Roboto"/>
          <w:color w:val="000000" w:themeColor="text1"/>
        </w:rPr>
        <w:t>Marka</w:t>
      </w:r>
      <w:proofErr w:type="spellEnd"/>
      <w:r w:rsidRPr="00E062F6">
        <w:rPr>
          <w:rFonts w:ascii="Roboto" w:hAnsi="Roboto"/>
          <w:color w:val="000000" w:themeColor="text1"/>
        </w:rPr>
        <w:t xml:space="preserve"> prison in Amman. While in detention, he was temporarily deprived of family </w:t>
      </w:r>
      <w:r w:rsidRPr="00E062F6">
        <w:rPr>
          <w:rFonts w:ascii="Roboto" w:hAnsi="Roboto"/>
          <w:color w:val="000000" w:themeColor="text1"/>
        </w:rPr>
        <w:t>visits, a tactic seemingly employed as a form of reprisal for his activism.</w:t>
      </w:r>
    </w:p>
    <w:p w14:paraId="3E966D0D" w14:textId="76692D6B" w:rsidR="00FA7A82" w:rsidRPr="00E062F6" w:rsidRDefault="00000000">
      <w:pPr>
        <w:jc w:val="both"/>
        <w:rPr>
          <w:rFonts w:ascii="Roboto" w:hAnsi="Roboto"/>
          <w:color w:val="000000" w:themeColor="text1"/>
        </w:rPr>
      </w:pPr>
      <w:r w:rsidRPr="00E062F6">
        <w:rPr>
          <w:rFonts w:ascii="Roboto" w:hAnsi="Roboto"/>
          <w:color w:val="000000" w:themeColor="text1"/>
        </w:rPr>
        <w:t xml:space="preserve">In April 2024, </w:t>
      </w:r>
      <w:proofErr w:type="spellStart"/>
      <w:r w:rsidRPr="00E062F6">
        <w:rPr>
          <w:rFonts w:ascii="Roboto" w:hAnsi="Roboto"/>
          <w:color w:val="000000" w:themeColor="text1"/>
        </w:rPr>
        <w:t>Nemrawi's</w:t>
      </w:r>
      <w:proofErr w:type="spellEnd"/>
      <w:r w:rsidRPr="00E062F6">
        <w:rPr>
          <w:rFonts w:ascii="Roboto" w:hAnsi="Roboto"/>
          <w:color w:val="000000" w:themeColor="text1"/>
        </w:rPr>
        <w:t xml:space="preserve"> elderly mother attempted to visit him at </w:t>
      </w:r>
      <w:proofErr w:type="spellStart"/>
      <w:r w:rsidRPr="00E062F6">
        <w:rPr>
          <w:rFonts w:ascii="Roboto" w:hAnsi="Roboto"/>
          <w:color w:val="000000" w:themeColor="text1"/>
        </w:rPr>
        <w:t>Marka</w:t>
      </w:r>
      <w:proofErr w:type="spellEnd"/>
      <w:r w:rsidRPr="00E062F6">
        <w:rPr>
          <w:rFonts w:ascii="Roboto" w:hAnsi="Roboto"/>
          <w:color w:val="000000" w:themeColor="text1"/>
        </w:rPr>
        <w:t xml:space="preserve"> prison, but members of the PSD and the prison administration denied her request. Throughout the entire month, </w:t>
      </w:r>
      <w:proofErr w:type="spellStart"/>
      <w:r w:rsidRPr="00E062F6">
        <w:rPr>
          <w:rFonts w:ascii="Roboto" w:hAnsi="Roboto"/>
          <w:color w:val="000000" w:themeColor="text1"/>
        </w:rPr>
        <w:t>Nemrawi</w:t>
      </w:r>
      <w:proofErr w:type="spellEnd"/>
      <w:r w:rsidRPr="00E062F6">
        <w:rPr>
          <w:rFonts w:ascii="Roboto" w:hAnsi="Roboto"/>
          <w:color w:val="000000" w:themeColor="text1"/>
        </w:rPr>
        <w:t xml:space="preserve"> was allowed to contact his family only once, during which he communicated that the denial of visits was a punishment for his vocal support of Gaza. In May 2024, </w:t>
      </w:r>
      <w:proofErr w:type="spellStart"/>
      <w:r w:rsidRPr="00E062F6">
        <w:rPr>
          <w:rFonts w:ascii="Roboto" w:hAnsi="Roboto"/>
          <w:color w:val="000000" w:themeColor="text1"/>
        </w:rPr>
        <w:t>Nemrawi’s</w:t>
      </w:r>
      <w:proofErr w:type="spellEnd"/>
      <w:r w:rsidRPr="00E062F6">
        <w:rPr>
          <w:rFonts w:ascii="Roboto" w:hAnsi="Roboto"/>
          <w:color w:val="000000" w:themeColor="text1"/>
        </w:rPr>
        <w:t xml:space="preserve"> sister also tried to visit him at the prison, but the prison administration and Preventive Security branch informed her that </w:t>
      </w:r>
      <w:proofErr w:type="spellStart"/>
      <w:r w:rsidRPr="00E062F6">
        <w:rPr>
          <w:rFonts w:ascii="Roboto" w:hAnsi="Roboto"/>
          <w:color w:val="000000" w:themeColor="text1"/>
        </w:rPr>
        <w:t>Nemrawi</w:t>
      </w:r>
      <w:proofErr w:type="spellEnd"/>
      <w:r w:rsidRPr="00E062F6">
        <w:rPr>
          <w:rFonts w:ascii="Roboto" w:hAnsi="Roboto"/>
          <w:color w:val="000000" w:themeColor="text1"/>
        </w:rPr>
        <w:t xml:space="preserve"> had been charged with "resisting security personnel" while in detention. As a result, he was barred from receiving visitors, with no indication as to how long the ban would last.</w:t>
      </w:r>
    </w:p>
    <w:p w14:paraId="2BE2639D" w14:textId="77777777" w:rsidR="00FA7A82" w:rsidRPr="00E062F6" w:rsidRDefault="00000000">
      <w:pPr>
        <w:jc w:val="both"/>
        <w:rPr>
          <w:rFonts w:ascii="Roboto" w:hAnsi="Roboto"/>
          <w:color w:val="000000" w:themeColor="text1"/>
        </w:rPr>
      </w:pPr>
      <w:r w:rsidRPr="00E062F6">
        <w:rPr>
          <w:rFonts w:ascii="Roboto" w:hAnsi="Roboto"/>
          <w:color w:val="000000" w:themeColor="text1"/>
        </w:rPr>
        <w:t xml:space="preserve">Despite this, </w:t>
      </w:r>
      <w:proofErr w:type="spellStart"/>
      <w:r w:rsidRPr="00E062F6">
        <w:rPr>
          <w:rFonts w:ascii="Roboto" w:hAnsi="Roboto"/>
          <w:color w:val="000000" w:themeColor="text1"/>
        </w:rPr>
        <w:t>Nemrawi’s</w:t>
      </w:r>
      <w:proofErr w:type="spellEnd"/>
      <w:r w:rsidRPr="00E062F6">
        <w:rPr>
          <w:rFonts w:ascii="Roboto" w:hAnsi="Roboto"/>
          <w:color w:val="000000" w:themeColor="text1"/>
        </w:rPr>
        <w:t xml:space="preserve"> sister persisted in her request, and the prison administrator eventually allowed her a brief visit. She was permitted to see her brother for no more than five minutes, under the condition that the visitation ban would remain in place until a final decision was issued by the prison administration. During the short visit, </w:t>
      </w:r>
      <w:proofErr w:type="spellStart"/>
      <w:r w:rsidRPr="00E062F6">
        <w:rPr>
          <w:rFonts w:ascii="Roboto" w:hAnsi="Roboto"/>
          <w:color w:val="000000" w:themeColor="text1"/>
        </w:rPr>
        <w:t>Nemrawi</w:t>
      </w:r>
      <w:proofErr w:type="spellEnd"/>
      <w:r w:rsidRPr="00E062F6">
        <w:rPr>
          <w:rFonts w:ascii="Roboto" w:hAnsi="Roboto"/>
          <w:color w:val="000000" w:themeColor="text1"/>
        </w:rPr>
        <w:t xml:space="preserve"> shared with his sister that he had not resisted the security personnel and that the charge of "resisting security personnel" was false, fabricated to justify his continued isolation.</w:t>
      </w:r>
    </w:p>
    <w:p w14:paraId="27145A59" w14:textId="3C006898" w:rsidR="00FA7A82" w:rsidRPr="00E062F6" w:rsidRDefault="00000000">
      <w:pPr>
        <w:pStyle w:val="Heading2"/>
        <w:jc w:val="both"/>
      </w:pPr>
      <w:bookmarkStart w:id="14" w:name="_Toc178610935"/>
      <w:r w:rsidRPr="00E062F6">
        <w:t>Torture in detention</w:t>
      </w:r>
      <w:bookmarkEnd w:id="14"/>
      <w:r w:rsidRPr="00E062F6">
        <w:t xml:space="preserve"> </w:t>
      </w:r>
    </w:p>
    <w:p w14:paraId="52DAD9C7" w14:textId="77777777" w:rsidR="00FA7A82" w:rsidRPr="00E062F6" w:rsidRDefault="00000000">
      <w:pPr>
        <w:jc w:val="both"/>
        <w:rPr>
          <w:rFonts w:ascii="Roboto" w:hAnsi="Roboto"/>
          <w:color w:val="000000" w:themeColor="text1"/>
        </w:rPr>
      </w:pPr>
      <w:r w:rsidRPr="00E062F6">
        <w:rPr>
          <w:rFonts w:ascii="Roboto" w:hAnsi="Roboto"/>
          <w:color w:val="000000" w:themeColor="text1"/>
        </w:rPr>
        <w:t>In response to the Committee’s list of issues, the State party asserted that “</w:t>
      </w:r>
      <w:r w:rsidRPr="00E062F6">
        <w:rPr>
          <w:rFonts w:ascii="Roboto" w:eastAsia="Symbol" w:hAnsi="Roboto" w:cs="Symbol"/>
          <w:color w:val="000000" w:themeColor="text1"/>
        </w:rPr>
        <w:t></w:t>
      </w:r>
      <w:proofErr w:type="spellStart"/>
      <w:r w:rsidRPr="00E062F6">
        <w:rPr>
          <w:rFonts w:ascii="Roboto" w:hAnsi="Roboto"/>
          <w:color w:val="000000" w:themeColor="text1"/>
        </w:rPr>
        <w:t>b</w:t>
      </w:r>
      <w:r w:rsidRPr="00E062F6">
        <w:rPr>
          <w:rFonts w:ascii="Roboto" w:eastAsia="Symbol" w:hAnsi="Roboto" w:cs="Symbol"/>
          <w:color w:val="000000" w:themeColor="text1"/>
        </w:rPr>
        <w:t></w:t>
      </w:r>
      <w:r w:rsidRPr="00E062F6">
        <w:rPr>
          <w:rFonts w:ascii="Roboto" w:hAnsi="Roboto"/>
          <w:color w:val="000000" w:themeColor="text1"/>
        </w:rPr>
        <w:t>eatings</w:t>
      </w:r>
      <w:proofErr w:type="spellEnd"/>
      <w:r w:rsidRPr="00E062F6">
        <w:rPr>
          <w:rFonts w:ascii="Roboto" w:hAnsi="Roboto"/>
          <w:color w:val="000000" w:themeColor="text1"/>
        </w:rPr>
        <w:t xml:space="preserve"> and ill-treatment of detained persons are </w:t>
      </w:r>
      <w:proofErr w:type="gramStart"/>
      <w:r w:rsidRPr="00E062F6">
        <w:rPr>
          <w:rFonts w:ascii="Roboto" w:hAnsi="Roboto"/>
          <w:color w:val="000000" w:themeColor="text1"/>
        </w:rPr>
        <w:t>prohibited, and</w:t>
      </w:r>
      <w:proofErr w:type="gramEnd"/>
      <w:r w:rsidRPr="00E062F6">
        <w:rPr>
          <w:rFonts w:ascii="Roboto" w:hAnsi="Roboto"/>
          <w:color w:val="000000" w:themeColor="text1"/>
        </w:rPr>
        <w:t xml:space="preserve"> are criminalized and punished under </w:t>
      </w:r>
      <w:r w:rsidRPr="00E062F6">
        <w:rPr>
          <w:rFonts w:ascii="Roboto" w:hAnsi="Roboto"/>
          <w:color w:val="000000" w:themeColor="text1"/>
        </w:rPr>
        <w:lastRenderedPageBreak/>
        <w:t>national law”.</w:t>
      </w:r>
      <w:r w:rsidRPr="00E062F6">
        <w:rPr>
          <w:rStyle w:val="FootnoteReference"/>
          <w:rFonts w:ascii="Roboto" w:hAnsi="Roboto"/>
        </w:rPr>
        <w:footnoteReference w:id="103"/>
      </w:r>
      <w:r w:rsidRPr="00E062F6">
        <w:rPr>
          <w:rFonts w:ascii="Roboto" w:hAnsi="Roboto"/>
          <w:color w:val="000000" w:themeColor="text1"/>
        </w:rPr>
        <w:t xml:space="preserve"> However, continued allegations of torture and ill-treatment of detainees by security forces undermine these claims.</w:t>
      </w:r>
    </w:p>
    <w:p w14:paraId="58B049AA" w14:textId="77777777" w:rsidR="00FA7A82" w:rsidRPr="00E062F6" w:rsidRDefault="00000000">
      <w:pPr>
        <w:jc w:val="both"/>
        <w:rPr>
          <w:rFonts w:ascii="Roboto" w:hAnsi="Roboto"/>
          <w:color w:val="000000" w:themeColor="text1"/>
        </w:rPr>
      </w:pPr>
      <w:r w:rsidRPr="00E062F6">
        <w:rPr>
          <w:rFonts w:ascii="Roboto" w:hAnsi="Roboto"/>
          <w:color w:val="000000" w:themeColor="text1"/>
        </w:rPr>
        <w:t xml:space="preserve">For instance, in the case of activist Sameer </w:t>
      </w:r>
      <w:proofErr w:type="spellStart"/>
      <w:r w:rsidRPr="00E062F6">
        <w:rPr>
          <w:rFonts w:ascii="Roboto" w:hAnsi="Roboto"/>
          <w:color w:val="000000" w:themeColor="text1"/>
        </w:rPr>
        <w:t>Nemrawi</w:t>
      </w:r>
      <w:proofErr w:type="spellEnd"/>
      <w:r w:rsidRPr="00E062F6">
        <w:rPr>
          <w:rFonts w:ascii="Roboto" w:hAnsi="Roboto"/>
          <w:color w:val="000000" w:themeColor="text1"/>
        </w:rPr>
        <w:t>, he alleged in May 2024 that he was severely beaten by members of the GID and of the Preventive Security branch of the PSD while in custody.</w:t>
      </w:r>
    </w:p>
    <w:p w14:paraId="7E06EFBF" w14:textId="77777777" w:rsidR="00FA7A82" w:rsidRPr="00E062F6" w:rsidRDefault="00000000">
      <w:pPr>
        <w:jc w:val="both"/>
        <w:rPr>
          <w:rFonts w:ascii="Roboto" w:hAnsi="Roboto"/>
          <w:color w:val="000000" w:themeColor="text1"/>
        </w:rPr>
      </w:pPr>
      <w:r w:rsidRPr="00E062F6">
        <w:rPr>
          <w:rFonts w:ascii="Roboto" w:hAnsi="Roboto"/>
          <w:color w:val="000000" w:themeColor="text1"/>
        </w:rPr>
        <w:t>The Committee also requested updates from the State party regarding pending cases of deaths in custody, and measures taken to prevent such incidents.</w:t>
      </w:r>
      <w:r w:rsidRPr="00E062F6">
        <w:rPr>
          <w:rStyle w:val="FootnoteReference"/>
          <w:rFonts w:ascii="Roboto" w:hAnsi="Roboto"/>
        </w:rPr>
        <w:footnoteReference w:id="104"/>
      </w:r>
    </w:p>
    <w:p w14:paraId="0942624C" w14:textId="77777777" w:rsidR="00FA7A82" w:rsidRPr="00E062F6" w:rsidRDefault="00000000">
      <w:pPr>
        <w:jc w:val="both"/>
        <w:rPr>
          <w:rFonts w:ascii="Roboto" w:hAnsi="Roboto"/>
          <w:color w:val="000000" w:themeColor="text1"/>
        </w:rPr>
      </w:pPr>
      <w:r w:rsidRPr="00E062F6">
        <w:rPr>
          <w:rFonts w:ascii="Roboto" w:hAnsi="Roboto"/>
          <w:color w:val="000000" w:themeColor="text1"/>
        </w:rPr>
        <w:t xml:space="preserve">On 6 September 2022, street vendor Zaid </w:t>
      </w:r>
      <w:proofErr w:type="spellStart"/>
      <w:r w:rsidRPr="00E062F6">
        <w:rPr>
          <w:rFonts w:ascii="Roboto" w:hAnsi="Roboto"/>
          <w:color w:val="000000" w:themeColor="text1"/>
        </w:rPr>
        <w:t>Sudqi</w:t>
      </w:r>
      <w:proofErr w:type="spellEnd"/>
      <w:r w:rsidRPr="00E062F6">
        <w:rPr>
          <w:rFonts w:ascii="Roboto" w:hAnsi="Roboto"/>
          <w:color w:val="000000" w:themeColor="text1"/>
        </w:rPr>
        <w:t xml:space="preserve"> Ali </w:t>
      </w:r>
      <w:proofErr w:type="spellStart"/>
      <w:r w:rsidRPr="00E062F6">
        <w:rPr>
          <w:rFonts w:ascii="Roboto" w:hAnsi="Roboto"/>
          <w:color w:val="000000" w:themeColor="text1"/>
        </w:rPr>
        <w:t>Dabash</w:t>
      </w:r>
      <w:proofErr w:type="spellEnd"/>
      <w:r w:rsidRPr="00E062F6">
        <w:rPr>
          <w:rFonts w:ascii="Roboto" w:hAnsi="Roboto"/>
          <w:color w:val="000000" w:themeColor="text1"/>
        </w:rPr>
        <w:t xml:space="preserve"> died in custody in </w:t>
      </w:r>
      <w:proofErr w:type="spellStart"/>
      <w:r w:rsidRPr="00E062F6">
        <w:rPr>
          <w:rFonts w:ascii="Roboto" w:hAnsi="Roboto"/>
          <w:color w:val="000000" w:themeColor="text1"/>
        </w:rPr>
        <w:t>Marka</w:t>
      </w:r>
      <w:proofErr w:type="spellEnd"/>
      <w:r w:rsidRPr="00E062F6">
        <w:rPr>
          <w:rFonts w:ascii="Roboto" w:hAnsi="Roboto"/>
          <w:color w:val="000000" w:themeColor="text1"/>
        </w:rPr>
        <w:t xml:space="preserve"> prison.</w:t>
      </w:r>
      <w:r w:rsidRPr="00E062F6">
        <w:rPr>
          <w:rStyle w:val="FootnoteReference"/>
          <w:rFonts w:ascii="Roboto" w:hAnsi="Roboto"/>
          <w:color w:val="000000" w:themeColor="text1"/>
        </w:rPr>
        <w:footnoteReference w:id="105"/>
      </w:r>
      <w:r w:rsidRPr="00E062F6">
        <w:rPr>
          <w:rFonts w:ascii="Roboto" w:hAnsi="Roboto"/>
          <w:color w:val="000000" w:themeColor="text1"/>
        </w:rPr>
        <w:t xml:space="preserve"> According to the family’s lawyer, “the body of Zaid </w:t>
      </w:r>
      <w:proofErr w:type="spellStart"/>
      <w:r w:rsidRPr="00E062F6">
        <w:rPr>
          <w:rFonts w:ascii="Roboto" w:hAnsi="Roboto"/>
          <w:color w:val="000000" w:themeColor="text1"/>
        </w:rPr>
        <w:t>Sudqi</w:t>
      </w:r>
      <w:proofErr w:type="spellEnd"/>
      <w:r w:rsidRPr="00E062F6">
        <w:rPr>
          <w:rFonts w:ascii="Roboto" w:hAnsi="Roboto"/>
          <w:color w:val="000000" w:themeColor="text1"/>
        </w:rPr>
        <w:t xml:space="preserve"> Ali </w:t>
      </w:r>
      <w:proofErr w:type="spellStart"/>
      <w:r w:rsidRPr="00E062F6">
        <w:rPr>
          <w:rFonts w:ascii="Roboto" w:hAnsi="Roboto"/>
          <w:color w:val="000000" w:themeColor="text1"/>
        </w:rPr>
        <w:t>Dabash</w:t>
      </w:r>
      <w:proofErr w:type="spellEnd"/>
      <w:r w:rsidRPr="00E062F6">
        <w:rPr>
          <w:rFonts w:ascii="Roboto" w:hAnsi="Roboto"/>
          <w:color w:val="000000" w:themeColor="text1"/>
        </w:rPr>
        <w:t xml:space="preserve"> showed signs of torture, including bruises on his arms, legs, back, stomach and ears.”</w:t>
      </w:r>
      <w:r w:rsidRPr="00E062F6">
        <w:rPr>
          <w:rStyle w:val="FootnoteReference"/>
          <w:rFonts w:ascii="Roboto" w:hAnsi="Roboto"/>
          <w:color w:val="000000" w:themeColor="text1"/>
        </w:rPr>
        <w:footnoteReference w:id="106"/>
      </w:r>
      <w:r w:rsidRPr="00E062F6">
        <w:rPr>
          <w:rFonts w:ascii="Roboto" w:hAnsi="Roboto"/>
          <w:color w:val="000000" w:themeColor="text1"/>
        </w:rPr>
        <w:t xml:space="preserve">  </w:t>
      </w:r>
    </w:p>
    <w:p w14:paraId="76C252D4" w14:textId="77777777" w:rsidR="00FA7A82" w:rsidRPr="00E062F6" w:rsidRDefault="00000000">
      <w:pPr>
        <w:jc w:val="both"/>
        <w:rPr>
          <w:rFonts w:ascii="Roboto" w:hAnsi="Roboto"/>
          <w:color w:val="000000" w:themeColor="text1"/>
        </w:rPr>
      </w:pPr>
      <w:r w:rsidRPr="00E062F6">
        <w:rPr>
          <w:rFonts w:ascii="Roboto" w:hAnsi="Roboto"/>
          <w:color w:val="000000" w:themeColor="text1"/>
        </w:rPr>
        <w:t xml:space="preserve">Following </w:t>
      </w:r>
      <w:proofErr w:type="spellStart"/>
      <w:r w:rsidRPr="00E062F6">
        <w:rPr>
          <w:rFonts w:ascii="Roboto" w:hAnsi="Roboto"/>
          <w:color w:val="000000" w:themeColor="text1"/>
        </w:rPr>
        <w:t>Dabash’s</w:t>
      </w:r>
      <w:proofErr w:type="spellEnd"/>
      <w:r w:rsidRPr="00E062F6">
        <w:rPr>
          <w:rFonts w:ascii="Roboto" w:hAnsi="Roboto"/>
          <w:color w:val="000000" w:themeColor="text1"/>
        </w:rPr>
        <w:t xml:space="preserve"> death, the East Amman Prosecutor ordered a forensic autopsy led by a panel of three doctors, which reportedly confirmed internal and external bruising and found several injuries on </w:t>
      </w:r>
      <w:proofErr w:type="spellStart"/>
      <w:r w:rsidRPr="00E062F6">
        <w:rPr>
          <w:rFonts w:ascii="Roboto" w:hAnsi="Roboto"/>
          <w:color w:val="000000" w:themeColor="text1"/>
        </w:rPr>
        <w:t>Dabash’s</w:t>
      </w:r>
      <w:proofErr w:type="spellEnd"/>
      <w:r w:rsidRPr="00E062F6">
        <w:rPr>
          <w:rFonts w:ascii="Roboto" w:hAnsi="Roboto"/>
          <w:color w:val="000000" w:themeColor="text1"/>
        </w:rPr>
        <w:t xml:space="preserve"> corpse, but </w:t>
      </w:r>
      <w:proofErr w:type="spellStart"/>
      <w:r w:rsidRPr="00E062F6">
        <w:rPr>
          <w:rFonts w:ascii="Roboto" w:hAnsi="Roboto"/>
          <w:color w:val="000000" w:themeColor="text1"/>
        </w:rPr>
        <w:t>Dabash’s</w:t>
      </w:r>
      <w:proofErr w:type="spellEnd"/>
      <w:r w:rsidRPr="00E062F6">
        <w:rPr>
          <w:rFonts w:ascii="Roboto" w:hAnsi="Roboto"/>
          <w:color w:val="000000" w:themeColor="text1"/>
        </w:rPr>
        <w:t xml:space="preserve"> family raised concerns after the autopsy determined </w:t>
      </w:r>
      <w:proofErr w:type="spellStart"/>
      <w:r w:rsidRPr="00E062F6">
        <w:rPr>
          <w:rFonts w:ascii="Roboto" w:hAnsi="Roboto"/>
          <w:color w:val="000000" w:themeColor="text1"/>
        </w:rPr>
        <w:t>Dabash’s</w:t>
      </w:r>
      <w:proofErr w:type="spellEnd"/>
      <w:r w:rsidRPr="00E062F6">
        <w:rPr>
          <w:rFonts w:ascii="Roboto" w:hAnsi="Roboto"/>
          <w:color w:val="000000" w:themeColor="text1"/>
        </w:rPr>
        <w:t xml:space="preserve"> death was not attributed to the injuries </w:t>
      </w:r>
      <w:r w:rsidRPr="00E062F6">
        <w:rPr>
          <w:rFonts w:ascii="Roboto" w:hAnsi="Roboto"/>
          <w:color w:val="000000" w:themeColor="text1"/>
        </w:rPr>
        <w:t>observed.</w:t>
      </w:r>
      <w:r w:rsidRPr="00E062F6">
        <w:rPr>
          <w:rStyle w:val="FootnoteReference"/>
          <w:rFonts w:ascii="Roboto" w:hAnsi="Roboto"/>
          <w:color w:val="000000" w:themeColor="text1"/>
        </w:rPr>
        <w:footnoteReference w:id="107"/>
      </w:r>
      <w:r w:rsidRPr="00E062F6">
        <w:rPr>
          <w:rFonts w:ascii="Roboto" w:hAnsi="Roboto"/>
          <w:color w:val="000000" w:themeColor="text1"/>
        </w:rPr>
        <w:t xml:space="preserve"> Before </w:t>
      </w:r>
      <w:proofErr w:type="spellStart"/>
      <w:r w:rsidRPr="00E062F6">
        <w:rPr>
          <w:rFonts w:ascii="Roboto" w:hAnsi="Roboto"/>
          <w:color w:val="000000" w:themeColor="text1"/>
        </w:rPr>
        <w:t>Dabash’s</w:t>
      </w:r>
      <w:proofErr w:type="spellEnd"/>
      <w:r w:rsidRPr="00E062F6">
        <w:rPr>
          <w:rFonts w:ascii="Roboto" w:hAnsi="Roboto"/>
          <w:color w:val="000000" w:themeColor="text1"/>
        </w:rPr>
        <w:t xml:space="preserve"> burial on 12 September, the PSD agreed to the family’s request for a second autopsy by five doctors the family handpicked. According to the family’s lawyer, the second autopsy results proved that torture was the cause of </w:t>
      </w:r>
      <w:proofErr w:type="spellStart"/>
      <w:r w:rsidRPr="00E062F6">
        <w:rPr>
          <w:rFonts w:ascii="Roboto" w:hAnsi="Roboto"/>
          <w:color w:val="000000" w:themeColor="text1"/>
        </w:rPr>
        <w:t>Dabash’s</w:t>
      </w:r>
      <w:proofErr w:type="spellEnd"/>
      <w:r w:rsidRPr="00E062F6">
        <w:rPr>
          <w:rFonts w:ascii="Roboto" w:hAnsi="Roboto"/>
          <w:color w:val="000000" w:themeColor="text1"/>
        </w:rPr>
        <w:t xml:space="preserve"> death.</w:t>
      </w:r>
      <w:r w:rsidRPr="00E062F6">
        <w:rPr>
          <w:rStyle w:val="FootnoteReference"/>
          <w:rFonts w:ascii="Roboto" w:hAnsi="Roboto"/>
          <w:color w:val="000000" w:themeColor="text1"/>
        </w:rPr>
        <w:footnoteReference w:id="108"/>
      </w:r>
      <w:r w:rsidRPr="00E062F6">
        <w:rPr>
          <w:rFonts w:ascii="Roboto" w:hAnsi="Roboto"/>
          <w:color w:val="000000" w:themeColor="text1"/>
        </w:rPr>
        <w:t xml:space="preserve"> It was reported that eight PSD officers were charged with crimes related to torture that resulted in </w:t>
      </w:r>
      <w:proofErr w:type="spellStart"/>
      <w:r w:rsidRPr="00E062F6">
        <w:rPr>
          <w:rFonts w:ascii="Roboto" w:hAnsi="Roboto"/>
          <w:color w:val="000000" w:themeColor="text1"/>
        </w:rPr>
        <w:t>Dabash’s</w:t>
      </w:r>
      <w:proofErr w:type="spellEnd"/>
      <w:r w:rsidRPr="00E062F6">
        <w:rPr>
          <w:rFonts w:ascii="Roboto" w:hAnsi="Roboto"/>
          <w:color w:val="000000" w:themeColor="text1"/>
        </w:rPr>
        <w:t xml:space="preserve"> death,</w:t>
      </w:r>
      <w:r w:rsidRPr="00E062F6">
        <w:rPr>
          <w:rStyle w:val="FootnoteReference"/>
          <w:rFonts w:ascii="Roboto" w:hAnsi="Roboto"/>
          <w:color w:val="000000" w:themeColor="text1"/>
        </w:rPr>
        <w:footnoteReference w:id="109"/>
      </w:r>
      <w:r w:rsidRPr="00E062F6">
        <w:rPr>
          <w:rFonts w:ascii="Roboto" w:hAnsi="Roboto"/>
          <w:color w:val="000000" w:themeColor="text1"/>
        </w:rPr>
        <w:t xml:space="preserve"> and that the case was transferred to the military justice system for investigation raising concerns about the impartiality of the investigation.</w:t>
      </w:r>
      <w:r w:rsidRPr="00E062F6">
        <w:rPr>
          <w:rStyle w:val="FootnoteReference"/>
          <w:rFonts w:ascii="Roboto" w:hAnsi="Roboto"/>
          <w:color w:val="000000" w:themeColor="text1"/>
        </w:rPr>
        <w:footnoteReference w:id="110"/>
      </w:r>
      <w:r w:rsidRPr="00E062F6">
        <w:rPr>
          <w:rFonts w:ascii="Roboto" w:hAnsi="Roboto"/>
          <w:color w:val="000000" w:themeColor="text1"/>
        </w:rPr>
        <w:t xml:space="preserve"> Indeed, Military Court judges report directly to the supreme military command and can be transferred or dismissed upon the decision of their superiors. As a result, they clearly lack the necessary independence and impartiality. In addition, it has been reported that members of the military courts often lack adequate experience in procedural and legal matters.</w:t>
      </w:r>
      <w:r w:rsidRPr="00E062F6">
        <w:rPr>
          <w:rStyle w:val="FootnoteReference"/>
          <w:rFonts w:ascii="Roboto" w:hAnsi="Roboto"/>
          <w:color w:val="000000" w:themeColor="text1"/>
        </w:rPr>
        <w:footnoteReference w:id="111"/>
      </w:r>
    </w:p>
    <w:p w14:paraId="7E14200C" w14:textId="77777777" w:rsidR="00FA7A82" w:rsidRPr="00E062F6" w:rsidRDefault="00000000">
      <w:pPr>
        <w:pStyle w:val="Heading2"/>
        <w:jc w:val="both"/>
      </w:pPr>
      <w:bookmarkStart w:id="15" w:name="_Toc178610936"/>
      <w:r w:rsidRPr="00E062F6">
        <w:lastRenderedPageBreak/>
        <w:t>Prison overcrowding</w:t>
      </w:r>
      <w:bookmarkEnd w:id="15"/>
    </w:p>
    <w:p w14:paraId="651E56C1" w14:textId="1734BA19" w:rsidR="00FA7A82" w:rsidRPr="00E062F6" w:rsidRDefault="00000000">
      <w:pPr>
        <w:jc w:val="both"/>
        <w:rPr>
          <w:rFonts w:ascii="Roboto" w:hAnsi="Roboto"/>
          <w:color w:val="000000" w:themeColor="text1"/>
        </w:rPr>
      </w:pPr>
      <w:r w:rsidRPr="00E062F6">
        <w:rPr>
          <w:rFonts w:ascii="Roboto" w:hAnsi="Roboto"/>
          <w:color w:val="000000" w:themeColor="text1"/>
        </w:rPr>
        <w:t xml:space="preserve">In its list of issues, the Committee requested the </w:t>
      </w:r>
      <w:r w:rsidRPr="00E062F6">
        <w:rPr>
          <w:rFonts w:ascii="Roboto" w:hAnsi="Roboto"/>
          <w:color w:val="000000" w:themeColor="text1"/>
        </w:rPr>
        <w:t>State party to provide information on any interrogation rules, instructions, methods and practices or arrangements for custody,</w:t>
      </w:r>
      <w:r w:rsidRPr="00E062F6">
        <w:rPr>
          <w:rStyle w:val="FootnoteReference"/>
          <w:rFonts w:ascii="Roboto" w:hAnsi="Roboto"/>
        </w:rPr>
        <w:footnoteReference w:id="112"/>
      </w:r>
      <w:r w:rsidRPr="00E062F6">
        <w:rPr>
          <w:rStyle w:val="FootnoteReference"/>
          <w:rFonts w:ascii="Roboto" w:hAnsi="Roboto"/>
        </w:rPr>
        <w:t xml:space="preserve"> </w:t>
      </w:r>
      <w:r w:rsidRPr="00E062F6">
        <w:rPr>
          <w:rFonts w:ascii="Roboto" w:hAnsi="Roboto"/>
        </w:rPr>
        <w:t>and</w:t>
      </w:r>
      <w:r w:rsidRPr="00E062F6">
        <w:rPr>
          <w:rFonts w:ascii="Roboto" w:hAnsi="Roboto"/>
          <w:color w:val="000000" w:themeColor="text1"/>
        </w:rPr>
        <w:t xml:space="preserve"> to provide information on measures taken to fully comply with the United Nations Standard Minimum Rules for the Treatment of Prisoners (the Nelson Mandela Rules), </w:t>
      </w:r>
      <w:proofErr w:type="gramStart"/>
      <w:r w:rsidRPr="00E062F6">
        <w:rPr>
          <w:rFonts w:ascii="Roboto" w:hAnsi="Roboto"/>
          <w:color w:val="000000" w:themeColor="text1"/>
        </w:rPr>
        <w:t>in particular to</w:t>
      </w:r>
      <w:proofErr w:type="gramEnd"/>
      <w:r w:rsidRPr="00E062F6">
        <w:rPr>
          <w:rFonts w:ascii="Roboto" w:hAnsi="Roboto"/>
          <w:color w:val="000000" w:themeColor="text1"/>
        </w:rPr>
        <w:t xml:space="preserve"> </w:t>
      </w:r>
      <w:r w:rsidRPr="00E062F6">
        <w:rPr>
          <w:rFonts w:ascii="Roboto" w:hAnsi="Roboto"/>
          <w:color w:val="000000" w:themeColor="text1"/>
        </w:rPr>
        <w:t>reduce prison overcrowding.</w:t>
      </w:r>
      <w:r w:rsidRPr="00E062F6">
        <w:rPr>
          <w:rStyle w:val="FootnoteReference"/>
          <w:rFonts w:ascii="Roboto" w:hAnsi="Roboto"/>
        </w:rPr>
        <w:footnoteReference w:id="113"/>
      </w:r>
      <w:r w:rsidRPr="00E062F6">
        <w:rPr>
          <w:rFonts w:ascii="Roboto" w:hAnsi="Roboto"/>
          <w:color w:val="000000" w:themeColor="text1"/>
        </w:rPr>
        <w:t xml:space="preserve"> </w:t>
      </w:r>
    </w:p>
    <w:p w14:paraId="0F86AF69" w14:textId="77777777" w:rsidR="00FA7A82" w:rsidRPr="00E062F6" w:rsidRDefault="00000000">
      <w:pPr>
        <w:jc w:val="both"/>
        <w:rPr>
          <w:rFonts w:ascii="Roboto" w:hAnsi="Roboto"/>
          <w:color w:val="000000" w:themeColor="text1"/>
        </w:rPr>
      </w:pPr>
      <w:r w:rsidRPr="00E062F6">
        <w:rPr>
          <w:rFonts w:ascii="Roboto" w:hAnsi="Roboto"/>
          <w:color w:val="000000" w:themeColor="text1"/>
        </w:rPr>
        <w:t xml:space="preserve">In 2022, the Jordanian Minister of Interior stated that the Department of Rehabilitation and Correction </w:t>
      </w:r>
      <w:proofErr w:type="spellStart"/>
      <w:r w:rsidRPr="00E062F6">
        <w:rPr>
          <w:rFonts w:ascii="Roboto" w:hAnsi="Roboto"/>
          <w:color w:val="000000" w:themeColor="text1"/>
        </w:rPr>
        <w:t>Centers</w:t>
      </w:r>
      <w:proofErr w:type="spellEnd"/>
      <w:r w:rsidRPr="00E062F6">
        <w:rPr>
          <w:rFonts w:ascii="Roboto" w:hAnsi="Roboto"/>
          <w:color w:val="000000" w:themeColor="text1"/>
        </w:rPr>
        <w:t> could accommodate 13,288 inmates, while the actual number of people in prisons in Jordan was of 19,140, making its occupancy rate 144 percent.</w:t>
      </w:r>
      <w:r w:rsidRPr="00E062F6">
        <w:rPr>
          <w:rStyle w:val="FootnoteReference"/>
          <w:rFonts w:ascii="Roboto" w:hAnsi="Roboto"/>
          <w:color w:val="000000" w:themeColor="text1"/>
        </w:rPr>
        <w:footnoteReference w:id="114"/>
      </w:r>
    </w:p>
    <w:p w14:paraId="5FE2288B" w14:textId="77777777" w:rsidR="00FA7A82" w:rsidRPr="00E062F6" w:rsidRDefault="00000000">
      <w:pPr>
        <w:pStyle w:val="Heading2"/>
        <w:jc w:val="both"/>
      </w:pPr>
      <w:bookmarkStart w:id="16" w:name="_Toc178610937"/>
      <w:r w:rsidRPr="00E062F6">
        <w:t>Ratification of the Optional Protocol to the Convention</w:t>
      </w:r>
      <w:bookmarkEnd w:id="16"/>
    </w:p>
    <w:p w14:paraId="023A355D" w14:textId="77777777" w:rsidR="00FA7A82" w:rsidRPr="00E062F6" w:rsidRDefault="00000000">
      <w:pPr>
        <w:jc w:val="both"/>
        <w:rPr>
          <w:rFonts w:ascii="Roboto" w:hAnsi="Roboto"/>
          <w:color w:val="000000" w:themeColor="text1"/>
        </w:rPr>
      </w:pPr>
      <w:r w:rsidRPr="00E062F6">
        <w:rPr>
          <w:rFonts w:ascii="Roboto" w:hAnsi="Roboto"/>
          <w:color w:val="000000" w:themeColor="text1"/>
        </w:rPr>
        <w:t xml:space="preserve">The Committee also requested the State party about steps taken to </w:t>
      </w:r>
      <w:r w:rsidRPr="00E062F6">
        <w:rPr>
          <w:rFonts w:ascii="Roboto" w:hAnsi="Roboto"/>
        </w:rPr>
        <w:t xml:space="preserve">ratify the Optional Protocol to the Convention, which would give the Subcommittee on Prevention of Torture and other Cruel, Inhuman or Degrading Treatment or Punishment (SPT) </w:t>
      </w:r>
      <w:r w:rsidRPr="00E062F6">
        <w:rPr>
          <w:rFonts w:ascii="Roboto" w:hAnsi="Roboto"/>
          <w:color w:val="000000" w:themeColor="text1"/>
        </w:rPr>
        <w:t>the right to visit places of detention in Jordan and examine the treatment of people held there.</w:t>
      </w:r>
      <w:r w:rsidRPr="00E062F6">
        <w:rPr>
          <w:rStyle w:val="FootnoteReference"/>
          <w:rFonts w:ascii="Roboto" w:hAnsi="Roboto"/>
          <w:color w:val="000000" w:themeColor="text1"/>
        </w:rPr>
        <w:footnoteReference w:id="115"/>
      </w:r>
      <w:r w:rsidRPr="00E062F6">
        <w:rPr>
          <w:rFonts w:ascii="Roboto" w:hAnsi="Roboto"/>
          <w:color w:val="000000" w:themeColor="text1"/>
        </w:rPr>
        <w:t xml:space="preserve"> </w:t>
      </w:r>
      <w:r w:rsidRPr="00E062F6">
        <w:rPr>
          <w:rFonts w:ascii="Roboto" w:hAnsi="Roboto"/>
        </w:rPr>
        <w:t>However, the State party asserted that it did not intend to undertake its ratification.</w:t>
      </w:r>
      <w:r w:rsidRPr="00E062F6">
        <w:rPr>
          <w:rStyle w:val="FootnoteReference"/>
          <w:rFonts w:ascii="Roboto" w:hAnsi="Roboto"/>
        </w:rPr>
        <w:footnoteReference w:id="116"/>
      </w:r>
    </w:p>
    <w:p w14:paraId="01C57FA7" w14:textId="77777777" w:rsidR="00FA7A82" w:rsidRPr="00E062F6" w:rsidRDefault="00000000">
      <w:pPr>
        <w:pStyle w:val="Title"/>
        <w:jc w:val="both"/>
      </w:pPr>
      <w:r w:rsidRPr="00E062F6">
        <w:t>Recommendations:</w:t>
      </w:r>
    </w:p>
    <w:p w14:paraId="10BECD69" w14:textId="77777777" w:rsidR="00FA7A82" w:rsidRPr="00E062F6" w:rsidRDefault="00000000">
      <w:pPr>
        <w:pStyle w:val="ListParagraph"/>
        <w:numPr>
          <w:ilvl w:val="0"/>
          <w:numId w:val="5"/>
        </w:numPr>
        <w:jc w:val="both"/>
        <w:rPr>
          <w:rFonts w:ascii="Roboto" w:hAnsi="Roboto"/>
          <w:color w:val="543192"/>
        </w:rPr>
      </w:pPr>
      <w:r w:rsidRPr="00E062F6">
        <w:rPr>
          <w:rFonts w:ascii="Roboto" w:hAnsi="Roboto"/>
          <w:color w:val="543192"/>
        </w:rPr>
        <w:t xml:space="preserve">Ensure that all arrests are conducted in adherence to international standards, including the requirement for arrest warrants, and guarantee that clear instructions prohibiting the use of excessive violence or physical coercion are followed during </w:t>
      </w:r>
      <w:proofErr w:type="gramStart"/>
      <w:r w:rsidRPr="00E062F6">
        <w:rPr>
          <w:rFonts w:ascii="Roboto" w:hAnsi="Roboto"/>
          <w:color w:val="543192"/>
        </w:rPr>
        <w:t>arrests;</w:t>
      </w:r>
      <w:proofErr w:type="gramEnd"/>
    </w:p>
    <w:p w14:paraId="02DB0147" w14:textId="77777777" w:rsidR="00FA7A82" w:rsidRPr="00E062F6" w:rsidRDefault="00000000">
      <w:pPr>
        <w:pStyle w:val="ListParagraph"/>
        <w:numPr>
          <w:ilvl w:val="0"/>
          <w:numId w:val="5"/>
        </w:numPr>
        <w:jc w:val="both"/>
        <w:rPr>
          <w:rFonts w:ascii="Roboto" w:hAnsi="Roboto"/>
          <w:color w:val="543192"/>
        </w:rPr>
      </w:pPr>
      <w:r w:rsidRPr="00E062F6">
        <w:rPr>
          <w:rFonts w:ascii="Roboto" w:hAnsi="Roboto"/>
          <w:color w:val="543192"/>
        </w:rPr>
        <w:t xml:space="preserve">Limit the powers of the GID, and criminalise the undertaking of acts outside their scope of work, including illegal </w:t>
      </w:r>
      <w:proofErr w:type="gramStart"/>
      <w:r w:rsidRPr="00E062F6">
        <w:rPr>
          <w:rFonts w:ascii="Roboto" w:hAnsi="Roboto"/>
          <w:color w:val="543192"/>
        </w:rPr>
        <w:t>arrests;</w:t>
      </w:r>
      <w:proofErr w:type="gramEnd"/>
    </w:p>
    <w:p w14:paraId="26CCB9E4" w14:textId="77777777" w:rsidR="00FA7A82" w:rsidRPr="00E062F6" w:rsidRDefault="00000000">
      <w:pPr>
        <w:pStyle w:val="ListParagraph"/>
        <w:numPr>
          <w:ilvl w:val="0"/>
          <w:numId w:val="5"/>
        </w:numPr>
        <w:jc w:val="both"/>
        <w:rPr>
          <w:rFonts w:ascii="Roboto" w:hAnsi="Roboto"/>
          <w:color w:val="543192"/>
        </w:rPr>
      </w:pPr>
      <w:r w:rsidRPr="00E062F6">
        <w:rPr>
          <w:rFonts w:ascii="Roboto" w:hAnsi="Roboto"/>
          <w:color w:val="543192"/>
        </w:rPr>
        <w:t xml:space="preserve">Implement measures to reduce prison </w:t>
      </w:r>
      <w:proofErr w:type="gramStart"/>
      <w:r w:rsidRPr="00E062F6">
        <w:rPr>
          <w:rFonts w:ascii="Roboto" w:hAnsi="Roboto"/>
          <w:color w:val="543192"/>
        </w:rPr>
        <w:t>overcrowding;</w:t>
      </w:r>
      <w:proofErr w:type="gramEnd"/>
      <w:r w:rsidRPr="00E062F6">
        <w:rPr>
          <w:rFonts w:ascii="Roboto" w:hAnsi="Roboto"/>
          <w:color w:val="543192"/>
        </w:rPr>
        <w:t xml:space="preserve"> </w:t>
      </w:r>
    </w:p>
    <w:p w14:paraId="1704230B" w14:textId="77777777" w:rsidR="00FA7A82" w:rsidRPr="00E062F6" w:rsidRDefault="00000000">
      <w:pPr>
        <w:pStyle w:val="ListParagraph"/>
        <w:numPr>
          <w:ilvl w:val="0"/>
          <w:numId w:val="5"/>
        </w:numPr>
        <w:jc w:val="both"/>
        <w:rPr>
          <w:rFonts w:ascii="Roboto" w:hAnsi="Roboto"/>
          <w:color w:val="543192"/>
        </w:rPr>
      </w:pPr>
      <w:r w:rsidRPr="00E062F6">
        <w:rPr>
          <w:rFonts w:ascii="Roboto" w:hAnsi="Roboto"/>
          <w:color w:val="543192"/>
        </w:rPr>
        <w:t xml:space="preserve">Expedite the investigations into all cases of death in custody, in accordance with international standards of investigation, bring the perpetrators to justice and punish them </w:t>
      </w:r>
      <w:proofErr w:type="gramStart"/>
      <w:r w:rsidRPr="00E062F6">
        <w:rPr>
          <w:rFonts w:ascii="Roboto" w:hAnsi="Roboto"/>
          <w:color w:val="543192"/>
        </w:rPr>
        <w:t>accordingly;</w:t>
      </w:r>
      <w:proofErr w:type="gramEnd"/>
    </w:p>
    <w:p w14:paraId="14C124DB" w14:textId="77777777" w:rsidR="00FA7A82" w:rsidRPr="00E062F6" w:rsidRDefault="00000000">
      <w:pPr>
        <w:pStyle w:val="ListParagraph"/>
        <w:numPr>
          <w:ilvl w:val="0"/>
          <w:numId w:val="5"/>
        </w:numPr>
        <w:jc w:val="both"/>
        <w:rPr>
          <w:rFonts w:ascii="Roboto" w:hAnsi="Roboto"/>
          <w:color w:val="543192"/>
        </w:rPr>
      </w:pPr>
      <w:r w:rsidRPr="00E062F6">
        <w:rPr>
          <w:rFonts w:ascii="Roboto" w:hAnsi="Roboto"/>
          <w:color w:val="543192"/>
        </w:rPr>
        <w:t>Ratify the Optional Protocol to the Convention.</w:t>
      </w:r>
    </w:p>
    <w:p w14:paraId="50AFA074" w14:textId="77777777" w:rsidR="00FA7A82" w:rsidRPr="00E062F6" w:rsidRDefault="00000000">
      <w:pPr>
        <w:pStyle w:val="Heading1"/>
        <w:spacing w:line="276" w:lineRule="auto"/>
        <w:jc w:val="both"/>
      </w:pPr>
      <w:bookmarkStart w:id="17" w:name="_Toc178610938"/>
      <w:r w:rsidRPr="00E062F6">
        <w:lastRenderedPageBreak/>
        <w:t>Coerced confessions and evidence obtained under torture (article 15)</w:t>
      </w:r>
      <w:bookmarkEnd w:id="17"/>
    </w:p>
    <w:p w14:paraId="6E1844D9" w14:textId="77777777" w:rsidR="00FA7A82" w:rsidRPr="00E062F6" w:rsidRDefault="00000000">
      <w:pPr>
        <w:pStyle w:val="Heading2"/>
        <w:jc w:val="both"/>
        <w:rPr>
          <w:rStyle w:val="SubtleEmphasis"/>
        </w:rPr>
      </w:pPr>
      <w:bookmarkStart w:id="18" w:name="_Toc178610939"/>
      <w:r w:rsidRPr="00E062F6">
        <w:t>The practice of torture to obtain a confession</w:t>
      </w:r>
      <w:bookmarkEnd w:id="18"/>
    </w:p>
    <w:p w14:paraId="34162794" w14:textId="77777777" w:rsidR="00FA7A82" w:rsidRPr="00E062F6" w:rsidRDefault="00000000">
      <w:pPr>
        <w:jc w:val="both"/>
        <w:rPr>
          <w:rFonts w:ascii="Roboto" w:hAnsi="Roboto"/>
          <w:color w:val="000000" w:themeColor="text1"/>
        </w:rPr>
      </w:pPr>
      <w:r w:rsidRPr="00E062F6">
        <w:rPr>
          <w:rFonts w:ascii="Roboto" w:hAnsi="Roboto"/>
          <w:color w:val="000000" w:themeColor="text1"/>
        </w:rPr>
        <w:t xml:space="preserve">In its 2016 Concluding Observations, the Committee expressed concern about consistent reports of widespread torture and ill-treatment of suspects by security and law enforcement officials, </w:t>
      </w:r>
      <w:r w:rsidRPr="00E062F6">
        <w:rPr>
          <w:rFonts w:ascii="Roboto" w:hAnsi="Roboto"/>
          <w:color w:val="000000" w:themeColor="text1"/>
        </w:rPr>
        <w:t>particularly in detention facilities run by the GID, primarily to extract confessions or information to be used in criminal proceedings.</w:t>
      </w:r>
      <w:r w:rsidRPr="00E062F6">
        <w:rPr>
          <w:rStyle w:val="FootnoteReference"/>
          <w:rFonts w:ascii="Roboto" w:hAnsi="Roboto"/>
          <w:color w:val="000000" w:themeColor="text1"/>
        </w:rPr>
        <w:footnoteReference w:id="117"/>
      </w:r>
    </w:p>
    <w:p w14:paraId="0003996C" w14:textId="77777777" w:rsidR="00FA7A82" w:rsidRPr="00E062F6" w:rsidRDefault="00000000">
      <w:pPr>
        <w:jc w:val="both"/>
        <w:rPr>
          <w:rFonts w:ascii="Roboto" w:hAnsi="Roboto"/>
          <w:color w:val="000000" w:themeColor="text1"/>
        </w:rPr>
      </w:pPr>
      <w:r w:rsidRPr="00E062F6">
        <w:rPr>
          <w:rFonts w:ascii="Roboto" w:hAnsi="Roboto"/>
          <w:color w:val="000000" w:themeColor="text1"/>
        </w:rPr>
        <w:t xml:space="preserve">GID officers regularly arrests and detain suspects in their headquarters </w:t>
      </w:r>
      <w:r w:rsidRPr="00E062F6">
        <w:rPr>
          <w:rFonts w:ascii="Roboto" w:hAnsi="Roboto"/>
          <w:i/>
          <w:iCs/>
          <w:color w:val="000000" w:themeColor="text1"/>
        </w:rPr>
        <w:t>incommunicado</w:t>
      </w:r>
      <w:r w:rsidRPr="00E062F6">
        <w:rPr>
          <w:rStyle w:val="FootnoteReference"/>
          <w:rFonts w:ascii="Roboto" w:hAnsi="Roboto"/>
          <w:color w:val="000000" w:themeColor="text1"/>
        </w:rPr>
        <w:footnoteReference w:id="118"/>
      </w:r>
      <w:r w:rsidRPr="00E062F6">
        <w:rPr>
          <w:rFonts w:ascii="Roboto" w:hAnsi="Roboto"/>
          <w:i/>
          <w:iCs/>
          <w:color w:val="000000" w:themeColor="text1"/>
        </w:rPr>
        <w:t>.</w:t>
      </w:r>
      <w:r w:rsidRPr="00E062F6">
        <w:rPr>
          <w:rFonts w:ascii="Roboto" w:hAnsi="Roboto"/>
          <w:color w:val="000000" w:themeColor="text1"/>
        </w:rPr>
        <w:t xml:space="preserve"> During these periods of </w:t>
      </w:r>
      <w:r w:rsidRPr="00E062F6">
        <w:rPr>
          <w:rFonts w:ascii="Roboto" w:hAnsi="Roboto"/>
          <w:i/>
          <w:iCs/>
          <w:color w:val="000000" w:themeColor="text1"/>
        </w:rPr>
        <w:t>incommunicado</w:t>
      </w:r>
      <w:r w:rsidRPr="00E062F6">
        <w:rPr>
          <w:rFonts w:ascii="Roboto" w:hAnsi="Roboto"/>
          <w:color w:val="000000" w:themeColor="text1"/>
        </w:rPr>
        <w:t xml:space="preserve"> detentions, torture is systematically used </w:t>
      </w:r>
      <w:proofErr w:type="gramStart"/>
      <w:r w:rsidRPr="00E062F6">
        <w:rPr>
          <w:rFonts w:ascii="Roboto" w:hAnsi="Roboto"/>
          <w:color w:val="000000" w:themeColor="text1"/>
        </w:rPr>
        <w:t>as a means to</w:t>
      </w:r>
      <w:proofErr w:type="gramEnd"/>
      <w:r w:rsidRPr="00E062F6">
        <w:rPr>
          <w:rFonts w:ascii="Roboto" w:hAnsi="Roboto"/>
          <w:color w:val="000000" w:themeColor="text1"/>
        </w:rPr>
        <w:t xml:space="preserve"> extract confessions.</w:t>
      </w:r>
      <w:r w:rsidRPr="00E062F6">
        <w:rPr>
          <w:rStyle w:val="FootnoteReference"/>
          <w:rFonts w:ascii="Roboto" w:hAnsi="Roboto"/>
          <w:color w:val="000000" w:themeColor="text1"/>
        </w:rPr>
        <w:footnoteReference w:id="119"/>
      </w:r>
      <w:r w:rsidRPr="00E062F6">
        <w:rPr>
          <w:rFonts w:ascii="Roboto" w:hAnsi="Roboto"/>
          <w:color w:val="000000" w:themeColor="text1"/>
        </w:rPr>
        <w:t xml:space="preserve"> </w:t>
      </w:r>
    </w:p>
    <w:p w14:paraId="0FDC86F7" w14:textId="77777777" w:rsidR="00FA7A82" w:rsidRPr="00E062F6" w:rsidRDefault="00000000">
      <w:pPr>
        <w:jc w:val="both"/>
        <w:rPr>
          <w:rFonts w:ascii="Roboto" w:hAnsi="Roboto"/>
          <w:color w:val="000000" w:themeColor="text1"/>
        </w:rPr>
      </w:pPr>
      <w:r w:rsidRPr="00E062F6">
        <w:rPr>
          <w:rFonts w:ascii="Roboto" w:hAnsi="Roboto"/>
          <w:color w:val="000000" w:themeColor="text1"/>
        </w:rPr>
        <w:t xml:space="preserve">For instance, in the case of Jordanian public figure Bassem </w:t>
      </w:r>
      <w:proofErr w:type="spellStart"/>
      <w:r w:rsidRPr="00E062F6">
        <w:rPr>
          <w:rFonts w:ascii="Roboto" w:hAnsi="Roboto"/>
          <w:color w:val="000000" w:themeColor="text1"/>
        </w:rPr>
        <w:t>Awadallah</w:t>
      </w:r>
      <w:proofErr w:type="spellEnd"/>
      <w:r w:rsidRPr="00E062F6">
        <w:rPr>
          <w:rFonts w:ascii="Roboto" w:hAnsi="Roboto"/>
          <w:color w:val="000000" w:themeColor="text1"/>
        </w:rPr>
        <w:t xml:space="preserve">, arrested in April 2021 on accusations of participating in a plot against the King, he reported being interrogated without access to a legal counsel and subjected to physical and psychological coercion to force him to sign a self-incriminating confession. He was allegedly slapped, beaten, kicked, threatened with sexual violence and electric shocks, and harm to his family if he refused to cooperate. Under this duress, </w:t>
      </w:r>
      <w:proofErr w:type="spellStart"/>
      <w:r w:rsidRPr="00E062F6">
        <w:rPr>
          <w:rFonts w:ascii="Roboto" w:hAnsi="Roboto"/>
          <w:color w:val="000000" w:themeColor="text1"/>
        </w:rPr>
        <w:t>Awadallah</w:t>
      </w:r>
      <w:proofErr w:type="spellEnd"/>
      <w:r w:rsidRPr="00E062F6">
        <w:rPr>
          <w:rFonts w:ascii="Roboto" w:hAnsi="Roboto"/>
          <w:color w:val="000000" w:themeColor="text1"/>
        </w:rPr>
        <w:t xml:space="preserve"> was compelled to sign two written confessions without being allowed to read them or be informed of their content.</w:t>
      </w:r>
      <w:r w:rsidRPr="00E062F6">
        <w:rPr>
          <w:rStyle w:val="FootnoteReference"/>
          <w:rFonts w:ascii="Roboto" w:hAnsi="Roboto"/>
          <w:color w:val="000000" w:themeColor="text1"/>
        </w:rPr>
        <w:footnoteReference w:id="120"/>
      </w:r>
    </w:p>
    <w:p w14:paraId="19578FE4" w14:textId="77777777" w:rsidR="00FA7A82" w:rsidRPr="00E062F6" w:rsidRDefault="00000000">
      <w:pPr>
        <w:pStyle w:val="Heading2"/>
        <w:jc w:val="both"/>
      </w:pPr>
      <w:bookmarkStart w:id="19" w:name="_Toc178610940"/>
      <w:r w:rsidRPr="00E062F6">
        <w:t>Admissibility of coerced confessions before the State Security Court</w:t>
      </w:r>
      <w:bookmarkEnd w:id="19"/>
    </w:p>
    <w:p w14:paraId="4F37E19A" w14:textId="56E4B6CF" w:rsidR="00FA7A82" w:rsidRPr="00E062F6" w:rsidRDefault="00000000">
      <w:pPr>
        <w:jc w:val="both"/>
        <w:rPr>
          <w:rFonts w:ascii="Roboto" w:hAnsi="Roboto"/>
          <w:color w:val="000000" w:themeColor="text1"/>
        </w:rPr>
      </w:pPr>
      <w:r w:rsidRPr="00E062F6">
        <w:rPr>
          <w:rFonts w:ascii="Roboto" w:hAnsi="Roboto"/>
          <w:color w:val="000000" w:themeColor="text1"/>
        </w:rPr>
        <w:t xml:space="preserve">As part of its list of issues, the Committee requested that the State party provide information on the admissibility of evidence and confessions obtained through torture, </w:t>
      </w:r>
      <w:proofErr w:type="gramStart"/>
      <w:r w:rsidRPr="00E062F6">
        <w:rPr>
          <w:rFonts w:ascii="Roboto" w:hAnsi="Roboto"/>
          <w:color w:val="000000" w:themeColor="text1"/>
        </w:rPr>
        <w:t>in particular before</w:t>
      </w:r>
      <w:proofErr w:type="gramEnd"/>
      <w:r w:rsidRPr="00E062F6">
        <w:rPr>
          <w:rFonts w:ascii="Roboto" w:hAnsi="Roboto"/>
          <w:color w:val="000000" w:themeColor="text1"/>
        </w:rPr>
        <w:t xml:space="preserve"> the State Security Court (SSC).</w:t>
      </w:r>
      <w:r w:rsidRPr="00E062F6">
        <w:rPr>
          <w:rStyle w:val="FootnoteReference"/>
          <w:rFonts w:ascii="Roboto" w:hAnsi="Roboto"/>
        </w:rPr>
        <w:footnoteReference w:id="121"/>
      </w:r>
      <w:r w:rsidRPr="00E062F6">
        <w:rPr>
          <w:rFonts w:ascii="Roboto" w:hAnsi="Roboto"/>
          <w:color w:val="000000" w:themeColor="text1"/>
        </w:rPr>
        <w:t xml:space="preserve"> </w:t>
      </w:r>
    </w:p>
    <w:p w14:paraId="1E337060" w14:textId="751D064C" w:rsidR="00FA7A82" w:rsidRPr="00E062F6" w:rsidRDefault="00000000">
      <w:pPr>
        <w:jc w:val="both"/>
        <w:rPr>
          <w:rFonts w:ascii="Roboto" w:hAnsi="Roboto"/>
          <w:color w:val="000000" w:themeColor="text1"/>
        </w:rPr>
      </w:pPr>
      <w:r w:rsidRPr="00E062F6">
        <w:rPr>
          <w:rFonts w:ascii="Roboto" w:hAnsi="Roboto"/>
          <w:color w:val="000000" w:themeColor="text1"/>
        </w:rPr>
        <w:t xml:space="preserve">In law, the Jordanian Constitution prohibits the admissibility of evidence obtained through torture, and article 159 of the Code </w:t>
      </w:r>
      <w:r w:rsidRPr="00E062F6">
        <w:rPr>
          <w:rFonts w:ascii="Roboto" w:hAnsi="Roboto"/>
          <w:color w:val="000000" w:themeColor="text1"/>
        </w:rPr>
        <w:t>of Criminal Procedure invalidates evidence or proof obtained by means of physical or moral coercion.</w:t>
      </w:r>
      <w:r w:rsidRPr="00E062F6">
        <w:rPr>
          <w:rStyle w:val="FootnoteReference"/>
          <w:rFonts w:ascii="Roboto" w:hAnsi="Roboto"/>
          <w:color w:val="000000" w:themeColor="text1"/>
        </w:rPr>
        <w:footnoteReference w:id="122"/>
      </w:r>
      <w:r w:rsidRPr="00E062F6">
        <w:rPr>
          <w:rFonts w:ascii="Roboto" w:hAnsi="Roboto"/>
          <w:color w:val="000000" w:themeColor="text1"/>
        </w:rPr>
        <w:t xml:space="preserve"> The Jordanian authorities have </w:t>
      </w:r>
      <w:r w:rsidRPr="00E062F6">
        <w:rPr>
          <w:rFonts w:ascii="Roboto" w:hAnsi="Roboto"/>
        </w:rPr>
        <w:t xml:space="preserve">asserted that trials before the State Security Court are conducted with all criteria and safeguards to </w:t>
      </w:r>
      <w:r w:rsidRPr="00E062F6">
        <w:rPr>
          <w:rFonts w:ascii="Roboto" w:hAnsi="Roboto"/>
        </w:rPr>
        <w:lastRenderedPageBreak/>
        <w:t>ensure due process,</w:t>
      </w:r>
      <w:r w:rsidRPr="00E062F6">
        <w:rPr>
          <w:rStyle w:val="FootnoteReference"/>
          <w:rFonts w:ascii="Roboto" w:hAnsi="Roboto"/>
        </w:rPr>
        <w:footnoteReference w:id="123"/>
      </w:r>
      <w:r w:rsidRPr="00E062F6">
        <w:rPr>
          <w:rFonts w:ascii="Roboto" w:hAnsi="Roboto"/>
        </w:rPr>
        <w:t xml:space="preserve"> and </w:t>
      </w:r>
      <w:r w:rsidRPr="00E062F6">
        <w:rPr>
          <w:rFonts w:ascii="Roboto" w:hAnsi="Roboto"/>
          <w:color w:val="000000" w:themeColor="text1"/>
        </w:rPr>
        <w:t>maintained that the SCC is bound by Article 159 of the Code, which</w:t>
      </w:r>
      <w:r w:rsidR="009057B4" w:rsidRPr="00E062F6">
        <w:rPr>
          <w:rFonts w:ascii="Roboto" w:hAnsi="Roboto"/>
          <w:color w:val="000000" w:themeColor="text1"/>
        </w:rPr>
        <w:t xml:space="preserve"> </w:t>
      </w:r>
      <w:r w:rsidRPr="00E062F6">
        <w:rPr>
          <w:rFonts w:ascii="Roboto" w:hAnsi="Roboto"/>
          <w:color w:val="000000" w:themeColor="text1"/>
        </w:rPr>
        <w:t xml:space="preserve">provides that: “Any statement made by accused persons or suspects in the absence of a prosecutor in which they admit to having committed a crime can be accepted only if the prosecutors explain the circumstances in which the statement was obtained and the court is satisfied that the accused persons or suspects made the statement </w:t>
      </w:r>
      <w:r w:rsidRPr="00E062F6">
        <w:rPr>
          <w:rFonts w:ascii="Roboto" w:hAnsi="Roboto"/>
          <w:color w:val="000000" w:themeColor="text1"/>
        </w:rPr>
        <w:t>voluntarily and of their own free will.”</w:t>
      </w:r>
      <w:r w:rsidRPr="00E062F6">
        <w:rPr>
          <w:rStyle w:val="FootnoteReference"/>
          <w:rFonts w:ascii="Roboto" w:hAnsi="Roboto"/>
        </w:rPr>
        <w:t xml:space="preserve"> </w:t>
      </w:r>
      <w:r w:rsidRPr="00E062F6">
        <w:rPr>
          <w:rStyle w:val="FootnoteReference"/>
          <w:rFonts w:ascii="Roboto" w:hAnsi="Roboto"/>
        </w:rPr>
        <w:footnoteReference w:id="124"/>
      </w:r>
      <w:r w:rsidRPr="00E062F6">
        <w:rPr>
          <w:rFonts w:ascii="Roboto" w:hAnsi="Roboto"/>
          <w:color w:val="000000" w:themeColor="text1"/>
        </w:rPr>
        <w:t xml:space="preserve"> </w:t>
      </w:r>
    </w:p>
    <w:p w14:paraId="3D4D8624" w14:textId="77777777" w:rsidR="00FA7A82" w:rsidRPr="00E062F6" w:rsidRDefault="00000000">
      <w:pPr>
        <w:jc w:val="both"/>
        <w:rPr>
          <w:rFonts w:ascii="Roboto" w:hAnsi="Roboto"/>
          <w:color w:val="000000" w:themeColor="text1"/>
        </w:rPr>
      </w:pPr>
      <w:r w:rsidRPr="00E062F6">
        <w:rPr>
          <w:rFonts w:ascii="Roboto" w:hAnsi="Roboto"/>
          <w:color w:val="000000" w:themeColor="text1"/>
        </w:rPr>
        <w:t>Despite these legal protections, in practice, it has been reported that coerced confessions or self-incriminating statements obtained under torture are then relied upon by the prosecutor of the SCC to both charge the suspect and constitute incriminating evidence during trials before the court.</w:t>
      </w:r>
      <w:r w:rsidRPr="00E062F6">
        <w:rPr>
          <w:rStyle w:val="FootnoteReference"/>
          <w:rFonts w:ascii="Roboto" w:hAnsi="Roboto"/>
          <w:color w:val="000000" w:themeColor="text1"/>
        </w:rPr>
        <w:footnoteReference w:id="125"/>
      </w:r>
      <w:r w:rsidRPr="00E062F6">
        <w:rPr>
          <w:rFonts w:ascii="Roboto" w:hAnsi="Roboto"/>
          <w:color w:val="000000" w:themeColor="text1"/>
        </w:rPr>
        <w:t xml:space="preserve"> </w:t>
      </w:r>
    </w:p>
    <w:p w14:paraId="7F54D395" w14:textId="77777777" w:rsidR="00FA7A82" w:rsidRPr="00E062F6" w:rsidRDefault="00000000">
      <w:pPr>
        <w:jc w:val="both"/>
        <w:rPr>
          <w:rFonts w:ascii="Roboto" w:hAnsi="Roboto"/>
          <w:color w:val="000000" w:themeColor="text1"/>
        </w:rPr>
      </w:pPr>
      <w:r w:rsidRPr="00E062F6">
        <w:rPr>
          <w:rFonts w:ascii="Roboto" w:hAnsi="Roboto"/>
          <w:color w:val="000000" w:themeColor="text1"/>
        </w:rPr>
        <w:t>The SSC operates as an exceptional jurisdiction with two military and one civilian judge, appointed by the prime minister, and therefore subordinated to the executive branch.</w:t>
      </w:r>
      <w:r w:rsidRPr="00E062F6">
        <w:rPr>
          <w:rStyle w:val="FootnoteReference"/>
          <w:rFonts w:ascii="Roboto" w:hAnsi="Roboto"/>
          <w:color w:val="000000" w:themeColor="text1"/>
        </w:rPr>
        <w:footnoteReference w:id="126"/>
      </w:r>
      <w:r w:rsidRPr="00E062F6">
        <w:rPr>
          <w:rFonts w:ascii="Roboto" w:hAnsi="Roboto"/>
          <w:color w:val="000000" w:themeColor="text1"/>
        </w:rPr>
        <w:t xml:space="preserve">  UN Treaty Bodies have repeatedly called for the abolishment of the court, emphasising its lack of independence and impartiality and the violation of the right to fair trial, given the fact that it consistently tries civilians.</w:t>
      </w:r>
      <w:r w:rsidRPr="00E062F6">
        <w:rPr>
          <w:rStyle w:val="FootnoteReference"/>
          <w:rFonts w:ascii="Roboto" w:hAnsi="Roboto"/>
          <w:color w:val="000000" w:themeColor="text1"/>
        </w:rPr>
        <w:footnoteReference w:id="127"/>
      </w:r>
    </w:p>
    <w:p w14:paraId="2E68DA72" w14:textId="77777777" w:rsidR="00FA7A82" w:rsidRPr="00E062F6" w:rsidRDefault="00000000">
      <w:pPr>
        <w:jc w:val="both"/>
        <w:rPr>
          <w:rFonts w:ascii="Roboto" w:hAnsi="Roboto"/>
          <w:color w:val="000000" w:themeColor="text1"/>
        </w:rPr>
      </w:pPr>
      <w:r w:rsidRPr="00E062F6">
        <w:rPr>
          <w:rFonts w:ascii="Roboto" w:hAnsi="Roboto"/>
          <w:color w:val="000000" w:themeColor="text1"/>
        </w:rPr>
        <w:t xml:space="preserve">In the case of Bassem </w:t>
      </w:r>
      <w:proofErr w:type="spellStart"/>
      <w:r w:rsidRPr="00E062F6">
        <w:rPr>
          <w:rFonts w:ascii="Roboto" w:hAnsi="Roboto"/>
          <w:color w:val="000000" w:themeColor="text1"/>
        </w:rPr>
        <w:t>Awadallah</w:t>
      </w:r>
      <w:proofErr w:type="spellEnd"/>
      <w:r w:rsidRPr="00E062F6">
        <w:rPr>
          <w:rFonts w:ascii="Roboto" w:hAnsi="Roboto"/>
          <w:color w:val="000000" w:themeColor="text1"/>
        </w:rPr>
        <w:t>, his self-incriminating confession obtained under torture was reportedly used as supporting evidence for his conviction before the SSC, leading to a sentence of 15 years of imprisonment.</w:t>
      </w:r>
      <w:r w:rsidRPr="00E062F6">
        <w:rPr>
          <w:rStyle w:val="FootnoteReference"/>
          <w:rFonts w:ascii="Roboto" w:hAnsi="Roboto"/>
          <w:color w:val="000000" w:themeColor="text1"/>
        </w:rPr>
        <w:footnoteReference w:id="128"/>
      </w:r>
    </w:p>
    <w:p w14:paraId="61BED9EF" w14:textId="77777777" w:rsidR="00FA7A82" w:rsidRPr="00E062F6" w:rsidRDefault="00000000">
      <w:pPr>
        <w:pStyle w:val="Title"/>
        <w:jc w:val="both"/>
      </w:pPr>
      <w:r w:rsidRPr="00E062F6">
        <w:t>Recommendations:</w:t>
      </w:r>
    </w:p>
    <w:p w14:paraId="71BBA281" w14:textId="77777777" w:rsidR="00FA7A82" w:rsidRPr="00E062F6" w:rsidRDefault="00000000">
      <w:pPr>
        <w:pStyle w:val="ListParagraph"/>
        <w:numPr>
          <w:ilvl w:val="0"/>
          <w:numId w:val="5"/>
        </w:numPr>
        <w:jc w:val="both"/>
        <w:rPr>
          <w:rFonts w:ascii="Roboto" w:hAnsi="Roboto"/>
          <w:color w:val="543192"/>
        </w:rPr>
      </w:pPr>
      <w:r w:rsidRPr="00E062F6">
        <w:rPr>
          <w:rFonts w:ascii="Roboto" w:hAnsi="Roboto"/>
          <w:color w:val="543192"/>
        </w:rPr>
        <w:t xml:space="preserve">Implement and enforce effective measures to ensure that coerced confessions or statements obtained under torture are deemed inadmissible in all judicial proceedings in </w:t>
      </w:r>
      <w:proofErr w:type="gramStart"/>
      <w:r w:rsidRPr="00E062F6">
        <w:rPr>
          <w:rFonts w:ascii="Roboto" w:hAnsi="Roboto"/>
          <w:color w:val="543192"/>
        </w:rPr>
        <w:t>practice;</w:t>
      </w:r>
      <w:proofErr w:type="gramEnd"/>
    </w:p>
    <w:p w14:paraId="4656124B" w14:textId="77777777" w:rsidR="00FA7A82" w:rsidRPr="00E062F6" w:rsidRDefault="00000000">
      <w:pPr>
        <w:pStyle w:val="ListParagraph"/>
        <w:numPr>
          <w:ilvl w:val="0"/>
          <w:numId w:val="5"/>
        </w:numPr>
        <w:jc w:val="both"/>
        <w:rPr>
          <w:rFonts w:ascii="Roboto" w:hAnsi="Roboto"/>
          <w:color w:val="543192"/>
        </w:rPr>
      </w:pPr>
      <w:r w:rsidRPr="00E062F6">
        <w:rPr>
          <w:rFonts w:ascii="Roboto" w:hAnsi="Roboto"/>
          <w:color w:val="543192"/>
        </w:rPr>
        <w:t xml:space="preserve">Ensure that law enforcement officials, judges and lawyers receive training on how to detect and investigate cases in which confessions are obtained under </w:t>
      </w:r>
      <w:proofErr w:type="gramStart"/>
      <w:r w:rsidRPr="00E062F6">
        <w:rPr>
          <w:rFonts w:ascii="Roboto" w:hAnsi="Roboto"/>
          <w:color w:val="543192"/>
        </w:rPr>
        <w:t>torture;</w:t>
      </w:r>
      <w:proofErr w:type="gramEnd"/>
    </w:p>
    <w:p w14:paraId="6F08A295" w14:textId="6DB16AF3" w:rsidR="00FA7A82" w:rsidRPr="00E062F6" w:rsidRDefault="00000000">
      <w:pPr>
        <w:pStyle w:val="ListParagraph"/>
        <w:numPr>
          <w:ilvl w:val="0"/>
          <w:numId w:val="5"/>
        </w:numPr>
        <w:jc w:val="both"/>
        <w:rPr>
          <w:rFonts w:ascii="Roboto" w:hAnsi="Roboto"/>
          <w:color w:val="543192"/>
        </w:rPr>
      </w:pPr>
      <w:r w:rsidRPr="00E062F6">
        <w:rPr>
          <w:rFonts w:ascii="Roboto" w:hAnsi="Roboto"/>
          <w:color w:val="543192"/>
        </w:rPr>
        <w:lastRenderedPageBreak/>
        <w:t xml:space="preserve">Abolish the SSC, or </w:t>
      </w:r>
      <w:r w:rsidRPr="00E062F6">
        <w:rPr>
          <w:rFonts w:ascii="Roboto" w:hAnsi="Roboto"/>
          <w:i/>
          <w:iCs/>
          <w:color w:val="543192"/>
        </w:rPr>
        <w:t xml:space="preserve">a </w:t>
      </w:r>
      <w:proofErr w:type="gramStart"/>
      <w:r w:rsidRPr="00E062F6">
        <w:rPr>
          <w:rFonts w:ascii="Roboto" w:hAnsi="Roboto"/>
          <w:i/>
          <w:iCs/>
          <w:color w:val="543192"/>
        </w:rPr>
        <w:t>minima</w:t>
      </w:r>
      <w:proofErr w:type="gramEnd"/>
      <w:r w:rsidRPr="00E062F6">
        <w:rPr>
          <w:rFonts w:ascii="Roboto" w:hAnsi="Roboto"/>
          <w:color w:val="543192"/>
        </w:rPr>
        <w:t xml:space="preserve">, ensure that civilians are not </w:t>
      </w:r>
      <w:r w:rsidRPr="00E062F6">
        <w:rPr>
          <w:rFonts w:ascii="Roboto" w:hAnsi="Roboto"/>
          <w:color w:val="543192"/>
        </w:rPr>
        <w:t>brought</w:t>
      </w:r>
      <w:r w:rsidRPr="00E062F6">
        <w:rPr>
          <w:rFonts w:ascii="Roboto" w:hAnsi="Roboto"/>
          <w:color w:val="543192"/>
        </w:rPr>
        <w:t xml:space="preserve"> before it.</w:t>
      </w:r>
    </w:p>
    <w:p w14:paraId="39521814" w14:textId="77777777" w:rsidR="00FA7A82" w:rsidRPr="00E062F6" w:rsidRDefault="00000000">
      <w:pPr>
        <w:pStyle w:val="Heading1"/>
        <w:spacing w:line="276" w:lineRule="auto"/>
        <w:jc w:val="both"/>
      </w:pPr>
      <w:bookmarkStart w:id="20" w:name="_Toc178610941"/>
      <w:r w:rsidRPr="00E062F6">
        <w:t>Prompt and impartial investigation into torture complaints (articles 12-13)</w:t>
      </w:r>
      <w:bookmarkEnd w:id="20"/>
    </w:p>
    <w:p w14:paraId="0D94BC24" w14:textId="77777777" w:rsidR="00FA7A82" w:rsidRPr="00E062F6" w:rsidRDefault="00000000">
      <w:pPr>
        <w:pStyle w:val="Heading2"/>
        <w:jc w:val="both"/>
        <w:rPr>
          <w:rStyle w:val="SubtleEmphasis"/>
        </w:rPr>
      </w:pPr>
      <w:bookmarkStart w:id="21" w:name="_Toc178610942"/>
      <w:r w:rsidRPr="00E062F6">
        <w:t>Inadequacy and lack of independence of complaint mechanisms</w:t>
      </w:r>
      <w:bookmarkEnd w:id="21"/>
      <w:r w:rsidRPr="00E062F6">
        <w:t xml:space="preserve"> </w:t>
      </w:r>
    </w:p>
    <w:p w14:paraId="1E02636F" w14:textId="77777777" w:rsidR="00FA7A82" w:rsidRPr="00E062F6" w:rsidRDefault="00000000">
      <w:pPr>
        <w:jc w:val="both"/>
        <w:rPr>
          <w:rFonts w:ascii="Roboto" w:hAnsi="Roboto"/>
          <w:color w:val="000000" w:themeColor="text1"/>
        </w:rPr>
      </w:pPr>
      <w:r w:rsidRPr="00E062F6">
        <w:rPr>
          <w:rFonts w:ascii="Roboto" w:hAnsi="Roboto"/>
          <w:color w:val="000000" w:themeColor="text1"/>
        </w:rPr>
        <w:t>Jordanian authorities have stated that suspects who allege that they have been coerced into confessing can appeal to the prosecutor or the court, and the latter will not admit the confession as evidence if they deem it to have been made under duress.</w:t>
      </w:r>
      <w:r w:rsidRPr="00E062F6">
        <w:rPr>
          <w:rStyle w:val="FootnoteReference"/>
          <w:rFonts w:ascii="Roboto" w:hAnsi="Roboto"/>
        </w:rPr>
        <w:footnoteReference w:id="129"/>
      </w:r>
      <w:r w:rsidRPr="00E062F6">
        <w:rPr>
          <w:rFonts w:ascii="Roboto" w:hAnsi="Roboto"/>
          <w:color w:val="000000" w:themeColor="text1"/>
        </w:rPr>
        <w:t xml:space="preserve"> </w:t>
      </w:r>
    </w:p>
    <w:p w14:paraId="7FC42201" w14:textId="77777777" w:rsidR="00FA7A82" w:rsidRPr="00E062F6" w:rsidRDefault="00000000">
      <w:pPr>
        <w:jc w:val="both"/>
        <w:rPr>
          <w:rStyle w:val="SubtleEmphasis"/>
        </w:rPr>
      </w:pPr>
      <w:r w:rsidRPr="00E062F6">
        <w:rPr>
          <w:rFonts w:ascii="Roboto" w:hAnsi="Roboto"/>
          <w:color w:val="000000" w:themeColor="text1"/>
        </w:rPr>
        <w:t>However, the Committee had highlighted that existing complaints mechanisms and investigation bodies, particularly the public prosecutor, lack the necessary independence as they are in the same structure that employs the alleged perpetrators.</w:t>
      </w:r>
      <w:r w:rsidRPr="00E062F6">
        <w:rPr>
          <w:rStyle w:val="FootnoteReference"/>
          <w:rFonts w:ascii="Roboto" w:hAnsi="Roboto"/>
          <w:color w:val="000000" w:themeColor="text1"/>
        </w:rPr>
        <w:footnoteReference w:id="130"/>
      </w:r>
      <w:r w:rsidRPr="00E062F6">
        <w:rPr>
          <w:rFonts w:ascii="Roboto" w:hAnsi="Roboto"/>
          <w:color w:val="000000" w:themeColor="text1"/>
        </w:rPr>
        <w:t xml:space="preserve"> The Committee also expressed concern that only a few complaints of ill-treatment or torture had led to </w:t>
      </w:r>
      <w:proofErr w:type="gramStart"/>
      <w:r w:rsidRPr="00E062F6">
        <w:rPr>
          <w:rFonts w:ascii="Roboto" w:hAnsi="Roboto"/>
          <w:color w:val="000000" w:themeColor="text1"/>
        </w:rPr>
        <w:t>prosecution</w:t>
      </w:r>
      <w:proofErr w:type="gramEnd"/>
      <w:r w:rsidRPr="00E062F6">
        <w:rPr>
          <w:rFonts w:ascii="Roboto" w:hAnsi="Roboto"/>
          <w:color w:val="000000" w:themeColor="text1"/>
        </w:rPr>
        <w:t xml:space="preserve"> and none had resulted in a conviction.</w:t>
      </w:r>
      <w:r w:rsidRPr="00E062F6">
        <w:rPr>
          <w:rStyle w:val="FootnoteReference"/>
          <w:rFonts w:ascii="Roboto" w:hAnsi="Roboto"/>
          <w:color w:val="000000" w:themeColor="text1"/>
        </w:rPr>
        <w:footnoteReference w:id="131"/>
      </w:r>
      <w:r w:rsidRPr="00E062F6">
        <w:rPr>
          <w:rStyle w:val="SubtleEmphasis"/>
        </w:rPr>
        <w:t xml:space="preserve"> </w:t>
      </w:r>
    </w:p>
    <w:p w14:paraId="299761B0" w14:textId="77777777" w:rsidR="00FA7A82" w:rsidRPr="00E062F6" w:rsidRDefault="00000000">
      <w:pPr>
        <w:jc w:val="both"/>
        <w:rPr>
          <w:rStyle w:val="SubtleEmphasis"/>
          <w:color w:val="000000" w:themeColor="text1"/>
        </w:rPr>
      </w:pPr>
      <w:r w:rsidRPr="00E062F6">
        <w:rPr>
          <w:rFonts w:ascii="Roboto" w:hAnsi="Roboto"/>
          <w:color w:val="000000" w:themeColor="text1"/>
        </w:rPr>
        <w:t>In this regard, the Committee asked the State party to provide information about the independence of the existing complaint mechanisms within the PSD, mentioning a possible hierarchical or institutional link between the alleged perpetrators and the investigators.</w:t>
      </w:r>
      <w:r w:rsidRPr="00E062F6">
        <w:rPr>
          <w:rStyle w:val="FootnoteReference"/>
          <w:rFonts w:ascii="Roboto" w:hAnsi="Roboto"/>
        </w:rPr>
        <w:footnoteReference w:id="132"/>
      </w:r>
    </w:p>
    <w:p w14:paraId="12F13222" w14:textId="77777777" w:rsidR="00FA7A82" w:rsidRPr="00E062F6" w:rsidRDefault="00000000">
      <w:pPr>
        <w:jc w:val="both"/>
        <w:rPr>
          <w:rFonts w:ascii="Roboto" w:hAnsi="Roboto"/>
          <w:color w:val="000000" w:themeColor="text1"/>
        </w:rPr>
      </w:pPr>
      <w:r w:rsidRPr="00E062F6">
        <w:rPr>
          <w:rFonts w:ascii="Roboto" w:hAnsi="Roboto"/>
        </w:rPr>
        <w:t xml:space="preserve">The Public Security Directorate (PSD), which falls under the authority of the Ministry of Interior, </w:t>
      </w:r>
      <w:r w:rsidRPr="00E062F6">
        <w:rPr>
          <w:rFonts w:ascii="Roboto" w:hAnsi="Roboto"/>
          <w:color w:val="000000" w:themeColor="text1"/>
        </w:rPr>
        <w:t>can receive complaints through its public prosecutors. According to the authorities, the latter enjoy “full independence under the law”.</w:t>
      </w:r>
      <w:r w:rsidRPr="00E062F6">
        <w:rPr>
          <w:rStyle w:val="FootnoteReference"/>
          <w:rFonts w:ascii="Roboto" w:hAnsi="Roboto"/>
          <w:color w:val="000000" w:themeColor="text1"/>
        </w:rPr>
        <w:footnoteReference w:id="133"/>
      </w:r>
      <w:r w:rsidRPr="00E062F6">
        <w:rPr>
          <w:rFonts w:ascii="Roboto" w:hAnsi="Roboto"/>
          <w:color w:val="000000" w:themeColor="text1"/>
        </w:rPr>
        <w:t xml:space="preserve">  However, these public prosecutors are appointed by the Public Security Director and are not overseen by the judiciary but by the PSD itself.</w:t>
      </w:r>
      <w:r w:rsidRPr="00E062F6">
        <w:rPr>
          <w:rStyle w:val="FootnoteReference"/>
          <w:rFonts w:ascii="Roboto" w:hAnsi="Roboto"/>
          <w:color w:val="000000" w:themeColor="text1"/>
        </w:rPr>
        <w:footnoteReference w:id="134"/>
      </w:r>
      <w:r w:rsidRPr="00E062F6">
        <w:rPr>
          <w:rFonts w:ascii="Roboto" w:hAnsi="Roboto"/>
          <w:color w:val="000000" w:themeColor="text1"/>
        </w:rPr>
        <w:t xml:space="preserve"> </w:t>
      </w:r>
      <w:r w:rsidRPr="00E062F6">
        <w:rPr>
          <w:rStyle w:val="SubtleEmphasis"/>
        </w:rPr>
        <w:t>T</w:t>
      </w:r>
      <w:r w:rsidRPr="00E062F6">
        <w:rPr>
          <w:rFonts w:ascii="Roboto" w:hAnsi="Roboto"/>
        </w:rPr>
        <w:t xml:space="preserve">he Human Rights Committee had previously noted with concern a lack of independent </w:t>
      </w:r>
      <w:r w:rsidRPr="00E062F6">
        <w:rPr>
          <w:rFonts w:ascii="Roboto" w:hAnsi="Roboto"/>
        </w:rPr>
        <w:lastRenderedPageBreak/>
        <w:t>complaint mechanism for receiving and dealing with cases of alleged torture or ill-treatment, as well as the low number of investigations and prosecutions relating to such cases.</w:t>
      </w:r>
      <w:r w:rsidRPr="00E062F6">
        <w:rPr>
          <w:rStyle w:val="FootnoteReference"/>
          <w:rFonts w:ascii="Roboto" w:hAnsi="Roboto"/>
        </w:rPr>
        <w:footnoteReference w:id="135"/>
      </w:r>
      <w:r w:rsidRPr="00E062F6">
        <w:rPr>
          <w:rFonts w:ascii="Roboto" w:hAnsi="Roboto"/>
          <w:color w:val="000000" w:themeColor="text1"/>
        </w:rPr>
        <w:t xml:space="preserve"> </w:t>
      </w:r>
    </w:p>
    <w:p w14:paraId="350663EE" w14:textId="77777777" w:rsidR="00FA7A82" w:rsidRPr="00E062F6" w:rsidRDefault="00000000">
      <w:pPr>
        <w:jc w:val="both"/>
        <w:rPr>
          <w:rFonts w:ascii="Roboto" w:hAnsi="Roboto"/>
          <w:color w:val="000000" w:themeColor="text1"/>
        </w:rPr>
      </w:pPr>
      <w:r w:rsidRPr="00E062F6">
        <w:rPr>
          <w:rFonts w:ascii="Roboto" w:hAnsi="Roboto"/>
          <w:color w:val="000000" w:themeColor="text1"/>
        </w:rPr>
        <w:t>The Committee has also noted that existing complaints mechanisms lack confidentiality and fail to protect complainants and witnesses.</w:t>
      </w:r>
      <w:r w:rsidRPr="00E062F6">
        <w:rPr>
          <w:rStyle w:val="FootnoteReference"/>
          <w:rFonts w:ascii="Roboto" w:hAnsi="Roboto"/>
          <w:color w:val="000000" w:themeColor="text1"/>
        </w:rPr>
        <w:footnoteReference w:id="136"/>
      </w:r>
      <w:r w:rsidRPr="00E062F6">
        <w:rPr>
          <w:rStyle w:val="SubtleEmphasis"/>
        </w:rPr>
        <w:t xml:space="preserve"> </w:t>
      </w:r>
      <w:r w:rsidRPr="00E062F6">
        <w:rPr>
          <w:rFonts w:ascii="Roboto" w:hAnsi="Roboto"/>
          <w:color w:val="000000" w:themeColor="text1"/>
        </w:rPr>
        <w:t>It has notably been reported that prisoners are often pressured not to not lodge complaints or to withdraw their complaints to avoid reprisals.</w:t>
      </w:r>
      <w:r w:rsidRPr="00E062F6">
        <w:rPr>
          <w:rStyle w:val="FootnoteReference"/>
          <w:rFonts w:ascii="Roboto" w:hAnsi="Roboto"/>
          <w:color w:val="000000" w:themeColor="text1"/>
        </w:rPr>
        <w:footnoteReference w:id="137"/>
      </w:r>
      <w:r w:rsidRPr="00E062F6">
        <w:rPr>
          <w:rFonts w:ascii="Roboto" w:hAnsi="Roboto"/>
          <w:color w:val="000000" w:themeColor="text1"/>
        </w:rPr>
        <w:t xml:space="preserve"> </w:t>
      </w:r>
    </w:p>
    <w:p w14:paraId="7FCB2AD8" w14:textId="77777777" w:rsidR="00FA7A82" w:rsidRPr="00E062F6" w:rsidRDefault="00000000">
      <w:pPr>
        <w:pStyle w:val="Heading2"/>
        <w:jc w:val="both"/>
        <w:rPr>
          <w:rStyle w:val="SubtleEmphasis"/>
        </w:rPr>
      </w:pPr>
      <w:bookmarkStart w:id="22" w:name="_Toc178610943"/>
      <w:r w:rsidRPr="00E062F6">
        <w:t>Special court system for torture cases</w:t>
      </w:r>
      <w:bookmarkEnd w:id="22"/>
    </w:p>
    <w:p w14:paraId="3037A46B" w14:textId="77777777" w:rsidR="00FA7A82" w:rsidRPr="00E062F6" w:rsidRDefault="00000000">
      <w:pPr>
        <w:spacing w:line="276" w:lineRule="auto"/>
        <w:jc w:val="both"/>
        <w:rPr>
          <w:rFonts w:ascii="Roboto" w:hAnsi="Roboto"/>
        </w:rPr>
      </w:pPr>
      <w:r w:rsidRPr="00E062F6">
        <w:rPr>
          <w:rStyle w:val="SubtleEmphasis"/>
        </w:rPr>
        <w:t xml:space="preserve">In Jordan, torture cases fall under the jurisdiction of </w:t>
      </w:r>
      <w:r w:rsidRPr="00E062F6">
        <w:rPr>
          <w:rFonts w:ascii="Roboto" w:hAnsi="Roboto"/>
        </w:rPr>
        <w:t xml:space="preserve">specialised jurisdictions such as police courts and military courts. </w:t>
      </w:r>
    </w:p>
    <w:p w14:paraId="61AB71C3" w14:textId="77777777" w:rsidR="00FA7A82" w:rsidRPr="00E062F6" w:rsidRDefault="00000000">
      <w:pPr>
        <w:spacing w:line="276" w:lineRule="auto"/>
        <w:jc w:val="both"/>
        <w:rPr>
          <w:rFonts w:ascii="Roboto" w:hAnsi="Roboto"/>
        </w:rPr>
      </w:pPr>
      <w:r w:rsidRPr="00E062F6">
        <w:rPr>
          <w:rStyle w:val="SubtleEmphasis"/>
        </w:rPr>
        <w:t xml:space="preserve">The Committee has asked the State party to </w:t>
      </w:r>
      <w:r w:rsidRPr="00E062F6">
        <w:rPr>
          <w:rFonts w:ascii="Roboto" w:hAnsi="Roboto"/>
        </w:rPr>
        <w:t>indicate efforts made to replace the special court system by a regular court system, in a view to fully guarantee independence and impartiality, in accordance with the Convention and other international fair trial standards.</w:t>
      </w:r>
      <w:r w:rsidRPr="00E062F6">
        <w:rPr>
          <w:rStyle w:val="FootnoteReference"/>
          <w:rFonts w:ascii="Roboto" w:hAnsi="Roboto"/>
        </w:rPr>
        <w:footnoteReference w:id="138"/>
      </w:r>
      <w:r w:rsidRPr="00E062F6">
        <w:rPr>
          <w:rFonts w:ascii="Roboto" w:hAnsi="Roboto"/>
        </w:rPr>
        <w:t xml:space="preserve"> </w:t>
      </w:r>
    </w:p>
    <w:p w14:paraId="4DBBD2FD" w14:textId="271684D6" w:rsidR="00FA7A82" w:rsidRPr="00E062F6" w:rsidRDefault="00000000">
      <w:pPr>
        <w:spacing w:line="276" w:lineRule="auto"/>
        <w:jc w:val="both"/>
        <w:rPr>
          <w:rFonts w:ascii="Roboto" w:hAnsi="Roboto"/>
        </w:rPr>
      </w:pPr>
      <w:r w:rsidRPr="00E062F6">
        <w:rPr>
          <w:rFonts w:ascii="Roboto" w:hAnsi="Roboto"/>
          <w:color w:val="000000" w:themeColor="text1"/>
        </w:rPr>
        <w:t xml:space="preserve">In its list of issues, the Committee requested the State party to amend relevant laws to give jurisdiction over torture cases to regular courts to ensure that such cases are impartially </w:t>
      </w:r>
      <w:proofErr w:type="gramStart"/>
      <w:r w:rsidRPr="00E062F6">
        <w:rPr>
          <w:rFonts w:ascii="Roboto" w:hAnsi="Roboto"/>
          <w:color w:val="000000" w:themeColor="text1"/>
        </w:rPr>
        <w:t>investigated</w:t>
      </w:r>
      <w:proofErr w:type="gramEnd"/>
      <w:r w:rsidRPr="00E062F6">
        <w:rPr>
          <w:rFonts w:ascii="Roboto" w:hAnsi="Roboto"/>
          <w:color w:val="000000" w:themeColor="text1"/>
        </w:rPr>
        <w:t xml:space="preserve"> and perpetrators are brought to justice.</w:t>
      </w:r>
      <w:r w:rsidRPr="00E062F6">
        <w:rPr>
          <w:rStyle w:val="FootnoteReference"/>
          <w:rFonts w:ascii="Roboto" w:hAnsi="Roboto"/>
        </w:rPr>
        <w:footnoteReference w:id="139"/>
      </w:r>
      <w:r w:rsidRPr="00E062F6">
        <w:rPr>
          <w:rFonts w:ascii="Roboto" w:hAnsi="Roboto"/>
          <w:color w:val="000000" w:themeColor="text1"/>
        </w:rPr>
        <w:t xml:space="preserve"> </w:t>
      </w:r>
      <w:r w:rsidRPr="00E062F6">
        <w:rPr>
          <w:rFonts w:ascii="Roboto" w:hAnsi="Roboto"/>
        </w:rPr>
        <w:t>However, the Code of Criminal Procedure has not been amended to give jurisdiction over torture cases to regular courts.</w:t>
      </w:r>
      <w:r w:rsidRPr="00E062F6">
        <w:rPr>
          <w:rStyle w:val="FootnoteReference"/>
          <w:rFonts w:ascii="Roboto" w:hAnsi="Roboto"/>
        </w:rPr>
        <w:footnoteReference w:id="140"/>
      </w:r>
    </w:p>
    <w:p w14:paraId="6F9D43AB" w14:textId="77777777" w:rsidR="00FA7A82" w:rsidRPr="00E062F6" w:rsidRDefault="00000000">
      <w:pPr>
        <w:spacing w:line="276" w:lineRule="auto"/>
        <w:jc w:val="both"/>
        <w:rPr>
          <w:rFonts w:ascii="Roboto" w:hAnsi="Roboto"/>
        </w:rPr>
      </w:pPr>
      <w:r w:rsidRPr="00E062F6">
        <w:rPr>
          <w:rFonts w:ascii="Roboto" w:hAnsi="Roboto"/>
        </w:rPr>
        <w:t>The Police Court, which falls under the Ministry of Interior, is competent to consider the penal cases committed by persons working in the PSD. This court can be seized by the public prosecutor if they deem a torture complaint to be admissible. Its trial chambers are composed of a civil judge appointed by the head of Jordan’s Judicial Council – the judiciary’s highest administrative body – and two other judges appointed by the Public Security Director.</w:t>
      </w:r>
      <w:r w:rsidRPr="00E062F6">
        <w:rPr>
          <w:rStyle w:val="FootnoteReference"/>
          <w:rFonts w:ascii="Roboto" w:hAnsi="Roboto"/>
        </w:rPr>
        <w:footnoteReference w:id="141"/>
      </w:r>
      <w:r w:rsidRPr="00E062F6">
        <w:rPr>
          <w:rFonts w:ascii="Roboto" w:hAnsi="Roboto"/>
        </w:rPr>
        <w:t xml:space="preserve"> In other words, two thirds of the magistrates investigating and prosecuting acts of torture belong to the same administration as alleged perpetrators.</w:t>
      </w:r>
      <w:r w:rsidRPr="00E062F6">
        <w:rPr>
          <w:rStyle w:val="FootnoteReference"/>
          <w:rFonts w:ascii="Roboto" w:hAnsi="Roboto"/>
        </w:rPr>
        <w:footnoteReference w:id="142"/>
      </w:r>
      <w:r w:rsidRPr="00E062F6">
        <w:rPr>
          <w:rFonts w:ascii="Roboto" w:hAnsi="Roboto"/>
        </w:rPr>
        <w:t xml:space="preserve"> Moreover, human rights organisations </w:t>
      </w:r>
      <w:r w:rsidRPr="00E062F6">
        <w:rPr>
          <w:rFonts w:ascii="Roboto" w:hAnsi="Roboto"/>
        </w:rPr>
        <w:lastRenderedPageBreak/>
        <w:t>have repeatedly voiced their inability to access information on the results of cases brought before police courts.</w:t>
      </w:r>
      <w:r w:rsidRPr="00E062F6">
        <w:rPr>
          <w:rStyle w:val="FootnoteReference"/>
          <w:rFonts w:ascii="Roboto" w:hAnsi="Roboto"/>
        </w:rPr>
        <w:footnoteReference w:id="143"/>
      </w:r>
    </w:p>
    <w:p w14:paraId="0543EE02" w14:textId="77777777" w:rsidR="00FA7A82" w:rsidRPr="00E062F6" w:rsidRDefault="00000000">
      <w:pPr>
        <w:spacing w:line="276" w:lineRule="auto"/>
        <w:jc w:val="both"/>
        <w:rPr>
          <w:rFonts w:ascii="Roboto" w:hAnsi="Roboto"/>
        </w:rPr>
      </w:pPr>
      <w:r w:rsidRPr="00E062F6">
        <w:rPr>
          <w:rFonts w:ascii="Roboto" w:hAnsi="Roboto"/>
        </w:rPr>
        <w:t>The State party has claimed that the fact that members of the security services are tried before military courts in cases of torture does not mean that the investigations are inadequate, that torture cases are not dealt with impartiality, or that perpetrators are not brought to justice.</w:t>
      </w:r>
      <w:r w:rsidRPr="00E062F6">
        <w:rPr>
          <w:rStyle w:val="FootnoteReference"/>
          <w:rFonts w:ascii="Roboto" w:hAnsi="Roboto"/>
        </w:rPr>
        <w:footnoteReference w:id="144"/>
      </w:r>
      <w:r w:rsidRPr="00E062F6">
        <w:rPr>
          <w:rFonts w:ascii="Roboto" w:hAnsi="Roboto"/>
        </w:rPr>
        <w:t xml:space="preserve"> However, the Committee had already expressed concern about the lack of independence and impartiality of those courts in its 2016 Concluding Observation.</w:t>
      </w:r>
      <w:r w:rsidRPr="00E062F6">
        <w:rPr>
          <w:rStyle w:val="FootnoteReference"/>
          <w:rFonts w:ascii="Roboto" w:hAnsi="Roboto"/>
        </w:rPr>
        <w:footnoteReference w:id="145"/>
      </w:r>
    </w:p>
    <w:p w14:paraId="084306BE" w14:textId="77777777" w:rsidR="00FA7A82" w:rsidRPr="00E062F6" w:rsidRDefault="00000000">
      <w:pPr>
        <w:spacing w:line="276" w:lineRule="auto"/>
        <w:jc w:val="both"/>
        <w:rPr>
          <w:rFonts w:ascii="Roboto" w:hAnsi="Roboto"/>
        </w:rPr>
      </w:pPr>
      <w:r w:rsidRPr="00E062F6">
        <w:rPr>
          <w:rStyle w:val="SubtleEmphasis"/>
        </w:rPr>
        <w:t xml:space="preserve">Moreover, there is a </w:t>
      </w:r>
      <w:r w:rsidRPr="00E062F6">
        <w:rPr>
          <w:rFonts w:ascii="Roboto" w:hAnsi="Roboto"/>
        </w:rPr>
        <w:t xml:space="preserve">complexity and confusion arising from overlapping legal frameworks governing </w:t>
      </w:r>
      <w:r w:rsidRPr="00E062F6">
        <w:rPr>
          <w:rStyle w:val="SubtleEmphasis"/>
        </w:rPr>
        <w:t>the investigation and prosecution of acts of torture before military courts</w:t>
      </w:r>
      <w:r w:rsidRPr="00E062F6">
        <w:rPr>
          <w:rFonts w:ascii="Roboto" w:hAnsi="Roboto"/>
        </w:rPr>
        <w:t>, which contributes to a lack of accountability for GID officers responsible for committing acts of torture.</w:t>
      </w:r>
    </w:p>
    <w:p w14:paraId="0E666C30" w14:textId="1515C4CF" w:rsidR="00FA7A82" w:rsidRPr="00E062F6" w:rsidRDefault="00000000">
      <w:pPr>
        <w:spacing w:line="276" w:lineRule="auto"/>
        <w:jc w:val="both"/>
        <w:rPr>
          <w:rStyle w:val="SubtleEmphasis"/>
        </w:rPr>
      </w:pPr>
      <w:r w:rsidRPr="00E062F6">
        <w:rPr>
          <w:rFonts w:ascii="Roboto" w:hAnsi="Roboto"/>
        </w:rPr>
        <w:t xml:space="preserve">On one hand, the GID Law </w:t>
      </w:r>
      <w:r w:rsidRPr="00E062F6">
        <w:rPr>
          <w:rFonts w:ascii="Roboto" w:hAnsi="Roboto"/>
        </w:rPr>
        <w:t xml:space="preserve">provides </w:t>
      </w:r>
      <w:r w:rsidRPr="00E062F6">
        <w:rPr>
          <w:rFonts w:ascii="Roboto" w:hAnsi="Roboto"/>
        </w:rPr>
        <w:t>that GID officers are prosecuted before a Military Tribunal of the GID, which is presided over by GID officials.</w:t>
      </w:r>
      <w:r w:rsidRPr="00E062F6">
        <w:rPr>
          <w:rStyle w:val="FootnoteReference"/>
          <w:rFonts w:ascii="Roboto" w:hAnsi="Roboto"/>
        </w:rPr>
        <w:footnoteReference w:id="146"/>
      </w:r>
      <w:r w:rsidRPr="00E062F6">
        <w:rPr>
          <w:rFonts w:ascii="Roboto" w:hAnsi="Roboto"/>
        </w:rPr>
        <w:t xml:space="preserve"> However, this tribunal only has jurisdiction over crimes falling under the State Security Court (SSC),</w:t>
      </w:r>
      <w:r w:rsidRPr="00E062F6">
        <w:rPr>
          <w:rStyle w:val="FootnoteReference"/>
          <w:rFonts w:ascii="Roboto" w:hAnsi="Roboto"/>
        </w:rPr>
        <w:footnoteReference w:id="147"/>
      </w:r>
      <w:r w:rsidRPr="00E062F6">
        <w:rPr>
          <w:rStyle w:val="SubtleEmphasis"/>
        </w:rPr>
        <w:t xml:space="preserve"> </w:t>
      </w:r>
      <w:r w:rsidRPr="00E062F6">
        <w:rPr>
          <w:rFonts w:ascii="Roboto" w:hAnsi="Roboto"/>
        </w:rPr>
        <w:t>which does not include torture.</w:t>
      </w:r>
      <w:r w:rsidRPr="00E062F6">
        <w:rPr>
          <w:rStyle w:val="FootnoteReference"/>
          <w:rFonts w:ascii="Roboto" w:hAnsi="Roboto"/>
        </w:rPr>
        <w:footnoteReference w:id="148"/>
      </w:r>
      <w:r w:rsidRPr="00E062F6">
        <w:rPr>
          <w:rStyle w:val="SubtleEmphasis"/>
        </w:rPr>
        <w:t xml:space="preserve"> </w:t>
      </w:r>
    </w:p>
    <w:p w14:paraId="3C943C48" w14:textId="77777777" w:rsidR="00FA7A82" w:rsidRPr="00E062F6" w:rsidRDefault="00000000">
      <w:pPr>
        <w:spacing w:line="276" w:lineRule="auto"/>
        <w:jc w:val="both"/>
        <w:rPr>
          <w:rStyle w:val="SubtleEmphasis"/>
        </w:rPr>
      </w:pPr>
      <w:r w:rsidRPr="00E062F6">
        <w:rPr>
          <w:rStyle w:val="SubtleEmphasis"/>
        </w:rPr>
        <w:t>On the other hand, the Military Code of Criminal Procedure,</w:t>
      </w:r>
      <w:r w:rsidRPr="00E062F6">
        <w:rPr>
          <w:rStyle w:val="FootnoteReference"/>
          <w:rFonts w:ascii="Roboto" w:hAnsi="Roboto"/>
        </w:rPr>
        <w:footnoteReference w:id="149"/>
      </w:r>
      <w:r w:rsidRPr="00E062F6">
        <w:rPr>
          <w:rStyle w:val="SubtleEmphasis"/>
        </w:rPr>
        <w:t xml:space="preserve"> which applies to members of military personnel such as the GID,</w:t>
      </w:r>
      <w:r w:rsidRPr="00E062F6">
        <w:rPr>
          <w:rStyle w:val="FootnoteReference"/>
          <w:rFonts w:ascii="Roboto" w:hAnsi="Roboto"/>
        </w:rPr>
        <w:footnoteReference w:id="150"/>
      </w:r>
      <w:r w:rsidRPr="00E062F6">
        <w:rPr>
          <w:rStyle w:val="SubtleEmphasis"/>
        </w:rPr>
        <w:t xml:space="preserve"> grants military court jurisdiction over crimes defined by the Military Penal Code and the Penal Code, including torture.</w:t>
      </w:r>
      <w:r w:rsidRPr="00E062F6">
        <w:rPr>
          <w:rStyle w:val="FootnoteReference"/>
          <w:rFonts w:ascii="Roboto" w:hAnsi="Roboto"/>
        </w:rPr>
        <w:footnoteReference w:id="151"/>
      </w:r>
    </w:p>
    <w:p w14:paraId="44E98736" w14:textId="77777777" w:rsidR="00FA7A82" w:rsidRPr="00E062F6" w:rsidRDefault="00000000">
      <w:pPr>
        <w:spacing w:line="276" w:lineRule="auto"/>
        <w:jc w:val="both"/>
        <w:rPr>
          <w:rFonts w:ascii="Roboto" w:hAnsi="Roboto"/>
        </w:rPr>
      </w:pPr>
      <w:r w:rsidRPr="00E062F6">
        <w:rPr>
          <w:rFonts w:ascii="Roboto" w:hAnsi="Roboto"/>
        </w:rPr>
        <w:t>As such, there is a legal conflict between the GID Law, which restricts the Military Tribunal of the GID’s jurisdiction to SSC-related crimes – excluding torture –, and the Military Code of Criminal Procedure, which applies to GID members and grants military courts the authority to prosecute torture cases. This overlapping and unclear legal framework makes it difficult to determine which body is responsible for prosecuting torture committed by GID officers, making it harder to prosecute them effectively.</w:t>
      </w:r>
      <w:r w:rsidRPr="00E062F6">
        <w:rPr>
          <w:rFonts w:ascii="Roboto" w:hAnsi="Roboto"/>
        </w:rPr>
        <w:t xml:space="preserve"> </w:t>
      </w:r>
    </w:p>
    <w:p w14:paraId="4DF5055F" w14:textId="77777777" w:rsidR="00FA7A82" w:rsidRPr="00E062F6" w:rsidRDefault="00000000" w:rsidP="00F40E08">
      <w:pPr>
        <w:spacing w:line="276" w:lineRule="auto"/>
        <w:ind w:right="-283"/>
        <w:jc w:val="both"/>
        <w:rPr>
          <w:rFonts w:ascii="Roboto" w:eastAsia="Times New Roman" w:hAnsi="Roboto" w:cs="Times New Roman"/>
          <w:color w:val="000000"/>
          <w:lang w:eastAsia="fr-CH"/>
        </w:rPr>
      </w:pPr>
      <w:r w:rsidRPr="00E062F6">
        <w:rPr>
          <w:rFonts w:ascii="Roboto" w:eastAsia="Times New Roman" w:hAnsi="Roboto" w:cs="Times New Roman"/>
          <w:color w:val="000000"/>
          <w:lang w:eastAsia="fr-CH"/>
        </w:rPr>
        <w:t xml:space="preserve">Finally, we affirm that investigations of torture allegation by military prosecutors who remain subordinate to their chain of command </w:t>
      </w:r>
      <w:proofErr w:type="gramStart"/>
      <w:r w:rsidRPr="00E062F6">
        <w:rPr>
          <w:rFonts w:ascii="Roboto" w:eastAsia="Times New Roman" w:hAnsi="Roboto" w:cs="Times New Roman"/>
          <w:color w:val="000000"/>
          <w:lang w:eastAsia="fr-CH"/>
        </w:rPr>
        <w:t>in the course of</w:t>
      </w:r>
      <w:proofErr w:type="gramEnd"/>
      <w:r w:rsidRPr="00E062F6">
        <w:rPr>
          <w:rFonts w:ascii="Roboto" w:eastAsia="Times New Roman" w:hAnsi="Roboto" w:cs="Times New Roman"/>
          <w:color w:val="000000"/>
          <w:lang w:eastAsia="fr-CH"/>
        </w:rPr>
        <w:t xml:space="preserve"> exercising their duties of investigating and prosecuting crimes alleged to have been committed by members of the security forces are unlikely to meet the requisite standards of independence and impartiality required by international standards. </w:t>
      </w:r>
    </w:p>
    <w:p w14:paraId="4BDBF6C9" w14:textId="77777777" w:rsidR="00FA7A82" w:rsidRPr="00E062F6" w:rsidRDefault="00000000" w:rsidP="00F40E08">
      <w:pPr>
        <w:spacing w:line="276" w:lineRule="auto"/>
        <w:ind w:right="-283"/>
        <w:jc w:val="both"/>
        <w:rPr>
          <w:rFonts w:ascii="Roboto" w:eastAsia="Times New Roman" w:hAnsi="Roboto" w:cs="Times New Roman"/>
          <w:lang w:eastAsia="fr-CH"/>
        </w:rPr>
      </w:pPr>
      <w:r w:rsidRPr="00E062F6">
        <w:rPr>
          <w:rFonts w:ascii="Roboto" w:eastAsia="Times New Roman" w:hAnsi="Roboto" w:cs="Times New Roman"/>
          <w:color w:val="000000"/>
          <w:lang w:eastAsia="fr-CH"/>
        </w:rPr>
        <w:t>Under the Minnesota Protocol on the Investigation of Potentially Unlawful Death:</w:t>
      </w:r>
    </w:p>
    <w:p w14:paraId="50975EBA" w14:textId="77777777" w:rsidR="00FA7A82" w:rsidRPr="00E062F6" w:rsidRDefault="00000000" w:rsidP="00F40E08">
      <w:pPr>
        <w:tabs>
          <w:tab w:val="left" w:pos="567"/>
        </w:tabs>
        <w:spacing w:line="276" w:lineRule="auto"/>
        <w:ind w:left="284" w:right="284"/>
        <w:jc w:val="both"/>
        <w:rPr>
          <w:rFonts w:ascii="Roboto" w:eastAsia="Times New Roman" w:hAnsi="Roboto" w:cs="Times New Roman"/>
          <w:color w:val="000000"/>
          <w:lang w:eastAsia="fr-CH"/>
        </w:rPr>
      </w:pPr>
      <w:r w:rsidRPr="00E062F6">
        <w:rPr>
          <w:rFonts w:ascii="Roboto" w:eastAsia="Times New Roman" w:hAnsi="Roboto" w:cs="Times New Roman"/>
          <w:color w:val="000000"/>
          <w:lang w:eastAsia="fr-CH"/>
        </w:rPr>
        <w:lastRenderedPageBreak/>
        <w:t>Investigators and investigative mechanisms must be, and must be seen to be, independent of undue influence. They must be independent institutionally and formally, as well as in practice and perception, at all stages. Investigations must be independent of any suspected perpetrators and the units, institutions or agencies to which they belong. Investigations of law enforcement killings, for example, must be capable of being carried out free from undue influence that may arise from institutional hierarchies and chains of command. Inquiries into serious human rights violations, such as extrajudicial executions and torture, must be conducted under the jurisdiction of ordinary civilian courts. Investigations must also be free from undue external influence, such as the interests of political parties or powerful social groups.</w:t>
      </w:r>
    </w:p>
    <w:p w14:paraId="5A19DA03" w14:textId="77777777" w:rsidR="00FA7A82" w:rsidRPr="00E062F6" w:rsidRDefault="00000000" w:rsidP="00F40E08">
      <w:pPr>
        <w:spacing w:line="276" w:lineRule="auto"/>
        <w:ind w:right="-283"/>
        <w:jc w:val="both"/>
        <w:rPr>
          <w:rFonts w:ascii="Roboto" w:eastAsia="Roboto" w:hAnsi="Roboto" w:cs="Times New Roman"/>
          <w:color w:val="000000"/>
        </w:rPr>
      </w:pPr>
      <w:r w:rsidRPr="00E062F6">
        <w:rPr>
          <w:rFonts w:ascii="Roboto" w:eastAsia="Roboto" w:hAnsi="Roboto" w:cs="Times New Roman"/>
          <w:color w:val="000000"/>
        </w:rPr>
        <w:t>We believe that military courts, as well as police courts, cannot be considered as “independent and impartial” within the meaning of the Minnesota Protocol.</w:t>
      </w:r>
    </w:p>
    <w:p w14:paraId="2CCD9A21" w14:textId="77777777" w:rsidR="00FA7A82" w:rsidRPr="00E062F6" w:rsidRDefault="00000000">
      <w:pPr>
        <w:pStyle w:val="Title"/>
        <w:jc w:val="both"/>
      </w:pPr>
      <w:r w:rsidRPr="00E062F6">
        <w:t>Recommendations:</w:t>
      </w:r>
    </w:p>
    <w:p w14:paraId="669EB32F" w14:textId="77777777" w:rsidR="00FA7A82" w:rsidRPr="00E062F6" w:rsidRDefault="00000000">
      <w:pPr>
        <w:pStyle w:val="ListParagraph"/>
        <w:numPr>
          <w:ilvl w:val="0"/>
          <w:numId w:val="5"/>
        </w:numPr>
        <w:jc w:val="both"/>
        <w:rPr>
          <w:rFonts w:ascii="Roboto" w:hAnsi="Roboto"/>
          <w:color w:val="543192"/>
        </w:rPr>
      </w:pPr>
      <w:r w:rsidRPr="00E062F6">
        <w:rPr>
          <w:rFonts w:ascii="Roboto" w:hAnsi="Roboto"/>
          <w:color w:val="543192"/>
        </w:rPr>
        <w:t xml:space="preserve">Amend relevant laws to give jurisdiction over torture cases to regular </w:t>
      </w:r>
      <w:proofErr w:type="gramStart"/>
      <w:r w:rsidRPr="00E062F6">
        <w:rPr>
          <w:rFonts w:ascii="Roboto" w:hAnsi="Roboto"/>
          <w:color w:val="543192"/>
        </w:rPr>
        <w:t>courts;</w:t>
      </w:r>
      <w:proofErr w:type="gramEnd"/>
    </w:p>
    <w:p w14:paraId="714D120D" w14:textId="77777777" w:rsidR="00FA7A82" w:rsidRPr="00E062F6" w:rsidRDefault="00000000">
      <w:pPr>
        <w:pStyle w:val="ListParagraph"/>
        <w:numPr>
          <w:ilvl w:val="0"/>
          <w:numId w:val="5"/>
        </w:numPr>
        <w:jc w:val="both"/>
        <w:rPr>
          <w:rFonts w:ascii="Roboto" w:hAnsi="Roboto"/>
          <w:color w:val="543192"/>
        </w:rPr>
      </w:pPr>
      <w:r w:rsidRPr="00E062F6">
        <w:rPr>
          <w:rFonts w:ascii="Roboto" w:hAnsi="Roboto"/>
          <w:color w:val="543192"/>
        </w:rPr>
        <w:t xml:space="preserve">Establish an independent complaint and investigation mechanism that guarantees institutional </w:t>
      </w:r>
      <w:proofErr w:type="gramStart"/>
      <w:r w:rsidRPr="00E062F6">
        <w:rPr>
          <w:rFonts w:ascii="Roboto" w:hAnsi="Roboto"/>
          <w:color w:val="543192"/>
        </w:rPr>
        <w:t>independence;</w:t>
      </w:r>
      <w:proofErr w:type="gramEnd"/>
    </w:p>
    <w:p w14:paraId="34BA5FDB" w14:textId="77777777" w:rsidR="00FA7A82" w:rsidRPr="00E062F6" w:rsidRDefault="00000000">
      <w:pPr>
        <w:pStyle w:val="ListParagraph"/>
        <w:numPr>
          <w:ilvl w:val="0"/>
          <w:numId w:val="5"/>
        </w:numPr>
        <w:jc w:val="both"/>
        <w:rPr>
          <w:rFonts w:ascii="Roboto" w:hAnsi="Roboto"/>
          <w:color w:val="543192"/>
        </w:rPr>
      </w:pPr>
      <w:r w:rsidRPr="00E062F6">
        <w:rPr>
          <w:rFonts w:ascii="Roboto" w:hAnsi="Roboto"/>
          <w:color w:val="543192"/>
        </w:rPr>
        <w:t xml:space="preserve">Ensure that all complaints of torture or ill-treatment are promptly investigated in an impartial </w:t>
      </w:r>
      <w:proofErr w:type="gramStart"/>
      <w:r w:rsidRPr="00E062F6">
        <w:rPr>
          <w:rFonts w:ascii="Roboto" w:hAnsi="Roboto"/>
          <w:color w:val="543192"/>
        </w:rPr>
        <w:t>manner;</w:t>
      </w:r>
      <w:proofErr w:type="gramEnd"/>
    </w:p>
    <w:p w14:paraId="6CFC1405" w14:textId="77777777" w:rsidR="00FA7A82" w:rsidRPr="00E062F6" w:rsidRDefault="00000000">
      <w:pPr>
        <w:pStyle w:val="ListParagraph"/>
        <w:numPr>
          <w:ilvl w:val="0"/>
          <w:numId w:val="5"/>
        </w:numPr>
        <w:jc w:val="both"/>
        <w:rPr>
          <w:rFonts w:ascii="Roboto" w:hAnsi="Roboto"/>
          <w:color w:val="543192"/>
        </w:rPr>
      </w:pPr>
      <w:r w:rsidRPr="00E062F6">
        <w:rPr>
          <w:rFonts w:ascii="Roboto" w:hAnsi="Roboto"/>
          <w:color w:val="543192"/>
        </w:rPr>
        <w:t xml:space="preserve">Ensure that the authorities conduct investigations on their own initiative, whenever there are reasonable grounds to believe that an act of torture or ill-treatment has been </w:t>
      </w:r>
      <w:proofErr w:type="gramStart"/>
      <w:r w:rsidRPr="00E062F6">
        <w:rPr>
          <w:rFonts w:ascii="Roboto" w:hAnsi="Roboto"/>
          <w:color w:val="543192"/>
        </w:rPr>
        <w:t>committed;</w:t>
      </w:r>
      <w:proofErr w:type="gramEnd"/>
    </w:p>
    <w:p w14:paraId="1D98FE40" w14:textId="77777777" w:rsidR="00FA7A82" w:rsidRPr="00E062F6" w:rsidRDefault="00000000">
      <w:pPr>
        <w:pStyle w:val="ListParagraph"/>
        <w:numPr>
          <w:ilvl w:val="0"/>
          <w:numId w:val="5"/>
        </w:numPr>
        <w:jc w:val="both"/>
        <w:rPr>
          <w:rFonts w:ascii="Roboto" w:hAnsi="Roboto"/>
          <w:color w:val="543192"/>
        </w:rPr>
      </w:pPr>
      <w:r w:rsidRPr="00E062F6">
        <w:rPr>
          <w:rFonts w:ascii="Roboto" w:hAnsi="Roboto"/>
          <w:color w:val="543192"/>
        </w:rPr>
        <w:t xml:space="preserve">Ensure that alleged perpetrators of torture and ill-treatment are immediately suspended from duty for the duration of the </w:t>
      </w:r>
      <w:proofErr w:type="gramStart"/>
      <w:r w:rsidRPr="00E062F6">
        <w:rPr>
          <w:rFonts w:ascii="Roboto" w:hAnsi="Roboto"/>
          <w:color w:val="543192"/>
        </w:rPr>
        <w:t>investigation;</w:t>
      </w:r>
      <w:proofErr w:type="gramEnd"/>
    </w:p>
    <w:p w14:paraId="115EAF73" w14:textId="77777777" w:rsidR="00FA7A82" w:rsidRPr="00E062F6" w:rsidRDefault="00000000">
      <w:pPr>
        <w:pStyle w:val="ListParagraph"/>
        <w:numPr>
          <w:ilvl w:val="0"/>
          <w:numId w:val="5"/>
        </w:numPr>
        <w:jc w:val="both"/>
        <w:rPr>
          <w:rFonts w:ascii="Roboto" w:hAnsi="Roboto"/>
          <w:color w:val="543192"/>
        </w:rPr>
      </w:pPr>
      <w:r w:rsidRPr="00E062F6">
        <w:rPr>
          <w:rFonts w:ascii="Roboto" w:hAnsi="Roboto"/>
          <w:color w:val="543192"/>
        </w:rPr>
        <w:t xml:space="preserve">Ensure that complainants are protected against any ill-treatment, intimidation or reprisals </w:t>
      </w:r>
      <w:proofErr w:type="gramStart"/>
      <w:r w:rsidRPr="00E062F6">
        <w:rPr>
          <w:rFonts w:ascii="Roboto" w:hAnsi="Roboto"/>
          <w:color w:val="543192"/>
        </w:rPr>
        <w:t>as a consequence of</w:t>
      </w:r>
      <w:proofErr w:type="gramEnd"/>
      <w:r w:rsidRPr="00E062F6">
        <w:rPr>
          <w:rFonts w:ascii="Roboto" w:hAnsi="Roboto"/>
          <w:color w:val="543192"/>
        </w:rPr>
        <w:t xml:space="preserve"> their complaint.</w:t>
      </w:r>
    </w:p>
    <w:p w14:paraId="787D8C37" w14:textId="77777777" w:rsidR="00FA7A82" w:rsidRPr="00E062F6" w:rsidRDefault="00000000">
      <w:pPr>
        <w:pStyle w:val="Heading1"/>
        <w:spacing w:line="276" w:lineRule="auto"/>
        <w:jc w:val="both"/>
      </w:pPr>
      <w:bookmarkStart w:id="23" w:name="_Toc178610944"/>
      <w:r w:rsidRPr="00E062F6">
        <w:t>Right to redress, compensation and rehabilitation (article 14)</w:t>
      </w:r>
      <w:bookmarkEnd w:id="23"/>
    </w:p>
    <w:p w14:paraId="5EAA1ABB" w14:textId="77777777" w:rsidR="00FA7A82" w:rsidRPr="00E062F6" w:rsidRDefault="00000000">
      <w:pPr>
        <w:jc w:val="both"/>
        <w:rPr>
          <w:rFonts w:ascii="Roboto" w:hAnsi="Roboto"/>
          <w:color w:val="000000" w:themeColor="text1"/>
        </w:rPr>
      </w:pPr>
      <w:r w:rsidRPr="00E062F6">
        <w:rPr>
          <w:rFonts w:ascii="Roboto" w:hAnsi="Roboto"/>
          <w:color w:val="000000" w:themeColor="text1"/>
        </w:rPr>
        <w:t>In its list of issues, the Committee requested the State party to provide information on steps taken to include in domestic legislation a provision that explicitly provides for the right of victims of torture and ill-treatment and their families to redress, including fair and adequate compensation and rehabilitation.</w:t>
      </w:r>
      <w:r w:rsidRPr="00E062F6">
        <w:rPr>
          <w:rStyle w:val="FootnoteReference"/>
          <w:rFonts w:ascii="Roboto" w:hAnsi="Roboto"/>
        </w:rPr>
        <w:footnoteReference w:id="152"/>
      </w:r>
    </w:p>
    <w:p w14:paraId="5A173C81" w14:textId="77777777" w:rsidR="00FA7A82" w:rsidRPr="00E062F6" w:rsidRDefault="00000000">
      <w:pPr>
        <w:jc w:val="both"/>
        <w:rPr>
          <w:rFonts w:ascii="Roboto" w:hAnsi="Roboto"/>
          <w:color w:val="000000" w:themeColor="text1"/>
        </w:rPr>
      </w:pPr>
      <w:r w:rsidRPr="00E062F6">
        <w:rPr>
          <w:rFonts w:ascii="Roboto" w:hAnsi="Roboto"/>
          <w:color w:val="000000" w:themeColor="text1"/>
        </w:rPr>
        <w:lastRenderedPageBreak/>
        <w:t>Yet, compensation and redress for damages are only addressed through general provisions contained in the Civil Code, and there remains no provision explicitly ensuring the right of victims of torture and ill-treatment and their families to redress in domestic legislation.</w:t>
      </w:r>
      <w:r w:rsidRPr="00E062F6">
        <w:rPr>
          <w:rStyle w:val="FootnoteReference"/>
          <w:rFonts w:ascii="Roboto" w:hAnsi="Roboto"/>
        </w:rPr>
        <w:footnoteReference w:id="153"/>
      </w:r>
      <w:r w:rsidRPr="00E062F6">
        <w:rPr>
          <w:rFonts w:ascii="Roboto" w:hAnsi="Roboto"/>
          <w:color w:val="000000" w:themeColor="text1"/>
        </w:rPr>
        <w:t xml:space="preserve"> </w:t>
      </w:r>
    </w:p>
    <w:p w14:paraId="65D1AA91" w14:textId="77777777" w:rsidR="00FA7A82" w:rsidRPr="00E062F6" w:rsidRDefault="00000000">
      <w:pPr>
        <w:pStyle w:val="Title"/>
        <w:jc w:val="both"/>
      </w:pPr>
      <w:r w:rsidRPr="00E062F6">
        <w:t>Recommendations:</w:t>
      </w:r>
    </w:p>
    <w:p w14:paraId="37896E91" w14:textId="77777777" w:rsidR="00FA7A82" w:rsidRPr="00E062F6" w:rsidRDefault="00000000">
      <w:pPr>
        <w:pStyle w:val="ListParagraph"/>
        <w:numPr>
          <w:ilvl w:val="0"/>
          <w:numId w:val="5"/>
        </w:numPr>
        <w:jc w:val="both"/>
        <w:rPr>
          <w:rFonts w:ascii="Roboto" w:hAnsi="Roboto"/>
          <w:color w:val="543192"/>
        </w:rPr>
      </w:pPr>
      <w:r w:rsidRPr="00E062F6">
        <w:rPr>
          <w:rFonts w:ascii="Roboto" w:hAnsi="Roboto"/>
          <w:color w:val="543192"/>
        </w:rPr>
        <w:t>Introduce in domestic legislation a provision that explicitly provides for the right of victims of torture and ill-treatment and their families to redress, including fair and adequate compensation and rehabilitation.</w:t>
      </w:r>
    </w:p>
    <w:p w14:paraId="3CFBE22D" w14:textId="788739F8" w:rsidR="00FA7A82" w:rsidRPr="00E062F6" w:rsidRDefault="00000000" w:rsidP="005A1D42">
      <w:pPr>
        <w:pStyle w:val="Heading1"/>
        <w:spacing w:line="276" w:lineRule="auto"/>
        <w:jc w:val="both"/>
      </w:pPr>
      <w:bookmarkStart w:id="24" w:name="_Toc178610945"/>
      <w:r w:rsidRPr="00E062F6">
        <w:t>Acts of cruel, inhuman or degrading treatment or punishment (article 16)</w:t>
      </w:r>
      <w:bookmarkEnd w:id="24"/>
    </w:p>
    <w:p w14:paraId="2620ACCB" w14:textId="77777777" w:rsidR="00FA7A82" w:rsidRPr="00E062F6" w:rsidRDefault="00000000">
      <w:pPr>
        <w:pStyle w:val="Heading2"/>
        <w:jc w:val="both"/>
        <w:rPr>
          <w:rStyle w:val="SubtleEmphasis"/>
        </w:rPr>
      </w:pPr>
      <w:bookmarkStart w:id="25" w:name="_Toc178610946"/>
      <w:r w:rsidRPr="00E062F6">
        <w:t>The death penalty</w:t>
      </w:r>
      <w:bookmarkEnd w:id="25"/>
      <w:r w:rsidRPr="00E062F6">
        <w:t xml:space="preserve"> </w:t>
      </w:r>
    </w:p>
    <w:p w14:paraId="4E91B66C" w14:textId="77777777" w:rsidR="00FA7A82" w:rsidRPr="00E062F6" w:rsidRDefault="00000000">
      <w:pPr>
        <w:jc w:val="both"/>
        <w:rPr>
          <w:rFonts w:ascii="Roboto" w:hAnsi="Roboto"/>
        </w:rPr>
      </w:pPr>
      <w:r w:rsidRPr="00E062F6">
        <w:rPr>
          <w:rFonts w:ascii="Roboto" w:hAnsi="Roboto"/>
          <w:color w:val="000000" w:themeColor="text1"/>
        </w:rPr>
        <w:t>In its list of issues, the Committee requested information about executions carried out in Jordan, including</w:t>
      </w:r>
      <w:r w:rsidRPr="00E062F6">
        <w:rPr>
          <w:rFonts w:ascii="Roboto" w:hAnsi="Roboto"/>
        </w:rPr>
        <w:t xml:space="preserve"> plans to declare an official moratorium on the death penalty.</w:t>
      </w:r>
      <w:r w:rsidRPr="00E062F6">
        <w:rPr>
          <w:rStyle w:val="FootnoteReference"/>
          <w:rFonts w:ascii="Roboto" w:hAnsi="Roboto"/>
        </w:rPr>
        <w:footnoteReference w:id="154"/>
      </w:r>
      <w:r w:rsidRPr="00E062F6">
        <w:rPr>
          <w:rFonts w:ascii="Roboto" w:hAnsi="Roboto"/>
        </w:rPr>
        <w:t xml:space="preserve"> </w:t>
      </w:r>
    </w:p>
    <w:p w14:paraId="501FA7F0" w14:textId="77777777" w:rsidR="00FA7A82" w:rsidRPr="00E062F6" w:rsidRDefault="00000000">
      <w:pPr>
        <w:rPr>
          <w:rFonts w:ascii="Roboto" w:hAnsi="Roboto"/>
        </w:rPr>
      </w:pPr>
      <w:r w:rsidRPr="00E062F6">
        <w:rPr>
          <w:rFonts w:ascii="Roboto" w:hAnsi="Roboto"/>
        </w:rPr>
        <w:t>Article 38 of the 1952 Jordanian Constitution states that “The King has the right to grant a special pardon or remit any sentence, but any general pardon shall be deter- mined by special law”. He has discretionary power over sentences and may at any time decide to confirm or commute them.</w:t>
      </w:r>
    </w:p>
    <w:p w14:paraId="697A8551" w14:textId="77777777" w:rsidR="00FA7A82" w:rsidRPr="00E062F6" w:rsidRDefault="00000000" w:rsidP="00AA2D25">
      <w:pPr>
        <w:rPr>
          <w:rFonts w:ascii="Roboto" w:hAnsi="Roboto"/>
        </w:rPr>
      </w:pPr>
      <w:r w:rsidRPr="00E062F6">
        <w:rPr>
          <w:rFonts w:ascii="Roboto" w:hAnsi="Roboto"/>
        </w:rPr>
        <w:t>Between 2017 and 2019, seven people imprisoned and sentenced to death were reported to have had their sentences commuted or to have received a pardon.</w:t>
      </w:r>
      <w:r w:rsidRPr="00E062F6">
        <w:rPr>
          <w:rStyle w:val="FootnoteReference"/>
          <w:rFonts w:ascii="Roboto" w:hAnsi="Roboto"/>
        </w:rPr>
        <w:footnoteReference w:id="155"/>
      </w:r>
    </w:p>
    <w:p w14:paraId="2AE563D0" w14:textId="77777777" w:rsidR="00FA7A82" w:rsidRPr="00E062F6" w:rsidRDefault="00000000">
      <w:pPr>
        <w:jc w:val="both"/>
        <w:rPr>
          <w:rFonts w:ascii="Roboto" w:hAnsi="Roboto"/>
        </w:rPr>
      </w:pPr>
      <w:r w:rsidRPr="00E062F6">
        <w:rPr>
          <w:rFonts w:ascii="Roboto" w:hAnsi="Roboto"/>
        </w:rPr>
        <w:t>In Jordan, the eight-year moratorium on the death has not been in force since 2014, and authorities restarted executing convicted prisoners.</w:t>
      </w:r>
      <w:r w:rsidRPr="00E062F6">
        <w:rPr>
          <w:rStyle w:val="FootnoteReference"/>
          <w:rFonts w:ascii="Roboto" w:hAnsi="Roboto"/>
        </w:rPr>
        <w:footnoteReference w:id="156"/>
      </w:r>
    </w:p>
    <w:p w14:paraId="6782B32B" w14:textId="77777777" w:rsidR="00FA7A82" w:rsidRPr="00E062F6" w:rsidRDefault="00000000">
      <w:pPr>
        <w:jc w:val="both"/>
        <w:rPr>
          <w:rFonts w:ascii="Roboto" w:hAnsi="Roboto"/>
        </w:rPr>
      </w:pPr>
      <w:r w:rsidRPr="00E062F6">
        <w:rPr>
          <w:rFonts w:ascii="Roboto" w:hAnsi="Roboto"/>
        </w:rPr>
        <w:t>Over the past several years, the SSC has continued to hand down death sentences, often for terrorism-related offenses.</w:t>
      </w:r>
      <w:r w:rsidRPr="00E062F6">
        <w:rPr>
          <w:rStyle w:val="FootnoteReference"/>
          <w:rFonts w:ascii="Roboto" w:hAnsi="Roboto"/>
        </w:rPr>
        <w:footnoteReference w:id="157"/>
      </w:r>
      <w:r w:rsidRPr="00E062F6">
        <w:rPr>
          <w:rFonts w:ascii="Roboto" w:hAnsi="Roboto"/>
        </w:rPr>
        <w:t xml:space="preserve"> </w:t>
      </w:r>
    </w:p>
    <w:p w14:paraId="1F3EE816" w14:textId="77777777" w:rsidR="00FA7A82" w:rsidRPr="00E062F6" w:rsidRDefault="00000000">
      <w:pPr>
        <w:jc w:val="both"/>
        <w:rPr>
          <w:rFonts w:ascii="Roboto" w:hAnsi="Roboto"/>
        </w:rPr>
      </w:pPr>
      <w:r w:rsidRPr="00E062F6">
        <w:rPr>
          <w:rFonts w:ascii="Roboto" w:hAnsi="Roboto"/>
        </w:rPr>
        <w:lastRenderedPageBreak/>
        <w:t>In 2017, 17 sentences were issued, in 2018, 23 were issued and in 2019, 19 sentences were issued. In 2021, 31 death sentences were issued and finalised.</w:t>
      </w:r>
      <w:r w:rsidRPr="00E062F6">
        <w:rPr>
          <w:rStyle w:val="FootnoteReference"/>
          <w:rFonts w:ascii="Roboto" w:hAnsi="Roboto"/>
        </w:rPr>
        <w:footnoteReference w:id="158"/>
      </w:r>
      <w:r w:rsidRPr="00E062F6">
        <w:rPr>
          <w:rFonts w:ascii="Roboto" w:hAnsi="Roboto"/>
        </w:rPr>
        <w:t xml:space="preserve"> In June 2022, it was reported that 239 individuals were on death row.</w:t>
      </w:r>
      <w:r w:rsidRPr="00E062F6">
        <w:rPr>
          <w:rStyle w:val="FootnoteReference"/>
          <w:rFonts w:ascii="Roboto" w:hAnsi="Roboto"/>
        </w:rPr>
        <w:footnoteReference w:id="159"/>
      </w:r>
      <w:r w:rsidRPr="00E062F6">
        <w:rPr>
          <w:rFonts w:ascii="Roboto" w:hAnsi="Roboto"/>
        </w:rPr>
        <w:t xml:space="preserve"> As of January 2022, the last execution was carried out took place on 4 August 2021. </w:t>
      </w:r>
    </w:p>
    <w:p w14:paraId="5B688F34" w14:textId="3B5D0AB9" w:rsidR="00787510" w:rsidRPr="00E062F6" w:rsidRDefault="00787510">
      <w:pPr>
        <w:jc w:val="both"/>
        <w:rPr>
          <w:rFonts w:ascii="Roboto" w:hAnsi="Roboto"/>
        </w:rPr>
      </w:pPr>
      <w:r w:rsidRPr="00E062F6">
        <w:rPr>
          <w:rFonts w:ascii="Roboto" w:hAnsi="Roboto"/>
        </w:rPr>
        <w:t>Thirty-one provisions of the Penal Code provide for the application of the death penalty.</w:t>
      </w:r>
      <w:r w:rsidR="00535AA8" w:rsidRPr="00E062F6">
        <w:rPr>
          <w:rStyle w:val="FootnoteReference"/>
          <w:rFonts w:ascii="Roboto" w:hAnsi="Roboto"/>
        </w:rPr>
        <w:footnoteReference w:id="160"/>
      </w:r>
      <w:r w:rsidRPr="00E062F6">
        <w:rPr>
          <w:rFonts w:ascii="Roboto" w:hAnsi="Roboto"/>
        </w:rPr>
        <w:t xml:space="preserve"> The vast majority of which concern offences against state security (treason, recruiting soldiers for a foreign state, espionage, attacks on the king, insurrection, and aggravated terrorism). Several ordinary crimes also carry the death penalty, including certain crimes against the person (premeditated murder), against public morals and ethics (rape of a girl under the age of 15) and against public order (arson). Some of the offences punishable by death do not fall into the category of the most serious crimes under international law.</w:t>
      </w:r>
      <w:r w:rsidR="00D7403A" w:rsidRPr="00E062F6">
        <w:rPr>
          <w:rStyle w:val="FootnoteReference"/>
          <w:rFonts w:ascii="Roboto" w:hAnsi="Roboto"/>
        </w:rPr>
        <w:footnoteReference w:id="161"/>
      </w:r>
    </w:p>
    <w:p w14:paraId="05A1EB79" w14:textId="1800364A" w:rsidR="00FA7A82" w:rsidRPr="00E062F6" w:rsidRDefault="00000000">
      <w:pPr>
        <w:pStyle w:val="Heading2"/>
        <w:jc w:val="both"/>
      </w:pPr>
      <w:bookmarkStart w:id="26" w:name="_Toc178610947"/>
      <w:r w:rsidRPr="00E062F6">
        <w:t>Crackdown on free assembly and violence against peaceful protestors</w:t>
      </w:r>
      <w:bookmarkEnd w:id="26"/>
    </w:p>
    <w:p w14:paraId="2FD338B4" w14:textId="77777777" w:rsidR="00FA7A82" w:rsidRPr="00E062F6" w:rsidRDefault="00000000">
      <w:pPr>
        <w:jc w:val="both"/>
        <w:rPr>
          <w:rFonts w:ascii="Roboto" w:hAnsi="Roboto"/>
        </w:rPr>
      </w:pPr>
      <w:r w:rsidRPr="00E062F6">
        <w:rPr>
          <w:rFonts w:ascii="Roboto" w:hAnsi="Roboto"/>
        </w:rPr>
        <w:t>In the list of issues, the Committee requested information on the measures taken to investigate allegations of excessive use of force in dispersing demonstrations by law enforcement officials and to prosecute those found guilty.</w:t>
      </w:r>
      <w:r w:rsidRPr="00E062F6">
        <w:rPr>
          <w:rStyle w:val="FootnoteReference"/>
          <w:rFonts w:ascii="Roboto" w:hAnsi="Roboto"/>
        </w:rPr>
        <w:footnoteReference w:id="162"/>
      </w:r>
      <w:r w:rsidRPr="00E062F6">
        <w:rPr>
          <w:rFonts w:ascii="Roboto" w:hAnsi="Roboto"/>
        </w:rPr>
        <w:t xml:space="preserve"> The Committee has considered excessive use of force in such situations as a violation of Article 16.</w:t>
      </w:r>
      <w:r w:rsidRPr="00E062F6">
        <w:rPr>
          <w:rStyle w:val="FootnoteReference"/>
          <w:rFonts w:ascii="Roboto" w:hAnsi="Roboto"/>
        </w:rPr>
        <w:footnoteReference w:id="163"/>
      </w:r>
    </w:p>
    <w:p w14:paraId="6DBED553" w14:textId="77777777" w:rsidR="00FA7A82" w:rsidRPr="00E062F6" w:rsidRDefault="00000000">
      <w:pPr>
        <w:spacing w:line="276" w:lineRule="auto"/>
        <w:jc w:val="both"/>
        <w:rPr>
          <w:rFonts w:ascii="Roboto" w:hAnsi="Roboto"/>
        </w:rPr>
      </w:pPr>
      <w:r w:rsidRPr="00E062F6">
        <w:rPr>
          <w:rStyle w:val="SubtleEmphasis"/>
        </w:rPr>
        <w:t xml:space="preserve">In response, the State party claimed to </w:t>
      </w:r>
      <w:r w:rsidRPr="00E062F6">
        <w:rPr>
          <w:rFonts w:ascii="Roboto" w:hAnsi="Roboto"/>
        </w:rPr>
        <w:t>promote the right to opinion and expression,</w:t>
      </w:r>
      <w:r w:rsidRPr="00E062F6">
        <w:rPr>
          <w:rStyle w:val="FootnoteReference"/>
          <w:rFonts w:ascii="Roboto" w:hAnsi="Roboto"/>
        </w:rPr>
        <w:footnoteReference w:id="164"/>
      </w:r>
      <w:r w:rsidRPr="00E062F6">
        <w:rPr>
          <w:rFonts w:ascii="Roboto" w:hAnsi="Roboto"/>
        </w:rPr>
        <w:t xml:space="preserve"> and asserted ongoing efforts to train law enforcement agencies, including the PSD, in international standards governing freedom of opinion and expression.</w:t>
      </w:r>
      <w:r w:rsidRPr="00E062F6">
        <w:rPr>
          <w:rStyle w:val="FootnoteReference"/>
          <w:rFonts w:ascii="Roboto" w:hAnsi="Roboto"/>
        </w:rPr>
        <w:footnoteReference w:id="165"/>
      </w:r>
    </w:p>
    <w:p w14:paraId="0B571FE5" w14:textId="77777777" w:rsidR="00FA7A82" w:rsidRPr="00E062F6" w:rsidRDefault="00000000">
      <w:pPr>
        <w:spacing w:line="276" w:lineRule="auto"/>
        <w:jc w:val="both"/>
        <w:rPr>
          <w:rFonts w:ascii="Roboto" w:hAnsi="Roboto"/>
        </w:rPr>
      </w:pPr>
      <w:r w:rsidRPr="00E062F6">
        <w:rPr>
          <w:rFonts w:ascii="Roboto" w:hAnsi="Roboto"/>
        </w:rPr>
        <w:t xml:space="preserve">However, recently, particularly since the beginning of Israel’s offensive in Gaza in October 2023, Jordanian authorities have conducted a violent crackdown against Gaza-related </w:t>
      </w:r>
      <w:r w:rsidRPr="00E062F6">
        <w:rPr>
          <w:rFonts w:ascii="Roboto" w:hAnsi="Roboto"/>
        </w:rPr>
        <w:lastRenderedPageBreak/>
        <w:t>protests.</w:t>
      </w:r>
      <w:r w:rsidRPr="00E062F6">
        <w:rPr>
          <w:rFonts w:ascii="Roboto" w:hAnsi="Roboto"/>
          <w:vertAlign w:val="superscript"/>
        </w:rPr>
        <w:footnoteReference w:id="166"/>
      </w:r>
      <w:r w:rsidRPr="00E062F6">
        <w:rPr>
          <w:rStyle w:val="SubtleEmphasis"/>
        </w:rPr>
        <w:t xml:space="preserve"> As </w:t>
      </w:r>
      <w:r w:rsidRPr="00E062F6">
        <w:rPr>
          <w:rFonts w:ascii="Roboto" w:hAnsi="Roboto"/>
        </w:rPr>
        <w:t>thousands of Jordanians participated in peaceful demonstrations in solidarity with Palestine</w:t>
      </w:r>
      <w:r w:rsidRPr="00E062F6">
        <w:rPr>
          <w:rStyle w:val="SubtleEmphasis"/>
        </w:rPr>
        <w:t xml:space="preserve">, </w:t>
      </w:r>
      <w:r w:rsidRPr="00E062F6">
        <w:rPr>
          <w:rFonts w:ascii="Roboto" w:hAnsi="Roboto"/>
        </w:rPr>
        <w:t>Jordanian authorities reacted with excessive force and violence.</w:t>
      </w:r>
      <w:r w:rsidRPr="00E062F6">
        <w:rPr>
          <w:rFonts w:ascii="Roboto" w:hAnsi="Roboto"/>
          <w:vertAlign w:val="superscript"/>
        </w:rPr>
        <w:footnoteReference w:id="167"/>
      </w:r>
      <w:r w:rsidRPr="00E062F6">
        <w:rPr>
          <w:rFonts w:ascii="Roboto" w:hAnsi="Roboto"/>
          <w:bCs/>
        </w:rPr>
        <w:t xml:space="preserve"> </w:t>
      </w:r>
    </w:p>
    <w:p w14:paraId="36565DF9" w14:textId="77777777" w:rsidR="00FA7A82" w:rsidRPr="00E062F6" w:rsidRDefault="00000000">
      <w:pPr>
        <w:spacing w:line="276" w:lineRule="auto"/>
        <w:jc w:val="both"/>
        <w:rPr>
          <w:rFonts w:ascii="Roboto" w:hAnsi="Roboto"/>
          <w:bCs/>
        </w:rPr>
      </w:pPr>
      <w:r w:rsidRPr="00E062F6">
        <w:rPr>
          <w:rFonts w:ascii="Roboto" w:hAnsi="Roboto"/>
          <w:bCs/>
        </w:rPr>
        <w:t>In October 2023, the police charged and fired tear gas into a crowd of peaceful protesters sitting and standing in front of a line of Jordanian police chanting “peaceful” near the Israeli embassy.</w:t>
      </w:r>
      <w:r w:rsidRPr="00E062F6">
        <w:rPr>
          <w:rFonts w:ascii="Roboto" w:hAnsi="Roboto"/>
          <w:vertAlign w:val="superscript"/>
        </w:rPr>
        <w:footnoteReference w:id="168"/>
      </w:r>
    </w:p>
    <w:p w14:paraId="3F220F7A" w14:textId="77777777" w:rsidR="00FA7A82" w:rsidRPr="00E062F6" w:rsidRDefault="00000000">
      <w:pPr>
        <w:spacing w:line="276" w:lineRule="auto"/>
        <w:jc w:val="both"/>
        <w:rPr>
          <w:rFonts w:ascii="Roboto" w:hAnsi="Roboto"/>
        </w:rPr>
      </w:pPr>
      <w:r w:rsidRPr="00E062F6">
        <w:rPr>
          <w:rFonts w:ascii="Roboto" w:hAnsi="Roboto"/>
        </w:rPr>
        <w:t>As the sizes of the protests grew drastically during the month of Ramadan in 2024, with average between 6,000 and 10,000 participants daily before the Israeli Embassy alone,</w:t>
      </w:r>
      <w:r w:rsidRPr="00E062F6">
        <w:rPr>
          <w:rFonts w:ascii="Roboto" w:hAnsi="Roboto"/>
          <w:vertAlign w:val="superscript"/>
        </w:rPr>
        <w:footnoteReference w:id="169"/>
      </w:r>
      <w:r w:rsidRPr="00E062F6">
        <w:rPr>
          <w:rFonts w:ascii="Roboto" w:hAnsi="Roboto"/>
        </w:rPr>
        <w:t xml:space="preserve"> Jordanian security forces violently attacked demonstrators and performed mass arrests.</w:t>
      </w:r>
      <w:r w:rsidRPr="00E062F6">
        <w:rPr>
          <w:rFonts w:ascii="Roboto" w:hAnsi="Roboto"/>
          <w:vertAlign w:val="superscript"/>
        </w:rPr>
        <w:footnoteReference w:id="170"/>
      </w:r>
      <w:r w:rsidRPr="00E062F6">
        <w:rPr>
          <w:rFonts w:ascii="Roboto" w:hAnsi="Roboto"/>
        </w:rPr>
        <w:t xml:space="preserve"> According to Amnesty International, Jordanian security forces outside the Israeli Embassy on 25, 26 and 27 March broke up demonstrations using tear gas, violently dispersed protesters using batons, and chased and beat others as they removed them from the streets.</w:t>
      </w:r>
      <w:r w:rsidRPr="00E062F6">
        <w:rPr>
          <w:rFonts w:ascii="Roboto" w:hAnsi="Roboto"/>
          <w:vertAlign w:val="superscript"/>
        </w:rPr>
        <w:footnoteReference w:id="171"/>
      </w:r>
      <w:r w:rsidRPr="00E062F6">
        <w:rPr>
          <w:rFonts w:ascii="Roboto" w:hAnsi="Roboto"/>
        </w:rPr>
        <w:t xml:space="preserve"> </w:t>
      </w:r>
    </w:p>
    <w:p w14:paraId="380FE21A" w14:textId="77777777" w:rsidR="00FA7A82" w:rsidRPr="00E062F6" w:rsidRDefault="00000000">
      <w:pPr>
        <w:pStyle w:val="Title"/>
        <w:jc w:val="both"/>
      </w:pPr>
      <w:r w:rsidRPr="00E062F6">
        <w:t>Recommendations:</w:t>
      </w:r>
    </w:p>
    <w:p w14:paraId="5461D9F5" w14:textId="77777777" w:rsidR="00FA7A82" w:rsidRPr="00E062F6" w:rsidRDefault="00000000">
      <w:pPr>
        <w:pStyle w:val="ListParagraph"/>
        <w:numPr>
          <w:ilvl w:val="0"/>
          <w:numId w:val="5"/>
        </w:numPr>
        <w:jc w:val="both"/>
        <w:rPr>
          <w:rFonts w:ascii="Roboto" w:hAnsi="Roboto"/>
          <w:color w:val="543192"/>
        </w:rPr>
      </w:pPr>
      <w:r w:rsidRPr="00E062F6">
        <w:rPr>
          <w:rFonts w:ascii="Roboto" w:hAnsi="Roboto"/>
          <w:color w:val="543192"/>
        </w:rPr>
        <w:t xml:space="preserve">Abolish the death penalty or, </w:t>
      </w:r>
      <w:r w:rsidRPr="00E062F6">
        <w:rPr>
          <w:rFonts w:ascii="Roboto" w:hAnsi="Roboto"/>
          <w:i/>
          <w:iCs/>
          <w:color w:val="543192"/>
        </w:rPr>
        <w:t xml:space="preserve">a </w:t>
      </w:r>
      <w:proofErr w:type="gramStart"/>
      <w:r w:rsidRPr="00E062F6">
        <w:rPr>
          <w:rFonts w:ascii="Roboto" w:hAnsi="Roboto"/>
          <w:i/>
          <w:iCs/>
          <w:color w:val="543192"/>
        </w:rPr>
        <w:t>minima</w:t>
      </w:r>
      <w:proofErr w:type="gramEnd"/>
      <w:r w:rsidRPr="00E062F6">
        <w:rPr>
          <w:rFonts w:ascii="Roboto" w:hAnsi="Roboto"/>
          <w:color w:val="543192"/>
        </w:rPr>
        <w:t>, re-install the moratorium on the death penalty;</w:t>
      </w:r>
    </w:p>
    <w:p w14:paraId="48F37607" w14:textId="77777777" w:rsidR="00FA7A82" w:rsidRPr="00E062F6" w:rsidRDefault="00000000">
      <w:pPr>
        <w:pStyle w:val="ListParagraph"/>
        <w:numPr>
          <w:ilvl w:val="0"/>
          <w:numId w:val="5"/>
        </w:numPr>
        <w:jc w:val="both"/>
        <w:rPr>
          <w:rFonts w:ascii="Roboto" w:hAnsi="Roboto"/>
          <w:color w:val="543192"/>
        </w:rPr>
      </w:pPr>
      <w:r w:rsidRPr="00E062F6">
        <w:rPr>
          <w:rFonts w:ascii="Roboto" w:hAnsi="Roboto"/>
          <w:color w:val="543192"/>
        </w:rPr>
        <w:t xml:space="preserve">Carry out prompt, impartial, thorough and effective investigations into all allegations of excessive use of force, including torture and ill-treatment by law enforcement officials, and ensure that those suspected of committing such acts are immediately suspended from their duties for the duration of the </w:t>
      </w:r>
      <w:proofErr w:type="gramStart"/>
      <w:r w:rsidRPr="00E062F6">
        <w:rPr>
          <w:rFonts w:ascii="Roboto" w:hAnsi="Roboto"/>
          <w:color w:val="543192"/>
        </w:rPr>
        <w:t>investigation;</w:t>
      </w:r>
      <w:proofErr w:type="gramEnd"/>
      <w:r w:rsidRPr="00E062F6">
        <w:rPr>
          <w:rFonts w:ascii="Roboto" w:hAnsi="Roboto"/>
          <w:color w:val="543192"/>
        </w:rPr>
        <w:t xml:space="preserve"> </w:t>
      </w:r>
    </w:p>
    <w:p w14:paraId="3F03C535" w14:textId="77777777" w:rsidR="00FA7A82" w:rsidRPr="00E062F6" w:rsidRDefault="00000000">
      <w:pPr>
        <w:pStyle w:val="ListParagraph"/>
        <w:numPr>
          <w:ilvl w:val="0"/>
          <w:numId w:val="5"/>
        </w:numPr>
        <w:jc w:val="both"/>
        <w:rPr>
          <w:rFonts w:ascii="Roboto" w:hAnsi="Roboto"/>
          <w:color w:val="543192"/>
        </w:rPr>
      </w:pPr>
      <w:r w:rsidRPr="00E062F6">
        <w:rPr>
          <w:rFonts w:ascii="Roboto" w:hAnsi="Roboto"/>
          <w:color w:val="543192"/>
        </w:rPr>
        <w:t>Take immediate measures to eradicate all forms of excessive force, harassment and ill-treatment by law enforcement officials during demonstrations.</w:t>
      </w:r>
    </w:p>
    <w:p w14:paraId="0EB153DB" w14:textId="77777777" w:rsidR="00FA7A82" w:rsidRPr="00E062F6" w:rsidRDefault="00000000">
      <w:pPr>
        <w:pStyle w:val="Heading1"/>
        <w:spacing w:line="276" w:lineRule="auto"/>
        <w:jc w:val="both"/>
      </w:pPr>
      <w:bookmarkStart w:id="27" w:name="_Toc178610948"/>
      <w:r w:rsidRPr="00E062F6">
        <w:t xml:space="preserve">Other issues: </w:t>
      </w:r>
      <w:proofErr w:type="gramStart"/>
      <w:r w:rsidRPr="00E062F6">
        <w:t>counter-terrorism</w:t>
      </w:r>
      <w:proofErr w:type="gramEnd"/>
      <w:r w:rsidRPr="00E062F6">
        <w:t xml:space="preserve"> and human rights</w:t>
      </w:r>
      <w:bookmarkEnd w:id="27"/>
      <w:r w:rsidRPr="00E062F6">
        <w:t xml:space="preserve"> </w:t>
      </w:r>
    </w:p>
    <w:p w14:paraId="43EAA49E" w14:textId="77777777" w:rsidR="00FA7A82" w:rsidRPr="00E062F6" w:rsidRDefault="00000000">
      <w:pPr>
        <w:jc w:val="both"/>
        <w:rPr>
          <w:rFonts w:ascii="Roboto" w:hAnsi="Roboto"/>
          <w:color w:val="000000" w:themeColor="text1"/>
        </w:rPr>
      </w:pPr>
      <w:r w:rsidRPr="00E062F6">
        <w:rPr>
          <w:rFonts w:ascii="Roboto" w:hAnsi="Roboto"/>
          <w:color w:val="000000" w:themeColor="text1"/>
        </w:rPr>
        <w:t xml:space="preserve">As part of the list of issues, the Committee requested the State party to describe how measures taken to respond to threats of terrorism have affected human rights safeguards in </w:t>
      </w:r>
      <w:r w:rsidRPr="00E062F6">
        <w:rPr>
          <w:rFonts w:ascii="Roboto" w:hAnsi="Roboto"/>
          <w:color w:val="000000" w:themeColor="text1"/>
        </w:rPr>
        <w:lastRenderedPageBreak/>
        <w:t>law and in practice, and how the State party has ensured that those measures are compatible with its obligations under the Convention and international law.</w:t>
      </w:r>
      <w:r w:rsidRPr="00E062F6">
        <w:rPr>
          <w:rStyle w:val="FootnoteReference"/>
          <w:rFonts w:ascii="Roboto" w:hAnsi="Roboto"/>
          <w:color w:val="000000" w:themeColor="text1"/>
        </w:rPr>
        <w:footnoteReference w:id="172"/>
      </w:r>
      <w:r w:rsidRPr="00E062F6">
        <w:rPr>
          <w:rFonts w:ascii="Roboto" w:hAnsi="Roboto"/>
          <w:color w:val="000000" w:themeColor="text1"/>
        </w:rPr>
        <w:t xml:space="preserve"> </w:t>
      </w:r>
    </w:p>
    <w:p w14:paraId="4C9451C4" w14:textId="77777777" w:rsidR="00FA7A82" w:rsidRPr="00E062F6" w:rsidRDefault="00000000">
      <w:pPr>
        <w:pStyle w:val="Heading2"/>
        <w:jc w:val="both"/>
      </w:pPr>
      <w:bookmarkStart w:id="28" w:name="_Toc178610949"/>
      <w:r w:rsidRPr="00E062F6">
        <w:t>Domestic legal framework</w:t>
      </w:r>
      <w:bookmarkEnd w:id="28"/>
    </w:p>
    <w:p w14:paraId="71119BB3" w14:textId="77777777" w:rsidR="00FA7A82" w:rsidRPr="00E062F6" w:rsidRDefault="00000000">
      <w:pPr>
        <w:jc w:val="both"/>
        <w:rPr>
          <w:rFonts w:ascii="Roboto" w:hAnsi="Roboto"/>
          <w:color w:val="000000" w:themeColor="text1"/>
        </w:rPr>
      </w:pPr>
      <w:r w:rsidRPr="00E062F6">
        <w:rPr>
          <w:rFonts w:ascii="Roboto" w:hAnsi="Roboto"/>
          <w:color w:val="000000" w:themeColor="text1"/>
        </w:rPr>
        <w:t>The Committee asked the State party to describe steps taken to review and amend the Anti-Terrorism Law of 2006, particularly the vague definition of terrorist acts, with a view to bringing it into line with international standards.</w:t>
      </w:r>
      <w:r w:rsidRPr="00E062F6">
        <w:rPr>
          <w:rStyle w:val="FootnoteReference"/>
          <w:rFonts w:ascii="Roboto" w:hAnsi="Roboto"/>
          <w:color w:val="000000" w:themeColor="text1"/>
        </w:rPr>
        <w:footnoteReference w:id="173"/>
      </w:r>
      <w:r w:rsidRPr="00E062F6">
        <w:rPr>
          <w:rFonts w:ascii="Roboto" w:hAnsi="Roboto"/>
          <w:color w:val="000000" w:themeColor="text1"/>
        </w:rPr>
        <w:t xml:space="preserve"> In response, Jordanian authorities stated that the Anti-Terrorism Law complies with its international counter-terrorism obligations, and that the characteristics of terrorist offences concerned are precisely defined.</w:t>
      </w:r>
      <w:r w:rsidRPr="00E062F6">
        <w:rPr>
          <w:rStyle w:val="FootnoteReference"/>
          <w:rFonts w:ascii="Roboto" w:hAnsi="Roboto"/>
        </w:rPr>
        <w:footnoteReference w:id="174"/>
      </w:r>
    </w:p>
    <w:p w14:paraId="6D2BD5D5" w14:textId="77777777" w:rsidR="00FA7A82" w:rsidRPr="00E062F6" w:rsidRDefault="00000000">
      <w:pPr>
        <w:jc w:val="both"/>
        <w:rPr>
          <w:rFonts w:ascii="Roboto" w:hAnsi="Roboto"/>
          <w:color w:val="000000" w:themeColor="text1"/>
        </w:rPr>
      </w:pPr>
      <w:r w:rsidRPr="00E062F6">
        <w:rPr>
          <w:rFonts w:ascii="Roboto" w:hAnsi="Roboto"/>
          <w:color w:val="000000" w:themeColor="text1"/>
        </w:rPr>
        <w:t>However, Jordan’s Anti-Terrorism Law was amended in 2014 and severely broadened the “already vague”</w:t>
      </w:r>
      <w:r w:rsidRPr="00E062F6">
        <w:rPr>
          <w:rStyle w:val="FootnoteReference"/>
          <w:rFonts w:ascii="Roboto" w:hAnsi="Roboto"/>
          <w:color w:val="000000" w:themeColor="text1"/>
        </w:rPr>
        <w:footnoteReference w:id="175"/>
      </w:r>
      <w:r w:rsidRPr="00E062F6">
        <w:rPr>
          <w:rFonts w:ascii="Roboto" w:hAnsi="Roboto"/>
          <w:color w:val="000000" w:themeColor="text1"/>
        </w:rPr>
        <w:t xml:space="preserve"> definition of ‘terrorism’ by removing “the requirement of a connection to an act of violence, instead including a definition that references acts that ‘sow discord’ or ‘disturb public order’.”</w:t>
      </w:r>
      <w:r w:rsidRPr="00E062F6">
        <w:rPr>
          <w:rStyle w:val="FootnoteReference"/>
          <w:rFonts w:ascii="Roboto" w:hAnsi="Roboto"/>
          <w:color w:val="000000" w:themeColor="text1"/>
        </w:rPr>
        <w:footnoteReference w:id="176"/>
      </w:r>
      <w:r w:rsidRPr="00E062F6">
        <w:rPr>
          <w:rFonts w:ascii="Roboto" w:hAnsi="Roboto"/>
          <w:color w:val="000000" w:themeColor="text1"/>
        </w:rPr>
        <w:t xml:space="preserve"> This broadened definition is not limited to precise threats or clear types of violent attacks, leaving room for excessive and arbitrary interpretation.</w:t>
      </w:r>
      <w:r w:rsidRPr="00E062F6">
        <w:rPr>
          <w:rStyle w:val="FootnoteReference"/>
          <w:rFonts w:ascii="Roboto" w:hAnsi="Roboto"/>
          <w:color w:val="000000" w:themeColor="text1"/>
        </w:rPr>
        <w:footnoteReference w:id="177"/>
      </w:r>
      <w:r w:rsidRPr="00E062F6">
        <w:rPr>
          <w:rFonts w:ascii="Roboto" w:hAnsi="Roboto"/>
          <w:color w:val="000000" w:themeColor="text1"/>
        </w:rPr>
        <w:t xml:space="preserve"> The amendments notably added to the list of acts deemed as terrorism “acts that subject the kingdom to danger of hostile acts, disturb its relations with a foreign state, or expose Jordanians to danger of acts of revenge against them or their money.”</w:t>
      </w:r>
      <w:r w:rsidRPr="00E062F6">
        <w:rPr>
          <w:rStyle w:val="FootnoteReference"/>
          <w:rFonts w:ascii="Roboto" w:hAnsi="Roboto"/>
          <w:color w:val="000000" w:themeColor="text1"/>
        </w:rPr>
        <w:footnoteReference w:id="178"/>
      </w:r>
      <w:r w:rsidRPr="00E062F6">
        <w:rPr>
          <w:rFonts w:ascii="Roboto" w:hAnsi="Roboto"/>
          <w:color w:val="000000" w:themeColor="text1"/>
        </w:rPr>
        <w:t xml:space="preserve"> </w:t>
      </w:r>
    </w:p>
    <w:p w14:paraId="5E48E971" w14:textId="77777777" w:rsidR="00FA7A82" w:rsidRPr="00E062F6" w:rsidRDefault="00000000">
      <w:pPr>
        <w:jc w:val="both"/>
        <w:rPr>
          <w:rFonts w:ascii="Roboto" w:hAnsi="Roboto"/>
          <w:color w:val="000000" w:themeColor="text1"/>
        </w:rPr>
      </w:pPr>
      <w:r w:rsidRPr="00E062F6">
        <w:rPr>
          <w:rFonts w:ascii="Roboto" w:hAnsi="Roboto"/>
          <w:color w:val="000000" w:themeColor="text1"/>
        </w:rPr>
        <w:t>In 2021, UN Special Procedures expressed concern that the Anti-Terrorism Law provides “an overly broad definition of terrorism that encompasses a wide range of acts, the vagueness of which is inconsistent with the principle of legality.”</w:t>
      </w:r>
      <w:r w:rsidRPr="00E062F6">
        <w:rPr>
          <w:rStyle w:val="FootnoteReference"/>
          <w:rFonts w:ascii="Roboto" w:hAnsi="Roboto"/>
          <w:color w:val="000000" w:themeColor="text1"/>
        </w:rPr>
        <w:footnoteReference w:id="179"/>
      </w:r>
    </w:p>
    <w:p w14:paraId="17BD1E69" w14:textId="77777777" w:rsidR="00FA7A82" w:rsidRPr="00E062F6" w:rsidRDefault="00000000">
      <w:pPr>
        <w:jc w:val="both"/>
        <w:rPr>
          <w:rFonts w:ascii="Roboto" w:hAnsi="Roboto"/>
          <w:color w:val="000000" w:themeColor="text1"/>
        </w:rPr>
      </w:pPr>
      <w:r w:rsidRPr="00E062F6">
        <w:rPr>
          <w:rFonts w:ascii="Roboto" w:hAnsi="Roboto"/>
          <w:color w:val="000000" w:themeColor="text1"/>
        </w:rPr>
        <w:t xml:space="preserve">In practice, the Anti-Terrorism Law has undermined the exercise of peaceful and free expression under the pretext of terrorism. It has notably been used by the government to </w:t>
      </w:r>
      <w:r w:rsidRPr="00E062F6">
        <w:rPr>
          <w:rFonts w:ascii="Roboto" w:hAnsi="Roboto"/>
          <w:color w:val="000000" w:themeColor="text1"/>
        </w:rPr>
        <w:lastRenderedPageBreak/>
        <w:t>prosecute “[j]</w:t>
      </w:r>
      <w:proofErr w:type="spellStart"/>
      <w:r w:rsidRPr="00E062F6">
        <w:rPr>
          <w:rFonts w:ascii="Roboto" w:hAnsi="Roboto"/>
          <w:color w:val="000000" w:themeColor="text1"/>
        </w:rPr>
        <w:t>ournalists</w:t>
      </w:r>
      <w:proofErr w:type="spellEnd"/>
      <w:r w:rsidRPr="00E062F6">
        <w:rPr>
          <w:rFonts w:ascii="Roboto" w:hAnsi="Roboto"/>
          <w:color w:val="000000" w:themeColor="text1"/>
        </w:rPr>
        <w:t>, political opponents, freedom of expression advocates and human rights defenders.”</w:t>
      </w:r>
      <w:r w:rsidRPr="00E062F6">
        <w:rPr>
          <w:rStyle w:val="FootnoteReference"/>
          <w:rFonts w:ascii="Roboto" w:hAnsi="Roboto"/>
          <w:color w:val="000000" w:themeColor="text1"/>
        </w:rPr>
        <w:footnoteReference w:id="180"/>
      </w:r>
      <w:r w:rsidRPr="00E062F6">
        <w:rPr>
          <w:rFonts w:ascii="Roboto" w:hAnsi="Roboto"/>
          <w:color w:val="000000" w:themeColor="text1"/>
        </w:rPr>
        <w:t xml:space="preserve"> The Human Rights Committee expressed concerns about the Anti-Terrorism Law’s provisions allowing for “authorities to detain and prosecute, among others, individuals who exercise their right to freedom of expression and peaceful assembly.”</w:t>
      </w:r>
      <w:r w:rsidRPr="00E062F6">
        <w:rPr>
          <w:rStyle w:val="FootnoteReference"/>
          <w:rFonts w:ascii="Roboto" w:hAnsi="Roboto"/>
          <w:color w:val="000000" w:themeColor="text1"/>
        </w:rPr>
        <w:footnoteReference w:id="181"/>
      </w:r>
      <w:r w:rsidRPr="00E062F6">
        <w:rPr>
          <w:rFonts w:ascii="Roboto" w:hAnsi="Roboto"/>
          <w:color w:val="000000" w:themeColor="text1"/>
        </w:rPr>
        <w:t xml:space="preserve"> </w:t>
      </w:r>
    </w:p>
    <w:p w14:paraId="683B2507" w14:textId="77777777" w:rsidR="00FA7A82" w:rsidRPr="00E062F6" w:rsidRDefault="00000000">
      <w:pPr>
        <w:jc w:val="both"/>
        <w:rPr>
          <w:rFonts w:ascii="Roboto" w:hAnsi="Roboto"/>
          <w:color w:val="000000" w:themeColor="text1"/>
        </w:rPr>
      </w:pPr>
      <w:r w:rsidRPr="00E062F6">
        <w:rPr>
          <w:rFonts w:ascii="Roboto" w:hAnsi="Roboto"/>
          <w:color w:val="000000" w:themeColor="text1"/>
        </w:rPr>
        <w:t>Furthermore, it is the SSC, which lacks judicial independence, that has jurisdiction over terrorism crimes.</w:t>
      </w:r>
      <w:r w:rsidRPr="00E062F6">
        <w:rPr>
          <w:rStyle w:val="FootnoteReference"/>
          <w:rFonts w:ascii="Roboto" w:hAnsi="Roboto"/>
          <w:color w:val="000000" w:themeColor="text1"/>
        </w:rPr>
        <w:footnoteReference w:id="182"/>
      </w:r>
      <w:r w:rsidRPr="00E062F6">
        <w:rPr>
          <w:rFonts w:ascii="Roboto" w:hAnsi="Roboto"/>
          <w:color w:val="000000" w:themeColor="text1"/>
        </w:rPr>
        <w:t xml:space="preserve"> The Committee has noted that the law’s vague provisions, combined with restrictive Penal Code provisions, have led to constraints on the work of journalists, many of whom have faced arbitrary detention and criminal prosecution before the SCC.</w:t>
      </w:r>
      <w:r w:rsidRPr="00E062F6">
        <w:rPr>
          <w:rStyle w:val="FootnoteReference"/>
          <w:rFonts w:ascii="Roboto" w:hAnsi="Roboto"/>
          <w:color w:val="000000" w:themeColor="text1"/>
        </w:rPr>
        <w:footnoteReference w:id="183"/>
      </w:r>
    </w:p>
    <w:p w14:paraId="73E84E59" w14:textId="77777777" w:rsidR="00FA7A82" w:rsidRPr="00E062F6" w:rsidRDefault="00000000">
      <w:pPr>
        <w:pStyle w:val="Heading2"/>
        <w:jc w:val="both"/>
      </w:pPr>
      <w:bookmarkStart w:id="29" w:name="_Toc178610950"/>
      <w:r w:rsidRPr="00E062F6">
        <w:t>Regional legal framework</w:t>
      </w:r>
      <w:bookmarkEnd w:id="29"/>
    </w:p>
    <w:p w14:paraId="3212A6B1" w14:textId="4B4FED77" w:rsidR="00FA7A82" w:rsidRPr="00E062F6" w:rsidRDefault="00000000">
      <w:pPr>
        <w:jc w:val="both"/>
        <w:rPr>
          <w:rFonts w:ascii="Roboto" w:hAnsi="Roboto"/>
          <w:color w:val="000000" w:themeColor="text1"/>
        </w:rPr>
      </w:pPr>
      <w:r w:rsidRPr="00E062F6">
        <w:rPr>
          <w:rFonts w:ascii="Roboto" w:hAnsi="Roboto"/>
          <w:color w:val="000000" w:themeColor="text1"/>
        </w:rPr>
        <w:t>In response to the Committee’s list of issues, the State party noted that, in the absence of an internationally agreed definition of terrorism, a regional agreement reached within the framework of the LAS outlines a definition of terrorism which has been adopted by Jordanian legislators.</w:t>
      </w:r>
      <w:r w:rsidRPr="00E062F6">
        <w:rPr>
          <w:rStyle w:val="FootnoteReference"/>
          <w:rFonts w:ascii="Roboto" w:hAnsi="Roboto"/>
        </w:rPr>
        <w:footnoteReference w:id="184"/>
      </w:r>
      <w:r w:rsidRPr="00E062F6">
        <w:rPr>
          <w:rFonts w:ascii="Roboto" w:hAnsi="Roboto"/>
          <w:color w:val="000000" w:themeColor="text1"/>
        </w:rPr>
        <w:t xml:space="preserve"> This regional agreement refers to the Arab CT Convention</w:t>
      </w:r>
      <w:r w:rsidRPr="00E062F6">
        <w:rPr>
          <w:rStyle w:val="FootnoteReference"/>
          <w:rFonts w:ascii="Roboto" w:hAnsi="Roboto"/>
          <w:color w:val="000000" w:themeColor="text1"/>
        </w:rPr>
        <w:footnoteReference w:id="185"/>
      </w:r>
      <w:r w:rsidRPr="00E062F6">
        <w:rPr>
          <w:rFonts w:ascii="Roboto" w:hAnsi="Roboto"/>
          <w:color w:val="000000" w:themeColor="text1"/>
        </w:rPr>
        <w:t xml:space="preserve"> adopted by the LAS in 1998.</w:t>
      </w:r>
      <w:r w:rsidRPr="00E062F6">
        <w:rPr>
          <w:rStyle w:val="FootnoteReference"/>
          <w:rFonts w:ascii="Roboto" w:hAnsi="Roboto"/>
          <w:color w:val="000000" w:themeColor="text1"/>
        </w:rPr>
        <w:footnoteReference w:id="186"/>
      </w:r>
      <w:r w:rsidRPr="00E062F6">
        <w:rPr>
          <w:rFonts w:ascii="Roboto" w:hAnsi="Roboto"/>
          <w:color w:val="000000" w:themeColor="text1"/>
        </w:rPr>
        <w:t xml:space="preserve"> </w:t>
      </w:r>
    </w:p>
    <w:p w14:paraId="74F0C080" w14:textId="77777777" w:rsidR="00FA7A82" w:rsidRPr="00E062F6" w:rsidRDefault="00000000">
      <w:pPr>
        <w:jc w:val="both"/>
        <w:rPr>
          <w:rFonts w:ascii="Roboto" w:hAnsi="Roboto"/>
          <w:color w:val="000000" w:themeColor="text1"/>
        </w:rPr>
      </w:pPr>
      <w:r w:rsidRPr="00E062F6">
        <w:rPr>
          <w:rFonts w:ascii="Roboto" w:hAnsi="Roboto"/>
          <w:color w:val="000000" w:themeColor="text1"/>
        </w:rPr>
        <w:t>Article 1 (2) of the Arab CT Convention defines terrorism as “any act or threat of violence, whatever its motives or purposes, that occurs in the advancement of an individual or collective criminal agenda and seeking to sow panic among people, causing fear by harming them, or placing their lives, liberty or security in danger, or seeking to cause damage to the environment or to public or private installations or property or to occupying or seizing them, or seeking to jeopardise a national resource”.</w:t>
      </w:r>
      <w:r w:rsidRPr="00E062F6">
        <w:rPr>
          <w:rStyle w:val="FootnoteReference"/>
          <w:rFonts w:ascii="Roboto" w:hAnsi="Roboto"/>
          <w:color w:val="000000" w:themeColor="text1"/>
        </w:rPr>
        <w:footnoteReference w:id="187"/>
      </w:r>
    </w:p>
    <w:p w14:paraId="0A84ABCD" w14:textId="77777777" w:rsidR="00FA7A82" w:rsidRPr="00E062F6" w:rsidRDefault="00000000">
      <w:pPr>
        <w:jc w:val="both"/>
        <w:rPr>
          <w:rFonts w:ascii="Roboto" w:hAnsi="Roboto"/>
          <w:color w:val="000000" w:themeColor="text1"/>
        </w:rPr>
      </w:pPr>
      <w:r w:rsidRPr="00E062F6">
        <w:rPr>
          <w:rFonts w:ascii="Roboto" w:hAnsi="Roboto"/>
          <w:color w:val="000000" w:themeColor="text1"/>
        </w:rPr>
        <w:t>This definition has been criticised for many of its elements being undefined and for generally being too broad.</w:t>
      </w:r>
      <w:r w:rsidRPr="00E062F6">
        <w:rPr>
          <w:rStyle w:val="FootnoteReference"/>
          <w:rFonts w:ascii="Roboto" w:hAnsi="Roboto"/>
          <w:color w:val="000000" w:themeColor="text1"/>
        </w:rPr>
        <w:footnoteReference w:id="188"/>
      </w:r>
      <w:r w:rsidRPr="00E062F6">
        <w:rPr>
          <w:rFonts w:ascii="Roboto" w:hAnsi="Roboto"/>
          <w:color w:val="000000" w:themeColor="text1"/>
        </w:rPr>
        <w:t xml:space="preserve"> It is of notable concern that the simple threat of an act can be constitutive of terrorism. As such, this definition leaves space for wide interpretation and </w:t>
      </w:r>
      <w:proofErr w:type="gramStart"/>
      <w:r w:rsidRPr="00E062F6">
        <w:rPr>
          <w:rFonts w:ascii="Roboto" w:hAnsi="Roboto"/>
          <w:color w:val="000000" w:themeColor="text1"/>
        </w:rPr>
        <w:t>abuse, and</w:t>
      </w:r>
      <w:proofErr w:type="gramEnd"/>
      <w:r w:rsidRPr="00E062F6">
        <w:rPr>
          <w:rFonts w:ascii="Roboto" w:hAnsi="Roboto"/>
          <w:color w:val="000000" w:themeColor="text1"/>
        </w:rPr>
        <w:t xml:space="preserve"> can </w:t>
      </w:r>
      <w:r w:rsidRPr="00E062F6">
        <w:rPr>
          <w:rFonts w:ascii="Roboto" w:hAnsi="Roboto"/>
          <w:color w:val="000000" w:themeColor="text1"/>
        </w:rPr>
        <w:lastRenderedPageBreak/>
        <w:t>lead to the criminalisation of acts falling under fundamental freedoms protected by international</w:t>
      </w:r>
      <w:r w:rsidRPr="00E062F6">
        <w:rPr>
          <w:rFonts w:ascii="Roboto" w:hAnsi="Roboto"/>
          <w:b/>
          <w:bCs/>
          <w:color w:val="000000" w:themeColor="text1"/>
        </w:rPr>
        <w:t xml:space="preserve"> </w:t>
      </w:r>
      <w:r w:rsidRPr="00E062F6">
        <w:rPr>
          <w:rFonts w:ascii="Roboto" w:hAnsi="Roboto"/>
          <w:color w:val="000000" w:themeColor="text1"/>
        </w:rPr>
        <w:t>law.</w:t>
      </w:r>
      <w:r w:rsidRPr="00E062F6">
        <w:rPr>
          <w:rStyle w:val="FootnoteReference"/>
          <w:rFonts w:ascii="Roboto" w:hAnsi="Roboto"/>
          <w:color w:val="000000" w:themeColor="text1"/>
        </w:rPr>
        <w:footnoteReference w:id="189"/>
      </w:r>
    </w:p>
    <w:p w14:paraId="32A0C807" w14:textId="77777777" w:rsidR="00FA7A82" w:rsidRPr="00E062F6" w:rsidRDefault="00000000">
      <w:pPr>
        <w:jc w:val="both"/>
        <w:rPr>
          <w:rFonts w:ascii="Roboto" w:hAnsi="Roboto"/>
          <w:color w:val="000000" w:themeColor="text1"/>
        </w:rPr>
      </w:pPr>
      <w:r w:rsidRPr="00E062F6">
        <w:rPr>
          <w:rFonts w:ascii="Roboto" w:hAnsi="Roboto"/>
          <w:color w:val="000000" w:themeColor="text1"/>
        </w:rPr>
        <w:t>Additionally, article 1(3) of the Arab CT Convention defers to LAS Member States’ domestic definitions of terrorism to define the scope of terrorism offenses. This is particularly concerning considering the issues arising from Jordan’s domestic definition of torture,</w:t>
      </w:r>
      <w:r w:rsidRPr="00E062F6">
        <w:rPr>
          <w:rStyle w:val="FootnoteReference"/>
          <w:rFonts w:ascii="Roboto" w:hAnsi="Roboto"/>
          <w:color w:val="000000" w:themeColor="text1"/>
        </w:rPr>
        <w:footnoteReference w:id="190"/>
      </w:r>
      <w:r w:rsidRPr="00E062F6">
        <w:rPr>
          <w:rFonts w:ascii="Roboto" w:hAnsi="Roboto"/>
          <w:color w:val="000000" w:themeColor="text1"/>
        </w:rPr>
        <w:t xml:space="preserve"> as well as a number of Arab states’ domestic CT laws which have been criticised by the former UN Special Rapporteur on CT and human rights for containing similarly problematic definitions of terrorism and for their overall lack of human rights compliance, including in Qatar,</w:t>
      </w:r>
      <w:r w:rsidRPr="00E062F6">
        <w:rPr>
          <w:rStyle w:val="FootnoteReference"/>
          <w:rFonts w:ascii="Roboto" w:hAnsi="Roboto"/>
          <w:color w:val="000000" w:themeColor="text1"/>
        </w:rPr>
        <w:footnoteReference w:id="191"/>
      </w:r>
      <w:r w:rsidRPr="00E062F6">
        <w:rPr>
          <w:rFonts w:ascii="Roboto" w:hAnsi="Roboto"/>
          <w:color w:val="000000" w:themeColor="text1"/>
        </w:rPr>
        <w:t xml:space="preserve"> Algeria,</w:t>
      </w:r>
      <w:r w:rsidRPr="00E062F6">
        <w:rPr>
          <w:rStyle w:val="FootnoteReference"/>
          <w:rFonts w:ascii="Roboto" w:hAnsi="Roboto"/>
          <w:color w:val="000000" w:themeColor="text1"/>
        </w:rPr>
        <w:footnoteReference w:id="192"/>
      </w:r>
      <w:r w:rsidRPr="00E062F6">
        <w:rPr>
          <w:rFonts w:ascii="Roboto" w:hAnsi="Roboto"/>
          <w:color w:val="000000" w:themeColor="text1"/>
        </w:rPr>
        <w:t xml:space="preserve"> Saudi Arabia,</w:t>
      </w:r>
      <w:r w:rsidRPr="00E062F6">
        <w:rPr>
          <w:rStyle w:val="FootnoteReference"/>
          <w:rFonts w:ascii="Roboto" w:hAnsi="Roboto"/>
          <w:color w:val="000000" w:themeColor="text1"/>
        </w:rPr>
        <w:footnoteReference w:id="193"/>
      </w:r>
      <w:r w:rsidRPr="00E062F6">
        <w:rPr>
          <w:rFonts w:ascii="Roboto" w:hAnsi="Roboto"/>
          <w:color w:val="000000" w:themeColor="text1"/>
        </w:rPr>
        <w:t xml:space="preserve"> the UAE,</w:t>
      </w:r>
      <w:r w:rsidRPr="00E062F6">
        <w:rPr>
          <w:rStyle w:val="FootnoteReference"/>
          <w:rFonts w:ascii="Roboto" w:hAnsi="Roboto"/>
          <w:color w:val="000000" w:themeColor="text1"/>
        </w:rPr>
        <w:footnoteReference w:id="194"/>
      </w:r>
      <w:r w:rsidRPr="00E062F6">
        <w:rPr>
          <w:rFonts w:ascii="Roboto" w:hAnsi="Roboto"/>
          <w:color w:val="000000" w:themeColor="text1"/>
        </w:rPr>
        <w:t xml:space="preserve"> Egypt,</w:t>
      </w:r>
      <w:r w:rsidRPr="00E062F6">
        <w:rPr>
          <w:rStyle w:val="FootnoteReference"/>
          <w:rFonts w:ascii="Roboto" w:hAnsi="Roboto"/>
          <w:color w:val="000000" w:themeColor="text1"/>
        </w:rPr>
        <w:footnoteReference w:id="195"/>
      </w:r>
      <w:r w:rsidRPr="00E062F6">
        <w:rPr>
          <w:rFonts w:ascii="Roboto" w:hAnsi="Roboto"/>
          <w:color w:val="000000" w:themeColor="text1"/>
        </w:rPr>
        <w:t xml:space="preserve"> Bahrain</w:t>
      </w:r>
      <w:r w:rsidRPr="00E062F6">
        <w:rPr>
          <w:rStyle w:val="FootnoteReference"/>
          <w:rFonts w:ascii="Roboto" w:hAnsi="Roboto"/>
          <w:color w:val="000000" w:themeColor="text1"/>
        </w:rPr>
        <w:footnoteReference w:id="196"/>
      </w:r>
      <w:r w:rsidRPr="00E062F6">
        <w:rPr>
          <w:rFonts w:ascii="Roboto" w:hAnsi="Roboto"/>
          <w:color w:val="000000" w:themeColor="text1"/>
        </w:rPr>
        <w:t xml:space="preserve"> and Tunisia.</w:t>
      </w:r>
      <w:r w:rsidRPr="00E062F6">
        <w:rPr>
          <w:rStyle w:val="FootnoteReference"/>
          <w:rFonts w:ascii="Roboto" w:hAnsi="Roboto"/>
          <w:color w:val="000000" w:themeColor="text1"/>
        </w:rPr>
        <w:footnoteReference w:id="197"/>
      </w:r>
    </w:p>
    <w:p w14:paraId="5BCA6939" w14:textId="77777777" w:rsidR="00FA7A82" w:rsidRPr="00E062F6" w:rsidRDefault="00000000">
      <w:pPr>
        <w:pStyle w:val="Title"/>
        <w:jc w:val="both"/>
      </w:pPr>
      <w:r w:rsidRPr="00E062F6">
        <w:t>Recommendations:</w:t>
      </w:r>
    </w:p>
    <w:p w14:paraId="7F3388CB" w14:textId="77777777" w:rsidR="00FA7A82" w:rsidRPr="00E062F6" w:rsidRDefault="00000000">
      <w:pPr>
        <w:pStyle w:val="ListParagraph"/>
        <w:numPr>
          <w:ilvl w:val="0"/>
          <w:numId w:val="5"/>
        </w:numPr>
        <w:jc w:val="both"/>
        <w:rPr>
          <w:rFonts w:ascii="Roboto" w:hAnsi="Roboto"/>
          <w:color w:val="543192"/>
        </w:rPr>
      </w:pPr>
      <w:r w:rsidRPr="00E062F6">
        <w:rPr>
          <w:rFonts w:ascii="Roboto" w:hAnsi="Roboto"/>
          <w:color w:val="543192"/>
        </w:rPr>
        <w:t xml:space="preserve">Abolish the Anti-Terrorism Law, or amend it so as to ensure that the definitions of terrorism and terrorist act are concise and in line with the State party’s obligations under the </w:t>
      </w:r>
      <w:proofErr w:type="gramStart"/>
      <w:r w:rsidRPr="00E062F6">
        <w:rPr>
          <w:rFonts w:ascii="Roboto" w:hAnsi="Roboto"/>
          <w:color w:val="543192"/>
        </w:rPr>
        <w:t>Convention;</w:t>
      </w:r>
      <w:proofErr w:type="gramEnd"/>
    </w:p>
    <w:p w14:paraId="7713D2D2" w14:textId="77777777" w:rsidR="00FA7A82" w:rsidRPr="00E062F6" w:rsidRDefault="00000000">
      <w:pPr>
        <w:pStyle w:val="ListParagraph"/>
        <w:numPr>
          <w:ilvl w:val="0"/>
          <w:numId w:val="5"/>
        </w:numPr>
        <w:jc w:val="both"/>
        <w:rPr>
          <w:rFonts w:ascii="Roboto" w:hAnsi="Roboto"/>
          <w:color w:val="543192"/>
        </w:rPr>
      </w:pPr>
      <w:r w:rsidRPr="00E062F6">
        <w:rPr>
          <w:rFonts w:ascii="Roboto" w:hAnsi="Roboto"/>
          <w:color w:val="543192"/>
        </w:rPr>
        <w:t>Ensure counter-terrorism laws policies do not infringe upon the peaceful exercise of fundamental rights and freedoms protected by international human rights law.</w:t>
      </w:r>
    </w:p>
    <w:p w14:paraId="5E793FF5" w14:textId="77777777" w:rsidR="00157A67" w:rsidRPr="00E062F6" w:rsidRDefault="00157A67">
      <w:pPr>
        <w:spacing w:before="0"/>
        <w:rPr>
          <w:rFonts w:ascii="Roboto" w:hAnsi="Roboto"/>
          <w:color w:val="543192"/>
        </w:rPr>
      </w:pPr>
      <w:r w:rsidRPr="00E062F6">
        <w:rPr>
          <w:rFonts w:ascii="Roboto" w:hAnsi="Roboto"/>
          <w:color w:val="543192"/>
        </w:rPr>
        <w:br w:type="page"/>
      </w:r>
    </w:p>
    <w:p w14:paraId="4B0DF310" w14:textId="77777777" w:rsidR="00157A67" w:rsidRPr="00E062F6" w:rsidRDefault="00157A67">
      <w:pPr>
        <w:jc w:val="both"/>
        <w:rPr>
          <w:rFonts w:ascii="Roboto" w:hAnsi="Roboto"/>
          <w:sz w:val="27"/>
          <w:szCs w:val="27"/>
        </w:rPr>
      </w:pPr>
    </w:p>
    <w:p w14:paraId="67A37B31" w14:textId="77777777" w:rsidR="00157A67" w:rsidRPr="00E062F6" w:rsidRDefault="00157A67">
      <w:pPr>
        <w:jc w:val="both"/>
        <w:rPr>
          <w:rFonts w:ascii="Roboto" w:hAnsi="Roboto"/>
          <w:sz w:val="27"/>
          <w:szCs w:val="27"/>
        </w:rPr>
      </w:pPr>
    </w:p>
    <w:p w14:paraId="488C927F" w14:textId="77777777" w:rsidR="00157A67" w:rsidRPr="00E062F6" w:rsidRDefault="00157A67">
      <w:pPr>
        <w:jc w:val="both"/>
        <w:rPr>
          <w:rFonts w:ascii="Roboto" w:hAnsi="Roboto"/>
          <w:sz w:val="27"/>
          <w:szCs w:val="27"/>
        </w:rPr>
      </w:pPr>
    </w:p>
    <w:p w14:paraId="5FB42C34" w14:textId="77777777" w:rsidR="00157A67" w:rsidRPr="00E062F6" w:rsidRDefault="00157A67">
      <w:pPr>
        <w:jc w:val="both"/>
        <w:rPr>
          <w:rFonts w:ascii="Roboto" w:hAnsi="Roboto"/>
          <w:sz w:val="27"/>
          <w:szCs w:val="27"/>
        </w:rPr>
      </w:pPr>
    </w:p>
    <w:p w14:paraId="00CD4245" w14:textId="77777777" w:rsidR="00157A67" w:rsidRPr="00E062F6" w:rsidRDefault="00157A67">
      <w:pPr>
        <w:jc w:val="both"/>
        <w:rPr>
          <w:rFonts w:ascii="Roboto" w:hAnsi="Roboto"/>
          <w:sz w:val="27"/>
          <w:szCs w:val="27"/>
        </w:rPr>
      </w:pPr>
    </w:p>
    <w:p w14:paraId="486328B6" w14:textId="77777777" w:rsidR="00157A67" w:rsidRPr="00E062F6" w:rsidRDefault="00157A67">
      <w:pPr>
        <w:jc w:val="both"/>
        <w:rPr>
          <w:rFonts w:ascii="Roboto" w:hAnsi="Roboto"/>
          <w:sz w:val="27"/>
          <w:szCs w:val="27"/>
        </w:rPr>
      </w:pPr>
    </w:p>
    <w:p w14:paraId="4E8501E7" w14:textId="77777777" w:rsidR="00157A67" w:rsidRPr="00E062F6" w:rsidRDefault="00157A67">
      <w:pPr>
        <w:jc w:val="both"/>
        <w:rPr>
          <w:rFonts w:ascii="Roboto" w:hAnsi="Roboto"/>
          <w:sz w:val="27"/>
          <w:szCs w:val="27"/>
        </w:rPr>
      </w:pPr>
    </w:p>
    <w:p w14:paraId="1D1D7515" w14:textId="77777777" w:rsidR="00157A67" w:rsidRPr="00E062F6" w:rsidRDefault="00157A67">
      <w:pPr>
        <w:jc w:val="both"/>
        <w:rPr>
          <w:rFonts w:ascii="Roboto" w:hAnsi="Roboto"/>
          <w:sz w:val="27"/>
          <w:szCs w:val="27"/>
        </w:rPr>
      </w:pPr>
    </w:p>
    <w:p w14:paraId="34BD9F1D" w14:textId="77777777" w:rsidR="00157A67" w:rsidRPr="00E062F6" w:rsidRDefault="00157A67">
      <w:pPr>
        <w:jc w:val="both"/>
        <w:rPr>
          <w:rFonts w:ascii="Roboto" w:hAnsi="Roboto"/>
          <w:sz w:val="27"/>
          <w:szCs w:val="27"/>
        </w:rPr>
      </w:pPr>
    </w:p>
    <w:p w14:paraId="04F741F7" w14:textId="77777777" w:rsidR="00157A67" w:rsidRPr="00E062F6" w:rsidRDefault="00157A67">
      <w:pPr>
        <w:jc w:val="both"/>
        <w:rPr>
          <w:rFonts w:ascii="Roboto" w:hAnsi="Roboto"/>
          <w:sz w:val="27"/>
          <w:szCs w:val="27"/>
        </w:rPr>
      </w:pPr>
    </w:p>
    <w:p w14:paraId="103DF73D" w14:textId="698DEE2E" w:rsidR="00FA7A82" w:rsidRPr="00E062F6" w:rsidRDefault="00000000" w:rsidP="006F576C">
      <w:pPr>
        <w:jc w:val="center"/>
        <w:rPr>
          <w:rFonts w:ascii="Roboto" w:hAnsi="Roboto"/>
          <w:sz w:val="27"/>
          <w:szCs w:val="27"/>
        </w:rPr>
      </w:pPr>
      <w:r w:rsidRPr="00E062F6">
        <w:rPr>
          <w:rFonts w:ascii="Roboto" w:hAnsi="Roboto"/>
          <w:sz w:val="27"/>
          <w:szCs w:val="27"/>
        </w:rPr>
        <w:t xml:space="preserve">MENA Rights Group is a Geneva-based legal advocacy NGO defending and promoting fundamental rights and freedoms in the Middle East and North Africa (MENA) region. Adopting a holistic approach, we work at both the individual and structural level. We represent victims of human rights violations before international law mechanisms. </w:t>
      </w:r>
      <w:proofErr w:type="gramStart"/>
      <w:r w:rsidRPr="00E062F6">
        <w:rPr>
          <w:rFonts w:ascii="Roboto" w:hAnsi="Roboto"/>
          <w:sz w:val="27"/>
          <w:szCs w:val="27"/>
        </w:rPr>
        <w:t>In order to</w:t>
      </w:r>
      <w:proofErr w:type="gramEnd"/>
      <w:r w:rsidRPr="00E062F6">
        <w:rPr>
          <w:rFonts w:ascii="Roboto" w:hAnsi="Roboto"/>
          <w:sz w:val="27"/>
          <w:szCs w:val="27"/>
        </w:rPr>
        <w:t xml:space="preserve"> ensure the non-repetition of these violations, we identify patterns and root causes of violations on the ground and bring key issues to the attention of relevant stakeholders to call for legal and policy reform.</w:t>
      </w:r>
    </w:p>
    <w:sectPr w:rsidR="00FA7A82" w:rsidRPr="00E062F6">
      <w:headerReference w:type="even" r:id="rId16"/>
      <w:headerReference w:type="default" r:id="rId17"/>
      <w:footerReference w:type="default" r:id="rId18"/>
      <w:headerReference w:type="first" r:id="rId19"/>
      <w:footerReference w:type="first" r:id="rId20"/>
      <w:pgSz w:w="11906" w:h="16838"/>
      <w:pgMar w:top="1418" w:right="1418" w:bottom="1418" w:left="1418" w:header="567" w:footer="283"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30505D" w14:textId="77777777" w:rsidR="00665012" w:rsidRDefault="00665012">
      <w:pPr>
        <w:spacing w:before="0" w:after="0" w:line="240" w:lineRule="auto"/>
      </w:pPr>
      <w:r>
        <w:separator/>
      </w:r>
    </w:p>
  </w:endnote>
  <w:endnote w:type="continuationSeparator" w:id="0">
    <w:p w14:paraId="558750E8" w14:textId="77777777" w:rsidR="00665012" w:rsidRDefault="0066501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AFF" w:usb1="5000217F" w:usb2="00000021" w:usb3="00000000" w:csb0="0000019F" w:csb1="00000000"/>
  </w:font>
  <w:font w:name="Calibri Light">
    <w:panose1 w:val="020F0302020204030204"/>
    <w:charset w:val="00"/>
    <w:family w:val="swiss"/>
    <w:pitch w:val="variable"/>
    <w:sig w:usb0="E0002AFF" w:usb1="C000247B" w:usb2="00000009" w:usb3="00000000" w:csb0="000001FF" w:csb1="00000000"/>
  </w:font>
  <w:font w:name="Minion Pro">
    <w:panose1 w:val="020B0604020202020204"/>
    <w:charset w:val="00"/>
    <w:family w:val="auto"/>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Roboto" w:hAnsi="Roboto"/>
      </w:rPr>
      <w:id w:val="201220269"/>
      <w:docPartObj>
        <w:docPartGallery w:val="Page Numbers (Bottom of Page)"/>
        <w:docPartUnique/>
      </w:docPartObj>
    </w:sdtPr>
    <w:sdtContent>
      <w:p w14:paraId="6F27D9EC" w14:textId="77777777" w:rsidR="00FA7A82" w:rsidRDefault="00000000">
        <w:pPr>
          <w:pStyle w:val="Footer"/>
          <w:rPr>
            <w:rFonts w:ascii="Roboto" w:hAnsi="Roboto"/>
          </w:rPr>
        </w:pPr>
        <w:r>
          <w:rPr>
            <w:rFonts w:ascii="Roboto" w:hAnsi="Roboto"/>
          </w:rPr>
          <w:fldChar w:fldCharType="begin"/>
        </w:r>
        <w:r>
          <w:rPr>
            <w:rFonts w:ascii="Roboto" w:hAnsi="Roboto"/>
          </w:rPr>
          <w:instrText xml:space="preserve"> PAGE   \* MERGEFORMAT </w:instrText>
        </w:r>
        <w:r>
          <w:rPr>
            <w:rFonts w:ascii="Roboto" w:hAnsi="Roboto"/>
          </w:rPr>
          <w:fldChar w:fldCharType="separate"/>
        </w:r>
        <w:r>
          <w:rPr>
            <w:rFonts w:ascii="Roboto" w:hAnsi="Roboto"/>
          </w:rPr>
          <w:t>55</w:t>
        </w:r>
        <w:r>
          <w:rPr>
            <w:rFonts w:ascii="Roboto" w:hAnsi="Roboto"/>
          </w:rPr>
          <w:fldChar w:fldCharType="end"/>
        </w:r>
        <w:r>
          <w:rPr>
            <w:rFonts w:ascii="Roboto" w:hAnsi="Roboto"/>
          </w:rPr>
          <w:t xml:space="preserve"> </w:t>
        </w:r>
        <w:r>
          <w:rPr>
            <w:rFonts w:ascii="Roboto" w:hAnsi="Roboto"/>
          </w:rPr>
          <w:tab/>
        </w:r>
        <w:r>
          <w:rPr>
            <w:rFonts w:ascii="Roboto" w:hAnsi="Roboto"/>
          </w:rPr>
          <w:tab/>
          <w:t>CAT | Jordan</w:t>
        </w:r>
      </w:p>
    </w:sdtContent>
  </w:sdt>
  <w:p w14:paraId="66E022E6" w14:textId="77777777" w:rsidR="00FA7A82" w:rsidRDefault="00FA7A82">
    <w:pPr>
      <w:pStyle w:val="Footer"/>
      <w:tabs>
        <w:tab w:val="clear" w:pos="4536"/>
        <w:tab w:val="clear" w:pos="9072"/>
        <w:tab w:val="left" w:pos="3375"/>
      </w:tabs>
      <w:rPr>
        <w:rFonts w:ascii="Roboto" w:hAnsi="Roboto"/>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AE1695" w14:textId="77777777" w:rsidR="00FA7A82" w:rsidRDefault="00FA7A82">
    <w:pPr>
      <w:pStyle w:val="Footer"/>
      <w:tabs>
        <w:tab w:val="clear" w:pos="4536"/>
        <w:tab w:val="clear" w:pos="9072"/>
        <w:tab w:val="left" w:pos="2220"/>
      </w:tabs>
      <w:rPr>
        <w:sz w:val="28"/>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17F2CA" w14:textId="77777777" w:rsidR="00665012" w:rsidRDefault="00665012">
      <w:pPr>
        <w:spacing w:before="0" w:after="0" w:line="240" w:lineRule="auto"/>
      </w:pPr>
      <w:r>
        <w:separator/>
      </w:r>
    </w:p>
  </w:footnote>
  <w:footnote w:type="continuationSeparator" w:id="0">
    <w:p w14:paraId="59822B65" w14:textId="77777777" w:rsidR="00665012" w:rsidRDefault="00665012">
      <w:pPr>
        <w:spacing w:before="0" w:after="0" w:line="240" w:lineRule="auto"/>
      </w:pPr>
      <w:r>
        <w:continuationSeparator/>
      </w:r>
    </w:p>
  </w:footnote>
  <w:footnote w:id="1">
    <w:p w14:paraId="50984695"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Committee Against Torture, </w:t>
      </w:r>
      <w:r w:rsidRPr="00031A5D">
        <w:rPr>
          <w:rFonts w:ascii="Roboto" w:hAnsi="Roboto"/>
          <w:i/>
          <w:iCs/>
          <w:sz w:val="18"/>
          <w:szCs w:val="18"/>
        </w:rPr>
        <w:t>List of issues prior to submission of the fourth periodic report of Jordan</w:t>
      </w:r>
      <w:r w:rsidRPr="00031A5D">
        <w:rPr>
          <w:rFonts w:ascii="Roboto" w:hAnsi="Roboto"/>
          <w:sz w:val="18"/>
          <w:szCs w:val="18"/>
        </w:rPr>
        <w:t xml:space="preserve">, 13 June 2018, UN Doc. CAT/C/JOR/QPR/4, </w:t>
      </w:r>
      <w:hyperlink r:id="rId1" w:tooltip="https://docstore.ohchr.org/SelfServices/FilesHandler.ashx?enc=6QkG1d%2FPPRiCAqhKb7yhsuoO1aAYJ6VmNP4LonUL9sirGNBx0BDPQylFzMNh%2BBP5a%2FrMh8QqsqtzGhsW21L8Tz%2BXBoT7mChZucEBmnpWUgj6%2FaQhEPGbT7x5z6tA%2FzVB" w:history="1">
        <w:r w:rsidRPr="00031A5D">
          <w:rPr>
            <w:rStyle w:val="Hyperlink"/>
            <w:rFonts w:ascii="Roboto" w:hAnsi="Roboto"/>
            <w:sz w:val="18"/>
            <w:szCs w:val="18"/>
          </w:rPr>
          <w:t>https://docstore.ohchr.org/SelfServices/FilesHandler.ashx?enc=6QkG1d%2FPPRiCAqhKb7yhsuoO1aAYJ6VmNP4LonUL9sirGNBx0BDPQylFzMNh%2BBP5a%2FrMh8QqsqtzGhsW21L8Tz%2BXBoT7mChZucEBmnpWUgj6%2FaQhEPGbT7x5z6tA%2FzVB</w:t>
        </w:r>
      </w:hyperlink>
      <w:r w:rsidRPr="00031A5D">
        <w:rPr>
          <w:rFonts w:ascii="Roboto" w:hAnsi="Roboto"/>
          <w:sz w:val="18"/>
          <w:szCs w:val="18"/>
        </w:rPr>
        <w:t xml:space="preserve"> (accessed 21 August 2024).</w:t>
      </w:r>
    </w:p>
  </w:footnote>
  <w:footnote w:id="2">
    <w:p w14:paraId="7CD8A388" w14:textId="77777777" w:rsidR="00FA7A82" w:rsidRPr="00031A5D" w:rsidRDefault="00000000" w:rsidP="00031A5D">
      <w:pPr>
        <w:pStyle w:val="FootnoteText"/>
        <w:jc w:val="both"/>
        <w:rPr>
          <w:rFonts w:ascii="Roboto" w:hAnsi="Roboto"/>
          <w:b/>
          <w:bCs/>
          <w:sz w:val="18"/>
          <w:szCs w:val="18"/>
        </w:rPr>
      </w:pPr>
      <w:r w:rsidRPr="00031A5D">
        <w:rPr>
          <w:rStyle w:val="FootnoteReference"/>
          <w:rFonts w:ascii="Roboto" w:hAnsi="Roboto"/>
          <w:sz w:val="18"/>
          <w:szCs w:val="18"/>
        </w:rPr>
        <w:footnoteRef/>
      </w:r>
      <w:r w:rsidRPr="00031A5D">
        <w:rPr>
          <w:rFonts w:ascii="Roboto" w:hAnsi="Roboto"/>
          <w:sz w:val="18"/>
          <w:szCs w:val="18"/>
        </w:rPr>
        <w:t xml:space="preserve"> </w:t>
      </w:r>
      <w:r w:rsidRPr="00031A5D">
        <w:rPr>
          <w:rFonts w:ascii="Roboto" w:hAnsi="Roboto"/>
          <w:sz w:val="18"/>
          <w:szCs w:val="18"/>
          <w:lang w:val="en-US"/>
        </w:rPr>
        <w:t xml:space="preserve">Committee Against Torture, </w:t>
      </w:r>
      <w:r w:rsidRPr="00031A5D">
        <w:rPr>
          <w:rFonts w:ascii="Roboto" w:hAnsi="Roboto"/>
          <w:i/>
          <w:iCs/>
          <w:sz w:val="18"/>
          <w:szCs w:val="18"/>
        </w:rPr>
        <w:t>Fourth periodic report submitted by Jordan under article 19 of the Convention pursuant to the simplified reporting procedure, due in 2019</w:t>
      </w:r>
      <w:r w:rsidRPr="00031A5D">
        <w:rPr>
          <w:rFonts w:ascii="Roboto" w:hAnsi="Roboto"/>
          <w:sz w:val="18"/>
          <w:szCs w:val="18"/>
        </w:rPr>
        <w:t xml:space="preserve">, 21 December 2021, UN Doc. CAT/C/JOR/4, </w:t>
      </w:r>
      <w:hyperlink r:id="rId2" w:tooltip="https://docstore.ohchr.org/SelfServices/FilesHandler.ashx?enc=6QkG1d%2FPPRiCAqhKb7yhsuoO1aAYJ6VmNP4LonUL9si%2F6BRpobGHFNy2xW5%2BmLqKH9vcnfYrVk8kUOJb%2BBauqXGSNlarSqeb%2BP%2FZEfv7JDfA8DjIHm3bys7hB5acwHqC" w:history="1">
        <w:r w:rsidRPr="00031A5D">
          <w:rPr>
            <w:rStyle w:val="Hyperlink"/>
            <w:rFonts w:ascii="Roboto" w:hAnsi="Roboto"/>
            <w:sz w:val="18"/>
            <w:szCs w:val="18"/>
          </w:rPr>
          <w:t>https://docstore.ohchr.org/SelfServices/FilesHandler.ashx?enc=6QkG1d%2FPPRiCAqhKb7yhsuoO1aAYJ6VmNP4LonUL9si%2F6BRpobGHFNy2xW5%2BmLqKH9vcnfYrVk8kUOJb%2BBauqXGSNlarSqeb%2BP%2FZEfv7JDfA8DjIHm3bys7hB5acwHqC</w:t>
        </w:r>
      </w:hyperlink>
      <w:r w:rsidRPr="00031A5D">
        <w:rPr>
          <w:rFonts w:ascii="Roboto" w:hAnsi="Roboto"/>
          <w:sz w:val="18"/>
          <w:szCs w:val="18"/>
        </w:rPr>
        <w:t xml:space="preserve"> (accessed 21 August 2024).</w:t>
      </w:r>
    </w:p>
  </w:footnote>
  <w:footnote w:id="3">
    <w:p w14:paraId="1E069DB5"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Committee Against Torture, </w:t>
      </w:r>
      <w:r w:rsidRPr="00031A5D">
        <w:rPr>
          <w:rFonts w:ascii="Roboto" w:hAnsi="Roboto"/>
          <w:i/>
          <w:iCs/>
          <w:sz w:val="18"/>
          <w:szCs w:val="18"/>
        </w:rPr>
        <w:t>List of issues prior to submission of the fourth periodic report of Jordan</w:t>
      </w:r>
      <w:r w:rsidRPr="00031A5D">
        <w:rPr>
          <w:rFonts w:ascii="Roboto" w:hAnsi="Roboto"/>
          <w:sz w:val="18"/>
          <w:szCs w:val="18"/>
        </w:rPr>
        <w:t xml:space="preserve">, 13 June 2018, UN Doc. CAT/C/JOR/QPR/4, </w:t>
      </w:r>
      <w:hyperlink r:id="rId3" w:tooltip="https://docstore.ohchr.org/SelfServices/FilesHandler.ashx?enc=6QkG1d%2FPPRiCAqhKb7yhsuoO1aAYJ6VmNP4LonUL9sirGNBx0BDPQylFzMNh%2BBP5a%2FrMh8QqsqtzGhsW21L8Tz%2BXBoT7mChZucEBmnpWUgj6%2FaQhEPGbT7x5z6tA%2FzVB" w:history="1">
        <w:r w:rsidRPr="00031A5D">
          <w:rPr>
            <w:rStyle w:val="Hyperlink"/>
            <w:rFonts w:ascii="Roboto" w:hAnsi="Roboto"/>
            <w:sz w:val="18"/>
            <w:szCs w:val="18"/>
          </w:rPr>
          <w:t>https://docstore.ohchr.org/SelfServices/FilesHandler.ashx?enc=6QkG1d%2FPPRiCAqhKb7yhsuoO1aAYJ6VmNP4LonUL9sirGNBx0BDPQylFzMNh%2BBP5a%2FrMh8QqsqtzGhsW21L8Tz%2BXBoT7mChZucEBmnpWUgj6%2FaQhEPGbT7x5z6tA%2FzVB</w:t>
        </w:r>
      </w:hyperlink>
      <w:r w:rsidRPr="00031A5D">
        <w:rPr>
          <w:rFonts w:ascii="Roboto" w:hAnsi="Roboto"/>
          <w:sz w:val="18"/>
          <w:szCs w:val="18"/>
        </w:rPr>
        <w:t xml:space="preserve"> (accessed 21 August 2024), para. 2.</w:t>
      </w:r>
    </w:p>
  </w:footnote>
  <w:footnote w:id="4">
    <w:p w14:paraId="7EDCE19F"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Committee Against Torture, </w:t>
      </w:r>
      <w:r w:rsidRPr="00031A5D">
        <w:rPr>
          <w:rFonts w:ascii="Roboto" w:hAnsi="Roboto"/>
          <w:i/>
          <w:iCs/>
          <w:sz w:val="18"/>
          <w:szCs w:val="18"/>
        </w:rPr>
        <w:t>List of issues prior to submission of the fourth periodic report of Jordan</w:t>
      </w:r>
      <w:r w:rsidRPr="00031A5D">
        <w:rPr>
          <w:rFonts w:ascii="Roboto" w:hAnsi="Roboto"/>
          <w:sz w:val="18"/>
          <w:szCs w:val="18"/>
        </w:rPr>
        <w:t xml:space="preserve">, 13 June 2018, UN Doc. CAT/C/JOR/QPR/4, </w:t>
      </w:r>
      <w:hyperlink r:id="rId4" w:tooltip="https://docstore.ohchr.org/SelfServices/FilesHandler.ashx?enc=6QkG1d%2FPPRiCAqhKb7yhsuoO1aAYJ6VmNP4LonUL9sirGNBx0BDPQylFzMNh%2BBP5a%2FrMh8QqsqtzGhsW21L8Tz%2BXBoT7mChZucEBmnpWUgj6%2FaQhEPGbT7x5z6tA%2FzVB" w:history="1">
        <w:r w:rsidRPr="00031A5D">
          <w:rPr>
            <w:rStyle w:val="Hyperlink"/>
            <w:rFonts w:ascii="Roboto" w:hAnsi="Roboto"/>
            <w:sz w:val="18"/>
            <w:szCs w:val="18"/>
          </w:rPr>
          <w:t>https://docstore.ohchr.org/SelfServices/FilesHandler.ashx?enc=6QkG1d%2FPPRiCAqhKb7yhsuoO1aAYJ6VmNP4LonUL9sirGNBx0BDPQylFzMNh%2BBP5a%2FrMh8QqsqtzGhsW21L8Tz%2BXBoT7mChZucEBmnpWUgj6%2FaQhEPGbT7x5z6tA%2FzVB</w:t>
        </w:r>
      </w:hyperlink>
      <w:r w:rsidRPr="00031A5D">
        <w:rPr>
          <w:rFonts w:ascii="Roboto" w:hAnsi="Roboto"/>
          <w:sz w:val="18"/>
          <w:szCs w:val="18"/>
        </w:rPr>
        <w:t xml:space="preserve"> (accessed 21 August 2024), para. 2.</w:t>
      </w:r>
    </w:p>
  </w:footnote>
  <w:footnote w:id="5">
    <w:p w14:paraId="7AC88BCA"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The text of the Penal Code is accessible here (in Arabic): </w:t>
      </w:r>
      <w:hyperlink r:id="rId5" w:tooltip="https://learningpartnership.org/sites/default/files/resources/pdfs/Jordan-Penal-Code-1960-Arabic.pdf" w:history="1">
        <w:r w:rsidRPr="00031A5D">
          <w:rPr>
            <w:rStyle w:val="Hyperlink"/>
            <w:rFonts w:ascii="Roboto" w:hAnsi="Roboto"/>
            <w:sz w:val="18"/>
            <w:szCs w:val="18"/>
          </w:rPr>
          <w:t>https://learningpartnership.org/sites/default/files/resources/pdfs/Jordan-Penal-Code-1960-Arabic.pdf</w:t>
        </w:r>
      </w:hyperlink>
      <w:r w:rsidRPr="00031A5D">
        <w:rPr>
          <w:rFonts w:ascii="Roboto" w:hAnsi="Roboto"/>
          <w:sz w:val="18"/>
          <w:szCs w:val="18"/>
        </w:rPr>
        <w:t xml:space="preserve"> (accessed 24 September 2024).</w:t>
      </w:r>
    </w:p>
  </w:footnote>
  <w:footnote w:id="6">
    <w:p w14:paraId="7AA7CE53" w14:textId="77777777" w:rsidR="00FA7A82" w:rsidRPr="00031A5D" w:rsidRDefault="00000000" w:rsidP="00031A5D">
      <w:pPr>
        <w:pStyle w:val="FootnoteText"/>
        <w:jc w:val="both"/>
        <w:rPr>
          <w:rFonts w:ascii="Roboto" w:hAnsi="Roboto"/>
          <w:b/>
          <w:bCs/>
          <w:sz w:val="18"/>
          <w:szCs w:val="18"/>
        </w:rPr>
      </w:pPr>
      <w:r w:rsidRPr="00031A5D">
        <w:rPr>
          <w:rStyle w:val="FootnoteReference"/>
          <w:rFonts w:ascii="Roboto" w:hAnsi="Roboto"/>
          <w:sz w:val="18"/>
          <w:szCs w:val="18"/>
        </w:rPr>
        <w:footnoteRef/>
      </w:r>
      <w:r w:rsidRPr="00031A5D">
        <w:rPr>
          <w:rFonts w:ascii="Roboto" w:hAnsi="Roboto"/>
          <w:sz w:val="18"/>
          <w:szCs w:val="18"/>
        </w:rPr>
        <w:t xml:space="preserve"> </w:t>
      </w:r>
      <w:r w:rsidRPr="00031A5D">
        <w:rPr>
          <w:rFonts w:ascii="Roboto" w:hAnsi="Roboto"/>
          <w:sz w:val="18"/>
          <w:szCs w:val="18"/>
          <w:lang w:val="en-US"/>
        </w:rPr>
        <w:t xml:space="preserve">Committee Against Torture, </w:t>
      </w:r>
      <w:r w:rsidRPr="00031A5D">
        <w:rPr>
          <w:rFonts w:ascii="Roboto" w:hAnsi="Roboto"/>
          <w:i/>
          <w:iCs/>
          <w:sz w:val="18"/>
          <w:szCs w:val="18"/>
        </w:rPr>
        <w:t>Fourth periodic report submitted by Jordan under article 19 of the Convention pursuant to the simplified reporting procedure, due in 2019</w:t>
      </w:r>
      <w:r w:rsidRPr="00031A5D">
        <w:rPr>
          <w:rFonts w:ascii="Roboto" w:hAnsi="Roboto"/>
          <w:sz w:val="18"/>
          <w:szCs w:val="18"/>
        </w:rPr>
        <w:t xml:space="preserve">, 21 December 2021, UN Doc. CAT/C/JOR/4, </w:t>
      </w:r>
      <w:hyperlink r:id="rId6" w:tooltip="https://docstore.ohchr.org/SelfServices/FilesHandler.ashx?enc=6QkG1d%2FPPRiCAqhKb7yhsuoO1aAYJ6VmNP4LonUL9si%2F6BRpobGHFNy2xW5%2BmLqKH9vcnfYrVk8kUOJb%2BBauqXGSNlarSqeb%2BP%2FZEfv7JDfA8DjIHm3bys7hB5acwHqC" w:history="1">
        <w:r w:rsidRPr="00031A5D">
          <w:rPr>
            <w:rStyle w:val="Hyperlink"/>
            <w:rFonts w:ascii="Roboto" w:hAnsi="Roboto"/>
            <w:sz w:val="18"/>
            <w:szCs w:val="18"/>
          </w:rPr>
          <w:t>https://docstore.ohchr.org/SelfServices/FilesHandler.ashx?enc=6QkG1d%2FPPRiCAqhKb7yhsuoO1aAYJ6VmNP4LonUL9si%2F6BRpobGHFNy2xW5%2BmLqKH9vcnfYrVk8kUOJb%2BBauqXGSNlarSqeb%2BP%2FZEfv7JDfA8DjIHm3bys7hB5acwHqC</w:t>
        </w:r>
      </w:hyperlink>
      <w:r w:rsidRPr="00031A5D">
        <w:rPr>
          <w:rFonts w:ascii="Roboto" w:hAnsi="Roboto"/>
          <w:sz w:val="18"/>
          <w:szCs w:val="18"/>
        </w:rPr>
        <w:t xml:space="preserve"> (accessed 21 August 2024), para. 125.</w:t>
      </w:r>
    </w:p>
  </w:footnote>
  <w:footnote w:id="7">
    <w:p w14:paraId="12A32F6E" w14:textId="77777777" w:rsidR="00FA7A82" w:rsidRPr="00031A5D" w:rsidRDefault="00000000" w:rsidP="00031A5D">
      <w:pPr>
        <w:pStyle w:val="FootnoteText"/>
        <w:jc w:val="both"/>
        <w:rPr>
          <w:rFonts w:ascii="Roboto" w:hAnsi="Roboto"/>
          <w:b/>
          <w:bCs/>
          <w:sz w:val="18"/>
          <w:szCs w:val="18"/>
        </w:rPr>
      </w:pPr>
      <w:r w:rsidRPr="00031A5D">
        <w:rPr>
          <w:rStyle w:val="FootnoteReference"/>
          <w:rFonts w:ascii="Roboto" w:hAnsi="Roboto"/>
          <w:sz w:val="18"/>
          <w:szCs w:val="18"/>
        </w:rPr>
        <w:footnoteRef/>
      </w:r>
      <w:r w:rsidRPr="00031A5D">
        <w:rPr>
          <w:rFonts w:ascii="Roboto" w:hAnsi="Roboto"/>
          <w:sz w:val="18"/>
          <w:szCs w:val="18"/>
        </w:rPr>
        <w:t xml:space="preserve"> </w:t>
      </w:r>
      <w:r w:rsidRPr="00031A5D">
        <w:rPr>
          <w:rFonts w:ascii="Roboto" w:hAnsi="Roboto"/>
          <w:sz w:val="18"/>
          <w:szCs w:val="18"/>
          <w:lang w:val="en-US"/>
        </w:rPr>
        <w:t xml:space="preserve">Committee Against Torture, </w:t>
      </w:r>
      <w:r w:rsidRPr="00031A5D">
        <w:rPr>
          <w:rFonts w:ascii="Roboto" w:hAnsi="Roboto"/>
          <w:i/>
          <w:iCs/>
          <w:sz w:val="18"/>
          <w:szCs w:val="18"/>
        </w:rPr>
        <w:t>Fourth periodic report submitted by Jordan under article 19 of the Convention pursuant to the simplified reporting procedure, due in 2019</w:t>
      </w:r>
      <w:r w:rsidRPr="00031A5D">
        <w:rPr>
          <w:rFonts w:ascii="Roboto" w:hAnsi="Roboto"/>
          <w:sz w:val="18"/>
          <w:szCs w:val="18"/>
        </w:rPr>
        <w:t xml:space="preserve">, 21 December 2021, UN Doc. CAT/C/JOR/4, </w:t>
      </w:r>
      <w:hyperlink r:id="rId7" w:tooltip="https://docstore.ohchr.org/SelfServices/FilesHandler.ashx?enc=6QkG1d%2FPPRiCAqhKb7yhsuoO1aAYJ6VmNP4LonUL9si%2F6BRpobGHFNy2xW5%2BmLqKH9vcnfYrVk8kUOJb%2BBauqXGSNlarSqeb%2BP%2FZEfv7JDfA8DjIHm3bys7hB5acwHqC" w:history="1">
        <w:r w:rsidRPr="00031A5D">
          <w:rPr>
            <w:rStyle w:val="Hyperlink"/>
            <w:rFonts w:ascii="Roboto" w:hAnsi="Roboto"/>
            <w:sz w:val="18"/>
            <w:szCs w:val="18"/>
          </w:rPr>
          <w:t>https://docstore.ohchr.org/SelfServices/FilesHandler.ashx?enc=6QkG1d%2FPPRiCAqhKb7yhsuoO1aAYJ6VmNP4LonUL9si%2F6BRpobGHFNy2xW5%2BmLqKH9vcnfYrVk8kUOJb%2BBauqXGSNlarSqeb%2BP%2FZEfv7JDfA8DjIHm3bys7hB5acwHqC</w:t>
        </w:r>
      </w:hyperlink>
      <w:r w:rsidRPr="00031A5D">
        <w:rPr>
          <w:rFonts w:ascii="Roboto" w:hAnsi="Roboto"/>
          <w:sz w:val="18"/>
          <w:szCs w:val="18"/>
        </w:rPr>
        <w:t xml:space="preserve"> (accessed 21 August 2024), para. 125.</w:t>
      </w:r>
    </w:p>
  </w:footnote>
  <w:footnote w:id="8">
    <w:p w14:paraId="195F4A62"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Committee Against Torture, </w:t>
      </w:r>
      <w:r w:rsidRPr="00031A5D">
        <w:rPr>
          <w:rFonts w:ascii="Roboto" w:hAnsi="Roboto"/>
          <w:i/>
          <w:iCs/>
          <w:sz w:val="18"/>
          <w:szCs w:val="18"/>
        </w:rPr>
        <w:t>General Comment No. 2: Implementation of article 2 by States parties</w:t>
      </w:r>
      <w:r w:rsidRPr="00031A5D">
        <w:rPr>
          <w:rFonts w:ascii="Roboto" w:hAnsi="Roboto"/>
          <w:sz w:val="18"/>
          <w:szCs w:val="18"/>
        </w:rPr>
        <w:t>, 24 January 2008, UN Doc. CAT/C/GC/2, para. 9.</w:t>
      </w:r>
    </w:p>
  </w:footnote>
  <w:footnote w:id="9">
    <w:p w14:paraId="77B546A6"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Committee Against Torture, </w:t>
      </w:r>
      <w:r w:rsidRPr="00031A5D">
        <w:rPr>
          <w:rFonts w:ascii="Roboto" w:hAnsi="Roboto"/>
          <w:i/>
          <w:iCs/>
          <w:sz w:val="18"/>
          <w:szCs w:val="18"/>
        </w:rPr>
        <w:t>General Comment No. 2: Implementation of article 2 by States parties</w:t>
      </w:r>
      <w:r w:rsidRPr="00031A5D">
        <w:rPr>
          <w:rFonts w:ascii="Roboto" w:hAnsi="Roboto"/>
          <w:sz w:val="18"/>
          <w:szCs w:val="18"/>
        </w:rPr>
        <w:t>, 24 January 2008, UN Doc. CAT/C/GC/2, para. 10.</w:t>
      </w:r>
    </w:p>
  </w:footnote>
  <w:footnote w:id="10">
    <w:p w14:paraId="00643F3A"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Committee Against Torture, </w:t>
      </w:r>
      <w:r w:rsidRPr="00031A5D">
        <w:rPr>
          <w:rFonts w:ascii="Roboto" w:hAnsi="Roboto"/>
          <w:i/>
          <w:iCs/>
          <w:sz w:val="18"/>
          <w:szCs w:val="18"/>
        </w:rPr>
        <w:t>List of issues prior to submission of the fourth periodic report of Jordan</w:t>
      </w:r>
      <w:r w:rsidRPr="00031A5D">
        <w:rPr>
          <w:rFonts w:ascii="Roboto" w:hAnsi="Roboto"/>
          <w:sz w:val="18"/>
          <w:szCs w:val="18"/>
        </w:rPr>
        <w:t xml:space="preserve">, 13 June 2018, UN Doc. CAT/C/JOR/QPR/4, </w:t>
      </w:r>
      <w:hyperlink r:id="rId8" w:tooltip="https://docstore.ohchr.org/SelfServices/FilesHandler.ashx?enc=6QkG1d%2FPPRiCAqhKb7yhsuoO1aAYJ6VmNP4LonUL9sirGNBx0BDPQylFzMNh%2BBP5a%2FrMh8QqsqtzGhsW21L8Tz%2BXBoT7mChZucEBmnpWUgj6%2FaQhEPGbT7x5z6tA%2FzVB" w:history="1">
        <w:r w:rsidRPr="00031A5D">
          <w:rPr>
            <w:rStyle w:val="Hyperlink"/>
            <w:rFonts w:ascii="Roboto" w:hAnsi="Roboto"/>
            <w:sz w:val="18"/>
            <w:szCs w:val="18"/>
          </w:rPr>
          <w:t>https://docstore.ohchr.org/SelfServices/FilesHandler.ashx?enc=6QkG1d%2FPPRiCAqhKb7yhsuoO1aAYJ6VmNP4LonUL9sirGNBx0BDPQylFzMNh%2BBP5a%2FrMh8QqsqtzGhsW21L8Tz%2BXBoT7mChZucEBmnpWUgj6%2FaQhEPGbT7x5z6tA%2FzVB</w:t>
        </w:r>
      </w:hyperlink>
      <w:r w:rsidRPr="00031A5D">
        <w:rPr>
          <w:rFonts w:ascii="Roboto" w:hAnsi="Roboto"/>
          <w:sz w:val="18"/>
          <w:szCs w:val="18"/>
        </w:rPr>
        <w:t xml:space="preserve"> (accessed 21 August 2024), para. 2.</w:t>
      </w:r>
    </w:p>
  </w:footnote>
  <w:footnote w:id="11">
    <w:p w14:paraId="20DA3D5C"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Human Rights Committee, </w:t>
      </w:r>
      <w:r w:rsidRPr="00031A5D">
        <w:rPr>
          <w:rFonts w:ascii="Roboto" w:hAnsi="Roboto"/>
          <w:i/>
          <w:iCs/>
          <w:sz w:val="18"/>
          <w:szCs w:val="18"/>
        </w:rPr>
        <w:t>Concluding observations on the fifth periodic report of Jordan</w:t>
      </w:r>
      <w:r w:rsidRPr="00031A5D">
        <w:rPr>
          <w:rFonts w:ascii="Roboto" w:hAnsi="Roboto"/>
          <w:sz w:val="18"/>
          <w:szCs w:val="18"/>
        </w:rPr>
        <w:t xml:space="preserve">, 4 December 2017, UN Doc. CCPR/C/JOR/CO/5, </w:t>
      </w:r>
      <w:hyperlink r:id="rId9" w:tooltip="https://documents.un.org/doc/undoc/gen/g17/354/93/pdf/g1735493.pdf" w:history="1">
        <w:r w:rsidRPr="00031A5D">
          <w:rPr>
            <w:rStyle w:val="Hyperlink"/>
            <w:rFonts w:ascii="Roboto" w:hAnsi="Roboto"/>
            <w:sz w:val="18"/>
            <w:szCs w:val="18"/>
          </w:rPr>
          <w:t>https://documents.un.org/doc/undoc/gen/g17/354/93/pdf/g1735493.pdf</w:t>
        </w:r>
      </w:hyperlink>
      <w:r w:rsidRPr="00031A5D">
        <w:rPr>
          <w:rFonts w:ascii="Roboto" w:hAnsi="Roboto"/>
          <w:sz w:val="18"/>
          <w:szCs w:val="18"/>
        </w:rPr>
        <w:t xml:space="preserve"> (accessed 23 September 2024), paras. 16-17. </w:t>
      </w:r>
    </w:p>
  </w:footnote>
  <w:footnote w:id="12">
    <w:p w14:paraId="6F70A91E"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Committee against Torture, </w:t>
      </w:r>
      <w:r w:rsidRPr="00031A5D">
        <w:rPr>
          <w:rFonts w:ascii="Roboto" w:hAnsi="Roboto"/>
          <w:i/>
          <w:iCs/>
          <w:sz w:val="18"/>
          <w:szCs w:val="18"/>
        </w:rPr>
        <w:t>Concluding Observations on the third periodic report of Jordan</w:t>
      </w:r>
      <w:r w:rsidRPr="00031A5D">
        <w:rPr>
          <w:rFonts w:ascii="Roboto" w:hAnsi="Roboto"/>
          <w:sz w:val="18"/>
          <w:szCs w:val="18"/>
        </w:rPr>
        <w:t>, 29 January 2016, UN Doc. CAT/C/JOR/CO/3, para. 9.</w:t>
      </w:r>
    </w:p>
  </w:footnote>
  <w:footnote w:id="13">
    <w:p w14:paraId="5014E30D"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Committee against Torture, </w:t>
      </w:r>
      <w:r w:rsidRPr="00031A5D">
        <w:rPr>
          <w:rFonts w:ascii="Roboto" w:hAnsi="Roboto"/>
          <w:i/>
          <w:iCs/>
          <w:sz w:val="18"/>
          <w:szCs w:val="18"/>
        </w:rPr>
        <w:t>Concluding Observations on the third periodic report of Jordan</w:t>
      </w:r>
      <w:r w:rsidRPr="00031A5D">
        <w:rPr>
          <w:rFonts w:ascii="Roboto" w:hAnsi="Roboto"/>
          <w:sz w:val="18"/>
          <w:szCs w:val="18"/>
        </w:rPr>
        <w:t>, 29 January 2016, UN Doc. CAT/C/JOR/CO/3, para. 9.</w:t>
      </w:r>
    </w:p>
  </w:footnote>
  <w:footnote w:id="14">
    <w:p w14:paraId="4C574D01"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Committee Against Torture, </w:t>
      </w:r>
      <w:r w:rsidRPr="00031A5D">
        <w:rPr>
          <w:rFonts w:ascii="Roboto" w:hAnsi="Roboto"/>
          <w:i/>
          <w:iCs/>
          <w:sz w:val="18"/>
          <w:szCs w:val="18"/>
        </w:rPr>
        <w:t>List of issues prior to submission of the fourth periodic report of Jordan</w:t>
      </w:r>
      <w:r w:rsidRPr="00031A5D">
        <w:rPr>
          <w:rFonts w:ascii="Roboto" w:hAnsi="Roboto"/>
          <w:sz w:val="18"/>
          <w:szCs w:val="18"/>
        </w:rPr>
        <w:t xml:space="preserve">, 13 June 2018, UN Doc. CAT/C/JOR/QPR/4, </w:t>
      </w:r>
      <w:hyperlink r:id="rId10" w:tooltip="https://docstore.ohchr.org/SelfServices/FilesHandler.ashx?enc=6QkG1d%2FPPRiCAqhKb7yhsuoO1aAYJ6VmNP4LonUL9sirGNBx0BDPQylFzMNh%2BBP5a%2FrMh8QqsqtzGhsW21L8Tz%2BXBoT7mChZucEBmnpWUgj6%2FaQhEPGbT7x5z6tA%2FzVB" w:history="1">
        <w:r w:rsidRPr="00031A5D">
          <w:rPr>
            <w:rStyle w:val="Hyperlink"/>
            <w:rFonts w:ascii="Roboto" w:hAnsi="Roboto"/>
            <w:sz w:val="18"/>
            <w:szCs w:val="18"/>
          </w:rPr>
          <w:t>https://docstore.ohchr.org/SelfServices/FilesHandler.ashx?enc=6QkG1d%2FPPRiCAqhKb7yhsuoO1aAYJ6VmNP4LonUL9sirGNBx0BDPQylFzMNh%2BBP5a%2FrMh8QqsqtzGhsW21L8Tz%2BXBoT7mChZucEBmnpWUgj6%2FaQhEPGbT7x5z6tA%2FzVB</w:t>
        </w:r>
      </w:hyperlink>
      <w:r w:rsidRPr="00031A5D">
        <w:rPr>
          <w:rFonts w:ascii="Roboto" w:hAnsi="Roboto"/>
          <w:sz w:val="18"/>
          <w:szCs w:val="18"/>
        </w:rPr>
        <w:t xml:space="preserve"> (accessed 21 August 2024), para. 2.</w:t>
      </w:r>
    </w:p>
  </w:footnote>
  <w:footnote w:id="15">
    <w:p w14:paraId="4C31ECB0"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According to article 208 (4) of the Penal Code, “Notwithstanding the provisions of articles 54 bis and 100 of the present Code, the courts may not rule to suspend a sentence handed down against a person convicted under the present article, nor may they admit mitigating circumstances.”</w:t>
      </w:r>
    </w:p>
  </w:footnote>
  <w:footnote w:id="16">
    <w:p w14:paraId="32520729" w14:textId="77777777" w:rsidR="00FA7A82" w:rsidRPr="00031A5D" w:rsidRDefault="00000000" w:rsidP="00031A5D">
      <w:pPr>
        <w:pStyle w:val="FootnoteText"/>
        <w:jc w:val="both"/>
        <w:rPr>
          <w:rFonts w:ascii="Roboto" w:hAnsi="Roboto"/>
          <w:b/>
          <w:bCs/>
          <w:sz w:val="18"/>
          <w:szCs w:val="18"/>
        </w:rPr>
      </w:pPr>
      <w:r w:rsidRPr="00031A5D">
        <w:rPr>
          <w:rStyle w:val="FootnoteReference"/>
          <w:rFonts w:ascii="Roboto" w:hAnsi="Roboto"/>
          <w:sz w:val="18"/>
          <w:szCs w:val="18"/>
        </w:rPr>
        <w:footnoteRef/>
      </w:r>
      <w:r w:rsidRPr="00031A5D">
        <w:rPr>
          <w:rFonts w:ascii="Roboto" w:hAnsi="Roboto"/>
          <w:sz w:val="18"/>
          <w:szCs w:val="18"/>
        </w:rPr>
        <w:t xml:space="preserve"> </w:t>
      </w:r>
      <w:r w:rsidRPr="00031A5D">
        <w:rPr>
          <w:rFonts w:ascii="Roboto" w:hAnsi="Roboto"/>
          <w:sz w:val="18"/>
          <w:szCs w:val="18"/>
          <w:lang w:val="en-US"/>
        </w:rPr>
        <w:t xml:space="preserve">Committee Against Torture, </w:t>
      </w:r>
      <w:r w:rsidRPr="00031A5D">
        <w:rPr>
          <w:rFonts w:ascii="Roboto" w:hAnsi="Roboto"/>
          <w:i/>
          <w:iCs/>
          <w:sz w:val="18"/>
          <w:szCs w:val="18"/>
        </w:rPr>
        <w:t>Fourth periodic report submitted by Jordan under article 19 of the Convention pursuant to the simplified reporting procedure, due in 2019</w:t>
      </w:r>
      <w:r w:rsidRPr="00031A5D">
        <w:rPr>
          <w:rFonts w:ascii="Roboto" w:hAnsi="Roboto"/>
          <w:sz w:val="18"/>
          <w:szCs w:val="18"/>
        </w:rPr>
        <w:t xml:space="preserve">, 21 December 2021, UN Doc. CAT/C/JOR/4, </w:t>
      </w:r>
      <w:hyperlink r:id="rId11" w:tooltip="https://docstore.ohchr.org/SelfServices/FilesHandler.ashx?enc=6QkG1d%2FPPRiCAqhKb7yhsuoO1aAYJ6VmNP4LonUL9si%2F6BRpobGHFNy2xW5%2BmLqKH9vcnfYrVk8kUOJb%2BBauqXGSNlarSqeb%2BP%2FZEfv7JDfA8DjIHm3bys7hB5acwHqC" w:history="1">
        <w:r w:rsidRPr="00031A5D">
          <w:rPr>
            <w:rStyle w:val="Hyperlink"/>
            <w:rFonts w:ascii="Roboto" w:hAnsi="Roboto"/>
            <w:sz w:val="18"/>
            <w:szCs w:val="18"/>
          </w:rPr>
          <w:t>https://docstore.ohchr.org/SelfServices/FilesHandler.ashx?enc=6QkG1d%2FPPRiCAqhKb7yhsuoO1aAYJ6VmNP4LonUL9si%2F6BRpobGHFNy2xW5%2BmLqKH9vcnfYrVk8kUOJb%2BBauqXGSNlarSqeb%2BP%2FZEfv7JDfA8DjIHm3bys7hB5acwHqC</w:t>
        </w:r>
      </w:hyperlink>
      <w:r w:rsidRPr="00031A5D">
        <w:rPr>
          <w:rFonts w:ascii="Roboto" w:hAnsi="Roboto"/>
          <w:sz w:val="18"/>
          <w:szCs w:val="18"/>
        </w:rPr>
        <w:t xml:space="preserve"> (accessed 21 August 2024), para. 11.</w:t>
      </w:r>
    </w:p>
  </w:footnote>
  <w:footnote w:id="17">
    <w:p w14:paraId="0FE986F7"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Committee against Torture, </w:t>
      </w:r>
      <w:r w:rsidRPr="00031A5D">
        <w:rPr>
          <w:rFonts w:ascii="Roboto" w:hAnsi="Roboto"/>
          <w:i/>
          <w:iCs/>
          <w:sz w:val="18"/>
          <w:szCs w:val="18"/>
        </w:rPr>
        <w:t>Concluding Observations on the third periodic report of Jordan</w:t>
      </w:r>
      <w:r w:rsidRPr="00031A5D">
        <w:rPr>
          <w:rFonts w:ascii="Roboto" w:hAnsi="Roboto"/>
          <w:sz w:val="18"/>
          <w:szCs w:val="18"/>
        </w:rPr>
        <w:t>, 29 January 2016, UN Doc. CAT/JOR/CO/3, para. 11.</w:t>
      </w:r>
    </w:p>
  </w:footnote>
  <w:footnote w:id="18">
    <w:p w14:paraId="0CEB67C2"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Committee against Torture, </w:t>
      </w:r>
      <w:r w:rsidRPr="00031A5D">
        <w:rPr>
          <w:rFonts w:ascii="Roboto" w:hAnsi="Roboto"/>
          <w:i/>
          <w:iCs/>
          <w:sz w:val="18"/>
          <w:szCs w:val="18"/>
        </w:rPr>
        <w:t>Concluding Observations on the third periodic report of Jordan</w:t>
      </w:r>
      <w:r w:rsidRPr="00031A5D">
        <w:rPr>
          <w:rFonts w:ascii="Roboto" w:hAnsi="Roboto"/>
          <w:sz w:val="18"/>
          <w:szCs w:val="18"/>
        </w:rPr>
        <w:t xml:space="preserve">, 29 January 2016, UN Doc. CAT/JOR/CO/3, para. 24; Committee Against Torture, </w:t>
      </w:r>
      <w:r w:rsidRPr="00031A5D">
        <w:rPr>
          <w:rFonts w:ascii="Roboto" w:hAnsi="Roboto"/>
          <w:i/>
          <w:iCs/>
          <w:sz w:val="18"/>
          <w:szCs w:val="18"/>
        </w:rPr>
        <w:t>List of issues prior to submission of the fourth periodic report of Jordan</w:t>
      </w:r>
      <w:r w:rsidRPr="00031A5D">
        <w:rPr>
          <w:rFonts w:ascii="Roboto" w:hAnsi="Roboto"/>
          <w:sz w:val="18"/>
          <w:szCs w:val="18"/>
        </w:rPr>
        <w:t xml:space="preserve">, 13 June 2018, UN Doc. CAT/C/JOR/QPR/4, </w:t>
      </w:r>
      <w:hyperlink r:id="rId12" w:tooltip="https://docstore.ohchr.org/SelfServices/FilesHandler.ashx?enc=6QkG1d%2FPPRiCAqhKb7yhsuoO1aAYJ6VmNP4LonUL9sirGNBx0BDPQylFzMNh%2BBP5a%2FrMh8QqsqtzGhsW21L8Tz%2BXBoT7mChZucEBmnpWUgj6%2FaQhEPGbT7x5z6tA%2FzVB" w:history="1">
        <w:r w:rsidRPr="00031A5D">
          <w:rPr>
            <w:rStyle w:val="Hyperlink"/>
            <w:rFonts w:ascii="Roboto" w:hAnsi="Roboto"/>
            <w:sz w:val="18"/>
            <w:szCs w:val="18"/>
          </w:rPr>
          <w:t>https://docstore.ohchr.org/SelfServices/FilesHandler.ashx?enc=6QkG1d%2FPPRiCAqhKb7yhsuoO1aAYJ6VmNP4LonUL9sirGNBx0BDPQylFzMNh%2BBP5a%2FrMh8QqsqtzGhsW21L8Tz%2BXBoT7mChZucEBmnpWUgj6%2FaQhEPGbT7x5z6tA%2FzVB</w:t>
        </w:r>
      </w:hyperlink>
      <w:r w:rsidRPr="00031A5D">
        <w:rPr>
          <w:rStyle w:val="Hyperlink"/>
          <w:rFonts w:ascii="Roboto" w:hAnsi="Roboto"/>
          <w:sz w:val="18"/>
          <w:szCs w:val="18"/>
        </w:rPr>
        <w:t xml:space="preserve"> </w:t>
      </w:r>
      <w:r w:rsidRPr="00031A5D">
        <w:rPr>
          <w:rFonts w:ascii="Roboto" w:hAnsi="Roboto"/>
          <w:sz w:val="18"/>
          <w:szCs w:val="18"/>
        </w:rPr>
        <w:t>(accessed 25 September 2024), para. 29 (b).</w:t>
      </w:r>
    </w:p>
  </w:footnote>
  <w:footnote w:id="19">
    <w:p w14:paraId="3DF82F87"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U.S. Department of State, </w:t>
      </w:r>
      <w:r w:rsidRPr="00031A5D">
        <w:rPr>
          <w:rFonts w:ascii="Roboto" w:hAnsi="Roboto"/>
          <w:i/>
          <w:iCs/>
          <w:sz w:val="18"/>
          <w:szCs w:val="18"/>
        </w:rPr>
        <w:t>2023 Country Reports on Human Rights Practices: Jordan</w:t>
      </w:r>
      <w:r w:rsidRPr="00031A5D">
        <w:rPr>
          <w:rFonts w:ascii="Roboto" w:hAnsi="Roboto"/>
          <w:sz w:val="18"/>
          <w:szCs w:val="18"/>
        </w:rPr>
        <w:t xml:space="preserve">, 2023, </w:t>
      </w:r>
      <w:hyperlink r:id="rId13" w:tooltip="https://www.state.gov/reports/2023-country-reports-on-human-rights-practices/jordan/" w:history="1">
        <w:r w:rsidRPr="00031A5D">
          <w:rPr>
            <w:rStyle w:val="Hyperlink"/>
            <w:rFonts w:ascii="Roboto" w:hAnsi="Roboto"/>
            <w:sz w:val="18"/>
            <w:szCs w:val="18"/>
          </w:rPr>
          <w:t>https://www.state.gov/reports/2023-country-reports-on-human-rights-practices/jordan/</w:t>
        </w:r>
      </w:hyperlink>
      <w:r w:rsidRPr="00031A5D">
        <w:rPr>
          <w:rFonts w:ascii="Roboto" w:hAnsi="Roboto"/>
          <w:sz w:val="18"/>
          <w:szCs w:val="18"/>
        </w:rPr>
        <w:t xml:space="preserve"> (accessed 25 September 2024), para. C.</w:t>
      </w:r>
    </w:p>
  </w:footnote>
  <w:footnote w:id="20">
    <w:p w14:paraId="754434C4"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Committee Against Torture, </w:t>
      </w:r>
      <w:r w:rsidRPr="00031A5D">
        <w:rPr>
          <w:rFonts w:ascii="Roboto" w:hAnsi="Roboto"/>
          <w:i/>
          <w:iCs/>
          <w:sz w:val="18"/>
          <w:szCs w:val="18"/>
        </w:rPr>
        <w:t>List of issues prior to submission of the fourth periodic report of Jordan</w:t>
      </w:r>
      <w:r w:rsidRPr="00031A5D">
        <w:rPr>
          <w:rFonts w:ascii="Roboto" w:hAnsi="Roboto"/>
          <w:sz w:val="18"/>
          <w:szCs w:val="18"/>
        </w:rPr>
        <w:t xml:space="preserve">, 13 June 2018, UN Doc. CAT/C/JOR/QPR/4, </w:t>
      </w:r>
      <w:hyperlink r:id="rId14" w:tooltip="https://docstore.ohchr.org/SelfServices/FilesHandler.ashx?enc=6QkG1d%2FPPRiCAqhKb7yhsuoO1aAYJ6VmNP4LonUL9sirGNBx0BDPQylFzMNh%2BBP5a%2FrMh8QqsqtzGhsW21L8Tz%2BXBoT7mChZucEBmnpWUgj6%2FaQhEPGbT7x5z6tA%2FzVB" w:history="1">
        <w:r w:rsidRPr="00031A5D">
          <w:rPr>
            <w:rStyle w:val="Hyperlink"/>
            <w:rFonts w:ascii="Roboto" w:hAnsi="Roboto"/>
            <w:sz w:val="18"/>
            <w:szCs w:val="18"/>
          </w:rPr>
          <w:t>https://docstore.ohchr.org/SelfServices/FilesHandler.ashx?enc=6QkG1d%2FPPRiCAqhKb7yhsuoO1aAYJ6VmNP4LonUL9sirGNBx0BDPQylFzMNh%2BBP5a%2FrMh8QqsqtzGhsW21L8Tz%2BXBoT7mChZucEBmnpWUgj6%2FaQhEPGbT7x5z6tA%2FzVB</w:t>
        </w:r>
      </w:hyperlink>
      <w:r w:rsidRPr="00031A5D">
        <w:rPr>
          <w:rFonts w:ascii="Roboto" w:hAnsi="Roboto"/>
          <w:sz w:val="18"/>
          <w:szCs w:val="18"/>
        </w:rPr>
        <w:t xml:space="preserve"> (accessed 21 August 2024), para. 4.</w:t>
      </w:r>
    </w:p>
  </w:footnote>
  <w:footnote w:id="21">
    <w:p w14:paraId="54A94487" w14:textId="77777777" w:rsidR="00FA7A82" w:rsidRPr="00031A5D" w:rsidRDefault="00000000" w:rsidP="00031A5D">
      <w:pPr>
        <w:pStyle w:val="FootnoteText"/>
        <w:jc w:val="both"/>
        <w:rPr>
          <w:rFonts w:ascii="Roboto" w:hAnsi="Roboto"/>
          <w:b/>
          <w:bCs/>
          <w:sz w:val="18"/>
          <w:szCs w:val="18"/>
        </w:rPr>
      </w:pPr>
      <w:r w:rsidRPr="00031A5D">
        <w:rPr>
          <w:rStyle w:val="FootnoteReference"/>
          <w:rFonts w:ascii="Roboto" w:hAnsi="Roboto"/>
          <w:sz w:val="18"/>
          <w:szCs w:val="18"/>
        </w:rPr>
        <w:footnoteRef/>
      </w:r>
      <w:r w:rsidRPr="00031A5D">
        <w:rPr>
          <w:rFonts w:ascii="Roboto" w:hAnsi="Roboto"/>
          <w:sz w:val="18"/>
          <w:szCs w:val="18"/>
        </w:rPr>
        <w:t xml:space="preserve"> </w:t>
      </w:r>
      <w:r w:rsidRPr="00031A5D">
        <w:rPr>
          <w:rFonts w:ascii="Roboto" w:hAnsi="Roboto"/>
          <w:sz w:val="18"/>
          <w:szCs w:val="18"/>
          <w:lang w:val="en-US"/>
        </w:rPr>
        <w:t xml:space="preserve">Committee Against Torture, </w:t>
      </w:r>
      <w:r w:rsidRPr="00031A5D">
        <w:rPr>
          <w:rFonts w:ascii="Roboto" w:hAnsi="Roboto"/>
          <w:i/>
          <w:iCs/>
          <w:sz w:val="18"/>
          <w:szCs w:val="18"/>
        </w:rPr>
        <w:t>Fourth periodic report submitted by Jordan under article 19 of the Convention pursuant to the simplified reporting procedure, due in 2019</w:t>
      </w:r>
      <w:r w:rsidRPr="00031A5D">
        <w:rPr>
          <w:rFonts w:ascii="Roboto" w:hAnsi="Roboto"/>
          <w:sz w:val="18"/>
          <w:szCs w:val="18"/>
        </w:rPr>
        <w:t xml:space="preserve">, 21 December 2021, UN Doc. CAT/C/JOR/4, </w:t>
      </w:r>
      <w:hyperlink r:id="rId15" w:tooltip="https://docstore.ohchr.org/SelfServices/FilesHandler.ashx?enc=6QkG1d%2FPPRiCAqhKb7yhsuoO1aAYJ6VmNP4LonUL9si%2F6BRpobGHFNy2xW5%2BmLqKH9vcnfYrVk8kUOJb%2BBauqXGSNlarSqeb%2BP%2FZEfv7JDfA8DjIHm3bys7hB5acwHqC" w:history="1">
        <w:r w:rsidRPr="00031A5D">
          <w:rPr>
            <w:rStyle w:val="Hyperlink"/>
            <w:rFonts w:ascii="Roboto" w:hAnsi="Roboto"/>
            <w:sz w:val="18"/>
            <w:szCs w:val="18"/>
          </w:rPr>
          <w:t>https://docstore.ohchr.org/SelfServices/FilesHandler.ashx?enc=6QkG1d%2FPPRiCAqhKb7yhsuoO1aAYJ6VmNP4LonUL9si%2F6BRpobGHFNy2xW5%2BmLqKH9vcnfYrVk8kUOJb%2BBauqXGSNlarSqeb%2BP%2FZEfv7JDfA8DjIHm3bys7hB5acwHqC</w:t>
        </w:r>
      </w:hyperlink>
      <w:r w:rsidRPr="00031A5D">
        <w:rPr>
          <w:rFonts w:ascii="Roboto" w:hAnsi="Roboto"/>
          <w:sz w:val="18"/>
          <w:szCs w:val="18"/>
        </w:rPr>
        <w:t xml:space="preserve"> (accessed 21 August 2024), para. 13.</w:t>
      </w:r>
    </w:p>
  </w:footnote>
  <w:footnote w:id="22">
    <w:p w14:paraId="7CB6DC83" w14:textId="6BD34AA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004025BC" w:rsidRPr="00031A5D">
        <w:rPr>
          <w:rFonts w:ascii="Roboto" w:hAnsi="Roboto"/>
          <w:sz w:val="18"/>
          <w:szCs w:val="18"/>
        </w:rPr>
        <w:t xml:space="preserve"> </w:t>
      </w:r>
      <w:proofErr w:type="spellStart"/>
      <w:r w:rsidRPr="00031A5D">
        <w:rPr>
          <w:rFonts w:ascii="Roboto" w:hAnsi="Roboto"/>
          <w:sz w:val="18"/>
          <w:szCs w:val="18"/>
        </w:rPr>
        <w:t>Alkarama</w:t>
      </w:r>
      <w:proofErr w:type="spellEnd"/>
      <w:r w:rsidRPr="00031A5D">
        <w:rPr>
          <w:rFonts w:ascii="Roboto" w:hAnsi="Roboto"/>
          <w:sz w:val="18"/>
          <w:szCs w:val="18"/>
        </w:rPr>
        <w:t xml:space="preserve">, </w:t>
      </w:r>
      <w:r w:rsidRPr="00031A5D">
        <w:rPr>
          <w:rFonts w:ascii="Roboto" w:hAnsi="Roboto"/>
          <w:i/>
          <w:iCs/>
          <w:sz w:val="18"/>
          <w:szCs w:val="18"/>
        </w:rPr>
        <w:t>Jordan: Shadow report to UN Human Rights Committee highlights human rights abuses in name of counterterrorism</w:t>
      </w:r>
      <w:r w:rsidRPr="00031A5D">
        <w:rPr>
          <w:rFonts w:ascii="Roboto" w:hAnsi="Roboto"/>
          <w:sz w:val="18"/>
          <w:szCs w:val="18"/>
        </w:rPr>
        <w:t>, 18 September 2017,</w:t>
      </w:r>
    </w:p>
    <w:p w14:paraId="0E3675E5" w14:textId="77777777" w:rsidR="00FA7A82" w:rsidRPr="00031A5D" w:rsidRDefault="00000000" w:rsidP="00031A5D">
      <w:pPr>
        <w:pStyle w:val="FootnoteText"/>
        <w:jc w:val="both"/>
        <w:rPr>
          <w:rFonts w:ascii="Roboto" w:hAnsi="Roboto"/>
          <w:sz w:val="18"/>
          <w:szCs w:val="18"/>
        </w:rPr>
      </w:pPr>
      <w:hyperlink r:id="rId16" w:tooltip="https://www.alkarama.org/en/articles/jordan-shadow-report-un-human-rights-committee-highlights-human-rights-abuses-name" w:history="1">
        <w:r w:rsidRPr="00031A5D">
          <w:rPr>
            <w:rStyle w:val="Hyperlink"/>
            <w:rFonts w:ascii="Roboto" w:hAnsi="Roboto"/>
            <w:sz w:val="18"/>
            <w:szCs w:val="18"/>
          </w:rPr>
          <w:t>https://www.alkarama.org/en/articles/jordan-shadow-report-un-human-rights-committee-highlights-human-rights-abuses-name</w:t>
        </w:r>
      </w:hyperlink>
      <w:r w:rsidRPr="00031A5D">
        <w:rPr>
          <w:rFonts w:ascii="Roboto" w:hAnsi="Roboto"/>
          <w:sz w:val="18"/>
          <w:szCs w:val="18"/>
        </w:rPr>
        <w:t xml:space="preserve"> (accessed 23 September 2024), p. 8.</w:t>
      </w:r>
    </w:p>
  </w:footnote>
  <w:footnote w:id="23">
    <w:p w14:paraId="3216C7A9" w14:textId="5FE41A8F" w:rsidR="006F5AA4" w:rsidRPr="00031A5D" w:rsidRDefault="006F5AA4" w:rsidP="00031A5D">
      <w:pPr>
        <w:pStyle w:val="FootnoteText"/>
        <w:jc w:val="both"/>
        <w:rPr>
          <w:rFonts w:ascii="Roboto" w:hAnsi="Roboto"/>
          <w:sz w:val="18"/>
          <w:szCs w:val="18"/>
          <w:lang w:val="en-US"/>
        </w:rPr>
      </w:pPr>
      <w:r w:rsidRPr="00031A5D">
        <w:rPr>
          <w:rStyle w:val="FootnoteReference"/>
          <w:rFonts w:ascii="Roboto" w:hAnsi="Roboto"/>
          <w:sz w:val="18"/>
          <w:szCs w:val="18"/>
        </w:rPr>
        <w:footnoteRef/>
      </w:r>
      <w:r w:rsidRPr="00031A5D">
        <w:rPr>
          <w:rFonts w:ascii="Roboto" w:hAnsi="Roboto"/>
          <w:sz w:val="18"/>
          <w:szCs w:val="18"/>
        </w:rPr>
        <w:t xml:space="preserve"> </w:t>
      </w:r>
      <w:r w:rsidR="00EA7E50" w:rsidRPr="00031A5D">
        <w:rPr>
          <w:rFonts w:ascii="Roboto" w:hAnsi="Roboto"/>
          <w:sz w:val="18"/>
          <w:szCs w:val="18"/>
        </w:rPr>
        <w:t>A</w:t>
      </w:r>
      <w:r w:rsidRPr="00031A5D">
        <w:rPr>
          <w:rFonts w:ascii="Roboto" w:hAnsi="Roboto"/>
          <w:sz w:val="18"/>
          <w:szCs w:val="18"/>
        </w:rPr>
        <w:t xml:space="preserve">rticle 110 of the </w:t>
      </w:r>
      <w:r w:rsidRPr="009679A4">
        <w:rPr>
          <w:rFonts w:ascii="Roboto" w:hAnsi="Roboto"/>
          <w:sz w:val="18"/>
          <w:szCs w:val="18"/>
        </w:rPr>
        <w:t>Code of Criminal Procedure</w:t>
      </w:r>
      <w:r w:rsidR="00B95260" w:rsidRPr="00031A5D">
        <w:rPr>
          <w:rFonts w:ascii="Roboto" w:hAnsi="Roboto"/>
          <w:sz w:val="18"/>
          <w:szCs w:val="18"/>
        </w:rPr>
        <w:t>.</w:t>
      </w:r>
    </w:p>
  </w:footnote>
  <w:footnote w:id="24">
    <w:p w14:paraId="0C4A3A8B" w14:textId="38EC3F60" w:rsidR="00E87FE3" w:rsidRPr="00031A5D" w:rsidRDefault="00E87FE3" w:rsidP="00031A5D">
      <w:pPr>
        <w:pStyle w:val="FootnoteText"/>
        <w:jc w:val="both"/>
        <w:rPr>
          <w:rFonts w:ascii="Roboto" w:hAnsi="Roboto"/>
          <w:sz w:val="18"/>
          <w:szCs w:val="18"/>
          <w:lang w:val="en-US"/>
        </w:rPr>
      </w:pPr>
      <w:r w:rsidRPr="00031A5D">
        <w:rPr>
          <w:rStyle w:val="FootnoteReference"/>
          <w:rFonts w:ascii="Roboto" w:hAnsi="Roboto"/>
          <w:sz w:val="18"/>
          <w:szCs w:val="18"/>
        </w:rPr>
        <w:footnoteRef/>
      </w:r>
      <w:r w:rsidRPr="00031A5D">
        <w:rPr>
          <w:rFonts w:ascii="Roboto" w:hAnsi="Roboto"/>
          <w:sz w:val="18"/>
          <w:szCs w:val="18"/>
        </w:rPr>
        <w:t xml:space="preserve"> </w:t>
      </w:r>
      <w:r w:rsidRPr="00031A5D">
        <w:rPr>
          <w:rFonts w:ascii="Roboto" w:hAnsi="Roboto"/>
          <w:sz w:val="18"/>
          <w:szCs w:val="18"/>
        </w:rPr>
        <w:t>Article 7(b)(1) of the State Security Court Law.</w:t>
      </w:r>
    </w:p>
  </w:footnote>
  <w:footnote w:id="25">
    <w:p w14:paraId="5A557FAC" w14:textId="77777777" w:rsidR="00FA7A82" w:rsidRPr="00031A5D" w:rsidRDefault="00000000" w:rsidP="00031A5D">
      <w:pPr>
        <w:pStyle w:val="FootnoteText"/>
        <w:jc w:val="both"/>
        <w:rPr>
          <w:rFonts w:ascii="Roboto" w:hAnsi="Roboto"/>
          <w:sz w:val="18"/>
          <w:szCs w:val="18"/>
          <w:lang w:val="en-US"/>
        </w:rPr>
      </w:pPr>
      <w:r w:rsidRPr="00031A5D">
        <w:rPr>
          <w:rStyle w:val="FootnoteReference"/>
          <w:rFonts w:ascii="Roboto" w:hAnsi="Roboto"/>
          <w:sz w:val="18"/>
          <w:szCs w:val="18"/>
        </w:rPr>
        <w:footnoteRef/>
      </w:r>
      <w:r w:rsidRPr="00031A5D">
        <w:rPr>
          <w:rFonts w:ascii="Roboto" w:hAnsi="Roboto"/>
          <w:sz w:val="18"/>
          <w:szCs w:val="18"/>
        </w:rPr>
        <w:t xml:space="preserve"> Article 63(1) of the Criminal Code of Procedure.</w:t>
      </w:r>
    </w:p>
  </w:footnote>
  <w:footnote w:id="26">
    <w:p w14:paraId="1D0FCD24"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Article 64 of the Criminal Code of Procedure.</w:t>
      </w:r>
    </w:p>
  </w:footnote>
  <w:footnote w:id="27">
    <w:p w14:paraId="023DA7E3" w14:textId="77777777" w:rsidR="00FA7A82" w:rsidRPr="00031A5D" w:rsidRDefault="00000000" w:rsidP="00031A5D">
      <w:pPr>
        <w:pBdr>
          <w:top w:val="none" w:sz="4" w:space="0" w:color="000000"/>
          <w:left w:val="none" w:sz="4" w:space="0" w:color="000000"/>
          <w:bottom w:val="none" w:sz="4" w:space="0" w:color="000000"/>
          <w:right w:val="none" w:sz="4" w:space="0" w:color="000000"/>
          <w:between w:val="none" w:sz="4" w:space="0" w:color="000000"/>
        </w:pBdr>
        <w:spacing w:before="0" w:after="40" w:line="240" w:lineRule="auto"/>
        <w:jc w:val="both"/>
        <w:rPr>
          <w:rFonts w:ascii="Roboto" w:hAnsi="Roboto"/>
          <w:color w:val="000000"/>
          <w:sz w:val="18"/>
          <w:szCs w:val="18"/>
        </w:rPr>
      </w:pPr>
      <w:r w:rsidRPr="00031A5D">
        <w:rPr>
          <w:rFonts w:ascii="Roboto" w:hAnsi="Roboto"/>
          <w:sz w:val="18"/>
          <w:szCs w:val="18"/>
          <w:vertAlign w:val="superscript"/>
        </w:rPr>
        <w:footnoteRef/>
      </w:r>
      <w:r w:rsidRPr="00031A5D">
        <w:rPr>
          <w:rFonts w:ascii="Roboto" w:hAnsi="Roboto"/>
          <w:color w:val="000000"/>
          <w:sz w:val="18"/>
          <w:szCs w:val="18"/>
        </w:rPr>
        <w:t xml:space="preserve"> See Fatima </w:t>
      </w:r>
      <w:proofErr w:type="spellStart"/>
      <w:r w:rsidRPr="00031A5D">
        <w:rPr>
          <w:rFonts w:ascii="Roboto" w:hAnsi="Roboto"/>
          <w:color w:val="000000"/>
          <w:sz w:val="18"/>
          <w:szCs w:val="18"/>
        </w:rPr>
        <w:t>Shubeilat’s</w:t>
      </w:r>
      <w:proofErr w:type="spellEnd"/>
      <w:r w:rsidRPr="00031A5D">
        <w:rPr>
          <w:rFonts w:ascii="Roboto" w:hAnsi="Roboto"/>
          <w:color w:val="000000"/>
          <w:sz w:val="18"/>
          <w:szCs w:val="18"/>
        </w:rPr>
        <w:t xml:space="preserve"> family’s statement about her arrest, accessible here: Laith </w:t>
      </w:r>
      <w:proofErr w:type="spellStart"/>
      <w:r w:rsidRPr="00031A5D">
        <w:rPr>
          <w:rFonts w:ascii="Roboto" w:hAnsi="Roboto"/>
          <w:color w:val="000000"/>
          <w:sz w:val="18"/>
          <w:szCs w:val="18"/>
        </w:rPr>
        <w:t>Shubeilat</w:t>
      </w:r>
      <w:proofErr w:type="spellEnd"/>
      <w:r w:rsidRPr="00031A5D">
        <w:rPr>
          <w:rFonts w:ascii="Roboto" w:hAnsi="Roboto"/>
          <w:color w:val="000000"/>
          <w:sz w:val="18"/>
          <w:szCs w:val="18"/>
        </w:rPr>
        <w:t xml:space="preserve"> Facebook account, 22 April 2024, </w:t>
      </w:r>
      <w:hyperlink r:id="rId17" w:tooltip="https://www.facebook.com/laith.shubeilat/posts/975572030600611?ref=embed_post" w:history="1">
        <w:r w:rsidRPr="00031A5D">
          <w:rPr>
            <w:rFonts w:ascii="Roboto" w:hAnsi="Roboto"/>
            <w:color w:val="0066FF"/>
            <w:sz w:val="18"/>
            <w:szCs w:val="18"/>
            <w:u w:val="single"/>
          </w:rPr>
          <w:t>https://www.facebook.com/laith.shubeilat/posts/975572030600611?ref=embed_post</w:t>
        </w:r>
      </w:hyperlink>
      <w:r w:rsidRPr="00031A5D">
        <w:rPr>
          <w:rFonts w:ascii="Roboto" w:hAnsi="Roboto"/>
          <w:color w:val="000000"/>
          <w:sz w:val="18"/>
          <w:szCs w:val="18"/>
        </w:rPr>
        <w:t xml:space="preserve"> (accessed 29 April 2024).</w:t>
      </w:r>
    </w:p>
  </w:footnote>
  <w:footnote w:id="28">
    <w:p w14:paraId="125E5FB9" w14:textId="77777777" w:rsidR="00FA7A82" w:rsidRPr="00031A5D" w:rsidRDefault="00000000" w:rsidP="00031A5D">
      <w:pPr>
        <w:pStyle w:val="FootnoteText"/>
        <w:jc w:val="both"/>
        <w:rPr>
          <w:rFonts w:ascii="Roboto" w:hAnsi="Roboto"/>
          <w:sz w:val="18"/>
          <w:szCs w:val="18"/>
          <w:lang w:val="en-US"/>
        </w:rPr>
      </w:pPr>
      <w:r w:rsidRPr="00031A5D">
        <w:rPr>
          <w:rStyle w:val="FootnoteReference"/>
          <w:rFonts w:ascii="Roboto" w:hAnsi="Roboto"/>
          <w:sz w:val="18"/>
          <w:szCs w:val="18"/>
        </w:rPr>
        <w:footnoteRef/>
      </w:r>
      <w:r w:rsidRPr="00031A5D">
        <w:rPr>
          <w:rFonts w:ascii="Roboto" w:hAnsi="Roboto"/>
          <w:sz w:val="18"/>
          <w:szCs w:val="18"/>
        </w:rPr>
        <w:t xml:space="preserve"> </w:t>
      </w:r>
      <w:r w:rsidRPr="00031A5D">
        <w:rPr>
          <w:rFonts w:ascii="Roboto" w:hAnsi="Roboto"/>
          <w:sz w:val="18"/>
          <w:szCs w:val="18"/>
          <w:lang w:val="en-US"/>
        </w:rPr>
        <w:t xml:space="preserve">Amnesty </w:t>
      </w:r>
      <w:proofErr w:type="spellStart"/>
      <w:r w:rsidRPr="00031A5D">
        <w:rPr>
          <w:rFonts w:ascii="Roboto" w:hAnsi="Roboto"/>
          <w:sz w:val="18"/>
          <w:szCs w:val="18"/>
          <w:lang w:val="en-US"/>
        </w:rPr>
        <w:t>Interational</w:t>
      </w:r>
      <w:proofErr w:type="spellEnd"/>
      <w:r w:rsidRPr="00031A5D">
        <w:rPr>
          <w:rFonts w:ascii="Roboto" w:hAnsi="Roboto"/>
          <w:sz w:val="18"/>
          <w:szCs w:val="18"/>
          <w:lang w:val="en-US"/>
        </w:rPr>
        <w:t xml:space="preserve">, </w:t>
      </w:r>
      <w:r w:rsidRPr="00031A5D">
        <w:rPr>
          <w:rFonts w:ascii="Roboto" w:hAnsi="Roboto"/>
          <w:i/>
          <w:iCs/>
          <w:sz w:val="18"/>
          <w:szCs w:val="18"/>
          <w:lang w:val="en-US"/>
        </w:rPr>
        <w:t>Jordan: New Cybercrimes Law stifling freedom of expression one year on</w:t>
      </w:r>
      <w:r w:rsidRPr="00031A5D">
        <w:rPr>
          <w:rFonts w:ascii="Roboto" w:hAnsi="Roboto"/>
          <w:sz w:val="18"/>
          <w:szCs w:val="18"/>
          <w:lang w:val="en-US"/>
        </w:rPr>
        <w:t xml:space="preserve">, 13 August 2024, </w:t>
      </w:r>
      <w:hyperlink r:id="rId18" w:tooltip="https://www.amnesty.org/en/latest/news/2024/08/jordan-new-cybercrimes-law-stifling-freedom-of-expression-one-year-on/" w:history="1">
        <w:r w:rsidRPr="00031A5D">
          <w:rPr>
            <w:rStyle w:val="Hyperlink"/>
            <w:rFonts w:ascii="Roboto" w:hAnsi="Roboto"/>
            <w:sz w:val="18"/>
            <w:szCs w:val="18"/>
            <w:lang w:val="en-US"/>
          </w:rPr>
          <w:t>https://www.amnesty.org/en/latest/news/2024/08/jordan-new-cybercrimes-law-stifling-freedom-of-expression-one-year-on/</w:t>
        </w:r>
      </w:hyperlink>
      <w:r w:rsidRPr="00031A5D">
        <w:rPr>
          <w:rFonts w:ascii="Roboto" w:hAnsi="Roboto"/>
          <w:sz w:val="18"/>
          <w:szCs w:val="18"/>
          <w:lang w:val="en-US"/>
        </w:rPr>
        <w:t xml:space="preserve"> (accessed 25 September 2024).</w:t>
      </w:r>
    </w:p>
  </w:footnote>
  <w:footnote w:id="29">
    <w:p w14:paraId="498AEEC9"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Committee Against Torture, </w:t>
      </w:r>
      <w:r w:rsidRPr="00031A5D">
        <w:rPr>
          <w:rFonts w:ascii="Roboto" w:hAnsi="Roboto"/>
          <w:i/>
          <w:iCs/>
          <w:sz w:val="18"/>
          <w:szCs w:val="18"/>
        </w:rPr>
        <w:t>List of issues prior to submission of the fourth periodic report of Jordan</w:t>
      </w:r>
      <w:r w:rsidRPr="00031A5D">
        <w:rPr>
          <w:rFonts w:ascii="Roboto" w:hAnsi="Roboto"/>
          <w:sz w:val="18"/>
          <w:szCs w:val="18"/>
        </w:rPr>
        <w:t xml:space="preserve">, 13 June 2018, UN Doc. CAT/C/JOR/QPR/4, </w:t>
      </w:r>
      <w:hyperlink r:id="rId19" w:tooltip="https://docstore.ohchr.org/SelfServices/FilesHandler.ashx?enc=6QkG1d%2FPPRiCAqhKb7yhsuoO1aAYJ6VmNP4LonUL9sirGNBx0BDPQylFzMNh%2BBP5a%2FrMh8QqsqtzGhsW21L8Tz%2BXBoT7mChZucEBmnpWUgj6%2FaQhEPGbT7x5z6tA%2FzVB" w:history="1">
        <w:r w:rsidRPr="00031A5D">
          <w:rPr>
            <w:rStyle w:val="Hyperlink"/>
            <w:rFonts w:ascii="Roboto" w:hAnsi="Roboto"/>
            <w:sz w:val="18"/>
            <w:szCs w:val="18"/>
          </w:rPr>
          <w:t>https://docstore.ohchr.org/SelfServices/FilesHandler.ashx?enc=6QkG1d%2FPPRiCAqhKb7yhsuoO1aAYJ6VmNP4LonUL9sirGNBx0BDPQylFzMNh%2BBP5a%2FrMh8QqsqtzGhsW21L8Tz%2BXBoT7mChZucEBmnpWUgj6%2FaQhEPGbT7x5z6tA%2FzVB</w:t>
        </w:r>
      </w:hyperlink>
      <w:r w:rsidRPr="00031A5D">
        <w:rPr>
          <w:rFonts w:ascii="Roboto" w:hAnsi="Roboto"/>
          <w:sz w:val="18"/>
          <w:szCs w:val="18"/>
        </w:rPr>
        <w:t xml:space="preserve"> (accessed 21 August 2024), para. 8.</w:t>
      </w:r>
    </w:p>
  </w:footnote>
  <w:footnote w:id="30">
    <w:p w14:paraId="71F776CC"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Committee against Torture, </w:t>
      </w:r>
      <w:r w:rsidRPr="00031A5D">
        <w:rPr>
          <w:rFonts w:ascii="Roboto" w:hAnsi="Roboto"/>
          <w:i/>
          <w:iCs/>
          <w:sz w:val="18"/>
          <w:szCs w:val="18"/>
        </w:rPr>
        <w:t>Concluding Observations on the third periodic report of Jordan</w:t>
      </w:r>
      <w:r w:rsidRPr="00031A5D">
        <w:rPr>
          <w:rFonts w:ascii="Roboto" w:hAnsi="Roboto"/>
          <w:sz w:val="18"/>
          <w:szCs w:val="18"/>
        </w:rPr>
        <w:t>, 29 January 2016, UN Doc. CAT/JOR/CO/3, para. 21.</w:t>
      </w:r>
    </w:p>
  </w:footnote>
  <w:footnote w:id="31">
    <w:p w14:paraId="3D9571E3"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Committee Against Torture, </w:t>
      </w:r>
      <w:r w:rsidRPr="00031A5D">
        <w:rPr>
          <w:rFonts w:ascii="Roboto" w:hAnsi="Roboto"/>
          <w:i/>
          <w:iCs/>
          <w:sz w:val="18"/>
          <w:szCs w:val="18"/>
        </w:rPr>
        <w:t>List of issues prior to submission of the fourth periodic report of Jordan</w:t>
      </w:r>
      <w:r w:rsidRPr="00031A5D">
        <w:rPr>
          <w:rFonts w:ascii="Roboto" w:hAnsi="Roboto"/>
          <w:sz w:val="18"/>
          <w:szCs w:val="18"/>
        </w:rPr>
        <w:t xml:space="preserve">, 13 June 2018, UN Doc. CAT/C/JOR/QPR/4, </w:t>
      </w:r>
      <w:hyperlink r:id="rId20" w:tooltip="https://docstore.ohchr.org/SelfServices/FilesHandler.ashx?enc=6QkG1d%2FPPRiCAqhKb7yhsuoO1aAYJ6VmNP4LonUL9sirGNBx0BDPQylFzMNh%2BBP5a%2FrMh8QqsqtzGhsW21L8Tz%2BXBoT7mChZucEBmnpWUgj6%2FaQhEPGbT7x5z6tA%2FzVB" w:history="1">
        <w:r w:rsidRPr="00031A5D">
          <w:rPr>
            <w:rStyle w:val="Hyperlink"/>
            <w:rFonts w:ascii="Roboto" w:hAnsi="Roboto"/>
            <w:sz w:val="18"/>
            <w:szCs w:val="18"/>
          </w:rPr>
          <w:t>https://docstore.ohchr.org/SelfServices/FilesHandler.ashx?enc=6QkG1d%2FPPRiCAqhKb7yhsuoO1aAYJ6VmNP4LonUL9sirGNBx0BDPQylFzMNh%2BBP5a%2FrMh8QqsqtzGhsW21L8Tz%2BXBoT7mChZucEBmnpWUgj6%2FaQhEPGbT7x5z6tA%2FzVB</w:t>
        </w:r>
      </w:hyperlink>
      <w:r w:rsidRPr="00031A5D">
        <w:rPr>
          <w:rFonts w:ascii="Roboto" w:hAnsi="Roboto"/>
          <w:sz w:val="18"/>
          <w:szCs w:val="18"/>
        </w:rPr>
        <w:t xml:space="preserve"> (accessed 21 August 2024), para. 8.</w:t>
      </w:r>
    </w:p>
  </w:footnote>
  <w:footnote w:id="32">
    <w:p w14:paraId="293EDC05"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Committee against Torture, </w:t>
      </w:r>
      <w:r w:rsidRPr="00031A5D">
        <w:rPr>
          <w:rFonts w:ascii="Roboto" w:hAnsi="Roboto"/>
          <w:i/>
          <w:iCs/>
          <w:sz w:val="18"/>
          <w:szCs w:val="18"/>
        </w:rPr>
        <w:t>Concluding Observations on the third periodic report of Jordan</w:t>
      </w:r>
      <w:r w:rsidRPr="00031A5D">
        <w:rPr>
          <w:rFonts w:ascii="Roboto" w:hAnsi="Roboto"/>
          <w:sz w:val="18"/>
          <w:szCs w:val="18"/>
        </w:rPr>
        <w:t>, 29 January 2016, UN Doc. CAT/JOR/CO/3, para. 21.</w:t>
      </w:r>
    </w:p>
  </w:footnote>
  <w:footnote w:id="33">
    <w:p w14:paraId="6B8B7B63"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Human Rights Watch, </w:t>
      </w:r>
      <w:r w:rsidRPr="00031A5D">
        <w:rPr>
          <w:rFonts w:ascii="Roboto" w:hAnsi="Roboto"/>
          <w:i/>
          <w:iCs/>
          <w:sz w:val="18"/>
          <w:szCs w:val="18"/>
        </w:rPr>
        <w:t>Jordan: events of 2022</w:t>
      </w:r>
      <w:r w:rsidRPr="00031A5D">
        <w:rPr>
          <w:rFonts w:ascii="Roboto" w:hAnsi="Roboto"/>
          <w:sz w:val="18"/>
          <w:szCs w:val="18"/>
        </w:rPr>
        <w:t xml:space="preserve">, </w:t>
      </w:r>
      <w:hyperlink r:id="rId21" w:tooltip="https://www.hrw.org/world-report/2023/country-chapters/jordan" w:history="1">
        <w:r w:rsidRPr="00031A5D">
          <w:rPr>
            <w:rStyle w:val="Hyperlink"/>
            <w:rFonts w:ascii="Roboto" w:hAnsi="Roboto"/>
            <w:sz w:val="18"/>
            <w:szCs w:val="18"/>
          </w:rPr>
          <w:t>https://www.hrw.org/world-report/2023/country-chapters/jordan</w:t>
        </w:r>
      </w:hyperlink>
      <w:r w:rsidRPr="00031A5D">
        <w:rPr>
          <w:rFonts w:ascii="Roboto" w:hAnsi="Roboto"/>
          <w:sz w:val="18"/>
          <w:szCs w:val="18"/>
        </w:rPr>
        <w:t xml:space="preserve"> (accessed 25 September 2024).</w:t>
      </w:r>
    </w:p>
  </w:footnote>
  <w:footnote w:id="34">
    <w:p w14:paraId="6109816B" w14:textId="77777777" w:rsidR="00FA7A82" w:rsidRPr="00031A5D" w:rsidRDefault="00000000" w:rsidP="00031A5D">
      <w:pPr>
        <w:pStyle w:val="FootnoteText"/>
        <w:jc w:val="both"/>
        <w:rPr>
          <w:rFonts w:ascii="Roboto" w:hAnsi="Roboto"/>
          <w:sz w:val="18"/>
          <w:szCs w:val="18"/>
          <w:lang w:val="en-US"/>
        </w:rPr>
      </w:pPr>
      <w:r w:rsidRPr="00031A5D">
        <w:rPr>
          <w:rStyle w:val="FootnoteReference"/>
          <w:rFonts w:ascii="Roboto" w:hAnsi="Roboto"/>
          <w:sz w:val="18"/>
          <w:szCs w:val="18"/>
        </w:rPr>
        <w:footnoteRef/>
      </w:r>
      <w:r w:rsidRPr="00031A5D">
        <w:rPr>
          <w:rFonts w:ascii="Roboto" w:hAnsi="Roboto"/>
          <w:sz w:val="18"/>
          <w:szCs w:val="18"/>
        </w:rPr>
        <w:t xml:space="preserve"> </w:t>
      </w:r>
      <w:r w:rsidRPr="00031A5D">
        <w:rPr>
          <w:rFonts w:ascii="Roboto" w:hAnsi="Roboto"/>
          <w:sz w:val="18"/>
          <w:szCs w:val="18"/>
          <w:lang w:val="en-US"/>
        </w:rPr>
        <w:t xml:space="preserve">Amnesty </w:t>
      </w:r>
      <w:proofErr w:type="spellStart"/>
      <w:r w:rsidRPr="00031A5D">
        <w:rPr>
          <w:rFonts w:ascii="Roboto" w:hAnsi="Roboto"/>
          <w:sz w:val="18"/>
          <w:szCs w:val="18"/>
          <w:lang w:val="en-US"/>
        </w:rPr>
        <w:t>Interational</w:t>
      </w:r>
      <w:proofErr w:type="spellEnd"/>
      <w:r w:rsidRPr="00031A5D">
        <w:rPr>
          <w:rFonts w:ascii="Roboto" w:hAnsi="Roboto"/>
          <w:sz w:val="18"/>
          <w:szCs w:val="18"/>
          <w:lang w:val="en-US"/>
        </w:rPr>
        <w:t xml:space="preserve">, </w:t>
      </w:r>
      <w:r w:rsidRPr="00031A5D">
        <w:rPr>
          <w:rFonts w:ascii="Roboto" w:hAnsi="Roboto"/>
          <w:i/>
          <w:iCs/>
          <w:sz w:val="18"/>
          <w:szCs w:val="18"/>
          <w:lang w:val="en-US"/>
        </w:rPr>
        <w:t>Jordan: New Cybercrimes Law stifling freedom of expression one year on</w:t>
      </w:r>
      <w:r w:rsidRPr="00031A5D">
        <w:rPr>
          <w:rFonts w:ascii="Roboto" w:hAnsi="Roboto"/>
          <w:sz w:val="18"/>
          <w:szCs w:val="18"/>
          <w:lang w:val="en-US"/>
        </w:rPr>
        <w:t xml:space="preserve">, 13 August 2024, </w:t>
      </w:r>
      <w:hyperlink r:id="rId22" w:tooltip="https://www.amnesty.org/en/latest/news/2024/08/jordan-new-cybercrimes-law-stifling-freedom-of-expression-one-year-on/" w:history="1">
        <w:r w:rsidRPr="00031A5D">
          <w:rPr>
            <w:rStyle w:val="Hyperlink"/>
            <w:rFonts w:ascii="Roboto" w:hAnsi="Roboto"/>
            <w:sz w:val="18"/>
            <w:szCs w:val="18"/>
            <w:lang w:val="en-US"/>
          </w:rPr>
          <w:t>https://www.amnesty.org/en/latest/news/2024/08/jordan-new-cybercrimes-law-stifling-freedom-of-expression-one-year-on/</w:t>
        </w:r>
      </w:hyperlink>
      <w:r w:rsidRPr="00031A5D">
        <w:rPr>
          <w:rFonts w:ascii="Roboto" w:hAnsi="Roboto"/>
          <w:sz w:val="18"/>
          <w:szCs w:val="18"/>
          <w:lang w:val="en-US"/>
        </w:rPr>
        <w:t xml:space="preserve"> (accessed 25 September 2024).</w:t>
      </w:r>
    </w:p>
  </w:footnote>
  <w:footnote w:id="35">
    <w:p w14:paraId="44B6DAD6"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MENA Rights Group, </w:t>
      </w:r>
      <w:r w:rsidRPr="00031A5D">
        <w:rPr>
          <w:rFonts w:ascii="Roboto" w:hAnsi="Roboto"/>
          <w:i/>
          <w:iCs/>
          <w:sz w:val="18"/>
          <w:szCs w:val="18"/>
        </w:rPr>
        <w:t>Jordan: Universal Periodic Review</w:t>
      </w:r>
      <w:r w:rsidRPr="00031A5D">
        <w:rPr>
          <w:rFonts w:ascii="Roboto" w:hAnsi="Roboto"/>
          <w:sz w:val="18"/>
          <w:szCs w:val="18"/>
        </w:rPr>
        <w:t xml:space="preserve">, July 2023, </w:t>
      </w:r>
      <w:hyperlink r:id="rId23" w:tooltip="https://menarights.org/en/documents/universal-periodic-review-jordan-report-submitted-un-human-rights-council" w:history="1">
        <w:r w:rsidRPr="00031A5D">
          <w:rPr>
            <w:rStyle w:val="Hyperlink"/>
            <w:rFonts w:ascii="Roboto" w:hAnsi="Roboto"/>
            <w:sz w:val="18"/>
            <w:szCs w:val="18"/>
          </w:rPr>
          <w:t>https://menarights.org/en/documents/universal-periodic-review-jordan-report-submitted-un-human-rights-council</w:t>
        </w:r>
      </w:hyperlink>
      <w:r w:rsidRPr="00031A5D">
        <w:rPr>
          <w:rFonts w:ascii="Roboto" w:hAnsi="Roboto"/>
          <w:sz w:val="18"/>
          <w:szCs w:val="18"/>
        </w:rPr>
        <w:t xml:space="preserve"> (accessed 23 September 2024), p. 12.</w:t>
      </w:r>
    </w:p>
  </w:footnote>
  <w:footnote w:id="36">
    <w:p w14:paraId="45456560" w14:textId="771F7D76" w:rsidR="00A553AE" w:rsidRPr="00031A5D" w:rsidRDefault="00A553AE" w:rsidP="00031A5D">
      <w:pPr>
        <w:pStyle w:val="FootnoteText"/>
        <w:jc w:val="both"/>
        <w:rPr>
          <w:rFonts w:ascii="Roboto" w:hAnsi="Roboto"/>
          <w:sz w:val="18"/>
          <w:szCs w:val="18"/>
          <w:lang w:val="en-US"/>
        </w:rPr>
      </w:pPr>
      <w:r w:rsidRPr="00031A5D">
        <w:rPr>
          <w:rStyle w:val="FootnoteReference"/>
          <w:rFonts w:ascii="Roboto" w:hAnsi="Roboto"/>
          <w:sz w:val="18"/>
          <w:szCs w:val="18"/>
        </w:rPr>
        <w:footnoteRef/>
      </w:r>
      <w:r w:rsidRPr="00031A5D">
        <w:rPr>
          <w:rFonts w:ascii="Roboto" w:hAnsi="Roboto"/>
          <w:sz w:val="18"/>
          <w:szCs w:val="18"/>
        </w:rPr>
        <w:t xml:space="preserve"> </w:t>
      </w:r>
      <w:r w:rsidRPr="00031A5D">
        <w:rPr>
          <w:rFonts w:ascii="Roboto" w:hAnsi="Roboto"/>
          <w:sz w:val="18"/>
          <w:szCs w:val="18"/>
        </w:rPr>
        <w:t xml:space="preserve">Detainees can challenge their detention before the High Court of Justice within 60 days. </w:t>
      </w:r>
      <w:r w:rsidR="00836BD2" w:rsidRPr="00031A5D">
        <w:rPr>
          <w:rFonts w:ascii="Roboto" w:hAnsi="Roboto"/>
          <w:sz w:val="18"/>
          <w:szCs w:val="18"/>
        </w:rPr>
        <w:t xml:space="preserve">See: Human Rights Watch, </w:t>
      </w:r>
      <w:r w:rsidR="00836BD2" w:rsidRPr="00031A5D">
        <w:rPr>
          <w:rFonts w:ascii="Roboto" w:hAnsi="Roboto"/>
          <w:i/>
          <w:iCs/>
          <w:sz w:val="18"/>
          <w:szCs w:val="18"/>
        </w:rPr>
        <w:t xml:space="preserve">Guests of the Governor, </w:t>
      </w:r>
      <w:r w:rsidR="00836BD2" w:rsidRPr="00031A5D">
        <w:rPr>
          <w:rFonts w:ascii="Roboto" w:hAnsi="Roboto"/>
          <w:sz w:val="18"/>
          <w:szCs w:val="18"/>
        </w:rPr>
        <w:t xml:space="preserve">26 May 2009, </w:t>
      </w:r>
      <w:hyperlink r:id="rId24" w:history="1">
        <w:r w:rsidR="00836BD2" w:rsidRPr="00031A5D">
          <w:rPr>
            <w:rStyle w:val="Hyperlink"/>
            <w:rFonts w:ascii="Roboto" w:hAnsi="Roboto"/>
            <w:sz w:val="18"/>
            <w:szCs w:val="18"/>
          </w:rPr>
          <w:t>https://www.hrw.org/report/2009/05/26/guests-governor/administrative-detention-undermines-rule-law-jordan</w:t>
        </w:r>
      </w:hyperlink>
      <w:r w:rsidR="00836BD2" w:rsidRPr="00031A5D">
        <w:rPr>
          <w:rFonts w:ascii="Roboto" w:hAnsi="Roboto"/>
          <w:sz w:val="18"/>
          <w:szCs w:val="18"/>
        </w:rPr>
        <w:t xml:space="preserve"> (accessed 30 September 2024).</w:t>
      </w:r>
    </w:p>
  </w:footnote>
  <w:footnote w:id="37">
    <w:p w14:paraId="35F60BF9" w14:textId="77777777" w:rsidR="00FA7A82" w:rsidRPr="00031A5D" w:rsidRDefault="00000000" w:rsidP="00031A5D">
      <w:pPr>
        <w:pStyle w:val="FootnoteText"/>
        <w:jc w:val="both"/>
        <w:rPr>
          <w:rFonts w:ascii="Roboto" w:hAnsi="Roboto"/>
          <w:i/>
          <w:iCs/>
          <w:sz w:val="18"/>
          <w:szCs w:val="18"/>
        </w:rPr>
      </w:pPr>
      <w:r w:rsidRPr="00031A5D">
        <w:rPr>
          <w:rStyle w:val="FootnoteReference"/>
          <w:rFonts w:ascii="Roboto" w:hAnsi="Roboto"/>
          <w:sz w:val="18"/>
          <w:szCs w:val="18"/>
        </w:rPr>
        <w:footnoteRef/>
      </w:r>
      <w:r w:rsidRPr="00031A5D">
        <w:rPr>
          <w:rFonts w:ascii="Roboto" w:hAnsi="Roboto"/>
          <w:sz w:val="18"/>
          <w:szCs w:val="18"/>
        </w:rPr>
        <w:t xml:space="preserve"> Human Rights Committee, </w:t>
      </w:r>
      <w:r w:rsidRPr="00031A5D">
        <w:rPr>
          <w:rFonts w:ascii="Roboto" w:hAnsi="Roboto"/>
          <w:i/>
          <w:iCs/>
          <w:sz w:val="18"/>
          <w:szCs w:val="18"/>
        </w:rPr>
        <w:t>Concluding Observations on the Fifth Periodic Report of Jordan,</w:t>
      </w:r>
    </w:p>
    <w:p w14:paraId="3B362D31" w14:textId="77777777" w:rsidR="00FA7A82" w:rsidRPr="00031A5D" w:rsidRDefault="00000000" w:rsidP="00031A5D">
      <w:pPr>
        <w:pStyle w:val="FootnoteText"/>
        <w:jc w:val="both"/>
        <w:rPr>
          <w:rFonts w:ascii="Roboto" w:hAnsi="Roboto"/>
          <w:sz w:val="18"/>
          <w:szCs w:val="18"/>
        </w:rPr>
      </w:pPr>
      <w:r w:rsidRPr="00031A5D">
        <w:rPr>
          <w:rFonts w:ascii="Roboto" w:hAnsi="Roboto"/>
          <w:i/>
          <w:iCs/>
          <w:sz w:val="18"/>
          <w:szCs w:val="18"/>
        </w:rPr>
        <w:t>UN Doc. CCPR/C/JOR/CO/5</w:t>
      </w:r>
      <w:r w:rsidRPr="00031A5D">
        <w:rPr>
          <w:rFonts w:ascii="Roboto" w:hAnsi="Roboto"/>
          <w:sz w:val="18"/>
          <w:szCs w:val="18"/>
        </w:rPr>
        <w:t xml:space="preserve">, 4 December 2017, para. 18. </w:t>
      </w:r>
    </w:p>
  </w:footnote>
  <w:footnote w:id="38">
    <w:p w14:paraId="2870938F" w14:textId="77777777" w:rsidR="00FA7A82" w:rsidRPr="00031A5D" w:rsidRDefault="00000000" w:rsidP="00031A5D">
      <w:pPr>
        <w:pStyle w:val="FootnoteText"/>
        <w:jc w:val="both"/>
        <w:rPr>
          <w:rFonts w:ascii="Roboto" w:hAnsi="Roboto"/>
          <w:sz w:val="18"/>
          <w:szCs w:val="18"/>
          <w:lang w:val="en-US"/>
        </w:rPr>
      </w:pPr>
      <w:r w:rsidRPr="00031A5D">
        <w:rPr>
          <w:rStyle w:val="FootnoteReference"/>
          <w:rFonts w:ascii="Roboto" w:hAnsi="Roboto"/>
          <w:sz w:val="18"/>
          <w:szCs w:val="18"/>
        </w:rPr>
        <w:footnoteRef/>
      </w:r>
      <w:r w:rsidRPr="00031A5D">
        <w:rPr>
          <w:rFonts w:ascii="Roboto" w:hAnsi="Roboto"/>
          <w:sz w:val="18"/>
          <w:szCs w:val="18"/>
        </w:rPr>
        <w:t xml:space="preserve"> Human Rights Watch, </w:t>
      </w:r>
      <w:r w:rsidRPr="00031A5D">
        <w:rPr>
          <w:rFonts w:ascii="Roboto" w:hAnsi="Roboto"/>
          <w:i/>
          <w:iCs/>
          <w:sz w:val="18"/>
          <w:szCs w:val="18"/>
        </w:rPr>
        <w:t xml:space="preserve">Guests of the Governor, </w:t>
      </w:r>
      <w:r w:rsidRPr="00031A5D">
        <w:rPr>
          <w:rFonts w:ascii="Roboto" w:hAnsi="Roboto"/>
          <w:sz w:val="18"/>
          <w:szCs w:val="18"/>
        </w:rPr>
        <w:t xml:space="preserve">26 May 2009, </w:t>
      </w:r>
      <w:hyperlink r:id="rId25" w:history="1">
        <w:r w:rsidRPr="00031A5D">
          <w:rPr>
            <w:rStyle w:val="Hyperlink"/>
            <w:rFonts w:ascii="Roboto" w:hAnsi="Roboto"/>
            <w:sz w:val="18"/>
            <w:szCs w:val="18"/>
          </w:rPr>
          <w:t>https://www.hrw.org/report/2009/05/26/guests-governor/administrative-detention-undermines-rule-law-jordan</w:t>
        </w:r>
      </w:hyperlink>
      <w:r w:rsidRPr="00031A5D">
        <w:rPr>
          <w:rFonts w:ascii="Roboto" w:hAnsi="Roboto"/>
          <w:sz w:val="18"/>
          <w:szCs w:val="18"/>
        </w:rPr>
        <w:t xml:space="preserve"> (accessed 30 September 2024).</w:t>
      </w:r>
    </w:p>
  </w:footnote>
  <w:footnote w:id="39">
    <w:p w14:paraId="01D997DD" w14:textId="77777777" w:rsidR="00FA7A82" w:rsidRPr="00031A5D" w:rsidRDefault="00000000" w:rsidP="00031A5D">
      <w:pPr>
        <w:pStyle w:val="FootnoteText"/>
        <w:jc w:val="both"/>
        <w:rPr>
          <w:rFonts w:ascii="Roboto" w:hAnsi="Roboto"/>
          <w:i/>
          <w:iCs/>
          <w:sz w:val="18"/>
          <w:szCs w:val="18"/>
        </w:rPr>
      </w:pPr>
      <w:r w:rsidRPr="00031A5D">
        <w:rPr>
          <w:rStyle w:val="FootnoteReference"/>
          <w:rFonts w:ascii="Roboto" w:hAnsi="Roboto"/>
          <w:sz w:val="18"/>
          <w:szCs w:val="18"/>
        </w:rPr>
        <w:footnoteRef/>
      </w:r>
      <w:r w:rsidRPr="00031A5D">
        <w:rPr>
          <w:rFonts w:ascii="Roboto" w:hAnsi="Roboto"/>
          <w:sz w:val="18"/>
          <w:szCs w:val="18"/>
        </w:rPr>
        <w:t xml:space="preserve"> Amnesty International, </w:t>
      </w:r>
      <w:r w:rsidRPr="00031A5D">
        <w:rPr>
          <w:rFonts w:ascii="Roboto" w:hAnsi="Roboto"/>
          <w:i/>
          <w:iCs/>
          <w:sz w:val="18"/>
          <w:szCs w:val="18"/>
        </w:rPr>
        <w:t>Report 2022/2023</w:t>
      </w:r>
      <w:r w:rsidRPr="00031A5D">
        <w:rPr>
          <w:rFonts w:ascii="Roboto" w:hAnsi="Roboto"/>
          <w:sz w:val="18"/>
          <w:szCs w:val="18"/>
        </w:rPr>
        <w:t xml:space="preserve">, </w:t>
      </w:r>
      <w:hyperlink r:id="rId26" w:tooltip="https://www.amnesty.org/en/documents/pol10/5670/2023/en/" w:history="1">
        <w:r w:rsidRPr="00031A5D">
          <w:rPr>
            <w:rStyle w:val="Hyperlink"/>
            <w:rFonts w:ascii="Roboto" w:hAnsi="Roboto"/>
            <w:sz w:val="18"/>
            <w:szCs w:val="18"/>
          </w:rPr>
          <w:t>https://www.amnesty.org/en/documents/pol10/5670/2023/en/</w:t>
        </w:r>
      </w:hyperlink>
      <w:r w:rsidRPr="00031A5D">
        <w:rPr>
          <w:rFonts w:ascii="Roboto" w:hAnsi="Roboto"/>
          <w:sz w:val="18"/>
          <w:szCs w:val="18"/>
        </w:rPr>
        <w:t xml:space="preserve"> (accessed 23 September 2024), p. 215; Human Rights Watch, </w:t>
      </w:r>
      <w:r w:rsidRPr="00031A5D">
        <w:rPr>
          <w:rFonts w:ascii="Roboto" w:hAnsi="Roboto"/>
          <w:i/>
          <w:iCs/>
          <w:sz w:val="18"/>
          <w:szCs w:val="18"/>
        </w:rPr>
        <w:t>Jordan: Government crushes civic</w:t>
      </w:r>
    </w:p>
    <w:p w14:paraId="13A3B4A2" w14:textId="77777777" w:rsidR="00FA7A82" w:rsidRPr="00031A5D" w:rsidRDefault="00000000" w:rsidP="00031A5D">
      <w:pPr>
        <w:pStyle w:val="FootnoteText"/>
        <w:jc w:val="both"/>
        <w:rPr>
          <w:rFonts w:ascii="Roboto" w:hAnsi="Roboto"/>
          <w:sz w:val="18"/>
          <w:szCs w:val="18"/>
        </w:rPr>
      </w:pPr>
      <w:r w:rsidRPr="00031A5D">
        <w:rPr>
          <w:rFonts w:ascii="Roboto" w:hAnsi="Roboto"/>
          <w:i/>
          <w:iCs/>
          <w:sz w:val="18"/>
          <w:szCs w:val="18"/>
        </w:rPr>
        <w:t>space</w:t>
      </w:r>
      <w:r w:rsidRPr="00031A5D">
        <w:rPr>
          <w:rFonts w:ascii="Roboto" w:hAnsi="Roboto"/>
          <w:sz w:val="18"/>
          <w:szCs w:val="18"/>
        </w:rPr>
        <w:t xml:space="preserve">, 18 September 2022, </w:t>
      </w:r>
      <w:hyperlink r:id="rId27" w:tooltip="https://www.hrw.org/news/2022/09/18/jordan-government-crushes-civic-space" w:history="1">
        <w:r w:rsidRPr="00031A5D">
          <w:rPr>
            <w:rStyle w:val="Hyperlink"/>
            <w:rFonts w:ascii="Roboto" w:hAnsi="Roboto"/>
            <w:sz w:val="18"/>
            <w:szCs w:val="18"/>
          </w:rPr>
          <w:t>https://www.hrw.org/news/2022/09/18/jordan-government-crushes-civic-space</w:t>
        </w:r>
      </w:hyperlink>
      <w:r w:rsidRPr="00031A5D">
        <w:rPr>
          <w:rFonts w:ascii="Roboto" w:hAnsi="Roboto"/>
          <w:sz w:val="18"/>
          <w:szCs w:val="18"/>
        </w:rPr>
        <w:t xml:space="preserve"> (accessed 25 September 2024).</w:t>
      </w:r>
    </w:p>
  </w:footnote>
  <w:footnote w:id="40">
    <w:p w14:paraId="0A5558F0"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w:t>
      </w:r>
      <w:proofErr w:type="spellStart"/>
      <w:r w:rsidRPr="00031A5D">
        <w:rPr>
          <w:rFonts w:ascii="Roboto" w:hAnsi="Roboto"/>
          <w:sz w:val="18"/>
          <w:szCs w:val="18"/>
        </w:rPr>
        <w:t>Euromed</w:t>
      </w:r>
      <w:proofErr w:type="spellEnd"/>
      <w:r w:rsidRPr="00031A5D">
        <w:rPr>
          <w:rFonts w:ascii="Roboto" w:hAnsi="Roboto"/>
          <w:sz w:val="18"/>
          <w:szCs w:val="18"/>
        </w:rPr>
        <w:t xml:space="preserve"> Monitor, </w:t>
      </w:r>
      <w:proofErr w:type="gramStart"/>
      <w:r w:rsidRPr="00031A5D">
        <w:rPr>
          <w:rFonts w:ascii="Roboto" w:hAnsi="Roboto"/>
          <w:i/>
          <w:iCs/>
          <w:sz w:val="18"/>
          <w:szCs w:val="18"/>
        </w:rPr>
        <w:t>Jordan..</w:t>
      </w:r>
      <w:proofErr w:type="gramEnd"/>
      <w:r w:rsidRPr="00031A5D">
        <w:rPr>
          <w:rFonts w:ascii="Roboto" w:hAnsi="Roboto"/>
          <w:i/>
          <w:iCs/>
          <w:sz w:val="18"/>
          <w:szCs w:val="18"/>
        </w:rPr>
        <w:t xml:space="preserve"> 11 political activists are detained in poor conditions and without proper legal procedures</w:t>
      </w:r>
      <w:r w:rsidRPr="00031A5D">
        <w:rPr>
          <w:rFonts w:ascii="Roboto" w:hAnsi="Roboto"/>
          <w:sz w:val="18"/>
          <w:szCs w:val="18"/>
        </w:rPr>
        <w:t xml:space="preserve">, 21 March 2022, </w:t>
      </w:r>
      <w:hyperlink r:id="rId28" w:tooltip="https://euromedmonitor.org/ar/article/4972/%D8%A7%D9%84%D8%A3%D8%B1%D8%AF%D9%86..-11-%D9%86%D8%A7%D8%B4%D8%B7%D9%8B%D8%A7-%D8%B3%D9%8A%D8%A7%D8%B3%D9%8A%D9%8B%D8%A7-%D9%85%D8%AD%D8%AA%D8%AC%D8%B2%D9%88%D9%86-%D9%81%D9%8A-%D8%B8%D8%B1%D9%88%D9%81-%D8%B3%D9%8A%D" w:history="1">
        <w:r w:rsidRPr="00031A5D">
          <w:rPr>
            <w:rStyle w:val="Hyperlink"/>
            <w:rFonts w:ascii="Roboto" w:hAnsi="Roboto"/>
            <w:sz w:val="18"/>
            <w:szCs w:val="18"/>
          </w:rPr>
          <w:t>https://euromedmonitor.org/ar/article/4972/%D8%A7%D9%84%D8%A3%D8%B1%D8%AF%D9%86..-11-%D9%86%D8%A7%D8%B4%D8%B7%D9%8B%D8%A7-%D8%B3%D9%8A%D8%A7%D8%B3%D9%8A%D9%8B%D8%A7-%D9%85%D8%AD%D8%AA%D8%AC%D8%B2%D9%88%D9%86-%D9%81%D9%8A-%D8%B8%D8%B1%D9%88%D9%81-%D8%B3%D9%8A%D8%A6%D8%A9-%D9%88%D8%AF%D9%88%D9%86-</w:t>
        </w:r>
      </w:hyperlink>
      <w:r w:rsidRPr="00031A5D">
        <w:rPr>
          <w:rFonts w:ascii="Roboto" w:hAnsi="Roboto"/>
          <w:sz w:val="18"/>
          <w:szCs w:val="18"/>
        </w:rPr>
        <w:t xml:space="preserve"> (accessed 25 September 2024).</w:t>
      </w:r>
    </w:p>
  </w:footnote>
  <w:footnote w:id="41">
    <w:p w14:paraId="0741AE81"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Amnesty International, </w:t>
      </w:r>
      <w:r w:rsidRPr="00031A5D">
        <w:rPr>
          <w:rFonts w:ascii="Roboto" w:hAnsi="Roboto"/>
          <w:i/>
          <w:iCs/>
          <w:sz w:val="18"/>
          <w:szCs w:val="18"/>
        </w:rPr>
        <w:t>Report 2022/2023</w:t>
      </w:r>
      <w:r w:rsidRPr="00031A5D">
        <w:rPr>
          <w:rFonts w:ascii="Roboto" w:hAnsi="Roboto"/>
          <w:sz w:val="18"/>
          <w:szCs w:val="18"/>
        </w:rPr>
        <w:t xml:space="preserve">, </w:t>
      </w:r>
      <w:hyperlink r:id="rId29" w:tooltip="https://www.amnesty.org/en/documents/pol10/5670/2023/en/" w:history="1">
        <w:r w:rsidRPr="00031A5D">
          <w:rPr>
            <w:rStyle w:val="Hyperlink"/>
            <w:rFonts w:ascii="Roboto" w:hAnsi="Roboto"/>
            <w:sz w:val="18"/>
            <w:szCs w:val="18"/>
          </w:rPr>
          <w:t>https://www.amnesty.org/en/documents/pol10/5670/2023/en/</w:t>
        </w:r>
      </w:hyperlink>
      <w:r w:rsidRPr="00031A5D">
        <w:rPr>
          <w:rFonts w:ascii="Roboto" w:hAnsi="Roboto"/>
          <w:sz w:val="18"/>
          <w:szCs w:val="18"/>
        </w:rPr>
        <w:t xml:space="preserve"> (accessed 23 September 2024), p. 215.</w:t>
      </w:r>
    </w:p>
  </w:footnote>
  <w:footnote w:id="42">
    <w:p w14:paraId="7DD050FE" w14:textId="64085C72"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w:t>
      </w:r>
      <w:r w:rsidR="00726857" w:rsidRPr="00031A5D">
        <w:rPr>
          <w:rFonts w:ascii="Roboto" w:hAnsi="Roboto"/>
          <w:sz w:val="18"/>
          <w:szCs w:val="18"/>
        </w:rPr>
        <w:t>U</w:t>
      </w:r>
      <w:r w:rsidRPr="00031A5D">
        <w:rPr>
          <w:rFonts w:ascii="Roboto" w:hAnsi="Roboto"/>
          <w:sz w:val="18"/>
          <w:szCs w:val="18"/>
          <w:lang w:val="en-US"/>
        </w:rPr>
        <w:t xml:space="preserve">.S. Department of State, </w:t>
      </w:r>
      <w:r w:rsidRPr="00031A5D">
        <w:rPr>
          <w:rFonts w:ascii="Roboto" w:hAnsi="Roboto"/>
          <w:i/>
          <w:iCs/>
          <w:sz w:val="18"/>
          <w:szCs w:val="18"/>
          <w:lang w:val="en-US"/>
        </w:rPr>
        <w:t>2023 Country Reports on Human Rights Practices: Jordan</w:t>
      </w:r>
      <w:r w:rsidRPr="00031A5D">
        <w:rPr>
          <w:rFonts w:ascii="Roboto" w:hAnsi="Roboto"/>
          <w:sz w:val="18"/>
          <w:szCs w:val="18"/>
          <w:lang w:val="en-US"/>
        </w:rPr>
        <w:t xml:space="preserve">, 2023, </w:t>
      </w:r>
      <w:hyperlink r:id="rId30" w:tooltip="https://www.state.gov/reports/2023-country-reports-on-human-rights-practices/jordan/" w:history="1">
        <w:r w:rsidRPr="00031A5D">
          <w:rPr>
            <w:rStyle w:val="Hyperlink"/>
            <w:rFonts w:ascii="Roboto" w:hAnsi="Roboto"/>
            <w:sz w:val="18"/>
            <w:szCs w:val="18"/>
            <w:lang w:val="en-US"/>
          </w:rPr>
          <w:t>https://www.state.gov/reports/2023-country-reports-on-human-rights-practices/jordan/</w:t>
        </w:r>
      </w:hyperlink>
      <w:r w:rsidRPr="00031A5D">
        <w:rPr>
          <w:rFonts w:ascii="Roboto" w:hAnsi="Roboto"/>
          <w:sz w:val="18"/>
          <w:szCs w:val="18"/>
          <w:lang w:val="en-US"/>
        </w:rPr>
        <w:t xml:space="preserve"> (accessed 23 September 2024).</w:t>
      </w:r>
    </w:p>
  </w:footnote>
  <w:footnote w:id="43">
    <w:p w14:paraId="3BC02113" w14:textId="77777777" w:rsidR="00FA7A82" w:rsidRPr="00031A5D" w:rsidRDefault="00000000" w:rsidP="00031A5D">
      <w:pPr>
        <w:pBdr>
          <w:top w:val="none" w:sz="4" w:space="0" w:color="000000"/>
          <w:left w:val="none" w:sz="4" w:space="0" w:color="000000"/>
          <w:bottom w:val="none" w:sz="4" w:space="0" w:color="000000"/>
          <w:right w:val="none" w:sz="4" w:space="0" w:color="000000"/>
          <w:between w:val="none" w:sz="4" w:space="0" w:color="000000"/>
        </w:pBdr>
        <w:spacing w:before="0" w:after="0" w:line="240" w:lineRule="auto"/>
        <w:jc w:val="both"/>
        <w:rPr>
          <w:rFonts w:ascii="Roboto" w:hAnsi="Roboto"/>
          <w:color w:val="000000"/>
          <w:sz w:val="18"/>
          <w:szCs w:val="18"/>
        </w:rPr>
      </w:pPr>
      <w:r w:rsidRPr="00031A5D">
        <w:rPr>
          <w:rFonts w:ascii="Roboto" w:hAnsi="Roboto"/>
          <w:sz w:val="18"/>
          <w:szCs w:val="18"/>
          <w:vertAlign w:val="superscript"/>
        </w:rPr>
        <w:footnoteRef/>
      </w:r>
      <w:r w:rsidRPr="00031A5D">
        <w:rPr>
          <w:rFonts w:ascii="Roboto" w:hAnsi="Roboto"/>
          <w:color w:val="000000"/>
          <w:sz w:val="18"/>
          <w:szCs w:val="18"/>
        </w:rPr>
        <w:t xml:space="preserve"> </w:t>
      </w:r>
      <w:r w:rsidRPr="00031A5D">
        <w:rPr>
          <w:rFonts w:ascii="Roboto" w:hAnsi="Roboto"/>
          <w:i/>
          <w:color w:val="000000"/>
          <w:sz w:val="18"/>
          <w:szCs w:val="18"/>
        </w:rPr>
        <w:t>Ibid</w:t>
      </w:r>
      <w:r w:rsidRPr="00031A5D">
        <w:rPr>
          <w:rFonts w:ascii="Roboto" w:hAnsi="Roboto"/>
          <w:color w:val="000000"/>
          <w:sz w:val="18"/>
          <w:szCs w:val="18"/>
        </w:rPr>
        <w:t>.</w:t>
      </w:r>
    </w:p>
  </w:footnote>
  <w:footnote w:id="44">
    <w:p w14:paraId="54C1B908" w14:textId="77777777" w:rsidR="00FA7A82" w:rsidRPr="00031A5D" w:rsidRDefault="00000000" w:rsidP="00031A5D">
      <w:pPr>
        <w:pStyle w:val="FootnoteText"/>
        <w:jc w:val="both"/>
        <w:rPr>
          <w:rFonts w:ascii="Roboto" w:hAnsi="Roboto"/>
          <w:sz w:val="18"/>
          <w:szCs w:val="18"/>
          <w:lang w:val="en-US"/>
        </w:rPr>
      </w:pPr>
      <w:r w:rsidRPr="00031A5D">
        <w:rPr>
          <w:rStyle w:val="FootnoteReference"/>
          <w:rFonts w:ascii="Roboto" w:hAnsi="Roboto"/>
          <w:sz w:val="18"/>
          <w:szCs w:val="18"/>
        </w:rPr>
        <w:footnoteRef/>
      </w:r>
      <w:r w:rsidRPr="00031A5D">
        <w:rPr>
          <w:rFonts w:ascii="Roboto" w:hAnsi="Roboto"/>
          <w:sz w:val="18"/>
          <w:szCs w:val="18"/>
        </w:rPr>
        <w:t xml:space="preserve"> </w:t>
      </w:r>
      <w:r w:rsidRPr="00031A5D">
        <w:rPr>
          <w:rFonts w:ascii="Roboto" w:hAnsi="Roboto"/>
          <w:sz w:val="18"/>
          <w:szCs w:val="18"/>
          <w:lang w:val="en-US"/>
        </w:rPr>
        <w:t xml:space="preserve">Amnesty </w:t>
      </w:r>
      <w:proofErr w:type="spellStart"/>
      <w:r w:rsidRPr="00031A5D">
        <w:rPr>
          <w:rFonts w:ascii="Roboto" w:hAnsi="Roboto"/>
          <w:sz w:val="18"/>
          <w:szCs w:val="18"/>
          <w:lang w:val="en-US"/>
        </w:rPr>
        <w:t>Interational</w:t>
      </w:r>
      <w:proofErr w:type="spellEnd"/>
      <w:r w:rsidRPr="00031A5D">
        <w:rPr>
          <w:rFonts w:ascii="Roboto" w:hAnsi="Roboto"/>
          <w:sz w:val="18"/>
          <w:szCs w:val="18"/>
          <w:lang w:val="en-US"/>
        </w:rPr>
        <w:t xml:space="preserve">, </w:t>
      </w:r>
      <w:r w:rsidRPr="00031A5D">
        <w:rPr>
          <w:rFonts w:ascii="Roboto" w:hAnsi="Roboto"/>
          <w:i/>
          <w:iCs/>
          <w:sz w:val="18"/>
          <w:szCs w:val="18"/>
          <w:lang w:val="en-US"/>
        </w:rPr>
        <w:t>Jordan: New Cybercrimes Law stifling freedom of expression one year on</w:t>
      </w:r>
      <w:r w:rsidRPr="00031A5D">
        <w:rPr>
          <w:rFonts w:ascii="Roboto" w:hAnsi="Roboto"/>
          <w:sz w:val="18"/>
          <w:szCs w:val="18"/>
          <w:lang w:val="en-US"/>
        </w:rPr>
        <w:t xml:space="preserve">, 13 August 2024, </w:t>
      </w:r>
      <w:hyperlink r:id="rId31" w:tooltip="https://www.amnesty.org/en/latest/news/2024/08/jordan-new-cybercrimes-law-stifling-freedom-of-expression-one-year-on/" w:history="1">
        <w:r w:rsidRPr="00031A5D">
          <w:rPr>
            <w:rStyle w:val="Hyperlink"/>
            <w:rFonts w:ascii="Roboto" w:hAnsi="Roboto"/>
            <w:sz w:val="18"/>
            <w:szCs w:val="18"/>
            <w:lang w:val="en-US"/>
          </w:rPr>
          <w:t>https://www.amnesty.org/en/latest/news/2024/08/jordan-new-cybercrimes-law-stifling-freedom-of-expression-one-year-on/</w:t>
        </w:r>
      </w:hyperlink>
      <w:r w:rsidRPr="00031A5D">
        <w:rPr>
          <w:rFonts w:ascii="Roboto" w:hAnsi="Roboto"/>
          <w:sz w:val="18"/>
          <w:szCs w:val="18"/>
          <w:lang w:val="en-US"/>
        </w:rPr>
        <w:t xml:space="preserve"> (accessed 25 September 2024).</w:t>
      </w:r>
    </w:p>
  </w:footnote>
  <w:footnote w:id="45">
    <w:p w14:paraId="26E44DA9" w14:textId="77777777" w:rsidR="00FA7A82" w:rsidRPr="00031A5D" w:rsidRDefault="00000000" w:rsidP="00031A5D">
      <w:pPr>
        <w:pStyle w:val="FootnoteText"/>
        <w:jc w:val="both"/>
        <w:rPr>
          <w:rFonts w:ascii="Roboto" w:hAnsi="Roboto"/>
          <w:sz w:val="18"/>
          <w:szCs w:val="18"/>
          <w:lang w:val="en-US"/>
        </w:rPr>
      </w:pPr>
      <w:r w:rsidRPr="00031A5D">
        <w:rPr>
          <w:rStyle w:val="FootnoteReference"/>
          <w:rFonts w:ascii="Roboto" w:hAnsi="Roboto"/>
          <w:sz w:val="18"/>
          <w:szCs w:val="18"/>
        </w:rPr>
        <w:footnoteRef/>
      </w:r>
      <w:r w:rsidRPr="00031A5D">
        <w:rPr>
          <w:rFonts w:ascii="Roboto" w:hAnsi="Roboto"/>
          <w:sz w:val="18"/>
          <w:szCs w:val="18"/>
        </w:rPr>
        <w:t xml:space="preserve"> </w:t>
      </w:r>
      <w:r w:rsidRPr="00031A5D">
        <w:rPr>
          <w:rFonts w:ascii="Roboto" w:hAnsi="Roboto"/>
          <w:sz w:val="18"/>
          <w:szCs w:val="18"/>
          <w:lang w:val="en-US"/>
        </w:rPr>
        <w:t xml:space="preserve">Amnesty </w:t>
      </w:r>
      <w:proofErr w:type="spellStart"/>
      <w:r w:rsidRPr="00031A5D">
        <w:rPr>
          <w:rFonts w:ascii="Roboto" w:hAnsi="Roboto"/>
          <w:sz w:val="18"/>
          <w:szCs w:val="18"/>
          <w:lang w:val="en-US"/>
        </w:rPr>
        <w:t>Interational</w:t>
      </w:r>
      <w:proofErr w:type="spellEnd"/>
      <w:r w:rsidRPr="00031A5D">
        <w:rPr>
          <w:rFonts w:ascii="Roboto" w:hAnsi="Roboto"/>
          <w:sz w:val="18"/>
          <w:szCs w:val="18"/>
          <w:lang w:val="en-US"/>
        </w:rPr>
        <w:t xml:space="preserve">, </w:t>
      </w:r>
      <w:r w:rsidRPr="00031A5D">
        <w:rPr>
          <w:rFonts w:ascii="Roboto" w:hAnsi="Roboto"/>
          <w:i/>
          <w:iCs/>
          <w:sz w:val="18"/>
          <w:szCs w:val="18"/>
          <w:lang w:val="en-US"/>
        </w:rPr>
        <w:t>Jordan: New Cybercrimes Law stifling freedom of expression one year on</w:t>
      </w:r>
      <w:r w:rsidRPr="00031A5D">
        <w:rPr>
          <w:rFonts w:ascii="Roboto" w:hAnsi="Roboto"/>
          <w:sz w:val="18"/>
          <w:szCs w:val="18"/>
          <w:lang w:val="en-US"/>
        </w:rPr>
        <w:t xml:space="preserve">, 13 August 2024, </w:t>
      </w:r>
      <w:hyperlink r:id="rId32" w:tooltip="https://www.amnesty.org/en/latest/news/2024/08/jordan-new-cybercrimes-law-stifling-freedom-of-expression-one-year-on/" w:history="1">
        <w:r w:rsidRPr="00031A5D">
          <w:rPr>
            <w:rStyle w:val="Hyperlink"/>
            <w:rFonts w:ascii="Roboto" w:hAnsi="Roboto"/>
            <w:sz w:val="18"/>
            <w:szCs w:val="18"/>
            <w:lang w:val="en-US"/>
          </w:rPr>
          <w:t>https://www.amnesty.org/en/latest/news/2024/08/jordan-new-cybercrimes-law-stifling-freedom-of-expression-one-year-on/</w:t>
        </w:r>
      </w:hyperlink>
      <w:r w:rsidRPr="00031A5D">
        <w:rPr>
          <w:rFonts w:ascii="Roboto" w:hAnsi="Roboto"/>
          <w:sz w:val="18"/>
          <w:szCs w:val="18"/>
          <w:lang w:val="en-US"/>
        </w:rPr>
        <w:t xml:space="preserve"> (accessed 25 September 2024).</w:t>
      </w:r>
    </w:p>
  </w:footnote>
  <w:footnote w:id="46">
    <w:p w14:paraId="5F61E534" w14:textId="77777777" w:rsidR="00BE61DD" w:rsidRPr="00031A5D" w:rsidRDefault="00BE61DD" w:rsidP="00031A5D">
      <w:pPr>
        <w:pStyle w:val="FootnoteText"/>
        <w:jc w:val="both"/>
        <w:rPr>
          <w:rFonts w:ascii="Roboto" w:hAnsi="Roboto"/>
          <w:sz w:val="18"/>
          <w:szCs w:val="18"/>
          <w:lang w:val="en-US"/>
        </w:rPr>
      </w:pPr>
      <w:r w:rsidRPr="00031A5D">
        <w:rPr>
          <w:rStyle w:val="FootnoteReference"/>
          <w:rFonts w:ascii="Roboto" w:hAnsi="Roboto"/>
          <w:sz w:val="18"/>
          <w:szCs w:val="18"/>
        </w:rPr>
        <w:footnoteRef/>
      </w:r>
      <w:r w:rsidRPr="00031A5D">
        <w:rPr>
          <w:rFonts w:ascii="Roboto" w:hAnsi="Roboto"/>
          <w:sz w:val="18"/>
          <w:szCs w:val="18"/>
        </w:rPr>
        <w:t xml:space="preserve"> </w:t>
      </w:r>
      <w:r w:rsidRPr="00031A5D">
        <w:rPr>
          <w:rFonts w:ascii="Roboto" w:hAnsi="Roboto"/>
          <w:sz w:val="18"/>
          <w:szCs w:val="18"/>
          <w:lang w:val="en-US"/>
        </w:rPr>
        <w:t xml:space="preserve">See Dignity, </w:t>
      </w:r>
      <w:r w:rsidRPr="00031A5D">
        <w:rPr>
          <w:rFonts w:ascii="Roboto" w:hAnsi="Roboto"/>
          <w:i/>
          <w:iCs/>
          <w:sz w:val="18"/>
          <w:szCs w:val="18"/>
          <w:lang w:val="en-US"/>
        </w:rPr>
        <w:t>Conditions for women in detention in Jordan</w:t>
      </w:r>
      <w:r w:rsidRPr="00031A5D">
        <w:rPr>
          <w:rFonts w:ascii="Roboto" w:hAnsi="Roboto"/>
          <w:sz w:val="18"/>
          <w:szCs w:val="18"/>
          <w:lang w:val="en-US"/>
        </w:rPr>
        <w:t xml:space="preserve">, </w:t>
      </w:r>
      <w:hyperlink r:id="rId33" w:history="1">
        <w:r w:rsidRPr="00031A5D">
          <w:rPr>
            <w:rStyle w:val="Hyperlink"/>
            <w:rFonts w:ascii="Roboto" w:hAnsi="Roboto"/>
            <w:sz w:val="18"/>
            <w:szCs w:val="18"/>
            <w:lang w:val="en-US"/>
          </w:rPr>
          <w:t>https://dignity.dk/wp-content/uploads/publication-series-9.pdf</w:t>
        </w:r>
      </w:hyperlink>
      <w:r w:rsidRPr="00031A5D">
        <w:rPr>
          <w:rFonts w:ascii="Roboto" w:hAnsi="Roboto"/>
          <w:sz w:val="18"/>
          <w:szCs w:val="18"/>
          <w:lang w:val="en-US"/>
        </w:rPr>
        <w:t xml:space="preserve"> (accessed 30 September 2024).</w:t>
      </w:r>
    </w:p>
  </w:footnote>
  <w:footnote w:id="47">
    <w:p w14:paraId="49A2D295" w14:textId="0A4A1919" w:rsidR="00BE61DD" w:rsidRPr="00031A5D" w:rsidRDefault="00BE61DD" w:rsidP="00031A5D">
      <w:pPr>
        <w:pStyle w:val="FootnoteText"/>
        <w:jc w:val="both"/>
        <w:rPr>
          <w:rFonts w:ascii="Roboto" w:hAnsi="Roboto"/>
          <w:sz w:val="18"/>
          <w:szCs w:val="18"/>
          <w:lang w:val="en-US"/>
        </w:rPr>
      </w:pPr>
      <w:r w:rsidRPr="00031A5D">
        <w:rPr>
          <w:rStyle w:val="FootnoteReference"/>
          <w:rFonts w:ascii="Roboto" w:hAnsi="Roboto"/>
          <w:sz w:val="18"/>
          <w:szCs w:val="18"/>
        </w:rPr>
        <w:footnoteRef/>
      </w:r>
      <w:r w:rsidRPr="00031A5D">
        <w:rPr>
          <w:rFonts w:ascii="Roboto" w:hAnsi="Roboto"/>
          <w:sz w:val="18"/>
          <w:szCs w:val="18"/>
        </w:rPr>
        <w:t xml:space="preserve"> </w:t>
      </w:r>
      <w:r w:rsidR="006A016E" w:rsidRPr="00031A5D">
        <w:rPr>
          <w:rFonts w:ascii="Roboto" w:hAnsi="Roboto"/>
          <w:sz w:val="18"/>
          <w:szCs w:val="18"/>
        </w:rPr>
        <w:t xml:space="preserve">Human Rights Watch, </w:t>
      </w:r>
      <w:r w:rsidR="006A016E" w:rsidRPr="00031A5D">
        <w:rPr>
          <w:rFonts w:ascii="Roboto" w:hAnsi="Roboto"/>
          <w:i/>
          <w:iCs/>
          <w:sz w:val="18"/>
          <w:szCs w:val="18"/>
        </w:rPr>
        <w:t xml:space="preserve">Guests of the Governor, </w:t>
      </w:r>
      <w:r w:rsidR="006A016E" w:rsidRPr="00031A5D">
        <w:rPr>
          <w:rFonts w:ascii="Roboto" w:hAnsi="Roboto"/>
          <w:sz w:val="18"/>
          <w:szCs w:val="18"/>
        </w:rPr>
        <w:t xml:space="preserve">26 May 2009, </w:t>
      </w:r>
      <w:hyperlink r:id="rId34" w:history="1">
        <w:r w:rsidR="006A016E" w:rsidRPr="00031A5D">
          <w:rPr>
            <w:rStyle w:val="Hyperlink"/>
            <w:rFonts w:ascii="Roboto" w:hAnsi="Roboto"/>
            <w:sz w:val="18"/>
            <w:szCs w:val="18"/>
          </w:rPr>
          <w:t>https://www.hrw.org/report/2009/05/26/guests-governor/administrative-detention-undermines-rule-law-jordan</w:t>
        </w:r>
      </w:hyperlink>
      <w:r w:rsidR="006A016E" w:rsidRPr="00031A5D">
        <w:rPr>
          <w:rFonts w:ascii="Roboto" w:hAnsi="Roboto"/>
          <w:sz w:val="18"/>
          <w:szCs w:val="18"/>
        </w:rPr>
        <w:t xml:space="preserve"> (accessed 30 September 2024).</w:t>
      </w:r>
    </w:p>
  </w:footnote>
  <w:footnote w:id="48">
    <w:p w14:paraId="1CD28C93"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Committee Against Torture, </w:t>
      </w:r>
      <w:r w:rsidRPr="00031A5D">
        <w:rPr>
          <w:rFonts w:ascii="Roboto" w:hAnsi="Roboto"/>
          <w:i/>
          <w:iCs/>
          <w:sz w:val="18"/>
          <w:szCs w:val="18"/>
        </w:rPr>
        <w:t>List of issues prior to submission of the fourth periodic report of Jordan</w:t>
      </w:r>
      <w:r w:rsidRPr="00031A5D">
        <w:rPr>
          <w:rFonts w:ascii="Roboto" w:hAnsi="Roboto"/>
          <w:sz w:val="18"/>
          <w:szCs w:val="18"/>
        </w:rPr>
        <w:t xml:space="preserve">, 13 June 2018, UN Doc. CAT/C/JOR/QPR/4, </w:t>
      </w:r>
      <w:hyperlink r:id="rId35" w:tooltip="https://docstore.ohchr.org/SelfServices/FilesHandler.ashx?enc=6QkG1d%2FPPRiCAqhKb7yhsuoO1aAYJ6VmNP4LonUL9sirGNBx0BDPQylFzMNh%2BBP5a%2FrMh8QqsqtzGhsW21L8Tz%2BXBoT7mChZucEBmnpWUgj6%2FaQhEPGbT7x5z6tA%2FzVB" w:history="1">
        <w:r w:rsidRPr="00031A5D">
          <w:rPr>
            <w:rStyle w:val="Hyperlink"/>
            <w:rFonts w:ascii="Roboto" w:hAnsi="Roboto"/>
            <w:sz w:val="18"/>
            <w:szCs w:val="18"/>
          </w:rPr>
          <w:t>https://docstore.ohchr.org/SelfServices/FilesHandler.ashx?enc=6QkG1d%2FPPRiCAqhKb7yhsuoO1aAYJ6VmNP4LonUL9sirGNBx0BDPQylFzMNh%2BBP5a%2FrMh8QqsqtzGhsW21L8Tz%2BXBoT7mChZucEBmnpWUgj6%2FaQhEPGbT7x5z6tA%2FzVB</w:t>
        </w:r>
      </w:hyperlink>
      <w:r w:rsidRPr="00031A5D">
        <w:rPr>
          <w:rFonts w:ascii="Roboto" w:hAnsi="Roboto"/>
          <w:sz w:val="18"/>
          <w:szCs w:val="18"/>
        </w:rPr>
        <w:t xml:space="preserve"> (accessed 21 August 2024), para. 9.</w:t>
      </w:r>
    </w:p>
  </w:footnote>
  <w:footnote w:id="49">
    <w:p w14:paraId="5467984D"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Committee Against Torture, </w:t>
      </w:r>
      <w:r w:rsidRPr="00031A5D">
        <w:rPr>
          <w:rFonts w:ascii="Roboto" w:hAnsi="Roboto"/>
          <w:i/>
          <w:iCs/>
          <w:sz w:val="18"/>
          <w:szCs w:val="18"/>
        </w:rPr>
        <w:t>List of issues prior to submission of the fourth periodic report of Jordan</w:t>
      </w:r>
      <w:r w:rsidRPr="00031A5D">
        <w:rPr>
          <w:rFonts w:ascii="Roboto" w:hAnsi="Roboto"/>
          <w:sz w:val="18"/>
          <w:szCs w:val="18"/>
        </w:rPr>
        <w:t xml:space="preserve">, 13 June 2018, UN Doc. CAT/C/JOR/QPR/4, </w:t>
      </w:r>
      <w:hyperlink r:id="rId36" w:tooltip="https://docstore.ohchr.org/SelfServices/FilesHandler.ashx?enc=6QkG1d%2FPPRiCAqhKb7yhsuoO1aAYJ6VmNP4LonUL9sirGNBx0BDPQylFzMNh%2BBP5a%2FrMh8QqsqtzGhsW21L8Tz%2BXBoT7mChZucEBmnpWUgj6%2FaQhEPGbT7x5z6tA%2FzVB" w:history="1">
        <w:r w:rsidRPr="00031A5D">
          <w:rPr>
            <w:rStyle w:val="Hyperlink"/>
            <w:rFonts w:ascii="Roboto" w:hAnsi="Roboto"/>
            <w:sz w:val="18"/>
            <w:szCs w:val="18"/>
          </w:rPr>
          <w:t>https://docstore.ohchr.org/SelfServices/FilesHandler.ashx?enc=6QkG1d%2FPPRiCAqhKb7yhsuoO1aAYJ6VmNP4LonUL9sirGNBx0BDPQylFzMNh%2BBP5a%2FrMh8QqsqtzGhsW21L8Tz%2BXBoT7mChZucEBmnpWUgj6%2FaQhEPGbT7x5z6tA%2FzVB</w:t>
        </w:r>
      </w:hyperlink>
      <w:r w:rsidRPr="00031A5D">
        <w:rPr>
          <w:rFonts w:ascii="Roboto" w:hAnsi="Roboto"/>
          <w:sz w:val="18"/>
          <w:szCs w:val="18"/>
        </w:rPr>
        <w:t xml:space="preserve"> (accessed 21 August 2024), para. 9.</w:t>
      </w:r>
    </w:p>
  </w:footnote>
  <w:footnote w:id="50">
    <w:p w14:paraId="254AA4F4" w14:textId="77777777" w:rsidR="00FA7A82" w:rsidRPr="00031A5D" w:rsidRDefault="00000000" w:rsidP="00031A5D">
      <w:pPr>
        <w:pStyle w:val="FootnoteText"/>
        <w:jc w:val="both"/>
        <w:rPr>
          <w:rFonts w:ascii="Roboto" w:hAnsi="Roboto"/>
          <w:b/>
          <w:bCs/>
          <w:sz w:val="18"/>
          <w:szCs w:val="18"/>
        </w:rPr>
      </w:pPr>
      <w:r w:rsidRPr="00031A5D">
        <w:rPr>
          <w:rStyle w:val="FootnoteReference"/>
          <w:rFonts w:ascii="Roboto" w:hAnsi="Roboto"/>
          <w:sz w:val="18"/>
          <w:szCs w:val="18"/>
        </w:rPr>
        <w:footnoteRef/>
      </w:r>
      <w:r w:rsidRPr="00031A5D">
        <w:rPr>
          <w:rFonts w:ascii="Roboto" w:hAnsi="Roboto"/>
          <w:sz w:val="18"/>
          <w:szCs w:val="18"/>
        </w:rPr>
        <w:t xml:space="preserve"> </w:t>
      </w:r>
      <w:r w:rsidRPr="00031A5D">
        <w:rPr>
          <w:rFonts w:ascii="Roboto" w:hAnsi="Roboto"/>
          <w:sz w:val="18"/>
          <w:szCs w:val="18"/>
          <w:lang w:val="en-US"/>
        </w:rPr>
        <w:t xml:space="preserve">Committee Against Torture, </w:t>
      </w:r>
      <w:r w:rsidRPr="00031A5D">
        <w:rPr>
          <w:rFonts w:ascii="Roboto" w:hAnsi="Roboto"/>
          <w:i/>
          <w:iCs/>
          <w:sz w:val="18"/>
          <w:szCs w:val="18"/>
        </w:rPr>
        <w:t>Fourth periodic report submitted by Jordan under article 19 of the Convention pursuant to the simplified reporting procedure, due in 2019</w:t>
      </w:r>
      <w:r w:rsidRPr="00031A5D">
        <w:rPr>
          <w:rFonts w:ascii="Roboto" w:hAnsi="Roboto"/>
          <w:sz w:val="18"/>
          <w:szCs w:val="18"/>
        </w:rPr>
        <w:t xml:space="preserve">, 21 December 2021, UN Doc. CAT/C/JOR/4, </w:t>
      </w:r>
      <w:hyperlink r:id="rId37" w:tooltip="https://docstore.ohchr.org/SelfServices/FilesHandler.ashx?enc=6QkG1d%2FPPRiCAqhKb7yhsuoO1aAYJ6VmNP4LonUL9si%2F6BRpobGHFNy2xW5%2BmLqKH9vcnfYrVk8kUOJb%2BBauqXGSNlarSqeb%2BP%2FZEfv7JDfA8DjIHm3bys7hB5acwHqC" w:history="1">
        <w:r w:rsidRPr="00031A5D">
          <w:rPr>
            <w:rStyle w:val="Hyperlink"/>
            <w:rFonts w:ascii="Roboto" w:hAnsi="Roboto"/>
            <w:sz w:val="18"/>
            <w:szCs w:val="18"/>
          </w:rPr>
          <w:t>https://docstore.ohchr.org/SelfServices/FilesHandler.ashx?enc=6QkG1d%2FPPRiCAqhKb7yhsuoO1aAYJ6VmNP4LonUL9si%2F6BRpobGHFNy2xW5%2BmLqKH9vcnfYrVk8kUOJb%2BBauqXGSNlarSqeb%2BP%2FZEfv7JDfA8DjIHm3bys7hB5acwHqC</w:t>
        </w:r>
      </w:hyperlink>
      <w:r w:rsidRPr="00031A5D">
        <w:rPr>
          <w:rFonts w:ascii="Roboto" w:hAnsi="Roboto"/>
          <w:sz w:val="18"/>
          <w:szCs w:val="18"/>
        </w:rPr>
        <w:t xml:space="preserve"> (accessed 21 August 2024), para. 29.</w:t>
      </w:r>
    </w:p>
  </w:footnote>
  <w:footnote w:id="51">
    <w:p w14:paraId="3BA6FC75"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w:t>
      </w:r>
      <w:r w:rsidRPr="00031A5D">
        <w:rPr>
          <w:rFonts w:ascii="Roboto" w:hAnsi="Roboto"/>
          <w:sz w:val="18"/>
          <w:szCs w:val="18"/>
          <w:lang w:val="en-US"/>
        </w:rPr>
        <w:t xml:space="preserve">Committee Against Torture, </w:t>
      </w:r>
      <w:r w:rsidRPr="00031A5D">
        <w:rPr>
          <w:rFonts w:ascii="Roboto" w:hAnsi="Roboto"/>
          <w:i/>
          <w:iCs/>
          <w:sz w:val="18"/>
          <w:szCs w:val="18"/>
        </w:rPr>
        <w:t>Fourth periodic report submitted by Jordan under article 19 of the Convention pursuant to the simplified reporting procedure, due in 2019</w:t>
      </w:r>
      <w:r w:rsidRPr="00031A5D">
        <w:rPr>
          <w:rFonts w:ascii="Roboto" w:hAnsi="Roboto"/>
          <w:sz w:val="18"/>
          <w:szCs w:val="18"/>
        </w:rPr>
        <w:t xml:space="preserve">, 21 December 2021, UN Doc. CAT/C/JOR/4, </w:t>
      </w:r>
      <w:hyperlink r:id="rId38" w:tooltip="https://docstore.ohchr.org/SelfServices/FilesHandler.ashx?enc=6QkG1d%2FPPRiCAqhKb7yhsuoO1aAYJ6VmNP4LonUL9si%2F6BRpobGHFNy2xW5%2BmLqKH9vcnfYrVk8kUOJb%2BBauqXGSNlarSqeb%2BP%2FZEfv7JDfA8DjIHm3bys7hB5acwHqC" w:history="1">
        <w:r w:rsidRPr="00031A5D">
          <w:rPr>
            <w:rStyle w:val="Hyperlink"/>
            <w:rFonts w:ascii="Roboto" w:hAnsi="Roboto"/>
            <w:sz w:val="18"/>
            <w:szCs w:val="18"/>
          </w:rPr>
          <w:t>https://docstore.ohchr.org/SelfServices/FilesHandler.ashx?enc=6QkG1d%2FPPRiCAqhKb7yhsuoO1aAYJ6VmNP4LonUL9si%2F6BRpobGHFNy2xW5%2BmLqKH9vcnfYrVk8kUOJb%2BBauqXGSNlarSqeb%2BP%2FZEfv7JDfA8DjIHm3bys7hB5acwHqC</w:t>
        </w:r>
      </w:hyperlink>
      <w:r w:rsidRPr="00031A5D">
        <w:rPr>
          <w:rFonts w:ascii="Roboto" w:hAnsi="Roboto"/>
          <w:sz w:val="18"/>
          <w:szCs w:val="18"/>
        </w:rPr>
        <w:t xml:space="preserve"> (accessed 21 August 2024), para. 32.</w:t>
      </w:r>
    </w:p>
  </w:footnote>
  <w:footnote w:id="52">
    <w:p w14:paraId="102FE9DA"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GANHRI, </w:t>
      </w:r>
      <w:r w:rsidRPr="00031A5D">
        <w:rPr>
          <w:rFonts w:ascii="Roboto" w:hAnsi="Roboto"/>
          <w:i/>
          <w:iCs/>
          <w:sz w:val="18"/>
          <w:szCs w:val="18"/>
        </w:rPr>
        <w:t>Accreditation Status as of 19 July 2023</w:t>
      </w:r>
      <w:r w:rsidRPr="00031A5D">
        <w:rPr>
          <w:rFonts w:ascii="Roboto" w:hAnsi="Roboto"/>
          <w:sz w:val="18"/>
          <w:szCs w:val="18"/>
        </w:rPr>
        <w:t xml:space="preserve">, </w:t>
      </w:r>
      <w:hyperlink r:id="rId39" w:tooltip="https://ganhri.org/wp-content/uploads/2024/07/StatusAccreditationChartNHRIs_July2024.pdf" w:history="1">
        <w:r w:rsidRPr="00031A5D">
          <w:rPr>
            <w:rStyle w:val="Hyperlink"/>
            <w:rFonts w:ascii="Roboto" w:hAnsi="Roboto"/>
            <w:sz w:val="18"/>
            <w:szCs w:val="18"/>
          </w:rPr>
          <w:t>https://ganhri.org/wp-content/uploads/2024/07/StatusAccreditationChartNHRIs_July2024.pdf</w:t>
        </w:r>
      </w:hyperlink>
      <w:r w:rsidRPr="00031A5D">
        <w:rPr>
          <w:rFonts w:ascii="Roboto" w:hAnsi="Roboto"/>
          <w:sz w:val="18"/>
          <w:szCs w:val="18"/>
        </w:rPr>
        <w:t xml:space="preserve"> (accessed 25 September 2024), p. 7.</w:t>
      </w:r>
    </w:p>
  </w:footnote>
  <w:footnote w:id="53">
    <w:p w14:paraId="5063EA07" w14:textId="77777777" w:rsidR="00FD5A66" w:rsidRPr="00031A5D" w:rsidRDefault="00FD5A66" w:rsidP="00031A5D">
      <w:pPr>
        <w:pStyle w:val="FootnoteText"/>
        <w:jc w:val="both"/>
        <w:rPr>
          <w:rFonts w:ascii="Roboto" w:hAnsi="Roboto"/>
          <w:sz w:val="18"/>
          <w:szCs w:val="18"/>
          <w:lang w:val="en-US"/>
        </w:rPr>
      </w:pPr>
      <w:r w:rsidRPr="00031A5D">
        <w:rPr>
          <w:rStyle w:val="FootnoteReference"/>
          <w:rFonts w:ascii="Roboto" w:hAnsi="Roboto"/>
          <w:sz w:val="18"/>
          <w:szCs w:val="18"/>
        </w:rPr>
        <w:footnoteRef/>
      </w:r>
      <w:r w:rsidRPr="00031A5D">
        <w:rPr>
          <w:rFonts w:ascii="Roboto" w:hAnsi="Roboto"/>
          <w:sz w:val="18"/>
          <w:szCs w:val="18"/>
        </w:rPr>
        <w:t xml:space="preserve"> Article 13(A) of the National Centre for Human Rights Law No. (51).</w:t>
      </w:r>
    </w:p>
  </w:footnote>
  <w:footnote w:id="54">
    <w:p w14:paraId="65F6D727"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GANHRI, </w:t>
      </w:r>
      <w:r w:rsidRPr="00031A5D">
        <w:rPr>
          <w:rFonts w:ascii="Roboto" w:hAnsi="Roboto"/>
          <w:i/>
          <w:iCs/>
          <w:sz w:val="18"/>
          <w:szCs w:val="18"/>
        </w:rPr>
        <w:t>Report and Recommendations of the Session of the Sub-Committee on Accreditation (SCA)</w:t>
      </w:r>
      <w:r w:rsidRPr="00031A5D">
        <w:rPr>
          <w:rFonts w:ascii="Roboto" w:hAnsi="Roboto"/>
          <w:sz w:val="18"/>
          <w:szCs w:val="18"/>
        </w:rPr>
        <w:t>,</w:t>
      </w:r>
    </w:p>
    <w:p w14:paraId="49A8D267" w14:textId="77777777" w:rsidR="00FA7A82" w:rsidRPr="00031A5D" w:rsidRDefault="00000000" w:rsidP="00031A5D">
      <w:pPr>
        <w:pStyle w:val="FootnoteText"/>
        <w:jc w:val="both"/>
        <w:rPr>
          <w:rFonts w:ascii="Roboto" w:hAnsi="Roboto"/>
          <w:sz w:val="18"/>
          <w:szCs w:val="18"/>
        </w:rPr>
      </w:pPr>
      <w:r w:rsidRPr="00031A5D">
        <w:rPr>
          <w:rFonts w:ascii="Roboto" w:hAnsi="Roboto"/>
          <w:sz w:val="18"/>
          <w:szCs w:val="18"/>
        </w:rPr>
        <w:t xml:space="preserve">3- 7 October 2022, </w:t>
      </w:r>
      <w:hyperlink r:id="rId40" w:tooltip="https://www.ohchr.org/sites/default/files/documents/countries/nhri/ganhri/2022-11-08/SCA-Adopted-Report-October-2022-EN.pdf" w:history="1">
        <w:r w:rsidRPr="00031A5D">
          <w:rPr>
            <w:rStyle w:val="Hyperlink"/>
            <w:rFonts w:ascii="Roboto" w:hAnsi="Roboto"/>
            <w:sz w:val="18"/>
            <w:szCs w:val="18"/>
          </w:rPr>
          <w:t>https://www.ohchr.org/sites/default/files/documents/countries/nhri/ganhri/2022-11-08/SCA-Adopted-Report-October-2022-EN.pdf</w:t>
        </w:r>
      </w:hyperlink>
      <w:r w:rsidRPr="00031A5D">
        <w:rPr>
          <w:rFonts w:ascii="Roboto" w:hAnsi="Roboto"/>
          <w:sz w:val="18"/>
          <w:szCs w:val="18"/>
        </w:rPr>
        <w:t xml:space="preserve"> (accessed 25 September 2024), para. 5.1.</w:t>
      </w:r>
    </w:p>
  </w:footnote>
  <w:footnote w:id="55">
    <w:p w14:paraId="6C9C8E16"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w:t>
      </w:r>
      <w:r w:rsidRPr="00031A5D">
        <w:rPr>
          <w:rFonts w:ascii="Roboto" w:hAnsi="Roboto"/>
          <w:i/>
          <w:iCs/>
          <w:sz w:val="18"/>
          <w:szCs w:val="18"/>
        </w:rPr>
        <w:t>Ibid</w:t>
      </w:r>
      <w:r w:rsidRPr="00031A5D">
        <w:rPr>
          <w:rFonts w:ascii="Roboto" w:hAnsi="Roboto"/>
          <w:sz w:val="18"/>
          <w:szCs w:val="18"/>
        </w:rPr>
        <w:t xml:space="preserve">. </w:t>
      </w:r>
    </w:p>
  </w:footnote>
  <w:footnote w:id="56">
    <w:p w14:paraId="4D03C592"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w:t>
      </w:r>
      <w:r w:rsidRPr="00031A5D">
        <w:rPr>
          <w:rFonts w:ascii="Roboto" w:hAnsi="Roboto"/>
          <w:i/>
          <w:iCs/>
          <w:sz w:val="18"/>
          <w:szCs w:val="18"/>
        </w:rPr>
        <w:t>Ibid</w:t>
      </w:r>
      <w:r w:rsidRPr="00031A5D">
        <w:rPr>
          <w:rFonts w:ascii="Roboto" w:hAnsi="Roboto"/>
          <w:sz w:val="18"/>
          <w:szCs w:val="18"/>
        </w:rPr>
        <w:t>.</w:t>
      </w:r>
    </w:p>
  </w:footnote>
  <w:footnote w:id="57">
    <w:p w14:paraId="74862036" w14:textId="77777777" w:rsidR="001D174F" w:rsidRPr="00031A5D" w:rsidRDefault="001E7D91" w:rsidP="00031A5D">
      <w:pPr>
        <w:pStyle w:val="FootnoteText"/>
        <w:jc w:val="both"/>
        <w:rPr>
          <w:rFonts w:ascii="Roboto" w:hAnsi="Roboto"/>
          <w:sz w:val="18"/>
          <w:szCs w:val="18"/>
        </w:rPr>
      </w:pPr>
      <w:r w:rsidRPr="00031A5D">
        <w:rPr>
          <w:rStyle w:val="FootnoteReference"/>
          <w:rFonts w:ascii="Roboto" w:hAnsi="Roboto"/>
          <w:sz w:val="18"/>
          <w:szCs w:val="18"/>
        </w:rPr>
        <w:footnoteRef/>
      </w:r>
      <w:r w:rsidR="001D174F" w:rsidRPr="00031A5D">
        <w:rPr>
          <w:rFonts w:ascii="Roboto" w:hAnsi="Roboto"/>
          <w:sz w:val="18"/>
          <w:szCs w:val="18"/>
        </w:rPr>
        <w:t xml:space="preserve"> </w:t>
      </w:r>
      <w:r w:rsidR="001D174F" w:rsidRPr="00031A5D">
        <w:rPr>
          <w:rFonts w:ascii="Roboto" w:hAnsi="Roboto"/>
          <w:sz w:val="18"/>
          <w:szCs w:val="18"/>
        </w:rPr>
        <w:t xml:space="preserve">GANHRI, </w:t>
      </w:r>
      <w:r w:rsidR="001D174F" w:rsidRPr="00031A5D">
        <w:rPr>
          <w:rFonts w:ascii="Roboto" w:hAnsi="Roboto"/>
          <w:i/>
          <w:iCs/>
          <w:sz w:val="18"/>
          <w:szCs w:val="18"/>
        </w:rPr>
        <w:t>Report and Recommendations of the Session of the Sub-Committee on Accreditation (SCA)</w:t>
      </w:r>
      <w:r w:rsidR="001D174F" w:rsidRPr="00031A5D">
        <w:rPr>
          <w:rFonts w:ascii="Roboto" w:hAnsi="Roboto"/>
          <w:sz w:val="18"/>
          <w:szCs w:val="18"/>
        </w:rPr>
        <w:t>,</w:t>
      </w:r>
    </w:p>
    <w:p w14:paraId="63DDE0B3" w14:textId="588E9B58" w:rsidR="001E7D91" w:rsidRPr="00031A5D" w:rsidRDefault="001D174F" w:rsidP="00031A5D">
      <w:pPr>
        <w:pStyle w:val="FootnoteText"/>
        <w:jc w:val="both"/>
        <w:rPr>
          <w:rFonts w:ascii="Roboto" w:hAnsi="Roboto"/>
          <w:sz w:val="18"/>
          <w:szCs w:val="18"/>
        </w:rPr>
      </w:pPr>
      <w:r w:rsidRPr="00031A5D">
        <w:rPr>
          <w:rFonts w:ascii="Roboto" w:hAnsi="Roboto"/>
          <w:sz w:val="18"/>
          <w:szCs w:val="18"/>
        </w:rPr>
        <w:t xml:space="preserve">3- 7 October 2022, </w:t>
      </w:r>
      <w:hyperlink r:id="rId41" w:tooltip="https://www.ohchr.org/sites/default/files/documents/countries/nhri/ganhri/2022-11-08/SCA-Adopted-Report-October-2022-EN.pdf" w:history="1">
        <w:r w:rsidRPr="00031A5D">
          <w:rPr>
            <w:rStyle w:val="Hyperlink"/>
            <w:rFonts w:ascii="Roboto" w:hAnsi="Roboto"/>
            <w:sz w:val="18"/>
            <w:szCs w:val="18"/>
          </w:rPr>
          <w:t>https://www.ohchr.org/sites/default/files/documents/countries/nhri/ganhri/2022-11-08/SCA-Adopted-Report-October-2022-EN.pdf</w:t>
        </w:r>
      </w:hyperlink>
      <w:r w:rsidRPr="00031A5D">
        <w:rPr>
          <w:rFonts w:ascii="Roboto" w:hAnsi="Roboto"/>
          <w:sz w:val="18"/>
          <w:szCs w:val="18"/>
        </w:rPr>
        <w:t xml:space="preserve"> (accessed 25 September 2024), para. 5.1.</w:t>
      </w:r>
    </w:p>
  </w:footnote>
  <w:footnote w:id="58">
    <w:p w14:paraId="24BF5B51"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See: Le Monde, </w:t>
      </w:r>
      <w:r w:rsidRPr="00031A5D">
        <w:rPr>
          <w:rFonts w:ascii="Roboto" w:hAnsi="Roboto"/>
          <w:i/>
          <w:iCs/>
          <w:sz w:val="18"/>
          <w:szCs w:val="18"/>
        </w:rPr>
        <w:t>Trial of human rights commissioner in Jordan comes as authoritarian shift symbol</w:t>
      </w:r>
      <w:r w:rsidRPr="00031A5D">
        <w:rPr>
          <w:rFonts w:ascii="Roboto" w:hAnsi="Roboto"/>
          <w:sz w:val="18"/>
          <w:szCs w:val="18"/>
        </w:rPr>
        <w:t xml:space="preserve">, 3 February 2023, </w:t>
      </w:r>
      <w:hyperlink r:id="rId42" w:tooltip="https://www.lemonde.fr/en/international/article/2023/02/03/in-jordan-the-trial-of-a-human-rights-commissioner-is-emblematic-of-an-authoritarian-shift_6014211_4.html#" w:history="1">
        <w:r w:rsidRPr="00031A5D">
          <w:rPr>
            <w:rStyle w:val="Hyperlink"/>
            <w:rFonts w:ascii="Roboto" w:hAnsi="Roboto"/>
            <w:sz w:val="18"/>
            <w:szCs w:val="18"/>
          </w:rPr>
          <w:t>https://www.lemonde.fr/en/international/article/2023/02/03/in-jordan-the-trial-of-a-human-rights-commissioner-is-emblematic-of-an-authoritarian-shift_6014211_4.html#</w:t>
        </w:r>
      </w:hyperlink>
      <w:r w:rsidRPr="00031A5D">
        <w:rPr>
          <w:rFonts w:ascii="Roboto" w:hAnsi="Roboto"/>
          <w:sz w:val="18"/>
          <w:szCs w:val="18"/>
        </w:rPr>
        <w:t xml:space="preserve"> (accessed 25 September 2024).</w:t>
      </w:r>
    </w:p>
  </w:footnote>
  <w:footnote w:id="59">
    <w:p w14:paraId="5C1EEDC5"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GANHRI, </w:t>
      </w:r>
      <w:r w:rsidRPr="00031A5D">
        <w:rPr>
          <w:rFonts w:ascii="Roboto" w:hAnsi="Roboto"/>
          <w:i/>
          <w:iCs/>
          <w:sz w:val="18"/>
          <w:szCs w:val="18"/>
        </w:rPr>
        <w:t>Report and Recommendations of the Session of the Sub-Committee on Accreditation (SCA)</w:t>
      </w:r>
      <w:r w:rsidRPr="00031A5D">
        <w:rPr>
          <w:rFonts w:ascii="Roboto" w:hAnsi="Roboto"/>
          <w:sz w:val="18"/>
          <w:szCs w:val="18"/>
        </w:rPr>
        <w:t>,</w:t>
      </w:r>
    </w:p>
    <w:p w14:paraId="29947303" w14:textId="77777777" w:rsidR="00FA7A82" w:rsidRPr="00031A5D" w:rsidRDefault="00000000" w:rsidP="00031A5D">
      <w:pPr>
        <w:pStyle w:val="FootnoteText"/>
        <w:jc w:val="both"/>
        <w:rPr>
          <w:rFonts w:ascii="Roboto" w:hAnsi="Roboto"/>
          <w:sz w:val="18"/>
          <w:szCs w:val="18"/>
        </w:rPr>
      </w:pPr>
      <w:r w:rsidRPr="00031A5D">
        <w:rPr>
          <w:rFonts w:ascii="Roboto" w:hAnsi="Roboto"/>
          <w:sz w:val="18"/>
          <w:szCs w:val="18"/>
        </w:rPr>
        <w:t xml:space="preserve">3- 7 October 2022, </w:t>
      </w:r>
      <w:hyperlink r:id="rId43" w:tooltip="https://www.ohchr.org/sites/default/files/documents/countries/nhri/ganhri/2022-11-08/SCA-Adopted-Report-October-2022-EN.pdf" w:history="1">
        <w:r w:rsidRPr="00031A5D">
          <w:rPr>
            <w:rStyle w:val="Hyperlink"/>
            <w:rFonts w:ascii="Roboto" w:hAnsi="Roboto"/>
            <w:sz w:val="18"/>
            <w:szCs w:val="18"/>
          </w:rPr>
          <w:t>https://www.ohchr.org/sites/default/files/documents/countries/nhri/ganhri/2022-11-08/SCA-Adopted-Report-October-2022-EN.pdf</w:t>
        </w:r>
      </w:hyperlink>
      <w:r w:rsidRPr="00031A5D">
        <w:rPr>
          <w:rFonts w:ascii="Roboto" w:hAnsi="Roboto"/>
          <w:sz w:val="18"/>
          <w:szCs w:val="18"/>
        </w:rPr>
        <w:t xml:space="preserve"> (accessed 25 September 2024), para. 5.1</w:t>
      </w:r>
    </w:p>
  </w:footnote>
  <w:footnote w:id="60">
    <w:p w14:paraId="3F0D08C4"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GANHRI, Report and Recommendations of the Session of the Sub-Committee on Accreditation</w:t>
      </w:r>
    </w:p>
    <w:p w14:paraId="72161666" w14:textId="77777777" w:rsidR="00FA7A82" w:rsidRPr="00031A5D" w:rsidRDefault="00000000" w:rsidP="00031A5D">
      <w:pPr>
        <w:pStyle w:val="FootnoteText"/>
        <w:jc w:val="both"/>
        <w:rPr>
          <w:rFonts w:ascii="Roboto" w:hAnsi="Roboto"/>
          <w:sz w:val="18"/>
          <w:szCs w:val="18"/>
        </w:rPr>
      </w:pPr>
      <w:r w:rsidRPr="00031A5D">
        <w:rPr>
          <w:rFonts w:ascii="Roboto" w:hAnsi="Roboto"/>
          <w:sz w:val="18"/>
          <w:szCs w:val="18"/>
        </w:rPr>
        <w:t xml:space="preserve">(SCA), 13 February- 24 March 2023, para. 4.1, </w:t>
      </w:r>
      <w:hyperlink r:id="rId44" w:tooltip="https://www.ohchr.org/sites/default/files/documents/countries/nhri/ganhri/SCA-Report-First-Session-2023-EN.pdf" w:history="1">
        <w:r w:rsidRPr="00031A5D">
          <w:rPr>
            <w:rStyle w:val="Hyperlink"/>
            <w:rFonts w:ascii="Roboto" w:hAnsi="Roboto"/>
            <w:sz w:val="18"/>
            <w:szCs w:val="18"/>
          </w:rPr>
          <w:t>https://www.ohchr.org/sites/default/files/documents/countries/nhri/ganhri/SCA-Report-First-Session-2023-EN.pdf</w:t>
        </w:r>
      </w:hyperlink>
      <w:r w:rsidRPr="00031A5D">
        <w:rPr>
          <w:rFonts w:ascii="Roboto" w:hAnsi="Roboto"/>
          <w:sz w:val="18"/>
          <w:szCs w:val="18"/>
        </w:rPr>
        <w:t xml:space="preserve"> (accessed 25 September 2024).</w:t>
      </w:r>
    </w:p>
  </w:footnote>
  <w:footnote w:id="61">
    <w:p w14:paraId="54664708"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Committee Against Torture, </w:t>
      </w:r>
      <w:r w:rsidRPr="00031A5D">
        <w:rPr>
          <w:rFonts w:ascii="Roboto" w:hAnsi="Roboto"/>
          <w:i/>
          <w:iCs/>
          <w:sz w:val="18"/>
          <w:szCs w:val="18"/>
        </w:rPr>
        <w:t>List of issues prior to submission of the fourth periodic report of Jordan</w:t>
      </w:r>
      <w:r w:rsidRPr="00031A5D">
        <w:rPr>
          <w:rFonts w:ascii="Roboto" w:hAnsi="Roboto"/>
          <w:sz w:val="18"/>
          <w:szCs w:val="18"/>
        </w:rPr>
        <w:t xml:space="preserve">, 13 June 2018, UN Doc. CAT/C/JOR/QPR/4, </w:t>
      </w:r>
      <w:hyperlink r:id="rId45" w:tooltip="https://docstore.ohchr.org/SelfServices/FilesHandler.ashx?enc=6QkG1d%2FPPRiCAqhKb7yhsuoO1aAYJ6VmNP4LonUL9sirGNBx0BDPQylFzMNh%2BBP5a%2FrMh8QqsqtzGhsW21L8Tz%2BXBoT7mChZucEBmnpWUgj6%2FaQhEPGbT7x5z6tA%2FzVB" w:history="1">
        <w:r w:rsidRPr="00031A5D">
          <w:rPr>
            <w:rStyle w:val="Hyperlink"/>
            <w:rFonts w:ascii="Roboto" w:hAnsi="Roboto"/>
            <w:sz w:val="18"/>
            <w:szCs w:val="18"/>
          </w:rPr>
          <w:t>https://docstore.ohch</w:t>
        </w:r>
        <w:r w:rsidRPr="00031A5D">
          <w:rPr>
            <w:rStyle w:val="Hyperlink"/>
            <w:rFonts w:ascii="Roboto" w:hAnsi="Roboto"/>
            <w:sz w:val="18"/>
            <w:szCs w:val="18"/>
          </w:rPr>
          <w:t>r</w:t>
        </w:r>
        <w:r w:rsidRPr="00031A5D">
          <w:rPr>
            <w:rStyle w:val="Hyperlink"/>
            <w:rFonts w:ascii="Roboto" w:hAnsi="Roboto"/>
            <w:sz w:val="18"/>
            <w:szCs w:val="18"/>
          </w:rPr>
          <w:t>.org/SelfServices/FilesHandler.ashx?enc=6QkG1d%2FPPRiCAqhKb7yhsuoO1aAYJ6VmNP4LonUL9sirGNBx0BDPQylFzMNh%2BBP5a%2FrMh8QqsqtzGhsW21L8Tz%2BXBoT7mChZucEBmnpWUgj6%2FaQhEPGbT7x5z6tA%2FzVB</w:t>
        </w:r>
      </w:hyperlink>
      <w:r w:rsidRPr="00031A5D">
        <w:rPr>
          <w:rFonts w:ascii="Roboto" w:hAnsi="Roboto"/>
          <w:sz w:val="18"/>
          <w:szCs w:val="18"/>
        </w:rPr>
        <w:t xml:space="preserve"> (accessed 21 August 2024), para. 18.</w:t>
      </w:r>
    </w:p>
  </w:footnote>
  <w:footnote w:id="62">
    <w:p w14:paraId="72BFE109" w14:textId="77777777" w:rsidR="00FA7A82" w:rsidRPr="00031A5D" w:rsidRDefault="00000000" w:rsidP="00031A5D">
      <w:pPr>
        <w:pStyle w:val="FootnoteText"/>
        <w:jc w:val="both"/>
        <w:rPr>
          <w:rFonts w:ascii="Roboto" w:hAnsi="Roboto"/>
          <w:b/>
          <w:bCs/>
          <w:sz w:val="18"/>
          <w:szCs w:val="18"/>
        </w:rPr>
      </w:pPr>
      <w:r w:rsidRPr="00031A5D">
        <w:rPr>
          <w:rStyle w:val="FootnoteReference"/>
          <w:rFonts w:ascii="Roboto" w:hAnsi="Roboto"/>
          <w:sz w:val="18"/>
          <w:szCs w:val="18"/>
        </w:rPr>
        <w:footnoteRef/>
      </w:r>
      <w:r w:rsidRPr="00031A5D">
        <w:rPr>
          <w:rFonts w:ascii="Roboto" w:hAnsi="Roboto"/>
          <w:sz w:val="18"/>
          <w:szCs w:val="18"/>
        </w:rPr>
        <w:t xml:space="preserve"> </w:t>
      </w:r>
      <w:r w:rsidRPr="00031A5D">
        <w:rPr>
          <w:rFonts w:ascii="Roboto" w:hAnsi="Roboto"/>
          <w:sz w:val="18"/>
          <w:szCs w:val="18"/>
          <w:lang w:val="en-US"/>
        </w:rPr>
        <w:t xml:space="preserve">Committee Against Torture, </w:t>
      </w:r>
      <w:r w:rsidRPr="00031A5D">
        <w:rPr>
          <w:rFonts w:ascii="Roboto" w:hAnsi="Roboto"/>
          <w:i/>
          <w:iCs/>
          <w:sz w:val="18"/>
          <w:szCs w:val="18"/>
        </w:rPr>
        <w:t>Fourth periodic report submitted by Jordan under article 19 of the Convention pursuant to the simplified reporting procedure, due in 2019</w:t>
      </w:r>
      <w:r w:rsidRPr="00031A5D">
        <w:rPr>
          <w:rFonts w:ascii="Roboto" w:hAnsi="Roboto"/>
          <w:sz w:val="18"/>
          <w:szCs w:val="18"/>
        </w:rPr>
        <w:t xml:space="preserve">, 21 December 2021, UN Doc. CAT/C/JOR/4, </w:t>
      </w:r>
      <w:hyperlink r:id="rId46" w:tooltip="https://docstore.ohchr.org/SelfServices/FilesHandler.ashx?enc=6QkG1d%2FPPRiCAqhKb7yhsuoO1aAYJ6VmNP4LonUL9si%2F6BRpobGHFNy2xW5%2BmLqKH9vcnfYrVk8kUOJb%2BBauqXGSNlarSqeb%2BP%2FZEfv7JDfA8DjIHm3bys7hB5acwHqC" w:history="1">
        <w:r w:rsidRPr="00031A5D">
          <w:rPr>
            <w:rStyle w:val="Hyperlink"/>
            <w:rFonts w:ascii="Roboto" w:hAnsi="Roboto"/>
            <w:sz w:val="18"/>
            <w:szCs w:val="18"/>
          </w:rPr>
          <w:t>https://docstore.ohchr.org/SelfServices/FilesHandler.ashx?enc=6QkG1d%2FPPRiCAqhKb7yhsuoO1aAYJ6VmNP4LonUL9si%2F6BRpobGHFNy2xW5%2BmLqKH9vcnfYrVk8kUOJb%2BBauqXGSNlarSqeb%2BP%2FZEfv7JDfA8DjIHm3bys7hB5acwHqC</w:t>
        </w:r>
      </w:hyperlink>
      <w:r w:rsidRPr="00031A5D">
        <w:rPr>
          <w:rFonts w:ascii="Roboto" w:hAnsi="Roboto"/>
          <w:sz w:val="18"/>
          <w:szCs w:val="18"/>
        </w:rPr>
        <w:t xml:space="preserve"> (accessed 21 August 2024), para. 84.</w:t>
      </w:r>
    </w:p>
  </w:footnote>
  <w:footnote w:id="63">
    <w:p w14:paraId="4628FC06" w14:textId="77777777" w:rsidR="00FA7A82" w:rsidRPr="00031A5D" w:rsidRDefault="00000000" w:rsidP="00031A5D">
      <w:pPr>
        <w:pStyle w:val="FootnoteText"/>
        <w:jc w:val="both"/>
        <w:rPr>
          <w:rFonts w:ascii="Roboto" w:hAnsi="Roboto"/>
          <w:sz w:val="18"/>
          <w:szCs w:val="18"/>
          <w:lang w:val="en-US"/>
        </w:rPr>
      </w:pPr>
      <w:r w:rsidRPr="00031A5D">
        <w:rPr>
          <w:rStyle w:val="FootnoteReference"/>
          <w:rFonts w:ascii="Roboto" w:hAnsi="Roboto"/>
          <w:sz w:val="18"/>
          <w:szCs w:val="18"/>
        </w:rPr>
        <w:footnoteRef/>
      </w:r>
      <w:r w:rsidRPr="00031A5D">
        <w:rPr>
          <w:rFonts w:ascii="Roboto" w:hAnsi="Roboto"/>
          <w:sz w:val="18"/>
          <w:szCs w:val="18"/>
        </w:rPr>
        <w:t xml:space="preserve"> Council of Arab Ministers of Justice, </w:t>
      </w:r>
      <w:r w:rsidRPr="00031A5D">
        <w:rPr>
          <w:rFonts w:ascii="Roboto" w:hAnsi="Roboto"/>
          <w:i/>
          <w:iCs/>
          <w:sz w:val="18"/>
          <w:szCs w:val="18"/>
        </w:rPr>
        <w:t>Riyadh Arab Agreement for Judicial Cooperation</w:t>
      </w:r>
      <w:r w:rsidRPr="00031A5D">
        <w:rPr>
          <w:rFonts w:ascii="Roboto" w:hAnsi="Roboto"/>
          <w:sz w:val="18"/>
          <w:szCs w:val="18"/>
        </w:rPr>
        <w:t xml:space="preserve">, 6 April 1983, </w:t>
      </w:r>
      <w:hyperlink r:id="rId47" w:tooltip="https://www.refworld.org/docid/3ae6b38d8.html" w:history="1">
        <w:r w:rsidRPr="00031A5D">
          <w:rPr>
            <w:rStyle w:val="Hyperlink"/>
            <w:rFonts w:ascii="Roboto" w:hAnsi="Roboto"/>
            <w:sz w:val="18"/>
            <w:szCs w:val="18"/>
          </w:rPr>
          <w:t>https://www.refworld.org/docid/3ae6b38d8.html</w:t>
        </w:r>
      </w:hyperlink>
      <w:r w:rsidRPr="00031A5D">
        <w:rPr>
          <w:rFonts w:ascii="Roboto" w:hAnsi="Roboto"/>
          <w:sz w:val="18"/>
          <w:szCs w:val="18"/>
        </w:rPr>
        <w:t xml:space="preserve"> (accessed 24 September 2024).</w:t>
      </w:r>
    </w:p>
  </w:footnote>
  <w:footnote w:id="64">
    <w:p w14:paraId="2D593F48"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Article 41 (1) and (3) of the Riyadh Convention.</w:t>
      </w:r>
    </w:p>
  </w:footnote>
  <w:footnote w:id="65">
    <w:p w14:paraId="53DD8379" w14:textId="77777777" w:rsidR="00FA7A82" w:rsidRPr="00031A5D" w:rsidRDefault="00000000" w:rsidP="00031A5D">
      <w:pPr>
        <w:pStyle w:val="FootnoteText"/>
        <w:jc w:val="both"/>
        <w:rPr>
          <w:rFonts w:ascii="Roboto" w:hAnsi="Roboto"/>
          <w:sz w:val="18"/>
          <w:szCs w:val="18"/>
          <w:lang w:val="en-US"/>
        </w:rPr>
      </w:pPr>
      <w:r w:rsidRPr="00031A5D">
        <w:rPr>
          <w:rStyle w:val="FootnoteReference"/>
          <w:rFonts w:ascii="Roboto" w:hAnsi="Roboto"/>
          <w:sz w:val="18"/>
          <w:szCs w:val="18"/>
        </w:rPr>
        <w:footnoteRef/>
      </w:r>
      <w:r w:rsidRPr="00031A5D">
        <w:rPr>
          <w:rFonts w:ascii="Roboto" w:hAnsi="Roboto"/>
          <w:sz w:val="18"/>
          <w:szCs w:val="18"/>
        </w:rPr>
        <w:t xml:space="preserve"> </w:t>
      </w:r>
      <w:r w:rsidRPr="00031A5D">
        <w:rPr>
          <w:rFonts w:ascii="Roboto" w:hAnsi="Roboto"/>
          <w:sz w:val="18"/>
          <w:szCs w:val="18"/>
          <w:lang w:val="en-US"/>
        </w:rPr>
        <w:t xml:space="preserve">League of Arab States, </w:t>
      </w:r>
      <w:r w:rsidRPr="00031A5D">
        <w:rPr>
          <w:rFonts w:ascii="Roboto" w:hAnsi="Roboto"/>
          <w:i/>
          <w:iCs/>
          <w:sz w:val="18"/>
          <w:szCs w:val="18"/>
          <w:lang w:val="en-US"/>
        </w:rPr>
        <w:t>The Arab Convention for the Suppression of Terrorism</w:t>
      </w:r>
      <w:r w:rsidRPr="00031A5D">
        <w:rPr>
          <w:rFonts w:ascii="Roboto" w:hAnsi="Roboto"/>
          <w:sz w:val="18"/>
          <w:szCs w:val="18"/>
          <w:lang w:val="en-US"/>
        </w:rPr>
        <w:t xml:space="preserve">, April 1998, </w:t>
      </w:r>
      <w:hyperlink r:id="rId48" w:tooltip="https://www.refworld.org/legal/agreements/las/1998/en/29059" w:history="1">
        <w:r w:rsidRPr="00031A5D">
          <w:rPr>
            <w:rStyle w:val="Hyperlink"/>
            <w:rFonts w:ascii="Roboto" w:hAnsi="Roboto"/>
            <w:sz w:val="18"/>
            <w:szCs w:val="18"/>
            <w:lang w:val="en-US"/>
          </w:rPr>
          <w:t>https://www.refworld.org/legal/agreements/las/1998/en/29059</w:t>
        </w:r>
      </w:hyperlink>
      <w:r w:rsidRPr="00031A5D">
        <w:rPr>
          <w:rFonts w:ascii="Roboto" w:hAnsi="Roboto"/>
          <w:sz w:val="18"/>
          <w:szCs w:val="18"/>
          <w:lang w:val="en-US"/>
        </w:rPr>
        <w:t xml:space="preserve"> (accessed 23 September 2024).</w:t>
      </w:r>
    </w:p>
  </w:footnote>
  <w:footnote w:id="66">
    <w:p w14:paraId="74099C62" w14:textId="77777777" w:rsidR="00FA7A82" w:rsidRPr="00031A5D" w:rsidRDefault="00000000" w:rsidP="00031A5D">
      <w:pPr>
        <w:pStyle w:val="FootnoteText"/>
        <w:jc w:val="both"/>
        <w:rPr>
          <w:rFonts w:ascii="Roboto" w:hAnsi="Roboto"/>
          <w:sz w:val="18"/>
          <w:szCs w:val="18"/>
          <w:lang w:val="en-US"/>
        </w:rPr>
      </w:pPr>
      <w:r w:rsidRPr="00031A5D">
        <w:rPr>
          <w:rStyle w:val="FootnoteReference"/>
          <w:rFonts w:ascii="Roboto" w:hAnsi="Roboto"/>
          <w:sz w:val="18"/>
          <w:szCs w:val="18"/>
        </w:rPr>
        <w:footnoteRef/>
      </w:r>
      <w:r w:rsidRPr="00031A5D">
        <w:rPr>
          <w:rFonts w:ascii="Roboto" w:hAnsi="Roboto"/>
          <w:sz w:val="18"/>
          <w:szCs w:val="18"/>
        </w:rPr>
        <w:t xml:space="preserve"> </w:t>
      </w:r>
      <w:r w:rsidRPr="00031A5D">
        <w:rPr>
          <w:rFonts w:ascii="Roboto" w:hAnsi="Roboto"/>
          <w:sz w:val="18"/>
          <w:szCs w:val="18"/>
          <w:lang w:val="en-US"/>
        </w:rPr>
        <w:t xml:space="preserve">MENA Rights Group, </w:t>
      </w:r>
      <w:r w:rsidRPr="00031A5D">
        <w:rPr>
          <w:rFonts w:ascii="Roboto" w:hAnsi="Roboto"/>
          <w:i/>
          <w:iCs/>
          <w:sz w:val="18"/>
          <w:szCs w:val="18"/>
          <w:lang w:val="en-US"/>
        </w:rPr>
        <w:t>Understanding the Arab Interior Ministers' Council and its role in transnational repression</w:t>
      </w:r>
      <w:r w:rsidRPr="00031A5D">
        <w:rPr>
          <w:rFonts w:ascii="Roboto" w:hAnsi="Roboto"/>
          <w:sz w:val="18"/>
          <w:szCs w:val="18"/>
          <w:lang w:val="en-US"/>
        </w:rPr>
        <w:t xml:space="preserve">, 17 August 2023, </w:t>
      </w:r>
      <w:hyperlink r:id="rId49" w:tooltip="https://www.menarights.org/en/articles/aimc" w:history="1">
        <w:r w:rsidRPr="00031A5D">
          <w:rPr>
            <w:rStyle w:val="Hyperlink"/>
            <w:rFonts w:ascii="Roboto" w:hAnsi="Roboto"/>
            <w:sz w:val="18"/>
            <w:szCs w:val="18"/>
            <w:lang w:val="en-US"/>
          </w:rPr>
          <w:t>https://www.menarights.org/en/articles/aimc</w:t>
        </w:r>
      </w:hyperlink>
      <w:r w:rsidRPr="00031A5D">
        <w:rPr>
          <w:rFonts w:ascii="Roboto" w:hAnsi="Roboto"/>
          <w:sz w:val="18"/>
          <w:szCs w:val="18"/>
          <w:lang w:val="en-US"/>
        </w:rPr>
        <w:t xml:space="preserve"> (accessed 25 September 2024).</w:t>
      </w:r>
    </w:p>
  </w:footnote>
  <w:footnote w:id="67">
    <w:p w14:paraId="2FC15D3B"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Naif Arab University for Security Sciences website, </w:t>
      </w:r>
      <w:r w:rsidRPr="00031A5D">
        <w:rPr>
          <w:rFonts w:ascii="Roboto" w:hAnsi="Roboto"/>
          <w:i/>
          <w:iCs/>
          <w:sz w:val="18"/>
          <w:szCs w:val="18"/>
        </w:rPr>
        <w:t xml:space="preserve">His Excellency </w:t>
      </w:r>
      <w:proofErr w:type="spellStart"/>
      <w:r w:rsidRPr="00031A5D">
        <w:rPr>
          <w:rFonts w:ascii="Roboto" w:hAnsi="Roboto"/>
          <w:i/>
          <w:iCs/>
          <w:sz w:val="18"/>
          <w:szCs w:val="18"/>
        </w:rPr>
        <w:t>Dr.</w:t>
      </w:r>
      <w:proofErr w:type="spellEnd"/>
      <w:r w:rsidRPr="00031A5D">
        <w:rPr>
          <w:rFonts w:ascii="Roboto" w:hAnsi="Roboto"/>
          <w:i/>
          <w:iCs/>
          <w:sz w:val="18"/>
          <w:szCs w:val="18"/>
        </w:rPr>
        <w:t xml:space="preserve"> Mohammad Bin Ali Kuman</w:t>
      </w:r>
      <w:r w:rsidRPr="00031A5D">
        <w:rPr>
          <w:rFonts w:ascii="Roboto" w:hAnsi="Roboto"/>
          <w:sz w:val="18"/>
          <w:szCs w:val="18"/>
        </w:rPr>
        <w:t xml:space="preserve">, </w:t>
      </w:r>
      <w:hyperlink r:id="rId50" w:tooltip="https://dailyreports.nauss.edu.sa/en-us/about-nauss/Pages/supreme-council/dr-muhammad-koman.aspx" w:history="1">
        <w:r w:rsidRPr="00031A5D">
          <w:rPr>
            <w:rStyle w:val="Hyperlink"/>
            <w:rFonts w:ascii="Roboto" w:hAnsi="Roboto"/>
            <w:sz w:val="18"/>
            <w:szCs w:val="18"/>
          </w:rPr>
          <w:t>https://dailyreports.nauss.edu.sa/en-us/about-nauss/Pages/supreme-council/dr-muhammad-koman.aspx</w:t>
        </w:r>
      </w:hyperlink>
      <w:r w:rsidRPr="00031A5D">
        <w:rPr>
          <w:rFonts w:ascii="Roboto" w:hAnsi="Roboto"/>
          <w:sz w:val="18"/>
          <w:szCs w:val="18"/>
        </w:rPr>
        <w:t xml:space="preserve"> (accessed 25 September 2024).</w:t>
      </w:r>
    </w:p>
  </w:footnote>
  <w:footnote w:id="68">
    <w:p w14:paraId="28225D0D" w14:textId="77777777" w:rsidR="00FA7A82" w:rsidRPr="00031A5D" w:rsidRDefault="00000000" w:rsidP="00031A5D">
      <w:pPr>
        <w:pStyle w:val="FootnoteText"/>
        <w:jc w:val="both"/>
        <w:rPr>
          <w:rFonts w:ascii="Roboto" w:hAnsi="Roboto"/>
          <w:sz w:val="18"/>
          <w:szCs w:val="18"/>
          <w:lang w:val="en-US"/>
        </w:rPr>
      </w:pPr>
      <w:r w:rsidRPr="00031A5D">
        <w:rPr>
          <w:rStyle w:val="FootnoteReference"/>
          <w:rFonts w:ascii="Roboto" w:hAnsi="Roboto"/>
          <w:sz w:val="18"/>
          <w:szCs w:val="18"/>
        </w:rPr>
        <w:footnoteRef/>
      </w:r>
      <w:r w:rsidRPr="00031A5D">
        <w:rPr>
          <w:rFonts w:ascii="Roboto" w:hAnsi="Roboto"/>
          <w:sz w:val="18"/>
          <w:szCs w:val="18"/>
        </w:rPr>
        <w:t xml:space="preserve"> </w:t>
      </w:r>
      <w:r w:rsidRPr="00031A5D">
        <w:rPr>
          <w:rFonts w:ascii="Roboto" w:hAnsi="Roboto"/>
          <w:sz w:val="18"/>
          <w:szCs w:val="18"/>
          <w:lang w:val="en-US"/>
        </w:rPr>
        <w:t xml:space="preserve">Arab Interior Ministers’ Council website, </w:t>
      </w:r>
      <w:r w:rsidRPr="00031A5D">
        <w:rPr>
          <w:rFonts w:ascii="Roboto" w:hAnsi="Roboto"/>
          <w:i/>
          <w:iCs/>
          <w:sz w:val="18"/>
          <w:szCs w:val="18"/>
          <w:lang w:val="en-US"/>
        </w:rPr>
        <w:t>Arab Office for Combating Extremism and Terrorism</w:t>
      </w:r>
      <w:r w:rsidRPr="00031A5D">
        <w:rPr>
          <w:rFonts w:ascii="Roboto" w:hAnsi="Roboto"/>
          <w:sz w:val="18"/>
          <w:szCs w:val="18"/>
          <w:lang w:val="en-US"/>
        </w:rPr>
        <w:t xml:space="preserve">, </w:t>
      </w:r>
      <w:hyperlink r:id="rId51" w:tooltip="https://www.aim-council.org/specialized-offices/riyadh/" w:history="1">
        <w:r w:rsidRPr="00031A5D">
          <w:rPr>
            <w:rStyle w:val="Hyperlink"/>
            <w:rFonts w:ascii="Roboto" w:hAnsi="Roboto"/>
            <w:sz w:val="18"/>
            <w:szCs w:val="18"/>
            <w:lang w:val="en-US"/>
          </w:rPr>
          <w:t>https://www.aim-council.org/specialized-offices/riyadh/</w:t>
        </w:r>
      </w:hyperlink>
      <w:r w:rsidRPr="00031A5D">
        <w:rPr>
          <w:rFonts w:ascii="Roboto" w:hAnsi="Roboto"/>
          <w:sz w:val="18"/>
          <w:szCs w:val="18"/>
          <w:lang w:val="en-US"/>
        </w:rPr>
        <w:t xml:space="preserve"> (accessed 25 September 2024).</w:t>
      </w:r>
    </w:p>
  </w:footnote>
  <w:footnote w:id="69">
    <w:p w14:paraId="4958938A"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Article 57 of the Riyadh Convention provides that the contracting parties should “undertake coordination of extradition request procedures” with the “Arab Organisation for Social </w:t>
      </w:r>
      <w:proofErr w:type="spellStart"/>
      <w:r w:rsidRPr="00031A5D">
        <w:rPr>
          <w:rFonts w:ascii="Roboto" w:hAnsi="Roboto"/>
          <w:sz w:val="18"/>
          <w:szCs w:val="18"/>
        </w:rPr>
        <w:t>Defense</w:t>
      </w:r>
      <w:proofErr w:type="spellEnd"/>
      <w:r w:rsidRPr="00031A5D">
        <w:rPr>
          <w:rFonts w:ascii="Roboto" w:hAnsi="Roboto"/>
          <w:sz w:val="18"/>
          <w:szCs w:val="18"/>
        </w:rPr>
        <w:t xml:space="preserve"> Against Crime (Arab Criminal Police Bureau), through the liaison offices concerned.” This Arab Bureau of Criminal Police was replaced by the Department of Criminal Prosecution and Data within the General Secretariat of the AIMC through the Resolution No. 667 of the Council dated 13 March 2013.</w:t>
      </w:r>
    </w:p>
  </w:footnote>
  <w:footnote w:id="70">
    <w:p w14:paraId="6620EA79" w14:textId="77777777" w:rsidR="00FA7A82" w:rsidRPr="00031A5D" w:rsidRDefault="00000000" w:rsidP="00031A5D">
      <w:pPr>
        <w:pStyle w:val="FootnoteText"/>
        <w:jc w:val="both"/>
        <w:rPr>
          <w:rFonts w:ascii="Roboto" w:hAnsi="Roboto"/>
          <w:sz w:val="18"/>
          <w:szCs w:val="18"/>
          <w:lang w:val="en-US"/>
        </w:rPr>
      </w:pPr>
      <w:r w:rsidRPr="00031A5D">
        <w:rPr>
          <w:rStyle w:val="FootnoteReference"/>
          <w:rFonts w:ascii="Roboto" w:hAnsi="Roboto"/>
          <w:sz w:val="18"/>
          <w:szCs w:val="18"/>
        </w:rPr>
        <w:footnoteRef/>
      </w:r>
      <w:r w:rsidRPr="00031A5D">
        <w:rPr>
          <w:rFonts w:ascii="Roboto" w:hAnsi="Roboto"/>
          <w:sz w:val="18"/>
          <w:szCs w:val="18"/>
        </w:rPr>
        <w:t xml:space="preserve"> Arab Interior Ministers’ Council, </w:t>
      </w:r>
      <w:r w:rsidRPr="00031A5D">
        <w:rPr>
          <w:rFonts w:ascii="Roboto" w:hAnsi="Roboto"/>
          <w:i/>
          <w:iCs/>
          <w:sz w:val="18"/>
          <w:szCs w:val="18"/>
        </w:rPr>
        <w:t>Arab Interior Ministers’ Council’s Basic Law</w:t>
      </w:r>
      <w:r w:rsidRPr="00031A5D">
        <w:rPr>
          <w:rFonts w:ascii="Roboto" w:hAnsi="Roboto"/>
          <w:sz w:val="18"/>
          <w:szCs w:val="18"/>
        </w:rPr>
        <w:t xml:space="preserve">, 23 September 1982, </w:t>
      </w:r>
      <w:hyperlink r:id="rId52" w:tooltip="https://www.mohamah.net/law/wp-content/uploads/2017/01/%D9%86%D8%B5%D9%88%D8%B5-%D9%88-%D9%85%D9%88%D8%A7%D8%AF-%D8%A7%D9%84%D9%86%D8%B8%D8%A7%D9%85-%D8%A7%D9%84%D8%A3%D8%B3%D8%A7%D8%B3%D9%8A-%D9%84%D9%85%D8%AC%D9%84%D8%B3-%D9%88%D8%B2%D8%B1%D8%A7%D8%A1-%" w:history="1">
        <w:r w:rsidRPr="00031A5D">
          <w:rPr>
            <w:rStyle w:val="Hyperlink"/>
            <w:rFonts w:ascii="Roboto" w:hAnsi="Roboto"/>
            <w:sz w:val="18"/>
            <w:szCs w:val="18"/>
          </w:rPr>
          <w:t>https://www.mohamah.net/law/wp-content/uploads/2017/01/%D9%86%D8%B5%D9%88%D8%B5-%D9%88-%D9%85%D9%88%D8%A7%D8%AF-%D8%A7%D9%84%D9%86%D8%B8%D8%A7%D9%85-%D8%A7%D9%84%D8%A3%D8%B3%D8%A7%D8%B3%D9%8A-%D9%84%D9%85%D8%AC%D9%84%D8%B3-%D9%88%D8%B2%D8%B1%D8%A7%D8%A1-%D8%A7%D9%84%D8%AF%D8%A7%D8%AE%D9%84%D9%8A%D8%A9-%D8%A7%D9%84%D8%B9%D8%B1%D8%A8.pdf</w:t>
        </w:r>
      </w:hyperlink>
      <w:r w:rsidRPr="00031A5D">
        <w:rPr>
          <w:rFonts w:ascii="Roboto" w:hAnsi="Roboto"/>
          <w:sz w:val="18"/>
          <w:szCs w:val="18"/>
        </w:rPr>
        <w:t xml:space="preserve"> (accessed 25 September 2024).</w:t>
      </w:r>
    </w:p>
  </w:footnote>
  <w:footnote w:id="71">
    <w:p w14:paraId="0E446C8A" w14:textId="2C1F1F6B" w:rsidR="0010606D" w:rsidRPr="00031A5D" w:rsidRDefault="0010606D"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w:t>
      </w:r>
      <w:r w:rsidRPr="00031A5D">
        <w:rPr>
          <w:rFonts w:ascii="Roboto" w:hAnsi="Roboto"/>
          <w:sz w:val="18"/>
          <w:szCs w:val="18"/>
        </w:rPr>
        <w:t>Arab Interior Ministers’ Council,</w:t>
      </w:r>
      <w:r w:rsidR="00821DDB" w:rsidRPr="00031A5D">
        <w:rPr>
          <w:rFonts w:ascii="Roboto" w:hAnsi="Roboto"/>
          <w:sz w:val="18"/>
          <w:szCs w:val="18"/>
        </w:rPr>
        <w:t xml:space="preserve"> </w:t>
      </w:r>
      <w:r w:rsidR="00851037" w:rsidRPr="00031A5D">
        <w:rPr>
          <w:rFonts w:ascii="Roboto" w:hAnsi="Roboto"/>
          <w:i/>
          <w:iCs/>
          <w:sz w:val="18"/>
          <w:szCs w:val="18"/>
        </w:rPr>
        <w:t>Organs of the Council of Arab Interior Ministers</w:t>
      </w:r>
      <w:r w:rsidR="00851037" w:rsidRPr="00031A5D">
        <w:rPr>
          <w:rFonts w:ascii="Roboto" w:hAnsi="Roboto"/>
          <w:sz w:val="18"/>
          <w:szCs w:val="18"/>
        </w:rPr>
        <w:t xml:space="preserve">, </w:t>
      </w:r>
      <w:hyperlink r:id="rId53" w:history="1">
        <w:r w:rsidR="00851037" w:rsidRPr="00031A5D">
          <w:rPr>
            <w:rStyle w:val="Hyperlink"/>
            <w:rFonts w:ascii="Roboto" w:hAnsi="Roboto"/>
            <w:sz w:val="18"/>
            <w:szCs w:val="18"/>
          </w:rPr>
          <w:t>https://www.aim-council.org/about/council-devices/</w:t>
        </w:r>
      </w:hyperlink>
      <w:r w:rsidR="00851037" w:rsidRPr="00031A5D">
        <w:rPr>
          <w:rFonts w:ascii="Roboto" w:hAnsi="Roboto"/>
          <w:sz w:val="18"/>
          <w:szCs w:val="18"/>
        </w:rPr>
        <w:t xml:space="preserve"> (accessed 30 September 2024).</w:t>
      </w:r>
    </w:p>
  </w:footnote>
  <w:footnote w:id="72">
    <w:p w14:paraId="17D01FE4"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This Department is tasked with various counterterrorism functions, including facilitating cooperation among Arab nations to apprehend fugitive terrorists, coordinating the exchange of terrorism-related information between Arab countries, receiving and circulating requests warrants for persons accused or convicted of terrorist offenses, regularly updating and sharing the list of individuals involved in “planning, executing, or financing terrorist acts” with Member States, enriching the General Secretariat's database of terrorist operatives with pertinent data, and making this database accessible to Member States.</w:t>
      </w:r>
    </w:p>
  </w:footnote>
  <w:footnote w:id="73">
    <w:p w14:paraId="266431F1" w14:textId="77777777" w:rsidR="00FA7A82" w:rsidRPr="00031A5D" w:rsidRDefault="00000000" w:rsidP="00031A5D">
      <w:pPr>
        <w:pStyle w:val="FootnoteText"/>
        <w:jc w:val="both"/>
        <w:rPr>
          <w:rFonts w:ascii="Roboto" w:hAnsi="Roboto"/>
          <w:sz w:val="18"/>
          <w:szCs w:val="18"/>
          <w:lang w:val="en-US"/>
        </w:rPr>
      </w:pPr>
      <w:r w:rsidRPr="00031A5D">
        <w:rPr>
          <w:rStyle w:val="FootnoteReference"/>
          <w:rFonts w:ascii="Roboto" w:hAnsi="Roboto"/>
          <w:sz w:val="18"/>
          <w:szCs w:val="18"/>
        </w:rPr>
        <w:footnoteRef/>
      </w:r>
      <w:r w:rsidRPr="00031A5D">
        <w:rPr>
          <w:rFonts w:ascii="Roboto" w:hAnsi="Roboto"/>
          <w:sz w:val="18"/>
          <w:szCs w:val="18"/>
        </w:rPr>
        <w:t xml:space="preserve"> </w:t>
      </w:r>
      <w:proofErr w:type="spellStart"/>
      <w:r w:rsidRPr="00031A5D">
        <w:rPr>
          <w:rFonts w:ascii="Roboto" w:hAnsi="Roboto"/>
          <w:sz w:val="18"/>
          <w:szCs w:val="18"/>
        </w:rPr>
        <w:t>Okaz</w:t>
      </w:r>
      <w:proofErr w:type="spellEnd"/>
      <w:r w:rsidRPr="00031A5D">
        <w:rPr>
          <w:rFonts w:ascii="Roboto" w:hAnsi="Roboto"/>
          <w:sz w:val="18"/>
          <w:szCs w:val="18"/>
        </w:rPr>
        <w:t xml:space="preserve">, </w:t>
      </w:r>
      <w:r w:rsidRPr="00031A5D">
        <w:rPr>
          <w:rFonts w:ascii="Roboto" w:hAnsi="Roboto"/>
          <w:i/>
          <w:iCs/>
          <w:sz w:val="18"/>
          <w:szCs w:val="18"/>
        </w:rPr>
        <w:t>Secretary of the “Arab Interior Ministers” to “</w:t>
      </w:r>
      <w:proofErr w:type="spellStart"/>
      <w:r w:rsidRPr="00031A5D">
        <w:rPr>
          <w:rFonts w:ascii="Roboto" w:hAnsi="Roboto"/>
          <w:i/>
          <w:iCs/>
          <w:sz w:val="18"/>
          <w:szCs w:val="18"/>
        </w:rPr>
        <w:t>Okaz</w:t>
      </w:r>
      <w:proofErr w:type="spellEnd"/>
      <w:r w:rsidRPr="00031A5D">
        <w:rPr>
          <w:rFonts w:ascii="Roboto" w:hAnsi="Roboto"/>
          <w:i/>
          <w:iCs/>
          <w:sz w:val="18"/>
          <w:szCs w:val="18"/>
        </w:rPr>
        <w:t>”: A mechanism for issuing “search warrants” against wanted persons soon</w:t>
      </w:r>
      <w:r w:rsidRPr="00031A5D">
        <w:rPr>
          <w:rFonts w:ascii="Roboto" w:hAnsi="Roboto"/>
          <w:sz w:val="18"/>
          <w:szCs w:val="18"/>
        </w:rPr>
        <w:t xml:space="preserve">, 3 April 2017, </w:t>
      </w:r>
      <w:hyperlink r:id="rId54" w:tooltip="https://www.okaz.com.sa/local/na/1537363" w:history="1">
        <w:r w:rsidRPr="00031A5D">
          <w:rPr>
            <w:rStyle w:val="Hyperlink"/>
            <w:rFonts w:ascii="Roboto" w:hAnsi="Roboto"/>
            <w:sz w:val="18"/>
            <w:szCs w:val="18"/>
          </w:rPr>
          <w:t>https://www.okaz.com.sa/local/na/1537363</w:t>
        </w:r>
      </w:hyperlink>
      <w:r w:rsidRPr="00031A5D">
        <w:rPr>
          <w:rFonts w:ascii="Roboto" w:hAnsi="Roboto"/>
          <w:sz w:val="18"/>
          <w:szCs w:val="18"/>
        </w:rPr>
        <w:t xml:space="preserve"> (accessed 24 September 2024).</w:t>
      </w:r>
    </w:p>
  </w:footnote>
  <w:footnote w:id="74">
    <w:p w14:paraId="6CDCA24C" w14:textId="77777777" w:rsidR="00FA7A82" w:rsidRPr="00031A5D" w:rsidRDefault="00000000" w:rsidP="00031A5D">
      <w:pPr>
        <w:pStyle w:val="FootnoteText"/>
        <w:jc w:val="both"/>
        <w:rPr>
          <w:rFonts w:ascii="Roboto" w:hAnsi="Roboto"/>
          <w:sz w:val="18"/>
          <w:szCs w:val="18"/>
          <w:lang w:val="en-US"/>
        </w:rPr>
      </w:pPr>
      <w:r w:rsidRPr="00031A5D">
        <w:rPr>
          <w:rStyle w:val="FootnoteReference"/>
          <w:rFonts w:ascii="Roboto" w:hAnsi="Roboto"/>
          <w:sz w:val="18"/>
          <w:szCs w:val="18"/>
        </w:rPr>
        <w:footnoteRef/>
      </w:r>
      <w:r w:rsidRPr="00031A5D">
        <w:rPr>
          <w:rFonts w:ascii="Roboto" w:hAnsi="Roboto"/>
          <w:sz w:val="18"/>
          <w:szCs w:val="18"/>
        </w:rPr>
        <w:t xml:space="preserve"> </w:t>
      </w:r>
      <w:r w:rsidRPr="00031A5D">
        <w:rPr>
          <w:rFonts w:ascii="Roboto" w:hAnsi="Roboto"/>
          <w:i/>
          <w:iCs/>
          <w:sz w:val="18"/>
          <w:szCs w:val="18"/>
          <w:lang w:val="en-US"/>
        </w:rPr>
        <w:t>Ibid</w:t>
      </w:r>
      <w:r w:rsidRPr="00031A5D">
        <w:rPr>
          <w:rFonts w:ascii="Roboto" w:hAnsi="Roboto"/>
          <w:sz w:val="18"/>
          <w:szCs w:val="18"/>
          <w:lang w:val="en-US"/>
        </w:rPr>
        <w:t xml:space="preserve">. </w:t>
      </w:r>
    </w:p>
  </w:footnote>
  <w:footnote w:id="75">
    <w:p w14:paraId="674B1CD7"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w:t>
      </w:r>
      <w:r w:rsidRPr="00031A5D">
        <w:rPr>
          <w:rFonts w:ascii="Roboto" w:hAnsi="Roboto"/>
          <w:i/>
          <w:iCs/>
          <w:sz w:val="18"/>
          <w:szCs w:val="18"/>
        </w:rPr>
        <w:t>Ibid</w:t>
      </w:r>
      <w:r w:rsidRPr="00031A5D">
        <w:rPr>
          <w:rFonts w:ascii="Roboto" w:hAnsi="Roboto"/>
          <w:sz w:val="18"/>
          <w:szCs w:val="18"/>
        </w:rPr>
        <w:t xml:space="preserve">. </w:t>
      </w:r>
    </w:p>
  </w:footnote>
  <w:footnote w:id="76">
    <w:p w14:paraId="479E5F36" w14:textId="77777777" w:rsidR="00FA7A82" w:rsidRPr="00031A5D" w:rsidRDefault="00000000" w:rsidP="00031A5D">
      <w:pPr>
        <w:pStyle w:val="FootnoteText"/>
        <w:jc w:val="both"/>
        <w:rPr>
          <w:rFonts w:ascii="Roboto" w:hAnsi="Roboto"/>
          <w:sz w:val="18"/>
          <w:szCs w:val="18"/>
          <w:lang w:val="en-US"/>
        </w:rPr>
      </w:pPr>
      <w:r w:rsidRPr="00031A5D">
        <w:rPr>
          <w:rStyle w:val="FootnoteReference"/>
          <w:rFonts w:ascii="Roboto" w:hAnsi="Roboto"/>
          <w:sz w:val="18"/>
          <w:szCs w:val="18"/>
        </w:rPr>
        <w:footnoteRef/>
      </w:r>
      <w:r w:rsidRPr="00031A5D">
        <w:rPr>
          <w:rFonts w:ascii="Roboto" w:hAnsi="Roboto"/>
          <w:sz w:val="18"/>
          <w:szCs w:val="18"/>
        </w:rPr>
        <w:t xml:space="preserve"> </w:t>
      </w:r>
      <w:r w:rsidRPr="00031A5D">
        <w:rPr>
          <w:rFonts w:ascii="Roboto" w:hAnsi="Roboto"/>
          <w:i/>
          <w:iCs/>
          <w:sz w:val="18"/>
          <w:szCs w:val="18"/>
          <w:lang w:val="en-US"/>
        </w:rPr>
        <w:t>Ibid</w:t>
      </w:r>
      <w:r w:rsidRPr="00031A5D">
        <w:rPr>
          <w:rFonts w:ascii="Roboto" w:hAnsi="Roboto"/>
          <w:sz w:val="18"/>
          <w:szCs w:val="18"/>
          <w:lang w:val="en-US"/>
        </w:rPr>
        <w:t xml:space="preserve">. </w:t>
      </w:r>
    </w:p>
  </w:footnote>
  <w:footnote w:id="77">
    <w:p w14:paraId="21B7852B" w14:textId="77777777" w:rsidR="00FA7A82" w:rsidRPr="00031A5D" w:rsidRDefault="00000000" w:rsidP="00031A5D">
      <w:pPr>
        <w:pStyle w:val="FootnoteText"/>
        <w:jc w:val="both"/>
        <w:rPr>
          <w:rFonts w:ascii="Roboto" w:hAnsi="Roboto"/>
          <w:sz w:val="18"/>
          <w:szCs w:val="18"/>
          <w:lang w:val="en-US"/>
        </w:rPr>
      </w:pPr>
      <w:r w:rsidRPr="00031A5D">
        <w:rPr>
          <w:rStyle w:val="FootnoteReference"/>
          <w:rFonts w:ascii="Roboto" w:hAnsi="Roboto"/>
          <w:sz w:val="18"/>
          <w:szCs w:val="18"/>
        </w:rPr>
        <w:footnoteRef/>
      </w:r>
      <w:r w:rsidRPr="00031A5D">
        <w:rPr>
          <w:rFonts w:ascii="Roboto" w:hAnsi="Roboto"/>
          <w:sz w:val="18"/>
          <w:szCs w:val="18"/>
        </w:rPr>
        <w:t xml:space="preserve"> </w:t>
      </w:r>
      <w:r w:rsidRPr="00031A5D">
        <w:rPr>
          <w:rFonts w:ascii="Roboto" w:hAnsi="Roboto"/>
          <w:sz w:val="18"/>
          <w:szCs w:val="18"/>
          <w:lang w:val="en-US"/>
        </w:rPr>
        <w:t xml:space="preserve">INTERPOL Website, </w:t>
      </w:r>
      <w:r w:rsidRPr="00031A5D">
        <w:rPr>
          <w:rFonts w:ascii="Roboto" w:hAnsi="Roboto"/>
          <w:i/>
          <w:iCs/>
          <w:sz w:val="18"/>
          <w:szCs w:val="18"/>
          <w:lang w:val="en-US"/>
        </w:rPr>
        <w:t>Commission for the Control of INTERPOL’s Files (CCF)</w:t>
      </w:r>
      <w:r w:rsidRPr="00031A5D">
        <w:rPr>
          <w:rFonts w:ascii="Roboto" w:hAnsi="Roboto"/>
          <w:sz w:val="18"/>
          <w:szCs w:val="18"/>
          <w:lang w:val="en-US"/>
        </w:rPr>
        <w:t xml:space="preserve">, </w:t>
      </w:r>
      <w:hyperlink r:id="rId55" w:tooltip="https://www.interpol.int/Who-we-are/Commission-for-the-Control-of-INTERPOL-s-Files-CCF" w:history="1">
        <w:r w:rsidRPr="00031A5D">
          <w:rPr>
            <w:rStyle w:val="Hyperlink"/>
            <w:rFonts w:ascii="Roboto" w:hAnsi="Roboto"/>
            <w:sz w:val="18"/>
            <w:szCs w:val="18"/>
            <w:lang w:val="en-US"/>
          </w:rPr>
          <w:t>https://www.interpol.int/Who-we-are/Commission-for-the-Control-of-INTERPOL-s-Files-CCF</w:t>
        </w:r>
      </w:hyperlink>
      <w:r w:rsidRPr="00031A5D">
        <w:rPr>
          <w:rFonts w:ascii="Roboto" w:hAnsi="Roboto"/>
          <w:sz w:val="18"/>
          <w:szCs w:val="18"/>
          <w:lang w:val="en-US"/>
        </w:rPr>
        <w:t xml:space="preserve"> (accessed 24 September 2024).</w:t>
      </w:r>
    </w:p>
  </w:footnote>
  <w:footnote w:id="78">
    <w:p w14:paraId="187C8157"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w:t>
      </w:r>
      <w:r w:rsidRPr="00031A5D">
        <w:rPr>
          <w:rFonts w:ascii="Roboto" w:hAnsi="Roboto"/>
          <w:sz w:val="18"/>
          <w:szCs w:val="18"/>
          <w:lang w:val="en-US"/>
        </w:rPr>
        <w:t xml:space="preserve">INTERPOL Website, </w:t>
      </w:r>
      <w:r w:rsidRPr="00031A5D">
        <w:rPr>
          <w:rFonts w:ascii="Roboto" w:hAnsi="Roboto"/>
          <w:i/>
          <w:iCs/>
          <w:sz w:val="18"/>
          <w:szCs w:val="18"/>
          <w:lang w:val="en-US"/>
        </w:rPr>
        <w:t>Compliance and review</w:t>
      </w:r>
      <w:r w:rsidRPr="00031A5D">
        <w:rPr>
          <w:rFonts w:ascii="Roboto" w:hAnsi="Roboto"/>
          <w:sz w:val="18"/>
          <w:szCs w:val="18"/>
          <w:lang w:val="en-US"/>
        </w:rPr>
        <w:t xml:space="preserve">, </w:t>
      </w:r>
      <w:hyperlink r:id="rId56" w:tooltip="https://www.interpol.int/How-we-work/Notices/Compliance-and-review" w:history="1">
        <w:r w:rsidRPr="00031A5D">
          <w:rPr>
            <w:rStyle w:val="Hyperlink"/>
            <w:rFonts w:ascii="Roboto" w:hAnsi="Roboto"/>
            <w:sz w:val="18"/>
            <w:szCs w:val="18"/>
            <w:lang w:val="en-US"/>
          </w:rPr>
          <w:t>https://www.interpol.int/How-we-work/Notices/Compliance-and-review</w:t>
        </w:r>
      </w:hyperlink>
      <w:r w:rsidRPr="00031A5D">
        <w:rPr>
          <w:rFonts w:ascii="Roboto" w:hAnsi="Roboto"/>
          <w:sz w:val="18"/>
          <w:szCs w:val="18"/>
          <w:lang w:val="en-US"/>
        </w:rPr>
        <w:t xml:space="preserve"> (accessed 24 September 2024).</w:t>
      </w:r>
    </w:p>
  </w:footnote>
  <w:footnote w:id="79">
    <w:p w14:paraId="29A6C71B" w14:textId="5A6F2C2E"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w:t>
      </w:r>
      <w:r w:rsidR="00B16427" w:rsidRPr="00031A5D">
        <w:rPr>
          <w:rFonts w:ascii="Roboto" w:hAnsi="Roboto"/>
          <w:sz w:val="18"/>
          <w:szCs w:val="18"/>
        </w:rPr>
        <w:t xml:space="preserve">Among them, Hassan al-Rabea, a member of the Saudi Shi’a religious minority, was deported from Morocco to Saudi Arabia, in violation of the principle of </w:t>
      </w:r>
      <w:r w:rsidR="00B16427" w:rsidRPr="00031A5D">
        <w:rPr>
          <w:rFonts w:ascii="Roboto" w:hAnsi="Roboto"/>
          <w:i/>
          <w:iCs/>
          <w:sz w:val="18"/>
          <w:szCs w:val="18"/>
        </w:rPr>
        <w:t>non-refoulement</w:t>
      </w:r>
      <w:r w:rsidR="00B16427" w:rsidRPr="00031A5D">
        <w:rPr>
          <w:rFonts w:ascii="Roboto" w:hAnsi="Roboto"/>
          <w:sz w:val="18"/>
          <w:szCs w:val="18"/>
        </w:rPr>
        <w:t>.</w:t>
      </w:r>
      <w:r w:rsidR="00196706" w:rsidRPr="00031A5D">
        <w:rPr>
          <w:rFonts w:ascii="Roboto" w:hAnsi="Roboto"/>
          <w:sz w:val="18"/>
          <w:szCs w:val="18"/>
        </w:rPr>
        <w:t xml:space="preserve"> </w:t>
      </w:r>
      <w:r w:rsidR="00B16427" w:rsidRPr="00031A5D">
        <w:rPr>
          <w:rFonts w:ascii="Roboto" w:hAnsi="Roboto"/>
          <w:sz w:val="18"/>
          <w:szCs w:val="18"/>
        </w:rPr>
        <w:t>Special Procedures mandate holders have notably highlighted the unlawful character of the extradition proceedings faced by al-Rabea</w:t>
      </w:r>
      <w:r w:rsidR="00764DB1" w:rsidRPr="00031A5D">
        <w:rPr>
          <w:rFonts w:ascii="Roboto" w:hAnsi="Roboto"/>
          <w:sz w:val="18"/>
          <w:szCs w:val="18"/>
        </w:rPr>
        <w:t xml:space="preserve">. </w:t>
      </w:r>
      <w:proofErr w:type="spellStart"/>
      <w:r w:rsidR="00B16427" w:rsidRPr="00031A5D">
        <w:rPr>
          <w:rFonts w:ascii="Roboto" w:hAnsi="Roboto"/>
          <w:sz w:val="18"/>
          <w:szCs w:val="18"/>
        </w:rPr>
        <w:t>See</w:t>
      </w:r>
      <w:proofErr w:type="spellEnd"/>
      <w:r w:rsidR="00B16427" w:rsidRPr="00031A5D">
        <w:rPr>
          <w:rFonts w:ascii="Roboto" w:hAnsi="Roboto"/>
          <w:sz w:val="18"/>
          <w:szCs w:val="18"/>
        </w:rPr>
        <w:t xml:space="preserve">: </w:t>
      </w:r>
      <w:r w:rsidRPr="00031A5D">
        <w:rPr>
          <w:rFonts w:ascii="Roboto" w:hAnsi="Roboto"/>
          <w:sz w:val="18"/>
          <w:szCs w:val="18"/>
        </w:rPr>
        <w:t xml:space="preserve">Special Procedures, </w:t>
      </w:r>
      <w:r w:rsidRPr="00031A5D">
        <w:rPr>
          <w:rFonts w:ascii="Roboto" w:hAnsi="Roboto"/>
          <w:i/>
          <w:iCs/>
          <w:sz w:val="18"/>
          <w:szCs w:val="18"/>
        </w:rPr>
        <w:t>UA MAR 1/2023</w:t>
      </w:r>
      <w:r w:rsidRPr="00031A5D">
        <w:rPr>
          <w:rFonts w:ascii="Roboto" w:hAnsi="Roboto"/>
          <w:sz w:val="18"/>
          <w:szCs w:val="18"/>
        </w:rPr>
        <w:t xml:space="preserve">, 7 February 2023, </w:t>
      </w:r>
      <w:hyperlink r:id="rId57" w:tooltip="https://spcommreports.ohchr.org/TMResultsBase/DownLoadPublicCommunicationFile?gId=27863" w:history="1">
        <w:r w:rsidRPr="00031A5D">
          <w:rPr>
            <w:rStyle w:val="Hyperlink"/>
            <w:rFonts w:ascii="Roboto" w:hAnsi="Roboto"/>
            <w:sz w:val="18"/>
            <w:szCs w:val="18"/>
          </w:rPr>
          <w:t>https://spcommreports.ohchr.org/TMResultsBase/DownLoadPublicCommunicationFile?gId=27863</w:t>
        </w:r>
      </w:hyperlink>
      <w:r w:rsidRPr="00031A5D">
        <w:rPr>
          <w:rFonts w:ascii="Roboto" w:hAnsi="Roboto"/>
          <w:sz w:val="18"/>
          <w:szCs w:val="18"/>
        </w:rPr>
        <w:t xml:space="preserve"> (accessed 24 September 2024).</w:t>
      </w:r>
    </w:p>
  </w:footnote>
  <w:footnote w:id="80">
    <w:p w14:paraId="7E311093"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Special Procedures, </w:t>
      </w:r>
      <w:r w:rsidRPr="00031A5D">
        <w:rPr>
          <w:rFonts w:ascii="Roboto" w:hAnsi="Roboto"/>
          <w:i/>
          <w:iCs/>
          <w:sz w:val="18"/>
          <w:szCs w:val="18"/>
        </w:rPr>
        <w:t>OL OTH 71/2023</w:t>
      </w:r>
      <w:r w:rsidRPr="00031A5D">
        <w:rPr>
          <w:rFonts w:ascii="Roboto" w:hAnsi="Roboto"/>
          <w:sz w:val="18"/>
          <w:szCs w:val="18"/>
        </w:rPr>
        <w:t xml:space="preserve">, 23 June 2023, </w:t>
      </w:r>
      <w:hyperlink r:id="rId58" w:tooltip="https://spcommreports.ohchr.org/TMResultsBase/DownLoadPublicCommunicationFile?gId=28070" w:history="1">
        <w:r w:rsidRPr="00031A5D">
          <w:rPr>
            <w:rStyle w:val="Hyperlink"/>
            <w:rFonts w:ascii="Roboto" w:hAnsi="Roboto"/>
            <w:sz w:val="18"/>
            <w:szCs w:val="18"/>
          </w:rPr>
          <w:t>https://spcommreports.ohchr.org/TMResultsBase/DownLoadPublicCommunicationFile?gId=28070</w:t>
        </w:r>
      </w:hyperlink>
      <w:r w:rsidRPr="00031A5D">
        <w:rPr>
          <w:rFonts w:ascii="Roboto" w:hAnsi="Roboto"/>
          <w:sz w:val="18"/>
          <w:szCs w:val="18"/>
        </w:rPr>
        <w:t xml:space="preserve"> (accessed 24 September 2024).</w:t>
      </w:r>
    </w:p>
  </w:footnote>
  <w:footnote w:id="81">
    <w:p w14:paraId="3B55D954" w14:textId="77777777" w:rsidR="00FA7A82" w:rsidRPr="00031A5D" w:rsidRDefault="00000000" w:rsidP="00031A5D">
      <w:pPr>
        <w:pStyle w:val="FootnoteText"/>
        <w:jc w:val="both"/>
        <w:rPr>
          <w:rFonts w:ascii="Roboto" w:hAnsi="Roboto"/>
          <w:sz w:val="18"/>
          <w:szCs w:val="18"/>
          <w:lang w:val="en-US"/>
        </w:rPr>
      </w:pPr>
      <w:r w:rsidRPr="00031A5D">
        <w:rPr>
          <w:rStyle w:val="FootnoteReference"/>
          <w:rFonts w:ascii="Roboto" w:hAnsi="Roboto"/>
          <w:sz w:val="18"/>
          <w:szCs w:val="18"/>
        </w:rPr>
        <w:footnoteRef/>
      </w:r>
      <w:r w:rsidRPr="00031A5D">
        <w:rPr>
          <w:rFonts w:ascii="Roboto" w:hAnsi="Roboto"/>
          <w:sz w:val="18"/>
          <w:szCs w:val="18"/>
        </w:rPr>
        <w:t xml:space="preserve"> Special Rapporteur on the promotion and protection of human rights and fundamental freedoms while countering terrorism, </w:t>
      </w:r>
      <w:r w:rsidRPr="00031A5D">
        <w:rPr>
          <w:rFonts w:ascii="Roboto" w:hAnsi="Roboto"/>
          <w:i/>
          <w:iCs/>
          <w:sz w:val="18"/>
          <w:szCs w:val="18"/>
        </w:rPr>
        <w:t>Outcome document of the Middle East And North Africa (MENA) Civil Society Consultation On The Impact Of Counter-Terrorism Measures On Civil Society And Civic Space</w:t>
      </w:r>
      <w:r w:rsidRPr="00031A5D">
        <w:rPr>
          <w:rFonts w:ascii="Roboto" w:hAnsi="Roboto"/>
          <w:sz w:val="18"/>
          <w:szCs w:val="18"/>
        </w:rPr>
        <w:t xml:space="preserve">, </w:t>
      </w:r>
      <w:hyperlink r:id="rId59" w:tooltip="https://defendcivicspace.com/wp-content/uploads/2024/01/SRCT_MENA_OutcomeDocument.pdf" w:history="1">
        <w:r w:rsidRPr="00031A5D">
          <w:rPr>
            <w:rStyle w:val="Hyperlink"/>
            <w:rFonts w:ascii="Roboto" w:hAnsi="Roboto"/>
            <w:sz w:val="18"/>
            <w:szCs w:val="18"/>
          </w:rPr>
          <w:t>https://defendcivicspace.com/wp-content/uploads/2024/01/SRCT_MENA_OutcomeDocument.pdf</w:t>
        </w:r>
      </w:hyperlink>
      <w:r w:rsidRPr="00031A5D">
        <w:rPr>
          <w:rFonts w:ascii="Roboto" w:hAnsi="Roboto"/>
          <w:sz w:val="18"/>
          <w:szCs w:val="18"/>
        </w:rPr>
        <w:t xml:space="preserve"> (accessed 24 September 2024).</w:t>
      </w:r>
    </w:p>
  </w:footnote>
  <w:footnote w:id="82">
    <w:p w14:paraId="677F4401" w14:textId="77777777" w:rsidR="00FA7A82" w:rsidRPr="00031A5D" w:rsidRDefault="00000000" w:rsidP="00031A5D">
      <w:pPr>
        <w:pStyle w:val="FootnoteText"/>
        <w:jc w:val="both"/>
        <w:rPr>
          <w:rFonts w:ascii="Roboto" w:hAnsi="Roboto"/>
          <w:sz w:val="18"/>
          <w:szCs w:val="18"/>
          <w:lang w:val="en-US"/>
        </w:rPr>
      </w:pPr>
      <w:r w:rsidRPr="00031A5D">
        <w:rPr>
          <w:rStyle w:val="FootnoteReference"/>
          <w:rFonts w:ascii="Roboto" w:hAnsi="Roboto"/>
          <w:sz w:val="18"/>
          <w:szCs w:val="18"/>
        </w:rPr>
        <w:footnoteRef/>
      </w:r>
      <w:r w:rsidRPr="00031A5D">
        <w:rPr>
          <w:rFonts w:ascii="Roboto" w:hAnsi="Roboto"/>
          <w:sz w:val="18"/>
          <w:szCs w:val="18"/>
        </w:rPr>
        <w:t xml:space="preserve"> </w:t>
      </w:r>
      <w:r w:rsidRPr="00031A5D">
        <w:rPr>
          <w:rFonts w:ascii="Roboto" w:hAnsi="Roboto"/>
          <w:sz w:val="18"/>
          <w:szCs w:val="18"/>
          <w:lang w:val="en-US"/>
        </w:rPr>
        <w:t xml:space="preserve">MENA Rights Group, </w:t>
      </w:r>
      <w:r w:rsidRPr="00031A5D">
        <w:rPr>
          <w:rFonts w:ascii="Roboto" w:hAnsi="Roboto"/>
          <w:i/>
          <w:iCs/>
          <w:sz w:val="18"/>
          <w:szCs w:val="18"/>
          <w:lang w:val="en-US"/>
        </w:rPr>
        <w:t>Emirati dissident disappears in Jordan, risking forcible return to the UAE</w:t>
      </w:r>
      <w:r w:rsidRPr="00031A5D">
        <w:rPr>
          <w:rFonts w:ascii="Roboto" w:hAnsi="Roboto"/>
          <w:sz w:val="18"/>
          <w:szCs w:val="18"/>
          <w:lang w:val="en-US"/>
        </w:rPr>
        <w:t xml:space="preserve">, 16 May 2023, </w:t>
      </w:r>
      <w:hyperlink r:id="rId60" w:tooltip="https://menarights.org/en/case/khalaf-abdul-rahman-abdulla-humaid-al-romaithi" w:history="1">
        <w:r w:rsidRPr="00031A5D">
          <w:rPr>
            <w:rStyle w:val="Hyperlink"/>
            <w:rFonts w:ascii="Roboto" w:hAnsi="Roboto"/>
            <w:sz w:val="18"/>
            <w:szCs w:val="18"/>
            <w:lang w:val="en-US"/>
          </w:rPr>
          <w:t>https://menarights.org/en/case/khalaf-abdul-rahman-abdulla-humaid-al-romaithi</w:t>
        </w:r>
      </w:hyperlink>
      <w:r w:rsidRPr="00031A5D">
        <w:rPr>
          <w:rFonts w:ascii="Roboto" w:hAnsi="Roboto"/>
          <w:sz w:val="18"/>
          <w:szCs w:val="18"/>
          <w:lang w:val="en-US"/>
        </w:rPr>
        <w:t xml:space="preserve"> (accessed 24 September 2024).</w:t>
      </w:r>
    </w:p>
  </w:footnote>
  <w:footnote w:id="83">
    <w:p w14:paraId="1860C810"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MENA Rights Group, </w:t>
      </w:r>
      <w:r w:rsidRPr="00031A5D">
        <w:rPr>
          <w:rFonts w:ascii="Roboto" w:hAnsi="Roboto"/>
          <w:i/>
          <w:iCs/>
          <w:sz w:val="18"/>
          <w:szCs w:val="18"/>
        </w:rPr>
        <w:t>United Arab Emirates: Free members of UAE94 and other prisoners of conscience</w:t>
      </w:r>
      <w:r w:rsidRPr="00031A5D">
        <w:rPr>
          <w:rFonts w:ascii="Roboto" w:hAnsi="Roboto"/>
          <w:sz w:val="18"/>
          <w:szCs w:val="18"/>
        </w:rPr>
        <w:t xml:space="preserve">, 1 July 2022, </w:t>
      </w:r>
      <w:hyperlink r:id="rId61" w:tooltip="https://menarights.org/en/articles/united-arab-emirates-free-members-uae94-and-other-prisoners-conscience" w:history="1">
        <w:r w:rsidRPr="00031A5D">
          <w:rPr>
            <w:rStyle w:val="Hyperlink"/>
            <w:rFonts w:ascii="Roboto" w:hAnsi="Roboto"/>
            <w:sz w:val="18"/>
            <w:szCs w:val="18"/>
          </w:rPr>
          <w:t>https://menarights.org/en/articles/united-arab-emirates-free-members-uae94-and-other-prisoners-conscience</w:t>
        </w:r>
      </w:hyperlink>
      <w:r w:rsidRPr="00031A5D">
        <w:rPr>
          <w:rFonts w:ascii="Roboto" w:hAnsi="Roboto"/>
          <w:sz w:val="18"/>
          <w:szCs w:val="18"/>
        </w:rPr>
        <w:t xml:space="preserve"> (accessed 23 September 2024).</w:t>
      </w:r>
    </w:p>
  </w:footnote>
  <w:footnote w:id="84">
    <w:p w14:paraId="53E7BE4A"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Working Group on Arbitrary Detention, </w:t>
      </w:r>
      <w:r w:rsidRPr="00031A5D">
        <w:rPr>
          <w:rFonts w:ascii="Roboto" w:hAnsi="Roboto"/>
          <w:i/>
          <w:iCs/>
          <w:sz w:val="18"/>
          <w:szCs w:val="18"/>
        </w:rPr>
        <w:t>No. 60/2013 (United Arab Emirates)</w:t>
      </w:r>
      <w:r w:rsidRPr="00031A5D">
        <w:rPr>
          <w:rFonts w:ascii="Roboto" w:hAnsi="Roboto"/>
          <w:sz w:val="18"/>
          <w:szCs w:val="18"/>
        </w:rPr>
        <w:t xml:space="preserve">, 9 September 2013, UN Doc. A/HRC/WGAD/2013/60, </w:t>
      </w:r>
      <w:hyperlink r:id="rId62" w:tooltip="https://documents.un.org/doc/undoc/gen/g14/131/83/pdf/g1413183.pdf" w:history="1">
        <w:r w:rsidRPr="00031A5D">
          <w:rPr>
            <w:rStyle w:val="Hyperlink"/>
            <w:rFonts w:ascii="Roboto" w:hAnsi="Roboto"/>
            <w:sz w:val="18"/>
            <w:szCs w:val="18"/>
          </w:rPr>
          <w:t>https://documents.un.org/doc/undoc/gen/g14/131/83/pdf/g1413183.pdf</w:t>
        </w:r>
      </w:hyperlink>
      <w:r w:rsidRPr="00031A5D">
        <w:rPr>
          <w:rFonts w:ascii="Roboto" w:hAnsi="Roboto"/>
          <w:sz w:val="18"/>
          <w:szCs w:val="18"/>
        </w:rPr>
        <w:t xml:space="preserve"> (accessed 24 September 2024).</w:t>
      </w:r>
    </w:p>
  </w:footnote>
  <w:footnote w:id="85">
    <w:p w14:paraId="7C7C0AB9" w14:textId="77777777" w:rsidR="00FA7A82" w:rsidRPr="00031A5D" w:rsidRDefault="00000000" w:rsidP="00031A5D">
      <w:pPr>
        <w:pStyle w:val="FootnoteText"/>
        <w:jc w:val="both"/>
        <w:rPr>
          <w:rFonts w:ascii="Roboto" w:hAnsi="Roboto"/>
          <w:sz w:val="18"/>
          <w:szCs w:val="18"/>
          <w:lang w:val="en-US"/>
        </w:rPr>
      </w:pPr>
      <w:r w:rsidRPr="00031A5D">
        <w:rPr>
          <w:rStyle w:val="FootnoteReference"/>
          <w:rFonts w:ascii="Roboto" w:hAnsi="Roboto"/>
          <w:sz w:val="18"/>
          <w:szCs w:val="18"/>
        </w:rPr>
        <w:footnoteRef/>
      </w:r>
      <w:r w:rsidRPr="00031A5D">
        <w:rPr>
          <w:rFonts w:ascii="Roboto" w:hAnsi="Roboto"/>
          <w:sz w:val="18"/>
          <w:szCs w:val="18"/>
        </w:rPr>
        <w:t xml:space="preserve"> </w:t>
      </w:r>
      <w:r w:rsidRPr="00031A5D">
        <w:rPr>
          <w:rFonts w:ascii="Roboto" w:hAnsi="Roboto"/>
          <w:sz w:val="18"/>
          <w:szCs w:val="18"/>
          <w:lang w:val="en-US"/>
        </w:rPr>
        <w:t xml:space="preserve">See: Official website of the Public Security Directorate, </w:t>
      </w:r>
      <w:r w:rsidRPr="00031A5D">
        <w:rPr>
          <w:rFonts w:ascii="Roboto" w:hAnsi="Roboto"/>
          <w:i/>
          <w:iCs/>
          <w:sz w:val="18"/>
          <w:szCs w:val="18"/>
          <w:lang w:val="en-US"/>
        </w:rPr>
        <w:t>Arab and International Police Department / Interpol</w:t>
      </w:r>
      <w:r w:rsidRPr="00031A5D">
        <w:rPr>
          <w:rFonts w:ascii="Roboto" w:hAnsi="Roboto"/>
          <w:sz w:val="18"/>
          <w:szCs w:val="18"/>
          <w:lang w:val="en-US"/>
        </w:rPr>
        <w:t xml:space="preserve">, </w:t>
      </w:r>
      <w:hyperlink r:id="rId63" w:tooltip="https://psd.gov.jo/en-us/psd-department-s/arab-and-international-police-department-interpol/" w:history="1">
        <w:r w:rsidRPr="00031A5D">
          <w:rPr>
            <w:rStyle w:val="Hyperlink"/>
            <w:rFonts w:ascii="Roboto" w:hAnsi="Roboto"/>
            <w:sz w:val="18"/>
            <w:szCs w:val="18"/>
            <w:lang w:val="en-US"/>
          </w:rPr>
          <w:t>https://psd.gov.jo/en-us/psd-department-s/arab-and-international-police-department-interpol/</w:t>
        </w:r>
      </w:hyperlink>
      <w:r w:rsidRPr="00031A5D">
        <w:rPr>
          <w:rFonts w:ascii="Roboto" w:hAnsi="Roboto"/>
          <w:sz w:val="18"/>
          <w:szCs w:val="18"/>
          <w:lang w:val="en-US"/>
        </w:rPr>
        <w:t xml:space="preserve"> (accessed 25 September 2024).</w:t>
      </w:r>
    </w:p>
  </w:footnote>
  <w:footnote w:id="86">
    <w:p w14:paraId="2D11B2B1" w14:textId="06C32D7A" w:rsidR="00F35307" w:rsidRPr="00031A5D" w:rsidRDefault="00F35307" w:rsidP="00031A5D">
      <w:pPr>
        <w:pStyle w:val="FootnoteText"/>
        <w:jc w:val="both"/>
        <w:rPr>
          <w:rFonts w:ascii="Roboto" w:hAnsi="Roboto"/>
          <w:b/>
          <w:bCs/>
          <w:sz w:val="18"/>
          <w:szCs w:val="18"/>
          <w:lang w:val="en-CH"/>
        </w:rPr>
      </w:pPr>
      <w:r w:rsidRPr="00031A5D">
        <w:rPr>
          <w:rStyle w:val="FootnoteReference"/>
          <w:rFonts w:ascii="Roboto" w:hAnsi="Roboto"/>
          <w:sz w:val="18"/>
          <w:szCs w:val="18"/>
        </w:rPr>
        <w:footnoteRef/>
      </w:r>
      <w:r w:rsidRPr="00031A5D">
        <w:rPr>
          <w:rFonts w:ascii="Roboto" w:hAnsi="Roboto"/>
          <w:sz w:val="18"/>
          <w:szCs w:val="18"/>
        </w:rPr>
        <w:t xml:space="preserve"> </w:t>
      </w:r>
      <w:r w:rsidR="00A00494" w:rsidRPr="00031A5D">
        <w:rPr>
          <w:rFonts w:ascii="Roboto" w:hAnsi="Roboto"/>
          <w:sz w:val="18"/>
          <w:szCs w:val="18"/>
          <w:lang w:val="en-US"/>
        </w:rPr>
        <w:t>See: Official website of the Public Security Directorate,</w:t>
      </w:r>
      <w:r w:rsidR="00150D12" w:rsidRPr="00031A5D">
        <w:rPr>
          <w:rFonts w:ascii="Roboto" w:hAnsi="Roboto"/>
          <w:sz w:val="18"/>
          <w:szCs w:val="18"/>
          <w:lang w:val="en-US"/>
        </w:rPr>
        <w:t xml:space="preserve"> </w:t>
      </w:r>
      <w:r w:rsidR="00150D12" w:rsidRPr="00031A5D">
        <w:rPr>
          <w:rFonts w:ascii="Roboto" w:hAnsi="Roboto"/>
          <w:i/>
          <w:iCs/>
          <w:sz w:val="18"/>
          <w:szCs w:val="18"/>
          <w:lang w:val="en-CH"/>
        </w:rPr>
        <w:t>Duties</w:t>
      </w:r>
      <w:r w:rsidR="00150D12" w:rsidRPr="00031A5D">
        <w:rPr>
          <w:rFonts w:ascii="Roboto" w:hAnsi="Roboto"/>
          <w:i/>
          <w:iCs/>
          <w:sz w:val="18"/>
          <w:szCs w:val="18"/>
          <w:lang w:val="en-CH"/>
        </w:rPr>
        <w:t xml:space="preserve">: </w:t>
      </w:r>
      <w:r w:rsidR="00150D12" w:rsidRPr="00150D12">
        <w:rPr>
          <w:rFonts w:ascii="Roboto" w:hAnsi="Roboto"/>
          <w:i/>
          <w:iCs/>
          <w:sz w:val="18"/>
          <w:szCs w:val="18"/>
          <w:lang w:val="en-CH"/>
        </w:rPr>
        <w:t>Arab and International Police Department</w:t>
      </w:r>
      <w:r w:rsidR="00150D12" w:rsidRPr="00031A5D">
        <w:rPr>
          <w:rFonts w:ascii="Roboto" w:hAnsi="Roboto"/>
          <w:sz w:val="18"/>
          <w:szCs w:val="18"/>
          <w:lang w:val="en-CH"/>
        </w:rPr>
        <w:t xml:space="preserve">, </w:t>
      </w:r>
      <w:r w:rsidR="00C845D4" w:rsidRPr="00031A5D">
        <w:rPr>
          <w:rFonts w:ascii="Roboto" w:hAnsi="Roboto"/>
          <w:sz w:val="18"/>
          <w:szCs w:val="18"/>
          <w:lang w:val="en-CH"/>
        </w:rPr>
        <w:fldChar w:fldCharType="begin"/>
      </w:r>
      <w:r w:rsidR="00C845D4" w:rsidRPr="00031A5D">
        <w:rPr>
          <w:rFonts w:ascii="Roboto" w:hAnsi="Roboto"/>
          <w:sz w:val="18"/>
          <w:szCs w:val="18"/>
          <w:lang w:val="en-CH"/>
        </w:rPr>
        <w:instrText>HYPERLINK "</w:instrText>
      </w:r>
      <w:r w:rsidR="00C845D4" w:rsidRPr="00031A5D">
        <w:rPr>
          <w:rFonts w:ascii="Roboto" w:hAnsi="Roboto"/>
          <w:sz w:val="18"/>
          <w:szCs w:val="18"/>
          <w:lang w:val="en-CH"/>
        </w:rPr>
        <w:instrText>https://psd.gov.jo/en-us/psd-department-s/arab-and-international-police-department-interpol/duties/</w:instrText>
      </w:r>
      <w:r w:rsidR="00C845D4" w:rsidRPr="00031A5D">
        <w:rPr>
          <w:rFonts w:ascii="Roboto" w:hAnsi="Roboto"/>
          <w:sz w:val="18"/>
          <w:szCs w:val="18"/>
          <w:lang w:val="en-CH"/>
        </w:rPr>
        <w:instrText>"</w:instrText>
      </w:r>
      <w:r w:rsidR="00C845D4" w:rsidRPr="00031A5D">
        <w:rPr>
          <w:rFonts w:ascii="Roboto" w:hAnsi="Roboto"/>
          <w:sz w:val="18"/>
          <w:szCs w:val="18"/>
          <w:lang w:val="en-CH"/>
        </w:rPr>
        <w:fldChar w:fldCharType="separate"/>
      </w:r>
      <w:r w:rsidR="00C845D4" w:rsidRPr="00031A5D">
        <w:rPr>
          <w:rStyle w:val="Hyperlink"/>
          <w:rFonts w:ascii="Roboto" w:hAnsi="Roboto"/>
          <w:sz w:val="18"/>
          <w:szCs w:val="18"/>
          <w:lang w:val="en-CH"/>
        </w:rPr>
        <w:t>https://psd.gov.jo/en-us/psd-department-s/arab-and-international-police-department-interpol/duties/</w:t>
      </w:r>
      <w:r w:rsidR="00C845D4" w:rsidRPr="00031A5D">
        <w:rPr>
          <w:rFonts w:ascii="Roboto" w:hAnsi="Roboto"/>
          <w:sz w:val="18"/>
          <w:szCs w:val="18"/>
          <w:lang w:val="en-CH"/>
        </w:rPr>
        <w:fldChar w:fldCharType="end"/>
      </w:r>
      <w:r w:rsidR="00C845D4" w:rsidRPr="00031A5D">
        <w:rPr>
          <w:rFonts w:ascii="Roboto" w:hAnsi="Roboto"/>
          <w:sz w:val="18"/>
          <w:szCs w:val="18"/>
          <w:lang w:val="en-CH"/>
        </w:rPr>
        <w:t xml:space="preserve"> (accessed 25 September 2024).</w:t>
      </w:r>
      <w:r w:rsidR="00150D12" w:rsidRPr="00031A5D">
        <w:rPr>
          <w:rFonts w:ascii="Roboto" w:hAnsi="Roboto"/>
          <w:b/>
          <w:bCs/>
          <w:sz w:val="18"/>
          <w:szCs w:val="18"/>
          <w:lang w:val="en-CH"/>
        </w:rPr>
        <w:t xml:space="preserve"> </w:t>
      </w:r>
    </w:p>
  </w:footnote>
  <w:footnote w:id="87">
    <w:p w14:paraId="3DB46659"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WAM News, </w:t>
      </w:r>
      <w:r w:rsidRPr="00031A5D">
        <w:rPr>
          <w:rFonts w:ascii="Roboto" w:hAnsi="Roboto"/>
          <w:i/>
          <w:iCs/>
          <w:sz w:val="18"/>
          <w:szCs w:val="18"/>
        </w:rPr>
        <w:t>UAE extradites wanted terrorist from Jordan</w:t>
      </w:r>
      <w:r w:rsidRPr="00031A5D">
        <w:rPr>
          <w:rFonts w:ascii="Roboto" w:hAnsi="Roboto"/>
          <w:sz w:val="18"/>
          <w:szCs w:val="18"/>
        </w:rPr>
        <w:t xml:space="preserve">, 17 May 2023, </w:t>
      </w:r>
      <w:hyperlink r:id="rId64" w:tooltip="https://www.wam.ae/ar/details/1395303158862" w:history="1">
        <w:r w:rsidRPr="00031A5D">
          <w:rPr>
            <w:rStyle w:val="Hyperlink"/>
            <w:rFonts w:ascii="Roboto" w:hAnsi="Roboto"/>
            <w:sz w:val="18"/>
            <w:szCs w:val="18"/>
          </w:rPr>
          <w:t>https://www.wam.ae/ar/details/1395303158862</w:t>
        </w:r>
      </w:hyperlink>
      <w:r w:rsidRPr="00031A5D">
        <w:rPr>
          <w:rFonts w:ascii="Roboto" w:hAnsi="Roboto"/>
          <w:sz w:val="18"/>
          <w:szCs w:val="18"/>
        </w:rPr>
        <w:t xml:space="preserve"> (accessed 24 September 2024).</w:t>
      </w:r>
    </w:p>
  </w:footnote>
  <w:footnote w:id="88">
    <w:p w14:paraId="4CC74A02" w14:textId="013C5641" w:rsidR="00FA7A82" w:rsidRPr="00031A5D" w:rsidRDefault="00000000" w:rsidP="00031A5D">
      <w:pPr>
        <w:pStyle w:val="FootnoteText"/>
        <w:jc w:val="both"/>
        <w:rPr>
          <w:rFonts w:ascii="Roboto" w:hAnsi="Roboto"/>
          <w:sz w:val="18"/>
          <w:szCs w:val="18"/>
          <w:lang w:val="en-US"/>
        </w:rPr>
      </w:pPr>
      <w:r w:rsidRPr="00031A5D">
        <w:rPr>
          <w:rStyle w:val="FootnoteReference"/>
          <w:rFonts w:ascii="Roboto" w:hAnsi="Roboto"/>
          <w:sz w:val="18"/>
          <w:szCs w:val="18"/>
        </w:rPr>
        <w:footnoteRef/>
      </w:r>
      <w:r w:rsidRPr="00031A5D">
        <w:rPr>
          <w:rFonts w:ascii="Roboto" w:hAnsi="Roboto"/>
          <w:sz w:val="18"/>
          <w:szCs w:val="18"/>
        </w:rPr>
        <w:t xml:space="preserve"> Human Rights Watch, </w:t>
      </w:r>
      <w:r w:rsidRPr="00031A5D">
        <w:rPr>
          <w:rFonts w:ascii="Roboto" w:hAnsi="Roboto"/>
          <w:i/>
          <w:iCs/>
          <w:sz w:val="18"/>
          <w:szCs w:val="18"/>
        </w:rPr>
        <w:t>UAE: Unfair Trial of Rights Defenders</w:t>
      </w:r>
      <w:r w:rsidRPr="00031A5D">
        <w:rPr>
          <w:rFonts w:ascii="Roboto" w:hAnsi="Roboto"/>
          <w:sz w:val="18"/>
          <w:szCs w:val="18"/>
        </w:rPr>
        <w:t xml:space="preserve">, 29 April 2024, </w:t>
      </w:r>
      <w:hyperlink r:id="rId65" w:history="1">
        <w:r w:rsidRPr="00031A5D">
          <w:rPr>
            <w:rStyle w:val="Hyperlink"/>
            <w:rFonts w:ascii="Roboto" w:hAnsi="Roboto"/>
            <w:sz w:val="18"/>
            <w:szCs w:val="18"/>
          </w:rPr>
          <w:t>https://www.hrw.org/news/2024/04/29/uae-unfair-trial-rights-defenders</w:t>
        </w:r>
      </w:hyperlink>
      <w:r w:rsidRPr="00031A5D">
        <w:rPr>
          <w:rFonts w:ascii="Roboto" w:hAnsi="Roboto"/>
          <w:sz w:val="18"/>
          <w:szCs w:val="18"/>
        </w:rPr>
        <w:t xml:space="preserve"> (accessed 30 September 2024)</w:t>
      </w:r>
      <w:r w:rsidR="000E0CC5" w:rsidRPr="00031A5D">
        <w:rPr>
          <w:rFonts w:ascii="Roboto" w:hAnsi="Roboto"/>
          <w:sz w:val="18"/>
          <w:szCs w:val="18"/>
        </w:rPr>
        <w:t>.</w:t>
      </w:r>
    </w:p>
  </w:footnote>
  <w:footnote w:id="89">
    <w:p w14:paraId="146F1B3A" w14:textId="77777777" w:rsidR="00FA7A82" w:rsidRPr="00031A5D" w:rsidRDefault="00000000" w:rsidP="00031A5D">
      <w:pPr>
        <w:pBdr>
          <w:top w:val="none" w:sz="4" w:space="0" w:color="000000"/>
          <w:left w:val="none" w:sz="4" w:space="0" w:color="000000"/>
          <w:bottom w:val="none" w:sz="4" w:space="0" w:color="000000"/>
          <w:right w:val="none" w:sz="4" w:space="0" w:color="000000"/>
          <w:between w:val="none" w:sz="4" w:space="0" w:color="000000"/>
        </w:pBdr>
        <w:spacing w:before="0" w:after="0" w:line="240" w:lineRule="auto"/>
        <w:jc w:val="both"/>
        <w:rPr>
          <w:rFonts w:ascii="Roboto" w:hAnsi="Roboto"/>
          <w:color w:val="000000"/>
          <w:sz w:val="18"/>
          <w:szCs w:val="18"/>
        </w:rPr>
      </w:pPr>
      <w:r w:rsidRPr="00031A5D">
        <w:rPr>
          <w:rFonts w:ascii="Roboto" w:hAnsi="Roboto"/>
          <w:sz w:val="18"/>
          <w:szCs w:val="18"/>
          <w:vertAlign w:val="superscript"/>
        </w:rPr>
        <w:footnoteRef/>
      </w:r>
      <w:r w:rsidRPr="00031A5D">
        <w:rPr>
          <w:rFonts w:ascii="Roboto" w:hAnsi="Roboto"/>
          <w:color w:val="000000"/>
          <w:sz w:val="18"/>
          <w:szCs w:val="18"/>
        </w:rPr>
        <w:t xml:space="preserve"> Human Rights Watch, </w:t>
      </w:r>
      <w:r w:rsidRPr="00031A5D">
        <w:rPr>
          <w:rFonts w:ascii="Roboto" w:hAnsi="Roboto"/>
          <w:i/>
          <w:color w:val="000000"/>
          <w:sz w:val="18"/>
          <w:szCs w:val="18"/>
        </w:rPr>
        <w:t>Jordan: Government Crushes Civic Space</w:t>
      </w:r>
      <w:r w:rsidRPr="00031A5D">
        <w:rPr>
          <w:rFonts w:ascii="Roboto" w:hAnsi="Roboto"/>
          <w:color w:val="000000"/>
          <w:sz w:val="18"/>
          <w:szCs w:val="18"/>
        </w:rPr>
        <w:t xml:space="preserve">, 18 September 2022, </w:t>
      </w:r>
      <w:hyperlink r:id="rId66" w:tooltip="https://www.hrw.org/news/2022/09/18/jordan-government-crushes-civic-space" w:history="1">
        <w:r w:rsidRPr="00031A5D">
          <w:rPr>
            <w:rFonts w:ascii="Roboto" w:hAnsi="Roboto"/>
            <w:color w:val="0066FF"/>
            <w:sz w:val="18"/>
            <w:szCs w:val="18"/>
            <w:u w:val="single"/>
          </w:rPr>
          <w:t>https://www.hrw.org/news/2022/09/18/jordan-government-crushes-civic-space</w:t>
        </w:r>
      </w:hyperlink>
      <w:r w:rsidRPr="00031A5D">
        <w:rPr>
          <w:rFonts w:ascii="Roboto" w:hAnsi="Roboto"/>
          <w:color w:val="000000"/>
          <w:sz w:val="18"/>
          <w:szCs w:val="18"/>
        </w:rPr>
        <w:t xml:space="preserve"> (accessed 5 September 2024).</w:t>
      </w:r>
    </w:p>
  </w:footnote>
  <w:footnote w:id="90">
    <w:p w14:paraId="05743426"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w:t>
      </w:r>
      <w:proofErr w:type="spellStart"/>
      <w:r w:rsidRPr="00543288">
        <w:rPr>
          <w:rFonts w:ascii="Roboto" w:hAnsi="Roboto"/>
          <w:sz w:val="18"/>
          <w:szCs w:val="18"/>
        </w:rPr>
        <w:t>Alkarama</w:t>
      </w:r>
      <w:proofErr w:type="spellEnd"/>
      <w:r w:rsidRPr="00031A5D">
        <w:rPr>
          <w:rFonts w:ascii="Roboto" w:hAnsi="Roboto"/>
          <w:i/>
          <w:iCs/>
          <w:sz w:val="18"/>
          <w:szCs w:val="18"/>
        </w:rPr>
        <w:t xml:space="preserve">, Jordan: Shadow report to UN Human Rights Committee highlights human rights abuses in name of counterterrorism, </w:t>
      </w:r>
      <w:r w:rsidRPr="00031A5D">
        <w:rPr>
          <w:rFonts w:ascii="Roboto" w:hAnsi="Roboto"/>
          <w:sz w:val="18"/>
          <w:szCs w:val="18"/>
        </w:rPr>
        <w:t>18 September 2017,</w:t>
      </w:r>
    </w:p>
    <w:p w14:paraId="5601527F" w14:textId="77777777" w:rsidR="00FA7A82" w:rsidRPr="00031A5D" w:rsidRDefault="00000000" w:rsidP="00031A5D">
      <w:pPr>
        <w:pStyle w:val="FootnoteText"/>
        <w:jc w:val="both"/>
        <w:rPr>
          <w:rFonts w:ascii="Roboto" w:hAnsi="Roboto"/>
          <w:sz w:val="18"/>
          <w:szCs w:val="18"/>
          <w:lang w:val="en-US"/>
        </w:rPr>
      </w:pPr>
      <w:hyperlink r:id="rId67" w:tooltip="https://www.alkarama.org/en/articles/jordan-shadow-report-un-human-rights-committee-highlights-human-rights-abuses-name" w:history="1">
        <w:r w:rsidRPr="00031A5D">
          <w:rPr>
            <w:rStyle w:val="Hyperlink"/>
            <w:rFonts w:ascii="Roboto" w:hAnsi="Roboto"/>
            <w:sz w:val="18"/>
            <w:szCs w:val="18"/>
          </w:rPr>
          <w:t>https://www.alkarama.org/en/articles/jordan-shadow-report-un-human-rights-committee-highlights-human-rights-abuses-name</w:t>
        </w:r>
      </w:hyperlink>
      <w:r w:rsidRPr="00031A5D">
        <w:rPr>
          <w:rFonts w:ascii="Roboto" w:hAnsi="Roboto"/>
          <w:sz w:val="18"/>
          <w:szCs w:val="18"/>
        </w:rPr>
        <w:t xml:space="preserve"> (accessed 23 September 2024)</w:t>
      </w:r>
      <w:r w:rsidRPr="00031A5D">
        <w:rPr>
          <w:rFonts w:ascii="Roboto" w:hAnsi="Roboto"/>
          <w:sz w:val="18"/>
          <w:szCs w:val="18"/>
          <w:lang w:val="en-US"/>
        </w:rPr>
        <w:t>, p. 6.</w:t>
      </w:r>
    </w:p>
  </w:footnote>
  <w:footnote w:id="91">
    <w:p w14:paraId="0BC6B0ED"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Official website of the General Intelligence Directorate: </w:t>
      </w:r>
      <w:hyperlink r:id="rId68" w:tooltip="https://gid.gov.jo/gid-info/g-i-d-s-duties/" w:history="1">
        <w:r w:rsidRPr="00031A5D">
          <w:rPr>
            <w:rStyle w:val="Hyperlink"/>
            <w:rFonts w:ascii="Roboto" w:hAnsi="Roboto"/>
            <w:sz w:val="18"/>
            <w:szCs w:val="18"/>
          </w:rPr>
          <w:t>https://gid.gov.jo/gid-info/g-i-d-s-duties/</w:t>
        </w:r>
      </w:hyperlink>
      <w:r w:rsidRPr="00031A5D">
        <w:rPr>
          <w:rFonts w:ascii="Roboto" w:hAnsi="Roboto"/>
          <w:sz w:val="18"/>
          <w:szCs w:val="18"/>
        </w:rPr>
        <w:t xml:space="preserve"> (accessed 25 September 2024).</w:t>
      </w:r>
    </w:p>
  </w:footnote>
  <w:footnote w:id="92">
    <w:p w14:paraId="607E1EF4"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w:t>
      </w:r>
      <w:proofErr w:type="spellStart"/>
      <w:r w:rsidRPr="00031A5D">
        <w:rPr>
          <w:rFonts w:ascii="Roboto" w:hAnsi="Roboto"/>
          <w:sz w:val="18"/>
          <w:szCs w:val="18"/>
        </w:rPr>
        <w:t>Alkarama</w:t>
      </w:r>
      <w:proofErr w:type="spellEnd"/>
      <w:r w:rsidRPr="00031A5D">
        <w:rPr>
          <w:rFonts w:ascii="Roboto" w:hAnsi="Roboto"/>
          <w:sz w:val="18"/>
          <w:szCs w:val="18"/>
        </w:rPr>
        <w:t xml:space="preserve">, </w:t>
      </w:r>
      <w:r w:rsidRPr="00031A5D">
        <w:rPr>
          <w:rFonts w:ascii="Roboto" w:hAnsi="Roboto"/>
          <w:i/>
          <w:iCs/>
          <w:sz w:val="18"/>
          <w:szCs w:val="18"/>
        </w:rPr>
        <w:t>Jordan: Shadow report to UN Human Rights Committee highlights human rights abuses in name of counterterrorism</w:t>
      </w:r>
      <w:r w:rsidRPr="00031A5D">
        <w:rPr>
          <w:rFonts w:ascii="Roboto" w:hAnsi="Roboto"/>
          <w:sz w:val="18"/>
          <w:szCs w:val="18"/>
        </w:rPr>
        <w:t>, 18 September 2017,</w:t>
      </w:r>
    </w:p>
    <w:p w14:paraId="617672F2" w14:textId="77777777" w:rsidR="00FA7A82" w:rsidRPr="00031A5D" w:rsidRDefault="00000000" w:rsidP="00031A5D">
      <w:pPr>
        <w:pStyle w:val="FootnoteText"/>
        <w:jc w:val="both"/>
        <w:rPr>
          <w:rFonts w:ascii="Roboto" w:hAnsi="Roboto"/>
          <w:sz w:val="18"/>
          <w:szCs w:val="18"/>
          <w:lang w:val="en-US"/>
        </w:rPr>
      </w:pPr>
      <w:hyperlink r:id="rId69" w:tooltip="https://www.alkarama.org/en/articles/jordan-shadow-report-un-human-rights-committee-highlights-human-rights-abuses-name" w:history="1">
        <w:r w:rsidRPr="00031A5D">
          <w:rPr>
            <w:rStyle w:val="Hyperlink"/>
            <w:rFonts w:ascii="Roboto" w:hAnsi="Roboto"/>
            <w:sz w:val="18"/>
            <w:szCs w:val="18"/>
          </w:rPr>
          <w:t>https://www.alkarama.org/en/articles/jordan-shadow-report-un-human-rights-committee-highlights-human-rights-abuses-name</w:t>
        </w:r>
      </w:hyperlink>
      <w:r w:rsidRPr="00031A5D">
        <w:rPr>
          <w:rFonts w:ascii="Roboto" w:hAnsi="Roboto"/>
          <w:sz w:val="18"/>
          <w:szCs w:val="18"/>
        </w:rPr>
        <w:t xml:space="preserve"> (accessed 23 September 2024), p. 9.</w:t>
      </w:r>
    </w:p>
  </w:footnote>
  <w:footnote w:id="93">
    <w:p w14:paraId="182494DE" w14:textId="77777777" w:rsidR="00FA7A82" w:rsidRPr="00031A5D" w:rsidRDefault="00000000" w:rsidP="00031A5D">
      <w:pPr>
        <w:pStyle w:val="FootnoteText"/>
        <w:jc w:val="both"/>
        <w:rPr>
          <w:rFonts w:ascii="Roboto" w:hAnsi="Roboto"/>
          <w:b/>
          <w:bCs/>
          <w:sz w:val="18"/>
          <w:szCs w:val="18"/>
        </w:rPr>
      </w:pPr>
      <w:r w:rsidRPr="00031A5D">
        <w:rPr>
          <w:rStyle w:val="FootnoteReference"/>
          <w:rFonts w:ascii="Roboto" w:hAnsi="Roboto"/>
          <w:sz w:val="18"/>
          <w:szCs w:val="18"/>
        </w:rPr>
        <w:footnoteRef/>
      </w:r>
      <w:r w:rsidRPr="00031A5D">
        <w:rPr>
          <w:rFonts w:ascii="Roboto" w:hAnsi="Roboto"/>
          <w:sz w:val="18"/>
          <w:szCs w:val="18"/>
        </w:rPr>
        <w:t xml:space="preserve"> Committee Against Torture, </w:t>
      </w:r>
      <w:r w:rsidRPr="00031A5D">
        <w:rPr>
          <w:rFonts w:ascii="Roboto" w:hAnsi="Roboto"/>
          <w:i/>
          <w:iCs/>
          <w:sz w:val="18"/>
          <w:szCs w:val="18"/>
        </w:rPr>
        <w:t>List of issues prior to submission of the fourth periodic report of Jordan</w:t>
      </w:r>
      <w:r w:rsidRPr="00031A5D">
        <w:rPr>
          <w:rFonts w:ascii="Roboto" w:hAnsi="Roboto"/>
          <w:sz w:val="18"/>
          <w:szCs w:val="18"/>
        </w:rPr>
        <w:t xml:space="preserve">, 13 June 2018, UN Doc. CAT/C/JOR/QPR/4, </w:t>
      </w:r>
      <w:hyperlink r:id="rId70" w:tooltip="https://docstore.ohchr.org/SelfServices/FilesHandler.ashx?enc=6QkG1d%2FPPRiCAqhKb7yhsuoO1aAYJ6VmNP4LonUL9sirGNBx0BDPQylFzMNh%2BBP5a%2FrMh8QqsqtzGhsW21L8Tz%2BXBoT7mChZucEBmnpWUgj6%2FaQhEPGbT7x5z6tA%2FzVB" w:history="1">
        <w:r w:rsidRPr="00031A5D">
          <w:rPr>
            <w:rStyle w:val="Hyperlink"/>
            <w:rFonts w:ascii="Roboto" w:hAnsi="Roboto"/>
            <w:sz w:val="18"/>
            <w:szCs w:val="18"/>
          </w:rPr>
          <w:t>https://docstore.ohchr.org/SelfServices/FilesHandler.ashx?enc=6QkG1d%2FPPRiCAqhKb7yhsuoO1aAYJ6VmNP4LonUL9sirGNBx0BDPQylFzMNh%2BBP5a%2FrMh8QqsqtzGhsW21L8Tz%2BXBoT7mChZucEBmnpWUgj6%2FaQhEPGbT7x5z6tA%2FzVB</w:t>
        </w:r>
      </w:hyperlink>
      <w:r w:rsidRPr="00031A5D">
        <w:rPr>
          <w:rFonts w:ascii="Roboto" w:hAnsi="Roboto"/>
          <w:sz w:val="18"/>
          <w:szCs w:val="18"/>
        </w:rPr>
        <w:t xml:space="preserve"> (accessed 21 August 2024), para. 28.</w:t>
      </w:r>
    </w:p>
  </w:footnote>
  <w:footnote w:id="94">
    <w:p w14:paraId="4E6FD227"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w:t>
      </w:r>
      <w:proofErr w:type="spellStart"/>
      <w:r w:rsidRPr="00201787">
        <w:rPr>
          <w:rFonts w:ascii="Roboto" w:hAnsi="Roboto"/>
          <w:sz w:val="18"/>
          <w:szCs w:val="18"/>
        </w:rPr>
        <w:t>Alkarama</w:t>
      </w:r>
      <w:proofErr w:type="spellEnd"/>
      <w:r w:rsidRPr="00031A5D">
        <w:rPr>
          <w:rFonts w:ascii="Roboto" w:hAnsi="Roboto"/>
          <w:i/>
          <w:iCs/>
          <w:sz w:val="18"/>
          <w:szCs w:val="18"/>
        </w:rPr>
        <w:t xml:space="preserve">, Jordan: Shadow report to UN Human Rights Committee highlights human rights abuses in name of counterterrorism, </w:t>
      </w:r>
      <w:r w:rsidRPr="00031A5D">
        <w:rPr>
          <w:rFonts w:ascii="Roboto" w:hAnsi="Roboto"/>
          <w:sz w:val="18"/>
          <w:szCs w:val="18"/>
        </w:rPr>
        <w:t>18 September 2017,</w:t>
      </w:r>
    </w:p>
    <w:p w14:paraId="32DE0347" w14:textId="77777777" w:rsidR="00FA7A82" w:rsidRPr="00031A5D" w:rsidRDefault="00000000" w:rsidP="00031A5D">
      <w:pPr>
        <w:pStyle w:val="FootnoteText"/>
        <w:jc w:val="both"/>
        <w:rPr>
          <w:rFonts w:ascii="Roboto" w:hAnsi="Roboto"/>
          <w:sz w:val="18"/>
          <w:szCs w:val="18"/>
          <w:lang w:val="en-US"/>
        </w:rPr>
      </w:pPr>
      <w:hyperlink r:id="rId71" w:tooltip="https://www.alkarama.org/en/articles/jordan-shadow-report-un-human-rights-committee-highlights-human-rights-abuses-name" w:history="1">
        <w:r w:rsidRPr="00031A5D">
          <w:rPr>
            <w:rStyle w:val="Hyperlink"/>
            <w:rFonts w:ascii="Roboto" w:hAnsi="Roboto"/>
            <w:sz w:val="18"/>
            <w:szCs w:val="18"/>
          </w:rPr>
          <w:t>https://www.alkarama.org/en/articles/jordan-shadow-report-un-human-rights-committee-highlights-human-rights-abuses-name</w:t>
        </w:r>
      </w:hyperlink>
      <w:r w:rsidRPr="00031A5D">
        <w:rPr>
          <w:rFonts w:ascii="Roboto" w:hAnsi="Roboto"/>
          <w:sz w:val="18"/>
          <w:szCs w:val="18"/>
        </w:rPr>
        <w:t xml:space="preserve"> (accessed 23 September 2024)</w:t>
      </w:r>
      <w:r w:rsidRPr="00031A5D">
        <w:rPr>
          <w:rFonts w:ascii="Roboto" w:hAnsi="Roboto"/>
          <w:sz w:val="18"/>
          <w:szCs w:val="18"/>
          <w:lang w:val="en-US"/>
        </w:rPr>
        <w:t>, p. 10.</w:t>
      </w:r>
    </w:p>
  </w:footnote>
  <w:footnote w:id="95">
    <w:p w14:paraId="0A307DDB" w14:textId="684B40CB"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“The GID staff hold military ranks and are committed to military laws. However, due to the nature of the job, GID</w:t>
      </w:r>
      <w:r w:rsidR="00384A8E">
        <w:rPr>
          <w:rFonts w:ascii="Roboto" w:hAnsi="Roboto"/>
          <w:sz w:val="18"/>
          <w:szCs w:val="18"/>
        </w:rPr>
        <w:t xml:space="preserve"> </w:t>
      </w:r>
      <w:r w:rsidRPr="00031A5D">
        <w:rPr>
          <w:rFonts w:ascii="Roboto" w:hAnsi="Roboto"/>
          <w:sz w:val="18"/>
          <w:szCs w:val="18"/>
        </w:rPr>
        <w:t xml:space="preserve">officers are required to wear civilian clothing.” See: </w:t>
      </w:r>
      <w:hyperlink r:id="rId72" w:tooltip="https://gid.gov.jo/topics-views/frequently-asked-questions/" w:history="1">
        <w:r w:rsidRPr="00031A5D">
          <w:rPr>
            <w:rStyle w:val="Hyperlink"/>
            <w:rFonts w:ascii="Roboto" w:hAnsi="Roboto"/>
            <w:sz w:val="18"/>
            <w:szCs w:val="18"/>
          </w:rPr>
          <w:t>https://gid.gov.jo/topics-views/frequently-asked-questions/</w:t>
        </w:r>
      </w:hyperlink>
      <w:r w:rsidRPr="00031A5D">
        <w:rPr>
          <w:rFonts w:ascii="Roboto" w:hAnsi="Roboto"/>
          <w:sz w:val="18"/>
          <w:szCs w:val="18"/>
        </w:rPr>
        <w:t xml:space="preserve"> (accessed 25 September 2024).</w:t>
      </w:r>
    </w:p>
  </w:footnote>
  <w:footnote w:id="96">
    <w:p w14:paraId="015903D8"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Human Rights Watch, </w:t>
      </w:r>
      <w:r w:rsidRPr="00031A5D">
        <w:rPr>
          <w:rFonts w:ascii="Roboto" w:hAnsi="Roboto"/>
          <w:i/>
          <w:iCs/>
          <w:sz w:val="18"/>
          <w:szCs w:val="18"/>
        </w:rPr>
        <w:t>Jordan: Government Crushes Civic Space</w:t>
      </w:r>
      <w:r w:rsidRPr="00031A5D">
        <w:rPr>
          <w:rFonts w:ascii="Roboto" w:hAnsi="Roboto"/>
          <w:sz w:val="18"/>
          <w:szCs w:val="18"/>
        </w:rPr>
        <w:t xml:space="preserve">, 18 September 2022, </w:t>
      </w:r>
      <w:hyperlink r:id="rId73" w:tooltip="https://www.hrw.org/news/2022/09/18/jordan-government-crushes-civic-space" w:history="1">
        <w:r w:rsidRPr="00031A5D">
          <w:rPr>
            <w:rStyle w:val="Hyperlink"/>
            <w:rFonts w:ascii="Roboto" w:hAnsi="Roboto"/>
            <w:sz w:val="18"/>
            <w:szCs w:val="18"/>
          </w:rPr>
          <w:t>https://www.hrw.org/news/2022/09/18/jordan-government-crushes-civic-space</w:t>
        </w:r>
      </w:hyperlink>
      <w:r w:rsidRPr="00031A5D">
        <w:rPr>
          <w:rFonts w:ascii="Roboto" w:hAnsi="Roboto"/>
          <w:sz w:val="18"/>
          <w:szCs w:val="18"/>
        </w:rPr>
        <w:t xml:space="preserve"> (accessed 25 September 2024).</w:t>
      </w:r>
    </w:p>
  </w:footnote>
  <w:footnote w:id="97">
    <w:p w14:paraId="4EF51B4F" w14:textId="77777777" w:rsidR="00FA7A82" w:rsidRPr="00031A5D" w:rsidRDefault="00000000" w:rsidP="00031A5D">
      <w:pPr>
        <w:pBdr>
          <w:top w:val="none" w:sz="4" w:space="0" w:color="000000"/>
          <w:left w:val="none" w:sz="4" w:space="0" w:color="000000"/>
          <w:bottom w:val="none" w:sz="4" w:space="0" w:color="000000"/>
          <w:right w:val="none" w:sz="4" w:space="0" w:color="000000"/>
          <w:between w:val="none" w:sz="4" w:space="0" w:color="000000"/>
        </w:pBdr>
        <w:spacing w:before="0" w:after="40" w:line="240" w:lineRule="auto"/>
        <w:jc w:val="both"/>
        <w:rPr>
          <w:rFonts w:ascii="Roboto" w:hAnsi="Roboto"/>
          <w:color w:val="000000"/>
          <w:sz w:val="18"/>
          <w:szCs w:val="18"/>
        </w:rPr>
      </w:pPr>
      <w:r w:rsidRPr="00031A5D">
        <w:rPr>
          <w:rFonts w:ascii="Roboto" w:hAnsi="Roboto"/>
          <w:sz w:val="18"/>
          <w:szCs w:val="18"/>
          <w:vertAlign w:val="superscript"/>
        </w:rPr>
        <w:footnoteRef/>
      </w:r>
      <w:r w:rsidRPr="00031A5D">
        <w:rPr>
          <w:rFonts w:ascii="Roboto" w:hAnsi="Roboto"/>
          <w:color w:val="000000"/>
          <w:sz w:val="18"/>
          <w:szCs w:val="18"/>
        </w:rPr>
        <w:t xml:space="preserve"> See Twitter (or “X”) profile @Kameelalzoubi2, accessible here: </w:t>
      </w:r>
      <w:hyperlink r:id="rId74" w:tooltip="https://twitter.com/kameelalzoubi2?lang=fr" w:history="1">
        <w:r w:rsidRPr="00031A5D">
          <w:rPr>
            <w:rFonts w:ascii="Roboto" w:hAnsi="Roboto"/>
            <w:color w:val="0066FF"/>
            <w:sz w:val="18"/>
            <w:szCs w:val="18"/>
            <w:u w:val="single"/>
          </w:rPr>
          <w:t>https://twitter.com/kameelalzoubi2?lang=fr</w:t>
        </w:r>
      </w:hyperlink>
      <w:r w:rsidRPr="00031A5D">
        <w:rPr>
          <w:rFonts w:ascii="Roboto" w:hAnsi="Roboto"/>
          <w:color w:val="000000"/>
          <w:sz w:val="18"/>
          <w:szCs w:val="18"/>
        </w:rPr>
        <w:t xml:space="preserve"> (accessed 6 March 2024).</w:t>
      </w:r>
    </w:p>
  </w:footnote>
  <w:footnote w:id="98">
    <w:p w14:paraId="2C257520"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MENA Rights Group, </w:t>
      </w:r>
      <w:r w:rsidRPr="00031A5D">
        <w:rPr>
          <w:rFonts w:ascii="Roboto" w:hAnsi="Roboto"/>
          <w:i/>
          <w:iCs/>
          <w:sz w:val="18"/>
          <w:szCs w:val="18"/>
        </w:rPr>
        <w:t>Jordanian activist Kamil al-</w:t>
      </w:r>
      <w:proofErr w:type="spellStart"/>
      <w:r w:rsidRPr="00031A5D">
        <w:rPr>
          <w:rFonts w:ascii="Roboto" w:hAnsi="Roboto"/>
          <w:i/>
          <w:iCs/>
          <w:sz w:val="18"/>
          <w:szCs w:val="18"/>
        </w:rPr>
        <w:t>Zoubi</w:t>
      </w:r>
      <w:proofErr w:type="spellEnd"/>
      <w:r w:rsidRPr="00031A5D">
        <w:rPr>
          <w:rFonts w:ascii="Roboto" w:hAnsi="Roboto"/>
          <w:i/>
          <w:iCs/>
          <w:sz w:val="18"/>
          <w:szCs w:val="18"/>
        </w:rPr>
        <w:t xml:space="preserve"> faces several charges in detention related to his freedom of expression</w:t>
      </w:r>
      <w:r w:rsidRPr="00031A5D">
        <w:rPr>
          <w:rFonts w:ascii="Roboto" w:hAnsi="Roboto"/>
          <w:sz w:val="18"/>
          <w:szCs w:val="18"/>
        </w:rPr>
        <w:t xml:space="preserve">, 30 July 2024, </w:t>
      </w:r>
      <w:hyperlink r:id="rId75" w:tooltip="https://menarights.org/en/case/kamil-al-zoubi" w:history="1">
        <w:r w:rsidRPr="00031A5D">
          <w:rPr>
            <w:rStyle w:val="Hyperlink"/>
            <w:rFonts w:ascii="Roboto" w:hAnsi="Roboto"/>
            <w:sz w:val="18"/>
            <w:szCs w:val="18"/>
          </w:rPr>
          <w:t>https://menarights.org/en/case/kamil-al-zoubi</w:t>
        </w:r>
      </w:hyperlink>
      <w:r w:rsidRPr="00031A5D">
        <w:rPr>
          <w:rFonts w:ascii="Roboto" w:hAnsi="Roboto"/>
          <w:sz w:val="18"/>
          <w:szCs w:val="18"/>
        </w:rPr>
        <w:t xml:space="preserve"> (accessed 26 September 2024).</w:t>
      </w:r>
    </w:p>
  </w:footnote>
  <w:footnote w:id="99">
    <w:p w14:paraId="340B203F"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MENA Rights Group has obtained consent to include the case of Sameer </w:t>
      </w:r>
      <w:proofErr w:type="spellStart"/>
      <w:r w:rsidRPr="00031A5D">
        <w:rPr>
          <w:rFonts w:ascii="Roboto" w:hAnsi="Roboto"/>
          <w:sz w:val="18"/>
          <w:szCs w:val="18"/>
        </w:rPr>
        <w:t>Nemrawi</w:t>
      </w:r>
      <w:proofErr w:type="spellEnd"/>
      <w:r w:rsidRPr="00031A5D">
        <w:rPr>
          <w:rFonts w:ascii="Roboto" w:hAnsi="Roboto"/>
          <w:sz w:val="18"/>
          <w:szCs w:val="18"/>
        </w:rPr>
        <w:t>.</w:t>
      </w:r>
    </w:p>
  </w:footnote>
  <w:footnote w:id="100">
    <w:p w14:paraId="29E0DFA3" w14:textId="77777777" w:rsidR="00FA7A82" w:rsidRPr="00031A5D" w:rsidRDefault="00000000" w:rsidP="00031A5D">
      <w:pPr>
        <w:pStyle w:val="FootnoteText"/>
        <w:jc w:val="both"/>
        <w:rPr>
          <w:rFonts w:ascii="Roboto" w:hAnsi="Roboto"/>
          <w:sz w:val="18"/>
          <w:szCs w:val="18"/>
          <w:lang w:val="en-US"/>
        </w:rPr>
      </w:pPr>
      <w:r w:rsidRPr="00031A5D">
        <w:rPr>
          <w:rStyle w:val="FootnoteReference"/>
          <w:rFonts w:ascii="Roboto" w:hAnsi="Roboto"/>
          <w:sz w:val="18"/>
          <w:szCs w:val="18"/>
        </w:rPr>
        <w:footnoteRef/>
      </w:r>
      <w:r w:rsidRPr="00031A5D">
        <w:rPr>
          <w:rFonts w:ascii="Roboto" w:hAnsi="Roboto"/>
          <w:sz w:val="18"/>
          <w:szCs w:val="18"/>
        </w:rPr>
        <w:t xml:space="preserve"> MENA Rights Group, </w:t>
      </w:r>
      <w:r w:rsidRPr="00031A5D">
        <w:rPr>
          <w:rFonts w:ascii="Roboto" w:hAnsi="Roboto"/>
          <w:i/>
          <w:iCs/>
          <w:sz w:val="18"/>
          <w:szCs w:val="18"/>
        </w:rPr>
        <w:t>Jordan: Universal Periodic Review</w:t>
      </w:r>
      <w:r w:rsidRPr="00031A5D">
        <w:rPr>
          <w:rFonts w:ascii="Roboto" w:hAnsi="Roboto"/>
          <w:sz w:val="18"/>
          <w:szCs w:val="18"/>
        </w:rPr>
        <w:t xml:space="preserve">, July 2023, </w:t>
      </w:r>
      <w:hyperlink r:id="rId76" w:tooltip="https://menarights.org/en/documents/universal-periodic-review-jordan-report-submitted-un-human-rights-council" w:history="1">
        <w:r w:rsidRPr="00031A5D">
          <w:rPr>
            <w:rStyle w:val="Hyperlink"/>
            <w:rFonts w:ascii="Roboto" w:hAnsi="Roboto"/>
            <w:sz w:val="18"/>
            <w:szCs w:val="18"/>
          </w:rPr>
          <w:t>https://menarights.org/en/documents/universal-periodic-review-jordan-report-submitted-un-human-rights-council</w:t>
        </w:r>
      </w:hyperlink>
      <w:r w:rsidRPr="00031A5D">
        <w:rPr>
          <w:rFonts w:ascii="Roboto" w:hAnsi="Roboto"/>
          <w:sz w:val="18"/>
          <w:szCs w:val="18"/>
        </w:rPr>
        <w:t xml:space="preserve"> (accessed 23 September 2024), p. 10. </w:t>
      </w:r>
    </w:p>
  </w:footnote>
  <w:footnote w:id="101">
    <w:p w14:paraId="32F04662"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Human Rights Watch, </w:t>
      </w:r>
      <w:r w:rsidRPr="00031A5D">
        <w:rPr>
          <w:rFonts w:ascii="Roboto" w:hAnsi="Roboto"/>
          <w:i/>
          <w:iCs/>
          <w:sz w:val="18"/>
          <w:szCs w:val="18"/>
        </w:rPr>
        <w:t>Jordan: Government Crushes Civic Space</w:t>
      </w:r>
      <w:r w:rsidRPr="00031A5D">
        <w:rPr>
          <w:rFonts w:ascii="Roboto" w:hAnsi="Roboto"/>
          <w:sz w:val="18"/>
          <w:szCs w:val="18"/>
        </w:rPr>
        <w:t xml:space="preserve">, 18 September 2022, </w:t>
      </w:r>
      <w:hyperlink r:id="rId77" w:tooltip="https://www.hrw.org/news/2022/09/18/jordan-government-crushes-civic-space" w:history="1">
        <w:r w:rsidRPr="00031A5D">
          <w:rPr>
            <w:rStyle w:val="Hyperlink"/>
            <w:rFonts w:ascii="Roboto" w:hAnsi="Roboto"/>
            <w:sz w:val="18"/>
            <w:szCs w:val="18"/>
          </w:rPr>
          <w:t>https://www.hrw.org/news/2022/09/18/jordan-government-crushes-civic-space</w:t>
        </w:r>
      </w:hyperlink>
      <w:r w:rsidRPr="00031A5D">
        <w:rPr>
          <w:rFonts w:ascii="Roboto" w:hAnsi="Roboto"/>
          <w:sz w:val="18"/>
          <w:szCs w:val="18"/>
        </w:rPr>
        <w:t xml:space="preserve"> (accessed 25 September 2024).</w:t>
      </w:r>
    </w:p>
  </w:footnote>
  <w:footnote w:id="102">
    <w:p w14:paraId="46C8F318"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U</w:t>
      </w:r>
      <w:r w:rsidRPr="00031A5D">
        <w:rPr>
          <w:rFonts w:ascii="Roboto" w:hAnsi="Roboto"/>
          <w:sz w:val="18"/>
          <w:szCs w:val="18"/>
          <w:lang w:val="en-US"/>
        </w:rPr>
        <w:t xml:space="preserve">.S. Department of State, </w:t>
      </w:r>
      <w:r w:rsidRPr="00031A5D">
        <w:rPr>
          <w:rFonts w:ascii="Roboto" w:hAnsi="Roboto"/>
          <w:i/>
          <w:iCs/>
          <w:sz w:val="18"/>
          <w:szCs w:val="18"/>
          <w:lang w:val="en-US"/>
        </w:rPr>
        <w:t>2023 Country Reports on Human Rights Practices: Jordan</w:t>
      </w:r>
      <w:r w:rsidRPr="00031A5D">
        <w:rPr>
          <w:rFonts w:ascii="Roboto" w:hAnsi="Roboto"/>
          <w:sz w:val="18"/>
          <w:szCs w:val="18"/>
          <w:lang w:val="en-US"/>
        </w:rPr>
        <w:t xml:space="preserve">, 2023, </w:t>
      </w:r>
      <w:hyperlink r:id="rId78" w:tooltip="https://www.state.gov/reports/2023-country-reports-on-human-rights-practices/jordan/" w:history="1">
        <w:r w:rsidRPr="00031A5D">
          <w:rPr>
            <w:rStyle w:val="Hyperlink"/>
            <w:rFonts w:ascii="Roboto" w:hAnsi="Roboto"/>
            <w:sz w:val="18"/>
            <w:szCs w:val="18"/>
            <w:lang w:val="en-US"/>
          </w:rPr>
          <w:t>https://www.state.gov/reports/2023-country-reports-on-human-rights-practices/jordan/</w:t>
        </w:r>
      </w:hyperlink>
      <w:r w:rsidRPr="00031A5D">
        <w:rPr>
          <w:rFonts w:ascii="Roboto" w:hAnsi="Roboto"/>
          <w:sz w:val="18"/>
          <w:szCs w:val="18"/>
          <w:lang w:val="en-US"/>
        </w:rPr>
        <w:t xml:space="preserve"> (accessed 23 September 2024).</w:t>
      </w:r>
    </w:p>
  </w:footnote>
  <w:footnote w:id="103">
    <w:p w14:paraId="2622C33A" w14:textId="77777777" w:rsidR="00FA7A82" w:rsidRPr="00031A5D" w:rsidRDefault="00000000" w:rsidP="00031A5D">
      <w:pPr>
        <w:pStyle w:val="FootnoteText"/>
        <w:jc w:val="both"/>
        <w:rPr>
          <w:rFonts w:ascii="Roboto" w:hAnsi="Roboto"/>
          <w:b/>
          <w:bCs/>
          <w:sz w:val="18"/>
          <w:szCs w:val="18"/>
        </w:rPr>
      </w:pPr>
      <w:r w:rsidRPr="00031A5D">
        <w:rPr>
          <w:rStyle w:val="FootnoteReference"/>
          <w:rFonts w:ascii="Roboto" w:hAnsi="Roboto"/>
          <w:sz w:val="18"/>
          <w:szCs w:val="18"/>
        </w:rPr>
        <w:footnoteRef/>
      </w:r>
      <w:r w:rsidRPr="00031A5D">
        <w:rPr>
          <w:rFonts w:ascii="Roboto" w:hAnsi="Roboto"/>
          <w:sz w:val="18"/>
          <w:szCs w:val="18"/>
        </w:rPr>
        <w:t xml:space="preserve"> </w:t>
      </w:r>
      <w:r w:rsidRPr="00031A5D">
        <w:rPr>
          <w:rFonts w:ascii="Roboto" w:hAnsi="Roboto"/>
          <w:sz w:val="18"/>
          <w:szCs w:val="18"/>
          <w:lang w:val="en-US"/>
        </w:rPr>
        <w:t xml:space="preserve">Committee Against Torture, </w:t>
      </w:r>
      <w:r w:rsidRPr="00031A5D">
        <w:rPr>
          <w:rFonts w:ascii="Roboto" w:hAnsi="Roboto"/>
          <w:i/>
          <w:iCs/>
          <w:sz w:val="18"/>
          <w:szCs w:val="18"/>
        </w:rPr>
        <w:t>Fourth periodic report submitted by Jordan under article 19 of the Convention pursuant to the simplified reporting procedure, due in 2019</w:t>
      </w:r>
      <w:r w:rsidRPr="00031A5D">
        <w:rPr>
          <w:rFonts w:ascii="Roboto" w:hAnsi="Roboto"/>
          <w:sz w:val="18"/>
          <w:szCs w:val="18"/>
        </w:rPr>
        <w:t xml:space="preserve">, 21 December 2021, UN Doc. CAT/C/JOR/4, </w:t>
      </w:r>
      <w:hyperlink r:id="rId79" w:tooltip="https://docstore.ohchr.org/SelfServices/FilesHandler.ashx?enc=6QkG1d%2FPPRiCAqhKb7yhsuoO1aAYJ6VmNP4LonUL9si%2F6BRpobGHFNy2xW5%2BmLqKH9vcnfYrVk8kUOJb%2BBauqXGSNlarSqeb%2BP%2FZEfv7JDfA8DjIHm3bys7hB5acwHqC" w:history="1">
        <w:r w:rsidRPr="00031A5D">
          <w:rPr>
            <w:rStyle w:val="Hyperlink"/>
            <w:rFonts w:ascii="Roboto" w:hAnsi="Roboto"/>
            <w:sz w:val="18"/>
            <w:szCs w:val="18"/>
          </w:rPr>
          <w:t>https://docstore.ohchr.org/SelfServices/FilesHandler.ashx?enc=6QkG1d%2FPPRiCAqhKb7yhsuoO1aAYJ6VmNP4LonUL9si%2F6BRpobGHFNy2xW5%2BmLqKH9vcnfYrVk8kUOJb%2BBauqXGSNlarSqeb%2BP%2FZEfv7JDfA8DjIHm3bys7hB5acwHqC</w:t>
        </w:r>
      </w:hyperlink>
      <w:r w:rsidRPr="00031A5D">
        <w:rPr>
          <w:rFonts w:ascii="Roboto" w:hAnsi="Roboto"/>
          <w:sz w:val="18"/>
          <w:szCs w:val="18"/>
        </w:rPr>
        <w:t xml:space="preserve"> (accessed 21 August 2024), para. 127.</w:t>
      </w:r>
    </w:p>
  </w:footnote>
  <w:footnote w:id="104">
    <w:p w14:paraId="1EA843F1" w14:textId="77777777" w:rsidR="00FA7A82" w:rsidRPr="00031A5D" w:rsidRDefault="00000000" w:rsidP="00031A5D">
      <w:pPr>
        <w:pStyle w:val="FootnoteText"/>
        <w:jc w:val="both"/>
        <w:rPr>
          <w:rFonts w:ascii="Roboto" w:hAnsi="Roboto"/>
          <w:b/>
          <w:bCs/>
          <w:sz w:val="18"/>
          <w:szCs w:val="18"/>
        </w:rPr>
      </w:pPr>
      <w:r w:rsidRPr="00031A5D">
        <w:rPr>
          <w:rStyle w:val="FootnoteReference"/>
          <w:rFonts w:ascii="Roboto" w:hAnsi="Roboto"/>
          <w:sz w:val="18"/>
          <w:szCs w:val="18"/>
        </w:rPr>
        <w:footnoteRef/>
      </w:r>
      <w:r w:rsidRPr="00031A5D">
        <w:rPr>
          <w:rFonts w:ascii="Roboto" w:hAnsi="Roboto"/>
          <w:sz w:val="18"/>
          <w:szCs w:val="18"/>
        </w:rPr>
        <w:t xml:space="preserve"> Committee Against Torture, </w:t>
      </w:r>
      <w:r w:rsidRPr="00031A5D">
        <w:rPr>
          <w:rFonts w:ascii="Roboto" w:hAnsi="Roboto"/>
          <w:i/>
          <w:iCs/>
          <w:sz w:val="18"/>
          <w:szCs w:val="18"/>
        </w:rPr>
        <w:t>List of issues prior to submission of the fourth periodic report of Jordan</w:t>
      </w:r>
      <w:r w:rsidRPr="00031A5D">
        <w:rPr>
          <w:rFonts w:ascii="Roboto" w:hAnsi="Roboto"/>
          <w:sz w:val="18"/>
          <w:szCs w:val="18"/>
        </w:rPr>
        <w:t xml:space="preserve">, 13 June 2018, UN Doc. CAT/C/JOR/QPR/4, </w:t>
      </w:r>
      <w:hyperlink r:id="rId80" w:tooltip="https://docstore.ohchr.org/SelfServices/FilesHandler.ashx?enc=6QkG1d%2FPPRiCAqhKb7yhsuoO1aAYJ6VmNP4LonUL9sirGNBx0BDPQylFzMNh%2BBP5a%2FrMh8QqsqtzGhsW21L8Tz%2BXBoT7mChZucEBmnpWUgj6%2FaQhEPGbT7x5z6tA%2FzVB" w:history="1">
        <w:r w:rsidRPr="00031A5D">
          <w:rPr>
            <w:rStyle w:val="Hyperlink"/>
            <w:rFonts w:ascii="Roboto" w:hAnsi="Roboto"/>
            <w:sz w:val="18"/>
            <w:szCs w:val="18"/>
          </w:rPr>
          <w:t>https://docstore.ohchr.org/SelfServices/FilesHandler.ashx?enc=6QkG1d%2FPPRiCAqhKb7yhsuoO1aAYJ6VmNP4LonUL9sirGNBx0BDPQylFzMNh%2BBP5a%2FrMh8QqsqtzGhsW21L8Tz%2BXBoT7mChZucEBmnpWUgj6%2FaQhEPGbT7x5z6tA%2FzVB</w:t>
        </w:r>
      </w:hyperlink>
      <w:r w:rsidRPr="00031A5D">
        <w:rPr>
          <w:rFonts w:ascii="Roboto" w:hAnsi="Roboto"/>
          <w:sz w:val="18"/>
          <w:szCs w:val="18"/>
        </w:rPr>
        <w:t xml:space="preserve"> (accessed 21 August 2024), para. 27.</w:t>
      </w:r>
    </w:p>
  </w:footnote>
  <w:footnote w:id="105">
    <w:p w14:paraId="38432D0C" w14:textId="77777777" w:rsidR="00FA7A82" w:rsidRPr="00031A5D" w:rsidRDefault="00000000" w:rsidP="00031A5D">
      <w:pPr>
        <w:pStyle w:val="FootnoteText"/>
        <w:jc w:val="both"/>
        <w:rPr>
          <w:rFonts w:ascii="Roboto" w:hAnsi="Roboto"/>
          <w:i/>
          <w:iCs/>
          <w:sz w:val="18"/>
          <w:szCs w:val="18"/>
        </w:rPr>
      </w:pPr>
      <w:r w:rsidRPr="00031A5D">
        <w:rPr>
          <w:rStyle w:val="FootnoteReference"/>
          <w:rFonts w:ascii="Roboto" w:hAnsi="Roboto"/>
          <w:sz w:val="18"/>
          <w:szCs w:val="18"/>
        </w:rPr>
        <w:footnoteRef/>
      </w:r>
      <w:r w:rsidRPr="00031A5D">
        <w:rPr>
          <w:rFonts w:ascii="Roboto" w:hAnsi="Roboto"/>
          <w:sz w:val="18"/>
          <w:szCs w:val="18"/>
        </w:rPr>
        <w:t xml:space="preserve"> DAWN, </w:t>
      </w:r>
      <w:r w:rsidRPr="00031A5D">
        <w:rPr>
          <w:rFonts w:ascii="Roboto" w:hAnsi="Roboto"/>
          <w:i/>
          <w:iCs/>
          <w:sz w:val="18"/>
          <w:szCs w:val="18"/>
        </w:rPr>
        <w:t>Jordan: Government Retaliates Against Staff of National Council of Human Rights with Spurious</w:t>
      </w:r>
    </w:p>
    <w:p w14:paraId="0423FD8E" w14:textId="77777777" w:rsidR="00FA7A82" w:rsidRPr="00031A5D" w:rsidRDefault="00000000" w:rsidP="00031A5D">
      <w:pPr>
        <w:pStyle w:val="FootnoteText"/>
        <w:jc w:val="both"/>
        <w:rPr>
          <w:rFonts w:ascii="Roboto" w:hAnsi="Roboto"/>
          <w:sz w:val="18"/>
          <w:szCs w:val="18"/>
        </w:rPr>
      </w:pPr>
      <w:r w:rsidRPr="00031A5D">
        <w:rPr>
          <w:rFonts w:ascii="Roboto" w:hAnsi="Roboto"/>
          <w:i/>
          <w:iCs/>
          <w:sz w:val="18"/>
          <w:szCs w:val="18"/>
        </w:rPr>
        <w:t>Criminal Charges</w:t>
      </w:r>
      <w:r w:rsidRPr="00031A5D">
        <w:rPr>
          <w:rFonts w:ascii="Roboto" w:hAnsi="Roboto"/>
          <w:sz w:val="18"/>
          <w:szCs w:val="18"/>
        </w:rPr>
        <w:t xml:space="preserve">, 28 September 2022, </w:t>
      </w:r>
      <w:hyperlink r:id="rId81" w:tooltip="https://dawnmena.org/jordan-government-retaliates-against-staff-of-national-council-of-human-rights-with-spurious-criminal-charges/" w:history="1">
        <w:r w:rsidRPr="00031A5D">
          <w:rPr>
            <w:rStyle w:val="Hyperlink"/>
            <w:rFonts w:ascii="Roboto" w:hAnsi="Roboto"/>
            <w:sz w:val="18"/>
            <w:szCs w:val="18"/>
          </w:rPr>
          <w:t>https://dawnmena.org/jordan-government-retaliates-against-staff-of-national-council-of-human-rights-with-spurious-criminal-charges/</w:t>
        </w:r>
      </w:hyperlink>
      <w:r w:rsidRPr="00031A5D">
        <w:rPr>
          <w:rFonts w:ascii="Roboto" w:hAnsi="Roboto"/>
          <w:sz w:val="18"/>
          <w:szCs w:val="18"/>
        </w:rPr>
        <w:t xml:space="preserve"> (accessed 23 September 2024).</w:t>
      </w:r>
    </w:p>
  </w:footnote>
  <w:footnote w:id="106">
    <w:p w14:paraId="73C2DC0B"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Amnesty International, </w:t>
      </w:r>
      <w:r w:rsidRPr="00031A5D">
        <w:rPr>
          <w:rFonts w:ascii="Roboto" w:hAnsi="Roboto"/>
          <w:i/>
          <w:iCs/>
          <w:sz w:val="18"/>
          <w:szCs w:val="18"/>
        </w:rPr>
        <w:t>Report 2022/2023</w:t>
      </w:r>
      <w:r w:rsidRPr="00031A5D">
        <w:rPr>
          <w:rFonts w:ascii="Roboto" w:hAnsi="Roboto"/>
          <w:sz w:val="18"/>
          <w:szCs w:val="18"/>
        </w:rPr>
        <w:t xml:space="preserve">, </w:t>
      </w:r>
      <w:hyperlink r:id="rId82" w:tooltip="https://www.amnesty.org/en/documents/pol10/5670/2023/en/" w:history="1">
        <w:r w:rsidRPr="00031A5D">
          <w:rPr>
            <w:rStyle w:val="Hyperlink"/>
            <w:rFonts w:ascii="Roboto" w:hAnsi="Roboto"/>
            <w:sz w:val="18"/>
            <w:szCs w:val="18"/>
          </w:rPr>
          <w:t>https://www.amnesty.org/en/documents/pol10/5670/2023/en/</w:t>
        </w:r>
      </w:hyperlink>
      <w:r w:rsidRPr="00031A5D">
        <w:rPr>
          <w:rFonts w:ascii="Roboto" w:hAnsi="Roboto"/>
          <w:sz w:val="18"/>
          <w:szCs w:val="18"/>
        </w:rPr>
        <w:t xml:space="preserve"> (accessed 23 September 2024), p. 215.</w:t>
      </w:r>
    </w:p>
  </w:footnote>
  <w:footnote w:id="107">
    <w:p w14:paraId="15807953"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w:t>
      </w:r>
      <w:r w:rsidRPr="00031A5D">
        <w:rPr>
          <w:rFonts w:ascii="Roboto" w:hAnsi="Roboto"/>
          <w:sz w:val="18"/>
          <w:szCs w:val="18"/>
          <w:lang w:val="en-US"/>
        </w:rPr>
        <w:t xml:space="preserve">U.S. Department of State, </w:t>
      </w:r>
      <w:r w:rsidRPr="00031A5D">
        <w:rPr>
          <w:rFonts w:ascii="Roboto" w:hAnsi="Roboto"/>
          <w:i/>
          <w:iCs/>
          <w:sz w:val="18"/>
          <w:szCs w:val="18"/>
          <w:lang w:val="en-US"/>
        </w:rPr>
        <w:t>Jordan 2022 Human Rights Report</w:t>
      </w:r>
      <w:r w:rsidRPr="00031A5D">
        <w:rPr>
          <w:rFonts w:ascii="Roboto" w:hAnsi="Roboto"/>
          <w:sz w:val="18"/>
          <w:szCs w:val="18"/>
          <w:lang w:val="en-US"/>
        </w:rPr>
        <w:t xml:space="preserve">, 2022, </w:t>
      </w:r>
      <w:hyperlink r:id="rId83" w:tooltip="https://www.state.gov/wp-content/uploads/2023/02/JORDAN-2022-HUMAN-RIGHTS-REPORT.pdf" w:history="1">
        <w:r w:rsidRPr="00031A5D">
          <w:rPr>
            <w:rStyle w:val="Hyperlink"/>
            <w:rFonts w:ascii="Roboto" w:hAnsi="Roboto"/>
            <w:sz w:val="18"/>
            <w:szCs w:val="18"/>
            <w:lang w:val="en-US"/>
          </w:rPr>
          <w:t>https://www.state.gov/wp-content/uploads/2023/02/JORDAN-2022-HUMAN-RIGHTS-REPORT.pdf</w:t>
        </w:r>
      </w:hyperlink>
      <w:r w:rsidRPr="00031A5D">
        <w:rPr>
          <w:rFonts w:ascii="Roboto" w:hAnsi="Roboto"/>
          <w:sz w:val="18"/>
          <w:szCs w:val="18"/>
          <w:lang w:val="en-US"/>
        </w:rPr>
        <w:t xml:space="preserve"> (accessed 26 September 2024), pp. 2-3.</w:t>
      </w:r>
    </w:p>
  </w:footnote>
  <w:footnote w:id="108">
    <w:p w14:paraId="7CBB2B35" w14:textId="46518DEA"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w:t>
      </w:r>
      <w:r w:rsidR="00B77524" w:rsidRPr="00B77524">
        <w:rPr>
          <w:rFonts w:ascii="Roboto" w:hAnsi="Roboto"/>
          <w:i/>
          <w:iCs/>
          <w:sz w:val="18"/>
          <w:szCs w:val="18"/>
          <w:lang w:val="en-US"/>
        </w:rPr>
        <w:t>Ibid</w:t>
      </w:r>
      <w:r w:rsidRPr="00031A5D">
        <w:rPr>
          <w:rFonts w:ascii="Roboto" w:hAnsi="Roboto"/>
          <w:sz w:val="18"/>
          <w:szCs w:val="18"/>
          <w:lang w:val="en-US"/>
        </w:rPr>
        <w:t>.</w:t>
      </w:r>
    </w:p>
  </w:footnote>
  <w:footnote w:id="109">
    <w:p w14:paraId="33758A17" w14:textId="380C6431"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w:t>
      </w:r>
      <w:r w:rsidR="00B77524" w:rsidRPr="00B77524">
        <w:rPr>
          <w:rFonts w:ascii="Roboto" w:hAnsi="Roboto"/>
          <w:i/>
          <w:iCs/>
          <w:sz w:val="18"/>
          <w:szCs w:val="18"/>
          <w:lang w:val="en-US"/>
        </w:rPr>
        <w:t>Ibid</w:t>
      </w:r>
      <w:r w:rsidR="00B77524">
        <w:rPr>
          <w:rFonts w:ascii="Roboto" w:hAnsi="Roboto"/>
          <w:sz w:val="18"/>
          <w:szCs w:val="18"/>
          <w:lang w:val="en-US"/>
        </w:rPr>
        <w:t>.</w:t>
      </w:r>
    </w:p>
  </w:footnote>
  <w:footnote w:id="110">
    <w:p w14:paraId="3F3F552B"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Amnesty International, </w:t>
      </w:r>
      <w:r w:rsidRPr="00031A5D">
        <w:rPr>
          <w:rFonts w:ascii="Roboto" w:hAnsi="Roboto"/>
          <w:i/>
          <w:iCs/>
          <w:sz w:val="18"/>
          <w:szCs w:val="18"/>
        </w:rPr>
        <w:t>Report 2022/2023</w:t>
      </w:r>
      <w:r w:rsidRPr="00031A5D">
        <w:rPr>
          <w:rFonts w:ascii="Roboto" w:hAnsi="Roboto"/>
          <w:sz w:val="18"/>
          <w:szCs w:val="18"/>
        </w:rPr>
        <w:t xml:space="preserve">, </w:t>
      </w:r>
      <w:hyperlink r:id="rId84" w:tooltip="https://www.amnesty.org/en/documents/pol10/5670/2023/en/" w:history="1">
        <w:r w:rsidRPr="00031A5D">
          <w:rPr>
            <w:rStyle w:val="Hyperlink"/>
            <w:rFonts w:ascii="Roboto" w:hAnsi="Roboto"/>
            <w:sz w:val="18"/>
            <w:szCs w:val="18"/>
          </w:rPr>
          <w:t>https://www.amnesty.org/en/documents/pol10/5670/2023/en/</w:t>
        </w:r>
      </w:hyperlink>
      <w:r w:rsidRPr="00031A5D">
        <w:rPr>
          <w:rFonts w:ascii="Roboto" w:hAnsi="Roboto"/>
          <w:sz w:val="18"/>
          <w:szCs w:val="18"/>
        </w:rPr>
        <w:t xml:space="preserve"> (accessed 23 September 2024), p. 215; U</w:t>
      </w:r>
      <w:r w:rsidRPr="00031A5D">
        <w:rPr>
          <w:rFonts w:ascii="Roboto" w:hAnsi="Roboto"/>
          <w:sz w:val="18"/>
          <w:szCs w:val="18"/>
          <w:lang w:val="en-US"/>
        </w:rPr>
        <w:t xml:space="preserve">.S. Department of State, </w:t>
      </w:r>
      <w:r w:rsidRPr="00031A5D">
        <w:rPr>
          <w:rFonts w:ascii="Roboto" w:hAnsi="Roboto"/>
          <w:i/>
          <w:iCs/>
          <w:sz w:val="18"/>
          <w:szCs w:val="18"/>
          <w:lang w:val="en-US"/>
        </w:rPr>
        <w:t>2023 Country Reports on Human Rights Practices: Jordan</w:t>
      </w:r>
      <w:r w:rsidRPr="00031A5D">
        <w:rPr>
          <w:rFonts w:ascii="Roboto" w:hAnsi="Roboto"/>
          <w:sz w:val="18"/>
          <w:szCs w:val="18"/>
          <w:lang w:val="en-US"/>
        </w:rPr>
        <w:t xml:space="preserve">, 2023, </w:t>
      </w:r>
      <w:hyperlink r:id="rId85" w:tooltip="https://www.state.gov/reports/2023-country-reports-on-human-rights-practices/jordan/" w:history="1">
        <w:r w:rsidRPr="00031A5D">
          <w:rPr>
            <w:rStyle w:val="Hyperlink"/>
            <w:rFonts w:ascii="Roboto" w:hAnsi="Roboto"/>
            <w:sz w:val="18"/>
            <w:szCs w:val="18"/>
            <w:lang w:val="en-US"/>
          </w:rPr>
          <w:t>https://www.state.gov/reports/2023-country-reports-on-human-rights-practices/jordan/</w:t>
        </w:r>
      </w:hyperlink>
      <w:r w:rsidRPr="00031A5D">
        <w:rPr>
          <w:rFonts w:ascii="Roboto" w:hAnsi="Roboto"/>
          <w:sz w:val="18"/>
          <w:szCs w:val="18"/>
          <w:lang w:val="en-US"/>
        </w:rPr>
        <w:t xml:space="preserve"> (accessed 23 September 2024).</w:t>
      </w:r>
    </w:p>
  </w:footnote>
  <w:footnote w:id="111">
    <w:p w14:paraId="7BB33107"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w:t>
      </w:r>
      <w:proofErr w:type="spellStart"/>
      <w:r w:rsidRPr="00031A5D">
        <w:rPr>
          <w:rFonts w:ascii="Roboto" w:hAnsi="Roboto"/>
          <w:sz w:val="18"/>
          <w:szCs w:val="18"/>
        </w:rPr>
        <w:t>Euromed</w:t>
      </w:r>
      <w:proofErr w:type="spellEnd"/>
      <w:r w:rsidRPr="00031A5D">
        <w:rPr>
          <w:rFonts w:ascii="Roboto" w:hAnsi="Roboto"/>
          <w:sz w:val="18"/>
          <w:szCs w:val="18"/>
        </w:rPr>
        <w:t xml:space="preserve"> Rights, </w:t>
      </w:r>
      <w:r w:rsidRPr="00031A5D">
        <w:rPr>
          <w:rFonts w:ascii="Roboto" w:hAnsi="Roboto"/>
          <w:i/>
          <w:iCs/>
          <w:sz w:val="18"/>
          <w:szCs w:val="18"/>
        </w:rPr>
        <w:t>The Independence and Impartiality of the Judiciary - Jordan</w:t>
      </w:r>
      <w:r w:rsidRPr="00031A5D">
        <w:rPr>
          <w:rFonts w:ascii="Roboto" w:hAnsi="Roboto"/>
          <w:sz w:val="18"/>
          <w:szCs w:val="18"/>
        </w:rPr>
        <w:t xml:space="preserve">, 2008, </w:t>
      </w:r>
      <w:hyperlink r:id="rId86" w:history="1">
        <w:r w:rsidRPr="00031A5D">
          <w:rPr>
            <w:rStyle w:val="Hyperlink"/>
            <w:rFonts w:ascii="Roboto" w:hAnsi="Roboto"/>
            <w:sz w:val="18"/>
            <w:szCs w:val="18"/>
          </w:rPr>
          <w:t>https://euromedrights.org/wp-content/uploads/2018/03/JORDAN-The-Independence-and-Impartiality-of-the-Judiciary-EN.pdf</w:t>
        </w:r>
      </w:hyperlink>
      <w:r w:rsidRPr="00031A5D">
        <w:rPr>
          <w:rFonts w:ascii="Roboto" w:hAnsi="Roboto"/>
          <w:sz w:val="18"/>
          <w:szCs w:val="18"/>
        </w:rPr>
        <w:t xml:space="preserve"> (accessed 30 September 2024).</w:t>
      </w:r>
    </w:p>
  </w:footnote>
  <w:footnote w:id="112">
    <w:p w14:paraId="246CD4A7" w14:textId="77777777" w:rsidR="00FA7A82" w:rsidRPr="00031A5D" w:rsidRDefault="00000000" w:rsidP="00031A5D">
      <w:pPr>
        <w:pStyle w:val="FootnoteText"/>
        <w:jc w:val="both"/>
        <w:rPr>
          <w:rFonts w:ascii="Roboto" w:hAnsi="Roboto"/>
          <w:b/>
          <w:bCs/>
          <w:sz w:val="18"/>
          <w:szCs w:val="18"/>
        </w:rPr>
      </w:pPr>
      <w:r w:rsidRPr="00031A5D">
        <w:rPr>
          <w:rStyle w:val="FootnoteReference"/>
          <w:rFonts w:ascii="Roboto" w:hAnsi="Roboto"/>
          <w:sz w:val="18"/>
          <w:szCs w:val="18"/>
        </w:rPr>
        <w:footnoteRef/>
      </w:r>
      <w:r w:rsidRPr="00031A5D">
        <w:rPr>
          <w:rFonts w:ascii="Roboto" w:hAnsi="Roboto"/>
          <w:sz w:val="18"/>
          <w:szCs w:val="18"/>
        </w:rPr>
        <w:t xml:space="preserve"> Committee Against Torture, </w:t>
      </w:r>
      <w:r w:rsidRPr="00031A5D">
        <w:rPr>
          <w:rFonts w:ascii="Roboto" w:hAnsi="Roboto"/>
          <w:i/>
          <w:iCs/>
          <w:sz w:val="18"/>
          <w:szCs w:val="18"/>
        </w:rPr>
        <w:t>List of issues prior to submission of the fourth periodic report of Jordan</w:t>
      </w:r>
      <w:r w:rsidRPr="00031A5D">
        <w:rPr>
          <w:rFonts w:ascii="Roboto" w:hAnsi="Roboto"/>
          <w:sz w:val="18"/>
          <w:szCs w:val="18"/>
        </w:rPr>
        <w:t xml:space="preserve">, 13 June 2018, UN Doc. CAT/C/JOR/QPR/4, </w:t>
      </w:r>
      <w:hyperlink r:id="rId87" w:tooltip="https://docstore.ohchr.org/SelfServices/FilesHandler.ashx?enc=6QkG1d%2FPPRiCAqhKb7yhsuoO1aAYJ6VmNP4LonUL9sirGNBx0BDPQylFzMNh%2BBP5a%2FrMh8QqsqtzGhsW21L8Tz%2BXBoT7mChZucEBmnpWUgj6%2FaQhEPGbT7x5z6tA%2FzVB" w:history="1">
        <w:r w:rsidRPr="00031A5D">
          <w:rPr>
            <w:rStyle w:val="Hyperlink"/>
            <w:rFonts w:ascii="Roboto" w:hAnsi="Roboto"/>
            <w:sz w:val="18"/>
            <w:szCs w:val="18"/>
          </w:rPr>
          <w:t>https://docstore.ohchr.org/SelfServices/FilesHandler.ashx?enc=6QkG1d%2FPPRiCAqhKb7yhsuoO1aAYJ6VmNP4LonUL9sirGNBx0BDPQylFzMNh%2BBP5a%2FrMh8QqsqtzGhsW21L8Tz%2BXBoT7mChZucEBmnpWUgj6%2FaQhEPGbT7x5z6tA%2FzVB</w:t>
        </w:r>
      </w:hyperlink>
      <w:r w:rsidRPr="00031A5D">
        <w:rPr>
          <w:rFonts w:ascii="Roboto" w:hAnsi="Roboto"/>
          <w:sz w:val="18"/>
          <w:szCs w:val="18"/>
        </w:rPr>
        <w:t xml:space="preserve"> (accessed 21 August 2024), para. 23.</w:t>
      </w:r>
    </w:p>
  </w:footnote>
  <w:footnote w:id="113">
    <w:p w14:paraId="7E26CEED" w14:textId="4DCF1B26" w:rsidR="00FA7A82" w:rsidRPr="00031A5D" w:rsidRDefault="00000000" w:rsidP="00031A5D">
      <w:pPr>
        <w:pStyle w:val="FootnoteText"/>
        <w:jc w:val="both"/>
        <w:rPr>
          <w:rFonts w:ascii="Roboto" w:hAnsi="Roboto"/>
          <w:b/>
          <w:bCs/>
          <w:sz w:val="18"/>
          <w:szCs w:val="18"/>
        </w:rPr>
      </w:pPr>
      <w:r w:rsidRPr="00031A5D">
        <w:rPr>
          <w:rStyle w:val="FootnoteReference"/>
          <w:rFonts w:ascii="Roboto" w:hAnsi="Roboto"/>
          <w:sz w:val="18"/>
          <w:szCs w:val="18"/>
        </w:rPr>
        <w:footnoteRef/>
      </w:r>
      <w:r w:rsidRPr="00031A5D">
        <w:rPr>
          <w:rFonts w:ascii="Roboto" w:hAnsi="Roboto"/>
          <w:sz w:val="18"/>
          <w:szCs w:val="18"/>
        </w:rPr>
        <w:t xml:space="preserve"> </w:t>
      </w:r>
      <w:r w:rsidR="00C45F99" w:rsidRPr="00C45F99">
        <w:rPr>
          <w:rFonts w:ascii="Roboto" w:hAnsi="Roboto"/>
          <w:i/>
          <w:iCs/>
          <w:sz w:val="18"/>
          <w:szCs w:val="18"/>
        </w:rPr>
        <w:t>Ibid</w:t>
      </w:r>
      <w:r w:rsidR="00C45F99">
        <w:rPr>
          <w:rFonts w:ascii="Roboto" w:hAnsi="Roboto"/>
          <w:sz w:val="18"/>
          <w:szCs w:val="18"/>
        </w:rPr>
        <w:t>.,</w:t>
      </w:r>
      <w:r w:rsidRPr="00031A5D">
        <w:rPr>
          <w:rFonts w:ascii="Roboto" w:hAnsi="Roboto"/>
          <w:sz w:val="18"/>
          <w:szCs w:val="18"/>
        </w:rPr>
        <w:t xml:space="preserve"> para. 25.</w:t>
      </w:r>
    </w:p>
  </w:footnote>
  <w:footnote w:id="114">
    <w:p w14:paraId="31DD4625"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Jordan News, </w:t>
      </w:r>
      <w:r w:rsidRPr="00031A5D">
        <w:rPr>
          <w:rFonts w:ascii="Roboto" w:hAnsi="Roboto"/>
          <w:i/>
          <w:iCs/>
          <w:sz w:val="18"/>
          <w:szCs w:val="18"/>
        </w:rPr>
        <w:t>Over 19,000 people detained in Jordan currently — Interior Minister</w:t>
      </w:r>
      <w:r w:rsidRPr="00031A5D">
        <w:rPr>
          <w:rFonts w:ascii="Roboto" w:hAnsi="Roboto"/>
          <w:sz w:val="18"/>
          <w:szCs w:val="18"/>
        </w:rPr>
        <w:t xml:space="preserve">, 1 February 2022, </w:t>
      </w:r>
      <w:hyperlink r:id="rId88" w:tooltip="https://www.jordannews.jo/Section-109/News/Over-19-000-people-detained-in-Jordan-currently-Interior-Minister-12562" w:history="1">
        <w:r w:rsidRPr="00031A5D">
          <w:rPr>
            <w:rStyle w:val="Hyperlink"/>
            <w:rFonts w:ascii="Roboto" w:hAnsi="Roboto"/>
            <w:sz w:val="18"/>
            <w:szCs w:val="18"/>
          </w:rPr>
          <w:t>https://www.jordannews.jo/Section-109/News/Over-19-000-people-detained-in-Jordan-currently-Interior-Minister-12562</w:t>
        </w:r>
      </w:hyperlink>
      <w:r w:rsidRPr="00031A5D">
        <w:rPr>
          <w:rFonts w:ascii="Roboto" w:hAnsi="Roboto"/>
          <w:sz w:val="18"/>
          <w:szCs w:val="18"/>
        </w:rPr>
        <w:t xml:space="preserve"> (accessed 25 September 2024).</w:t>
      </w:r>
    </w:p>
  </w:footnote>
  <w:footnote w:id="115">
    <w:p w14:paraId="10D8D070"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UN General Assembly, </w:t>
      </w:r>
      <w:r w:rsidRPr="00031A5D">
        <w:rPr>
          <w:rFonts w:ascii="Roboto" w:hAnsi="Roboto"/>
          <w:i/>
          <w:iCs/>
          <w:sz w:val="18"/>
          <w:szCs w:val="18"/>
        </w:rPr>
        <w:t>Optional Protocol to the Convention against Torture and other Cruel, Inhuman or Degrading Treatment or Punishment</w:t>
      </w:r>
      <w:r w:rsidRPr="00031A5D">
        <w:rPr>
          <w:rFonts w:ascii="Roboto" w:hAnsi="Roboto"/>
          <w:sz w:val="18"/>
          <w:szCs w:val="18"/>
        </w:rPr>
        <w:t>, 18 December 2002, UN Doc. A/RES/57/199, article 1.</w:t>
      </w:r>
    </w:p>
  </w:footnote>
  <w:footnote w:id="116">
    <w:p w14:paraId="68C107BE" w14:textId="77777777" w:rsidR="00FA7A82" w:rsidRPr="00031A5D" w:rsidRDefault="00000000" w:rsidP="00031A5D">
      <w:pPr>
        <w:pStyle w:val="FootnoteText"/>
        <w:jc w:val="both"/>
        <w:rPr>
          <w:rFonts w:ascii="Roboto" w:hAnsi="Roboto"/>
          <w:b/>
          <w:bCs/>
          <w:sz w:val="18"/>
          <w:szCs w:val="18"/>
        </w:rPr>
      </w:pPr>
      <w:r w:rsidRPr="00031A5D">
        <w:rPr>
          <w:rStyle w:val="FootnoteReference"/>
          <w:rFonts w:ascii="Roboto" w:hAnsi="Roboto"/>
          <w:sz w:val="18"/>
          <w:szCs w:val="18"/>
        </w:rPr>
        <w:footnoteRef/>
      </w:r>
      <w:r w:rsidRPr="00031A5D">
        <w:rPr>
          <w:rFonts w:ascii="Roboto" w:hAnsi="Roboto"/>
          <w:sz w:val="18"/>
          <w:szCs w:val="18"/>
        </w:rPr>
        <w:t xml:space="preserve"> </w:t>
      </w:r>
      <w:r w:rsidRPr="00031A5D">
        <w:rPr>
          <w:rFonts w:ascii="Roboto" w:hAnsi="Roboto"/>
          <w:sz w:val="18"/>
          <w:szCs w:val="18"/>
          <w:lang w:val="en-US"/>
        </w:rPr>
        <w:t xml:space="preserve">Committee Against Torture, </w:t>
      </w:r>
      <w:r w:rsidRPr="00031A5D">
        <w:rPr>
          <w:rFonts w:ascii="Roboto" w:hAnsi="Roboto"/>
          <w:i/>
          <w:iCs/>
          <w:sz w:val="18"/>
          <w:szCs w:val="18"/>
        </w:rPr>
        <w:t>Fourth periodic report submitted by Jordan under article 19 of the Convention pursuant to the simplified reporting procedure, due in 2019</w:t>
      </w:r>
      <w:r w:rsidRPr="00031A5D">
        <w:rPr>
          <w:rFonts w:ascii="Roboto" w:hAnsi="Roboto"/>
          <w:sz w:val="18"/>
          <w:szCs w:val="18"/>
        </w:rPr>
        <w:t xml:space="preserve">, 21 December 2021, UN Doc. CAT/C/JOR/4, </w:t>
      </w:r>
      <w:hyperlink r:id="rId89" w:tooltip="https://docstore.ohchr.org/SelfServices/FilesHandler.ashx?enc=6QkG1d%2FPPRiCAqhKb7yhsuoO1aAYJ6VmNP4LonUL9si%2F6BRpobGHFNy2xW5%2BmLqKH9vcnfYrVk8kUOJb%2BBauqXGSNlarSqeb%2BP%2FZEfv7JDfA8DjIHm3bys7hB5acwHqC" w:history="1">
        <w:r w:rsidRPr="00031A5D">
          <w:rPr>
            <w:rStyle w:val="Hyperlink"/>
            <w:rFonts w:ascii="Roboto" w:hAnsi="Roboto"/>
            <w:sz w:val="18"/>
            <w:szCs w:val="18"/>
          </w:rPr>
          <w:t>https://docstore.ohchr.org/SelfServices/FilesHandler.ashx?enc=6QkG1d%2FPPRiCAqhKb7yhsuoO1aAYJ6VmNP4LonUL9si%2F6BRpobGHFNy2xW5%2BmLqKH9vcnfYrVk8kUOJb%2BBauqXGSNlarSqeb%2BP%2FZEfv7JDfA8DjIHm3bys7hB5acwHqC</w:t>
        </w:r>
      </w:hyperlink>
      <w:r w:rsidRPr="00031A5D">
        <w:rPr>
          <w:rFonts w:ascii="Roboto" w:hAnsi="Roboto"/>
          <w:sz w:val="18"/>
          <w:szCs w:val="18"/>
        </w:rPr>
        <w:t xml:space="preserve"> (accessed 21 August 2024), para. 123.</w:t>
      </w:r>
    </w:p>
  </w:footnote>
  <w:footnote w:id="117">
    <w:p w14:paraId="5052E08F"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Committee against Torture, </w:t>
      </w:r>
      <w:r w:rsidRPr="00031A5D">
        <w:rPr>
          <w:rFonts w:ascii="Roboto" w:hAnsi="Roboto"/>
          <w:i/>
          <w:iCs/>
          <w:sz w:val="18"/>
          <w:szCs w:val="18"/>
        </w:rPr>
        <w:t>Concluding Observations on the third periodic report of Jordan</w:t>
      </w:r>
      <w:r w:rsidRPr="00031A5D">
        <w:rPr>
          <w:rFonts w:ascii="Roboto" w:hAnsi="Roboto"/>
          <w:sz w:val="18"/>
          <w:szCs w:val="18"/>
        </w:rPr>
        <w:t>, 29 January 2016, UN Doc. CAT/C/JOR/CO/3, para. 23.</w:t>
      </w:r>
    </w:p>
  </w:footnote>
  <w:footnote w:id="118">
    <w:p w14:paraId="167DB44E" w14:textId="77777777" w:rsidR="00FA7A82" w:rsidRPr="00031A5D" w:rsidRDefault="00000000" w:rsidP="00031A5D">
      <w:pPr>
        <w:pStyle w:val="FootnoteText"/>
        <w:jc w:val="both"/>
        <w:rPr>
          <w:rFonts w:ascii="Roboto" w:hAnsi="Roboto"/>
          <w:sz w:val="18"/>
          <w:szCs w:val="18"/>
          <w:lang w:val="en-US"/>
        </w:rPr>
      </w:pPr>
      <w:r w:rsidRPr="00031A5D">
        <w:rPr>
          <w:rStyle w:val="FootnoteReference"/>
          <w:rFonts w:ascii="Roboto" w:hAnsi="Roboto"/>
          <w:sz w:val="18"/>
          <w:szCs w:val="18"/>
        </w:rPr>
        <w:footnoteRef/>
      </w:r>
      <w:r w:rsidRPr="00031A5D">
        <w:rPr>
          <w:rFonts w:ascii="Roboto" w:hAnsi="Roboto"/>
          <w:sz w:val="18"/>
          <w:szCs w:val="18"/>
        </w:rPr>
        <w:t xml:space="preserve"> MENA Rights Group, </w:t>
      </w:r>
      <w:r w:rsidRPr="00031A5D">
        <w:rPr>
          <w:rFonts w:ascii="Roboto" w:hAnsi="Roboto"/>
          <w:i/>
          <w:iCs/>
          <w:sz w:val="18"/>
          <w:szCs w:val="18"/>
        </w:rPr>
        <w:t>Jordan: Universal Periodic Review</w:t>
      </w:r>
      <w:r w:rsidRPr="00031A5D">
        <w:rPr>
          <w:rFonts w:ascii="Roboto" w:hAnsi="Roboto"/>
          <w:sz w:val="18"/>
          <w:szCs w:val="18"/>
        </w:rPr>
        <w:t xml:space="preserve">, July 2023, </w:t>
      </w:r>
      <w:hyperlink r:id="rId90" w:tooltip="https://menarights.org/en/documents/universal-periodic-review-jordan-report-submitted-un-human-rights-council" w:history="1">
        <w:r w:rsidRPr="00031A5D">
          <w:rPr>
            <w:rStyle w:val="Hyperlink"/>
            <w:rFonts w:ascii="Roboto" w:hAnsi="Roboto"/>
            <w:sz w:val="18"/>
            <w:szCs w:val="18"/>
          </w:rPr>
          <w:t>https://menarights.org/en/documents/universal-periodic-review-jordan-report-submitted-un-human-rights-council</w:t>
        </w:r>
      </w:hyperlink>
      <w:r w:rsidRPr="00031A5D">
        <w:rPr>
          <w:rFonts w:ascii="Roboto" w:hAnsi="Roboto"/>
          <w:sz w:val="18"/>
          <w:szCs w:val="18"/>
        </w:rPr>
        <w:t xml:space="preserve"> (accessed 23 September 2024), p. 10. </w:t>
      </w:r>
    </w:p>
  </w:footnote>
  <w:footnote w:id="119">
    <w:p w14:paraId="6F7ACC74" w14:textId="77777777" w:rsidR="00FA7A82" w:rsidRPr="00031A5D" w:rsidRDefault="00000000" w:rsidP="00031A5D">
      <w:pPr>
        <w:pStyle w:val="FootnoteText"/>
        <w:jc w:val="both"/>
        <w:rPr>
          <w:rFonts w:ascii="Roboto" w:hAnsi="Roboto"/>
          <w:sz w:val="18"/>
          <w:szCs w:val="18"/>
          <w:lang w:val="en-US"/>
        </w:rPr>
      </w:pPr>
      <w:r w:rsidRPr="00031A5D">
        <w:rPr>
          <w:rStyle w:val="FootnoteReference"/>
          <w:rFonts w:ascii="Roboto" w:hAnsi="Roboto"/>
          <w:sz w:val="18"/>
          <w:szCs w:val="18"/>
        </w:rPr>
        <w:footnoteRef/>
      </w:r>
      <w:r w:rsidRPr="00031A5D">
        <w:rPr>
          <w:rFonts w:ascii="Roboto" w:hAnsi="Roboto"/>
          <w:sz w:val="18"/>
          <w:szCs w:val="18"/>
        </w:rPr>
        <w:t xml:space="preserve"> </w:t>
      </w:r>
      <w:r w:rsidRPr="00031A5D">
        <w:rPr>
          <w:rFonts w:ascii="Roboto" w:hAnsi="Roboto"/>
          <w:i/>
          <w:iCs/>
          <w:sz w:val="18"/>
          <w:szCs w:val="18"/>
          <w:lang w:val="en-US"/>
        </w:rPr>
        <w:t>Ibid</w:t>
      </w:r>
      <w:r w:rsidRPr="00031A5D">
        <w:rPr>
          <w:rFonts w:ascii="Roboto" w:hAnsi="Roboto"/>
          <w:sz w:val="18"/>
          <w:szCs w:val="18"/>
          <w:lang w:val="en-US"/>
        </w:rPr>
        <w:t>.</w:t>
      </w:r>
    </w:p>
  </w:footnote>
  <w:footnote w:id="120">
    <w:p w14:paraId="55028037"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Special Procedures, </w:t>
      </w:r>
      <w:r w:rsidRPr="00031A5D">
        <w:rPr>
          <w:rFonts w:ascii="Roboto" w:hAnsi="Roboto"/>
          <w:i/>
          <w:iCs/>
          <w:sz w:val="18"/>
          <w:szCs w:val="18"/>
        </w:rPr>
        <w:t>AL JOR 1/2021</w:t>
      </w:r>
      <w:r w:rsidRPr="00031A5D">
        <w:rPr>
          <w:rFonts w:ascii="Roboto" w:hAnsi="Roboto"/>
          <w:sz w:val="18"/>
          <w:szCs w:val="18"/>
        </w:rPr>
        <w:t xml:space="preserve">, 2 November 2021, </w:t>
      </w:r>
      <w:hyperlink r:id="rId91" w:tooltip="https://spcommreports.ohchr.org/TMResultsBase/DownLoadPublicCommunicationFile?gId=26769" w:history="1">
        <w:r w:rsidRPr="00031A5D">
          <w:rPr>
            <w:rStyle w:val="Hyperlink"/>
            <w:rFonts w:ascii="Roboto" w:hAnsi="Roboto"/>
            <w:sz w:val="18"/>
            <w:szCs w:val="18"/>
          </w:rPr>
          <w:t>https://spcommreports.ohchr.org/TMResultsBase/DownLoadPublicCommunicationFile?gId=26769</w:t>
        </w:r>
      </w:hyperlink>
      <w:r w:rsidRPr="00031A5D">
        <w:rPr>
          <w:rFonts w:ascii="Roboto" w:hAnsi="Roboto"/>
          <w:sz w:val="18"/>
          <w:szCs w:val="18"/>
        </w:rPr>
        <w:t xml:space="preserve"> (accessed 26 September 2024).</w:t>
      </w:r>
    </w:p>
  </w:footnote>
  <w:footnote w:id="121">
    <w:p w14:paraId="5BFDA468"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Committee Against Torture, </w:t>
      </w:r>
      <w:r w:rsidRPr="00031A5D">
        <w:rPr>
          <w:rFonts w:ascii="Roboto" w:hAnsi="Roboto"/>
          <w:i/>
          <w:iCs/>
          <w:sz w:val="18"/>
          <w:szCs w:val="18"/>
        </w:rPr>
        <w:t>List of issues prior to submission of the fourth periodic report of Jordan</w:t>
      </w:r>
      <w:r w:rsidRPr="00031A5D">
        <w:rPr>
          <w:rFonts w:ascii="Roboto" w:hAnsi="Roboto"/>
          <w:sz w:val="18"/>
          <w:szCs w:val="18"/>
        </w:rPr>
        <w:t xml:space="preserve">, 13 June 2018, UN Doc. CAT/C/JOR/QPR/4, </w:t>
      </w:r>
      <w:hyperlink r:id="rId92" w:tooltip="https://docstore.ohchr.org/SelfServices/FilesHandler.ashx?enc=6QkG1d%2FPPRiCAqhKb7yhsuoO1aAYJ6VmNP4LonUL9sirGNBx0BDPQylFzMNh%2BBP5a%2FrMh8QqsqtzGhsW21L8Tz%2BXBoT7mChZucEBmnpWUgj6%2FaQhEPGbT7x5z6tA%2FzVB" w:history="1">
        <w:r w:rsidRPr="00031A5D">
          <w:rPr>
            <w:rStyle w:val="Hyperlink"/>
            <w:rFonts w:ascii="Roboto" w:hAnsi="Roboto"/>
            <w:sz w:val="18"/>
            <w:szCs w:val="18"/>
          </w:rPr>
          <w:t>https://docstore.ohchr.org/SelfServices/FilesHandler.ashx?enc=6QkG1d%2FPPRiCAqhKb7yhsuoO1aAYJ6VmNP4LonUL9sirGNBx0BDPQylFzMNh%2BBP5a%2FrMh8QqsqtzGhsW21L8Tz%2BXBoT7mChZucEBmnpWUgj6%2FaQhEPGbT7x5z6tA%2FzVB</w:t>
        </w:r>
      </w:hyperlink>
      <w:r w:rsidRPr="00031A5D">
        <w:rPr>
          <w:rFonts w:ascii="Roboto" w:hAnsi="Roboto"/>
          <w:sz w:val="18"/>
          <w:szCs w:val="18"/>
        </w:rPr>
        <w:t xml:space="preserve"> (accessed 21 August 2024), para. 32.</w:t>
      </w:r>
    </w:p>
  </w:footnote>
  <w:footnote w:id="122">
    <w:p w14:paraId="2C990F3C"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See: Committee against Torture, </w:t>
      </w:r>
      <w:r w:rsidRPr="00031A5D">
        <w:rPr>
          <w:rFonts w:ascii="Roboto" w:hAnsi="Roboto"/>
          <w:i/>
          <w:iCs/>
          <w:sz w:val="18"/>
          <w:szCs w:val="18"/>
        </w:rPr>
        <w:t>Concluding Observations on the third periodic report of Jordan</w:t>
      </w:r>
      <w:r w:rsidRPr="00031A5D">
        <w:rPr>
          <w:rFonts w:ascii="Roboto" w:hAnsi="Roboto"/>
          <w:sz w:val="18"/>
          <w:szCs w:val="18"/>
        </w:rPr>
        <w:t>, 29 January 2016, UN Doc. CAT/C/JOR/CO/3, para. 49.</w:t>
      </w:r>
    </w:p>
  </w:footnote>
  <w:footnote w:id="123">
    <w:p w14:paraId="06EA4864" w14:textId="77777777" w:rsidR="00FA7A82" w:rsidRPr="00031A5D" w:rsidRDefault="00000000" w:rsidP="00031A5D">
      <w:pPr>
        <w:pStyle w:val="FootnoteText"/>
        <w:jc w:val="both"/>
        <w:rPr>
          <w:rFonts w:ascii="Roboto" w:hAnsi="Roboto"/>
          <w:b/>
          <w:bCs/>
          <w:sz w:val="18"/>
          <w:szCs w:val="18"/>
        </w:rPr>
      </w:pPr>
      <w:r w:rsidRPr="00031A5D">
        <w:rPr>
          <w:rStyle w:val="FootnoteReference"/>
          <w:rFonts w:ascii="Roboto" w:hAnsi="Roboto"/>
          <w:sz w:val="18"/>
          <w:szCs w:val="18"/>
        </w:rPr>
        <w:footnoteRef/>
      </w:r>
      <w:r w:rsidRPr="00031A5D">
        <w:rPr>
          <w:rFonts w:ascii="Roboto" w:hAnsi="Roboto"/>
          <w:sz w:val="18"/>
          <w:szCs w:val="18"/>
        </w:rPr>
        <w:t xml:space="preserve"> </w:t>
      </w:r>
      <w:r w:rsidRPr="00031A5D">
        <w:rPr>
          <w:rFonts w:ascii="Roboto" w:hAnsi="Roboto"/>
          <w:sz w:val="18"/>
          <w:szCs w:val="18"/>
          <w:lang w:val="en-US"/>
        </w:rPr>
        <w:t xml:space="preserve">Committee Against Torture, </w:t>
      </w:r>
      <w:r w:rsidRPr="00031A5D">
        <w:rPr>
          <w:rFonts w:ascii="Roboto" w:hAnsi="Roboto"/>
          <w:i/>
          <w:iCs/>
          <w:sz w:val="18"/>
          <w:szCs w:val="18"/>
        </w:rPr>
        <w:t>Fourth periodic report submitted by Jordan under article 19 of the Convention pursuant to the simplified reporting procedure, due in 2019</w:t>
      </w:r>
      <w:r w:rsidRPr="00031A5D">
        <w:rPr>
          <w:rFonts w:ascii="Roboto" w:hAnsi="Roboto"/>
          <w:sz w:val="18"/>
          <w:szCs w:val="18"/>
        </w:rPr>
        <w:t xml:space="preserve">, 21 December 2021, UN Doc. CAT/C/JOR/4, </w:t>
      </w:r>
      <w:hyperlink r:id="rId93" w:tooltip="https://docstore.ohchr.org/SelfServices/FilesHandler.ashx?enc=6QkG1d%2FPPRiCAqhKb7yhsuoO1aAYJ6VmNP4LonUL9si%2F6BRpobGHFNy2xW5%2BmLqKH9vcnfYrVk8kUOJb%2BBauqXGSNlarSqeb%2BP%2FZEfv7JDfA8DjIHm3bys7hB5acwHqC" w:history="1">
        <w:r w:rsidRPr="00031A5D">
          <w:rPr>
            <w:rStyle w:val="Hyperlink"/>
            <w:rFonts w:ascii="Roboto" w:hAnsi="Roboto"/>
            <w:sz w:val="18"/>
            <w:szCs w:val="18"/>
          </w:rPr>
          <w:t>https://docstore.ohchr.org/SelfServices/FilesHandler.ashx?enc=6QkG1d%2FPPRiCAqhKb7yhsuoO1aAYJ6VmNP4LonUL9si%2F6BRpobGHFNy2xW5%2BmLqKH9vcnfYrVk8kUOJb%2BBauqXGSNlarSqeb%2BP%2FZEfv7JDfA8DjIHm3bys7hB5acwHqC</w:t>
        </w:r>
      </w:hyperlink>
      <w:r w:rsidRPr="00031A5D">
        <w:rPr>
          <w:rFonts w:ascii="Roboto" w:hAnsi="Roboto"/>
          <w:sz w:val="18"/>
          <w:szCs w:val="18"/>
        </w:rPr>
        <w:t xml:space="preserve"> (accessed 21 August 2024), para. 36.</w:t>
      </w:r>
    </w:p>
  </w:footnote>
  <w:footnote w:id="124">
    <w:p w14:paraId="64E7E4C4" w14:textId="4B79CE41" w:rsidR="00FA7A82" w:rsidRPr="00031A5D" w:rsidRDefault="00000000" w:rsidP="00031A5D">
      <w:pPr>
        <w:pStyle w:val="FootnoteText"/>
        <w:jc w:val="both"/>
        <w:rPr>
          <w:rFonts w:ascii="Roboto" w:hAnsi="Roboto"/>
          <w:b/>
          <w:bCs/>
          <w:sz w:val="18"/>
          <w:szCs w:val="18"/>
        </w:rPr>
      </w:pPr>
      <w:r w:rsidRPr="00031A5D">
        <w:rPr>
          <w:rStyle w:val="FootnoteReference"/>
          <w:rFonts w:ascii="Roboto" w:hAnsi="Roboto"/>
          <w:sz w:val="18"/>
          <w:szCs w:val="18"/>
        </w:rPr>
        <w:footnoteRef/>
      </w:r>
      <w:r w:rsidRPr="00031A5D">
        <w:rPr>
          <w:rFonts w:ascii="Roboto" w:hAnsi="Roboto"/>
          <w:sz w:val="18"/>
          <w:szCs w:val="18"/>
        </w:rPr>
        <w:t xml:space="preserve"> </w:t>
      </w:r>
      <w:r w:rsidR="00B24AEA" w:rsidRPr="00B24AEA">
        <w:rPr>
          <w:rFonts w:ascii="Roboto" w:hAnsi="Roboto"/>
          <w:i/>
          <w:iCs/>
          <w:sz w:val="18"/>
          <w:szCs w:val="18"/>
          <w:lang w:val="en-US"/>
        </w:rPr>
        <w:t>Ibid</w:t>
      </w:r>
      <w:r w:rsidR="00B24AEA">
        <w:rPr>
          <w:rFonts w:ascii="Roboto" w:hAnsi="Roboto"/>
          <w:sz w:val="18"/>
          <w:szCs w:val="18"/>
          <w:lang w:val="en-US"/>
        </w:rPr>
        <w:t>.,</w:t>
      </w:r>
      <w:r w:rsidRPr="00031A5D">
        <w:rPr>
          <w:rFonts w:ascii="Roboto" w:hAnsi="Roboto"/>
          <w:sz w:val="18"/>
          <w:szCs w:val="18"/>
        </w:rPr>
        <w:t xml:space="preserve"> para. 136.</w:t>
      </w:r>
    </w:p>
  </w:footnote>
  <w:footnote w:id="125">
    <w:p w14:paraId="2F401523" w14:textId="77777777" w:rsidR="00FA7A82" w:rsidRPr="00031A5D" w:rsidRDefault="00000000" w:rsidP="00031A5D">
      <w:pPr>
        <w:pStyle w:val="FootnoteText"/>
        <w:jc w:val="both"/>
        <w:rPr>
          <w:rFonts w:ascii="Roboto" w:hAnsi="Roboto"/>
          <w:sz w:val="18"/>
          <w:szCs w:val="18"/>
          <w:lang w:val="en-US"/>
        </w:rPr>
      </w:pPr>
      <w:r w:rsidRPr="00031A5D">
        <w:rPr>
          <w:rStyle w:val="FootnoteReference"/>
          <w:rFonts w:ascii="Roboto" w:hAnsi="Roboto"/>
          <w:sz w:val="18"/>
          <w:szCs w:val="18"/>
        </w:rPr>
        <w:footnoteRef/>
      </w:r>
      <w:r w:rsidRPr="00031A5D">
        <w:rPr>
          <w:rFonts w:ascii="Roboto" w:hAnsi="Roboto"/>
          <w:sz w:val="18"/>
          <w:szCs w:val="18"/>
        </w:rPr>
        <w:t xml:space="preserve"> Freedom House, </w:t>
      </w:r>
      <w:r w:rsidRPr="00031A5D">
        <w:rPr>
          <w:rFonts w:ascii="Roboto" w:hAnsi="Roboto"/>
          <w:i/>
          <w:iCs/>
          <w:sz w:val="18"/>
          <w:szCs w:val="18"/>
        </w:rPr>
        <w:t>Freedom in the World 2023: Jordan</w:t>
      </w:r>
      <w:r w:rsidRPr="00031A5D">
        <w:rPr>
          <w:rFonts w:ascii="Roboto" w:hAnsi="Roboto"/>
          <w:sz w:val="18"/>
          <w:szCs w:val="18"/>
        </w:rPr>
        <w:t xml:space="preserve">, 2023, </w:t>
      </w:r>
      <w:hyperlink r:id="rId94" w:tooltip="https://freedomhouse.org/country/jordan/freedom-world/2023" w:history="1">
        <w:r w:rsidRPr="00031A5D">
          <w:rPr>
            <w:rStyle w:val="Hyperlink"/>
            <w:rFonts w:ascii="Roboto" w:hAnsi="Roboto"/>
            <w:sz w:val="18"/>
            <w:szCs w:val="18"/>
          </w:rPr>
          <w:t>https://freedomhouse.org/country/jordan/freedom-world/2023</w:t>
        </w:r>
      </w:hyperlink>
      <w:r w:rsidRPr="00031A5D">
        <w:rPr>
          <w:rFonts w:ascii="Roboto" w:hAnsi="Roboto"/>
          <w:sz w:val="18"/>
          <w:szCs w:val="18"/>
        </w:rPr>
        <w:t xml:space="preserve"> (accessed 23 September 2024); </w:t>
      </w:r>
      <w:proofErr w:type="spellStart"/>
      <w:r w:rsidRPr="00031A5D">
        <w:rPr>
          <w:rFonts w:ascii="Roboto" w:hAnsi="Roboto"/>
          <w:sz w:val="18"/>
          <w:szCs w:val="18"/>
        </w:rPr>
        <w:t>Alkarama</w:t>
      </w:r>
      <w:proofErr w:type="spellEnd"/>
      <w:r w:rsidRPr="00031A5D">
        <w:rPr>
          <w:rFonts w:ascii="Roboto" w:hAnsi="Roboto"/>
          <w:sz w:val="18"/>
          <w:szCs w:val="18"/>
        </w:rPr>
        <w:t xml:space="preserve">, </w:t>
      </w:r>
      <w:r w:rsidRPr="00031A5D">
        <w:rPr>
          <w:rFonts w:ascii="Roboto" w:hAnsi="Roboto"/>
          <w:i/>
          <w:iCs/>
          <w:sz w:val="18"/>
          <w:szCs w:val="18"/>
        </w:rPr>
        <w:t>Jordan: Shadow report to UN Human Rights Committee highlights human rights abuses in name of counterterrorism</w:t>
      </w:r>
      <w:r w:rsidRPr="00031A5D">
        <w:rPr>
          <w:rFonts w:ascii="Roboto" w:hAnsi="Roboto"/>
          <w:sz w:val="18"/>
          <w:szCs w:val="18"/>
        </w:rPr>
        <w:t>, 18 September 2017,</w:t>
      </w:r>
    </w:p>
    <w:p w14:paraId="4877A2B3" w14:textId="77777777" w:rsidR="00FA7A82" w:rsidRPr="00031A5D" w:rsidRDefault="00000000" w:rsidP="00031A5D">
      <w:pPr>
        <w:pStyle w:val="FootnoteText"/>
        <w:jc w:val="both"/>
        <w:rPr>
          <w:rFonts w:ascii="Roboto" w:hAnsi="Roboto"/>
          <w:sz w:val="18"/>
          <w:szCs w:val="18"/>
          <w:lang w:val="en-US"/>
        </w:rPr>
      </w:pPr>
      <w:hyperlink r:id="rId95" w:tooltip="https://www.alkarama.org/en/articles/jordan-shadow-report-un-human-rights-committee-highlights-human-rights-abuses-name" w:history="1">
        <w:r w:rsidRPr="00031A5D">
          <w:rPr>
            <w:rStyle w:val="Hyperlink"/>
            <w:rFonts w:ascii="Roboto" w:hAnsi="Roboto"/>
            <w:sz w:val="18"/>
            <w:szCs w:val="18"/>
          </w:rPr>
          <w:t>https://www.alkarama.org/en/articles/jordan-shadow-report-un-human-rights-committee-highlights-human-rights-abuses-name</w:t>
        </w:r>
      </w:hyperlink>
      <w:r w:rsidRPr="00031A5D">
        <w:rPr>
          <w:rFonts w:ascii="Roboto" w:hAnsi="Roboto"/>
          <w:sz w:val="18"/>
          <w:szCs w:val="18"/>
        </w:rPr>
        <w:t xml:space="preserve"> (accessed 23 September 2024), p. </w:t>
      </w:r>
      <w:proofErr w:type="gramStart"/>
      <w:r w:rsidRPr="00031A5D">
        <w:rPr>
          <w:rFonts w:ascii="Roboto" w:hAnsi="Roboto"/>
          <w:sz w:val="18"/>
          <w:szCs w:val="18"/>
        </w:rPr>
        <w:t>11.</w:t>
      </w:r>
      <w:r w:rsidRPr="00031A5D">
        <w:rPr>
          <w:rFonts w:ascii="Roboto" w:hAnsi="Roboto"/>
          <w:sz w:val="18"/>
          <w:szCs w:val="18"/>
          <w:lang w:val="en-US"/>
        </w:rPr>
        <w:t>.</w:t>
      </w:r>
      <w:proofErr w:type="gramEnd"/>
      <w:r w:rsidRPr="00031A5D">
        <w:rPr>
          <w:rFonts w:ascii="Roboto" w:hAnsi="Roboto"/>
          <w:sz w:val="18"/>
          <w:szCs w:val="18"/>
          <w:lang w:val="en-US"/>
        </w:rPr>
        <w:t xml:space="preserve"> </w:t>
      </w:r>
    </w:p>
  </w:footnote>
  <w:footnote w:id="126">
    <w:p w14:paraId="30A995B4"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w:t>
      </w:r>
      <w:proofErr w:type="spellStart"/>
      <w:r w:rsidRPr="00031A5D">
        <w:rPr>
          <w:rFonts w:ascii="Roboto" w:hAnsi="Roboto"/>
          <w:sz w:val="18"/>
          <w:szCs w:val="18"/>
        </w:rPr>
        <w:t>Alkarama</w:t>
      </w:r>
      <w:proofErr w:type="spellEnd"/>
      <w:r w:rsidRPr="00031A5D">
        <w:rPr>
          <w:rFonts w:ascii="Roboto" w:hAnsi="Roboto"/>
          <w:sz w:val="18"/>
          <w:szCs w:val="18"/>
        </w:rPr>
        <w:t xml:space="preserve">, </w:t>
      </w:r>
      <w:r w:rsidRPr="00031A5D">
        <w:rPr>
          <w:rFonts w:ascii="Roboto" w:hAnsi="Roboto"/>
          <w:i/>
          <w:iCs/>
          <w:sz w:val="18"/>
          <w:szCs w:val="18"/>
        </w:rPr>
        <w:t>Jordan: Shadow report to UN Human Rights Committee highlights human rights abuses in name of counterterrorism</w:t>
      </w:r>
      <w:r w:rsidRPr="00031A5D">
        <w:rPr>
          <w:rFonts w:ascii="Roboto" w:hAnsi="Roboto"/>
          <w:sz w:val="18"/>
          <w:szCs w:val="18"/>
        </w:rPr>
        <w:t>, 18 September 2017,</w:t>
      </w:r>
    </w:p>
    <w:p w14:paraId="74E0EAB6" w14:textId="77777777" w:rsidR="00FA7A82" w:rsidRPr="00031A5D" w:rsidRDefault="00000000" w:rsidP="00031A5D">
      <w:pPr>
        <w:pStyle w:val="FootnoteText"/>
        <w:jc w:val="both"/>
        <w:rPr>
          <w:rFonts w:ascii="Roboto" w:hAnsi="Roboto"/>
          <w:sz w:val="18"/>
          <w:szCs w:val="18"/>
          <w:lang w:val="en-US"/>
        </w:rPr>
      </w:pPr>
      <w:hyperlink r:id="rId96" w:tooltip="https://www.alkarama.org/en/articles/jordan-shadow-report-un-human-rights-committee-highlights-human-rights-abuses-name" w:history="1">
        <w:r w:rsidRPr="00031A5D">
          <w:rPr>
            <w:rStyle w:val="Hyperlink"/>
            <w:rFonts w:ascii="Roboto" w:hAnsi="Roboto"/>
            <w:sz w:val="18"/>
            <w:szCs w:val="18"/>
          </w:rPr>
          <w:t>https://www.alkarama.org/en/articles/jordan-shadow-report-un-human-rights-committee-highlights-human-rights-abuses-name</w:t>
        </w:r>
      </w:hyperlink>
      <w:r w:rsidRPr="00031A5D">
        <w:rPr>
          <w:rFonts w:ascii="Roboto" w:hAnsi="Roboto"/>
          <w:sz w:val="18"/>
          <w:szCs w:val="18"/>
        </w:rPr>
        <w:t xml:space="preserve"> (accessed 23 September 2024), p. 11.</w:t>
      </w:r>
    </w:p>
  </w:footnote>
  <w:footnote w:id="127">
    <w:p w14:paraId="73993D87" w14:textId="77777777" w:rsidR="00FA7A82" w:rsidRPr="00031A5D" w:rsidRDefault="00000000" w:rsidP="00031A5D">
      <w:pPr>
        <w:pStyle w:val="FootnoteText"/>
        <w:jc w:val="both"/>
        <w:rPr>
          <w:rFonts w:ascii="Roboto" w:hAnsi="Roboto"/>
          <w:i/>
          <w:iCs/>
          <w:sz w:val="18"/>
          <w:szCs w:val="18"/>
        </w:rPr>
      </w:pPr>
      <w:r w:rsidRPr="00031A5D">
        <w:rPr>
          <w:rStyle w:val="FootnoteReference"/>
          <w:rFonts w:ascii="Roboto" w:hAnsi="Roboto"/>
          <w:sz w:val="18"/>
          <w:szCs w:val="18"/>
        </w:rPr>
        <w:footnoteRef/>
      </w:r>
      <w:r w:rsidRPr="00031A5D">
        <w:rPr>
          <w:rFonts w:ascii="Roboto" w:hAnsi="Roboto"/>
          <w:sz w:val="18"/>
          <w:szCs w:val="18"/>
        </w:rPr>
        <w:t xml:space="preserve"> Human Rights Committee, </w:t>
      </w:r>
      <w:r w:rsidRPr="00031A5D">
        <w:rPr>
          <w:rFonts w:ascii="Roboto" w:hAnsi="Roboto"/>
          <w:i/>
          <w:iCs/>
          <w:sz w:val="18"/>
          <w:szCs w:val="18"/>
        </w:rPr>
        <w:t>Concluding Observations on the Fifth Periodic Report of Jordan,</w:t>
      </w:r>
    </w:p>
    <w:p w14:paraId="58DA5628" w14:textId="4ABA88E2" w:rsidR="00FA7A82" w:rsidRPr="00031A5D" w:rsidRDefault="00000000" w:rsidP="00031A5D">
      <w:pPr>
        <w:pStyle w:val="FootnoteText"/>
        <w:jc w:val="both"/>
        <w:rPr>
          <w:rFonts w:ascii="Roboto" w:hAnsi="Roboto"/>
          <w:sz w:val="18"/>
          <w:szCs w:val="18"/>
          <w:lang w:val="en-US"/>
        </w:rPr>
      </w:pPr>
      <w:r w:rsidRPr="00031A5D">
        <w:rPr>
          <w:rFonts w:ascii="Roboto" w:hAnsi="Roboto"/>
          <w:sz w:val="18"/>
          <w:szCs w:val="18"/>
        </w:rPr>
        <w:t xml:space="preserve">4 December 2017, </w:t>
      </w:r>
      <w:r w:rsidR="00D818D4" w:rsidRPr="00D818D4">
        <w:rPr>
          <w:rFonts w:ascii="Roboto" w:hAnsi="Roboto"/>
          <w:sz w:val="18"/>
          <w:szCs w:val="18"/>
        </w:rPr>
        <w:t>UN Doc. CCPR/C/JOR/CO/5,</w:t>
      </w:r>
      <w:r w:rsidR="00D818D4" w:rsidRPr="00031A5D">
        <w:rPr>
          <w:rFonts w:ascii="Roboto" w:hAnsi="Roboto"/>
          <w:sz w:val="18"/>
          <w:szCs w:val="18"/>
        </w:rPr>
        <w:t xml:space="preserve"> </w:t>
      </w:r>
      <w:r w:rsidRPr="00031A5D">
        <w:rPr>
          <w:rFonts w:ascii="Roboto" w:hAnsi="Roboto"/>
          <w:sz w:val="18"/>
          <w:szCs w:val="18"/>
        </w:rPr>
        <w:t xml:space="preserve">para. 26; Committee against Torture, </w:t>
      </w:r>
      <w:r w:rsidRPr="00031A5D">
        <w:rPr>
          <w:rFonts w:ascii="Roboto" w:hAnsi="Roboto"/>
          <w:i/>
          <w:iCs/>
          <w:sz w:val="18"/>
          <w:szCs w:val="18"/>
        </w:rPr>
        <w:t>Concluding Observations on the third periodic report of Jordan</w:t>
      </w:r>
      <w:r w:rsidRPr="00031A5D">
        <w:rPr>
          <w:rFonts w:ascii="Roboto" w:hAnsi="Roboto"/>
          <w:sz w:val="18"/>
          <w:szCs w:val="18"/>
        </w:rPr>
        <w:t xml:space="preserve">, 29 January 2016, UN Doc. CAT/JOR/CO/3, para. 37; </w:t>
      </w:r>
      <w:r w:rsidRPr="00031A5D">
        <w:rPr>
          <w:rFonts w:ascii="Roboto" w:hAnsi="Roboto"/>
          <w:sz w:val="18"/>
          <w:szCs w:val="18"/>
          <w:lang w:val="en-US"/>
        </w:rPr>
        <w:t xml:space="preserve">Committee Against Torture, </w:t>
      </w:r>
      <w:r w:rsidRPr="00031A5D">
        <w:rPr>
          <w:rFonts w:ascii="Roboto" w:hAnsi="Roboto"/>
          <w:i/>
          <w:iCs/>
          <w:sz w:val="18"/>
          <w:szCs w:val="18"/>
        </w:rPr>
        <w:t>Fourth periodic report submitted by Jordan under article 19 of the Convention pursuant to the simplified reporting procedure, due in 2019</w:t>
      </w:r>
      <w:r w:rsidRPr="00031A5D">
        <w:rPr>
          <w:rFonts w:ascii="Roboto" w:hAnsi="Roboto"/>
          <w:sz w:val="18"/>
          <w:szCs w:val="18"/>
        </w:rPr>
        <w:t xml:space="preserve">, 21 December 2021, UN Doc. CAT/C/JOR/4, </w:t>
      </w:r>
      <w:hyperlink r:id="rId97" w:tooltip="https://docstore.ohchr.org/SelfServices/FilesHandler.ashx?enc=6QkG1d%2FPPRiCAqhKb7yhsuoO1aAYJ6VmNP4LonUL9si%2F6BRpobGHFNy2xW5%2BmLqKH9vcnfYrVk8kUOJb%2BBauqXGSNlarSqeb%2BP%2FZEfv7JDfA8DjIHm3bys7hB5acwHqC" w:history="1">
        <w:r w:rsidRPr="00031A5D">
          <w:rPr>
            <w:rStyle w:val="Hyperlink"/>
            <w:rFonts w:ascii="Roboto" w:hAnsi="Roboto"/>
            <w:sz w:val="18"/>
            <w:szCs w:val="18"/>
          </w:rPr>
          <w:t>https://docstore.ohchr.org/SelfServices/FilesHandler.ashx?enc=6QkG1d%2FPPRiCAqhKb7yhsuoO1aAYJ6VmNP4LonUL9si%2F6BRpobGHFNy2xW5%2BmLqKH9vcnfYrVk8kUOJb%2BBauqXGSNlarSqeb%2BP%2FZEfv7JDfA8DjIHm3bys7hB5acwHqC</w:t>
        </w:r>
      </w:hyperlink>
      <w:r w:rsidRPr="00031A5D">
        <w:rPr>
          <w:rFonts w:ascii="Roboto" w:hAnsi="Roboto"/>
          <w:sz w:val="18"/>
          <w:szCs w:val="18"/>
        </w:rPr>
        <w:t xml:space="preserve"> (accessed 21 August 2024), para. 28.</w:t>
      </w:r>
    </w:p>
  </w:footnote>
  <w:footnote w:id="128">
    <w:p w14:paraId="4B282EF2"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Special Procedures, </w:t>
      </w:r>
      <w:r w:rsidRPr="00031A5D">
        <w:rPr>
          <w:rFonts w:ascii="Roboto" w:hAnsi="Roboto"/>
          <w:i/>
          <w:iCs/>
          <w:sz w:val="18"/>
          <w:szCs w:val="18"/>
        </w:rPr>
        <w:t>AL JOR 1/2021</w:t>
      </w:r>
      <w:r w:rsidRPr="00031A5D">
        <w:rPr>
          <w:rFonts w:ascii="Roboto" w:hAnsi="Roboto"/>
          <w:sz w:val="18"/>
          <w:szCs w:val="18"/>
        </w:rPr>
        <w:t xml:space="preserve">, 2 November 2021, </w:t>
      </w:r>
      <w:hyperlink r:id="rId98" w:tooltip="https://spcommreports.ohchr.org/TMResultsBase/DownLoadPublicCommunicationFile?gId=26769" w:history="1">
        <w:r w:rsidRPr="00031A5D">
          <w:rPr>
            <w:rStyle w:val="Hyperlink"/>
            <w:rFonts w:ascii="Roboto" w:hAnsi="Roboto"/>
            <w:sz w:val="18"/>
            <w:szCs w:val="18"/>
          </w:rPr>
          <w:t>https://spcommreports.ohchr.org/TMResultsBase/DownLoadPublicCommunicationFile?gId=26769</w:t>
        </w:r>
      </w:hyperlink>
      <w:r w:rsidRPr="00031A5D">
        <w:rPr>
          <w:rFonts w:ascii="Roboto" w:hAnsi="Roboto"/>
          <w:sz w:val="18"/>
          <w:szCs w:val="18"/>
        </w:rPr>
        <w:t xml:space="preserve"> (accessed 26 September 2024).</w:t>
      </w:r>
    </w:p>
  </w:footnote>
  <w:footnote w:id="129">
    <w:p w14:paraId="5F9DE1C3" w14:textId="77777777" w:rsidR="00FA7A82" w:rsidRPr="00031A5D" w:rsidRDefault="00000000" w:rsidP="00031A5D">
      <w:pPr>
        <w:pStyle w:val="FootnoteText"/>
        <w:jc w:val="both"/>
        <w:rPr>
          <w:rFonts w:ascii="Roboto" w:hAnsi="Roboto"/>
          <w:b/>
          <w:bCs/>
          <w:sz w:val="18"/>
          <w:szCs w:val="18"/>
        </w:rPr>
      </w:pPr>
      <w:r w:rsidRPr="00031A5D">
        <w:rPr>
          <w:rStyle w:val="FootnoteReference"/>
          <w:rFonts w:ascii="Roboto" w:hAnsi="Roboto"/>
          <w:sz w:val="18"/>
          <w:szCs w:val="18"/>
        </w:rPr>
        <w:footnoteRef/>
      </w:r>
      <w:r w:rsidRPr="00031A5D">
        <w:rPr>
          <w:rFonts w:ascii="Roboto" w:hAnsi="Roboto"/>
          <w:sz w:val="18"/>
          <w:szCs w:val="18"/>
        </w:rPr>
        <w:t xml:space="preserve"> </w:t>
      </w:r>
      <w:r w:rsidRPr="00031A5D">
        <w:rPr>
          <w:rFonts w:ascii="Roboto" w:hAnsi="Roboto"/>
          <w:sz w:val="18"/>
          <w:szCs w:val="18"/>
          <w:lang w:val="en-US"/>
        </w:rPr>
        <w:t xml:space="preserve">Committee Against Torture, </w:t>
      </w:r>
      <w:r w:rsidRPr="00031A5D">
        <w:rPr>
          <w:rFonts w:ascii="Roboto" w:hAnsi="Roboto"/>
          <w:i/>
          <w:iCs/>
          <w:sz w:val="18"/>
          <w:szCs w:val="18"/>
        </w:rPr>
        <w:t>Fourth periodic report submitted by Jordan under article 19 of the Convention pursuant to the simplified reporting procedure, due in 2019</w:t>
      </w:r>
      <w:r w:rsidRPr="00031A5D">
        <w:rPr>
          <w:rFonts w:ascii="Roboto" w:hAnsi="Roboto"/>
          <w:sz w:val="18"/>
          <w:szCs w:val="18"/>
        </w:rPr>
        <w:t xml:space="preserve">, 21 </w:t>
      </w:r>
      <w:r w:rsidRPr="00031A5D">
        <w:rPr>
          <w:rFonts w:ascii="Roboto" w:hAnsi="Roboto"/>
          <w:sz w:val="18"/>
          <w:szCs w:val="18"/>
        </w:rPr>
        <w:t xml:space="preserve">December 2021, UN Doc. CAT/C/JOR/4, </w:t>
      </w:r>
      <w:hyperlink r:id="rId99" w:tooltip="https://docstore.ohchr.org/SelfServices/FilesHandler.ashx?enc=6QkG1d%2FPPRiCAqhKb7yhsuoO1aAYJ6VmNP4LonUL9si%2F6BRpobGHFNy2xW5%2BmLqKH9vcnfYrVk8kUOJb%2BBauqXGSNlarSqeb%2BP%2FZEfv7JDfA8DjIHm3bys7hB5acwHqC" w:history="1">
        <w:r w:rsidRPr="00031A5D">
          <w:rPr>
            <w:rStyle w:val="Hyperlink"/>
            <w:rFonts w:ascii="Roboto" w:hAnsi="Roboto"/>
            <w:sz w:val="18"/>
            <w:szCs w:val="18"/>
          </w:rPr>
          <w:t>https://docstore.ohchr.org/SelfServices/FilesHandler.ashx?enc=6QkG1d%2FPPRiCAqhKb7yhsuoO1aAYJ6VmNP4LonUL9si%2F6BRpobGHFNy2xW5%2BmLqKH9vcnfYrVk8kUOJb%2BBauqXGSNlarSqeb%2BP%2FZEfv7JDfA8DjIHm3bys7hB5acwHqC</w:t>
        </w:r>
      </w:hyperlink>
      <w:r w:rsidRPr="00031A5D">
        <w:rPr>
          <w:rFonts w:ascii="Roboto" w:hAnsi="Roboto"/>
          <w:sz w:val="18"/>
          <w:szCs w:val="18"/>
        </w:rPr>
        <w:t xml:space="preserve"> (accessed 21 August 2024), para. 136.</w:t>
      </w:r>
    </w:p>
  </w:footnote>
  <w:footnote w:id="130">
    <w:p w14:paraId="46EAEC9A" w14:textId="77777777" w:rsidR="00FA7A82" w:rsidRPr="00031A5D" w:rsidRDefault="00000000" w:rsidP="00031A5D">
      <w:pPr>
        <w:pStyle w:val="FootnoteText"/>
        <w:jc w:val="both"/>
        <w:rPr>
          <w:rFonts w:ascii="Roboto" w:hAnsi="Roboto"/>
          <w:sz w:val="18"/>
          <w:szCs w:val="18"/>
          <w:lang w:val="en-US"/>
        </w:rPr>
      </w:pPr>
      <w:r w:rsidRPr="00031A5D">
        <w:rPr>
          <w:rStyle w:val="FootnoteReference"/>
          <w:rFonts w:ascii="Roboto" w:hAnsi="Roboto"/>
          <w:sz w:val="18"/>
          <w:szCs w:val="18"/>
        </w:rPr>
        <w:footnoteRef/>
      </w:r>
      <w:r w:rsidRPr="00031A5D">
        <w:rPr>
          <w:rFonts w:ascii="Roboto" w:hAnsi="Roboto"/>
          <w:sz w:val="18"/>
          <w:szCs w:val="18"/>
        </w:rPr>
        <w:t xml:space="preserve"> Committee against Torture, </w:t>
      </w:r>
      <w:r w:rsidRPr="00031A5D">
        <w:rPr>
          <w:rFonts w:ascii="Roboto" w:hAnsi="Roboto"/>
          <w:i/>
          <w:iCs/>
          <w:sz w:val="18"/>
          <w:szCs w:val="18"/>
        </w:rPr>
        <w:t>Concluding Observations on the third periodic report of Jordan</w:t>
      </w:r>
      <w:r w:rsidRPr="00031A5D">
        <w:rPr>
          <w:rFonts w:ascii="Roboto" w:hAnsi="Roboto"/>
          <w:sz w:val="18"/>
          <w:szCs w:val="18"/>
        </w:rPr>
        <w:t>, 29 January 2016, UN Doc. CAT/JOR/CO/3, para. 33.</w:t>
      </w:r>
    </w:p>
  </w:footnote>
  <w:footnote w:id="131">
    <w:p w14:paraId="3D83A5F7" w14:textId="5BD60A1F" w:rsidR="00FA7A82" w:rsidRPr="00031A5D" w:rsidRDefault="00000000" w:rsidP="00031A5D">
      <w:pPr>
        <w:pStyle w:val="FootnoteText"/>
        <w:jc w:val="both"/>
        <w:rPr>
          <w:rFonts w:ascii="Roboto" w:hAnsi="Roboto"/>
          <w:sz w:val="18"/>
          <w:szCs w:val="18"/>
          <w:lang w:val="en-US"/>
        </w:rPr>
      </w:pPr>
      <w:r w:rsidRPr="00031A5D">
        <w:rPr>
          <w:rStyle w:val="FootnoteReference"/>
          <w:rFonts w:ascii="Roboto" w:hAnsi="Roboto"/>
          <w:sz w:val="18"/>
          <w:szCs w:val="18"/>
        </w:rPr>
        <w:footnoteRef/>
      </w:r>
      <w:r w:rsidRPr="00031A5D">
        <w:rPr>
          <w:rFonts w:ascii="Roboto" w:hAnsi="Roboto"/>
          <w:sz w:val="18"/>
          <w:szCs w:val="18"/>
        </w:rPr>
        <w:t xml:space="preserve"> </w:t>
      </w:r>
      <w:r w:rsidRPr="00031A5D">
        <w:rPr>
          <w:rFonts w:ascii="Roboto" w:hAnsi="Roboto"/>
          <w:i/>
          <w:iCs/>
          <w:sz w:val="18"/>
          <w:szCs w:val="18"/>
        </w:rPr>
        <w:t>Ibid.</w:t>
      </w:r>
    </w:p>
  </w:footnote>
  <w:footnote w:id="132">
    <w:p w14:paraId="7E82BC49" w14:textId="77777777" w:rsidR="00FA7A82" w:rsidRPr="00031A5D" w:rsidRDefault="00000000" w:rsidP="00031A5D">
      <w:pPr>
        <w:pStyle w:val="FootnoteText"/>
        <w:jc w:val="both"/>
        <w:rPr>
          <w:rFonts w:ascii="Roboto" w:hAnsi="Roboto"/>
          <w:b/>
          <w:bCs/>
          <w:sz w:val="18"/>
          <w:szCs w:val="18"/>
        </w:rPr>
      </w:pPr>
      <w:r w:rsidRPr="00031A5D">
        <w:rPr>
          <w:rStyle w:val="FootnoteReference"/>
          <w:rFonts w:ascii="Roboto" w:hAnsi="Roboto"/>
          <w:sz w:val="18"/>
          <w:szCs w:val="18"/>
        </w:rPr>
        <w:footnoteRef/>
      </w:r>
      <w:r w:rsidRPr="00031A5D">
        <w:rPr>
          <w:rFonts w:ascii="Roboto" w:hAnsi="Roboto"/>
          <w:sz w:val="18"/>
          <w:szCs w:val="18"/>
        </w:rPr>
        <w:t xml:space="preserve"> Committee Against Torture, </w:t>
      </w:r>
      <w:r w:rsidRPr="00031A5D">
        <w:rPr>
          <w:rFonts w:ascii="Roboto" w:hAnsi="Roboto"/>
          <w:i/>
          <w:iCs/>
          <w:sz w:val="18"/>
          <w:szCs w:val="18"/>
        </w:rPr>
        <w:t>List of issues prior to submission of the fourth periodic report of Jordan</w:t>
      </w:r>
      <w:r w:rsidRPr="00031A5D">
        <w:rPr>
          <w:rFonts w:ascii="Roboto" w:hAnsi="Roboto"/>
          <w:sz w:val="18"/>
          <w:szCs w:val="18"/>
        </w:rPr>
        <w:t xml:space="preserve">, 13 June </w:t>
      </w:r>
      <w:r w:rsidRPr="00031A5D">
        <w:rPr>
          <w:rFonts w:ascii="Roboto" w:hAnsi="Roboto"/>
          <w:sz w:val="18"/>
          <w:szCs w:val="18"/>
        </w:rPr>
        <w:t xml:space="preserve">2018, UN Doc. CAT/C/JOR/QPR/4, </w:t>
      </w:r>
      <w:hyperlink r:id="rId100" w:tooltip="https://docstore.ohchr.org/SelfServices/FilesHandler.ashx?enc=6QkG1d%2FPPRiCAqhKb7yhsuoO1aAYJ6VmNP4LonUL9sirGNBx0BDPQylFzMNh%2BBP5a%2FrMh8QqsqtzGhsW21L8Tz%2BXBoT7mChZucEBmnpWUgj6%2FaQhEPGbT7x5z6tA%2FzVB" w:history="1">
        <w:r w:rsidRPr="00031A5D">
          <w:rPr>
            <w:rStyle w:val="Hyperlink"/>
            <w:rFonts w:ascii="Roboto" w:hAnsi="Roboto"/>
            <w:sz w:val="18"/>
            <w:szCs w:val="18"/>
          </w:rPr>
          <w:t>https://docstore.ohchr.org/SelfServices/FilesHandler.ashx?enc=6QkG1d%2FPPRiCAqhKb7yhsuoO1aAYJ6VmNP4LonUL9sirGNBx0BDPQylFzMNh%2BBP5a%2FrMh8QqsqtzGhsW21L8Tz%2BXBoT7mChZucEBmnpWUgj6%2FaQhEPGbT7x5z6tA%2FzVB</w:t>
        </w:r>
      </w:hyperlink>
      <w:r w:rsidRPr="00031A5D">
        <w:rPr>
          <w:rFonts w:ascii="Roboto" w:hAnsi="Roboto"/>
          <w:sz w:val="18"/>
          <w:szCs w:val="18"/>
        </w:rPr>
        <w:t xml:space="preserve"> (accessed 21 August 2024), para. 29.</w:t>
      </w:r>
    </w:p>
  </w:footnote>
  <w:footnote w:id="133">
    <w:p w14:paraId="787E2843"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w:t>
      </w:r>
      <w:r w:rsidRPr="00031A5D">
        <w:rPr>
          <w:rFonts w:ascii="Roboto" w:hAnsi="Roboto"/>
          <w:sz w:val="18"/>
          <w:szCs w:val="18"/>
          <w:lang w:val="en-US"/>
        </w:rPr>
        <w:t xml:space="preserve">Committee Against Torture, </w:t>
      </w:r>
      <w:r w:rsidRPr="00031A5D">
        <w:rPr>
          <w:rFonts w:ascii="Roboto" w:hAnsi="Roboto"/>
          <w:i/>
          <w:iCs/>
          <w:sz w:val="18"/>
          <w:szCs w:val="18"/>
        </w:rPr>
        <w:t>Fourth periodic report submitted by Jordan under article 19 of the Convention pursuant to the simplified reporting procedure, due in 2019</w:t>
      </w:r>
      <w:r w:rsidRPr="00031A5D">
        <w:rPr>
          <w:rFonts w:ascii="Roboto" w:hAnsi="Roboto"/>
          <w:sz w:val="18"/>
          <w:szCs w:val="18"/>
        </w:rPr>
        <w:t xml:space="preserve">, 21 December 2021, UN Doc. CAT/C/JOR/4, </w:t>
      </w:r>
      <w:hyperlink r:id="rId101" w:tooltip="https://docstore.ohchr.org/SelfServices/FilesHandler.ashx?enc=6QkG1d%2FPPRiCAqhKb7yhsuoO1aAYJ6VmNP4LonUL9si%2F6BRpobGHFNy2xW5%2BmLqKH9vcnfYrVk8kUOJb%2BBauqXGSNlarSqeb%2BP%2FZEfv7JDfA8DjIHm3bys7hB5acwHqC" w:history="1">
        <w:r w:rsidRPr="00031A5D">
          <w:rPr>
            <w:rStyle w:val="Hyperlink"/>
            <w:rFonts w:ascii="Roboto" w:hAnsi="Roboto"/>
            <w:sz w:val="18"/>
            <w:szCs w:val="18"/>
          </w:rPr>
          <w:t>https://docstore.ohchr.org/SelfServices/FilesHandler.ashx?enc=6QkG1d%2FPPRiCAqhKb7yhsuoO1aAYJ6VmNP4LonUL9si%2F6BRpobGHFNy2xW5%2BmLqKH9vcnfYrVk8kUOJb%2BBauqXGSNlarSqeb%2BP%2FZEfv7JDfA8DjIHm3bys7hB5acwHqC</w:t>
        </w:r>
      </w:hyperlink>
      <w:r w:rsidRPr="00031A5D">
        <w:rPr>
          <w:rFonts w:ascii="Roboto" w:hAnsi="Roboto"/>
          <w:sz w:val="18"/>
          <w:szCs w:val="18"/>
        </w:rPr>
        <w:t xml:space="preserve"> (accessed 21 August 2024), para. 124.</w:t>
      </w:r>
    </w:p>
  </w:footnote>
  <w:footnote w:id="134">
    <w:p w14:paraId="1ADB9A30"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Article 80 (b) of the Public Security Law No. 38 of 1965.</w:t>
      </w:r>
    </w:p>
  </w:footnote>
  <w:footnote w:id="135">
    <w:p w14:paraId="75B6E30C"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Human Rights Committee, </w:t>
      </w:r>
      <w:r w:rsidRPr="00031A5D">
        <w:rPr>
          <w:rFonts w:ascii="Roboto" w:hAnsi="Roboto"/>
          <w:i/>
          <w:iCs/>
          <w:sz w:val="18"/>
          <w:szCs w:val="18"/>
        </w:rPr>
        <w:t>Concluding observations on the fifth periodic report of Jordan</w:t>
      </w:r>
      <w:r w:rsidRPr="00031A5D">
        <w:rPr>
          <w:rFonts w:ascii="Roboto" w:hAnsi="Roboto"/>
          <w:sz w:val="18"/>
          <w:szCs w:val="18"/>
        </w:rPr>
        <w:t xml:space="preserve">, 4 December 2017, UN Doc. CCPR/C/JOR/CO/5, </w:t>
      </w:r>
      <w:hyperlink r:id="rId102" w:tooltip="https://documents.un.org/doc/undoc/gen/g17/354/93/pdf/g1735493.pdf" w:history="1">
        <w:r w:rsidRPr="00031A5D">
          <w:rPr>
            <w:rStyle w:val="Hyperlink"/>
            <w:rFonts w:ascii="Roboto" w:hAnsi="Roboto"/>
            <w:sz w:val="18"/>
            <w:szCs w:val="18"/>
          </w:rPr>
          <w:t>https://documents.un.org/doc/undoc/gen/g17/354/93/pdf/g1735493.pdf</w:t>
        </w:r>
      </w:hyperlink>
      <w:r w:rsidRPr="00031A5D">
        <w:rPr>
          <w:rFonts w:ascii="Roboto" w:hAnsi="Roboto"/>
          <w:sz w:val="18"/>
          <w:szCs w:val="18"/>
        </w:rPr>
        <w:t xml:space="preserve"> (accessed 23 September 2024), para. 16. </w:t>
      </w:r>
    </w:p>
  </w:footnote>
  <w:footnote w:id="136">
    <w:p w14:paraId="04314BBC" w14:textId="77777777" w:rsidR="00FA7A82" w:rsidRPr="00031A5D" w:rsidRDefault="00000000" w:rsidP="00031A5D">
      <w:pPr>
        <w:pStyle w:val="FootnoteText"/>
        <w:jc w:val="both"/>
        <w:rPr>
          <w:rFonts w:ascii="Roboto" w:hAnsi="Roboto"/>
          <w:sz w:val="18"/>
          <w:szCs w:val="18"/>
          <w:lang w:val="en-US"/>
        </w:rPr>
      </w:pPr>
      <w:r w:rsidRPr="00031A5D">
        <w:rPr>
          <w:rStyle w:val="FootnoteReference"/>
          <w:rFonts w:ascii="Roboto" w:hAnsi="Roboto"/>
          <w:sz w:val="18"/>
          <w:szCs w:val="18"/>
        </w:rPr>
        <w:footnoteRef/>
      </w:r>
      <w:r w:rsidRPr="00031A5D">
        <w:rPr>
          <w:rFonts w:ascii="Roboto" w:hAnsi="Roboto"/>
          <w:sz w:val="18"/>
          <w:szCs w:val="18"/>
        </w:rPr>
        <w:t xml:space="preserve"> Committee against Torture, </w:t>
      </w:r>
      <w:r w:rsidRPr="00031A5D">
        <w:rPr>
          <w:rFonts w:ascii="Roboto" w:hAnsi="Roboto"/>
          <w:i/>
          <w:iCs/>
          <w:sz w:val="18"/>
          <w:szCs w:val="18"/>
        </w:rPr>
        <w:t>Concluding Observations on the third periodic report of Jordan</w:t>
      </w:r>
      <w:r w:rsidRPr="00031A5D">
        <w:rPr>
          <w:rFonts w:ascii="Roboto" w:hAnsi="Roboto"/>
          <w:sz w:val="18"/>
          <w:szCs w:val="18"/>
        </w:rPr>
        <w:t>, 29 January 2016, UN Doc. CAT/JOR/CO/3, para. 33.</w:t>
      </w:r>
    </w:p>
  </w:footnote>
  <w:footnote w:id="137">
    <w:p w14:paraId="72330EE3" w14:textId="0E701D43" w:rsidR="00FA7A82" w:rsidRPr="00031A5D" w:rsidRDefault="00000000" w:rsidP="00031A5D">
      <w:pPr>
        <w:pStyle w:val="FootnoteText"/>
        <w:jc w:val="both"/>
        <w:rPr>
          <w:rFonts w:ascii="Roboto" w:hAnsi="Roboto"/>
          <w:sz w:val="18"/>
          <w:szCs w:val="18"/>
          <w:lang w:val="en-US"/>
        </w:rPr>
      </w:pPr>
      <w:r w:rsidRPr="00031A5D">
        <w:rPr>
          <w:rStyle w:val="FootnoteReference"/>
          <w:rFonts w:ascii="Roboto" w:hAnsi="Roboto"/>
          <w:sz w:val="18"/>
          <w:szCs w:val="18"/>
        </w:rPr>
        <w:footnoteRef/>
      </w:r>
      <w:r w:rsidR="00C32A67" w:rsidRPr="00031A5D">
        <w:rPr>
          <w:rFonts w:ascii="Roboto" w:hAnsi="Roboto"/>
          <w:i/>
          <w:iCs/>
          <w:sz w:val="18"/>
          <w:szCs w:val="18"/>
        </w:rPr>
        <w:t xml:space="preserve"> </w:t>
      </w:r>
      <w:r w:rsidRPr="00031A5D">
        <w:rPr>
          <w:rFonts w:ascii="Roboto" w:hAnsi="Roboto"/>
          <w:i/>
          <w:iCs/>
          <w:sz w:val="18"/>
          <w:szCs w:val="18"/>
        </w:rPr>
        <w:t>Ibid</w:t>
      </w:r>
      <w:r w:rsidRPr="00031A5D">
        <w:rPr>
          <w:rFonts w:ascii="Roboto" w:hAnsi="Roboto"/>
          <w:sz w:val="18"/>
          <w:szCs w:val="18"/>
        </w:rPr>
        <w:t>.</w:t>
      </w:r>
    </w:p>
  </w:footnote>
  <w:footnote w:id="138">
    <w:p w14:paraId="2BCEFF05"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Committee Against Torture, </w:t>
      </w:r>
      <w:r w:rsidRPr="00031A5D">
        <w:rPr>
          <w:rFonts w:ascii="Roboto" w:hAnsi="Roboto"/>
          <w:i/>
          <w:iCs/>
          <w:sz w:val="18"/>
          <w:szCs w:val="18"/>
        </w:rPr>
        <w:t>List of issues prior to submission of the fourth periodic report of Jordan</w:t>
      </w:r>
      <w:r w:rsidRPr="00031A5D">
        <w:rPr>
          <w:rFonts w:ascii="Roboto" w:hAnsi="Roboto"/>
          <w:sz w:val="18"/>
          <w:szCs w:val="18"/>
        </w:rPr>
        <w:t xml:space="preserve">, 13 June 2018, UN Doc. CAT/C/JOR/QPR/4, </w:t>
      </w:r>
      <w:hyperlink r:id="rId103" w:tooltip="https://docstore.ohchr.org/SelfServices/FilesHandler.ashx?enc=6QkG1d%2FPPRiCAqhKb7yhsuoO1aAYJ6VmNP4LonUL9sirGNBx0BDPQylFzMNh%2BBP5a%2FrMh8QqsqtzGhsW21L8Tz%2BXBoT7mChZucEBmnpWUgj6%2FaQhEPGbT7x5z6tA%2FzVB" w:history="1">
        <w:r w:rsidRPr="00031A5D">
          <w:rPr>
            <w:rStyle w:val="Hyperlink"/>
            <w:rFonts w:ascii="Roboto" w:hAnsi="Roboto"/>
            <w:sz w:val="18"/>
            <w:szCs w:val="18"/>
          </w:rPr>
          <w:t>https://docstore.ohchr.org/SelfServices/FilesHandler.ashx?enc=6QkG1d%2FPPRiCAqhKb7yhsuoO1aAYJ6VmNP4LonUL9sirGNBx0BDPQylFzMNh%2BBP5a%2FrMh8QqsqtzGhsW21L8Tz%2BXBoT7mChZucEBmnpWUgj6%2FaQhEPGbT7x5z6tA%2FzVB</w:t>
        </w:r>
      </w:hyperlink>
      <w:r w:rsidRPr="00031A5D">
        <w:rPr>
          <w:rFonts w:ascii="Roboto" w:hAnsi="Roboto"/>
          <w:sz w:val="18"/>
          <w:szCs w:val="18"/>
        </w:rPr>
        <w:t xml:space="preserve"> (accessed 21 August 2024), para. 11.</w:t>
      </w:r>
    </w:p>
  </w:footnote>
  <w:footnote w:id="139">
    <w:p w14:paraId="3F1A3384" w14:textId="2D2A1742" w:rsidR="00FA7A82" w:rsidRPr="00031A5D" w:rsidRDefault="00000000" w:rsidP="00031A5D">
      <w:pPr>
        <w:pStyle w:val="FootnoteText"/>
        <w:jc w:val="both"/>
        <w:rPr>
          <w:rFonts w:ascii="Roboto" w:hAnsi="Roboto"/>
          <w:b/>
          <w:bCs/>
          <w:sz w:val="18"/>
          <w:szCs w:val="18"/>
        </w:rPr>
      </w:pPr>
      <w:r w:rsidRPr="00031A5D">
        <w:rPr>
          <w:rStyle w:val="FootnoteReference"/>
          <w:rFonts w:ascii="Roboto" w:hAnsi="Roboto"/>
          <w:sz w:val="18"/>
          <w:szCs w:val="18"/>
        </w:rPr>
        <w:footnoteRef/>
      </w:r>
      <w:r w:rsidRPr="00031A5D">
        <w:rPr>
          <w:rFonts w:ascii="Roboto" w:hAnsi="Roboto"/>
          <w:sz w:val="18"/>
          <w:szCs w:val="18"/>
        </w:rPr>
        <w:t xml:space="preserve"> </w:t>
      </w:r>
      <w:r w:rsidR="00573C4F" w:rsidRPr="00573C4F">
        <w:rPr>
          <w:rFonts w:ascii="Roboto" w:hAnsi="Roboto"/>
          <w:i/>
          <w:iCs/>
          <w:sz w:val="18"/>
          <w:szCs w:val="18"/>
        </w:rPr>
        <w:t>Ibid</w:t>
      </w:r>
      <w:r w:rsidR="00573C4F">
        <w:rPr>
          <w:rFonts w:ascii="Roboto" w:hAnsi="Roboto"/>
          <w:sz w:val="18"/>
          <w:szCs w:val="18"/>
        </w:rPr>
        <w:t>.</w:t>
      </w:r>
      <w:r w:rsidRPr="00031A5D">
        <w:rPr>
          <w:rFonts w:ascii="Roboto" w:hAnsi="Roboto"/>
          <w:sz w:val="18"/>
          <w:szCs w:val="18"/>
        </w:rPr>
        <w:t>, para. 28.</w:t>
      </w:r>
    </w:p>
  </w:footnote>
  <w:footnote w:id="140">
    <w:p w14:paraId="6B371A7B" w14:textId="77777777" w:rsidR="00FA7A82" w:rsidRPr="00031A5D" w:rsidRDefault="00000000" w:rsidP="00031A5D">
      <w:pPr>
        <w:pStyle w:val="FootnoteText"/>
        <w:jc w:val="both"/>
        <w:rPr>
          <w:rFonts w:ascii="Roboto" w:hAnsi="Roboto"/>
          <w:b/>
          <w:bCs/>
          <w:sz w:val="18"/>
          <w:szCs w:val="18"/>
        </w:rPr>
      </w:pPr>
      <w:r w:rsidRPr="00031A5D">
        <w:rPr>
          <w:rStyle w:val="FootnoteReference"/>
          <w:rFonts w:ascii="Roboto" w:hAnsi="Roboto"/>
          <w:sz w:val="18"/>
          <w:szCs w:val="18"/>
        </w:rPr>
        <w:footnoteRef/>
      </w:r>
      <w:r w:rsidRPr="00031A5D">
        <w:rPr>
          <w:rFonts w:ascii="Roboto" w:hAnsi="Roboto"/>
          <w:sz w:val="18"/>
          <w:szCs w:val="18"/>
        </w:rPr>
        <w:t xml:space="preserve"> </w:t>
      </w:r>
      <w:r w:rsidRPr="00031A5D">
        <w:rPr>
          <w:rFonts w:ascii="Roboto" w:hAnsi="Roboto"/>
          <w:sz w:val="18"/>
          <w:szCs w:val="18"/>
          <w:lang w:val="en-US"/>
        </w:rPr>
        <w:t xml:space="preserve">Committee Against Torture, </w:t>
      </w:r>
      <w:r w:rsidRPr="00031A5D">
        <w:rPr>
          <w:rFonts w:ascii="Roboto" w:hAnsi="Roboto"/>
          <w:i/>
          <w:iCs/>
          <w:sz w:val="18"/>
          <w:szCs w:val="18"/>
        </w:rPr>
        <w:t>Fourth periodic report submitted by Jordan under article 19 of the Convention pursuant to the simplified reporting procedure, due in 2019</w:t>
      </w:r>
      <w:r w:rsidRPr="00031A5D">
        <w:rPr>
          <w:rFonts w:ascii="Roboto" w:hAnsi="Roboto"/>
          <w:sz w:val="18"/>
          <w:szCs w:val="18"/>
        </w:rPr>
        <w:t xml:space="preserve">, 21 December 2021, UN Doc. CAT/C/JOR/4, </w:t>
      </w:r>
      <w:hyperlink r:id="rId104" w:tooltip="https://docstore.ohchr.org/SelfServices/FilesHandler.ashx?enc=6QkG1d%2FPPRiCAqhKb7yhsuoO1aAYJ6VmNP4LonUL9si%2F6BRpobGHFNy2xW5%2BmLqKH9vcnfYrVk8kUOJb%2BBauqXGSNlarSqeb%2BP%2FZEfv7JDfA8DjIHm3bys7hB5acwHqC" w:history="1">
        <w:r w:rsidRPr="00031A5D">
          <w:rPr>
            <w:rStyle w:val="Hyperlink"/>
            <w:rFonts w:ascii="Roboto" w:hAnsi="Roboto"/>
            <w:sz w:val="18"/>
            <w:szCs w:val="18"/>
          </w:rPr>
          <w:t>https://docstore.ohchr.org/SelfServices/FilesHandler.ashx?enc=6QkG1d%2FPPRiCAqhKb7yhsuoO1aAYJ6VmNP4LonUL9si%2F6BRpobGHFNy2xW5%2BmLqKH9vcnfYrVk8kUOJb%2BBauqXGSNlarSqeb%2BP%2FZEfv7JDfA8DjIHm3bys7hB5acwHqC</w:t>
        </w:r>
      </w:hyperlink>
      <w:r w:rsidRPr="00031A5D">
        <w:rPr>
          <w:rFonts w:ascii="Roboto" w:hAnsi="Roboto"/>
          <w:sz w:val="18"/>
          <w:szCs w:val="18"/>
        </w:rPr>
        <w:t xml:space="preserve"> (accessed 21 August 2024), para. 122.</w:t>
      </w:r>
    </w:p>
  </w:footnote>
  <w:footnote w:id="141">
    <w:p w14:paraId="3BFFBE1F"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Public Security Law No. 27 (2010) amending the law No. 38 of 1965.</w:t>
      </w:r>
    </w:p>
  </w:footnote>
  <w:footnote w:id="142">
    <w:p w14:paraId="5D2D7238"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w:t>
      </w:r>
      <w:proofErr w:type="spellStart"/>
      <w:r w:rsidRPr="00031A5D">
        <w:rPr>
          <w:rFonts w:ascii="Roboto" w:hAnsi="Roboto"/>
          <w:sz w:val="18"/>
          <w:szCs w:val="18"/>
        </w:rPr>
        <w:t>Alkarama</w:t>
      </w:r>
      <w:proofErr w:type="spellEnd"/>
      <w:r w:rsidRPr="00031A5D">
        <w:rPr>
          <w:rFonts w:ascii="Roboto" w:hAnsi="Roboto"/>
          <w:sz w:val="18"/>
          <w:szCs w:val="18"/>
        </w:rPr>
        <w:t xml:space="preserve">, </w:t>
      </w:r>
      <w:r w:rsidRPr="00031A5D">
        <w:rPr>
          <w:rFonts w:ascii="Roboto" w:hAnsi="Roboto"/>
          <w:i/>
          <w:iCs/>
          <w:sz w:val="18"/>
          <w:szCs w:val="18"/>
        </w:rPr>
        <w:t>Jordan: Shadow report to UN Human Rights Committee highlights human rights abuses in name of counterterrorism</w:t>
      </w:r>
      <w:r w:rsidRPr="00031A5D">
        <w:rPr>
          <w:rFonts w:ascii="Roboto" w:hAnsi="Roboto"/>
          <w:sz w:val="18"/>
          <w:szCs w:val="18"/>
        </w:rPr>
        <w:t>, 18 September 2017,</w:t>
      </w:r>
    </w:p>
    <w:p w14:paraId="3383A8B5" w14:textId="77777777" w:rsidR="00FA7A82" w:rsidRPr="00031A5D" w:rsidRDefault="00000000" w:rsidP="00031A5D">
      <w:pPr>
        <w:pStyle w:val="FootnoteText"/>
        <w:jc w:val="both"/>
        <w:rPr>
          <w:rFonts w:ascii="Roboto" w:hAnsi="Roboto"/>
          <w:sz w:val="18"/>
          <w:szCs w:val="18"/>
        </w:rPr>
      </w:pPr>
      <w:hyperlink r:id="rId105" w:tooltip="https://www.alkarama.org/en/articles/jordan-shadow-report-un-human-rights-committee-highlights-human-rights-abuses-name" w:history="1">
        <w:r w:rsidRPr="00031A5D">
          <w:rPr>
            <w:rStyle w:val="Hyperlink"/>
            <w:rFonts w:ascii="Roboto" w:hAnsi="Roboto"/>
            <w:sz w:val="18"/>
            <w:szCs w:val="18"/>
          </w:rPr>
          <w:t>https://www.alkarama.org/en/articles/jordan-shadow-report-un-human-rights-committee-highlights-human-rights-abuses-name</w:t>
        </w:r>
      </w:hyperlink>
      <w:r w:rsidRPr="00031A5D">
        <w:rPr>
          <w:rFonts w:ascii="Roboto" w:hAnsi="Roboto"/>
          <w:sz w:val="18"/>
          <w:szCs w:val="18"/>
        </w:rPr>
        <w:t xml:space="preserve"> (accessed 23 September 2024), p. 6.</w:t>
      </w:r>
    </w:p>
  </w:footnote>
  <w:footnote w:id="143">
    <w:p w14:paraId="5CEC03D7"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w:t>
      </w:r>
      <w:r w:rsidRPr="00031A5D">
        <w:rPr>
          <w:rFonts w:ascii="Roboto" w:hAnsi="Roboto"/>
          <w:sz w:val="18"/>
          <w:szCs w:val="18"/>
          <w:lang w:val="en-US"/>
        </w:rPr>
        <w:t xml:space="preserve">U.S. Department of State, </w:t>
      </w:r>
      <w:r w:rsidRPr="00031A5D">
        <w:rPr>
          <w:rFonts w:ascii="Roboto" w:hAnsi="Roboto"/>
          <w:i/>
          <w:iCs/>
          <w:sz w:val="18"/>
          <w:szCs w:val="18"/>
          <w:lang w:val="en-US"/>
        </w:rPr>
        <w:t>Jordan 2022 Human Rights Report</w:t>
      </w:r>
      <w:r w:rsidRPr="00031A5D">
        <w:rPr>
          <w:rFonts w:ascii="Roboto" w:hAnsi="Roboto"/>
          <w:sz w:val="18"/>
          <w:szCs w:val="18"/>
          <w:lang w:val="en-US"/>
        </w:rPr>
        <w:t xml:space="preserve">, 2022, </w:t>
      </w:r>
      <w:hyperlink r:id="rId106" w:tooltip="https://www.state.gov/wp-content/uploads/2023/02/JORDAN-2022-HUMAN-RIGHTS-REPORT.pdf" w:history="1">
        <w:r w:rsidRPr="00031A5D">
          <w:rPr>
            <w:rStyle w:val="Hyperlink"/>
            <w:rFonts w:ascii="Roboto" w:hAnsi="Roboto"/>
            <w:sz w:val="18"/>
            <w:szCs w:val="18"/>
            <w:lang w:val="en-US"/>
          </w:rPr>
          <w:t>https://www.state.gov/wp-content/uploads/2023/02/JORDAN-2022-HUMAN-RIGHTS-REPORT.pdf</w:t>
        </w:r>
      </w:hyperlink>
      <w:r w:rsidRPr="00031A5D">
        <w:rPr>
          <w:rFonts w:ascii="Roboto" w:hAnsi="Roboto"/>
          <w:sz w:val="18"/>
          <w:szCs w:val="18"/>
          <w:lang w:val="en-US"/>
        </w:rPr>
        <w:t xml:space="preserve"> (accessed 26 September 2024), p. 3.</w:t>
      </w:r>
    </w:p>
  </w:footnote>
  <w:footnote w:id="144">
    <w:p w14:paraId="655C3202" w14:textId="77777777" w:rsidR="00FA7A82" w:rsidRPr="00031A5D" w:rsidRDefault="00000000" w:rsidP="00031A5D">
      <w:pPr>
        <w:pStyle w:val="FootnoteText"/>
        <w:jc w:val="both"/>
        <w:rPr>
          <w:rFonts w:ascii="Roboto" w:hAnsi="Roboto"/>
          <w:b/>
          <w:bCs/>
          <w:sz w:val="18"/>
          <w:szCs w:val="18"/>
        </w:rPr>
      </w:pPr>
      <w:r w:rsidRPr="00031A5D">
        <w:rPr>
          <w:rStyle w:val="FootnoteReference"/>
          <w:rFonts w:ascii="Roboto" w:hAnsi="Roboto"/>
          <w:sz w:val="18"/>
          <w:szCs w:val="18"/>
        </w:rPr>
        <w:footnoteRef/>
      </w:r>
      <w:r w:rsidRPr="00031A5D">
        <w:rPr>
          <w:rFonts w:ascii="Roboto" w:hAnsi="Roboto"/>
          <w:sz w:val="18"/>
          <w:szCs w:val="18"/>
        </w:rPr>
        <w:t xml:space="preserve"> </w:t>
      </w:r>
      <w:r w:rsidRPr="00031A5D">
        <w:rPr>
          <w:rFonts w:ascii="Roboto" w:hAnsi="Roboto"/>
          <w:sz w:val="18"/>
          <w:szCs w:val="18"/>
          <w:lang w:val="en-US"/>
        </w:rPr>
        <w:t xml:space="preserve">Committee Against Torture, </w:t>
      </w:r>
      <w:r w:rsidRPr="00031A5D">
        <w:rPr>
          <w:rFonts w:ascii="Roboto" w:hAnsi="Roboto"/>
          <w:i/>
          <w:iCs/>
          <w:sz w:val="18"/>
          <w:szCs w:val="18"/>
        </w:rPr>
        <w:t>Fourth periodic report submitted by Jordan under article 19 of the Convention pursuant to the simplified reporting procedure, due in 2019</w:t>
      </w:r>
      <w:r w:rsidRPr="00031A5D">
        <w:rPr>
          <w:rFonts w:ascii="Roboto" w:hAnsi="Roboto"/>
          <w:sz w:val="18"/>
          <w:szCs w:val="18"/>
        </w:rPr>
        <w:t xml:space="preserve">, 21 December 2021, UN Doc. CAT/C/JOR/4, </w:t>
      </w:r>
      <w:hyperlink r:id="rId107" w:tooltip="https://docstore.ohchr.org/SelfServices/FilesHandler.ashx?enc=6QkG1d%2FPPRiCAqhKb7yhsuoO1aAYJ6VmNP4LonUL9si%2F6BRpobGHFNy2xW5%2BmLqKH9vcnfYrVk8kUOJb%2BBauqXGSNlarSqeb%2BP%2FZEfv7JDfA8DjIHm3bys7hB5acwHqC" w:history="1">
        <w:r w:rsidRPr="00031A5D">
          <w:rPr>
            <w:rStyle w:val="Hyperlink"/>
            <w:rFonts w:ascii="Roboto" w:hAnsi="Roboto"/>
            <w:sz w:val="18"/>
            <w:szCs w:val="18"/>
          </w:rPr>
          <w:t>https://docstore.ohchr.org/SelfServices/FilesHandler.ashx?enc=6QkG1d%2FPPRiCAqhKb7yhsuoO1aAYJ6VmNP4LonUL9si%2F6BRpobGHFNy2xW5%2BmLqKH9vcnfYrVk8kUOJb%2BBauqXGSNlarSqeb%2BP%2FZEfv7JDfA8DjIHm3bys7hB5acwHqC</w:t>
        </w:r>
      </w:hyperlink>
      <w:r w:rsidRPr="00031A5D">
        <w:rPr>
          <w:rFonts w:ascii="Roboto" w:hAnsi="Roboto"/>
          <w:sz w:val="18"/>
          <w:szCs w:val="18"/>
        </w:rPr>
        <w:t xml:space="preserve"> (accessed 21 August 2024), para. 122.</w:t>
      </w:r>
    </w:p>
  </w:footnote>
  <w:footnote w:id="145">
    <w:p w14:paraId="1CF76DF1" w14:textId="77777777" w:rsidR="00FA7A82" w:rsidRPr="00031A5D" w:rsidRDefault="00000000" w:rsidP="00031A5D">
      <w:pPr>
        <w:pStyle w:val="FootnoteText"/>
        <w:jc w:val="both"/>
        <w:rPr>
          <w:rFonts w:ascii="Roboto" w:hAnsi="Roboto"/>
          <w:sz w:val="18"/>
          <w:szCs w:val="18"/>
          <w:lang w:val="en-US"/>
        </w:rPr>
      </w:pPr>
      <w:r w:rsidRPr="00031A5D">
        <w:rPr>
          <w:rStyle w:val="FootnoteReference"/>
          <w:rFonts w:ascii="Roboto" w:hAnsi="Roboto"/>
          <w:sz w:val="18"/>
          <w:szCs w:val="18"/>
        </w:rPr>
        <w:footnoteRef/>
      </w:r>
      <w:r w:rsidRPr="00031A5D">
        <w:rPr>
          <w:rFonts w:ascii="Roboto" w:hAnsi="Roboto"/>
          <w:sz w:val="18"/>
          <w:szCs w:val="18"/>
        </w:rPr>
        <w:t xml:space="preserve"> Committee against Torture, </w:t>
      </w:r>
      <w:r w:rsidRPr="00031A5D">
        <w:rPr>
          <w:rFonts w:ascii="Roboto" w:hAnsi="Roboto"/>
          <w:i/>
          <w:iCs/>
          <w:sz w:val="18"/>
          <w:szCs w:val="18"/>
        </w:rPr>
        <w:t>Concluding Observations on the third periodic report of Jordan</w:t>
      </w:r>
      <w:r w:rsidRPr="00031A5D">
        <w:rPr>
          <w:rFonts w:ascii="Roboto" w:hAnsi="Roboto"/>
          <w:sz w:val="18"/>
          <w:szCs w:val="18"/>
        </w:rPr>
        <w:t>, 29 January 2016, UN Doc. CAT/JOR/CO/3, para. 37.</w:t>
      </w:r>
    </w:p>
  </w:footnote>
  <w:footnote w:id="146">
    <w:p w14:paraId="5B4169A7"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Article 7 of the General Intelligence Department Law No. 24 of 1964</w:t>
      </w:r>
    </w:p>
  </w:footnote>
  <w:footnote w:id="147">
    <w:p w14:paraId="777F00DC"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Article 7 of the General Intelligence Department Law No. 24 of 1964.</w:t>
      </w:r>
    </w:p>
  </w:footnote>
  <w:footnote w:id="148">
    <w:p w14:paraId="5E50E5EA"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Article 3 of the State Security Court Law No. 17 of 1959.</w:t>
      </w:r>
    </w:p>
  </w:footnote>
  <w:footnote w:id="149">
    <w:p w14:paraId="609134B9"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Military Code of Criminal Procedure as amended by Law No. 34 of 2006.</w:t>
      </w:r>
    </w:p>
  </w:footnote>
  <w:footnote w:id="150">
    <w:p w14:paraId="3DA07A91"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Article 5 of the General Intelligence Department Law No. 24 of 1964.</w:t>
      </w:r>
    </w:p>
  </w:footnote>
  <w:footnote w:id="151">
    <w:p w14:paraId="508AF2F4"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Article 3 of the Military Code of Criminal Procedure.</w:t>
      </w:r>
    </w:p>
  </w:footnote>
  <w:footnote w:id="152">
    <w:p w14:paraId="7D975227"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Committee Against Torture, </w:t>
      </w:r>
      <w:r w:rsidRPr="00031A5D">
        <w:rPr>
          <w:rFonts w:ascii="Roboto" w:hAnsi="Roboto"/>
          <w:i/>
          <w:iCs/>
          <w:sz w:val="18"/>
          <w:szCs w:val="18"/>
        </w:rPr>
        <w:t>List of issues prior to submission of the fourth periodic report of Jordan</w:t>
      </w:r>
      <w:r w:rsidRPr="00031A5D">
        <w:rPr>
          <w:rFonts w:ascii="Roboto" w:hAnsi="Roboto"/>
          <w:sz w:val="18"/>
          <w:szCs w:val="18"/>
        </w:rPr>
        <w:t xml:space="preserve">, 13 June 2018, UN Doc. CAT/C/JOR/QPR/4, </w:t>
      </w:r>
      <w:hyperlink r:id="rId108" w:tooltip="https://docstore.ohchr.org/SelfServices/FilesHandler.ashx?enc=6QkG1d%2FPPRiCAqhKb7yhsuoO1aAYJ6VmNP4LonUL9sirGNBx0BDPQylFzMNh%2BBP5a%2FrMh8QqsqtzGhsW21L8Tz%2BXBoT7mChZucEBmnpWUgj6%2FaQhEPGbT7x5z6tA%2FzVB" w:history="1">
        <w:r w:rsidRPr="00031A5D">
          <w:rPr>
            <w:rStyle w:val="Hyperlink"/>
            <w:rFonts w:ascii="Roboto" w:hAnsi="Roboto"/>
            <w:sz w:val="18"/>
            <w:szCs w:val="18"/>
          </w:rPr>
          <w:t>https://docstore.ohchr.org/SelfServices/FilesHandler.ashx?enc=6QkG1d%2FPPRiCAqhKb7yhsuoO1aAYJ6VmNP4LonUL9sirGNBx0BDPQylFzMNh%2BBP5a%2FrMh8QqsqtzGhsW21L8Tz%2BXBoT7mChZucEBmnpWUgj6%2FaQhEPGbT7x5z6tA%2FzVB</w:t>
        </w:r>
      </w:hyperlink>
      <w:r w:rsidRPr="00031A5D">
        <w:rPr>
          <w:rFonts w:ascii="Roboto" w:hAnsi="Roboto"/>
          <w:sz w:val="18"/>
          <w:szCs w:val="18"/>
        </w:rPr>
        <w:t xml:space="preserve"> (accessed 21 August 2024), para. 31 (a).</w:t>
      </w:r>
    </w:p>
  </w:footnote>
  <w:footnote w:id="153">
    <w:p w14:paraId="3137A85E" w14:textId="77777777" w:rsidR="00FA7A82" w:rsidRPr="00031A5D" w:rsidRDefault="00000000" w:rsidP="00031A5D">
      <w:pPr>
        <w:pStyle w:val="FootnoteText"/>
        <w:jc w:val="both"/>
        <w:rPr>
          <w:rFonts w:ascii="Roboto" w:hAnsi="Roboto"/>
          <w:b/>
          <w:bCs/>
          <w:sz w:val="18"/>
          <w:szCs w:val="18"/>
        </w:rPr>
      </w:pPr>
      <w:r w:rsidRPr="00031A5D">
        <w:rPr>
          <w:rStyle w:val="FootnoteReference"/>
          <w:rFonts w:ascii="Roboto" w:hAnsi="Roboto"/>
          <w:sz w:val="18"/>
          <w:szCs w:val="18"/>
        </w:rPr>
        <w:footnoteRef/>
      </w:r>
      <w:r w:rsidRPr="00031A5D">
        <w:rPr>
          <w:rFonts w:ascii="Roboto" w:hAnsi="Roboto"/>
          <w:sz w:val="18"/>
          <w:szCs w:val="18"/>
        </w:rPr>
        <w:t xml:space="preserve"> </w:t>
      </w:r>
      <w:r w:rsidRPr="00031A5D">
        <w:rPr>
          <w:rFonts w:ascii="Roboto" w:hAnsi="Roboto"/>
          <w:sz w:val="18"/>
          <w:szCs w:val="18"/>
          <w:lang w:val="en-US"/>
        </w:rPr>
        <w:t xml:space="preserve">Committee Against Torture, </w:t>
      </w:r>
      <w:r w:rsidRPr="00031A5D">
        <w:rPr>
          <w:rFonts w:ascii="Roboto" w:hAnsi="Roboto"/>
          <w:i/>
          <w:iCs/>
          <w:sz w:val="18"/>
          <w:szCs w:val="18"/>
        </w:rPr>
        <w:t>Fourth periodic report submitted by Jordan under article 19 of the Convention pursuant to the simplified reporting procedure, due in 2019</w:t>
      </w:r>
      <w:r w:rsidRPr="00031A5D">
        <w:rPr>
          <w:rFonts w:ascii="Roboto" w:hAnsi="Roboto"/>
          <w:sz w:val="18"/>
          <w:szCs w:val="18"/>
        </w:rPr>
        <w:t xml:space="preserve">, 21 December 2021, UN Doc. CAT/C/JOR/4, </w:t>
      </w:r>
      <w:hyperlink r:id="rId109" w:tooltip="https://docstore.ohchr.org/SelfServices/FilesHandler.ashx?enc=6QkG1d%2FPPRiCAqhKb7yhsuoO1aAYJ6VmNP4LonUL9si%2F6BRpobGHFNy2xW5%2BmLqKH9vcnfYrVk8kUOJb%2BBauqXGSNlarSqeb%2BP%2FZEfv7JDfA8DjIHm3bys7hB5acwHqC" w:history="1">
        <w:r w:rsidRPr="00031A5D">
          <w:rPr>
            <w:rStyle w:val="Hyperlink"/>
            <w:rFonts w:ascii="Roboto" w:hAnsi="Roboto"/>
            <w:sz w:val="18"/>
            <w:szCs w:val="18"/>
          </w:rPr>
          <w:t>https://docstore.ohchr.org/SelfServices/FilesHandler.ashx?enc=6QkG1d%2FPPRiCAqhKb7yhsuoO1aAYJ6VmNP4LonUL9si%2F6BRpobGHFNy2xW5%2BmLqKH9vcnfYrVk8kUOJb%2BBauqXGSNlarSqeb%2BP%2FZEfv7JDfA8DjIHm3bys7hB5acwHqC</w:t>
        </w:r>
      </w:hyperlink>
      <w:r w:rsidRPr="00031A5D">
        <w:rPr>
          <w:rFonts w:ascii="Roboto" w:hAnsi="Roboto"/>
          <w:sz w:val="18"/>
          <w:szCs w:val="18"/>
        </w:rPr>
        <w:t xml:space="preserve"> (accessed 21 August 2024), para. 133.</w:t>
      </w:r>
    </w:p>
  </w:footnote>
  <w:footnote w:id="154">
    <w:p w14:paraId="3F42DDEA"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Committee Against Torture, </w:t>
      </w:r>
      <w:r w:rsidRPr="00031A5D">
        <w:rPr>
          <w:rFonts w:ascii="Roboto" w:hAnsi="Roboto"/>
          <w:i/>
          <w:iCs/>
          <w:sz w:val="18"/>
          <w:szCs w:val="18"/>
        </w:rPr>
        <w:t>List of issues prior to submission of the fourth periodic report of Jordan</w:t>
      </w:r>
      <w:r w:rsidRPr="00031A5D">
        <w:rPr>
          <w:rFonts w:ascii="Roboto" w:hAnsi="Roboto"/>
          <w:sz w:val="18"/>
          <w:szCs w:val="18"/>
        </w:rPr>
        <w:t xml:space="preserve">, 13 June 2018, UN Doc. CAT/C/JOR/QPR/4, </w:t>
      </w:r>
      <w:hyperlink r:id="rId110" w:tooltip="https://docstore.ohchr.org/SelfServices/FilesHandler.ashx?enc=6QkG1d%2FPPRiCAqhKb7yhsuoO1aAYJ6VmNP4LonUL9sirGNBx0BDPQylFzMNh%2BBP5a%2FrMh8QqsqtzGhsW21L8Tz%2BXBoT7mChZucEBmnpWUgj6%2FaQhEPGbT7x5z6tA%2FzVB" w:history="1">
        <w:r w:rsidRPr="00031A5D">
          <w:rPr>
            <w:rStyle w:val="Hyperlink"/>
            <w:rFonts w:ascii="Roboto" w:hAnsi="Roboto"/>
            <w:sz w:val="18"/>
            <w:szCs w:val="18"/>
          </w:rPr>
          <w:t>https://docstore.ohchr.org/SelfServices/FilesHandler.ashx?enc=6QkG1d%2FPPRiCAqhKb7yhsuoO1aAYJ6VmNP4LonUL9sirGNBx0BDPQylFzMNh%2BBP5a%2FrMh8QqsqtzGhsW21L8Tz%2BXBoT7mChZucEBmnpWUgj6%2FaQhEPGbT7x5z6tA%2FzVB</w:t>
        </w:r>
      </w:hyperlink>
      <w:r w:rsidRPr="00031A5D">
        <w:rPr>
          <w:rFonts w:ascii="Roboto" w:hAnsi="Roboto"/>
          <w:sz w:val="18"/>
          <w:szCs w:val="18"/>
        </w:rPr>
        <w:t xml:space="preserve"> (accessed 21 August 2024), para. 33.</w:t>
      </w:r>
    </w:p>
  </w:footnote>
  <w:footnote w:id="155">
    <w:p w14:paraId="03482397"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ECPM, </w:t>
      </w:r>
      <w:r w:rsidRPr="00031A5D">
        <w:rPr>
          <w:rFonts w:ascii="Roboto" w:hAnsi="Roboto"/>
          <w:i/>
          <w:iCs/>
          <w:sz w:val="18"/>
          <w:szCs w:val="18"/>
        </w:rPr>
        <w:t>The death penalty in law and practice</w:t>
      </w:r>
      <w:r w:rsidRPr="00031A5D">
        <w:rPr>
          <w:rFonts w:ascii="Roboto" w:hAnsi="Roboto"/>
          <w:sz w:val="18"/>
          <w:szCs w:val="18"/>
        </w:rPr>
        <w:t xml:space="preserve">, Jordan, 2023, </w:t>
      </w:r>
      <w:hyperlink r:id="rId111" w:history="1">
        <w:r w:rsidRPr="00031A5D">
          <w:rPr>
            <w:rStyle w:val="Hyperlink"/>
            <w:rFonts w:ascii="Roboto" w:hAnsi="Roboto"/>
            <w:sz w:val="18"/>
            <w:szCs w:val="18"/>
          </w:rPr>
          <w:t>https://www.ecpm.org/app/uploads/2023/07/flyer-Jordanie-GB-280823-bd.pdf</w:t>
        </w:r>
      </w:hyperlink>
      <w:r w:rsidRPr="00031A5D">
        <w:rPr>
          <w:rFonts w:ascii="Roboto" w:hAnsi="Roboto"/>
          <w:sz w:val="18"/>
          <w:szCs w:val="18"/>
        </w:rPr>
        <w:t xml:space="preserve"> (accessed 30 September 2024). </w:t>
      </w:r>
    </w:p>
  </w:footnote>
  <w:footnote w:id="156">
    <w:p w14:paraId="018A1992"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Human Rights Watch, </w:t>
      </w:r>
      <w:r w:rsidRPr="00031A5D">
        <w:rPr>
          <w:rFonts w:ascii="Roboto" w:hAnsi="Roboto"/>
          <w:i/>
          <w:iCs/>
          <w:sz w:val="18"/>
          <w:szCs w:val="18"/>
        </w:rPr>
        <w:t>Jordan Resumes Death Penalty, Executes 11</w:t>
      </w:r>
      <w:r w:rsidRPr="00031A5D">
        <w:rPr>
          <w:rFonts w:ascii="Roboto" w:hAnsi="Roboto"/>
          <w:sz w:val="18"/>
          <w:szCs w:val="18"/>
        </w:rPr>
        <w:t xml:space="preserve">, 21 December 2014, </w:t>
      </w:r>
      <w:hyperlink r:id="rId112" w:tooltip="https://www.hrw.org/news/2014/12/21/jordan-resumes-death-penalty-executes-11" w:history="1">
        <w:r w:rsidRPr="00031A5D">
          <w:rPr>
            <w:rStyle w:val="Hyperlink"/>
            <w:rFonts w:ascii="Roboto" w:hAnsi="Roboto"/>
            <w:sz w:val="18"/>
            <w:szCs w:val="18"/>
          </w:rPr>
          <w:t>https://www.hrw.org/news/2014/12/21/jordan-resumes-death-penalty-executes-11</w:t>
        </w:r>
      </w:hyperlink>
      <w:r w:rsidRPr="00031A5D">
        <w:rPr>
          <w:rFonts w:ascii="Roboto" w:hAnsi="Roboto"/>
          <w:sz w:val="18"/>
          <w:szCs w:val="18"/>
        </w:rPr>
        <w:t xml:space="preserve"> (accessed 25 September 2024).</w:t>
      </w:r>
    </w:p>
    <w:p w14:paraId="2A03B4FC" w14:textId="77777777" w:rsidR="00FA7A82" w:rsidRPr="00031A5D" w:rsidRDefault="00000000" w:rsidP="00031A5D">
      <w:pPr>
        <w:pStyle w:val="FootnoteText"/>
        <w:jc w:val="both"/>
        <w:rPr>
          <w:rFonts w:ascii="Roboto" w:hAnsi="Roboto"/>
          <w:sz w:val="18"/>
          <w:szCs w:val="18"/>
        </w:rPr>
      </w:pPr>
      <w:r w:rsidRPr="00031A5D">
        <w:rPr>
          <w:rFonts w:ascii="Roboto" w:hAnsi="Roboto"/>
          <w:sz w:val="18"/>
          <w:szCs w:val="18"/>
        </w:rPr>
        <w:t>(</w:t>
      </w:r>
      <w:proofErr w:type="gramStart"/>
      <w:r w:rsidRPr="00031A5D">
        <w:rPr>
          <w:rFonts w:ascii="Roboto" w:hAnsi="Roboto"/>
          <w:sz w:val="18"/>
          <w:szCs w:val="18"/>
        </w:rPr>
        <w:t>accessed</w:t>
      </w:r>
      <w:proofErr w:type="gramEnd"/>
      <w:r w:rsidRPr="00031A5D">
        <w:rPr>
          <w:rFonts w:ascii="Roboto" w:hAnsi="Roboto"/>
          <w:sz w:val="18"/>
          <w:szCs w:val="18"/>
        </w:rPr>
        <w:t xml:space="preserve"> </w:t>
      </w:r>
    </w:p>
  </w:footnote>
  <w:footnote w:id="157">
    <w:p w14:paraId="6B42E1D5"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Human Rights Watch, </w:t>
      </w:r>
      <w:r w:rsidRPr="00031A5D">
        <w:rPr>
          <w:rFonts w:ascii="Roboto" w:hAnsi="Roboto"/>
          <w:i/>
          <w:iCs/>
          <w:sz w:val="18"/>
          <w:szCs w:val="18"/>
        </w:rPr>
        <w:t>Jordan: Executions Won’t End Terror Attacks, Murder</w:t>
      </w:r>
      <w:r w:rsidRPr="00031A5D">
        <w:rPr>
          <w:rFonts w:ascii="Roboto" w:hAnsi="Roboto"/>
          <w:sz w:val="18"/>
          <w:szCs w:val="18"/>
        </w:rPr>
        <w:t xml:space="preserve">, 5 March 2017, </w:t>
      </w:r>
      <w:hyperlink r:id="rId113" w:tooltip="https://www.hrw.org/news/2017/03/05/jordan-executions-wont-end-terror-attacks-murder" w:history="1">
        <w:r w:rsidRPr="00031A5D">
          <w:rPr>
            <w:rStyle w:val="Hyperlink"/>
            <w:rFonts w:ascii="Roboto" w:hAnsi="Roboto"/>
            <w:sz w:val="18"/>
            <w:szCs w:val="18"/>
          </w:rPr>
          <w:t>https://www.hrw.org/news/2017/03/05/jordan-executions-wont-end-terror-attacks-murder</w:t>
        </w:r>
      </w:hyperlink>
      <w:r w:rsidRPr="00031A5D">
        <w:rPr>
          <w:rFonts w:ascii="Roboto" w:hAnsi="Roboto"/>
          <w:sz w:val="18"/>
          <w:szCs w:val="18"/>
        </w:rPr>
        <w:t xml:space="preserve"> </w:t>
      </w:r>
    </w:p>
    <w:p w14:paraId="7FDEA19C" w14:textId="77777777" w:rsidR="00FA7A82" w:rsidRPr="00031A5D" w:rsidRDefault="00000000" w:rsidP="00031A5D">
      <w:pPr>
        <w:pStyle w:val="FootnoteText"/>
        <w:jc w:val="both"/>
        <w:rPr>
          <w:rFonts w:ascii="Roboto" w:hAnsi="Roboto"/>
          <w:sz w:val="18"/>
          <w:szCs w:val="18"/>
        </w:rPr>
      </w:pPr>
      <w:r w:rsidRPr="00031A5D">
        <w:rPr>
          <w:rFonts w:ascii="Roboto" w:hAnsi="Roboto"/>
          <w:sz w:val="18"/>
          <w:szCs w:val="18"/>
        </w:rPr>
        <w:t xml:space="preserve">(accessed 25 September 2024). </w:t>
      </w:r>
    </w:p>
  </w:footnote>
  <w:footnote w:id="158">
    <w:p w14:paraId="1AEAD9D5" w14:textId="77777777" w:rsidR="00FA7A82" w:rsidRPr="00031A5D" w:rsidRDefault="00000000" w:rsidP="00031A5D">
      <w:pPr>
        <w:pStyle w:val="FootnoteText"/>
        <w:jc w:val="both"/>
        <w:rPr>
          <w:rFonts w:ascii="Roboto" w:hAnsi="Roboto"/>
          <w:sz w:val="18"/>
          <w:szCs w:val="18"/>
          <w:lang w:val="en-US"/>
        </w:rPr>
      </w:pPr>
      <w:r w:rsidRPr="00031A5D">
        <w:rPr>
          <w:rStyle w:val="FootnoteReference"/>
          <w:rFonts w:ascii="Roboto" w:hAnsi="Roboto"/>
          <w:sz w:val="18"/>
          <w:szCs w:val="18"/>
        </w:rPr>
        <w:footnoteRef/>
      </w:r>
      <w:r w:rsidRPr="00031A5D">
        <w:rPr>
          <w:rFonts w:ascii="Roboto" w:hAnsi="Roboto"/>
          <w:sz w:val="18"/>
          <w:szCs w:val="18"/>
        </w:rPr>
        <w:t xml:space="preserve"> Jordan News, </w:t>
      </w:r>
      <w:r w:rsidRPr="00031A5D">
        <w:rPr>
          <w:rFonts w:ascii="Roboto" w:hAnsi="Roboto"/>
          <w:i/>
          <w:iCs/>
          <w:sz w:val="18"/>
          <w:szCs w:val="18"/>
        </w:rPr>
        <w:t>31 prisoners face death sentence in Jordan</w:t>
      </w:r>
      <w:r w:rsidRPr="00031A5D">
        <w:rPr>
          <w:rFonts w:ascii="Roboto" w:hAnsi="Roboto"/>
          <w:sz w:val="18"/>
          <w:szCs w:val="18"/>
        </w:rPr>
        <w:t xml:space="preserve">, 15 February 2023, </w:t>
      </w:r>
      <w:hyperlink r:id="rId114" w:tooltip="https://www.jordannews.jo/Section-109/News/31-prisoners-face-death-sentence-in-Jordan-27037" w:history="1">
        <w:r w:rsidRPr="00031A5D">
          <w:rPr>
            <w:rStyle w:val="Hyperlink"/>
            <w:rFonts w:ascii="Roboto" w:hAnsi="Roboto"/>
            <w:sz w:val="18"/>
            <w:szCs w:val="18"/>
          </w:rPr>
          <w:t>https://www.jordannews.jo/Section-109/News/31-prisoners-face-death-sentence-in-Jordan-27037</w:t>
        </w:r>
      </w:hyperlink>
      <w:r w:rsidRPr="00031A5D">
        <w:rPr>
          <w:rFonts w:ascii="Roboto" w:hAnsi="Roboto"/>
          <w:sz w:val="18"/>
          <w:szCs w:val="18"/>
        </w:rPr>
        <w:t xml:space="preserve"> (accessed 25 September 2024).</w:t>
      </w:r>
    </w:p>
  </w:footnote>
  <w:footnote w:id="159">
    <w:p w14:paraId="3EB3731B"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Middle East Monitor, </w:t>
      </w:r>
      <w:r w:rsidRPr="00031A5D">
        <w:rPr>
          <w:rFonts w:ascii="Roboto" w:hAnsi="Roboto"/>
          <w:i/>
          <w:iCs/>
          <w:sz w:val="18"/>
          <w:szCs w:val="18"/>
        </w:rPr>
        <w:t>Jordan has 239 people on death row</w:t>
      </w:r>
      <w:r w:rsidRPr="00031A5D">
        <w:rPr>
          <w:rFonts w:ascii="Roboto" w:hAnsi="Roboto"/>
          <w:sz w:val="18"/>
          <w:szCs w:val="18"/>
        </w:rPr>
        <w:t xml:space="preserve">, 27 June 2022, </w:t>
      </w:r>
      <w:hyperlink r:id="rId115" w:tooltip="https://www.middleeastmonitor.com/20220627-jordan-has-239-people-on-death-row/" w:history="1">
        <w:r w:rsidRPr="00031A5D">
          <w:rPr>
            <w:rStyle w:val="Hyperlink"/>
            <w:rFonts w:ascii="Roboto" w:hAnsi="Roboto"/>
            <w:sz w:val="18"/>
            <w:szCs w:val="18"/>
          </w:rPr>
          <w:t>https://www.middleeastmonitor.com/20220627-jordan-has-239-people-on-death-row/</w:t>
        </w:r>
      </w:hyperlink>
      <w:r w:rsidRPr="00031A5D">
        <w:rPr>
          <w:rFonts w:ascii="Roboto" w:hAnsi="Roboto"/>
          <w:sz w:val="18"/>
          <w:szCs w:val="18"/>
        </w:rPr>
        <w:t xml:space="preserve"> (accessed 25 September 2024)</w:t>
      </w:r>
    </w:p>
  </w:footnote>
  <w:footnote w:id="160">
    <w:p w14:paraId="520E802F" w14:textId="77777777" w:rsidR="00535AA8" w:rsidRPr="00031A5D" w:rsidRDefault="00535AA8"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ECPM, </w:t>
      </w:r>
      <w:r w:rsidRPr="00031A5D">
        <w:rPr>
          <w:rFonts w:ascii="Roboto" w:hAnsi="Roboto"/>
          <w:i/>
          <w:iCs/>
          <w:sz w:val="18"/>
          <w:szCs w:val="18"/>
        </w:rPr>
        <w:t>The death penalty in law and practice</w:t>
      </w:r>
      <w:r w:rsidRPr="00031A5D">
        <w:rPr>
          <w:rFonts w:ascii="Roboto" w:hAnsi="Roboto"/>
          <w:sz w:val="18"/>
          <w:szCs w:val="18"/>
        </w:rPr>
        <w:t xml:space="preserve">, Jordan, 2023, </w:t>
      </w:r>
      <w:hyperlink r:id="rId116" w:history="1">
        <w:r w:rsidRPr="00031A5D">
          <w:rPr>
            <w:rStyle w:val="Hyperlink"/>
            <w:rFonts w:ascii="Roboto" w:hAnsi="Roboto"/>
            <w:sz w:val="18"/>
            <w:szCs w:val="18"/>
          </w:rPr>
          <w:t>https://www.ecpm.org/app/uploads/2023/07/flyer-Jordanie-GB-280823-bd.pdf</w:t>
        </w:r>
      </w:hyperlink>
      <w:r w:rsidRPr="00031A5D">
        <w:rPr>
          <w:rFonts w:ascii="Roboto" w:hAnsi="Roboto"/>
          <w:sz w:val="18"/>
          <w:szCs w:val="18"/>
        </w:rPr>
        <w:t xml:space="preserve"> (accessed 30 September 2024). </w:t>
      </w:r>
    </w:p>
  </w:footnote>
  <w:footnote w:id="161">
    <w:p w14:paraId="7B713A70" w14:textId="44B1EAF3" w:rsidR="00D7403A" w:rsidRPr="00031A5D" w:rsidRDefault="00D7403A"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w:t>
      </w:r>
      <w:r w:rsidRPr="00031A5D">
        <w:rPr>
          <w:rFonts w:ascii="Roboto" w:hAnsi="Roboto"/>
          <w:i/>
          <w:iCs/>
          <w:sz w:val="18"/>
          <w:szCs w:val="18"/>
        </w:rPr>
        <w:t>Ibid</w:t>
      </w:r>
      <w:r w:rsidRPr="00031A5D">
        <w:rPr>
          <w:rFonts w:ascii="Roboto" w:hAnsi="Roboto"/>
          <w:sz w:val="18"/>
          <w:szCs w:val="18"/>
        </w:rPr>
        <w:t>.</w:t>
      </w:r>
    </w:p>
  </w:footnote>
  <w:footnote w:id="162">
    <w:p w14:paraId="0553AB87"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Committee Against Torture, </w:t>
      </w:r>
      <w:r w:rsidRPr="00031A5D">
        <w:rPr>
          <w:rFonts w:ascii="Roboto" w:hAnsi="Roboto"/>
          <w:i/>
          <w:iCs/>
          <w:sz w:val="18"/>
          <w:szCs w:val="18"/>
        </w:rPr>
        <w:t>List of issues prior to submission of the fourth periodic report of Jordan</w:t>
      </w:r>
      <w:r w:rsidRPr="00031A5D">
        <w:rPr>
          <w:rFonts w:ascii="Roboto" w:hAnsi="Roboto"/>
          <w:sz w:val="18"/>
          <w:szCs w:val="18"/>
        </w:rPr>
        <w:t xml:space="preserve">, 13 June 2018, UN Doc. CAT/C/JOR/QPR/4, </w:t>
      </w:r>
      <w:hyperlink r:id="rId117" w:tooltip="https://docstore.ohchr.org/SelfServices/FilesHandler.ashx?enc=6QkG1d%2FPPRiCAqhKb7yhsuoO1aAYJ6VmNP4LonUL9sirGNBx0BDPQylFzMNh%2BBP5a%2FrMh8QqsqtzGhsW21L8Tz%2BXBoT7mChZucEBmnpWUgj6%2FaQhEPGbT7x5z6tA%2FzVB" w:history="1">
        <w:r w:rsidRPr="00031A5D">
          <w:rPr>
            <w:rStyle w:val="Hyperlink"/>
            <w:rFonts w:ascii="Roboto" w:hAnsi="Roboto"/>
            <w:sz w:val="18"/>
            <w:szCs w:val="18"/>
          </w:rPr>
          <w:t>https://docstore.ohchr.org/SelfServices/FilesHandler.ashx?enc=6QkG1d%2FPPRiCAqhKb7yhsuoO1aAYJ6VmNP4LonUL9sirGNBx0BDPQylFzMNh%2BBP5a%2FrMh8QqsqtzGhsW21L8Tz%2BXBoT7mChZucEBmnpWUgj6%2FaQhEPGbT7x5z6tA%2FzVB</w:t>
        </w:r>
      </w:hyperlink>
      <w:r w:rsidRPr="00031A5D">
        <w:rPr>
          <w:rFonts w:ascii="Roboto" w:hAnsi="Roboto"/>
          <w:sz w:val="18"/>
          <w:szCs w:val="18"/>
        </w:rPr>
        <w:t xml:space="preserve"> (accessed 21 August 2024), para. 35.</w:t>
      </w:r>
    </w:p>
  </w:footnote>
  <w:footnote w:id="163">
    <w:p w14:paraId="75E80FEA"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Zach, Birk, </w:t>
      </w:r>
      <w:r w:rsidRPr="00031A5D">
        <w:rPr>
          <w:rFonts w:ascii="Roboto" w:hAnsi="Roboto"/>
          <w:i/>
          <w:iCs/>
          <w:sz w:val="18"/>
          <w:szCs w:val="18"/>
        </w:rPr>
        <w:t>Article 16 Cruel, Inhuman or Degrading Treatment or Punishment</w:t>
      </w:r>
      <w:r w:rsidRPr="00031A5D">
        <w:rPr>
          <w:rFonts w:ascii="Roboto" w:hAnsi="Roboto"/>
          <w:sz w:val="18"/>
          <w:szCs w:val="18"/>
        </w:rPr>
        <w:t xml:space="preserve">, December 2019, </w:t>
      </w:r>
      <w:hyperlink r:id="rId118" w:tooltip="https://academic.oup.com/book/57891/chapter/472021962" w:history="1">
        <w:r w:rsidRPr="00031A5D">
          <w:rPr>
            <w:rStyle w:val="Hyperlink"/>
            <w:rFonts w:ascii="Roboto" w:hAnsi="Roboto"/>
            <w:sz w:val="18"/>
            <w:szCs w:val="18"/>
          </w:rPr>
          <w:t>https://academic.oup.com/book/57891/chapter/472021962</w:t>
        </w:r>
      </w:hyperlink>
      <w:r w:rsidRPr="00031A5D">
        <w:rPr>
          <w:rFonts w:ascii="Roboto" w:hAnsi="Roboto"/>
          <w:sz w:val="18"/>
          <w:szCs w:val="18"/>
        </w:rPr>
        <w:t xml:space="preserve"> (accessed 25 September 2024), p 467.</w:t>
      </w:r>
    </w:p>
  </w:footnote>
  <w:footnote w:id="164">
    <w:p w14:paraId="62B774D9" w14:textId="77777777" w:rsidR="00FA7A82" w:rsidRPr="00031A5D" w:rsidRDefault="00000000" w:rsidP="00031A5D">
      <w:pPr>
        <w:pStyle w:val="FootnoteText"/>
        <w:jc w:val="both"/>
        <w:rPr>
          <w:rFonts w:ascii="Roboto" w:hAnsi="Roboto"/>
          <w:b/>
          <w:bCs/>
          <w:sz w:val="18"/>
          <w:szCs w:val="18"/>
        </w:rPr>
      </w:pPr>
      <w:r w:rsidRPr="00031A5D">
        <w:rPr>
          <w:rStyle w:val="FootnoteReference"/>
          <w:rFonts w:ascii="Roboto" w:hAnsi="Roboto"/>
          <w:sz w:val="18"/>
          <w:szCs w:val="18"/>
        </w:rPr>
        <w:footnoteRef/>
      </w:r>
      <w:r w:rsidRPr="00031A5D">
        <w:rPr>
          <w:rFonts w:ascii="Roboto" w:hAnsi="Roboto"/>
          <w:sz w:val="18"/>
          <w:szCs w:val="18"/>
        </w:rPr>
        <w:t xml:space="preserve"> </w:t>
      </w:r>
      <w:r w:rsidRPr="00031A5D">
        <w:rPr>
          <w:rFonts w:ascii="Roboto" w:hAnsi="Roboto"/>
          <w:sz w:val="18"/>
          <w:szCs w:val="18"/>
          <w:lang w:val="en-US"/>
        </w:rPr>
        <w:t xml:space="preserve">Committee Against Torture, </w:t>
      </w:r>
      <w:r w:rsidRPr="00031A5D">
        <w:rPr>
          <w:rFonts w:ascii="Roboto" w:hAnsi="Roboto"/>
          <w:i/>
          <w:iCs/>
          <w:sz w:val="18"/>
          <w:szCs w:val="18"/>
        </w:rPr>
        <w:t>Fourth periodic report submitted by Jordan under article 19 of the Convention pursuant to the simplified reporting procedure, due in 2019</w:t>
      </w:r>
      <w:r w:rsidRPr="00031A5D">
        <w:rPr>
          <w:rFonts w:ascii="Roboto" w:hAnsi="Roboto"/>
          <w:sz w:val="18"/>
          <w:szCs w:val="18"/>
        </w:rPr>
        <w:t xml:space="preserve">, 21 December 2021, UN Doc. CAT/C/JOR/4, </w:t>
      </w:r>
      <w:hyperlink r:id="rId119" w:tooltip="https://docstore.ohchr.org/SelfServices/FilesHandler.ashx?enc=6QkG1d%2FPPRiCAqhKb7yhsuoO1aAYJ6VmNP4LonUL9si%2F6BRpobGHFNy2xW5%2BmLqKH9vcnfYrVk8kUOJb%2BBauqXGSNlarSqeb%2BP%2FZEfv7JDfA8DjIHm3bys7hB5acwHqC" w:history="1">
        <w:r w:rsidRPr="00031A5D">
          <w:rPr>
            <w:rStyle w:val="Hyperlink"/>
            <w:rFonts w:ascii="Roboto" w:hAnsi="Roboto"/>
            <w:sz w:val="18"/>
            <w:szCs w:val="18"/>
          </w:rPr>
          <w:t>https://docstore.ohchr.org/SelfServices/FilesHandler.ashx?enc=6QkG1d%2FPPRiCAqhKb7yhsuoO1aAYJ6VmNP4LonUL9si%2F6BRpobGHFNy2xW5%2BmLqKH9vcnfYrVk8kUOJb%2BBauqXGSNlarSqeb%2BP%2FZEfv7JDfA8DjIHm3bys7hB5acwHqC</w:t>
        </w:r>
      </w:hyperlink>
      <w:r w:rsidRPr="00031A5D">
        <w:rPr>
          <w:rFonts w:ascii="Roboto" w:hAnsi="Roboto"/>
          <w:sz w:val="18"/>
          <w:szCs w:val="18"/>
        </w:rPr>
        <w:t xml:space="preserve"> (accessed 21 August 2024), para. 152.</w:t>
      </w:r>
    </w:p>
  </w:footnote>
  <w:footnote w:id="165">
    <w:p w14:paraId="330A97CD" w14:textId="3BC39A8A" w:rsidR="00FA7A82" w:rsidRPr="00031A5D" w:rsidRDefault="00000000" w:rsidP="00031A5D">
      <w:pPr>
        <w:pStyle w:val="FootnoteText"/>
        <w:jc w:val="both"/>
        <w:rPr>
          <w:rFonts w:ascii="Roboto" w:hAnsi="Roboto"/>
          <w:b/>
          <w:bCs/>
          <w:sz w:val="18"/>
          <w:szCs w:val="18"/>
        </w:rPr>
      </w:pPr>
      <w:r w:rsidRPr="00031A5D">
        <w:rPr>
          <w:rStyle w:val="FootnoteReference"/>
          <w:rFonts w:ascii="Roboto" w:hAnsi="Roboto"/>
          <w:sz w:val="18"/>
          <w:szCs w:val="18"/>
        </w:rPr>
        <w:footnoteRef/>
      </w:r>
      <w:r w:rsidRPr="00031A5D">
        <w:rPr>
          <w:rFonts w:ascii="Roboto" w:hAnsi="Roboto"/>
          <w:sz w:val="18"/>
          <w:szCs w:val="18"/>
        </w:rPr>
        <w:t xml:space="preserve"> </w:t>
      </w:r>
      <w:r w:rsidR="00704496" w:rsidRPr="00704496">
        <w:rPr>
          <w:rFonts w:ascii="Roboto" w:hAnsi="Roboto"/>
          <w:i/>
          <w:iCs/>
          <w:sz w:val="18"/>
          <w:szCs w:val="18"/>
          <w:lang w:val="en-US"/>
        </w:rPr>
        <w:t>Ibid</w:t>
      </w:r>
      <w:r w:rsidR="00704496">
        <w:rPr>
          <w:rFonts w:ascii="Roboto" w:hAnsi="Roboto"/>
          <w:sz w:val="18"/>
          <w:szCs w:val="18"/>
          <w:lang w:val="en-US"/>
        </w:rPr>
        <w:t>.</w:t>
      </w:r>
      <w:r w:rsidRPr="00031A5D">
        <w:rPr>
          <w:rFonts w:ascii="Roboto" w:hAnsi="Roboto"/>
          <w:sz w:val="18"/>
          <w:szCs w:val="18"/>
        </w:rPr>
        <w:t>, para. 153.</w:t>
      </w:r>
    </w:p>
  </w:footnote>
  <w:footnote w:id="166">
    <w:p w14:paraId="386E6DB0"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Human Rights Watch, </w:t>
      </w:r>
      <w:r w:rsidRPr="00031A5D">
        <w:rPr>
          <w:rFonts w:ascii="Roboto" w:hAnsi="Roboto"/>
          <w:i/>
          <w:iCs/>
          <w:sz w:val="18"/>
          <w:szCs w:val="18"/>
        </w:rPr>
        <w:t>Jordan: Arrests, Harassment of Pro-Palestine Protesters</w:t>
      </w:r>
      <w:r w:rsidRPr="00031A5D">
        <w:rPr>
          <w:rFonts w:ascii="Roboto" w:hAnsi="Roboto"/>
          <w:sz w:val="18"/>
          <w:szCs w:val="18"/>
        </w:rPr>
        <w:t xml:space="preserve">, 6 February 2024, </w:t>
      </w:r>
      <w:hyperlink r:id="rId120" w:tooltip="https://www.hrw.org/news/2024/02/06/jordan-arrests-harassment-pro-palestine-protesters" w:history="1">
        <w:r w:rsidRPr="00031A5D">
          <w:rPr>
            <w:rStyle w:val="Hyperlink"/>
            <w:rFonts w:ascii="Roboto" w:hAnsi="Roboto"/>
            <w:sz w:val="18"/>
            <w:szCs w:val="18"/>
          </w:rPr>
          <w:t>https://www.hrw.org/news/2024/02/06/jordan-arrests-harassment-pro-palestine-protesters</w:t>
        </w:r>
      </w:hyperlink>
      <w:r w:rsidRPr="00031A5D">
        <w:rPr>
          <w:rFonts w:ascii="Roboto" w:hAnsi="Roboto"/>
          <w:sz w:val="18"/>
          <w:szCs w:val="18"/>
        </w:rPr>
        <w:t xml:space="preserve"> (accessed 5 March 2024).</w:t>
      </w:r>
    </w:p>
  </w:footnote>
  <w:footnote w:id="167">
    <w:p w14:paraId="7F72C716" w14:textId="77777777" w:rsidR="00FA7A82" w:rsidRPr="00031A5D" w:rsidRDefault="00000000" w:rsidP="00031A5D">
      <w:pPr>
        <w:pBdr>
          <w:top w:val="none" w:sz="4" w:space="0" w:color="000000"/>
          <w:left w:val="none" w:sz="4" w:space="0" w:color="000000"/>
          <w:bottom w:val="none" w:sz="4" w:space="0" w:color="000000"/>
          <w:right w:val="none" w:sz="4" w:space="0" w:color="000000"/>
          <w:between w:val="none" w:sz="4" w:space="0" w:color="000000"/>
        </w:pBdr>
        <w:spacing w:before="0" w:after="40" w:line="240" w:lineRule="auto"/>
        <w:jc w:val="both"/>
        <w:rPr>
          <w:rFonts w:ascii="Roboto" w:hAnsi="Roboto"/>
          <w:color w:val="000000"/>
          <w:sz w:val="18"/>
          <w:szCs w:val="18"/>
        </w:rPr>
      </w:pPr>
      <w:r w:rsidRPr="00031A5D">
        <w:rPr>
          <w:rFonts w:ascii="Roboto" w:hAnsi="Roboto"/>
          <w:sz w:val="18"/>
          <w:szCs w:val="18"/>
          <w:vertAlign w:val="superscript"/>
        </w:rPr>
        <w:footnoteRef/>
      </w:r>
      <w:r w:rsidRPr="00031A5D">
        <w:rPr>
          <w:rFonts w:ascii="Roboto" w:hAnsi="Roboto"/>
          <w:color w:val="000000"/>
          <w:sz w:val="18"/>
          <w:szCs w:val="18"/>
        </w:rPr>
        <w:t xml:space="preserve"> DAWN, </w:t>
      </w:r>
      <w:r w:rsidRPr="00031A5D">
        <w:rPr>
          <w:rFonts w:ascii="Roboto" w:hAnsi="Roboto"/>
          <w:i/>
          <w:iCs/>
          <w:color w:val="000000"/>
          <w:sz w:val="18"/>
          <w:szCs w:val="18"/>
        </w:rPr>
        <w:t>Jordan: End Assault on Pro-Palestine Protests</w:t>
      </w:r>
      <w:r w:rsidRPr="00031A5D">
        <w:rPr>
          <w:rFonts w:ascii="Roboto" w:hAnsi="Roboto"/>
          <w:color w:val="000000"/>
          <w:sz w:val="18"/>
          <w:szCs w:val="18"/>
        </w:rPr>
        <w:t xml:space="preserve">, 9 April 2024, </w:t>
      </w:r>
      <w:hyperlink r:id="rId121" w:tooltip="https://dawnmena.org/jordan-end-assault-on-pro-palestine-protests/" w:history="1">
        <w:r w:rsidRPr="00031A5D">
          <w:rPr>
            <w:rFonts w:ascii="Roboto" w:hAnsi="Roboto"/>
            <w:color w:val="0066FF"/>
            <w:sz w:val="18"/>
            <w:szCs w:val="18"/>
            <w:u w:val="single"/>
          </w:rPr>
          <w:t>https://dawnmena.org/jordan-end-assault-on-pro-palestine-protests/</w:t>
        </w:r>
      </w:hyperlink>
      <w:r w:rsidRPr="00031A5D">
        <w:rPr>
          <w:rFonts w:ascii="Roboto" w:hAnsi="Roboto"/>
          <w:color w:val="000000"/>
          <w:sz w:val="18"/>
          <w:szCs w:val="18"/>
        </w:rPr>
        <w:t xml:space="preserve">, (accessed 5 September 2024). </w:t>
      </w:r>
    </w:p>
  </w:footnote>
  <w:footnote w:id="168">
    <w:p w14:paraId="714C8223"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Human Rights Watch, </w:t>
      </w:r>
      <w:r w:rsidRPr="00031A5D">
        <w:rPr>
          <w:rFonts w:ascii="Roboto" w:hAnsi="Roboto"/>
          <w:i/>
          <w:iCs/>
          <w:sz w:val="18"/>
          <w:szCs w:val="18"/>
        </w:rPr>
        <w:t>Jordan: Arrests, Harassment of Pro-Palestine Protesters</w:t>
      </w:r>
      <w:r w:rsidRPr="00031A5D">
        <w:rPr>
          <w:rFonts w:ascii="Roboto" w:hAnsi="Roboto"/>
          <w:sz w:val="18"/>
          <w:szCs w:val="18"/>
        </w:rPr>
        <w:t xml:space="preserve">, 6 February 2024, </w:t>
      </w:r>
      <w:hyperlink r:id="rId122" w:tooltip="https://www.hrw.org/news/2024/02/06/jordan-arrests-harassment-pro-palestine-protesters" w:history="1">
        <w:r w:rsidRPr="00031A5D">
          <w:rPr>
            <w:rStyle w:val="Hyperlink"/>
            <w:rFonts w:ascii="Roboto" w:hAnsi="Roboto"/>
            <w:sz w:val="18"/>
            <w:szCs w:val="18"/>
          </w:rPr>
          <w:t>https://www.hrw.org/news/2024/02/06/jordan-arrests-harassment-pro-palestine-protesters</w:t>
        </w:r>
      </w:hyperlink>
      <w:r w:rsidRPr="00031A5D">
        <w:rPr>
          <w:rFonts w:ascii="Roboto" w:hAnsi="Roboto"/>
          <w:sz w:val="18"/>
          <w:szCs w:val="18"/>
        </w:rPr>
        <w:t xml:space="preserve"> (accessed 5 March 2024).</w:t>
      </w:r>
    </w:p>
  </w:footnote>
  <w:footnote w:id="169">
    <w:p w14:paraId="1F296F2E" w14:textId="77777777" w:rsidR="00FA7A82" w:rsidRPr="00031A5D" w:rsidRDefault="00000000" w:rsidP="00031A5D">
      <w:pPr>
        <w:pBdr>
          <w:top w:val="none" w:sz="4" w:space="0" w:color="000000"/>
          <w:left w:val="none" w:sz="4" w:space="0" w:color="000000"/>
          <w:bottom w:val="none" w:sz="4" w:space="0" w:color="000000"/>
          <w:right w:val="none" w:sz="4" w:space="0" w:color="000000"/>
          <w:between w:val="none" w:sz="4" w:space="0" w:color="000000"/>
        </w:pBdr>
        <w:spacing w:before="0" w:after="40" w:line="240" w:lineRule="auto"/>
        <w:jc w:val="both"/>
        <w:rPr>
          <w:rFonts w:ascii="Roboto" w:hAnsi="Roboto"/>
          <w:color w:val="000000"/>
          <w:sz w:val="18"/>
          <w:szCs w:val="18"/>
        </w:rPr>
      </w:pPr>
      <w:r w:rsidRPr="00031A5D">
        <w:rPr>
          <w:rFonts w:ascii="Roboto" w:hAnsi="Roboto"/>
          <w:sz w:val="18"/>
          <w:szCs w:val="18"/>
          <w:vertAlign w:val="superscript"/>
        </w:rPr>
        <w:footnoteRef/>
      </w:r>
      <w:r w:rsidRPr="00031A5D">
        <w:rPr>
          <w:rFonts w:ascii="Roboto" w:hAnsi="Roboto"/>
          <w:color w:val="000000"/>
          <w:sz w:val="18"/>
          <w:szCs w:val="18"/>
        </w:rPr>
        <w:t xml:space="preserve"> </w:t>
      </w:r>
      <w:r w:rsidRPr="00031A5D">
        <w:rPr>
          <w:rFonts w:ascii="Roboto" w:hAnsi="Roboto"/>
          <w:iCs/>
          <w:color w:val="000000"/>
          <w:sz w:val="18"/>
          <w:szCs w:val="18"/>
        </w:rPr>
        <w:t>Middle East Eye</w:t>
      </w:r>
      <w:r w:rsidRPr="00031A5D">
        <w:rPr>
          <w:rFonts w:ascii="Roboto" w:hAnsi="Roboto"/>
          <w:color w:val="000000"/>
          <w:sz w:val="18"/>
          <w:szCs w:val="18"/>
        </w:rPr>
        <w:t xml:space="preserve">, </w:t>
      </w:r>
      <w:r w:rsidRPr="00031A5D">
        <w:rPr>
          <w:rFonts w:ascii="Roboto" w:hAnsi="Roboto"/>
          <w:i/>
          <w:iCs/>
          <w:color w:val="000000"/>
          <w:sz w:val="18"/>
          <w:szCs w:val="18"/>
        </w:rPr>
        <w:t>Jordan failed to stop pro-Palestine protests. Now it’s accusing Hamas of leading them</w:t>
      </w:r>
      <w:r w:rsidRPr="00031A5D">
        <w:rPr>
          <w:rFonts w:ascii="Roboto" w:hAnsi="Roboto"/>
          <w:color w:val="000000"/>
          <w:sz w:val="18"/>
          <w:szCs w:val="18"/>
        </w:rPr>
        <w:t xml:space="preserve">, 6 April 2024, </w:t>
      </w:r>
      <w:hyperlink r:id="rId123" w:tooltip="https://www.middleeasteye.net/news/jordan-failed-stop-pro-palestine-protests-now-its-accusing-hamas-leading-them" w:history="1">
        <w:r w:rsidRPr="00031A5D">
          <w:rPr>
            <w:rFonts w:ascii="Roboto" w:hAnsi="Roboto"/>
            <w:color w:val="0066FF"/>
            <w:sz w:val="18"/>
            <w:szCs w:val="18"/>
            <w:u w:val="single"/>
          </w:rPr>
          <w:t>https://www.middleeasteye.net/news/jordan-failed-stop-pro-palestine-protests-now-its-accusing-hamas-leading-them</w:t>
        </w:r>
      </w:hyperlink>
      <w:r w:rsidRPr="00031A5D">
        <w:rPr>
          <w:rFonts w:ascii="Roboto" w:hAnsi="Roboto"/>
          <w:color w:val="000000"/>
          <w:sz w:val="18"/>
          <w:szCs w:val="18"/>
        </w:rPr>
        <w:t xml:space="preserve">, (accessed 5 September 2024). </w:t>
      </w:r>
    </w:p>
  </w:footnote>
  <w:footnote w:id="170">
    <w:p w14:paraId="139AF1EF" w14:textId="77777777" w:rsidR="00FA7A82" w:rsidRPr="00031A5D" w:rsidRDefault="00000000" w:rsidP="00031A5D">
      <w:pPr>
        <w:pBdr>
          <w:top w:val="none" w:sz="4" w:space="0" w:color="000000"/>
          <w:left w:val="none" w:sz="4" w:space="0" w:color="000000"/>
          <w:bottom w:val="none" w:sz="4" w:space="0" w:color="000000"/>
          <w:right w:val="none" w:sz="4" w:space="0" w:color="000000"/>
          <w:between w:val="none" w:sz="4" w:space="0" w:color="000000"/>
        </w:pBdr>
        <w:spacing w:before="0" w:after="40" w:line="240" w:lineRule="auto"/>
        <w:jc w:val="both"/>
        <w:rPr>
          <w:rFonts w:ascii="Roboto" w:hAnsi="Roboto"/>
          <w:color w:val="000000"/>
          <w:sz w:val="18"/>
          <w:szCs w:val="18"/>
        </w:rPr>
      </w:pPr>
      <w:r w:rsidRPr="00031A5D">
        <w:rPr>
          <w:rFonts w:ascii="Roboto" w:hAnsi="Roboto"/>
          <w:sz w:val="18"/>
          <w:szCs w:val="18"/>
          <w:vertAlign w:val="superscript"/>
        </w:rPr>
        <w:footnoteRef/>
      </w:r>
      <w:r w:rsidRPr="00031A5D">
        <w:rPr>
          <w:rFonts w:ascii="Roboto" w:hAnsi="Roboto"/>
          <w:color w:val="000000"/>
          <w:sz w:val="18"/>
          <w:szCs w:val="18"/>
        </w:rPr>
        <w:t xml:space="preserve"> DAWN, </w:t>
      </w:r>
      <w:r w:rsidRPr="00031A5D">
        <w:rPr>
          <w:rFonts w:ascii="Roboto" w:hAnsi="Roboto"/>
          <w:i/>
          <w:iCs/>
          <w:color w:val="000000"/>
          <w:sz w:val="18"/>
          <w:szCs w:val="18"/>
        </w:rPr>
        <w:t>Jordan: End Assault on Pro-Palestine Protests</w:t>
      </w:r>
      <w:r w:rsidRPr="00031A5D">
        <w:rPr>
          <w:rFonts w:ascii="Roboto" w:hAnsi="Roboto"/>
          <w:color w:val="000000"/>
          <w:sz w:val="18"/>
          <w:szCs w:val="18"/>
        </w:rPr>
        <w:t xml:space="preserve">, 9 April 2024, </w:t>
      </w:r>
      <w:hyperlink r:id="rId124" w:tooltip="https://dawnmena.org/jordan-end-assault-on-pro-palestine-protests/" w:history="1">
        <w:r w:rsidRPr="00031A5D">
          <w:rPr>
            <w:rFonts w:ascii="Roboto" w:hAnsi="Roboto"/>
            <w:color w:val="0066FF"/>
            <w:sz w:val="18"/>
            <w:szCs w:val="18"/>
            <w:u w:val="single"/>
          </w:rPr>
          <w:t>https://dawnmena.org/jordan-end-assault-on-pro-palestine-protests/</w:t>
        </w:r>
      </w:hyperlink>
      <w:r w:rsidRPr="00031A5D">
        <w:rPr>
          <w:rFonts w:ascii="Roboto" w:hAnsi="Roboto"/>
          <w:color w:val="000000"/>
          <w:sz w:val="18"/>
          <w:szCs w:val="18"/>
        </w:rPr>
        <w:t xml:space="preserve">, (accessed 5 September 2024). </w:t>
      </w:r>
    </w:p>
  </w:footnote>
  <w:footnote w:id="171">
    <w:p w14:paraId="3A401678" w14:textId="77777777" w:rsidR="00FA7A82" w:rsidRPr="00031A5D" w:rsidRDefault="00000000" w:rsidP="00031A5D">
      <w:pPr>
        <w:pBdr>
          <w:top w:val="none" w:sz="4" w:space="0" w:color="000000"/>
          <w:left w:val="none" w:sz="4" w:space="0" w:color="000000"/>
          <w:bottom w:val="none" w:sz="4" w:space="0" w:color="000000"/>
          <w:right w:val="none" w:sz="4" w:space="0" w:color="000000"/>
          <w:between w:val="none" w:sz="4" w:space="0" w:color="000000"/>
        </w:pBdr>
        <w:spacing w:before="0" w:after="0" w:line="240" w:lineRule="auto"/>
        <w:jc w:val="both"/>
        <w:rPr>
          <w:rFonts w:ascii="Roboto" w:hAnsi="Roboto"/>
          <w:color w:val="000000"/>
          <w:sz w:val="18"/>
          <w:szCs w:val="18"/>
        </w:rPr>
      </w:pPr>
      <w:r w:rsidRPr="00031A5D">
        <w:rPr>
          <w:rFonts w:ascii="Roboto" w:hAnsi="Roboto"/>
          <w:sz w:val="18"/>
          <w:szCs w:val="18"/>
          <w:vertAlign w:val="superscript"/>
        </w:rPr>
        <w:footnoteRef/>
      </w:r>
      <w:r w:rsidRPr="00031A5D">
        <w:rPr>
          <w:rFonts w:ascii="Roboto" w:hAnsi="Roboto"/>
          <w:color w:val="000000"/>
          <w:sz w:val="18"/>
          <w:szCs w:val="18"/>
        </w:rPr>
        <w:t xml:space="preserve"> Amnesty International, </w:t>
      </w:r>
      <w:r w:rsidRPr="00031A5D">
        <w:rPr>
          <w:rFonts w:ascii="Roboto" w:hAnsi="Roboto"/>
          <w:i/>
          <w:color w:val="000000"/>
          <w:sz w:val="18"/>
          <w:szCs w:val="18"/>
        </w:rPr>
        <w:t>Jordan: Stop cracking down on pro-Gaza protests and release those charged for exercising their freedoms of assembly and expression</w:t>
      </w:r>
      <w:r w:rsidRPr="00031A5D">
        <w:rPr>
          <w:rFonts w:ascii="Roboto" w:hAnsi="Roboto"/>
          <w:color w:val="000000"/>
          <w:sz w:val="18"/>
          <w:szCs w:val="18"/>
        </w:rPr>
        <w:t xml:space="preserve">, 11 April 2024, </w:t>
      </w:r>
      <w:hyperlink r:id="rId125" w:tooltip="https://www.amnesty.org/en/latest/news/2024/04/jordan-stop-cracking-down-on-pro-gaza-protests-and-release-those-charged-for-exercising-their-freedoms-of-assembly-and-expression/" w:history="1">
        <w:r w:rsidRPr="00031A5D">
          <w:rPr>
            <w:rFonts w:ascii="Roboto" w:hAnsi="Roboto"/>
            <w:color w:val="0066FF"/>
            <w:sz w:val="18"/>
            <w:szCs w:val="18"/>
            <w:u w:val="single"/>
          </w:rPr>
          <w:t>https://www.amnesty.org/en/latest/news/2024/04/jordan-stop-cracking-down-on-pro-gaza-protests-and-release-those-charged-for-exercising-their-freedoms-of-assembly-and-expression/</w:t>
        </w:r>
      </w:hyperlink>
      <w:r w:rsidRPr="00031A5D">
        <w:rPr>
          <w:rFonts w:ascii="Roboto" w:hAnsi="Roboto"/>
          <w:color w:val="000000"/>
          <w:sz w:val="18"/>
          <w:szCs w:val="18"/>
        </w:rPr>
        <w:t xml:space="preserve"> (accessed 5 September 2024).</w:t>
      </w:r>
    </w:p>
  </w:footnote>
  <w:footnote w:id="172">
    <w:p w14:paraId="47AADFB9"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Committee Against Torture, </w:t>
      </w:r>
      <w:r w:rsidRPr="00031A5D">
        <w:rPr>
          <w:rFonts w:ascii="Roboto" w:hAnsi="Roboto"/>
          <w:i/>
          <w:iCs/>
          <w:sz w:val="18"/>
          <w:szCs w:val="18"/>
        </w:rPr>
        <w:t>List of issues prior to submission of the fourth periodic report of Jordan</w:t>
      </w:r>
      <w:r w:rsidRPr="00031A5D">
        <w:rPr>
          <w:rFonts w:ascii="Roboto" w:hAnsi="Roboto"/>
          <w:sz w:val="18"/>
          <w:szCs w:val="18"/>
        </w:rPr>
        <w:t xml:space="preserve">, 13 June 2018, UN Doc. CAT/C/JOR/QPR/4, </w:t>
      </w:r>
      <w:hyperlink r:id="rId126" w:tooltip="https://docstore.ohchr.org/SelfServices/FilesHandler.ashx?enc=6QkG1d%2FPPRiCAqhKb7yhsuoO1aAYJ6VmNP4LonUL9sirGNBx0BDPQylFzMNh%2BBP5a%2FrMh8QqsqtzGhsW21L8Tz%2BXBoT7mChZucEBmnpWUgj6%2FaQhEPGbT7x5z6tA%2FzVB" w:history="1">
        <w:r w:rsidRPr="00031A5D">
          <w:rPr>
            <w:rStyle w:val="Hyperlink"/>
            <w:rFonts w:ascii="Roboto" w:hAnsi="Roboto"/>
            <w:sz w:val="18"/>
            <w:szCs w:val="18"/>
          </w:rPr>
          <w:t>https://docstore.ohchr.org/SelfServices/FilesHandler.ashx?enc=6QkG1d%2FPPRiCAqhKb7yhsuoO1aAYJ6VmNP4LonUL9sirGNBx0BDPQylFzMNh%2BBP5a%2FrMh8QqsqtzGhsW21L8Tz%2BXBoT7mChZucEBmnpWUgj6%2FaQhEPGbT7x5z6tA%2FzVB</w:t>
        </w:r>
      </w:hyperlink>
      <w:r w:rsidRPr="00031A5D">
        <w:rPr>
          <w:rFonts w:ascii="Roboto" w:hAnsi="Roboto"/>
          <w:sz w:val="18"/>
          <w:szCs w:val="18"/>
        </w:rPr>
        <w:t xml:space="preserve"> (accessed 21 August 2024), para. 37.</w:t>
      </w:r>
    </w:p>
  </w:footnote>
  <w:footnote w:id="173">
    <w:p w14:paraId="015585CA" w14:textId="7ED19144"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w:t>
      </w:r>
      <w:r w:rsidR="00B15FF6" w:rsidRPr="00B15FF6">
        <w:rPr>
          <w:rFonts w:ascii="Roboto" w:hAnsi="Roboto"/>
          <w:i/>
          <w:iCs/>
          <w:sz w:val="18"/>
          <w:szCs w:val="18"/>
        </w:rPr>
        <w:t>Ibid</w:t>
      </w:r>
      <w:r w:rsidR="00B15FF6">
        <w:rPr>
          <w:rFonts w:ascii="Roboto" w:hAnsi="Roboto"/>
          <w:sz w:val="18"/>
          <w:szCs w:val="18"/>
        </w:rPr>
        <w:t>.,</w:t>
      </w:r>
      <w:r w:rsidRPr="00031A5D">
        <w:rPr>
          <w:rFonts w:ascii="Roboto" w:hAnsi="Roboto"/>
          <w:sz w:val="18"/>
          <w:szCs w:val="18"/>
        </w:rPr>
        <w:t xml:space="preserve"> para. 10.</w:t>
      </w:r>
    </w:p>
  </w:footnote>
  <w:footnote w:id="174">
    <w:p w14:paraId="48FA5818" w14:textId="77777777" w:rsidR="00FA7A82" w:rsidRPr="00031A5D" w:rsidRDefault="00000000" w:rsidP="00031A5D">
      <w:pPr>
        <w:pStyle w:val="FootnoteText"/>
        <w:jc w:val="both"/>
        <w:rPr>
          <w:rFonts w:ascii="Roboto" w:hAnsi="Roboto"/>
          <w:b/>
          <w:bCs/>
          <w:sz w:val="18"/>
          <w:szCs w:val="18"/>
        </w:rPr>
      </w:pPr>
      <w:r w:rsidRPr="00031A5D">
        <w:rPr>
          <w:rStyle w:val="FootnoteReference"/>
          <w:rFonts w:ascii="Roboto" w:hAnsi="Roboto"/>
          <w:sz w:val="18"/>
          <w:szCs w:val="18"/>
        </w:rPr>
        <w:footnoteRef/>
      </w:r>
      <w:r w:rsidRPr="00031A5D">
        <w:rPr>
          <w:rFonts w:ascii="Roboto" w:hAnsi="Roboto"/>
          <w:sz w:val="18"/>
          <w:szCs w:val="18"/>
        </w:rPr>
        <w:t xml:space="preserve"> </w:t>
      </w:r>
      <w:r w:rsidRPr="00031A5D">
        <w:rPr>
          <w:rFonts w:ascii="Roboto" w:hAnsi="Roboto"/>
          <w:sz w:val="18"/>
          <w:szCs w:val="18"/>
          <w:lang w:val="en-US"/>
        </w:rPr>
        <w:t xml:space="preserve">Committee Against Torture, </w:t>
      </w:r>
      <w:r w:rsidRPr="00031A5D">
        <w:rPr>
          <w:rFonts w:ascii="Roboto" w:hAnsi="Roboto"/>
          <w:i/>
          <w:iCs/>
          <w:sz w:val="18"/>
          <w:szCs w:val="18"/>
        </w:rPr>
        <w:t>Fourth periodic report submitted by Jordan under article 19 of the Convention pursuant to the simplified reporting procedure, due in 2019</w:t>
      </w:r>
      <w:r w:rsidRPr="00031A5D">
        <w:rPr>
          <w:rFonts w:ascii="Roboto" w:hAnsi="Roboto"/>
          <w:sz w:val="18"/>
          <w:szCs w:val="18"/>
        </w:rPr>
        <w:t xml:space="preserve">, 21 December 2021, UN Doc. CAT/C/JOR/4, </w:t>
      </w:r>
      <w:hyperlink r:id="rId127" w:tooltip="https://docstore.ohchr.org/SelfServices/FilesHandler.ashx?enc=6QkG1d%2FPPRiCAqhKb7yhsuoO1aAYJ6VmNP4LonUL9si%2F6BRpobGHFNy2xW5%2BmLqKH9vcnfYrVk8kUOJb%2BBauqXGSNlarSqeb%2BP%2FZEfv7JDfA8DjIHm3bys7hB5acwHqC" w:history="1">
        <w:r w:rsidRPr="00031A5D">
          <w:rPr>
            <w:rStyle w:val="Hyperlink"/>
            <w:rFonts w:ascii="Roboto" w:hAnsi="Roboto"/>
            <w:sz w:val="18"/>
            <w:szCs w:val="18"/>
          </w:rPr>
          <w:t>https://docstore.ohchr.org/SelfServices/FilesHandler.ashx?enc=6QkG1d%2FPPRiCAqhKb7yhsuoO1aAYJ6VmNP4LonUL9si%2F6BRpobGHFNy2xW5%2BmLqKH9vcnfYrVk8kUOJb%2BBauqXGSNlarSqeb%2BP%2FZEfv7JDfA8DjIHm3bys7hB5acwHqC</w:t>
        </w:r>
      </w:hyperlink>
      <w:r w:rsidRPr="00031A5D">
        <w:rPr>
          <w:rFonts w:ascii="Roboto" w:hAnsi="Roboto"/>
          <w:sz w:val="18"/>
          <w:szCs w:val="18"/>
        </w:rPr>
        <w:t xml:space="preserve"> (accessed 21 August 2024), para. 158.</w:t>
      </w:r>
    </w:p>
  </w:footnote>
  <w:footnote w:id="175">
    <w:p w14:paraId="47127606"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MENA Rights Group, </w:t>
      </w:r>
      <w:r w:rsidRPr="00031A5D">
        <w:rPr>
          <w:rFonts w:ascii="Roboto" w:hAnsi="Roboto"/>
          <w:i/>
          <w:iCs/>
          <w:sz w:val="18"/>
          <w:szCs w:val="18"/>
        </w:rPr>
        <w:t>Jordan: Universal Periodic Review</w:t>
      </w:r>
      <w:r w:rsidRPr="00031A5D">
        <w:rPr>
          <w:rFonts w:ascii="Roboto" w:hAnsi="Roboto"/>
          <w:sz w:val="18"/>
          <w:szCs w:val="18"/>
        </w:rPr>
        <w:t xml:space="preserve">, July 2023, </w:t>
      </w:r>
      <w:hyperlink r:id="rId128" w:tooltip="https://menarights.org/en/documents/universal-periodic-review-jordan-report-submitted-un-human-rights-council" w:history="1">
        <w:r w:rsidRPr="00031A5D">
          <w:rPr>
            <w:rStyle w:val="Hyperlink"/>
            <w:rFonts w:ascii="Roboto" w:hAnsi="Roboto"/>
            <w:sz w:val="18"/>
            <w:szCs w:val="18"/>
          </w:rPr>
          <w:t>https://menarights.org/en/documents/universal-periodic-review-jordan-report-submitted-un-human-rights-council</w:t>
        </w:r>
      </w:hyperlink>
      <w:r w:rsidRPr="00031A5D">
        <w:rPr>
          <w:rFonts w:ascii="Roboto" w:hAnsi="Roboto"/>
          <w:sz w:val="18"/>
          <w:szCs w:val="18"/>
        </w:rPr>
        <w:t xml:space="preserve"> (accessed 23 September 2024), p. 8; </w:t>
      </w:r>
      <w:proofErr w:type="spellStart"/>
      <w:r w:rsidRPr="00031A5D">
        <w:rPr>
          <w:rFonts w:ascii="Roboto" w:hAnsi="Roboto"/>
          <w:sz w:val="18"/>
          <w:szCs w:val="18"/>
        </w:rPr>
        <w:t>Alkarama</w:t>
      </w:r>
      <w:proofErr w:type="spellEnd"/>
      <w:r w:rsidRPr="00031A5D">
        <w:rPr>
          <w:rFonts w:ascii="Roboto" w:hAnsi="Roboto"/>
          <w:sz w:val="18"/>
          <w:szCs w:val="18"/>
        </w:rPr>
        <w:t xml:space="preserve">, </w:t>
      </w:r>
      <w:r w:rsidRPr="00031A5D">
        <w:rPr>
          <w:rFonts w:ascii="Roboto" w:hAnsi="Roboto"/>
          <w:i/>
          <w:iCs/>
          <w:sz w:val="18"/>
          <w:szCs w:val="18"/>
        </w:rPr>
        <w:t>Jordan: Shadow report to UN Human Rights Committee highlights human rights abuses in name of counterterrorism</w:t>
      </w:r>
      <w:r w:rsidRPr="00031A5D">
        <w:rPr>
          <w:rFonts w:ascii="Roboto" w:hAnsi="Roboto"/>
          <w:sz w:val="18"/>
          <w:szCs w:val="18"/>
        </w:rPr>
        <w:t>, 18 September 2017,</w:t>
      </w:r>
    </w:p>
    <w:p w14:paraId="2A46994D" w14:textId="77777777" w:rsidR="00FA7A82" w:rsidRPr="00031A5D" w:rsidRDefault="00000000" w:rsidP="00031A5D">
      <w:pPr>
        <w:pStyle w:val="FootnoteText"/>
        <w:jc w:val="both"/>
        <w:rPr>
          <w:rFonts w:ascii="Roboto" w:hAnsi="Roboto"/>
          <w:sz w:val="18"/>
          <w:szCs w:val="18"/>
          <w:lang w:val="en-US"/>
        </w:rPr>
      </w:pPr>
      <w:hyperlink r:id="rId129" w:tooltip="https://www.alkarama.org/en/articles/jordan-shadow-report-un-human-rights-committee-highlights-human-rights-abuses-name" w:history="1">
        <w:r w:rsidRPr="00031A5D">
          <w:rPr>
            <w:rStyle w:val="Hyperlink"/>
            <w:rFonts w:ascii="Roboto" w:hAnsi="Roboto"/>
            <w:sz w:val="18"/>
            <w:szCs w:val="18"/>
          </w:rPr>
          <w:t>https://www.alkarama.org/en/articles/jordan-shadow-report-un-human-rights-committee-highlights-human-rights-abuses-name</w:t>
        </w:r>
      </w:hyperlink>
      <w:r w:rsidRPr="00031A5D">
        <w:rPr>
          <w:rFonts w:ascii="Roboto" w:hAnsi="Roboto"/>
          <w:sz w:val="18"/>
          <w:szCs w:val="18"/>
        </w:rPr>
        <w:t xml:space="preserve"> (accessed 23 September 2024), p. 9.</w:t>
      </w:r>
    </w:p>
  </w:footnote>
  <w:footnote w:id="176">
    <w:p w14:paraId="7173DFA2" w14:textId="77777777" w:rsidR="00FA7A82" w:rsidRPr="00031A5D" w:rsidRDefault="00000000" w:rsidP="00031A5D">
      <w:pPr>
        <w:pStyle w:val="FootnoteText"/>
        <w:jc w:val="both"/>
        <w:rPr>
          <w:rFonts w:ascii="Roboto" w:hAnsi="Roboto"/>
          <w:sz w:val="18"/>
          <w:szCs w:val="18"/>
          <w:lang w:val="en-US"/>
        </w:rPr>
      </w:pPr>
      <w:r w:rsidRPr="00031A5D">
        <w:rPr>
          <w:rStyle w:val="FootnoteReference"/>
          <w:rFonts w:ascii="Roboto" w:hAnsi="Roboto"/>
          <w:sz w:val="18"/>
          <w:szCs w:val="18"/>
        </w:rPr>
        <w:footnoteRef/>
      </w:r>
      <w:r w:rsidRPr="00031A5D">
        <w:rPr>
          <w:rFonts w:ascii="Roboto" w:hAnsi="Roboto"/>
          <w:sz w:val="18"/>
          <w:szCs w:val="18"/>
        </w:rPr>
        <w:t xml:space="preserve"> Human Rights Watch, </w:t>
      </w:r>
      <w:r w:rsidRPr="00031A5D">
        <w:rPr>
          <w:rFonts w:ascii="Roboto" w:hAnsi="Roboto"/>
          <w:i/>
          <w:iCs/>
          <w:sz w:val="18"/>
          <w:szCs w:val="18"/>
        </w:rPr>
        <w:t>Jordan: Terrorism Amendments Threaten Rights</w:t>
      </w:r>
      <w:r w:rsidRPr="00031A5D">
        <w:rPr>
          <w:rFonts w:ascii="Roboto" w:hAnsi="Roboto"/>
          <w:sz w:val="18"/>
          <w:szCs w:val="18"/>
        </w:rPr>
        <w:t xml:space="preserve">, 17 May 2014, </w:t>
      </w:r>
      <w:hyperlink r:id="rId130" w:tooltip="https://www.hrw.org/news/2014/05/17/jordan-terrorism-amendments-threaten-rights" w:history="1">
        <w:r w:rsidRPr="00031A5D">
          <w:rPr>
            <w:rStyle w:val="Hyperlink"/>
            <w:rFonts w:ascii="Roboto" w:hAnsi="Roboto"/>
            <w:sz w:val="18"/>
            <w:szCs w:val="18"/>
          </w:rPr>
          <w:t>https://www.hrw.org/news/2014/05/17/jordan-terrorism-amendments-threaten-rights</w:t>
        </w:r>
      </w:hyperlink>
      <w:r w:rsidRPr="00031A5D">
        <w:rPr>
          <w:rFonts w:ascii="Roboto" w:hAnsi="Roboto"/>
          <w:sz w:val="18"/>
          <w:szCs w:val="18"/>
        </w:rPr>
        <w:t xml:space="preserve"> (accessed 23 September 2024).</w:t>
      </w:r>
    </w:p>
  </w:footnote>
  <w:footnote w:id="177">
    <w:p w14:paraId="055740B1"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w:t>
      </w:r>
      <w:proofErr w:type="spellStart"/>
      <w:r w:rsidRPr="00031A5D">
        <w:rPr>
          <w:rFonts w:ascii="Roboto" w:hAnsi="Roboto"/>
          <w:sz w:val="18"/>
          <w:szCs w:val="18"/>
        </w:rPr>
        <w:t>Alkarama</w:t>
      </w:r>
      <w:proofErr w:type="spellEnd"/>
      <w:r w:rsidRPr="00031A5D">
        <w:rPr>
          <w:rFonts w:ascii="Roboto" w:hAnsi="Roboto"/>
          <w:sz w:val="18"/>
          <w:szCs w:val="18"/>
        </w:rPr>
        <w:t xml:space="preserve">, </w:t>
      </w:r>
      <w:r w:rsidRPr="00031A5D">
        <w:rPr>
          <w:rFonts w:ascii="Roboto" w:hAnsi="Roboto"/>
          <w:i/>
          <w:iCs/>
          <w:sz w:val="18"/>
          <w:szCs w:val="18"/>
        </w:rPr>
        <w:t>Jordan: Shadow report to UN Human Rights Committee highlights human rights abuses in name of counterterrorism</w:t>
      </w:r>
      <w:r w:rsidRPr="00031A5D">
        <w:rPr>
          <w:rFonts w:ascii="Roboto" w:hAnsi="Roboto"/>
          <w:sz w:val="18"/>
          <w:szCs w:val="18"/>
        </w:rPr>
        <w:t>, 18 September 2017,</w:t>
      </w:r>
    </w:p>
    <w:p w14:paraId="7F597CEC" w14:textId="77777777" w:rsidR="00FA7A82" w:rsidRPr="00031A5D" w:rsidRDefault="00000000" w:rsidP="00031A5D">
      <w:pPr>
        <w:pStyle w:val="FootnoteText"/>
        <w:jc w:val="both"/>
        <w:rPr>
          <w:rFonts w:ascii="Roboto" w:hAnsi="Roboto"/>
          <w:sz w:val="18"/>
          <w:szCs w:val="18"/>
          <w:lang w:val="en-US"/>
        </w:rPr>
      </w:pPr>
      <w:hyperlink r:id="rId131" w:tooltip="https://www.alkarama.org/en/articles/jordan-shadow-report-un-human-rights-committee-highlights-human-rights-abuses-name" w:history="1">
        <w:r w:rsidRPr="00031A5D">
          <w:rPr>
            <w:rStyle w:val="Hyperlink"/>
            <w:rFonts w:ascii="Roboto" w:hAnsi="Roboto"/>
            <w:sz w:val="18"/>
            <w:szCs w:val="18"/>
          </w:rPr>
          <w:t>https://www.alkarama.org/en/articles/jordan-shadow-report-un-human-rights-committee-highlights-human-rights-abuses-name</w:t>
        </w:r>
      </w:hyperlink>
      <w:r w:rsidRPr="00031A5D">
        <w:rPr>
          <w:rFonts w:ascii="Roboto" w:hAnsi="Roboto"/>
          <w:sz w:val="18"/>
          <w:szCs w:val="18"/>
        </w:rPr>
        <w:t xml:space="preserve"> (accessed 23 September 2024), p. 9.</w:t>
      </w:r>
    </w:p>
  </w:footnote>
  <w:footnote w:id="178">
    <w:p w14:paraId="271A5389" w14:textId="77777777" w:rsidR="00FA7A82" w:rsidRPr="00031A5D" w:rsidRDefault="00000000" w:rsidP="00031A5D">
      <w:pPr>
        <w:pStyle w:val="FootnoteText"/>
        <w:jc w:val="both"/>
        <w:rPr>
          <w:rFonts w:ascii="Roboto" w:hAnsi="Roboto"/>
          <w:sz w:val="18"/>
          <w:szCs w:val="18"/>
          <w:lang w:val="en-US"/>
        </w:rPr>
      </w:pPr>
      <w:r w:rsidRPr="00031A5D">
        <w:rPr>
          <w:rStyle w:val="FootnoteReference"/>
          <w:rFonts w:ascii="Roboto" w:hAnsi="Roboto"/>
          <w:sz w:val="18"/>
          <w:szCs w:val="18"/>
        </w:rPr>
        <w:footnoteRef/>
      </w:r>
      <w:r w:rsidRPr="00031A5D">
        <w:rPr>
          <w:rFonts w:ascii="Roboto" w:hAnsi="Roboto"/>
          <w:sz w:val="18"/>
          <w:szCs w:val="18"/>
        </w:rPr>
        <w:t xml:space="preserve"> Human Rights Watch, </w:t>
      </w:r>
      <w:r w:rsidRPr="00031A5D">
        <w:rPr>
          <w:rFonts w:ascii="Roboto" w:hAnsi="Roboto"/>
          <w:i/>
          <w:iCs/>
          <w:sz w:val="18"/>
          <w:szCs w:val="18"/>
        </w:rPr>
        <w:t>Jordan: Terrorism Amendments Threaten Rights</w:t>
      </w:r>
      <w:r w:rsidRPr="00031A5D">
        <w:rPr>
          <w:rFonts w:ascii="Roboto" w:hAnsi="Roboto"/>
          <w:sz w:val="18"/>
          <w:szCs w:val="18"/>
        </w:rPr>
        <w:t xml:space="preserve">, 17 May 2014, </w:t>
      </w:r>
      <w:hyperlink r:id="rId132" w:tooltip="https://www.hrw.org/news/2014/05/17/jordan-terrorism-amendments-threaten-rights" w:history="1">
        <w:r w:rsidRPr="00031A5D">
          <w:rPr>
            <w:rStyle w:val="Hyperlink"/>
            <w:rFonts w:ascii="Roboto" w:hAnsi="Roboto"/>
            <w:sz w:val="18"/>
            <w:szCs w:val="18"/>
          </w:rPr>
          <w:t>https://www.hrw.org/news/2014/05/17/jordan-terrorism-amendments-threaten-rights</w:t>
        </w:r>
      </w:hyperlink>
      <w:r w:rsidRPr="00031A5D">
        <w:rPr>
          <w:rFonts w:ascii="Roboto" w:hAnsi="Roboto"/>
          <w:sz w:val="18"/>
          <w:szCs w:val="18"/>
        </w:rPr>
        <w:t xml:space="preserve"> (accessed 23 September 2024).</w:t>
      </w:r>
    </w:p>
  </w:footnote>
  <w:footnote w:id="179">
    <w:p w14:paraId="38037487" w14:textId="77777777" w:rsidR="00FA7A82" w:rsidRPr="00031A5D" w:rsidRDefault="00000000" w:rsidP="00031A5D">
      <w:pPr>
        <w:pStyle w:val="FootnoteText"/>
        <w:jc w:val="both"/>
        <w:rPr>
          <w:rFonts w:ascii="Roboto" w:hAnsi="Roboto"/>
          <w:sz w:val="18"/>
          <w:szCs w:val="18"/>
          <w:lang w:val="en-US"/>
        </w:rPr>
      </w:pPr>
      <w:r w:rsidRPr="00031A5D">
        <w:rPr>
          <w:rStyle w:val="FootnoteReference"/>
          <w:rFonts w:ascii="Roboto" w:hAnsi="Roboto"/>
          <w:sz w:val="18"/>
          <w:szCs w:val="18"/>
        </w:rPr>
        <w:footnoteRef/>
      </w:r>
      <w:r w:rsidRPr="00031A5D">
        <w:rPr>
          <w:rFonts w:ascii="Roboto" w:hAnsi="Roboto"/>
          <w:sz w:val="18"/>
          <w:szCs w:val="18"/>
        </w:rPr>
        <w:t xml:space="preserve"> Special Procedures mandate holders, </w:t>
      </w:r>
      <w:r w:rsidRPr="00031A5D">
        <w:rPr>
          <w:rFonts w:ascii="Roboto" w:hAnsi="Roboto"/>
          <w:i/>
          <w:iCs/>
          <w:sz w:val="18"/>
          <w:szCs w:val="18"/>
        </w:rPr>
        <w:t>AL JOR 1/2021</w:t>
      </w:r>
      <w:r w:rsidRPr="00031A5D">
        <w:rPr>
          <w:rFonts w:ascii="Roboto" w:hAnsi="Roboto"/>
          <w:sz w:val="18"/>
          <w:szCs w:val="18"/>
        </w:rPr>
        <w:t xml:space="preserve">, 2 November 2021, </w:t>
      </w:r>
      <w:hyperlink r:id="rId133" w:tooltip="https://spcommreports.ohchr.org/TMResultsBase/DownLoadPublicCommunicationFile?gId=26769" w:history="1">
        <w:r w:rsidRPr="00031A5D">
          <w:rPr>
            <w:rStyle w:val="Hyperlink"/>
            <w:rFonts w:ascii="Roboto" w:hAnsi="Roboto"/>
            <w:sz w:val="18"/>
            <w:szCs w:val="18"/>
          </w:rPr>
          <w:t>https://spcommreports.ohchr.org/TMResultsBase/DownLoadPublicCommunicationFile?gId=26769</w:t>
        </w:r>
      </w:hyperlink>
      <w:r w:rsidRPr="00031A5D">
        <w:rPr>
          <w:rFonts w:ascii="Roboto" w:hAnsi="Roboto"/>
          <w:sz w:val="18"/>
          <w:szCs w:val="18"/>
        </w:rPr>
        <w:t xml:space="preserve"> (accessed 23 September 2024).</w:t>
      </w:r>
    </w:p>
  </w:footnote>
  <w:footnote w:id="180">
    <w:p w14:paraId="779A3D00"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Open Democracy, </w:t>
      </w:r>
      <w:r w:rsidRPr="00031A5D">
        <w:rPr>
          <w:rFonts w:ascii="Roboto" w:hAnsi="Roboto"/>
          <w:i/>
          <w:iCs/>
          <w:sz w:val="18"/>
          <w:szCs w:val="18"/>
        </w:rPr>
        <w:t>10 years on: Jordan's anti-terrorism law and the crackdown on dissent</w:t>
      </w:r>
      <w:r w:rsidRPr="00031A5D">
        <w:rPr>
          <w:rFonts w:ascii="Roboto" w:hAnsi="Roboto"/>
          <w:sz w:val="18"/>
          <w:szCs w:val="18"/>
        </w:rPr>
        <w:t>, 31 October</w:t>
      </w:r>
    </w:p>
    <w:p w14:paraId="732320A8" w14:textId="77777777" w:rsidR="00FA7A82" w:rsidRPr="00031A5D" w:rsidRDefault="00000000" w:rsidP="00031A5D">
      <w:pPr>
        <w:pStyle w:val="FootnoteText"/>
        <w:jc w:val="both"/>
        <w:rPr>
          <w:rFonts w:ascii="Roboto" w:hAnsi="Roboto"/>
          <w:sz w:val="18"/>
          <w:szCs w:val="18"/>
        </w:rPr>
      </w:pPr>
      <w:r w:rsidRPr="00031A5D">
        <w:rPr>
          <w:rFonts w:ascii="Roboto" w:hAnsi="Roboto"/>
          <w:sz w:val="18"/>
          <w:szCs w:val="18"/>
        </w:rPr>
        <w:t>2016, https://www.opendemocracy.net/en/north-africa-west-asia/10-years-on-jordan-s-anti-terrorism-</w:t>
      </w:r>
    </w:p>
    <w:p w14:paraId="25A8D062" w14:textId="77777777" w:rsidR="00FA7A82" w:rsidRPr="00031A5D" w:rsidRDefault="00000000" w:rsidP="00031A5D">
      <w:pPr>
        <w:pStyle w:val="FootnoteText"/>
        <w:jc w:val="both"/>
        <w:rPr>
          <w:rFonts w:ascii="Roboto" w:hAnsi="Roboto"/>
          <w:sz w:val="18"/>
          <w:szCs w:val="18"/>
          <w:lang w:val="en-US"/>
        </w:rPr>
      </w:pPr>
      <w:r w:rsidRPr="00031A5D">
        <w:rPr>
          <w:rFonts w:ascii="Roboto" w:hAnsi="Roboto"/>
          <w:sz w:val="18"/>
          <w:szCs w:val="18"/>
        </w:rPr>
        <w:t>law-and-crackdown-on-dissent/ (accessed 23 September 2024).</w:t>
      </w:r>
    </w:p>
  </w:footnote>
  <w:footnote w:id="181">
    <w:p w14:paraId="584F031C" w14:textId="77777777" w:rsidR="00FA7A82" w:rsidRPr="00031A5D" w:rsidRDefault="00000000" w:rsidP="00031A5D">
      <w:pPr>
        <w:pStyle w:val="FootnoteText"/>
        <w:jc w:val="both"/>
        <w:rPr>
          <w:rFonts w:ascii="Roboto" w:hAnsi="Roboto"/>
          <w:i/>
          <w:iCs/>
          <w:sz w:val="18"/>
          <w:szCs w:val="18"/>
        </w:rPr>
      </w:pPr>
      <w:r w:rsidRPr="00031A5D">
        <w:rPr>
          <w:rStyle w:val="FootnoteReference"/>
          <w:rFonts w:ascii="Roboto" w:hAnsi="Roboto"/>
          <w:sz w:val="18"/>
          <w:szCs w:val="18"/>
        </w:rPr>
        <w:footnoteRef/>
      </w:r>
      <w:r w:rsidRPr="00031A5D">
        <w:rPr>
          <w:rFonts w:ascii="Roboto" w:hAnsi="Roboto"/>
          <w:sz w:val="18"/>
          <w:szCs w:val="18"/>
        </w:rPr>
        <w:t xml:space="preserve"> Human Rights Committee, </w:t>
      </w:r>
      <w:r w:rsidRPr="00031A5D">
        <w:rPr>
          <w:rFonts w:ascii="Roboto" w:hAnsi="Roboto"/>
          <w:i/>
          <w:iCs/>
          <w:sz w:val="18"/>
          <w:szCs w:val="18"/>
        </w:rPr>
        <w:t>Concluding Observations on the Fifth Periodic Report of Jordan,</w:t>
      </w:r>
    </w:p>
    <w:p w14:paraId="6A373C42" w14:textId="3D188B79" w:rsidR="00FA7A82" w:rsidRPr="00031A5D" w:rsidRDefault="00000000" w:rsidP="00031A5D">
      <w:pPr>
        <w:pStyle w:val="FootnoteText"/>
        <w:jc w:val="both"/>
        <w:rPr>
          <w:rFonts w:ascii="Roboto" w:hAnsi="Roboto"/>
          <w:sz w:val="18"/>
          <w:szCs w:val="18"/>
          <w:lang w:val="en-US"/>
        </w:rPr>
      </w:pPr>
      <w:r w:rsidRPr="00031A5D">
        <w:rPr>
          <w:rFonts w:ascii="Roboto" w:hAnsi="Roboto"/>
          <w:sz w:val="18"/>
          <w:szCs w:val="18"/>
        </w:rPr>
        <w:t>4 December 2017,</w:t>
      </w:r>
      <w:r w:rsidR="00A66486">
        <w:rPr>
          <w:rFonts w:ascii="Roboto" w:hAnsi="Roboto"/>
          <w:sz w:val="18"/>
          <w:szCs w:val="18"/>
        </w:rPr>
        <w:t xml:space="preserve"> </w:t>
      </w:r>
      <w:r w:rsidR="00A66486" w:rsidRPr="00A66486">
        <w:rPr>
          <w:rFonts w:ascii="Roboto" w:hAnsi="Roboto"/>
          <w:sz w:val="18"/>
          <w:szCs w:val="18"/>
        </w:rPr>
        <w:t>UN Doc. CCPR/C/JOR/CO/5,</w:t>
      </w:r>
      <w:r w:rsidRPr="00031A5D">
        <w:rPr>
          <w:rFonts w:ascii="Roboto" w:hAnsi="Roboto"/>
          <w:sz w:val="18"/>
          <w:szCs w:val="18"/>
        </w:rPr>
        <w:t xml:space="preserve"> para. 12.</w:t>
      </w:r>
    </w:p>
  </w:footnote>
  <w:footnote w:id="182">
    <w:p w14:paraId="640FB02D"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MENA Rights Group, </w:t>
      </w:r>
      <w:r w:rsidRPr="00031A5D">
        <w:rPr>
          <w:rFonts w:ascii="Roboto" w:hAnsi="Roboto"/>
          <w:i/>
          <w:iCs/>
          <w:sz w:val="18"/>
          <w:szCs w:val="18"/>
        </w:rPr>
        <w:t>Jordan: Universal Periodic Review</w:t>
      </w:r>
      <w:r w:rsidRPr="00031A5D">
        <w:rPr>
          <w:rFonts w:ascii="Roboto" w:hAnsi="Roboto"/>
          <w:sz w:val="18"/>
          <w:szCs w:val="18"/>
        </w:rPr>
        <w:t xml:space="preserve">, July 2023, </w:t>
      </w:r>
      <w:hyperlink r:id="rId134" w:tooltip="https://menarights.org/en/documents/universal-periodic-review-jordan-report-submitted-un-human-rights-council" w:history="1">
        <w:r w:rsidRPr="00031A5D">
          <w:rPr>
            <w:rStyle w:val="Hyperlink"/>
            <w:rFonts w:ascii="Roboto" w:hAnsi="Roboto"/>
            <w:sz w:val="18"/>
            <w:szCs w:val="18"/>
          </w:rPr>
          <w:t>https://menarights.org/en/documents/universal-periodic-review-jordan-report-submitted-un-human-rights-council</w:t>
        </w:r>
      </w:hyperlink>
      <w:r w:rsidRPr="00031A5D">
        <w:rPr>
          <w:rFonts w:ascii="Roboto" w:hAnsi="Roboto"/>
          <w:sz w:val="18"/>
          <w:szCs w:val="18"/>
        </w:rPr>
        <w:t xml:space="preserve"> (accessed 23 September 2024), p. 8; </w:t>
      </w:r>
      <w:proofErr w:type="spellStart"/>
      <w:r w:rsidRPr="00031A5D">
        <w:rPr>
          <w:rFonts w:ascii="Roboto" w:hAnsi="Roboto"/>
          <w:sz w:val="18"/>
          <w:szCs w:val="18"/>
        </w:rPr>
        <w:t>Alkarama</w:t>
      </w:r>
      <w:proofErr w:type="spellEnd"/>
      <w:r w:rsidRPr="00031A5D">
        <w:rPr>
          <w:rFonts w:ascii="Roboto" w:hAnsi="Roboto"/>
          <w:sz w:val="18"/>
          <w:szCs w:val="18"/>
        </w:rPr>
        <w:t xml:space="preserve">, </w:t>
      </w:r>
      <w:r w:rsidRPr="00031A5D">
        <w:rPr>
          <w:rFonts w:ascii="Roboto" w:hAnsi="Roboto"/>
          <w:i/>
          <w:iCs/>
          <w:sz w:val="18"/>
          <w:szCs w:val="18"/>
        </w:rPr>
        <w:t>Jordan: Shadow report to UN Human Rights Committee highlights human rights abuses in name of counterterrorism</w:t>
      </w:r>
      <w:r w:rsidRPr="00031A5D">
        <w:rPr>
          <w:rFonts w:ascii="Roboto" w:hAnsi="Roboto"/>
          <w:sz w:val="18"/>
          <w:szCs w:val="18"/>
        </w:rPr>
        <w:t>, 18 September 2017,</w:t>
      </w:r>
    </w:p>
    <w:p w14:paraId="48E6A662" w14:textId="77777777" w:rsidR="00FA7A82" w:rsidRPr="00031A5D" w:rsidRDefault="00000000" w:rsidP="00031A5D">
      <w:pPr>
        <w:pStyle w:val="FootnoteText"/>
        <w:jc w:val="both"/>
        <w:rPr>
          <w:rFonts w:ascii="Roboto" w:hAnsi="Roboto"/>
          <w:sz w:val="18"/>
          <w:szCs w:val="18"/>
          <w:lang w:val="en-US"/>
        </w:rPr>
      </w:pPr>
      <w:hyperlink r:id="rId135" w:tooltip="https://www.alkarama.org/en/articles/jordan-shadow-report-un-human-rights-committee-highlights-human-rights-abuses-name" w:history="1">
        <w:r w:rsidRPr="00031A5D">
          <w:rPr>
            <w:rStyle w:val="Hyperlink"/>
            <w:rFonts w:ascii="Roboto" w:hAnsi="Roboto"/>
            <w:sz w:val="18"/>
            <w:szCs w:val="18"/>
          </w:rPr>
          <w:t>https://www.alkarama.org/en/articles/jordan-shadow-report-un-human-rights-committee-highlights-human-rights-abuses-name</w:t>
        </w:r>
      </w:hyperlink>
      <w:r w:rsidRPr="00031A5D">
        <w:rPr>
          <w:rFonts w:ascii="Roboto" w:hAnsi="Roboto"/>
          <w:sz w:val="18"/>
          <w:szCs w:val="18"/>
        </w:rPr>
        <w:t xml:space="preserve"> (accessed 23 September 2024), p. 9.</w:t>
      </w:r>
    </w:p>
  </w:footnote>
  <w:footnote w:id="183">
    <w:p w14:paraId="5389D6FD" w14:textId="77777777" w:rsidR="00FA7A82" w:rsidRPr="00031A5D" w:rsidRDefault="00000000" w:rsidP="00031A5D">
      <w:pPr>
        <w:pStyle w:val="FootnoteText"/>
        <w:jc w:val="both"/>
        <w:rPr>
          <w:rFonts w:ascii="Roboto" w:hAnsi="Roboto"/>
          <w:sz w:val="18"/>
          <w:szCs w:val="18"/>
          <w:lang w:val="en-US"/>
        </w:rPr>
      </w:pPr>
      <w:r w:rsidRPr="00031A5D">
        <w:rPr>
          <w:rStyle w:val="FootnoteReference"/>
          <w:rFonts w:ascii="Roboto" w:hAnsi="Roboto"/>
          <w:sz w:val="18"/>
          <w:szCs w:val="18"/>
        </w:rPr>
        <w:footnoteRef/>
      </w:r>
      <w:r w:rsidRPr="00031A5D">
        <w:rPr>
          <w:rFonts w:ascii="Roboto" w:hAnsi="Roboto"/>
          <w:sz w:val="18"/>
          <w:szCs w:val="18"/>
        </w:rPr>
        <w:t xml:space="preserve"> Committee against Torture, </w:t>
      </w:r>
      <w:r w:rsidRPr="00031A5D">
        <w:rPr>
          <w:rFonts w:ascii="Roboto" w:hAnsi="Roboto"/>
          <w:i/>
          <w:iCs/>
          <w:sz w:val="18"/>
          <w:szCs w:val="18"/>
        </w:rPr>
        <w:t>Concluding Observations on the third periodic report of Jordan</w:t>
      </w:r>
      <w:r w:rsidRPr="00031A5D">
        <w:rPr>
          <w:rFonts w:ascii="Roboto" w:hAnsi="Roboto"/>
          <w:sz w:val="18"/>
          <w:szCs w:val="18"/>
        </w:rPr>
        <w:t>, 29 January 2016, UN Doc. CAT/JOR/CO/3, para. 29.</w:t>
      </w:r>
    </w:p>
  </w:footnote>
  <w:footnote w:id="184">
    <w:p w14:paraId="6A099C7F" w14:textId="77777777" w:rsidR="00FA7A82" w:rsidRPr="00031A5D" w:rsidRDefault="00000000" w:rsidP="00031A5D">
      <w:pPr>
        <w:pStyle w:val="FootnoteText"/>
        <w:jc w:val="both"/>
        <w:rPr>
          <w:rFonts w:ascii="Roboto" w:hAnsi="Roboto"/>
          <w:b/>
          <w:bCs/>
          <w:sz w:val="18"/>
          <w:szCs w:val="18"/>
        </w:rPr>
      </w:pPr>
      <w:r w:rsidRPr="00031A5D">
        <w:rPr>
          <w:rStyle w:val="FootnoteReference"/>
          <w:rFonts w:ascii="Roboto" w:hAnsi="Roboto"/>
          <w:sz w:val="18"/>
          <w:szCs w:val="18"/>
        </w:rPr>
        <w:footnoteRef/>
      </w:r>
      <w:r w:rsidRPr="00031A5D">
        <w:rPr>
          <w:rFonts w:ascii="Roboto" w:hAnsi="Roboto"/>
          <w:sz w:val="18"/>
          <w:szCs w:val="18"/>
        </w:rPr>
        <w:t xml:space="preserve"> </w:t>
      </w:r>
      <w:r w:rsidRPr="00031A5D">
        <w:rPr>
          <w:rFonts w:ascii="Roboto" w:hAnsi="Roboto"/>
          <w:sz w:val="18"/>
          <w:szCs w:val="18"/>
          <w:lang w:val="en-US"/>
        </w:rPr>
        <w:t xml:space="preserve">Committee Against Torture, </w:t>
      </w:r>
      <w:r w:rsidRPr="00031A5D">
        <w:rPr>
          <w:rFonts w:ascii="Roboto" w:hAnsi="Roboto"/>
          <w:i/>
          <w:iCs/>
          <w:sz w:val="18"/>
          <w:szCs w:val="18"/>
        </w:rPr>
        <w:t>Fourth periodic report submitted by Jordan under article 19 of the Convention pursuant to the simplified reporting procedure, due in 2019</w:t>
      </w:r>
      <w:r w:rsidRPr="00031A5D">
        <w:rPr>
          <w:rFonts w:ascii="Roboto" w:hAnsi="Roboto"/>
          <w:sz w:val="18"/>
          <w:szCs w:val="18"/>
        </w:rPr>
        <w:t xml:space="preserve">, 21 December 2021, UN Doc. CAT/C/JOR/4, </w:t>
      </w:r>
      <w:hyperlink r:id="rId136" w:tooltip="https://docstore.ohchr.org/SelfServices/FilesHandler.ashx?enc=6QkG1d%2FPPRiCAqhKb7yhsuoO1aAYJ6VmNP4LonUL9si%2F6BRpobGHFNy2xW5%2BmLqKH9vcnfYrVk8kUOJb%2BBauqXGSNlarSqeb%2BP%2FZEfv7JDfA8DjIHm3bys7hB5acwHqC" w:history="1">
        <w:r w:rsidRPr="00031A5D">
          <w:rPr>
            <w:rStyle w:val="Hyperlink"/>
            <w:rFonts w:ascii="Roboto" w:hAnsi="Roboto"/>
            <w:sz w:val="18"/>
            <w:szCs w:val="18"/>
          </w:rPr>
          <w:t>https://docstore.ohchr.org/SelfServices/FilesHandler.ashx?enc=6QkG1d%2FPPRiCAqhKb7yhsuoO1aAYJ6VmNP4LonUL9si%2F6BRpobGHFNy2xW5%2BmLqKH9vcnfYrVk8kUOJb%2BBauqXGSNlarSqeb%2BP%2FZEfv7JDfA8DjIHm3bys7hB5acwHqC</w:t>
        </w:r>
      </w:hyperlink>
      <w:r w:rsidRPr="00031A5D">
        <w:rPr>
          <w:rFonts w:ascii="Roboto" w:hAnsi="Roboto"/>
          <w:sz w:val="18"/>
          <w:szCs w:val="18"/>
        </w:rPr>
        <w:t xml:space="preserve"> (accessed 21 August 2024), para. 158.</w:t>
      </w:r>
    </w:p>
  </w:footnote>
  <w:footnote w:id="185">
    <w:p w14:paraId="0DC5A642" w14:textId="77777777" w:rsidR="00FA7A82" w:rsidRPr="00031A5D" w:rsidRDefault="00000000" w:rsidP="00031A5D">
      <w:pPr>
        <w:pStyle w:val="FootnoteText"/>
        <w:jc w:val="both"/>
        <w:rPr>
          <w:rFonts w:ascii="Roboto" w:hAnsi="Roboto"/>
          <w:sz w:val="18"/>
          <w:szCs w:val="18"/>
          <w:lang w:val="en-US"/>
        </w:rPr>
      </w:pPr>
      <w:r w:rsidRPr="00031A5D">
        <w:rPr>
          <w:rStyle w:val="FootnoteReference"/>
          <w:rFonts w:ascii="Roboto" w:hAnsi="Roboto"/>
          <w:sz w:val="18"/>
          <w:szCs w:val="18"/>
        </w:rPr>
        <w:footnoteRef/>
      </w:r>
      <w:r w:rsidRPr="00031A5D">
        <w:rPr>
          <w:rFonts w:ascii="Roboto" w:hAnsi="Roboto"/>
          <w:sz w:val="18"/>
          <w:szCs w:val="18"/>
        </w:rPr>
        <w:t xml:space="preserve"> </w:t>
      </w:r>
      <w:r w:rsidRPr="00031A5D">
        <w:rPr>
          <w:rFonts w:ascii="Roboto" w:hAnsi="Roboto"/>
          <w:sz w:val="18"/>
          <w:szCs w:val="18"/>
          <w:lang w:val="en-US"/>
        </w:rPr>
        <w:t xml:space="preserve">League of Arab States, </w:t>
      </w:r>
      <w:r w:rsidRPr="00031A5D">
        <w:rPr>
          <w:rFonts w:ascii="Roboto" w:hAnsi="Roboto"/>
          <w:i/>
          <w:iCs/>
          <w:sz w:val="18"/>
          <w:szCs w:val="18"/>
          <w:lang w:val="en-US"/>
        </w:rPr>
        <w:t>The Arab Convention for the Suppression of Terrorism</w:t>
      </w:r>
      <w:r w:rsidRPr="00031A5D">
        <w:rPr>
          <w:rFonts w:ascii="Roboto" w:hAnsi="Roboto"/>
          <w:sz w:val="18"/>
          <w:szCs w:val="18"/>
          <w:lang w:val="en-US"/>
        </w:rPr>
        <w:t xml:space="preserve">, April 1998, </w:t>
      </w:r>
      <w:hyperlink r:id="rId137" w:tooltip="https://www.refworld.org/legal/agreements/las/1998/en/29059" w:history="1">
        <w:r w:rsidRPr="00031A5D">
          <w:rPr>
            <w:rStyle w:val="Hyperlink"/>
            <w:rFonts w:ascii="Roboto" w:hAnsi="Roboto"/>
            <w:sz w:val="18"/>
            <w:szCs w:val="18"/>
            <w:lang w:val="en-US"/>
          </w:rPr>
          <w:t>https://www.refworld.org/legal/agreements/las/1998/en/29059</w:t>
        </w:r>
      </w:hyperlink>
      <w:r w:rsidRPr="00031A5D">
        <w:rPr>
          <w:rFonts w:ascii="Roboto" w:hAnsi="Roboto"/>
          <w:sz w:val="18"/>
          <w:szCs w:val="18"/>
          <w:lang w:val="en-US"/>
        </w:rPr>
        <w:t xml:space="preserve"> (accessed 23 September 2024).</w:t>
      </w:r>
    </w:p>
  </w:footnote>
  <w:footnote w:id="186">
    <w:p w14:paraId="7287D796"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w:t>
      </w:r>
      <w:r w:rsidRPr="00031A5D">
        <w:rPr>
          <w:rFonts w:ascii="Roboto" w:hAnsi="Roboto"/>
          <w:sz w:val="18"/>
          <w:szCs w:val="18"/>
          <w:lang w:val="en-US"/>
        </w:rPr>
        <w:t xml:space="preserve">See </w:t>
      </w:r>
      <w:proofErr w:type="gramStart"/>
      <w:r w:rsidRPr="00031A5D">
        <w:rPr>
          <w:rFonts w:ascii="Roboto" w:hAnsi="Roboto"/>
          <w:i/>
          <w:iCs/>
          <w:sz w:val="18"/>
          <w:szCs w:val="18"/>
          <w:lang w:val="en-US"/>
        </w:rPr>
        <w:t>supra</w:t>
      </w:r>
      <w:r w:rsidRPr="00031A5D">
        <w:rPr>
          <w:rFonts w:ascii="Roboto" w:hAnsi="Roboto"/>
          <w:sz w:val="18"/>
          <w:szCs w:val="18"/>
          <w:lang w:val="en-US"/>
        </w:rPr>
        <w:t xml:space="preserve"> 4.1</w:t>
      </w:r>
      <w:proofErr w:type="gramEnd"/>
      <w:r w:rsidRPr="00031A5D">
        <w:rPr>
          <w:rFonts w:ascii="Roboto" w:hAnsi="Roboto"/>
          <w:sz w:val="18"/>
          <w:szCs w:val="18"/>
        </w:rPr>
        <w:t>.</w:t>
      </w:r>
    </w:p>
  </w:footnote>
  <w:footnote w:id="187">
    <w:p w14:paraId="60669CBC"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Committee against Torture, </w:t>
      </w:r>
      <w:r w:rsidRPr="00031A5D">
        <w:rPr>
          <w:rFonts w:ascii="Roboto" w:hAnsi="Roboto"/>
          <w:i/>
          <w:iCs/>
          <w:sz w:val="18"/>
          <w:szCs w:val="18"/>
        </w:rPr>
        <w:t>Concluding Observations on the third periodic report of Jordan</w:t>
      </w:r>
      <w:r w:rsidRPr="00031A5D">
        <w:rPr>
          <w:rFonts w:ascii="Roboto" w:hAnsi="Roboto"/>
          <w:sz w:val="18"/>
          <w:szCs w:val="18"/>
        </w:rPr>
        <w:t>, 29 January 2016, UN Doc. CAT/JOR/CO/3, para. 29.</w:t>
      </w:r>
    </w:p>
  </w:footnote>
  <w:footnote w:id="188">
    <w:p w14:paraId="5B97D341"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MENA Rights Group, </w:t>
      </w:r>
      <w:r w:rsidRPr="00031A5D">
        <w:rPr>
          <w:rFonts w:ascii="Roboto" w:hAnsi="Roboto"/>
          <w:i/>
          <w:iCs/>
          <w:sz w:val="18"/>
          <w:szCs w:val="18"/>
        </w:rPr>
        <w:t>Transnational repression in the MENA: the role of regional organisations engaged in counter-terrorism</w:t>
      </w:r>
      <w:r w:rsidRPr="00031A5D">
        <w:rPr>
          <w:rFonts w:ascii="Roboto" w:hAnsi="Roboto"/>
          <w:sz w:val="18"/>
          <w:szCs w:val="18"/>
        </w:rPr>
        <w:t xml:space="preserve">, 4 July 2024, </w:t>
      </w:r>
      <w:hyperlink r:id="rId138" w:tooltip="https://menarights.org/en/articles/transnational-repression-mena-role-regional-organisations-engaged-counter-terrorism" w:history="1">
        <w:r w:rsidRPr="00031A5D">
          <w:rPr>
            <w:rStyle w:val="Hyperlink"/>
            <w:rFonts w:ascii="Roboto" w:hAnsi="Roboto"/>
            <w:sz w:val="18"/>
            <w:szCs w:val="18"/>
          </w:rPr>
          <w:t>https://menarights.org/en/articles/transnational-repression-mena-role-regional-organisations-engaged-counter-terrorism</w:t>
        </w:r>
      </w:hyperlink>
      <w:r w:rsidRPr="00031A5D">
        <w:rPr>
          <w:rFonts w:ascii="Roboto" w:hAnsi="Roboto"/>
          <w:sz w:val="18"/>
          <w:szCs w:val="18"/>
        </w:rPr>
        <w:t xml:space="preserve"> (accessed 24 September 2024); Amnesty International, </w:t>
      </w:r>
      <w:r w:rsidRPr="00031A5D">
        <w:rPr>
          <w:rFonts w:ascii="Roboto" w:hAnsi="Roboto"/>
          <w:i/>
          <w:iCs/>
          <w:sz w:val="18"/>
          <w:szCs w:val="18"/>
        </w:rPr>
        <w:t>The Arab Convention for the Suppression of Terrorism: A serious threat to human rights</w:t>
      </w:r>
      <w:r w:rsidRPr="00031A5D">
        <w:rPr>
          <w:rFonts w:ascii="Roboto" w:hAnsi="Roboto"/>
          <w:sz w:val="18"/>
          <w:szCs w:val="18"/>
        </w:rPr>
        <w:t xml:space="preserve">, 9 January 2002, </w:t>
      </w:r>
      <w:hyperlink r:id="rId139" w:tooltip="https://www.amnesty.org/en/documents/ior51/001/2002/en/" w:history="1">
        <w:r w:rsidRPr="00031A5D">
          <w:rPr>
            <w:rStyle w:val="Hyperlink"/>
            <w:rFonts w:ascii="Roboto" w:hAnsi="Roboto"/>
            <w:sz w:val="18"/>
            <w:szCs w:val="18"/>
          </w:rPr>
          <w:t>https://www.amnesty.org/en/documents/ior51/001/2002/en/</w:t>
        </w:r>
      </w:hyperlink>
      <w:r w:rsidRPr="00031A5D">
        <w:rPr>
          <w:rFonts w:ascii="Roboto" w:hAnsi="Roboto"/>
          <w:sz w:val="18"/>
          <w:szCs w:val="18"/>
        </w:rPr>
        <w:t xml:space="preserve"> (accessed 24 September 2024).</w:t>
      </w:r>
    </w:p>
  </w:footnote>
  <w:footnote w:id="189">
    <w:p w14:paraId="6A904139" w14:textId="77777777" w:rsidR="00FA7A82" w:rsidRPr="00031A5D" w:rsidRDefault="00000000" w:rsidP="00031A5D">
      <w:pPr>
        <w:pStyle w:val="FootnoteText"/>
        <w:jc w:val="both"/>
        <w:rPr>
          <w:rFonts w:ascii="Roboto" w:hAnsi="Roboto"/>
          <w:sz w:val="18"/>
          <w:szCs w:val="18"/>
          <w:lang w:val="en-US"/>
        </w:rPr>
      </w:pPr>
      <w:r w:rsidRPr="00031A5D">
        <w:rPr>
          <w:rStyle w:val="FootnoteReference"/>
          <w:rFonts w:ascii="Roboto" w:hAnsi="Roboto"/>
          <w:sz w:val="18"/>
          <w:szCs w:val="18"/>
        </w:rPr>
        <w:footnoteRef/>
      </w:r>
      <w:r w:rsidRPr="00031A5D">
        <w:rPr>
          <w:rFonts w:ascii="Roboto" w:hAnsi="Roboto"/>
          <w:sz w:val="18"/>
          <w:szCs w:val="18"/>
        </w:rPr>
        <w:t xml:space="preserve"> MENA Rights Group, </w:t>
      </w:r>
      <w:r w:rsidRPr="00031A5D">
        <w:rPr>
          <w:rFonts w:ascii="Roboto" w:hAnsi="Roboto"/>
          <w:i/>
          <w:iCs/>
          <w:sz w:val="18"/>
          <w:szCs w:val="18"/>
        </w:rPr>
        <w:t>Understanding the Arab Interior Ministers' Council and its role in transnational repression</w:t>
      </w:r>
      <w:r w:rsidRPr="00031A5D">
        <w:rPr>
          <w:rFonts w:ascii="Roboto" w:hAnsi="Roboto"/>
          <w:sz w:val="18"/>
          <w:szCs w:val="18"/>
        </w:rPr>
        <w:t xml:space="preserve">, 17 August 2023, </w:t>
      </w:r>
      <w:hyperlink r:id="rId140" w:tooltip="https://menarights.org/en/articles/aimc" w:history="1">
        <w:r w:rsidRPr="00031A5D">
          <w:rPr>
            <w:rStyle w:val="Hyperlink"/>
            <w:rFonts w:ascii="Roboto" w:hAnsi="Roboto"/>
            <w:sz w:val="18"/>
            <w:szCs w:val="18"/>
          </w:rPr>
          <w:t>https://menarights.org/en/articles/aimc</w:t>
        </w:r>
      </w:hyperlink>
      <w:r w:rsidRPr="00031A5D">
        <w:rPr>
          <w:rFonts w:ascii="Roboto" w:hAnsi="Roboto"/>
          <w:sz w:val="18"/>
          <w:szCs w:val="18"/>
        </w:rPr>
        <w:t xml:space="preserve"> (accessed 24 September 2024).</w:t>
      </w:r>
    </w:p>
  </w:footnote>
  <w:footnote w:id="190">
    <w:p w14:paraId="3B231507" w14:textId="77777777" w:rsidR="00FA7A82" w:rsidRPr="00031A5D" w:rsidRDefault="00000000" w:rsidP="00031A5D">
      <w:pPr>
        <w:pStyle w:val="FootnoteText"/>
        <w:jc w:val="both"/>
        <w:rPr>
          <w:rFonts w:ascii="Roboto" w:hAnsi="Roboto"/>
          <w:sz w:val="18"/>
          <w:szCs w:val="18"/>
        </w:rPr>
      </w:pPr>
      <w:r w:rsidRPr="00031A5D">
        <w:rPr>
          <w:rStyle w:val="FootnoteReference"/>
          <w:rFonts w:ascii="Roboto" w:hAnsi="Roboto"/>
          <w:sz w:val="18"/>
          <w:szCs w:val="18"/>
        </w:rPr>
        <w:footnoteRef/>
      </w:r>
      <w:r w:rsidRPr="00031A5D">
        <w:rPr>
          <w:rFonts w:ascii="Roboto" w:hAnsi="Roboto"/>
          <w:sz w:val="18"/>
          <w:szCs w:val="18"/>
        </w:rPr>
        <w:t xml:space="preserve"> See </w:t>
      </w:r>
      <w:proofErr w:type="gramStart"/>
      <w:r w:rsidRPr="00031A5D">
        <w:rPr>
          <w:rFonts w:ascii="Roboto" w:hAnsi="Roboto"/>
          <w:i/>
          <w:iCs/>
          <w:sz w:val="18"/>
          <w:szCs w:val="18"/>
        </w:rPr>
        <w:t>supra</w:t>
      </w:r>
      <w:r w:rsidRPr="00031A5D">
        <w:rPr>
          <w:rFonts w:ascii="Roboto" w:hAnsi="Roboto"/>
          <w:sz w:val="18"/>
          <w:szCs w:val="18"/>
        </w:rPr>
        <w:t xml:space="preserve"> 10.1</w:t>
      </w:r>
      <w:proofErr w:type="gramEnd"/>
      <w:r w:rsidRPr="00031A5D">
        <w:rPr>
          <w:rFonts w:ascii="Roboto" w:hAnsi="Roboto"/>
          <w:sz w:val="18"/>
          <w:szCs w:val="18"/>
        </w:rPr>
        <w:t>.</w:t>
      </w:r>
    </w:p>
  </w:footnote>
  <w:footnote w:id="191">
    <w:p w14:paraId="4BEA87E8" w14:textId="77777777" w:rsidR="00FA7A82" w:rsidRPr="00031A5D" w:rsidRDefault="00000000" w:rsidP="00031A5D">
      <w:pPr>
        <w:pStyle w:val="FootnoteText"/>
        <w:jc w:val="both"/>
        <w:rPr>
          <w:rFonts w:ascii="Roboto" w:hAnsi="Roboto"/>
          <w:sz w:val="18"/>
          <w:szCs w:val="18"/>
          <w:lang w:val="en-US"/>
        </w:rPr>
      </w:pPr>
      <w:r w:rsidRPr="00031A5D">
        <w:rPr>
          <w:rStyle w:val="FootnoteReference"/>
          <w:rFonts w:ascii="Roboto" w:hAnsi="Roboto"/>
          <w:sz w:val="18"/>
          <w:szCs w:val="18"/>
        </w:rPr>
        <w:footnoteRef/>
      </w:r>
      <w:r w:rsidRPr="00031A5D">
        <w:rPr>
          <w:rFonts w:ascii="Roboto" w:hAnsi="Roboto"/>
          <w:sz w:val="18"/>
          <w:szCs w:val="18"/>
        </w:rPr>
        <w:t xml:space="preserve"> </w:t>
      </w:r>
      <w:r w:rsidRPr="00031A5D">
        <w:rPr>
          <w:rFonts w:ascii="Roboto" w:hAnsi="Roboto"/>
          <w:sz w:val="18"/>
          <w:szCs w:val="18"/>
          <w:lang w:val="en-US"/>
        </w:rPr>
        <w:t xml:space="preserve">Special Procedures, </w:t>
      </w:r>
      <w:r w:rsidRPr="00031A5D">
        <w:rPr>
          <w:rFonts w:ascii="Roboto" w:hAnsi="Roboto"/>
          <w:i/>
          <w:iCs/>
          <w:sz w:val="18"/>
          <w:szCs w:val="18"/>
          <w:lang w:val="en-US"/>
        </w:rPr>
        <w:t>OL QAT 1/2022</w:t>
      </w:r>
      <w:r w:rsidRPr="00031A5D">
        <w:rPr>
          <w:rFonts w:ascii="Roboto" w:hAnsi="Roboto"/>
          <w:sz w:val="18"/>
          <w:szCs w:val="18"/>
          <w:lang w:val="en-US"/>
        </w:rPr>
        <w:t xml:space="preserve">, 8 February 2022, </w:t>
      </w:r>
      <w:hyperlink r:id="rId141" w:tooltip="https://spcommreports.ohchr.org/TMResultsBase/DownLoadPublicCommunicationFile?gId=27053" w:history="1">
        <w:r w:rsidRPr="00031A5D">
          <w:rPr>
            <w:rStyle w:val="Hyperlink"/>
            <w:rFonts w:ascii="Roboto" w:hAnsi="Roboto"/>
            <w:sz w:val="18"/>
            <w:szCs w:val="18"/>
            <w:lang w:val="en-US"/>
          </w:rPr>
          <w:t>https://spcommreports.ohchr.org/TMResultsBase/DownLoadPublicCommunicationFile?gId=27053</w:t>
        </w:r>
      </w:hyperlink>
      <w:r w:rsidRPr="00031A5D">
        <w:rPr>
          <w:rFonts w:ascii="Roboto" w:hAnsi="Roboto"/>
          <w:sz w:val="18"/>
          <w:szCs w:val="18"/>
          <w:lang w:val="en-US"/>
        </w:rPr>
        <w:t xml:space="preserve"> (accessed 24 September 2024).</w:t>
      </w:r>
    </w:p>
  </w:footnote>
  <w:footnote w:id="192">
    <w:p w14:paraId="7F6CAB5D" w14:textId="77777777" w:rsidR="00FA7A82" w:rsidRPr="00031A5D" w:rsidRDefault="00000000" w:rsidP="00031A5D">
      <w:pPr>
        <w:pStyle w:val="FootnoteText"/>
        <w:jc w:val="both"/>
        <w:rPr>
          <w:rFonts w:ascii="Roboto" w:hAnsi="Roboto"/>
          <w:sz w:val="18"/>
          <w:szCs w:val="18"/>
          <w:lang w:val="en-US"/>
        </w:rPr>
      </w:pPr>
      <w:r w:rsidRPr="00031A5D">
        <w:rPr>
          <w:rStyle w:val="FootnoteReference"/>
          <w:rFonts w:ascii="Roboto" w:hAnsi="Roboto"/>
          <w:sz w:val="18"/>
          <w:szCs w:val="18"/>
        </w:rPr>
        <w:footnoteRef/>
      </w:r>
      <w:r w:rsidRPr="00031A5D">
        <w:rPr>
          <w:rFonts w:ascii="Roboto" w:hAnsi="Roboto"/>
          <w:sz w:val="18"/>
          <w:szCs w:val="18"/>
        </w:rPr>
        <w:t xml:space="preserve"> </w:t>
      </w:r>
      <w:r w:rsidRPr="00031A5D">
        <w:rPr>
          <w:rFonts w:ascii="Roboto" w:hAnsi="Roboto"/>
          <w:sz w:val="18"/>
          <w:szCs w:val="18"/>
          <w:lang w:val="en-US"/>
        </w:rPr>
        <w:t xml:space="preserve">Special Procedures, </w:t>
      </w:r>
      <w:r w:rsidRPr="00031A5D">
        <w:rPr>
          <w:rFonts w:ascii="Roboto" w:hAnsi="Roboto"/>
          <w:i/>
          <w:iCs/>
          <w:sz w:val="18"/>
          <w:szCs w:val="18"/>
          <w:lang w:val="en-US"/>
        </w:rPr>
        <w:t>OL DZA 12/2021</w:t>
      </w:r>
      <w:r w:rsidRPr="00031A5D">
        <w:rPr>
          <w:rFonts w:ascii="Roboto" w:hAnsi="Roboto"/>
          <w:sz w:val="18"/>
          <w:szCs w:val="18"/>
          <w:lang w:val="en-US"/>
        </w:rPr>
        <w:t xml:space="preserve">, 27 December 2021, </w:t>
      </w:r>
      <w:hyperlink r:id="rId142" w:tooltip="https://spcommreports.ohchr.org/TMResultsBase/DownLoadPublicCommunicationFile?gId=26905" w:history="1">
        <w:r w:rsidRPr="00031A5D">
          <w:rPr>
            <w:rStyle w:val="Hyperlink"/>
            <w:rFonts w:ascii="Roboto" w:hAnsi="Roboto"/>
            <w:sz w:val="18"/>
            <w:szCs w:val="18"/>
            <w:lang w:val="en-US"/>
          </w:rPr>
          <w:t>https://spcommreports.ohchr.org/TMResultsBase/DownLoadPublicCommunicationFile?gId=26905</w:t>
        </w:r>
      </w:hyperlink>
      <w:r w:rsidRPr="00031A5D">
        <w:rPr>
          <w:rFonts w:ascii="Roboto" w:hAnsi="Roboto"/>
          <w:sz w:val="18"/>
          <w:szCs w:val="18"/>
          <w:lang w:val="en-US"/>
        </w:rPr>
        <w:t xml:space="preserve"> (accessed 24 September 2024).</w:t>
      </w:r>
    </w:p>
  </w:footnote>
  <w:footnote w:id="193">
    <w:p w14:paraId="06F7180F" w14:textId="77777777" w:rsidR="00FA7A82" w:rsidRPr="00031A5D" w:rsidRDefault="00000000" w:rsidP="00031A5D">
      <w:pPr>
        <w:pStyle w:val="FootnoteText"/>
        <w:jc w:val="both"/>
        <w:rPr>
          <w:rFonts w:ascii="Roboto" w:hAnsi="Roboto"/>
          <w:sz w:val="18"/>
          <w:szCs w:val="18"/>
          <w:lang w:val="en-US"/>
        </w:rPr>
      </w:pPr>
      <w:r w:rsidRPr="00031A5D">
        <w:rPr>
          <w:rStyle w:val="FootnoteReference"/>
          <w:rFonts w:ascii="Roboto" w:hAnsi="Roboto"/>
          <w:sz w:val="18"/>
          <w:szCs w:val="18"/>
        </w:rPr>
        <w:footnoteRef/>
      </w:r>
      <w:r w:rsidRPr="00031A5D">
        <w:rPr>
          <w:rFonts w:ascii="Roboto" w:hAnsi="Roboto"/>
          <w:sz w:val="18"/>
          <w:szCs w:val="18"/>
        </w:rPr>
        <w:t xml:space="preserve"> </w:t>
      </w:r>
      <w:r w:rsidRPr="00031A5D">
        <w:rPr>
          <w:rFonts w:ascii="Roboto" w:hAnsi="Roboto"/>
          <w:sz w:val="18"/>
          <w:szCs w:val="18"/>
          <w:lang w:val="en-US"/>
        </w:rPr>
        <w:t xml:space="preserve">Special Procedures, </w:t>
      </w:r>
      <w:r w:rsidRPr="00031A5D">
        <w:rPr>
          <w:rFonts w:ascii="Roboto" w:hAnsi="Roboto"/>
          <w:i/>
          <w:iCs/>
          <w:sz w:val="18"/>
          <w:szCs w:val="18"/>
          <w:lang w:val="en-US"/>
        </w:rPr>
        <w:t>OL SAU 12/2020</w:t>
      </w:r>
      <w:r w:rsidRPr="00031A5D">
        <w:rPr>
          <w:rFonts w:ascii="Roboto" w:hAnsi="Roboto"/>
          <w:sz w:val="18"/>
          <w:szCs w:val="18"/>
          <w:lang w:val="en-US"/>
        </w:rPr>
        <w:t xml:space="preserve">, 17 December 2020, </w:t>
      </w:r>
      <w:hyperlink r:id="rId143" w:tooltip="https://spcommreports.ohchr.org/TMResultsBase/DownLoadPublicCommunicationFile?gId=25726" w:history="1">
        <w:r w:rsidRPr="00031A5D">
          <w:rPr>
            <w:rStyle w:val="Hyperlink"/>
            <w:rFonts w:ascii="Roboto" w:hAnsi="Roboto"/>
            <w:sz w:val="18"/>
            <w:szCs w:val="18"/>
            <w:lang w:val="en-US"/>
          </w:rPr>
          <w:t>https://spcommreports.ohchr.org/TMResultsBase/DownLoadPublicCommunicationFile?gId=25726</w:t>
        </w:r>
      </w:hyperlink>
      <w:r w:rsidRPr="00031A5D">
        <w:rPr>
          <w:rFonts w:ascii="Roboto" w:hAnsi="Roboto"/>
          <w:sz w:val="18"/>
          <w:szCs w:val="18"/>
          <w:lang w:val="en-US"/>
        </w:rPr>
        <w:t xml:space="preserve"> (accessed 24 September 2024).</w:t>
      </w:r>
    </w:p>
  </w:footnote>
  <w:footnote w:id="194">
    <w:p w14:paraId="5062A1EF" w14:textId="77777777" w:rsidR="00FA7A82" w:rsidRPr="00031A5D" w:rsidRDefault="00000000" w:rsidP="00031A5D">
      <w:pPr>
        <w:pStyle w:val="FootnoteText"/>
        <w:jc w:val="both"/>
        <w:rPr>
          <w:rFonts w:ascii="Roboto" w:hAnsi="Roboto"/>
          <w:sz w:val="18"/>
          <w:szCs w:val="18"/>
          <w:lang w:val="en-US"/>
        </w:rPr>
      </w:pPr>
      <w:r w:rsidRPr="00031A5D">
        <w:rPr>
          <w:rStyle w:val="FootnoteReference"/>
          <w:rFonts w:ascii="Roboto" w:hAnsi="Roboto"/>
          <w:sz w:val="18"/>
          <w:szCs w:val="18"/>
        </w:rPr>
        <w:footnoteRef/>
      </w:r>
      <w:r w:rsidRPr="00031A5D">
        <w:rPr>
          <w:rFonts w:ascii="Roboto" w:hAnsi="Roboto"/>
          <w:sz w:val="18"/>
          <w:szCs w:val="18"/>
        </w:rPr>
        <w:t xml:space="preserve"> </w:t>
      </w:r>
      <w:r w:rsidRPr="00031A5D">
        <w:rPr>
          <w:rFonts w:ascii="Roboto" w:hAnsi="Roboto"/>
          <w:sz w:val="18"/>
          <w:szCs w:val="18"/>
          <w:lang w:val="en-US"/>
        </w:rPr>
        <w:t xml:space="preserve">Special Procedures, </w:t>
      </w:r>
      <w:r w:rsidRPr="00031A5D">
        <w:rPr>
          <w:rFonts w:ascii="Roboto" w:hAnsi="Roboto"/>
          <w:i/>
          <w:iCs/>
          <w:sz w:val="18"/>
          <w:szCs w:val="18"/>
          <w:lang w:val="en-US"/>
        </w:rPr>
        <w:t>OL ARE 6/2020</w:t>
      </w:r>
      <w:r w:rsidRPr="00031A5D">
        <w:rPr>
          <w:rFonts w:ascii="Roboto" w:hAnsi="Roboto"/>
          <w:sz w:val="18"/>
          <w:szCs w:val="18"/>
          <w:lang w:val="en-US"/>
        </w:rPr>
        <w:t xml:space="preserve">, 13 November 2020, </w:t>
      </w:r>
      <w:hyperlink r:id="rId144" w:tooltip="https://spcommreports.ohchr.org/TMResultsBase/DownLoadPublicCommunicationFile?gId=25663" w:history="1">
        <w:r w:rsidRPr="00031A5D">
          <w:rPr>
            <w:rStyle w:val="Hyperlink"/>
            <w:rFonts w:ascii="Roboto" w:hAnsi="Roboto"/>
            <w:sz w:val="18"/>
            <w:szCs w:val="18"/>
            <w:lang w:val="en-US"/>
          </w:rPr>
          <w:t>https://spcommreports.ohchr.org/TMResultsBase/DownLoadPublicCommunicationFile?gId=25663</w:t>
        </w:r>
      </w:hyperlink>
      <w:r w:rsidRPr="00031A5D">
        <w:rPr>
          <w:rFonts w:ascii="Roboto" w:hAnsi="Roboto"/>
          <w:sz w:val="18"/>
          <w:szCs w:val="18"/>
          <w:lang w:val="en-US"/>
        </w:rPr>
        <w:t xml:space="preserve"> (accessed 24 September 2024).</w:t>
      </w:r>
    </w:p>
  </w:footnote>
  <w:footnote w:id="195">
    <w:p w14:paraId="72EB2749" w14:textId="77777777" w:rsidR="00FA7A82" w:rsidRPr="00031A5D" w:rsidRDefault="00000000" w:rsidP="00031A5D">
      <w:pPr>
        <w:pStyle w:val="FootnoteText"/>
        <w:jc w:val="both"/>
        <w:rPr>
          <w:rFonts w:ascii="Roboto" w:hAnsi="Roboto"/>
          <w:sz w:val="18"/>
          <w:szCs w:val="18"/>
          <w:lang w:val="en-US"/>
        </w:rPr>
      </w:pPr>
      <w:r w:rsidRPr="00031A5D">
        <w:rPr>
          <w:rStyle w:val="FootnoteReference"/>
          <w:rFonts w:ascii="Roboto" w:hAnsi="Roboto"/>
          <w:sz w:val="18"/>
          <w:szCs w:val="18"/>
        </w:rPr>
        <w:footnoteRef/>
      </w:r>
      <w:r w:rsidRPr="00031A5D">
        <w:rPr>
          <w:rFonts w:ascii="Roboto" w:hAnsi="Roboto"/>
          <w:sz w:val="18"/>
          <w:szCs w:val="18"/>
        </w:rPr>
        <w:t xml:space="preserve"> </w:t>
      </w:r>
      <w:r w:rsidRPr="00031A5D">
        <w:rPr>
          <w:rFonts w:ascii="Roboto" w:hAnsi="Roboto"/>
          <w:sz w:val="18"/>
          <w:szCs w:val="18"/>
          <w:lang w:val="en-US"/>
        </w:rPr>
        <w:t xml:space="preserve">Special Procedures, </w:t>
      </w:r>
      <w:r w:rsidRPr="00031A5D">
        <w:rPr>
          <w:rFonts w:ascii="Roboto" w:hAnsi="Roboto"/>
          <w:i/>
          <w:iCs/>
          <w:sz w:val="18"/>
          <w:szCs w:val="18"/>
          <w:lang w:val="en-US"/>
        </w:rPr>
        <w:t>OL EGY 4/2020</w:t>
      </w:r>
      <w:r w:rsidRPr="00031A5D">
        <w:rPr>
          <w:rFonts w:ascii="Roboto" w:hAnsi="Roboto"/>
          <w:sz w:val="18"/>
          <w:szCs w:val="18"/>
          <w:lang w:val="en-US"/>
        </w:rPr>
        <w:t xml:space="preserve">, 28 February 2020, </w:t>
      </w:r>
      <w:hyperlink r:id="rId145" w:tooltip="https://spcommreports.ohchr.org/TMResultsBase/DownLoadPublicCommunicationFile?gId=25072%C2%A0%C2%A0" w:history="1">
        <w:r w:rsidRPr="00031A5D">
          <w:rPr>
            <w:rStyle w:val="Hyperlink"/>
            <w:rFonts w:ascii="Roboto" w:hAnsi="Roboto"/>
            <w:sz w:val="18"/>
            <w:szCs w:val="18"/>
            <w:lang w:val="en-US"/>
          </w:rPr>
          <w:t>https://spcommreports.ohchr.org/TMResultsBase/DownLoadPublicCommunicationFile?gId=25072%C2%A0%C2%A0</w:t>
        </w:r>
      </w:hyperlink>
      <w:r w:rsidRPr="00031A5D">
        <w:rPr>
          <w:rFonts w:ascii="Roboto" w:hAnsi="Roboto"/>
          <w:sz w:val="18"/>
          <w:szCs w:val="18"/>
          <w:lang w:val="en-US"/>
        </w:rPr>
        <w:t xml:space="preserve"> (accessed 24 September 2024).</w:t>
      </w:r>
    </w:p>
  </w:footnote>
  <w:footnote w:id="196">
    <w:p w14:paraId="424F1714" w14:textId="77777777" w:rsidR="00FA7A82" w:rsidRPr="00031A5D" w:rsidRDefault="00000000" w:rsidP="00031A5D">
      <w:pPr>
        <w:pStyle w:val="FootnoteText"/>
        <w:jc w:val="both"/>
        <w:rPr>
          <w:rFonts w:ascii="Roboto" w:hAnsi="Roboto"/>
          <w:sz w:val="18"/>
          <w:szCs w:val="18"/>
          <w:lang w:val="en-US"/>
        </w:rPr>
      </w:pPr>
      <w:r w:rsidRPr="00031A5D">
        <w:rPr>
          <w:rStyle w:val="FootnoteReference"/>
          <w:rFonts w:ascii="Roboto" w:hAnsi="Roboto"/>
          <w:sz w:val="18"/>
          <w:szCs w:val="18"/>
        </w:rPr>
        <w:footnoteRef/>
      </w:r>
      <w:r w:rsidRPr="00031A5D">
        <w:rPr>
          <w:rFonts w:ascii="Roboto" w:hAnsi="Roboto"/>
          <w:sz w:val="18"/>
          <w:szCs w:val="18"/>
        </w:rPr>
        <w:t xml:space="preserve"> </w:t>
      </w:r>
      <w:r w:rsidRPr="00031A5D">
        <w:rPr>
          <w:rFonts w:ascii="Roboto" w:hAnsi="Roboto"/>
          <w:sz w:val="18"/>
          <w:szCs w:val="18"/>
          <w:lang w:val="en-US"/>
        </w:rPr>
        <w:t xml:space="preserve">Special Procedures, </w:t>
      </w:r>
      <w:r w:rsidRPr="00031A5D">
        <w:rPr>
          <w:rFonts w:ascii="Roboto" w:hAnsi="Roboto"/>
          <w:i/>
          <w:iCs/>
          <w:sz w:val="18"/>
          <w:szCs w:val="18"/>
          <w:lang w:val="en-US"/>
        </w:rPr>
        <w:t>OL BHR 2/2023</w:t>
      </w:r>
      <w:r w:rsidRPr="00031A5D">
        <w:rPr>
          <w:rFonts w:ascii="Roboto" w:hAnsi="Roboto"/>
          <w:sz w:val="18"/>
          <w:szCs w:val="18"/>
          <w:lang w:val="en-US"/>
        </w:rPr>
        <w:t xml:space="preserve">, 8 May 2023, </w:t>
      </w:r>
      <w:hyperlink r:id="rId146" w:tooltip="https://spcommreports.ohchr.org/TMResultsBase/DownLoadPublicCommunicationFile?gId=28012" w:history="1">
        <w:r w:rsidRPr="00031A5D">
          <w:rPr>
            <w:rStyle w:val="Hyperlink"/>
            <w:rFonts w:ascii="Roboto" w:hAnsi="Roboto"/>
            <w:sz w:val="18"/>
            <w:szCs w:val="18"/>
            <w:lang w:val="en-US"/>
          </w:rPr>
          <w:t>https://spcommreports.ohchr.org/TMResultsBase/DownLoadPublicCommunicationFile?gId=28012</w:t>
        </w:r>
      </w:hyperlink>
      <w:r w:rsidRPr="00031A5D">
        <w:rPr>
          <w:rFonts w:ascii="Roboto" w:hAnsi="Roboto"/>
          <w:sz w:val="18"/>
          <w:szCs w:val="18"/>
          <w:lang w:val="en-US"/>
        </w:rPr>
        <w:t xml:space="preserve"> (accessed 24 September 2024).</w:t>
      </w:r>
    </w:p>
  </w:footnote>
  <w:footnote w:id="197">
    <w:p w14:paraId="6F3521F8" w14:textId="77777777" w:rsidR="00FA7A82" w:rsidRPr="00031A5D" w:rsidRDefault="00000000" w:rsidP="00031A5D">
      <w:pPr>
        <w:pStyle w:val="FootnoteText"/>
        <w:jc w:val="both"/>
        <w:rPr>
          <w:rFonts w:ascii="Roboto" w:hAnsi="Roboto"/>
          <w:sz w:val="18"/>
          <w:szCs w:val="18"/>
          <w:lang w:val="en-US"/>
        </w:rPr>
      </w:pPr>
      <w:r w:rsidRPr="00031A5D">
        <w:rPr>
          <w:rStyle w:val="FootnoteReference"/>
          <w:rFonts w:ascii="Roboto" w:hAnsi="Roboto"/>
          <w:sz w:val="18"/>
          <w:szCs w:val="18"/>
        </w:rPr>
        <w:footnoteRef/>
      </w:r>
      <w:r w:rsidRPr="00031A5D">
        <w:rPr>
          <w:rFonts w:ascii="Roboto" w:hAnsi="Roboto"/>
          <w:sz w:val="18"/>
          <w:szCs w:val="18"/>
        </w:rPr>
        <w:t xml:space="preserve"> </w:t>
      </w:r>
      <w:r w:rsidRPr="00031A5D">
        <w:rPr>
          <w:rFonts w:ascii="Roboto" w:hAnsi="Roboto"/>
          <w:sz w:val="18"/>
          <w:szCs w:val="18"/>
          <w:lang w:val="en-US"/>
        </w:rPr>
        <w:t xml:space="preserve">Special Procedures, </w:t>
      </w:r>
      <w:r w:rsidRPr="00031A5D">
        <w:rPr>
          <w:rFonts w:ascii="Roboto" w:hAnsi="Roboto"/>
          <w:i/>
          <w:iCs/>
          <w:sz w:val="18"/>
          <w:szCs w:val="18"/>
          <w:lang w:val="en-US"/>
        </w:rPr>
        <w:t>OL TUN 4/2019</w:t>
      </w:r>
      <w:r w:rsidRPr="00031A5D">
        <w:rPr>
          <w:rFonts w:ascii="Roboto" w:hAnsi="Roboto"/>
          <w:sz w:val="18"/>
          <w:szCs w:val="18"/>
          <w:lang w:val="en-US"/>
        </w:rPr>
        <w:t xml:space="preserve">, 26 August 2019, </w:t>
      </w:r>
      <w:hyperlink r:id="rId147" w:tooltip="https://www.ohchr.org/sites/default/files/Documents/Issues/Opinion/Legislation/OL_TUN_4_2019.pdf" w:history="1">
        <w:r w:rsidRPr="00031A5D">
          <w:rPr>
            <w:rStyle w:val="Hyperlink"/>
            <w:rFonts w:ascii="Roboto" w:hAnsi="Roboto"/>
            <w:sz w:val="18"/>
            <w:szCs w:val="18"/>
            <w:lang w:val="en-US"/>
          </w:rPr>
          <w:t>https://www.ohchr.org/sites/default/files/Documents/Issues/Opinion/Legislation/OL_TUN_4_2019.pdf</w:t>
        </w:r>
      </w:hyperlink>
      <w:r w:rsidRPr="00031A5D">
        <w:rPr>
          <w:rFonts w:ascii="Roboto" w:hAnsi="Roboto"/>
          <w:sz w:val="18"/>
          <w:szCs w:val="18"/>
          <w:lang w:val="en-US"/>
        </w:rPr>
        <w:t xml:space="preserve"> (accessed 24 September 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FA7A12" w14:textId="77777777" w:rsidR="00FA7A82" w:rsidRDefault="00000000">
    <w:pPr>
      <w:pStyle w:val="Header"/>
    </w:pPr>
    <w:r>
      <w:rPr>
        <w:noProof/>
        <w:lang w:val="fr-FR" w:eastAsia="fr-FR"/>
      </w:rPr>
      <mc:AlternateContent>
        <mc:Choice Requires="wpg">
          <w:drawing>
            <wp:anchor distT="0" distB="0" distL="114300" distR="114300" simplePos="0" relativeHeight="251658752" behindDoc="1" locked="0" layoutInCell="0" allowOverlap="1" wp14:anchorId="22A41489" wp14:editId="0BB48DA3">
              <wp:simplePos x="0" y="0"/>
              <wp:positionH relativeFrom="margin">
                <wp:align>center</wp:align>
              </wp:positionH>
              <wp:positionV relativeFrom="margin">
                <wp:align>center</wp:align>
              </wp:positionV>
              <wp:extent cx="7559040" cy="10692130"/>
              <wp:effectExtent l="0" t="0" r="0" b="0"/>
              <wp:wrapNone/>
              <wp:docPr id="3" name="WordPictureWatermark3155532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pic:blipFill>
                    <pic:spPr bwMode="auto">
                      <a:xfrm>
                        <a:off x="0" y="0"/>
                        <a:ext cx="7559040" cy="10692130"/>
                      </a:xfrm>
                      <a:prstGeom prst="rect">
                        <a:avLst/>
                      </a:prstGeom>
                      <a:noFill/>
                      <a:ln>
                        <a:noFill/>
                      </a:ln>
                    </pic:spPr>
                  </pic:pic>
                </a:graphicData>
              </a:graphic>
              <wp14:sizeRelH relativeFrom="margin">
                <wp14:pctWidth>0</wp14:pctWidth>
              </wp14:sizeRelH>
              <wp14:sizeRelV relativeFrom="margin">
                <wp14:pctHeight>0</wp14:pctHeight>
              </wp14:sizeRelV>
            </wp:anchor>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555329" o:spid="_x0000_s2" type="#_x0000_t75" style="position:absolute;z-index:-251658752;o:allowoverlap:true;o:allowincell:false;mso-position-horizontal-relative:margin;mso-position-horizontal:center;mso-position-vertical-relative:margin;mso-position-vertical:center;width:595.20pt;height:841.90pt;mso-wrap-distance-left:9.00pt;mso-wrap-distance-top:0.00pt;mso-wrap-distance-right:9.00pt;mso-wrap-distance-bottom:0.00pt;z-index:1;" stroked="f">
              <v:imagedata r:id="rId2" o:title=""/>
              <o:lock v:ext="edit" rotation="t"/>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78493910"/>
      <w:docPartObj>
        <w:docPartGallery w:val="Page Numbers (Top of Page)"/>
        <w:docPartUnique/>
      </w:docPartObj>
    </w:sdtPr>
    <w:sdtContent>
      <w:p w14:paraId="44896E37" w14:textId="77777777" w:rsidR="00FA7A82" w:rsidRDefault="00000000">
        <w:pPr>
          <w:pStyle w:val="Header"/>
          <w:jc w:val="right"/>
        </w:pPr>
        <w:r>
          <w:rPr>
            <w:noProof/>
            <w:lang w:val="fr-FR" w:eastAsia="fr-FR"/>
          </w:rPr>
          <mc:AlternateContent>
            <mc:Choice Requires="wpg">
              <w:drawing>
                <wp:anchor distT="0" distB="0" distL="114300" distR="114300" simplePos="0" relativeHeight="251656704" behindDoc="1" locked="0" layoutInCell="0" allowOverlap="1" wp14:anchorId="28AA4CBB" wp14:editId="284E6359">
                  <wp:simplePos x="0" y="0"/>
                  <wp:positionH relativeFrom="margin">
                    <wp:align>center</wp:align>
                  </wp:positionH>
                  <wp:positionV relativeFrom="margin">
                    <wp:align>center</wp:align>
                  </wp:positionV>
                  <wp:extent cx="7559040" cy="10692130"/>
                  <wp:effectExtent l="0" t="0" r="0" b="0"/>
                  <wp:wrapNone/>
                  <wp:docPr id="1" name="WordPictureWatermark3155533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pic:blipFill>
                        <pic:spPr bwMode="auto">
                          <a:xfrm>
                            <a:off x="0" y="0"/>
                            <a:ext cx="7559040" cy="10692130"/>
                          </a:xfrm>
                          <a:prstGeom prst="rect">
                            <a:avLst/>
                          </a:prstGeom>
                          <a:noFill/>
                          <a:ln>
                            <a:noFill/>
                          </a:ln>
                        </pic:spPr>
                      </pic:pic>
                    </a:graphicData>
                  </a:graphic>
                  <wp14:sizeRelH relativeFrom="margin">
                    <wp14:pctWidth>0</wp14:pctWidth>
                  </wp14:sizeRelH>
                  <wp14:sizeRelV relativeFrom="margin">
                    <wp14:pctHeight>0</wp14:pctHeight>
                  </wp14:sizeRelV>
                </wp:anchor>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555330" o:spid="_x0000_s0" type="#_x0000_t75" style="position:absolute;z-index:-251656704;o:allowoverlap:true;o:allowincell:false;mso-position-horizontal-relative:margin;mso-position-horizontal:center;mso-position-vertical-relative:margin;mso-position-vertical:center;width:595.20pt;height:841.90pt;mso-wrap-distance-left:9.00pt;mso-wrap-distance-top:0.00pt;mso-wrap-distance-right:9.00pt;mso-wrap-distance-bottom:0.00pt;z-index:1;" stroked="f">
                  <v:imagedata r:id="rId2" o:title=""/>
                  <o:lock v:ext="edit" rotation="t"/>
                </v:shape>
              </w:pict>
            </mc:Fallback>
          </mc:AlternateContent>
        </w:r>
        <w:r>
          <w:rPr>
            <w:noProof/>
            <w:lang w:val="fr-FR" w:eastAsia="fr-FR"/>
          </w:rPr>
          <mc:AlternateContent>
            <mc:Choice Requires="wpg">
              <w:drawing>
                <wp:inline distT="0" distB="0" distL="0" distR="0" wp14:anchorId="624616C3" wp14:editId="35E410FB">
                  <wp:extent cx="854015" cy="433894"/>
                  <wp:effectExtent l="0" t="0" r="3810" b="4445"/>
                  <wp:docPr id="2" name="Picture 18" descr="C:\Users\Media-Int2\AppData\Local\Microsoft\Windows\INetCache\Content.Word\MRG-Logo (no spa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C:\Users\Media-Int2\AppData\Local\Microsoft\Windows\INetCache\Content.Word\MRG-Logo (no space).png"/>
                          <pic:cNvPicPr>
                            <a:picLocks noChangeAspect="1"/>
                          </pic:cNvPicPr>
                        </pic:nvPicPr>
                        <pic:blipFill>
                          <a:blip r:embed="rId3"/>
                          <a:stretch/>
                        </pic:blipFill>
                        <pic:spPr bwMode="auto">
                          <a:xfrm>
                            <a:off x="0" y="0"/>
                            <a:ext cx="869285" cy="441652"/>
                          </a:xfrm>
                          <a:prstGeom prst="rect">
                            <a:avLst/>
                          </a:prstGeom>
                          <a:noFill/>
                          <a:ln>
                            <a:noFill/>
                          </a:ln>
                        </pic:spPr>
                      </pic:pic>
                    </a:graphicData>
                  </a:graphic>
                </wp:inline>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width:67.25pt;height:34.16pt;mso-wrap-distance-left:0.00pt;mso-wrap-distance-top:0.00pt;mso-wrap-distance-right:0.00pt;mso-wrap-distance-bottom:0.00pt;z-index:1;" stroked="f">
                  <v:imagedata r:id="rId4" o:title=""/>
                  <o:lock v:ext="edit" rotation="t"/>
                </v:shape>
              </w:pict>
            </mc:Fallback>
          </mc:AlternateContent>
        </w:r>
      </w:p>
    </w:sdtContent>
  </w:sdt>
  <w:p w14:paraId="67560CEB" w14:textId="77777777" w:rsidR="00FA7A82" w:rsidRDefault="00FA7A8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DDDC97" w14:textId="77777777" w:rsidR="00FA7A82" w:rsidRDefault="00000000">
    <w:pPr>
      <w:pStyle w:val="Header"/>
      <w:jc w:val="right"/>
    </w:pPr>
    <w:r>
      <w:rPr>
        <w:noProof/>
        <w:lang w:val="fr-FR" w:eastAsia="fr-FR"/>
      </w:rPr>
      <mc:AlternateContent>
        <mc:Choice Requires="wpg">
          <w:drawing>
            <wp:anchor distT="0" distB="0" distL="114300" distR="114300" simplePos="0" relativeHeight="251657728" behindDoc="1" locked="0" layoutInCell="0" allowOverlap="1" wp14:anchorId="096C345E" wp14:editId="1721C30E">
              <wp:simplePos x="0" y="0"/>
              <wp:positionH relativeFrom="margin">
                <wp:align>center</wp:align>
              </wp:positionH>
              <wp:positionV relativeFrom="margin">
                <wp:align>center</wp:align>
              </wp:positionV>
              <wp:extent cx="7559040" cy="10692130"/>
              <wp:effectExtent l="0" t="0" r="0" b="0"/>
              <wp:wrapNone/>
              <wp:docPr id="4" name="WordPictureWatermark3155532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pic:blipFill>
                    <pic:spPr bwMode="auto">
                      <a:xfrm>
                        <a:off x="0" y="0"/>
                        <a:ext cx="7559040" cy="10692130"/>
                      </a:xfrm>
                      <a:prstGeom prst="rect">
                        <a:avLst/>
                      </a:prstGeom>
                      <a:noFill/>
                      <a:ln>
                        <a:noFill/>
                      </a:ln>
                    </pic:spPr>
                  </pic:pic>
                </a:graphicData>
              </a:graphic>
              <wp14:sizeRelH relativeFrom="margin">
                <wp14:pctWidth>0</wp14:pctWidth>
              </wp14:sizeRelH>
              <wp14:sizeRelV relativeFrom="margin">
                <wp14:pctHeight>0</wp14:pctHeight>
              </wp14:sizeRelV>
            </wp:anchor>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555328" o:spid="_x0000_s3" type="#_x0000_t75" style="position:absolute;z-index:-251657728;o:allowoverlap:true;o:allowincell:false;mso-position-horizontal-relative:margin;mso-position-horizontal:center;mso-position-vertical-relative:margin;mso-position-vertical:center;width:595.20pt;height:841.90pt;mso-wrap-distance-left:9.00pt;mso-wrap-distance-top:0.00pt;mso-wrap-distance-right:9.00pt;mso-wrap-distance-bottom:0.00pt;z-index:1;" stroked="f">
              <v:imagedata r:id="rId2" o:title=""/>
              <o:lock v:ext="edit" rotation="t"/>
            </v:shape>
          </w:pict>
        </mc:Fallback>
      </mc:AlternateContent>
    </w:r>
  </w:p>
  <w:p w14:paraId="7A643F6E" w14:textId="77777777" w:rsidR="00FA7A82" w:rsidRDefault="00FA7A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6B6671"/>
    <w:multiLevelType w:val="multilevel"/>
    <w:tmpl w:val="A2984B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DF0B63"/>
    <w:multiLevelType w:val="multilevel"/>
    <w:tmpl w:val="F83A60BA"/>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0A102C09"/>
    <w:multiLevelType w:val="multilevel"/>
    <w:tmpl w:val="155253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203006F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5DB0D8A"/>
    <w:multiLevelType w:val="multilevel"/>
    <w:tmpl w:val="34C4ADF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04332C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7810034"/>
    <w:multiLevelType w:val="multilevel"/>
    <w:tmpl w:val="DCB0E68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45307AC0"/>
    <w:multiLevelType w:val="multilevel"/>
    <w:tmpl w:val="CA18B10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53C61330"/>
    <w:multiLevelType w:val="multilevel"/>
    <w:tmpl w:val="B872A3F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74646EB6"/>
    <w:multiLevelType w:val="multilevel"/>
    <w:tmpl w:val="0BB8F4A4"/>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15:restartNumberingAfterBreak="0">
    <w:nsid w:val="7786304D"/>
    <w:multiLevelType w:val="multilevel"/>
    <w:tmpl w:val="90966A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058549829">
    <w:abstractNumId w:val="4"/>
  </w:num>
  <w:num w:numId="2" w16cid:durableId="1566069699">
    <w:abstractNumId w:val="3"/>
  </w:num>
  <w:num w:numId="3" w16cid:durableId="1565944819">
    <w:abstractNumId w:val="5"/>
  </w:num>
  <w:num w:numId="4" w16cid:durableId="1081024263">
    <w:abstractNumId w:val="1"/>
  </w:num>
  <w:num w:numId="5" w16cid:durableId="197083541">
    <w:abstractNumId w:val="6"/>
  </w:num>
  <w:num w:numId="6" w16cid:durableId="542518056">
    <w:abstractNumId w:val="7"/>
  </w:num>
  <w:num w:numId="7" w16cid:durableId="211968626">
    <w:abstractNumId w:val="8"/>
  </w:num>
  <w:num w:numId="8" w16cid:durableId="570163612">
    <w:abstractNumId w:val="9"/>
  </w:num>
  <w:num w:numId="9" w16cid:durableId="1260454184">
    <w:abstractNumId w:val="2"/>
  </w:num>
  <w:num w:numId="10" w16cid:durableId="364982811">
    <w:abstractNumId w:val="0"/>
  </w:num>
  <w:num w:numId="11" w16cid:durableId="48748038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7A82"/>
    <w:rsid w:val="000168A7"/>
    <w:rsid w:val="000256BB"/>
    <w:rsid w:val="00031A5D"/>
    <w:rsid w:val="00064C68"/>
    <w:rsid w:val="00084C32"/>
    <w:rsid w:val="000E0CC5"/>
    <w:rsid w:val="0010606D"/>
    <w:rsid w:val="001122A2"/>
    <w:rsid w:val="00125A42"/>
    <w:rsid w:val="00150D12"/>
    <w:rsid w:val="00157A67"/>
    <w:rsid w:val="00160B13"/>
    <w:rsid w:val="00190B41"/>
    <w:rsid w:val="00196706"/>
    <w:rsid w:val="001D174F"/>
    <w:rsid w:val="001E7D91"/>
    <w:rsid w:val="00201787"/>
    <w:rsid w:val="002103FA"/>
    <w:rsid w:val="00246378"/>
    <w:rsid w:val="00260798"/>
    <w:rsid w:val="00280131"/>
    <w:rsid w:val="00280ECB"/>
    <w:rsid w:val="002D36C2"/>
    <w:rsid w:val="002D47E0"/>
    <w:rsid w:val="002E0F58"/>
    <w:rsid w:val="0030289F"/>
    <w:rsid w:val="00310F3E"/>
    <w:rsid w:val="003226B5"/>
    <w:rsid w:val="0032795D"/>
    <w:rsid w:val="0033341B"/>
    <w:rsid w:val="00366FF1"/>
    <w:rsid w:val="00372A19"/>
    <w:rsid w:val="00381E59"/>
    <w:rsid w:val="00384A8E"/>
    <w:rsid w:val="00386B5E"/>
    <w:rsid w:val="00396E22"/>
    <w:rsid w:val="003F10D9"/>
    <w:rsid w:val="004025BC"/>
    <w:rsid w:val="00454F90"/>
    <w:rsid w:val="004747EC"/>
    <w:rsid w:val="00482242"/>
    <w:rsid w:val="004B1C67"/>
    <w:rsid w:val="004B77CF"/>
    <w:rsid w:val="00530EC0"/>
    <w:rsid w:val="00535AA8"/>
    <w:rsid w:val="00542E50"/>
    <w:rsid w:val="00543288"/>
    <w:rsid w:val="00567160"/>
    <w:rsid w:val="00573C4F"/>
    <w:rsid w:val="00587C89"/>
    <w:rsid w:val="005A1D42"/>
    <w:rsid w:val="005A7C75"/>
    <w:rsid w:val="005C640C"/>
    <w:rsid w:val="005F178B"/>
    <w:rsid w:val="005F470F"/>
    <w:rsid w:val="00601F50"/>
    <w:rsid w:val="00603026"/>
    <w:rsid w:val="006063BD"/>
    <w:rsid w:val="00612518"/>
    <w:rsid w:val="0062095E"/>
    <w:rsid w:val="0065243C"/>
    <w:rsid w:val="006545B5"/>
    <w:rsid w:val="00665012"/>
    <w:rsid w:val="00667618"/>
    <w:rsid w:val="006A016E"/>
    <w:rsid w:val="006B5CF3"/>
    <w:rsid w:val="006E4CCC"/>
    <w:rsid w:val="006F576C"/>
    <w:rsid w:val="006F5AA4"/>
    <w:rsid w:val="00704496"/>
    <w:rsid w:val="00705E4C"/>
    <w:rsid w:val="00717968"/>
    <w:rsid w:val="00726857"/>
    <w:rsid w:val="00764DB1"/>
    <w:rsid w:val="00787510"/>
    <w:rsid w:val="007B1707"/>
    <w:rsid w:val="007E06D7"/>
    <w:rsid w:val="007E61D7"/>
    <w:rsid w:val="007F0F0D"/>
    <w:rsid w:val="0081569A"/>
    <w:rsid w:val="00821DDB"/>
    <w:rsid w:val="00833798"/>
    <w:rsid w:val="00836BD2"/>
    <w:rsid w:val="00846A60"/>
    <w:rsid w:val="00846D81"/>
    <w:rsid w:val="00851037"/>
    <w:rsid w:val="00855F6E"/>
    <w:rsid w:val="008710A6"/>
    <w:rsid w:val="00890DB6"/>
    <w:rsid w:val="00891EDE"/>
    <w:rsid w:val="008A21F8"/>
    <w:rsid w:val="008D1952"/>
    <w:rsid w:val="008E701F"/>
    <w:rsid w:val="008F5342"/>
    <w:rsid w:val="00903083"/>
    <w:rsid w:val="009057B4"/>
    <w:rsid w:val="009179F9"/>
    <w:rsid w:val="00934591"/>
    <w:rsid w:val="00960406"/>
    <w:rsid w:val="009679A4"/>
    <w:rsid w:val="009A0322"/>
    <w:rsid w:val="009A2C28"/>
    <w:rsid w:val="009B07CA"/>
    <w:rsid w:val="009E34FF"/>
    <w:rsid w:val="00A00494"/>
    <w:rsid w:val="00A04A4E"/>
    <w:rsid w:val="00A16493"/>
    <w:rsid w:val="00A1772B"/>
    <w:rsid w:val="00A521E5"/>
    <w:rsid w:val="00A536B1"/>
    <w:rsid w:val="00A5396C"/>
    <w:rsid w:val="00A54AED"/>
    <w:rsid w:val="00A553AE"/>
    <w:rsid w:val="00A66486"/>
    <w:rsid w:val="00A93C0A"/>
    <w:rsid w:val="00AA2D25"/>
    <w:rsid w:val="00AB519F"/>
    <w:rsid w:val="00AE0FFD"/>
    <w:rsid w:val="00AE1080"/>
    <w:rsid w:val="00AE7BCE"/>
    <w:rsid w:val="00B07ED2"/>
    <w:rsid w:val="00B15FF6"/>
    <w:rsid w:val="00B16427"/>
    <w:rsid w:val="00B171BF"/>
    <w:rsid w:val="00B22B3E"/>
    <w:rsid w:val="00B24AEA"/>
    <w:rsid w:val="00B51BC7"/>
    <w:rsid w:val="00B77524"/>
    <w:rsid w:val="00B775B5"/>
    <w:rsid w:val="00B91EFF"/>
    <w:rsid w:val="00B9467D"/>
    <w:rsid w:val="00B95260"/>
    <w:rsid w:val="00BA650B"/>
    <w:rsid w:val="00BE5A0B"/>
    <w:rsid w:val="00BE61DD"/>
    <w:rsid w:val="00BF7ECE"/>
    <w:rsid w:val="00C01E12"/>
    <w:rsid w:val="00C05CC5"/>
    <w:rsid w:val="00C16460"/>
    <w:rsid w:val="00C2432B"/>
    <w:rsid w:val="00C32A67"/>
    <w:rsid w:val="00C35E5C"/>
    <w:rsid w:val="00C37FA2"/>
    <w:rsid w:val="00C45F99"/>
    <w:rsid w:val="00C80CB9"/>
    <w:rsid w:val="00C845D4"/>
    <w:rsid w:val="00CA548F"/>
    <w:rsid w:val="00CC64C4"/>
    <w:rsid w:val="00CD1CD2"/>
    <w:rsid w:val="00CD1FE2"/>
    <w:rsid w:val="00D06DFF"/>
    <w:rsid w:val="00D13413"/>
    <w:rsid w:val="00D24833"/>
    <w:rsid w:val="00D36688"/>
    <w:rsid w:val="00D374A2"/>
    <w:rsid w:val="00D54CD6"/>
    <w:rsid w:val="00D6259D"/>
    <w:rsid w:val="00D73BCF"/>
    <w:rsid w:val="00D7403A"/>
    <w:rsid w:val="00D74E1D"/>
    <w:rsid w:val="00D818D4"/>
    <w:rsid w:val="00D82C03"/>
    <w:rsid w:val="00DB34AB"/>
    <w:rsid w:val="00DD7538"/>
    <w:rsid w:val="00E062F6"/>
    <w:rsid w:val="00E12911"/>
    <w:rsid w:val="00E41710"/>
    <w:rsid w:val="00E567DC"/>
    <w:rsid w:val="00E70BC2"/>
    <w:rsid w:val="00E848E0"/>
    <w:rsid w:val="00E87FE3"/>
    <w:rsid w:val="00EA046C"/>
    <w:rsid w:val="00EA7E50"/>
    <w:rsid w:val="00EB5240"/>
    <w:rsid w:val="00EF1B28"/>
    <w:rsid w:val="00F001A3"/>
    <w:rsid w:val="00F16F84"/>
    <w:rsid w:val="00F174B1"/>
    <w:rsid w:val="00F232A6"/>
    <w:rsid w:val="00F35307"/>
    <w:rsid w:val="00F40E08"/>
    <w:rsid w:val="00FA1D59"/>
    <w:rsid w:val="00FA7A82"/>
    <w:rsid w:val="00FC2677"/>
    <w:rsid w:val="00FD5A66"/>
    <w:rsid w:val="00FE25D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7137A"/>
  <w15:docId w15:val="{05A2393B-5B18-124F-9D57-93D129672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fr-C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50D12"/>
    <w:pPr>
      <w:spacing w:before="160"/>
    </w:pPr>
    <w:rPr>
      <w:lang w:val="en-GB"/>
    </w:rPr>
  </w:style>
  <w:style w:type="paragraph" w:styleId="Heading1">
    <w:name w:val="heading 1"/>
    <w:basedOn w:val="Normal"/>
    <w:next w:val="Normal"/>
    <w:link w:val="Heading1Char"/>
    <w:uiPriority w:val="9"/>
    <w:qFormat/>
    <w:pPr>
      <w:keepNext/>
      <w:keepLines/>
      <w:numPr>
        <w:numId w:val="4"/>
      </w:numPr>
      <w:pBdr>
        <w:bottom w:val="single" w:sz="8" w:space="1" w:color="543192"/>
      </w:pBdr>
      <w:spacing w:before="240" w:after="360"/>
      <w:ind w:left="0" w:firstLine="0"/>
      <w:outlineLvl w:val="0"/>
    </w:pPr>
    <w:rPr>
      <w:rFonts w:ascii="Roboto" w:eastAsiaTheme="majorEastAsia" w:hAnsi="Roboto" w:cstheme="majorBidi"/>
      <w:b/>
      <w:bCs/>
      <w:color w:val="543192"/>
      <w:sz w:val="48"/>
      <w:szCs w:val="48"/>
      <w:shd w:val="clear" w:color="auto" w:fill="FFFFFF"/>
    </w:rPr>
  </w:style>
  <w:style w:type="paragraph" w:styleId="Heading2">
    <w:name w:val="heading 2"/>
    <w:basedOn w:val="Normal"/>
    <w:next w:val="Normal"/>
    <w:link w:val="Heading2Char"/>
    <w:uiPriority w:val="9"/>
    <w:unhideWhenUsed/>
    <w:qFormat/>
    <w:pPr>
      <w:keepNext/>
      <w:keepLines/>
      <w:numPr>
        <w:ilvl w:val="1"/>
        <w:numId w:val="4"/>
      </w:numPr>
      <w:spacing w:before="80" w:after="80"/>
      <w:ind w:left="709" w:hanging="709"/>
      <w:outlineLvl w:val="1"/>
    </w:pPr>
    <w:rPr>
      <w:rFonts w:ascii="Roboto" w:eastAsiaTheme="majorEastAsia" w:hAnsi="Roboto" w:cstheme="majorBidi"/>
      <w:b/>
      <w:bCs/>
      <w:color w:val="555656"/>
      <w:sz w:val="36"/>
      <w:szCs w:val="36"/>
    </w:rPr>
  </w:style>
  <w:style w:type="paragraph" w:styleId="Heading3">
    <w:name w:val="heading 3"/>
    <w:basedOn w:val="Normal"/>
    <w:next w:val="Normal"/>
    <w:link w:val="Heading3Char"/>
    <w:uiPriority w:val="9"/>
    <w:unhideWhenUsed/>
    <w:qFormat/>
    <w:pPr>
      <w:keepNext/>
      <w:keepLines/>
      <w:numPr>
        <w:ilvl w:val="2"/>
        <w:numId w:val="4"/>
      </w:numPr>
      <w:spacing w:before="80" w:after="80"/>
      <w:ind w:left="709" w:hanging="709"/>
      <w:outlineLvl w:val="2"/>
    </w:pPr>
    <w:rPr>
      <w:rFonts w:ascii="Roboto" w:eastAsiaTheme="majorEastAsia" w:hAnsi="Roboto" w:cstheme="majorBidi"/>
      <w:b/>
      <w:bCs/>
      <w:color w:val="949494"/>
      <w:sz w:val="28"/>
      <w:szCs w:val="28"/>
    </w:rPr>
  </w:style>
  <w:style w:type="paragraph" w:styleId="Heading4">
    <w:name w:val="heading 4"/>
    <w:basedOn w:val="Normal"/>
    <w:next w:val="Normal"/>
    <w:link w:val="Heading4Char"/>
    <w:uiPriority w:val="9"/>
    <w:semiHidden/>
    <w:unhideWhenUsed/>
    <w:pPr>
      <w:keepNext/>
      <w:keepLines/>
      <w:numPr>
        <w:ilvl w:val="3"/>
        <w:numId w:val="4"/>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pPr>
      <w:keepNext/>
      <w:keepLines/>
      <w:numPr>
        <w:ilvl w:val="4"/>
        <w:numId w:val="4"/>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pPr>
      <w:keepNext/>
      <w:keepLines/>
      <w:numPr>
        <w:ilvl w:val="5"/>
        <w:numId w:val="4"/>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pPr>
      <w:keepNext/>
      <w:keepLines/>
      <w:numPr>
        <w:ilvl w:val="6"/>
        <w:numId w:val="4"/>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pPr>
      <w:keepNext/>
      <w:keepLines/>
      <w:numPr>
        <w:ilvl w:val="7"/>
        <w:numId w:val="4"/>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pPr>
      <w:keepNext/>
      <w:keepLines/>
      <w:numPr>
        <w:ilvl w:val="8"/>
        <w:numId w:val="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Light">
    <w:name w:val="Grid Table Light"/>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GridTable1Light-Accent1">
    <w:name w:val="Grid Table 1 Light Accent 1"/>
    <w:basedOn w:val="Table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GridTable1Light-Accent3">
    <w:name w:val="Grid Table 1 Light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GridTable1Light-Accent4">
    <w:name w:val="Grid Table 1 Light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GridTable1Light-Accent5">
    <w:name w:val="Grid Table 1 Light Accent 5"/>
    <w:basedOn w:val="Table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styleId="GridTable1Light-Accent6">
    <w:name w:val="Grid Table 1 Light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ridTable2-Accent1">
    <w:name w:val="Grid Table 2 Accent 1"/>
    <w:basedOn w:val="Table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styleId="GridTable2-Accent2">
    <w:name w:val="Grid Table 2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2-Accent3">
    <w:name w:val="Grid Table 2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2-Accent4">
    <w:name w:val="Grid Table 2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2-Accent5">
    <w:name w:val="Grid Table 2 Accent 5"/>
    <w:basedOn w:val="Table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styleId="GridTable2-Accent6">
    <w:name w:val="Grid Table 2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3-Accent1">
    <w:name w:val="Grid Table 3 Accent 1"/>
    <w:basedOn w:val="Table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styleId="GridTable3-Accent2">
    <w:name w:val="Grid Table 3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3-Accent3">
    <w:name w:val="Grid Table 3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3-Accent4">
    <w:name w:val="Grid Table 3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3-Accent5">
    <w:name w:val="Grid Table 3 Accent 5"/>
    <w:basedOn w:val="Table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styleId="GridTable3-Accent6">
    <w:name w:val="Grid Table 3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4-Accent1">
    <w:name w:val="Grid Table 4 Accent 1"/>
    <w:basedOn w:val="TableNormal"/>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styleId="GridTable4-Accent2">
    <w:name w:val="Grid Table 4 Accent 2"/>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4-Accent3">
    <w:name w:val="Grid Table 4 Accent 3"/>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4-Accent4">
    <w:name w:val="Grid Table 4 Accent 4"/>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4-Accent5">
    <w:name w:val="Grid Table 4 Accent 5"/>
    <w:basedOn w:val="TableNormal"/>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styleId="GridTable4-Accent6">
    <w:name w:val="Grid Table 4 Accent 6"/>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5Dark-Accent2">
    <w:name w:val="Grid Table 5 Dark Accent 2"/>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styleId="GridTable5Dark-Accent3">
    <w:name w:val="Grid Table 5 Dark Accent 3"/>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styleId="GridTable5Dark-Accent5">
    <w:name w:val="Grid Table 5 Dark Accent 5"/>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styleId="GridTable5Dark-Accent6">
    <w:name w:val="Grid Table 5 Dark Accent 6"/>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Accent1">
    <w:name w:val="Grid Table 6 Colorful - Accent 1"/>
    <w:basedOn w:val="TableNormal"/>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TableNormal"/>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GridTable7Colorful-Accent1">
    <w:name w:val="Grid Table 7 Colorful - Accent 1"/>
    <w:basedOn w:val="TableNormal"/>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TableNormal"/>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ListTable1Light-Accent1">
    <w:name w:val="List Table 1 Light Accent 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styleId="ListTable1Light-Accent2">
    <w:name w:val="List Table 1 Light Accent 2"/>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styleId="ListTable1Light-Accent3">
    <w:name w:val="List Table 1 Light Accent 3"/>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styleId="ListTable1Light-Accent4">
    <w:name w:val="List Table 1 Light Accent 4"/>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styleId="ListTable1Light-Accent5">
    <w:name w:val="List Table 1 Light Accent 5"/>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styleId="ListTable1Light-Accent6">
    <w:name w:val="List Table 1 Light Accent 6"/>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ListTable2-Accent1">
    <w:name w:val="List Table 2 Accent 1"/>
    <w:basedOn w:val="TableNormal"/>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styleId="ListTable2-Accent2">
    <w:name w:val="List Table 2 Accent 2"/>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2-Accent3">
    <w:name w:val="List Table 2 Accent 3"/>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2-Accent4">
    <w:name w:val="List Table 2 Accent 4"/>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2-Accent5">
    <w:name w:val="List Table 2 Accent 5"/>
    <w:basedOn w:val="TableNormal"/>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styleId="ListTable2-Accent6">
    <w:name w:val="List Table 2 Accent 6"/>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3-Accent1">
    <w:name w:val="List Table 3 Accent 1"/>
    <w:basedOn w:val="TableNormal"/>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styleId="ListTable3-Accent2">
    <w:name w:val="List Table 3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ListTable3-Accent3">
    <w:name w:val="List Table 3 Accent 3"/>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ListTable3-Accent4">
    <w:name w:val="List Table 3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ListTable3-Accent5">
    <w:name w:val="List Table 3 Accent 5"/>
    <w:basedOn w:val="TableNormal"/>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styleId="ListTable3-Accent6">
    <w:name w:val="List Table 3 Accent 6"/>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Table4-Accent1">
    <w:name w:val="List Table 4 Accent 1"/>
    <w:basedOn w:val="TableNormal"/>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styleId="ListTable4-Accent2">
    <w:name w:val="List Table 4 Accent 2"/>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4-Accent3">
    <w:name w:val="List Table 4 Accent 3"/>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4-Accent4">
    <w:name w:val="List Table 4 Accent 4"/>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4-Accent5">
    <w:name w:val="List Table 4 Accent 5"/>
    <w:basedOn w:val="TableNormal"/>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styleId="ListTable4-Accent6">
    <w:name w:val="List Table 4 Accent 6"/>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5Dark-Accent1">
    <w:name w:val="List Table 5 Dark Accent 1"/>
    <w:basedOn w:val="TableNormal"/>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styleId="ListTable5Dark-Accent2">
    <w:name w:val="List Table 5 Dark Accent 2"/>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styleId="ListTable5Dark-Accent3">
    <w:name w:val="List Table 5 Dark Accent 3"/>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styleId="ListTable5Dark-Accent4">
    <w:name w:val="List Table 5 Dark Accent 4"/>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styleId="ListTable5Dark-Accent5">
    <w:name w:val="List Table 5 Dark Accent 5"/>
    <w:basedOn w:val="TableNormal"/>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styleId="ListTable5Dark-Accent6">
    <w:name w:val="List Table 5 Dark Accent 6"/>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Accent1">
    <w:name w:val="List Table 6 Colorful - Accent 1"/>
    <w:basedOn w:val="TableNormal"/>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TableNormal"/>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Accent1">
    <w:name w:val="List Table 7 Colorful - Accent 1"/>
    <w:basedOn w:val="TableNormal"/>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TableNormal"/>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TableGrid">
    <w:name w:val="Table Grid"/>
    <w:basedOn w:val="TableNormal"/>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PlainTable1">
    <w:name w:val="Plain Table 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21">
    <w:name w:val="Grid Table 1 Light - Accent 21"/>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
    <w:name w:val="Grid Table 3"/>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
    <w:name w:val="Grid Table 4"/>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5Dark">
    <w:name w:val="Grid Table 5 Dark"/>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styleId="GridTable6Colourful">
    <w:name w:val="Grid Table 6 Colorful"/>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1">
    <w:name w:val="Grid Table 6 Colorful - Accent 11"/>
    <w:basedOn w:val="TableNormal"/>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1">
    <w:name w:val="Grid Table 6 Colorful - Accent 21"/>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1">
    <w:name w:val="Grid Table 6 Colorful - Accent 31"/>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1">
    <w:name w:val="Grid Table 6 Colorful - Accent 41"/>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1">
    <w:name w:val="Grid Table 6 Colorful - Accent 51"/>
    <w:basedOn w:val="TableNormal"/>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1">
    <w:name w:val="Grid Table 6 Colorful - Accent 61"/>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GridTable7Colourful">
    <w:name w:val="Grid Table 7 Colorful"/>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1">
    <w:name w:val="Grid Table 7 Colorful - Accent 11"/>
    <w:basedOn w:val="TableNormal"/>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000000"/>
          <w:left w:val="none" w:sz="0" w:space="0" w:color="000000"/>
          <w:bottom w:val="single" w:sz="4" w:space="0" w:color="ACCCEA" w:themeColor="accent1" w:themeTint="80"/>
          <w:right w:val="none" w:sz="0"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000000"/>
          <w:left w:val="none" w:sz="0" w:space="0" w:color="000000"/>
          <w:bottom w:val="none" w:sz="0"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000000"/>
          <w:left w:val="single" w:sz="4" w:space="0" w:color="ACCCEA" w:themeColor="accent1" w:themeTint="80"/>
          <w:bottom w:val="none" w:sz="0" w:space="0" w:color="000000"/>
          <w:right w:val="none" w:sz="0"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1">
    <w:name w:val="Grid Table 7 Colorful - Accent 21"/>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1">
    <w:name w:val="Grid Table 7 Colorful - Accent 31"/>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000000"/>
          <w:left w:val="none" w:sz="0" w:space="0" w:color="000000"/>
          <w:bottom w:val="single" w:sz="4" w:space="0" w:color="A5A5A5" w:themeColor="accent3" w:themeTint="FE"/>
          <w:right w:val="none" w:sz="0"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000000"/>
          <w:left w:val="none" w:sz="0" w:space="0" w:color="000000"/>
          <w:bottom w:val="none" w:sz="0"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000000"/>
          <w:left w:val="single" w:sz="4" w:space="0" w:color="A5A5A5" w:themeColor="accent3" w:themeTint="FE"/>
          <w:bottom w:val="none" w:sz="0" w:space="0" w:color="000000"/>
          <w:right w:val="none" w:sz="0"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1">
    <w:name w:val="Grid Table 7 Colorful - Accent 41"/>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1">
    <w:name w:val="Grid Table 7 Colorful - Accent 51"/>
    <w:basedOn w:val="TableNormal"/>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000000"/>
          <w:left w:val="none" w:sz="0" w:space="0" w:color="000000"/>
          <w:bottom w:val="single" w:sz="4" w:space="0" w:color="95AFDD" w:themeColor="accent5" w:themeTint="90"/>
          <w:right w:val="none" w:sz="0"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000000"/>
          <w:left w:val="none" w:sz="0" w:space="0" w:color="000000"/>
          <w:bottom w:val="none" w:sz="0"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000000"/>
          <w:left w:val="single" w:sz="4" w:space="0" w:color="95AFDD" w:themeColor="accent5" w:themeTint="90"/>
          <w:bottom w:val="none" w:sz="0" w:space="0" w:color="000000"/>
          <w:right w:val="none" w:sz="0"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1">
    <w:name w:val="Grid Table 7 Colorful - Accent 61"/>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000000"/>
          <w:left w:val="none" w:sz="0" w:space="0" w:color="000000"/>
          <w:bottom w:val="single" w:sz="4" w:space="0" w:color="ADD394" w:themeColor="accent6" w:themeTint="90"/>
          <w:right w:val="none" w:sz="0"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000000"/>
          <w:left w:val="none" w:sz="0" w:space="0" w:color="000000"/>
          <w:bottom w:val="none" w:sz="0"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000000"/>
          <w:left w:val="single" w:sz="4" w:space="0" w:color="ADD394" w:themeColor="accent6" w:themeTint="90"/>
          <w:bottom w:val="none" w:sz="0" w:space="0" w:color="000000"/>
          <w:right w:val="none" w:sz="0"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2">
    <w:name w:val="List Table 2"/>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3">
    <w:name w:val="List Table 3"/>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5Dark">
    <w:name w:val="List Table 5 Dark"/>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6Colourful">
    <w:name w:val="List Table 6 Colorful"/>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1">
    <w:name w:val="List Table 6 Colorful - Accent 11"/>
    <w:basedOn w:val="TableNormal"/>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1">
    <w:name w:val="List Table 6 Colorful - Accent 21"/>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1">
    <w:name w:val="List Table 6 Colorful - Accent 31"/>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1">
    <w:name w:val="List Table 6 Colorful - Accent 41"/>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1">
    <w:name w:val="List Table 6 Colorful - Accent 51"/>
    <w:basedOn w:val="TableNormal"/>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1">
    <w:name w:val="List Table 6 Colorful - Accent 61"/>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ListTable7Colourful">
    <w:name w:val="List Table 7 Colorful"/>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1">
    <w:name w:val="List Table 7 Colorful - Accent 11"/>
    <w:basedOn w:val="TableNormal"/>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000000"/>
          <w:left w:val="none" w:sz="0" w:space="0" w:color="000000"/>
          <w:bottom w:val="single" w:sz="4" w:space="0" w:color="5B9BD5" w:themeColor="accent1"/>
          <w:right w:val="none" w:sz="0"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000000"/>
          <w:left w:val="none" w:sz="0" w:space="0" w:color="000000"/>
          <w:bottom w:val="none" w:sz="0"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000000"/>
          <w:left w:val="single" w:sz="4" w:space="0" w:color="5B9BD5" w:themeColor="accent1"/>
          <w:bottom w:val="none" w:sz="0" w:space="0" w:color="000000"/>
          <w:right w:val="none" w:sz="0"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1">
    <w:name w:val="List Table 7 Colorful - Accent 21"/>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1">
    <w:name w:val="List Table 7 Colorful - Accent 31"/>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000000"/>
          <w:left w:val="none" w:sz="0" w:space="0" w:color="000000"/>
          <w:bottom w:val="single" w:sz="4" w:space="0" w:color="C9C9C9" w:themeColor="accent3" w:themeTint="98"/>
          <w:right w:val="none" w:sz="0"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000000"/>
          <w:left w:val="none" w:sz="0" w:space="0" w:color="000000"/>
          <w:bottom w:val="none" w:sz="0"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000000"/>
          <w:left w:val="single" w:sz="4" w:space="0" w:color="C9C9C9" w:themeColor="accent3" w:themeTint="98"/>
          <w:bottom w:val="none" w:sz="0" w:space="0" w:color="000000"/>
          <w:right w:val="none" w:sz="0"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1">
    <w:name w:val="List Table 7 Colorful - Accent 41"/>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1">
    <w:name w:val="List Table 7 Colorful - Accent 51"/>
    <w:basedOn w:val="TableNormal"/>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000000"/>
          <w:left w:val="none" w:sz="0" w:space="0" w:color="000000"/>
          <w:bottom w:val="single" w:sz="4" w:space="0" w:color="8DA9DB" w:themeColor="accent5" w:themeTint="9A"/>
          <w:right w:val="none" w:sz="0"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000000"/>
          <w:left w:val="none" w:sz="0" w:space="0" w:color="000000"/>
          <w:bottom w:val="none" w:sz="0"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000000"/>
          <w:left w:val="single" w:sz="4" w:space="0" w:color="8DA9DB" w:themeColor="accent5" w:themeTint="9A"/>
          <w:bottom w:val="none" w:sz="0" w:space="0" w:color="000000"/>
          <w:right w:val="none" w:sz="0"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1">
    <w:name w:val="List Table 7 Colorful - Accent 61"/>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000000"/>
          <w:left w:val="none" w:sz="0" w:space="0" w:color="000000"/>
          <w:bottom w:val="single" w:sz="4" w:space="0" w:color="A9D08E" w:themeColor="accent6" w:themeTint="98"/>
          <w:right w:val="none" w:sz="0"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000000"/>
          <w:left w:val="none" w:sz="0" w:space="0" w:color="000000"/>
          <w:bottom w:val="none" w:sz="0"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000000"/>
          <w:left w:val="single" w:sz="4" w:space="0" w:color="A9D08E" w:themeColor="accent6" w:themeTint="98"/>
          <w:bottom w:val="none" w:sz="0" w:space="0" w:color="000000"/>
          <w:right w:val="none" w:sz="0"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eNormal"/>
    <w:uiPriority w:val="99"/>
    <w:pPr>
      <w:spacing w:after="0" w:line="240" w:lineRule="auto"/>
    </w:pPr>
    <w:rPr>
      <w:color w:val="404040"/>
      <w:sz w:val="20"/>
      <w:szCs w:val="20"/>
      <w:lang w:eastAsia="en-GB"/>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pPr>
      <w:spacing w:after="0" w:line="240" w:lineRule="auto"/>
    </w:pPr>
    <w:rPr>
      <w:color w:val="404040"/>
      <w:sz w:val="20"/>
      <w:szCs w:val="20"/>
      <w:lang w:eastAsia="en-GB"/>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TableNormal"/>
    <w:uiPriority w:val="99"/>
    <w:pPr>
      <w:spacing w:after="0" w:line="240" w:lineRule="auto"/>
    </w:pPr>
    <w:rPr>
      <w:color w:val="404040"/>
      <w:sz w:val="20"/>
      <w:szCs w:val="20"/>
      <w:lang w:eastAsia="en-GB"/>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leNormal"/>
    <w:uiPriority w:val="99"/>
    <w:pPr>
      <w:spacing w:after="0" w:line="240" w:lineRule="auto"/>
    </w:pPr>
    <w:rPr>
      <w:color w:val="404040"/>
      <w:sz w:val="20"/>
      <w:szCs w:val="20"/>
      <w:lang w:eastAsia="en-GB"/>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leNormal"/>
    <w:uiPriority w:val="99"/>
    <w:pPr>
      <w:spacing w:after="0" w:line="240" w:lineRule="auto"/>
    </w:pPr>
    <w:rPr>
      <w:color w:val="404040"/>
      <w:sz w:val="20"/>
      <w:szCs w:val="20"/>
      <w:lang w:eastAsia="en-GB"/>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leNormal"/>
    <w:uiPriority w:val="99"/>
    <w:pPr>
      <w:spacing w:after="0" w:line="240" w:lineRule="auto"/>
    </w:pPr>
    <w:rPr>
      <w:color w:val="404040"/>
      <w:sz w:val="20"/>
      <w:szCs w:val="20"/>
      <w:lang w:eastAsia="en-GB"/>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TableNormal"/>
    <w:uiPriority w:val="99"/>
    <w:pPr>
      <w:spacing w:after="0" w:line="240" w:lineRule="auto"/>
    </w:pPr>
    <w:rPr>
      <w:color w:val="404040"/>
      <w:sz w:val="20"/>
      <w:szCs w:val="20"/>
      <w:lang w:eastAsia="en-GB"/>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leNormal"/>
    <w:uiPriority w:val="99"/>
    <w:pPr>
      <w:spacing w:after="0" w:line="240" w:lineRule="auto"/>
    </w:pPr>
    <w:rPr>
      <w:color w:val="404040"/>
      <w:sz w:val="20"/>
      <w:szCs w:val="20"/>
      <w:lang w:eastAsia="en-GB"/>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pPr>
      <w:spacing w:after="0" w:line="240" w:lineRule="auto"/>
    </w:pPr>
    <w:rPr>
      <w:color w:val="404040"/>
      <w:sz w:val="20"/>
      <w:szCs w:val="20"/>
      <w:lang w:eastAsia="en-GB"/>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TableNormal"/>
    <w:uiPriority w:val="99"/>
    <w:pPr>
      <w:spacing w:after="0" w:line="240" w:lineRule="auto"/>
    </w:pPr>
    <w:rPr>
      <w:color w:val="404040"/>
      <w:sz w:val="20"/>
      <w:szCs w:val="20"/>
      <w:lang w:eastAsia="en-GB"/>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leNormal"/>
    <w:uiPriority w:val="99"/>
    <w:pPr>
      <w:spacing w:after="0" w:line="240" w:lineRule="auto"/>
    </w:pPr>
    <w:rPr>
      <w:color w:val="404040"/>
      <w:sz w:val="20"/>
      <w:szCs w:val="20"/>
      <w:lang w:eastAsia="en-GB"/>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leNormal"/>
    <w:uiPriority w:val="99"/>
    <w:pPr>
      <w:spacing w:after="0" w:line="240" w:lineRule="auto"/>
    </w:pPr>
    <w:rPr>
      <w:color w:val="404040"/>
      <w:sz w:val="20"/>
      <w:szCs w:val="20"/>
      <w:lang w:eastAsia="en-GB"/>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leNormal"/>
    <w:uiPriority w:val="99"/>
    <w:pPr>
      <w:spacing w:after="0" w:line="240" w:lineRule="auto"/>
    </w:pPr>
    <w:rPr>
      <w:color w:val="404040"/>
      <w:sz w:val="20"/>
      <w:szCs w:val="20"/>
      <w:lang w:eastAsia="en-GB"/>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TableNormal"/>
    <w:uiPriority w:val="99"/>
    <w:pPr>
      <w:spacing w:after="0" w:line="240" w:lineRule="auto"/>
    </w:pPr>
    <w:rPr>
      <w:color w:val="404040"/>
      <w:sz w:val="20"/>
      <w:szCs w:val="20"/>
      <w:lang w:eastAsia="en-GB"/>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IntenseEmphasis">
    <w:name w:val="Intense Emphasis"/>
    <w:basedOn w:val="DefaultParagraphFont"/>
    <w:uiPriority w:val="21"/>
    <w:qFormat/>
    <w:rPr>
      <w:i/>
      <w:iCs/>
      <w:color w:val="2E74B5" w:themeColor="accent1" w:themeShade="BF"/>
    </w:rPr>
  </w:style>
  <w:style w:type="paragraph" w:styleId="IntenseQuote">
    <w:name w:val="Intense Quote"/>
    <w:basedOn w:val="Normal"/>
    <w:next w:val="Normal"/>
    <w:link w:val="IntenseQuoteChar"/>
    <w:uiPriority w:val="30"/>
    <w:qFormat/>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Pr>
      <w:i/>
      <w:iCs/>
      <w:color w:val="2E74B5" w:themeColor="accent1" w:themeShade="BF"/>
    </w:rPr>
  </w:style>
  <w:style w:type="character" w:styleId="IntenseReference">
    <w:name w:val="Intense Reference"/>
    <w:basedOn w:val="DefaultParagraphFont"/>
    <w:uiPriority w:val="32"/>
    <w:qFormat/>
    <w:rPr>
      <w:b/>
      <w:bCs/>
      <w:smallCaps/>
      <w:color w:val="2E74B5" w:themeColor="accent1" w:themeShade="BF"/>
      <w:spacing w:val="5"/>
    </w:rPr>
  </w:style>
  <w:style w:type="character" w:styleId="BookTitle">
    <w:name w:val="Book Title"/>
    <w:basedOn w:val="DefaultParagraphFont"/>
    <w:uiPriority w:val="33"/>
    <w:qFormat/>
    <w:rPr>
      <w:b/>
      <w:bCs/>
      <w:i/>
      <w:iCs/>
      <w:spacing w:val="5"/>
    </w:rPr>
  </w:style>
  <w:style w:type="paragraph" w:styleId="Caption">
    <w:name w:val="caption"/>
    <w:basedOn w:val="Normal"/>
    <w:next w:val="Normal"/>
    <w:uiPriority w:val="35"/>
    <w:unhideWhenUsed/>
    <w:qFormat/>
    <w:pPr>
      <w:spacing w:after="200" w:line="240" w:lineRule="auto"/>
    </w:pPr>
    <w:rPr>
      <w:i/>
      <w:iCs/>
      <w:color w:val="44546A" w:themeColor="text2"/>
      <w:sz w:val="18"/>
      <w:szCs w:val="18"/>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FollowedHyperlink">
    <w:name w:val="FollowedHyperlink"/>
    <w:basedOn w:val="DefaultParagraphFont"/>
    <w:uiPriority w:val="99"/>
    <w:semiHidden/>
    <w:unhideWhenUsed/>
    <w:rPr>
      <w:color w:val="954F72" w:themeColor="followedHyperlink"/>
      <w:u w:val="single"/>
    </w:rPr>
  </w:style>
  <w:style w:type="paragraph" w:styleId="TableofFigures">
    <w:name w:val="table of figures"/>
    <w:basedOn w:val="Normal"/>
    <w:next w:val="Normal"/>
    <w:uiPriority w:val="99"/>
    <w:unhideWhenUsed/>
    <w:pPr>
      <w:spacing w:after="0"/>
    </w:pPr>
  </w:style>
  <w:style w:type="paragraph" w:styleId="Header">
    <w:name w:val="header"/>
    <w:basedOn w:val="Normal"/>
    <w:link w:val="HeaderChar"/>
    <w:uiPriority w:val="99"/>
    <w:unhideWhenUsed/>
    <w:pPr>
      <w:tabs>
        <w:tab w:val="center" w:pos="4536"/>
        <w:tab w:val="right" w:pos="9072"/>
      </w:tabs>
      <w:spacing w:after="0" w:line="240" w:lineRule="auto"/>
    </w:pPr>
  </w:style>
  <w:style w:type="character" w:customStyle="1" w:styleId="HeaderChar">
    <w:name w:val="Header Char"/>
    <w:basedOn w:val="DefaultParagraphFont"/>
    <w:link w:val="Header"/>
    <w:uiPriority w:val="99"/>
    <w:rPr>
      <w:lang w:val="en-GB"/>
    </w:rPr>
  </w:style>
  <w:style w:type="paragraph" w:styleId="Footer">
    <w:name w:val="footer"/>
    <w:basedOn w:val="Normal"/>
    <w:link w:val="FooterChar"/>
    <w:uiPriority w:val="99"/>
    <w:unhideWhenUsed/>
    <w:pPr>
      <w:tabs>
        <w:tab w:val="center" w:pos="4536"/>
        <w:tab w:val="right" w:pos="9072"/>
      </w:tabs>
      <w:spacing w:after="0" w:line="240" w:lineRule="auto"/>
    </w:pPr>
  </w:style>
  <w:style w:type="character" w:customStyle="1" w:styleId="FooterChar">
    <w:name w:val="Footer Char"/>
    <w:basedOn w:val="DefaultParagraphFont"/>
    <w:link w:val="Footer"/>
    <w:uiPriority w:val="99"/>
    <w:rPr>
      <w:lang w:val="en-GB"/>
    </w:rPr>
  </w:style>
  <w:style w:type="paragraph" w:styleId="NoSpacing">
    <w:name w:val="No Spacing"/>
    <w:link w:val="NoSpacingChar"/>
    <w:uiPriority w:val="1"/>
    <w:pPr>
      <w:spacing w:after="0" w:line="240" w:lineRule="auto"/>
    </w:pPr>
    <w:rPr>
      <w:rFonts w:eastAsiaTheme="minorEastAsia"/>
      <w:lang w:val="en-US"/>
    </w:rPr>
  </w:style>
  <w:style w:type="character" w:customStyle="1" w:styleId="NoSpacingChar">
    <w:name w:val="No Spacing Char"/>
    <w:basedOn w:val="DefaultParagraphFont"/>
    <w:link w:val="NoSpacing"/>
    <w:uiPriority w:val="1"/>
    <w:rPr>
      <w:rFonts w:eastAsiaTheme="minorEastAsia"/>
      <w:lang w:val="en-US"/>
    </w:rPr>
  </w:style>
  <w:style w:type="paragraph" w:customStyle="1" w:styleId="BasicParagraph">
    <w:name w:val="[Basic Paragraph]"/>
    <w:basedOn w:val="Normal"/>
    <w:uiPriority w:val="99"/>
    <w:pPr>
      <w:spacing w:after="0" w:line="288" w:lineRule="auto"/>
    </w:pPr>
    <w:rPr>
      <w:rFonts w:ascii="Minion Pro" w:hAnsi="Minion Pro" w:cs="Minion Pro"/>
      <w:color w:val="000000"/>
      <w:sz w:val="24"/>
      <w:szCs w:val="24"/>
    </w:rPr>
  </w:style>
  <w:style w:type="character" w:customStyle="1" w:styleId="Heading1Char">
    <w:name w:val="Heading 1 Char"/>
    <w:basedOn w:val="DefaultParagraphFont"/>
    <w:link w:val="Heading1"/>
    <w:uiPriority w:val="9"/>
    <w:rPr>
      <w:rFonts w:ascii="Roboto" w:eastAsiaTheme="majorEastAsia" w:hAnsi="Roboto" w:cstheme="majorBidi"/>
      <w:b/>
      <w:bCs/>
      <w:color w:val="543192"/>
      <w:sz w:val="48"/>
      <w:szCs w:val="48"/>
      <w:lang w:val="en-GB"/>
    </w:rPr>
  </w:style>
  <w:style w:type="paragraph" w:styleId="TOCHeading">
    <w:name w:val="TOC Heading"/>
    <w:basedOn w:val="Heading1"/>
    <w:next w:val="Normal"/>
    <w:uiPriority w:val="39"/>
    <w:unhideWhenUsed/>
    <w:pPr>
      <w:outlineLvl w:val="9"/>
    </w:pPr>
    <w:rPr>
      <w:lang w:val="en-US"/>
    </w:rPr>
  </w:style>
  <w:style w:type="paragraph" w:styleId="ListParagraph">
    <w:name w:val="List Paragraph"/>
    <w:basedOn w:val="Normal"/>
    <w:uiPriority w:val="34"/>
    <w:pPr>
      <w:ind w:left="720"/>
      <w:contextualSpacing/>
    </w:pPr>
  </w:style>
  <w:style w:type="character" w:styleId="Strong">
    <w:name w:val="Strong"/>
    <w:basedOn w:val="DefaultParagraphFont"/>
    <w:uiPriority w:val="22"/>
    <w:qFormat/>
    <w:rPr>
      <w:rFonts w:ascii="Roboto" w:hAnsi="Roboto"/>
    </w:rPr>
  </w:style>
  <w:style w:type="character" w:customStyle="1" w:styleId="Heading2Char">
    <w:name w:val="Heading 2 Char"/>
    <w:basedOn w:val="DefaultParagraphFont"/>
    <w:link w:val="Heading2"/>
    <w:uiPriority w:val="9"/>
    <w:rPr>
      <w:rFonts w:ascii="Roboto" w:eastAsiaTheme="majorEastAsia" w:hAnsi="Roboto" w:cstheme="majorBidi"/>
      <w:b/>
      <w:bCs/>
      <w:color w:val="555656"/>
      <w:sz w:val="36"/>
      <w:szCs w:val="36"/>
      <w:lang w:val="en-GB"/>
    </w:rPr>
  </w:style>
  <w:style w:type="character" w:customStyle="1" w:styleId="Heading3Char">
    <w:name w:val="Heading 3 Char"/>
    <w:basedOn w:val="DefaultParagraphFont"/>
    <w:link w:val="Heading3"/>
    <w:uiPriority w:val="9"/>
    <w:rPr>
      <w:rFonts w:ascii="Roboto" w:eastAsiaTheme="majorEastAsia" w:hAnsi="Roboto" w:cstheme="majorBidi"/>
      <w:b/>
      <w:bCs/>
      <w:color w:val="949494"/>
      <w:sz w:val="28"/>
      <w:szCs w:val="28"/>
      <w:lang w:val="en-GB"/>
    </w:rPr>
  </w:style>
  <w:style w:type="paragraph" w:styleId="Subtitle">
    <w:name w:val="Subtitle"/>
    <w:basedOn w:val="Normal"/>
    <w:next w:val="Normal"/>
    <w:link w:val="SubtitleChar"/>
    <w:uiPriority w:val="11"/>
    <w:qFormat/>
    <w:pPr>
      <w:pBdr>
        <w:top w:val="single" w:sz="18" w:space="1" w:color="543192"/>
        <w:left w:val="single" w:sz="18" w:space="4" w:color="543192"/>
        <w:bottom w:val="single" w:sz="18" w:space="1" w:color="543192"/>
        <w:right w:val="single" w:sz="18" w:space="4" w:color="543192"/>
      </w:pBdr>
      <w:spacing w:line="360" w:lineRule="auto"/>
      <w:jc w:val="both"/>
    </w:pPr>
    <w:rPr>
      <w:rFonts w:ascii="Roboto" w:hAnsi="Roboto" w:cs="Arial"/>
      <w:color w:val="000000"/>
      <w:shd w:val="clear" w:color="auto" w:fill="FFFFFF"/>
    </w:rPr>
  </w:style>
  <w:style w:type="character" w:customStyle="1" w:styleId="SubtitleChar">
    <w:name w:val="Subtitle Char"/>
    <w:basedOn w:val="DefaultParagraphFont"/>
    <w:link w:val="Subtitle"/>
    <w:uiPriority w:val="11"/>
    <w:rPr>
      <w:rFonts w:ascii="Roboto" w:hAnsi="Roboto" w:cs="Arial"/>
      <w:color w:val="000000"/>
      <w:lang w:val="en-GB"/>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paragraph" w:styleId="TOC3">
    <w:name w:val="toc 3"/>
    <w:basedOn w:val="Normal"/>
    <w:next w:val="Normal"/>
    <w:uiPriority w:val="39"/>
    <w:unhideWhenUsed/>
    <w:pPr>
      <w:tabs>
        <w:tab w:val="right" w:leader="dot" w:pos="9060"/>
      </w:tabs>
      <w:spacing w:after="100"/>
      <w:ind w:left="440"/>
    </w:pPr>
    <w:rPr>
      <w:rFonts w:ascii="Roboto" w:hAnsi="Roboto"/>
    </w:rPr>
  </w:style>
  <w:style w:type="character" w:styleId="Hyperlink">
    <w:name w:val="Hyperlink"/>
    <w:basedOn w:val="DefaultParagraphFont"/>
    <w:uiPriority w:val="99"/>
    <w:unhideWhenUsed/>
    <w:rPr>
      <w:color w:val="0563C1" w:themeColor="hyperlink"/>
      <w:u w:val="single"/>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2E74B5" w:themeColor="accent1" w:themeShade="BF"/>
      <w:lang w:val="en-GB"/>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E74B5" w:themeColor="accent1" w:themeShade="BF"/>
      <w:lang w:val="en-GB"/>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1F4D78" w:themeColor="accent1" w:themeShade="7F"/>
      <w:lang w:val="en-GB"/>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1F4D78" w:themeColor="accent1" w:themeShade="7F"/>
      <w:lang w:val="en-GB"/>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272727" w:themeColor="text1" w:themeTint="D8"/>
      <w:sz w:val="21"/>
      <w:szCs w:val="21"/>
      <w:lang w:val="en-GB"/>
    </w:rPr>
  </w:style>
  <w:style w:type="paragraph" w:styleId="Title">
    <w:name w:val="Title"/>
    <w:basedOn w:val="Normal"/>
    <w:next w:val="Normal"/>
    <w:link w:val="TitleChar"/>
    <w:uiPriority w:val="10"/>
    <w:qFormat/>
    <w:pPr>
      <w:spacing w:before="0" w:after="0" w:line="240" w:lineRule="auto"/>
      <w:contextualSpacing/>
    </w:pPr>
    <w:rPr>
      <w:rFonts w:ascii="Roboto" w:eastAsiaTheme="majorEastAsia" w:hAnsi="Roboto" w:cstheme="majorBidi"/>
      <w:color w:val="543192"/>
      <w:spacing w:val="-10"/>
      <w:sz w:val="28"/>
      <w:szCs w:val="28"/>
      <w:shd w:val="clear" w:color="auto" w:fill="FFFFFF"/>
    </w:rPr>
  </w:style>
  <w:style w:type="character" w:customStyle="1" w:styleId="TitleChar">
    <w:name w:val="Title Char"/>
    <w:basedOn w:val="DefaultParagraphFont"/>
    <w:link w:val="Title"/>
    <w:uiPriority w:val="10"/>
    <w:rPr>
      <w:rFonts w:ascii="Roboto" w:eastAsiaTheme="majorEastAsia" w:hAnsi="Roboto" w:cstheme="majorBidi"/>
      <w:color w:val="543192"/>
      <w:spacing w:val="-10"/>
      <w:sz w:val="28"/>
      <w:szCs w:val="28"/>
      <w:lang w:val="en-GB"/>
    </w:rPr>
  </w:style>
  <w:style w:type="character" w:styleId="Emphasis">
    <w:name w:val="Emphasis"/>
    <w:uiPriority w:val="20"/>
    <w:qFormat/>
    <w:rPr>
      <w:rFonts w:ascii="Roboto" w:hAnsi="Roboto"/>
      <w:i/>
      <w:iCs/>
      <w:color w:val="543192"/>
      <w:sz w:val="24"/>
      <w:szCs w:val="24"/>
    </w:rPr>
  </w:style>
  <w:style w:type="paragraph" w:styleId="FootnoteText">
    <w:name w:val="footnote text"/>
    <w:basedOn w:val="Normal"/>
    <w:link w:val="FootnoteTextChar"/>
    <w:uiPriority w:val="99"/>
    <w:unhideWhenUsed/>
    <w:pPr>
      <w:spacing w:before="0" w:after="0" w:line="240" w:lineRule="auto"/>
    </w:pPr>
    <w:rPr>
      <w:sz w:val="20"/>
      <w:szCs w:val="20"/>
    </w:rPr>
  </w:style>
  <w:style w:type="character" w:customStyle="1" w:styleId="FootnoteTextChar">
    <w:name w:val="Footnote Text Char"/>
    <w:basedOn w:val="DefaultParagraphFont"/>
    <w:link w:val="FootnoteText"/>
    <w:uiPriority w:val="99"/>
    <w:rPr>
      <w:sz w:val="20"/>
      <w:szCs w:val="20"/>
      <w:lang w:val="en-GB"/>
    </w:rPr>
  </w:style>
  <w:style w:type="character" w:styleId="FootnoteReference">
    <w:name w:val="footnote reference"/>
    <w:basedOn w:val="DefaultParagraphFont"/>
    <w:uiPriority w:val="99"/>
    <w:unhideWhenUsed/>
    <w:qFormat/>
    <w:rPr>
      <w:vertAlign w:val="superscript"/>
    </w:rPr>
  </w:style>
  <w:style w:type="paragraph" w:styleId="Quote">
    <w:name w:val="Quote"/>
    <w:basedOn w:val="Normal"/>
    <w:next w:val="Normal"/>
    <w:link w:val="QuoteChar"/>
    <w:uiPriority w:val="29"/>
    <w:qFormat/>
    <w:pPr>
      <w:spacing w:before="200"/>
      <w:ind w:right="864"/>
    </w:pPr>
    <w:rPr>
      <w:rFonts w:ascii="Roboto" w:hAnsi="Roboto" w:cs="Arial"/>
      <w:color w:val="555656"/>
      <w:sz w:val="18"/>
      <w:szCs w:val="18"/>
      <w:shd w:val="clear" w:color="auto" w:fill="FFFFFF"/>
    </w:rPr>
  </w:style>
  <w:style w:type="character" w:customStyle="1" w:styleId="QuoteChar">
    <w:name w:val="Quote Char"/>
    <w:basedOn w:val="DefaultParagraphFont"/>
    <w:link w:val="Quote"/>
    <w:uiPriority w:val="29"/>
    <w:rPr>
      <w:rFonts w:ascii="Roboto" w:hAnsi="Roboto" w:cs="Arial"/>
      <w:color w:val="555656"/>
      <w:sz w:val="18"/>
      <w:szCs w:val="18"/>
      <w:lang w:val="en-GB"/>
    </w:rPr>
  </w:style>
  <w:style w:type="character" w:styleId="SubtleEmphasis">
    <w:name w:val="Subtle Emphasis"/>
    <w:basedOn w:val="DefaultParagraphFont"/>
    <w:uiPriority w:val="19"/>
    <w:qFormat/>
    <w:rPr>
      <w:rFonts w:ascii="Roboto" w:hAnsi="Roboto"/>
    </w:rPr>
  </w:style>
  <w:style w:type="character" w:styleId="SubtleReference">
    <w:name w:val="Subtle Reference"/>
    <w:basedOn w:val="DefaultParagraphFont"/>
    <w:uiPriority w:val="31"/>
    <w:qFormat/>
    <w:rPr>
      <w:smallCaps/>
      <w:color w:val="5A5A5A" w:themeColor="text1" w:themeTint="A5"/>
    </w:rPr>
  </w:style>
  <w:style w:type="character" w:customStyle="1" w:styleId="UnresolvedMention1">
    <w:name w:val="Unresolved Mention1"/>
    <w:basedOn w:val="DefaultParagraphFont"/>
    <w:uiPriority w:val="99"/>
    <w:semiHidden/>
    <w:unhideWhenUsed/>
    <w:rPr>
      <w:color w:val="605E5C"/>
      <w:shd w:val="clear" w:color="auto" w:fill="E1DFDD"/>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lang w:val="en-GB"/>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lang w:val="en-GB"/>
    </w:rPr>
  </w:style>
  <w:style w:type="paragraph" w:styleId="BalloonText">
    <w:name w:val="Balloon Text"/>
    <w:basedOn w:val="Normal"/>
    <w:link w:val="BalloonTextChar"/>
    <w:uiPriority w:val="99"/>
    <w:semiHidden/>
    <w:unhideWhenUsed/>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val="en-GB"/>
    </w:rPr>
  </w:style>
  <w:style w:type="paragraph" w:styleId="Revision">
    <w:name w:val="Revision"/>
    <w:hidden/>
    <w:uiPriority w:val="99"/>
    <w:semiHidden/>
    <w:rsid w:val="00482242"/>
    <w:pPr>
      <w:spacing w:after="0" w:line="240" w:lineRule="auto"/>
    </w:pPr>
    <w:rPr>
      <w:lang w:val="en-GB"/>
    </w:rPr>
  </w:style>
  <w:style w:type="character" w:styleId="UnresolvedMention">
    <w:name w:val="Unresolved Mention"/>
    <w:basedOn w:val="DefaultParagraphFont"/>
    <w:uiPriority w:val="99"/>
    <w:semiHidden/>
    <w:unhideWhenUsed/>
    <w:rsid w:val="00836B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9610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customXml" Target="../customXml/item2.xml"/><Relationship Id="rId19" Type="http://schemas.openxmlformats.org/officeDocument/2006/relationships/header" Target="header3.xml"/><Relationship Id="rId4" Type="http://schemas.openxmlformats.org/officeDocument/2006/relationships/settings" Target="settings.xm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17" Type="http://schemas.openxmlformats.org/officeDocument/2006/relationships/hyperlink" Target="https://docstore.ohchr.org/SelfServices/FilesHandler.ashx?enc=6QkG1d%2FPPRiCAqhKb7yhsuoO1aAYJ6VmNP4LonUL9sirGNBx0BDPQylFzMNh%2BBP5a%2FrMh8QqsqtzGhsW21L8Tz%2BXBoT7mChZucEBmnpWUgj6%2FaQhEPGbT7x5z6tA%2FzVB" TargetMode="External"/><Relationship Id="rId21" Type="http://schemas.openxmlformats.org/officeDocument/2006/relationships/hyperlink" Target="https://www.hrw.org/world-report/2023/country-chapters/jordan" TargetMode="External"/><Relationship Id="rId42" Type="http://schemas.openxmlformats.org/officeDocument/2006/relationships/hyperlink" Target="https://www.lemonde.fr/en/international/article/2023/02/03/in-jordan-the-trial-of-a-human-rights-commissioner-is-emblematic-of-an-authoritarian-shift_6014211_4.html" TargetMode="External"/><Relationship Id="rId63" Type="http://schemas.openxmlformats.org/officeDocument/2006/relationships/hyperlink" Target="https://psd.gov.jo/en-us/psd-department-s/arab-and-international-police-department-interpol/" TargetMode="External"/><Relationship Id="rId84" Type="http://schemas.openxmlformats.org/officeDocument/2006/relationships/hyperlink" Target="https://www.amnesty.org/en/documents/pol10/5670/2023/en/" TargetMode="External"/><Relationship Id="rId138" Type="http://schemas.openxmlformats.org/officeDocument/2006/relationships/hyperlink" Target="https://menarights.org/en/articles/transnational-repression-mena-role-regional-organisations-engaged-counter-terrorism" TargetMode="External"/><Relationship Id="rId107" Type="http://schemas.openxmlformats.org/officeDocument/2006/relationships/hyperlink" Target="https://docstore.ohchr.org/SelfServices/FilesHandler.ashx?enc=6QkG1d%2FPPRiCAqhKb7yhsuoO1aAYJ6VmNP4LonUL9si%2F6BRpobGHFNy2xW5%2BmLqKH9vcnfYrVk8kUOJb%2BBauqXGSNlarSqeb%2BP%2FZEfv7JDfA8DjIHm3bys7hB5acwHqC" TargetMode="External"/><Relationship Id="rId11" Type="http://schemas.openxmlformats.org/officeDocument/2006/relationships/hyperlink" Target="https://docstore.ohchr.org/SelfServices/FilesHandler.ashx?enc=6QkG1d%2FPPRiCAqhKb7yhsuoO1aAYJ6VmNP4LonUL9si%2F6BRpobGHFNy2xW5%2BmLqKH9vcnfYrVk8kUOJb%2BBauqXGSNlarSqeb%2BP%2FZEfv7JDfA8DjIHm3bys7hB5acwHqC" TargetMode="External"/><Relationship Id="rId32" Type="http://schemas.openxmlformats.org/officeDocument/2006/relationships/hyperlink" Target="https://www.amnesty.org/en/latest/news/2024/08/jordan-new-cybercrimes-law-stifling-freedom-of-expression-one-year-on/" TargetMode="External"/><Relationship Id="rId53" Type="http://schemas.openxmlformats.org/officeDocument/2006/relationships/hyperlink" Target="https://www.aim-council.org/about/council-devices/" TargetMode="External"/><Relationship Id="rId74" Type="http://schemas.openxmlformats.org/officeDocument/2006/relationships/hyperlink" Target="https://twitter.com/kameelalzoubi2?lang=fr" TargetMode="External"/><Relationship Id="rId128" Type="http://schemas.openxmlformats.org/officeDocument/2006/relationships/hyperlink" Target="https://menarights.org/en/documents/universal-periodic-review-jordan-report-submitted-un-human-rights-council" TargetMode="External"/><Relationship Id="rId5" Type="http://schemas.openxmlformats.org/officeDocument/2006/relationships/hyperlink" Target="https://learningpartnership.org/sites/default/files/resources/pdfs/Jordan-Penal-Code-1960-Arabic.pdf" TargetMode="External"/><Relationship Id="rId90" Type="http://schemas.openxmlformats.org/officeDocument/2006/relationships/hyperlink" Target="https://menarights.org/en/documents/universal-periodic-review-jordan-report-submitted-un-human-rights-council" TargetMode="External"/><Relationship Id="rId95" Type="http://schemas.openxmlformats.org/officeDocument/2006/relationships/hyperlink" Target="https://www.alkarama.org/en/articles/jordan-shadow-report-un-human-rights-committee-highlights-human-rights-abuses-name" TargetMode="External"/><Relationship Id="rId22" Type="http://schemas.openxmlformats.org/officeDocument/2006/relationships/hyperlink" Target="https://www.amnesty.org/en/latest/news/2024/08/jordan-new-cybercrimes-law-stifling-freedom-of-expression-one-year-on/" TargetMode="External"/><Relationship Id="rId27" Type="http://schemas.openxmlformats.org/officeDocument/2006/relationships/hyperlink" Target="https://www.hrw.org/news/2022/09/18/jordan-government-crushes-civic-space" TargetMode="External"/><Relationship Id="rId43" Type="http://schemas.openxmlformats.org/officeDocument/2006/relationships/hyperlink" Target="https://www.ohchr.org/sites/default/files/documents/countries/nhri/ganhri/2022-11-08/SCA-Adopted-Report-October-2022-EN.pdf" TargetMode="External"/><Relationship Id="rId48" Type="http://schemas.openxmlformats.org/officeDocument/2006/relationships/hyperlink" Target="https://www.refworld.org/legal/agreements/las/1998/en/29059" TargetMode="External"/><Relationship Id="rId64" Type="http://schemas.openxmlformats.org/officeDocument/2006/relationships/hyperlink" Target="https://www.wam.ae/ar/details/1395303158862" TargetMode="External"/><Relationship Id="rId69" Type="http://schemas.openxmlformats.org/officeDocument/2006/relationships/hyperlink" Target="https://www.alkarama.org/en/articles/jordan-shadow-report-un-human-rights-committee-highlights-human-rights-abuses-name" TargetMode="External"/><Relationship Id="rId113" Type="http://schemas.openxmlformats.org/officeDocument/2006/relationships/hyperlink" Target="https://www.hrw.org/news/2017/03/05/jordan-executions-wont-end-terror-attacks-murder" TargetMode="External"/><Relationship Id="rId118" Type="http://schemas.openxmlformats.org/officeDocument/2006/relationships/hyperlink" Target="https://academic.oup.com/book/57891/chapter/472021962" TargetMode="External"/><Relationship Id="rId134" Type="http://schemas.openxmlformats.org/officeDocument/2006/relationships/hyperlink" Target="https://menarights.org/en/documents/universal-periodic-review-jordan-report-submitted-un-human-rights-council" TargetMode="External"/><Relationship Id="rId139" Type="http://schemas.openxmlformats.org/officeDocument/2006/relationships/hyperlink" Target="https://www.amnesty.org/en/documents/ior51/001/2002/en/" TargetMode="External"/><Relationship Id="rId80" Type="http://schemas.openxmlformats.org/officeDocument/2006/relationships/hyperlink" Target="https://docstore.ohchr.org/SelfServices/FilesHandler.ashx?enc=6QkG1d%2FPPRiCAqhKb7yhsuoO1aAYJ6VmNP4LonUL9sirGNBx0BDPQylFzMNh%2BBP5a%2FrMh8QqsqtzGhsW21L8Tz%2BXBoT7mChZucEBmnpWUgj6%2FaQhEPGbT7x5z6tA%2FzVB" TargetMode="External"/><Relationship Id="rId85" Type="http://schemas.openxmlformats.org/officeDocument/2006/relationships/hyperlink" Target="https://www.state.gov/reports/2023-country-reports-on-human-rights-practices/jordan/" TargetMode="External"/><Relationship Id="rId12" Type="http://schemas.openxmlformats.org/officeDocument/2006/relationships/hyperlink" Target="https://docstore.ohchr.org/SelfServices/FilesHandler.ashx?enc=6QkG1d%2FPPRiCAqhKb7yhsuoO1aAYJ6VmNP4LonUL9sirGNBx0BDPQylFzMNh%2BBP5a%2FrMh8QqsqtzGhsW21L8Tz%2BXBoT7mChZucEBmnpWUgj6%2FaQhEPGbT7x5z6tA%2FzVB" TargetMode="External"/><Relationship Id="rId17" Type="http://schemas.openxmlformats.org/officeDocument/2006/relationships/hyperlink" Target="https://www.facebook.com/laith.shubeilat/posts/975572030600611?ref=embed_post" TargetMode="External"/><Relationship Id="rId33" Type="http://schemas.openxmlformats.org/officeDocument/2006/relationships/hyperlink" Target="https://dignity.dk/wp-content/uploads/publication-series-9.pdf" TargetMode="External"/><Relationship Id="rId38" Type="http://schemas.openxmlformats.org/officeDocument/2006/relationships/hyperlink" Target="https://docstore.ohchr.org/SelfServices/FilesHandler.ashx?enc=6QkG1d%2FPPRiCAqhKb7yhsuoO1aAYJ6VmNP4LonUL9si%2F6BRpobGHFNy2xW5%2BmLqKH9vcnfYrVk8kUOJb%2BBauqXGSNlarSqeb%2BP%2FZEfv7JDfA8DjIHm3bys7hB5acwHqC" TargetMode="External"/><Relationship Id="rId59" Type="http://schemas.openxmlformats.org/officeDocument/2006/relationships/hyperlink" Target="https://defendcivicspace.com/wp-content/uploads/2024/01/SRCT_MENA_OutcomeDocument.pdf" TargetMode="External"/><Relationship Id="rId103" Type="http://schemas.openxmlformats.org/officeDocument/2006/relationships/hyperlink" Target="https://docstore.ohchr.org/SelfServices/FilesHandler.ashx?enc=6QkG1d%2FPPRiCAqhKb7yhsuoO1aAYJ6VmNP4LonUL9sirGNBx0BDPQylFzMNh%2BBP5a%2FrMh8QqsqtzGhsW21L8Tz%2BXBoT7mChZucEBmnpWUgj6%2FaQhEPGbT7x5z6tA%2FzVB" TargetMode="External"/><Relationship Id="rId108" Type="http://schemas.openxmlformats.org/officeDocument/2006/relationships/hyperlink" Target="https://docstore.ohchr.org/SelfServices/FilesHandler.ashx?enc=6QkG1d%2FPPRiCAqhKb7yhsuoO1aAYJ6VmNP4LonUL9sirGNBx0BDPQylFzMNh%2BBP5a%2FrMh8QqsqtzGhsW21L8Tz%2BXBoT7mChZucEBmnpWUgj6%2FaQhEPGbT7x5z6tA%2FzVB" TargetMode="External"/><Relationship Id="rId124" Type="http://schemas.openxmlformats.org/officeDocument/2006/relationships/hyperlink" Target="https://dawnmena.org/jordan-end-assault-on-pro-palestine-protests/" TargetMode="External"/><Relationship Id="rId129" Type="http://schemas.openxmlformats.org/officeDocument/2006/relationships/hyperlink" Target="https://www.alkarama.org/en/articles/jordan-shadow-report-un-human-rights-committee-highlights-human-rights-abuses-name" TargetMode="External"/><Relationship Id="rId54" Type="http://schemas.openxmlformats.org/officeDocument/2006/relationships/hyperlink" Target="https://www.okaz.com.sa/local/na/1537363" TargetMode="External"/><Relationship Id="rId70" Type="http://schemas.openxmlformats.org/officeDocument/2006/relationships/hyperlink" Target="https://docstore.ohchr.org/SelfServices/FilesHandler.ashx?enc=6QkG1d%2FPPRiCAqhKb7yhsuoO1aAYJ6VmNP4LonUL9sirGNBx0BDPQylFzMNh%2BBP5a%2FrMh8QqsqtzGhsW21L8Tz%2BXBoT7mChZucEBmnpWUgj6%2FaQhEPGbT7x5z6tA%2FzVB" TargetMode="External"/><Relationship Id="rId75" Type="http://schemas.openxmlformats.org/officeDocument/2006/relationships/hyperlink" Target="https://menarights.org/en/case/kamil-al-zoubi" TargetMode="External"/><Relationship Id="rId91" Type="http://schemas.openxmlformats.org/officeDocument/2006/relationships/hyperlink" Target="https://spcommreports.ohchr.org/TMResultsBase/DownLoadPublicCommunicationFile?gId=26769" TargetMode="External"/><Relationship Id="rId96" Type="http://schemas.openxmlformats.org/officeDocument/2006/relationships/hyperlink" Target="https://www.alkarama.org/en/articles/jordan-shadow-report-un-human-rights-committee-highlights-human-rights-abuses-name" TargetMode="External"/><Relationship Id="rId140" Type="http://schemas.openxmlformats.org/officeDocument/2006/relationships/hyperlink" Target="https://menarights.org/en/articles/aimc" TargetMode="External"/><Relationship Id="rId145" Type="http://schemas.openxmlformats.org/officeDocument/2006/relationships/hyperlink" Target="https://spcommreports.ohchr.org/TMResultsBase/DownLoadPublicCommunicationFile?gId=25072%C2%A0%C2%A0" TargetMode="External"/><Relationship Id="rId1" Type="http://schemas.openxmlformats.org/officeDocument/2006/relationships/hyperlink" Target="https://docstore.ohchr.org/SelfServices/FilesHandler.ashx?enc=6QkG1d%2FPPRiCAqhKb7yhsuoO1aAYJ6VmNP4LonUL9sirGNBx0BDPQylFzMNh%2BBP5a%2FrMh8QqsqtzGhsW21L8Tz%2BXBoT7mChZucEBmnpWUgj6%2FaQhEPGbT7x5z6tA%2FzVB" TargetMode="External"/><Relationship Id="rId6" Type="http://schemas.openxmlformats.org/officeDocument/2006/relationships/hyperlink" Target="https://docstore.ohchr.org/SelfServices/FilesHandler.ashx?enc=6QkG1d%2FPPRiCAqhKb7yhsuoO1aAYJ6VmNP4LonUL9si%2F6BRpobGHFNy2xW5%2BmLqKH9vcnfYrVk8kUOJb%2BBauqXGSNlarSqeb%2BP%2FZEfv7JDfA8DjIHm3bys7hB5acwHqC" TargetMode="External"/><Relationship Id="rId23" Type="http://schemas.openxmlformats.org/officeDocument/2006/relationships/hyperlink" Target="https://menarights.org/en/documents/universal-periodic-review-jordan-report-submitted-un-human-rights-council" TargetMode="External"/><Relationship Id="rId28" Type="http://schemas.openxmlformats.org/officeDocument/2006/relationships/hyperlink" Target="https://euromedmonitor.org/ar/article/4972/%D8%A7%D9%84%D8%A3%D8%B1%D8%AF%D9%86..-11-%D9%86%D8%A7%D8%B4%D8%B7%D9%8B%D8%A7-%D8%B3%D9%8A%D8%A7%D8%B3%D9%8A%D9%8B%D8%A7-%D9%85%D8%AD%D8%AA%D8%AC%D8%B2%D9%88%D9%86-%D9%81%D9%8A-%D8%B8%D8%B1%D9%88%D9%81-%D8%B3%D9%8A%D8%A6%D8%A9-%D9%88%D8%AF%D9%88%D9%86-" TargetMode="External"/><Relationship Id="rId49" Type="http://schemas.openxmlformats.org/officeDocument/2006/relationships/hyperlink" Target="https://www.menarights.org/en/articles/aimc" TargetMode="External"/><Relationship Id="rId114" Type="http://schemas.openxmlformats.org/officeDocument/2006/relationships/hyperlink" Target="https://www.jordannews.jo/Section-109/News/31-prisoners-face-death-sentence-in-Jordan-27037" TargetMode="External"/><Relationship Id="rId119" Type="http://schemas.openxmlformats.org/officeDocument/2006/relationships/hyperlink" Target="https://docstore.ohchr.org/SelfServices/FilesHandler.ashx?enc=6QkG1d%2FPPRiCAqhKb7yhsuoO1aAYJ6VmNP4LonUL9si%2F6BRpobGHFNy2xW5%2BmLqKH9vcnfYrVk8kUOJb%2BBauqXGSNlarSqeb%2BP%2FZEfv7JDfA8DjIHm3bys7hB5acwHqC" TargetMode="External"/><Relationship Id="rId44" Type="http://schemas.openxmlformats.org/officeDocument/2006/relationships/hyperlink" Target="https://www.ohchr.org/sites/default/files/documents/countries/nhri/ganhri/SCA-Report-First-Session-2023-EN.pdf" TargetMode="External"/><Relationship Id="rId60" Type="http://schemas.openxmlformats.org/officeDocument/2006/relationships/hyperlink" Target="https://menarights.org/en/case/khalaf-abdul-rahman-abdulla-humaid-al-romaithi" TargetMode="External"/><Relationship Id="rId65" Type="http://schemas.openxmlformats.org/officeDocument/2006/relationships/hyperlink" Target="https://www.hrw.org/news/2024/04/29/uae-unfair-trial-rights-defenders" TargetMode="External"/><Relationship Id="rId81" Type="http://schemas.openxmlformats.org/officeDocument/2006/relationships/hyperlink" Target="https://dawnmena.org/jordan-government-retaliates-against-staff-of-national-council-of-human-rights-with-spurious-criminal-charges/" TargetMode="External"/><Relationship Id="rId86" Type="http://schemas.openxmlformats.org/officeDocument/2006/relationships/hyperlink" Target="https://euromedrights.org/wp-content/uploads/2018/03/JORDAN-The-Independence-and-Impartiality-of-the-Judiciary-EN.pdf" TargetMode="External"/><Relationship Id="rId130" Type="http://schemas.openxmlformats.org/officeDocument/2006/relationships/hyperlink" Target="https://www.hrw.org/news/2014/05/17/jordan-terrorism-amendments-threaten-rights" TargetMode="External"/><Relationship Id="rId135" Type="http://schemas.openxmlformats.org/officeDocument/2006/relationships/hyperlink" Target="https://www.alkarama.org/en/articles/jordan-shadow-report-un-human-rights-committee-highlights-human-rights-abuses-name" TargetMode="External"/><Relationship Id="rId13" Type="http://schemas.openxmlformats.org/officeDocument/2006/relationships/hyperlink" Target="https://www.state.gov/reports/2023-country-reports-on-human-rights-practices/jordan/" TargetMode="External"/><Relationship Id="rId18" Type="http://schemas.openxmlformats.org/officeDocument/2006/relationships/hyperlink" Target="https://www.amnesty.org/en/latest/news/2024/08/jordan-new-cybercrimes-law-stifling-freedom-of-expression-one-year-on/" TargetMode="External"/><Relationship Id="rId39" Type="http://schemas.openxmlformats.org/officeDocument/2006/relationships/hyperlink" Target="https://ganhri.org/wp-content/uploads/2024/07/StatusAccreditationChartNHRIs_July2024.pdf" TargetMode="External"/><Relationship Id="rId109" Type="http://schemas.openxmlformats.org/officeDocument/2006/relationships/hyperlink" Target="https://docstore.ohchr.org/SelfServices/FilesHandler.ashx?enc=6QkG1d%2FPPRiCAqhKb7yhsuoO1aAYJ6VmNP4LonUL9si%2F6BRpobGHFNy2xW5%2BmLqKH9vcnfYrVk8kUOJb%2BBauqXGSNlarSqeb%2BP%2FZEfv7JDfA8DjIHm3bys7hB5acwHqC" TargetMode="External"/><Relationship Id="rId34" Type="http://schemas.openxmlformats.org/officeDocument/2006/relationships/hyperlink" Target="https://www.hrw.org/report/2009/05/26/guests-governor/administrative-detention-undermines-rule-law-jordan" TargetMode="External"/><Relationship Id="rId50" Type="http://schemas.openxmlformats.org/officeDocument/2006/relationships/hyperlink" Target="https://dailyreports.nauss.edu.sa/en-us/about-nauss/Pages/supreme-council/dr-muhammad-koman.aspx" TargetMode="External"/><Relationship Id="rId55" Type="http://schemas.openxmlformats.org/officeDocument/2006/relationships/hyperlink" Target="https://www.interpol.int/Who-we-are/Commission-for-the-Control-of-INTERPOL-s-Files-CCF" TargetMode="External"/><Relationship Id="rId76" Type="http://schemas.openxmlformats.org/officeDocument/2006/relationships/hyperlink" Target="https://menarights.org/en/documents/universal-periodic-review-jordan-report-submitted-un-human-rights-council" TargetMode="External"/><Relationship Id="rId97" Type="http://schemas.openxmlformats.org/officeDocument/2006/relationships/hyperlink" Target="https://docstore.ohchr.org/SelfServices/FilesHandler.ashx?enc=6QkG1d%2FPPRiCAqhKb7yhsuoO1aAYJ6VmNP4LonUL9si%2F6BRpobGHFNy2xW5%2BmLqKH9vcnfYrVk8kUOJb%2BBauqXGSNlarSqeb%2BP%2FZEfv7JDfA8DjIHm3bys7hB5acwHqC" TargetMode="External"/><Relationship Id="rId104" Type="http://schemas.openxmlformats.org/officeDocument/2006/relationships/hyperlink" Target="https://docstore.ohchr.org/SelfServices/FilesHandler.ashx?enc=6QkG1d%2FPPRiCAqhKb7yhsuoO1aAYJ6VmNP4LonUL9si%2F6BRpobGHFNy2xW5%2BmLqKH9vcnfYrVk8kUOJb%2BBauqXGSNlarSqeb%2BP%2FZEfv7JDfA8DjIHm3bys7hB5acwHqC" TargetMode="External"/><Relationship Id="rId120" Type="http://schemas.openxmlformats.org/officeDocument/2006/relationships/hyperlink" Target="https://www.hrw.org/news/2024/02/06/jordan-arrests-harassment-pro-palestine-protesters" TargetMode="External"/><Relationship Id="rId125" Type="http://schemas.openxmlformats.org/officeDocument/2006/relationships/hyperlink" Target="https://www.amnesty.org/en/latest/news/2024/04/jordan-stop-cracking-down-on-pro-gaza-protests-and-release-those-charged-for-exercising-their-freedoms-of-assembly-and-expression/" TargetMode="External"/><Relationship Id="rId141" Type="http://schemas.openxmlformats.org/officeDocument/2006/relationships/hyperlink" Target="https://spcommreports.ohchr.org/TMResultsBase/DownLoadPublicCommunicationFile?gId=27053" TargetMode="External"/><Relationship Id="rId146" Type="http://schemas.openxmlformats.org/officeDocument/2006/relationships/hyperlink" Target="https://spcommreports.ohchr.org/TMResultsBase/DownLoadPublicCommunicationFile?gId=28012" TargetMode="External"/><Relationship Id="rId7" Type="http://schemas.openxmlformats.org/officeDocument/2006/relationships/hyperlink" Target="https://docstore.ohchr.org/SelfServices/FilesHandler.ashx?enc=6QkG1d%2FPPRiCAqhKb7yhsuoO1aAYJ6VmNP4LonUL9si%2F6BRpobGHFNy2xW5%2BmLqKH9vcnfYrVk8kUOJb%2BBauqXGSNlarSqeb%2BP%2FZEfv7JDfA8DjIHm3bys7hB5acwHqC" TargetMode="External"/><Relationship Id="rId71" Type="http://schemas.openxmlformats.org/officeDocument/2006/relationships/hyperlink" Target="https://www.alkarama.org/en/articles/jordan-shadow-report-un-human-rights-committee-highlights-human-rights-abuses-name" TargetMode="External"/><Relationship Id="rId92" Type="http://schemas.openxmlformats.org/officeDocument/2006/relationships/hyperlink" Target="https://docstore.ohchr.org/SelfServices/FilesHandler.ashx?enc=6QkG1d%2FPPRiCAqhKb7yhsuoO1aAYJ6VmNP4LonUL9sirGNBx0BDPQylFzMNh%2BBP5a%2FrMh8QqsqtzGhsW21L8Tz%2BXBoT7mChZucEBmnpWUgj6%2FaQhEPGbT7x5z6tA%2FzVB" TargetMode="External"/><Relationship Id="rId2" Type="http://schemas.openxmlformats.org/officeDocument/2006/relationships/hyperlink" Target="https://docstore.ohchr.org/SelfServices/FilesHandler.ashx?enc=6QkG1d%2FPPRiCAqhKb7yhsuoO1aAYJ6VmNP4LonUL9si%2F6BRpobGHFNy2xW5%2BmLqKH9vcnfYrVk8kUOJb%2BBauqXGSNlarSqeb%2BP%2FZEfv7JDfA8DjIHm3bys7hB5acwHqC" TargetMode="External"/><Relationship Id="rId29" Type="http://schemas.openxmlformats.org/officeDocument/2006/relationships/hyperlink" Target="https://www.amnesty.org/en/documents/pol10/5670/2023/en/" TargetMode="External"/><Relationship Id="rId24" Type="http://schemas.openxmlformats.org/officeDocument/2006/relationships/hyperlink" Target="https://www.hrw.org/report/2009/05/26/guests-governor/administrative-detention-undermines-rule-law-jordan" TargetMode="External"/><Relationship Id="rId40" Type="http://schemas.openxmlformats.org/officeDocument/2006/relationships/hyperlink" Target="https://www.ohchr.org/sites/default/files/documents/countries/nhri/ganhri/2022-11-08/SCA-Adopted-Report-October-2022-EN.pdf" TargetMode="External"/><Relationship Id="rId45" Type="http://schemas.openxmlformats.org/officeDocument/2006/relationships/hyperlink" Target="https://docstore.ohchr.org/SelfServices/FilesHandler.ashx?enc=6QkG1d%2FPPRiCAqhKb7yhsuoO1aAYJ6VmNP4LonUL9sirGNBx0BDPQylFzMNh%2BBP5a%2FrMh8QqsqtzGhsW21L8Tz%2BXBoT7mChZucEBmnpWUgj6%2FaQhEPGbT7x5z6tA%2FzVB" TargetMode="External"/><Relationship Id="rId66" Type="http://schemas.openxmlformats.org/officeDocument/2006/relationships/hyperlink" Target="https://www.hrw.org/news/2022/09/18/jordan-government-crushes-civic-space" TargetMode="External"/><Relationship Id="rId87" Type="http://schemas.openxmlformats.org/officeDocument/2006/relationships/hyperlink" Target="https://docstore.ohchr.org/SelfServices/FilesHandler.ashx?enc=6QkG1d%2FPPRiCAqhKb7yhsuoO1aAYJ6VmNP4LonUL9sirGNBx0BDPQylFzMNh%2BBP5a%2FrMh8QqsqtzGhsW21L8Tz%2BXBoT7mChZucEBmnpWUgj6%2FaQhEPGbT7x5z6tA%2FzVB" TargetMode="External"/><Relationship Id="rId110" Type="http://schemas.openxmlformats.org/officeDocument/2006/relationships/hyperlink" Target="https://docstore.ohchr.org/SelfServices/FilesHandler.ashx?enc=6QkG1d%2FPPRiCAqhKb7yhsuoO1aAYJ6VmNP4LonUL9sirGNBx0BDPQylFzMNh%2BBP5a%2FrMh8QqsqtzGhsW21L8Tz%2BXBoT7mChZucEBmnpWUgj6%2FaQhEPGbT7x5z6tA%2FzVB" TargetMode="External"/><Relationship Id="rId115" Type="http://schemas.openxmlformats.org/officeDocument/2006/relationships/hyperlink" Target="https://www.middleeastmonitor.com/20220627-jordan-has-239-people-on-death-row/" TargetMode="External"/><Relationship Id="rId131" Type="http://schemas.openxmlformats.org/officeDocument/2006/relationships/hyperlink" Target="https://www.alkarama.org/en/articles/jordan-shadow-report-un-human-rights-committee-highlights-human-rights-abuses-name" TargetMode="External"/><Relationship Id="rId136" Type="http://schemas.openxmlformats.org/officeDocument/2006/relationships/hyperlink" Target="https://docstore.ohchr.org/SelfServices/FilesHandler.ashx?enc=6QkG1d%2FPPRiCAqhKb7yhsuoO1aAYJ6VmNP4LonUL9si%2F6BRpobGHFNy2xW5%2BmLqKH9vcnfYrVk8kUOJb%2BBauqXGSNlarSqeb%2BP%2FZEfv7JDfA8DjIHm3bys7hB5acwHqC" TargetMode="External"/><Relationship Id="rId61" Type="http://schemas.openxmlformats.org/officeDocument/2006/relationships/hyperlink" Target="https://menarights.org/en/articles/united-arab-emirates-free-members-uae94-and-other-prisoners-conscience" TargetMode="External"/><Relationship Id="rId82" Type="http://schemas.openxmlformats.org/officeDocument/2006/relationships/hyperlink" Target="https://www.amnesty.org/en/documents/pol10/5670/2023/en/" TargetMode="External"/><Relationship Id="rId19" Type="http://schemas.openxmlformats.org/officeDocument/2006/relationships/hyperlink" Target="https://docstore.ohchr.org/SelfServices/FilesHandler.ashx?enc=6QkG1d%2FPPRiCAqhKb7yhsuoO1aAYJ6VmNP4LonUL9sirGNBx0BDPQylFzMNh%2BBP5a%2FrMh8QqsqtzGhsW21L8Tz%2BXBoT7mChZucEBmnpWUgj6%2FaQhEPGbT7x5z6tA%2FzVB" TargetMode="External"/><Relationship Id="rId14" Type="http://schemas.openxmlformats.org/officeDocument/2006/relationships/hyperlink" Target="https://docstore.ohchr.org/SelfServices/FilesHandler.ashx?enc=6QkG1d%2FPPRiCAqhKb7yhsuoO1aAYJ6VmNP4LonUL9sirGNBx0BDPQylFzMNh%2BBP5a%2FrMh8QqsqtzGhsW21L8Tz%2BXBoT7mChZucEBmnpWUgj6%2FaQhEPGbT7x5z6tA%2FzVB" TargetMode="External"/><Relationship Id="rId30" Type="http://schemas.openxmlformats.org/officeDocument/2006/relationships/hyperlink" Target="https://www.state.gov/reports/2023-country-reports-on-human-rights-practices/jordan/" TargetMode="External"/><Relationship Id="rId35" Type="http://schemas.openxmlformats.org/officeDocument/2006/relationships/hyperlink" Target="https://docstore.ohchr.org/SelfServices/FilesHandler.ashx?enc=6QkG1d%2FPPRiCAqhKb7yhsuoO1aAYJ6VmNP4LonUL9sirGNBx0BDPQylFzMNh%2BBP5a%2FrMh8QqsqtzGhsW21L8Tz%2BXBoT7mChZucEBmnpWUgj6%2FaQhEPGbT7x5z6tA%2FzVB" TargetMode="External"/><Relationship Id="rId56" Type="http://schemas.openxmlformats.org/officeDocument/2006/relationships/hyperlink" Target="https://www.interpol.int/How-we-work/Notices/Compliance-and-review" TargetMode="External"/><Relationship Id="rId77" Type="http://schemas.openxmlformats.org/officeDocument/2006/relationships/hyperlink" Target="https://www.hrw.org/news/2022/09/18/jordan-government-crushes-civic-space" TargetMode="External"/><Relationship Id="rId100" Type="http://schemas.openxmlformats.org/officeDocument/2006/relationships/hyperlink" Target="https://docstore.ohchr.org/SelfServices/FilesHandler.ashx?enc=6QkG1d%2FPPRiCAqhKb7yhsuoO1aAYJ6VmNP4LonUL9sirGNBx0BDPQylFzMNh%2BBP5a%2FrMh8QqsqtzGhsW21L8Tz%2BXBoT7mChZucEBmnpWUgj6%2FaQhEPGbT7x5z6tA%2FzVB" TargetMode="External"/><Relationship Id="rId105" Type="http://schemas.openxmlformats.org/officeDocument/2006/relationships/hyperlink" Target="https://www.alkarama.org/en/articles/jordan-shadow-report-un-human-rights-committee-highlights-human-rights-abuses-name" TargetMode="External"/><Relationship Id="rId126" Type="http://schemas.openxmlformats.org/officeDocument/2006/relationships/hyperlink" Target="https://docstore.ohchr.org/SelfServices/FilesHandler.ashx?enc=6QkG1d%2FPPRiCAqhKb7yhsuoO1aAYJ6VmNP4LonUL9sirGNBx0BDPQylFzMNh%2BBP5a%2FrMh8QqsqtzGhsW21L8Tz%2BXBoT7mChZucEBmnpWUgj6%2FaQhEPGbT7x5z6tA%2FzVB" TargetMode="External"/><Relationship Id="rId147" Type="http://schemas.openxmlformats.org/officeDocument/2006/relationships/hyperlink" Target="https://www.ohchr.org/sites/default/files/Documents/Issues/Opinion/Legislation/OL_TUN_4_2019.pdf" TargetMode="External"/><Relationship Id="rId8" Type="http://schemas.openxmlformats.org/officeDocument/2006/relationships/hyperlink" Target="https://docstore.ohchr.org/SelfServices/FilesHandler.ashx?enc=6QkG1d%2FPPRiCAqhKb7yhsuoO1aAYJ6VmNP4LonUL9sirGNBx0BDPQylFzMNh%2BBP5a%2FrMh8QqsqtzGhsW21L8Tz%2BXBoT7mChZucEBmnpWUgj6%2FaQhEPGbT7x5z6tA%2FzVB" TargetMode="External"/><Relationship Id="rId51" Type="http://schemas.openxmlformats.org/officeDocument/2006/relationships/hyperlink" Target="https://www.aim-council.org/specialized-offices/riyadh/" TargetMode="External"/><Relationship Id="rId72" Type="http://schemas.openxmlformats.org/officeDocument/2006/relationships/hyperlink" Target="https://gid.gov.jo/topics-views/frequently-asked-questions/" TargetMode="External"/><Relationship Id="rId93" Type="http://schemas.openxmlformats.org/officeDocument/2006/relationships/hyperlink" Target="https://docstore.ohchr.org/SelfServices/FilesHandler.ashx?enc=6QkG1d%2FPPRiCAqhKb7yhsuoO1aAYJ6VmNP4LonUL9si%2F6BRpobGHFNy2xW5%2BmLqKH9vcnfYrVk8kUOJb%2BBauqXGSNlarSqeb%2BP%2FZEfv7JDfA8DjIHm3bys7hB5acwHqC" TargetMode="External"/><Relationship Id="rId98" Type="http://schemas.openxmlformats.org/officeDocument/2006/relationships/hyperlink" Target="https://spcommreports.ohchr.org/TMResultsBase/DownLoadPublicCommunicationFile?gId=26769" TargetMode="External"/><Relationship Id="rId121" Type="http://schemas.openxmlformats.org/officeDocument/2006/relationships/hyperlink" Target="https://dawnmena.org/jordan-end-assault-on-pro-palestine-protests/" TargetMode="External"/><Relationship Id="rId142" Type="http://schemas.openxmlformats.org/officeDocument/2006/relationships/hyperlink" Target="https://spcommreports.ohchr.org/TMResultsBase/DownLoadPublicCommunicationFile?gId=26905" TargetMode="External"/><Relationship Id="rId3" Type="http://schemas.openxmlformats.org/officeDocument/2006/relationships/hyperlink" Target="https://docstore.ohchr.org/SelfServices/FilesHandler.ashx?enc=6QkG1d%2FPPRiCAqhKb7yhsuoO1aAYJ6VmNP4LonUL9sirGNBx0BDPQylFzMNh%2BBP5a%2FrMh8QqsqtzGhsW21L8Tz%2BXBoT7mChZucEBmnpWUgj6%2FaQhEPGbT7x5z6tA%2FzVB" TargetMode="External"/><Relationship Id="rId25" Type="http://schemas.openxmlformats.org/officeDocument/2006/relationships/hyperlink" Target="https://www.hrw.org/report/2009/05/26/guests-governor/administrative-detention-undermines-rule-law-jordan" TargetMode="External"/><Relationship Id="rId46" Type="http://schemas.openxmlformats.org/officeDocument/2006/relationships/hyperlink" Target="https://docstore.ohchr.org/SelfServices/FilesHandler.ashx?enc=6QkG1d%2FPPRiCAqhKb7yhsuoO1aAYJ6VmNP4LonUL9si%2F6BRpobGHFNy2xW5%2BmLqKH9vcnfYrVk8kUOJb%2BBauqXGSNlarSqeb%2BP%2FZEfv7JDfA8DjIHm3bys7hB5acwHqC" TargetMode="External"/><Relationship Id="rId67" Type="http://schemas.openxmlformats.org/officeDocument/2006/relationships/hyperlink" Target="https://www.alkarama.org/en/articles/jordan-shadow-report-un-human-rights-committee-highlights-human-rights-abuses-name" TargetMode="External"/><Relationship Id="rId116" Type="http://schemas.openxmlformats.org/officeDocument/2006/relationships/hyperlink" Target="https://www.ecpm.org/app/uploads/2023/07/flyer-Jordanie-GB-280823-bd.pdf" TargetMode="External"/><Relationship Id="rId137" Type="http://schemas.openxmlformats.org/officeDocument/2006/relationships/hyperlink" Target="https://www.refworld.org/legal/agreements/las/1998/en/29059" TargetMode="External"/><Relationship Id="rId20" Type="http://schemas.openxmlformats.org/officeDocument/2006/relationships/hyperlink" Target="https://docstore.ohchr.org/SelfServices/FilesHandler.ashx?enc=6QkG1d%2FPPRiCAqhKb7yhsuoO1aAYJ6VmNP4LonUL9sirGNBx0BDPQylFzMNh%2BBP5a%2FrMh8QqsqtzGhsW21L8Tz%2BXBoT7mChZucEBmnpWUgj6%2FaQhEPGbT7x5z6tA%2FzVB" TargetMode="External"/><Relationship Id="rId41" Type="http://schemas.openxmlformats.org/officeDocument/2006/relationships/hyperlink" Target="https://www.ohchr.org/sites/default/files/documents/countries/nhri/ganhri/2022-11-08/SCA-Adopted-Report-October-2022-EN.pdf" TargetMode="External"/><Relationship Id="rId62" Type="http://schemas.openxmlformats.org/officeDocument/2006/relationships/hyperlink" Target="https://documents.un.org/doc/undoc/gen/g14/131/83/pdf/g1413183.pdf" TargetMode="External"/><Relationship Id="rId83" Type="http://schemas.openxmlformats.org/officeDocument/2006/relationships/hyperlink" Target="https://www.state.gov/wp-content/uploads/2023/02/JORDAN-2022-HUMAN-RIGHTS-REPORT.pdf" TargetMode="External"/><Relationship Id="rId88" Type="http://schemas.openxmlformats.org/officeDocument/2006/relationships/hyperlink" Target="https://www.jordannews.jo/Section-109/News/Over-19-000-people-detained-in-Jordan-currently-Interior-Minister-12562" TargetMode="External"/><Relationship Id="rId111" Type="http://schemas.openxmlformats.org/officeDocument/2006/relationships/hyperlink" Target="https://www.ecpm.org/app/uploads/2023/07/flyer-Jordanie-GB-280823-bd.pdf" TargetMode="External"/><Relationship Id="rId132" Type="http://schemas.openxmlformats.org/officeDocument/2006/relationships/hyperlink" Target="https://www.hrw.org/news/2014/05/17/jordan-terrorism-amendments-threaten-rights" TargetMode="External"/><Relationship Id="rId15" Type="http://schemas.openxmlformats.org/officeDocument/2006/relationships/hyperlink" Target="https://docstore.ohchr.org/SelfServices/FilesHandler.ashx?enc=6QkG1d%2FPPRiCAqhKb7yhsuoO1aAYJ6VmNP4LonUL9si%2F6BRpobGHFNy2xW5%2BmLqKH9vcnfYrVk8kUOJb%2BBauqXGSNlarSqeb%2BP%2FZEfv7JDfA8DjIHm3bys7hB5acwHqC" TargetMode="External"/><Relationship Id="rId36" Type="http://schemas.openxmlformats.org/officeDocument/2006/relationships/hyperlink" Target="https://docstore.ohchr.org/SelfServices/FilesHandler.ashx?enc=6QkG1d%2FPPRiCAqhKb7yhsuoO1aAYJ6VmNP4LonUL9sirGNBx0BDPQylFzMNh%2BBP5a%2FrMh8QqsqtzGhsW21L8Tz%2BXBoT7mChZucEBmnpWUgj6%2FaQhEPGbT7x5z6tA%2FzVB" TargetMode="External"/><Relationship Id="rId57" Type="http://schemas.openxmlformats.org/officeDocument/2006/relationships/hyperlink" Target="https://spcommreports.ohchr.org/TMResultsBase/DownLoadPublicCommunicationFile?gId=27863" TargetMode="External"/><Relationship Id="rId106" Type="http://schemas.openxmlformats.org/officeDocument/2006/relationships/hyperlink" Target="https://www.state.gov/wp-content/uploads/2023/02/JORDAN-2022-HUMAN-RIGHTS-REPORT.pdf" TargetMode="External"/><Relationship Id="rId127" Type="http://schemas.openxmlformats.org/officeDocument/2006/relationships/hyperlink" Target="https://docstore.ohchr.org/SelfServices/FilesHandler.ashx?enc=6QkG1d%2FPPRiCAqhKb7yhsuoO1aAYJ6VmNP4LonUL9si%2F6BRpobGHFNy2xW5%2BmLqKH9vcnfYrVk8kUOJb%2BBauqXGSNlarSqeb%2BP%2FZEfv7JDfA8DjIHm3bys7hB5acwHqC" TargetMode="External"/><Relationship Id="rId10" Type="http://schemas.openxmlformats.org/officeDocument/2006/relationships/hyperlink" Target="https://docstore.ohchr.org/SelfServices/FilesHandler.ashx?enc=6QkG1d%2FPPRiCAqhKb7yhsuoO1aAYJ6VmNP4LonUL9sirGNBx0BDPQylFzMNh%2BBP5a%2FrMh8QqsqtzGhsW21L8Tz%2BXBoT7mChZucEBmnpWUgj6%2FaQhEPGbT7x5z6tA%2FzVB" TargetMode="External"/><Relationship Id="rId31" Type="http://schemas.openxmlformats.org/officeDocument/2006/relationships/hyperlink" Target="https://www.amnesty.org/en/latest/news/2024/08/jordan-new-cybercrimes-law-stifling-freedom-of-expression-one-year-on/" TargetMode="External"/><Relationship Id="rId52" Type="http://schemas.openxmlformats.org/officeDocument/2006/relationships/hyperlink" Target="https://www.mohamah.net/law/wp-content/uploads/2017/01/%D9%86%D8%B5%D9%88%D8%B5-%D9%88-%D9%85%D9%88%D8%A7%D8%AF-%D8%A7%D9%84%D9%86%D8%B8%D8%A7%D9%85-%D8%A7%D9%84%D8%A3%D8%B3%D8%A7%D8%B3%D9%8A-%D9%84%D9%85%D8%AC%D9%84%D8%B3-%D9%88%D8%B2%D8%B1%D8%A7%D8%A1-%D8%A7%D9%84%D8%AF%D8%A7%D8%AE%D9%84%D9%8A%D8%A9-%D8%A7%D9%84%D8%B9%D8%B1%D8%A8.pdf" TargetMode="External"/><Relationship Id="rId73" Type="http://schemas.openxmlformats.org/officeDocument/2006/relationships/hyperlink" Target="https://www.hrw.org/news/2022/09/18/jordan-government-crushes-civic-space" TargetMode="External"/><Relationship Id="rId78" Type="http://schemas.openxmlformats.org/officeDocument/2006/relationships/hyperlink" Target="https://www.state.gov/reports/2023-country-reports-on-human-rights-practices/jordan/" TargetMode="External"/><Relationship Id="rId94" Type="http://schemas.openxmlformats.org/officeDocument/2006/relationships/hyperlink" Target="https://freedomhouse.org/country/jordan/freedom-world/2023" TargetMode="External"/><Relationship Id="rId99" Type="http://schemas.openxmlformats.org/officeDocument/2006/relationships/hyperlink" Target="https://docstore.ohchr.org/SelfServices/FilesHandler.ashx?enc=6QkG1d%2FPPRiCAqhKb7yhsuoO1aAYJ6VmNP4LonUL9si%2F6BRpobGHFNy2xW5%2BmLqKH9vcnfYrVk8kUOJb%2BBauqXGSNlarSqeb%2BP%2FZEfv7JDfA8DjIHm3bys7hB5acwHqC" TargetMode="External"/><Relationship Id="rId101" Type="http://schemas.openxmlformats.org/officeDocument/2006/relationships/hyperlink" Target="https://docstore.ohchr.org/SelfServices/FilesHandler.ashx?enc=6QkG1d%2FPPRiCAqhKb7yhsuoO1aAYJ6VmNP4LonUL9si%2F6BRpobGHFNy2xW5%2BmLqKH9vcnfYrVk8kUOJb%2BBauqXGSNlarSqeb%2BP%2FZEfv7JDfA8DjIHm3bys7hB5acwHqC" TargetMode="External"/><Relationship Id="rId122" Type="http://schemas.openxmlformats.org/officeDocument/2006/relationships/hyperlink" Target="https://www.hrw.org/news/2024/02/06/jordan-arrests-harassment-pro-palestine-protesters" TargetMode="External"/><Relationship Id="rId143" Type="http://schemas.openxmlformats.org/officeDocument/2006/relationships/hyperlink" Target="https://spcommreports.ohchr.org/TMResultsBase/DownLoadPublicCommunicationFile?gId=25726" TargetMode="External"/><Relationship Id="rId4" Type="http://schemas.openxmlformats.org/officeDocument/2006/relationships/hyperlink" Target="https://docstore.ohchr.org/SelfServices/FilesHandler.ashx?enc=6QkG1d%2FPPRiCAqhKb7yhsuoO1aAYJ6VmNP4LonUL9sirGNBx0BDPQylFzMNh%2BBP5a%2FrMh8QqsqtzGhsW21L8Tz%2BXBoT7mChZucEBmnpWUgj6%2FaQhEPGbT7x5z6tA%2FzVB" TargetMode="External"/><Relationship Id="rId9" Type="http://schemas.openxmlformats.org/officeDocument/2006/relationships/hyperlink" Target="https://documents.un.org/doc/undoc/gen/g17/354/93/pdf/g1735493.pdf" TargetMode="External"/><Relationship Id="rId26" Type="http://schemas.openxmlformats.org/officeDocument/2006/relationships/hyperlink" Target="https://www.amnesty.org/en/documents/pol10/5670/2023/en/" TargetMode="External"/><Relationship Id="rId47" Type="http://schemas.openxmlformats.org/officeDocument/2006/relationships/hyperlink" Target="https://www.refworld.org/docid/3ae6b38d8.html" TargetMode="External"/><Relationship Id="rId68" Type="http://schemas.openxmlformats.org/officeDocument/2006/relationships/hyperlink" Target="https://gid.gov.jo/gid-info/g-i-d-s-duties/" TargetMode="External"/><Relationship Id="rId89" Type="http://schemas.openxmlformats.org/officeDocument/2006/relationships/hyperlink" Target="https://docstore.ohchr.org/SelfServices/FilesHandler.ashx?enc=6QkG1d%2FPPRiCAqhKb7yhsuoO1aAYJ6VmNP4LonUL9si%2F6BRpobGHFNy2xW5%2BmLqKH9vcnfYrVk8kUOJb%2BBauqXGSNlarSqeb%2BP%2FZEfv7JDfA8DjIHm3bys7hB5acwHqC" TargetMode="External"/><Relationship Id="rId112" Type="http://schemas.openxmlformats.org/officeDocument/2006/relationships/hyperlink" Target="https://www.hrw.org/news/2014/12/21/jordan-resumes-death-penalty-executes-11" TargetMode="External"/><Relationship Id="rId133" Type="http://schemas.openxmlformats.org/officeDocument/2006/relationships/hyperlink" Target="https://spcommreports.ohchr.org/TMResultsBase/DownLoadPublicCommunicationFile?gId=26769" TargetMode="External"/><Relationship Id="rId16" Type="http://schemas.openxmlformats.org/officeDocument/2006/relationships/hyperlink" Target="https://www.alkarama.org/en/articles/jordan-shadow-report-un-human-rights-committee-highlights-human-rights-abuses-name" TargetMode="External"/><Relationship Id="rId37" Type="http://schemas.openxmlformats.org/officeDocument/2006/relationships/hyperlink" Target="https://docstore.ohchr.org/SelfServices/FilesHandler.ashx?enc=6QkG1d%2FPPRiCAqhKb7yhsuoO1aAYJ6VmNP4LonUL9si%2F6BRpobGHFNy2xW5%2BmLqKH9vcnfYrVk8kUOJb%2BBauqXGSNlarSqeb%2BP%2FZEfv7JDfA8DjIHm3bys7hB5acwHqC" TargetMode="External"/><Relationship Id="rId58" Type="http://schemas.openxmlformats.org/officeDocument/2006/relationships/hyperlink" Target="https://spcommreports.ohchr.org/TMResultsBase/DownLoadPublicCommunicationFile?gId=28070" TargetMode="External"/><Relationship Id="rId79" Type="http://schemas.openxmlformats.org/officeDocument/2006/relationships/hyperlink" Target="https://docstore.ohchr.org/SelfServices/FilesHandler.ashx?enc=6QkG1d%2FPPRiCAqhKb7yhsuoO1aAYJ6VmNP4LonUL9si%2F6BRpobGHFNy2xW5%2BmLqKH9vcnfYrVk8kUOJb%2BBauqXGSNlarSqeb%2BP%2FZEfv7JDfA8DjIHm3bys7hB5acwHqC" TargetMode="External"/><Relationship Id="rId102" Type="http://schemas.openxmlformats.org/officeDocument/2006/relationships/hyperlink" Target="https://documents.un.org/doc/undoc/gen/g17/354/93/pdf/g1735493.pdf" TargetMode="External"/><Relationship Id="rId123" Type="http://schemas.openxmlformats.org/officeDocument/2006/relationships/hyperlink" Target="https://www.middleeasteye.net/news/jordan-failed-stop-pro-palestine-protests-now-its-accusing-hamas-leading-them" TargetMode="External"/><Relationship Id="rId144" Type="http://schemas.openxmlformats.org/officeDocument/2006/relationships/hyperlink" Target="https://spcommreports.ohchr.org/TMResultsBase/DownLoadPublicCommunicationFile?gId=25663"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jpg"/><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media/image1.jpg"/><Relationship Id="rId1" Type="http://schemas.openxmlformats.org/officeDocument/2006/relationships/image" Target="media/image2.jpg"/><Relationship Id="rId4"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1.jpg"/><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7486f0b233c04ad951b001ee4e48519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3368b87429645468481e477dbde705a9"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67C2838-2814-459E-A0FE-201D2D72D52D}">
  <ds:schemaRefs>
    <ds:schemaRef ds:uri="http://schemas.openxmlformats.org/officeDocument/2006/bibliography"/>
  </ds:schemaRefs>
</ds:datastoreItem>
</file>

<file path=customXml/itemProps2.xml><?xml version="1.0" encoding="utf-8"?>
<ds:datastoreItem xmlns:ds="http://schemas.openxmlformats.org/officeDocument/2006/customXml" ds:itemID="{DF760C3B-6E56-4FB7-B33C-84CDDB98D7BC}"/>
</file>

<file path=customXml/itemProps3.xml><?xml version="1.0" encoding="utf-8"?>
<ds:datastoreItem xmlns:ds="http://schemas.openxmlformats.org/officeDocument/2006/customXml" ds:itemID="{160D26C3-0B1F-40EF-8191-535E4EC4E261}"/>
</file>

<file path=docProps/app.xml><?xml version="1.0" encoding="utf-8"?>
<Properties xmlns="http://schemas.openxmlformats.org/officeDocument/2006/extended-properties" xmlns:vt="http://schemas.openxmlformats.org/officeDocument/2006/docPropsVTypes">
  <Template>Normal.dotm</Template>
  <TotalTime>1</TotalTime>
  <Pages>36</Pages>
  <Words>10007</Words>
  <Characters>57044</Characters>
  <Application>Microsoft Office Word</Application>
  <DocSecurity>0</DocSecurity>
  <Lines>475</Lines>
  <Paragraphs>133</Paragraphs>
  <ScaleCrop>false</ScaleCrop>
  <Company/>
  <LinksUpToDate>false</LinksUpToDate>
  <CharactersWithSpaces>66918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dc:creator>
  <cp:keywords/>
  <dc:description/>
  <cp:lastModifiedBy>Tanya Boulakovski</cp:lastModifiedBy>
  <cp:revision>2</cp:revision>
  <dcterms:created xsi:type="dcterms:W3CDTF">2024-09-30T15:54:00Z</dcterms:created>
  <dcterms:modified xsi:type="dcterms:W3CDTF">2024-09-30T15:54:00Z</dcterms:modified>
</cp:coreProperties>
</file>