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97D5F" w14:textId="77777777" w:rsidR="00D63B90" w:rsidRDefault="00AC07CC">
      <w:pPr>
        <w:pStyle w:val="Heading3"/>
        <w:keepNext w:val="0"/>
        <w:keepLines w:val="0"/>
        <w:spacing w:before="280"/>
        <w:jc w:val="center"/>
        <w:rPr>
          <w:b/>
          <w:bCs/>
          <w:color w:val="1D1C1D"/>
          <w:sz w:val="26"/>
          <w:szCs w:val="26"/>
          <w:shd w:val="clear" w:color="auto" w:fill="F8F8F8"/>
        </w:rPr>
      </w:pPr>
      <w:bookmarkStart w:id="0" w:name="_n3awjyz2mrlx" w:colFirst="0" w:colLast="0"/>
      <w:bookmarkEnd w:id="0"/>
      <w:r>
        <w:rPr>
          <w:b/>
          <w:bCs/>
          <w:color w:val="1D1C1D"/>
          <w:sz w:val="26"/>
          <w:szCs w:val="26"/>
          <w:shd w:val="clear" w:color="auto" w:fill="F8F8F8"/>
        </w:rPr>
        <w:t xml:space="preserve">  </w:t>
      </w:r>
      <w:r>
        <w:rPr>
          <w:b/>
          <w:bCs/>
          <w:noProof/>
          <w:color w:val="1D1C1D"/>
          <w:sz w:val="26"/>
          <w:szCs w:val="26"/>
          <w:shd w:val="clear" w:color="auto" w:fill="F8F8F8"/>
        </w:rPr>
        <w:drawing>
          <wp:inline distT="114300" distB="114300" distL="114300" distR="114300" wp14:anchorId="30CFE62D" wp14:editId="32BE13C1">
            <wp:extent cx="823075" cy="850061"/>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823075" cy="850061"/>
                    </a:xfrm>
                    <a:prstGeom prst="rect">
                      <a:avLst/>
                    </a:prstGeom>
                    <a:ln/>
                  </pic:spPr>
                </pic:pic>
              </a:graphicData>
            </a:graphic>
          </wp:inline>
        </w:drawing>
      </w:r>
      <w:r>
        <w:rPr>
          <w:b/>
          <w:bCs/>
          <w:color w:val="1D1C1D"/>
          <w:sz w:val="26"/>
          <w:szCs w:val="26"/>
          <w:shd w:val="clear" w:color="auto" w:fill="F8F8F8"/>
        </w:rPr>
        <w:t xml:space="preserve">   </w:t>
      </w:r>
      <w:r>
        <w:rPr>
          <w:b/>
          <w:bCs/>
          <w:noProof/>
          <w:color w:val="1D1C1D"/>
          <w:sz w:val="26"/>
          <w:szCs w:val="26"/>
          <w:shd w:val="clear" w:color="auto" w:fill="F8F8F8"/>
        </w:rPr>
        <w:drawing>
          <wp:inline distT="114300" distB="114300" distL="114300" distR="114300" wp14:anchorId="4108B0EC" wp14:editId="05783776">
            <wp:extent cx="1281357" cy="688136"/>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281357" cy="688136"/>
                    </a:xfrm>
                    <a:prstGeom prst="rect">
                      <a:avLst/>
                    </a:prstGeom>
                    <a:ln/>
                  </pic:spPr>
                </pic:pic>
              </a:graphicData>
            </a:graphic>
          </wp:inline>
        </w:drawing>
      </w:r>
      <w:r>
        <w:rPr>
          <w:b/>
          <w:bCs/>
          <w:noProof/>
          <w:color w:val="1D1C1D"/>
          <w:sz w:val="26"/>
          <w:szCs w:val="26"/>
          <w:shd w:val="clear" w:color="auto" w:fill="F8F8F8"/>
        </w:rPr>
        <w:drawing>
          <wp:inline distT="114300" distB="114300" distL="114300" distR="114300" wp14:anchorId="6FF468A8" wp14:editId="0E5FD71E">
            <wp:extent cx="1409700" cy="85725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409700" cy="857250"/>
                    </a:xfrm>
                    <a:prstGeom prst="rect">
                      <a:avLst/>
                    </a:prstGeom>
                    <a:ln/>
                  </pic:spPr>
                </pic:pic>
              </a:graphicData>
            </a:graphic>
          </wp:inline>
        </w:drawing>
      </w:r>
      <w:r>
        <w:rPr>
          <w:b/>
          <w:bCs/>
          <w:noProof/>
          <w:color w:val="1D1C1D"/>
          <w:sz w:val="26"/>
          <w:szCs w:val="26"/>
          <w:shd w:val="clear" w:color="auto" w:fill="F8F8F8"/>
        </w:rPr>
        <w:drawing>
          <wp:inline distT="114300" distB="114300" distL="114300" distR="114300" wp14:anchorId="0DCC4489" wp14:editId="706DFCCE">
            <wp:extent cx="1215456" cy="80564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215456" cy="805647"/>
                    </a:xfrm>
                    <a:prstGeom prst="rect">
                      <a:avLst/>
                    </a:prstGeom>
                    <a:ln/>
                  </pic:spPr>
                </pic:pic>
              </a:graphicData>
            </a:graphic>
          </wp:inline>
        </w:drawing>
      </w:r>
    </w:p>
    <w:p w14:paraId="373B722A" w14:textId="77777777" w:rsidR="00D63B90" w:rsidRDefault="00AC07CC">
      <w:pPr>
        <w:pStyle w:val="Heading3"/>
        <w:keepNext w:val="0"/>
        <w:keepLines w:val="0"/>
        <w:spacing w:before="280"/>
        <w:jc w:val="center"/>
        <w:rPr>
          <w:b/>
          <w:bCs/>
          <w:color w:val="1D1C1D"/>
          <w:sz w:val="26"/>
          <w:szCs w:val="26"/>
          <w:shd w:val="clear" w:color="auto" w:fill="F8F8F8"/>
        </w:rPr>
      </w:pPr>
      <w:bookmarkStart w:id="1" w:name="_4cn4i33cwzu8" w:colFirst="0" w:colLast="0"/>
      <w:bookmarkEnd w:id="1"/>
      <w:r>
        <w:rPr>
          <w:b/>
          <w:bCs/>
          <w:color w:val="1D1C1D"/>
          <w:sz w:val="26"/>
          <w:szCs w:val="26"/>
          <w:shd w:val="clear" w:color="auto" w:fill="F8F8F8"/>
        </w:rPr>
        <w:t>Submission for the 100th Session of the UN Committee on the Rights of the Child</w:t>
      </w:r>
    </w:p>
    <w:p w14:paraId="7E978820" w14:textId="77777777" w:rsidR="00D63B90" w:rsidRDefault="00AC07CC">
      <w:pPr>
        <w:pStyle w:val="Heading4"/>
        <w:keepNext w:val="0"/>
        <w:keepLines w:val="0"/>
        <w:spacing w:before="240" w:after="240"/>
        <w:jc w:val="center"/>
        <w:rPr>
          <w:b/>
          <w:bCs/>
          <w:i/>
          <w:iCs/>
          <w:color w:val="1D1C1D"/>
          <w:sz w:val="22"/>
          <w:szCs w:val="22"/>
          <w:shd w:val="clear" w:color="auto" w:fill="F8F8F8"/>
        </w:rPr>
      </w:pPr>
      <w:bookmarkStart w:id="2" w:name="_krggv9ljv2tx" w:colFirst="0" w:colLast="0"/>
      <w:bookmarkEnd w:id="2"/>
      <w:r>
        <w:rPr>
          <w:b/>
          <w:bCs/>
          <w:color w:val="1D1C1D"/>
          <w:sz w:val="22"/>
          <w:szCs w:val="22"/>
          <w:shd w:val="clear" w:color="auto" w:fill="F8F8F8"/>
        </w:rPr>
        <w:t>Title:</w:t>
      </w:r>
      <w:r>
        <w:rPr>
          <w:b/>
          <w:bCs/>
          <w:color w:val="1D1C1D"/>
          <w:sz w:val="22"/>
          <w:szCs w:val="22"/>
          <w:shd w:val="clear" w:color="auto" w:fill="F8F8F8"/>
        </w:rPr>
        <w:br/>
      </w:r>
      <w:r>
        <w:rPr>
          <w:b/>
          <w:bCs/>
          <w:i/>
          <w:iCs/>
          <w:color w:val="1D1C1D"/>
          <w:sz w:val="22"/>
          <w:szCs w:val="22"/>
          <w:shd w:val="clear" w:color="auto" w:fill="F8F8F8"/>
        </w:rPr>
        <w:t xml:space="preserve">Malaysia’s Compliance with the Convention on the Rights of the Child (CRC): </w:t>
      </w:r>
    </w:p>
    <w:p w14:paraId="164E2FC9" w14:textId="77777777" w:rsidR="00D63B90" w:rsidRDefault="00AC07CC">
      <w:pPr>
        <w:pStyle w:val="Heading4"/>
        <w:keepNext w:val="0"/>
        <w:keepLines w:val="0"/>
        <w:spacing w:before="240" w:after="240"/>
        <w:jc w:val="center"/>
        <w:rPr>
          <w:b/>
          <w:bCs/>
          <w:i/>
          <w:iCs/>
          <w:color w:val="1D1C1D"/>
          <w:sz w:val="22"/>
          <w:szCs w:val="22"/>
          <w:shd w:val="clear" w:color="auto" w:fill="F8F8F8"/>
        </w:rPr>
      </w:pPr>
      <w:bookmarkStart w:id="3" w:name="_7ddya1136ya6" w:colFirst="0" w:colLast="0"/>
      <w:bookmarkEnd w:id="3"/>
      <w:r>
        <w:rPr>
          <w:b/>
          <w:bCs/>
          <w:i/>
          <w:iCs/>
          <w:color w:val="1D1C1D"/>
          <w:sz w:val="22"/>
          <w:szCs w:val="22"/>
          <w:shd w:val="clear" w:color="auto" w:fill="F8F8F8"/>
        </w:rPr>
        <w:t>Key Concerns and List of Issues</w:t>
      </w:r>
    </w:p>
    <w:p w14:paraId="508BE4BF" w14:textId="77777777" w:rsidR="00D63B90" w:rsidRDefault="00AC07CC">
      <w:pPr>
        <w:pStyle w:val="Heading4"/>
        <w:keepNext w:val="0"/>
        <w:keepLines w:val="0"/>
        <w:spacing w:before="240" w:after="240"/>
        <w:jc w:val="center"/>
        <w:rPr>
          <w:b/>
          <w:bCs/>
        </w:rPr>
      </w:pPr>
      <w:bookmarkStart w:id="4" w:name="_k3kx8stcb3nc" w:colFirst="0" w:colLast="0"/>
      <w:bookmarkEnd w:id="4"/>
      <w:r>
        <w:rPr>
          <w:b/>
          <w:bCs/>
        </w:rPr>
        <w:t>Submitted by:</w:t>
      </w:r>
    </w:p>
    <w:p w14:paraId="21D34C1B" w14:textId="77777777" w:rsidR="00D63B90" w:rsidRPr="00AC07CC" w:rsidRDefault="00AC07CC">
      <w:pPr>
        <w:rPr>
          <w:sz w:val="20"/>
          <w:szCs w:val="20"/>
        </w:rPr>
      </w:pPr>
      <w:r w:rsidRPr="00AC07CC">
        <w:rPr>
          <w:sz w:val="20"/>
          <w:szCs w:val="20"/>
        </w:rPr>
        <w:t>The Anti-Death Penalty Asia Network (ADPAN), Suara Rakyat Malaysia (SUARAM), Ensemble Contre la Peine de Mort (ECPM) and The World Coalition Against the Death Penalty</w:t>
      </w:r>
    </w:p>
    <w:p w14:paraId="421B5DAF" w14:textId="77777777" w:rsidR="00D63B90" w:rsidRPr="00AC07CC" w:rsidRDefault="00D63B90">
      <w:pPr>
        <w:rPr>
          <w:sz w:val="20"/>
          <w:szCs w:val="20"/>
        </w:rPr>
      </w:pPr>
    </w:p>
    <w:p w14:paraId="2EE5CD0E" w14:textId="77777777" w:rsidR="00D63B90" w:rsidRPr="00AC07CC" w:rsidRDefault="00AC07CC">
      <w:pPr>
        <w:rPr>
          <w:sz w:val="20"/>
          <w:szCs w:val="20"/>
        </w:rPr>
      </w:pPr>
      <w:proofErr w:type="spellStart"/>
      <w:r w:rsidRPr="00AC07CC">
        <w:rPr>
          <w:sz w:val="20"/>
          <w:szCs w:val="20"/>
        </w:rPr>
        <w:t>Organisations</w:t>
      </w:r>
      <w:proofErr w:type="spellEnd"/>
      <w:r w:rsidRPr="00AC07CC">
        <w:rPr>
          <w:sz w:val="20"/>
          <w:szCs w:val="20"/>
        </w:rPr>
        <w:t xml:space="preserve"> submitting the List of issues: </w:t>
      </w:r>
    </w:p>
    <w:p w14:paraId="40F85AB1" w14:textId="77777777" w:rsidR="00D63B90" w:rsidRPr="00AC07CC" w:rsidRDefault="00D63B90">
      <w:pPr>
        <w:rPr>
          <w:sz w:val="20"/>
          <w:szCs w:val="20"/>
        </w:rPr>
      </w:pPr>
    </w:p>
    <w:p w14:paraId="12BC1284" w14:textId="77777777" w:rsidR="00D63B90" w:rsidRPr="00AC07CC" w:rsidRDefault="00AC07CC">
      <w:pPr>
        <w:jc w:val="both"/>
        <w:rPr>
          <w:sz w:val="20"/>
          <w:szCs w:val="20"/>
        </w:rPr>
      </w:pPr>
      <w:r w:rsidRPr="00AC07CC">
        <w:rPr>
          <w:b/>
          <w:bCs/>
          <w:sz w:val="20"/>
          <w:szCs w:val="20"/>
        </w:rPr>
        <w:t xml:space="preserve">ADPAN (Anti Death Penalty Asia Network) </w:t>
      </w:r>
      <w:r w:rsidRPr="00AC07CC">
        <w:rPr>
          <w:sz w:val="20"/>
          <w:szCs w:val="20"/>
        </w:rPr>
        <w:t xml:space="preserve">is the peak regional body for </w:t>
      </w:r>
      <w:proofErr w:type="spellStart"/>
      <w:r w:rsidRPr="00AC07CC">
        <w:rPr>
          <w:sz w:val="20"/>
          <w:szCs w:val="20"/>
        </w:rPr>
        <w:t>organisations</w:t>
      </w:r>
      <w:proofErr w:type="spellEnd"/>
      <w:r w:rsidRPr="00AC07CC">
        <w:rPr>
          <w:sz w:val="20"/>
          <w:szCs w:val="20"/>
        </w:rPr>
        <w:t xml:space="preserve"> committed to the abolition of the death penalty across Asia-Pacific, with members from 20 countries within the region. As such, ADPAN maintains that the death penalty violates the right to life, that it is the ultimate form of cruel, inhuman, and degrading punishment and that the death penalty should be entirely abolished internationally. </w:t>
      </w:r>
    </w:p>
    <w:p w14:paraId="541F201A" w14:textId="77777777" w:rsidR="00D63B90" w:rsidRPr="00AC07CC" w:rsidRDefault="00AC07CC">
      <w:pPr>
        <w:jc w:val="both"/>
        <w:rPr>
          <w:i/>
          <w:iCs/>
          <w:sz w:val="20"/>
          <w:szCs w:val="20"/>
        </w:rPr>
      </w:pPr>
      <w:r w:rsidRPr="00AC07CC">
        <w:rPr>
          <w:i/>
          <w:iCs/>
          <w:sz w:val="20"/>
          <w:szCs w:val="20"/>
        </w:rPr>
        <w:t xml:space="preserve">Contact: Janice Ananthan, email: </w:t>
      </w:r>
      <w:hyperlink r:id="rId11">
        <w:r w:rsidRPr="00AC07CC">
          <w:rPr>
            <w:i/>
            <w:iCs/>
            <w:color w:val="1155CC"/>
            <w:sz w:val="20"/>
            <w:szCs w:val="20"/>
            <w:u w:val="single"/>
          </w:rPr>
          <w:t>janiceananthan@adpan.org</w:t>
        </w:r>
      </w:hyperlink>
      <w:r w:rsidRPr="00AC07CC">
        <w:rPr>
          <w:i/>
          <w:iCs/>
          <w:sz w:val="20"/>
          <w:szCs w:val="20"/>
        </w:rPr>
        <w:t xml:space="preserve"> </w:t>
      </w:r>
    </w:p>
    <w:p w14:paraId="491F7098" w14:textId="77777777" w:rsidR="00D63B90" w:rsidRPr="00AC07CC" w:rsidRDefault="00D63B90">
      <w:pPr>
        <w:jc w:val="both"/>
        <w:rPr>
          <w:b/>
          <w:bCs/>
          <w:sz w:val="20"/>
          <w:szCs w:val="20"/>
        </w:rPr>
      </w:pPr>
    </w:p>
    <w:p w14:paraId="562F4751" w14:textId="77777777" w:rsidR="00D63B90" w:rsidRPr="00AC07CC" w:rsidRDefault="00AC07CC">
      <w:pPr>
        <w:jc w:val="both"/>
        <w:rPr>
          <w:sz w:val="20"/>
          <w:szCs w:val="20"/>
        </w:rPr>
      </w:pPr>
      <w:r w:rsidRPr="00AC07CC">
        <w:rPr>
          <w:b/>
          <w:bCs/>
          <w:sz w:val="20"/>
          <w:szCs w:val="20"/>
        </w:rPr>
        <w:t xml:space="preserve">Suara Rakyat Malaysia (SUARAM) </w:t>
      </w:r>
      <w:r w:rsidRPr="00AC07CC">
        <w:rPr>
          <w:sz w:val="20"/>
          <w:szCs w:val="20"/>
        </w:rPr>
        <w:t xml:space="preserve">is a Malaysian non-governmental </w:t>
      </w:r>
      <w:proofErr w:type="spellStart"/>
      <w:r w:rsidRPr="00AC07CC">
        <w:rPr>
          <w:sz w:val="20"/>
          <w:szCs w:val="20"/>
        </w:rPr>
        <w:t>organisation</w:t>
      </w:r>
      <w:proofErr w:type="spellEnd"/>
      <w:r w:rsidRPr="00AC07CC">
        <w:rPr>
          <w:sz w:val="20"/>
          <w:szCs w:val="20"/>
        </w:rPr>
        <w:t xml:space="preserve"> established </w:t>
      </w:r>
      <w:r w:rsidRPr="00AC07CC">
        <w:rPr>
          <w:b/>
          <w:bCs/>
          <w:sz w:val="20"/>
          <w:szCs w:val="20"/>
        </w:rPr>
        <w:t xml:space="preserve"> </w:t>
      </w:r>
      <w:r w:rsidRPr="00AC07CC">
        <w:rPr>
          <w:sz w:val="20"/>
          <w:szCs w:val="20"/>
        </w:rPr>
        <w:t>following mass detention of human rights activists under the Internal Security Act in 1987. Since its founding, via advocacy, case management and public education efforts, SUARAM has been working on a range of civil &amp; political rights, namely right to fair trial; freedom of expression; freedom of peaceful assembly and association; freedom from torture and other forms of cruel and degrading treatment and extrajudicial killings; as well as democracy building.</w:t>
      </w:r>
    </w:p>
    <w:p w14:paraId="6ECFCEEE" w14:textId="77777777" w:rsidR="00D63B90" w:rsidRPr="00AC07CC" w:rsidRDefault="00AC07CC">
      <w:pPr>
        <w:jc w:val="both"/>
        <w:rPr>
          <w:i/>
          <w:iCs/>
          <w:sz w:val="20"/>
          <w:szCs w:val="20"/>
        </w:rPr>
      </w:pPr>
      <w:r w:rsidRPr="00AC07CC">
        <w:rPr>
          <w:i/>
          <w:iCs/>
          <w:sz w:val="20"/>
          <w:szCs w:val="20"/>
        </w:rPr>
        <w:t xml:space="preserve">Contact: Azura </w:t>
      </w:r>
      <w:proofErr w:type="spellStart"/>
      <w:r w:rsidRPr="00AC07CC">
        <w:rPr>
          <w:i/>
          <w:iCs/>
          <w:sz w:val="20"/>
          <w:szCs w:val="20"/>
        </w:rPr>
        <w:t>Nasron</w:t>
      </w:r>
      <w:proofErr w:type="spellEnd"/>
      <w:r w:rsidRPr="00AC07CC">
        <w:rPr>
          <w:i/>
          <w:iCs/>
          <w:sz w:val="20"/>
          <w:szCs w:val="20"/>
        </w:rPr>
        <w:t xml:space="preserve">, email: </w:t>
      </w:r>
      <w:hyperlink r:id="rId12">
        <w:r w:rsidRPr="00AC07CC">
          <w:rPr>
            <w:i/>
            <w:iCs/>
            <w:color w:val="1155CC"/>
            <w:sz w:val="20"/>
            <w:szCs w:val="20"/>
            <w:u w:val="single"/>
          </w:rPr>
          <w:t>azura@suaram.net</w:t>
        </w:r>
      </w:hyperlink>
      <w:r w:rsidRPr="00AC07CC">
        <w:rPr>
          <w:i/>
          <w:iCs/>
          <w:sz w:val="20"/>
          <w:szCs w:val="20"/>
        </w:rPr>
        <w:t xml:space="preserve"> </w:t>
      </w:r>
    </w:p>
    <w:p w14:paraId="35427EDE" w14:textId="77777777" w:rsidR="00D63B90" w:rsidRPr="00AC07CC" w:rsidRDefault="00AC07CC">
      <w:pPr>
        <w:spacing w:before="240" w:after="240"/>
        <w:jc w:val="both"/>
        <w:rPr>
          <w:i/>
          <w:iCs/>
          <w:sz w:val="20"/>
          <w:szCs w:val="20"/>
        </w:rPr>
      </w:pPr>
      <w:r w:rsidRPr="00AC07CC">
        <w:rPr>
          <w:b/>
          <w:bCs/>
          <w:sz w:val="20"/>
          <w:szCs w:val="20"/>
        </w:rPr>
        <w:t xml:space="preserve">ECPM (Ensemble </w:t>
      </w:r>
      <w:proofErr w:type="spellStart"/>
      <w:r w:rsidRPr="00AC07CC">
        <w:rPr>
          <w:b/>
          <w:bCs/>
          <w:sz w:val="20"/>
          <w:szCs w:val="20"/>
        </w:rPr>
        <w:t>contre</w:t>
      </w:r>
      <w:proofErr w:type="spellEnd"/>
      <w:r w:rsidRPr="00AC07CC">
        <w:rPr>
          <w:b/>
          <w:bCs/>
          <w:sz w:val="20"/>
          <w:szCs w:val="20"/>
        </w:rPr>
        <w:t xml:space="preserve"> la </w:t>
      </w:r>
      <w:proofErr w:type="spellStart"/>
      <w:r w:rsidRPr="00AC07CC">
        <w:rPr>
          <w:b/>
          <w:bCs/>
          <w:sz w:val="20"/>
          <w:szCs w:val="20"/>
        </w:rPr>
        <w:t>peine</w:t>
      </w:r>
      <w:proofErr w:type="spellEnd"/>
      <w:r w:rsidRPr="00AC07CC">
        <w:rPr>
          <w:b/>
          <w:bCs/>
          <w:sz w:val="20"/>
          <w:szCs w:val="20"/>
        </w:rPr>
        <w:t xml:space="preserve"> de mort/Together Against the Death Penalty) </w:t>
      </w:r>
      <w:r w:rsidRPr="00AC07CC">
        <w:rPr>
          <w:sz w:val="20"/>
          <w:szCs w:val="20"/>
        </w:rPr>
        <w:t xml:space="preserve">is a French non-governmental </w:t>
      </w:r>
      <w:proofErr w:type="spellStart"/>
      <w:r w:rsidRPr="00AC07CC">
        <w:rPr>
          <w:sz w:val="20"/>
          <w:szCs w:val="20"/>
        </w:rPr>
        <w:t>organisation</w:t>
      </w:r>
      <w:proofErr w:type="spellEnd"/>
      <w:r w:rsidRPr="00AC07CC">
        <w:rPr>
          <w:sz w:val="20"/>
          <w:szCs w:val="20"/>
        </w:rPr>
        <w:t xml:space="preserve"> that fights against the death penalty worldwide and in all circumstances by uniting and rallying abolitionist forces across the world. The </w:t>
      </w:r>
      <w:proofErr w:type="spellStart"/>
      <w:r w:rsidRPr="00AC07CC">
        <w:rPr>
          <w:sz w:val="20"/>
          <w:szCs w:val="20"/>
        </w:rPr>
        <w:t>organisation</w:t>
      </w:r>
      <w:proofErr w:type="spellEnd"/>
      <w:r w:rsidRPr="00AC07CC">
        <w:rPr>
          <w:sz w:val="20"/>
          <w:szCs w:val="20"/>
        </w:rPr>
        <w:t xml:space="preserve"> advocates with international bodies and encourages universal abolition through education, information, local partnerships, and public awareness campaigns. ECPM is the </w:t>
      </w:r>
      <w:proofErr w:type="spellStart"/>
      <w:r w:rsidRPr="00AC07CC">
        <w:rPr>
          <w:sz w:val="20"/>
          <w:szCs w:val="20"/>
        </w:rPr>
        <w:t>organiser</w:t>
      </w:r>
      <w:proofErr w:type="spellEnd"/>
      <w:r w:rsidRPr="00AC07CC">
        <w:rPr>
          <w:sz w:val="20"/>
          <w:szCs w:val="20"/>
        </w:rPr>
        <w:t xml:space="preserve"> of the World Congresses against the death penalty and a founding member of the World Coalition Against the Death Penalty. In 2016, ECPM was granted consultative status with ECOSOC. </w:t>
      </w:r>
      <w:r w:rsidRPr="00AC07CC">
        <w:rPr>
          <w:i/>
          <w:iCs/>
          <w:sz w:val="20"/>
          <w:szCs w:val="20"/>
        </w:rPr>
        <w:t xml:space="preserve">Contact: Marie-Lina PÉREZ, email: </w:t>
      </w:r>
      <w:hyperlink r:id="rId13">
        <w:r w:rsidRPr="00AC07CC">
          <w:rPr>
            <w:i/>
            <w:iCs/>
            <w:color w:val="1155CC"/>
            <w:sz w:val="20"/>
            <w:szCs w:val="20"/>
            <w:u w:val="single"/>
          </w:rPr>
          <w:t>mperez@ecpm.org</w:t>
        </w:r>
      </w:hyperlink>
      <w:r w:rsidRPr="00AC07CC">
        <w:rPr>
          <w:i/>
          <w:iCs/>
          <w:sz w:val="20"/>
          <w:szCs w:val="20"/>
        </w:rPr>
        <w:t xml:space="preserve"> </w:t>
      </w:r>
    </w:p>
    <w:p w14:paraId="5309CE9C" w14:textId="536889F7" w:rsidR="00D63B90" w:rsidRPr="00AC07CC" w:rsidRDefault="00AC07CC">
      <w:pPr>
        <w:spacing w:before="240" w:after="240"/>
        <w:jc w:val="both"/>
        <w:rPr>
          <w:i/>
          <w:iCs/>
          <w:sz w:val="20"/>
          <w:szCs w:val="20"/>
        </w:rPr>
      </w:pPr>
      <w:r w:rsidRPr="00AC07CC">
        <w:rPr>
          <w:b/>
          <w:bCs/>
          <w:sz w:val="20"/>
          <w:szCs w:val="20"/>
        </w:rPr>
        <w:t>The World Coalition Against the Death Penalty</w:t>
      </w:r>
      <w:r w:rsidRPr="00AC07CC">
        <w:rPr>
          <w:sz w:val="20"/>
          <w:szCs w:val="20"/>
        </w:rPr>
        <w:t xml:space="preserve"> is composed of more than 150 NGOs, bar associations, local authorities and unions. It aims to strengthen the international dimension of the fight against the death penalty. The World Coalition provides a global dimension to the action taken by its members in the field, who are sometimes isolated. Its work complements their initiatives while respecting their independence.</w:t>
      </w:r>
      <w:r>
        <w:rPr>
          <w:sz w:val="20"/>
          <w:szCs w:val="20"/>
        </w:rPr>
        <w:t xml:space="preserve"> </w:t>
      </w:r>
      <w:r w:rsidRPr="00AC07CC">
        <w:rPr>
          <w:i/>
          <w:iCs/>
          <w:sz w:val="20"/>
          <w:szCs w:val="20"/>
        </w:rPr>
        <w:t xml:space="preserve">Contact: Aurélie Plaçais, email : </w:t>
      </w:r>
      <w:hyperlink r:id="rId14">
        <w:r w:rsidRPr="00AC07CC">
          <w:rPr>
            <w:i/>
            <w:iCs/>
            <w:color w:val="1155CC"/>
            <w:sz w:val="20"/>
            <w:szCs w:val="20"/>
            <w:u w:val="single"/>
          </w:rPr>
          <w:t>aplacais@worldcoalition.org</w:t>
        </w:r>
      </w:hyperlink>
      <w:r w:rsidRPr="00AC07CC">
        <w:rPr>
          <w:i/>
          <w:iCs/>
          <w:sz w:val="20"/>
          <w:szCs w:val="20"/>
        </w:rPr>
        <w:t xml:space="preserve"> </w:t>
      </w:r>
    </w:p>
    <w:p w14:paraId="4CFF35A4" w14:textId="77777777" w:rsidR="00D63B90" w:rsidRPr="00AC07CC" w:rsidRDefault="00AC07CC">
      <w:pPr>
        <w:spacing w:before="240" w:after="240"/>
        <w:jc w:val="both"/>
        <w:rPr>
          <w:b/>
          <w:bCs/>
          <w:color w:val="000000"/>
          <w:sz w:val="20"/>
          <w:szCs w:val="20"/>
          <w:u w:val="single"/>
        </w:rPr>
      </w:pPr>
      <w:r w:rsidRPr="00AC07CC">
        <w:rPr>
          <w:b/>
          <w:bCs/>
          <w:color w:val="000000"/>
          <w:sz w:val="20"/>
          <w:szCs w:val="20"/>
          <w:u w:val="single"/>
        </w:rPr>
        <w:lastRenderedPageBreak/>
        <w:t>Introduction</w:t>
      </w:r>
    </w:p>
    <w:p w14:paraId="75B9BDA0" w14:textId="77777777" w:rsidR="00D63B90" w:rsidRPr="00AC07CC" w:rsidRDefault="00AC07CC">
      <w:pPr>
        <w:spacing w:before="240" w:after="240"/>
        <w:jc w:val="both"/>
        <w:rPr>
          <w:sz w:val="20"/>
          <w:szCs w:val="20"/>
        </w:rPr>
      </w:pPr>
      <w:r w:rsidRPr="00AC07CC">
        <w:rPr>
          <w:sz w:val="20"/>
          <w:szCs w:val="20"/>
        </w:rPr>
        <w:t>This joint submission by Anti-Death Penalty Asia Network (ADPAN), Ensemble Contre la Peine de Mort (ECPM), Suara Rakyat Malaysia (SUARAM) and the World Coalition Against the Death Penalty, examines Malaysia’s compliance with the Convention on the Rights of the Child (CRC), focusing on children in conflict with the law and those affected by the application of the death penalty. It highlights systemic challenges in the juvenile justice system, including detention practices, pre-trial procedures, bail, and access to child-sensitive safeguards.</w:t>
      </w:r>
    </w:p>
    <w:p w14:paraId="71AC9649" w14:textId="77777777" w:rsidR="00D63B90" w:rsidRPr="00AC07CC" w:rsidRDefault="00AC07CC">
      <w:pPr>
        <w:spacing w:before="240" w:after="240"/>
        <w:jc w:val="both"/>
        <w:rPr>
          <w:sz w:val="20"/>
          <w:szCs w:val="20"/>
        </w:rPr>
      </w:pPr>
      <w:r w:rsidRPr="00AC07CC">
        <w:rPr>
          <w:sz w:val="20"/>
          <w:szCs w:val="20"/>
        </w:rPr>
        <w:t xml:space="preserve">The submission provides an overview of Malaysia’s legal and institutional frameworks, identifies gaps in the protection, welfare, and rehabilitation of children, and underscores areas where practices fall short of CRC obligations, particularly Articles 3, 6, 37, and 40, emphasizing the best interests of the child, the right to life, protection from cruel or degrading treatment, and access to child-friendly justice. </w:t>
      </w:r>
    </w:p>
    <w:p w14:paraId="050E75C5" w14:textId="77777777" w:rsidR="00D63B90" w:rsidRPr="00AC07CC" w:rsidRDefault="00AC07CC">
      <w:pPr>
        <w:spacing w:before="240" w:after="240"/>
        <w:jc w:val="both"/>
        <w:rPr>
          <w:sz w:val="20"/>
          <w:szCs w:val="20"/>
        </w:rPr>
      </w:pPr>
      <w:r w:rsidRPr="00AC07CC">
        <w:rPr>
          <w:sz w:val="20"/>
          <w:szCs w:val="20"/>
        </w:rPr>
        <w:t xml:space="preserve">Based on these observations, the submission presents a </w:t>
      </w:r>
      <w:r w:rsidRPr="00AC07CC">
        <w:rPr>
          <w:b/>
          <w:bCs/>
          <w:sz w:val="20"/>
          <w:szCs w:val="20"/>
        </w:rPr>
        <w:t>list of suggested questions</w:t>
      </w:r>
      <w:r w:rsidRPr="00AC07CC">
        <w:rPr>
          <w:sz w:val="20"/>
          <w:szCs w:val="20"/>
        </w:rPr>
        <w:t xml:space="preserve"> for the Government of Malaysia to clarify its policies and practices, promote transparency, and strengthen the protection of children in line with international standards.</w:t>
      </w:r>
    </w:p>
    <w:p w14:paraId="16C8B4CD" w14:textId="77777777" w:rsidR="00D63B90" w:rsidRPr="00AC07CC" w:rsidRDefault="00D63B90">
      <w:pPr>
        <w:spacing w:before="240" w:after="240"/>
        <w:jc w:val="both"/>
        <w:rPr>
          <w:i/>
          <w:iCs/>
          <w:sz w:val="20"/>
          <w:szCs w:val="20"/>
        </w:rPr>
      </w:pPr>
    </w:p>
    <w:p w14:paraId="2CCCD2B9" w14:textId="77777777" w:rsidR="00D63B90" w:rsidRPr="00AC07CC" w:rsidRDefault="00AC07CC">
      <w:pPr>
        <w:jc w:val="both"/>
        <w:rPr>
          <w:b/>
          <w:bCs/>
          <w:sz w:val="20"/>
          <w:szCs w:val="20"/>
          <w:u w:val="single"/>
        </w:rPr>
      </w:pPr>
      <w:r w:rsidRPr="00AC07CC">
        <w:rPr>
          <w:b/>
          <w:bCs/>
          <w:sz w:val="20"/>
          <w:szCs w:val="20"/>
          <w:u w:val="single"/>
        </w:rPr>
        <w:t xml:space="preserve">Key Concerns/List of Issues </w:t>
      </w:r>
    </w:p>
    <w:p w14:paraId="48BCCA2A" w14:textId="77777777" w:rsidR="00D63B90" w:rsidRPr="00AC07CC" w:rsidRDefault="00D63B90">
      <w:pPr>
        <w:jc w:val="both"/>
        <w:rPr>
          <w:sz w:val="20"/>
          <w:szCs w:val="20"/>
          <w:u w:val="single"/>
        </w:rPr>
      </w:pPr>
    </w:p>
    <w:p w14:paraId="0DA487A0" w14:textId="77777777" w:rsidR="00D63B90" w:rsidRPr="00AC07CC" w:rsidRDefault="00AC07CC">
      <w:pPr>
        <w:jc w:val="both"/>
        <w:rPr>
          <w:b/>
          <w:bCs/>
          <w:sz w:val="20"/>
          <w:szCs w:val="20"/>
        </w:rPr>
      </w:pPr>
      <w:r w:rsidRPr="00AC07CC">
        <w:rPr>
          <w:sz w:val="20"/>
          <w:szCs w:val="20"/>
        </w:rPr>
        <w:t xml:space="preserve"> </w:t>
      </w:r>
      <w:r w:rsidRPr="00AC07CC">
        <w:rPr>
          <w:b/>
          <w:bCs/>
          <w:sz w:val="20"/>
          <w:szCs w:val="20"/>
        </w:rPr>
        <w:t>1. Death Penalty &amp; Children in Conflict with the Law</w:t>
      </w:r>
    </w:p>
    <w:p w14:paraId="7BF3BAD8" w14:textId="77777777" w:rsidR="00D63B90" w:rsidRPr="00AC07CC" w:rsidRDefault="00D63B90">
      <w:pPr>
        <w:jc w:val="both"/>
        <w:rPr>
          <w:sz w:val="20"/>
          <w:szCs w:val="20"/>
        </w:rPr>
      </w:pPr>
    </w:p>
    <w:p w14:paraId="5053F9BD" w14:textId="77777777" w:rsidR="00D63B90" w:rsidRPr="00AC07CC" w:rsidRDefault="00AC07CC">
      <w:pPr>
        <w:jc w:val="both"/>
        <w:rPr>
          <w:i/>
          <w:iCs/>
          <w:sz w:val="20"/>
          <w:szCs w:val="20"/>
        </w:rPr>
      </w:pPr>
      <w:r w:rsidRPr="00AC07CC">
        <w:rPr>
          <w:sz w:val="20"/>
          <w:szCs w:val="20"/>
        </w:rPr>
        <w:t>Malaysia abolished the mandatory death penalty in 2023,</w:t>
      </w:r>
      <w:r w:rsidRPr="00AC07CC">
        <w:rPr>
          <w:sz w:val="20"/>
          <w:szCs w:val="20"/>
          <w:vertAlign w:val="superscript"/>
        </w:rPr>
        <w:footnoteReference w:id="1"/>
      </w:r>
      <w:r w:rsidRPr="00AC07CC">
        <w:rPr>
          <w:sz w:val="20"/>
          <w:szCs w:val="20"/>
        </w:rPr>
        <w:t xml:space="preserve"> but the death penalty remains discretionary for 15 offences, including murder, terrorism, drug trafficking, and treason. </w:t>
      </w:r>
      <w:r w:rsidRPr="00AC07CC">
        <w:rPr>
          <w:sz w:val="20"/>
          <w:szCs w:val="20"/>
          <w:vertAlign w:val="superscript"/>
        </w:rPr>
        <w:footnoteReference w:id="2"/>
      </w:r>
      <w:r w:rsidRPr="00AC07CC">
        <w:rPr>
          <w:sz w:val="20"/>
          <w:szCs w:val="20"/>
        </w:rPr>
        <w:t xml:space="preserve">Under Section 97(2) of the </w:t>
      </w:r>
      <w:r w:rsidRPr="00AC07CC">
        <w:rPr>
          <w:i/>
          <w:iCs/>
          <w:sz w:val="20"/>
          <w:szCs w:val="20"/>
        </w:rPr>
        <w:t>Child Act 2001</w:t>
      </w:r>
      <w:r w:rsidRPr="00AC07CC">
        <w:rPr>
          <w:i/>
          <w:iCs/>
          <w:sz w:val="20"/>
          <w:szCs w:val="20"/>
          <w:vertAlign w:val="superscript"/>
        </w:rPr>
        <w:footnoteReference w:id="3"/>
      </w:r>
      <w:r w:rsidRPr="00AC07CC">
        <w:rPr>
          <w:sz w:val="20"/>
          <w:szCs w:val="20"/>
        </w:rPr>
        <w:t xml:space="preserve">, juveniles convicted of offences carrying the death penalty may be detained indefinitely “at the pleasure” of the King, Ruler, or Governor, with annual reviews conducted by the </w:t>
      </w:r>
      <w:proofErr w:type="spellStart"/>
      <w:r w:rsidRPr="00AC07CC">
        <w:rPr>
          <w:sz w:val="20"/>
          <w:szCs w:val="20"/>
        </w:rPr>
        <w:t>executive.This</w:t>
      </w:r>
      <w:proofErr w:type="spellEnd"/>
      <w:r w:rsidRPr="00AC07CC">
        <w:rPr>
          <w:sz w:val="20"/>
          <w:szCs w:val="20"/>
        </w:rPr>
        <w:t xml:space="preserve"> detention regime has no maximum duration, no transparent criteria for release, and no judicial oversight. Release depends entirely on executive discretion following annual reviews by boards of visiting justices and release criteria is not specified in the act. This is a practice that is arbitrary and violates  Convention on the Rights of the Child, </w:t>
      </w:r>
      <w:r w:rsidRPr="00AC07CC">
        <w:rPr>
          <w:i/>
          <w:iCs/>
          <w:sz w:val="20"/>
          <w:szCs w:val="20"/>
        </w:rPr>
        <w:t xml:space="preserve">Article 37’s prohibition on cruel, inhuman, or degrading punishment of children. </w:t>
      </w:r>
    </w:p>
    <w:p w14:paraId="40A09882" w14:textId="77777777" w:rsidR="00D63B90" w:rsidRPr="00AC07CC" w:rsidRDefault="00D63B90">
      <w:pPr>
        <w:jc w:val="both"/>
        <w:rPr>
          <w:sz w:val="20"/>
          <w:szCs w:val="20"/>
        </w:rPr>
      </w:pPr>
    </w:p>
    <w:p w14:paraId="6C078CB0" w14:textId="77777777" w:rsidR="00D63B90" w:rsidRPr="00AC07CC" w:rsidRDefault="00AC07CC">
      <w:pPr>
        <w:jc w:val="both"/>
        <w:rPr>
          <w:sz w:val="20"/>
          <w:szCs w:val="20"/>
        </w:rPr>
      </w:pPr>
      <w:r w:rsidRPr="00AC07CC">
        <w:rPr>
          <w:sz w:val="20"/>
          <w:szCs w:val="20"/>
        </w:rPr>
        <w:t>As of January 2025, twenty-seven individuals were detained under this provision, including eleven who have spent more than a decade in detention, twelve who have been detained between ten and twenty years, and two who have been held for over twenty years.</w:t>
      </w:r>
      <w:r w:rsidRPr="00AC07CC">
        <w:rPr>
          <w:sz w:val="20"/>
          <w:szCs w:val="20"/>
          <w:vertAlign w:val="superscript"/>
        </w:rPr>
        <w:footnoteReference w:id="4"/>
      </w:r>
      <w:r w:rsidRPr="00AC07CC">
        <w:rPr>
          <w:sz w:val="20"/>
          <w:szCs w:val="20"/>
        </w:rPr>
        <w:t xml:space="preserve"> </w:t>
      </w:r>
    </w:p>
    <w:p w14:paraId="78AD377E" w14:textId="77777777" w:rsidR="00D63B90" w:rsidRPr="00AC07CC" w:rsidRDefault="00D63B90">
      <w:pPr>
        <w:jc w:val="both"/>
        <w:rPr>
          <w:sz w:val="20"/>
          <w:szCs w:val="20"/>
        </w:rPr>
      </w:pPr>
    </w:p>
    <w:p w14:paraId="2836CAD8" w14:textId="77777777" w:rsidR="00D63B90" w:rsidRPr="00AC07CC" w:rsidRDefault="00AC07CC">
      <w:pPr>
        <w:jc w:val="both"/>
        <w:rPr>
          <w:i/>
          <w:iCs/>
          <w:sz w:val="20"/>
          <w:szCs w:val="20"/>
        </w:rPr>
      </w:pPr>
      <w:r w:rsidRPr="00AC07CC">
        <w:rPr>
          <w:sz w:val="20"/>
          <w:szCs w:val="20"/>
        </w:rPr>
        <w:t>Detainees under Section 97 were excluded from the 2023 reforms, notably the Revision of Sentence of Death and Imprisonment for Natural Life (Temporary Jurisdiction of the Federal Court Act (“resentencing act”), leaving them without the possibility of the resentencing hearing that was available to other individual sentenced to death.</w:t>
      </w:r>
      <w:r w:rsidRPr="00AC07CC">
        <w:rPr>
          <w:sz w:val="20"/>
          <w:szCs w:val="20"/>
          <w:vertAlign w:val="superscript"/>
        </w:rPr>
        <w:footnoteReference w:id="5"/>
      </w:r>
      <w:r w:rsidRPr="00AC07CC">
        <w:rPr>
          <w:sz w:val="20"/>
          <w:szCs w:val="20"/>
        </w:rPr>
        <w:t xml:space="preserve"> This situation is fundamentally incompatible with the safeguards of </w:t>
      </w:r>
      <w:r w:rsidRPr="00AC07CC">
        <w:rPr>
          <w:i/>
          <w:iCs/>
          <w:sz w:val="20"/>
          <w:szCs w:val="20"/>
        </w:rPr>
        <w:t>Articles 37(b) and 40 of the Convention on the Rights of the Child, which require that detention be used only as a measure of last resort, for the shortest appropriate period, and with a clear orientation towards rehabilitation.</w:t>
      </w:r>
    </w:p>
    <w:p w14:paraId="591093DD" w14:textId="77777777" w:rsidR="00D63B90" w:rsidRPr="00AC07CC" w:rsidRDefault="00D63B90">
      <w:pPr>
        <w:jc w:val="both"/>
        <w:rPr>
          <w:i/>
          <w:iCs/>
          <w:sz w:val="20"/>
          <w:szCs w:val="20"/>
        </w:rPr>
      </w:pPr>
    </w:p>
    <w:p w14:paraId="6C05657E" w14:textId="77777777" w:rsidR="00D63B90" w:rsidRPr="00AC07CC" w:rsidRDefault="00AC07CC">
      <w:pPr>
        <w:jc w:val="both"/>
        <w:rPr>
          <w:sz w:val="20"/>
          <w:szCs w:val="20"/>
        </w:rPr>
      </w:pPr>
      <w:r w:rsidRPr="00AC07CC">
        <w:rPr>
          <w:sz w:val="20"/>
          <w:szCs w:val="20"/>
        </w:rPr>
        <w:t>Seven former child prisoners filed a legal challenge to the Federal Court seeking review of their indefinite detention under Section 97(2), arguing that it violates their constitutional rights following the abolition of mandatory death sentences in 2023.</w:t>
      </w:r>
      <w:r w:rsidRPr="00AC07CC">
        <w:rPr>
          <w:sz w:val="20"/>
          <w:szCs w:val="20"/>
          <w:vertAlign w:val="superscript"/>
        </w:rPr>
        <w:footnoteReference w:id="6"/>
      </w:r>
      <w:r w:rsidRPr="00AC07CC">
        <w:rPr>
          <w:sz w:val="20"/>
          <w:szCs w:val="20"/>
        </w:rPr>
        <w:t xml:space="preserve"> The case is still ongoing. </w:t>
      </w:r>
    </w:p>
    <w:p w14:paraId="2613754E" w14:textId="77777777" w:rsidR="00D63B90" w:rsidRPr="00AC07CC" w:rsidRDefault="00D63B90">
      <w:pPr>
        <w:jc w:val="both"/>
        <w:rPr>
          <w:sz w:val="20"/>
          <w:szCs w:val="20"/>
        </w:rPr>
      </w:pPr>
    </w:p>
    <w:p w14:paraId="538805C7" w14:textId="77777777" w:rsidR="00D63B90" w:rsidRPr="00AC07CC" w:rsidRDefault="00AC07CC">
      <w:pPr>
        <w:jc w:val="both"/>
        <w:rPr>
          <w:sz w:val="20"/>
          <w:szCs w:val="20"/>
        </w:rPr>
      </w:pPr>
      <w:r w:rsidRPr="00AC07CC">
        <w:rPr>
          <w:sz w:val="20"/>
          <w:szCs w:val="20"/>
        </w:rPr>
        <w:t>In addition, ambiguity still remains as to whether children charged with security or terrorism-related offences may still face the death penalty or detention without trial under laws such as Security Offences (Special Measures) Act 2012 (SOSMA).</w:t>
      </w:r>
      <w:r w:rsidRPr="00AC07CC">
        <w:rPr>
          <w:sz w:val="20"/>
          <w:szCs w:val="20"/>
          <w:vertAlign w:val="superscript"/>
        </w:rPr>
        <w:footnoteReference w:id="7"/>
      </w:r>
      <w:r w:rsidRPr="00AC07CC">
        <w:rPr>
          <w:sz w:val="20"/>
          <w:szCs w:val="20"/>
        </w:rPr>
        <w:t xml:space="preserve"> As stated under Reg.3(3) ESCAR Essential (Security Case) Regulations, 1975 (ESCAR), Child’s Act 2001 does not apply for security offences under ESCAR. In the case of </w:t>
      </w:r>
      <w:r w:rsidRPr="00AC07CC">
        <w:rPr>
          <w:i/>
          <w:iCs/>
          <w:sz w:val="20"/>
          <w:szCs w:val="20"/>
        </w:rPr>
        <w:t>Lim Hang Seoh v Public Prosecutor</w:t>
      </w:r>
      <w:r w:rsidRPr="00AC07CC">
        <w:rPr>
          <w:sz w:val="20"/>
          <w:szCs w:val="20"/>
        </w:rPr>
        <w:t xml:space="preserve"> [1978] 1 MLJ 68</w:t>
      </w:r>
      <w:r w:rsidRPr="00AC07CC">
        <w:rPr>
          <w:sz w:val="20"/>
          <w:szCs w:val="20"/>
          <w:vertAlign w:val="superscript"/>
        </w:rPr>
        <w:footnoteReference w:id="8"/>
      </w:r>
      <w:r w:rsidRPr="00AC07CC">
        <w:rPr>
          <w:sz w:val="20"/>
          <w:szCs w:val="20"/>
        </w:rPr>
        <w:t xml:space="preserve">, the death sentence of a 14-year-old accused was commuted by the Yang Di </w:t>
      </w:r>
      <w:proofErr w:type="spellStart"/>
      <w:r w:rsidRPr="00AC07CC">
        <w:rPr>
          <w:sz w:val="20"/>
          <w:szCs w:val="20"/>
        </w:rPr>
        <w:t>Pertuan</w:t>
      </w:r>
      <w:proofErr w:type="spellEnd"/>
      <w:r w:rsidRPr="00AC07CC">
        <w:rPr>
          <w:sz w:val="20"/>
          <w:szCs w:val="20"/>
        </w:rPr>
        <w:t xml:space="preserve"> </w:t>
      </w:r>
      <w:proofErr w:type="spellStart"/>
      <w:r w:rsidRPr="00AC07CC">
        <w:rPr>
          <w:sz w:val="20"/>
          <w:szCs w:val="20"/>
        </w:rPr>
        <w:t>Agong</w:t>
      </w:r>
      <w:proofErr w:type="spellEnd"/>
      <w:r w:rsidRPr="00AC07CC">
        <w:rPr>
          <w:sz w:val="20"/>
          <w:szCs w:val="20"/>
        </w:rPr>
        <w:t xml:space="preserve"> to detention in a Henry Gurney School until he attained 21 years. This case illustrates the fragility of these safeguards, as the commutation of the death sentence for a 14-year-old was dependent solely on executive clemency rather than a clear legal protection. The continued applicability of ESCAR principles under SOSMA raises concerns that children could still be subjected to adult processes, denial of Child Act protections, or detention without trial.</w:t>
      </w:r>
    </w:p>
    <w:p w14:paraId="24529855" w14:textId="77777777" w:rsidR="00D63B90" w:rsidRPr="00AC07CC" w:rsidRDefault="00D63B90">
      <w:pPr>
        <w:jc w:val="both"/>
        <w:rPr>
          <w:sz w:val="20"/>
          <w:szCs w:val="20"/>
        </w:rPr>
      </w:pPr>
    </w:p>
    <w:p w14:paraId="0FAAC415" w14:textId="77777777" w:rsidR="00D63B90" w:rsidRPr="00AC07CC" w:rsidRDefault="00AC07CC">
      <w:pPr>
        <w:jc w:val="both"/>
        <w:rPr>
          <w:sz w:val="20"/>
          <w:szCs w:val="20"/>
        </w:rPr>
      </w:pPr>
      <w:r w:rsidRPr="00AC07CC">
        <w:rPr>
          <w:sz w:val="20"/>
          <w:szCs w:val="20"/>
        </w:rPr>
        <w:t>In 2024, Parliament repealed Section 19 of SOSMA.</w:t>
      </w:r>
      <w:r w:rsidRPr="00AC07CC">
        <w:rPr>
          <w:sz w:val="20"/>
          <w:szCs w:val="20"/>
          <w:vertAlign w:val="superscript"/>
        </w:rPr>
        <w:footnoteReference w:id="9"/>
      </w:r>
      <w:r w:rsidRPr="00AC07CC">
        <w:rPr>
          <w:sz w:val="20"/>
          <w:szCs w:val="20"/>
        </w:rPr>
        <w:t xml:space="preserve"> This removed the evidentiary exception for testimony involving "child of tender years" in trials of security offences, defaulting to the Evidence of Child Witness Act 2007</w:t>
      </w:r>
      <w:r w:rsidRPr="00AC07CC">
        <w:rPr>
          <w:sz w:val="20"/>
          <w:szCs w:val="20"/>
          <w:vertAlign w:val="superscript"/>
        </w:rPr>
        <w:footnoteReference w:id="10"/>
      </w:r>
      <w:r w:rsidRPr="00AC07CC">
        <w:rPr>
          <w:sz w:val="20"/>
          <w:szCs w:val="20"/>
        </w:rPr>
        <w:t xml:space="preserve"> as the primary framework governing child testimonies. Whilst this is a positive step towards mainstreaming child-sensitive court processes, it does not resolve the wider </w:t>
      </w:r>
      <w:proofErr w:type="spellStart"/>
      <w:r w:rsidRPr="00AC07CC">
        <w:rPr>
          <w:sz w:val="20"/>
          <w:szCs w:val="20"/>
        </w:rPr>
        <w:t>securitised</w:t>
      </w:r>
      <w:proofErr w:type="spellEnd"/>
      <w:r w:rsidRPr="00AC07CC">
        <w:rPr>
          <w:sz w:val="20"/>
          <w:szCs w:val="20"/>
        </w:rPr>
        <w:t xml:space="preserve"> treatment of children arising from inconsistencies between the Child Act and other laws.</w:t>
      </w:r>
    </w:p>
    <w:p w14:paraId="25310CE2" w14:textId="77777777" w:rsidR="00D63B90" w:rsidRPr="00AC07CC" w:rsidRDefault="00AC07CC">
      <w:pPr>
        <w:spacing w:before="240" w:after="240"/>
        <w:jc w:val="both"/>
        <w:rPr>
          <w:sz w:val="20"/>
          <w:szCs w:val="20"/>
        </w:rPr>
      </w:pPr>
      <w:r w:rsidRPr="00AC07CC">
        <w:rPr>
          <w:sz w:val="20"/>
          <w:szCs w:val="20"/>
        </w:rPr>
        <w:t xml:space="preserve">The lack of </w:t>
      </w:r>
      <w:proofErr w:type="spellStart"/>
      <w:r w:rsidRPr="00AC07CC">
        <w:rPr>
          <w:sz w:val="20"/>
          <w:szCs w:val="20"/>
        </w:rPr>
        <w:t>harmonisation</w:t>
      </w:r>
      <w:proofErr w:type="spellEnd"/>
      <w:r w:rsidRPr="00AC07CC">
        <w:rPr>
          <w:sz w:val="20"/>
          <w:szCs w:val="20"/>
        </w:rPr>
        <w:t xml:space="preserve"> between the Child Act and other laws means that children continue to face </w:t>
      </w:r>
      <w:proofErr w:type="spellStart"/>
      <w:r w:rsidRPr="00AC07CC">
        <w:rPr>
          <w:sz w:val="20"/>
          <w:szCs w:val="20"/>
        </w:rPr>
        <w:t>securitised</w:t>
      </w:r>
      <w:proofErr w:type="spellEnd"/>
      <w:r w:rsidRPr="00AC07CC">
        <w:rPr>
          <w:sz w:val="20"/>
          <w:szCs w:val="20"/>
        </w:rPr>
        <w:t xml:space="preserve"> treatment in courts, falling short of Malaysia’s obligations under the CRC</w:t>
      </w:r>
    </w:p>
    <w:p w14:paraId="65C7F6DE" w14:textId="77777777" w:rsidR="00D63B90" w:rsidRPr="00AC07CC" w:rsidRDefault="00AC07CC">
      <w:pPr>
        <w:spacing w:before="240" w:after="240"/>
        <w:jc w:val="both"/>
        <w:rPr>
          <w:i/>
          <w:iCs/>
          <w:sz w:val="20"/>
          <w:szCs w:val="20"/>
        </w:rPr>
      </w:pPr>
      <w:r w:rsidRPr="00AC07CC">
        <w:rPr>
          <w:i/>
          <w:iCs/>
          <w:sz w:val="20"/>
          <w:szCs w:val="20"/>
        </w:rPr>
        <w:t>List of suggested questions for the Government of Malaysia:</w:t>
      </w:r>
    </w:p>
    <w:p w14:paraId="43568867" w14:textId="77777777" w:rsidR="00D63B90" w:rsidRPr="00AC07CC" w:rsidRDefault="00AC07CC">
      <w:pPr>
        <w:spacing w:before="240" w:after="240"/>
        <w:jc w:val="both"/>
        <w:rPr>
          <w:color w:val="000000"/>
          <w:sz w:val="20"/>
          <w:szCs w:val="20"/>
        </w:rPr>
      </w:pPr>
      <w:r w:rsidRPr="00AC07CC">
        <w:rPr>
          <w:color w:val="000000"/>
          <w:sz w:val="20"/>
          <w:szCs w:val="20"/>
        </w:rPr>
        <w:t>Criteria and Decision-Making</w:t>
      </w:r>
    </w:p>
    <w:p w14:paraId="69BBA484" w14:textId="77777777" w:rsidR="00D63B90" w:rsidRPr="00AC07CC" w:rsidRDefault="00AC07CC">
      <w:pPr>
        <w:numPr>
          <w:ilvl w:val="0"/>
          <w:numId w:val="4"/>
        </w:numPr>
        <w:spacing w:before="240"/>
        <w:jc w:val="both"/>
        <w:rPr>
          <w:sz w:val="20"/>
          <w:szCs w:val="20"/>
        </w:rPr>
      </w:pPr>
      <w:r w:rsidRPr="00AC07CC">
        <w:rPr>
          <w:sz w:val="20"/>
          <w:szCs w:val="20"/>
        </w:rPr>
        <w:t>What criteria, if any, are used by the executive in deciding whether to release a child detained under Section 97(2) of the Child Act?</w:t>
      </w:r>
    </w:p>
    <w:p w14:paraId="5EA358A2" w14:textId="77777777" w:rsidR="00D63B90" w:rsidRPr="00AC07CC" w:rsidRDefault="00AC07CC">
      <w:pPr>
        <w:numPr>
          <w:ilvl w:val="0"/>
          <w:numId w:val="4"/>
        </w:numPr>
        <w:jc w:val="both"/>
        <w:rPr>
          <w:sz w:val="20"/>
          <w:szCs w:val="20"/>
        </w:rPr>
      </w:pPr>
      <w:r w:rsidRPr="00AC07CC">
        <w:rPr>
          <w:sz w:val="20"/>
          <w:szCs w:val="20"/>
        </w:rPr>
        <w:t>Are these criteria publicly available, consistently applied, and subject to judicial or independent review?</w:t>
      </w:r>
    </w:p>
    <w:p w14:paraId="3B8C2248" w14:textId="77777777" w:rsidR="00D63B90" w:rsidRPr="00AC07CC" w:rsidRDefault="00AC07CC">
      <w:pPr>
        <w:numPr>
          <w:ilvl w:val="0"/>
          <w:numId w:val="4"/>
        </w:numPr>
        <w:spacing w:after="240"/>
        <w:jc w:val="both"/>
        <w:rPr>
          <w:sz w:val="20"/>
          <w:szCs w:val="20"/>
        </w:rPr>
      </w:pPr>
      <w:r w:rsidRPr="00AC07CC">
        <w:rPr>
          <w:sz w:val="20"/>
          <w:szCs w:val="20"/>
        </w:rPr>
        <w:t>Which officials or bodies participate in the decision-making process, and what safeguards are in place to prevent arbitrary decisions?</w:t>
      </w:r>
    </w:p>
    <w:p w14:paraId="0A0BFF6C" w14:textId="77777777" w:rsidR="00D63B90" w:rsidRPr="00AC07CC" w:rsidRDefault="00AC07CC">
      <w:pPr>
        <w:pStyle w:val="Heading3"/>
        <w:keepNext w:val="0"/>
        <w:keepLines w:val="0"/>
        <w:spacing w:before="280"/>
        <w:jc w:val="both"/>
        <w:rPr>
          <w:color w:val="000000"/>
          <w:sz w:val="20"/>
          <w:szCs w:val="20"/>
        </w:rPr>
      </w:pPr>
      <w:bookmarkStart w:id="5" w:name="_6bw317prvr24" w:colFirst="0" w:colLast="0"/>
      <w:bookmarkEnd w:id="5"/>
      <w:r w:rsidRPr="00AC07CC">
        <w:rPr>
          <w:color w:val="000000"/>
          <w:sz w:val="20"/>
          <w:szCs w:val="20"/>
        </w:rPr>
        <w:t>Maximum Duration and Legal Certainty</w:t>
      </w:r>
    </w:p>
    <w:p w14:paraId="09528EDB" w14:textId="77777777" w:rsidR="00D63B90" w:rsidRPr="00AC07CC" w:rsidRDefault="00AC07CC">
      <w:pPr>
        <w:numPr>
          <w:ilvl w:val="0"/>
          <w:numId w:val="3"/>
        </w:numPr>
        <w:spacing w:before="240"/>
        <w:jc w:val="both"/>
        <w:rPr>
          <w:sz w:val="20"/>
          <w:szCs w:val="20"/>
        </w:rPr>
      </w:pPr>
      <w:r w:rsidRPr="00AC07CC">
        <w:rPr>
          <w:sz w:val="20"/>
          <w:szCs w:val="20"/>
        </w:rPr>
        <w:t>How does the Government justify detaining children without a defined maximum duration, given the risk of such detention becoming arbitrary or punitive in nature?</w:t>
      </w:r>
    </w:p>
    <w:p w14:paraId="3F3F1903" w14:textId="77777777" w:rsidR="00D63B90" w:rsidRPr="00AC07CC" w:rsidRDefault="00AC07CC">
      <w:pPr>
        <w:numPr>
          <w:ilvl w:val="0"/>
          <w:numId w:val="3"/>
        </w:numPr>
        <w:spacing w:after="240"/>
        <w:jc w:val="both"/>
        <w:rPr>
          <w:sz w:val="20"/>
          <w:szCs w:val="20"/>
        </w:rPr>
      </w:pPr>
      <w:r w:rsidRPr="00AC07CC">
        <w:rPr>
          <w:sz w:val="20"/>
          <w:szCs w:val="20"/>
        </w:rPr>
        <w:t xml:space="preserve">Does the Government </w:t>
      </w:r>
      <w:proofErr w:type="spellStart"/>
      <w:r w:rsidRPr="00AC07CC">
        <w:rPr>
          <w:sz w:val="20"/>
          <w:szCs w:val="20"/>
        </w:rPr>
        <w:t>recognise</w:t>
      </w:r>
      <w:proofErr w:type="spellEnd"/>
      <w:r w:rsidRPr="00AC07CC">
        <w:rPr>
          <w:sz w:val="20"/>
          <w:szCs w:val="20"/>
        </w:rPr>
        <w:t xml:space="preserve"> that the absence of a maximum term, combined with broad executive discretion, may amount to a violation of the prohibition on cruel, inhuman, or degrading punishment?</w:t>
      </w:r>
    </w:p>
    <w:p w14:paraId="72AF5D6E" w14:textId="77777777" w:rsidR="00D63B90" w:rsidRPr="00AC07CC" w:rsidRDefault="00AC07CC">
      <w:pPr>
        <w:pStyle w:val="Heading3"/>
        <w:keepNext w:val="0"/>
        <w:keepLines w:val="0"/>
        <w:spacing w:before="280"/>
        <w:jc w:val="both"/>
        <w:rPr>
          <w:color w:val="000000"/>
          <w:sz w:val="20"/>
          <w:szCs w:val="20"/>
        </w:rPr>
      </w:pPr>
      <w:bookmarkStart w:id="6" w:name="_h6q3j4gm7lom" w:colFirst="0" w:colLast="0"/>
      <w:bookmarkEnd w:id="6"/>
      <w:r w:rsidRPr="00AC07CC">
        <w:rPr>
          <w:color w:val="000000"/>
          <w:sz w:val="20"/>
          <w:szCs w:val="20"/>
        </w:rPr>
        <w:t>Compliance With the Convention on the Rights of the Child</w:t>
      </w:r>
    </w:p>
    <w:p w14:paraId="4CA040E4" w14:textId="77777777" w:rsidR="00D63B90" w:rsidRPr="00AC07CC" w:rsidRDefault="00AC07CC">
      <w:pPr>
        <w:numPr>
          <w:ilvl w:val="0"/>
          <w:numId w:val="8"/>
        </w:numPr>
        <w:spacing w:before="240"/>
        <w:jc w:val="both"/>
        <w:rPr>
          <w:sz w:val="20"/>
          <w:szCs w:val="20"/>
        </w:rPr>
      </w:pPr>
      <w:r w:rsidRPr="00AC07CC">
        <w:rPr>
          <w:sz w:val="20"/>
          <w:szCs w:val="20"/>
        </w:rPr>
        <w:t>How does the Government reconcile indefinite detention under Section 97(2) with Article 37(b) of the CRC, which requires that detention be used only as a last resort and for the shortest appropriate period of time?</w:t>
      </w:r>
    </w:p>
    <w:p w14:paraId="3AE65574" w14:textId="77777777" w:rsidR="00D63B90" w:rsidRPr="00AC07CC" w:rsidRDefault="00AC07CC">
      <w:pPr>
        <w:numPr>
          <w:ilvl w:val="0"/>
          <w:numId w:val="8"/>
        </w:numPr>
        <w:jc w:val="both"/>
        <w:rPr>
          <w:sz w:val="20"/>
          <w:szCs w:val="20"/>
        </w:rPr>
      </w:pPr>
      <w:r w:rsidRPr="00AC07CC">
        <w:rPr>
          <w:sz w:val="20"/>
          <w:szCs w:val="20"/>
        </w:rPr>
        <w:t>How does the Government justify the lack of periodic judicial review in light of Article 40 of the CRC, which guarantees full due process protections for children in conflict with the law?</w:t>
      </w:r>
    </w:p>
    <w:p w14:paraId="316908D3" w14:textId="77777777" w:rsidR="00D63B90" w:rsidRPr="00AC07CC" w:rsidRDefault="00AC07CC">
      <w:pPr>
        <w:numPr>
          <w:ilvl w:val="0"/>
          <w:numId w:val="8"/>
        </w:numPr>
        <w:spacing w:after="240"/>
        <w:jc w:val="both"/>
        <w:rPr>
          <w:sz w:val="20"/>
          <w:szCs w:val="20"/>
        </w:rPr>
      </w:pPr>
      <w:r w:rsidRPr="00AC07CC">
        <w:rPr>
          <w:sz w:val="20"/>
          <w:szCs w:val="20"/>
        </w:rPr>
        <w:t>What measures are in place to ensure rehabilitation, reintegration, and age-appropriate support for children detained under this provision?</w:t>
      </w:r>
    </w:p>
    <w:p w14:paraId="25845DA5" w14:textId="77777777" w:rsidR="00D63B90" w:rsidRPr="00AC07CC" w:rsidRDefault="00AC07CC">
      <w:pPr>
        <w:pStyle w:val="Heading3"/>
        <w:keepNext w:val="0"/>
        <w:keepLines w:val="0"/>
        <w:spacing w:before="280"/>
        <w:jc w:val="both"/>
        <w:rPr>
          <w:color w:val="000000"/>
          <w:sz w:val="20"/>
          <w:szCs w:val="20"/>
        </w:rPr>
      </w:pPr>
      <w:bookmarkStart w:id="7" w:name="_ocycolekkcol" w:colFirst="0" w:colLast="0"/>
      <w:bookmarkEnd w:id="7"/>
      <w:r w:rsidRPr="00AC07CC">
        <w:rPr>
          <w:color w:val="000000"/>
          <w:sz w:val="20"/>
          <w:szCs w:val="20"/>
        </w:rPr>
        <w:t>Exclusion From the 2023 Resentencing Reforms</w:t>
      </w:r>
    </w:p>
    <w:p w14:paraId="6209585C" w14:textId="77777777" w:rsidR="00D63B90" w:rsidRPr="00AC07CC" w:rsidRDefault="00AC07CC">
      <w:pPr>
        <w:numPr>
          <w:ilvl w:val="0"/>
          <w:numId w:val="2"/>
        </w:numPr>
        <w:spacing w:before="240"/>
        <w:jc w:val="both"/>
        <w:rPr>
          <w:sz w:val="20"/>
          <w:szCs w:val="20"/>
        </w:rPr>
      </w:pPr>
      <w:r w:rsidRPr="00AC07CC">
        <w:rPr>
          <w:sz w:val="20"/>
          <w:szCs w:val="20"/>
        </w:rPr>
        <w:t>Why were children detained under Section 97 excluded from the 2023 resentencing process provided to individuals previously convicted of capital offences?</w:t>
      </w:r>
    </w:p>
    <w:p w14:paraId="1B8F9DF6" w14:textId="77777777" w:rsidR="00D63B90" w:rsidRPr="00AC07CC" w:rsidRDefault="00AC07CC">
      <w:pPr>
        <w:numPr>
          <w:ilvl w:val="0"/>
          <w:numId w:val="2"/>
        </w:numPr>
        <w:jc w:val="both"/>
        <w:rPr>
          <w:sz w:val="20"/>
          <w:szCs w:val="20"/>
        </w:rPr>
      </w:pPr>
      <w:r w:rsidRPr="00AC07CC">
        <w:rPr>
          <w:sz w:val="20"/>
          <w:szCs w:val="20"/>
        </w:rPr>
        <w:t>Does the Government plan to extend resentencing, judicial review, or any form of remedial mechanism to individuals detained under Section 97(2)?</w:t>
      </w:r>
    </w:p>
    <w:p w14:paraId="6FABA65A" w14:textId="77777777" w:rsidR="00D63B90" w:rsidRPr="00AC07CC" w:rsidRDefault="00AC07CC">
      <w:pPr>
        <w:numPr>
          <w:ilvl w:val="0"/>
          <w:numId w:val="2"/>
        </w:numPr>
        <w:spacing w:after="240"/>
        <w:jc w:val="both"/>
        <w:rPr>
          <w:sz w:val="20"/>
          <w:szCs w:val="20"/>
        </w:rPr>
      </w:pPr>
      <w:r w:rsidRPr="00AC07CC">
        <w:rPr>
          <w:sz w:val="20"/>
          <w:szCs w:val="20"/>
        </w:rPr>
        <w:t>What steps are being taken to ensure equality and non-discrimination in sentencing and resentencing outcomes for children previously subjected to mandatory death-penalty offences?</w:t>
      </w:r>
    </w:p>
    <w:p w14:paraId="2719CF8C" w14:textId="77777777" w:rsidR="00D63B90" w:rsidRPr="00AC07CC" w:rsidRDefault="00AC07CC">
      <w:pPr>
        <w:pStyle w:val="Heading3"/>
        <w:keepNext w:val="0"/>
        <w:keepLines w:val="0"/>
        <w:spacing w:before="280"/>
        <w:jc w:val="both"/>
        <w:rPr>
          <w:color w:val="000000"/>
          <w:sz w:val="20"/>
          <w:szCs w:val="20"/>
        </w:rPr>
      </w:pPr>
      <w:bookmarkStart w:id="8" w:name="_bcq68be3zish" w:colFirst="0" w:colLast="0"/>
      <w:bookmarkEnd w:id="8"/>
      <w:r w:rsidRPr="00AC07CC">
        <w:rPr>
          <w:color w:val="000000"/>
          <w:sz w:val="20"/>
          <w:szCs w:val="20"/>
        </w:rPr>
        <w:t>Numbers and Duration of Detention</w:t>
      </w:r>
    </w:p>
    <w:p w14:paraId="243BE349" w14:textId="77777777" w:rsidR="00D63B90" w:rsidRPr="00AC07CC" w:rsidRDefault="00AC07CC">
      <w:pPr>
        <w:numPr>
          <w:ilvl w:val="0"/>
          <w:numId w:val="9"/>
        </w:numPr>
        <w:spacing w:before="240"/>
        <w:jc w:val="both"/>
        <w:rPr>
          <w:sz w:val="20"/>
          <w:szCs w:val="20"/>
        </w:rPr>
      </w:pPr>
      <w:r w:rsidRPr="00AC07CC">
        <w:rPr>
          <w:sz w:val="20"/>
          <w:szCs w:val="20"/>
        </w:rPr>
        <w:t>How many individuals remain detained under Section 97(2), disaggregated by age at offence, current age, gender, ethnicity, and length of detention?</w:t>
      </w:r>
    </w:p>
    <w:p w14:paraId="288B2E8E" w14:textId="77777777" w:rsidR="00D63B90" w:rsidRPr="00AC07CC" w:rsidRDefault="00AC07CC">
      <w:pPr>
        <w:numPr>
          <w:ilvl w:val="0"/>
          <w:numId w:val="9"/>
        </w:numPr>
        <w:spacing w:after="240"/>
        <w:jc w:val="both"/>
        <w:rPr>
          <w:sz w:val="20"/>
          <w:szCs w:val="20"/>
        </w:rPr>
      </w:pPr>
      <w:r w:rsidRPr="00AC07CC">
        <w:rPr>
          <w:sz w:val="20"/>
          <w:szCs w:val="20"/>
        </w:rPr>
        <w:t>How many have been detained for more than 5, 10, 15, or 20 years, including those who were children at the time of the offence?</w:t>
      </w:r>
    </w:p>
    <w:p w14:paraId="7E85B88D" w14:textId="77777777" w:rsidR="00D63B90" w:rsidRPr="00AC07CC" w:rsidRDefault="00AC07CC">
      <w:pPr>
        <w:pStyle w:val="Heading3"/>
        <w:keepNext w:val="0"/>
        <w:keepLines w:val="0"/>
        <w:spacing w:before="280"/>
        <w:jc w:val="both"/>
        <w:rPr>
          <w:color w:val="000000"/>
          <w:sz w:val="20"/>
          <w:szCs w:val="20"/>
        </w:rPr>
      </w:pPr>
      <w:bookmarkStart w:id="9" w:name="_l3jhjj4g0iot" w:colFirst="0" w:colLast="0"/>
      <w:bookmarkEnd w:id="9"/>
      <w:r w:rsidRPr="00AC07CC">
        <w:rPr>
          <w:color w:val="000000"/>
          <w:sz w:val="20"/>
          <w:szCs w:val="20"/>
        </w:rPr>
        <w:t>Procedural Guarantees and Oversight</w:t>
      </w:r>
    </w:p>
    <w:p w14:paraId="6B05F78D" w14:textId="77777777" w:rsidR="00D63B90" w:rsidRPr="00AC07CC" w:rsidRDefault="00AC07CC">
      <w:pPr>
        <w:numPr>
          <w:ilvl w:val="0"/>
          <w:numId w:val="6"/>
        </w:numPr>
        <w:spacing w:before="240"/>
        <w:jc w:val="both"/>
        <w:rPr>
          <w:sz w:val="20"/>
          <w:szCs w:val="20"/>
        </w:rPr>
      </w:pPr>
      <w:r w:rsidRPr="00AC07CC">
        <w:rPr>
          <w:sz w:val="20"/>
          <w:szCs w:val="20"/>
        </w:rPr>
        <w:t>What independent oversight mechanisms exist to review the legality and proportionality of continued detention under Section 97(2)?</w:t>
      </w:r>
    </w:p>
    <w:p w14:paraId="5EF6BFA7" w14:textId="77777777" w:rsidR="00D63B90" w:rsidRPr="00AC07CC" w:rsidRDefault="00AC07CC">
      <w:pPr>
        <w:numPr>
          <w:ilvl w:val="0"/>
          <w:numId w:val="6"/>
        </w:numPr>
        <w:spacing w:after="240"/>
        <w:jc w:val="both"/>
        <w:rPr>
          <w:sz w:val="20"/>
          <w:szCs w:val="20"/>
        </w:rPr>
      </w:pPr>
      <w:r w:rsidRPr="00AC07CC">
        <w:rPr>
          <w:sz w:val="20"/>
          <w:szCs w:val="20"/>
        </w:rPr>
        <w:t>Are detainees provided with legal representation during review processes? If not, why not?</w:t>
      </w:r>
    </w:p>
    <w:p w14:paraId="3B234502" w14:textId="77777777" w:rsidR="00D63B90" w:rsidRPr="00AC07CC" w:rsidRDefault="00AC07CC">
      <w:pPr>
        <w:pStyle w:val="Heading3"/>
        <w:keepNext w:val="0"/>
        <w:keepLines w:val="0"/>
        <w:spacing w:before="280"/>
        <w:jc w:val="both"/>
        <w:rPr>
          <w:color w:val="000000"/>
          <w:sz w:val="20"/>
          <w:szCs w:val="20"/>
        </w:rPr>
      </w:pPr>
      <w:bookmarkStart w:id="10" w:name="_bg3op0y9kfpd" w:colFirst="0" w:colLast="0"/>
      <w:bookmarkEnd w:id="10"/>
      <w:r w:rsidRPr="00AC07CC">
        <w:rPr>
          <w:color w:val="000000"/>
          <w:sz w:val="20"/>
          <w:szCs w:val="20"/>
        </w:rPr>
        <w:t>SOSMA, ESCAR, and Security-Related Offences</w:t>
      </w:r>
    </w:p>
    <w:p w14:paraId="531B2150" w14:textId="77777777" w:rsidR="00D63B90" w:rsidRPr="00AC07CC" w:rsidRDefault="00AC07CC">
      <w:pPr>
        <w:numPr>
          <w:ilvl w:val="0"/>
          <w:numId w:val="1"/>
        </w:numPr>
        <w:spacing w:before="240"/>
        <w:jc w:val="both"/>
        <w:rPr>
          <w:sz w:val="20"/>
          <w:szCs w:val="20"/>
        </w:rPr>
      </w:pPr>
      <w:r w:rsidRPr="00AC07CC">
        <w:rPr>
          <w:sz w:val="20"/>
          <w:szCs w:val="20"/>
        </w:rPr>
        <w:t>Does the Government confirm whether children accused of offences under SOSMA are entitled to the full protections of the Child Act 2001?</w:t>
      </w:r>
    </w:p>
    <w:p w14:paraId="52D9CDC2" w14:textId="77777777" w:rsidR="00D63B90" w:rsidRPr="00AC07CC" w:rsidRDefault="00AC07CC">
      <w:pPr>
        <w:numPr>
          <w:ilvl w:val="0"/>
          <w:numId w:val="1"/>
        </w:numPr>
        <w:jc w:val="both"/>
        <w:rPr>
          <w:sz w:val="20"/>
          <w:szCs w:val="20"/>
        </w:rPr>
      </w:pPr>
      <w:r w:rsidRPr="00AC07CC">
        <w:rPr>
          <w:sz w:val="20"/>
          <w:szCs w:val="20"/>
        </w:rPr>
        <w:t>How does the Government ensure that the ESCAR principle under which Child Act protections do not apply does not lead to children being subjected to adult procedures, detention without trial, or de facto death-penalty–equivalent outcomes?</w:t>
      </w:r>
    </w:p>
    <w:p w14:paraId="08B76133" w14:textId="77777777" w:rsidR="00D63B90" w:rsidRPr="00AC07CC" w:rsidRDefault="00AC07CC">
      <w:pPr>
        <w:numPr>
          <w:ilvl w:val="0"/>
          <w:numId w:val="1"/>
        </w:numPr>
        <w:spacing w:after="240"/>
        <w:jc w:val="both"/>
        <w:rPr>
          <w:sz w:val="20"/>
          <w:szCs w:val="20"/>
        </w:rPr>
      </w:pPr>
      <w:r w:rsidRPr="00AC07CC">
        <w:rPr>
          <w:sz w:val="20"/>
          <w:szCs w:val="20"/>
        </w:rPr>
        <w:t>Following the repeal of Section 19 of SOSMA in 2024, what measures has the Government taken to ensure that children involved in security-related cases are fully protected under the Evidence of Child Witness Act 2007, and that child-sensitive procedures are consistently applied in practice?</w:t>
      </w:r>
    </w:p>
    <w:p w14:paraId="7E188D35" w14:textId="77777777" w:rsidR="00D63B90" w:rsidRDefault="00D63B90">
      <w:pPr>
        <w:spacing w:before="240" w:after="240"/>
        <w:jc w:val="both"/>
        <w:rPr>
          <w:sz w:val="20"/>
          <w:szCs w:val="20"/>
        </w:rPr>
      </w:pPr>
    </w:p>
    <w:p w14:paraId="668D4335" w14:textId="77777777" w:rsidR="00AC07CC" w:rsidRPr="00AC07CC" w:rsidRDefault="00AC07CC">
      <w:pPr>
        <w:spacing w:before="240" w:after="240"/>
        <w:jc w:val="both"/>
        <w:rPr>
          <w:sz w:val="20"/>
          <w:szCs w:val="20"/>
        </w:rPr>
      </w:pPr>
    </w:p>
    <w:p w14:paraId="0EEE267D" w14:textId="77777777" w:rsidR="00D63B90" w:rsidRPr="00AC07CC" w:rsidRDefault="00AC07CC">
      <w:pPr>
        <w:pStyle w:val="Heading2"/>
        <w:keepNext w:val="0"/>
        <w:keepLines w:val="0"/>
        <w:spacing w:after="80"/>
        <w:jc w:val="both"/>
        <w:rPr>
          <w:b/>
          <w:bCs/>
          <w:sz w:val="20"/>
          <w:szCs w:val="20"/>
        </w:rPr>
      </w:pPr>
      <w:bookmarkStart w:id="11" w:name="_i3aylxrrzgkq" w:colFirst="0" w:colLast="0"/>
      <w:bookmarkEnd w:id="11"/>
      <w:r w:rsidRPr="00AC07CC">
        <w:rPr>
          <w:b/>
          <w:bCs/>
          <w:sz w:val="20"/>
          <w:szCs w:val="20"/>
        </w:rPr>
        <w:t>2. Procedural Safeguards &amp; Fair Trial Rights</w:t>
      </w:r>
    </w:p>
    <w:p w14:paraId="6147432E" w14:textId="77777777" w:rsidR="00D63B90" w:rsidRPr="00AC07CC" w:rsidRDefault="00AC07CC">
      <w:pPr>
        <w:jc w:val="both"/>
        <w:rPr>
          <w:sz w:val="20"/>
          <w:szCs w:val="20"/>
        </w:rPr>
      </w:pPr>
      <w:r w:rsidRPr="00AC07CC">
        <w:rPr>
          <w:sz w:val="20"/>
          <w:szCs w:val="20"/>
        </w:rPr>
        <w:t>While the Child Act sets out crucial safeguards and child-</w:t>
      </w:r>
      <w:proofErr w:type="spellStart"/>
      <w:r w:rsidRPr="00AC07CC">
        <w:rPr>
          <w:sz w:val="20"/>
          <w:szCs w:val="20"/>
        </w:rPr>
        <w:t>centred</w:t>
      </w:r>
      <w:proofErr w:type="spellEnd"/>
      <w:r w:rsidRPr="00AC07CC">
        <w:rPr>
          <w:sz w:val="20"/>
          <w:szCs w:val="20"/>
        </w:rPr>
        <w:t xml:space="preserve"> justice procedures, these protections are not reliably upheld in practice. When a child is charged with a capital offence, the case is usually transferred to the High Court, where safeguards provided for under Child Act become uncertain. As a result, children risk being subjected to adult criminal procedures, which are not designed to accommodate their age, developmental needs, or vulnerabilities, including trials before a judge who may not be specially trained in child justice or child-sensitive procedures, the absence of closed-court protections, and sentencing practices that do not </w:t>
      </w:r>
      <w:proofErr w:type="spellStart"/>
      <w:r w:rsidRPr="00AC07CC">
        <w:rPr>
          <w:sz w:val="20"/>
          <w:szCs w:val="20"/>
        </w:rPr>
        <w:t>prioritise</w:t>
      </w:r>
      <w:proofErr w:type="spellEnd"/>
      <w:r w:rsidRPr="00AC07CC">
        <w:rPr>
          <w:sz w:val="20"/>
          <w:szCs w:val="20"/>
        </w:rPr>
        <w:t xml:space="preserve"> rehabilitation or the child’s best interests. </w:t>
      </w:r>
    </w:p>
    <w:p w14:paraId="05E91747" w14:textId="77777777" w:rsidR="00D63B90" w:rsidRPr="00AC07CC" w:rsidRDefault="00D63B90">
      <w:pPr>
        <w:jc w:val="both"/>
        <w:rPr>
          <w:sz w:val="20"/>
          <w:szCs w:val="20"/>
        </w:rPr>
      </w:pPr>
    </w:p>
    <w:p w14:paraId="5A2EB0EB" w14:textId="77777777" w:rsidR="00D63B90" w:rsidRPr="00AC07CC" w:rsidRDefault="00AC07CC">
      <w:pPr>
        <w:jc w:val="both"/>
        <w:rPr>
          <w:sz w:val="20"/>
          <w:szCs w:val="20"/>
        </w:rPr>
      </w:pPr>
      <w:r w:rsidRPr="00AC07CC">
        <w:rPr>
          <w:sz w:val="20"/>
          <w:szCs w:val="20"/>
        </w:rPr>
        <w:t xml:space="preserve">Malaysia has not fully </w:t>
      </w:r>
      <w:proofErr w:type="spellStart"/>
      <w:r w:rsidRPr="00AC07CC">
        <w:rPr>
          <w:sz w:val="20"/>
          <w:szCs w:val="20"/>
        </w:rPr>
        <w:t>harmonised</w:t>
      </w:r>
      <w:proofErr w:type="spellEnd"/>
      <w:r w:rsidRPr="00AC07CC">
        <w:rPr>
          <w:sz w:val="20"/>
          <w:szCs w:val="20"/>
        </w:rPr>
        <w:t xml:space="preserve"> existing laws such as the Child Act, the Penal Code, the Criminal Procedure Code with CRC obligations, resulting in fragmented protection frameworks and inconsistent implementation. </w:t>
      </w:r>
      <w:r w:rsidRPr="00AC07CC">
        <w:rPr>
          <w:sz w:val="20"/>
          <w:szCs w:val="20"/>
          <w:vertAlign w:val="superscript"/>
        </w:rPr>
        <w:footnoteReference w:id="11"/>
      </w:r>
      <w:r w:rsidRPr="00AC07CC">
        <w:rPr>
          <w:sz w:val="20"/>
          <w:szCs w:val="20"/>
        </w:rPr>
        <w:t xml:space="preserve"> This fragmented framework creates legal uncertainty and exposes children to adult criminal justice mechanisms, contrary to the CRC requirement of </w:t>
      </w:r>
      <w:proofErr w:type="spellStart"/>
      <w:r w:rsidRPr="00AC07CC">
        <w:rPr>
          <w:sz w:val="20"/>
          <w:szCs w:val="20"/>
        </w:rPr>
        <w:t>specialised</w:t>
      </w:r>
      <w:proofErr w:type="spellEnd"/>
      <w:r w:rsidRPr="00AC07CC">
        <w:rPr>
          <w:sz w:val="20"/>
          <w:szCs w:val="20"/>
        </w:rPr>
        <w:t>, child-sensitive procedures.</w:t>
      </w:r>
    </w:p>
    <w:p w14:paraId="4C461511" w14:textId="77777777" w:rsidR="00D63B90" w:rsidRPr="00AC07CC" w:rsidRDefault="00AC07CC">
      <w:pPr>
        <w:spacing w:before="240" w:after="240"/>
        <w:jc w:val="both"/>
        <w:rPr>
          <w:sz w:val="20"/>
          <w:szCs w:val="20"/>
        </w:rPr>
      </w:pPr>
      <w:r w:rsidRPr="00AC07CC">
        <w:rPr>
          <w:sz w:val="20"/>
          <w:szCs w:val="20"/>
        </w:rPr>
        <w:t xml:space="preserve">These systemic gaps undermine the guarantees under CRC Articles 37 and 40, which require child-sensitive procedures, fair trial guarantees, and a justice process that </w:t>
      </w:r>
      <w:proofErr w:type="spellStart"/>
      <w:r w:rsidRPr="00AC07CC">
        <w:rPr>
          <w:sz w:val="20"/>
          <w:szCs w:val="20"/>
        </w:rPr>
        <w:t>emphasises</w:t>
      </w:r>
      <w:proofErr w:type="spellEnd"/>
      <w:r w:rsidRPr="00AC07CC">
        <w:rPr>
          <w:sz w:val="20"/>
          <w:szCs w:val="20"/>
        </w:rPr>
        <w:t xml:space="preserve"> rehabilitation rather than punishment.</w:t>
      </w:r>
    </w:p>
    <w:p w14:paraId="37A30405" w14:textId="77777777" w:rsidR="00D63B90" w:rsidRPr="00AC07CC" w:rsidRDefault="00AC07CC">
      <w:pPr>
        <w:spacing w:before="240" w:after="240"/>
        <w:jc w:val="both"/>
        <w:rPr>
          <w:i/>
          <w:iCs/>
          <w:sz w:val="20"/>
          <w:szCs w:val="20"/>
        </w:rPr>
      </w:pPr>
      <w:r w:rsidRPr="00AC07CC">
        <w:rPr>
          <w:i/>
          <w:iCs/>
          <w:sz w:val="20"/>
          <w:szCs w:val="20"/>
        </w:rPr>
        <w:t>List of suggested questions for the Government of Malaysia:</w:t>
      </w:r>
    </w:p>
    <w:p w14:paraId="03DDFB4D" w14:textId="77777777" w:rsidR="00D63B90" w:rsidRPr="00AC07CC" w:rsidRDefault="00AC07CC">
      <w:pPr>
        <w:numPr>
          <w:ilvl w:val="0"/>
          <w:numId w:val="7"/>
        </w:numPr>
        <w:spacing w:before="240" w:after="240"/>
        <w:jc w:val="both"/>
        <w:rPr>
          <w:sz w:val="20"/>
          <w:szCs w:val="20"/>
        </w:rPr>
      </w:pPr>
      <w:r w:rsidRPr="00AC07CC">
        <w:rPr>
          <w:sz w:val="20"/>
          <w:szCs w:val="20"/>
        </w:rPr>
        <w:t xml:space="preserve">When a child is charged with a capital offence and their case is transferred to the High Court, what measures has the Government put in place to ensure that all procedural safeguards under the Child Act 2001 including child-appropriate procedures, protections during investigation and trial, access to legal representation, privacy guarantees, and diversion-oriented approaches—are fully respected and not displaced by adult criminal procedures?  </w:t>
      </w:r>
    </w:p>
    <w:p w14:paraId="75FE7763" w14:textId="77777777" w:rsidR="00D63B90" w:rsidRPr="00AC07CC" w:rsidRDefault="00AC07CC">
      <w:pPr>
        <w:pStyle w:val="Heading2"/>
        <w:spacing w:before="240" w:after="240"/>
        <w:jc w:val="both"/>
        <w:rPr>
          <w:b/>
          <w:bCs/>
          <w:sz w:val="20"/>
          <w:szCs w:val="20"/>
        </w:rPr>
      </w:pPr>
      <w:bookmarkStart w:id="12" w:name="_tz9rxfkfl5km" w:colFirst="0" w:colLast="0"/>
      <w:bookmarkEnd w:id="12"/>
      <w:r w:rsidRPr="00AC07CC">
        <w:rPr>
          <w:b/>
          <w:bCs/>
          <w:sz w:val="20"/>
          <w:szCs w:val="20"/>
        </w:rPr>
        <w:t>3. Access to Justice &amp; Bail for Children</w:t>
      </w:r>
    </w:p>
    <w:p w14:paraId="3E36F691" w14:textId="77777777" w:rsidR="00D63B90" w:rsidRPr="00AC07CC" w:rsidRDefault="00AC07CC">
      <w:pPr>
        <w:jc w:val="both"/>
        <w:rPr>
          <w:sz w:val="20"/>
          <w:szCs w:val="20"/>
        </w:rPr>
      </w:pPr>
      <w:r w:rsidRPr="00AC07CC">
        <w:rPr>
          <w:sz w:val="20"/>
          <w:szCs w:val="20"/>
        </w:rPr>
        <w:t>Principles under the Convention on the Rights of the Child (CRC) emphasize the “Best Interests of the Child” (Article 3) and call for child-friendly justice procedures (Article 40).</w:t>
      </w:r>
      <w:r w:rsidRPr="00AC07CC">
        <w:rPr>
          <w:sz w:val="20"/>
          <w:szCs w:val="20"/>
          <w:vertAlign w:val="superscript"/>
        </w:rPr>
        <w:footnoteReference w:id="12"/>
      </w:r>
      <w:r w:rsidRPr="00AC07CC">
        <w:rPr>
          <w:sz w:val="20"/>
          <w:szCs w:val="20"/>
        </w:rPr>
        <w:t xml:space="preserve"> Bail decisions involving children should prioritize their welfare, rehabilitation, and development, with detention used only as a last resort and for the shortest appropriate period. This is reinforced by Article 37(b) of the CRC and the Committee’s General Comment No. 24, para. 97, which stresses that deprivation of liberty including pre-trial detention must be strictly necessary, proportionate, and used only after considering all non-custodial alternatives (GC24 replaces General Comment No. 10).</w:t>
      </w:r>
      <w:r w:rsidRPr="00AC07CC">
        <w:rPr>
          <w:sz w:val="20"/>
          <w:szCs w:val="20"/>
          <w:vertAlign w:val="superscript"/>
        </w:rPr>
        <w:footnoteReference w:id="13"/>
      </w:r>
    </w:p>
    <w:p w14:paraId="5D9DFE34" w14:textId="77777777" w:rsidR="00D63B90" w:rsidRPr="00AC07CC" w:rsidRDefault="00D63B90">
      <w:pPr>
        <w:jc w:val="both"/>
        <w:rPr>
          <w:sz w:val="20"/>
          <w:szCs w:val="20"/>
        </w:rPr>
      </w:pPr>
    </w:p>
    <w:p w14:paraId="112DEF74" w14:textId="77777777" w:rsidR="00D63B90" w:rsidRPr="00AC07CC" w:rsidRDefault="00AC07CC">
      <w:pPr>
        <w:jc w:val="both"/>
        <w:rPr>
          <w:sz w:val="20"/>
          <w:szCs w:val="20"/>
        </w:rPr>
      </w:pPr>
      <w:r w:rsidRPr="00AC07CC">
        <w:rPr>
          <w:sz w:val="20"/>
          <w:szCs w:val="20"/>
        </w:rPr>
        <w:t>In practice, however, judicial discretion in bail decisions often lacks child-specific guidelines, particularly for serious offences such as murder or drug-related crimes. There is no detailed guideline or directive guiding magistrates in exercising their discretion to grant bail to children, and it is unclear the extent to which magistrates can apply the special provisions of the Child Act 2001 rather than the regular bail provisions of the Criminal Procedure Code.</w:t>
      </w:r>
      <w:r w:rsidRPr="00AC07CC">
        <w:rPr>
          <w:sz w:val="20"/>
          <w:szCs w:val="20"/>
          <w:vertAlign w:val="superscript"/>
        </w:rPr>
        <w:footnoteReference w:id="14"/>
      </w:r>
    </w:p>
    <w:p w14:paraId="2A47F176" w14:textId="77777777" w:rsidR="00D63B90" w:rsidRPr="00AC07CC" w:rsidRDefault="00D63B90">
      <w:pPr>
        <w:jc w:val="both"/>
        <w:rPr>
          <w:sz w:val="20"/>
          <w:szCs w:val="20"/>
        </w:rPr>
      </w:pPr>
    </w:p>
    <w:p w14:paraId="2506F7D0" w14:textId="77777777" w:rsidR="00D63B90" w:rsidRPr="00AC07CC" w:rsidRDefault="00AC07CC">
      <w:pPr>
        <w:jc w:val="both"/>
        <w:rPr>
          <w:sz w:val="20"/>
          <w:szCs w:val="20"/>
        </w:rPr>
      </w:pPr>
      <w:r w:rsidRPr="00AC07CC">
        <w:rPr>
          <w:sz w:val="20"/>
          <w:szCs w:val="20"/>
        </w:rPr>
        <w:t>Under Malaysian law, children charged with serious offences including those punishable by death or life imprisonment may be denied bail.</w:t>
      </w:r>
      <w:r w:rsidRPr="00AC07CC">
        <w:rPr>
          <w:sz w:val="20"/>
          <w:szCs w:val="20"/>
          <w:vertAlign w:val="superscript"/>
        </w:rPr>
        <w:footnoteReference w:id="15"/>
      </w:r>
      <w:r w:rsidRPr="00AC07CC">
        <w:rPr>
          <w:sz w:val="20"/>
          <w:szCs w:val="20"/>
        </w:rPr>
        <w:t xml:space="preserve"> While the Child Act 2001 allows for pre-trial release on bond</w:t>
      </w:r>
      <w:r w:rsidRPr="00AC07CC">
        <w:rPr>
          <w:sz w:val="20"/>
          <w:szCs w:val="20"/>
          <w:vertAlign w:val="superscript"/>
        </w:rPr>
        <w:footnoteReference w:id="16"/>
      </w:r>
      <w:r w:rsidRPr="00AC07CC">
        <w:rPr>
          <w:sz w:val="20"/>
          <w:szCs w:val="20"/>
        </w:rPr>
        <w:t>, this is restricted in the case of “grave crimes”</w:t>
      </w:r>
      <w:r w:rsidRPr="00AC07CC">
        <w:rPr>
          <w:sz w:val="20"/>
          <w:szCs w:val="20"/>
          <w:vertAlign w:val="superscript"/>
        </w:rPr>
        <w:footnoteReference w:id="17"/>
      </w:r>
      <w:r w:rsidRPr="00AC07CC">
        <w:rPr>
          <w:sz w:val="20"/>
          <w:szCs w:val="20"/>
        </w:rPr>
        <w:t xml:space="preserve"> and where release would “defeat the ends of justice.”</w:t>
      </w:r>
      <w:r w:rsidRPr="00AC07CC">
        <w:rPr>
          <w:sz w:val="20"/>
          <w:szCs w:val="20"/>
          <w:vertAlign w:val="superscript"/>
        </w:rPr>
        <w:footnoteReference w:id="18"/>
      </w:r>
      <w:r w:rsidRPr="00AC07CC">
        <w:rPr>
          <w:sz w:val="20"/>
          <w:szCs w:val="20"/>
        </w:rPr>
        <w:t xml:space="preserve"> Children aged 16–18 lack explicit protections under the Criminal Procedure Code.</w:t>
      </w:r>
      <w:r w:rsidRPr="00AC07CC">
        <w:rPr>
          <w:sz w:val="20"/>
          <w:szCs w:val="20"/>
          <w:vertAlign w:val="superscript"/>
        </w:rPr>
        <w:footnoteReference w:id="19"/>
      </w:r>
      <w:r w:rsidRPr="00AC07CC">
        <w:rPr>
          <w:sz w:val="20"/>
          <w:szCs w:val="20"/>
        </w:rPr>
        <w:t xml:space="preserve"> </w:t>
      </w:r>
    </w:p>
    <w:p w14:paraId="175DA608" w14:textId="77777777" w:rsidR="00D63B90" w:rsidRPr="00AC07CC" w:rsidRDefault="00D63B90">
      <w:pPr>
        <w:jc w:val="both"/>
        <w:rPr>
          <w:sz w:val="20"/>
          <w:szCs w:val="20"/>
        </w:rPr>
      </w:pPr>
    </w:p>
    <w:p w14:paraId="7EB72E9C" w14:textId="77777777" w:rsidR="00D63B90" w:rsidRPr="00AC07CC" w:rsidRDefault="00AC07CC">
      <w:pPr>
        <w:jc w:val="both"/>
        <w:rPr>
          <w:sz w:val="20"/>
          <w:szCs w:val="20"/>
        </w:rPr>
      </w:pPr>
      <w:r w:rsidRPr="00AC07CC">
        <w:rPr>
          <w:sz w:val="20"/>
          <w:szCs w:val="20"/>
        </w:rPr>
        <w:t>In practice, children remanded for serious offences, or even for minor offences due to inability to pay bail, are often held in prison-like conditions alongside older youths and convicted offenders.</w:t>
      </w:r>
      <w:r w:rsidRPr="00AC07CC">
        <w:rPr>
          <w:sz w:val="20"/>
          <w:szCs w:val="20"/>
          <w:vertAlign w:val="superscript"/>
        </w:rPr>
        <w:footnoteReference w:id="20"/>
      </w:r>
      <w:r w:rsidRPr="00AC07CC">
        <w:rPr>
          <w:sz w:val="20"/>
          <w:szCs w:val="20"/>
        </w:rPr>
        <w:t xml:space="preserve"> These practices expose children to arbitrary and prolonged detention and do not align with CRC Article 37, which prohibits cruel, inhuman, or degrading treatment and emphasizes that detention should be a last resort.</w:t>
      </w:r>
      <w:r w:rsidRPr="00AC07CC">
        <w:rPr>
          <w:sz w:val="20"/>
          <w:szCs w:val="20"/>
          <w:vertAlign w:val="superscript"/>
        </w:rPr>
        <w:footnoteReference w:id="21"/>
      </w:r>
      <w:r w:rsidRPr="00AC07CC">
        <w:rPr>
          <w:sz w:val="20"/>
          <w:szCs w:val="20"/>
        </w:rPr>
        <w:t xml:space="preserve"> These concerns reflect a broader systemic issue: Malaysia’s criminal justice processes remain adult-oriented, and child-specific protections are inconsistently applied, as highlighted by UNICEF.</w:t>
      </w:r>
      <w:r w:rsidRPr="00AC07CC">
        <w:rPr>
          <w:sz w:val="20"/>
          <w:szCs w:val="20"/>
          <w:vertAlign w:val="superscript"/>
        </w:rPr>
        <w:footnoteReference w:id="22"/>
      </w:r>
    </w:p>
    <w:p w14:paraId="54840F3B" w14:textId="77777777" w:rsidR="00D63B90" w:rsidRPr="00AC07CC" w:rsidRDefault="00AC07CC">
      <w:pPr>
        <w:jc w:val="both"/>
        <w:rPr>
          <w:sz w:val="20"/>
          <w:szCs w:val="20"/>
        </w:rPr>
      </w:pPr>
      <w:r w:rsidRPr="00AC07CC">
        <w:rPr>
          <w:sz w:val="20"/>
          <w:szCs w:val="20"/>
        </w:rPr>
        <w:t xml:space="preserve"> </w:t>
      </w:r>
    </w:p>
    <w:p w14:paraId="69492E50" w14:textId="77777777" w:rsidR="00D63B90" w:rsidRPr="00AC07CC" w:rsidRDefault="00AC07CC">
      <w:pPr>
        <w:jc w:val="both"/>
        <w:rPr>
          <w:sz w:val="20"/>
          <w:szCs w:val="20"/>
        </w:rPr>
      </w:pPr>
      <w:r w:rsidRPr="00AC07CC">
        <w:rPr>
          <w:sz w:val="20"/>
          <w:szCs w:val="20"/>
        </w:rPr>
        <w:t xml:space="preserve">Recent events have exposed an alarming pattern in Malaysia’s treatment of vulnerable minors within the criminal justice system. This report refers to two separate cases involving underaged girls who were charged with murdering their newborn babies pregnancies that were the result of rape. </w:t>
      </w:r>
      <w:r w:rsidRPr="00AC07CC">
        <w:rPr>
          <w:sz w:val="20"/>
          <w:szCs w:val="20"/>
          <w:vertAlign w:val="superscript"/>
        </w:rPr>
        <w:footnoteReference w:id="23"/>
      </w:r>
      <w:r w:rsidRPr="00AC07CC">
        <w:rPr>
          <w:sz w:val="20"/>
          <w:szCs w:val="20"/>
        </w:rPr>
        <w:t>These cases shocked the public not only because the girls were victims of sexual violence, but because they were thrust into the full weight of criminal prosecution instead of receiving protection, psychosocial support, and trauma-informed care.</w:t>
      </w:r>
    </w:p>
    <w:p w14:paraId="378291C6" w14:textId="77777777" w:rsidR="00D63B90" w:rsidRPr="00AC07CC" w:rsidRDefault="00AC07CC">
      <w:pPr>
        <w:spacing w:before="240" w:after="240"/>
        <w:jc w:val="both"/>
        <w:rPr>
          <w:sz w:val="20"/>
          <w:szCs w:val="20"/>
        </w:rPr>
      </w:pPr>
      <w:r w:rsidRPr="00AC07CC">
        <w:rPr>
          <w:sz w:val="20"/>
          <w:szCs w:val="20"/>
        </w:rPr>
        <w:t>Against this backdrop, the case of the 15-year-old rape survivor charged under Section 302 of the Penal Code stands out even more starkly.</w:t>
      </w:r>
      <w:r w:rsidRPr="00AC07CC">
        <w:rPr>
          <w:sz w:val="20"/>
          <w:szCs w:val="20"/>
          <w:vertAlign w:val="superscript"/>
        </w:rPr>
        <w:footnoteReference w:id="24"/>
      </w:r>
      <w:r w:rsidRPr="00AC07CC">
        <w:rPr>
          <w:sz w:val="20"/>
          <w:szCs w:val="20"/>
        </w:rPr>
        <w:t xml:space="preserve"> She was initially denied bail without any explanation from the court, a decision that contradicts fundamental norms of transparency and accountability, especially when the accused is both a child and a victim of a grave crime.</w:t>
      </w:r>
    </w:p>
    <w:p w14:paraId="271F232F" w14:textId="77777777" w:rsidR="00D63B90" w:rsidRPr="00AC07CC" w:rsidRDefault="00AC07CC">
      <w:pPr>
        <w:spacing w:before="240" w:after="240"/>
        <w:jc w:val="both"/>
        <w:rPr>
          <w:sz w:val="20"/>
          <w:szCs w:val="20"/>
        </w:rPr>
      </w:pPr>
      <w:r w:rsidRPr="00AC07CC">
        <w:rPr>
          <w:sz w:val="20"/>
          <w:szCs w:val="20"/>
        </w:rPr>
        <w:t xml:space="preserve">The recurrence of such cases points to systemic failures: gaps in child-sensitive procedures, inconsistent application of legal protections under the Child Act, and a worrying readiness to </w:t>
      </w:r>
      <w:proofErr w:type="spellStart"/>
      <w:r w:rsidRPr="00AC07CC">
        <w:rPr>
          <w:sz w:val="20"/>
          <w:szCs w:val="20"/>
        </w:rPr>
        <w:t>criminalise</w:t>
      </w:r>
      <w:proofErr w:type="spellEnd"/>
      <w:r w:rsidRPr="00AC07CC">
        <w:rPr>
          <w:sz w:val="20"/>
          <w:szCs w:val="20"/>
        </w:rPr>
        <w:t xml:space="preserve"> minors who are themselves victims of sexual abuse. When courts do not provide reasons for harsh decisions, particularly those that deprive a child of liberty, it erodes public confidence and raises serious questions about whether discretion is being exercised fairly and compassionately.</w:t>
      </w:r>
    </w:p>
    <w:p w14:paraId="70959C23" w14:textId="77777777" w:rsidR="00D63B90" w:rsidRPr="00AC07CC" w:rsidRDefault="00AC07CC">
      <w:pPr>
        <w:spacing w:before="240" w:after="240"/>
        <w:jc w:val="both"/>
        <w:rPr>
          <w:sz w:val="20"/>
          <w:szCs w:val="20"/>
        </w:rPr>
      </w:pPr>
      <w:r w:rsidRPr="00AC07CC">
        <w:rPr>
          <w:sz w:val="20"/>
          <w:szCs w:val="20"/>
        </w:rPr>
        <w:t xml:space="preserve">Taken together, these cases reflect a deeply disturbing trend that demands immediate reform. Malaysia urgently needs clear guidelines for handling child victims in conflict with the law, mandatory judicial reasoning for bail decisions, stronger inter-agency coordination, and trauma-informed approaches that </w:t>
      </w:r>
      <w:proofErr w:type="spellStart"/>
      <w:r w:rsidRPr="00AC07CC">
        <w:rPr>
          <w:sz w:val="20"/>
          <w:szCs w:val="20"/>
        </w:rPr>
        <w:t>recognise</w:t>
      </w:r>
      <w:proofErr w:type="spellEnd"/>
      <w:r w:rsidRPr="00AC07CC">
        <w:rPr>
          <w:sz w:val="20"/>
          <w:szCs w:val="20"/>
        </w:rPr>
        <w:t xml:space="preserve"> these minors first and foremost as victims deserving protection not punishment.</w:t>
      </w:r>
    </w:p>
    <w:p w14:paraId="3693D14B" w14:textId="77777777" w:rsidR="00D63B90" w:rsidRPr="00AC07CC" w:rsidRDefault="00AC07CC">
      <w:pPr>
        <w:spacing w:before="240" w:after="240"/>
        <w:jc w:val="both"/>
        <w:rPr>
          <w:i/>
          <w:iCs/>
          <w:sz w:val="20"/>
          <w:szCs w:val="20"/>
        </w:rPr>
      </w:pPr>
      <w:r w:rsidRPr="00AC07CC">
        <w:rPr>
          <w:i/>
          <w:iCs/>
          <w:sz w:val="20"/>
          <w:szCs w:val="20"/>
        </w:rPr>
        <w:t>List of suggested questions for the Government of Malaysia:</w:t>
      </w:r>
    </w:p>
    <w:p w14:paraId="5FD0F758" w14:textId="77777777" w:rsidR="00D63B90" w:rsidRPr="00AC07CC" w:rsidRDefault="00AC07CC">
      <w:pPr>
        <w:numPr>
          <w:ilvl w:val="0"/>
          <w:numId w:val="5"/>
        </w:numPr>
        <w:spacing w:before="240"/>
        <w:jc w:val="both"/>
        <w:rPr>
          <w:sz w:val="20"/>
          <w:szCs w:val="20"/>
        </w:rPr>
      </w:pPr>
      <w:r w:rsidRPr="00AC07CC">
        <w:rPr>
          <w:sz w:val="20"/>
          <w:szCs w:val="20"/>
        </w:rPr>
        <w:t>What specific guidelines or directives govern bail decisions for children - particularly for serious offences such as murder, drug-related crimes, or offences punishable by death or life imprisonment?</w:t>
      </w:r>
    </w:p>
    <w:p w14:paraId="6EADE7A6" w14:textId="77777777" w:rsidR="00D63B90" w:rsidRPr="00AC07CC" w:rsidRDefault="00AC07CC">
      <w:pPr>
        <w:numPr>
          <w:ilvl w:val="0"/>
          <w:numId w:val="5"/>
        </w:numPr>
        <w:jc w:val="both"/>
        <w:rPr>
          <w:sz w:val="20"/>
          <w:szCs w:val="20"/>
        </w:rPr>
      </w:pPr>
      <w:r w:rsidRPr="00AC07CC">
        <w:rPr>
          <w:sz w:val="20"/>
          <w:szCs w:val="20"/>
        </w:rPr>
        <w:t>How does the judiciary ensure that child-</w:t>
      </w:r>
      <w:proofErr w:type="spellStart"/>
      <w:r w:rsidRPr="00AC07CC">
        <w:rPr>
          <w:sz w:val="20"/>
          <w:szCs w:val="20"/>
        </w:rPr>
        <w:t>centred</w:t>
      </w:r>
      <w:proofErr w:type="spellEnd"/>
      <w:r w:rsidRPr="00AC07CC">
        <w:rPr>
          <w:sz w:val="20"/>
          <w:szCs w:val="20"/>
        </w:rPr>
        <w:t xml:space="preserve"> protections under CRC Articles 3, 37, and 40 are consistently applied?</w:t>
      </w:r>
    </w:p>
    <w:p w14:paraId="209CAEBD" w14:textId="77777777" w:rsidR="00D63B90" w:rsidRPr="00AC07CC" w:rsidRDefault="00AC07CC">
      <w:pPr>
        <w:numPr>
          <w:ilvl w:val="0"/>
          <w:numId w:val="5"/>
        </w:numPr>
        <w:jc w:val="both"/>
        <w:rPr>
          <w:sz w:val="20"/>
          <w:szCs w:val="20"/>
        </w:rPr>
      </w:pPr>
      <w:r w:rsidRPr="00AC07CC">
        <w:rPr>
          <w:sz w:val="20"/>
          <w:szCs w:val="20"/>
        </w:rPr>
        <w:t>Are magistrates required to provide written reasons when denying bail to a child, and if not, are there plans to introduce mandatory reasoning for transparency and accountability?</w:t>
      </w:r>
    </w:p>
    <w:p w14:paraId="35E83DA3" w14:textId="77777777" w:rsidR="00D63B90" w:rsidRPr="00AC07CC" w:rsidRDefault="00AC07CC">
      <w:pPr>
        <w:numPr>
          <w:ilvl w:val="0"/>
          <w:numId w:val="5"/>
        </w:numPr>
        <w:jc w:val="both"/>
        <w:rPr>
          <w:sz w:val="20"/>
          <w:szCs w:val="20"/>
        </w:rPr>
      </w:pPr>
      <w:r w:rsidRPr="00AC07CC">
        <w:rPr>
          <w:sz w:val="20"/>
          <w:szCs w:val="20"/>
        </w:rPr>
        <w:t>For children who cannot meet bail conditions due to financial constraints, what measures exist to prevent arbitrary or prolonged pre-trial detention?</w:t>
      </w:r>
    </w:p>
    <w:p w14:paraId="299159CD" w14:textId="77777777" w:rsidR="00D63B90" w:rsidRPr="00AC07CC" w:rsidRDefault="00AC07CC">
      <w:pPr>
        <w:numPr>
          <w:ilvl w:val="0"/>
          <w:numId w:val="5"/>
        </w:numPr>
        <w:spacing w:after="240"/>
        <w:jc w:val="both"/>
        <w:rPr>
          <w:sz w:val="20"/>
          <w:szCs w:val="20"/>
        </w:rPr>
      </w:pPr>
      <w:r w:rsidRPr="00AC07CC">
        <w:rPr>
          <w:sz w:val="20"/>
          <w:szCs w:val="20"/>
        </w:rPr>
        <w:t>Are there any plans to introduce standardized, child-sensitive bail protocols or training for judges and magistrates to ensure consistent application across Malaysia?</w:t>
      </w:r>
    </w:p>
    <w:p w14:paraId="482EE12B" w14:textId="77777777" w:rsidR="00D63B90" w:rsidRPr="00AC07CC" w:rsidRDefault="00AC07CC">
      <w:pPr>
        <w:pStyle w:val="Heading2"/>
        <w:keepNext w:val="0"/>
        <w:keepLines w:val="0"/>
        <w:spacing w:after="80"/>
        <w:jc w:val="both"/>
        <w:rPr>
          <w:sz w:val="20"/>
          <w:szCs w:val="20"/>
        </w:rPr>
      </w:pPr>
      <w:bookmarkStart w:id="13" w:name="_ynp8nbaf2mxs" w:colFirst="0" w:colLast="0"/>
      <w:bookmarkEnd w:id="13"/>
      <w:r w:rsidRPr="00AC07CC">
        <w:rPr>
          <w:b/>
          <w:bCs/>
          <w:sz w:val="20"/>
          <w:szCs w:val="20"/>
        </w:rPr>
        <w:t>4. Detention Conditions, Torture &amp; Ill-Treatment</w:t>
      </w:r>
    </w:p>
    <w:p w14:paraId="49810457" w14:textId="77777777" w:rsidR="00D63B90" w:rsidRPr="00AC07CC" w:rsidRDefault="00AC07CC">
      <w:pPr>
        <w:spacing w:before="240" w:after="240"/>
        <w:jc w:val="both"/>
        <w:rPr>
          <w:sz w:val="20"/>
          <w:szCs w:val="20"/>
        </w:rPr>
      </w:pPr>
      <w:r w:rsidRPr="00AC07CC">
        <w:rPr>
          <w:sz w:val="20"/>
          <w:szCs w:val="20"/>
        </w:rPr>
        <w:t xml:space="preserve">Conditions of detention for children continue to raise concerns that amount to cruel, inhuman, or degrading treatment under CRC Article 37. Individuals detained under Section 97 remain classified as “juveniles” even as adults and must wear special jumpsuits that mark their status. Detention conditions are set by the Yang di-Pertuan </w:t>
      </w:r>
      <w:proofErr w:type="spellStart"/>
      <w:r w:rsidRPr="00AC07CC">
        <w:rPr>
          <w:sz w:val="20"/>
          <w:szCs w:val="20"/>
        </w:rPr>
        <w:t>Agong</w:t>
      </w:r>
      <w:proofErr w:type="spellEnd"/>
      <w:r w:rsidRPr="00AC07CC">
        <w:rPr>
          <w:sz w:val="20"/>
          <w:szCs w:val="20"/>
        </w:rPr>
        <w:t>, the Ruler, or the Yang di-</w:t>
      </w:r>
      <w:proofErr w:type="spellStart"/>
      <w:r w:rsidRPr="00AC07CC">
        <w:rPr>
          <w:sz w:val="20"/>
          <w:szCs w:val="20"/>
        </w:rPr>
        <w:t>Pertua</w:t>
      </w:r>
      <w:proofErr w:type="spellEnd"/>
      <w:r w:rsidRPr="00AC07CC">
        <w:rPr>
          <w:sz w:val="20"/>
          <w:szCs w:val="20"/>
        </w:rPr>
        <w:t xml:space="preserve"> Negeri and some individuals have reportedly been held for decades.</w:t>
      </w:r>
      <w:r w:rsidRPr="00AC07CC">
        <w:rPr>
          <w:sz w:val="20"/>
          <w:szCs w:val="20"/>
          <w:vertAlign w:val="superscript"/>
        </w:rPr>
        <w:footnoteReference w:id="25"/>
      </w:r>
      <w:r w:rsidRPr="00AC07CC">
        <w:rPr>
          <w:sz w:val="20"/>
          <w:szCs w:val="20"/>
        </w:rPr>
        <w:t xml:space="preserve"> In practice, authorities hold these individuals for decades, and they must wear special-colored jumpsuits labeled “juvenile,” regardless of their actual age in prison. The Anti-Death Penalty Asia Network reports that at least one person has been held in detention for more than thirty years.</w:t>
      </w:r>
      <w:r w:rsidRPr="00AC07CC">
        <w:rPr>
          <w:sz w:val="20"/>
          <w:szCs w:val="20"/>
          <w:vertAlign w:val="superscript"/>
        </w:rPr>
        <w:footnoteReference w:id="26"/>
      </w:r>
    </w:p>
    <w:p w14:paraId="75904FA6" w14:textId="77777777" w:rsidR="00D63B90" w:rsidRPr="00AC07CC" w:rsidRDefault="00AC07CC">
      <w:pPr>
        <w:spacing w:before="240" w:after="240"/>
        <w:jc w:val="both"/>
        <w:rPr>
          <w:sz w:val="20"/>
          <w:szCs w:val="20"/>
        </w:rPr>
      </w:pPr>
      <w:r w:rsidRPr="00AC07CC">
        <w:rPr>
          <w:sz w:val="20"/>
          <w:szCs w:val="20"/>
        </w:rPr>
        <w:t xml:space="preserve">Section 85 of the Child Act prohibits detaining children alongside adults </w:t>
      </w:r>
      <w:r w:rsidRPr="00AC07CC">
        <w:rPr>
          <w:sz w:val="20"/>
          <w:szCs w:val="20"/>
          <w:vertAlign w:val="superscript"/>
        </w:rPr>
        <w:footnoteReference w:id="27"/>
      </w:r>
      <w:r w:rsidRPr="00AC07CC">
        <w:rPr>
          <w:sz w:val="20"/>
          <w:szCs w:val="20"/>
        </w:rPr>
        <w:t xml:space="preserve"> yet limited facilities still result in mixed or adjacent placement, especially in police lock-ups and temporary detention </w:t>
      </w:r>
      <w:proofErr w:type="spellStart"/>
      <w:r w:rsidRPr="00AC07CC">
        <w:rPr>
          <w:sz w:val="20"/>
          <w:szCs w:val="20"/>
        </w:rPr>
        <w:t>centres</w:t>
      </w:r>
      <w:proofErr w:type="spellEnd"/>
      <w:r w:rsidRPr="00AC07CC">
        <w:rPr>
          <w:sz w:val="20"/>
          <w:szCs w:val="20"/>
        </w:rPr>
        <w:t xml:space="preserve">. Many police stations and detention </w:t>
      </w:r>
      <w:proofErr w:type="spellStart"/>
      <w:r w:rsidRPr="00AC07CC">
        <w:rPr>
          <w:sz w:val="20"/>
          <w:szCs w:val="20"/>
        </w:rPr>
        <w:t>centres</w:t>
      </w:r>
      <w:proofErr w:type="spellEnd"/>
      <w:r w:rsidRPr="00AC07CC">
        <w:rPr>
          <w:sz w:val="20"/>
          <w:szCs w:val="20"/>
        </w:rPr>
        <w:t xml:space="preserve"> lack separate holding cells for children, and while a child suspect may be placed in a separate cell, this does not always prevent direct or indirect contact with adult suspects held in adjacent cells. Only 46% of children in pre-trial detention are held in </w:t>
      </w:r>
      <w:proofErr w:type="spellStart"/>
      <w:r w:rsidRPr="00AC07CC">
        <w:rPr>
          <w:sz w:val="20"/>
          <w:szCs w:val="20"/>
        </w:rPr>
        <w:t>specialised</w:t>
      </w:r>
      <w:proofErr w:type="spellEnd"/>
      <w:r w:rsidRPr="00AC07CC">
        <w:rPr>
          <w:sz w:val="20"/>
          <w:szCs w:val="20"/>
        </w:rPr>
        <w:t xml:space="preserve"> welfare-run </w:t>
      </w:r>
      <w:proofErr w:type="spellStart"/>
      <w:r w:rsidRPr="00AC07CC">
        <w:rPr>
          <w:sz w:val="20"/>
          <w:szCs w:val="20"/>
        </w:rPr>
        <w:t>centres</w:t>
      </w:r>
      <w:proofErr w:type="spellEnd"/>
      <w:r w:rsidRPr="00AC07CC">
        <w:rPr>
          <w:sz w:val="20"/>
          <w:szCs w:val="20"/>
        </w:rPr>
        <w:t xml:space="preserve">; the rest are in prisons with adults. The lack of separate, child-appropriate facilities exposes children to violence, intimidation, and psychological harm. </w:t>
      </w:r>
      <w:r w:rsidRPr="00AC07CC">
        <w:rPr>
          <w:sz w:val="20"/>
          <w:szCs w:val="20"/>
          <w:vertAlign w:val="superscript"/>
        </w:rPr>
        <w:footnoteReference w:id="28"/>
      </w:r>
    </w:p>
    <w:p w14:paraId="3C4C8F89" w14:textId="77777777" w:rsidR="00D63B90" w:rsidRPr="00AC07CC" w:rsidRDefault="00AC07CC">
      <w:pPr>
        <w:spacing w:before="240" w:after="240"/>
        <w:jc w:val="both"/>
        <w:rPr>
          <w:i/>
          <w:iCs/>
          <w:sz w:val="20"/>
          <w:szCs w:val="20"/>
        </w:rPr>
      </w:pPr>
      <w:r w:rsidRPr="00AC07CC">
        <w:rPr>
          <w:i/>
          <w:iCs/>
          <w:sz w:val="20"/>
          <w:szCs w:val="20"/>
        </w:rPr>
        <w:t>List of suggested questions for the Government of Malaysia:</w:t>
      </w:r>
    </w:p>
    <w:p w14:paraId="7A4B2B7A" w14:textId="2C65DFD9" w:rsidR="00D63B90" w:rsidRPr="00AC07CC" w:rsidRDefault="00AC07CC" w:rsidP="00AC07CC">
      <w:pPr>
        <w:numPr>
          <w:ilvl w:val="0"/>
          <w:numId w:val="5"/>
        </w:numPr>
        <w:spacing w:before="240" w:after="240"/>
        <w:jc w:val="both"/>
        <w:rPr>
          <w:sz w:val="20"/>
          <w:szCs w:val="20"/>
        </w:rPr>
      </w:pPr>
      <w:r w:rsidRPr="00AC07CC">
        <w:rPr>
          <w:sz w:val="20"/>
          <w:szCs w:val="20"/>
        </w:rPr>
        <w:t>How does the government ensure that children charged with serious offences are not remanded in conditions that expose them to adults or that violate child-specific protections?</w:t>
      </w:r>
    </w:p>
    <w:sectPr w:rsidR="00D63B90" w:rsidRPr="00AC07CC">
      <w:pgSz w:w="12240" w:h="15840"/>
      <w:pgMar w:top="90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71C81" w14:textId="77777777" w:rsidR="00AC07CC" w:rsidRDefault="00AC07CC">
      <w:pPr>
        <w:spacing w:line="240" w:lineRule="auto"/>
      </w:pPr>
      <w:r>
        <w:separator/>
      </w:r>
    </w:p>
  </w:endnote>
  <w:endnote w:type="continuationSeparator" w:id="0">
    <w:p w14:paraId="74FA2B36" w14:textId="77777777" w:rsidR="00AC07CC" w:rsidRDefault="00AC07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0CC13D3F-B01C-444E-872E-678894DADBCE}"/>
  </w:font>
  <w:font w:name="Cambria">
    <w:panose1 w:val="02040503050406030204"/>
    <w:charset w:val="00"/>
    <w:family w:val="roman"/>
    <w:pitch w:val="variable"/>
    <w:sig w:usb0="E00006FF" w:usb1="420024FF" w:usb2="02000000" w:usb3="00000000" w:csb0="0000019F" w:csb1="00000000"/>
    <w:embedRegular r:id="rId2" w:fontKey="{EB03901A-99BB-48F1-8FFD-4584432A8A9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0C69F" w14:textId="77777777" w:rsidR="00AC07CC" w:rsidRDefault="00AC07CC">
      <w:pPr>
        <w:spacing w:line="240" w:lineRule="auto"/>
      </w:pPr>
      <w:r>
        <w:separator/>
      </w:r>
    </w:p>
  </w:footnote>
  <w:footnote w:type="continuationSeparator" w:id="0">
    <w:p w14:paraId="32B5A9F6" w14:textId="77777777" w:rsidR="00AC07CC" w:rsidRDefault="00AC07CC">
      <w:pPr>
        <w:spacing w:line="240" w:lineRule="auto"/>
      </w:pPr>
      <w:r>
        <w:continuationSeparator/>
      </w:r>
    </w:p>
  </w:footnote>
  <w:footnote w:id="1">
    <w:p w14:paraId="6640C071" w14:textId="77777777" w:rsidR="00D63B90" w:rsidRDefault="00AC07CC">
      <w:pPr>
        <w:spacing w:line="240" w:lineRule="auto"/>
        <w:rPr>
          <w:sz w:val="20"/>
          <w:szCs w:val="20"/>
        </w:rPr>
      </w:pPr>
      <w:r>
        <w:rPr>
          <w:vertAlign w:val="superscript"/>
        </w:rPr>
        <w:footnoteRef/>
      </w:r>
      <w:r>
        <w:rPr>
          <w:sz w:val="20"/>
          <w:szCs w:val="20"/>
        </w:rPr>
        <w:t xml:space="preserve"> Abolition of Mandatory Death Penalty Bill 2023; Revision of Sentence Death and Imprisonment for Natural Life (Temporary Jurisdiction of The Federal Court) Bill 2023.</w:t>
      </w:r>
    </w:p>
  </w:footnote>
  <w:footnote w:id="2">
    <w:p w14:paraId="5D2398A0" w14:textId="77777777" w:rsidR="00D63B90" w:rsidRDefault="00AC07CC">
      <w:pPr>
        <w:spacing w:line="240" w:lineRule="auto"/>
        <w:rPr>
          <w:sz w:val="20"/>
          <w:szCs w:val="20"/>
        </w:rPr>
      </w:pPr>
      <w:r>
        <w:rPr>
          <w:vertAlign w:val="superscript"/>
        </w:rPr>
        <w:footnoteRef/>
      </w:r>
      <w:r>
        <w:rPr>
          <w:sz w:val="20"/>
          <w:szCs w:val="20"/>
        </w:rPr>
        <w:t xml:space="preserve"> Amnesty International, 'Reforms of Mandatory Death Penalty in Malaysia: What Do The Bills Say?' (29 March 2023) </w:t>
      </w:r>
    </w:p>
  </w:footnote>
  <w:footnote w:id="3">
    <w:p w14:paraId="39A30958" w14:textId="77777777" w:rsidR="00D63B90" w:rsidRDefault="00AC07CC">
      <w:pPr>
        <w:spacing w:line="240" w:lineRule="auto"/>
        <w:rPr>
          <w:sz w:val="20"/>
          <w:szCs w:val="20"/>
        </w:rPr>
      </w:pPr>
      <w:r>
        <w:rPr>
          <w:vertAlign w:val="superscript"/>
        </w:rPr>
        <w:footnoteRef/>
      </w:r>
      <w:r>
        <w:rPr>
          <w:sz w:val="20"/>
          <w:szCs w:val="20"/>
        </w:rPr>
        <w:t xml:space="preserve"> Section 97(2) Child Act 2001</w:t>
      </w:r>
    </w:p>
  </w:footnote>
  <w:footnote w:id="4">
    <w:p w14:paraId="3EAA38EE" w14:textId="77777777" w:rsidR="00D63B90" w:rsidRDefault="00AC07CC">
      <w:pPr>
        <w:spacing w:line="240" w:lineRule="auto"/>
        <w:rPr>
          <w:sz w:val="20"/>
          <w:szCs w:val="20"/>
        </w:rPr>
      </w:pPr>
      <w:r>
        <w:rPr>
          <w:vertAlign w:val="superscript"/>
        </w:rPr>
        <w:footnoteRef/>
      </w:r>
      <w:r>
        <w:rPr>
          <w:sz w:val="20"/>
          <w:szCs w:val="20"/>
        </w:rPr>
        <w:t xml:space="preserve">  Malaysia, House of Representatives, Response by the Minister of Home Affairs to Question No. 552 by Tuan Chow Yu Hui (Raub) during the First Meeting, Fourth Session, Fifteenth Parliament, January 22, 2025, Notice of Question in the House of Representatives</w:t>
      </w:r>
    </w:p>
  </w:footnote>
  <w:footnote w:id="5">
    <w:p w14:paraId="2356D2A3" w14:textId="77777777" w:rsidR="00D63B90" w:rsidRDefault="00AC07CC">
      <w:pPr>
        <w:spacing w:line="240" w:lineRule="auto"/>
        <w:rPr>
          <w:sz w:val="20"/>
          <w:szCs w:val="20"/>
        </w:rPr>
      </w:pPr>
      <w:r>
        <w:rPr>
          <w:vertAlign w:val="superscript"/>
        </w:rPr>
        <w:footnoteRef/>
      </w:r>
      <w:r>
        <w:rPr>
          <w:sz w:val="20"/>
          <w:szCs w:val="20"/>
        </w:rPr>
        <w:t xml:space="preserve">  Anti-Death Penalty Asia Network, email communication dated 25 Oct. 2024, on file with The Advocates for Human Rights</w:t>
      </w:r>
    </w:p>
  </w:footnote>
  <w:footnote w:id="6">
    <w:p w14:paraId="54DB7854" w14:textId="77777777" w:rsidR="00D63B90" w:rsidRDefault="00AC07CC">
      <w:pPr>
        <w:spacing w:line="240" w:lineRule="auto"/>
        <w:rPr>
          <w:sz w:val="20"/>
          <w:szCs w:val="20"/>
        </w:rPr>
      </w:pPr>
      <w:r>
        <w:rPr>
          <w:vertAlign w:val="superscript"/>
        </w:rPr>
        <w:footnoteRef/>
      </w:r>
      <w:r>
        <w:rPr>
          <w:sz w:val="20"/>
          <w:szCs w:val="20"/>
        </w:rPr>
        <w:t xml:space="preserve">  V. Anbalagan, “7 ex-child prisoners seek review of indefinite detention,” </w:t>
      </w:r>
      <w:r>
        <w:rPr>
          <w:i/>
          <w:iCs/>
          <w:sz w:val="20"/>
          <w:szCs w:val="20"/>
        </w:rPr>
        <w:t>Free Malaysia Today</w:t>
      </w:r>
      <w:r>
        <w:rPr>
          <w:sz w:val="20"/>
          <w:szCs w:val="20"/>
        </w:rPr>
        <w:t>, 18 days ago,</w:t>
      </w:r>
      <w:hyperlink r:id="rId1">
        <w:r>
          <w:rPr>
            <w:color w:val="1155CC"/>
            <w:sz w:val="20"/>
            <w:szCs w:val="20"/>
            <w:u w:val="single"/>
          </w:rPr>
          <w:t>https://www.freemalaysiatoday.com/category/nation/2024/02/13/teen-pleads-guilty-after-murder-charge-reduced-to-infanticide</w:t>
        </w:r>
      </w:hyperlink>
      <w:r>
        <w:rPr>
          <w:sz w:val="20"/>
          <w:szCs w:val="20"/>
        </w:rPr>
        <w:t>.</w:t>
      </w:r>
    </w:p>
  </w:footnote>
  <w:footnote w:id="7">
    <w:p w14:paraId="02A40270" w14:textId="77777777" w:rsidR="00D63B90" w:rsidRDefault="00AC07CC">
      <w:pPr>
        <w:spacing w:line="240" w:lineRule="auto"/>
        <w:rPr>
          <w:sz w:val="20"/>
          <w:szCs w:val="20"/>
        </w:rPr>
      </w:pPr>
      <w:r>
        <w:rPr>
          <w:vertAlign w:val="superscript"/>
        </w:rPr>
        <w:footnoteRef/>
      </w:r>
      <w:r>
        <w:rPr>
          <w:sz w:val="20"/>
          <w:szCs w:val="20"/>
        </w:rPr>
        <w:t xml:space="preserve"> Anti-Death Penalty Asia Network, email communication dated 28 Oct. 2024, on file with The Advocates for Human Rights</w:t>
      </w:r>
    </w:p>
  </w:footnote>
  <w:footnote w:id="8">
    <w:p w14:paraId="68FE46F2" w14:textId="77777777" w:rsidR="00D63B90" w:rsidRDefault="00AC07CC">
      <w:pPr>
        <w:spacing w:line="240" w:lineRule="auto"/>
        <w:rPr>
          <w:b/>
          <w:bCs/>
          <w:i/>
          <w:iCs/>
          <w:sz w:val="18"/>
          <w:szCs w:val="18"/>
        </w:rPr>
      </w:pPr>
      <w:r>
        <w:rPr>
          <w:vertAlign w:val="superscript"/>
        </w:rPr>
        <w:footnoteRef/>
      </w:r>
      <w:r>
        <w:rPr>
          <w:sz w:val="20"/>
          <w:szCs w:val="20"/>
        </w:rPr>
        <w:t xml:space="preserve"> </w:t>
      </w:r>
      <w:r>
        <w:rPr>
          <w:i/>
          <w:iCs/>
          <w:sz w:val="20"/>
          <w:szCs w:val="20"/>
        </w:rPr>
        <w:t>Lim Hang Seoh v Public Prosecutor [1978] 1 MLJ 68</w:t>
      </w:r>
    </w:p>
  </w:footnote>
  <w:footnote w:id="9">
    <w:p w14:paraId="7DF49DF6" w14:textId="77777777" w:rsidR="00D63B90" w:rsidRDefault="00AC07CC">
      <w:pPr>
        <w:spacing w:line="240" w:lineRule="auto"/>
        <w:rPr>
          <w:sz w:val="20"/>
          <w:szCs w:val="20"/>
        </w:rPr>
      </w:pPr>
      <w:r>
        <w:rPr>
          <w:vertAlign w:val="superscript"/>
        </w:rPr>
        <w:footnoteRef/>
      </w:r>
      <w:r>
        <w:rPr>
          <w:sz w:val="20"/>
          <w:szCs w:val="20"/>
        </w:rPr>
        <w:t xml:space="preserve"> Section 19, Security Offences (Special Measures) Act 2012 (Malaysia)</w:t>
      </w:r>
    </w:p>
  </w:footnote>
  <w:footnote w:id="10">
    <w:p w14:paraId="2C5CD45D" w14:textId="77777777" w:rsidR="00D63B90" w:rsidRDefault="00AC07CC">
      <w:pPr>
        <w:spacing w:line="240" w:lineRule="auto"/>
        <w:rPr>
          <w:sz w:val="20"/>
          <w:szCs w:val="20"/>
        </w:rPr>
      </w:pPr>
      <w:r>
        <w:rPr>
          <w:vertAlign w:val="superscript"/>
        </w:rPr>
        <w:footnoteRef/>
      </w:r>
      <w:r>
        <w:rPr>
          <w:sz w:val="20"/>
          <w:szCs w:val="20"/>
        </w:rPr>
        <w:t>Evidence of Child Witness Act 2007 (Malaysia).</w:t>
      </w:r>
    </w:p>
  </w:footnote>
  <w:footnote w:id="11">
    <w:p w14:paraId="004BC024" w14:textId="77777777" w:rsidR="00D63B90" w:rsidRDefault="00AC07CC">
      <w:pPr>
        <w:spacing w:line="240" w:lineRule="auto"/>
        <w:rPr>
          <w:sz w:val="20"/>
          <w:szCs w:val="20"/>
        </w:rPr>
      </w:pPr>
      <w:r>
        <w:rPr>
          <w:vertAlign w:val="superscript"/>
        </w:rPr>
        <w:footnoteRef/>
      </w:r>
      <w:r>
        <w:rPr>
          <w:sz w:val="20"/>
          <w:szCs w:val="20"/>
        </w:rPr>
        <w:t xml:space="preserve"> Committee on the Rights of the Child, General Comment No. 5: General Measures of Implementation of the Convention on the Rights of the Child (2003), paras 1–4;</w:t>
      </w:r>
    </w:p>
  </w:footnote>
  <w:footnote w:id="12">
    <w:p w14:paraId="7516DC13" w14:textId="77777777" w:rsidR="00D63B90" w:rsidRDefault="00AC07CC">
      <w:pPr>
        <w:spacing w:line="240" w:lineRule="auto"/>
        <w:rPr>
          <w:sz w:val="20"/>
          <w:szCs w:val="20"/>
        </w:rPr>
      </w:pPr>
      <w:r>
        <w:rPr>
          <w:vertAlign w:val="superscript"/>
        </w:rPr>
        <w:footnoteRef/>
      </w:r>
      <w:r>
        <w:rPr>
          <w:sz w:val="20"/>
          <w:szCs w:val="20"/>
        </w:rPr>
        <w:t xml:space="preserve"> </w:t>
      </w:r>
      <w:r>
        <w:rPr>
          <w:color w:val="1D1C1D"/>
          <w:sz w:val="21"/>
          <w:szCs w:val="21"/>
          <w:shd w:val="clear" w:color="auto" w:fill="F8F8F8"/>
        </w:rPr>
        <w:t xml:space="preserve">United Nations, </w:t>
      </w:r>
      <w:r>
        <w:rPr>
          <w:i/>
          <w:iCs/>
          <w:color w:val="1D1C1D"/>
          <w:sz w:val="21"/>
          <w:szCs w:val="21"/>
          <w:shd w:val="clear" w:color="auto" w:fill="F8F8F8"/>
        </w:rPr>
        <w:t>Convention on the Rights of the Child</w:t>
      </w:r>
      <w:r>
        <w:rPr>
          <w:color w:val="1D1C1D"/>
          <w:sz w:val="21"/>
          <w:szCs w:val="21"/>
          <w:shd w:val="clear" w:color="auto" w:fill="F8F8F8"/>
        </w:rPr>
        <w:t>, Articles 3 and 40.</w:t>
      </w:r>
    </w:p>
  </w:footnote>
  <w:footnote w:id="13">
    <w:p w14:paraId="0905AB2F" w14:textId="77777777" w:rsidR="00D63B90" w:rsidRDefault="00AC07CC">
      <w:pPr>
        <w:spacing w:line="240" w:lineRule="auto"/>
        <w:rPr>
          <w:sz w:val="20"/>
          <w:szCs w:val="20"/>
        </w:rPr>
      </w:pPr>
      <w:r>
        <w:rPr>
          <w:vertAlign w:val="superscript"/>
        </w:rPr>
        <w:footnoteRef/>
      </w:r>
      <w:r>
        <w:rPr>
          <w:sz w:val="20"/>
          <w:szCs w:val="20"/>
        </w:rPr>
        <w:t xml:space="preserve"> Convention on the Rights of the Child (opened for signature 20 Nov 1989, entered into force 2 Sep 1990) art 37(b); Committee on the Rights of the Child, </w:t>
      </w:r>
      <w:r>
        <w:rPr>
          <w:i/>
          <w:iCs/>
          <w:sz w:val="20"/>
          <w:szCs w:val="20"/>
        </w:rPr>
        <w:t>General Comment No 24 (201x) on Children’s Rights in Juvenile Justice</w:t>
      </w:r>
      <w:r>
        <w:rPr>
          <w:sz w:val="20"/>
          <w:szCs w:val="20"/>
        </w:rPr>
        <w:t xml:space="preserve"> (replacing General Comment No 10, 2007) para 97</w:t>
      </w:r>
      <w:hyperlink r:id="rId2">
        <w:r>
          <w:rPr>
            <w:sz w:val="20"/>
            <w:szCs w:val="20"/>
          </w:rPr>
          <w:t xml:space="preserve"> </w:t>
        </w:r>
      </w:hyperlink>
      <w:hyperlink r:id="rId3">
        <w:r>
          <w:rPr>
            <w:color w:val="1155CC"/>
            <w:sz w:val="20"/>
            <w:szCs w:val="20"/>
            <w:u w:val="single"/>
          </w:rPr>
          <w:t>https://www.ohchr.org/sites/default/files/Documents/HRBodies/CRC/GC24/GeneralComment24.pdf</w:t>
        </w:r>
      </w:hyperlink>
      <w:r>
        <w:rPr>
          <w:sz w:val="20"/>
          <w:szCs w:val="20"/>
        </w:rPr>
        <w:t xml:space="preserve"> accessed 11 Dec 2025.</w:t>
      </w:r>
    </w:p>
  </w:footnote>
  <w:footnote w:id="14">
    <w:p w14:paraId="3984E9B0" w14:textId="77777777" w:rsidR="00D63B90" w:rsidRDefault="00AC07CC">
      <w:pPr>
        <w:spacing w:line="240" w:lineRule="auto"/>
        <w:rPr>
          <w:sz w:val="20"/>
          <w:szCs w:val="20"/>
        </w:rPr>
      </w:pPr>
      <w:r>
        <w:rPr>
          <w:vertAlign w:val="superscript"/>
        </w:rPr>
        <w:footnoteRef/>
      </w:r>
      <w:r>
        <w:rPr>
          <w:sz w:val="20"/>
          <w:szCs w:val="20"/>
        </w:rPr>
        <w:t xml:space="preserve"> Selvi Supramaniam (edited), “Malaysian Juvenile Justice </w:t>
      </w:r>
      <w:r>
        <w:rPr>
          <w:sz w:val="20"/>
          <w:szCs w:val="20"/>
        </w:rPr>
        <w:t>System:A Study of Mechanisms for Handling Children in Conflict with the Law”, 46</w:t>
      </w:r>
    </w:p>
  </w:footnote>
  <w:footnote w:id="15">
    <w:p w14:paraId="3B05E6F2" w14:textId="77777777" w:rsidR="00D63B90" w:rsidRDefault="00AC07CC">
      <w:pPr>
        <w:spacing w:line="240" w:lineRule="auto"/>
        <w:rPr>
          <w:sz w:val="20"/>
          <w:szCs w:val="20"/>
        </w:rPr>
      </w:pPr>
      <w:r>
        <w:rPr>
          <w:vertAlign w:val="superscript"/>
        </w:rPr>
        <w:footnoteRef/>
      </w:r>
      <w:r>
        <w:rPr>
          <w:sz w:val="20"/>
          <w:szCs w:val="20"/>
        </w:rPr>
        <w:t xml:space="preserve"> Child Act 2001, s.84.</w:t>
      </w:r>
    </w:p>
  </w:footnote>
  <w:footnote w:id="16">
    <w:p w14:paraId="6C799BDE" w14:textId="77777777" w:rsidR="00D63B90" w:rsidRDefault="00AC07CC">
      <w:pPr>
        <w:spacing w:line="240" w:lineRule="auto"/>
        <w:rPr>
          <w:sz w:val="20"/>
          <w:szCs w:val="20"/>
        </w:rPr>
      </w:pPr>
      <w:r>
        <w:rPr>
          <w:vertAlign w:val="superscript"/>
        </w:rPr>
        <w:footnoteRef/>
      </w:r>
      <w:r>
        <w:rPr>
          <w:sz w:val="20"/>
          <w:szCs w:val="20"/>
        </w:rPr>
        <w:t xml:space="preserve"> Child Act 2001 (Act 611) s.84(1)–(2).</w:t>
      </w:r>
    </w:p>
  </w:footnote>
  <w:footnote w:id="17">
    <w:p w14:paraId="105D7835" w14:textId="77777777" w:rsidR="00D63B90" w:rsidRDefault="00AC07CC">
      <w:pPr>
        <w:spacing w:line="240" w:lineRule="auto"/>
        <w:rPr>
          <w:sz w:val="20"/>
          <w:szCs w:val="20"/>
        </w:rPr>
      </w:pPr>
      <w:r>
        <w:rPr>
          <w:vertAlign w:val="superscript"/>
        </w:rPr>
        <w:footnoteRef/>
      </w:r>
      <w:r>
        <w:rPr>
          <w:sz w:val="20"/>
          <w:szCs w:val="20"/>
        </w:rPr>
        <w:t>Child Act 2001 (Act 611) s.84(3)(a).</w:t>
      </w:r>
    </w:p>
  </w:footnote>
  <w:footnote w:id="18">
    <w:p w14:paraId="6CD933BC" w14:textId="77777777" w:rsidR="00D63B90" w:rsidRDefault="00AC07CC">
      <w:pPr>
        <w:spacing w:line="240" w:lineRule="auto"/>
        <w:rPr>
          <w:sz w:val="20"/>
          <w:szCs w:val="20"/>
        </w:rPr>
      </w:pPr>
      <w:r>
        <w:rPr>
          <w:vertAlign w:val="superscript"/>
        </w:rPr>
        <w:footnoteRef/>
      </w:r>
      <w:r>
        <w:rPr>
          <w:sz w:val="20"/>
          <w:szCs w:val="20"/>
        </w:rPr>
        <w:t>Child Act 2001 (Act 611) s.84(3)(c)</w:t>
      </w:r>
    </w:p>
  </w:footnote>
  <w:footnote w:id="19">
    <w:p w14:paraId="63A2B31F" w14:textId="77777777" w:rsidR="00D63B90" w:rsidRDefault="00AC07CC">
      <w:pPr>
        <w:spacing w:line="240" w:lineRule="auto"/>
        <w:rPr>
          <w:sz w:val="20"/>
          <w:szCs w:val="20"/>
        </w:rPr>
      </w:pPr>
      <w:r>
        <w:rPr>
          <w:vertAlign w:val="superscript"/>
        </w:rPr>
        <w:footnoteRef/>
      </w:r>
      <w:r>
        <w:rPr>
          <w:sz w:val="20"/>
          <w:szCs w:val="20"/>
        </w:rPr>
        <w:t>Criminal Procedure Code (Act 593), s 388(1) &amp; s 388(4), which prohibit bail for offences punishable with death or life imprisonment, but permit magistrates to release an accused under 16 years on bond.</w:t>
      </w:r>
    </w:p>
  </w:footnote>
  <w:footnote w:id="20">
    <w:p w14:paraId="73BEA7F7" w14:textId="77777777" w:rsidR="00D63B90" w:rsidRDefault="00AC07CC">
      <w:pPr>
        <w:spacing w:line="240" w:lineRule="auto"/>
        <w:rPr>
          <w:sz w:val="20"/>
          <w:szCs w:val="20"/>
        </w:rPr>
      </w:pPr>
      <w:r>
        <w:rPr>
          <w:vertAlign w:val="superscript"/>
        </w:rPr>
        <w:footnoteRef/>
      </w:r>
      <w:r>
        <w:rPr>
          <w:sz w:val="20"/>
          <w:szCs w:val="20"/>
        </w:rPr>
        <w:t xml:space="preserve"> Dusuki, Fara Nini, 2009, “The UN Convention on the Rights of the Child and the Administration of Juvenile Justice: An Examination of the Legal Framework in Malaysia,” </w:t>
      </w:r>
      <w:r>
        <w:rPr>
          <w:i/>
          <w:iCs/>
          <w:sz w:val="20"/>
          <w:szCs w:val="20"/>
        </w:rPr>
        <w:t>Asia Law Quarterly</w:t>
      </w:r>
      <w:r>
        <w:rPr>
          <w:sz w:val="20"/>
          <w:szCs w:val="20"/>
        </w:rPr>
        <w:t>, v.1, No.1, pp.148; Malaysia Prisons Department, 2006–2009 statistics.</w:t>
      </w:r>
    </w:p>
  </w:footnote>
  <w:footnote w:id="21">
    <w:p w14:paraId="743EAAA9" w14:textId="77777777" w:rsidR="00D63B90" w:rsidRDefault="00AC07CC">
      <w:pPr>
        <w:spacing w:line="240" w:lineRule="auto"/>
        <w:rPr>
          <w:sz w:val="20"/>
          <w:szCs w:val="20"/>
        </w:rPr>
      </w:pPr>
      <w:r>
        <w:rPr>
          <w:vertAlign w:val="superscript"/>
        </w:rPr>
        <w:footnoteRef/>
      </w:r>
      <w:r>
        <w:rPr>
          <w:sz w:val="20"/>
          <w:szCs w:val="20"/>
        </w:rPr>
        <w:t xml:space="preserve"> CRC Article 37(a)–(b).</w:t>
      </w:r>
    </w:p>
  </w:footnote>
  <w:footnote w:id="22">
    <w:p w14:paraId="23260005" w14:textId="77777777" w:rsidR="00D63B90" w:rsidRDefault="00AC07CC">
      <w:pPr>
        <w:spacing w:line="240" w:lineRule="auto"/>
        <w:rPr>
          <w:sz w:val="20"/>
          <w:szCs w:val="20"/>
        </w:rPr>
      </w:pPr>
      <w:r>
        <w:rPr>
          <w:vertAlign w:val="superscript"/>
        </w:rPr>
        <w:footnoteRef/>
      </w:r>
      <w:r>
        <w:rPr>
          <w:sz w:val="20"/>
          <w:szCs w:val="20"/>
        </w:rPr>
        <w:t xml:space="preserve"> Robert Gass, ‘</w:t>
      </w:r>
      <w:r>
        <w:rPr>
          <w:i/>
          <w:iCs/>
          <w:sz w:val="20"/>
          <w:szCs w:val="20"/>
        </w:rPr>
        <w:t>Upholding the Best Interest of the Child in the Justice System</w:t>
      </w:r>
      <w:r>
        <w:rPr>
          <w:sz w:val="20"/>
          <w:szCs w:val="20"/>
        </w:rPr>
        <w:t>’ (UNICEF Malaysia, 9 July 2024)</w:t>
      </w:r>
      <w:hyperlink r:id="rId4">
        <w:r>
          <w:rPr>
            <w:sz w:val="20"/>
            <w:szCs w:val="20"/>
          </w:rPr>
          <w:t xml:space="preserve"> </w:t>
        </w:r>
      </w:hyperlink>
      <w:hyperlink r:id="rId5">
        <w:r>
          <w:rPr>
            <w:color w:val="1155CC"/>
            <w:sz w:val="20"/>
            <w:szCs w:val="20"/>
            <w:u w:val="single"/>
          </w:rPr>
          <w:t>https://www.unicef.org/malaysia/stories/upholding-best-interest-child-justice-system</w:t>
        </w:r>
      </w:hyperlink>
      <w:r>
        <w:rPr>
          <w:sz w:val="20"/>
          <w:szCs w:val="20"/>
        </w:rPr>
        <w:t xml:space="preserve"> accessed 21 November 2025.</w:t>
      </w:r>
    </w:p>
  </w:footnote>
  <w:footnote w:id="23">
    <w:p w14:paraId="03DB8594" w14:textId="77777777" w:rsidR="00D63B90" w:rsidRDefault="00AC07CC">
      <w:pPr>
        <w:spacing w:line="240" w:lineRule="auto"/>
        <w:rPr>
          <w:sz w:val="20"/>
          <w:szCs w:val="20"/>
        </w:rPr>
      </w:pPr>
      <w:r>
        <w:rPr>
          <w:vertAlign w:val="superscript"/>
        </w:rPr>
        <w:footnoteRef/>
      </w:r>
      <w:r>
        <w:rPr>
          <w:sz w:val="20"/>
          <w:szCs w:val="20"/>
        </w:rPr>
        <w:t xml:space="preserve"> Free Malaysia Today, “Teen pleads guilty after murder charge reduced to infanticide,” </w:t>
      </w:r>
      <w:r>
        <w:rPr>
          <w:i/>
          <w:iCs/>
          <w:sz w:val="20"/>
          <w:szCs w:val="20"/>
        </w:rPr>
        <w:t>Free Malaysia Today</w:t>
      </w:r>
      <w:r>
        <w:rPr>
          <w:sz w:val="20"/>
          <w:szCs w:val="20"/>
        </w:rPr>
        <w:t>, 13 February 2024,</w:t>
      </w:r>
      <w:hyperlink r:id="rId6">
        <w:r>
          <w:rPr>
            <w:sz w:val="20"/>
            <w:szCs w:val="20"/>
          </w:rPr>
          <w:t xml:space="preserve"> </w:t>
        </w:r>
      </w:hyperlink>
      <w:hyperlink r:id="rId7">
        <w:r>
          <w:rPr>
            <w:color w:val="1155CC"/>
            <w:sz w:val="20"/>
            <w:szCs w:val="20"/>
            <w:u w:val="single"/>
          </w:rPr>
          <w:t>https://www.freemalaysiatoday.com/category/nation/2024/02/13/teen-pleads-guilty-after-murder-charge-reduced-to-infanticide</w:t>
        </w:r>
      </w:hyperlink>
      <w:r>
        <w:rPr>
          <w:sz w:val="20"/>
          <w:szCs w:val="20"/>
        </w:rPr>
        <w:t>.</w:t>
      </w:r>
    </w:p>
  </w:footnote>
  <w:footnote w:id="24">
    <w:p w14:paraId="17A0365D" w14:textId="77777777" w:rsidR="00D63B90" w:rsidRDefault="00AC07CC">
      <w:pPr>
        <w:spacing w:line="240" w:lineRule="auto"/>
        <w:rPr>
          <w:sz w:val="20"/>
          <w:szCs w:val="20"/>
        </w:rPr>
      </w:pPr>
      <w:r>
        <w:rPr>
          <w:vertAlign w:val="superscript"/>
        </w:rPr>
        <w:footnoteRef/>
      </w:r>
      <w:r>
        <w:rPr>
          <w:sz w:val="20"/>
          <w:szCs w:val="20"/>
        </w:rPr>
        <w:t xml:space="preserve"> Reuters, “Malaysian girl charged with murder over death of baby born of rape,” </w:t>
      </w:r>
      <w:r>
        <w:rPr>
          <w:i/>
          <w:iCs/>
          <w:sz w:val="20"/>
          <w:szCs w:val="20"/>
        </w:rPr>
        <w:t>Reuters</w:t>
      </w:r>
      <w:r>
        <w:rPr>
          <w:sz w:val="20"/>
          <w:szCs w:val="20"/>
        </w:rPr>
        <w:t>, 15 February 2022,</w:t>
      </w:r>
      <w:hyperlink r:id="rId8">
        <w:r>
          <w:rPr>
            <w:sz w:val="20"/>
            <w:szCs w:val="20"/>
          </w:rPr>
          <w:t xml:space="preserve"> </w:t>
        </w:r>
      </w:hyperlink>
      <w:hyperlink r:id="rId9">
        <w:r>
          <w:rPr>
            <w:color w:val="1155CC"/>
            <w:sz w:val="20"/>
            <w:szCs w:val="20"/>
            <w:u w:val="single"/>
          </w:rPr>
          <w:t>https://www.reuters.com/world/asia-pacific/malaysian-girl-charged-with-murder-over-death-baby-born-rape-2022-02-15/</w:t>
        </w:r>
      </w:hyperlink>
      <w:r>
        <w:rPr>
          <w:sz w:val="20"/>
          <w:szCs w:val="20"/>
        </w:rPr>
        <w:t xml:space="preserve">. </w:t>
      </w:r>
    </w:p>
  </w:footnote>
  <w:footnote w:id="25">
    <w:p w14:paraId="78525F14" w14:textId="77777777" w:rsidR="00D63B90" w:rsidRDefault="00AC07CC">
      <w:pPr>
        <w:spacing w:line="240" w:lineRule="auto"/>
        <w:rPr>
          <w:sz w:val="20"/>
          <w:szCs w:val="20"/>
        </w:rPr>
      </w:pPr>
      <w:r>
        <w:rPr>
          <w:vertAlign w:val="superscript"/>
        </w:rPr>
        <w:footnoteRef/>
      </w:r>
      <w:r>
        <w:rPr>
          <w:sz w:val="20"/>
          <w:szCs w:val="20"/>
        </w:rPr>
        <w:t xml:space="preserve"> Child Act 2001, Section 97(3). </w:t>
      </w:r>
    </w:p>
  </w:footnote>
  <w:footnote w:id="26">
    <w:p w14:paraId="0B16858B" w14:textId="77777777" w:rsidR="00D63B90" w:rsidRDefault="00AC07CC">
      <w:pPr>
        <w:spacing w:line="240" w:lineRule="auto"/>
        <w:rPr>
          <w:sz w:val="20"/>
          <w:szCs w:val="20"/>
        </w:rPr>
      </w:pPr>
      <w:r>
        <w:rPr>
          <w:vertAlign w:val="superscript"/>
        </w:rPr>
        <w:footnoteRef/>
      </w:r>
      <w:r>
        <w:rPr>
          <w:sz w:val="20"/>
          <w:szCs w:val="20"/>
        </w:rPr>
        <w:t xml:space="preserve"> Anti-Death Penalty Asia Network, email communication dated 25 Oct. 2024, on file with The Advocates for Human Rights.</w:t>
      </w:r>
    </w:p>
  </w:footnote>
  <w:footnote w:id="27">
    <w:p w14:paraId="7A0DE1F6" w14:textId="77777777" w:rsidR="00D63B90" w:rsidRDefault="00AC07CC">
      <w:pPr>
        <w:spacing w:line="240" w:lineRule="auto"/>
        <w:rPr>
          <w:sz w:val="20"/>
          <w:szCs w:val="20"/>
        </w:rPr>
      </w:pPr>
      <w:r>
        <w:rPr>
          <w:vertAlign w:val="superscript"/>
        </w:rPr>
        <w:footnoteRef/>
      </w:r>
      <w:r>
        <w:rPr>
          <w:sz w:val="20"/>
          <w:szCs w:val="20"/>
        </w:rPr>
        <w:t xml:space="preserve"> Child Act 2001 (Act 611), s.85; see also Committee on the Rights of the Child, </w:t>
      </w:r>
      <w:r>
        <w:rPr>
          <w:i/>
          <w:iCs/>
          <w:sz w:val="20"/>
          <w:szCs w:val="20"/>
        </w:rPr>
        <w:t>Concluding Observations: Malaysia</w:t>
      </w:r>
      <w:r>
        <w:rPr>
          <w:sz w:val="20"/>
          <w:szCs w:val="20"/>
        </w:rPr>
        <w:t xml:space="preserve"> (2019), paras 41–42,</w:t>
      </w:r>
    </w:p>
  </w:footnote>
  <w:footnote w:id="28">
    <w:p w14:paraId="01A28A9D" w14:textId="77777777" w:rsidR="00D63B90" w:rsidRDefault="00AC07CC">
      <w:pPr>
        <w:spacing w:line="240" w:lineRule="auto"/>
        <w:rPr>
          <w:sz w:val="20"/>
          <w:szCs w:val="20"/>
        </w:rPr>
      </w:pPr>
      <w:r>
        <w:rPr>
          <w:vertAlign w:val="superscript"/>
        </w:rPr>
        <w:footnoteRef/>
      </w:r>
      <w:r>
        <w:rPr>
          <w:sz w:val="20"/>
          <w:szCs w:val="20"/>
        </w:rPr>
        <w:t xml:space="preserve"> </w:t>
      </w:r>
      <w:r>
        <w:rPr>
          <w:i/>
          <w:iCs/>
          <w:sz w:val="20"/>
          <w:szCs w:val="20"/>
        </w:rPr>
        <w:t>Investigation Process of Children under Malaysian Juvenile Justice; To Arrest or Not to Arrest?</w:t>
      </w:r>
      <w:r>
        <w:rPr>
          <w:sz w:val="20"/>
          <w:szCs w:val="20"/>
        </w:rPr>
        <w:t xml:space="preserve">, </w:t>
      </w:r>
      <w:r>
        <w:rPr>
          <w:i/>
          <w:iCs/>
          <w:sz w:val="20"/>
          <w:szCs w:val="20"/>
        </w:rPr>
        <w:t>Journal of Legal, Ethical and Regulatory Issues</w:t>
      </w:r>
      <w:r>
        <w:rPr>
          <w:sz w:val="20"/>
          <w:szCs w:val="20"/>
        </w:rPr>
        <w:t>, Volume 25, Special Issue 2 (2022),</w:t>
      </w:r>
      <w:hyperlink r:id="rId10">
        <w:r>
          <w:rPr>
            <w:sz w:val="20"/>
            <w:szCs w:val="20"/>
          </w:rPr>
          <w:t xml:space="preserve"> </w:t>
        </w:r>
      </w:hyperlink>
      <w:hyperlink r:id="rId11">
        <w:r>
          <w:rPr>
            <w:color w:val="1155CC"/>
            <w:sz w:val="20"/>
            <w:szCs w:val="20"/>
            <w:u w:val="single"/>
          </w:rPr>
          <w:t>https://www.abacademies.org/articles/investigation-process-of-children-under-malaysian-juvenile-justice-to-arrest-or-not-to-arrest-13228.html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E58D9"/>
    <w:multiLevelType w:val="multilevel"/>
    <w:tmpl w:val="9E9EB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89524F"/>
    <w:multiLevelType w:val="multilevel"/>
    <w:tmpl w:val="C9B47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5E0326"/>
    <w:multiLevelType w:val="multilevel"/>
    <w:tmpl w:val="D9AAF5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F8135B5"/>
    <w:multiLevelType w:val="multilevel"/>
    <w:tmpl w:val="78F27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7782BA0"/>
    <w:multiLevelType w:val="multilevel"/>
    <w:tmpl w:val="CB4A8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21138B0"/>
    <w:multiLevelType w:val="multilevel"/>
    <w:tmpl w:val="149E5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22009F0"/>
    <w:multiLevelType w:val="multilevel"/>
    <w:tmpl w:val="E9CCF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443C1C"/>
    <w:multiLevelType w:val="multilevel"/>
    <w:tmpl w:val="57442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8352F4"/>
    <w:multiLevelType w:val="multilevel"/>
    <w:tmpl w:val="4A0E8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45102844">
    <w:abstractNumId w:val="3"/>
  </w:num>
  <w:num w:numId="2" w16cid:durableId="1132290157">
    <w:abstractNumId w:val="7"/>
  </w:num>
  <w:num w:numId="3" w16cid:durableId="756945281">
    <w:abstractNumId w:val="1"/>
  </w:num>
  <w:num w:numId="4" w16cid:durableId="317461105">
    <w:abstractNumId w:val="5"/>
  </w:num>
  <w:num w:numId="5" w16cid:durableId="1876887589">
    <w:abstractNumId w:val="6"/>
  </w:num>
  <w:num w:numId="6" w16cid:durableId="1671591673">
    <w:abstractNumId w:val="4"/>
  </w:num>
  <w:num w:numId="7" w16cid:durableId="1706640133">
    <w:abstractNumId w:val="0"/>
  </w:num>
  <w:num w:numId="8" w16cid:durableId="1554737390">
    <w:abstractNumId w:val="8"/>
  </w:num>
  <w:num w:numId="9" w16cid:durableId="1304889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B90"/>
    <w:rsid w:val="001108B0"/>
    <w:rsid w:val="00411DB5"/>
    <w:rsid w:val="00AC07CC"/>
    <w:rsid w:val="00CA5422"/>
    <w:rsid w:val="00D63B90"/>
    <w:rsid w:val="00F41FA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807482"/>
  <w15:docId w15:val="{2ECBFF41-C6A4-4AEC-B3BD-96052E496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mperez@ecpm.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azura@suaram.n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aniceananthan@adpan.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aplacais@worldcoalition.org"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8" Type="http://schemas.openxmlformats.org/officeDocument/2006/relationships/hyperlink" Target="https://www.reuters.com/world/asia-pacific/malaysian-girl-charged-with-murder-over-death-baby-born-rape-2022-02-15/?utm_source=chatgpt.com" TargetMode="External"/><Relationship Id="rId3" Type="http://schemas.openxmlformats.org/officeDocument/2006/relationships/hyperlink" Target="https://www.ohchr.org/sites/default/files/Documents/HRBodies/CRC/GC24/GeneralComment24.pdf" TargetMode="External"/><Relationship Id="rId7" Type="http://schemas.openxmlformats.org/officeDocument/2006/relationships/hyperlink" Target="https://www.freemalaysiatoday.com/category/nation/2024/02/13/teen-pleads-guilty-after-murder-charge-reduced-to-infanticide" TargetMode="External"/><Relationship Id="rId2" Type="http://schemas.openxmlformats.org/officeDocument/2006/relationships/hyperlink" Target="https://www.ohchr.org/sites/default/files/Documents/HRBodies/CRC/GC24/GeneralComment24.pdf" TargetMode="External"/><Relationship Id="rId1" Type="http://schemas.openxmlformats.org/officeDocument/2006/relationships/hyperlink" Target="https://www.freemalaysiatoday.com/category/nation/2024/02/13/teen-pleads-guilty-after-murder-charge-reduced-to-infanticide" TargetMode="External"/><Relationship Id="rId6" Type="http://schemas.openxmlformats.org/officeDocument/2006/relationships/hyperlink" Target="https://www.freemalaysiatoday.com/category/nation/2024/02/13/teen-pleads-guilty-after-murder-charge-reduced-to-infanticide" TargetMode="External"/><Relationship Id="rId11" Type="http://schemas.openxmlformats.org/officeDocument/2006/relationships/hyperlink" Target="https://www.abacademies.org/articles/investigation-process-of-children-under-malaysian-juvenile-justice-to-arrest-or-not-to-arrest-13228.html?utm_source=chatgpt.com" TargetMode="External"/><Relationship Id="rId5" Type="http://schemas.openxmlformats.org/officeDocument/2006/relationships/hyperlink" Target="https://www.unicef.org/malaysia/stories/upholding-best-interest-child-justice-system" TargetMode="External"/><Relationship Id="rId10" Type="http://schemas.openxmlformats.org/officeDocument/2006/relationships/hyperlink" Target="https://www.abacademies.org/articles/investigation-process-of-children-under-malaysian-juvenile-justice-to-arrest-or-not-to-arrest-13228.html?utm_source=chatgpt.com" TargetMode="External"/><Relationship Id="rId4" Type="http://schemas.openxmlformats.org/officeDocument/2006/relationships/hyperlink" Target="https://www.unicef.org/malaysia/stories/upholding-best-interest-child-justice-system" TargetMode="External"/><Relationship Id="rId9" Type="http://schemas.openxmlformats.org/officeDocument/2006/relationships/hyperlink" Target="https://www.reuters.com/world/asia-pacific/malaysian-girl-charged-with-murder-over-death-baby-born-rape-2022-02-1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2935</Words>
  <Characters>16731</Characters>
  <Application>Microsoft Office Word</Application>
  <DocSecurity>0</DocSecurity>
  <Lines>139</Lines>
  <Paragraphs>39</Paragraphs>
  <ScaleCrop>false</ScaleCrop>
  <Company/>
  <LinksUpToDate>false</LinksUpToDate>
  <CharactersWithSpaces>19627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Marie Lina PEREZ</dc:creator>
  <cp:lastModifiedBy>James Boit</cp:lastModifiedBy>
  <cp:revision>2</cp:revision>
  <dcterms:created xsi:type="dcterms:W3CDTF">2026-01-07T10:27:00Z</dcterms:created>
  <dcterms:modified xsi:type="dcterms:W3CDTF">2026-01-07T10:27:00Z</dcterms:modified>
</cp:coreProperties>
</file>