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A2C" w:rsidRDefault="00300A2C">
      <w:pPr>
        <w:pBdr>
          <w:top w:val="nil"/>
          <w:left w:val="nil"/>
          <w:bottom w:val="nil"/>
          <w:right w:val="nil"/>
          <w:between w:val="nil"/>
        </w:pBdr>
        <w:spacing w:after="0" w:line="240" w:lineRule="auto"/>
        <w:jc w:val="center"/>
        <w:rPr>
          <w:rFonts w:ascii="Times New Roman" w:eastAsia="Times New Roman" w:hAnsi="Times New Roman" w:cs="Times New Roman"/>
          <w:b/>
          <w:color w:val="000000"/>
          <w:sz w:val="32"/>
          <w:szCs w:val="32"/>
        </w:rPr>
      </w:pPr>
      <w:bookmarkStart w:id="0" w:name="_GoBack"/>
      <w:bookmarkEnd w:id="0"/>
    </w:p>
    <w:p w:rsidR="00300A2C" w:rsidRDefault="001752C3">
      <w:pPr>
        <w:pBdr>
          <w:top w:val="nil"/>
          <w:left w:val="nil"/>
          <w:bottom w:val="nil"/>
          <w:right w:val="nil"/>
          <w:between w:val="nil"/>
        </w:pBdr>
        <w:spacing w:after="0" w:line="24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noProof/>
          <w:color w:val="000000"/>
          <w:sz w:val="24"/>
          <w:szCs w:val="24"/>
          <w:lang w:val="en-GB"/>
        </w:rPr>
        <w:drawing>
          <wp:inline distT="0" distB="0" distL="0" distR="0">
            <wp:extent cx="2441575" cy="1069975"/>
            <wp:effectExtent l="0" t="0" r="0" b="0"/>
            <wp:docPr id="3" name="image1.png" descr="/var/folders/xq/12_q40592p98d_n6zvf7b71m0000gn/T/com.microsoft.Word/Content.MSO/1552A4C.tmp"/>
            <wp:cNvGraphicFramePr/>
            <a:graphic xmlns:a="http://schemas.openxmlformats.org/drawingml/2006/main">
              <a:graphicData uri="http://schemas.openxmlformats.org/drawingml/2006/picture">
                <pic:pic xmlns:pic="http://schemas.openxmlformats.org/drawingml/2006/picture">
                  <pic:nvPicPr>
                    <pic:cNvPr id="0" name="image1.png" descr="/var/folders/xq/12_q40592p98d_n6zvf7b71m0000gn/T/com.microsoft.Word/Content.MSO/1552A4C.tmp"/>
                    <pic:cNvPicPr preferRelativeResize="0"/>
                  </pic:nvPicPr>
                  <pic:blipFill>
                    <a:blip r:embed="rId8"/>
                    <a:srcRect/>
                    <a:stretch>
                      <a:fillRect/>
                    </a:stretch>
                  </pic:blipFill>
                  <pic:spPr>
                    <a:xfrm>
                      <a:off x="0" y="0"/>
                      <a:ext cx="2441575" cy="1069975"/>
                    </a:xfrm>
                    <a:prstGeom prst="rect">
                      <a:avLst/>
                    </a:prstGeom>
                    <a:ln/>
                  </pic:spPr>
                </pic:pic>
              </a:graphicData>
            </a:graphic>
          </wp:inline>
        </w:drawing>
      </w:r>
    </w:p>
    <w:p w:rsidR="00300A2C" w:rsidRDefault="00300A2C">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18"/>
          <w:szCs w:val="18"/>
        </w:rPr>
      </w:pPr>
    </w:p>
    <w:p w:rsidR="00300A2C" w:rsidRDefault="001752C3">
      <w:pPr>
        <w:spacing w:after="0" w:line="240" w:lineRule="auto"/>
        <w:jc w:val="center"/>
        <w:rPr>
          <w:rFonts w:ascii="Arial" w:eastAsia="Arial" w:hAnsi="Arial" w:cs="Arial"/>
          <w:sz w:val="18"/>
          <w:szCs w:val="18"/>
        </w:rPr>
      </w:pPr>
      <w:r>
        <w:rPr>
          <w:rFonts w:ascii="Arial" w:eastAsia="Arial" w:hAnsi="Arial" w:cs="Arial"/>
          <w:b/>
          <w:color w:val="000000"/>
          <w:sz w:val="32"/>
          <w:szCs w:val="32"/>
        </w:rPr>
        <w:t>Musawah Submission</w:t>
      </w:r>
      <w:r>
        <w:rPr>
          <w:rFonts w:ascii="Arial" w:eastAsia="Arial" w:hAnsi="Arial" w:cs="Arial"/>
          <w:color w:val="000000"/>
          <w:sz w:val="32"/>
          <w:szCs w:val="32"/>
        </w:rPr>
        <w:t> </w:t>
      </w:r>
    </w:p>
    <w:p w:rsidR="00300A2C" w:rsidRDefault="001752C3">
      <w:pPr>
        <w:spacing w:after="0" w:line="240" w:lineRule="auto"/>
        <w:jc w:val="center"/>
        <w:rPr>
          <w:rFonts w:ascii="Arial" w:eastAsia="Arial" w:hAnsi="Arial" w:cs="Arial"/>
          <w:sz w:val="18"/>
          <w:szCs w:val="18"/>
        </w:rPr>
      </w:pPr>
      <w:r>
        <w:rPr>
          <w:rFonts w:ascii="Arial" w:eastAsia="Arial" w:hAnsi="Arial" w:cs="Arial"/>
          <w:color w:val="000000"/>
          <w:sz w:val="32"/>
          <w:szCs w:val="32"/>
        </w:rPr>
        <w:t> </w:t>
      </w:r>
    </w:p>
    <w:p w:rsidR="00300A2C" w:rsidRDefault="001752C3">
      <w:pPr>
        <w:spacing w:after="0" w:line="240" w:lineRule="auto"/>
        <w:jc w:val="center"/>
        <w:rPr>
          <w:rFonts w:ascii="Arial" w:eastAsia="Arial" w:hAnsi="Arial" w:cs="Arial"/>
          <w:b/>
          <w:color w:val="000000"/>
          <w:sz w:val="32"/>
          <w:szCs w:val="32"/>
        </w:rPr>
      </w:pPr>
      <w:r>
        <w:rPr>
          <w:rFonts w:ascii="Arial" w:eastAsia="Arial" w:hAnsi="Arial" w:cs="Arial"/>
          <w:b/>
          <w:sz w:val="32"/>
          <w:szCs w:val="32"/>
        </w:rPr>
        <w:t>f</w:t>
      </w:r>
      <w:r>
        <w:rPr>
          <w:rFonts w:ascii="Arial" w:eastAsia="Arial" w:hAnsi="Arial" w:cs="Arial"/>
          <w:b/>
          <w:color w:val="000000"/>
          <w:sz w:val="32"/>
          <w:szCs w:val="32"/>
        </w:rPr>
        <w:t>or 80th Pre-Sessional Working Group on</w:t>
      </w:r>
    </w:p>
    <w:p w:rsidR="00300A2C" w:rsidRDefault="00300A2C">
      <w:pPr>
        <w:spacing w:after="0" w:line="240" w:lineRule="auto"/>
        <w:jc w:val="center"/>
        <w:rPr>
          <w:rFonts w:ascii="Arial" w:eastAsia="Arial" w:hAnsi="Arial" w:cs="Arial"/>
          <w:b/>
          <w:color w:val="000000"/>
          <w:sz w:val="32"/>
          <w:szCs w:val="32"/>
        </w:rPr>
      </w:pPr>
    </w:p>
    <w:p w:rsidR="00300A2C" w:rsidRDefault="001752C3">
      <w:pPr>
        <w:spacing w:after="0" w:line="240" w:lineRule="auto"/>
        <w:jc w:val="center"/>
        <w:rPr>
          <w:rFonts w:ascii="Arial" w:eastAsia="Arial" w:hAnsi="Arial" w:cs="Arial"/>
          <w:b/>
          <w:sz w:val="18"/>
          <w:szCs w:val="18"/>
        </w:rPr>
      </w:pPr>
      <w:r>
        <w:rPr>
          <w:rFonts w:ascii="Arial" w:eastAsia="Arial" w:hAnsi="Arial" w:cs="Arial"/>
          <w:b/>
          <w:color w:val="000000"/>
          <w:sz w:val="32"/>
          <w:szCs w:val="32"/>
        </w:rPr>
        <w:t>UNITED ARAB EMIRATES </w:t>
      </w:r>
    </w:p>
    <w:p w:rsidR="00300A2C" w:rsidRDefault="00300A2C">
      <w:pPr>
        <w:spacing w:after="0" w:line="240" w:lineRule="auto"/>
        <w:jc w:val="center"/>
        <w:rPr>
          <w:rFonts w:ascii="Arial" w:eastAsia="Arial" w:hAnsi="Arial" w:cs="Arial"/>
          <w:sz w:val="18"/>
          <w:szCs w:val="18"/>
        </w:rPr>
      </w:pPr>
    </w:p>
    <w:p w:rsidR="00300A2C" w:rsidRDefault="001752C3">
      <w:pPr>
        <w:spacing w:after="0" w:line="240" w:lineRule="auto"/>
        <w:jc w:val="center"/>
        <w:rPr>
          <w:rFonts w:ascii="Arial" w:eastAsia="Arial" w:hAnsi="Arial" w:cs="Arial"/>
          <w:sz w:val="18"/>
          <w:szCs w:val="18"/>
        </w:rPr>
      </w:pPr>
      <w:r>
        <w:rPr>
          <w:rFonts w:ascii="Arial" w:eastAsia="Arial" w:hAnsi="Arial" w:cs="Arial"/>
          <w:color w:val="000000"/>
          <w:sz w:val="32"/>
          <w:szCs w:val="32"/>
        </w:rPr>
        <w:t>March 1-5, 2021</w:t>
      </w:r>
    </w:p>
    <w:p w:rsidR="00300A2C" w:rsidRDefault="00300A2C">
      <w:pPr>
        <w:spacing w:after="0" w:line="240" w:lineRule="auto"/>
        <w:jc w:val="center"/>
        <w:rPr>
          <w:rFonts w:ascii="Arial" w:eastAsia="Arial" w:hAnsi="Arial" w:cs="Arial"/>
          <w:color w:val="000000"/>
          <w:sz w:val="32"/>
          <w:szCs w:val="32"/>
        </w:rPr>
      </w:pPr>
    </w:p>
    <w:p w:rsidR="00300A2C" w:rsidRDefault="00300A2C">
      <w:pPr>
        <w:spacing w:after="0" w:line="240" w:lineRule="auto"/>
        <w:jc w:val="center"/>
        <w:rPr>
          <w:rFonts w:ascii="Arial" w:eastAsia="Arial" w:hAnsi="Arial" w:cs="Arial"/>
          <w:sz w:val="18"/>
          <w:szCs w:val="18"/>
        </w:rPr>
      </w:pPr>
    </w:p>
    <w:p w:rsidR="00300A2C" w:rsidRDefault="00300A2C">
      <w:pPr>
        <w:spacing w:after="0" w:line="240" w:lineRule="auto"/>
        <w:jc w:val="center"/>
        <w:rPr>
          <w:rFonts w:ascii="Arial" w:eastAsia="Arial" w:hAnsi="Arial" w:cs="Arial"/>
          <w:sz w:val="18"/>
          <w:szCs w:val="18"/>
        </w:rPr>
      </w:pPr>
    </w:p>
    <w:p w:rsidR="00300A2C" w:rsidRDefault="001752C3">
      <w:pPr>
        <w:spacing w:after="0" w:line="240" w:lineRule="auto"/>
        <w:jc w:val="center"/>
        <w:rPr>
          <w:rFonts w:ascii="Arial" w:eastAsia="Arial" w:hAnsi="Arial" w:cs="Arial"/>
          <w:sz w:val="18"/>
          <w:szCs w:val="18"/>
        </w:rPr>
      </w:pPr>
      <w:r>
        <w:rPr>
          <w:rFonts w:ascii="Arial" w:eastAsia="Arial" w:hAnsi="Arial" w:cs="Arial"/>
          <w:b/>
          <w:i/>
          <w:color w:val="000000"/>
          <w:sz w:val="32"/>
          <w:szCs w:val="32"/>
        </w:rPr>
        <w:t>[Submitted February 2021] </w:t>
      </w:r>
      <w:r>
        <w:rPr>
          <w:rFonts w:ascii="Arial" w:eastAsia="Arial" w:hAnsi="Arial" w:cs="Arial"/>
          <w:color w:val="000000"/>
          <w:sz w:val="32"/>
          <w:szCs w:val="32"/>
        </w:rPr>
        <w:t> </w:t>
      </w:r>
    </w:p>
    <w:p w:rsidR="00300A2C" w:rsidRDefault="001752C3">
      <w:pPr>
        <w:spacing w:after="0" w:line="240" w:lineRule="auto"/>
        <w:rPr>
          <w:rFonts w:ascii="Arial" w:eastAsia="Arial" w:hAnsi="Arial" w:cs="Arial"/>
          <w:sz w:val="18"/>
          <w:szCs w:val="18"/>
        </w:rPr>
      </w:pPr>
      <w:r>
        <w:rPr>
          <w:rFonts w:ascii="Arial" w:eastAsia="Arial" w:hAnsi="Arial" w:cs="Arial"/>
          <w:color w:val="000000"/>
        </w:rPr>
        <w:t> </w:t>
      </w:r>
    </w:p>
    <w:p w:rsidR="00300A2C" w:rsidRDefault="001752C3">
      <w:pPr>
        <w:spacing w:after="0" w:line="240" w:lineRule="auto"/>
        <w:rPr>
          <w:rFonts w:ascii="Arial" w:eastAsia="Arial" w:hAnsi="Arial" w:cs="Arial"/>
          <w:sz w:val="18"/>
          <w:szCs w:val="18"/>
        </w:rPr>
      </w:pPr>
      <w:r>
        <w:rPr>
          <w:rFonts w:ascii="Arial" w:eastAsia="Arial" w:hAnsi="Arial" w:cs="Arial"/>
          <w:color w:val="000000"/>
        </w:rPr>
        <w:t> </w:t>
      </w:r>
    </w:p>
    <w:p w:rsidR="00300A2C" w:rsidRDefault="001752C3">
      <w:pPr>
        <w:spacing w:after="0" w:line="240" w:lineRule="auto"/>
        <w:rPr>
          <w:rFonts w:ascii="Arial" w:eastAsia="Arial" w:hAnsi="Arial" w:cs="Arial"/>
          <w:sz w:val="18"/>
          <w:szCs w:val="18"/>
        </w:rPr>
      </w:pPr>
      <w:r>
        <w:rPr>
          <w:rFonts w:ascii="Arial" w:eastAsia="Arial" w:hAnsi="Arial" w:cs="Arial"/>
          <w:color w:val="000000"/>
        </w:rPr>
        <w:t> </w:t>
      </w:r>
    </w:p>
    <w:p w:rsidR="00300A2C" w:rsidRDefault="001752C3">
      <w:pPr>
        <w:spacing w:after="0" w:line="240" w:lineRule="auto"/>
        <w:rPr>
          <w:rFonts w:ascii="Arial" w:eastAsia="Arial" w:hAnsi="Arial" w:cs="Arial"/>
          <w:sz w:val="18"/>
          <w:szCs w:val="18"/>
        </w:rPr>
      </w:pPr>
      <w:r>
        <w:rPr>
          <w:rFonts w:ascii="Arial" w:eastAsia="Arial" w:hAnsi="Arial" w:cs="Arial"/>
          <w:color w:val="000000"/>
        </w:rPr>
        <w:t> </w:t>
      </w:r>
    </w:p>
    <w:p w:rsidR="00300A2C" w:rsidRDefault="001752C3">
      <w:pPr>
        <w:spacing w:after="0" w:line="240" w:lineRule="auto"/>
        <w:rPr>
          <w:rFonts w:ascii="Arial" w:eastAsia="Arial" w:hAnsi="Arial" w:cs="Arial"/>
          <w:sz w:val="18"/>
          <w:szCs w:val="18"/>
        </w:rPr>
      </w:pPr>
      <w:r>
        <w:rPr>
          <w:rFonts w:ascii="Arial" w:eastAsia="Arial" w:hAnsi="Arial" w:cs="Arial"/>
          <w:color w:val="000000"/>
        </w:rPr>
        <w:t> </w:t>
      </w:r>
    </w:p>
    <w:p w:rsidR="00300A2C" w:rsidRDefault="001752C3">
      <w:pPr>
        <w:spacing w:after="0" w:line="240" w:lineRule="auto"/>
        <w:jc w:val="center"/>
        <w:rPr>
          <w:rFonts w:ascii="Arial" w:eastAsia="Arial" w:hAnsi="Arial" w:cs="Arial"/>
          <w:color w:val="000000"/>
        </w:rPr>
      </w:pPr>
      <w:r>
        <w:rPr>
          <w:rFonts w:ascii="Arial" w:eastAsia="Arial" w:hAnsi="Arial" w:cs="Arial"/>
          <w:color w:val="000000"/>
        </w:rPr>
        <w:t> </w:t>
      </w:r>
    </w:p>
    <w:p w:rsidR="00300A2C" w:rsidRDefault="00300A2C">
      <w:pPr>
        <w:spacing w:after="0" w:line="240" w:lineRule="auto"/>
        <w:jc w:val="center"/>
        <w:rPr>
          <w:rFonts w:ascii="Arial" w:eastAsia="Arial" w:hAnsi="Arial" w:cs="Arial"/>
          <w:sz w:val="18"/>
          <w:szCs w:val="18"/>
        </w:rPr>
      </w:pPr>
    </w:p>
    <w:p w:rsidR="00300A2C" w:rsidRDefault="00300A2C">
      <w:pPr>
        <w:spacing w:after="0" w:line="240" w:lineRule="auto"/>
        <w:jc w:val="center"/>
        <w:rPr>
          <w:rFonts w:ascii="Arial" w:eastAsia="Arial" w:hAnsi="Arial" w:cs="Arial"/>
          <w:color w:val="000000"/>
        </w:rPr>
      </w:pPr>
    </w:p>
    <w:p w:rsidR="00300A2C" w:rsidRDefault="00300A2C">
      <w:pPr>
        <w:spacing w:after="0" w:line="240" w:lineRule="auto"/>
        <w:jc w:val="center"/>
        <w:rPr>
          <w:rFonts w:ascii="Arial" w:eastAsia="Arial" w:hAnsi="Arial" w:cs="Arial"/>
          <w:color w:val="000000"/>
        </w:rPr>
      </w:pPr>
    </w:p>
    <w:p w:rsidR="00300A2C" w:rsidRDefault="00300A2C">
      <w:pPr>
        <w:spacing w:after="0" w:line="240" w:lineRule="auto"/>
        <w:jc w:val="center"/>
        <w:rPr>
          <w:rFonts w:ascii="Arial" w:eastAsia="Arial" w:hAnsi="Arial" w:cs="Arial"/>
          <w:color w:val="000000"/>
        </w:rPr>
      </w:pPr>
    </w:p>
    <w:p w:rsidR="00300A2C" w:rsidRDefault="00300A2C">
      <w:pPr>
        <w:spacing w:after="0" w:line="240" w:lineRule="auto"/>
        <w:jc w:val="center"/>
        <w:rPr>
          <w:rFonts w:ascii="Arial" w:eastAsia="Arial" w:hAnsi="Arial" w:cs="Arial"/>
          <w:color w:val="000000"/>
        </w:rPr>
      </w:pPr>
    </w:p>
    <w:p w:rsidR="00300A2C" w:rsidRDefault="00300A2C">
      <w:pPr>
        <w:spacing w:after="0" w:line="240" w:lineRule="auto"/>
        <w:jc w:val="center"/>
        <w:rPr>
          <w:rFonts w:ascii="Arial" w:eastAsia="Arial" w:hAnsi="Arial" w:cs="Arial"/>
          <w:color w:val="000000"/>
        </w:rPr>
      </w:pPr>
    </w:p>
    <w:p w:rsidR="00300A2C" w:rsidRDefault="00300A2C">
      <w:pPr>
        <w:spacing w:after="0" w:line="240" w:lineRule="auto"/>
        <w:jc w:val="center"/>
        <w:rPr>
          <w:rFonts w:ascii="Arial" w:eastAsia="Arial" w:hAnsi="Arial" w:cs="Arial"/>
          <w:color w:val="000000"/>
        </w:rPr>
      </w:pPr>
    </w:p>
    <w:p w:rsidR="00300A2C" w:rsidRDefault="00300A2C">
      <w:pPr>
        <w:spacing w:after="0" w:line="240" w:lineRule="auto"/>
        <w:jc w:val="center"/>
        <w:rPr>
          <w:rFonts w:ascii="Arial" w:eastAsia="Arial" w:hAnsi="Arial" w:cs="Arial"/>
          <w:color w:val="000000"/>
        </w:rPr>
      </w:pPr>
    </w:p>
    <w:p w:rsidR="00300A2C" w:rsidRDefault="001752C3">
      <w:pPr>
        <w:spacing w:after="0" w:line="240" w:lineRule="auto"/>
        <w:jc w:val="center"/>
        <w:rPr>
          <w:rFonts w:ascii="Arial" w:eastAsia="Arial" w:hAnsi="Arial" w:cs="Arial"/>
          <w:sz w:val="18"/>
          <w:szCs w:val="18"/>
        </w:rPr>
      </w:pPr>
      <w:r>
        <w:rPr>
          <w:rFonts w:ascii="Arial" w:eastAsia="Arial" w:hAnsi="Arial" w:cs="Arial"/>
          <w:color w:val="000000"/>
        </w:rPr>
        <w:t> </w:t>
      </w:r>
    </w:p>
    <w:p w:rsidR="00300A2C" w:rsidRDefault="001752C3">
      <w:pPr>
        <w:spacing w:after="0" w:line="240" w:lineRule="auto"/>
        <w:jc w:val="center"/>
        <w:rPr>
          <w:rFonts w:ascii="Arial" w:eastAsia="Arial" w:hAnsi="Arial" w:cs="Arial"/>
          <w:sz w:val="18"/>
          <w:szCs w:val="18"/>
        </w:rPr>
      </w:pPr>
      <w:r>
        <w:rPr>
          <w:rFonts w:ascii="Arial" w:eastAsia="Arial" w:hAnsi="Arial" w:cs="Arial"/>
          <w:color w:val="000000"/>
        </w:rPr>
        <w:t> </w:t>
      </w:r>
    </w:p>
    <w:p w:rsidR="00300A2C" w:rsidRDefault="001752C3">
      <w:pPr>
        <w:spacing w:after="0" w:line="240" w:lineRule="auto"/>
        <w:jc w:val="center"/>
        <w:rPr>
          <w:rFonts w:ascii="Arial" w:eastAsia="Arial" w:hAnsi="Arial" w:cs="Arial"/>
          <w:sz w:val="18"/>
          <w:szCs w:val="18"/>
        </w:rPr>
      </w:pPr>
      <w:r>
        <w:rPr>
          <w:rFonts w:ascii="Arial" w:eastAsia="Arial" w:hAnsi="Arial" w:cs="Arial"/>
          <w:color w:val="000000"/>
        </w:rPr>
        <w:t> </w:t>
      </w:r>
    </w:p>
    <w:p w:rsidR="00300A2C" w:rsidRDefault="001752C3">
      <w:pPr>
        <w:spacing w:after="0" w:line="240" w:lineRule="auto"/>
        <w:jc w:val="center"/>
        <w:rPr>
          <w:rFonts w:ascii="Arial" w:eastAsia="Arial" w:hAnsi="Arial" w:cs="Arial"/>
          <w:sz w:val="18"/>
          <w:szCs w:val="18"/>
        </w:rPr>
      </w:pPr>
      <w:r>
        <w:rPr>
          <w:rFonts w:ascii="Arial" w:eastAsia="Arial" w:hAnsi="Arial" w:cs="Arial"/>
          <w:b/>
          <w:color w:val="000000"/>
          <w:sz w:val="24"/>
          <w:szCs w:val="24"/>
        </w:rPr>
        <w:t>Musawah</w:t>
      </w:r>
      <w:r>
        <w:rPr>
          <w:rFonts w:ascii="Arial" w:eastAsia="Arial" w:hAnsi="Arial" w:cs="Arial"/>
          <w:color w:val="000000"/>
          <w:sz w:val="24"/>
          <w:szCs w:val="24"/>
        </w:rPr>
        <w:t> </w:t>
      </w:r>
    </w:p>
    <w:p w:rsidR="00300A2C" w:rsidRDefault="001752C3">
      <w:pPr>
        <w:spacing w:after="0" w:line="240" w:lineRule="auto"/>
        <w:jc w:val="center"/>
        <w:rPr>
          <w:rFonts w:ascii="Arial" w:eastAsia="Arial" w:hAnsi="Arial" w:cs="Arial"/>
          <w:color w:val="000000"/>
        </w:rPr>
      </w:pPr>
      <w:r>
        <w:rPr>
          <w:rFonts w:ascii="Arial" w:eastAsia="Arial" w:hAnsi="Arial" w:cs="Arial"/>
          <w:color w:val="000000"/>
        </w:rPr>
        <w:t>15, Jalan Limau Purut, Bangsar Park, 59000 Kuala Lumpur, Malaysia </w:t>
      </w:r>
      <w:r>
        <w:rPr>
          <w:rFonts w:ascii="Arial" w:eastAsia="Arial" w:hAnsi="Arial" w:cs="Arial"/>
          <w:color w:val="000000"/>
        </w:rPr>
        <w:br/>
      </w:r>
      <w:r>
        <w:rPr>
          <w:rFonts w:ascii="Arial" w:eastAsia="Arial" w:hAnsi="Arial" w:cs="Arial"/>
          <w:color w:val="000000"/>
        </w:rPr>
        <w:t>Tel: +603 2083 0202 Fax: +603 2202 0303 </w:t>
      </w:r>
    </w:p>
    <w:p w:rsidR="00300A2C" w:rsidRDefault="001752C3">
      <w:pPr>
        <w:spacing w:after="0" w:line="240" w:lineRule="auto"/>
        <w:jc w:val="center"/>
        <w:rPr>
          <w:rFonts w:ascii="Arial" w:eastAsia="Arial" w:hAnsi="Arial" w:cs="Arial"/>
          <w:sz w:val="18"/>
          <w:szCs w:val="18"/>
        </w:rPr>
      </w:pPr>
      <w:r>
        <w:rPr>
          <w:rFonts w:ascii="Arial" w:eastAsia="Arial" w:hAnsi="Arial" w:cs="Arial"/>
          <w:color w:val="000000"/>
        </w:rPr>
        <w:t>Email: </w:t>
      </w:r>
      <w:hyperlink r:id="rId9">
        <w:r>
          <w:rPr>
            <w:rFonts w:ascii="Arial" w:eastAsia="Arial" w:hAnsi="Arial" w:cs="Arial"/>
            <w:color w:val="000000"/>
          </w:rPr>
          <w:t>musawah@musawah.org</w:t>
        </w:r>
      </w:hyperlink>
      <w:r>
        <w:rPr>
          <w:rFonts w:ascii="Arial" w:eastAsia="Arial" w:hAnsi="Arial" w:cs="Arial"/>
          <w:color w:val="000000"/>
        </w:rPr>
        <w:t> </w:t>
      </w:r>
    </w:p>
    <w:p w:rsidR="00300A2C" w:rsidRDefault="001752C3">
      <w:pPr>
        <w:spacing w:after="0" w:line="240" w:lineRule="auto"/>
        <w:jc w:val="center"/>
        <w:rPr>
          <w:rFonts w:ascii="Arial" w:eastAsia="Arial" w:hAnsi="Arial" w:cs="Arial"/>
          <w:sz w:val="18"/>
          <w:szCs w:val="18"/>
        </w:rPr>
      </w:pPr>
      <w:r>
        <w:rPr>
          <w:rFonts w:ascii="Arial" w:eastAsia="Arial" w:hAnsi="Arial" w:cs="Arial"/>
          <w:b/>
          <w:color w:val="000000"/>
        </w:rPr>
        <w:t>Website: </w:t>
      </w:r>
      <w:hyperlink r:id="rId10">
        <w:r>
          <w:rPr>
            <w:rFonts w:ascii="Arial" w:eastAsia="Arial" w:hAnsi="Arial" w:cs="Arial"/>
            <w:b/>
            <w:color w:val="0000FF"/>
            <w:u w:val="single"/>
          </w:rPr>
          <w:t>www.musawah.org</w:t>
        </w:r>
      </w:hyperlink>
      <w:r>
        <w:rPr>
          <w:rFonts w:ascii="Arial" w:eastAsia="Arial" w:hAnsi="Arial" w:cs="Arial"/>
          <w:color w:val="000000"/>
        </w:rPr>
        <w:t>  </w:t>
      </w:r>
    </w:p>
    <w:p w:rsidR="00300A2C" w:rsidRDefault="00300A2C">
      <w:pPr>
        <w:pBdr>
          <w:top w:val="nil"/>
          <w:left w:val="nil"/>
          <w:bottom w:val="nil"/>
          <w:right w:val="nil"/>
          <w:between w:val="nil"/>
        </w:pBdr>
        <w:spacing w:after="0" w:line="240" w:lineRule="auto"/>
        <w:rPr>
          <w:rFonts w:ascii="Arial" w:eastAsia="Arial" w:hAnsi="Arial" w:cs="Arial"/>
          <w:color w:val="000000"/>
          <w:sz w:val="32"/>
          <w:szCs w:val="32"/>
        </w:rPr>
      </w:pPr>
    </w:p>
    <w:p w:rsidR="00300A2C" w:rsidRDefault="001752C3">
      <w:pPr>
        <w:rPr>
          <w:rFonts w:ascii="Arial" w:eastAsia="Arial" w:hAnsi="Arial" w:cs="Arial"/>
          <w:b/>
          <w:color w:val="000000"/>
          <w:sz w:val="24"/>
          <w:szCs w:val="24"/>
        </w:rPr>
      </w:pPr>
      <w:r>
        <w:br w:type="page"/>
      </w:r>
      <w:r>
        <w:rPr>
          <w:rFonts w:ascii="Arial" w:eastAsia="Arial" w:hAnsi="Arial" w:cs="Arial"/>
          <w:b/>
          <w:sz w:val="24"/>
          <w:szCs w:val="24"/>
        </w:rPr>
        <w:lastRenderedPageBreak/>
        <w:t>Musawah</w:t>
      </w:r>
      <w:r>
        <w:rPr>
          <w:rFonts w:ascii="Arial" w:eastAsia="Arial" w:hAnsi="Arial" w:cs="Arial"/>
          <w:color w:val="000000"/>
          <w:sz w:val="24"/>
          <w:szCs w:val="24"/>
        </w:rPr>
        <w:t>, the global movement for equality and justice in the Muslim family, in collaboration with the International Human Rights Clinic at Harvard Law School, submits its list of issues and questions for consideration by the CEDAW Committee in its review of the U</w:t>
      </w:r>
      <w:r>
        <w:rPr>
          <w:rFonts w:ascii="Arial" w:eastAsia="Arial" w:hAnsi="Arial" w:cs="Arial"/>
          <w:sz w:val="24"/>
          <w:szCs w:val="24"/>
        </w:rPr>
        <w:t>nited Arab Emirates</w:t>
      </w:r>
      <w:r>
        <w:rPr>
          <w:rFonts w:ascii="Arial" w:eastAsia="Arial" w:hAnsi="Arial" w:cs="Arial"/>
          <w:color w:val="000000"/>
          <w:sz w:val="24"/>
          <w:szCs w:val="24"/>
        </w:rPr>
        <w:t>’s fourth periodic State Party report. We hope these issues of concern and list of questions will provide critical information to (1) identify gaps in the State Party report, (2) frame follow-up questions the Committee could ask, and (3)</w:t>
      </w:r>
      <w:r>
        <w:rPr>
          <w:rFonts w:ascii="Arial" w:eastAsia="Arial" w:hAnsi="Arial" w:cs="Arial"/>
          <w:color w:val="000000"/>
          <w:sz w:val="24"/>
          <w:szCs w:val="24"/>
        </w:rPr>
        <w:t xml:space="preserve"> help identify the critical issues for the CEDAW Committee’s constructive engagement with the UAE government. The list of questions below focus on </w:t>
      </w:r>
      <w:r>
        <w:rPr>
          <w:rFonts w:ascii="Arial" w:eastAsia="Arial" w:hAnsi="Arial" w:cs="Arial"/>
          <w:sz w:val="24"/>
          <w:szCs w:val="24"/>
        </w:rPr>
        <w:t xml:space="preserve">domestic violence, </w:t>
      </w:r>
      <w:r>
        <w:rPr>
          <w:rFonts w:ascii="Arial" w:eastAsia="Arial" w:hAnsi="Arial" w:cs="Arial"/>
          <w:color w:val="000000"/>
          <w:sz w:val="24"/>
          <w:szCs w:val="24"/>
        </w:rPr>
        <w:t xml:space="preserve">nationality rights and issues </w:t>
      </w:r>
      <w:r>
        <w:rPr>
          <w:rFonts w:ascii="Arial" w:eastAsia="Arial" w:hAnsi="Arial" w:cs="Arial"/>
          <w:sz w:val="24"/>
          <w:szCs w:val="24"/>
        </w:rPr>
        <w:t>pertaining to equality of women in the family</w:t>
      </w:r>
      <w:r>
        <w:rPr>
          <w:rFonts w:ascii="Arial" w:eastAsia="Arial" w:hAnsi="Arial" w:cs="Arial"/>
          <w:color w:val="000000"/>
          <w:sz w:val="24"/>
          <w:szCs w:val="24"/>
        </w:rPr>
        <w:t xml:space="preserve"> (CEDAW Article</w:t>
      </w:r>
      <w:r>
        <w:rPr>
          <w:rFonts w:ascii="Arial" w:eastAsia="Arial" w:hAnsi="Arial" w:cs="Arial"/>
          <w:color w:val="000000"/>
          <w:sz w:val="24"/>
          <w:szCs w:val="24"/>
        </w:rPr>
        <w:t xml:space="preserve">s </w:t>
      </w:r>
      <w:r>
        <w:rPr>
          <w:rFonts w:ascii="Arial" w:eastAsia="Arial" w:hAnsi="Arial" w:cs="Arial"/>
          <w:sz w:val="24"/>
          <w:szCs w:val="24"/>
        </w:rPr>
        <w:t>5</w:t>
      </w:r>
      <w:r>
        <w:rPr>
          <w:rFonts w:ascii="Arial" w:eastAsia="Arial" w:hAnsi="Arial" w:cs="Arial"/>
          <w:color w:val="000000"/>
          <w:sz w:val="24"/>
          <w:szCs w:val="24"/>
        </w:rPr>
        <w:t>, 9 and 16) based on a review of the existing legal framework and evidence of challenges in this area.</w:t>
      </w:r>
    </w:p>
    <w:p w:rsidR="00300A2C" w:rsidRDefault="00300A2C">
      <w:pPr>
        <w:spacing w:after="0" w:line="240" w:lineRule="auto"/>
        <w:rPr>
          <w:rFonts w:ascii="Arial" w:eastAsia="Arial" w:hAnsi="Arial" w:cs="Arial"/>
          <w:color w:val="000000"/>
          <w:sz w:val="24"/>
          <w:szCs w:val="24"/>
        </w:rPr>
      </w:pPr>
    </w:p>
    <w:p w:rsidR="00300A2C" w:rsidRDefault="001752C3">
      <w:pPr>
        <w:spacing w:after="0" w:line="240" w:lineRule="auto"/>
        <w:rPr>
          <w:rFonts w:ascii="Arial" w:eastAsia="Arial" w:hAnsi="Arial" w:cs="Arial"/>
          <w:b/>
          <w:i/>
          <w:color w:val="000000"/>
          <w:sz w:val="24"/>
          <w:szCs w:val="24"/>
        </w:rPr>
      </w:pPr>
      <w:r>
        <w:rPr>
          <w:rFonts w:ascii="Arial" w:eastAsia="Arial" w:hAnsi="Arial" w:cs="Arial"/>
          <w:b/>
          <w:i/>
          <w:color w:val="000000"/>
          <w:sz w:val="24"/>
          <w:szCs w:val="24"/>
        </w:rPr>
        <w:t>Summary of actions since last CEDAW engagement:</w:t>
      </w:r>
    </w:p>
    <w:p w:rsidR="00300A2C" w:rsidRDefault="00300A2C">
      <w:pPr>
        <w:spacing w:after="0" w:line="240" w:lineRule="auto"/>
        <w:rPr>
          <w:rFonts w:ascii="Arial" w:eastAsia="Arial" w:hAnsi="Arial" w:cs="Arial"/>
          <w:b/>
          <w:i/>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color w:val="000000"/>
          <w:sz w:val="24"/>
          <w:szCs w:val="24"/>
        </w:rPr>
        <w:t xml:space="preserve">In 2016, the UAE amended the </w:t>
      </w:r>
      <w:r>
        <w:rPr>
          <w:rFonts w:ascii="Arial" w:eastAsia="Arial" w:hAnsi="Arial" w:cs="Arial"/>
          <w:sz w:val="24"/>
          <w:szCs w:val="24"/>
        </w:rPr>
        <w:t xml:space="preserve">Federal Penal Code </w:t>
      </w:r>
      <w:r>
        <w:rPr>
          <w:rFonts w:ascii="Arial" w:eastAsia="Arial" w:hAnsi="Arial" w:cs="Arial"/>
          <w:color w:val="000000"/>
          <w:sz w:val="24"/>
          <w:szCs w:val="24"/>
        </w:rPr>
        <w:t>of 1987 to abolish Article 53(1), which</w:t>
      </w:r>
      <w:r>
        <w:rPr>
          <w:rFonts w:ascii="Arial" w:eastAsia="Arial" w:hAnsi="Arial" w:cs="Arial"/>
          <w:sz w:val="24"/>
          <w:szCs w:val="24"/>
        </w:rPr>
        <w:t xml:space="preserve"> permitted domestic violence</w:t>
      </w:r>
      <w:r>
        <w:rPr>
          <w:rFonts w:ascii="Arial" w:eastAsia="Arial" w:hAnsi="Arial" w:cs="Arial"/>
          <w:color w:val="000000"/>
          <w:sz w:val="24"/>
          <w:szCs w:val="24"/>
        </w:rPr>
        <w:t xml:space="preserve">, and in 2020, the UAE abolished </w:t>
      </w:r>
      <w:r>
        <w:rPr>
          <w:rFonts w:ascii="Arial" w:eastAsia="Arial" w:hAnsi="Arial" w:cs="Arial"/>
          <w:sz w:val="24"/>
          <w:szCs w:val="24"/>
        </w:rPr>
        <w:t>A</w:t>
      </w:r>
      <w:r>
        <w:rPr>
          <w:rFonts w:ascii="Arial" w:eastAsia="Arial" w:hAnsi="Arial" w:cs="Arial"/>
          <w:color w:val="000000"/>
          <w:sz w:val="24"/>
          <w:szCs w:val="24"/>
        </w:rPr>
        <w:t xml:space="preserve">rticle 334 of the same law, which enabled lenient sentences for honour killings. In 2019, the UAE enacted the Family </w:t>
      </w:r>
      <w:r>
        <w:rPr>
          <w:rFonts w:ascii="Arial" w:eastAsia="Arial" w:hAnsi="Arial" w:cs="Arial"/>
          <w:sz w:val="24"/>
          <w:szCs w:val="24"/>
        </w:rPr>
        <w:t>Protection Law, which included provisions and sanctions to protect women from</w:t>
      </w:r>
      <w:r>
        <w:rPr>
          <w:rFonts w:ascii="Arial" w:eastAsia="Arial" w:hAnsi="Arial" w:cs="Arial"/>
          <w:sz w:val="24"/>
          <w:szCs w:val="24"/>
        </w:rPr>
        <w:t xml:space="preserve"> violence in the home</w:t>
      </w:r>
      <w:r>
        <w:rPr>
          <w:rFonts w:ascii="Arial" w:eastAsia="Arial" w:hAnsi="Arial" w:cs="Arial"/>
          <w:color w:val="000000"/>
          <w:sz w:val="24"/>
          <w:szCs w:val="24"/>
        </w:rPr>
        <w:t>.</w:t>
      </w:r>
      <w:r>
        <w:rPr>
          <w:rFonts w:ascii="Arial" w:eastAsia="Arial" w:hAnsi="Arial" w:cs="Arial"/>
          <w:color w:val="000000"/>
          <w:sz w:val="24"/>
          <w:szCs w:val="24"/>
          <w:vertAlign w:val="superscript"/>
        </w:rPr>
        <w:footnoteReference w:id="1"/>
      </w:r>
      <w:r>
        <w:rPr>
          <w:rFonts w:ascii="Arial" w:eastAsia="Arial" w:hAnsi="Arial" w:cs="Arial"/>
          <w:color w:val="000000"/>
          <w:sz w:val="24"/>
          <w:szCs w:val="24"/>
        </w:rPr>
        <w:t xml:space="preserve"> In addition, the UAE amended the 2005 Personal Status </w:t>
      </w:r>
      <w:r>
        <w:rPr>
          <w:rFonts w:ascii="Arial" w:eastAsia="Arial" w:hAnsi="Arial" w:cs="Arial"/>
          <w:sz w:val="24"/>
          <w:szCs w:val="24"/>
        </w:rPr>
        <w:t>Law</w:t>
      </w:r>
      <w:r>
        <w:rPr>
          <w:rFonts w:ascii="Arial" w:eastAsia="Arial" w:hAnsi="Arial" w:cs="Arial"/>
          <w:color w:val="000000"/>
          <w:sz w:val="24"/>
          <w:szCs w:val="24"/>
        </w:rPr>
        <w:t xml:space="preserve"> in 2019 and in 2020.</w:t>
      </w:r>
      <w:r>
        <w:rPr>
          <w:rFonts w:ascii="Arial" w:eastAsia="Arial" w:hAnsi="Arial" w:cs="Arial"/>
          <w:sz w:val="24"/>
          <w:szCs w:val="24"/>
        </w:rPr>
        <w:t xml:space="preserve"> </w:t>
      </w:r>
      <w:r>
        <w:rPr>
          <w:rFonts w:ascii="Arial" w:eastAsia="Arial" w:hAnsi="Arial" w:cs="Arial"/>
          <w:color w:val="000000"/>
          <w:sz w:val="24"/>
          <w:szCs w:val="24"/>
        </w:rPr>
        <w:t>The</w:t>
      </w:r>
      <w:r>
        <w:rPr>
          <w:rFonts w:ascii="Arial" w:eastAsia="Arial" w:hAnsi="Arial" w:cs="Arial"/>
          <w:sz w:val="24"/>
          <w:szCs w:val="24"/>
        </w:rPr>
        <w:t>se</w:t>
      </w:r>
      <w:r>
        <w:rPr>
          <w:rFonts w:ascii="Arial" w:eastAsia="Arial" w:hAnsi="Arial" w:cs="Arial"/>
          <w:color w:val="000000"/>
          <w:sz w:val="24"/>
          <w:szCs w:val="24"/>
        </w:rPr>
        <w:t xml:space="preserve"> amendments included several positive changes, including introducing further guarantees to ensur</w:t>
      </w:r>
      <w:r>
        <w:rPr>
          <w:rFonts w:ascii="Arial" w:eastAsia="Arial" w:hAnsi="Arial" w:cs="Arial"/>
          <w:sz w:val="24"/>
          <w:szCs w:val="24"/>
        </w:rPr>
        <w:t>e</w:t>
      </w:r>
      <w:r>
        <w:rPr>
          <w:rFonts w:ascii="Arial" w:eastAsia="Arial" w:hAnsi="Arial" w:cs="Arial"/>
          <w:color w:val="000000"/>
          <w:sz w:val="24"/>
          <w:szCs w:val="24"/>
        </w:rPr>
        <w:t xml:space="preserve"> women’s freedom of movement and work outside the h</w:t>
      </w:r>
      <w:r>
        <w:rPr>
          <w:rFonts w:ascii="Arial" w:eastAsia="Arial" w:hAnsi="Arial" w:cs="Arial"/>
          <w:color w:val="000000"/>
          <w:sz w:val="24"/>
          <w:szCs w:val="24"/>
        </w:rPr>
        <w:t>ome,</w:t>
      </w:r>
      <w:r>
        <w:rPr>
          <w:rFonts w:ascii="Arial" w:eastAsia="Arial" w:hAnsi="Arial" w:cs="Arial"/>
          <w:sz w:val="24"/>
          <w:szCs w:val="24"/>
        </w:rPr>
        <w:t xml:space="preserve"> and amending divorce procedures in court, including mandating that all divorces are officiated in court.</w:t>
      </w:r>
      <w:r>
        <w:rPr>
          <w:rFonts w:ascii="Arial" w:eastAsia="Arial" w:hAnsi="Arial" w:cs="Arial"/>
          <w:sz w:val="24"/>
          <w:szCs w:val="24"/>
          <w:vertAlign w:val="superscript"/>
        </w:rPr>
        <w:footnoteReference w:id="2"/>
      </w:r>
      <w:r>
        <w:rPr>
          <w:rFonts w:ascii="Arial" w:eastAsia="Arial" w:hAnsi="Arial" w:cs="Arial"/>
          <w:sz w:val="24"/>
          <w:szCs w:val="24"/>
        </w:rPr>
        <w:t xml:space="preserve"> In 2020, the Nationality Law was amended to permit the granting of Emirati citizenship to children born to an Emirati woman and a foreign husband</w:t>
      </w:r>
      <w:r>
        <w:rPr>
          <w:rFonts w:ascii="Arial" w:eastAsia="Arial" w:hAnsi="Arial" w:cs="Arial"/>
          <w:sz w:val="24"/>
          <w:szCs w:val="24"/>
        </w:rPr>
        <w:t>, but only by application and subject to certain conditions.</w:t>
      </w:r>
      <w:r>
        <w:rPr>
          <w:rFonts w:ascii="Arial" w:eastAsia="Arial" w:hAnsi="Arial" w:cs="Arial"/>
          <w:sz w:val="24"/>
          <w:szCs w:val="24"/>
          <w:vertAlign w:val="superscript"/>
        </w:rPr>
        <w:footnoteReference w:id="3"/>
      </w:r>
    </w:p>
    <w:p w:rsidR="00300A2C" w:rsidRDefault="00300A2C">
      <w:pPr>
        <w:spacing w:after="0" w:line="240" w:lineRule="auto"/>
        <w:rPr>
          <w:rFonts w:ascii="Arial" w:eastAsia="Arial" w:hAnsi="Arial" w:cs="Arial"/>
          <w:sz w:val="24"/>
          <w:szCs w:val="24"/>
        </w:rPr>
      </w:pPr>
    </w:p>
    <w:p w:rsidR="00300A2C" w:rsidRDefault="00300A2C">
      <w:pPr>
        <w:spacing w:after="0" w:line="240" w:lineRule="auto"/>
        <w:rPr>
          <w:rFonts w:ascii="Arial" w:eastAsia="Arial" w:hAnsi="Arial" w:cs="Arial"/>
          <w:sz w:val="24"/>
          <w:szCs w:val="24"/>
        </w:rPr>
      </w:pPr>
    </w:p>
    <w:p w:rsidR="00300A2C" w:rsidRDefault="001752C3">
      <w:pPr>
        <w:pBdr>
          <w:top w:val="nil"/>
          <w:left w:val="nil"/>
          <w:bottom w:val="nil"/>
          <w:right w:val="nil"/>
          <w:between w:val="nil"/>
        </w:pBdr>
        <w:spacing w:after="0" w:line="240" w:lineRule="auto"/>
        <w:rPr>
          <w:rFonts w:ascii="Arial" w:eastAsia="Arial" w:hAnsi="Arial" w:cs="Arial"/>
          <w:b/>
          <w:color w:val="000000"/>
          <w:sz w:val="26"/>
          <w:szCs w:val="26"/>
        </w:rPr>
      </w:pPr>
      <w:r>
        <w:rPr>
          <w:rFonts w:ascii="Arial" w:eastAsia="Arial" w:hAnsi="Arial" w:cs="Arial"/>
          <w:b/>
          <w:color w:val="000000"/>
          <w:sz w:val="26"/>
          <w:szCs w:val="26"/>
        </w:rPr>
        <w:t>I. ISSUES OF CONCERN</w:t>
      </w:r>
    </w:p>
    <w:p w:rsidR="00300A2C" w:rsidRDefault="00300A2C">
      <w:pPr>
        <w:pBdr>
          <w:top w:val="nil"/>
          <w:left w:val="nil"/>
          <w:bottom w:val="nil"/>
          <w:right w:val="nil"/>
          <w:between w:val="nil"/>
        </w:pBdr>
        <w:spacing w:after="0" w:line="240" w:lineRule="auto"/>
        <w:rPr>
          <w:rFonts w:ascii="Arial" w:eastAsia="Arial" w:hAnsi="Arial" w:cs="Arial"/>
          <w:sz w:val="24"/>
          <w:szCs w:val="24"/>
        </w:rPr>
      </w:pPr>
    </w:p>
    <w:p w:rsidR="00300A2C" w:rsidRDefault="001752C3">
      <w:pPr>
        <w:pBdr>
          <w:top w:val="nil"/>
          <w:left w:val="nil"/>
          <w:bottom w:val="nil"/>
          <w:right w:val="nil"/>
          <w:between w:val="nil"/>
        </w:pBdr>
        <w:spacing w:after="0" w:line="240" w:lineRule="auto"/>
        <w:rPr>
          <w:rFonts w:ascii="Arial" w:eastAsia="Arial" w:hAnsi="Arial" w:cs="Arial"/>
          <w:b/>
          <w:color w:val="000000"/>
          <w:sz w:val="24"/>
          <w:szCs w:val="24"/>
          <w:vertAlign w:val="superscript"/>
        </w:rPr>
      </w:pPr>
      <w:r>
        <w:rPr>
          <w:rFonts w:ascii="Arial" w:eastAsia="Arial" w:hAnsi="Arial" w:cs="Arial"/>
          <w:b/>
          <w:color w:val="000000"/>
          <w:sz w:val="24"/>
          <w:szCs w:val="24"/>
        </w:rPr>
        <w:t>A. Addressed in State party report (2020)</w:t>
      </w:r>
      <w:r>
        <w:rPr>
          <w:rFonts w:ascii="Arial" w:eastAsia="Arial" w:hAnsi="Arial" w:cs="Arial"/>
          <w:b/>
          <w:color w:val="000000"/>
          <w:sz w:val="24"/>
          <w:szCs w:val="24"/>
          <w:vertAlign w:val="superscript"/>
        </w:rPr>
        <w:footnoteReference w:id="4"/>
      </w:r>
    </w:p>
    <w:p w:rsidR="00300A2C" w:rsidRDefault="00300A2C">
      <w:pPr>
        <w:pBdr>
          <w:top w:val="nil"/>
          <w:left w:val="nil"/>
          <w:bottom w:val="nil"/>
          <w:right w:val="nil"/>
          <w:between w:val="nil"/>
        </w:pBdr>
        <w:spacing w:after="0" w:line="240" w:lineRule="auto"/>
        <w:rPr>
          <w:rFonts w:ascii="Arial" w:eastAsia="Arial" w:hAnsi="Arial" w:cs="Arial"/>
          <w:b/>
          <w:sz w:val="24"/>
          <w:szCs w:val="24"/>
          <w:vertAlign w:val="superscript"/>
        </w:rPr>
      </w:pPr>
    </w:p>
    <w:p w:rsidR="00300A2C" w:rsidRDefault="001752C3">
      <w:pPr>
        <w:numPr>
          <w:ilvl w:val="0"/>
          <w:numId w:val="3"/>
        </w:numPr>
        <w:spacing w:after="0" w:line="240" w:lineRule="auto"/>
        <w:rPr>
          <w:rFonts w:ascii="Arial" w:eastAsia="Arial" w:hAnsi="Arial" w:cs="Arial"/>
          <w:sz w:val="24"/>
          <w:szCs w:val="24"/>
        </w:rPr>
      </w:pPr>
      <w:r>
        <w:rPr>
          <w:rFonts w:ascii="Arial" w:eastAsia="Arial" w:hAnsi="Arial" w:cs="Arial"/>
          <w:sz w:val="24"/>
          <w:szCs w:val="24"/>
        </w:rPr>
        <w:t xml:space="preserve">The State is considering lifting reservations to the extent that that does not conflict with national sovereignty or the Islamic </w:t>
      </w:r>
      <w:r>
        <w:rPr>
          <w:rFonts w:ascii="Arial" w:eastAsia="Arial" w:hAnsi="Arial" w:cs="Arial"/>
          <w:i/>
          <w:sz w:val="24"/>
          <w:szCs w:val="24"/>
        </w:rPr>
        <w:t>sharia</w:t>
      </w:r>
      <w:r>
        <w:rPr>
          <w:rFonts w:ascii="Arial" w:eastAsia="Arial" w:hAnsi="Arial" w:cs="Arial"/>
          <w:sz w:val="24"/>
          <w:szCs w:val="24"/>
        </w:rPr>
        <w:t xml:space="preserve"> (SPR para. 14).</w:t>
      </w:r>
    </w:p>
    <w:p w:rsidR="00300A2C" w:rsidRDefault="001752C3">
      <w:pPr>
        <w:numPr>
          <w:ilvl w:val="0"/>
          <w:numId w:val="3"/>
        </w:numPr>
        <w:spacing w:after="0" w:line="240" w:lineRule="auto"/>
        <w:rPr>
          <w:rFonts w:ascii="Arial" w:eastAsia="Arial" w:hAnsi="Arial" w:cs="Arial"/>
          <w:sz w:val="24"/>
          <w:szCs w:val="24"/>
        </w:rPr>
      </w:pPr>
      <w:r>
        <w:rPr>
          <w:rFonts w:ascii="Arial" w:eastAsia="Arial" w:hAnsi="Arial" w:cs="Arial"/>
          <w:sz w:val="24"/>
          <w:szCs w:val="24"/>
        </w:rPr>
        <w:t>Women cannot transfer their nationality to their children from a foreign husband (SPR para. 68).</w:t>
      </w:r>
    </w:p>
    <w:p w:rsidR="00300A2C" w:rsidRDefault="001752C3">
      <w:pPr>
        <w:numPr>
          <w:ilvl w:val="0"/>
          <w:numId w:val="3"/>
        </w:numPr>
        <w:spacing w:after="0" w:line="240" w:lineRule="auto"/>
        <w:rPr>
          <w:rFonts w:ascii="Arial" w:eastAsia="Arial" w:hAnsi="Arial" w:cs="Arial"/>
          <w:sz w:val="24"/>
          <w:szCs w:val="24"/>
        </w:rPr>
      </w:pPr>
      <w:r>
        <w:rPr>
          <w:rFonts w:ascii="Arial" w:eastAsia="Arial" w:hAnsi="Arial" w:cs="Arial"/>
          <w:sz w:val="24"/>
          <w:szCs w:val="24"/>
        </w:rPr>
        <w:t xml:space="preserve">A male </w:t>
      </w:r>
      <w:r>
        <w:rPr>
          <w:rFonts w:ascii="Arial" w:eastAsia="Arial" w:hAnsi="Arial" w:cs="Arial"/>
          <w:sz w:val="24"/>
          <w:szCs w:val="24"/>
        </w:rPr>
        <w:t>guardian (</w:t>
      </w:r>
      <w:r>
        <w:rPr>
          <w:rFonts w:ascii="Arial" w:eastAsia="Arial" w:hAnsi="Arial" w:cs="Arial"/>
          <w:i/>
          <w:sz w:val="24"/>
          <w:szCs w:val="24"/>
        </w:rPr>
        <w:t>wali</w:t>
      </w:r>
      <w:r>
        <w:rPr>
          <w:rFonts w:ascii="Arial" w:eastAsia="Arial" w:hAnsi="Arial" w:cs="Arial"/>
          <w:sz w:val="24"/>
          <w:szCs w:val="24"/>
        </w:rPr>
        <w:t>) is required for women to enter into marriage (SPR para. 111(c)).</w:t>
      </w:r>
    </w:p>
    <w:p w:rsidR="00300A2C" w:rsidRDefault="001752C3">
      <w:pPr>
        <w:numPr>
          <w:ilvl w:val="0"/>
          <w:numId w:val="3"/>
        </w:numPr>
        <w:spacing w:after="0" w:line="240" w:lineRule="auto"/>
        <w:rPr>
          <w:rFonts w:ascii="Arial" w:eastAsia="Arial" w:hAnsi="Arial" w:cs="Arial"/>
          <w:sz w:val="24"/>
          <w:szCs w:val="24"/>
        </w:rPr>
      </w:pPr>
      <w:r>
        <w:rPr>
          <w:rFonts w:ascii="Arial" w:eastAsia="Arial" w:hAnsi="Arial" w:cs="Arial"/>
          <w:sz w:val="24"/>
          <w:szCs w:val="24"/>
        </w:rPr>
        <w:t>Default child custody rules remove children from their mother’s custody at an early age and mothers lose custody of their children upon remarriage (SPR para. 111(f)).</w:t>
      </w:r>
    </w:p>
    <w:p w:rsidR="00300A2C" w:rsidRDefault="00300A2C">
      <w:pPr>
        <w:pBdr>
          <w:top w:val="nil"/>
          <w:left w:val="nil"/>
          <w:bottom w:val="nil"/>
          <w:right w:val="nil"/>
          <w:between w:val="nil"/>
        </w:pBdr>
        <w:spacing w:after="0" w:line="240" w:lineRule="auto"/>
        <w:ind w:left="720"/>
        <w:rPr>
          <w:rFonts w:ascii="Arial" w:eastAsia="Arial" w:hAnsi="Arial" w:cs="Arial"/>
          <w:color w:val="000000"/>
          <w:sz w:val="24"/>
          <w:szCs w:val="24"/>
        </w:rPr>
      </w:pPr>
    </w:p>
    <w:p w:rsidR="00300A2C" w:rsidRDefault="00300A2C">
      <w:pPr>
        <w:pBdr>
          <w:top w:val="nil"/>
          <w:left w:val="nil"/>
          <w:bottom w:val="nil"/>
          <w:right w:val="nil"/>
          <w:between w:val="nil"/>
        </w:pBdr>
        <w:spacing w:after="0" w:line="240" w:lineRule="auto"/>
        <w:rPr>
          <w:rFonts w:ascii="Arial" w:eastAsia="Arial" w:hAnsi="Arial" w:cs="Arial"/>
          <w:color w:val="000000"/>
          <w:sz w:val="24"/>
          <w:szCs w:val="24"/>
        </w:rPr>
      </w:pPr>
    </w:p>
    <w:p w:rsidR="00300A2C" w:rsidRDefault="001752C3">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B. Not</w:t>
      </w:r>
      <w:r>
        <w:rPr>
          <w:rFonts w:ascii="Arial" w:eastAsia="Arial" w:hAnsi="Arial" w:cs="Arial"/>
          <w:b/>
          <w:color w:val="000000"/>
          <w:sz w:val="24"/>
          <w:szCs w:val="24"/>
        </w:rPr>
        <w:t xml:space="preserve"> addressed in State party report (2020)</w:t>
      </w:r>
    </w:p>
    <w:p w:rsidR="00300A2C" w:rsidRDefault="00300A2C">
      <w:pPr>
        <w:pBdr>
          <w:top w:val="nil"/>
          <w:left w:val="nil"/>
          <w:bottom w:val="nil"/>
          <w:right w:val="nil"/>
          <w:between w:val="nil"/>
        </w:pBdr>
        <w:spacing w:after="0" w:line="240" w:lineRule="auto"/>
        <w:rPr>
          <w:rFonts w:ascii="Arial" w:eastAsia="Arial" w:hAnsi="Arial" w:cs="Arial"/>
          <w:b/>
          <w:sz w:val="24"/>
          <w:szCs w:val="24"/>
        </w:rPr>
      </w:pPr>
    </w:p>
    <w:p w:rsidR="00300A2C" w:rsidRDefault="001752C3">
      <w:pPr>
        <w:numPr>
          <w:ilvl w:val="0"/>
          <w:numId w:val="6"/>
        </w:numPr>
        <w:spacing w:after="0" w:line="240" w:lineRule="auto"/>
        <w:rPr>
          <w:rFonts w:ascii="Arial" w:eastAsia="Arial" w:hAnsi="Arial" w:cs="Arial"/>
          <w:sz w:val="24"/>
          <w:szCs w:val="24"/>
        </w:rPr>
      </w:pPr>
      <w:r>
        <w:rPr>
          <w:rFonts w:ascii="Arial" w:eastAsia="Arial" w:hAnsi="Arial" w:cs="Arial"/>
          <w:sz w:val="24"/>
          <w:szCs w:val="24"/>
        </w:rPr>
        <w:t>Concerns with respect to the enforcement of laws that protect women from violence, especially marital rape and domestic violence, and the lack of criminalization of female genital mutilation (FGM).</w:t>
      </w:r>
    </w:p>
    <w:p w:rsidR="00300A2C" w:rsidRDefault="001752C3">
      <w:pPr>
        <w:numPr>
          <w:ilvl w:val="0"/>
          <w:numId w:val="6"/>
        </w:numPr>
        <w:spacing w:after="0" w:line="240" w:lineRule="auto"/>
        <w:rPr>
          <w:rFonts w:ascii="Arial" w:eastAsia="Arial" w:hAnsi="Arial" w:cs="Arial"/>
          <w:sz w:val="24"/>
          <w:szCs w:val="24"/>
        </w:rPr>
      </w:pPr>
      <w:r>
        <w:rPr>
          <w:rFonts w:ascii="Arial" w:eastAsia="Arial" w:hAnsi="Arial" w:cs="Arial"/>
          <w:sz w:val="24"/>
          <w:szCs w:val="24"/>
        </w:rPr>
        <w:t>Legal exceptions to the minimum marriage age, which enable child marriage.</w:t>
      </w:r>
    </w:p>
    <w:p w:rsidR="00300A2C" w:rsidRDefault="001752C3">
      <w:pPr>
        <w:numPr>
          <w:ilvl w:val="0"/>
          <w:numId w:val="6"/>
        </w:numPr>
        <w:spacing w:after="0" w:line="240" w:lineRule="auto"/>
        <w:rPr>
          <w:rFonts w:ascii="Arial" w:eastAsia="Arial" w:hAnsi="Arial" w:cs="Arial"/>
          <w:sz w:val="24"/>
          <w:szCs w:val="24"/>
        </w:rPr>
      </w:pPr>
      <w:r>
        <w:rPr>
          <w:rFonts w:ascii="Arial" w:eastAsia="Arial" w:hAnsi="Arial" w:cs="Arial"/>
          <w:sz w:val="24"/>
          <w:szCs w:val="24"/>
        </w:rPr>
        <w:t>Polygamous marriages remain legal.</w:t>
      </w:r>
    </w:p>
    <w:p w:rsidR="00300A2C" w:rsidRDefault="001752C3">
      <w:pPr>
        <w:numPr>
          <w:ilvl w:val="0"/>
          <w:numId w:val="6"/>
        </w:numPr>
        <w:spacing w:after="0" w:line="240" w:lineRule="auto"/>
        <w:rPr>
          <w:rFonts w:ascii="Arial" w:eastAsia="Arial" w:hAnsi="Arial" w:cs="Arial"/>
          <w:sz w:val="24"/>
          <w:szCs w:val="24"/>
        </w:rPr>
      </w:pPr>
      <w:r>
        <w:rPr>
          <w:rFonts w:ascii="Arial" w:eastAsia="Arial" w:hAnsi="Arial" w:cs="Arial"/>
          <w:sz w:val="24"/>
          <w:szCs w:val="24"/>
        </w:rPr>
        <w:t>Inequality in divorce rights afforded to women.</w:t>
      </w:r>
    </w:p>
    <w:p w:rsidR="00300A2C" w:rsidRDefault="00300A2C">
      <w:pPr>
        <w:pBdr>
          <w:top w:val="nil"/>
          <w:left w:val="nil"/>
          <w:bottom w:val="nil"/>
          <w:right w:val="nil"/>
          <w:between w:val="nil"/>
        </w:pBdr>
        <w:spacing w:after="0" w:line="240" w:lineRule="auto"/>
        <w:rPr>
          <w:rFonts w:ascii="Arial" w:eastAsia="Arial" w:hAnsi="Arial" w:cs="Arial"/>
          <w:color w:val="000000"/>
          <w:sz w:val="24"/>
          <w:szCs w:val="24"/>
        </w:rPr>
      </w:pPr>
    </w:p>
    <w:p w:rsidR="00300A2C" w:rsidRDefault="00300A2C">
      <w:pPr>
        <w:pBdr>
          <w:top w:val="nil"/>
          <w:left w:val="nil"/>
          <w:bottom w:val="nil"/>
          <w:right w:val="nil"/>
          <w:between w:val="nil"/>
        </w:pBdr>
        <w:spacing w:after="0" w:line="240" w:lineRule="auto"/>
        <w:rPr>
          <w:rFonts w:ascii="Arial" w:eastAsia="Arial" w:hAnsi="Arial" w:cs="Arial"/>
          <w:b/>
          <w:color w:val="000000"/>
          <w:sz w:val="24"/>
          <w:szCs w:val="24"/>
        </w:rPr>
      </w:pPr>
    </w:p>
    <w:p w:rsidR="00300A2C" w:rsidRDefault="001752C3">
      <w:pPr>
        <w:pBdr>
          <w:top w:val="nil"/>
          <w:left w:val="nil"/>
          <w:bottom w:val="nil"/>
          <w:right w:val="nil"/>
          <w:between w:val="nil"/>
        </w:pBdr>
        <w:spacing w:after="0" w:line="240" w:lineRule="auto"/>
        <w:rPr>
          <w:rFonts w:ascii="Arial" w:eastAsia="Arial" w:hAnsi="Arial" w:cs="Arial"/>
          <w:color w:val="000000"/>
          <w:sz w:val="26"/>
          <w:szCs w:val="26"/>
        </w:rPr>
      </w:pPr>
      <w:r>
        <w:rPr>
          <w:rFonts w:ascii="Arial" w:eastAsia="Arial" w:hAnsi="Arial" w:cs="Arial"/>
          <w:b/>
          <w:color w:val="000000"/>
          <w:sz w:val="26"/>
          <w:szCs w:val="26"/>
        </w:rPr>
        <w:t>II. SUGGESTIONS FOR LIST OF QUESTIONS </w:t>
      </w:r>
      <w:r>
        <w:rPr>
          <w:rFonts w:ascii="Arial" w:eastAsia="Arial" w:hAnsi="Arial" w:cs="Arial"/>
          <w:color w:val="000000"/>
          <w:sz w:val="26"/>
          <w:szCs w:val="26"/>
        </w:rPr>
        <w:t> </w:t>
      </w:r>
    </w:p>
    <w:p w:rsidR="00300A2C" w:rsidRDefault="00300A2C">
      <w:pPr>
        <w:spacing w:after="0" w:line="240" w:lineRule="auto"/>
        <w:rPr>
          <w:rFonts w:ascii="Arial" w:eastAsia="Arial" w:hAnsi="Arial" w:cs="Arial"/>
          <w:sz w:val="24"/>
          <w:szCs w:val="24"/>
        </w:rPr>
      </w:pPr>
    </w:p>
    <w:p w:rsidR="00300A2C" w:rsidRDefault="001752C3">
      <w:pPr>
        <w:numPr>
          <w:ilvl w:val="0"/>
          <w:numId w:val="8"/>
        </w:numPr>
        <w:spacing w:after="0" w:line="240" w:lineRule="auto"/>
        <w:rPr>
          <w:sz w:val="24"/>
          <w:szCs w:val="24"/>
        </w:rPr>
      </w:pPr>
      <w:r>
        <w:rPr>
          <w:rFonts w:ascii="Arial" w:eastAsia="Arial" w:hAnsi="Arial" w:cs="Arial"/>
          <w:b/>
          <w:sz w:val="24"/>
          <w:szCs w:val="24"/>
        </w:rPr>
        <w:t xml:space="preserve">Equality in the Family </w:t>
      </w:r>
    </w:p>
    <w:p w:rsidR="00300A2C" w:rsidRDefault="00300A2C">
      <w:pPr>
        <w:spacing w:after="0" w:line="240" w:lineRule="auto"/>
        <w:ind w:left="720"/>
        <w:rPr>
          <w:rFonts w:ascii="Arial" w:eastAsia="Arial" w:hAnsi="Arial" w:cs="Arial"/>
          <w:b/>
          <w:sz w:val="24"/>
          <w:szCs w:val="24"/>
        </w:rPr>
      </w:pPr>
    </w:p>
    <w:p w:rsidR="00300A2C" w:rsidRDefault="001752C3">
      <w:pPr>
        <w:numPr>
          <w:ilvl w:val="0"/>
          <w:numId w:val="12"/>
        </w:numPr>
        <w:spacing w:after="0" w:line="240" w:lineRule="auto"/>
        <w:ind w:left="360"/>
        <w:rPr>
          <w:rFonts w:ascii="Arial" w:eastAsia="Arial" w:hAnsi="Arial" w:cs="Arial"/>
          <w:sz w:val="24"/>
          <w:szCs w:val="24"/>
        </w:rPr>
      </w:pPr>
      <w:r>
        <w:rPr>
          <w:rFonts w:ascii="Arial" w:eastAsia="Arial" w:hAnsi="Arial" w:cs="Arial"/>
          <w:b/>
          <w:i/>
          <w:sz w:val="24"/>
          <w:szCs w:val="24"/>
        </w:rPr>
        <w:t>Patriarchal attitudes and ster</w:t>
      </w:r>
      <w:r>
        <w:rPr>
          <w:rFonts w:ascii="Arial" w:eastAsia="Arial" w:hAnsi="Arial" w:cs="Arial"/>
          <w:b/>
          <w:i/>
          <w:sz w:val="24"/>
          <w:szCs w:val="24"/>
        </w:rPr>
        <w:t>eotypes:</w:t>
      </w:r>
      <w:r>
        <w:rPr>
          <w:rFonts w:ascii="Arial" w:eastAsia="Arial" w:hAnsi="Arial" w:cs="Arial"/>
          <w:b/>
          <w:sz w:val="24"/>
          <w:szCs w:val="24"/>
        </w:rPr>
        <w:t xml:space="preserve"> </w:t>
      </w:r>
      <w:r>
        <w:rPr>
          <w:rFonts w:ascii="Arial" w:eastAsia="Arial" w:hAnsi="Arial" w:cs="Arial"/>
          <w:sz w:val="24"/>
          <w:szCs w:val="24"/>
        </w:rPr>
        <w:t>In its previous Concluding Observations, the Committee expressed concerns “</w:t>
      </w:r>
      <w:r>
        <w:rPr>
          <w:rFonts w:ascii="Arial" w:eastAsia="Arial" w:hAnsi="Arial" w:cs="Arial"/>
          <w:i/>
          <w:sz w:val="24"/>
          <w:szCs w:val="24"/>
        </w:rPr>
        <w:t>that the State party retains discriminatory stereotypes regarding the roles of women and men in society and in the family, focusing primarily on the roles of women as mothers and housewives and not considering them to be full rights holders”</w:t>
      </w:r>
      <w:r>
        <w:rPr>
          <w:rFonts w:ascii="Arial" w:eastAsia="Arial" w:hAnsi="Arial" w:cs="Arial"/>
          <w:sz w:val="24"/>
          <w:szCs w:val="24"/>
        </w:rPr>
        <w:t xml:space="preserve"> (CEDAW/C/ARE/C</w:t>
      </w:r>
      <w:r>
        <w:rPr>
          <w:rFonts w:ascii="Arial" w:eastAsia="Arial" w:hAnsi="Arial" w:cs="Arial"/>
          <w:sz w:val="24"/>
          <w:szCs w:val="24"/>
        </w:rPr>
        <w:t>O/2-3, para. 23). The State party has written of several strategies that relate to the family, including a coordinating council for family policies and a “unified national vision and strategy for the family” (SPR para. 10(m)) and a family protection policy</w:t>
      </w:r>
      <w:r>
        <w:rPr>
          <w:rFonts w:ascii="Arial" w:eastAsia="Arial" w:hAnsi="Arial" w:cs="Arial"/>
          <w:sz w:val="24"/>
          <w:szCs w:val="24"/>
        </w:rPr>
        <w:t xml:space="preserve"> that “protects them all [women, children, the elderly, men and people of determination] from violence and abuse in all their forms” (SPR para. 13).</w:t>
      </w:r>
    </w:p>
    <w:p w:rsidR="00300A2C" w:rsidRDefault="00300A2C">
      <w:pPr>
        <w:spacing w:after="0" w:line="240" w:lineRule="auto"/>
        <w:ind w:left="720"/>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 provide detailed information on further measures being taken to eliminate deep-rooted patriarchal a</w:t>
      </w:r>
      <w:r>
        <w:rPr>
          <w:rFonts w:ascii="Arial" w:eastAsia="Arial" w:hAnsi="Arial" w:cs="Arial"/>
          <w:sz w:val="24"/>
          <w:szCs w:val="24"/>
        </w:rPr>
        <w:t>ttitudes and stereotypes and the persistence of negative social and cultural patterns regarding the rights, roles and responsibilities of women in the UAE, particularly those that perpetuate marginalisation within the family and in society.</w:t>
      </w:r>
    </w:p>
    <w:p w:rsidR="00300A2C" w:rsidRDefault="00300A2C">
      <w:pPr>
        <w:spacing w:after="0" w:line="240" w:lineRule="auto"/>
        <w:rPr>
          <w:rFonts w:ascii="Arial" w:eastAsia="Arial" w:hAnsi="Arial" w:cs="Arial"/>
          <w:sz w:val="24"/>
          <w:szCs w:val="24"/>
        </w:rPr>
      </w:pPr>
    </w:p>
    <w:p w:rsidR="00300A2C" w:rsidRDefault="001752C3">
      <w:pPr>
        <w:numPr>
          <w:ilvl w:val="0"/>
          <w:numId w:val="8"/>
        </w:numPr>
        <w:pBdr>
          <w:top w:val="nil"/>
          <w:left w:val="nil"/>
          <w:bottom w:val="nil"/>
          <w:right w:val="nil"/>
          <w:between w:val="nil"/>
        </w:pBdr>
        <w:spacing w:after="0" w:line="240" w:lineRule="auto"/>
        <w:rPr>
          <w:color w:val="000000"/>
          <w:sz w:val="24"/>
          <w:szCs w:val="24"/>
        </w:rPr>
      </w:pPr>
      <w:r>
        <w:rPr>
          <w:rFonts w:ascii="Arial" w:eastAsia="Arial" w:hAnsi="Arial" w:cs="Arial"/>
          <w:b/>
          <w:sz w:val="24"/>
          <w:szCs w:val="24"/>
        </w:rPr>
        <w:t>Domestic Violence</w:t>
      </w:r>
    </w:p>
    <w:p w:rsidR="00300A2C" w:rsidRDefault="00300A2C">
      <w:pPr>
        <w:spacing w:after="0" w:line="240" w:lineRule="auto"/>
        <w:rPr>
          <w:rFonts w:ascii="Arial" w:eastAsia="Arial" w:hAnsi="Arial" w:cs="Arial"/>
          <w:sz w:val="24"/>
          <w:szCs w:val="24"/>
        </w:rPr>
      </w:pPr>
    </w:p>
    <w:p w:rsidR="00300A2C" w:rsidRDefault="001752C3">
      <w:pPr>
        <w:numPr>
          <w:ilvl w:val="0"/>
          <w:numId w:val="10"/>
        </w:numPr>
        <w:spacing w:after="0" w:line="240" w:lineRule="auto"/>
        <w:ind w:left="360"/>
        <w:rPr>
          <w:rFonts w:ascii="Arial" w:eastAsia="Arial" w:hAnsi="Arial" w:cs="Arial"/>
          <w:sz w:val="24"/>
          <w:szCs w:val="24"/>
        </w:rPr>
      </w:pPr>
      <w:r>
        <w:rPr>
          <w:rFonts w:ascii="Arial" w:eastAsia="Arial" w:hAnsi="Arial" w:cs="Arial"/>
          <w:b/>
          <w:i/>
          <w:sz w:val="24"/>
          <w:szCs w:val="24"/>
        </w:rPr>
        <w:t xml:space="preserve">Protection from domestic violence: </w:t>
      </w:r>
      <w:r>
        <w:rPr>
          <w:rFonts w:ascii="Arial" w:eastAsia="Arial" w:hAnsi="Arial" w:cs="Arial"/>
          <w:sz w:val="24"/>
          <w:szCs w:val="24"/>
        </w:rPr>
        <w:t>Article 55(5) of the Personal Status Law provides that a wife has a right to not be injured physically or mentally.</w:t>
      </w:r>
      <w:r>
        <w:rPr>
          <w:rFonts w:ascii="Arial" w:eastAsia="Arial" w:hAnsi="Arial" w:cs="Arial"/>
          <w:sz w:val="24"/>
          <w:szCs w:val="24"/>
          <w:vertAlign w:val="superscript"/>
        </w:rPr>
        <w:footnoteReference w:id="5"/>
      </w:r>
      <w:r>
        <w:rPr>
          <w:rFonts w:ascii="Arial" w:eastAsia="Arial" w:hAnsi="Arial" w:cs="Arial"/>
          <w:sz w:val="24"/>
          <w:szCs w:val="24"/>
        </w:rPr>
        <w:t xml:space="preserve"> The Family Protection Law of 2019 introduces further protections from domestic violen</w:t>
      </w:r>
      <w:r>
        <w:rPr>
          <w:rFonts w:ascii="Arial" w:eastAsia="Arial" w:hAnsi="Arial" w:cs="Arial"/>
          <w:sz w:val="24"/>
          <w:szCs w:val="24"/>
        </w:rPr>
        <w:t>ce and criminalizes marital rape.</w:t>
      </w:r>
      <w:r>
        <w:rPr>
          <w:rFonts w:ascii="Arial" w:eastAsia="Arial" w:hAnsi="Arial" w:cs="Arial"/>
          <w:sz w:val="24"/>
          <w:szCs w:val="24"/>
          <w:vertAlign w:val="superscript"/>
        </w:rPr>
        <w:footnoteReference w:id="6"/>
      </w:r>
      <w:r>
        <w:rPr>
          <w:rFonts w:ascii="Arial" w:eastAsia="Arial" w:hAnsi="Arial" w:cs="Arial"/>
          <w:sz w:val="24"/>
          <w:szCs w:val="24"/>
        </w:rPr>
        <w:t xml:space="preserve"> Concerns remain, however, with respect to the consistency and uniformity of enforcing these legal protections. In addition, the UAE has not adopted specific legislation to criminalize female genital mutilation (FGM).</w:t>
      </w:r>
    </w:p>
    <w:p w:rsidR="00300A2C" w:rsidRDefault="00300A2C">
      <w:pPr>
        <w:spacing w:after="0" w:line="240" w:lineRule="auto"/>
        <w:ind w:firstLine="360"/>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w:t>
      </w:r>
      <w:r>
        <w:rPr>
          <w:rFonts w:ascii="Arial" w:eastAsia="Arial" w:hAnsi="Arial" w:cs="Arial"/>
          <w:sz w:val="24"/>
          <w:szCs w:val="24"/>
        </w:rPr>
        <w:t xml:space="preserve">ase provide data on the number of domestic violence reports made to law enforcement over the past 5 years and data on the number of cases where perpetrators were successfully prosecuted and sentenced. Please provide information on the evidentiary standard </w:t>
      </w:r>
      <w:r>
        <w:rPr>
          <w:rFonts w:ascii="Arial" w:eastAsia="Arial" w:hAnsi="Arial" w:cs="Arial"/>
          <w:sz w:val="24"/>
          <w:szCs w:val="24"/>
        </w:rPr>
        <w:t>a complainant must reach to successfully prove domestic violence.</w:t>
      </w:r>
    </w:p>
    <w:p w:rsidR="00300A2C" w:rsidRDefault="00300A2C">
      <w:pPr>
        <w:spacing w:after="0" w:line="240" w:lineRule="auto"/>
        <w:ind w:firstLine="360"/>
        <w:rPr>
          <w:rFonts w:ascii="Arial" w:eastAsia="Arial" w:hAnsi="Arial" w:cs="Arial"/>
          <w:b/>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 provide data on the number of women in the past 5 years who have sought assistance through the shelters, hotlines, and legal services listed in the SPR, and please indicate current c</w:t>
      </w:r>
      <w:r>
        <w:rPr>
          <w:rFonts w:ascii="Arial" w:eastAsia="Arial" w:hAnsi="Arial" w:cs="Arial"/>
          <w:sz w:val="24"/>
          <w:szCs w:val="24"/>
        </w:rPr>
        <w:t xml:space="preserve">apacity. </w:t>
      </w:r>
    </w:p>
    <w:p w:rsidR="00300A2C" w:rsidRDefault="00300A2C">
      <w:pPr>
        <w:spacing w:after="0" w:line="240" w:lineRule="auto"/>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 provide information on the number of women and girls subjected to female genital mutilation (FGM) in the UAE over the past 5 years. Please also provide information on plans to criminalize FGM and the timeline for enacting such protections</w:t>
      </w:r>
      <w:r>
        <w:rPr>
          <w:rFonts w:ascii="Arial" w:eastAsia="Arial" w:hAnsi="Arial" w:cs="Arial"/>
          <w:sz w:val="24"/>
          <w:szCs w:val="24"/>
        </w:rPr>
        <w:t xml:space="preserve">. </w:t>
      </w:r>
    </w:p>
    <w:p w:rsidR="00300A2C" w:rsidRDefault="00300A2C">
      <w:pPr>
        <w:spacing w:after="0" w:line="240" w:lineRule="auto"/>
        <w:ind w:left="720"/>
        <w:rPr>
          <w:rFonts w:ascii="Arial" w:eastAsia="Arial" w:hAnsi="Arial" w:cs="Arial"/>
          <w:sz w:val="24"/>
          <w:szCs w:val="24"/>
        </w:rPr>
      </w:pPr>
    </w:p>
    <w:p w:rsidR="00300A2C" w:rsidRDefault="001752C3">
      <w:pPr>
        <w:numPr>
          <w:ilvl w:val="0"/>
          <w:numId w:val="8"/>
        </w:numPr>
        <w:pBdr>
          <w:top w:val="nil"/>
          <w:left w:val="nil"/>
          <w:bottom w:val="nil"/>
          <w:right w:val="nil"/>
          <w:between w:val="nil"/>
        </w:pBdr>
        <w:spacing w:after="0" w:line="240" w:lineRule="auto"/>
        <w:rPr>
          <w:color w:val="000000"/>
          <w:sz w:val="24"/>
          <w:szCs w:val="24"/>
        </w:rPr>
      </w:pPr>
      <w:r>
        <w:rPr>
          <w:rFonts w:ascii="Arial" w:eastAsia="Arial" w:hAnsi="Arial" w:cs="Arial"/>
          <w:b/>
          <w:color w:val="000000"/>
          <w:sz w:val="24"/>
          <w:szCs w:val="24"/>
        </w:rPr>
        <w:t>Nationality</w:t>
      </w:r>
    </w:p>
    <w:p w:rsidR="00300A2C" w:rsidRDefault="00300A2C">
      <w:pPr>
        <w:spacing w:after="0" w:line="240" w:lineRule="auto"/>
        <w:ind w:firstLine="360"/>
        <w:rPr>
          <w:rFonts w:ascii="Arial" w:eastAsia="Arial" w:hAnsi="Arial" w:cs="Arial"/>
          <w:sz w:val="24"/>
          <w:szCs w:val="24"/>
        </w:rPr>
      </w:pPr>
    </w:p>
    <w:p w:rsidR="00300A2C" w:rsidRDefault="001752C3">
      <w:pPr>
        <w:numPr>
          <w:ilvl w:val="0"/>
          <w:numId w:val="9"/>
        </w:numPr>
        <w:spacing w:after="0" w:line="240" w:lineRule="auto"/>
        <w:ind w:left="360"/>
        <w:rPr>
          <w:rFonts w:ascii="Arial" w:eastAsia="Arial" w:hAnsi="Arial" w:cs="Arial"/>
          <w:sz w:val="24"/>
          <w:szCs w:val="24"/>
        </w:rPr>
      </w:pPr>
      <w:r>
        <w:rPr>
          <w:rFonts w:ascii="Arial" w:eastAsia="Arial" w:hAnsi="Arial" w:cs="Arial"/>
          <w:b/>
          <w:i/>
          <w:sz w:val="24"/>
          <w:szCs w:val="24"/>
        </w:rPr>
        <w:t xml:space="preserve">Women’s ability to confer citizenship to their children from a foreign spouse: </w:t>
      </w:r>
      <w:r>
        <w:rPr>
          <w:rFonts w:ascii="Arial" w:eastAsia="Arial" w:hAnsi="Arial" w:cs="Arial"/>
          <w:sz w:val="24"/>
          <w:szCs w:val="24"/>
        </w:rPr>
        <w:t>Emirati women do not have the capacity to confer citizenship to their foreign spouses or children born out of marriage to a foreign husband, except by applicati</w:t>
      </w:r>
      <w:r>
        <w:rPr>
          <w:rFonts w:ascii="Arial" w:eastAsia="Arial" w:hAnsi="Arial" w:cs="Arial"/>
          <w:sz w:val="24"/>
          <w:szCs w:val="24"/>
        </w:rPr>
        <w:t>on and in accordance to specific conditions.</w:t>
      </w:r>
      <w:r>
        <w:rPr>
          <w:rFonts w:ascii="Arial" w:eastAsia="Arial" w:hAnsi="Arial" w:cs="Arial"/>
          <w:sz w:val="24"/>
          <w:szCs w:val="24"/>
          <w:vertAlign w:val="superscript"/>
        </w:rPr>
        <w:footnoteReference w:id="7"/>
      </w:r>
      <w:r>
        <w:rPr>
          <w:rFonts w:ascii="Arial" w:eastAsia="Arial" w:hAnsi="Arial" w:cs="Arial"/>
          <w:sz w:val="24"/>
          <w:szCs w:val="24"/>
        </w:rPr>
        <w:t xml:space="preserve"> Emirati men face no such conditions in conferring citizenship to their foreign spouses or children born to their foreign spouses.</w:t>
      </w:r>
    </w:p>
    <w:p w:rsidR="00300A2C" w:rsidRDefault="00300A2C">
      <w:pPr>
        <w:spacing w:after="0" w:line="240" w:lineRule="auto"/>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 provide data from the past 5 years on the number of non-citizen children</w:t>
      </w: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 xml:space="preserve">and stateless children of Emirati mothers. </w:t>
      </w:r>
    </w:p>
    <w:p w:rsidR="00300A2C" w:rsidRDefault="00300A2C">
      <w:pPr>
        <w:spacing w:after="0" w:line="240" w:lineRule="auto"/>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 provide data on the total number of applications submitted by Emirati mothers; the number of applications rejected, and why; and how long the application process typically takes. Recognising that extended application processes often cause hardship t</w:t>
      </w:r>
      <w:r>
        <w:rPr>
          <w:rFonts w:ascii="Arial" w:eastAsia="Arial" w:hAnsi="Arial" w:cs="Arial"/>
          <w:sz w:val="24"/>
          <w:szCs w:val="24"/>
        </w:rPr>
        <w:t>o the families in the meantime, during the time it takes for applications to be approved, what public services are available to Emirati mothers and their children?</w:t>
      </w: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 xml:space="preserve"> </w:t>
      </w: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 provide an update on the current efforts to amend the Nationality Law or constitutional provisions to afford all UAE citizens, men and women, equal rights to confer citizenship to their foreign spouses and children from marriage to a foreign spouse,</w:t>
      </w:r>
      <w:r>
        <w:rPr>
          <w:rFonts w:ascii="Arial" w:eastAsia="Arial" w:hAnsi="Arial" w:cs="Arial"/>
          <w:sz w:val="24"/>
          <w:szCs w:val="24"/>
        </w:rPr>
        <w:t xml:space="preserve"> and an expected timeline for adoption and entry into force. </w:t>
      </w:r>
    </w:p>
    <w:p w:rsidR="00300A2C" w:rsidRDefault="00300A2C">
      <w:pPr>
        <w:spacing w:after="0" w:line="240" w:lineRule="auto"/>
        <w:rPr>
          <w:rFonts w:ascii="Arial" w:eastAsia="Arial" w:hAnsi="Arial" w:cs="Arial"/>
          <w:sz w:val="24"/>
          <w:szCs w:val="24"/>
        </w:rPr>
      </w:pPr>
    </w:p>
    <w:p w:rsidR="00300A2C" w:rsidRDefault="001752C3">
      <w:pPr>
        <w:numPr>
          <w:ilvl w:val="0"/>
          <w:numId w:val="8"/>
        </w:numPr>
        <w:pBdr>
          <w:top w:val="nil"/>
          <w:left w:val="nil"/>
          <w:bottom w:val="nil"/>
          <w:right w:val="nil"/>
          <w:between w:val="nil"/>
        </w:pBdr>
        <w:spacing w:after="0" w:line="240" w:lineRule="auto"/>
        <w:rPr>
          <w:color w:val="000000"/>
          <w:sz w:val="24"/>
          <w:szCs w:val="24"/>
        </w:rPr>
      </w:pPr>
      <w:r>
        <w:rPr>
          <w:rFonts w:ascii="Arial" w:eastAsia="Arial" w:hAnsi="Arial" w:cs="Arial"/>
          <w:b/>
          <w:color w:val="000000"/>
          <w:sz w:val="24"/>
          <w:szCs w:val="24"/>
        </w:rPr>
        <w:t>Marriage</w:t>
      </w:r>
    </w:p>
    <w:p w:rsidR="00300A2C" w:rsidRDefault="00300A2C">
      <w:pPr>
        <w:pBdr>
          <w:top w:val="nil"/>
          <w:left w:val="nil"/>
          <w:bottom w:val="nil"/>
          <w:right w:val="nil"/>
          <w:between w:val="nil"/>
        </w:pBdr>
        <w:spacing w:after="0" w:line="240" w:lineRule="auto"/>
        <w:ind w:left="720"/>
        <w:rPr>
          <w:rFonts w:ascii="Arial" w:eastAsia="Arial" w:hAnsi="Arial" w:cs="Arial"/>
          <w:b/>
          <w:color w:val="000000"/>
          <w:sz w:val="24"/>
          <w:szCs w:val="24"/>
        </w:rPr>
      </w:pPr>
    </w:p>
    <w:p w:rsidR="00300A2C" w:rsidRDefault="001752C3">
      <w:pPr>
        <w:numPr>
          <w:ilvl w:val="0"/>
          <w:numId w:val="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i/>
          <w:color w:val="000000"/>
          <w:sz w:val="24"/>
          <w:szCs w:val="24"/>
        </w:rPr>
        <w:t>Capacity to enter marriage:</w:t>
      </w:r>
      <w:r>
        <w:rPr>
          <w:rFonts w:ascii="Arial" w:eastAsia="Arial" w:hAnsi="Arial" w:cs="Arial"/>
          <w:color w:val="000000"/>
          <w:sz w:val="24"/>
          <w:szCs w:val="24"/>
        </w:rPr>
        <w:t xml:space="preserve"> Regardless of her age, a </w:t>
      </w:r>
      <w:r>
        <w:rPr>
          <w:rFonts w:ascii="Arial" w:eastAsia="Arial" w:hAnsi="Arial" w:cs="Arial"/>
          <w:sz w:val="24"/>
          <w:szCs w:val="24"/>
        </w:rPr>
        <w:t>woman</w:t>
      </w:r>
      <w:r>
        <w:rPr>
          <w:rFonts w:ascii="Arial" w:eastAsia="Arial" w:hAnsi="Arial" w:cs="Arial"/>
          <w:color w:val="000000"/>
          <w:sz w:val="24"/>
          <w:szCs w:val="24"/>
        </w:rPr>
        <w:t xml:space="preserve"> must obtain the consent of a m</w:t>
      </w:r>
      <w:r>
        <w:rPr>
          <w:rFonts w:ascii="Arial" w:eastAsia="Arial" w:hAnsi="Arial" w:cs="Arial"/>
          <w:sz w:val="24"/>
          <w:szCs w:val="24"/>
        </w:rPr>
        <w:t>ale</w:t>
      </w:r>
      <w:r>
        <w:rPr>
          <w:rFonts w:ascii="Arial" w:eastAsia="Arial" w:hAnsi="Arial" w:cs="Arial"/>
          <w:color w:val="000000"/>
          <w:sz w:val="24"/>
          <w:szCs w:val="24"/>
        </w:rPr>
        <w:t xml:space="preserve"> guardian (</w:t>
      </w:r>
      <w:r>
        <w:rPr>
          <w:rFonts w:ascii="Arial" w:eastAsia="Arial" w:hAnsi="Arial" w:cs="Arial"/>
          <w:i/>
          <w:color w:val="000000"/>
          <w:sz w:val="24"/>
          <w:szCs w:val="24"/>
        </w:rPr>
        <w:t>wali</w:t>
      </w:r>
      <w:r>
        <w:rPr>
          <w:rFonts w:ascii="Arial" w:eastAsia="Arial" w:hAnsi="Arial" w:cs="Arial"/>
          <w:color w:val="000000"/>
          <w:sz w:val="24"/>
          <w:szCs w:val="24"/>
        </w:rPr>
        <w:t>) in order to enter into marriage</w:t>
      </w:r>
      <w:r>
        <w:rPr>
          <w:rFonts w:ascii="Arial" w:eastAsia="Arial" w:hAnsi="Arial" w:cs="Arial"/>
          <w:sz w:val="24"/>
          <w:szCs w:val="24"/>
        </w:rPr>
        <w:t>. I</w:t>
      </w:r>
      <w:r>
        <w:rPr>
          <w:rFonts w:ascii="Arial" w:eastAsia="Arial" w:hAnsi="Arial" w:cs="Arial"/>
          <w:color w:val="000000"/>
          <w:sz w:val="24"/>
          <w:szCs w:val="24"/>
        </w:rPr>
        <w:t xml:space="preserve">f the guardian does not consent to the marriage, the </w:t>
      </w:r>
      <w:r>
        <w:rPr>
          <w:rFonts w:ascii="Arial" w:eastAsia="Arial" w:hAnsi="Arial" w:cs="Arial"/>
          <w:sz w:val="24"/>
          <w:szCs w:val="24"/>
        </w:rPr>
        <w:t>woman may only enter into marriage after seeking authorization of a judge</w:t>
      </w:r>
      <w:r>
        <w:rPr>
          <w:rFonts w:ascii="Arial" w:eastAsia="Arial" w:hAnsi="Arial" w:cs="Arial"/>
          <w:color w:val="000000"/>
          <w:sz w:val="24"/>
          <w:szCs w:val="24"/>
        </w:rPr>
        <w:t>.</w:t>
      </w:r>
      <w:r>
        <w:rPr>
          <w:rFonts w:ascii="Arial" w:eastAsia="Arial" w:hAnsi="Arial" w:cs="Arial"/>
          <w:color w:val="000000"/>
          <w:sz w:val="24"/>
          <w:szCs w:val="24"/>
          <w:vertAlign w:val="superscript"/>
        </w:rPr>
        <w:footnoteReference w:id="8"/>
      </w:r>
    </w:p>
    <w:p w:rsidR="00300A2C" w:rsidRDefault="00300A2C">
      <w:pPr>
        <w:pBdr>
          <w:top w:val="nil"/>
          <w:left w:val="nil"/>
          <w:bottom w:val="nil"/>
          <w:right w:val="nil"/>
          <w:between w:val="nil"/>
        </w:pBdr>
        <w:spacing w:after="0" w:line="240" w:lineRule="auto"/>
        <w:ind w:left="720"/>
        <w:rPr>
          <w:rFonts w:ascii="Arial" w:eastAsia="Arial" w:hAnsi="Arial" w:cs="Arial"/>
          <w:color w:val="000000"/>
          <w:sz w:val="24"/>
          <w:szCs w:val="24"/>
        </w:rPr>
      </w:pPr>
    </w:p>
    <w:p w:rsidR="00300A2C" w:rsidRDefault="001752C3">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Please provide statistics from the past 5 years on the number of </w:t>
      </w:r>
      <w:r>
        <w:rPr>
          <w:rFonts w:ascii="Arial" w:eastAsia="Arial" w:hAnsi="Arial" w:cs="Arial"/>
          <w:sz w:val="24"/>
          <w:szCs w:val="24"/>
        </w:rPr>
        <w:t>women</w:t>
      </w:r>
      <w:r>
        <w:rPr>
          <w:rFonts w:ascii="Arial" w:eastAsia="Arial" w:hAnsi="Arial" w:cs="Arial"/>
          <w:color w:val="000000"/>
          <w:sz w:val="24"/>
          <w:szCs w:val="24"/>
        </w:rPr>
        <w:t xml:space="preserve"> </w:t>
      </w:r>
      <w:r>
        <w:rPr>
          <w:rFonts w:ascii="Arial" w:eastAsia="Arial" w:hAnsi="Arial" w:cs="Arial"/>
          <w:sz w:val="24"/>
          <w:szCs w:val="24"/>
        </w:rPr>
        <w:t xml:space="preserve">who filed in court seeking </w:t>
      </w:r>
      <w:r>
        <w:rPr>
          <w:rFonts w:ascii="Arial" w:eastAsia="Arial" w:hAnsi="Arial" w:cs="Arial"/>
          <w:color w:val="000000"/>
          <w:sz w:val="24"/>
          <w:szCs w:val="24"/>
        </w:rPr>
        <w:t xml:space="preserve">authorization to marry due to </w:t>
      </w:r>
      <w:r>
        <w:rPr>
          <w:rFonts w:ascii="Arial" w:eastAsia="Arial" w:hAnsi="Arial" w:cs="Arial"/>
          <w:sz w:val="24"/>
          <w:szCs w:val="24"/>
        </w:rPr>
        <w:t xml:space="preserve">guardians’ refusal to </w:t>
      </w:r>
      <w:r>
        <w:rPr>
          <w:rFonts w:ascii="Arial" w:eastAsia="Arial" w:hAnsi="Arial" w:cs="Arial"/>
          <w:color w:val="000000"/>
          <w:sz w:val="24"/>
          <w:szCs w:val="24"/>
        </w:rPr>
        <w:t>grant consent</w:t>
      </w:r>
      <w:r>
        <w:rPr>
          <w:rFonts w:ascii="Arial" w:eastAsia="Arial" w:hAnsi="Arial" w:cs="Arial"/>
          <w:sz w:val="24"/>
          <w:szCs w:val="24"/>
        </w:rPr>
        <w:t xml:space="preserve"> and the number of requests granted or denied, and for what reasons.</w:t>
      </w:r>
    </w:p>
    <w:p w:rsidR="00300A2C" w:rsidRDefault="00300A2C">
      <w:pPr>
        <w:pBdr>
          <w:top w:val="nil"/>
          <w:left w:val="nil"/>
          <w:bottom w:val="nil"/>
          <w:right w:val="nil"/>
          <w:between w:val="nil"/>
        </w:pBdr>
        <w:spacing w:after="0" w:line="240" w:lineRule="auto"/>
        <w:ind w:firstLine="720"/>
        <w:rPr>
          <w:rFonts w:ascii="Arial" w:eastAsia="Arial" w:hAnsi="Arial" w:cs="Arial"/>
          <w:color w:val="000000"/>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 provide information on whether the UAE government is considering any amendments to the law to ensure that all adul</w:t>
      </w:r>
      <w:r>
        <w:rPr>
          <w:rFonts w:ascii="Arial" w:eastAsia="Arial" w:hAnsi="Arial" w:cs="Arial"/>
          <w:sz w:val="24"/>
          <w:szCs w:val="24"/>
        </w:rPr>
        <w:t>t women have full legal capacity to enter into marriage.</w:t>
      </w:r>
    </w:p>
    <w:p w:rsidR="00300A2C" w:rsidRDefault="00300A2C">
      <w:pPr>
        <w:spacing w:after="0" w:line="240" w:lineRule="auto"/>
        <w:ind w:firstLine="720"/>
        <w:rPr>
          <w:rFonts w:ascii="Arial" w:eastAsia="Arial" w:hAnsi="Arial" w:cs="Arial"/>
          <w:sz w:val="24"/>
          <w:szCs w:val="24"/>
        </w:rPr>
      </w:pPr>
    </w:p>
    <w:p w:rsidR="00300A2C" w:rsidRDefault="001752C3">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i/>
          <w:color w:val="000000"/>
          <w:sz w:val="24"/>
          <w:szCs w:val="24"/>
        </w:rPr>
        <w:t xml:space="preserve">Child marriage: </w:t>
      </w:r>
      <w:r>
        <w:rPr>
          <w:rFonts w:ascii="Arial" w:eastAsia="Arial" w:hAnsi="Arial" w:cs="Arial"/>
          <w:color w:val="000000"/>
          <w:sz w:val="24"/>
          <w:szCs w:val="24"/>
        </w:rPr>
        <w:t>The P</w:t>
      </w:r>
      <w:r>
        <w:rPr>
          <w:rFonts w:ascii="Arial" w:eastAsia="Arial" w:hAnsi="Arial" w:cs="Arial"/>
          <w:sz w:val="24"/>
          <w:szCs w:val="24"/>
        </w:rPr>
        <w:t>ersonal Status Law</w:t>
      </w:r>
      <w:r>
        <w:rPr>
          <w:rFonts w:ascii="Arial" w:eastAsia="Arial" w:hAnsi="Arial" w:cs="Arial"/>
          <w:color w:val="000000"/>
          <w:sz w:val="24"/>
          <w:szCs w:val="24"/>
        </w:rPr>
        <w:t xml:space="preserve"> establishes a minimum age of marriage of 18 years of age, but </w:t>
      </w:r>
      <w:r>
        <w:rPr>
          <w:rFonts w:ascii="Arial" w:eastAsia="Arial" w:hAnsi="Arial" w:cs="Arial"/>
          <w:sz w:val="24"/>
          <w:szCs w:val="24"/>
        </w:rPr>
        <w:t>continues to</w:t>
      </w:r>
      <w:r>
        <w:rPr>
          <w:rFonts w:ascii="Arial" w:eastAsia="Arial" w:hAnsi="Arial" w:cs="Arial"/>
          <w:color w:val="000000"/>
          <w:sz w:val="24"/>
          <w:szCs w:val="24"/>
        </w:rPr>
        <w:t xml:space="preserve"> allow for judicially granted exceptions to the minimum age.</w:t>
      </w:r>
      <w:r>
        <w:rPr>
          <w:rFonts w:ascii="Arial" w:eastAsia="Arial" w:hAnsi="Arial" w:cs="Arial"/>
          <w:color w:val="000000"/>
          <w:sz w:val="24"/>
          <w:szCs w:val="24"/>
          <w:vertAlign w:val="superscript"/>
        </w:rPr>
        <w:footnoteReference w:id="9"/>
      </w:r>
      <w:r>
        <w:rPr>
          <w:rFonts w:ascii="Arial" w:eastAsia="Arial" w:hAnsi="Arial" w:cs="Arial"/>
          <w:color w:val="000000"/>
          <w:sz w:val="24"/>
          <w:szCs w:val="24"/>
        </w:rPr>
        <w:t xml:space="preserve"> </w:t>
      </w:r>
    </w:p>
    <w:p w:rsidR="00300A2C" w:rsidRDefault="00300A2C">
      <w:pPr>
        <w:spacing w:after="0" w:line="240" w:lineRule="auto"/>
        <w:ind w:left="720"/>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 provide data from the past 5 years on the number of exceptions to the minimum age of 18 that have been judicially granted, including data on the ages of the spouses and how long child marriages typically last (i.e. the divorce rate for marriages whe</w:t>
      </w:r>
      <w:r>
        <w:rPr>
          <w:rFonts w:ascii="Arial" w:eastAsia="Arial" w:hAnsi="Arial" w:cs="Arial"/>
          <w:sz w:val="24"/>
          <w:szCs w:val="24"/>
        </w:rPr>
        <w:t>re at least one party was under the age of 18 at the time of the marriage). Please also provide information on the specific criteria that judges consider when granting such exceptions.</w:t>
      </w:r>
    </w:p>
    <w:p w:rsidR="00300A2C" w:rsidRDefault="00300A2C">
      <w:pPr>
        <w:spacing w:after="0" w:line="240" w:lineRule="auto"/>
        <w:ind w:firstLine="720"/>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 provide information on any ongoing efforts to amend the current legal framework to outlaw child marriage and bring UAE into conformity with its international obligations.</w:t>
      </w:r>
    </w:p>
    <w:p w:rsidR="00300A2C" w:rsidRDefault="00300A2C">
      <w:pPr>
        <w:spacing w:after="0" w:line="240" w:lineRule="auto"/>
        <w:ind w:left="360"/>
        <w:rPr>
          <w:rFonts w:ascii="Arial" w:eastAsia="Arial" w:hAnsi="Arial" w:cs="Arial"/>
          <w:sz w:val="24"/>
          <w:szCs w:val="24"/>
        </w:rPr>
      </w:pPr>
    </w:p>
    <w:p w:rsidR="00300A2C" w:rsidRDefault="001752C3">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i/>
          <w:color w:val="000000"/>
          <w:sz w:val="24"/>
          <w:szCs w:val="24"/>
        </w:rPr>
        <w:t xml:space="preserve">Polygamous </w:t>
      </w:r>
      <w:r>
        <w:rPr>
          <w:rFonts w:ascii="Arial" w:eastAsia="Arial" w:hAnsi="Arial" w:cs="Arial"/>
          <w:b/>
          <w:i/>
          <w:sz w:val="24"/>
          <w:szCs w:val="24"/>
        </w:rPr>
        <w:t>m</w:t>
      </w:r>
      <w:r>
        <w:rPr>
          <w:rFonts w:ascii="Arial" w:eastAsia="Arial" w:hAnsi="Arial" w:cs="Arial"/>
          <w:b/>
          <w:i/>
          <w:color w:val="000000"/>
          <w:sz w:val="24"/>
          <w:szCs w:val="24"/>
        </w:rPr>
        <w:t>arriages:</w:t>
      </w:r>
      <w:r>
        <w:rPr>
          <w:rFonts w:ascii="Arial" w:eastAsia="Arial" w:hAnsi="Arial" w:cs="Arial"/>
          <w:color w:val="000000"/>
          <w:sz w:val="24"/>
          <w:szCs w:val="24"/>
        </w:rPr>
        <w:t xml:space="preserve"> UAE law permits a man to marry up to four wives at one </w:t>
      </w:r>
      <w:r>
        <w:rPr>
          <w:rFonts w:ascii="Arial" w:eastAsia="Arial" w:hAnsi="Arial" w:cs="Arial"/>
          <w:color w:val="000000"/>
          <w:sz w:val="24"/>
          <w:szCs w:val="24"/>
        </w:rPr>
        <w:t>time</w:t>
      </w:r>
      <w:r>
        <w:rPr>
          <w:rFonts w:ascii="Arial" w:eastAsia="Arial" w:hAnsi="Arial" w:cs="Arial"/>
          <w:sz w:val="24"/>
          <w:szCs w:val="24"/>
        </w:rPr>
        <w:t>. A man</w:t>
      </w:r>
      <w:r>
        <w:rPr>
          <w:rFonts w:ascii="Arial" w:eastAsia="Arial" w:hAnsi="Arial" w:cs="Arial"/>
          <w:color w:val="000000"/>
          <w:sz w:val="24"/>
          <w:szCs w:val="24"/>
        </w:rPr>
        <w:t xml:space="preserve"> is not required to seek the permission of the court or of his existing</w:t>
      </w:r>
      <w:r>
        <w:rPr>
          <w:rFonts w:ascii="Arial" w:eastAsia="Arial" w:hAnsi="Arial" w:cs="Arial"/>
          <w:sz w:val="24"/>
          <w:szCs w:val="24"/>
        </w:rPr>
        <w:t xml:space="preserve"> wife, nor is there a notification requirement to the existing wife before</w:t>
      </w:r>
      <w:r>
        <w:rPr>
          <w:rFonts w:ascii="Arial" w:eastAsia="Arial" w:hAnsi="Arial" w:cs="Arial"/>
          <w:color w:val="000000"/>
          <w:sz w:val="24"/>
          <w:szCs w:val="24"/>
        </w:rPr>
        <w:t xml:space="preserve"> </w:t>
      </w:r>
      <w:r>
        <w:rPr>
          <w:rFonts w:ascii="Arial" w:eastAsia="Arial" w:hAnsi="Arial" w:cs="Arial"/>
          <w:sz w:val="24"/>
          <w:szCs w:val="24"/>
        </w:rPr>
        <w:t xml:space="preserve">a man enters into a </w:t>
      </w:r>
      <w:r>
        <w:rPr>
          <w:rFonts w:ascii="Arial" w:eastAsia="Arial" w:hAnsi="Arial" w:cs="Arial"/>
          <w:color w:val="000000"/>
          <w:sz w:val="24"/>
          <w:szCs w:val="24"/>
        </w:rPr>
        <w:t>polygamous marriage</w:t>
      </w:r>
      <w:r>
        <w:rPr>
          <w:rFonts w:ascii="Arial" w:eastAsia="Arial" w:hAnsi="Arial" w:cs="Arial"/>
          <w:sz w:val="24"/>
          <w:szCs w:val="24"/>
        </w:rPr>
        <w:t>.</w:t>
      </w:r>
      <w:r>
        <w:rPr>
          <w:rFonts w:ascii="Arial" w:eastAsia="Arial" w:hAnsi="Arial" w:cs="Arial"/>
          <w:color w:val="000000"/>
          <w:sz w:val="24"/>
          <w:szCs w:val="24"/>
        </w:rPr>
        <w:t xml:space="preserve">  </w:t>
      </w:r>
    </w:p>
    <w:p w:rsidR="00300A2C" w:rsidRDefault="00300A2C">
      <w:pPr>
        <w:spacing w:after="0" w:line="240" w:lineRule="auto"/>
        <w:ind w:firstLine="360"/>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 provide data over the past 5 years for the numbe</w:t>
      </w:r>
      <w:r>
        <w:rPr>
          <w:rFonts w:ascii="Arial" w:eastAsia="Arial" w:hAnsi="Arial" w:cs="Arial"/>
          <w:sz w:val="24"/>
          <w:szCs w:val="24"/>
        </w:rPr>
        <w:t xml:space="preserve">r of men currently in polygamous marriages in the UAE. Please provide data over the last 5 years of women who have requested a divorce in court because their husbands have entered into a polygamous marriage, and the outcomes of such divorce cases. </w:t>
      </w:r>
    </w:p>
    <w:p w:rsidR="00300A2C" w:rsidRDefault="00300A2C">
      <w:pPr>
        <w:spacing w:after="0" w:line="240" w:lineRule="auto"/>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w:t>
      </w:r>
      <w:r>
        <w:rPr>
          <w:rFonts w:ascii="Arial" w:eastAsia="Arial" w:hAnsi="Arial" w:cs="Arial"/>
          <w:sz w:val="24"/>
          <w:szCs w:val="24"/>
        </w:rPr>
        <w:t xml:space="preserve"> also provide information on whether the UAE is considering amending the law to prohibit polygamous marriages or regulate them in a manner that protects women from being coerced into a polygamous marriage arrangement.</w:t>
      </w:r>
    </w:p>
    <w:p w:rsidR="00300A2C" w:rsidRDefault="00300A2C">
      <w:pPr>
        <w:spacing w:after="0" w:line="240" w:lineRule="auto"/>
        <w:ind w:left="720"/>
        <w:rPr>
          <w:rFonts w:ascii="Arial" w:eastAsia="Arial" w:hAnsi="Arial" w:cs="Arial"/>
          <w:sz w:val="24"/>
          <w:szCs w:val="24"/>
        </w:rPr>
      </w:pPr>
    </w:p>
    <w:p w:rsidR="00300A2C" w:rsidRDefault="001752C3">
      <w:pPr>
        <w:numPr>
          <w:ilvl w:val="0"/>
          <w:numId w:val="8"/>
        </w:numPr>
        <w:pBdr>
          <w:top w:val="nil"/>
          <w:left w:val="nil"/>
          <w:bottom w:val="nil"/>
          <w:right w:val="nil"/>
          <w:between w:val="nil"/>
        </w:pBdr>
        <w:spacing w:after="0" w:line="240" w:lineRule="auto"/>
        <w:rPr>
          <w:color w:val="000000"/>
          <w:sz w:val="24"/>
          <w:szCs w:val="24"/>
        </w:rPr>
      </w:pPr>
      <w:r>
        <w:rPr>
          <w:rFonts w:ascii="Arial" w:eastAsia="Arial" w:hAnsi="Arial" w:cs="Arial"/>
          <w:b/>
          <w:color w:val="000000"/>
          <w:sz w:val="24"/>
          <w:szCs w:val="24"/>
        </w:rPr>
        <w:t>Divorce rights</w:t>
      </w:r>
    </w:p>
    <w:p w:rsidR="00300A2C" w:rsidRDefault="00300A2C">
      <w:pPr>
        <w:pBdr>
          <w:top w:val="nil"/>
          <w:left w:val="nil"/>
          <w:bottom w:val="nil"/>
          <w:right w:val="nil"/>
          <w:between w:val="nil"/>
        </w:pBdr>
        <w:spacing w:after="0" w:line="240" w:lineRule="auto"/>
        <w:ind w:left="720"/>
        <w:rPr>
          <w:rFonts w:ascii="Arial" w:eastAsia="Arial" w:hAnsi="Arial" w:cs="Arial"/>
          <w:color w:val="000000"/>
          <w:sz w:val="24"/>
          <w:szCs w:val="24"/>
        </w:rPr>
      </w:pPr>
    </w:p>
    <w:p w:rsidR="00300A2C" w:rsidRDefault="001752C3">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i/>
          <w:color w:val="000000"/>
          <w:sz w:val="24"/>
          <w:szCs w:val="24"/>
        </w:rPr>
        <w:t xml:space="preserve">Unequal </w:t>
      </w:r>
      <w:r>
        <w:rPr>
          <w:rFonts w:ascii="Arial" w:eastAsia="Arial" w:hAnsi="Arial" w:cs="Arial"/>
          <w:b/>
          <w:i/>
          <w:sz w:val="24"/>
          <w:szCs w:val="24"/>
        </w:rPr>
        <w:t>access</w:t>
      </w:r>
      <w:r>
        <w:rPr>
          <w:rFonts w:ascii="Arial" w:eastAsia="Arial" w:hAnsi="Arial" w:cs="Arial"/>
          <w:b/>
          <w:i/>
          <w:color w:val="000000"/>
          <w:sz w:val="24"/>
          <w:szCs w:val="24"/>
        </w:rPr>
        <w:t xml:space="preserve"> to divorce: </w:t>
      </w:r>
      <w:r>
        <w:rPr>
          <w:rFonts w:ascii="Arial" w:eastAsia="Arial" w:hAnsi="Arial" w:cs="Arial"/>
          <w:color w:val="000000"/>
          <w:sz w:val="24"/>
          <w:szCs w:val="24"/>
        </w:rPr>
        <w:t>Recent amendments to the</w:t>
      </w:r>
      <w:r>
        <w:rPr>
          <w:rFonts w:ascii="Arial" w:eastAsia="Arial" w:hAnsi="Arial" w:cs="Arial"/>
          <w:sz w:val="24"/>
          <w:szCs w:val="24"/>
        </w:rPr>
        <w:t xml:space="preserve"> Personal Status Law</w:t>
      </w:r>
      <w:r>
        <w:rPr>
          <w:rFonts w:ascii="Arial" w:eastAsia="Arial" w:hAnsi="Arial" w:cs="Arial"/>
          <w:color w:val="000000"/>
          <w:sz w:val="24"/>
          <w:szCs w:val="24"/>
        </w:rPr>
        <w:t xml:space="preserve"> require a divorce to be registered in court and the judge must authenticate it in the presence of two witnesses, and the party at fault may be </w:t>
      </w:r>
      <w:r>
        <w:rPr>
          <w:rFonts w:ascii="Arial" w:eastAsia="Arial" w:hAnsi="Arial" w:cs="Arial"/>
          <w:sz w:val="24"/>
          <w:szCs w:val="24"/>
        </w:rPr>
        <w:t>asked</w:t>
      </w:r>
      <w:r>
        <w:rPr>
          <w:rFonts w:ascii="Arial" w:eastAsia="Arial" w:hAnsi="Arial" w:cs="Arial"/>
          <w:color w:val="000000"/>
          <w:sz w:val="24"/>
          <w:szCs w:val="24"/>
        </w:rPr>
        <w:t xml:space="preserve"> to pay financial compensation to the other party.</w:t>
      </w:r>
      <w:r>
        <w:rPr>
          <w:rFonts w:ascii="Arial" w:eastAsia="Arial" w:hAnsi="Arial" w:cs="Arial"/>
          <w:color w:val="000000"/>
          <w:sz w:val="24"/>
          <w:szCs w:val="24"/>
          <w:vertAlign w:val="superscript"/>
        </w:rPr>
        <w:footnoteReference w:id="10"/>
      </w:r>
      <w:r>
        <w:rPr>
          <w:rFonts w:ascii="Arial" w:eastAsia="Arial" w:hAnsi="Arial" w:cs="Arial"/>
          <w:color w:val="000000"/>
          <w:sz w:val="24"/>
          <w:szCs w:val="24"/>
        </w:rPr>
        <w:t xml:space="preserve"> The </w:t>
      </w:r>
      <w:r>
        <w:rPr>
          <w:rFonts w:ascii="Arial" w:eastAsia="Arial" w:hAnsi="Arial" w:cs="Arial"/>
          <w:sz w:val="24"/>
          <w:szCs w:val="24"/>
        </w:rPr>
        <w:t>law continues to</w:t>
      </w:r>
      <w:r>
        <w:rPr>
          <w:rFonts w:ascii="Arial" w:eastAsia="Arial" w:hAnsi="Arial" w:cs="Arial"/>
          <w:color w:val="000000"/>
          <w:sz w:val="24"/>
          <w:szCs w:val="24"/>
        </w:rPr>
        <w:t xml:space="preserve"> grant a man the right to initiate a divorce without cause, whereas a woman must prove harm in court in </w:t>
      </w:r>
      <w:r>
        <w:rPr>
          <w:rFonts w:ascii="Arial" w:eastAsia="Arial" w:hAnsi="Arial" w:cs="Arial"/>
          <w:sz w:val="24"/>
          <w:szCs w:val="24"/>
        </w:rPr>
        <w:t xml:space="preserve">order </w:t>
      </w:r>
      <w:r>
        <w:rPr>
          <w:rFonts w:ascii="Arial" w:eastAsia="Arial" w:hAnsi="Arial" w:cs="Arial"/>
          <w:color w:val="000000"/>
          <w:sz w:val="24"/>
          <w:szCs w:val="24"/>
        </w:rPr>
        <w:t>to obtain a divorce.</w:t>
      </w:r>
      <w:r>
        <w:rPr>
          <w:rFonts w:ascii="Arial" w:eastAsia="Arial" w:hAnsi="Arial" w:cs="Arial"/>
          <w:color w:val="000000"/>
          <w:sz w:val="24"/>
          <w:szCs w:val="24"/>
          <w:vertAlign w:val="superscript"/>
        </w:rPr>
        <w:footnoteReference w:id="11"/>
      </w:r>
      <w:r>
        <w:rPr>
          <w:rFonts w:ascii="Arial" w:eastAsia="Arial" w:hAnsi="Arial" w:cs="Arial"/>
          <w:color w:val="000000"/>
          <w:sz w:val="24"/>
          <w:szCs w:val="24"/>
        </w:rPr>
        <w:t xml:space="preserve"> </w:t>
      </w:r>
    </w:p>
    <w:p w:rsidR="00300A2C" w:rsidRDefault="00300A2C">
      <w:pPr>
        <w:spacing w:after="0" w:line="240" w:lineRule="auto"/>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 xml:space="preserve">Please provide information on the standards of proof required of a woman to show harm or sufficient </w:t>
      </w:r>
      <w:r>
        <w:rPr>
          <w:rFonts w:ascii="Arial" w:eastAsia="Arial" w:hAnsi="Arial" w:cs="Arial"/>
          <w:sz w:val="24"/>
          <w:szCs w:val="24"/>
        </w:rPr>
        <w:t xml:space="preserve">basis for divorce in court, especially when there is non-physical harm. </w:t>
      </w:r>
    </w:p>
    <w:p w:rsidR="00300A2C" w:rsidRDefault="00300A2C">
      <w:pPr>
        <w:spacing w:after="0" w:line="240" w:lineRule="auto"/>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 provide data for the past 5 years of the number of women who have attempted to obtain divorce in court and the outcome of these cases. Please clarify whether the state plans t</w:t>
      </w:r>
      <w:r>
        <w:rPr>
          <w:rFonts w:ascii="Arial" w:eastAsia="Arial" w:hAnsi="Arial" w:cs="Arial"/>
          <w:sz w:val="24"/>
          <w:szCs w:val="24"/>
        </w:rPr>
        <w:t>o take any steps to address the inequality in access to divorce between men and women in the law.</w:t>
      </w: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 xml:space="preserve"> </w:t>
      </w:r>
    </w:p>
    <w:p w:rsidR="00300A2C" w:rsidRDefault="001752C3">
      <w:pPr>
        <w:numPr>
          <w:ilvl w:val="0"/>
          <w:numId w:val="8"/>
        </w:numPr>
        <w:pBdr>
          <w:top w:val="nil"/>
          <w:left w:val="nil"/>
          <w:bottom w:val="nil"/>
          <w:right w:val="nil"/>
          <w:between w:val="nil"/>
        </w:pBdr>
        <w:spacing w:after="0" w:line="240" w:lineRule="auto"/>
        <w:rPr>
          <w:color w:val="000000"/>
          <w:sz w:val="24"/>
          <w:szCs w:val="24"/>
        </w:rPr>
      </w:pPr>
      <w:r>
        <w:rPr>
          <w:rFonts w:ascii="Arial" w:eastAsia="Arial" w:hAnsi="Arial" w:cs="Arial"/>
          <w:b/>
          <w:color w:val="000000"/>
          <w:sz w:val="24"/>
          <w:szCs w:val="24"/>
        </w:rPr>
        <w:t>Custody and guardianship of children</w:t>
      </w:r>
    </w:p>
    <w:p w:rsidR="00300A2C" w:rsidRDefault="00300A2C">
      <w:pPr>
        <w:pBdr>
          <w:top w:val="nil"/>
          <w:left w:val="nil"/>
          <w:bottom w:val="nil"/>
          <w:right w:val="nil"/>
          <w:between w:val="nil"/>
        </w:pBdr>
        <w:spacing w:after="0" w:line="240" w:lineRule="auto"/>
        <w:ind w:left="720"/>
        <w:rPr>
          <w:rFonts w:ascii="Arial" w:eastAsia="Arial" w:hAnsi="Arial" w:cs="Arial"/>
          <w:color w:val="000000"/>
          <w:sz w:val="24"/>
          <w:szCs w:val="24"/>
        </w:rPr>
      </w:pPr>
    </w:p>
    <w:p w:rsidR="00300A2C" w:rsidRDefault="001752C3">
      <w:pPr>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i/>
          <w:color w:val="000000"/>
          <w:sz w:val="24"/>
          <w:szCs w:val="24"/>
        </w:rPr>
        <w:t xml:space="preserve">Unequal custody and guardianship rights: </w:t>
      </w:r>
      <w:r>
        <w:rPr>
          <w:rFonts w:ascii="Arial" w:eastAsia="Arial" w:hAnsi="Arial" w:cs="Arial"/>
          <w:color w:val="000000"/>
          <w:sz w:val="24"/>
          <w:szCs w:val="24"/>
        </w:rPr>
        <w:t xml:space="preserve">During marriage, both parents have custodial rights over their children. In the event of divorce, a mother loses custody of her children </w:t>
      </w:r>
      <w:r>
        <w:rPr>
          <w:rFonts w:ascii="Arial" w:eastAsia="Arial" w:hAnsi="Arial" w:cs="Arial"/>
          <w:sz w:val="24"/>
          <w:szCs w:val="24"/>
        </w:rPr>
        <w:t xml:space="preserve">by default </w:t>
      </w:r>
      <w:r>
        <w:rPr>
          <w:rFonts w:ascii="Arial" w:eastAsia="Arial" w:hAnsi="Arial" w:cs="Arial"/>
          <w:color w:val="000000"/>
          <w:sz w:val="24"/>
          <w:szCs w:val="24"/>
        </w:rPr>
        <w:t xml:space="preserve">when her daughter reaches 13 and her son reaches 11, unless a </w:t>
      </w:r>
      <w:r>
        <w:rPr>
          <w:rFonts w:ascii="Arial" w:eastAsia="Arial" w:hAnsi="Arial" w:cs="Arial"/>
          <w:sz w:val="24"/>
          <w:szCs w:val="24"/>
        </w:rPr>
        <w:t>judge determines otherwise</w:t>
      </w:r>
      <w:r>
        <w:rPr>
          <w:rFonts w:ascii="Arial" w:eastAsia="Arial" w:hAnsi="Arial" w:cs="Arial"/>
          <w:color w:val="000000"/>
          <w:sz w:val="24"/>
          <w:szCs w:val="24"/>
        </w:rPr>
        <w:t>.</w:t>
      </w:r>
      <w:r>
        <w:rPr>
          <w:rFonts w:ascii="Arial" w:eastAsia="Arial" w:hAnsi="Arial" w:cs="Arial"/>
          <w:color w:val="000000"/>
          <w:sz w:val="24"/>
          <w:szCs w:val="24"/>
          <w:vertAlign w:val="superscript"/>
        </w:rPr>
        <w:footnoteReference w:id="12"/>
      </w:r>
      <w:r>
        <w:rPr>
          <w:rFonts w:ascii="Arial" w:eastAsia="Arial" w:hAnsi="Arial" w:cs="Arial"/>
          <w:color w:val="000000"/>
          <w:sz w:val="24"/>
          <w:szCs w:val="24"/>
        </w:rPr>
        <w:t xml:space="preserve"> If a divorced wom</w:t>
      </w:r>
      <w:r>
        <w:rPr>
          <w:rFonts w:ascii="Arial" w:eastAsia="Arial" w:hAnsi="Arial" w:cs="Arial"/>
          <w:color w:val="000000"/>
          <w:sz w:val="24"/>
          <w:szCs w:val="24"/>
        </w:rPr>
        <w:t>an remarries, she automatically loses custody of her children, unless a judge determines otherwise.</w:t>
      </w:r>
      <w:r>
        <w:rPr>
          <w:rFonts w:ascii="Arial" w:eastAsia="Arial" w:hAnsi="Arial" w:cs="Arial"/>
          <w:color w:val="000000"/>
          <w:sz w:val="24"/>
          <w:szCs w:val="24"/>
          <w:vertAlign w:val="superscript"/>
        </w:rPr>
        <w:footnoteReference w:id="13"/>
      </w:r>
      <w:r>
        <w:rPr>
          <w:rFonts w:ascii="Arial" w:eastAsia="Arial" w:hAnsi="Arial" w:cs="Arial"/>
          <w:color w:val="000000"/>
          <w:sz w:val="24"/>
          <w:szCs w:val="24"/>
        </w:rPr>
        <w:t xml:space="preserve"> There is no similar provision in the law for fathers who remarry. Guardianship of the children rests with the father by default, irrespective of custody ar</w:t>
      </w:r>
      <w:r>
        <w:rPr>
          <w:rFonts w:ascii="Arial" w:eastAsia="Arial" w:hAnsi="Arial" w:cs="Arial"/>
          <w:color w:val="000000"/>
          <w:sz w:val="24"/>
          <w:szCs w:val="24"/>
        </w:rPr>
        <w:t>rangements.</w:t>
      </w:r>
    </w:p>
    <w:p w:rsidR="00300A2C" w:rsidRDefault="00300A2C">
      <w:pPr>
        <w:spacing w:after="0" w:line="240" w:lineRule="auto"/>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 xml:space="preserve">Please provide data and information on the number of divorced women with children in the past 5 years, and the percentage of divorced women awarded custody of children older than the default age limitations set in the law. Please provide data </w:t>
      </w:r>
      <w:r>
        <w:rPr>
          <w:rFonts w:ascii="Arial" w:eastAsia="Arial" w:hAnsi="Arial" w:cs="Arial"/>
          <w:sz w:val="24"/>
          <w:szCs w:val="24"/>
        </w:rPr>
        <w:t>from the past 5 years on the percentage of divorced women with children who lose custody of their children upon remarriage.</w:t>
      </w:r>
    </w:p>
    <w:p w:rsidR="00300A2C" w:rsidRDefault="00300A2C">
      <w:pPr>
        <w:spacing w:after="0" w:line="240" w:lineRule="auto"/>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 provide information on whether the State party is considering granting mothers equal rights to legal guardianship of their c</w:t>
      </w:r>
      <w:r>
        <w:rPr>
          <w:rFonts w:ascii="Arial" w:eastAsia="Arial" w:hAnsi="Arial" w:cs="Arial"/>
          <w:sz w:val="24"/>
          <w:szCs w:val="24"/>
        </w:rPr>
        <w:t xml:space="preserve">hildren. </w:t>
      </w:r>
    </w:p>
    <w:p w:rsidR="00300A2C" w:rsidRDefault="00300A2C">
      <w:pPr>
        <w:spacing w:after="0" w:line="240" w:lineRule="auto"/>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 xml:space="preserve">Please identify how judges define the best interests of the child in custody disputes. Please also provide information on any current efforts to standardize criteria that define the best interests of the child. </w:t>
      </w:r>
    </w:p>
    <w:p w:rsidR="00300A2C" w:rsidRDefault="00300A2C">
      <w:pPr>
        <w:spacing w:after="0" w:line="240" w:lineRule="auto"/>
        <w:rPr>
          <w:rFonts w:ascii="Arial" w:eastAsia="Arial" w:hAnsi="Arial" w:cs="Arial"/>
          <w:sz w:val="24"/>
          <w:szCs w:val="24"/>
        </w:rPr>
      </w:pPr>
    </w:p>
    <w:p w:rsidR="00300A2C" w:rsidRDefault="001752C3">
      <w:pPr>
        <w:numPr>
          <w:ilvl w:val="0"/>
          <w:numId w:val="8"/>
        </w:numPr>
        <w:spacing w:after="0" w:line="240" w:lineRule="auto"/>
        <w:rPr>
          <w:sz w:val="24"/>
          <w:szCs w:val="24"/>
        </w:rPr>
      </w:pPr>
      <w:r>
        <w:rPr>
          <w:rFonts w:ascii="Arial" w:eastAsia="Arial" w:hAnsi="Arial" w:cs="Arial"/>
          <w:b/>
          <w:sz w:val="24"/>
          <w:szCs w:val="24"/>
        </w:rPr>
        <w:t>State party Reservations to CEDA</w:t>
      </w:r>
      <w:r>
        <w:rPr>
          <w:rFonts w:ascii="Arial" w:eastAsia="Arial" w:hAnsi="Arial" w:cs="Arial"/>
          <w:b/>
          <w:sz w:val="24"/>
          <w:szCs w:val="24"/>
        </w:rPr>
        <w:t>W</w:t>
      </w:r>
    </w:p>
    <w:p w:rsidR="00300A2C" w:rsidRDefault="00300A2C">
      <w:pPr>
        <w:spacing w:after="0" w:line="240" w:lineRule="auto"/>
        <w:ind w:left="720"/>
        <w:rPr>
          <w:rFonts w:ascii="Arial" w:eastAsia="Arial" w:hAnsi="Arial" w:cs="Arial"/>
          <w:sz w:val="24"/>
          <w:szCs w:val="24"/>
        </w:rPr>
      </w:pPr>
    </w:p>
    <w:p w:rsidR="00300A2C" w:rsidRDefault="001752C3">
      <w:pPr>
        <w:numPr>
          <w:ilvl w:val="0"/>
          <w:numId w:val="11"/>
        </w:numPr>
        <w:spacing w:after="0" w:line="240" w:lineRule="auto"/>
        <w:ind w:left="360"/>
        <w:rPr>
          <w:rFonts w:ascii="Arial" w:eastAsia="Arial" w:hAnsi="Arial" w:cs="Arial"/>
          <w:sz w:val="24"/>
          <w:szCs w:val="24"/>
        </w:rPr>
      </w:pPr>
      <w:r>
        <w:rPr>
          <w:rFonts w:ascii="Arial" w:eastAsia="Arial" w:hAnsi="Arial" w:cs="Arial"/>
          <w:b/>
          <w:i/>
          <w:sz w:val="24"/>
          <w:szCs w:val="24"/>
        </w:rPr>
        <w:t>Reservations to CEDAW based on Islamic Sharia</w:t>
      </w:r>
      <w:r>
        <w:rPr>
          <w:rFonts w:ascii="Arial" w:eastAsia="Arial" w:hAnsi="Arial" w:cs="Arial"/>
          <w:b/>
          <w:sz w:val="24"/>
          <w:szCs w:val="24"/>
        </w:rPr>
        <w:t>:</w:t>
      </w:r>
      <w:r>
        <w:rPr>
          <w:rFonts w:ascii="Arial" w:eastAsia="Arial" w:hAnsi="Arial" w:cs="Arial"/>
          <w:sz w:val="24"/>
          <w:szCs w:val="24"/>
        </w:rPr>
        <w:t xml:space="preserve"> The UAE makes reservations to articles 2 (f), 15 (2), and 16 of the CEDAW Convention on the grounds of precepts of the </w:t>
      </w:r>
      <w:r>
        <w:rPr>
          <w:rFonts w:ascii="Arial" w:eastAsia="Arial" w:hAnsi="Arial" w:cs="Arial"/>
          <w:i/>
          <w:sz w:val="24"/>
          <w:szCs w:val="24"/>
        </w:rPr>
        <w:t>Shariah</w:t>
      </w:r>
      <w:r>
        <w:rPr>
          <w:rFonts w:ascii="Arial" w:eastAsia="Arial" w:hAnsi="Arial" w:cs="Arial"/>
          <w:sz w:val="24"/>
          <w:szCs w:val="24"/>
          <w:vertAlign w:val="superscript"/>
        </w:rPr>
        <w:footnoteReference w:id="14"/>
      </w:r>
      <w:r>
        <w:rPr>
          <w:rFonts w:ascii="Arial" w:eastAsia="Arial" w:hAnsi="Arial" w:cs="Arial"/>
          <w:sz w:val="24"/>
          <w:szCs w:val="24"/>
        </w:rPr>
        <w:t xml:space="preserve">. In its previous Concluding Observations, the Committee reiterated its </w:t>
      </w:r>
      <w:r>
        <w:rPr>
          <w:rFonts w:ascii="Arial" w:eastAsia="Arial" w:hAnsi="Arial" w:cs="Arial"/>
          <w:i/>
          <w:sz w:val="24"/>
          <w:szCs w:val="24"/>
        </w:rPr>
        <w:t>“recommendation that the State party withdraw its reservation to article 16 of the Convention and undertake a comprehensive legislative review of its Personal Status Law, taking into account the experience of other countries with similar cultural backgroun</w:t>
      </w:r>
      <w:r>
        <w:rPr>
          <w:rFonts w:ascii="Arial" w:eastAsia="Arial" w:hAnsi="Arial" w:cs="Arial"/>
          <w:i/>
          <w:sz w:val="24"/>
          <w:szCs w:val="24"/>
        </w:rPr>
        <w:t xml:space="preserve">ds and legal norms, to provide women with equal rights with regard to marriage, divorce, property and the custody of children” </w:t>
      </w:r>
      <w:r>
        <w:rPr>
          <w:rFonts w:ascii="Arial" w:eastAsia="Arial" w:hAnsi="Arial" w:cs="Arial"/>
          <w:sz w:val="24"/>
          <w:szCs w:val="24"/>
        </w:rPr>
        <w:t>(CEDAW/C/ARE/CO/2-3, para. 46). The State party wrote that it is considering lifting reservations to the extent that that does no</w:t>
      </w:r>
      <w:r>
        <w:rPr>
          <w:rFonts w:ascii="Arial" w:eastAsia="Arial" w:hAnsi="Arial" w:cs="Arial"/>
          <w:sz w:val="24"/>
          <w:szCs w:val="24"/>
        </w:rPr>
        <w:t xml:space="preserve">t conflict with national sovereignty or the Islamic Sharia (SPR para. 14). </w:t>
      </w:r>
    </w:p>
    <w:p w:rsidR="00300A2C" w:rsidRDefault="00300A2C">
      <w:pPr>
        <w:spacing w:after="0" w:line="240" w:lineRule="auto"/>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It is Musawah’s hope that the CEDAW Committee will encourage the State party to recognise the diversity of opinions, laws and practices in the Muslim world and the growing scholar</w:t>
      </w:r>
      <w:r>
        <w:rPr>
          <w:rFonts w:ascii="Arial" w:eastAsia="Arial" w:hAnsi="Arial" w:cs="Arial"/>
          <w:sz w:val="24"/>
          <w:szCs w:val="24"/>
        </w:rPr>
        <w:t xml:space="preserve">ship in Islam that recognises equality and justice and the possibility and necessity for reform of Muslim family laws today. </w:t>
      </w:r>
    </w:p>
    <w:p w:rsidR="00300A2C" w:rsidRDefault="00300A2C">
      <w:pPr>
        <w:spacing w:after="0" w:line="240" w:lineRule="auto"/>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 provide an update on how the State party is seeking to harmonize their national legislation with their international human</w:t>
      </w:r>
      <w:r>
        <w:rPr>
          <w:rFonts w:ascii="Arial" w:eastAsia="Arial" w:hAnsi="Arial" w:cs="Arial"/>
          <w:sz w:val="24"/>
          <w:szCs w:val="24"/>
        </w:rPr>
        <w:t xml:space="preserve"> rights obligations, including but not limited to repealing discriminatory provisions in the Personal Status Laws, as has successfully been done by countries with similar cultural backgrounds and legal systems. </w:t>
      </w:r>
    </w:p>
    <w:p w:rsidR="00300A2C" w:rsidRDefault="00300A2C">
      <w:pPr>
        <w:spacing w:after="0" w:line="240" w:lineRule="auto"/>
        <w:rPr>
          <w:rFonts w:ascii="Arial" w:eastAsia="Arial" w:hAnsi="Arial" w:cs="Arial"/>
          <w:sz w:val="24"/>
          <w:szCs w:val="24"/>
        </w:rPr>
      </w:pPr>
    </w:p>
    <w:p w:rsidR="00300A2C" w:rsidRDefault="001752C3">
      <w:pPr>
        <w:spacing w:after="0" w:line="240" w:lineRule="auto"/>
        <w:rPr>
          <w:rFonts w:ascii="Arial" w:eastAsia="Arial" w:hAnsi="Arial" w:cs="Arial"/>
          <w:sz w:val="24"/>
          <w:szCs w:val="24"/>
        </w:rPr>
      </w:pPr>
      <w:r>
        <w:rPr>
          <w:rFonts w:ascii="Arial" w:eastAsia="Arial" w:hAnsi="Arial" w:cs="Arial"/>
          <w:sz w:val="24"/>
          <w:szCs w:val="24"/>
        </w:rPr>
        <w:t>Please provide information on how the State</w:t>
      </w:r>
      <w:r>
        <w:rPr>
          <w:rFonts w:ascii="Arial" w:eastAsia="Arial" w:hAnsi="Arial" w:cs="Arial"/>
          <w:sz w:val="24"/>
          <w:szCs w:val="24"/>
        </w:rPr>
        <w:t xml:space="preserve"> party has conducted consultations with civil society, in particular women’s organizations, in that process.</w:t>
      </w:r>
    </w:p>
    <w:sectPr w:rsidR="00300A2C">
      <w:footerReference w:type="even" r:id="rId11"/>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752C3">
      <w:pPr>
        <w:spacing w:after="0" w:line="240" w:lineRule="auto"/>
      </w:pPr>
      <w:r>
        <w:separator/>
      </w:r>
    </w:p>
  </w:endnote>
  <w:endnote w:type="continuationSeparator" w:id="0">
    <w:p w:rsidR="00000000" w:rsidRDefault="00175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Quattrocento Sans">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A2C" w:rsidRDefault="001752C3">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rsidR="00300A2C" w:rsidRDefault="00300A2C">
    <w:pPr>
      <w:pBdr>
        <w:top w:val="nil"/>
        <w:left w:val="nil"/>
        <w:bottom w:val="nil"/>
        <w:right w:val="nil"/>
        <w:between w:val="nil"/>
      </w:pBdr>
      <w:tabs>
        <w:tab w:val="center" w:pos="4680"/>
        <w:tab w:val="right" w:pos="9360"/>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A2C" w:rsidRDefault="001752C3">
    <w:pPr>
      <w:pBdr>
        <w:top w:val="nil"/>
        <w:left w:val="nil"/>
        <w:bottom w:val="nil"/>
        <w:right w:val="nil"/>
        <w:between w:val="nil"/>
      </w:pBdr>
      <w:tabs>
        <w:tab w:val="center" w:pos="4680"/>
        <w:tab w:val="right" w:pos="9360"/>
      </w:tabs>
      <w:spacing w:after="0" w:line="240" w:lineRule="auto"/>
      <w:jc w:val="right"/>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1</w:t>
    </w:r>
    <w:r>
      <w:rPr>
        <w:rFonts w:ascii="Arial" w:eastAsia="Arial" w:hAnsi="Arial" w:cs="Arial"/>
        <w:color w:val="000000"/>
      </w:rPr>
      <w:fldChar w:fldCharType="end"/>
    </w:r>
  </w:p>
  <w:p w:rsidR="00300A2C" w:rsidRDefault="00300A2C">
    <w:pPr>
      <w:pBdr>
        <w:top w:val="nil"/>
        <w:left w:val="nil"/>
        <w:bottom w:val="nil"/>
        <w:right w:val="nil"/>
        <w:between w:val="nil"/>
      </w:pBdr>
      <w:tabs>
        <w:tab w:val="center" w:pos="4680"/>
        <w:tab w:val="right" w:pos="9360"/>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752C3">
      <w:pPr>
        <w:spacing w:after="0" w:line="240" w:lineRule="auto"/>
      </w:pPr>
      <w:r>
        <w:separator/>
      </w:r>
    </w:p>
  </w:footnote>
  <w:footnote w:type="continuationSeparator" w:id="0">
    <w:p w:rsidR="00000000" w:rsidRDefault="001752C3">
      <w:pPr>
        <w:spacing w:after="0" w:line="240" w:lineRule="auto"/>
      </w:pPr>
      <w:r>
        <w:continuationSeparator/>
      </w:r>
    </w:p>
  </w:footnote>
  <w:footnote w:id="1">
    <w:p w:rsidR="00300A2C" w:rsidRDefault="001752C3">
      <w:pPr>
        <w:pBdr>
          <w:top w:val="nil"/>
          <w:left w:val="nil"/>
          <w:bottom w:val="nil"/>
          <w:right w:val="nil"/>
          <w:between w:val="nil"/>
        </w:pBdr>
        <w:spacing w:after="0" w:line="240" w:lineRule="auto"/>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Federal Law No. 10 of 2019 on Family Protection.</w:t>
      </w:r>
    </w:p>
  </w:footnote>
  <w:footnote w:id="2">
    <w:p w:rsidR="00300A2C" w:rsidRDefault="001752C3">
      <w:pPr>
        <w:spacing w:after="0" w:line="240" w:lineRule="auto"/>
        <w:rPr>
          <w:rFonts w:ascii="Arial" w:eastAsia="Arial" w:hAnsi="Arial" w:cs="Arial"/>
          <w:sz w:val="20"/>
          <w:szCs w:val="20"/>
        </w:rPr>
      </w:pPr>
      <w:r>
        <w:rPr>
          <w:rStyle w:val="FootnoteReference"/>
        </w:rPr>
        <w:footnoteRef/>
      </w:r>
      <w:r>
        <w:rPr>
          <w:rFonts w:ascii="Arial" w:eastAsia="Arial" w:hAnsi="Arial" w:cs="Arial"/>
          <w:sz w:val="20"/>
          <w:szCs w:val="20"/>
        </w:rPr>
        <w:t xml:space="preserve"> Federal Law No. 8 of 2019 and Federal Law No. 5 of 2020 Amending Federal Law No. 28 of 2005 on Personal Status.</w:t>
      </w:r>
    </w:p>
  </w:footnote>
  <w:footnote w:id="3">
    <w:p w:rsidR="00300A2C" w:rsidRDefault="001752C3">
      <w:pPr>
        <w:spacing w:after="0" w:line="240" w:lineRule="auto"/>
        <w:rPr>
          <w:rFonts w:ascii="Arial" w:eastAsia="Arial" w:hAnsi="Arial" w:cs="Arial"/>
          <w:sz w:val="20"/>
          <w:szCs w:val="20"/>
        </w:rPr>
      </w:pPr>
      <w:r>
        <w:rPr>
          <w:rStyle w:val="FootnoteReference"/>
        </w:rPr>
        <w:footnoteRef/>
      </w:r>
      <w:r>
        <w:rPr>
          <w:rFonts w:ascii="Arial" w:eastAsia="Arial" w:hAnsi="Arial" w:cs="Arial"/>
          <w:sz w:val="20"/>
          <w:szCs w:val="20"/>
        </w:rPr>
        <w:t xml:space="preserve"> Federal Law No. 3 of 2020, amending Fede</w:t>
      </w:r>
      <w:r>
        <w:rPr>
          <w:rFonts w:ascii="Arial" w:eastAsia="Arial" w:hAnsi="Arial" w:cs="Arial"/>
          <w:sz w:val="20"/>
          <w:szCs w:val="20"/>
        </w:rPr>
        <w:t>ral Law No. 17 of 1972 on Nationality, Article 10(R).</w:t>
      </w:r>
    </w:p>
  </w:footnote>
  <w:footnote w:id="4">
    <w:p w:rsidR="00300A2C" w:rsidRDefault="001752C3">
      <w:pPr>
        <w:pBdr>
          <w:top w:val="nil"/>
          <w:left w:val="nil"/>
          <w:bottom w:val="nil"/>
          <w:right w:val="nil"/>
          <w:between w:val="nil"/>
        </w:pBdr>
        <w:spacing w:after="0" w:line="240" w:lineRule="auto"/>
        <w:rPr>
          <w:color w:val="000000"/>
          <w:sz w:val="20"/>
          <w:szCs w:val="20"/>
        </w:rPr>
      </w:pPr>
      <w:r>
        <w:rPr>
          <w:rStyle w:val="FootnoteReference"/>
        </w:rPr>
        <w:footnoteRef/>
      </w:r>
      <w:r>
        <w:rPr>
          <w:rFonts w:ascii="Arial" w:eastAsia="Arial" w:hAnsi="Arial" w:cs="Arial"/>
          <w:color w:val="000000"/>
          <w:sz w:val="20"/>
          <w:szCs w:val="20"/>
        </w:rPr>
        <w:t xml:space="preserve"> CEDAW 80th Pre-Sessional Working Group, United Arab Emirates State party report (December 2020), U.N. Doc. CEDAW/C/ARE/4 [hereinafter “SPR”], available at </w:t>
      </w:r>
      <w:hyperlink r:id="rId1">
        <w:r>
          <w:rPr>
            <w:rFonts w:ascii="Arial" w:eastAsia="Arial" w:hAnsi="Arial" w:cs="Arial"/>
            <w:color w:val="0563C1"/>
            <w:sz w:val="20"/>
            <w:szCs w:val="20"/>
            <w:u w:val="single"/>
          </w:rPr>
          <w:t>https://tbinternet.ohchr.org/_layouts/15/treatybodyexternal/Download.aspx?symbolno=CEDAW%2fC%2fARE%2f4&amp;Lang=en</w:t>
        </w:r>
      </w:hyperlink>
      <w:r>
        <w:rPr>
          <w:rFonts w:ascii="Arial" w:eastAsia="Arial" w:hAnsi="Arial" w:cs="Arial"/>
          <w:color w:val="000000"/>
          <w:sz w:val="20"/>
          <w:szCs w:val="20"/>
        </w:rPr>
        <w:t>.</w:t>
      </w:r>
    </w:p>
  </w:footnote>
  <w:footnote w:id="5">
    <w:p w:rsidR="00300A2C" w:rsidRDefault="001752C3">
      <w:pPr>
        <w:pBdr>
          <w:top w:val="nil"/>
          <w:left w:val="nil"/>
          <w:bottom w:val="nil"/>
          <w:right w:val="nil"/>
          <w:between w:val="nil"/>
        </w:pBdr>
        <w:spacing w:after="0" w:line="240" w:lineRule="auto"/>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Personal Status Law (2005)</w:t>
      </w:r>
      <w:r>
        <w:rPr>
          <w:rFonts w:ascii="Arial" w:eastAsia="Arial" w:hAnsi="Arial" w:cs="Arial"/>
          <w:sz w:val="20"/>
          <w:szCs w:val="20"/>
        </w:rPr>
        <w:t>, Article 55(5).</w:t>
      </w:r>
      <w:r>
        <w:rPr>
          <w:rFonts w:ascii="Arial" w:eastAsia="Arial" w:hAnsi="Arial" w:cs="Arial"/>
          <w:color w:val="000000"/>
          <w:sz w:val="20"/>
          <w:szCs w:val="20"/>
        </w:rPr>
        <w:t xml:space="preserve"> </w:t>
      </w:r>
    </w:p>
  </w:footnote>
  <w:footnote w:id="6">
    <w:p w:rsidR="00300A2C" w:rsidRDefault="001752C3">
      <w:pPr>
        <w:pBdr>
          <w:top w:val="nil"/>
          <w:left w:val="nil"/>
          <w:bottom w:val="nil"/>
          <w:right w:val="nil"/>
          <w:between w:val="nil"/>
        </w:pBdr>
        <w:spacing w:after="0" w:line="240" w:lineRule="auto"/>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r>
        <w:rPr>
          <w:rFonts w:ascii="Arial" w:eastAsia="Arial" w:hAnsi="Arial" w:cs="Arial"/>
          <w:sz w:val="20"/>
          <w:szCs w:val="20"/>
        </w:rPr>
        <w:t>Federal Decree Law No. 10 of 2019 on Family Protection.</w:t>
      </w:r>
    </w:p>
  </w:footnote>
  <w:footnote w:id="7">
    <w:p w:rsidR="00300A2C" w:rsidRDefault="001752C3">
      <w:pPr>
        <w:spacing w:after="0" w:line="240" w:lineRule="auto"/>
        <w:rPr>
          <w:rFonts w:ascii="Arial" w:eastAsia="Arial" w:hAnsi="Arial" w:cs="Arial"/>
          <w:sz w:val="20"/>
          <w:szCs w:val="20"/>
        </w:rPr>
      </w:pPr>
      <w:r>
        <w:rPr>
          <w:rStyle w:val="FootnoteReference"/>
        </w:rPr>
        <w:footnoteRef/>
      </w:r>
      <w:r>
        <w:rPr>
          <w:rFonts w:ascii="Arial" w:eastAsia="Arial" w:hAnsi="Arial" w:cs="Arial"/>
          <w:sz w:val="20"/>
          <w:szCs w:val="20"/>
        </w:rPr>
        <w:t xml:space="preserve"> Federal Law, No. 17 of 1972 on Nationality, as amended by Federal Law No. 3 of 2020, Article 10(R). In 2019, the UAE granted citizenship to 3,354 sons and daughters of Emirati women who had applied an</w:t>
      </w:r>
      <w:r>
        <w:rPr>
          <w:rFonts w:ascii="Arial" w:eastAsia="Arial" w:hAnsi="Arial" w:cs="Arial"/>
          <w:sz w:val="20"/>
          <w:szCs w:val="20"/>
        </w:rPr>
        <w:t xml:space="preserve">d met the required conditions in the law in 2019. </w:t>
      </w:r>
      <w:r>
        <w:rPr>
          <w:rFonts w:ascii="Arial" w:eastAsia="Arial" w:hAnsi="Arial" w:cs="Arial"/>
          <w:i/>
          <w:sz w:val="20"/>
          <w:szCs w:val="20"/>
        </w:rPr>
        <w:t>See</w:t>
      </w:r>
      <w:r>
        <w:rPr>
          <w:rFonts w:ascii="Arial" w:eastAsia="Arial" w:hAnsi="Arial" w:cs="Arial"/>
          <w:sz w:val="20"/>
          <w:szCs w:val="20"/>
        </w:rPr>
        <w:t xml:space="preserve"> SPR para. 69.</w:t>
      </w:r>
    </w:p>
  </w:footnote>
  <w:footnote w:id="8">
    <w:p w:rsidR="00300A2C" w:rsidRDefault="001752C3">
      <w:pPr>
        <w:pBdr>
          <w:top w:val="nil"/>
          <w:left w:val="nil"/>
          <w:bottom w:val="nil"/>
          <w:right w:val="nil"/>
          <w:between w:val="nil"/>
        </w:pBdr>
        <w:spacing w:after="0" w:line="240" w:lineRule="auto"/>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Personal</w:t>
      </w:r>
      <w:r>
        <w:rPr>
          <w:rFonts w:ascii="Arial" w:eastAsia="Arial" w:hAnsi="Arial" w:cs="Arial"/>
          <w:color w:val="000000"/>
          <w:sz w:val="20"/>
          <w:szCs w:val="20"/>
        </w:rPr>
        <w:t xml:space="preserve"> Status Law (2005), </w:t>
      </w:r>
      <w:r>
        <w:rPr>
          <w:rFonts w:ascii="Arial" w:eastAsia="Arial" w:hAnsi="Arial" w:cs="Arial"/>
          <w:sz w:val="20"/>
          <w:szCs w:val="20"/>
        </w:rPr>
        <w:t>Articles 30, 32-35, 38-39.</w:t>
      </w:r>
    </w:p>
  </w:footnote>
  <w:footnote w:id="9">
    <w:p w:rsidR="00300A2C" w:rsidRDefault="001752C3">
      <w:pPr>
        <w:pBdr>
          <w:top w:val="nil"/>
          <w:left w:val="nil"/>
          <w:bottom w:val="nil"/>
          <w:right w:val="nil"/>
          <w:between w:val="nil"/>
        </w:pBdr>
        <w:spacing w:after="0" w:line="240" w:lineRule="auto"/>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Personal Status Law (2005), </w:t>
      </w:r>
      <w:r>
        <w:rPr>
          <w:rFonts w:ascii="Arial" w:eastAsia="Arial" w:hAnsi="Arial" w:cs="Arial"/>
          <w:sz w:val="20"/>
          <w:szCs w:val="20"/>
        </w:rPr>
        <w:t>Article</w:t>
      </w:r>
      <w:r>
        <w:rPr>
          <w:rFonts w:ascii="Arial" w:eastAsia="Arial" w:hAnsi="Arial" w:cs="Arial"/>
          <w:color w:val="000000"/>
          <w:sz w:val="20"/>
          <w:szCs w:val="20"/>
        </w:rPr>
        <w:t xml:space="preserve"> 30</w:t>
      </w:r>
      <w:r>
        <w:rPr>
          <w:rFonts w:ascii="Arial" w:eastAsia="Arial" w:hAnsi="Arial" w:cs="Arial"/>
          <w:sz w:val="20"/>
          <w:szCs w:val="20"/>
        </w:rPr>
        <w:t>, as amended by Federal Law No. 8 of 2019.</w:t>
      </w:r>
      <w:r>
        <w:rPr>
          <w:rFonts w:ascii="Arial" w:eastAsia="Arial" w:hAnsi="Arial" w:cs="Arial"/>
          <w:color w:val="000000"/>
          <w:sz w:val="20"/>
          <w:szCs w:val="20"/>
        </w:rPr>
        <w:t xml:space="preserve"> </w:t>
      </w:r>
    </w:p>
  </w:footnote>
  <w:footnote w:id="10">
    <w:p w:rsidR="00300A2C" w:rsidRDefault="001752C3">
      <w:pPr>
        <w:pBdr>
          <w:top w:val="nil"/>
          <w:left w:val="nil"/>
          <w:bottom w:val="nil"/>
          <w:right w:val="nil"/>
          <w:between w:val="nil"/>
        </w:pBdr>
        <w:spacing w:after="0" w:line="240" w:lineRule="auto"/>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Personal </w:t>
      </w:r>
      <w:r>
        <w:rPr>
          <w:rFonts w:ascii="Arial" w:eastAsia="Arial" w:hAnsi="Arial" w:cs="Arial"/>
          <w:sz w:val="20"/>
          <w:szCs w:val="20"/>
        </w:rPr>
        <w:t xml:space="preserve">Status Law (2005), </w:t>
      </w:r>
      <w:r>
        <w:rPr>
          <w:rFonts w:ascii="Arial" w:eastAsia="Arial" w:hAnsi="Arial" w:cs="Arial"/>
          <w:color w:val="000000"/>
          <w:sz w:val="20"/>
          <w:szCs w:val="20"/>
        </w:rPr>
        <w:t>Article 120(4)</w:t>
      </w:r>
      <w:r>
        <w:rPr>
          <w:rFonts w:ascii="Arial" w:eastAsia="Arial" w:hAnsi="Arial" w:cs="Arial"/>
          <w:sz w:val="20"/>
          <w:szCs w:val="20"/>
        </w:rPr>
        <w:t>.</w:t>
      </w:r>
    </w:p>
  </w:footnote>
  <w:footnote w:id="11">
    <w:p w:rsidR="00300A2C" w:rsidRDefault="001752C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Arial" w:eastAsia="Arial" w:hAnsi="Arial" w:cs="Arial"/>
          <w:color w:val="000000"/>
          <w:sz w:val="20"/>
          <w:szCs w:val="20"/>
        </w:rPr>
        <w:t xml:space="preserve"> A woman may include terms in the marriage contract to grant her equal divorce rights, though this practice is not common.</w:t>
      </w:r>
    </w:p>
  </w:footnote>
  <w:footnote w:id="12">
    <w:p w:rsidR="00300A2C" w:rsidRDefault="001752C3">
      <w:pPr>
        <w:pBdr>
          <w:top w:val="nil"/>
          <w:left w:val="nil"/>
          <w:bottom w:val="nil"/>
          <w:right w:val="nil"/>
          <w:between w:val="nil"/>
        </w:pBdr>
        <w:spacing w:after="0" w:line="240" w:lineRule="auto"/>
        <w:rPr>
          <w:rFonts w:ascii="Arial" w:eastAsia="Arial" w:hAnsi="Arial" w:cs="Arial"/>
          <w:color w:val="000000"/>
          <w:sz w:val="20"/>
          <w:szCs w:val="20"/>
        </w:rPr>
      </w:pPr>
      <w:r>
        <w:rPr>
          <w:rStyle w:val="FootnoteReference"/>
        </w:rPr>
        <w:footnoteRef/>
      </w:r>
      <w:r>
        <w:rPr>
          <w:rFonts w:ascii="Arial" w:eastAsia="Arial" w:hAnsi="Arial" w:cs="Arial"/>
          <w:sz w:val="20"/>
          <w:szCs w:val="20"/>
        </w:rPr>
        <w:t xml:space="preserve"> Personal Status Law (2005),</w:t>
      </w:r>
      <w:r>
        <w:rPr>
          <w:rFonts w:ascii="Arial" w:eastAsia="Arial" w:hAnsi="Arial" w:cs="Arial"/>
          <w:color w:val="000000"/>
          <w:sz w:val="20"/>
          <w:szCs w:val="20"/>
        </w:rPr>
        <w:t xml:space="preserve"> Article 146, 156</w:t>
      </w:r>
      <w:r>
        <w:rPr>
          <w:rFonts w:ascii="Arial" w:eastAsia="Arial" w:hAnsi="Arial" w:cs="Arial"/>
          <w:sz w:val="20"/>
          <w:szCs w:val="20"/>
        </w:rPr>
        <w:t>.</w:t>
      </w:r>
    </w:p>
  </w:footnote>
  <w:footnote w:id="13">
    <w:p w:rsidR="00300A2C" w:rsidRDefault="001752C3">
      <w:pPr>
        <w:pBdr>
          <w:top w:val="nil"/>
          <w:left w:val="nil"/>
          <w:bottom w:val="nil"/>
          <w:right w:val="nil"/>
          <w:between w:val="nil"/>
        </w:pBdr>
        <w:spacing w:after="0" w:line="240" w:lineRule="auto"/>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Personal Status Law (2005), Article 144</w:t>
      </w:r>
      <w:r>
        <w:rPr>
          <w:rFonts w:ascii="Arial" w:eastAsia="Arial" w:hAnsi="Arial" w:cs="Arial"/>
          <w:sz w:val="20"/>
          <w:szCs w:val="20"/>
        </w:rPr>
        <w:t>.</w:t>
      </w:r>
    </w:p>
  </w:footnote>
  <w:footnote w:id="14">
    <w:p w:rsidR="00300A2C" w:rsidRDefault="001752C3">
      <w:pPr>
        <w:spacing w:after="0" w:line="240" w:lineRule="auto"/>
        <w:rPr>
          <w:rFonts w:ascii="Arial" w:eastAsia="Arial" w:hAnsi="Arial" w:cs="Arial"/>
          <w:sz w:val="20"/>
          <w:szCs w:val="20"/>
        </w:rPr>
      </w:pPr>
      <w:r>
        <w:rPr>
          <w:rStyle w:val="FootnoteReference"/>
        </w:rPr>
        <w:footnoteRef/>
      </w:r>
      <w:r>
        <w:rPr>
          <w:rFonts w:ascii="Arial" w:eastAsia="Arial" w:hAnsi="Arial" w:cs="Arial"/>
          <w:sz w:val="20"/>
          <w:szCs w:val="20"/>
        </w:rPr>
        <w:t xml:space="preserve"> In addition to articles 9 and 29 (1) on separate grounds.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D0887"/>
    <w:multiLevelType w:val="multilevel"/>
    <w:tmpl w:val="8AAA34E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144B63"/>
    <w:multiLevelType w:val="multilevel"/>
    <w:tmpl w:val="9CE23A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F2B1E96"/>
    <w:multiLevelType w:val="multilevel"/>
    <w:tmpl w:val="1CB6BA9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0A2447B"/>
    <w:multiLevelType w:val="multilevel"/>
    <w:tmpl w:val="BA6A132E"/>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5837DA9"/>
    <w:multiLevelType w:val="multilevel"/>
    <w:tmpl w:val="05840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5AA5B75"/>
    <w:multiLevelType w:val="multilevel"/>
    <w:tmpl w:val="CD0AAB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1D2D0FD2"/>
    <w:multiLevelType w:val="multilevel"/>
    <w:tmpl w:val="24ECF0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65C5AD5"/>
    <w:multiLevelType w:val="multilevel"/>
    <w:tmpl w:val="A9CC94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3B89388A"/>
    <w:multiLevelType w:val="multilevel"/>
    <w:tmpl w:val="73B8EB0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47A41BE2"/>
    <w:multiLevelType w:val="multilevel"/>
    <w:tmpl w:val="A25421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8311434"/>
    <w:multiLevelType w:val="multilevel"/>
    <w:tmpl w:val="8ABE439A"/>
    <w:lvl w:ilvl="0">
      <w:start w:val="1"/>
      <w:numFmt w:val="upperLetter"/>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F733CA7"/>
    <w:multiLevelType w:val="multilevel"/>
    <w:tmpl w:val="2FCAE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8"/>
  </w:num>
  <w:num w:numId="3">
    <w:abstractNumId w:val="3"/>
  </w:num>
  <w:num w:numId="4">
    <w:abstractNumId w:val="5"/>
  </w:num>
  <w:num w:numId="5">
    <w:abstractNumId w:val="7"/>
  </w:num>
  <w:num w:numId="6">
    <w:abstractNumId w:val="1"/>
  </w:num>
  <w:num w:numId="7">
    <w:abstractNumId w:val="2"/>
  </w:num>
  <w:num w:numId="8">
    <w:abstractNumId w:val="10"/>
  </w:num>
  <w:num w:numId="9">
    <w:abstractNumId w:val="11"/>
  </w:num>
  <w:num w:numId="10">
    <w:abstractNumId w:val="6"/>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A2C"/>
    <w:rsid w:val="001752C3"/>
    <w:rsid w:val="00300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9E5BCF6C-893E-40A6-AA05-58BC650F6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paragraph">
    <w:name w:val="paragraph"/>
    <w:basedOn w:val="Normal"/>
    <w:rsid w:val="00C772B4"/>
    <w:pPr>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DefaultParagraphFont"/>
    <w:rsid w:val="00C772B4"/>
  </w:style>
  <w:style w:type="character" w:customStyle="1" w:styleId="eop">
    <w:name w:val="eop"/>
    <w:basedOn w:val="DefaultParagraphFont"/>
    <w:rsid w:val="00C772B4"/>
  </w:style>
  <w:style w:type="paragraph" w:styleId="ListParagraph">
    <w:name w:val="List Paragraph"/>
    <w:basedOn w:val="Normal"/>
    <w:uiPriority w:val="34"/>
    <w:qFormat/>
    <w:rsid w:val="00884001"/>
    <w:pPr>
      <w:ind w:left="720"/>
      <w:contextualSpacing/>
    </w:pPr>
  </w:style>
  <w:style w:type="character" w:customStyle="1" w:styleId="superscript">
    <w:name w:val="superscript"/>
    <w:basedOn w:val="DefaultParagraphFont"/>
    <w:rsid w:val="00884001"/>
  </w:style>
  <w:style w:type="paragraph" w:styleId="Header">
    <w:name w:val="header"/>
    <w:basedOn w:val="Normal"/>
    <w:link w:val="HeaderChar"/>
    <w:uiPriority w:val="99"/>
    <w:unhideWhenUsed/>
    <w:rsid w:val="00CD07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0732"/>
  </w:style>
  <w:style w:type="paragraph" w:styleId="Footer">
    <w:name w:val="footer"/>
    <w:basedOn w:val="Normal"/>
    <w:link w:val="FooterChar"/>
    <w:uiPriority w:val="99"/>
    <w:unhideWhenUsed/>
    <w:rsid w:val="00CD07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0732"/>
  </w:style>
  <w:style w:type="paragraph" w:styleId="FootnoteText">
    <w:name w:val="footnote text"/>
    <w:basedOn w:val="Normal"/>
    <w:link w:val="FootnoteTextChar"/>
    <w:uiPriority w:val="99"/>
    <w:unhideWhenUsed/>
    <w:rsid w:val="00CD0732"/>
    <w:pPr>
      <w:spacing w:after="0" w:line="240" w:lineRule="auto"/>
    </w:pPr>
    <w:rPr>
      <w:sz w:val="20"/>
      <w:szCs w:val="20"/>
    </w:rPr>
  </w:style>
  <w:style w:type="character" w:customStyle="1" w:styleId="FootnoteTextChar">
    <w:name w:val="Footnote Text Char"/>
    <w:basedOn w:val="DefaultParagraphFont"/>
    <w:link w:val="FootnoteText"/>
    <w:uiPriority w:val="99"/>
    <w:rsid w:val="00CD0732"/>
    <w:rPr>
      <w:sz w:val="20"/>
      <w:szCs w:val="20"/>
    </w:rPr>
  </w:style>
  <w:style w:type="character" w:styleId="FootnoteReference">
    <w:name w:val="footnote reference"/>
    <w:basedOn w:val="DefaultParagraphFont"/>
    <w:uiPriority w:val="99"/>
    <w:unhideWhenUsed/>
    <w:rsid w:val="00CD0732"/>
    <w:rPr>
      <w:vertAlign w:val="superscript"/>
    </w:rPr>
  </w:style>
  <w:style w:type="character" w:customStyle="1" w:styleId="scxw92981700">
    <w:name w:val="scxw92981700"/>
    <w:basedOn w:val="DefaultParagraphFont"/>
    <w:rsid w:val="00CD0732"/>
  </w:style>
  <w:style w:type="character" w:styleId="CommentReference">
    <w:name w:val="annotation reference"/>
    <w:basedOn w:val="DefaultParagraphFont"/>
    <w:uiPriority w:val="99"/>
    <w:semiHidden/>
    <w:unhideWhenUsed/>
    <w:rsid w:val="00CD0732"/>
    <w:rPr>
      <w:sz w:val="16"/>
      <w:szCs w:val="16"/>
    </w:rPr>
  </w:style>
  <w:style w:type="paragraph" w:styleId="CommentText">
    <w:name w:val="annotation text"/>
    <w:basedOn w:val="Normal"/>
    <w:link w:val="CommentTextChar"/>
    <w:uiPriority w:val="99"/>
    <w:semiHidden/>
    <w:unhideWhenUsed/>
    <w:rsid w:val="00CD0732"/>
    <w:pPr>
      <w:spacing w:line="240" w:lineRule="auto"/>
    </w:pPr>
    <w:rPr>
      <w:sz w:val="20"/>
      <w:szCs w:val="20"/>
    </w:rPr>
  </w:style>
  <w:style w:type="character" w:customStyle="1" w:styleId="CommentTextChar">
    <w:name w:val="Comment Text Char"/>
    <w:basedOn w:val="DefaultParagraphFont"/>
    <w:link w:val="CommentText"/>
    <w:uiPriority w:val="99"/>
    <w:semiHidden/>
    <w:rsid w:val="00CD0732"/>
    <w:rPr>
      <w:sz w:val="20"/>
      <w:szCs w:val="20"/>
    </w:rPr>
  </w:style>
  <w:style w:type="paragraph" w:styleId="CommentSubject">
    <w:name w:val="annotation subject"/>
    <w:basedOn w:val="CommentText"/>
    <w:next w:val="CommentText"/>
    <w:link w:val="CommentSubjectChar"/>
    <w:uiPriority w:val="99"/>
    <w:semiHidden/>
    <w:unhideWhenUsed/>
    <w:rsid w:val="00CD0732"/>
    <w:rPr>
      <w:b/>
      <w:bCs/>
    </w:rPr>
  </w:style>
  <w:style w:type="character" w:customStyle="1" w:styleId="CommentSubjectChar">
    <w:name w:val="Comment Subject Char"/>
    <w:basedOn w:val="CommentTextChar"/>
    <w:link w:val="CommentSubject"/>
    <w:uiPriority w:val="99"/>
    <w:semiHidden/>
    <w:rsid w:val="00CD0732"/>
    <w:rPr>
      <w:b/>
      <w:bCs/>
      <w:sz w:val="20"/>
      <w:szCs w:val="20"/>
    </w:rPr>
  </w:style>
  <w:style w:type="paragraph" w:styleId="BalloonText">
    <w:name w:val="Balloon Text"/>
    <w:basedOn w:val="Normal"/>
    <w:link w:val="BalloonTextChar"/>
    <w:uiPriority w:val="99"/>
    <w:semiHidden/>
    <w:unhideWhenUsed/>
    <w:rsid w:val="00CD073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D0732"/>
    <w:rPr>
      <w:rFonts w:ascii="Times New Roman" w:hAnsi="Times New Roman" w:cs="Times New Roman"/>
      <w:sz w:val="18"/>
      <w:szCs w:val="18"/>
    </w:rPr>
  </w:style>
  <w:style w:type="character" w:styleId="Hyperlink">
    <w:name w:val="Hyperlink"/>
    <w:basedOn w:val="DefaultParagraphFont"/>
    <w:uiPriority w:val="99"/>
    <w:unhideWhenUsed/>
    <w:rsid w:val="00CD0732"/>
    <w:rPr>
      <w:color w:val="0563C1" w:themeColor="hyperlink"/>
      <w:u w:val="single"/>
    </w:rPr>
  </w:style>
  <w:style w:type="character" w:styleId="FollowedHyperlink">
    <w:name w:val="FollowedHyperlink"/>
    <w:basedOn w:val="DefaultParagraphFont"/>
    <w:uiPriority w:val="99"/>
    <w:semiHidden/>
    <w:unhideWhenUsed/>
    <w:rsid w:val="00253D8A"/>
    <w:rPr>
      <w:color w:val="954F72" w:themeColor="followedHyperlink"/>
      <w:u w:val="single"/>
    </w:rPr>
  </w:style>
  <w:style w:type="character" w:styleId="PageNumber">
    <w:name w:val="page number"/>
    <w:basedOn w:val="DefaultParagraphFont"/>
    <w:uiPriority w:val="99"/>
    <w:semiHidden/>
    <w:unhideWhenUsed/>
    <w:rsid w:val="006E7C66"/>
  </w:style>
  <w:style w:type="character" w:customStyle="1" w:styleId="UnresolvedMention">
    <w:name w:val="Unresolved Mention"/>
    <w:basedOn w:val="DefaultParagraphFont"/>
    <w:uiPriority w:val="99"/>
    <w:rsid w:val="00DF13D8"/>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musawah.org/" TargetMode="External"/><Relationship Id="rId4" Type="http://schemas.openxmlformats.org/officeDocument/2006/relationships/settings" Target="settings.xml"/><Relationship Id="rId9" Type="http://schemas.openxmlformats.org/officeDocument/2006/relationships/hyperlink" Target="mailto:musawah@musawah.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CEDAW%2fC%2fARE%2f4&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wjYc2H4fG7wV2XEanKumHiNogA==">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</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9E561A75-48F3-4171-81C6-A81049E82F71}"/>
</file>

<file path=customXml/itemProps3.xml><?xml version="1.0" encoding="utf-8"?>
<ds:datastoreItem xmlns:ds="http://schemas.openxmlformats.org/officeDocument/2006/customXml" ds:itemID="{D8625FD5-7334-4B4C-9B97-3644252C8497}"/>
</file>

<file path=customXml/itemProps4.xml><?xml version="1.0" encoding="utf-8"?>
<ds:datastoreItem xmlns:ds="http://schemas.openxmlformats.org/officeDocument/2006/customXml" ds:itemID="{19242E77-62CB-40B3-8CB3-E05989AFA3FC}"/>
</file>

<file path=docProps/app.xml><?xml version="1.0" encoding="utf-8"?>
<Properties xmlns="http://schemas.openxmlformats.org/officeDocument/2006/extended-properties" xmlns:vt="http://schemas.openxmlformats.org/officeDocument/2006/docPropsVTypes">
  <Template>Normal.dotm</Template>
  <TotalTime>1</TotalTime>
  <Pages>10</Pages>
  <Words>1972</Words>
  <Characters>11247</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Banks, Brianna-HLSCLINICS</dc:creator>
  <cp:lastModifiedBy>OUKO Robert</cp:lastModifiedBy>
  <cp:revision>2</cp:revision>
  <dcterms:created xsi:type="dcterms:W3CDTF">2021-02-15T16:31:00Z</dcterms:created>
  <dcterms:modified xsi:type="dcterms:W3CDTF">2021-02-15T16:31:00Z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