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030F22" w14:textId="28266171" w:rsidR="00F32DFB" w:rsidRPr="00EF28CC" w:rsidRDefault="007E62E7">
      <w:pPr>
        <w:pBdr>
          <w:top w:val="none" w:sz="4" w:space="0" w:color="000000"/>
          <w:left w:val="none" w:sz="4" w:space="0" w:color="000000"/>
          <w:bottom w:val="none" w:sz="4" w:space="0" w:color="000000"/>
          <w:right w:val="none" w:sz="4" w:space="0" w:color="000000"/>
          <w:between w:val="none" w:sz="4" w:space="0" w:color="000000"/>
        </w:pBdr>
        <w:spacing w:after="0"/>
        <w:contextualSpacing/>
        <w:jc w:val="right"/>
        <w:rPr>
          <w:rFonts w:ascii="Times New Roman" w:eastAsia="Times New Roman" w:hAnsi="Times New Roman" w:cs="Times New Roman"/>
          <w:sz w:val="24"/>
          <w:szCs w:val="24"/>
          <w:lang w:val="pt-BR"/>
        </w:rPr>
      </w:pPr>
      <w:bookmarkStart w:id="0" w:name="LiteralDate"/>
      <w:r w:rsidRPr="00EF28CC">
        <w:rPr>
          <w:rStyle w:val="DEBIntro"/>
          <w:rFonts w:cs="Times New Roman"/>
          <w:sz w:val="24"/>
          <w:szCs w:val="24"/>
        </w:rPr>
        <w:tab/>
      </w:r>
      <w:r w:rsidRPr="00EF28CC">
        <w:rPr>
          <w:rFonts w:ascii="Times New Roman" w:eastAsia="Times New Roman" w:hAnsi="Times New Roman" w:cs="Times New Roman"/>
          <w:sz w:val="24"/>
          <w:szCs w:val="24"/>
          <w:lang w:val="pt-BR"/>
        </w:rPr>
        <w:t xml:space="preserve">Tegucigalpa, Bogotá, </w:t>
      </w:r>
      <w:r w:rsidR="007D2C04">
        <w:rPr>
          <w:rFonts w:ascii="Times New Roman" w:eastAsia="Times New Roman" w:hAnsi="Times New Roman" w:cs="Times New Roman"/>
          <w:sz w:val="24"/>
          <w:szCs w:val="24"/>
          <w:lang w:val="pt-BR"/>
        </w:rPr>
        <w:t>07</w:t>
      </w:r>
      <w:r w:rsidRPr="00EF28CC">
        <w:rPr>
          <w:rFonts w:ascii="Times New Roman" w:eastAsia="Times New Roman" w:hAnsi="Times New Roman" w:cs="Times New Roman"/>
          <w:sz w:val="24"/>
          <w:szCs w:val="24"/>
          <w:lang w:val="pt-BR"/>
        </w:rPr>
        <w:t xml:space="preserve"> de agosto de 2024</w:t>
      </w:r>
    </w:p>
    <w:p w14:paraId="036852C3" w14:textId="77777777" w:rsidR="00F32DFB" w:rsidRPr="00EF28CC" w:rsidRDefault="00F32DFB">
      <w:pPr>
        <w:pBdr>
          <w:top w:val="none" w:sz="4" w:space="0" w:color="000000"/>
          <w:left w:val="none" w:sz="4" w:space="0" w:color="000000"/>
          <w:bottom w:val="none" w:sz="4" w:space="0" w:color="000000"/>
          <w:right w:val="none" w:sz="4" w:space="0" w:color="000000"/>
          <w:between w:val="none" w:sz="4" w:space="0" w:color="000000"/>
        </w:pBdr>
        <w:spacing w:after="0"/>
        <w:contextualSpacing/>
        <w:jc w:val="center"/>
        <w:rPr>
          <w:rFonts w:ascii="Times New Roman" w:eastAsia="Times New Roman" w:hAnsi="Times New Roman" w:cs="Times New Roman"/>
          <w:sz w:val="24"/>
          <w:szCs w:val="24"/>
          <w:lang w:val="pt-BR"/>
        </w:rPr>
      </w:pPr>
    </w:p>
    <w:p w14:paraId="543BBA49" w14:textId="23D41982" w:rsidR="00F32DFB" w:rsidRPr="00EF28CC" w:rsidRDefault="007E62E7" w:rsidP="00314B21">
      <w:pPr>
        <w:spacing w:after="0" w:line="240" w:lineRule="auto"/>
        <w:contextualSpacing/>
        <w:rPr>
          <w:rFonts w:ascii="Times New Roman" w:eastAsia="Times New Roman" w:hAnsi="Times New Roman" w:cs="Times New Roman"/>
          <w:b/>
          <w:sz w:val="24"/>
          <w:szCs w:val="24"/>
          <w:lang w:val="es-ES"/>
        </w:rPr>
      </w:pPr>
      <w:r w:rsidRPr="00EF28CC">
        <w:rPr>
          <w:rFonts w:ascii="Times New Roman" w:eastAsia="Times New Roman" w:hAnsi="Times New Roman" w:cs="Times New Roman"/>
          <w:b/>
          <w:sz w:val="24"/>
          <w:szCs w:val="24"/>
          <w:lang w:val="es-ES"/>
        </w:rPr>
        <w:t xml:space="preserve">Comité </w:t>
      </w:r>
      <w:r w:rsidR="002C655F" w:rsidRPr="00EF28CC">
        <w:rPr>
          <w:rFonts w:ascii="Times New Roman" w:eastAsia="Times New Roman" w:hAnsi="Times New Roman" w:cs="Times New Roman"/>
          <w:b/>
          <w:sz w:val="24"/>
          <w:szCs w:val="24"/>
          <w:lang w:val="es-ES"/>
        </w:rPr>
        <w:t>de Derechos Económicos, sociales y culturales.</w:t>
      </w:r>
      <w:r w:rsidRPr="00EF28CC">
        <w:rPr>
          <w:rFonts w:ascii="Times New Roman" w:eastAsia="Times New Roman" w:hAnsi="Times New Roman" w:cs="Times New Roman"/>
          <w:b/>
          <w:sz w:val="24"/>
          <w:szCs w:val="24"/>
          <w:lang w:val="es-ES"/>
        </w:rPr>
        <w:t xml:space="preserve"> </w:t>
      </w:r>
    </w:p>
    <w:p w14:paraId="12666C3F" w14:textId="77777777" w:rsidR="00F32DFB" w:rsidRPr="00EF28CC" w:rsidRDefault="007E62E7" w:rsidP="00314B21">
      <w:pPr>
        <w:spacing w:after="0" w:line="240" w:lineRule="auto"/>
        <w:contextualSpacing/>
        <w:rPr>
          <w:rFonts w:ascii="Times New Roman" w:hAnsi="Times New Roman" w:cs="Times New Roman"/>
          <w:sz w:val="24"/>
          <w:szCs w:val="24"/>
          <w:lang w:val="es-ES"/>
        </w:rPr>
      </w:pPr>
      <w:r w:rsidRPr="00EF28CC">
        <w:rPr>
          <w:rFonts w:ascii="Times New Roman" w:hAnsi="Times New Roman" w:cs="Times New Roman"/>
          <w:sz w:val="24"/>
          <w:szCs w:val="24"/>
          <w:lang w:val="es-ES"/>
        </w:rPr>
        <w:t>Oficina del Alto Comisionado para los Derechos Humanos</w:t>
      </w:r>
    </w:p>
    <w:p w14:paraId="7E536BAC" w14:textId="77777777" w:rsidR="00F32DFB" w:rsidRPr="00EF28CC" w:rsidRDefault="007E62E7" w:rsidP="00314B21">
      <w:pPr>
        <w:spacing w:after="0" w:line="240" w:lineRule="auto"/>
        <w:contextualSpacing/>
        <w:rPr>
          <w:rFonts w:ascii="Times New Roman" w:hAnsi="Times New Roman" w:cs="Times New Roman"/>
          <w:sz w:val="24"/>
          <w:szCs w:val="24"/>
          <w:lang w:val="fr-FR"/>
        </w:rPr>
      </w:pPr>
      <w:r w:rsidRPr="00EF28CC">
        <w:rPr>
          <w:rFonts w:ascii="Times New Roman" w:hAnsi="Times New Roman" w:cs="Times New Roman"/>
          <w:sz w:val="24"/>
          <w:szCs w:val="24"/>
          <w:lang w:val="fr-FR"/>
        </w:rPr>
        <w:t>Palais Wilson</w:t>
      </w:r>
    </w:p>
    <w:p w14:paraId="6156ADED" w14:textId="289DC31C" w:rsidR="00F32DFB" w:rsidRDefault="007E62E7" w:rsidP="00314B21">
      <w:pPr>
        <w:spacing w:after="0" w:line="240" w:lineRule="auto"/>
        <w:contextualSpacing/>
        <w:rPr>
          <w:rFonts w:ascii="Times New Roman" w:hAnsi="Times New Roman" w:cs="Times New Roman"/>
          <w:sz w:val="24"/>
          <w:szCs w:val="24"/>
          <w:lang w:val="fr-FR"/>
        </w:rPr>
      </w:pPr>
      <w:r w:rsidRPr="00EF28CC">
        <w:rPr>
          <w:rFonts w:ascii="Times New Roman" w:hAnsi="Times New Roman" w:cs="Times New Roman"/>
          <w:sz w:val="24"/>
          <w:szCs w:val="24"/>
          <w:lang w:val="fr-FR"/>
        </w:rPr>
        <w:t xml:space="preserve">52, rue des Pâquis, </w:t>
      </w:r>
      <w:r w:rsidRPr="00EF28CC">
        <w:rPr>
          <w:rFonts w:ascii="Times New Roman" w:hAnsi="Times New Roman" w:cs="Times New Roman"/>
          <w:sz w:val="24"/>
          <w:szCs w:val="24"/>
          <w:lang w:val="fr-FR"/>
        </w:rPr>
        <w:br/>
        <w:t>Ginebra, Suiza</w:t>
      </w:r>
      <w:r w:rsidR="00612463">
        <w:rPr>
          <w:rFonts w:ascii="Times New Roman" w:hAnsi="Times New Roman" w:cs="Times New Roman"/>
          <w:sz w:val="24"/>
          <w:szCs w:val="24"/>
          <w:lang w:val="fr-FR"/>
        </w:rPr>
        <w:t xml:space="preserve"> </w:t>
      </w:r>
    </w:p>
    <w:p w14:paraId="78D5E8F7" w14:textId="77777777" w:rsidR="00AA0D08" w:rsidRPr="00EF28CC" w:rsidRDefault="00AA0D08" w:rsidP="00314B21">
      <w:pPr>
        <w:spacing w:after="0" w:line="240" w:lineRule="auto"/>
        <w:contextualSpacing/>
        <w:rPr>
          <w:rFonts w:ascii="Times New Roman" w:hAnsi="Times New Roman" w:cs="Times New Roman"/>
          <w:sz w:val="24"/>
          <w:szCs w:val="24"/>
          <w:lang w:val="fr-FR"/>
        </w:rPr>
      </w:pPr>
    </w:p>
    <w:p w14:paraId="555B5475" w14:textId="77777777" w:rsidR="00F32DFB" w:rsidRPr="00A57A41" w:rsidRDefault="00F32DFB" w:rsidP="00314B21">
      <w:pPr>
        <w:spacing w:after="0" w:line="240" w:lineRule="auto"/>
        <w:contextualSpacing/>
        <w:rPr>
          <w:rFonts w:ascii="Times New Roman" w:eastAsia="Times New Roman" w:hAnsi="Times New Roman" w:cs="Times New Roman"/>
          <w:b/>
          <w:bCs/>
          <w:i/>
          <w:iCs/>
          <w:sz w:val="24"/>
          <w:szCs w:val="24"/>
          <w:lang w:val="fr-FR"/>
        </w:rPr>
      </w:pPr>
    </w:p>
    <w:p w14:paraId="2BC3F3E8" w14:textId="10954E6E" w:rsidR="00F32DFB" w:rsidRDefault="007E62E7" w:rsidP="00314B21">
      <w:pPr>
        <w:spacing w:after="0" w:line="240" w:lineRule="auto"/>
        <w:contextualSpacing/>
        <w:jc w:val="right"/>
        <w:rPr>
          <w:rFonts w:ascii="Times New Roman" w:eastAsia="Times New Roman" w:hAnsi="Times New Roman" w:cs="Times New Roman"/>
          <w:b/>
          <w:bCs/>
          <w:sz w:val="24"/>
          <w:szCs w:val="24"/>
          <w:lang w:val="es-ES"/>
        </w:rPr>
      </w:pPr>
      <w:r w:rsidRPr="00EF28CC">
        <w:rPr>
          <w:rFonts w:ascii="Times New Roman" w:eastAsia="Times New Roman" w:hAnsi="Times New Roman" w:cs="Times New Roman"/>
          <w:b/>
          <w:bCs/>
          <w:i/>
          <w:iCs/>
          <w:sz w:val="24"/>
          <w:szCs w:val="24"/>
          <w:lang w:val="es-ES"/>
        </w:rPr>
        <w:t>Ref.</w:t>
      </w:r>
      <w:r w:rsidRPr="00EF28CC">
        <w:rPr>
          <w:rFonts w:ascii="Times New Roman" w:eastAsia="Times New Roman" w:hAnsi="Times New Roman" w:cs="Times New Roman"/>
          <w:b/>
          <w:bCs/>
          <w:sz w:val="24"/>
          <w:szCs w:val="24"/>
          <w:lang w:val="es-ES"/>
        </w:rPr>
        <w:t>: Informe alternativos para el</w:t>
      </w:r>
      <w:r w:rsidR="00C90B6A" w:rsidRPr="00EF28CC">
        <w:rPr>
          <w:rFonts w:ascii="Times New Roman" w:eastAsia="Times New Roman" w:hAnsi="Times New Roman" w:cs="Times New Roman"/>
          <w:b/>
          <w:bCs/>
          <w:sz w:val="24"/>
          <w:szCs w:val="24"/>
          <w:lang w:val="es-ES"/>
        </w:rPr>
        <w:t xml:space="preserve"> 76° </w:t>
      </w:r>
      <w:r w:rsidRPr="00EF28CC">
        <w:rPr>
          <w:rFonts w:ascii="Times New Roman" w:eastAsia="Times New Roman" w:hAnsi="Times New Roman" w:cs="Times New Roman"/>
          <w:b/>
          <w:bCs/>
          <w:sz w:val="24"/>
          <w:szCs w:val="24"/>
          <w:lang w:val="es-ES"/>
        </w:rPr>
        <w:t>período de sesiones del Comité de Derechos económicos, sociales y culturales.</w:t>
      </w:r>
    </w:p>
    <w:p w14:paraId="4CDAE3A4" w14:textId="77777777" w:rsidR="00AA0D08" w:rsidRPr="00EF28CC" w:rsidRDefault="00AA0D08" w:rsidP="00314B21">
      <w:pPr>
        <w:spacing w:after="0" w:line="240" w:lineRule="auto"/>
        <w:contextualSpacing/>
        <w:jc w:val="right"/>
        <w:rPr>
          <w:rFonts w:ascii="Times New Roman" w:eastAsia="Times New Roman" w:hAnsi="Times New Roman" w:cs="Times New Roman"/>
          <w:b/>
          <w:bCs/>
          <w:sz w:val="24"/>
          <w:szCs w:val="24"/>
          <w:lang w:val="es-ES"/>
        </w:rPr>
      </w:pPr>
    </w:p>
    <w:p w14:paraId="1770D83C" w14:textId="77777777" w:rsidR="00F32DFB" w:rsidRPr="00EF28CC" w:rsidRDefault="00F32DFB">
      <w:pPr>
        <w:pBdr>
          <w:top w:val="none" w:sz="4" w:space="0" w:color="000000"/>
          <w:left w:val="none" w:sz="4" w:space="0" w:color="000000"/>
          <w:bottom w:val="none" w:sz="4" w:space="0" w:color="000000"/>
          <w:right w:val="none" w:sz="4" w:space="0" w:color="000000"/>
          <w:between w:val="none" w:sz="4" w:space="0" w:color="000000"/>
        </w:pBdr>
        <w:spacing w:after="0"/>
        <w:contextualSpacing/>
        <w:jc w:val="both"/>
        <w:rPr>
          <w:rFonts w:ascii="Times New Roman" w:eastAsia="Times New Roman" w:hAnsi="Times New Roman" w:cs="Times New Roman"/>
          <w:sz w:val="24"/>
          <w:szCs w:val="24"/>
          <w:lang w:val="es-ES"/>
        </w:rPr>
      </w:pPr>
    </w:p>
    <w:p w14:paraId="5F243E2D" w14:textId="77777777" w:rsidR="00F32DFB" w:rsidRPr="00EF28CC" w:rsidRDefault="007E62E7" w:rsidP="007D2C04">
      <w:pPr>
        <w:pBdr>
          <w:top w:val="none" w:sz="4" w:space="0" w:color="000000"/>
          <w:left w:val="none" w:sz="4" w:space="0" w:color="000000"/>
          <w:bottom w:val="none" w:sz="4" w:space="0" w:color="000000"/>
          <w:right w:val="none" w:sz="4" w:space="0" w:color="000000"/>
          <w:between w:val="none" w:sz="4" w:space="0" w:color="000000"/>
        </w:pBdr>
        <w:spacing w:after="0" w:line="240" w:lineRule="auto"/>
        <w:contextualSpacing/>
        <w:jc w:val="both"/>
        <w:rPr>
          <w:rFonts w:ascii="Times New Roman" w:eastAsia="Times New Roman" w:hAnsi="Times New Roman" w:cs="Times New Roman"/>
          <w:sz w:val="24"/>
          <w:szCs w:val="24"/>
          <w:lang w:val="es-ES"/>
        </w:rPr>
      </w:pPr>
      <w:r w:rsidRPr="00EF28CC">
        <w:rPr>
          <w:rFonts w:ascii="Times New Roman" w:eastAsia="Times New Roman" w:hAnsi="Times New Roman" w:cs="Times New Roman"/>
          <w:sz w:val="24"/>
          <w:szCs w:val="24"/>
          <w:lang w:val="es-ES"/>
        </w:rPr>
        <w:t>Distinguido/as Miembros del</w:t>
      </w:r>
      <w:r w:rsidRPr="00EF28CC">
        <w:rPr>
          <w:rFonts w:ascii="Times New Roman" w:eastAsia="Times New Roman" w:hAnsi="Times New Roman" w:cs="Times New Roman"/>
          <w:bCs/>
          <w:sz w:val="24"/>
          <w:szCs w:val="24"/>
          <w:lang w:val="es-ES"/>
        </w:rPr>
        <w:t xml:space="preserve"> </w:t>
      </w:r>
      <w:r w:rsidRPr="00EF28CC">
        <w:rPr>
          <w:rFonts w:ascii="Times New Roman" w:eastAsia="Times New Roman" w:hAnsi="Times New Roman" w:cs="Times New Roman"/>
          <w:b/>
          <w:sz w:val="24"/>
          <w:szCs w:val="24"/>
          <w:lang w:val="es-ES"/>
        </w:rPr>
        <w:t>Comité de Derechos económicos, sociales y culturales</w:t>
      </w:r>
      <w:r w:rsidRPr="00EF28CC">
        <w:rPr>
          <w:rFonts w:ascii="Times New Roman" w:eastAsia="Times New Roman" w:hAnsi="Times New Roman" w:cs="Times New Roman"/>
          <w:sz w:val="24"/>
          <w:szCs w:val="24"/>
          <w:lang w:val="es-ES"/>
        </w:rPr>
        <w:t>:</w:t>
      </w:r>
    </w:p>
    <w:p w14:paraId="0C723006" w14:textId="77777777" w:rsidR="00F32DFB" w:rsidRPr="00EF28CC" w:rsidRDefault="00F32DFB" w:rsidP="00612463">
      <w:pPr>
        <w:pBdr>
          <w:top w:val="none" w:sz="4" w:space="0" w:color="000000"/>
          <w:left w:val="none" w:sz="4" w:space="0" w:color="000000"/>
          <w:bottom w:val="none" w:sz="4" w:space="0" w:color="000000"/>
          <w:right w:val="none" w:sz="4" w:space="0" w:color="000000"/>
          <w:between w:val="none" w:sz="4" w:space="0" w:color="000000"/>
        </w:pBdr>
        <w:spacing w:after="0" w:line="240" w:lineRule="auto"/>
        <w:contextualSpacing/>
        <w:jc w:val="both"/>
        <w:rPr>
          <w:rFonts w:ascii="Times New Roman" w:eastAsia="Times New Roman" w:hAnsi="Times New Roman" w:cs="Times New Roman"/>
          <w:b/>
          <w:bCs/>
          <w:sz w:val="24"/>
          <w:szCs w:val="24"/>
          <w:lang w:val="es-ES"/>
        </w:rPr>
      </w:pPr>
    </w:p>
    <w:p w14:paraId="13A90A55" w14:textId="36057282" w:rsidR="00F32DFB" w:rsidRPr="00EF28CC" w:rsidRDefault="007E62E7" w:rsidP="007D2C04">
      <w:pPr>
        <w:spacing w:after="0" w:line="240" w:lineRule="auto"/>
        <w:contextualSpacing/>
        <w:jc w:val="both"/>
        <w:rPr>
          <w:rFonts w:ascii="Times New Roman" w:eastAsia="Times New Roman" w:hAnsi="Times New Roman" w:cs="Times New Roman"/>
          <w:sz w:val="24"/>
          <w:szCs w:val="24"/>
          <w:lang w:val="es-ES"/>
        </w:rPr>
      </w:pPr>
      <w:r w:rsidRPr="00EF28CC">
        <w:rPr>
          <w:rFonts w:ascii="Times New Roman" w:eastAsia="Times New Roman" w:hAnsi="Times New Roman" w:cs="Times New Roman"/>
          <w:sz w:val="24"/>
          <w:szCs w:val="24"/>
          <w:lang w:val="es-ES"/>
        </w:rPr>
        <w:t>El</w:t>
      </w:r>
      <w:r w:rsidRPr="00EF28CC">
        <w:rPr>
          <w:rFonts w:ascii="Times New Roman" w:eastAsia="Times New Roman" w:hAnsi="Times New Roman" w:cs="Times New Roman"/>
          <w:b/>
          <w:bCs/>
          <w:sz w:val="24"/>
          <w:szCs w:val="24"/>
          <w:lang w:val="es-ES"/>
        </w:rPr>
        <w:t xml:space="preserve"> Centro de Derechos de Mujeres (CDM)</w:t>
      </w:r>
      <w:r w:rsidR="00603DB0" w:rsidRPr="00EF28CC">
        <w:rPr>
          <w:rFonts w:ascii="Times New Roman" w:eastAsia="Times New Roman" w:hAnsi="Times New Roman" w:cs="Times New Roman"/>
          <w:b/>
          <w:bCs/>
          <w:sz w:val="24"/>
          <w:szCs w:val="24"/>
          <w:vertAlign w:val="superscript"/>
        </w:rPr>
        <w:endnoteReference w:id="2"/>
      </w:r>
      <w:r w:rsidRPr="00EF28CC">
        <w:rPr>
          <w:rFonts w:ascii="Times New Roman" w:eastAsia="Times New Roman" w:hAnsi="Times New Roman" w:cs="Times New Roman"/>
          <w:b/>
          <w:bCs/>
          <w:sz w:val="24"/>
          <w:szCs w:val="24"/>
          <w:lang w:val="es-ES"/>
        </w:rPr>
        <w:t xml:space="preserve">, </w:t>
      </w:r>
      <w:r w:rsidRPr="00EF28CC">
        <w:rPr>
          <w:rFonts w:ascii="Times New Roman" w:eastAsia="Times New Roman" w:hAnsi="Times New Roman" w:cs="Times New Roman"/>
          <w:sz w:val="24"/>
          <w:szCs w:val="24"/>
          <w:lang w:val="es-ES"/>
        </w:rPr>
        <w:t>y</w:t>
      </w:r>
      <w:r w:rsidRPr="00EF28CC">
        <w:rPr>
          <w:rFonts w:ascii="Times New Roman" w:eastAsia="Times New Roman" w:hAnsi="Times New Roman" w:cs="Times New Roman"/>
          <w:b/>
          <w:bCs/>
          <w:sz w:val="24"/>
          <w:szCs w:val="24"/>
          <w:lang w:val="es-ES"/>
        </w:rPr>
        <w:t xml:space="preserve"> </w:t>
      </w:r>
      <w:r w:rsidRPr="00EF28CC">
        <w:rPr>
          <w:rFonts w:ascii="Times New Roman" w:eastAsia="Times New Roman" w:hAnsi="Times New Roman" w:cs="Times New Roman"/>
          <w:sz w:val="24"/>
          <w:szCs w:val="24"/>
          <w:lang w:val="es-ES"/>
        </w:rPr>
        <w:t xml:space="preserve">el </w:t>
      </w:r>
      <w:r w:rsidRPr="00EF28CC">
        <w:rPr>
          <w:rFonts w:ascii="Times New Roman" w:eastAsia="Times New Roman" w:hAnsi="Times New Roman" w:cs="Times New Roman"/>
          <w:b/>
          <w:bCs/>
          <w:sz w:val="24"/>
          <w:szCs w:val="24"/>
          <w:lang w:val="es-ES"/>
        </w:rPr>
        <w:t>Centro de Derechos Reproductivos</w:t>
      </w:r>
      <w:r w:rsidRPr="00EF28CC">
        <w:rPr>
          <w:rFonts w:ascii="Times New Roman" w:eastAsia="Times New Roman" w:hAnsi="Times New Roman" w:cs="Times New Roman"/>
          <w:sz w:val="24"/>
          <w:szCs w:val="24"/>
          <w:lang w:val="es-ES"/>
        </w:rPr>
        <w:t xml:space="preserve"> (</w:t>
      </w:r>
      <w:r w:rsidRPr="00EF28CC">
        <w:rPr>
          <w:rFonts w:ascii="Times New Roman" w:eastAsia="Times New Roman" w:hAnsi="Times New Roman" w:cs="Times New Roman"/>
          <w:b/>
          <w:bCs/>
          <w:sz w:val="24"/>
          <w:szCs w:val="24"/>
          <w:lang w:val="es-ES"/>
        </w:rPr>
        <w:t xml:space="preserve">CRR, </w:t>
      </w:r>
      <w:r w:rsidRPr="00EF28CC">
        <w:rPr>
          <w:rFonts w:ascii="Times New Roman" w:eastAsia="Times New Roman" w:hAnsi="Times New Roman" w:cs="Times New Roman"/>
          <w:sz w:val="24"/>
          <w:szCs w:val="24"/>
          <w:lang w:val="es-ES"/>
        </w:rPr>
        <w:t>por sus siglas en inglés)</w:t>
      </w:r>
      <w:r w:rsidRPr="00EF28CC">
        <w:rPr>
          <w:rFonts w:ascii="Times New Roman" w:eastAsia="Times New Roman" w:hAnsi="Times New Roman" w:cs="Times New Roman"/>
          <w:sz w:val="24"/>
          <w:szCs w:val="24"/>
          <w:vertAlign w:val="superscript"/>
        </w:rPr>
        <w:endnoteReference w:id="3"/>
      </w:r>
      <w:r w:rsidR="00603DB0" w:rsidRPr="00EF28CC">
        <w:rPr>
          <w:rFonts w:ascii="Times New Roman" w:eastAsia="Times New Roman" w:hAnsi="Times New Roman" w:cs="Times New Roman"/>
          <w:sz w:val="24"/>
          <w:szCs w:val="24"/>
          <w:lang w:val="es-ES"/>
        </w:rPr>
        <w:t>,</w:t>
      </w:r>
      <w:r w:rsidRPr="00EF28CC">
        <w:rPr>
          <w:rFonts w:ascii="Times New Roman" w:eastAsia="Times New Roman" w:hAnsi="Times New Roman" w:cs="Times New Roman"/>
          <w:sz w:val="24"/>
          <w:szCs w:val="24"/>
          <w:lang w:val="es-ES"/>
        </w:rPr>
        <w:t xml:space="preserve"> en el marco del</w:t>
      </w:r>
      <w:r w:rsidR="00C90B6A" w:rsidRPr="00EF28CC">
        <w:rPr>
          <w:rFonts w:ascii="Times New Roman" w:eastAsia="Times New Roman" w:hAnsi="Times New Roman" w:cs="Times New Roman"/>
          <w:sz w:val="24"/>
          <w:szCs w:val="24"/>
          <w:lang w:val="es-ES"/>
        </w:rPr>
        <w:t xml:space="preserve"> 76° </w:t>
      </w:r>
      <w:r w:rsidRPr="00EF28CC">
        <w:rPr>
          <w:rFonts w:ascii="Times New Roman" w:eastAsia="Times New Roman" w:hAnsi="Times New Roman" w:cs="Times New Roman"/>
          <w:sz w:val="24"/>
          <w:szCs w:val="24"/>
          <w:lang w:val="es-ES"/>
        </w:rPr>
        <w:t xml:space="preserve">período de sesiones del Comité de Derechos económicos, sociales y culturales (en adelante “El Comité”), presentamos esta comunicación para aportar información actualizada e independiente respecto al continuo incumplimiento del Estado de Honduras de sus obligaciones bajo el Pacto Internacional de Derechos económicos, sociales y culturales (PIDESC). </w:t>
      </w:r>
    </w:p>
    <w:p w14:paraId="56FE228A" w14:textId="69BFF336" w:rsidR="00F32DFB" w:rsidRPr="00EF28CC" w:rsidRDefault="00F32DFB" w:rsidP="007D2C04">
      <w:pPr>
        <w:spacing w:after="0" w:line="240" w:lineRule="auto"/>
        <w:contextualSpacing/>
        <w:jc w:val="both"/>
        <w:rPr>
          <w:rFonts w:ascii="Times New Roman" w:eastAsia="Times New Roman" w:hAnsi="Times New Roman" w:cs="Times New Roman"/>
          <w:sz w:val="24"/>
          <w:szCs w:val="24"/>
          <w:lang w:val="es-ES"/>
        </w:rPr>
      </w:pPr>
    </w:p>
    <w:p w14:paraId="6E7FE2CB" w14:textId="3792EE90" w:rsidR="00F32DFB" w:rsidRDefault="27C715F1" w:rsidP="007D2C04">
      <w:pPr>
        <w:spacing w:after="0" w:line="240" w:lineRule="auto"/>
        <w:contextualSpacing/>
        <w:jc w:val="both"/>
        <w:rPr>
          <w:rFonts w:ascii="Times New Roman" w:eastAsia="Times New Roman" w:hAnsi="Times New Roman" w:cs="Times New Roman"/>
          <w:sz w:val="24"/>
          <w:szCs w:val="24"/>
          <w:lang w:val="es-ES"/>
        </w:rPr>
      </w:pPr>
      <w:r w:rsidRPr="00EF28CC">
        <w:rPr>
          <w:rFonts w:ascii="Times New Roman" w:eastAsia="Times New Roman" w:hAnsi="Times New Roman" w:cs="Times New Roman"/>
          <w:sz w:val="24"/>
          <w:szCs w:val="24"/>
          <w:lang w:val="es-ES"/>
        </w:rPr>
        <w:t>En l</w:t>
      </w:r>
      <w:r w:rsidR="2CDE0710" w:rsidRPr="00EF28CC">
        <w:rPr>
          <w:rFonts w:ascii="Times New Roman" w:eastAsia="Times New Roman" w:hAnsi="Times New Roman" w:cs="Times New Roman"/>
          <w:sz w:val="24"/>
          <w:szCs w:val="24"/>
          <w:lang w:val="es-ES"/>
        </w:rPr>
        <w:t xml:space="preserve">a presente comunicación, </w:t>
      </w:r>
      <w:r w:rsidR="2CDE0710" w:rsidRPr="00EF28CC">
        <w:rPr>
          <w:rFonts w:ascii="Times New Roman" w:eastAsia="Times New Roman" w:hAnsi="Times New Roman" w:cs="Times New Roman"/>
          <w:i/>
          <w:iCs/>
          <w:sz w:val="24"/>
          <w:szCs w:val="24"/>
          <w:lang w:val="es-ES"/>
        </w:rPr>
        <w:t>primero</w:t>
      </w:r>
      <w:r w:rsidR="2CDE0710" w:rsidRPr="00EF28CC">
        <w:rPr>
          <w:rFonts w:ascii="Times New Roman" w:eastAsia="Times New Roman" w:hAnsi="Times New Roman" w:cs="Times New Roman"/>
          <w:sz w:val="24"/>
          <w:szCs w:val="24"/>
          <w:lang w:val="es-ES"/>
        </w:rPr>
        <w:t xml:space="preserve">, abordaremos el marco normativo restrictivo respecto de los derechos sexuales y reproductivos existente en el país; </w:t>
      </w:r>
      <w:r w:rsidR="2CDE0710" w:rsidRPr="00EF28CC">
        <w:rPr>
          <w:rFonts w:ascii="Times New Roman" w:eastAsia="Times New Roman" w:hAnsi="Times New Roman" w:cs="Times New Roman"/>
          <w:i/>
          <w:iCs/>
          <w:sz w:val="24"/>
          <w:szCs w:val="24"/>
          <w:lang w:val="es-ES"/>
        </w:rPr>
        <w:t>segundo</w:t>
      </w:r>
      <w:r w:rsidR="2CDE0710" w:rsidRPr="00EF28CC">
        <w:rPr>
          <w:rFonts w:ascii="Times New Roman" w:eastAsia="Times New Roman" w:hAnsi="Times New Roman" w:cs="Times New Roman"/>
          <w:sz w:val="24"/>
          <w:szCs w:val="24"/>
          <w:lang w:val="es-ES"/>
        </w:rPr>
        <w:t xml:space="preserve">, expondremos las dificultades de las niñas y las mujeres para acceder a una educación sexual integral y de calidad. </w:t>
      </w:r>
      <w:r w:rsidR="2CDE0710" w:rsidRPr="00EF28CC">
        <w:rPr>
          <w:rFonts w:ascii="Times New Roman" w:eastAsia="Times New Roman" w:hAnsi="Times New Roman" w:cs="Times New Roman"/>
          <w:i/>
          <w:iCs/>
          <w:sz w:val="24"/>
          <w:szCs w:val="24"/>
          <w:lang w:val="es-ES"/>
        </w:rPr>
        <w:t>Tercero</w:t>
      </w:r>
      <w:r w:rsidR="2CDE0710" w:rsidRPr="00EF28CC">
        <w:rPr>
          <w:rFonts w:ascii="Times New Roman" w:eastAsia="Times New Roman" w:hAnsi="Times New Roman" w:cs="Times New Roman"/>
          <w:sz w:val="24"/>
          <w:szCs w:val="24"/>
          <w:lang w:val="es-ES"/>
        </w:rPr>
        <w:t xml:space="preserve">, mostraremos los altos índices de violencia contra las mujeres. </w:t>
      </w:r>
      <w:r w:rsidR="2CDE0710" w:rsidRPr="00EF28CC">
        <w:rPr>
          <w:rFonts w:ascii="Times New Roman" w:eastAsia="Times New Roman" w:hAnsi="Times New Roman" w:cs="Times New Roman"/>
          <w:i/>
          <w:iCs/>
          <w:sz w:val="24"/>
          <w:szCs w:val="24"/>
          <w:lang w:val="es-ES"/>
        </w:rPr>
        <w:t>Cuarto</w:t>
      </w:r>
      <w:r w:rsidR="2CDE0710" w:rsidRPr="00EF28CC">
        <w:rPr>
          <w:rFonts w:ascii="Times New Roman" w:eastAsia="Times New Roman" w:hAnsi="Times New Roman" w:cs="Times New Roman"/>
          <w:sz w:val="24"/>
          <w:szCs w:val="24"/>
          <w:lang w:val="es-ES"/>
        </w:rPr>
        <w:t xml:space="preserve">, evaluaremos el acceso a la Píldora Anticonceptiva de Emergencia. </w:t>
      </w:r>
      <w:r w:rsidR="2CDE0710" w:rsidRPr="00EF28CC">
        <w:rPr>
          <w:rFonts w:ascii="Times New Roman" w:eastAsia="Times New Roman" w:hAnsi="Times New Roman" w:cs="Times New Roman"/>
          <w:i/>
          <w:iCs/>
          <w:sz w:val="24"/>
          <w:szCs w:val="24"/>
          <w:lang w:val="es-ES"/>
        </w:rPr>
        <w:t>Finalmente</w:t>
      </w:r>
      <w:r w:rsidR="2CDE0710" w:rsidRPr="00EF28CC">
        <w:rPr>
          <w:rFonts w:ascii="Times New Roman" w:eastAsia="Times New Roman" w:hAnsi="Times New Roman" w:cs="Times New Roman"/>
          <w:sz w:val="24"/>
          <w:szCs w:val="24"/>
          <w:lang w:val="es-ES"/>
        </w:rPr>
        <w:t xml:space="preserve">, presentaremos una lista de recomendaciones que respetuosamente proponemos el Comité realice al Estado. </w:t>
      </w:r>
      <w:bookmarkEnd w:id="0"/>
    </w:p>
    <w:p w14:paraId="51357344" w14:textId="77777777" w:rsidR="005068F3" w:rsidRPr="00EF28CC" w:rsidRDefault="005068F3" w:rsidP="007D2C04">
      <w:pPr>
        <w:spacing w:after="0" w:line="240" w:lineRule="auto"/>
        <w:contextualSpacing/>
        <w:jc w:val="both"/>
        <w:rPr>
          <w:rFonts w:ascii="Times New Roman" w:eastAsia="Times New Roman" w:hAnsi="Times New Roman" w:cs="Times New Roman"/>
          <w:sz w:val="24"/>
          <w:szCs w:val="24"/>
          <w:lang w:val="es-ES"/>
        </w:rPr>
      </w:pPr>
    </w:p>
    <w:p w14:paraId="3B2C7DB5" w14:textId="77777777" w:rsidR="00F32DFB" w:rsidRPr="00EF28CC" w:rsidRDefault="00F32DFB">
      <w:pPr>
        <w:pStyle w:val="BodyText"/>
        <w:spacing w:before="0" w:after="0"/>
        <w:ind w:firstLine="0"/>
        <w:rPr>
          <w:szCs w:val="24"/>
          <w:lang w:val="es-ES"/>
        </w:rPr>
      </w:pPr>
    </w:p>
    <w:p w14:paraId="34DF5B40" w14:textId="16ACA6DC" w:rsidR="00F32DFB" w:rsidRPr="00EF28CC" w:rsidRDefault="007E62E7">
      <w:pPr>
        <w:pStyle w:val="Lindas3"/>
        <w:spacing w:before="0" w:after="0" w:line="240" w:lineRule="auto"/>
        <w:ind w:left="709" w:hanging="709"/>
        <w:rPr>
          <w:b/>
          <w:lang w:val="es-ES"/>
        </w:rPr>
      </w:pPr>
      <w:r w:rsidRPr="00EF28CC">
        <w:rPr>
          <w:b/>
          <w:lang w:val="es-ES"/>
        </w:rPr>
        <w:t>I</w:t>
      </w:r>
      <w:r w:rsidR="00612463">
        <w:rPr>
          <w:b/>
          <w:lang w:val="es-ES"/>
        </w:rPr>
        <w:t>.</w:t>
      </w:r>
      <w:r w:rsidRPr="00EF28CC">
        <w:rPr>
          <w:b/>
          <w:lang w:val="es-ES"/>
        </w:rPr>
        <w:tab/>
        <w:t xml:space="preserve">Penalización del aborto </w:t>
      </w:r>
      <w:r w:rsidRPr="00EF28CC">
        <w:rPr>
          <w:b/>
          <w:bCs/>
          <w:lang w:val="es-ES"/>
        </w:rPr>
        <w:t>en</w:t>
      </w:r>
      <w:r w:rsidRPr="00EF28CC">
        <w:rPr>
          <w:b/>
          <w:lang w:val="es-ES"/>
        </w:rPr>
        <w:t xml:space="preserve"> Honduras y falta de garantía de acceso efectivo al aborto seguro y a los servicios sanitarios conexos</w:t>
      </w:r>
    </w:p>
    <w:p w14:paraId="77BC7F90" w14:textId="77777777" w:rsidR="00F32DFB" w:rsidRPr="00EF28CC" w:rsidRDefault="00F32DFB">
      <w:pPr>
        <w:pStyle w:val="BodyText"/>
        <w:spacing w:before="0" w:after="0"/>
        <w:rPr>
          <w:szCs w:val="24"/>
          <w:lang w:val="es-ES"/>
        </w:rPr>
      </w:pPr>
    </w:p>
    <w:p w14:paraId="1576A4EF" w14:textId="75B256B9" w:rsidR="00F32DFB" w:rsidRPr="00EF28CC" w:rsidRDefault="007E62E7" w:rsidP="007D2C04">
      <w:pPr>
        <w:pStyle w:val="Lindas3"/>
        <w:numPr>
          <w:ilvl w:val="0"/>
          <w:numId w:val="6"/>
        </w:numPr>
        <w:spacing w:after="0" w:line="240" w:lineRule="auto"/>
        <w:ind w:left="426" w:hanging="426"/>
        <w:rPr>
          <w:lang w:val="es-ES"/>
        </w:rPr>
      </w:pPr>
      <w:r w:rsidRPr="00EF28CC">
        <w:rPr>
          <w:lang w:val="es-ES"/>
        </w:rPr>
        <w:t>Honduras es uno de los 16 países del mundo donde</w:t>
      </w:r>
      <w:r w:rsidR="008D640A" w:rsidRPr="00EF28CC">
        <w:rPr>
          <w:lang w:val="es-ES"/>
        </w:rPr>
        <w:t xml:space="preserve"> </w:t>
      </w:r>
      <w:r w:rsidRPr="00EF28CC">
        <w:rPr>
          <w:lang w:val="es-ES"/>
        </w:rPr>
        <w:t>el aborto es ilegal en todas las circunstancias</w:t>
      </w:r>
      <w:r w:rsidRPr="00EF28CC">
        <w:rPr>
          <w:rStyle w:val="EndnoteReference"/>
          <w:lang w:val="en"/>
        </w:rPr>
        <w:endnoteReference w:id="4"/>
      </w:r>
      <w:r w:rsidR="00603DB0" w:rsidRPr="00EF28CC">
        <w:rPr>
          <w:lang w:val="es-ES"/>
        </w:rPr>
        <w:t>.</w:t>
      </w:r>
      <w:r w:rsidRPr="00EF28CC">
        <w:rPr>
          <w:lang w:val="es-ES"/>
        </w:rPr>
        <w:t xml:space="preserve"> El aborto está prohibido en Honduras en virtud de su C</w:t>
      </w:r>
      <w:r w:rsidR="000F5AC3" w:rsidRPr="00EF28CC">
        <w:rPr>
          <w:lang w:val="es-ES"/>
        </w:rPr>
        <w:t>ódigo Penal</w:t>
      </w:r>
      <w:r w:rsidR="008D640A" w:rsidRPr="00EF28CC">
        <w:rPr>
          <w:lang w:val="es-ES"/>
        </w:rPr>
        <w:t xml:space="preserve"> </w:t>
      </w:r>
      <w:r w:rsidRPr="00EF28CC">
        <w:rPr>
          <w:lang w:val="es-ES"/>
        </w:rPr>
        <w:t>desde 198</w:t>
      </w:r>
      <w:r w:rsidR="008D640A" w:rsidRPr="00EF28CC">
        <w:rPr>
          <w:lang w:val="es-ES"/>
        </w:rPr>
        <w:t>3</w:t>
      </w:r>
      <w:r w:rsidR="008D640A" w:rsidRPr="00EF28CC">
        <w:rPr>
          <w:rStyle w:val="EndnoteReference"/>
          <w:lang w:val="es-ES"/>
        </w:rPr>
        <w:endnoteReference w:id="5"/>
      </w:r>
      <w:r w:rsidR="008D640A" w:rsidRPr="00EF28CC">
        <w:rPr>
          <w:lang w:val="es-ES"/>
        </w:rPr>
        <w:t xml:space="preserve"> y </w:t>
      </w:r>
      <w:r w:rsidR="2E253C2A" w:rsidRPr="00EF28CC">
        <w:rPr>
          <w:lang w:val="es-ES"/>
        </w:rPr>
        <w:t>l</w:t>
      </w:r>
      <w:r w:rsidR="008D640A" w:rsidRPr="00EF28CC">
        <w:rPr>
          <w:lang w:val="es-ES"/>
        </w:rPr>
        <w:t>a prohibición</w:t>
      </w:r>
      <w:r w:rsidR="00612463">
        <w:rPr>
          <w:lang w:val="es-ES"/>
        </w:rPr>
        <w:t xml:space="preserve"> fue</w:t>
      </w:r>
      <w:r w:rsidR="008D640A" w:rsidRPr="00EF28CC">
        <w:rPr>
          <w:lang w:val="es-ES"/>
        </w:rPr>
        <w:t xml:space="preserve"> </w:t>
      </w:r>
      <w:r w:rsidR="00612463" w:rsidRPr="00EF28CC">
        <w:rPr>
          <w:lang w:val="es-ES"/>
        </w:rPr>
        <w:t xml:space="preserve">elevada </w:t>
      </w:r>
      <w:r w:rsidR="00612463">
        <w:rPr>
          <w:lang w:val="es-ES"/>
        </w:rPr>
        <w:t>a rango constitucional</w:t>
      </w:r>
      <w:r w:rsidR="008D640A" w:rsidRPr="00EF28CC">
        <w:rPr>
          <w:lang w:val="es-ES"/>
        </w:rPr>
        <w:t xml:space="preserve"> desde 2021</w:t>
      </w:r>
      <w:r w:rsidR="001C61AF" w:rsidRPr="00EF28CC">
        <w:rPr>
          <w:rStyle w:val="EndnoteReference"/>
          <w:lang w:val="es-ES"/>
        </w:rPr>
        <w:endnoteReference w:id="6"/>
      </w:r>
      <w:r w:rsidR="00603DB0" w:rsidRPr="00EF28CC">
        <w:rPr>
          <w:lang w:val="es-ES"/>
        </w:rPr>
        <w:t>.</w:t>
      </w:r>
      <w:r w:rsidRPr="00EF28CC">
        <w:rPr>
          <w:lang w:val="es-ES"/>
        </w:rPr>
        <w:t xml:space="preserve"> </w:t>
      </w:r>
    </w:p>
    <w:p w14:paraId="03A234C7" w14:textId="236E023C" w:rsidR="00F32DFB" w:rsidRPr="00EF28CC" w:rsidRDefault="007E62E7" w:rsidP="007D2C04">
      <w:pPr>
        <w:pStyle w:val="Lindas3"/>
        <w:numPr>
          <w:ilvl w:val="0"/>
          <w:numId w:val="6"/>
        </w:numPr>
        <w:spacing w:after="0" w:line="240" w:lineRule="auto"/>
        <w:ind w:left="426" w:hanging="426"/>
        <w:rPr>
          <w:lang w:val="es-ES"/>
        </w:rPr>
      </w:pPr>
      <w:r w:rsidRPr="00EF28CC">
        <w:rPr>
          <w:lang w:val="es-ES"/>
        </w:rPr>
        <w:t xml:space="preserve">En 2016, </w:t>
      </w:r>
      <w:r w:rsidR="19BFDC2D" w:rsidRPr="00EF28CC">
        <w:rPr>
          <w:lang w:val="es-ES"/>
        </w:rPr>
        <w:t>l</w:t>
      </w:r>
      <w:r w:rsidRPr="00EF28CC">
        <w:rPr>
          <w:lang w:val="es-ES"/>
        </w:rPr>
        <w:t>a Secretar</w:t>
      </w:r>
      <w:r w:rsidR="2DF3D1AD" w:rsidRPr="00EF28CC">
        <w:rPr>
          <w:lang w:val="es-ES"/>
        </w:rPr>
        <w:t>í</w:t>
      </w:r>
      <w:r w:rsidRPr="00EF28CC">
        <w:rPr>
          <w:lang w:val="es-ES"/>
        </w:rPr>
        <w:t>a de Salud aprobó la Política Nacional de Salud Sexual y Reproductiva que recomendaba actualizar la legislación nacional para permitir el aborto terapéutico</w:t>
      </w:r>
      <w:r w:rsidRPr="00EF28CC">
        <w:rPr>
          <w:rStyle w:val="EndnoteReference"/>
          <w:lang w:val="en"/>
        </w:rPr>
        <w:endnoteReference w:id="7"/>
      </w:r>
      <w:r w:rsidR="00603DB0" w:rsidRPr="00EF28CC">
        <w:rPr>
          <w:lang w:val="es-ES"/>
        </w:rPr>
        <w:t>.</w:t>
      </w:r>
      <w:r w:rsidRPr="00EF28CC">
        <w:rPr>
          <w:lang w:val="es-ES"/>
        </w:rPr>
        <w:t xml:space="preserve"> Sin embargo, en abril de 2017, al revisar el Código Penal, los legisladores hondureños rechazaron la propuesta de que se permitiera la interrupción voluntaria del embarazo al menos en casos de violación, malformación fetal</w:t>
      </w:r>
      <w:r w:rsidR="001C61AF" w:rsidRPr="00EF28CC">
        <w:rPr>
          <w:lang w:val="es-ES"/>
        </w:rPr>
        <w:t xml:space="preserve"> incompatible con la vida</w:t>
      </w:r>
      <w:r w:rsidRPr="00EF28CC">
        <w:rPr>
          <w:lang w:val="es-ES"/>
        </w:rPr>
        <w:t xml:space="preserve"> o cuando la continuación del embarazo suponga un riesgo para la vida de la madre</w:t>
      </w:r>
      <w:r w:rsidRPr="00EF28CC">
        <w:rPr>
          <w:rStyle w:val="EndnoteReference"/>
          <w:lang w:val="en"/>
        </w:rPr>
        <w:endnoteReference w:id="8"/>
      </w:r>
      <w:bookmarkStart w:id="1" w:name="_Hlk130991397"/>
      <w:r w:rsidR="00A251C9" w:rsidRPr="00EF28CC">
        <w:rPr>
          <w:lang w:val="es-ES"/>
        </w:rPr>
        <w:t>.</w:t>
      </w:r>
      <w:r w:rsidRPr="00EF28CC">
        <w:rPr>
          <w:lang w:val="es-ES"/>
        </w:rPr>
        <w:t xml:space="preserve"> En 2019, Honduras mantuvo esta penalización absoluta en el nuevo Código Penal, que entró en vigor en junio de 2020</w:t>
      </w:r>
      <w:r w:rsidR="002B32C4" w:rsidRPr="00EF28CC">
        <w:rPr>
          <w:rStyle w:val="EndnoteReference"/>
          <w:lang w:val="es-ES"/>
        </w:rPr>
        <w:endnoteReference w:id="9"/>
      </w:r>
      <w:r w:rsidRPr="00EF28CC">
        <w:rPr>
          <w:lang w:val="es-ES"/>
        </w:rPr>
        <w:t xml:space="preserve">. </w:t>
      </w:r>
    </w:p>
    <w:p w14:paraId="00CF6281" w14:textId="34C703AF" w:rsidR="00F32DFB" w:rsidRPr="00EF28CC" w:rsidRDefault="007E62E7" w:rsidP="007D2C04">
      <w:pPr>
        <w:pStyle w:val="Lindas3"/>
        <w:numPr>
          <w:ilvl w:val="0"/>
          <w:numId w:val="6"/>
        </w:numPr>
        <w:spacing w:after="0" w:line="240" w:lineRule="auto"/>
        <w:ind w:left="426" w:hanging="426"/>
        <w:rPr>
          <w:lang w:val="es-ES"/>
        </w:rPr>
      </w:pPr>
      <w:r w:rsidRPr="00EF28CC">
        <w:rPr>
          <w:lang w:val="es-ES"/>
        </w:rPr>
        <w:lastRenderedPageBreak/>
        <w:t>El Código Penal vigente define el aborto en su artículo 196 como "</w:t>
      </w:r>
      <w:r w:rsidRPr="00EF28CC">
        <w:rPr>
          <w:i/>
          <w:iCs/>
          <w:lang w:val="es-ES"/>
        </w:rPr>
        <w:t xml:space="preserve">la muerte de un ser humano en cualquier momento del embarazo o durante el </w:t>
      </w:r>
      <w:r w:rsidRPr="00EF28CC">
        <w:rPr>
          <w:lang w:val="es-ES"/>
        </w:rPr>
        <w:t>parto"</w:t>
      </w:r>
      <w:r w:rsidRPr="00EF28CC">
        <w:rPr>
          <w:rStyle w:val="EndnoteReference"/>
          <w:lang w:val="en"/>
        </w:rPr>
        <w:endnoteReference w:id="10"/>
      </w:r>
      <w:r w:rsidRPr="00EF28CC">
        <w:rPr>
          <w:lang w:val="es-ES"/>
        </w:rPr>
        <w:t>, y se castiga con penas de prisión de entre tres y seis años para la mujer condenada por abortar intencionadamente, y con penas de prisión de hasta 10 años para los profesionales de la salud o cualquier persona condenada por practicar un aborto</w:t>
      </w:r>
      <w:r w:rsidRPr="00EF28CC">
        <w:rPr>
          <w:rStyle w:val="EndnoteReference"/>
          <w:lang w:val="en"/>
        </w:rPr>
        <w:endnoteReference w:id="11"/>
      </w:r>
      <w:bookmarkEnd w:id="1"/>
      <w:r w:rsidR="00A251C9" w:rsidRPr="00EF28CC">
        <w:rPr>
          <w:lang w:val="es-ES"/>
        </w:rPr>
        <w:t>.</w:t>
      </w:r>
    </w:p>
    <w:p w14:paraId="2F02A8C9" w14:textId="083337F2" w:rsidR="00F32DFB" w:rsidRPr="00EF28CC" w:rsidRDefault="007E62E7" w:rsidP="007D2C04">
      <w:pPr>
        <w:pStyle w:val="Lindas3"/>
        <w:numPr>
          <w:ilvl w:val="0"/>
          <w:numId w:val="6"/>
        </w:numPr>
        <w:spacing w:after="0" w:line="240" w:lineRule="auto"/>
        <w:ind w:left="426" w:hanging="426"/>
        <w:rPr>
          <w:lang w:val="es-ES"/>
        </w:rPr>
      </w:pPr>
      <w:r w:rsidRPr="00EF28CC">
        <w:rPr>
          <w:lang w:val="es-ES"/>
        </w:rPr>
        <w:t>El 28 de enero de 2021, el Congreso Nacional de Honduras ("</w:t>
      </w:r>
      <w:r w:rsidRPr="00EF28CC">
        <w:rPr>
          <w:b/>
          <w:bCs/>
          <w:lang w:val="es-ES"/>
        </w:rPr>
        <w:t>Congreso</w:t>
      </w:r>
      <w:r w:rsidRPr="00EF28CC">
        <w:rPr>
          <w:lang w:val="es-ES"/>
        </w:rPr>
        <w:t>") votó a favor de reformar el artículo 67 de la Constitución para prohibir el aborto creando un «blindaje»</w:t>
      </w:r>
      <w:r w:rsidR="00612463">
        <w:rPr>
          <w:lang w:val="es-ES"/>
        </w:rPr>
        <w:t>,</w:t>
      </w:r>
      <w:r w:rsidRPr="00EF28CC">
        <w:rPr>
          <w:lang w:val="es-ES"/>
        </w:rPr>
        <w:t xml:space="preserve"> </w:t>
      </w:r>
      <w:r w:rsidR="00612463">
        <w:rPr>
          <w:lang w:val="es-ES"/>
        </w:rPr>
        <w:t>un “</w:t>
      </w:r>
      <w:r w:rsidRPr="00EF28CC">
        <w:rPr>
          <w:lang w:val="es-ES"/>
        </w:rPr>
        <w:t>escudo</w:t>
      </w:r>
      <w:r w:rsidR="00612463">
        <w:rPr>
          <w:lang w:val="es-ES"/>
        </w:rPr>
        <w:t>”</w:t>
      </w:r>
      <w:r w:rsidRPr="00EF28CC">
        <w:rPr>
          <w:lang w:val="es-ES"/>
        </w:rPr>
        <w:t xml:space="preserve"> contra el aborto, que tiene por objetivo imposibilitar su legalización </w:t>
      </w:r>
      <w:r w:rsidR="00612463">
        <w:rPr>
          <w:lang w:val="es-ES"/>
        </w:rPr>
        <w:t xml:space="preserve">de este servicio de salud </w:t>
      </w:r>
      <w:r w:rsidRPr="00EF28CC">
        <w:rPr>
          <w:lang w:val="es-ES"/>
        </w:rPr>
        <w:t>a futuro</w:t>
      </w:r>
      <w:r w:rsidR="00973A72" w:rsidRPr="00EF28CC">
        <w:rPr>
          <w:rStyle w:val="EndnoteReference"/>
          <w:lang w:val="es-ES"/>
        </w:rPr>
        <w:endnoteReference w:id="12"/>
      </w:r>
      <w:r w:rsidRPr="00EF28CC">
        <w:rPr>
          <w:lang w:val="es-ES"/>
        </w:rPr>
        <w:t>.</w:t>
      </w:r>
      <w:r w:rsidR="001C61AF" w:rsidRPr="00EF28CC">
        <w:rPr>
          <w:lang w:val="es-ES"/>
        </w:rPr>
        <w:t xml:space="preserve"> </w:t>
      </w:r>
      <w:r w:rsidRPr="00EF28CC">
        <w:rPr>
          <w:lang w:val="es-ES"/>
        </w:rPr>
        <w:t>El Artículo 67 enmendado prohíbe cualquier "</w:t>
      </w:r>
      <w:r w:rsidRPr="00EF28CC">
        <w:rPr>
          <w:i/>
          <w:iCs/>
          <w:lang w:val="es-ES"/>
        </w:rPr>
        <w:t xml:space="preserve">interrupción de la vida" </w:t>
      </w:r>
      <w:r w:rsidRPr="00EF28CC">
        <w:rPr>
          <w:lang w:val="es-ES"/>
        </w:rPr>
        <w:t>de un feto, "</w:t>
      </w:r>
      <w:r w:rsidRPr="00EF28CC">
        <w:rPr>
          <w:i/>
          <w:iCs/>
          <w:lang w:val="es-ES"/>
        </w:rPr>
        <w:t>cuya vida debe ser respetada desde el momento de la concepción</w:t>
      </w:r>
      <w:r w:rsidRPr="00EF28CC">
        <w:rPr>
          <w:lang w:val="es-ES"/>
        </w:rPr>
        <w:t xml:space="preserve">", y elevó de dos tercios a tres cuartos la mayoría de </w:t>
      </w:r>
      <w:proofErr w:type="gramStart"/>
      <w:r w:rsidRPr="00EF28CC">
        <w:rPr>
          <w:lang w:val="es-ES"/>
        </w:rPr>
        <w:t>votos</w:t>
      </w:r>
      <w:proofErr w:type="gramEnd"/>
      <w:r w:rsidRPr="00EF28CC">
        <w:rPr>
          <w:lang w:val="es-ES"/>
        </w:rPr>
        <w:t xml:space="preserve"> del Congreso necesaria para modificar la ley del aborto</w:t>
      </w:r>
      <w:r w:rsidRPr="00EF28CC">
        <w:rPr>
          <w:rStyle w:val="EndnoteReference"/>
          <w:lang w:val="en"/>
        </w:rPr>
        <w:endnoteReference w:id="13"/>
      </w:r>
      <w:bookmarkStart w:id="2" w:name="_Hlk131250046"/>
      <w:r w:rsidR="00370CD0" w:rsidRPr="00EF28CC">
        <w:rPr>
          <w:lang w:val="es-ES"/>
        </w:rPr>
        <w:t>.</w:t>
      </w:r>
    </w:p>
    <w:p w14:paraId="1411EA29" w14:textId="70E40478" w:rsidR="00F32DFB" w:rsidRPr="00EF28CC" w:rsidRDefault="007E62E7" w:rsidP="007D2C04">
      <w:pPr>
        <w:pStyle w:val="Lindas3"/>
        <w:numPr>
          <w:ilvl w:val="0"/>
          <w:numId w:val="6"/>
        </w:numPr>
        <w:spacing w:after="0" w:line="240" w:lineRule="auto"/>
        <w:ind w:left="426" w:hanging="426"/>
        <w:rPr>
          <w:lang w:val="es-ES"/>
        </w:rPr>
      </w:pPr>
      <w:r w:rsidRPr="00EF28CC">
        <w:rPr>
          <w:lang w:val="es-ES"/>
        </w:rPr>
        <w:t>Esta reforma es contraria al artículo 373 constitucional, que explícitamente menciona que se requiere dos terceras partes de los votos del Congreso para un proceso de reforma a la mayoría de los artículos de esta</w:t>
      </w:r>
      <w:r w:rsidR="00973A72" w:rsidRPr="00EF28CC">
        <w:rPr>
          <w:rStyle w:val="EndnoteReference"/>
          <w:lang w:val="es-ES"/>
        </w:rPr>
        <w:endnoteReference w:id="14"/>
      </w:r>
      <w:r w:rsidRPr="00EF28CC">
        <w:rPr>
          <w:lang w:val="es-ES"/>
        </w:rPr>
        <w:t xml:space="preserve">. Con esta reforma constitucional, el Congreso Nacional dotó al artículo 67 de una naturaleza prácticamente pétrea que el constituyente no le otorgó originalmente, dado que impuso que únicamente pueda ser reformado por una mayoría de tres cuartas partes del Congreso Nacional, o sea, 96 de 128 votos y le atribuyó una jerarquía superior al resto de disposiciones constitucionales. Por ende, el hecho de que la exigencia de la mayoría calificada únicamente aplique para los artículos 67 (prohibición del aborto), 112 (prohibición al matrimonio igualitario) 20 (sobre el territorio nacional) y el 234 (sobre juicio político contra quien presida la República), es evidencia de los esfuerzos de los legisladores por restringir el acceso a </w:t>
      </w:r>
      <w:r w:rsidR="001C61AF" w:rsidRPr="00EF28CC">
        <w:rPr>
          <w:lang w:val="es-ES"/>
        </w:rPr>
        <w:t xml:space="preserve">estos </w:t>
      </w:r>
      <w:r w:rsidRPr="00EF28CC">
        <w:rPr>
          <w:lang w:val="es-ES"/>
        </w:rPr>
        <w:t>derechos humanos en el país.</w:t>
      </w:r>
    </w:p>
    <w:p w14:paraId="0E50DC49" w14:textId="4F20513C" w:rsidR="00F32DFB" w:rsidRPr="00EF28CC" w:rsidRDefault="007E62E7" w:rsidP="007D2C04">
      <w:pPr>
        <w:pStyle w:val="Lindas3"/>
        <w:numPr>
          <w:ilvl w:val="0"/>
          <w:numId w:val="6"/>
        </w:numPr>
        <w:spacing w:after="0" w:line="240" w:lineRule="auto"/>
        <w:ind w:left="426" w:hanging="426"/>
        <w:rPr>
          <w:lang w:val="es-ES"/>
        </w:rPr>
      </w:pPr>
      <w:r w:rsidRPr="00EF28CC">
        <w:rPr>
          <w:lang w:val="es-ES"/>
        </w:rPr>
        <w:t>El 13 de abril de 2021, varias organizaciones defensoras de los derechos de la</w:t>
      </w:r>
      <w:r w:rsidR="00C07DCD" w:rsidRPr="00EF28CC">
        <w:rPr>
          <w:lang w:val="es-ES"/>
        </w:rPr>
        <w:t>s</w:t>
      </w:r>
      <w:r w:rsidRPr="00EF28CC">
        <w:rPr>
          <w:lang w:val="es-ES"/>
        </w:rPr>
        <w:t xml:space="preserve"> mujer</w:t>
      </w:r>
      <w:r w:rsidR="00C07DCD" w:rsidRPr="00EF28CC">
        <w:rPr>
          <w:lang w:val="es-ES"/>
        </w:rPr>
        <w:t>es</w:t>
      </w:r>
      <w:r w:rsidRPr="00EF28CC">
        <w:rPr>
          <w:lang w:val="es-ES"/>
        </w:rPr>
        <w:t xml:space="preserve">, entre ellas CDM, presentaron un recurso de inconstitucionalidad ante la Corte Suprema de Justicia en relación con la despenalización del aborto. </w:t>
      </w:r>
      <w:r w:rsidR="008647CA" w:rsidRPr="00EF28CC">
        <w:rPr>
          <w:lang w:val="es-ES"/>
        </w:rPr>
        <w:t xml:space="preserve">El 13 de </w:t>
      </w:r>
      <w:r w:rsidR="00A12B9E" w:rsidRPr="00EF28CC">
        <w:rPr>
          <w:lang w:val="es-ES"/>
        </w:rPr>
        <w:t>enero de 2023, u</w:t>
      </w:r>
      <w:r w:rsidRPr="00EF28CC">
        <w:rPr>
          <w:lang w:val="es-ES"/>
        </w:rPr>
        <w:t>n día antes de que la</w:t>
      </w:r>
      <w:r w:rsidR="00C07DCD" w:rsidRPr="00EF28CC">
        <w:rPr>
          <w:lang w:val="es-ES"/>
        </w:rPr>
        <w:t xml:space="preserve"> anterior</w:t>
      </w:r>
      <w:r w:rsidRPr="00EF28CC">
        <w:rPr>
          <w:lang w:val="es-ES"/>
        </w:rPr>
        <w:t xml:space="preserve"> Corte </w:t>
      </w:r>
      <w:r w:rsidR="00C07DCD" w:rsidRPr="00EF28CC">
        <w:rPr>
          <w:lang w:val="es-ES"/>
        </w:rPr>
        <w:t xml:space="preserve">cesara en sus funciones, </w:t>
      </w:r>
      <w:r w:rsidRPr="00EF28CC">
        <w:rPr>
          <w:lang w:val="es-ES"/>
        </w:rPr>
        <w:t>la Sala Constitucional declaró sin lugar el recurso</w:t>
      </w:r>
      <w:bookmarkEnd w:id="2"/>
      <w:r w:rsidRPr="00EF28CC">
        <w:rPr>
          <w:rStyle w:val="EndnoteReference"/>
          <w:lang w:val="en"/>
        </w:rPr>
        <w:endnoteReference w:id="15"/>
      </w:r>
      <w:bookmarkStart w:id="3" w:name="_Hlk131250068"/>
      <w:r w:rsidRPr="00EF28CC">
        <w:rPr>
          <w:lang w:val="es-ES"/>
        </w:rPr>
        <w:t xml:space="preserve"> </w:t>
      </w:r>
      <w:r w:rsidR="00C2087C" w:rsidRPr="00EF28CC">
        <w:rPr>
          <w:lang w:val="es-ES"/>
        </w:rPr>
        <w:t xml:space="preserve">y en </w:t>
      </w:r>
      <w:r w:rsidR="00704E86" w:rsidRPr="00EF28CC">
        <w:rPr>
          <w:lang w:val="es-ES"/>
        </w:rPr>
        <w:t xml:space="preserve">junio del mismo año, </w:t>
      </w:r>
      <w:r w:rsidRPr="00EF28CC">
        <w:rPr>
          <w:lang w:val="es-ES"/>
        </w:rPr>
        <w:t xml:space="preserve">la </w:t>
      </w:r>
      <w:r w:rsidR="00C07DCD" w:rsidRPr="00EF28CC">
        <w:rPr>
          <w:lang w:val="es-ES"/>
        </w:rPr>
        <w:t xml:space="preserve">nueva </w:t>
      </w:r>
      <w:r w:rsidRPr="00EF28CC">
        <w:rPr>
          <w:lang w:val="es-ES"/>
        </w:rPr>
        <w:t xml:space="preserve">Sala Constitucional confirmó </w:t>
      </w:r>
      <w:r w:rsidR="00C07DCD" w:rsidRPr="00EF28CC">
        <w:rPr>
          <w:lang w:val="es-ES"/>
        </w:rPr>
        <w:t xml:space="preserve">la </w:t>
      </w:r>
      <w:r w:rsidRPr="00EF28CC">
        <w:rPr>
          <w:lang w:val="es-ES"/>
        </w:rPr>
        <w:t>sentencia anterior que rechazaba el argumento de que la prohibición del aborto en Honduras era inconstitucional</w:t>
      </w:r>
      <w:r w:rsidRPr="00EF28CC">
        <w:rPr>
          <w:rStyle w:val="EndnoteReference"/>
          <w:lang w:val="en"/>
        </w:rPr>
        <w:endnoteReference w:id="16"/>
      </w:r>
      <w:r w:rsidR="00E06164" w:rsidRPr="00EF28CC">
        <w:rPr>
          <w:lang w:val="es-ES"/>
        </w:rPr>
        <w:t>.</w:t>
      </w:r>
      <w:r w:rsidRPr="00EF28CC">
        <w:rPr>
          <w:lang w:val="es-ES"/>
        </w:rPr>
        <w:t xml:space="preserve"> </w:t>
      </w:r>
    </w:p>
    <w:p w14:paraId="4CC2B4AA" w14:textId="032F3FBF" w:rsidR="00F32DFB" w:rsidRPr="00EF28CC" w:rsidRDefault="007E62E7" w:rsidP="007D2C04">
      <w:pPr>
        <w:pStyle w:val="Lindas3"/>
        <w:numPr>
          <w:ilvl w:val="0"/>
          <w:numId w:val="6"/>
        </w:numPr>
        <w:spacing w:after="0" w:line="240" w:lineRule="auto"/>
        <w:ind w:left="450"/>
        <w:rPr>
          <w:lang w:val="es-ES"/>
        </w:rPr>
      </w:pPr>
      <w:r w:rsidRPr="00EF28CC">
        <w:rPr>
          <w:lang w:val="es-ES"/>
        </w:rPr>
        <w:t>Honduras debe tomar medidas inmediatas para proporcionar servicios de salud reproductiva seguros, eficaces, accesibles y dignos a las mujeres, adolescentes y niñas, esto debe hacerse modificando su legislación, sus leyes penales y las políticas y restricciones normativas resultantes, y garantizando que dichas modificaciones se ejecutan y promulgan en todo el país.  Al actualizar su legislación, Honduras debe seguir la Guía de Atención del Aborto 2022 de la Organización Mundial de la Salud (la "OMS")</w:t>
      </w:r>
      <w:r w:rsidRPr="00EF28CC">
        <w:rPr>
          <w:rStyle w:val="EndnoteReference"/>
        </w:rPr>
        <w:endnoteReference w:id="17"/>
      </w:r>
      <w:r w:rsidR="00BC6103" w:rsidRPr="00EF28CC">
        <w:rPr>
          <w:lang w:val="es-ES"/>
        </w:rPr>
        <w:t>.</w:t>
      </w:r>
      <w:r w:rsidRPr="00EF28CC">
        <w:rPr>
          <w:lang w:val="es-ES"/>
        </w:rPr>
        <w:t xml:space="preserve"> Esta última reconoce que "[l]a despenalización es un paso necesario para la legalización del aborto, pero asegurar que el aborto esté disponible, sea accesible y de alta calidad puede requerir más cambios legales o regulatorios más allá de la despenalización"</w:t>
      </w:r>
      <w:r w:rsidRPr="00EF28CC">
        <w:rPr>
          <w:rStyle w:val="EndnoteReference"/>
          <w:lang w:val="en"/>
        </w:rPr>
        <w:endnoteReference w:id="18"/>
      </w:r>
      <w:r w:rsidR="00181A32">
        <w:rPr>
          <w:lang w:val="es-ES"/>
        </w:rPr>
        <w:t>.</w:t>
      </w:r>
      <w:r w:rsidRPr="00EF28CC">
        <w:rPr>
          <w:lang w:val="es-ES"/>
        </w:rPr>
        <w:t xml:space="preserve"> Entre otros, la OMS recuerda que "[l]a disponibilidad, accesibilidad, aceptabilidad y calidad deben ser fundamentales para la regulación de los servicios de salud sexual y reproductiva"</w:t>
      </w:r>
      <w:r w:rsidRPr="00EF28CC">
        <w:rPr>
          <w:rStyle w:val="EndnoteReference"/>
          <w:lang w:val="en"/>
        </w:rPr>
        <w:endnoteReference w:id="19"/>
      </w:r>
      <w:r w:rsidR="00181A32">
        <w:rPr>
          <w:lang w:val="es-ES"/>
        </w:rPr>
        <w:t>;</w:t>
      </w:r>
      <w:r w:rsidRPr="00EF28CC">
        <w:rPr>
          <w:lang w:val="es-ES"/>
        </w:rPr>
        <w:t xml:space="preserve"> "</w:t>
      </w:r>
      <w:r w:rsidR="00235AAC">
        <w:rPr>
          <w:lang w:val="es-ES"/>
        </w:rPr>
        <w:t>l</w:t>
      </w:r>
      <w:r w:rsidRPr="00EF28CC">
        <w:rPr>
          <w:lang w:val="es-ES"/>
        </w:rPr>
        <w:t>os Estados no deben exigir a los trabajadores sanitarios que denuncien los casos de mujeres o niñas que hayan abortado, o de las que sospechen que han abortado"</w:t>
      </w:r>
      <w:r w:rsidRPr="00EF28CC">
        <w:rPr>
          <w:rStyle w:val="EndnoteReference"/>
          <w:lang w:val="en"/>
        </w:rPr>
        <w:endnoteReference w:id="20"/>
      </w:r>
      <w:r w:rsidR="00EA18CE" w:rsidRPr="00EF28CC">
        <w:rPr>
          <w:lang w:val="es-ES"/>
        </w:rPr>
        <w:t>.</w:t>
      </w:r>
      <w:r w:rsidRPr="00EF28CC">
        <w:rPr>
          <w:lang w:val="es-ES"/>
        </w:rPr>
        <w:t xml:space="preserve"> Sin embargo, el Código Penal sigue previendo penas para los profesionales de la salud que practiquen o faciliten un aborto</w:t>
      </w:r>
      <w:r w:rsidRPr="00EF28CC">
        <w:rPr>
          <w:rStyle w:val="EndnoteReference"/>
          <w:lang w:val="es-ES"/>
        </w:rPr>
        <w:endnoteReference w:id="21"/>
      </w:r>
      <w:r w:rsidR="006D1782" w:rsidRPr="00EF28CC">
        <w:rPr>
          <w:lang w:val="es-ES"/>
        </w:rPr>
        <w:t>.</w:t>
      </w:r>
    </w:p>
    <w:p w14:paraId="707066FA" w14:textId="529FA352" w:rsidR="002662B3" w:rsidRPr="00EF28CC" w:rsidRDefault="007E62E7" w:rsidP="007D2C04">
      <w:pPr>
        <w:pStyle w:val="Lindas3"/>
        <w:numPr>
          <w:ilvl w:val="0"/>
          <w:numId w:val="6"/>
        </w:numPr>
        <w:spacing w:after="0" w:line="240" w:lineRule="auto"/>
        <w:ind w:left="450"/>
        <w:rPr>
          <w:color w:val="000000"/>
          <w:lang w:val="es-ES"/>
        </w:rPr>
      </w:pPr>
      <w:r w:rsidRPr="00EF28CC">
        <w:rPr>
          <w:lang w:val="es-ES"/>
        </w:rPr>
        <w:lastRenderedPageBreak/>
        <w:t>La jurisprudencia de los órganos de tratados de la ONU ha confirmado en repetidas ocasiones que negar a las mujeres, adolescentes y niñas, el acceso a un aborto seguro puede suponer una violación de sus derechos humanos</w:t>
      </w:r>
      <w:r w:rsidRPr="00EF28CC">
        <w:rPr>
          <w:rStyle w:val="EndnoteReference"/>
        </w:rPr>
        <w:endnoteReference w:id="22"/>
      </w:r>
      <w:r w:rsidR="0024295D" w:rsidRPr="00EF28CC">
        <w:rPr>
          <w:lang w:val="es-ES"/>
        </w:rPr>
        <w:t>.</w:t>
      </w:r>
      <w:r w:rsidRPr="00EF28CC">
        <w:rPr>
          <w:lang w:val="es-ES"/>
        </w:rPr>
        <w:t xml:space="preserve"> El Comité de Derechos Humanos confirmó que los Estados deben proporcionar acceso seguro, legal y efectivo al aborto, entre otras cosas, "cuando llevar un embarazo a término pueda causar a la mujer o niña embarazada dolores o sufrimientos considerables"</w:t>
      </w:r>
      <w:r w:rsidRPr="00EF28CC">
        <w:rPr>
          <w:rStyle w:val="EndnoteReference"/>
        </w:rPr>
        <w:endnoteReference w:id="23"/>
      </w:r>
      <w:r w:rsidR="00E415B3">
        <w:rPr>
          <w:lang w:val="es-ES"/>
        </w:rPr>
        <w:t>.</w:t>
      </w:r>
      <w:r w:rsidRPr="00EF28CC">
        <w:rPr>
          <w:lang w:val="es-ES"/>
        </w:rPr>
        <w:t xml:space="preserve"> </w:t>
      </w:r>
    </w:p>
    <w:p w14:paraId="34F0815B" w14:textId="229FECEB" w:rsidR="002662B3" w:rsidRPr="00EF28CC" w:rsidRDefault="002662B3" w:rsidP="007D2C04">
      <w:pPr>
        <w:pStyle w:val="Lindas3"/>
        <w:numPr>
          <w:ilvl w:val="0"/>
          <w:numId w:val="6"/>
        </w:numPr>
        <w:spacing w:after="0" w:line="240" w:lineRule="auto"/>
        <w:ind w:left="450"/>
        <w:rPr>
          <w:color w:val="000000"/>
          <w:lang w:val="es-ES"/>
        </w:rPr>
      </w:pPr>
      <w:r w:rsidRPr="00EF28CC">
        <w:rPr>
          <w:lang w:val="es-ES"/>
        </w:rPr>
        <w:t>Adicionalmente, el Comité de los Derechos del Niño ha señalado que "en el caso de las niñas embarazadas, deben tenerse en cuenta las repercusiones especiales y diferenciadas en la salud física y mental del embarazo infantil, el riesgo particularmente importante que el embarazo supone para la vida de las niñas debido a las posibles complicaciones durante el embarazo y el parto, y las repercusiones potencialmente graves que puede tener en su desarrollo y su futuro. El impacto que el embarazo tendrá en la salud y la vida de una niña dependerá de su edad y madurez física y psicológica, de sus sistemas de apoyo familiar y comunitario y de otros factores que pueden influir en su salud mental, como antecedentes de violación o incesto y factores socioeconómicos o culturales que aumenten su vulnerabilidad”</w:t>
      </w:r>
      <w:r w:rsidRPr="00EF28CC">
        <w:rPr>
          <w:rStyle w:val="EndnoteReference"/>
        </w:rPr>
        <w:endnoteReference w:id="24"/>
      </w:r>
      <w:r w:rsidRPr="00EF28CC">
        <w:rPr>
          <w:lang w:val="es-ES"/>
        </w:rPr>
        <w:t>. Lo cual fue re</w:t>
      </w:r>
      <w:r w:rsidR="005D5EC9" w:rsidRPr="00EF28CC">
        <w:rPr>
          <w:lang w:val="es-ES"/>
        </w:rPr>
        <w:t xml:space="preserve">afrimado </w:t>
      </w:r>
      <w:r w:rsidR="00C93372" w:rsidRPr="00EF28CC">
        <w:rPr>
          <w:lang w:val="es-ES"/>
        </w:rPr>
        <w:t xml:space="preserve">en el caso Camila contra Perú, </w:t>
      </w:r>
      <w:r w:rsidR="005D5EC9" w:rsidRPr="00EF28CC">
        <w:rPr>
          <w:lang w:val="es-ES"/>
        </w:rPr>
        <w:t>donde dicho Comité</w:t>
      </w:r>
      <w:r w:rsidR="00C93372" w:rsidRPr="00EF28CC">
        <w:rPr>
          <w:lang w:val="es-ES"/>
        </w:rPr>
        <w:t xml:space="preserve"> reconoció que Camila </w:t>
      </w:r>
      <w:r w:rsidR="00C93372" w:rsidRPr="00EF28CC">
        <w:rPr>
          <w:color w:val="000000"/>
          <w:lang w:val="es-ES"/>
        </w:rPr>
        <w:t>experimentó "graves [...] daños psicológicos porque, en la práctica, no tuvo acceso al aborto. Esto le causó una profunda depresión e ideas suicidas"</w:t>
      </w:r>
      <w:r w:rsidR="00C93372" w:rsidRPr="00EF28CC">
        <w:rPr>
          <w:rStyle w:val="EndnoteReference"/>
          <w:color w:val="000000"/>
        </w:rPr>
        <w:endnoteReference w:id="25"/>
      </w:r>
      <w:r w:rsidR="00C93372" w:rsidRPr="00EF28CC">
        <w:rPr>
          <w:color w:val="000000"/>
          <w:lang w:val="es-ES"/>
        </w:rPr>
        <w:t>.</w:t>
      </w:r>
      <w:r w:rsidRPr="00EF28CC">
        <w:rPr>
          <w:lang w:val="es-ES"/>
        </w:rPr>
        <w:t xml:space="preserve"> </w:t>
      </w:r>
    </w:p>
    <w:p w14:paraId="6499B319" w14:textId="2C37EE6E" w:rsidR="00F32DFB" w:rsidRPr="00EF28CC" w:rsidRDefault="007E62E7" w:rsidP="007D2C04">
      <w:pPr>
        <w:pStyle w:val="Lindas3"/>
        <w:numPr>
          <w:ilvl w:val="0"/>
          <w:numId w:val="6"/>
        </w:numPr>
        <w:spacing w:after="0" w:line="240" w:lineRule="auto"/>
        <w:ind w:left="450"/>
        <w:rPr>
          <w:lang w:val="es-ES"/>
        </w:rPr>
      </w:pPr>
      <w:r w:rsidRPr="00EF28CC">
        <w:rPr>
          <w:lang w:val="es-ES"/>
        </w:rPr>
        <w:t>Los órganos de tratados de la ONU han recomendado a los Estados que liberalicen sus leyes sobre el aborto para mejorar el acceso y eliminar las barreras jurídicas, financieras y prácticas que niegan el acceso efectivo de las mujeres y las niñas a un aborto seguro y legal, incluidas las barreras médicamente innecesarias al aborto y los requisitos de autorización de terceros</w:t>
      </w:r>
      <w:r w:rsidRPr="00EF28CC">
        <w:rPr>
          <w:rStyle w:val="EndnoteReference"/>
        </w:rPr>
        <w:endnoteReference w:id="26"/>
      </w:r>
      <w:r w:rsidR="0024295D" w:rsidRPr="00EF28CC">
        <w:rPr>
          <w:lang w:val="es-ES"/>
        </w:rPr>
        <w:t>.</w:t>
      </w:r>
      <w:r w:rsidRPr="00EF28CC">
        <w:rPr>
          <w:lang w:val="es-ES"/>
        </w:rPr>
        <w:t xml:space="preserve"> Han reconocido que el aborto debe despenalizarse, legalizarse como mínimo en determinados causales, y los servicios deben estar disponibles y ser accesibles, asequibles, aceptables y de buena calidad, y que ninguna regulación del aborto debe obligar a las mujeres y las niñas a someterse a abortos inseguros</w:t>
      </w:r>
      <w:r w:rsidRPr="00EF28CC">
        <w:rPr>
          <w:rStyle w:val="EndnoteReference"/>
        </w:rPr>
        <w:endnoteReference w:id="27"/>
      </w:r>
      <w:r w:rsidR="00C93372" w:rsidRPr="00EF28CC">
        <w:rPr>
          <w:lang w:val="es-ES"/>
        </w:rPr>
        <w:t>.</w:t>
      </w:r>
    </w:p>
    <w:p w14:paraId="62F52564" w14:textId="25AF5AAE" w:rsidR="00EA18CE" w:rsidRPr="00EF28CC" w:rsidRDefault="00EA18CE" w:rsidP="007D2C04">
      <w:pPr>
        <w:pStyle w:val="Lindas3"/>
        <w:numPr>
          <w:ilvl w:val="0"/>
          <w:numId w:val="6"/>
        </w:numPr>
        <w:spacing w:after="0" w:line="240" w:lineRule="auto"/>
        <w:ind w:left="450"/>
        <w:rPr>
          <w:lang w:val="es-ES"/>
        </w:rPr>
      </w:pPr>
      <w:r w:rsidRPr="00EF28CC">
        <w:rPr>
          <w:lang w:val="es-ES"/>
        </w:rPr>
        <w:t xml:space="preserve">Al recomendar a Honduras que adopte legislación </w:t>
      </w:r>
      <w:r w:rsidRPr="00EF28CC">
        <w:rPr>
          <w:i/>
          <w:iCs/>
          <w:lang w:val="es-ES"/>
        </w:rPr>
        <w:t>que prohíba todas las formas de discriminación contra la mujer</w:t>
      </w:r>
      <w:r w:rsidRPr="00EF28CC">
        <w:rPr>
          <w:rStyle w:val="EndnoteReference"/>
        </w:rPr>
        <w:endnoteReference w:id="28"/>
      </w:r>
      <w:r w:rsidRPr="00EF28CC">
        <w:rPr>
          <w:i/>
          <w:iCs/>
          <w:lang w:val="es-ES"/>
        </w:rPr>
        <w:t>,</w:t>
      </w:r>
      <w:r w:rsidRPr="00EF28CC">
        <w:rPr>
          <w:lang w:val="es-ES"/>
        </w:rPr>
        <w:t xml:space="preserve"> el Comité para la Eliminación de la Discriminación contra la Mujer (Comité CEDAW) reiteró sus recomendaciones anteriores de que Honduras legalice el aborto y garantice la distribución y comercialización gratuitas de anticonceptivos de emergencia, en particular para las mujeres y niñas víctimas de violencia sexual, y garantice que las mujeres tengan acceso a servicios e información adecuados de salud sexual y reproductiva, incluida la planificación familiar, para prevenir los embarazos precoces y las infecciones de transmisión sexual.</w:t>
      </w:r>
      <w:r w:rsidRPr="00EF28CC">
        <w:rPr>
          <w:rStyle w:val="EndnoteReference"/>
        </w:rPr>
        <w:endnoteReference w:id="29"/>
      </w:r>
    </w:p>
    <w:p w14:paraId="3FB956E9" w14:textId="77777777" w:rsidR="004D1D2D" w:rsidRPr="00EF28CC" w:rsidRDefault="007E62E7" w:rsidP="007D2C04">
      <w:pPr>
        <w:pStyle w:val="Lindas3"/>
        <w:numPr>
          <w:ilvl w:val="0"/>
          <w:numId w:val="6"/>
        </w:numPr>
        <w:spacing w:after="0" w:line="240" w:lineRule="auto"/>
        <w:ind w:left="450"/>
        <w:rPr>
          <w:lang w:val="es-ES"/>
        </w:rPr>
      </w:pPr>
      <w:r w:rsidRPr="00EF28CC">
        <w:rPr>
          <w:lang w:val="es-ES"/>
        </w:rPr>
        <w:t>Las políticas de Honduras con respecto a su prohibición total del aborto y la precaria prestación de servicios de salud reproductiva y educación violan el derecho a la salud, incluida la obligación fundamental de Honduras de proporcionar "</w:t>
      </w:r>
      <w:r w:rsidRPr="00EF28CC">
        <w:rPr>
          <w:i/>
          <w:iCs/>
          <w:lang w:val="es-ES"/>
        </w:rPr>
        <w:t>niveles mínimos esenciales de satisfacción del derecho a la salud sexual y reproductiva, que incluyen medidas para prevenir el aborto inseguro</w:t>
      </w:r>
      <w:r w:rsidRPr="00EF28CC">
        <w:rPr>
          <w:lang w:val="es-ES"/>
        </w:rPr>
        <w:t>"</w:t>
      </w:r>
      <w:r w:rsidRPr="00EF28CC">
        <w:rPr>
          <w:rStyle w:val="EndnoteReference"/>
        </w:rPr>
        <w:endnoteReference w:id="30"/>
      </w:r>
      <w:r w:rsidR="0078154A" w:rsidRPr="00EF28CC">
        <w:rPr>
          <w:lang w:val="es-ES"/>
        </w:rPr>
        <w:t>.</w:t>
      </w:r>
      <w:r w:rsidRPr="00EF28CC">
        <w:rPr>
          <w:lang w:val="es-ES"/>
        </w:rPr>
        <w:t xml:space="preserve"> Las leyes y políticas hondureñas que prohíben el aborto en cualquier circunstancia suponen una negación e injerencia injustificada en la autonomía reproductiva y corporal de las mujeres en virtud de este derecho. </w:t>
      </w:r>
    </w:p>
    <w:p w14:paraId="744ADD25" w14:textId="66B55CE4" w:rsidR="002662B3" w:rsidRPr="00EF28CC" w:rsidRDefault="00A00320" w:rsidP="007D2C04">
      <w:pPr>
        <w:pStyle w:val="Lindas3"/>
        <w:numPr>
          <w:ilvl w:val="0"/>
          <w:numId w:val="6"/>
        </w:numPr>
        <w:spacing w:after="0" w:line="240" w:lineRule="auto"/>
        <w:ind w:left="450"/>
        <w:rPr>
          <w:lang w:val="es-ES"/>
        </w:rPr>
      </w:pPr>
      <w:r w:rsidRPr="00EF28CC">
        <w:rPr>
          <w:lang w:val="es-ES"/>
        </w:rPr>
        <w:lastRenderedPageBreak/>
        <w:t>Los abortos inseguros suponen riesgos para el "</w:t>
      </w:r>
      <w:r w:rsidRPr="00EF28CC">
        <w:rPr>
          <w:i/>
          <w:iCs/>
          <w:lang w:val="es-ES"/>
        </w:rPr>
        <w:t xml:space="preserve">bienestar físico y mental de </w:t>
      </w:r>
      <w:r w:rsidRPr="00EF28CC">
        <w:rPr>
          <w:lang w:val="es-ES"/>
        </w:rPr>
        <w:t xml:space="preserve">las niñas y las mujeres a </w:t>
      </w:r>
      <w:r w:rsidRPr="00EF28CC">
        <w:rPr>
          <w:i/>
          <w:iCs/>
          <w:lang w:val="es-ES"/>
        </w:rPr>
        <w:t>lo largo de toda la vida</w:t>
      </w:r>
      <w:r w:rsidRPr="00EF28CC">
        <w:rPr>
          <w:lang w:val="es-ES"/>
        </w:rPr>
        <w:t>" y pueden dar lugar a una elevada tasa de mortalidad materna.</w:t>
      </w:r>
      <w:r w:rsidRPr="00EF28CC">
        <w:rPr>
          <w:rStyle w:val="EndnoteReference"/>
          <w:lang w:val="en"/>
        </w:rPr>
        <w:endnoteReference w:id="31"/>
      </w:r>
      <w:r w:rsidRPr="00EF28CC">
        <w:rPr>
          <w:lang w:val="es-ES"/>
        </w:rPr>
        <w:t xml:space="preserve"> Los órganos de vigilancia de los tratados de la ONU reconocen desde hace tiempo la relación entre las leyes restrictivas del aborto, las altas tasas de aborto inseguro y la mortalidad materna.</w:t>
      </w:r>
      <w:r w:rsidRPr="00EF28CC">
        <w:rPr>
          <w:rStyle w:val="EndnoteReference"/>
        </w:rPr>
        <w:endnoteReference w:id="32"/>
      </w:r>
      <w:r w:rsidRPr="00EF28CC">
        <w:rPr>
          <w:lang w:val="es-ES"/>
        </w:rPr>
        <w:t xml:space="preserve"> El Grupo de Trabajo sobre la discriminación de las mujeres y las niñas ha confirmado que "</w:t>
      </w:r>
      <w:r w:rsidRPr="00EF28CC">
        <w:rPr>
          <w:shd w:val="clear" w:color="auto" w:fill="FFFFFF"/>
          <w:lang w:val="es-ES"/>
        </w:rPr>
        <w:t>[l]</w:t>
      </w:r>
      <w:r w:rsidRPr="00EF28CC">
        <w:rPr>
          <w:i/>
          <w:iCs/>
          <w:shd w:val="clear" w:color="auto" w:fill="FFFFFF"/>
          <w:lang w:val="es-ES"/>
        </w:rPr>
        <w:t>as leyes restrictivas sobre el aborto aumentan las tasas de mortalidad y morbilidad maternas debidas a abortos inseguros, y no son eficaces para reducir la tasa de abortos</w:t>
      </w:r>
      <w:r w:rsidRPr="00EF28CC">
        <w:rPr>
          <w:lang w:val="es-ES"/>
        </w:rPr>
        <w:t>"</w:t>
      </w:r>
      <w:r w:rsidRPr="00EF28CC">
        <w:rPr>
          <w:shd w:val="clear" w:color="auto" w:fill="FFFFFF"/>
          <w:lang w:val="es-ES"/>
        </w:rPr>
        <w:t>.</w:t>
      </w:r>
      <w:r w:rsidRPr="00EF28CC">
        <w:rPr>
          <w:rStyle w:val="EndnoteReference"/>
          <w:shd w:val="clear" w:color="auto" w:fill="FFFFFF"/>
        </w:rPr>
        <w:endnoteReference w:id="33"/>
      </w:r>
      <w:r w:rsidRPr="00EF28CC">
        <w:rPr>
          <w:lang w:val="es-ES"/>
        </w:rPr>
        <w:t xml:space="preserve"> </w:t>
      </w:r>
    </w:p>
    <w:p w14:paraId="3F3B72D4" w14:textId="26BB236D" w:rsidR="00A00320" w:rsidRPr="00EF28CC" w:rsidRDefault="004D1D2D" w:rsidP="007D2C04">
      <w:pPr>
        <w:pStyle w:val="Lindas3"/>
        <w:numPr>
          <w:ilvl w:val="0"/>
          <w:numId w:val="6"/>
        </w:numPr>
        <w:spacing w:after="0" w:line="240" w:lineRule="auto"/>
        <w:ind w:left="450"/>
        <w:rPr>
          <w:lang w:val="es-ES"/>
        </w:rPr>
      </w:pPr>
      <w:r w:rsidRPr="00EF28CC">
        <w:rPr>
          <w:lang w:val="es-ES"/>
        </w:rPr>
        <w:t>El Comité CEDAW ya ha referido que "debido a la pobreza, la falta de información y la limitada disponibilidad y accesibilidad de servicios" la mortalidad y la morbilidad maternas son desproporcionadamente altas en zonas rurales y ese es el caso en Honduras</w:t>
      </w:r>
      <w:r w:rsidRPr="00EF28CC">
        <w:rPr>
          <w:vertAlign w:val="superscript"/>
        </w:rPr>
        <w:endnoteReference w:id="34"/>
      </w:r>
      <w:r w:rsidRPr="00EF28CC">
        <w:rPr>
          <w:lang w:val="es-ES"/>
        </w:rPr>
        <w:t>. En efecto, las complicaciones derivadas de abortos inseguros son además la segunda causa de hospitalización en Honduras</w:t>
      </w:r>
      <w:r w:rsidRPr="00EF28CC">
        <w:rPr>
          <w:vertAlign w:val="superscript"/>
        </w:rPr>
        <w:endnoteReference w:id="35"/>
      </w:r>
      <w:r w:rsidRPr="00EF28CC">
        <w:rPr>
          <w:b/>
          <w:bCs/>
          <w:lang w:val="es-ES"/>
        </w:rPr>
        <w:t>, a pesar de que las muertes por abortos inseguros son completamente evitables</w:t>
      </w:r>
      <w:r w:rsidRPr="00EF28CC">
        <w:rPr>
          <w:vertAlign w:val="superscript"/>
        </w:rPr>
        <w:endnoteReference w:id="36"/>
      </w:r>
      <w:r w:rsidRPr="00EF28CC">
        <w:rPr>
          <w:b/>
          <w:bCs/>
          <w:lang w:val="es-ES"/>
        </w:rPr>
        <w:t>.</w:t>
      </w:r>
      <w:r w:rsidRPr="00EF28CC">
        <w:rPr>
          <w:lang w:val="es-ES"/>
        </w:rPr>
        <w:t xml:space="preserve"> Más aún, se calcula que alrededor 16,000 mujeres hondureñas entre 15 y 19 años no reciben atención medica luego de sufrir emergencias obstétricas</w:t>
      </w:r>
      <w:r w:rsidRPr="00EF28CC">
        <w:rPr>
          <w:rStyle w:val="EndnoteReference"/>
        </w:rPr>
        <w:endnoteReference w:id="37"/>
      </w:r>
      <w:r w:rsidRPr="00EF28CC">
        <w:rPr>
          <w:lang w:val="es-ES"/>
        </w:rPr>
        <w:t>, efectivamente exponiéndolas a riesgo de muerte.</w:t>
      </w:r>
      <w:r w:rsidR="00FA54FA" w:rsidRPr="00EF28CC">
        <w:rPr>
          <w:lang w:val="es-ES"/>
        </w:rPr>
        <w:t xml:space="preserve"> </w:t>
      </w:r>
    </w:p>
    <w:p w14:paraId="3C353070" w14:textId="13B02617" w:rsidR="00931E7C" w:rsidRPr="00EF28CC" w:rsidRDefault="00FA54FA" w:rsidP="007D2C04">
      <w:pPr>
        <w:pStyle w:val="Lindas3"/>
        <w:numPr>
          <w:ilvl w:val="0"/>
          <w:numId w:val="6"/>
        </w:numPr>
        <w:spacing w:after="0" w:line="240" w:lineRule="auto"/>
        <w:ind w:left="450"/>
        <w:rPr>
          <w:lang w:val="es-ES"/>
        </w:rPr>
      </w:pPr>
      <w:r w:rsidRPr="00EF28CC">
        <w:rPr>
          <w:lang w:val="es-ES"/>
        </w:rPr>
        <w:t>La tasa de abortos inseguros es especialmente alta en países con leyes muy restrictivas sobre el aborto, como Honduras, donde al menos el 40% de los embarazos no son deseados</w:t>
      </w:r>
      <w:r w:rsidRPr="00EF28CC">
        <w:rPr>
          <w:rStyle w:val="EndnoteReference"/>
          <w:lang w:val="en"/>
        </w:rPr>
        <w:endnoteReference w:id="38"/>
      </w:r>
      <w:r w:rsidRPr="00EF28CC">
        <w:rPr>
          <w:lang w:val="es-ES"/>
        </w:rPr>
        <w:t>. Se calcula que el número de abortos inseguros oscila entre 51.000 y 82.000 al año,</w:t>
      </w:r>
      <w:r w:rsidRPr="00EF28CC">
        <w:rPr>
          <w:rStyle w:val="EndnoteReference"/>
          <w:lang w:val="es-ES"/>
        </w:rPr>
        <w:endnoteReference w:id="39"/>
      </w:r>
      <w:r w:rsidRPr="00EF28CC">
        <w:rPr>
          <w:lang w:val="es-ES"/>
        </w:rPr>
        <w:t xml:space="preserve"> y que el número de muertes maternas alcanzará 155 de cada 216.000 nacidos vivos registrados en Honduras en 2020 (es decir, una tasa de 72 por cada 100.000 nacidos vivos).</w:t>
      </w:r>
      <w:r w:rsidRPr="00EF28CC">
        <w:rPr>
          <w:rStyle w:val="EndnoteReference"/>
        </w:rPr>
        <w:endnoteReference w:id="40"/>
      </w:r>
      <w:r w:rsidRPr="00EF28CC">
        <w:rPr>
          <w:lang w:val="es-ES"/>
        </w:rPr>
        <w:t xml:space="preserve"> Es probable que las cifras reales sean superiores ya que, debido a la penalización del aborto, es imposible obtener datos fiables. </w:t>
      </w:r>
    </w:p>
    <w:p w14:paraId="42113042" w14:textId="1D43376E" w:rsidR="008D6E21" w:rsidRPr="009932AF" w:rsidRDefault="00931E7C" w:rsidP="007D2C04">
      <w:pPr>
        <w:pStyle w:val="Lindas3"/>
        <w:numPr>
          <w:ilvl w:val="0"/>
          <w:numId w:val="6"/>
        </w:numPr>
        <w:spacing w:after="0" w:line="240" w:lineRule="auto"/>
        <w:ind w:left="450"/>
        <w:rPr>
          <w:lang w:val="es-ES"/>
        </w:rPr>
      </w:pPr>
      <w:r w:rsidRPr="00EF28CC">
        <w:rPr>
          <w:lang w:val="es-ES"/>
        </w:rPr>
        <w:t>Los costos aproximados para practicar un aborto seguro de manera clandestina van desde USD $400 (L.10,000)</w:t>
      </w:r>
      <w:r w:rsidRPr="00EF28CC">
        <w:rPr>
          <w:vertAlign w:val="superscript"/>
        </w:rPr>
        <w:endnoteReference w:id="41"/>
      </w:r>
      <w:r w:rsidRPr="00EF28CC">
        <w:rPr>
          <w:lang w:val="es-ES"/>
        </w:rPr>
        <w:t xml:space="preserve"> y pueden llegar a superar los USD $1,600</w:t>
      </w:r>
      <w:r w:rsidRPr="00EF28CC">
        <w:rPr>
          <w:rStyle w:val="EndnoteReference"/>
        </w:rPr>
        <w:endnoteReference w:id="42"/>
      </w:r>
      <w:r w:rsidRPr="00EF28CC">
        <w:rPr>
          <w:lang w:val="es-ES"/>
        </w:rPr>
        <w:t xml:space="preserve">, tomando en cuenta que en 2023 el salario mínimo en Honduras aproximadamente </w:t>
      </w:r>
      <w:r w:rsidR="00C7041E">
        <w:rPr>
          <w:lang w:val="es-ES"/>
        </w:rPr>
        <w:t xml:space="preserve">era </w:t>
      </w:r>
      <w:r w:rsidRPr="00EF28CC">
        <w:rPr>
          <w:lang w:val="es-ES"/>
        </w:rPr>
        <w:t>de 329 dólares</w:t>
      </w:r>
      <w:r w:rsidRPr="00EF28CC">
        <w:rPr>
          <w:vertAlign w:val="superscript"/>
        </w:rPr>
        <w:endnoteReference w:id="43"/>
      </w:r>
      <w:r w:rsidRPr="00EF28CC">
        <w:rPr>
          <w:lang w:val="es-ES"/>
        </w:rPr>
        <w:t xml:space="preserve">, un aborto seguro cuesta cuatro veces el salario mínimo. Considerando que casi el 50% de la población en Honduras vive bajo la línea de pobreza de </w:t>
      </w:r>
      <w:r w:rsidRPr="009932AF">
        <w:rPr>
          <w:lang w:val="es-ES"/>
        </w:rPr>
        <w:t>USD $5.50 al día</w:t>
      </w:r>
      <w:r w:rsidRPr="009932AF">
        <w:rPr>
          <w:vertAlign w:val="superscript"/>
        </w:rPr>
        <w:endnoteReference w:id="44"/>
      </w:r>
      <w:r w:rsidRPr="009932AF">
        <w:rPr>
          <w:lang w:val="es-ES"/>
        </w:rPr>
        <w:t>, y que se estima que, por el contexto de la pandemia, anudado a los impactos de los huracanes ETA e Iota, este porcentaje aumentará a un 54% de la población</w:t>
      </w:r>
      <w:r w:rsidRPr="009932AF">
        <w:rPr>
          <w:vertAlign w:val="superscript"/>
        </w:rPr>
        <w:endnoteReference w:id="45"/>
      </w:r>
      <w:r w:rsidRPr="009932AF">
        <w:rPr>
          <w:lang w:val="es-ES"/>
        </w:rPr>
        <w:t xml:space="preserve">, </w:t>
      </w:r>
      <w:r w:rsidRPr="009932AF">
        <w:rPr>
          <w:b/>
          <w:bCs/>
          <w:lang w:val="es-ES"/>
        </w:rPr>
        <w:t>la criminalización absoluta del aborto exacerba la desigualdad en el acceso a los servicios de salud, dejando de ser éste un derecho, para convertirse en un privilegio</w:t>
      </w:r>
      <w:r w:rsidRPr="009932AF">
        <w:rPr>
          <w:lang w:val="es-ES"/>
        </w:rPr>
        <w:t xml:space="preserve">, impactando de manera desproporcionada a las mujeres pobres. </w:t>
      </w:r>
    </w:p>
    <w:p w14:paraId="3AA85EE0" w14:textId="6DF18A0D" w:rsidR="002264D6" w:rsidRPr="00EF28CC" w:rsidRDefault="002264D6" w:rsidP="007D2C04">
      <w:pPr>
        <w:pStyle w:val="Lindas3"/>
        <w:numPr>
          <w:ilvl w:val="0"/>
          <w:numId w:val="6"/>
        </w:numPr>
        <w:spacing w:after="0" w:line="240" w:lineRule="auto"/>
        <w:ind w:left="450"/>
        <w:rPr>
          <w:lang w:val="es-ES"/>
        </w:rPr>
      </w:pPr>
      <w:r w:rsidRPr="009932AF">
        <w:rPr>
          <w:lang w:val="es-ES"/>
        </w:rPr>
        <w:t>La lejanía geográfica agrava el tiempo y los recursos ya considerables que las mujeres pobres</w:t>
      </w:r>
      <w:r w:rsidRPr="00EF28CC">
        <w:rPr>
          <w:lang w:val="es-ES"/>
        </w:rPr>
        <w:t xml:space="preserve"> y rurales deben emplear para acceder a los ya escasos servicios de salud reproductiva. Incluso los medicamentos abortivos del mercado paralelo son casi totalmente inaccesibles en las zonas rurales, por lo que se ha denunciado que mujeres y niñas rurales han tomado pesticidas para provocar abortos, a veces con resultado de muerte. </w:t>
      </w:r>
      <w:r w:rsidRPr="00EF28CC">
        <w:rPr>
          <w:rStyle w:val="EndnoteReference"/>
        </w:rPr>
        <w:endnoteReference w:id="46"/>
      </w:r>
    </w:p>
    <w:p w14:paraId="6EB7D78F" w14:textId="43DC9395" w:rsidR="00F32DFB" w:rsidRPr="00EF28CC" w:rsidRDefault="007E62E7" w:rsidP="007D2C04">
      <w:pPr>
        <w:pStyle w:val="Lindas3"/>
        <w:numPr>
          <w:ilvl w:val="0"/>
          <w:numId w:val="6"/>
        </w:numPr>
        <w:spacing w:after="0" w:line="240" w:lineRule="auto"/>
        <w:ind w:left="450"/>
        <w:rPr>
          <w:lang w:val="es-ES"/>
        </w:rPr>
      </w:pPr>
      <w:r w:rsidRPr="00EF28CC">
        <w:rPr>
          <w:lang w:val="es-ES"/>
        </w:rPr>
        <w:t xml:space="preserve">Esto supone un incumplimiento tanto de la </w:t>
      </w:r>
      <w:r w:rsidRPr="00EF28CC">
        <w:rPr>
          <w:i/>
          <w:iCs/>
          <w:lang w:val="es-ES"/>
        </w:rPr>
        <w:t xml:space="preserve">protección </w:t>
      </w:r>
      <w:r w:rsidRPr="00EF28CC">
        <w:rPr>
          <w:lang w:val="es-ES"/>
        </w:rPr>
        <w:t xml:space="preserve">como </w:t>
      </w:r>
      <w:r w:rsidRPr="00EF28CC">
        <w:rPr>
          <w:i/>
          <w:iCs/>
          <w:lang w:val="es-ES"/>
        </w:rPr>
        <w:t xml:space="preserve">del cumplimiento </w:t>
      </w:r>
      <w:r w:rsidRPr="00EF28CC">
        <w:rPr>
          <w:lang w:val="es-ES"/>
        </w:rPr>
        <w:t>del derecho a la salud</w:t>
      </w:r>
      <w:r w:rsidR="003A58EE">
        <w:rPr>
          <w:lang w:val="es-ES"/>
        </w:rPr>
        <w:t xml:space="preserve"> </w:t>
      </w:r>
      <w:r w:rsidRPr="00EF28CC">
        <w:rPr>
          <w:lang w:val="es-ES"/>
        </w:rPr>
        <w:t xml:space="preserve">y, por tanto, niega el derecho de las mujeres a la salud física y mental en virtud del artículo 12 del PIDESC, al aumentar su exposición a los riesgos del aborto inseguro.  </w:t>
      </w:r>
      <w:bookmarkEnd w:id="3"/>
    </w:p>
    <w:p w14:paraId="1DD58D80" w14:textId="77777777" w:rsidR="00F32DFB" w:rsidRPr="00EF28CC" w:rsidRDefault="00F32DFB" w:rsidP="007D2C04">
      <w:pPr>
        <w:pStyle w:val="BodyText"/>
        <w:spacing w:after="0"/>
        <w:rPr>
          <w:szCs w:val="24"/>
          <w:lang w:val="es-ES"/>
        </w:rPr>
      </w:pPr>
    </w:p>
    <w:p w14:paraId="24A2276A" w14:textId="66EA3A5F" w:rsidR="00F32DFB" w:rsidRPr="00EF28CC" w:rsidRDefault="007E62E7" w:rsidP="007D2C04">
      <w:pPr>
        <w:pStyle w:val="Lindas3"/>
        <w:spacing w:after="0" w:line="240" w:lineRule="auto"/>
        <w:ind w:left="709" w:hanging="349"/>
        <w:rPr>
          <w:b/>
          <w:lang w:val="es-ES"/>
        </w:rPr>
      </w:pPr>
      <w:r w:rsidRPr="00EF28CC">
        <w:rPr>
          <w:b/>
          <w:lang w:val="es-ES"/>
        </w:rPr>
        <w:lastRenderedPageBreak/>
        <w:t xml:space="preserve">A. </w:t>
      </w:r>
      <w:r w:rsidRPr="00EF28CC">
        <w:rPr>
          <w:rFonts w:eastAsiaTheme="minorHAnsi"/>
          <w:b/>
          <w:lang w:val="es-ES"/>
        </w:rPr>
        <w:t xml:space="preserve">El </w:t>
      </w:r>
      <w:r w:rsidRPr="00EF28CC">
        <w:rPr>
          <w:b/>
          <w:lang w:val="es-ES"/>
        </w:rPr>
        <w:t>impacto de la penalización total del aborto</w:t>
      </w:r>
      <w:r w:rsidR="00F315A1" w:rsidRPr="00EF28CC">
        <w:rPr>
          <w:b/>
          <w:lang w:val="es-ES"/>
        </w:rPr>
        <w:t>.</w:t>
      </w:r>
    </w:p>
    <w:p w14:paraId="3539DC89" w14:textId="703DD996" w:rsidR="00FA54FA" w:rsidRPr="00EF28CC" w:rsidRDefault="007E62E7" w:rsidP="007D2C04">
      <w:pPr>
        <w:pStyle w:val="Lindas3"/>
        <w:numPr>
          <w:ilvl w:val="0"/>
          <w:numId w:val="6"/>
        </w:numPr>
        <w:spacing w:after="0" w:line="240" w:lineRule="auto"/>
        <w:ind w:left="450"/>
        <w:rPr>
          <w:lang w:val="es-ES"/>
        </w:rPr>
      </w:pPr>
      <w:bookmarkStart w:id="4" w:name="_Ref164937108"/>
      <w:bookmarkStart w:id="5" w:name="_Hlk130979871"/>
      <w:r w:rsidRPr="00EF28CC">
        <w:rPr>
          <w:lang w:val="es-ES"/>
        </w:rPr>
        <w:t xml:space="preserve">Adicionalmente, </w:t>
      </w:r>
      <w:r w:rsidR="00B63903" w:rsidRPr="00EF28CC">
        <w:rPr>
          <w:lang w:val="es-ES"/>
        </w:rPr>
        <w:t>el</w:t>
      </w:r>
      <w:r w:rsidRPr="00EF28CC">
        <w:rPr>
          <w:lang w:val="es-ES"/>
        </w:rPr>
        <w:t xml:space="preserve"> Grupo de Trabajo </w:t>
      </w:r>
      <w:r w:rsidR="00B63903" w:rsidRPr="00EF28CC">
        <w:rPr>
          <w:lang w:val="es-ES"/>
        </w:rPr>
        <w:t xml:space="preserve">sobre la cuestión de la discriminación </w:t>
      </w:r>
      <w:r w:rsidR="009616C6" w:rsidRPr="00EF28CC">
        <w:rPr>
          <w:lang w:val="es-ES"/>
        </w:rPr>
        <w:t xml:space="preserve">contra las mujeres y las niñas </w:t>
      </w:r>
      <w:r w:rsidRPr="00EF28CC">
        <w:rPr>
          <w:lang w:val="es-ES"/>
        </w:rPr>
        <w:t xml:space="preserve">ha explicado que en Honduras "la </w:t>
      </w:r>
      <w:r w:rsidRPr="00EF28CC">
        <w:rPr>
          <w:i/>
          <w:iCs/>
          <w:lang w:val="es-ES"/>
        </w:rPr>
        <w:t xml:space="preserve">vida familiar y la salud reproductiva de las mujeres están muy condicionadas por una sociedad conservadora, influenciada por la Iglesia </w:t>
      </w:r>
      <w:r w:rsidRPr="00EF28CC">
        <w:rPr>
          <w:lang w:val="es-ES"/>
        </w:rPr>
        <w:t xml:space="preserve">[...]. [...] </w:t>
      </w:r>
      <w:r w:rsidRPr="00EF28CC">
        <w:rPr>
          <w:i/>
          <w:iCs/>
          <w:lang w:val="es-ES"/>
        </w:rPr>
        <w:t>tanto la católica como la evangélica tienen una influencia significativa en los órganos de decisión política y en la opinión pública, incluso en la discusión sobre la despenalización del aborto en tres supuestos y el levantamiento de la prohibición de la anticoncepción de emergencia</w:t>
      </w:r>
      <w:r w:rsidRPr="00EF28CC">
        <w:rPr>
          <w:lang w:val="es-ES"/>
        </w:rPr>
        <w:t>".</w:t>
      </w:r>
      <w:r w:rsidRPr="00EF28CC">
        <w:rPr>
          <w:rStyle w:val="EndnoteReference"/>
        </w:rPr>
        <w:endnoteReference w:id="47"/>
      </w:r>
      <w:bookmarkEnd w:id="4"/>
      <w:r w:rsidR="00FA54FA" w:rsidRPr="00EF28CC">
        <w:rPr>
          <w:lang w:val="es-ES"/>
        </w:rPr>
        <w:t xml:space="preserve"> </w:t>
      </w:r>
    </w:p>
    <w:p w14:paraId="05C99840" w14:textId="16577BEC" w:rsidR="00FA54FA" w:rsidRPr="00EF28CC" w:rsidRDefault="00FA54FA" w:rsidP="007D2C04">
      <w:pPr>
        <w:pStyle w:val="Lindas3"/>
        <w:numPr>
          <w:ilvl w:val="0"/>
          <w:numId w:val="6"/>
        </w:numPr>
        <w:spacing w:after="0" w:line="240" w:lineRule="auto"/>
        <w:ind w:left="450"/>
        <w:rPr>
          <w:lang w:val="es-ES"/>
        </w:rPr>
      </w:pPr>
      <w:r w:rsidRPr="00EF28CC">
        <w:rPr>
          <w:lang w:val="es-ES"/>
        </w:rPr>
        <w:t>Respecto de las consecuencias de la criminalización total del aborto en Honduras, un estudio sobre la judicialización de mujeres por el delito de aborto en ese país</w:t>
      </w:r>
      <w:r w:rsidRPr="00EF28CC">
        <w:rPr>
          <w:vertAlign w:val="superscript"/>
        </w:rPr>
        <w:endnoteReference w:id="48"/>
      </w:r>
      <w:r w:rsidRPr="00EF28CC">
        <w:rPr>
          <w:lang w:val="es-ES"/>
        </w:rPr>
        <w:t>, en el cual se analizaron 47 casos de mujeres criminalizadas, constató que en el 81% de estos casos las mujeres eran jóvenes entre los 18 y 28 años</w:t>
      </w:r>
      <w:r w:rsidRPr="00EF28CC">
        <w:rPr>
          <w:vertAlign w:val="superscript"/>
        </w:rPr>
        <w:endnoteReference w:id="49"/>
      </w:r>
      <w:r w:rsidRPr="00EF28CC">
        <w:rPr>
          <w:lang w:val="es-ES"/>
        </w:rPr>
        <w:t>; 40% eran empleadas domésticas con o sin remuneración y el 20% se encontraba estudiando la secundaria al momento de la detención</w:t>
      </w:r>
      <w:r w:rsidRPr="00EF28CC">
        <w:rPr>
          <w:vertAlign w:val="superscript"/>
        </w:rPr>
        <w:endnoteReference w:id="50"/>
      </w:r>
      <w:r w:rsidRPr="00EF28CC">
        <w:rPr>
          <w:lang w:val="es-ES"/>
        </w:rPr>
        <w:t>. La mayoría de estas mujeres provenían de zonas rurales</w:t>
      </w:r>
      <w:r w:rsidRPr="00EF28CC">
        <w:rPr>
          <w:vertAlign w:val="superscript"/>
        </w:rPr>
        <w:endnoteReference w:id="51"/>
      </w:r>
      <w:r w:rsidRPr="00EF28CC">
        <w:rPr>
          <w:lang w:val="es-ES"/>
        </w:rPr>
        <w:t>. Además, el estudio documentó que en el 64% de los casos de mujeres criminalizadas la denuncia fue interpuesta por el personal de salud, en contravención del deber de confidencialidad y de mantener el secreto profesional médico</w:t>
      </w:r>
      <w:r w:rsidRPr="00EF28CC">
        <w:rPr>
          <w:vertAlign w:val="superscript"/>
        </w:rPr>
        <w:endnoteReference w:id="52"/>
      </w:r>
      <w:r w:rsidRPr="00EF28CC">
        <w:rPr>
          <w:lang w:val="es-ES"/>
        </w:rPr>
        <w:t>.</w:t>
      </w:r>
    </w:p>
    <w:p w14:paraId="55C41352" w14:textId="77777777" w:rsidR="00FA54FA" w:rsidRPr="00EF28CC" w:rsidRDefault="00FA54FA" w:rsidP="007D2C04">
      <w:pPr>
        <w:pStyle w:val="Lindas3"/>
        <w:numPr>
          <w:ilvl w:val="0"/>
          <w:numId w:val="6"/>
        </w:numPr>
        <w:spacing w:after="0" w:line="240" w:lineRule="auto"/>
        <w:ind w:left="450"/>
        <w:rPr>
          <w:lang w:val="es-ES"/>
        </w:rPr>
      </w:pPr>
      <w:r w:rsidRPr="00EF28CC">
        <w:rPr>
          <w:lang w:val="es-ES"/>
        </w:rPr>
        <w:t>Por ello, la Comisión Interamericana de Derechos Humanos (CIDH) ha pedido a Honduras que establezca un mecanismo para publicar datos sobre denuncias, investigaciones y sentencias relacionadas con abortos o emergencias obstétricas.</w:t>
      </w:r>
      <w:r w:rsidRPr="00EF28CC">
        <w:rPr>
          <w:rStyle w:val="EndnoteReference"/>
          <w:lang w:val="en"/>
        </w:rPr>
        <w:endnoteReference w:id="53"/>
      </w:r>
    </w:p>
    <w:p w14:paraId="5C28A0DB" w14:textId="77777777" w:rsidR="00253E8E" w:rsidRPr="00EF28CC" w:rsidRDefault="00253E8E" w:rsidP="007D2C04">
      <w:pPr>
        <w:pStyle w:val="Lindas3"/>
        <w:numPr>
          <w:ilvl w:val="0"/>
          <w:numId w:val="6"/>
        </w:numPr>
        <w:spacing w:after="0" w:line="240" w:lineRule="auto"/>
        <w:ind w:left="450"/>
        <w:rPr>
          <w:lang w:val="es-ES"/>
        </w:rPr>
      </w:pPr>
      <w:r w:rsidRPr="00EF28CC">
        <w:rPr>
          <w:lang w:val="es-ES"/>
        </w:rPr>
        <w:t>Además, la CIDH en 2024, indicó que en Honduras existe un estigma social asociado al aborto y las mujeres son señaladas y maltratadas cuando acceden a los servicios de salud.</w:t>
      </w:r>
      <w:r w:rsidRPr="00EF28CC">
        <w:rPr>
          <w:rStyle w:val="EndnoteReference"/>
          <w:lang w:val="en"/>
        </w:rPr>
        <w:endnoteReference w:id="54"/>
      </w:r>
      <w:r w:rsidRPr="00EF28CC">
        <w:rPr>
          <w:lang w:val="es-ES"/>
        </w:rPr>
        <w:t xml:space="preserve"> Se han dado casos de mujeres que han sido objeto de publicaciones en los medios de comunicación cuando estaban siendo  detenidas en hospitales, o casos de mujeres amenazadas por la policía mientras estaban hospitalizadas tras una emergencia obstétrica.</w:t>
      </w:r>
      <w:r w:rsidRPr="00EF28CC">
        <w:rPr>
          <w:rStyle w:val="EndnoteReference"/>
          <w:lang w:val="en"/>
        </w:rPr>
        <w:endnoteReference w:id="55"/>
      </w:r>
      <w:r w:rsidRPr="00EF28CC">
        <w:rPr>
          <w:lang w:val="es-ES"/>
        </w:rPr>
        <w:t xml:space="preserve"> Según los datos disponibles hasta 2018, el 43% de los procesos penales contra mujeres que abortaron se iniciaron por información recibida de un médico, enfermero o trabajador social que prestaba servicios sanitarios.</w:t>
      </w:r>
      <w:r w:rsidRPr="00EF28CC">
        <w:rPr>
          <w:rStyle w:val="EndnoteReference"/>
          <w:lang w:val="en"/>
        </w:rPr>
        <w:endnoteReference w:id="56"/>
      </w:r>
    </w:p>
    <w:p w14:paraId="5A953283" w14:textId="77777777" w:rsidR="00C86D4A" w:rsidRPr="00EF28CC" w:rsidRDefault="00253E8E" w:rsidP="007D2C04">
      <w:pPr>
        <w:pStyle w:val="Lindas3"/>
        <w:numPr>
          <w:ilvl w:val="0"/>
          <w:numId w:val="6"/>
        </w:numPr>
        <w:spacing w:after="0" w:line="240" w:lineRule="auto"/>
        <w:ind w:left="450"/>
        <w:rPr>
          <w:lang w:val="es-ES"/>
        </w:rPr>
      </w:pPr>
      <w:r w:rsidRPr="00EF28CC">
        <w:rPr>
          <w:lang w:val="es-ES"/>
        </w:rPr>
        <w:t xml:space="preserve">Un ejemplo de la preocupante situación de criminalización de mujeres por emergencias obstétricas en </w:t>
      </w:r>
      <w:proofErr w:type="gramStart"/>
      <w:r w:rsidRPr="00EF28CC">
        <w:rPr>
          <w:lang w:val="es-ES"/>
        </w:rPr>
        <w:t>Honduras,</w:t>
      </w:r>
      <w:proofErr w:type="gramEnd"/>
      <w:r w:rsidRPr="00EF28CC">
        <w:rPr>
          <w:lang w:val="es-ES"/>
        </w:rPr>
        <w:t xml:space="preserve"> es el caso de María Ercilia</w:t>
      </w:r>
      <w:r w:rsidR="00D977C4" w:rsidRPr="00EF28CC">
        <w:rPr>
          <w:rStyle w:val="EndnoteReference"/>
          <w:lang w:val="es-ES"/>
        </w:rPr>
        <w:endnoteReference w:id="57"/>
      </w:r>
      <w:r w:rsidR="003A5D50" w:rsidRPr="00EF28CC">
        <w:rPr>
          <w:lang w:val="es-ES"/>
        </w:rPr>
        <w:t xml:space="preserve">. </w:t>
      </w:r>
      <w:r w:rsidR="00E944F2" w:rsidRPr="00EF28CC">
        <w:rPr>
          <w:lang w:val="es-ES"/>
        </w:rPr>
        <w:t>María</w:t>
      </w:r>
      <w:r w:rsidR="003A5D50" w:rsidRPr="00EF28CC">
        <w:rPr>
          <w:lang w:val="es-ES"/>
        </w:rPr>
        <w:t xml:space="preserve"> Ercilia es</w:t>
      </w:r>
      <w:r w:rsidR="0076242A" w:rsidRPr="00EF28CC">
        <w:rPr>
          <w:lang w:val="es-ES"/>
        </w:rPr>
        <w:t xml:space="preserve"> una mujer</w:t>
      </w:r>
      <w:r w:rsidR="00132AD1" w:rsidRPr="00EF28CC">
        <w:rPr>
          <w:lang w:val="es-ES"/>
        </w:rPr>
        <w:t>, madre soltera de seis hijos, cuidadora de una persona</w:t>
      </w:r>
      <w:r w:rsidR="00984322" w:rsidRPr="00EF28CC">
        <w:rPr>
          <w:lang w:val="es-ES"/>
        </w:rPr>
        <w:t xml:space="preserve"> que vive</w:t>
      </w:r>
      <w:r w:rsidR="00132AD1" w:rsidRPr="00EF28CC">
        <w:rPr>
          <w:lang w:val="es-ES"/>
        </w:rPr>
        <w:t xml:space="preserve"> con</w:t>
      </w:r>
      <w:r w:rsidR="00984322" w:rsidRPr="00EF28CC">
        <w:rPr>
          <w:lang w:val="es-ES"/>
        </w:rPr>
        <w:t xml:space="preserve"> una</w:t>
      </w:r>
      <w:r w:rsidR="00132AD1" w:rsidRPr="00EF28CC">
        <w:rPr>
          <w:lang w:val="es-ES"/>
        </w:rPr>
        <w:t xml:space="preserve"> discapacidad,</w:t>
      </w:r>
      <w:r w:rsidR="00984322" w:rsidRPr="00EF28CC">
        <w:rPr>
          <w:lang w:val="es-ES"/>
        </w:rPr>
        <w:t xml:space="preserve"> y</w:t>
      </w:r>
      <w:r w:rsidR="00132AD1" w:rsidRPr="00EF28CC">
        <w:rPr>
          <w:lang w:val="es-ES"/>
        </w:rPr>
        <w:t xml:space="preserve"> </w:t>
      </w:r>
      <w:r w:rsidR="00984322" w:rsidRPr="00EF28CC">
        <w:rPr>
          <w:lang w:val="es-ES"/>
        </w:rPr>
        <w:t>tanto ella como su familia se encontraban en una situación</w:t>
      </w:r>
      <w:r w:rsidR="00132AD1" w:rsidRPr="00EF28CC">
        <w:rPr>
          <w:lang w:val="es-ES"/>
        </w:rPr>
        <w:t xml:space="preserve"> económica precaria. </w:t>
      </w:r>
    </w:p>
    <w:p w14:paraId="00C79A41" w14:textId="18598522" w:rsidR="003A5D50" w:rsidRPr="00EF28CC" w:rsidRDefault="00DB2A92" w:rsidP="007D2C04">
      <w:pPr>
        <w:pStyle w:val="Lindas3"/>
        <w:numPr>
          <w:ilvl w:val="0"/>
          <w:numId w:val="6"/>
        </w:numPr>
        <w:spacing w:after="0" w:line="240" w:lineRule="auto"/>
        <w:ind w:left="450"/>
        <w:rPr>
          <w:lang w:val="es-ES"/>
        </w:rPr>
      </w:pPr>
      <w:r w:rsidRPr="00EF28CC">
        <w:rPr>
          <w:lang w:val="es-ES"/>
        </w:rPr>
        <w:t xml:space="preserve">Durante su último embarazo, </w:t>
      </w:r>
      <w:r w:rsidR="00E944F2" w:rsidRPr="00EF28CC">
        <w:rPr>
          <w:lang w:val="es-ES"/>
        </w:rPr>
        <w:t>María</w:t>
      </w:r>
      <w:r w:rsidRPr="00EF28CC">
        <w:rPr>
          <w:lang w:val="es-ES"/>
        </w:rPr>
        <w:t xml:space="preserve"> Ercilia intentó </w:t>
      </w:r>
      <w:r w:rsidR="00EE134B" w:rsidRPr="00EF28CC">
        <w:rPr>
          <w:lang w:val="es-ES"/>
        </w:rPr>
        <w:t>tener un parto</w:t>
      </w:r>
      <w:r w:rsidRPr="00EF28CC">
        <w:rPr>
          <w:lang w:val="es-ES"/>
        </w:rPr>
        <w:t xml:space="preserve"> sin partera, tal como lo había hecho en ocasiones anteriores. Sin embargo, </w:t>
      </w:r>
      <w:r w:rsidR="004760FA" w:rsidRPr="00EF28CC">
        <w:rPr>
          <w:lang w:val="es-ES"/>
        </w:rPr>
        <w:t>el producto de la gestación estaba</w:t>
      </w:r>
      <w:r w:rsidR="00EE134B" w:rsidRPr="00EF28CC">
        <w:rPr>
          <w:lang w:val="es-ES"/>
        </w:rPr>
        <w:t xml:space="preserve"> muerto, y debido a la pobre</w:t>
      </w:r>
      <w:r w:rsidR="009932AF">
        <w:rPr>
          <w:lang w:val="es-ES"/>
        </w:rPr>
        <w:t>za</w:t>
      </w:r>
      <w:r w:rsidR="00EE134B" w:rsidRPr="00EF28CC">
        <w:rPr>
          <w:lang w:val="es-ES"/>
        </w:rPr>
        <w:t xml:space="preserve"> extrema y las arduas jornadas laborales que la obligaban a trabajar sin descanso</w:t>
      </w:r>
      <w:r w:rsidR="007A46F0" w:rsidRPr="00EF28CC">
        <w:rPr>
          <w:lang w:val="es-ES"/>
        </w:rPr>
        <w:t xml:space="preserve"> habían debilitado su salud, el parto extrahospitalario requirió que </w:t>
      </w:r>
      <w:r w:rsidR="00E944F2" w:rsidRPr="00EF28CC">
        <w:rPr>
          <w:lang w:val="es-ES"/>
        </w:rPr>
        <w:t>María</w:t>
      </w:r>
      <w:r w:rsidR="007A46F0" w:rsidRPr="00EF28CC">
        <w:rPr>
          <w:lang w:val="es-ES"/>
        </w:rPr>
        <w:t xml:space="preserve"> Ercilia fuera atendida en el hospital.</w:t>
      </w:r>
      <w:r w:rsidRPr="00EF28CC">
        <w:rPr>
          <w:lang w:val="es-ES"/>
        </w:rPr>
        <w:t xml:space="preserve"> </w:t>
      </w:r>
    </w:p>
    <w:p w14:paraId="795FA5DA" w14:textId="77777777" w:rsidR="004760FA" w:rsidRPr="00EF28CC" w:rsidRDefault="00E944F2" w:rsidP="007D2C04">
      <w:pPr>
        <w:pStyle w:val="Lindas3"/>
        <w:numPr>
          <w:ilvl w:val="0"/>
          <w:numId w:val="6"/>
        </w:numPr>
        <w:spacing w:after="0" w:line="240" w:lineRule="auto"/>
        <w:ind w:left="450"/>
        <w:rPr>
          <w:lang w:val="es-ES"/>
        </w:rPr>
      </w:pPr>
      <w:r w:rsidRPr="00EF28CC">
        <w:rPr>
          <w:lang w:val="es-ES"/>
        </w:rPr>
        <w:t>A</w:t>
      </w:r>
      <w:r w:rsidR="0076242A" w:rsidRPr="00EF28CC">
        <w:rPr>
          <w:lang w:val="es-ES"/>
        </w:rPr>
        <w:t>ctualmente</w:t>
      </w:r>
      <w:r w:rsidRPr="00EF28CC">
        <w:rPr>
          <w:lang w:val="es-ES"/>
        </w:rPr>
        <w:t>, María Ercilia</w:t>
      </w:r>
      <w:r w:rsidR="0076242A" w:rsidRPr="00EF28CC">
        <w:rPr>
          <w:lang w:val="es-ES"/>
        </w:rPr>
        <w:t xml:space="preserve"> se encuentra privada de su libertad en el Centro Penal de Yoro cumpliendo una condena a 22 años y 6 meses de prisión por el delito de parricidio tras haber sufrido una emergencia obstétrica cuando tuvo un parto extrahospitalario. Su condena fue el resultado de un procedimiento abreviado en el que María Ercilia, sin contar con una buena </w:t>
      </w:r>
      <w:r w:rsidR="0076242A" w:rsidRPr="00EF28CC">
        <w:rPr>
          <w:lang w:val="es-ES"/>
        </w:rPr>
        <w:lastRenderedPageBreak/>
        <w:t xml:space="preserve">defensa técnica, aceptó incondicionalmente los hechos por los que se la acusaba. Es preciso señalar, adicionalmente, que el proceso adoleció de graves ausencias probatorias, muestra de ello es que no hubo autopsia que diera cuenta de la causa de la muerte del producto de la gestación y que las pruebas de cargo que pesaban contra María Ercilia fueron testimonios de oídas que, por lo demás, fueron contradictorios. </w:t>
      </w:r>
    </w:p>
    <w:p w14:paraId="0435B482" w14:textId="552BD4F9" w:rsidR="00F32DFB" w:rsidRDefault="0076242A" w:rsidP="00526DFA">
      <w:pPr>
        <w:pStyle w:val="Lindas3"/>
        <w:numPr>
          <w:ilvl w:val="0"/>
          <w:numId w:val="6"/>
        </w:numPr>
        <w:spacing w:after="0" w:line="240" w:lineRule="auto"/>
        <w:ind w:left="450"/>
        <w:rPr>
          <w:lang w:val="es-ES"/>
        </w:rPr>
      </w:pPr>
      <w:r w:rsidRPr="00EF28CC">
        <w:rPr>
          <w:lang w:val="es-ES"/>
        </w:rPr>
        <w:t xml:space="preserve">Además, </w:t>
      </w:r>
      <w:r w:rsidR="004760FA" w:rsidRPr="00EF28CC">
        <w:rPr>
          <w:lang w:val="es-ES"/>
        </w:rPr>
        <w:t>María</w:t>
      </w:r>
      <w:r w:rsidRPr="00EF28CC">
        <w:rPr>
          <w:lang w:val="es-ES"/>
        </w:rPr>
        <w:t xml:space="preserve"> Ercilia no cuenta con redes de apoyo, lo cual ha dificultado la crianza de sus hijos y la gestión emocional de su privación de libertad.</w:t>
      </w:r>
    </w:p>
    <w:p w14:paraId="57525612" w14:textId="77777777" w:rsidR="00526DFA" w:rsidRPr="00526DFA" w:rsidRDefault="00526DFA" w:rsidP="00526DFA">
      <w:pPr>
        <w:pStyle w:val="BodyText"/>
        <w:rPr>
          <w:lang w:val="es-ES"/>
        </w:rPr>
      </w:pPr>
    </w:p>
    <w:p w14:paraId="52B5A797" w14:textId="45E6AF11" w:rsidR="00253E8E" w:rsidRPr="00EF28CC" w:rsidRDefault="007E62E7" w:rsidP="007D2C04">
      <w:pPr>
        <w:pStyle w:val="BodyText"/>
        <w:numPr>
          <w:ilvl w:val="0"/>
          <w:numId w:val="9"/>
        </w:numPr>
        <w:spacing w:after="0"/>
        <w:ind w:left="360" w:hanging="180"/>
        <w:rPr>
          <w:b/>
          <w:bCs/>
          <w:szCs w:val="24"/>
          <w:lang w:val="es-ES"/>
        </w:rPr>
      </w:pPr>
      <w:r w:rsidRPr="00EF28CC">
        <w:rPr>
          <w:b/>
          <w:bCs/>
          <w:szCs w:val="24"/>
          <w:lang w:val="es-ES"/>
        </w:rPr>
        <w:t>Las</w:t>
      </w:r>
      <w:r w:rsidRPr="00EF28CC">
        <w:rPr>
          <w:szCs w:val="24"/>
          <w:lang w:val="es-ES"/>
        </w:rPr>
        <w:t xml:space="preserve"> </w:t>
      </w:r>
      <w:r w:rsidRPr="00EF28CC">
        <w:rPr>
          <w:b/>
          <w:bCs/>
          <w:szCs w:val="24"/>
          <w:lang w:val="es-ES"/>
        </w:rPr>
        <w:t>dificultades de las niñas y las mujeres para acceder a una educación sexual integral y de calidad en Honduras</w:t>
      </w:r>
    </w:p>
    <w:p w14:paraId="7A4DF0FE" w14:textId="77777777" w:rsidR="00F32DFB" w:rsidRPr="00EF28CC" w:rsidRDefault="00F32DFB" w:rsidP="007D2C04">
      <w:pPr>
        <w:pStyle w:val="BodyText"/>
        <w:spacing w:after="0"/>
        <w:ind w:left="1440" w:firstLine="0"/>
        <w:rPr>
          <w:b/>
          <w:bCs/>
          <w:szCs w:val="24"/>
          <w:lang w:val="es-ES"/>
        </w:rPr>
      </w:pPr>
    </w:p>
    <w:p w14:paraId="1B2347D2" w14:textId="69FB75E5" w:rsidR="00F32DFB" w:rsidRPr="00EF28CC" w:rsidRDefault="007E62E7" w:rsidP="007D2C04">
      <w:pPr>
        <w:pStyle w:val="Lindas3"/>
        <w:numPr>
          <w:ilvl w:val="0"/>
          <w:numId w:val="6"/>
        </w:numPr>
        <w:tabs>
          <w:tab w:val="left" w:pos="630"/>
          <w:tab w:val="left" w:pos="810"/>
        </w:tabs>
        <w:spacing w:after="0" w:line="240" w:lineRule="auto"/>
        <w:ind w:left="450"/>
        <w:rPr>
          <w:lang w:val="es-ES"/>
        </w:rPr>
      </w:pPr>
      <w:r w:rsidRPr="00EF28CC">
        <w:rPr>
          <w:lang w:val="es-ES"/>
        </w:rPr>
        <w:t>Las mujeres y niñas de Honduras se enfrentan a graves dificultades para acceder a servicios de salud sexual y reproductiva de calidad, incluida la planificación familiar y una información fiable a través de una educación sexual integral</w:t>
      </w:r>
      <w:r w:rsidRPr="00EF28CC">
        <w:rPr>
          <w:rStyle w:val="EndnoteReference"/>
        </w:rPr>
        <w:endnoteReference w:id="58"/>
      </w:r>
      <w:r w:rsidR="00993327" w:rsidRPr="00EF28CC">
        <w:rPr>
          <w:lang w:val="es-ES"/>
        </w:rPr>
        <w:t>.</w:t>
      </w:r>
      <w:r w:rsidRPr="00EF28CC">
        <w:rPr>
          <w:lang w:val="es-ES"/>
        </w:rPr>
        <w:t xml:space="preserve"> Esto ha contribuido a que Honduras tenga la segunda tasa más alta de embarazos entre niñas de los países latinoamericanos. Una de cada cuatro niñas en Honduras ha estado embarazada al menos una vez antes de los 19 años y el 18% de las necesidades anticonceptivas de las niñas no están cubiertas</w:t>
      </w:r>
      <w:r w:rsidRPr="00EF28CC">
        <w:rPr>
          <w:rStyle w:val="EndnoteReference"/>
        </w:rPr>
        <w:endnoteReference w:id="59"/>
      </w:r>
      <w:r w:rsidR="00C80CC4" w:rsidRPr="00EF28CC">
        <w:rPr>
          <w:lang w:val="es-ES"/>
        </w:rPr>
        <w:t>.</w:t>
      </w:r>
      <w:r w:rsidRPr="00EF28CC">
        <w:rPr>
          <w:lang w:val="es-ES"/>
        </w:rPr>
        <w:t xml:space="preserve"> </w:t>
      </w:r>
    </w:p>
    <w:p w14:paraId="33870D65" w14:textId="41A65B94" w:rsidR="00F32DFB" w:rsidRPr="00EF28CC" w:rsidRDefault="007E62E7" w:rsidP="007D2C04">
      <w:pPr>
        <w:pStyle w:val="Lindas3"/>
        <w:numPr>
          <w:ilvl w:val="0"/>
          <w:numId w:val="6"/>
        </w:numPr>
        <w:tabs>
          <w:tab w:val="left" w:pos="630"/>
          <w:tab w:val="left" w:pos="810"/>
        </w:tabs>
        <w:spacing w:after="0" w:line="240" w:lineRule="auto"/>
        <w:ind w:left="450"/>
        <w:rPr>
          <w:lang w:val="es-ES"/>
        </w:rPr>
      </w:pPr>
      <w:r w:rsidRPr="00EF28CC">
        <w:rPr>
          <w:lang w:val="es-ES"/>
        </w:rPr>
        <w:t>En marzo de 2022, la tasa de embarazo entre las niñas se registró en un 23%</w:t>
      </w:r>
      <w:r w:rsidRPr="00EF28CC">
        <w:rPr>
          <w:rStyle w:val="EndnoteReference"/>
        </w:rPr>
        <w:endnoteReference w:id="60"/>
      </w:r>
      <w:r w:rsidR="00C80CC4" w:rsidRPr="00EF28CC">
        <w:rPr>
          <w:lang w:val="es-ES"/>
        </w:rPr>
        <w:t>,</w:t>
      </w:r>
      <w:r w:rsidRPr="00EF28CC">
        <w:rPr>
          <w:lang w:val="es-ES"/>
        </w:rPr>
        <w:t xml:space="preserve"> mientras que la tasa en las zonas rurales alcanzó el 30%</w:t>
      </w:r>
      <w:r w:rsidRPr="00EF28CC">
        <w:rPr>
          <w:rStyle w:val="EndnoteReference"/>
        </w:rPr>
        <w:endnoteReference w:id="61"/>
      </w:r>
      <w:r w:rsidR="00C80CC4" w:rsidRPr="00EF28CC">
        <w:rPr>
          <w:lang w:val="es-ES"/>
        </w:rPr>
        <w:t>.</w:t>
      </w:r>
      <w:r w:rsidRPr="00EF28CC">
        <w:rPr>
          <w:lang w:val="es-ES"/>
        </w:rPr>
        <w:t xml:space="preserve"> Uno de cada cuatro nacimientos corresponde a una niña menor de 19 años</w:t>
      </w:r>
      <w:r w:rsidRPr="00EF28CC">
        <w:rPr>
          <w:rStyle w:val="EndnoteReference"/>
        </w:rPr>
        <w:endnoteReference w:id="62"/>
      </w:r>
      <w:r w:rsidR="00C80CC4" w:rsidRPr="00EF28CC">
        <w:rPr>
          <w:lang w:val="es-ES"/>
        </w:rPr>
        <w:t>.</w:t>
      </w:r>
      <w:r w:rsidRPr="00EF28CC">
        <w:rPr>
          <w:lang w:val="es-ES"/>
        </w:rPr>
        <w:t xml:space="preserve"> </w:t>
      </w:r>
    </w:p>
    <w:p w14:paraId="5F19A7D1" w14:textId="6F4948F5" w:rsidR="00F32DFB" w:rsidRPr="00EF28CC" w:rsidRDefault="007E62E7" w:rsidP="007D2C04">
      <w:pPr>
        <w:pStyle w:val="Lindas3"/>
        <w:numPr>
          <w:ilvl w:val="0"/>
          <w:numId w:val="6"/>
        </w:numPr>
        <w:tabs>
          <w:tab w:val="left" w:pos="630"/>
          <w:tab w:val="left" w:pos="810"/>
        </w:tabs>
        <w:spacing w:after="0" w:line="240" w:lineRule="auto"/>
        <w:ind w:left="450"/>
        <w:rPr>
          <w:lang w:val="es-ES"/>
        </w:rPr>
      </w:pPr>
      <w:r w:rsidRPr="00EF28CC">
        <w:rPr>
          <w:lang w:val="es-ES"/>
        </w:rPr>
        <w:t>En Honduras, el acceso a servicios de salud sexual y reproductiva son limitados. “[…]en el país hay una escasa oferta de diferentes métodos de planificación familiar y, además, existe un vacío en la educación sobre salud sexual y reproductiva en la población adolescente”</w:t>
      </w:r>
      <w:r w:rsidRPr="00EF28CC">
        <w:rPr>
          <w:rStyle w:val="EndnoteReference"/>
          <w:rFonts w:eastAsia="Calibri"/>
        </w:rPr>
        <w:endnoteReference w:id="63"/>
      </w:r>
      <w:r w:rsidR="006E3FB8" w:rsidRPr="00EF28CC">
        <w:rPr>
          <w:lang w:val="es-ES"/>
        </w:rPr>
        <w:t>.</w:t>
      </w:r>
      <w:r w:rsidRPr="00EF28CC">
        <w:rPr>
          <w:lang w:val="es-ES"/>
        </w:rPr>
        <w:t xml:space="preserve"> Actualmente hay pocos avances para implementar un programa de educación sexual sin la intervención de las iglesias, tanto católicas como evangélicas</w:t>
      </w:r>
      <w:r w:rsidRPr="00EF28CC">
        <w:rPr>
          <w:rStyle w:val="EndnoteReference"/>
          <w:rFonts w:eastAsia="Calibri"/>
        </w:rPr>
        <w:endnoteReference w:id="64"/>
      </w:r>
      <w:r w:rsidR="006E3FB8" w:rsidRPr="00EF28CC">
        <w:rPr>
          <w:lang w:val="es-ES"/>
        </w:rPr>
        <w:t>.</w:t>
      </w:r>
      <w:r w:rsidRPr="00EF28CC">
        <w:rPr>
          <w:lang w:val="es-ES"/>
        </w:rPr>
        <w:t xml:space="preserve"> </w:t>
      </w:r>
    </w:p>
    <w:p w14:paraId="7647EBBE" w14:textId="556B738F" w:rsidR="00F32DFB" w:rsidRPr="00EF28CC" w:rsidRDefault="007E62E7" w:rsidP="007D2C04">
      <w:pPr>
        <w:pStyle w:val="Lindas3"/>
        <w:numPr>
          <w:ilvl w:val="0"/>
          <w:numId w:val="6"/>
        </w:numPr>
        <w:tabs>
          <w:tab w:val="left" w:pos="630"/>
          <w:tab w:val="left" w:pos="810"/>
        </w:tabs>
        <w:spacing w:after="0" w:line="240" w:lineRule="auto"/>
        <w:ind w:left="450"/>
        <w:rPr>
          <w:lang w:val="es-ES"/>
        </w:rPr>
      </w:pPr>
      <w:r w:rsidRPr="00EF28CC">
        <w:rPr>
          <w:lang w:val="es-ES"/>
        </w:rPr>
        <w:t>En marzo del 2023, el Congreso de Honduras aprobó la ley de Educación Integral de Prevención al Embarazo Adolescente</w:t>
      </w:r>
      <w:r w:rsidR="006E3FB8" w:rsidRPr="00EF28CC">
        <w:rPr>
          <w:rStyle w:val="EndnoteReference"/>
          <w:lang w:val="es-ES"/>
        </w:rPr>
        <w:endnoteReference w:id="65"/>
      </w:r>
      <w:r w:rsidRPr="00EF28CC">
        <w:rPr>
          <w:lang w:val="es-ES"/>
        </w:rPr>
        <w:t>. Entre sus objetivos</w:t>
      </w:r>
      <w:r w:rsidR="00F100F5" w:rsidRPr="00EF28CC">
        <w:rPr>
          <w:lang w:val="es-ES"/>
        </w:rPr>
        <w:t xml:space="preserve"> </w:t>
      </w:r>
      <w:r w:rsidRPr="00EF28CC">
        <w:rPr>
          <w:lang w:val="es-ES"/>
        </w:rPr>
        <w:t>se encontraban el “fomentar una conducta responsable en el ejercicio de la sexualidad y estimular la postergación del inicio de las relaciones sexuales, hasta que la persona alcance la madurez física, emocional y mental"</w:t>
      </w:r>
      <w:r w:rsidR="00F100F5" w:rsidRPr="00EF28CC">
        <w:rPr>
          <w:rStyle w:val="EndnoteReference"/>
        </w:rPr>
        <w:endnoteReference w:id="66"/>
      </w:r>
      <w:r w:rsidRPr="00EF28CC">
        <w:rPr>
          <w:lang w:val="es-ES"/>
        </w:rPr>
        <w:t>. Adicionalmente, esta iniciativa buscaba "prevenir los embarazos no deseados y difundir el conocimiento del uso de los métodos anticonceptivos modernos en las personas adolescentes sexualmente activos y en madres adolescentes"</w:t>
      </w:r>
      <w:r w:rsidRPr="00EF28CC">
        <w:rPr>
          <w:rStyle w:val="EndnoteReference"/>
        </w:rPr>
        <w:endnoteReference w:id="67"/>
      </w:r>
      <w:r w:rsidR="00F100F5" w:rsidRPr="00EF28CC">
        <w:rPr>
          <w:lang w:val="es-ES"/>
        </w:rPr>
        <w:t>.</w:t>
      </w:r>
    </w:p>
    <w:p w14:paraId="402BCAAA" w14:textId="0B924668" w:rsidR="00F32DFB" w:rsidRPr="00EF28CC" w:rsidRDefault="007E62E7" w:rsidP="007D2C04">
      <w:pPr>
        <w:pStyle w:val="NoSpacing"/>
        <w:numPr>
          <w:ilvl w:val="0"/>
          <w:numId w:val="6"/>
        </w:numPr>
        <w:tabs>
          <w:tab w:val="left" w:pos="630"/>
          <w:tab w:val="left" w:pos="810"/>
        </w:tabs>
        <w:spacing w:before="240"/>
        <w:ind w:left="450"/>
        <w:contextualSpacing/>
        <w:jc w:val="both"/>
        <w:rPr>
          <w:lang w:val="es-ES"/>
        </w:rPr>
      </w:pPr>
      <w:r w:rsidRPr="00EF28CC">
        <w:rPr>
          <w:rFonts w:eastAsia="Arial"/>
          <w:lang w:val="es-ES"/>
        </w:rPr>
        <w:t xml:space="preserve">El procedimiento constitucional de formación, sanción y promulgación de leyes en Honduras establece que, </w:t>
      </w:r>
      <w:r w:rsidRPr="00EF28CC">
        <w:rPr>
          <w:rFonts w:eastAsia="Arial"/>
          <w:i/>
          <w:iCs/>
          <w:lang w:val="es-ES"/>
        </w:rPr>
        <w:t>“</w:t>
      </w:r>
      <w:r w:rsidRPr="00EF28CC">
        <w:rPr>
          <w:rFonts w:eastAsia="Arial"/>
          <w:lang w:val="es-ES"/>
        </w:rPr>
        <w:t xml:space="preserve">al aprobarse </w:t>
      </w:r>
      <w:r w:rsidRPr="00EF28CC">
        <w:rPr>
          <w:rFonts w:eastAsia="Cambria"/>
          <w:highlight w:val="white"/>
          <w:lang w:val="es-ES"/>
        </w:rPr>
        <w:t xml:space="preserve">[la Ley] </w:t>
      </w:r>
      <w:r w:rsidRPr="00EF28CC">
        <w:rPr>
          <w:rFonts w:eastAsia="Arial"/>
          <w:lang w:val="es-ES"/>
        </w:rPr>
        <w:t xml:space="preserve">por el Congreso Nacional, se pasará al Poder Ejecutivo </w:t>
      </w:r>
      <w:r w:rsidRPr="00EF28CC">
        <w:rPr>
          <w:rFonts w:eastAsia="Cambria"/>
          <w:highlight w:val="white"/>
          <w:lang w:val="es-ES"/>
        </w:rPr>
        <w:t>[...]</w:t>
      </w:r>
      <w:r w:rsidRPr="00EF28CC">
        <w:rPr>
          <w:rFonts w:eastAsia="Arial"/>
          <w:lang w:val="es-ES"/>
        </w:rPr>
        <w:t xml:space="preserve"> a fin de que éste le dé su sanción </w:t>
      </w:r>
      <w:r w:rsidRPr="00EF28CC">
        <w:rPr>
          <w:rFonts w:eastAsia="Cambria"/>
          <w:highlight w:val="white"/>
          <w:lang w:val="es-ES"/>
        </w:rPr>
        <w:t>[...]</w:t>
      </w:r>
      <w:r w:rsidRPr="00EF28CC">
        <w:rPr>
          <w:rFonts w:eastAsia="Arial"/>
          <w:lang w:val="es-ES"/>
        </w:rPr>
        <w:t xml:space="preserve"> y lo haga promulgar como Ley</w:t>
      </w:r>
      <w:r w:rsidR="00A92E6D" w:rsidRPr="00EF28CC">
        <w:rPr>
          <w:rFonts w:eastAsia="Arial"/>
          <w:lang w:val="es-ES"/>
        </w:rPr>
        <w:t>”</w:t>
      </w:r>
      <w:r w:rsidRPr="00EF28CC">
        <w:rPr>
          <w:rStyle w:val="EndnoteReference"/>
          <w:rFonts w:eastAsia="Arial"/>
        </w:rPr>
        <w:endnoteReference w:id="68"/>
      </w:r>
      <w:r w:rsidR="00E96840" w:rsidRPr="00EF28CC">
        <w:rPr>
          <w:rFonts w:eastAsia="Arial"/>
          <w:lang w:val="es-ES"/>
        </w:rPr>
        <w:t>.</w:t>
      </w:r>
      <w:r w:rsidRPr="00EF28CC">
        <w:rPr>
          <w:rFonts w:eastAsia="Arial"/>
          <w:lang w:val="es-ES"/>
        </w:rPr>
        <w:t xml:space="preserve"> El Poder Ejecutivo dispone de diez (10) días para llevar a cabo esta sanción, si surgieran objeciones durante este período, la Ley debe ser devuelta al Congreso Nacional, en caso </w:t>
      </w:r>
      <w:r w:rsidR="00E96840" w:rsidRPr="00EF28CC">
        <w:rPr>
          <w:rFonts w:eastAsia="Arial"/>
          <w:lang w:val="es-ES"/>
        </w:rPr>
        <w:t>contrario, “se</w:t>
      </w:r>
      <w:r w:rsidRPr="00EF28CC">
        <w:rPr>
          <w:rFonts w:eastAsia="Arial"/>
          <w:lang w:val="es-ES"/>
        </w:rPr>
        <w:t xml:space="preserve"> tendrá como sancionado y lo promulgará como Ley</w:t>
      </w:r>
      <w:r w:rsidR="00A92E6D" w:rsidRPr="00EF28CC">
        <w:rPr>
          <w:rFonts w:eastAsia="Arial"/>
          <w:lang w:val="es-ES"/>
        </w:rPr>
        <w:t>”</w:t>
      </w:r>
      <w:r w:rsidRPr="00EF28CC">
        <w:rPr>
          <w:rStyle w:val="EndnoteReference"/>
          <w:rFonts w:eastAsia="Arial"/>
        </w:rPr>
        <w:endnoteReference w:id="69"/>
      </w:r>
      <w:r w:rsidR="00E96840" w:rsidRPr="00EF28CC">
        <w:rPr>
          <w:rFonts w:eastAsia="Arial"/>
          <w:lang w:val="es-ES"/>
        </w:rPr>
        <w:t>.</w:t>
      </w:r>
      <w:r w:rsidRPr="00EF28CC">
        <w:rPr>
          <w:rFonts w:eastAsia="Arial"/>
          <w:i/>
          <w:iCs/>
          <w:lang w:val="es-ES"/>
        </w:rPr>
        <w:t xml:space="preserve"> </w:t>
      </w:r>
    </w:p>
    <w:p w14:paraId="6B0AB24C" w14:textId="7D40F568" w:rsidR="00F32DFB" w:rsidRPr="002133F7" w:rsidRDefault="007E62E7" w:rsidP="007D2C04">
      <w:pPr>
        <w:pStyle w:val="NoSpacing"/>
        <w:numPr>
          <w:ilvl w:val="0"/>
          <w:numId w:val="6"/>
        </w:numPr>
        <w:tabs>
          <w:tab w:val="left" w:pos="630"/>
          <w:tab w:val="left" w:pos="810"/>
        </w:tabs>
        <w:spacing w:before="240"/>
        <w:ind w:left="450"/>
        <w:contextualSpacing/>
        <w:jc w:val="both"/>
        <w:rPr>
          <w:lang w:val="es-ES"/>
        </w:rPr>
      </w:pPr>
      <w:r w:rsidRPr="00EF28CC">
        <w:rPr>
          <w:rFonts w:eastAsia="Arial"/>
          <w:lang w:val="es-ES"/>
        </w:rPr>
        <w:lastRenderedPageBreak/>
        <w:t xml:space="preserve">El 22 de julio del 2023, el movimiento ¨Por nuestros hijos¨ realizaron movilizaciones masivas en 7 puntos de Honduras, solicitando a la </w:t>
      </w:r>
      <w:proofErr w:type="gramStart"/>
      <w:r w:rsidRPr="00EF28CC">
        <w:rPr>
          <w:rFonts w:eastAsia="Arial"/>
          <w:lang w:val="es-ES"/>
        </w:rPr>
        <w:t>Presidenta</w:t>
      </w:r>
      <w:proofErr w:type="gramEnd"/>
      <w:r w:rsidRPr="00EF28CC">
        <w:rPr>
          <w:rFonts w:eastAsia="Arial"/>
          <w:lang w:val="es-ES"/>
        </w:rPr>
        <w:t xml:space="preserve"> que vetar</w:t>
      </w:r>
      <w:r w:rsidR="18E4D804" w:rsidRPr="00EF28CC">
        <w:rPr>
          <w:rFonts w:eastAsia="Arial"/>
          <w:lang w:val="es-ES"/>
        </w:rPr>
        <w:t>a</w:t>
      </w:r>
      <w:r w:rsidRPr="00EF28CC">
        <w:rPr>
          <w:rFonts w:eastAsia="Arial"/>
          <w:lang w:val="es-ES"/>
        </w:rPr>
        <w:t xml:space="preserve"> la Ley, ya que argumentaban que esta Ley, promovía la </w:t>
      </w:r>
      <w:r w:rsidRPr="00EF28CC">
        <w:rPr>
          <w:rFonts w:eastAsia="Arial"/>
          <w:i/>
          <w:iCs/>
          <w:lang w:val="es-ES"/>
        </w:rPr>
        <w:t>ideología de género</w:t>
      </w:r>
      <w:r w:rsidRPr="00EF28CC">
        <w:rPr>
          <w:rFonts w:eastAsia="Arial"/>
          <w:lang w:val="es-ES"/>
        </w:rPr>
        <w:t xml:space="preserve"> a la cual se oponen rotundamente</w:t>
      </w:r>
      <w:r w:rsidRPr="00EF28CC">
        <w:rPr>
          <w:rStyle w:val="EndnoteReference"/>
          <w:rFonts w:eastAsia="Arial"/>
          <w:lang w:val="es-ES"/>
        </w:rPr>
        <w:endnoteReference w:id="70"/>
      </w:r>
    </w:p>
    <w:p w14:paraId="260752F1" w14:textId="77777777" w:rsidR="002133F7" w:rsidRPr="00EF28CC" w:rsidRDefault="002133F7" w:rsidP="002133F7">
      <w:pPr>
        <w:pStyle w:val="NoSpacing"/>
        <w:tabs>
          <w:tab w:val="left" w:pos="630"/>
          <w:tab w:val="left" w:pos="810"/>
        </w:tabs>
        <w:spacing w:before="240"/>
        <w:ind w:left="450"/>
        <w:contextualSpacing/>
        <w:jc w:val="both"/>
        <w:rPr>
          <w:lang w:val="es-ES"/>
        </w:rPr>
      </w:pPr>
    </w:p>
    <w:p w14:paraId="3C95112E" w14:textId="77777777" w:rsidR="0009711B" w:rsidRPr="00332370" w:rsidRDefault="007E62E7" w:rsidP="007D2C04">
      <w:pPr>
        <w:pStyle w:val="NoSpacing"/>
        <w:numPr>
          <w:ilvl w:val="0"/>
          <w:numId w:val="6"/>
        </w:numPr>
        <w:tabs>
          <w:tab w:val="left" w:pos="630"/>
          <w:tab w:val="left" w:pos="810"/>
        </w:tabs>
        <w:spacing w:before="240"/>
        <w:ind w:left="450"/>
        <w:contextualSpacing/>
        <w:jc w:val="both"/>
        <w:rPr>
          <w:lang w:val="es-ES"/>
        </w:rPr>
      </w:pPr>
      <w:r w:rsidRPr="00EF28CC">
        <w:rPr>
          <w:rFonts w:eastAsia="Cambria"/>
          <w:lang w:val="es-ES"/>
        </w:rPr>
        <w:t>E</w:t>
      </w:r>
      <w:r w:rsidRPr="00EF28CC">
        <w:rPr>
          <w:rFonts w:eastAsia="Arial"/>
          <w:lang w:val="es-ES"/>
        </w:rPr>
        <w:t xml:space="preserve">l 29 de julio 2023 – casi cinco meses después de la aprobación de la Ley y tras haberse vencido el período para la sanción de Ley por parte del Poder Ejecutivo– la presidenta Xiomara Castro anunció a través de su cuenta personal de “X” el veto a la Ley, argumentando </w:t>
      </w:r>
      <w:r w:rsidRPr="00EF28CC">
        <w:rPr>
          <w:rFonts w:eastAsia="Arial"/>
          <w:i/>
          <w:iCs/>
          <w:lang w:val="es-ES"/>
        </w:rPr>
        <w:t>“</w:t>
      </w:r>
      <w:r w:rsidRPr="00EF28CC">
        <w:rPr>
          <w:rFonts w:eastAsia="Arial"/>
          <w:lang w:val="es-ES"/>
        </w:rPr>
        <w:t>no cumplir su finalidad de ser integral y prevenir los embarazos en adolescentes de acuerdo con las razones expuestas en los fundamentos del veto</w:t>
      </w:r>
      <w:r w:rsidRPr="00EF28CC">
        <w:rPr>
          <w:rStyle w:val="EndnoteReference"/>
          <w:rFonts w:eastAsia="Arial"/>
        </w:rPr>
        <w:endnoteReference w:id="71"/>
      </w:r>
      <w:r w:rsidRPr="00EF28CC">
        <w:rPr>
          <w:rFonts w:eastAsia="Arial"/>
          <w:lang w:val="es-ES"/>
        </w:rPr>
        <w:t xml:space="preserve">”. </w:t>
      </w:r>
    </w:p>
    <w:p w14:paraId="4586D09F" w14:textId="77777777" w:rsidR="00332370" w:rsidRPr="00EF28CC" w:rsidRDefault="00332370" w:rsidP="00332370">
      <w:pPr>
        <w:pStyle w:val="NoSpacing"/>
        <w:tabs>
          <w:tab w:val="left" w:pos="630"/>
          <w:tab w:val="left" w:pos="810"/>
        </w:tabs>
        <w:spacing w:before="240"/>
        <w:contextualSpacing/>
        <w:jc w:val="both"/>
        <w:rPr>
          <w:lang w:val="es-ES"/>
        </w:rPr>
      </w:pPr>
    </w:p>
    <w:p w14:paraId="1FB8A3C2" w14:textId="77777777" w:rsidR="00FF6EB9" w:rsidRPr="00332370" w:rsidRDefault="007E62E7" w:rsidP="007D2C04">
      <w:pPr>
        <w:pStyle w:val="NoSpacing"/>
        <w:numPr>
          <w:ilvl w:val="0"/>
          <w:numId w:val="6"/>
        </w:numPr>
        <w:tabs>
          <w:tab w:val="left" w:pos="630"/>
          <w:tab w:val="left" w:pos="810"/>
        </w:tabs>
        <w:spacing w:before="240"/>
        <w:ind w:left="450"/>
        <w:contextualSpacing/>
        <w:jc w:val="both"/>
        <w:rPr>
          <w:rFonts w:eastAsia="Times New Roman"/>
          <w:lang w:val="es-ES"/>
        </w:rPr>
      </w:pPr>
      <w:r w:rsidRPr="00EF28CC">
        <w:rPr>
          <w:rFonts w:eastAsia="Arial"/>
          <w:lang w:val="es-ES"/>
        </w:rPr>
        <w:t xml:space="preserve">Los fundamentos expuestos en el veto presidencial se basan esencialmente en 2 puntos: i) que la Ley aprobada “adolece de una respuesta adecuada a los valores inherentes a la educación en el hogar, a las oportunas demandas de comunidades de madres y padres de familia, igual que de científicos y médicos especialistas, en armonía con la Secretaría de Educación, Salud, Desarrollo Social y otras organizaciones del Estado” y ii) que la Ley aprobada debe “definir claramente el papel de cada sujeto obligado, integrando a los sectores mencionados desde la formulación de La Ley </w:t>
      </w:r>
      <w:r w:rsidRPr="00EF28CC">
        <w:rPr>
          <w:rFonts w:eastAsia="Cambria"/>
          <w:highlight w:val="white"/>
          <w:lang w:val="es-ES"/>
        </w:rPr>
        <w:t>[…]</w:t>
      </w:r>
      <w:r w:rsidRPr="00EF28CC">
        <w:rPr>
          <w:rFonts w:eastAsia="Arial"/>
          <w:lang w:val="es-ES"/>
        </w:rPr>
        <w:t>”</w:t>
      </w:r>
      <w:r w:rsidRPr="00EF28CC">
        <w:rPr>
          <w:rStyle w:val="EndnoteReference"/>
          <w:rFonts w:eastAsia="Arial"/>
        </w:rPr>
        <w:endnoteReference w:id="72"/>
      </w:r>
      <w:r w:rsidR="00FF6EB9" w:rsidRPr="00EF28CC">
        <w:rPr>
          <w:rFonts w:eastAsia="Arial"/>
          <w:lang w:val="es-ES"/>
        </w:rPr>
        <w:t>.</w:t>
      </w:r>
      <w:r w:rsidRPr="00EF28CC">
        <w:rPr>
          <w:rFonts w:eastAsia="Arial"/>
          <w:lang w:val="es-ES"/>
        </w:rPr>
        <w:t xml:space="preserve"> </w:t>
      </w:r>
    </w:p>
    <w:p w14:paraId="392FEDA5" w14:textId="77777777" w:rsidR="00332370" w:rsidRPr="00EF28CC" w:rsidRDefault="00332370" w:rsidP="00332370">
      <w:pPr>
        <w:pStyle w:val="NoSpacing"/>
        <w:tabs>
          <w:tab w:val="left" w:pos="630"/>
          <w:tab w:val="left" w:pos="810"/>
        </w:tabs>
        <w:spacing w:before="240"/>
        <w:contextualSpacing/>
        <w:jc w:val="both"/>
        <w:rPr>
          <w:rFonts w:eastAsia="Times New Roman"/>
          <w:lang w:val="es-ES"/>
        </w:rPr>
      </w:pPr>
    </w:p>
    <w:p w14:paraId="4F5BE3F6" w14:textId="3EB77963" w:rsidR="00F32DFB" w:rsidRDefault="007E62E7" w:rsidP="007D2C04">
      <w:pPr>
        <w:pStyle w:val="NoSpacing"/>
        <w:numPr>
          <w:ilvl w:val="0"/>
          <w:numId w:val="6"/>
        </w:numPr>
        <w:tabs>
          <w:tab w:val="left" w:pos="630"/>
          <w:tab w:val="left" w:pos="810"/>
        </w:tabs>
        <w:spacing w:before="240"/>
        <w:ind w:left="450"/>
        <w:contextualSpacing/>
        <w:jc w:val="both"/>
        <w:rPr>
          <w:rFonts w:eastAsia="Times New Roman"/>
          <w:lang w:val="es-ES"/>
        </w:rPr>
      </w:pPr>
      <w:r w:rsidRPr="00EF28CC">
        <w:rPr>
          <w:rFonts w:eastAsia="Times New Roman"/>
          <w:lang w:val="es-ES"/>
        </w:rPr>
        <w:t>El CDM es de la opinión de que es posible considerar que esta ley fue vetada</w:t>
      </w:r>
      <w:r w:rsidRPr="00EF28CC">
        <w:rPr>
          <w:rStyle w:val="EndnoteReference"/>
          <w:rFonts w:eastAsia="Times New Roman"/>
        </w:rPr>
        <w:endnoteReference w:id="73"/>
      </w:r>
      <w:r w:rsidRPr="00EF28CC">
        <w:rPr>
          <w:rFonts w:eastAsia="Times New Roman"/>
          <w:lang w:val="es-ES"/>
        </w:rPr>
        <w:t xml:space="preserve"> como resultado de la presión de los grupos conservadores, puesto que el veto se hizo público una semana después de que se realizaran las marchas en contra de la “ideología de género” en la ESI</w:t>
      </w:r>
      <w:r w:rsidR="00A92E6D" w:rsidRPr="00EF28CC">
        <w:rPr>
          <w:rFonts w:eastAsia="Times New Roman"/>
          <w:lang w:val="es-ES"/>
        </w:rPr>
        <w:t>.</w:t>
      </w:r>
      <w:r w:rsidRPr="00EF28CC">
        <w:rPr>
          <w:rStyle w:val="EndnoteReference"/>
          <w:rFonts w:eastAsia="Times New Roman"/>
        </w:rPr>
        <w:endnoteReference w:id="74"/>
      </w:r>
      <w:r w:rsidRPr="00EF28CC">
        <w:rPr>
          <w:rFonts w:eastAsia="Times New Roman"/>
          <w:lang w:val="es-ES"/>
        </w:rPr>
        <w:t xml:space="preserve"> </w:t>
      </w:r>
    </w:p>
    <w:p w14:paraId="459B327B" w14:textId="77777777" w:rsidR="00FD015B" w:rsidRPr="00EF28CC" w:rsidRDefault="00FD015B" w:rsidP="00FD015B">
      <w:pPr>
        <w:pStyle w:val="NoSpacing"/>
        <w:tabs>
          <w:tab w:val="left" w:pos="630"/>
          <w:tab w:val="left" w:pos="810"/>
        </w:tabs>
        <w:spacing w:before="240"/>
        <w:contextualSpacing/>
        <w:jc w:val="both"/>
        <w:rPr>
          <w:rFonts w:eastAsia="Times New Roman"/>
          <w:lang w:val="es-ES"/>
        </w:rPr>
      </w:pPr>
    </w:p>
    <w:p w14:paraId="23592AAA" w14:textId="6658D03E" w:rsidR="00F46470" w:rsidRPr="00FD015B" w:rsidRDefault="00F46470" w:rsidP="007D2C04">
      <w:pPr>
        <w:pStyle w:val="NoSpacing"/>
        <w:numPr>
          <w:ilvl w:val="0"/>
          <w:numId w:val="6"/>
        </w:numPr>
        <w:tabs>
          <w:tab w:val="left" w:pos="630"/>
          <w:tab w:val="left" w:pos="810"/>
        </w:tabs>
        <w:spacing w:before="240"/>
        <w:ind w:left="450"/>
        <w:contextualSpacing/>
        <w:jc w:val="both"/>
        <w:rPr>
          <w:rFonts w:eastAsia="Times New Roman"/>
          <w:lang w:val="es-ES"/>
        </w:rPr>
      </w:pPr>
      <w:r w:rsidRPr="00EF28CC">
        <w:rPr>
          <w:lang w:val="es-ES"/>
        </w:rPr>
        <w:t xml:space="preserve">Los estudios han demostrado </w:t>
      </w:r>
      <w:r w:rsidR="00FD015B" w:rsidRPr="00EF28CC">
        <w:rPr>
          <w:lang w:val="es-ES"/>
        </w:rPr>
        <w:t>que,</w:t>
      </w:r>
      <w:r w:rsidRPr="00EF28CC">
        <w:rPr>
          <w:lang w:val="es-ES"/>
        </w:rPr>
        <w:t xml:space="preserve"> si se cubrieran todas las necesidades de las mujeres, niñas y adolescentes en cuanto a servicios de salud sexual y reproductiva, incluido el acceso a anticonceptivos, atención materna, neonatal y aborto en Honduras, los abortos inseguros se reducirían en un 68% y las muertes maternas disminuirían de forma similar en un 71% con respecto a las cifras de 2019</w:t>
      </w:r>
      <w:r w:rsidRPr="00EF28CC">
        <w:rPr>
          <w:rStyle w:val="EndnoteReference"/>
          <w:lang w:val="en"/>
        </w:rPr>
        <w:endnoteReference w:id="75"/>
      </w:r>
      <w:r w:rsidRPr="00EF28CC">
        <w:rPr>
          <w:lang w:val="es-ES"/>
        </w:rPr>
        <w:t>. Las niñas, en particular, se enfrentan a importantes consecuencias de los embarazos no deseados que las obligan a "</w:t>
      </w:r>
      <w:r w:rsidRPr="00EF28CC">
        <w:rPr>
          <w:i/>
          <w:iCs/>
          <w:lang w:val="es-ES"/>
        </w:rPr>
        <w:t>contemplar decisiones que alteran su vida</w:t>
      </w:r>
      <w:r w:rsidRPr="00EF28CC">
        <w:rPr>
          <w:lang w:val="es-ES"/>
        </w:rPr>
        <w:t>", como abandonar la escuela y casarse a una edad temprana</w:t>
      </w:r>
      <w:r w:rsidRPr="00EF28CC">
        <w:rPr>
          <w:rStyle w:val="EndnoteReference"/>
        </w:rPr>
        <w:endnoteReference w:id="76"/>
      </w:r>
      <w:r w:rsidRPr="00EF28CC">
        <w:rPr>
          <w:lang w:val="es-ES"/>
        </w:rPr>
        <w:t>. Ante la escasa información disponible y la falta de acceso a un aborto seguro, las adolescentes y niñas no tienen más opción que recurrir al aborto clandestino, lo que las expone a complicaciones de salud</w:t>
      </w:r>
      <w:r w:rsidRPr="00EF28CC">
        <w:rPr>
          <w:rStyle w:val="EndnoteReference"/>
        </w:rPr>
        <w:endnoteReference w:id="77"/>
      </w:r>
      <w:r w:rsidRPr="00EF28CC">
        <w:rPr>
          <w:lang w:val="es-ES"/>
        </w:rPr>
        <w:t>.</w:t>
      </w:r>
    </w:p>
    <w:p w14:paraId="59B1FAFB" w14:textId="77777777" w:rsidR="00FD015B" w:rsidRPr="00EF28CC" w:rsidRDefault="00FD015B" w:rsidP="00FD015B">
      <w:pPr>
        <w:pStyle w:val="NoSpacing"/>
        <w:tabs>
          <w:tab w:val="left" w:pos="630"/>
          <w:tab w:val="left" w:pos="810"/>
        </w:tabs>
        <w:spacing w:before="240"/>
        <w:contextualSpacing/>
        <w:jc w:val="both"/>
        <w:rPr>
          <w:rFonts w:eastAsia="Times New Roman"/>
          <w:lang w:val="es-ES"/>
        </w:rPr>
      </w:pPr>
    </w:p>
    <w:p w14:paraId="4188C6DC" w14:textId="5538105F" w:rsidR="003A62AE" w:rsidRPr="00EF28CC" w:rsidRDefault="003A62AE" w:rsidP="007D2C04">
      <w:pPr>
        <w:pStyle w:val="NoSpacing"/>
        <w:numPr>
          <w:ilvl w:val="0"/>
          <w:numId w:val="6"/>
        </w:numPr>
        <w:tabs>
          <w:tab w:val="left" w:pos="630"/>
          <w:tab w:val="left" w:pos="810"/>
        </w:tabs>
        <w:spacing w:before="240"/>
        <w:ind w:left="450"/>
        <w:contextualSpacing/>
        <w:jc w:val="both"/>
        <w:rPr>
          <w:rFonts w:eastAsia="Times New Roman"/>
          <w:lang w:val="es-ES"/>
        </w:rPr>
      </w:pPr>
      <w:r w:rsidRPr="00EF28CC">
        <w:rPr>
          <w:lang w:val="es-ES"/>
        </w:rPr>
        <w:t>Más de 30.000 adolescentes de entre 10 y 19 años dan a luz cada año en Honduras</w:t>
      </w:r>
      <w:r w:rsidRPr="00EF28CC">
        <w:rPr>
          <w:rStyle w:val="EndnoteReference"/>
        </w:rPr>
        <w:endnoteReference w:id="78"/>
      </w:r>
      <w:r w:rsidR="001B63E1" w:rsidRPr="00EF28CC">
        <w:rPr>
          <w:lang w:val="es-ES"/>
        </w:rPr>
        <w:t>.</w:t>
      </w:r>
      <w:r w:rsidRPr="00EF28CC">
        <w:rPr>
          <w:lang w:val="es-ES"/>
        </w:rPr>
        <w:t xml:space="preserve"> Según el Fondo de Población de las Naciones Unidas, en Honduras uno de cada cuatro nacimientos es de una menor de 19 años</w:t>
      </w:r>
      <w:r w:rsidRPr="00EF28CC">
        <w:rPr>
          <w:rStyle w:val="EndnoteReference"/>
        </w:rPr>
        <w:endnoteReference w:id="79"/>
      </w:r>
      <w:r w:rsidR="001B63E1" w:rsidRPr="00EF28CC">
        <w:rPr>
          <w:lang w:val="es-ES"/>
        </w:rPr>
        <w:t>.</w:t>
      </w:r>
      <w:r w:rsidRPr="00EF28CC">
        <w:rPr>
          <w:lang w:val="es-ES"/>
        </w:rPr>
        <w:t xml:space="preserve"> La penalización del aborto tiene un impacto perjudicial en las niñas de entre 12 y 14 años</w:t>
      </w:r>
      <w:r w:rsidRPr="00EF28CC">
        <w:rPr>
          <w:rStyle w:val="EndnoteReference"/>
        </w:rPr>
        <w:endnoteReference w:id="80"/>
      </w:r>
      <w:r w:rsidR="001B63E1" w:rsidRPr="00EF28CC">
        <w:rPr>
          <w:lang w:val="es-ES"/>
        </w:rPr>
        <w:t>,</w:t>
      </w:r>
      <w:r w:rsidRPr="00EF28CC">
        <w:rPr>
          <w:lang w:val="es-ES"/>
        </w:rPr>
        <w:t xml:space="preserve"> ya que el embarazo </w:t>
      </w:r>
      <w:r w:rsidR="00551D78" w:rsidRPr="00EF28CC">
        <w:rPr>
          <w:lang w:val="es-ES"/>
        </w:rPr>
        <w:t>las obliga</w:t>
      </w:r>
      <w:r w:rsidRPr="00EF28CC">
        <w:rPr>
          <w:lang w:val="es-ES"/>
        </w:rPr>
        <w:t xml:space="preserve"> a abandonar la educación con pocas opciones de volver después de dar a luz,</w:t>
      </w:r>
      <w:r w:rsidR="00EF28CC" w:rsidRPr="00EF28CC">
        <w:rPr>
          <w:lang w:val="es-ES"/>
        </w:rPr>
        <w:t xml:space="preserve"> solo</w:t>
      </w:r>
      <w:r w:rsidRPr="00EF28CC">
        <w:rPr>
          <w:lang w:val="es-ES"/>
        </w:rPr>
        <w:t xml:space="preserve"> en 2021, el 44% de las adolescentes hondureñas no asistían a la escuela</w:t>
      </w:r>
      <w:r w:rsidRPr="00EF28CC">
        <w:rPr>
          <w:vertAlign w:val="superscript"/>
        </w:rPr>
        <w:endnoteReference w:id="81"/>
      </w:r>
      <w:r w:rsidRPr="00EF28CC">
        <w:rPr>
          <w:lang w:val="es-ES"/>
        </w:rPr>
        <w:t>, lo que les impide encontrar mejores oportunidades económicas y reduce sus ingresos a lo largo de la vida</w:t>
      </w:r>
      <w:r w:rsidRPr="00EF28CC">
        <w:rPr>
          <w:rStyle w:val="EndnoteReference"/>
        </w:rPr>
        <w:endnoteReference w:id="82"/>
      </w:r>
      <w:r w:rsidR="001B63E1" w:rsidRPr="00EF28CC">
        <w:rPr>
          <w:lang w:val="es-ES"/>
        </w:rPr>
        <w:t>.</w:t>
      </w:r>
      <w:r w:rsidRPr="00EF28CC">
        <w:rPr>
          <w:lang w:val="es-ES"/>
        </w:rPr>
        <w:t xml:space="preserve"> </w:t>
      </w:r>
      <w:r w:rsidR="001B63E1" w:rsidRPr="00EF28CC">
        <w:rPr>
          <w:lang w:val="es-ES"/>
        </w:rPr>
        <w:t xml:space="preserve">Lo anterior perpetúa </w:t>
      </w:r>
      <w:r w:rsidRPr="00EF28CC">
        <w:rPr>
          <w:lang w:val="es-ES"/>
        </w:rPr>
        <w:t>los ciclos intergeneracionales de la pobreza.</w:t>
      </w:r>
      <w:r w:rsidRPr="00EF28CC">
        <w:rPr>
          <w:rStyle w:val="EndnoteReference"/>
        </w:rPr>
        <w:endnoteReference w:id="83"/>
      </w:r>
      <w:r w:rsidRPr="00EF28CC">
        <w:rPr>
          <w:lang w:val="es-ES"/>
        </w:rPr>
        <w:t xml:space="preserve"> </w:t>
      </w:r>
    </w:p>
    <w:p w14:paraId="13454669" w14:textId="0121AF96" w:rsidR="00F32DFB" w:rsidRPr="00EF28CC" w:rsidRDefault="007E62E7" w:rsidP="007D2C04">
      <w:pPr>
        <w:pStyle w:val="Lindas3"/>
        <w:numPr>
          <w:ilvl w:val="0"/>
          <w:numId w:val="6"/>
        </w:numPr>
        <w:tabs>
          <w:tab w:val="left" w:pos="630"/>
          <w:tab w:val="left" w:pos="810"/>
        </w:tabs>
        <w:spacing w:after="0" w:line="240" w:lineRule="auto"/>
        <w:ind w:left="450"/>
        <w:rPr>
          <w:lang w:val="es-ES"/>
        </w:rPr>
      </w:pPr>
      <w:r w:rsidRPr="00EF28CC">
        <w:rPr>
          <w:lang w:val="es-ES"/>
        </w:rPr>
        <w:t>Más recientemente, la ONU ha expresado su preocupación por las campañas de desinformación que circulan en Honduras en torno a la salud reproductiva, como la ocurrida en torno a la Ley de Educación Integral para la Prevención del Embarazo Adolescente.</w:t>
      </w:r>
      <w:r w:rsidRPr="00EF28CC">
        <w:rPr>
          <w:rStyle w:val="EndnoteReference"/>
        </w:rPr>
        <w:endnoteReference w:id="84"/>
      </w:r>
      <w:r w:rsidRPr="00EF28CC">
        <w:rPr>
          <w:lang w:val="es-ES"/>
        </w:rPr>
        <w:t xml:space="preserve"> Igualmente</w:t>
      </w:r>
      <w:r w:rsidR="779B6431" w:rsidRPr="00EF28CC">
        <w:rPr>
          <w:lang w:val="es-ES"/>
        </w:rPr>
        <w:t>,</w:t>
      </w:r>
      <w:r w:rsidRPr="00EF28CC">
        <w:rPr>
          <w:lang w:val="es-ES"/>
        </w:rPr>
        <w:t xml:space="preserve"> la C</w:t>
      </w:r>
      <w:r w:rsidR="005D5EC9" w:rsidRPr="00EF28CC">
        <w:rPr>
          <w:lang w:val="es-ES"/>
        </w:rPr>
        <w:t xml:space="preserve">IDH </w:t>
      </w:r>
      <w:r w:rsidRPr="00EF28CC">
        <w:rPr>
          <w:lang w:val="es-ES"/>
        </w:rPr>
        <w:t>instó a Honduras a tomar acciones para contrastar las campañas de desinformación, incluyendo aquellas que estigmatizan a las mujeres.</w:t>
      </w:r>
      <w:r w:rsidRPr="00EF28CC">
        <w:rPr>
          <w:rStyle w:val="EndnoteReference"/>
          <w:lang w:val="en"/>
        </w:rPr>
        <w:endnoteReference w:id="85"/>
      </w:r>
    </w:p>
    <w:p w14:paraId="7D98BC20" w14:textId="7B622E0F" w:rsidR="00F32DFB" w:rsidRPr="00EF28CC" w:rsidRDefault="00F32DFB" w:rsidP="007D2C04">
      <w:pPr>
        <w:pStyle w:val="Lindas3"/>
        <w:tabs>
          <w:tab w:val="left" w:pos="630"/>
          <w:tab w:val="left" w:pos="810"/>
        </w:tabs>
        <w:spacing w:after="0" w:line="240" w:lineRule="auto"/>
        <w:rPr>
          <w:b/>
          <w:bCs/>
          <w:lang w:val="es-ES"/>
        </w:rPr>
      </w:pPr>
    </w:p>
    <w:p w14:paraId="67761727" w14:textId="77777777" w:rsidR="00F32DFB" w:rsidRPr="00EF28CC" w:rsidRDefault="007E62E7" w:rsidP="007D2C04">
      <w:pPr>
        <w:pStyle w:val="BodyText"/>
        <w:numPr>
          <w:ilvl w:val="0"/>
          <w:numId w:val="9"/>
        </w:numPr>
        <w:spacing w:after="0"/>
        <w:rPr>
          <w:b/>
          <w:bCs/>
          <w:szCs w:val="24"/>
          <w:lang w:val="es-ES"/>
        </w:rPr>
      </w:pPr>
      <w:r w:rsidRPr="00EF28CC">
        <w:rPr>
          <w:b/>
          <w:bCs/>
          <w:szCs w:val="24"/>
          <w:lang w:val="es-ES"/>
        </w:rPr>
        <w:t>La violencia de género contra niñas y mujeres sigue siendo muy alta en Honduras</w:t>
      </w:r>
    </w:p>
    <w:p w14:paraId="278B49AE" w14:textId="77777777" w:rsidR="002D6165" w:rsidRPr="00EF28CC" w:rsidRDefault="002D6165" w:rsidP="007D2C04">
      <w:pPr>
        <w:pBdr>
          <w:top w:val="nil"/>
          <w:left w:val="nil"/>
          <w:bottom w:val="nil"/>
          <w:right w:val="nil"/>
          <w:between w:val="nil"/>
        </w:pBdr>
        <w:spacing w:before="240" w:after="0" w:line="240" w:lineRule="auto"/>
        <w:contextualSpacing/>
        <w:mirrorIndents/>
        <w:jc w:val="both"/>
        <w:rPr>
          <w:rFonts w:ascii="Times New Roman" w:eastAsia="Times New Roman" w:hAnsi="Times New Roman" w:cs="Times New Roman"/>
          <w:sz w:val="24"/>
          <w:szCs w:val="24"/>
          <w:lang w:val="es-ES"/>
        </w:rPr>
      </w:pPr>
    </w:p>
    <w:p w14:paraId="6EDB132D" w14:textId="1D6F893F" w:rsidR="00D327EE" w:rsidRDefault="002D6165" w:rsidP="007D2C04">
      <w:pPr>
        <w:pStyle w:val="ListParagraph"/>
        <w:numPr>
          <w:ilvl w:val="0"/>
          <w:numId w:val="6"/>
        </w:numPr>
        <w:pBdr>
          <w:top w:val="nil"/>
          <w:left w:val="nil"/>
          <w:bottom w:val="nil"/>
          <w:right w:val="nil"/>
          <w:between w:val="nil"/>
        </w:pBdr>
        <w:spacing w:before="240" w:after="0" w:line="240" w:lineRule="auto"/>
        <w:ind w:left="450"/>
        <w:mirrorIndents/>
        <w:jc w:val="both"/>
        <w:rPr>
          <w:rFonts w:ascii="Times New Roman" w:eastAsia="Times New Roman" w:hAnsi="Times New Roman" w:cs="Times New Roman"/>
          <w:sz w:val="24"/>
          <w:szCs w:val="24"/>
          <w:lang w:val="es-ES"/>
        </w:rPr>
      </w:pPr>
      <w:r w:rsidRPr="00EF28CC">
        <w:rPr>
          <w:rFonts w:ascii="Times New Roman" w:eastAsia="Times New Roman" w:hAnsi="Times New Roman" w:cs="Times New Roman"/>
          <w:sz w:val="24"/>
          <w:szCs w:val="24"/>
          <w:lang w:val="es-ES"/>
        </w:rPr>
        <w:t>Honduras presenta tasas particularmente altas de violencia sexual</w:t>
      </w:r>
      <w:r w:rsidRPr="00EF28CC">
        <w:rPr>
          <w:rFonts w:ascii="Times New Roman" w:hAnsi="Times New Roman" w:cs="Times New Roman"/>
          <w:sz w:val="24"/>
          <w:szCs w:val="24"/>
          <w:vertAlign w:val="superscript"/>
        </w:rPr>
        <w:endnoteReference w:id="86"/>
      </w:r>
      <w:r w:rsidRPr="00EF28CC">
        <w:rPr>
          <w:rFonts w:ascii="Times New Roman" w:eastAsia="Times New Roman" w:hAnsi="Times New Roman" w:cs="Times New Roman"/>
          <w:sz w:val="24"/>
          <w:szCs w:val="24"/>
          <w:lang w:val="es-ES"/>
        </w:rPr>
        <w:t>, el Ministerio Público ha indicado que</w:t>
      </w:r>
      <w:r w:rsidRPr="00EF28CC">
        <w:rPr>
          <w:rFonts w:ascii="Times New Roman" w:hAnsi="Times New Roman" w:cs="Times New Roman"/>
          <w:sz w:val="24"/>
          <w:szCs w:val="24"/>
          <w:lang w:val="es-ES"/>
        </w:rPr>
        <w:t xml:space="preserve"> </w:t>
      </w:r>
      <w:r w:rsidRPr="00EF28CC">
        <w:rPr>
          <w:rFonts w:ascii="Times New Roman" w:eastAsia="Times New Roman" w:hAnsi="Times New Roman" w:cs="Times New Roman"/>
          <w:sz w:val="24"/>
          <w:szCs w:val="24"/>
          <w:lang w:val="es-ES"/>
        </w:rPr>
        <w:t>las denuncias de delitos sexuales tienen una tendencia creciente, y solo entre 2021 y 2022 se reportaron 6,845 denuncias</w:t>
      </w:r>
      <w:r w:rsidRPr="00EF28CC">
        <w:rPr>
          <w:rStyle w:val="EndnoteReference"/>
          <w:rFonts w:ascii="Times New Roman" w:eastAsia="Times New Roman" w:hAnsi="Times New Roman" w:cs="Times New Roman"/>
          <w:sz w:val="24"/>
          <w:szCs w:val="24"/>
        </w:rPr>
        <w:endnoteReference w:id="87"/>
      </w:r>
      <w:r w:rsidRPr="00EF28CC">
        <w:rPr>
          <w:rFonts w:ascii="Times New Roman" w:eastAsia="Times New Roman" w:hAnsi="Times New Roman" w:cs="Times New Roman"/>
          <w:sz w:val="24"/>
          <w:szCs w:val="24"/>
          <w:lang w:val="es-ES"/>
        </w:rPr>
        <w:t>. Sin embargo, la mayoría de los casos de violencia sexual no son denunciados, por lo cual las cifras podrían ser aún mayores</w:t>
      </w:r>
      <w:r w:rsidRPr="00EF28CC">
        <w:rPr>
          <w:rStyle w:val="EndnoteReference"/>
          <w:rFonts w:ascii="Times New Roman" w:eastAsia="Times New Roman" w:hAnsi="Times New Roman" w:cs="Times New Roman"/>
          <w:sz w:val="24"/>
          <w:szCs w:val="24"/>
        </w:rPr>
        <w:endnoteReference w:id="88"/>
      </w:r>
      <w:r w:rsidRPr="00EF28CC">
        <w:rPr>
          <w:rFonts w:ascii="Times New Roman" w:eastAsia="Times New Roman" w:hAnsi="Times New Roman" w:cs="Times New Roman"/>
          <w:sz w:val="24"/>
          <w:szCs w:val="24"/>
          <w:lang w:val="es-ES"/>
        </w:rPr>
        <w:t>. Esto se traduce en que, solamente en 2021, hubo 9 víctimas de delitos sexuales por día, la gran mayoría de ellas mujeres</w:t>
      </w:r>
      <w:r w:rsidRPr="00EF28CC">
        <w:rPr>
          <w:rStyle w:val="EndnoteReference"/>
          <w:rFonts w:ascii="Times New Roman" w:eastAsia="Times New Roman" w:hAnsi="Times New Roman" w:cs="Times New Roman"/>
          <w:sz w:val="24"/>
          <w:szCs w:val="24"/>
        </w:rPr>
        <w:endnoteReference w:id="89"/>
      </w:r>
      <w:r w:rsidRPr="00EF28CC">
        <w:rPr>
          <w:rFonts w:ascii="Times New Roman" w:eastAsia="Times New Roman" w:hAnsi="Times New Roman" w:cs="Times New Roman"/>
          <w:sz w:val="24"/>
          <w:szCs w:val="24"/>
          <w:lang w:val="es-ES"/>
        </w:rPr>
        <w:t>. En el mismo sentido, Médicos sin Fronteras reportó que de los 586 casos de violencia sexual que atendió dicha organización durante los primeros nueve meses del 2023, “el 82% de los casos fueron mujeres y niñas. [...] De estos casos, el 31% fueron menores de edad, especialmente adolescentes jóvenes de 10 a 14 años”</w:t>
      </w:r>
      <w:r w:rsidRPr="00EF28CC">
        <w:rPr>
          <w:rStyle w:val="EndnoteReference"/>
          <w:rFonts w:ascii="Times New Roman" w:eastAsia="Times New Roman" w:hAnsi="Times New Roman" w:cs="Times New Roman"/>
          <w:sz w:val="24"/>
          <w:szCs w:val="24"/>
        </w:rPr>
        <w:endnoteReference w:id="90"/>
      </w:r>
      <w:r w:rsidRPr="00EF28CC">
        <w:rPr>
          <w:rFonts w:ascii="Times New Roman" w:eastAsia="Times New Roman" w:hAnsi="Times New Roman" w:cs="Times New Roman"/>
          <w:sz w:val="24"/>
          <w:szCs w:val="24"/>
          <w:lang w:val="es-ES"/>
        </w:rPr>
        <w:t xml:space="preserve">. </w:t>
      </w:r>
    </w:p>
    <w:p w14:paraId="5F7901C6" w14:textId="77777777" w:rsidR="00192ACC" w:rsidRPr="00EF28CC" w:rsidRDefault="00192ACC" w:rsidP="00192ACC">
      <w:pPr>
        <w:pStyle w:val="ListParagraph"/>
        <w:pBdr>
          <w:top w:val="nil"/>
          <w:left w:val="nil"/>
          <w:bottom w:val="nil"/>
          <w:right w:val="nil"/>
          <w:between w:val="nil"/>
        </w:pBdr>
        <w:spacing w:before="240" w:after="0" w:line="240" w:lineRule="auto"/>
        <w:ind w:left="450"/>
        <w:mirrorIndents/>
        <w:jc w:val="both"/>
        <w:rPr>
          <w:rFonts w:ascii="Times New Roman" w:eastAsia="Times New Roman" w:hAnsi="Times New Roman" w:cs="Times New Roman"/>
          <w:sz w:val="24"/>
          <w:szCs w:val="24"/>
          <w:lang w:val="es-ES"/>
        </w:rPr>
      </w:pPr>
    </w:p>
    <w:p w14:paraId="036FD03A" w14:textId="77777777" w:rsidR="00012207" w:rsidRPr="00EF28CC" w:rsidRDefault="00012207" w:rsidP="007D2C04">
      <w:pPr>
        <w:pStyle w:val="ListParagraph"/>
        <w:numPr>
          <w:ilvl w:val="0"/>
          <w:numId w:val="6"/>
        </w:numPr>
        <w:pBdr>
          <w:top w:val="nil"/>
          <w:left w:val="nil"/>
          <w:bottom w:val="nil"/>
          <w:right w:val="nil"/>
          <w:between w:val="nil"/>
        </w:pBdr>
        <w:spacing w:before="240" w:after="0" w:line="240" w:lineRule="auto"/>
        <w:ind w:left="450"/>
        <w:mirrorIndents/>
        <w:jc w:val="both"/>
        <w:rPr>
          <w:rFonts w:ascii="Times New Roman" w:hAnsi="Times New Roman" w:cs="Times New Roman"/>
          <w:sz w:val="24"/>
          <w:szCs w:val="24"/>
          <w:lang w:val="es-ES"/>
        </w:rPr>
      </w:pPr>
      <w:r w:rsidRPr="00EF28CC">
        <w:rPr>
          <w:rFonts w:ascii="Times New Roman" w:eastAsia="Times New Roman" w:hAnsi="Times New Roman" w:cs="Times New Roman"/>
          <w:sz w:val="24"/>
          <w:szCs w:val="24"/>
          <w:lang w:val="es-ES"/>
        </w:rPr>
        <w:t>Adicionalmente, en enero del año 2019, 30 mujeres fueron asesinadas, la mayoría de ellas menores de 30 años, y el 40% de ellas con signos de haber sido torturadas o de haber sido víctimas de violencia sexual</w:t>
      </w:r>
      <w:r w:rsidRPr="00EF28CC">
        <w:rPr>
          <w:rFonts w:ascii="Times New Roman" w:hAnsi="Times New Roman" w:cs="Times New Roman"/>
          <w:sz w:val="24"/>
          <w:szCs w:val="24"/>
          <w:vertAlign w:val="superscript"/>
        </w:rPr>
        <w:endnoteReference w:id="91"/>
      </w:r>
      <w:r w:rsidRPr="00EF28CC">
        <w:rPr>
          <w:rFonts w:ascii="Times New Roman" w:eastAsia="Times New Roman" w:hAnsi="Times New Roman" w:cs="Times New Roman"/>
          <w:sz w:val="24"/>
          <w:szCs w:val="24"/>
          <w:lang w:val="es-ES"/>
        </w:rPr>
        <w:t xml:space="preserve">. La Fiscalía Especial de Protección la Mujer informó que durante el primer semestre de 2019 hubo más de 2.500 denuncias de violencia contra la mujer, en su mayoría por violencia doméstica y sexual, </w:t>
      </w:r>
      <w:r w:rsidRPr="00EF28CC">
        <w:rPr>
          <w:rFonts w:ascii="Times New Roman" w:eastAsia="Times New Roman" w:hAnsi="Times New Roman" w:cs="Times New Roman"/>
          <w:b/>
          <w:bCs/>
          <w:sz w:val="24"/>
          <w:szCs w:val="24"/>
          <w:u w:val="single"/>
          <w:lang w:val="es-ES"/>
        </w:rPr>
        <w:t>lo que equivale a 13,6 denuncias recibidas diariamente</w:t>
      </w:r>
      <w:r w:rsidRPr="00EF28CC">
        <w:rPr>
          <w:rFonts w:ascii="Times New Roman" w:hAnsi="Times New Roman" w:cs="Times New Roman"/>
          <w:sz w:val="24"/>
          <w:szCs w:val="24"/>
          <w:vertAlign w:val="superscript"/>
        </w:rPr>
        <w:endnoteReference w:id="92"/>
      </w:r>
      <w:r w:rsidRPr="00EF28CC">
        <w:rPr>
          <w:rFonts w:ascii="Times New Roman" w:eastAsia="Times New Roman" w:hAnsi="Times New Roman" w:cs="Times New Roman"/>
          <w:sz w:val="24"/>
          <w:szCs w:val="24"/>
          <w:lang w:val="es-ES"/>
        </w:rPr>
        <w:t>. Si bien el número de mujeres que murieron violentamente ha disminuido, el ritmo de esta disminución es notoriamente más lenta que en las tasas de homicidios de hombres</w:t>
      </w:r>
      <w:r w:rsidRPr="00EF28CC">
        <w:rPr>
          <w:rStyle w:val="EndnoteReference"/>
          <w:rFonts w:ascii="Times New Roman" w:eastAsia="Times New Roman" w:hAnsi="Times New Roman" w:cs="Times New Roman"/>
          <w:sz w:val="24"/>
          <w:szCs w:val="24"/>
        </w:rPr>
        <w:endnoteReference w:id="93"/>
      </w:r>
      <w:r w:rsidRPr="00EF28CC">
        <w:rPr>
          <w:rFonts w:ascii="Times New Roman" w:eastAsia="Times New Roman" w:hAnsi="Times New Roman" w:cs="Times New Roman"/>
          <w:sz w:val="24"/>
          <w:szCs w:val="24"/>
          <w:lang w:val="es-ES"/>
        </w:rPr>
        <w:t>. Además, el número de muertes de mujeres en Honduras es 1.6 veces más alta que la tasa latinoamericana y casi 3 veces más alta que la tasa mundial</w:t>
      </w:r>
      <w:r w:rsidRPr="00EF28CC">
        <w:rPr>
          <w:rStyle w:val="EndnoteReference"/>
          <w:rFonts w:ascii="Times New Roman" w:eastAsia="Times New Roman" w:hAnsi="Times New Roman" w:cs="Times New Roman"/>
          <w:sz w:val="24"/>
          <w:szCs w:val="24"/>
        </w:rPr>
        <w:endnoteReference w:id="94"/>
      </w:r>
      <w:r w:rsidRPr="00EF28CC">
        <w:rPr>
          <w:rFonts w:ascii="Times New Roman" w:eastAsia="Times New Roman" w:hAnsi="Times New Roman" w:cs="Times New Roman"/>
          <w:sz w:val="24"/>
          <w:szCs w:val="24"/>
          <w:lang w:val="es-ES"/>
        </w:rPr>
        <w:t>.</w:t>
      </w:r>
    </w:p>
    <w:p w14:paraId="6C70F2DF" w14:textId="77777777" w:rsidR="00CE601A" w:rsidRPr="00EF28CC" w:rsidRDefault="00B64E8D" w:rsidP="007D2C04">
      <w:pPr>
        <w:pStyle w:val="Lindas3"/>
        <w:numPr>
          <w:ilvl w:val="0"/>
          <w:numId w:val="6"/>
        </w:numPr>
        <w:spacing w:after="0" w:line="240" w:lineRule="auto"/>
        <w:ind w:left="450"/>
        <w:rPr>
          <w:lang w:val="es-ES"/>
        </w:rPr>
      </w:pPr>
      <w:r w:rsidRPr="00EF28CC">
        <w:rPr>
          <w:lang w:val="es-ES"/>
        </w:rPr>
        <w:t xml:space="preserve">Como explica Rashida Manjoo, ex relatora especial de la ONU sobre la violencia contra la mujer, sus causas y consecuencias, "la </w:t>
      </w:r>
      <w:r w:rsidRPr="00EF28CC">
        <w:rPr>
          <w:i/>
          <w:iCs/>
          <w:lang w:val="es-ES"/>
        </w:rPr>
        <w:t>violencia de género y sexual en Honduras es "generalizada y sistemática"</w:t>
      </w:r>
      <w:r w:rsidRPr="00EF28CC">
        <w:rPr>
          <w:lang w:val="es-ES"/>
        </w:rPr>
        <w:t xml:space="preserve">. La </w:t>
      </w:r>
      <w:r w:rsidRPr="00EF28CC">
        <w:rPr>
          <w:i/>
          <w:iCs/>
          <w:lang w:val="es-ES"/>
        </w:rPr>
        <w:t xml:space="preserve">falta de acceso de las mujeres al aborto y a la anticoncepción de emergencia tiene sus </w:t>
      </w:r>
      <w:hyperlink r:id="rId11" w:tooltip="https://undocs.org/A/HRC/29/27/Add.1" w:history="1">
        <w:r w:rsidRPr="00EF28CC">
          <w:rPr>
            <w:i/>
            <w:iCs/>
            <w:lang w:val="es-ES"/>
          </w:rPr>
          <w:t>raíces</w:t>
        </w:r>
      </w:hyperlink>
      <w:r w:rsidRPr="00EF28CC">
        <w:rPr>
          <w:i/>
          <w:iCs/>
          <w:lang w:val="es-ES"/>
        </w:rPr>
        <w:t xml:space="preserve"> en un trasfondo más amplio de violencia, profundas actitudes patriarcales y la “omnipresencia de una cultura machista que refuerza los estereotipos sobre las funciones y responsabilidades de mujeres y hombres en la familia, en el lugar de trabajo y en la sociedad”</w:t>
      </w:r>
      <w:r w:rsidRPr="00EF28CC">
        <w:rPr>
          <w:lang w:val="es-ES"/>
        </w:rPr>
        <w:t>.</w:t>
      </w:r>
      <w:r w:rsidRPr="00EF28CC">
        <w:rPr>
          <w:rStyle w:val="EndnoteReference"/>
          <w:lang w:val="en"/>
        </w:rPr>
        <w:endnoteReference w:id="95"/>
      </w:r>
      <w:r w:rsidRPr="00EF28CC">
        <w:rPr>
          <w:lang w:val="es-ES"/>
        </w:rPr>
        <w:t xml:space="preserve"> Estos factores están relacionados con el alto índice de embarazos no deseados y abortos inseguros entre mujeres y niñas.</w:t>
      </w:r>
      <w:r w:rsidRPr="00EF28CC">
        <w:rPr>
          <w:rStyle w:val="EndnoteReference"/>
          <w:lang w:val="en"/>
        </w:rPr>
        <w:endnoteReference w:id="96"/>
      </w:r>
    </w:p>
    <w:p w14:paraId="77D2B88D" w14:textId="218E11C6" w:rsidR="00CE601A" w:rsidRPr="00EF28CC" w:rsidRDefault="00CE601A" w:rsidP="007D2C04">
      <w:pPr>
        <w:pStyle w:val="Lindas3"/>
        <w:numPr>
          <w:ilvl w:val="0"/>
          <w:numId w:val="6"/>
        </w:numPr>
        <w:spacing w:after="0" w:line="240" w:lineRule="auto"/>
        <w:ind w:left="450"/>
        <w:rPr>
          <w:lang w:val="es-ES"/>
        </w:rPr>
      </w:pPr>
      <w:r w:rsidRPr="00EF28CC">
        <w:rPr>
          <w:lang w:val="es-ES"/>
        </w:rPr>
        <w:t>Debido a esto, varios órganos de protección de derechos humanos, incluyendo el Comité para la Eliminación de la Discriminación contra la Mujer (Comité CEDAW)</w:t>
      </w:r>
      <w:r w:rsidRPr="00EF28CC">
        <w:rPr>
          <w:vertAlign w:val="superscript"/>
        </w:rPr>
        <w:endnoteReference w:id="97"/>
      </w:r>
      <w:r w:rsidRPr="00EF28CC">
        <w:rPr>
          <w:lang w:val="es-ES"/>
        </w:rPr>
        <w:t xml:space="preserve">, ya han expresado preocupación por el alto nivel de violencia hacia </w:t>
      </w:r>
      <w:r w:rsidR="007F2CFD">
        <w:rPr>
          <w:lang w:val="es-ES"/>
        </w:rPr>
        <w:t xml:space="preserve">las </w:t>
      </w:r>
      <w:r w:rsidRPr="00EF28CC">
        <w:rPr>
          <w:lang w:val="es-ES"/>
        </w:rPr>
        <w:t>mujeres en Honduras y la persistente impunidad de esos actos</w:t>
      </w:r>
      <w:r w:rsidRPr="00EF28CC">
        <w:rPr>
          <w:vertAlign w:val="superscript"/>
        </w:rPr>
        <w:endnoteReference w:id="98"/>
      </w:r>
      <w:r w:rsidRPr="00EF28CC">
        <w:rPr>
          <w:lang w:val="es-ES"/>
        </w:rPr>
        <w:t>. Asimismo, en el marco del Tercer Examen Periódico Universal (</w:t>
      </w:r>
      <w:r w:rsidRPr="00EF28CC">
        <w:rPr>
          <w:b/>
          <w:bCs/>
          <w:lang w:val="es-ES"/>
        </w:rPr>
        <w:t>Tercer EPU</w:t>
      </w:r>
      <w:r w:rsidRPr="00EF28CC">
        <w:rPr>
          <w:lang w:val="es-ES"/>
        </w:rPr>
        <w:t>) de Honduras realizado en noviembre de 2020, Honduras recibió alrededor de 30 recomendaciones instando al Estado a prevenir urgentemente la violencia sexual en contra de mujeres y niñas y garantizar su acceso a la justicia y a reparaciones integrales</w:t>
      </w:r>
      <w:r w:rsidRPr="00EF28CC">
        <w:rPr>
          <w:vertAlign w:val="superscript"/>
        </w:rPr>
        <w:endnoteReference w:id="99"/>
      </w:r>
      <w:r w:rsidRPr="00EF28CC">
        <w:rPr>
          <w:lang w:val="es-ES"/>
        </w:rPr>
        <w:t>.</w:t>
      </w:r>
    </w:p>
    <w:p w14:paraId="0658B18B" w14:textId="1DB91E4F" w:rsidR="00A857E5" w:rsidRPr="00EF28CC" w:rsidRDefault="00CE601A" w:rsidP="007D2C04">
      <w:pPr>
        <w:pStyle w:val="Lindas3"/>
        <w:numPr>
          <w:ilvl w:val="0"/>
          <w:numId w:val="6"/>
        </w:numPr>
        <w:spacing w:after="0" w:line="240" w:lineRule="auto"/>
        <w:ind w:left="450"/>
        <w:rPr>
          <w:lang w:val="es-ES"/>
        </w:rPr>
      </w:pPr>
      <w:r w:rsidRPr="00EF28CC">
        <w:rPr>
          <w:lang w:val="es-ES"/>
        </w:rPr>
        <w:t xml:space="preserve">También es el caso de la CIDH que, en sus observaciones preliminares respecto de su visita a Honduras en 2023, indicó que persiste violencia de género y ensañamiento misógino sobre los cuerpos de las mujeres, las niñas y las adolescentes. Asimismo, expresó su grave </w:t>
      </w:r>
      <w:r w:rsidRPr="00EF28CC">
        <w:rPr>
          <w:lang w:val="es-ES"/>
        </w:rPr>
        <w:lastRenderedPageBreak/>
        <w:t>preocupación por “las altas cifras de muertes violentas de mujeres, femicidios, tentativas de femicidio, violencia sexual, violencia doméstica e intrafamiliar, y desapariciones, sumado a la persistente impunidad en estos casos y a la falta de acceso a la justicia de las víctimas. Lo anterior, afecta de manera desproporcionada a mujeres indígenas y afrodescendientes. Observa también que continúan las agresiones y amenazas contra defensoras de derechos humanos, en particular las defensoras de la tierra, territorio y medio ambiente, así como las que defienden los derechos reproductivos y los derechos de las personas LGBTI”</w:t>
      </w:r>
      <w:r w:rsidRPr="00EF28CC">
        <w:rPr>
          <w:rStyle w:val="EndnoteReference"/>
        </w:rPr>
        <w:endnoteReference w:id="100"/>
      </w:r>
      <w:r w:rsidRPr="00EF28CC">
        <w:rPr>
          <w:lang w:val="es-ES"/>
        </w:rPr>
        <w:t xml:space="preserve">. </w:t>
      </w:r>
    </w:p>
    <w:p w14:paraId="2AC51CDD" w14:textId="3D3934AC" w:rsidR="00F32DFB" w:rsidRPr="00EF28CC" w:rsidRDefault="007E62E7" w:rsidP="007D2C04">
      <w:pPr>
        <w:pStyle w:val="Lindas3"/>
        <w:numPr>
          <w:ilvl w:val="0"/>
          <w:numId w:val="6"/>
        </w:numPr>
        <w:spacing w:after="0" w:line="240" w:lineRule="auto"/>
        <w:ind w:left="450"/>
        <w:rPr>
          <w:lang w:val="es-ES"/>
        </w:rPr>
      </w:pPr>
      <w:r w:rsidRPr="00EF28CC">
        <w:rPr>
          <w:lang w:val="es-ES"/>
        </w:rPr>
        <w:t>El caso de Fausia, actualmente pendiente ante el Comité de Derechos Humanos de la ONU,</w:t>
      </w:r>
      <w:r w:rsidRPr="00EF28CC">
        <w:rPr>
          <w:rStyle w:val="EndnoteReference"/>
        </w:rPr>
        <w:endnoteReference w:id="101"/>
      </w:r>
      <w:r w:rsidRPr="00EF28CC">
        <w:rPr>
          <w:lang w:val="es-ES"/>
        </w:rPr>
        <w:t xml:space="preserve"> es emblemático de esta situación en Honduras. Fausia, una mujer indígena defensora de los derechos humanos fue violada por dos hombres como represalia por su trabajo como líder comunitaria y defensora de las tierras ancestrales. Dadas las graves restricciones de Honduras en materia de información y atención de la salud reproductiva, la prohibición total de l</w:t>
      </w:r>
      <w:r w:rsidR="00532391" w:rsidRPr="00EF28CC">
        <w:rPr>
          <w:lang w:val="es-ES"/>
        </w:rPr>
        <w:t>os</w:t>
      </w:r>
      <w:r w:rsidRPr="00EF28CC">
        <w:rPr>
          <w:lang w:val="es-ES"/>
        </w:rPr>
        <w:t xml:space="preserve"> anticonceptivos de emergencia y del aborto, Fausia sufrió un embarazo y una maternidad forzada y no deseada.</w:t>
      </w:r>
      <w:r w:rsidRPr="00EF28CC">
        <w:rPr>
          <w:rStyle w:val="EndnoteReference"/>
        </w:rPr>
        <w:endnoteReference w:id="102"/>
      </w:r>
      <w:r w:rsidRPr="00EF28CC">
        <w:rPr>
          <w:lang w:val="es-ES"/>
        </w:rPr>
        <w:t xml:space="preserve"> La lucha de Fausia por la justicia ha provocado graves represalias contra ella y su familia, que se han visto obligados a huir de su hogar y de su tierra ancestral. Todavía no han podido regresar y siguen viviendo en la clandestinidad.</w:t>
      </w:r>
      <w:r w:rsidRPr="00EF28CC">
        <w:rPr>
          <w:rStyle w:val="EndnoteReference"/>
        </w:rPr>
        <w:endnoteReference w:id="103"/>
      </w:r>
      <w:r w:rsidRPr="00EF28CC">
        <w:rPr>
          <w:lang w:val="es-ES"/>
        </w:rPr>
        <w:t xml:space="preserve"> El caso de Fausia es ilustrativo del uso sistémico de la violencia sexual contra las mujeres en Honduras como forma de poder y de discriminación y violencia de género, que afecta de forma desproporcionada a las mujeres indígenas, pobres y rurales.</w:t>
      </w:r>
      <w:r w:rsidRPr="00EF28CC">
        <w:rPr>
          <w:rStyle w:val="EndnoteReference"/>
        </w:rPr>
        <w:endnoteReference w:id="104"/>
      </w:r>
      <w:r w:rsidRPr="00EF28CC">
        <w:rPr>
          <w:lang w:val="es-ES"/>
        </w:rPr>
        <w:t xml:space="preserve"> Las consecuencias de esta violencia sexual se ve agravada por las restricciones impuestas en Honduras a la atención </w:t>
      </w:r>
      <w:r w:rsidR="00532391" w:rsidRPr="00EF28CC">
        <w:rPr>
          <w:lang w:val="es-ES"/>
        </w:rPr>
        <w:t xml:space="preserve">reproductiva, la </w:t>
      </w:r>
      <w:r w:rsidRPr="00EF28CC">
        <w:rPr>
          <w:lang w:val="es-ES"/>
        </w:rPr>
        <w:t>educación sexual y la prohibición incondicional del aborto.</w:t>
      </w:r>
    </w:p>
    <w:p w14:paraId="47ED605F" w14:textId="77777777" w:rsidR="00F32DFB" w:rsidRPr="00EF28CC" w:rsidRDefault="00F32DFB" w:rsidP="007D2C04">
      <w:pPr>
        <w:pStyle w:val="BodyText"/>
        <w:spacing w:after="0"/>
        <w:ind w:left="360" w:firstLine="0"/>
        <w:rPr>
          <w:b/>
          <w:bCs/>
          <w:szCs w:val="24"/>
          <w:lang w:val="es-ES"/>
        </w:rPr>
      </w:pPr>
    </w:p>
    <w:p w14:paraId="7896F9CB" w14:textId="77777777" w:rsidR="00F32DFB" w:rsidRPr="00EF28CC" w:rsidRDefault="007E62E7" w:rsidP="007D2C04">
      <w:pPr>
        <w:pStyle w:val="BodyText"/>
        <w:numPr>
          <w:ilvl w:val="0"/>
          <w:numId w:val="9"/>
        </w:numPr>
        <w:spacing w:after="0"/>
        <w:rPr>
          <w:b/>
          <w:bCs/>
          <w:szCs w:val="24"/>
          <w:lang w:val="es-ES"/>
        </w:rPr>
      </w:pPr>
      <w:r w:rsidRPr="00EF28CC">
        <w:rPr>
          <w:b/>
          <w:bCs/>
          <w:szCs w:val="24"/>
          <w:lang w:val="es-ES"/>
        </w:rPr>
        <w:t>El acceso a la PAE</w:t>
      </w:r>
    </w:p>
    <w:p w14:paraId="52F9E66B" w14:textId="77777777" w:rsidR="00F32DFB" w:rsidRPr="00EF28CC" w:rsidRDefault="00F32DFB" w:rsidP="007D2C04">
      <w:pPr>
        <w:pStyle w:val="BodyText"/>
        <w:spacing w:after="0"/>
        <w:ind w:left="360" w:firstLine="0"/>
        <w:rPr>
          <w:b/>
          <w:bCs/>
          <w:szCs w:val="24"/>
          <w:lang w:val="es-ES"/>
        </w:rPr>
      </w:pPr>
    </w:p>
    <w:p w14:paraId="58097282" w14:textId="6295101C" w:rsidR="00F32DFB" w:rsidRDefault="2CDE0710" w:rsidP="007D2C04">
      <w:pPr>
        <w:pStyle w:val="ListParagraph"/>
        <w:numPr>
          <w:ilvl w:val="0"/>
          <w:numId w:val="6"/>
        </w:numPr>
        <w:pBdr>
          <w:top w:val="none" w:sz="4" w:space="0" w:color="000000"/>
          <w:left w:val="none" w:sz="4" w:space="0" w:color="000000"/>
          <w:bottom w:val="none" w:sz="4" w:space="0" w:color="000000"/>
          <w:right w:val="none" w:sz="4" w:space="0" w:color="000000"/>
          <w:between w:val="none" w:sz="4" w:space="0" w:color="000000"/>
        </w:pBdr>
        <w:tabs>
          <w:tab w:val="left" w:pos="90"/>
          <w:tab w:val="left" w:pos="630"/>
        </w:tabs>
        <w:spacing w:before="240" w:after="0" w:line="240" w:lineRule="auto"/>
        <w:ind w:left="540"/>
        <w:jc w:val="both"/>
        <w:rPr>
          <w:rFonts w:ascii="Times New Roman" w:eastAsia="Times New Roman" w:hAnsi="Times New Roman" w:cs="Times New Roman"/>
          <w:sz w:val="24"/>
          <w:szCs w:val="24"/>
          <w:lang w:val="es-ES"/>
        </w:rPr>
      </w:pPr>
      <w:r w:rsidRPr="00EF28CC">
        <w:rPr>
          <w:rFonts w:ascii="Times New Roman" w:hAnsi="Times New Roman" w:cs="Times New Roman"/>
          <w:sz w:val="24"/>
          <w:szCs w:val="24"/>
          <w:lang w:val="es-ES"/>
        </w:rPr>
        <w:t>En noviembre de 2022, la Secretar</w:t>
      </w:r>
      <w:r w:rsidR="11554D9F" w:rsidRPr="00EF28CC">
        <w:rPr>
          <w:rFonts w:ascii="Times New Roman" w:hAnsi="Times New Roman" w:cs="Times New Roman"/>
          <w:sz w:val="24"/>
          <w:szCs w:val="24"/>
          <w:lang w:val="es-ES"/>
        </w:rPr>
        <w:t>í</w:t>
      </w:r>
      <w:r w:rsidRPr="00EF28CC">
        <w:rPr>
          <w:rFonts w:ascii="Times New Roman" w:hAnsi="Times New Roman" w:cs="Times New Roman"/>
          <w:sz w:val="24"/>
          <w:szCs w:val="24"/>
          <w:lang w:val="es-ES"/>
        </w:rPr>
        <w:t>a de Salud (SESAL) aprobó el uso de la píldora anticonceptiva de emergencia exclusivamente para víctimas de violación</w:t>
      </w:r>
      <w:r w:rsidR="007E62E7" w:rsidRPr="00EF28CC">
        <w:rPr>
          <w:rStyle w:val="EndnoteReference"/>
          <w:rFonts w:ascii="Times New Roman" w:hAnsi="Times New Roman" w:cs="Times New Roman"/>
          <w:sz w:val="24"/>
          <w:szCs w:val="24"/>
          <w:lang w:val="en"/>
        </w:rPr>
        <w:endnoteReference w:id="105"/>
      </w:r>
      <w:r w:rsidR="00082042" w:rsidRPr="00EF28CC">
        <w:rPr>
          <w:rFonts w:ascii="Times New Roman" w:hAnsi="Times New Roman" w:cs="Times New Roman"/>
          <w:sz w:val="24"/>
          <w:szCs w:val="24"/>
          <w:lang w:val="es-ES"/>
        </w:rPr>
        <w:t>.</w:t>
      </w:r>
      <w:r w:rsidRPr="00EF28CC">
        <w:rPr>
          <w:rFonts w:ascii="Times New Roman" w:hAnsi="Times New Roman" w:cs="Times New Roman"/>
          <w:sz w:val="24"/>
          <w:szCs w:val="24"/>
          <w:lang w:val="es-ES"/>
        </w:rPr>
        <w:t xml:space="preserve"> </w:t>
      </w:r>
      <w:r w:rsidRPr="00EF28CC">
        <w:rPr>
          <w:rFonts w:ascii="Times New Roman" w:eastAsia="Times New Roman" w:hAnsi="Times New Roman" w:cs="Times New Roman"/>
          <w:sz w:val="24"/>
          <w:szCs w:val="24"/>
          <w:lang w:val="es-ES"/>
        </w:rPr>
        <w:t>El 8 de marzo de 2023, mediante un Decreto Ejecutivo se derogó el acuerdo ministerial, No. 2744 – 2009 que prohibía el uso y distribución de la PA</w:t>
      </w:r>
      <w:r w:rsidR="56CA85A8" w:rsidRPr="00EF28CC">
        <w:rPr>
          <w:rFonts w:ascii="Times New Roman" w:eastAsia="Times New Roman" w:hAnsi="Times New Roman" w:cs="Times New Roman"/>
          <w:sz w:val="24"/>
          <w:szCs w:val="24"/>
          <w:lang w:val="es-ES"/>
        </w:rPr>
        <w:t>E</w:t>
      </w:r>
      <w:r w:rsidRPr="00EF28CC">
        <w:rPr>
          <w:rFonts w:ascii="Times New Roman" w:eastAsia="Times New Roman" w:hAnsi="Times New Roman" w:cs="Times New Roman"/>
          <w:sz w:val="24"/>
          <w:szCs w:val="24"/>
          <w:lang w:val="es-ES"/>
        </w:rPr>
        <w:t>, permitiendo la distribución y uso de anticoncepción de emergencia en el país</w:t>
      </w:r>
      <w:r w:rsidR="007E62E7" w:rsidRPr="00EF28CC">
        <w:rPr>
          <w:rStyle w:val="EndnoteReference"/>
          <w:rFonts w:ascii="Times New Roman" w:eastAsia="Times New Roman" w:hAnsi="Times New Roman" w:cs="Times New Roman"/>
          <w:sz w:val="24"/>
          <w:szCs w:val="24"/>
          <w:lang w:val="es-ES"/>
        </w:rPr>
        <w:endnoteReference w:id="106"/>
      </w:r>
    </w:p>
    <w:p w14:paraId="73FE2CFA" w14:textId="77777777" w:rsidR="00CC1CE7" w:rsidRPr="00EF28CC" w:rsidRDefault="00CC1CE7" w:rsidP="00CC1CE7">
      <w:pPr>
        <w:pStyle w:val="ListParagraph"/>
        <w:pBdr>
          <w:top w:val="none" w:sz="4" w:space="0" w:color="000000"/>
          <w:left w:val="none" w:sz="4" w:space="0" w:color="000000"/>
          <w:bottom w:val="none" w:sz="4" w:space="0" w:color="000000"/>
          <w:right w:val="none" w:sz="4" w:space="0" w:color="000000"/>
          <w:between w:val="none" w:sz="4" w:space="0" w:color="000000"/>
        </w:pBdr>
        <w:tabs>
          <w:tab w:val="left" w:pos="90"/>
          <w:tab w:val="left" w:pos="630"/>
        </w:tabs>
        <w:spacing w:before="240" w:after="0" w:line="240" w:lineRule="auto"/>
        <w:ind w:left="540"/>
        <w:jc w:val="both"/>
        <w:rPr>
          <w:rFonts w:ascii="Times New Roman" w:eastAsia="Times New Roman" w:hAnsi="Times New Roman" w:cs="Times New Roman"/>
          <w:sz w:val="24"/>
          <w:szCs w:val="24"/>
          <w:lang w:val="es-ES"/>
        </w:rPr>
      </w:pPr>
    </w:p>
    <w:p w14:paraId="54A7B511" w14:textId="70EA6C8F" w:rsidR="00A80FC5" w:rsidRDefault="2CDE0710" w:rsidP="00A80FC5">
      <w:pPr>
        <w:pStyle w:val="ListParagraph"/>
        <w:numPr>
          <w:ilvl w:val="0"/>
          <w:numId w:val="6"/>
        </w:numPr>
        <w:pBdr>
          <w:top w:val="none" w:sz="4" w:space="0" w:color="000000"/>
          <w:left w:val="none" w:sz="4" w:space="0" w:color="000000"/>
          <w:bottom w:val="none" w:sz="4" w:space="0" w:color="000000"/>
          <w:right w:val="none" w:sz="4" w:space="0" w:color="000000"/>
          <w:between w:val="none" w:sz="4" w:space="0" w:color="000000"/>
        </w:pBdr>
        <w:tabs>
          <w:tab w:val="left" w:pos="90"/>
          <w:tab w:val="left" w:pos="630"/>
        </w:tabs>
        <w:spacing w:before="240" w:after="0" w:line="240" w:lineRule="auto"/>
        <w:ind w:left="540"/>
        <w:jc w:val="both"/>
        <w:rPr>
          <w:rFonts w:ascii="Times New Roman" w:eastAsia="Times New Roman" w:hAnsi="Times New Roman" w:cs="Times New Roman"/>
          <w:sz w:val="24"/>
          <w:szCs w:val="24"/>
          <w:lang w:val="es-ES"/>
        </w:rPr>
      </w:pPr>
      <w:r w:rsidRPr="00EF28CC">
        <w:rPr>
          <w:rFonts w:ascii="Times New Roman" w:eastAsia="Times New Roman" w:hAnsi="Times New Roman" w:cs="Times New Roman"/>
          <w:sz w:val="24"/>
          <w:szCs w:val="24"/>
          <w:lang w:val="es-ES"/>
        </w:rPr>
        <w:t xml:space="preserve">Si bien esta decisión representa un hito en los derechos reproductivos de las mujeres hondureñas, la liberalización de la PAE no implica un acceso real. De acuerdo con la organización </w:t>
      </w:r>
      <w:r w:rsidRPr="00EF28CC">
        <w:rPr>
          <w:rFonts w:ascii="Times New Roman" w:eastAsia="Times New Roman" w:hAnsi="Times New Roman" w:cs="Times New Roman"/>
          <w:i/>
          <w:iCs/>
          <w:sz w:val="24"/>
          <w:szCs w:val="24"/>
          <w:lang w:val="es-ES"/>
        </w:rPr>
        <w:t>Ecuménicas por el Derecho a Decidir</w:t>
      </w:r>
      <w:r w:rsidRPr="00EF28CC">
        <w:rPr>
          <w:rFonts w:ascii="Times New Roman" w:eastAsia="Times New Roman" w:hAnsi="Times New Roman" w:cs="Times New Roman"/>
          <w:sz w:val="24"/>
          <w:szCs w:val="24"/>
          <w:lang w:val="es-ES"/>
        </w:rPr>
        <w:t>, cuando la PAE es de uso libre, algunos países han logrado capacitar al personal de salud en su uso, y han obtenido el registro sanitario del medicamento en un plazo tan corto como un mes</w:t>
      </w:r>
      <w:r w:rsidR="007E62E7" w:rsidRPr="00EF28CC">
        <w:rPr>
          <w:rStyle w:val="EndnoteReference"/>
          <w:rFonts w:ascii="Times New Roman" w:eastAsia="Times New Roman" w:hAnsi="Times New Roman" w:cs="Times New Roman"/>
          <w:sz w:val="24"/>
          <w:szCs w:val="24"/>
        </w:rPr>
        <w:endnoteReference w:id="107"/>
      </w:r>
      <w:r w:rsidR="00082042" w:rsidRPr="00EF28CC">
        <w:rPr>
          <w:rFonts w:ascii="Times New Roman" w:eastAsia="Times New Roman" w:hAnsi="Times New Roman" w:cs="Times New Roman"/>
          <w:sz w:val="24"/>
          <w:szCs w:val="24"/>
          <w:lang w:val="es-ES"/>
        </w:rPr>
        <w:t>.</w:t>
      </w:r>
      <w:r w:rsidRPr="00EF28CC">
        <w:rPr>
          <w:rFonts w:ascii="Times New Roman" w:eastAsia="Times New Roman" w:hAnsi="Times New Roman" w:cs="Times New Roman"/>
          <w:sz w:val="24"/>
          <w:szCs w:val="24"/>
          <w:lang w:val="es-ES"/>
        </w:rPr>
        <w:t xml:space="preserve"> Sin embargo, en Honduras, </w:t>
      </w:r>
      <w:r w:rsidR="56CA85A8" w:rsidRPr="00EF28CC">
        <w:rPr>
          <w:rFonts w:ascii="Times New Roman" w:eastAsia="Times New Roman" w:hAnsi="Times New Roman" w:cs="Times New Roman"/>
          <w:sz w:val="24"/>
          <w:szCs w:val="24"/>
          <w:lang w:val="es-ES"/>
        </w:rPr>
        <w:t>no está disponible en</w:t>
      </w:r>
      <w:r w:rsidRPr="00EF28CC">
        <w:rPr>
          <w:rFonts w:ascii="Times New Roman" w:eastAsia="Times New Roman" w:hAnsi="Times New Roman" w:cs="Times New Roman"/>
          <w:sz w:val="24"/>
          <w:szCs w:val="24"/>
          <w:lang w:val="es-ES"/>
        </w:rPr>
        <w:t xml:space="preserve"> los servicios públicos de salud</w:t>
      </w:r>
      <w:r w:rsidR="30731FEE" w:rsidRPr="00EF28CC">
        <w:rPr>
          <w:rFonts w:ascii="Times New Roman" w:eastAsia="Times New Roman" w:hAnsi="Times New Roman" w:cs="Times New Roman"/>
          <w:sz w:val="24"/>
          <w:szCs w:val="24"/>
          <w:lang w:val="es-ES"/>
        </w:rPr>
        <w:t xml:space="preserve">, solo en las farmacias </w:t>
      </w:r>
      <w:r w:rsidRPr="00EF28CC">
        <w:rPr>
          <w:rFonts w:ascii="Times New Roman" w:eastAsia="Times New Roman" w:hAnsi="Times New Roman" w:cs="Times New Roman"/>
          <w:sz w:val="24"/>
          <w:szCs w:val="24"/>
          <w:lang w:val="es-ES"/>
        </w:rPr>
        <w:t>privadas</w:t>
      </w:r>
      <w:r w:rsidR="007E62E7" w:rsidRPr="00EF28CC">
        <w:rPr>
          <w:rStyle w:val="EndnoteReference"/>
          <w:rFonts w:ascii="Times New Roman" w:eastAsia="Times New Roman" w:hAnsi="Times New Roman" w:cs="Times New Roman"/>
          <w:sz w:val="24"/>
          <w:szCs w:val="24"/>
        </w:rPr>
        <w:endnoteReference w:id="108"/>
      </w:r>
      <w:r w:rsidRPr="00EF28CC">
        <w:rPr>
          <w:rFonts w:ascii="Times New Roman" w:eastAsia="Times New Roman" w:hAnsi="Times New Roman" w:cs="Times New Roman"/>
          <w:sz w:val="24"/>
          <w:szCs w:val="24"/>
          <w:lang w:val="es-ES"/>
        </w:rPr>
        <w:t>. Lo anterior, mantiene un problema ya existente puesto que las mujeres con limitados recursos económicos se ven imposibilitadas de acceder a este medicamento haciendo a la PAE inaccesible a pesar de su liberación</w:t>
      </w:r>
      <w:r w:rsidR="007E62E7" w:rsidRPr="00EF28CC">
        <w:rPr>
          <w:rStyle w:val="EndnoteReference"/>
          <w:rFonts w:ascii="Times New Roman" w:eastAsia="Times New Roman" w:hAnsi="Times New Roman" w:cs="Times New Roman"/>
          <w:sz w:val="24"/>
          <w:szCs w:val="24"/>
        </w:rPr>
        <w:endnoteReference w:id="109"/>
      </w:r>
      <w:r w:rsidR="00082042" w:rsidRPr="00EF28CC">
        <w:rPr>
          <w:rFonts w:ascii="Times New Roman" w:eastAsia="Times New Roman" w:hAnsi="Times New Roman" w:cs="Times New Roman"/>
          <w:sz w:val="24"/>
          <w:szCs w:val="24"/>
          <w:lang w:val="es-ES"/>
        </w:rPr>
        <w:t>.</w:t>
      </w:r>
      <w:r w:rsidRPr="00EF28CC">
        <w:rPr>
          <w:rFonts w:ascii="Times New Roman" w:eastAsia="Times New Roman" w:hAnsi="Times New Roman" w:cs="Times New Roman"/>
          <w:sz w:val="24"/>
          <w:szCs w:val="24"/>
          <w:lang w:val="es-ES"/>
        </w:rPr>
        <w:t xml:space="preserve"> </w:t>
      </w:r>
    </w:p>
    <w:p w14:paraId="5F20FE05" w14:textId="77777777" w:rsidR="00A80FC5" w:rsidRPr="00A80FC5" w:rsidRDefault="00A80FC5" w:rsidP="00A80FC5">
      <w:pPr>
        <w:pBdr>
          <w:top w:val="none" w:sz="4" w:space="0" w:color="000000"/>
          <w:left w:val="none" w:sz="4" w:space="0" w:color="000000"/>
          <w:bottom w:val="none" w:sz="4" w:space="0" w:color="000000"/>
          <w:right w:val="none" w:sz="4" w:space="0" w:color="000000"/>
          <w:between w:val="none" w:sz="4" w:space="0" w:color="000000"/>
        </w:pBdr>
        <w:tabs>
          <w:tab w:val="left" w:pos="90"/>
          <w:tab w:val="left" w:pos="630"/>
        </w:tabs>
        <w:spacing w:before="240" w:after="0" w:line="240" w:lineRule="auto"/>
        <w:jc w:val="both"/>
        <w:rPr>
          <w:rFonts w:ascii="Times New Roman" w:eastAsia="Times New Roman" w:hAnsi="Times New Roman" w:cs="Times New Roman"/>
          <w:sz w:val="24"/>
          <w:szCs w:val="24"/>
          <w:lang w:val="es-ES"/>
        </w:rPr>
      </w:pPr>
    </w:p>
    <w:p w14:paraId="2B942419" w14:textId="4C98AFD7" w:rsidR="00F32DFB" w:rsidRPr="00EF28CC" w:rsidRDefault="007E62E7" w:rsidP="007D2C04">
      <w:pPr>
        <w:pStyle w:val="ListParagraph"/>
        <w:numPr>
          <w:ilvl w:val="0"/>
          <w:numId w:val="6"/>
        </w:numPr>
        <w:pBdr>
          <w:top w:val="none" w:sz="4" w:space="0" w:color="000000"/>
          <w:left w:val="none" w:sz="4" w:space="0" w:color="000000"/>
          <w:bottom w:val="none" w:sz="4" w:space="0" w:color="000000"/>
          <w:right w:val="none" w:sz="4" w:space="0" w:color="000000"/>
          <w:between w:val="none" w:sz="4" w:space="0" w:color="000000"/>
        </w:pBdr>
        <w:tabs>
          <w:tab w:val="left" w:pos="90"/>
          <w:tab w:val="left" w:pos="630"/>
        </w:tabs>
        <w:spacing w:before="240" w:after="0" w:line="240" w:lineRule="auto"/>
        <w:ind w:left="540"/>
        <w:jc w:val="both"/>
        <w:rPr>
          <w:rFonts w:ascii="Times New Roman" w:eastAsia="Times New Roman" w:hAnsi="Times New Roman" w:cs="Times New Roman"/>
          <w:sz w:val="24"/>
          <w:szCs w:val="24"/>
          <w:lang w:val="es-ES"/>
        </w:rPr>
      </w:pPr>
      <w:r w:rsidRPr="00EF28CC">
        <w:rPr>
          <w:rFonts w:ascii="Times New Roman" w:eastAsia="Times New Roman" w:hAnsi="Times New Roman" w:cs="Times New Roman"/>
          <w:sz w:val="24"/>
          <w:szCs w:val="24"/>
          <w:lang w:val="es-ES"/>
        </w:rPr>
        <w:lastRenderedPageBreak/>
        <w:t>Aún hoy, persiste el reto de la implementación del Decreto en los territorios del país y sobre todo entre las mujeres en situación de pobreza en Honduras. Tal como lo indicó la CIDH, “se requieren medidas adicionales para la efectiva implementación de dicho decreto, tales como ajustes en el presupuesto asignado a la Secretaría de Salud para incluir la PAE; adopción de planes para la adquisición, almacenamiento y distribución gratuita; modificación de las guías y protocolos de atención a la salud; capacitación del personal de salud sobre el Decreto Ejecutivo que aprueba su libre uso […] así como la socialización de información sobre su uso seguro, cómo y dónde acceder a ella”</w:t>
      </w:r>
      <w:r w:rsidRPr="00EF28CC">
        <w:rPr>
          <w:rStyle w:val="EndnoteReference"/>
          <w:rFonts w:ascii="Times New Roman" w:eastAsia="Times New Roman" w:hAnsi="Times New Roman" w:cs="Times New Roman"/>
          <w:sz w:val="24"/>
          <w:szCs w:val="24"/>
        </w:rPr>
        <w:endnoteReference w:id="110"/>
      </w:r>
      <w:bookmarkEnd w:id="5"/>
      <w:r w:rsidR="00082042" w:rsidRPr="00EF28CC">
        <w:rPr>
          <w:rFonts w:ascii="Times New Roman" w:eastAsia="Times New Roman" w:hAnsi="Times New Roman" w:cs="Times New Roman"/>
          <w:sz w:val="24"/>
          <w:szCs w:val="24"/>
          <w:lang w:val="es-ES"/>
        </w:rPr>
        <w:t>.</w:t>
      </w:r>
    </w:p>
    <w:p w14:paraId="6D399E02" w14:textId="77777777" w:rsidR="00F32DFB" w:rsidRPr="00EF28CC" w:rsidRDefault="00F32DFB" w:rsidP="007D2C04">
      <w:pPr>
        <w:pStyle w:val="NormalWeb"/>
        <w:shd w:val="clear" w:color="auto" w:fill="FFFFFF"/>
        <w:spacing w:before="240" w:beforeAutospacing="0" w:after="0" w:afterAutospacing="0"/>
        <w:jc w:val="both"/>
        <w:rPr>
          <w:b/>
          <w:bCs/>
          <w:lang w:val="es-ES" w:eastAsia="en-US"/>
        </w:rPr>
      </w:pPr>
    </w:p>
    <w:p w14:paraId="566FA524" w14:textId="6199F35C" w:rsidR="00F32DFB" w:rsidRPr="00EF28CC" w:rsidRDefault="007E62E7" w:rsidP="007D2C04">
      <w:pPr>
        <w:pStyle w:val="NormalWeb"/>
        <w:shd w:val="clear" w:color="auto" w:fill="FFFFFF"/>
        <w:spacing w:before="240" w:beforeAutospacing="0" w:after="0" w:afterAutospacing="0"/>
        <w:jc w:val="both"/>
        <w:rPr>
          <w:b/>
          <w:lang w:val="es-ES"/>
        </w:rPr>
      </w:pPr>
      <w:r w:rsidRPr="00EF28CC">
        <w:rPr>
          <w:b/>
          <w:bCs/>
          <w:lang w:val="es-ES" w:eastAsia="en-US"/>
        </w:rPr>
        <w:t>V</w:t>
      </w:r>
      <w:r w:rsidRPr="00EF28CC">
        <w:rPr>
          <w:b/>
          <w:bCs/>
          <w:lang w:val="es-ES" w:eastAsia="en-US"/>
        </w:rPr>
        <w:tab/>
      </w:r>
      <w:r w:rsidR="00565EC4" w:rsidRPr="00EF28CC">
        <w:rPr>
          <w:b/>
          <w:lang w:val="es-ES"/>
        </w:rPr>
        <w:t xml:space="preserve">Recomendaciones </w:t>
      </w:r>
      <w:r w:rsidRPr="00EF28CC">
        <w:rPr>
          <w:b/>
          <w:lang w:val="es-ES"/>
        </w:rPr>
        <w:t>para</w:t>
      </w:r>
      <w:r w:rsidR="00565EC4" w:rsidRPr="00EF28CC">
        <w:rPr>
          <w:b/>
          <w:lang w:val="es-ES"/>
        </w:rPr>
        <w:t xml:space="preserve"> el Estado de</w:t>
      </w:r>
      <w:r w:rsidRPr="00EF28CC">
        <w:rPr>
          <w:b/>
          <w:lang w:val="es-ES"/>
        </w:rPr>
        <w:t xml:space="preserve"> Honduras</w:t>
      </w:r>
    </w:p>
    <w:p w14:paraId="141F3E02" w14:textId="77777777" w:rsidR="00F32DFB" w:rsidRPr="00EF28CC" w:rsidRDefault="00F32DFB" w:rsidP="007D2C04">
      <w:pPr>
        <w:pStyle w:val="NormalWeb"/>
        <w:shd w:val="clear" w:color="auto" w:fill="FFFFFF"/>
        <w:spacing w:before="240" w:beforeAutospacing="0" w:after="0" w:afterAutospacing="0"/>
        <w:jc w:val="both"/>
        <w:rPr>
          <w:b/>
          <w:bCs/>
          <w:lang w:val="es-ES" w:eastAsia="en-US"/>
        </w:rPr>
      </w:pPr>
    </w:p>
    <w:p w14:paraId="3E5AF1DC" w14:textId="77777777" w:rsidR="00565EC4" w:rsidRPr="00EF28CC" w:rsidRDefault="00565EC4" w:rsidP="007D2C04">
      <w:pPr>
        <w:pBdr>
          <w:top w:val="nil"/>
          <w:left w:val="nil"/>
          <w:bottom w:val="nil"/>
          <w:right w:val="nil"/>
          <w:between w:val="nil"/>
        </w:pBdr>
        <w:spacing w:before="240" w:after="0" w:line="240" w:lineRule="auto"/>
        <w:contextualSpacing/>
        <w:mirrorIndents/>
        <w:jc w:val="both"/>
        <w:rPr>
          <w:rFonts w:ascii="Times New Roman" w:eastAsia="Times New Roman" w:hAnsi="Times New Roman" w:cs="Times New Roman"/>
          <w:b/>
          <w:bCs/>
          <w:sz w:val="24"/>
          <w:szCs w:val="24"/>
          <w:lang w:val="es-ES"/>
        </w:rPr>
      </w:pPr>
      <w:r w:rsidRPr="00EF28CC">
        <w:rPr>
          <w:rFonts w:ascii="Times New Roman" w:eastAsia="Times New Roman" w:hAnsi="Times New Roman" w:cs="Times New Roman"/>
          <w:b/>
          <w:bCs/>
          <w:sz w:val="24"/>
          <w:szCs w:val="24"/>
          <w:lang w:val="es-ES"/>
        </w:rPr>
        <w:t>Las organizaciones firmantes sugerimos a este Comité que haga las siguientes recomendaciones al Estado hondureño:</w:t>
      </w:r>
    </w:p>
    <w:p w14:paraId="7D096ACE" w14:textId="77777777" w:rsidR="00282421" w:rsidRPr="00EF28CC" w:rsidRDefault="00282421" w:rsidP="007D2C04">
      <w:pPr>
        <w:spacing w:before="240" w:after="0" w:line="240" w:lineRule="auto"/>
        <w:mirrorIndents/>
        <w:jc w:val="both"/>
        <w:rPr>
          <w:rFonts w:ascii="Times New Roman" w:eastAsia="Times New Roman" w:hAnsi="Times New Roman" w:cs="Times New Roman"/>
          <w:sz w:val="24"/>
          <w:szCs w:val="24"/>
          <w:lang w:val="es-ES"/>
        </w:rPr>
      </w:pPr>
    </w:p>
    <w:p w14:paraId="531AD91B" w14:textId="77777777" w:rsidR="00282421" w:rsidRPr="00EF28CC" w:rsidRDefault="00282421" w:rsidP="007D2C04">
      <w:pPr>
        <w:widowControl w:val="0"/>
        <w:numPr>
          <w:ilvl w:val="0"/>
          <w:numId w:val="14"/>
        </w:numPr>
        <w:pBdr>
          <w:top w:val="nil"/>
          <w:left w:val="nil"/>
          <w:bottom w:val="nil"/>
          <w:right w:val="nil"/>
          <w:between w:val="nil"/>
        </w:pBdr>
        <w:spacing w:before="240" w:after="0" w:line="240" w:lineRule="auto"/>
        <w:ind w:left="142"/>
        <w:contextualSpacing/>
        <w:jc w:val="both"/>
        <w:rPr>
          <w:rFonts w:ascii="Times New Roman" w:eastAsia="Times New Roman" w:hAnsi="Times New Roman" w:cs="Times New Roman"/>
          <w:sz w:val="24"/>
          <w:szCs w:val="24"/>
          <w:lang w:val="es-ES"/>
        </w:rPr>
      </w:pPr>
      <w:r w:rsidRPr="00EF28CC">
        <w:rPr>
          <w:rFonts w:ascii="Times New Roman" w:eastAsia="Times New Roman" w:hAnsi="Times New Roman" w:cs="Times New Roman"/>
          <w:sz w:val="24"/>
          <w:szCs w:val="24"/>
          <w:lang w:val="es-ES"/>
        </w:rPr>
        <w:t xml:space="preserve">Garantizar el acceso al aborto sin restricciones en consonancia con las Directrices de la OMS para la Atención del Aborto (2022). </w:t>
      </w:r>
    </w:p>
    <w:p w14:paraId="4807BACC" w14:textId="77777777" w:rsidR="00282421" w:rsidRPr="00EF28CC" w:rsidRDefault="00282421" w:rsidP="007D2C04">
      <w:pPr>
        <w:widowControl w:val="0"/>
        <w:numPr>
          <w:ilvl w:val="0"/>
          <w:numId w:val="14"/>
        </w:numPr>
        <w:spacing w:before="240" w:after="0" w:line="240" w:lineRule="auto"/>
        <w:ind w:left="142"/>
        <w:contextualSpacing/>
        <w:jc w:val="both"/>
        <w:rPr>
          <w:rFonts w:ascii="Times New Roman" w:eastAsia="Times New Roman" w:hAnsi="Times New Roman" w:cs="Times New Roman"/>
          <w:sz w:val="24"/>
          <w:szCs w:val="24"/>
          <w:lang w:val="es-ES"/>
        </w:rPr>
      </w:pPr>
      <w:r w:rsidRPr="00EF28CC">
        <w:rPr>
          <w:rFonts w:ascii="Times New Roman" w:eastAsia="Times New Roman" w:hAnsi="Times New Roman" w:cs="Times New Roman"/>
          <w:sz w:val="24"/>
          <w:szCs w:val="24"/>
          <w:lang w:val="es-ES"/>
        </w:rPr>
        <w:t>Promover la eliminación de obstáculos en la prestación del servicio de aborto y garantizar su disponibilidad en condiciones de calidad, privacidad y dignidad para las mujeres y niñas que lo requieran en su territorio.</w:t>
      </w:r>
    </w:p>
    <w:p w14:paraId="6B9603B7" w14:textId="77777777" w:rsidR="00282421" w:rsidRPr="00EF28CC" w:rsidRDefault="00282421" w:rsidP="007D2C04">
      <w:pPr>
        <w:widowControl w:val="0"/>
        <w:numPr>
          <w:ilvl w:val="0"/>
          <w:numId w:val="14"/>
        </w:numPr>
        <w:pBdr>
          <w:top w:val="nil"/>
          <w:left w:val="nil"/>
          <w:bottom w:val="nil"/>
          <w:right w:val="nil"/>
          <w:between w:val="nil"/>
        </w:pBdr>
        <w:spacing w:before="240" w:after="0" w:line="240" w:lineRule="auto"/>
        <w:ind w:left="142"/>
        <w:contextualSpacing/>
        <w:jc w:val="both"/>
        <w:rPr>
          <w:rFonts w:ascii="Times New Roman" w:eastAsia="Times New Roman" w:hAnsi="Times New Roman" w:cs="Times New Roman"/>
          <w:sz w:val="24"/>
          <w:szCs w:val="24"/>
          <w:lang w:val="es-ES"/>
        </w:rPr>
      </w:pPr>
      <w:r w:rsidRPr="00EF28CC">
        <w:rPr>
          <w:rFonts w:ascii="Times New Roman" w:eastAsia="Times New Roman" w:hAnsi="Times New Roman" w:cs="Times New Roman"/>
          <w:sz w:val="24"/>
          <w:szCs w:val="24"/>
          <w:lang w:val="es-ES"/>
        </w:rPr>
        <w:t xml:space="preserve">Eliminar el aborto de todas las leyes penales/delictivas, no aplicar otros delitos punibles (por ejemplo, asesinato, homicidio) al aborto, y garantice que no haya sanciones penales por abortar, ayudar a abortar, proporcionar información sobre el aborto o practicar un aborto o haber sufrido una emergencia obstétrica. </w:t>
      </w:r>
    </w:p>
    <w:p w14:paraId="75197AFD" w14:textId="77777777" w:rsidR="00282421" w:rsidRPr="00EF28CC" w:rsidRDefault="00282421" w:rsidP="007D2C04">
      <w:pPr>
        <w:widowControl w:val="0"/>
        <w:numPr>
          <w:ilvl w:val="0"/>
          <w:numId w:val="14"/>
        </w:numPr>
        <w:pBdr>
          <w:top w:val="nil"/>
          <w:left w:val="nil"/>
          <w:bottom w:val="nil"/>
          <w:right w:val="nil"/>
          <w:between w:val="nil"/>
        </w:pBdr>
        <w:spacing w:before="240" w:after="0" w:line="240" w:lineRule="auto"/>
        <w:ind w:left="142"/>
        <w:contextualSpacing/>
        <w:jc w:val="both"/>
        <w:rPr>
          <w:rFonts w:ascii="Times New Roman" w:eastAsia="Times New Roman" w:hAnsi="Times New Roman" w:cs="Times New Roman"/>
          <w:sz w:val="24"/>
          <w:szCs w:val="24"/>
          <w:lang w:val="es-ES"/>
        </w:rPr>
      </w:pPr>
      <w:r w:rsidRPr="00EF28CC">
        <w:rPr>
          <w:rFonts w:ascii="Times New Roman" w:eastAsia="Times New Roman" w:hAnsi="Times New Roman" w:cs="Times New Roman"/>
          <w:sz w:val="24"/>
          <w:szCs w:val="24"/>
          <w:lang w:val="es-ES"/>
        </w:rPr>
        <w:t>Regular el acceso al servicio médico de aborto fuera del derecho penal, a través de la normativa de salud y sus respectivas instituciones, en compatibilidad con las más recientes guías de la OMS.</w:t>
      </w:r>
    </w:p>
    <w:p w14:paraId="5F1ED6BD" w14:textId="77777777" w:rsidR="00F56306" w:rsidRDefault="00282421" w:rsidP="00F56306">
      <w:pPr>
        <w:widowControl w:val="0"/>
        <w:numPr>
          <w:ilvl w:val="0"/>
          <w:numId w:val="14"/>
        </w:numPr>
        <w:pBdr>
          <w:top w:val="nil"/>
          <w:left w:val="nil"/>
          <w:bottom w:val="nil"/>
          <w:right w:val="nil"/>
          <w:between w:val="nil"/>
        </w:pBdr>
        <w:spacing w:before="240" w:after="0" w:line="240" w:lineRule="auto"/>
        <w:ind w:left="142"/>
        <w:contextualSpacing/>
        <w:jc w:val="both"/>
        <w:rPr>
          <w:rFonts w:ascii="Times New Roman" w:eastAsia="Times New Roman" w:hAnsi="Times New Roman" w:cs="Times New Roman"/>
          <w:sz w:val="24"/>
          <w:szCs w:val="24"/>
          <w:lang w:val="es-ES"/>
        </w:rPr>
      </w:pPr>
      <w:r w:rsidRPr="00EF28CC">
        <w:rPr>
          <w:rFonts w:ascii="Times New Roman" w:eastAsia="Times New Roman" w:hAnsi="Times New Roman" w:cs="Times New Roman"/>
          <w:sz w:val="24"/>
          <w:szCs w:val="24"/>
          <w:lang w:val="es-ES"/>
        </w:rPr>
        <w:t>Despenalizar el aborto en todos los casos de embarazo infantil, y garantizar el acceso de las niñas embarazadas a servicios de aborto seguro y atención postaborto, especialmente en casos de riesgo para la vida y la salud de la madre, violación o incesto, garantizando que modificar la normativa que regula el acceso al aborto terapéutico prevea su aplicación específica a las niñas.</w:t>
      </w:r>
    </w:p>
    <w:p w14:paraId="67CEAF9F" w14:textId="77777777" w:rsidR="00F56306" w:rsidRDefault="00282421" w:rsidP="00F56306">
      <w:pPr>
        <w:widowControl w:val="0"/>
        <w:numPr>
          <w:ilvl w:val="0"/>
          <w:numId w:val="14"/>
        </w:numPr>
        <w:pBdr>
          <w:top w:val="nil"/>
          <w:left w:val="nil"/>
          <w:bottom w:val="nil"/>
          <w:right w:val="nil"/>
          <w:between w:val="nil"/>
        </w:pBdr>
        <w:spacing w:before="240" w:after="0" w:line="240" w:lineRule="auto"/>
        <w:ind w:left="142"/>
        <w:contextualSpacing/>
        <w:jc w:val="both"/>
        <w:rPr>
          <w:rFonts w:ascii="Times New Roman" w:eastAsia="Times New Roman" w:hAnsi="Times New Roman" w:cs="Times New Roman"/>
          <w:sz w:val="24"/>
          <w:szCs w:val="24"/>
          <w:lang w:val="es-ES"/>
        </w:rPr>
      </w:pPr>
      <w:r w:rsidRPr="00F56306">
        <w:rPr>
          <w:rFonts w:ascii="Times New Roman" w:eastAsia="Times New Roman" w:hAnsi="Times New Roman" w:cs="Times New Roman"/>
          <w:sz w:val="24"/>
          <w:szCs w:val="24"/>
          <w:lang w:val="es-ES"/>
        </w:rPr>
        <w:t xml:space="preserve">Adoptar planes, políticas y legislación para superar los obstáculos en el ejercicio de los derechos sexuales y reproductivos. </w:t>
      </w:r>
    </w:p>
    <w:p w14:paraId="2189155A" w14:textId="77777777" w:rsidR="00F56306" w:rsidRDefault="00282421" w:rsidP="00F56306">
      <w:pPr>
        <w:widowControl w:val="0"/>
        <w:numPr>
          <w:ilvl w:val="0"/>
          <w:numId w:val="14"/>
        </w:numPr>
        <w:pBdr>
          <w:top w:val="nil"/>
          <w:left w:val="nil"/>
          <w:bottom w:val="nil"/>
          <w:right w:val="nil"/>
          <w:between w:val="nil"/>
        </w:pBdr>
        <w:spacing w:before="240" w:after="0" w:line="240" w:lineRule="auto"/>
        <w:ind w:left="142"/>
        <w:contextualSpacing/>
        <w:jc w:val="both"/>
        <w:rPr>
          <w:rFonts w:ascii="Times New Roman" w:eastAsia="Times New Roman" w:hAnsi="Times New Roman" w:cs="Times New Roman"/>
          <w:sz w:val="24"/>
          <w:szCs w:val="24"/>
          <w:lang w:val="es-ES"/>
        </w:rPr>
      </w:pPr>
      <w:r w:rsidRPr="00F56306">
        <w:rPr>
          <w:rFonts w:ascii="Times New Roman" w:eastAsia="Times New Roman" w:hAnsi="Times New Roman" w:cs="Times New Roman"/>
          <w:sz w:val="24"/>
          <w:szCs w:val="24"/>
          <w:lang w:val="es-ES"/>
        </w:rPr>
        <w:t>Regular el secreto profesional y la objeción de conciencia en los establecimientos de salud y garantice una atención integral a quienes sufren emergencias obstétricas.</w:t>
      </w:r>
    </w:p>
    <w:p w14:paraId="22C34FAA" w14:textId="77777777" w:rsidR="00F56306" w:rsidRDefault="00282421" w:rsidP="00F56306">
      <w:pPr>
        <w:widowControl w:val="0"/>
        <w:numPr>
          <w:ilvl w:val="0"/>
          <w:numId w:val="14"/>
        </w:numPr>
        <w:pBdr>
          <w:top w:val="nil"/>
          <w:left w:val="nil"/>
          <w:bottom w:val="nil"/>
          <w:right w:val="nil"/>
          <w:between w:val="nil"/>
        </w:pBdr>
        <w:spacing w:before="240" w:after="0" w:line="240" w:lineRule="auto"/>
        <w:ind w:left="142"/>
        <w:contextualSpacing/>
        <w:jc w:val="both"/>
        <w:rPr>
          <w:rFonts w:ascii="Times New Roman" w:eastAsia="Times New Roman" w:hAnsi="Times New Roman" w:cs="Times New Roman"/>
          <w:sz w:val="24"/>
          <w:szCs w:val="24"/>
          <w:lang w:val="es-ES"/>
        </w:rPr>
      </w:pPr>
      <w:r w:rsidRPr="00F56306">
        <w:rPr>
          <w:rFonts w:ascii="Times New Roman" w:eastAsia="Times New Roman" w:hAnsi="Times New Roman" w:cs="Times New Roman"/>
          <w:sz w:val="24"/>
          <w:szCs w:val="24"/>
          <w:lang w:val="es-ES"/>
        </w:rPr>
        <w:t>Capacitar al personal de salud sobre las normas, protocolos y procedimientos específicos sobre salud sexual y reproductiva de las mujeres.</w:t>
      </w:r>
    </w:p>
    <w:p w14:paraId="04A43EE3" w14:textId="77777777" w:rsidR="00F56306" w:rsidRDefault="00282421" w:rsidP="00F56306">
      <w:pPr>
        <w:widowControl w:val="0"/>
        <w:numPr>
          <w:ilvl w:val="0"/>
          <w:numId w:val="14"/>
        </w:numPr>
        <w:pBdr>
          <w:top w:val="nil"/>
          <w:left w:val="nil"/>
          <w:bottom w:val="nil"/>
          <w:right w:val="nil"/>
          <w:between w:val="nil"/>
        </w:pBdr>
        <w:spacing w:before="240" w:after="0" w:line="240" w:lineRule="auto"/>
        <w:ind w:left="142"/>
        <w:contextualSpacing/>
        <w:jc w:val="both"/>
        <w:rPr>
          <w:rFonts w:ascii="Times New Roman" w:eastAsia="Times New Roman" w:hAnsi="Times New Roman" w:cs="Times New Roman"/>
          <w:sz w:val="24"/>
          <w:szCs w:val="24"/>
          <w:lang w:val="es-ES"/>
        </w:rPr>
      </w:pPr>
      <w:r w:rsidRPr="00F56306">
        <w:rPr>
          <w:rFonts w:ascii="Times New Roman" w:eastAsia="Times New Roman" w:hAnsi="Times New Roman" w:cs="Times New Roman"/>
          <w:sz w:val="24"/>
          <w:szCs w:val="24"/>
          <w:lang w:val="es-ES"/>
        </w:rPr>
        <w:t>Garantizar que los sistemas y servicios sanitarios puedan satisfacer las necesidades de salud sexual y reproductivas de los adolescentes, en particular mediante una planificación familiar segura, servicios de aborto y atención psicológica.</w:t>
      </w:r>
    </w:p>
    <w:p w14:paraId="4CB1DDA6" w14:textId="77777777" w:rsidR="002D3247" w:rsidRDefault="00282421" w:rsidP="002D3247">
      <w:pPr>
        <w:widowControl w:val="0"/>
        <w:numPr>
          <w:ilvl w:val="0"/>
          <w:numId w:val="14"/>
        </w:numPr>
        <w:pBdr>
          <w:top w:val="nil"/>
          <w:left w:val="nil"/>
          <w:bottom w:val="nil"/>
          <w:right w:val="nil"/>
          <w:between w:val="nil"/>
        </w:pBdr>
        <w:spacing w:before="240" w:after="0" w:line="240" w:lineRule="auto"/>
        <w:ind w:left="142"/>
        <w:contextualSpacing/>
        <w:jc w:val="both"/>
        <w:rPr>
          <w:rFonts w:ascii="Times New Roman" w:eastAsia="Times New Roman" w:hAnsi="Times New Roman" w:cs="Times New Roman"/>
          <w:sz w:val="24"/>
          <w:szCs w:val="24"/>
          <w:lang w:val="es-ES"/>
        </w:rPr>
      </w:pPr>
      <w:r w:rsidRPr="00F56306">
        <w:rPr>
          <w:rFonts w:ascii="Times New Roman" w:eastAsia="Times New Roman" w:hAnsi="Times New Roman" w:cs="Times New Roman"/>
          <w:sz w:val="24"/>
          <w:szCs w:val="24"/>
          <w:lang w:val="es-ES"/>
        </w:rPr>
        <w:t>Establecer un mecanismo de datos públicos sobre denuncias, investigaciones y sentencias por delitos de aborto u otras conductas vinculadas con emergencias obstétricas.</w:t>
      </w:r>
    </w:p>
    <w:p w14:paraId="7859EF90" w14:textId="77777777" w:rsidR="002D3247" w:rsidRDefault="00282421" w:rsidP="002D3247">
      <w:pPr>
        <w:widowControl w:val="0"/>
        <w:numPr>
          <w:ilvl w:val="0"/>
          <w:numId w:val="14"/>
        </w:numPr>
        <w:pBdr>
          <w:top w:val="nil"/>
          <w:left w:val="nil"/>
          <w:bottom w:val="nil"/>
          <w:right w:val="nil"/>
          <w:between w:val="nil"/>
        </w:pBdr>
        <w:spacing w:before="240" w:after="0" w:line="240" w:lineRule="auto"/>
        <w:ind w:left="142"/>
        <w:contextualSpacing/>
        <w:jc w:val="both"/>
        <w:rPr>
          <w:rFonts w:ascii="Times New Roman" w:eastAsia="Times New Roman" w:hAnsi="Times New Roman" w:cs="Times New Roman"/>
          <w:sz w:val="24"/>
          <w:szCs w:val="24"/>
          <w:lang w:val="es-ES"/>
        </w:rPr>
      </w:pPr>
      <w:r w:rsidRPr="002D3247">
        <w:rPr>
          <w:rFonts w:ascii="Times New Roman" w:eastAsia="Times New Roman" w:hAnsi="Times New Roman" w:cs="Times New Roman"/>
          <w:sz w:val="24"/>
          <w:szCs w:val="24"/>
          <w:lang w:val="es-ES"/>
        </w:rPr>
        <w:t>Tomar las medidas necesarias para garantizar el acceso a la justicia y reparación integral para las mujeres que han sido criminalizadas por hechos relacionados a emergencias obstétricas</w:t>
      </w:r>
    </w:p>
    <w:p w14:paraId="177BCCEC" w14:textId="08C13D51" w:rsidR="00282421" w:rsidRPr="002D3247" w:rsidRDefault="00282421" w:rsidP="002D3247">
      <w:pPr>
        <w:widowControl w:val="0"/>
        <w:numPr>
          <w:ilvl w:val="0"/>
          <w:numId w:val="14"/>
        </w:numPr>
        <w:pBdr>
          <w:top w:val="nil"/>
          <w:left w:val="nil"/>
          <w:bottom w:val="nil"/>
          <w:right w:val="nil"/>
          <w:between w:val="nil"/>
        </w:pBdr>
        <w:spacing w:before="240" w:after="0" w:line="240" w:lineRule="auto"/>
        <w:ind w:left="142"/>
        <w:contextualSpacing/>
        <w:jc w:val="both"/>
        <w:rPr>
          <w:rFonts w:ascii="Times New Roman" w:eastAsia="Times New Roman" w:hAnsi="Times New Roman" w:cs="Times New Roman"/>
          <w:sz w:val="24"/>
          <w:szCs w:val="24"/>
          <w:lang w:val="es-ES"/>
        </w:rPr>
      </w:pPr>
      <w:r w:rsidRPr="002D3247">
        <w:rPr>
          <w:rFonts w:ascii="Times New Roman" w:eastAsia="Times New Roman" w:hAnsi="Times New Roman" w:cs="Times New Roman"/>
          <w:sz w:val="24"/>
          <w:szCs w:val="24"/>
          <w:lang w:val="es-ES"/>
        </w:rPr>
        <w:lastRenderedPageBreak/>
        <w:t>Adoptar las políticas normativas y presupuestales necesarias para prevenir la alta prevalencia de violencia sexual. Así como que time las</w:t>
      </w:r>
      <w:r w:rsidRPr="002D3247">
        <w:rPr>
          <w:rFonts w:ascii="Times New Roman" w:eastAsia="Times New Roman" w:hAnsi="Times New Roman" w:cs="Times New Roman"/>
          <w:sz w:val="24"/>
          <w:szCs w:val="24"/>
          <w:lang w:val="es"/>
        </w:rPr>
        <w:t xml:space="preserve"> medidas de carácter inmediato para prevenir embarazos forzados, sobre todo en niñas víctimas de violencia sexual, mediante la difusión de información científica y de calidad sobre la identificación de violencia sexual y sus rutas de atención. De la misma manera garantizar el acceso e información sobre el aborto como servicio de salud.</w:t>
      </w:r>
    </w:p>
    <w:p w14:paraId="03713502" w14:textId="77777777" w:rsidR="00282421" w:rsidRPr="00EF28CC" w:rsidRDefault="00282421" w:rsidP="007D2C04">
      <w:pPr>
        <w:widowControl w:val="0"/>
        <w:numPr>
          <w:ilvl w:val="0"/>
          <w:numId w:val="14"/>
        </w:numPr>
        <w:spacing w:before="240" w:after="0" w:line="240" w:lineRule="auto"/>
        <w:ind w:left="142"/>
        <w:contextualSpacing/>
        <w:mirrorIndents/>
        <w:jc w:val="both"/>
        <w:rPr>
          <w:rFonts w:ascii="Times New Roman" w:eastAsia="Times New Roman" w:hAnsi="Times New Roman" w:cs="Times New Roman"/>
          <w:sz w:val="24"/>
          <w:szCs w:val="24"/>
          <w:lang w:val="es-CO"/>
        </w:rPr>
      </w:pPr>
      <w:r w:rsidRPr="00EF28CC">
        <w:rPr>
          <w:rFonts w:ascii="Times New Roman" w:eastAsia="Times New Roman" w:hAnsi="Times New Roman" w:cs="Times New Roman"/>
          <w:sz w:val="24"/>
          <w:szCs w:val="24"/>
          <w:lang w:val="es"/>
        </w:rPr>
        <w:t xml:space="preserve">Incluir dentro del protocolo de atención a víctimas de violencia sexual el acceso legal a interrupción del embarazo, incluyendo en los casos de niñas y adolescentes.  </w:t>
      </w:r>
    </w:p>
    <w:p w14:paraId="290B34D7" w14:textId="77777777" w:rsidR="00282421" w:rsidRPr="00EF28CC" w:rsidRDefault="00282421" w:rsidP="007D2C04">
      <w:pPr>
        <w:widowControl w:val="0"/>
        <w:numPr>
          <w:ilvl w:val="0"/>
          <w:numId w:val="14"/>
        </w:numPr>
        <w:pBdr>
          <w:top w:val="nil"/>
          <w:left w:val="nil"/>
          <w:bottom w:val="nil"/>
          <w:right w:val="nil"/>
          <w:between w:val="nil"/>
        </w:pBdr>
        <w:spacing w:before="240" w:after="0" w:line="240" w:lineRule="auto"/>
        <w:ind w:left="142"/>
        <w:contextualSpacing/>
        <w:mirrorIndents/>
        <w:jc w:val="both"/>
        <w:rPr>
          <w:rFonts w:ascii="Times New Roman" w:eastAsia="Times New Roman" w:hAnsi="Times New Roman" w:cs="Times New Roman"/>
          <w:sz w:val="24"/>
          <w:szCs w:val="24"/>
          <w:lang w:val="es-ES"/>
        </w:rPr>
      </w:pPr>
      <w:r w:rsidRPr="00EF28CC">
        <w:rPr>
          <w:rFonts w:ascii="Times New Roman" w:eastAsia="Times New Roman" w:hAnsi="Times New Roman" w:cs="Times New Roman"/>
          <w:sz w:val="24"/>
          <w:szCs w:val="24"/>
          <w:lang w:val="es-ES"/>
        </w:rPr>
        <w:t>Tomar las medidas necesarias para garantizar el acceso a la justicia y reparación integral para las sobrevivientes de violencia sexual y tomar las medidas necesarias de no repetición necesarias para evitar futuras violaciones.</w:t>
      </w:r>
    </w:p>
    <w:p w14:paraId="2DF6EEE7" w14:textId="77777777" w:rsidR="00282421" w:rsidRPr="00EF28CC" w:rsidRDefault="00282421" w:rsidP="007D2C04">
      <w:pPr>
        <w:widowControl w:val="0"/>
        <w:numPr>
          <w:ilvl w:val="0"/>
          <w:numId w:val="14"/>
        </w:numPr>
        <w:pBdr>
          <w:top w:val="nil"/>
          <w:left w:val="nil"/>
          <w:bottom w:val="nil"/>
          <w:right w:val="nil"/>
          <w:between w:val="nil"/>
        </w:pBdr>
        <w:spacing w:before="240" w:after="0" w:line="240" w:lineRule="auto"/>
        <w:ind w:left="142"/>
        <w:contextualSpacing/>
        <w:mirrorIndents/>
        <w:jc w:val="both"/>
        <w:rPr>
          <w:rFonts w:ascii="Times New Roman" w:eastAsia="Times New Roman" w:hAnsi="Times New Roman" w:cs="Times New Roman"/>
          <w:sz w:val="24"/>
          <w:szCs w:val="24"/>
          <w:lang w:val="es-ES"/>
        </w:rPr>
      </w:pPr>
      <w:r w:rsidRPr="00EF28CC">
        <w:rPr>
          <w:rFonts w:ascii="Times New Roman" w:eastAsia="Times New Roman" w:hAnsi="Times New Roman" w:cs="Times New Roman"/>
          <w:sz w:val="24"/>
          <w:szCs w:val="24"/>
          <w:lang w:val="es-ES"/>
        </w:rPr>
        <w:t>Implementar mecanismos de generación, recolección, difusión y análisis de datos estadísticos que permitan identificar los desafíos en el ejercicio de los derechos de las mujeres, incluyendo los que enfrentan por razón de edad, identidad de género, orientación sexual, origen étnico racial, discapacidad, situación de movilidad humana, pobreza, y en contextos de criminalidad organizada, proyectos extractivos y crisis humanitarias.</w:t>
      </w:r>
    </w:p>
    <w:p w14:paraId="7537E2BD" w14:textId="77777777" w:rsidR="00282421" w:rsidRPr="00EF28CC" w:rsidRDefault="00282421" w:rsidP="007D2C04">
      <w:pPr>
        <w:widowControl w:val="0"/>
        <w:numPr>
          <w:ilvl w:val="0"/>
          <w:numId w:val="14"/>
        </w:numPr>
        <w:pBdr>
          <w:top w:val="nil"/>
          <w:left w:val="nil"/>
          <w:bottom w:val="nil"/>
          <w:right w:val="nil"/>
          <w:between w:val="nil"/>
        </w:pBdr>
        <w:spacing w:before="240" w:after="0" w:line="240" w:lineRule="auto"/>
        <w:ind w:left="142"/>
        <w:contextualSpacing/>
        <w:mirrorIndents/>
        <w:jc w:val="both"/>
        <w:rPr>
          <w:rFonts w:ascii="Times New Roman" w:eastAsia="Times New Roman" w:hAnsi="Times New Roman" w:cs="Times New Roman"/>
          <w:sz w:val="24"/>
          <w:szCs w:val="24"/>
          <w:lang w:val="es-ES"/>
        </w:rPr>
      </w:pPr>
      <w:r w:rsidRPr="00EF28CC">
        <w:rPr>
          <w:rFonts w:ascii="Times New Roman" w:eastAsia="Times New Roman" w:hAnsi="Times New Roman" w:cs="Times New Roman"/>
          <w:sz w:val="24"/>
          <w:szCs w:val="24"/>
          <w:lang w:val="es-ES"/>
        </w:rPr>
        <w:t xml:space="preserve">Implementar las medidas administrativas necesarias para asegurar la disponibilidad y acceso de todas las mujeres a la pastilla anticonceptiva de emergencia (PAE). </w:t>
      </w:r>
    </w:p>
    <w:p w14:paraId="7C027028" w14:textId="77777777" w:rsidR="00282421" w:rsidRPr="00EF28CC" w:rsidRDefault="00282421" w:rsidP="007D2C04">
      <w:pPr>
        <w:widowControl w:val="0"/>
        <w:numPr>
          <w:ilvl w:val="0"/>
          <w:numId w:val="14"/>
        </w:numPr>
        <w:spacing w:before="240" w:after="0" w:line="240" w:lineRule="auto"/>
        <w:ind w:left="142"/>
        <w:contextualSpacing/>
        <w:mirrorIndents/>
        <w:jc w:val="both"/>
        <w:rPr>
          <w:rFonts w:ascii="Times New Roman" w:eastAsia="Times New Roman" w:hAnsi="Times New Roman" w:cs="Times New Roman"/>
          <w:sz w:val="24"/>
          <w:szCs w:val="24"/>
          <w:lang w:val="es-ES"/>
        </w:rPr>
      </w:pPr>
      <w:r w:rsidRPr="00EF28CC">
        <w:rPr>
          <w:rFonts w:ascii="Times New Roman" w:eastAsia="Times New Roman" w:hAnsi="Times New Roman" w:cs="Times New Roman"/>
          <w:sz w:val="24"/>
          <w:szCs w:val="24"/>
          <w:lang w:val="es-ES"/>
        </w:rPr>
        <w:t>Adoptar una política pública de educación sexual integral de conformidad con los más altos estándares internacionales en la materia.</w:t>
      </w:r>
    </w:p>
    <w:p w14:paraId="4F02ED6B" w14:textId="5B47584B" w:rsidR="00565EC4" w:rsidRPr="00A920D6" w:rsidRDefault="00282421" w:rsidP="00A920D6">
      <w:pPr>
        <w:widowControl w:val="0"/>
        <w:numPr>
          <w:ilvl w:val="0"/>
          <w:numId w:val="14"/>
        </w:numPr>
        <w:pBdr>
          <w:top w:val="nil"/>
          <w:left w:val="nil"/>
          <w:bottom w:val="nil"/>
          <w:right w:val="nil"/>
          <w:between w:val="nil"/>
        </w:pBdr>
        <w:spacing w:before="240" w:after="0" w:line="240" w:lineRule="auto"/>
        <w:ind w:left="142"/>
        <w:contextualSpacing/>
        <w:mirrorIndents/>
        <w:jc w:val="both"/>
        <w:rPr>
          <w:rFonts w:ascii="Times New Roman" w:eastAsia="Times New Roman" w:hAnsi="Times New Roman" w:cs="Times New Roman"/>
          <w:sz w:val="24"/>
          <w:szCs w:val="24"/>
          <w:lang w:val="es-ES"/>
        </w:rPr>
      </w:pPr>
      <w:r w:rsidRPr="00EF28CC">
        <w:rPr>
          <w:rFonts w:ascii="Times New Roman" w:eastAsia="Times New Roman" w:hAnsi="Times New Roman" w:cs="Times New Roman"/>
          <w:sz w:val="24"/>
          <w:szCs w:val="24"/>
          <w:lang w:val="es-ES"/>
        </w:rPr>
        <w:t xml:space="preserve">Fortalecer el marco normativo de protección de los derechos de las mujeres </w:t>
      </w:r>
    </w:p>
    <w:p w14:paraId="068843EB" w14:textId="77777777" w:rsidR="007F5A0F" w:rsidRPr="00EF28CC" w:rsidRDefault="007F5A0F" w:rsidP="007D2C04">
      <w:pPr>
        <w:pStyle w:val="Recomendaciones"/>
        <w:numPr>
          <w:ilvl w:val="0"/>
          <w:numId w:val="0"/>
        </w:numPr>
        <w:spacing w:before="240" w:after="0" w:line="240" w:lineRule="auto"/>
        <w:contextualSpacing/>
        <w:mirrorIndents/>
        <w:rPr>
          <w:rFonts w:ascii="Times New Roman" w:eastAsia="Times New Roman" w:hAnsi="Times New Roman" w:cs="Times New Roman"/>
          <w:sz w:val="24"/>
          <w:szCs w:val="24"/>
        </w:rPr>
      </w:pPr>
      <w:r w:rsidRPr="00EF28CC">
        <w:rPr>
          <w:rFonts w:ascii="Times New Roman" w:eastAsia="Times New Roman" w:hAnsi="Times New Roman" w:cs="Times New Roman"/>
          <w:sz w:val="24"/>
          <w:szCs w:val="24"/>
        </w:rPr>
        <w:t>Agradecemos el compromiso que tiene este Comité con los derechos reproductivos y con la erradicación de la discriminación y el acceso a los servicios de salud reproductiva de las mujeres y de las niñas en Honduras. Estamos a su entera disposición en caso de preguntas o si desean información adicional.</w:t>
      </w:r>
    </w:p>
    <w:p w14:paraId="34A24BE3" w14:textId="77777777" w:rsidR="007F5A0F" w:rsidRPr="00EF28CC" w:rsidRDefault="007F5A0F" w:rsidP="007F5A0F">
      <w:pPr>
        <w:pStyle w:val="Recomendaciones"/>
        <w:numPr>
          <w:ilvl w:val="0"/>
          <w:numId w:val="0"/>
        </w:numPr>
        <w:spacing w:after="0" w:line="276" w:lineRule="auto"/>
        <w:contextualSpacing/>
        <w:mirrorIndents/>
        <w:rPr>
          <w:rFonts w:ascii="Times New Roman" w:eastAsia="Times New Roman" w:hAnsi="Times New Roman" w:cs="Times New Roman"/>
          <w:sz w:val="24"/>
          <w:szCs w:val="24"/>
        </w:rPr>
      </w:pPr>
    </w:p>
    <w:p w14:paraId="5146222C" w14:textId="77777777" w:rsidR="007F5A0F" w:rsidRPr="00EF28CC" w:rsidRDefault="007F5A0F" w:rsidP="007F5A0F">
      <w:pPr>
        <w:pStyle w:val="Recomendaciones"/>
        <w:numPr>
          <w:ilvl w:val="0"/>
          <w:numId w:val="0"/>
        </w:numPr>
        <w:spacing w:after="0" w:line="276" w:lineRule="auto"/>
        <w:contextualSpacing/>
        <w:mirrorIndents/>
        <w:rPr>
          <w:rFonts w:ascii="Times New Roman" w:eastAsia="Times New Roman" w:hAnsi="Times New Roman" w:cs="Times New Roman"/>
          <w:sz w:val="24"/>
          <w:szCs w:val="24"/>
        </w:rPr>
      </w:pPr>
      <w:r w:rsidRPr="00EF28CC">
        <w:rPr>
          <w:rFonts w:ascii="Times New Roman" w:eastAsia="Times New Roman" w:hAnsi="Times New Roman" w:cs="Times New Roman"/>
          <w:sz w:val="24"/>
          <w:szCs w:val="24"/>
        </w:rPr>
        <w:t xml:space="preserve">Respetuosamente, </w:t>
      </w:r>
    </w:p>
    <w:p w14:paraId="0A99E29B" w14:textId="77777777" w:rsidR="007F5A0F" w:rsidRPr="00EF28CC" w:rsidRDefault="007F5A0F" w:rsidP="007F5A0F">
      <w:pPr>
        <w:widowControl w:val="0"/>
        <w:spacing w:after="0"/>
        <w:contextualSpacing/>
        <w:mirrorIndents/>
        <w:jc w:val="both"/>
        <w:rPr>
          <w:rFonts w:ascii="Times New Roman" w:eastAsia="Times New Roman" w:hAnsi="Times New Roman" w:cs="Times New Roman"/>
          <w:b/>
          <w:bCs/>
          <w:sz w:val="24"/>
          <w:szCs w:val="24"/>
          <w:lang w:val="es-ES"/>
        </w:rPr>
      </w:pPr>
      <w:r w:rsidRPr="00EF28CC">
        <w:rPr>
          <w:rFonts w:ascii="Times New Roman" w:eastAsia="Times New Roman" w:hAnsi="Times New Roman" w:cs="Times New Roman"/>
          <w:b/>
          <w:bCs/>
          <w:sz w:val="24"/>
          <w:szCs w:val="24"/>
          <w:lang w:val="es-ES"/>
        </w:rPr>
        <w:t>Centro de Derechos Reproductivos</w:t>
      </w:r>
    </w:p>
    <w:p w14:paraId="4C970802" w14:textId="77777777" w:rsidR="007F5A0F" w:rsidRPr="00EF28CC" w:rsidRDefault="007F5A0F" w:rsidP="007F5A0F">
      <w:pPr>
        <w:widowControl w:val="0"/>
        <w:spacing w:after="0"/>
        <w:contextualSpacing/>
        <w:mirrorIndents/>
        <w:jc w:val="both"/>
        <w:rPr>
          <w:rFonts w:ascii="Times New Roman" w:eastAsia="Times New Roman" w:hAnsi="Times New Roman" w:cs="Times New Roman"/>
          <w:b/>
          <w:bCs/>
          <w:sz w:val="24"/>
          <w:szCs w:val="24"/>
          <w:lang w:val="es-ES"/>
        </w:rPr>
      </w:pPr>
      <w:r w:rsidRPr="00EF28CC">
        <w:rPr>
          <w:rFonts w:ascii="Times New Roman" w:eastAsia="Times New Roman" w:hAnsi="Times New Roman" w:cs="Times New Roman"/>
          <w:b/>
          <w:bCs/>
          <w:sz w:val="24"/>
          <w:szCs w:val="24"/>
          <w:lang w:val="es-ES"/>
        </w:rPr>
        <w:t>Centro de Derechos de Mujeres</w:t>
      </w:r>
    </w:p>
    <w:p w14:paraId="48BA523C" w14:textId="65B27A71" w:rsidR="00F32DFB" w:rsidRDefault="00F32DFB">
      <w:pPr>
        <w:tabs>
          <w:tab w:val="left" w:pos="3200"/>
        </w:tabs>
        <w:spacing w:after="0" w:line="240" w:lineRule="auto"/>
        <w:rPr>
          <w:lang w:val="es-ES"/>
        </w:rPr>
      </w:pPr>
    </w:p>
    <w:sectPr w:rsidR="00F32DFB">
      <w:headerReference w:type="even" r:id="rId12"/>
      <w:headerReference w:type="default" r:id="rId13"/>
      <w:footerReference w:type="default" r:id="rId14"/>
      <w:headerReference w:type="first" r:id="rId15"/>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3CEDC1" w14:textId="77777777" w:rsidR="00272C9D" w:rsidRDefault="00272C9D">
      <w:pPr>
        <w:spacing w:after="0" w:line="240" w:lineRule="auto"/>
      </w:pPr>
      <w:r>
        <w:separator/>
      </w:r>
    </w:p>
  </w:endnote>
  <w:endnote w:type="continuationSeparator" w:id="0">
    <w:p w14:paraId="3820F9B8" w14:textId="77777777" w:rsidR="00272C9D" w:rsidRDefault="00272C9D">
      <w:pPr>
        <w:spacing w:after="0" w:line="240" w:lineRule="auto"/>
      </w:pPr>
      <w:r>
        <w:continuationSeparator/>
      </w:r>
    </w:p>
  </w:endnote>
  <w:endnote w:type="continuationNotice" w:id="1">
    <w:p w14:paraId="276EE114" w14:textId="77777777" w:rsidR="00272C9D" w:rsidRDefault="00272C9D">
      <w:pPr>
        <w:spacing w:after="0" w:line="240" w:lineRule="auto"/>
      </w:pPr>
    </w:p>
  </w:endnote>
  <w:endnote w:id="2">
    <w:p w14:paraId="36B8DA50" w14:textId="77777777" w:rsidR="00603DB0" w:rsidRPr="00EF28CC" w:rsidRDefault="00603DB0" w:rsidP="00EF28CC">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contextualSpacing/>
        <w:jc w:val="both"/>
        <w:rPr>
          <w:rFonts w:ascii="Times New Roman" w:eastAsia="Times New Roman" w:hAnsi="Times New Roman" w:cs="Times New Roman"/>
          <w:sz w:val="20"/>
          <w:szCs w:val="20"/>
          <w:lang w:val="es-ES"/>
        </w:rPr>
      </w:pPr>
      <w:r w:rsidRPr="00EF28CC">
        <w:rPr>
          <w:rFonts w:ascii="Times New Roman" w:hAnsi="Times New Roman" w:cs="Times New Roman"/>
          <w:sz w:val="20"/>
          <w:szCs w:val="20"/>
          <w:vertAlign w:val="superscript"/>
        </w:rPr>
        <w:endnoteRef/>
      </w:r>
      <w:r w:rsidRPr="00EF28CC">
        <w:rPr>
          <w:rFonts w:ascii="Times New Roman" w:eastAsia="Times New Roman" w:hAnsi="Times New Roman" w:cs="Times New Roman"/>
          <w:sz w:val="20"/>
          <w:szCs w:val="20"/>
          <w:lang w:val="es-ES"/>
        </w:rPr>
        <w:t xml:space="preserve"> CDM es una organización hondureña, feminista, autónoma, crítica y propositiva, que lucha por el fortalecimiento de la autonomía, el ejercicio y el goce de los derechos, la ciudadanía, la igualdad y la justicia de género para las mujeres.</w:t>
      </w:r>
    </w:p>
  </w:endnote>
  <w:endnote w:id="3">
    <w:p w14:paraId="2C3B3D40" w14:textId="77777777" w:rsidR="0D0EADCB" w:rsidRPr="00EF28CC" w:rsidRDefault="0D0EADCB" w:rsidP="00EF28CC">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contextualSpacing/>
        <w:jc w:val="both"/>
        <w:rPr>
          <w:rFonts w:ascii="Times New Roman" w:eastAsia="Times New Roman" w:hAnsi="Times New Roman" w:cs="Times New Roman"/>
          <w:sz w:val="20"/>
          <w:szCs w:val="20"/>
          <w:lang w:val="es-ES"/>
        </w:rPr>
      </w:pPr>
      <w:r w:rsidRPr="00EF28CC">
        <w:rPr>
          <w:rFonts w:ascii="Times New Roman" w:hAnsi="Times New Roman" w:cs="Times New Roman"/>
          <w:sz w:val="20"/>
          <w:szCs w:val="20"/>
          <w:vertAlign w:val="superscript"/>
        </w:rPr>
        <w:endnoteRef/>
      </w:r>
      <w:r w:rsidRPr="00EF28CC">
        <w:rPr>
          <w:rFonts w:ascii="Times New Roman" w:eastAsia="Times New Roman" w:hAnsi="Times New Roman" w:cs="Times New Roman"/>
          <w:sz w:val="20"/>
          <w:szCs w:val="20"/>
          <w:lang w:val="es-ES"/>
        </w:rPr>
        <w:t xml:space="preserve"> CRR es una organización global que trabaja para la protección y respeto de los derechos sexuales y reproductivos de niñas y mujeres en el mundo y utiliza herramientas legales para promover la autonomía reproductiva como un derecho humano fundamental que todos los gobiernos están legalmente obligados a proteger, respetar y garantizar.</w:t>
      </w:r>
    </w:p>
  </w:endnote>
  <w:endnote w:id="4">
    <w:p w14:paraId="77A99A16" w14:textId="212337DF" w:rsidR="00F32DFB" w:rsidRPr="00EF28CC" w:rsidRDefault="007E62E7" w:rsidP="00EF28CC">
      <w:pPr>
        <w:pStyle w:val="EndnoteText"/>
        <w:spacing w:after="120"/>
        <w:contextualSpacing/>
        <w:jc w:val="both"/>
        <w:rPr>
          <w:lang w:val="es-ES"/>
        </w:rPr>
      </w:pPr>
      <w:r w:rsidRPr="00EF28CC">
        <w:rPr>
          <w:rStyle w:val="EndnoteReference"/>
        </w:rPr>
        <w:endnoteRef/>
      </w:r>
      <w:r w:rsidRPr="00EF28CC">
        <w:rPr>
          <w:lang w:val="es-ES"/>
        </w:rPr>
        <w:t xml:space="preserve"> Centro de Derechos Reproductivos. </w:t>
      </w:r>
      <w:hyperlink r:id="rId1" w:tooltip="http://www.worldabortionlaws.com/map" w:history="1">
        <w:proofErr w:type="spellStart"/>
        <w:r w:rsidRPr="00EF28CC">
          <w:rPr>
            <w:rStyle w:val="Hyperlink"/>
            <w:color w:val="auto"/>
            <w:lang w:val="es-ES"/>
          </w:rPr>
          <w:t>The</w:t>
        </w:r>
        <w:proofErr w:type="spellEnd"/>
        <w:r w:rsidRPr="00EF28CC">
          <w:rPr>
            <w:rStyle w:val="Hyperlink"/>
            <w:color w:val="auto"/>
            <w:lang w:val="es-ES"/>
          </w:rPr>
          <w:t xml:space="preserve"> </w:t>
        </w:r>
        <w:proofErr w:type="spellStart"/>
        <w:r w:rsidRPr="00EF28CC">
          <w:rPr>
            <w:rStyle w:val="Hyperlink"/>
            <w:color w:val="auto"/>
            <w:lang w:val="es-ES"/>
          </w:rPr>
          <w:t>World's</w:t>
        </w:r>
        <w:proofErr w:type="spellEnd"/>
        <w:r w:rsidRPr="00EF28CC">
          <w:rPr>
            <w:rStyle w:val="Hyperlink"/>
            <w:color w:val="auto"/>
            <w:lang w:val="es-ES"/>
          </w:rPr>
          <w:t xml:space="preserve"> </w:t>
        </w:r>
        <w:proofErr w:type="spellStart"/>
        <w:r w:rsidRPr="00EF28CC">
          <w:rPr>
            <w:rStyle w:val="Hyperlink"/>
            <w:color w:val="auto"/>
            <w:lang w:val="es-ES"/>
          </w:rPr>
          <w:t>Abortion</w:t>
        </w:r>
        <w:proofErr w:type="spellEnd"/>
        <w:r w:rsidRPr="00EF28CC">
          <w:rPr>
            <w:rStyle w:val="Hyperlink"/>
            <w:color w:val="auto"/>
            <w:lang w:val="es-ES"/>
          </w:rPr>
          <w:t xml:space="preserve"> </w:t>
        </w:r>
        <w:proofErr w:type="spellStart"/>
        <w:r w:rsidRPr="00EF28CC">
          <w:rPr>
            <w:rStyle w:val="Hyperlink"/>
            <w:color w:val="auto"/>
            <w:lang w:val="es-ES"/>
          </w:rPr>
          <w:t>Laws</w:t>
        </w:r>
        <w:proofErr w:type="spellEnd"/>
      </w:hyperlink>
      <w:r w:rsidRPr="00EF28CC">
        <w:rPr>
          <w:lang w:val="es-ES"/>
        </w:rPr>
        <w:t xml:space="preserve"> (27 de septiembre de 2022)</w:t>
      </w:r>
      <w:r w:rsidR="000F5AC3" w:rsidRPr="00EF28CC">
        <w:rPr>
          <w:lang w:val="es-ES"/>
        </w:rPr>
        <w:t xml:space="preserve"> </w:t>
      </w:r>
    </w:p>
  </w:endnote>
  <w:endnote w:id="5">
    <w:p w14:paraId="40893607" w14:textId="4FA5CAB3" w:rsidR="008D640A" w:rsidRPr="00EF28CC" w:rsidRDefault="008D640A" w:rsidP="00EF28CC">
      <w:pPr>
        <w:pStyle w:val="EndnoteText"/>
        <w:spacing w:after="0"/>
        <w:contextualSpacing/>
        <w:jc w:val="both"/>
        <w:rPr>
          <w:lang w:val="es-MX"/>
        </w:rPr>
      </w:pPr>
      <w:r w:rsidRPr="00EF28CC">
        <w:rPr>
          <w:rStyle w:val="EndnoteReference"/>
        </w:rPr>
        <w:endnoteRef/>
      </w:r>
      <w:r w:rsidRPr="00EF28CC">
        <w:rPr>
          <w:lang w:val="es-ES"/>
        </w:rPr>
        <w:t xml:space="preserve"> </w:t>
      </w:r>
      <w:r w:rsidR="00210861" w:rsidRPr="00EF28CC">
        <w:rPr>
          <w:lang w:val="es-ES"/>
        </w:rPr>
        <w:t xml:space="preserve">Diario Oficial de la República de Honduras. </w:t>
      </w:r>
      <w:hyperlink r:id="rId2" w:history="1">
        <w:r w:rsidR="00210861" w:rsidRPr="00EF28CC">
          <w:rPr>
            <w:rStyle w:val="Hyperlink"/>
            <w:color w:val="auto"/>
            <w:lang w:val="es-ES"/>
          </w:rPr>
          <w:t>Código Penal de 2017</w:t>
        </w:r>
      </w:hyperlink>
      <w:r w:rsidR="00210861" w:rsidRPr="00EF28CC">
        <w:rPr>
          <w:lang w:val="es-ES"/>
        </w:rPr>
        <w:t>. (25 de junio de 2020).</w:t>
      </w:r>
    </w:p>
  </w:endnote>
  <w:endnote w:id="6">
    <w:p w14:paraId="6AEA8414" w14:textId="2B092757" w:rsidR="001C61AF" w:rsidRPr="00EF28CC" w:rsidRDefault="001C61AF" w:rsidP="00EF28CC">
      <w:pPr>
        <w:pStyle w:val="EndnoteText"/>
        <w:spacing w:after="0"/>
        <w:contextualSpacing/>
        <w:jc w:val="both"/>
        <w:rPr>
          <w:lang w:val="es-MX"/>
        </w:rPr>
      </w:pPr>
      <w:r w:rsidRPr="00EF28CC">
        <w:rPr>
          <w:rStyle w:val="EndnoteReference"/>
        </w:rPr>
        <w:endnoteRef/>
      </w:r>
      <w:r w:rsidRPr="00EF28CC">
        <w:rPr>
          <w:lang w:val="es-ES"/>
        </w:rPr>
        <w:t xml:space="preserve"> </w:t>
      </w:r>
      <w:r w:rsidR="002A612A" w:rsidRPr="00EF28CC">
        <w:rPr>
          <w:lang w:val="es-ES"/>
        </w:rPr>
        <w:t xml:space="preserve">Diario Oficial de la República de Honduras. </w:t>
      </w:r>
      <w:hyperlink r:id="rId3" w:history="1">
        <w:r w:rsidR="002A612A" w:rsidRPr="00EF28CC">
          <w:rPr>
            <w:rStyle w:val="Hyperlink"/>
            <w:color w:val="auto"/>
            <w:lang w:val="es-ES"/>
          </w:rPr>
          <w:t>Decreto 3-2021</w:t>
        </w:r>
      </w:hyperlink>
      <w:r w:rsidR="002A612A" w:rsidRPr="00EF28CC">
        <w:rPr>
          <w:lang w:val="es-ES"/>
        </w:rPr>
        <w:t xml:space="preserve"> (</w:t>
      </w:r>
      <w:r w:rsidR="00603DB0" w:rsidRPr="00EF28CC">
        <w:rPr>
          <w:lang w:val="es-ES"/>
        </w:rPr>
        <w:t>28 enero 2021)</w:t>
      </w:r>
    </w:p>
  </w:endnote>
  <w:endnote w:id="7">
    <w:p w14:paraId="61B73068" w14:textId="24F39E72" w:rsidR="00F32DFB" w:rsidRPr="00EF28CC" w:rsidRDefault="007E62E7" w:rsidP="00EF28CC">
      <w:pPr>
        <w:pStyle w:val="EndnoteText"/>
        <w:spacing w:before="120" w:after="120"/>
        <w:contextualSpacing/>
        <w:jc w:val="both"/>
        <w:rPr>
          <w:lang w:val="es-ES"/>
        </w:rPr>
      </w:pPr>
      <w:r w:rsidRPr="00EF28CC">
        <w:rPr>
          <w:rStyle w:val="EndnoteReference"/>
        </w:rPr>
        <w:endnoteRef/>
      </w:r>
      <w:r w:rsidRPr="00EF28CC">
        <w:rPr>
          <w:lang w:val="es-ES"/>
        </w:rPr>
        <w:t xml:space="preserve"> Gobierno de la República de Honduras, Secretaría de Salud, </w:t>
      </w:r>
      <w:hyperlink r:id="rId4" w:history="1">
        <w:r w:rsidRPr="00EF28CC">
          <w:rPr>
            <w:rStyle w:val="Hyperlink"/>
            <w:color w:val="auto"/>
            <w:lang w:val="es-ES"/>
          </w:rPr>
          <w:t>Política Nacional de Salud Sexual y Reproductiva</w:t>
        </w:r>
      </w:hyperlink>
      <w:r w:rsidRPr="00EF28CC">
        <w:rPr>
          <w:lang w:val="es-ES"/>
        </w:rPr>
        <w:t xml:space="preserve"> (2016), p 42; Centro de Derechos Reproductivos y Centro de Derechos de Mujeres, </w:t>
      </w:r>
      <w:hyperlink r:id="rId5" w:tooltip="https://tbinternet.ohchr.org/_layouts/15/treatybodyexternal/Download.aspx?symbolno=INT%2FCEDAW%2FCSS%2FHND%2F50173&amp;Lang=es" w:history="1">
        <w:r w:rsidRPr="00EF28CC">
          <w:rPr>
            <w:rStyle w:val="Hyperlink"/>
            <w:color w:val="auto"/>
            <w:lang w:val="es-ES"/>
          </w:rPr>
          <w:t>Reporte independiente en el marco del 83 periodo de sesiones del Comité CEDAW sobre Honduras</w:t>
        </w:r>
      </w:hyperlink>
      <w:r w:rsidRPr="00EF28CC">
        <w:rPr>
          <w:lang w:val="es-ES"/>
        </w:rPr>
        <w:t xml:space="preserve">, 12 de septiembre de 2022, ¶17. </w:t>
      </w:r>
    </w:p>
  </w:endnote>
  <w:endnote w:id="8">
    <w:p w14:paraId="4BC8E072" w14:textId="77777777" w:rsidR="00F32DFB" w:rsidRPr="00EF28CC" w:rsidRDefault="007E62E7" w:rsidP="00EF28CC">
      <w:pPr>
        <w:pStyle w:val="EndnoteText"/>
        <w:spacing w:before="120" w:after="120"/>
        <w:contextualSpacing/>
        <w:jc w:val="both"/>
        <w:rPr>
          <w:lang w:val="es-ES"/>
        </w:rPr>
      </w:pPr>
      <w:r w:rsidRPr="00EF28CC">
        <w:rPr>
          <w:rStyle w:val="EndnoteReference"/>
        </w:rPr>
        <w:endnoteRef/>
      </w:r>
      <w:r w:rsidRPr="00EF28CC">
        <w:rPr>
          <w:lang w:val="es-ES"/>
        </w:rPr>
        <w:t xml:space="preserve"> Alba Ubieto Oliván, "</w:t>
      </w:r>
      <w:hyperlink r:id="rId6" w:tooltip="https://rebelion.org/el-congreso-nacional-hondureno-mantiene-la-penalizacion-total-del-aborto/" w:history="1">
        <w:r w:rsidRPr="00EF28CC">
          <w:rPr>
            <w:rStyle w:val="Hyperlink"/>
            <w:color w:val="auto"/>
            <w:lang w:val="es-ES"/>
          </w:rPr>
          <w:t>El Congreso Nacional Hondureño mantiene la penalización total del aborto</w:t>
        </w:r>
      </w:hyperlink>
      <w:r w:rsidRPr="00EF28CC">
        <w:rPr>
          <w:lang w:val="es-ES"/>
        </w:rPr>
        <w:t>", Rebelión (18 de mayo de 2017)</w:t>
      </w:r>
    </w:p>
  </w:endnote>
  <w:endnote w:id="9">
    <w:p w14:paraId="2FDD25FD" w14:textId="2B45D8FF" w:rsidR="002B32C4" w:rsidRPr="00EF28CC" w:rsidRDefault="002B32C4" w:rsidP="00EF28CC">
      <w:pPr>
        <w:pStyle w:val="EndnoteText"/>
        <w:spacing w:after="0"/>
        <w:contextualSpacing/>
        <w:jc w:val="both"/>
        <w:rPr>
          <w:lang w:val="es-ES"/>
        </w:rPr>
      </w:pPr>
      <w:r w:rsidRPr="00EF28CC">
        <w:rPr>
          <w:rStyle w:val="EndnoteReference"/>
        </w:rPr>
        <w:endnoteRef/>
      </w:r>
      <w:r w:rsidRPr="00EF28CC">
        <w:rPr>
          <w:lang w:val="es-ES"/>
        </w:rPr>
        <w:t xml:space="preserve"> </w:t>
      </w:r>
      <w:r w:rsidR="007B5C17" w:rsidRPr="00EF28CC">
        <w:rPr>
          <w:lang w:val="es-ES"/>
        </w:rPr>
        <w:t xml:space="preserve">Diario Oficial de la República de Honduras. </w:t>
      </w:r>
      <w:hyperlink r:id="rId7" w:history="1">
        <w:r w:rsidR="007B5C17" w:rsidRPr="00EF28CC">
          <w:rPr>
            <w:rStyle w:val="Hyperlink"/>
            <w:color w:val="auto"/>
            <w:lang w:val="es-ES"/>
          </w:rPr>
          <w:t>Código Penal de 2017</w:t>
        </w:r>
      </w:hyperlink>
      <w:r w:rsidR="007B5C17" w:rsidRPr="00EF28CC">
        <w:rPr>
          <w:lang w:val="es-ES"/>
        </w:rPr>
        <w:t>. (25 de junio de 2020). art. 196</w:t>
      </w:r>
    </w:p>
  </w:endnote>
  <w:endnote w:id="10">
    <w:p w14:paraId="74574702" w14:textId="1A412143" w:rsidR="00F32DFB" w:rsidRPr="00EF28CC" w:rsidRDefault="007E62E7" w:rsidP="00EF28CC">
      <w:pPr>
        <w:pStyle w:val="EndnoteText"/>
        <w:spacing w:before="120" w:after="120"/>
        <w:contextualSpacing/>
        <w:jc w:val="both"/>
        <w:rPr>
          <w:lang w:val="es-ES"/>
        </w:rPr>
      </w:pPr>
      <w:r w:rsidRPr="00EF28CC">
        <w:rPr>
          <w:rStyle w:val="EndnoteReference"/>
        </w:rPr>
        <w:endnoteRef/>
      </w:r>
      <w:r w:rsidRPr="00EF28CC">
        <w:rPr>
          <w:lang w:val="es-ES"/>
        </w:rPr>
        <w:t xml:space="preserve"> </w:t>
      </w:r>
      <w:r w:rsidR="007B5C17" w:rsidRPr="00EF28CC">
        <w:rPr>
          <w:lang w:val="es-ES"/>
        </w:rPr>
        <w:t>Ibid.</w:t>
      </w:r>
    </w:p>
  </w:endnote>
  <w:endnote w:id="11">
    <w:p w14:paraId="534C1083" w14:textId="77777777" w:rsidR="00F32DFB" w:rsidRPr="00EF28CC" w:rsidRDefault="007E62E7" w:rsidP="00EF28CC">
      <w:pPr>
        <w:pStyle w:val="EndnoteText"/>
        <w:spacing w:before="120" w:after="120"/>
        <w:contextualSpacing/>
        <w:jc w:val="both"/>
        <w:rPr>
          <w:lang w:val="es-ES"/>
        </w:rPr>
      </w:pPr>
      <w:r w:rsidRPr="00EF28CC">
        <w:rPr>
          <w:rStyle w:val="EndnoteReference"/>
        </w:rPr>
        <w:endnoteRef/>
      </w:r>
      <w:r w:rsidRPr="00EF28CC">
        <w:rPr>
          <w:lang w:val="es-ES"/>
        </w:rPr>
        <w:t xml:space="preserve"> Se imponen penas más largas por abortos realizados sin el consentimiento de la mujer o que impliquen violencia, intimidación o engaño.</w:t>
      </w:r>
    </w:p>
  </w:endnote>
  <w:endnote w:id="12">
    <w:p w14:paraId="782AA09E" w14:textId="53EBCDE5" w:rsidR="00973A72" w:rsidRPr="00EF28CC" w:rsidRDefault="00973A72" w:rsidP="00EF28CC">
      <w:pPr>
        <w:pStyle w:val="EndnoteText"/>
        <w:spacing w:after="0"/>
        <w:contextualSpacing/>
        <w:jc w:val="both"/>
        <w:rPr>
          <w:lang w:val="es-ES"/>
        </w:rPr>
      </w:pPr>
      <w:r w:rsidRPr="00EF28CC">
        <w:rPr>
          <w:rStyle w:val="EndnoteReference"/>
        </w:rPr>
        <w:endnoteRef/>
      </w:r>
      <w:r w:rsidRPr="00EF28CC">
        <w:rPr>
          <w:lang w:val="es-ES"/>
        </w:rPr>
        <w:t xml:space="preserve"> Redacción BBC News Mundo. </w:t>
      </w:r>
      <w:hyperlink r:id="rId8" w:history="1">
        <w:r w:rsidRPr="00EF28CC">
          <w:rPr>
            <w:rStyle w:val="Hyperlink"/>
            <w:color w:val="auto"/>
            <w:lang w:val="es-ES"/>
          </w:rPr>
          <w:t>Aborto en Honduras: el Congreso blinda la prohibición absoluta del aborto para impedir su legalización</w:t>
        </w:r>
      </w:hyperlink>
      <w:r w:rsidRPr="00EF28CC">
        <w:rPr>
          <w:rStyle w:val="Hyperlink"/>
          <w:color w:val="auto"/>
          <w:lang w:val="es-ES"/>
        </w:rPr>
        <w:t>,</w:t>
      </w:r>
      <w:r w:rsidRPr="00EF28CC">
        <w:rPr>
          <w:lang w:val="es-ES"/>
        </w:rPr>
        <w:t xml:space="preserve"> (21 enero 2021).</w:t>
      </w:r>
    </w:p>
  </w:endnote>
  <w:endnote w:id="13">
    <w:p w14:paraId="45951991" w14:textId="77777777" w:rsidR="00F32DFB" w:rsidRPr="00EF28CC" w:rsidRDefault="007E62E7" w:rsidP="00EF28CC">
      <w:pPr>
        <w:pStyle w:val="EndnoteText"/>
        <w:spacing w:before="120" w:after="120"/>
        <w:contextualSpacing/>
        <w:jc w:val="both"/>
        <w:rPr>
          <w:lang w:val="es-ES"/>
        </w:rPr>
      </w:pPr>
      <w:r w:rsidRPr="00EF28CC">
        <w:rPr>
          <w:rStyle w:val="EndnoteReference"/>
        </w:rPr>
        <w:endnoteRef/>
      </w:r>
      <w:r w:rsidRPr="00EF28CC">
        <w:rPr>
          <w:lang w:val="es-ES"/>
        </w:rPr>
        <w:t xml:space="preserve"> Congreso Nacional de la República de Honduras, </w:t>
      </w:r>
      <w:hyperlink r:id="rId9" w:tooltip="https://www.tsc.gob.hn/web/leyes/Decreto-192-2020.pdf" w:history="1">
        <w:r w:rsidRPr="00EF28CC">
          <w:rPr>
            <w:rStyle w:val="Hyperlink"/>
            <w:color w:val="auto"/>
            <w:lang w:val="es-ES"/>
          </w:rPr>
          <w:t>Gaceta Oficial No. 35.494. Decreto No. 192-2020</w:t>
        </w:r>
      </w:hyperlink>
      <w:r w:rsidRPr="00EF28CC">
        <w:rPr>
          <w:lang w:val="es-ES"/>
        </w:rPr>
        <w:t xml:space="preserve"> (última consulta: 16 de mayo de 2024)</w:t>
      </w:r>
    </w:p>
  </w:endnote>
  <w:endnote w:id="14">
    <w:p w14:paraId="6E0D9CC2" w14:textId="7F7BFDB3" w:rsidR="00973A72" w:rsidRPr="00EF28CC" w:rsidRDefault="00973A72" w:rsidP="00EF28CC">
      <w:pPr>
        <w:pStyle w:val="EndnoteText"/>
        <w:spacing w:after="0"/>
        <w:contextualSpacing/>
        <w:jc w:val="both"/>
        <w:rPr>
          <w:lang w:val="es-ES"/>
        </w:rPr>
      </w:pPr>
      <w:r w:rsidRPr="00EF28CC">
        <w:rPr>
          <w:rStyle w:val="EndnoteReference"/>
        </w:rPr>
        <w:endnoteRef/>
      </w:r>
      <w:r w:rsidRPr="00EF28CC">
        <w:rPr>
          <w:lang w:val="es-ES"/>
        </w:rPr>
        <w:t xml:space="preserve"> </w:t>
      </w:r>
      <w:r w:rsidR="00283EA3" w:rsidRPr="00EF28CC">
        <w:rPr>
          <w:lang w:val="es-ES"/>
        </w:rPr>
        <w:t xml:space="preserve">Asamblea Nacional Constituyente. </w:t>
      </w:r>
      <w:r w:rsidR="00ED2BFB" w:rsidRPr="00EF28CC">
        <w:rPr>
          <w:lang w:val="es-ES"/>
        </w:rPr>
        <w:t xml:space="preserve">Constitución de la República. </w:t>
      </w:r>
      <w:hyperlink r:id="rId10" w:history="1">
        <w:r w:rsidR="00ED2BFB" w:rsidRPr="00EF28CC">
          <w:rPr>
            <w:rStyle w:val="Hyperlink"/>
            <w:color w:val="auto"/>
            <w:lang w:val="es-ES"/>
          </w:rPr>
          <w:t>Decreto No.131</w:t>
        </w:r>
      </w:hyperlink>
      <w:r w:rsidR="00ED2BFB" w:rsidRPr="00EF28CC">
        <w:rPr>
          <w:lang w:val="es-ES"/>
        </w:rPr>
        <w:t xml:space="preserve"> (</w:t>
      </w:r>
      <w:r w:rsidR="00C52287" w:rsidRPr="00EF28CC">
        <w:rPr>
          <w:lang w:val="es-ES"/>
        </w:rPr>
        <w:t>11 enero 1982)</w:t>
      </w:r>
      <w:r w:rsidR="00035F3F" w:rsidRPr="00EF28CC">
        <w:rPr>
          <w:lang w:val="es-ES"/>
        </w:rPr>
        <w:t>. Artículo 373.</w:t>
      </w:r>
    </w:p>
  </w:endnote>
  <w:endnote w:id="15">
    <w:p w14:paraId="04029F2E" w14:textId="77777777" w:rsidR="00F32DFB" w:rsidRPr="00EF28CC" w:rsidRDefault="007E62E7" w:rsidP="00EF28CC">
      <w:pPr>
        <w:pStyle w:val="EndnoteText"/>
        <w:spacing w:before="120" w:after="120"/>
        <w:contextualSpacing/>
        <w:jc w:val="both"/>
        <w:rPr>
          <w:lang w:val="es-ES"/>
        </w:rPr>
      </w:pPr>
      <w:r w:rsidRPr="00EF28CC">
        <w:rPr>
          <w:rStyle w:val="EndnoteReference"/>
        </w:rPr>
        <w:endnoteRef/>
      </w:r>
      <w:r w:rsidRPr="00EF28CC">
        <w:rPr>
          <w:lang w:val="es-ES"/>
        </w:rPr>
        <w:t xml:space="preserve"> </w:t>
      </w:r>
      <w:proofErr w:type="spellStart"/>
      <w:r w:rsidRPr="00EF28CC">
        <w:rPr>
          <w:lang w:val="es-ES"/>
        </w:rPr>
        <w:t>Breidy</w:t>
      </w:r>
      <w:proofErr w:type="spellEnd"/>
      <w:r w:rsidRPr="00EF28CC">
        <w:rPr>
          <w:lang w:val="es-ES"/>
        </w:rPr>
        <w:t xml:space="preserve"> Hernández. </w:t>
      </w:r>
      <w:hyperlink r:id="rId11" w:tooltip="https://criterio.hn/csj-anterior-declaro-sin-lugar-despenalizacion-del-aborto-por-tres-causales/" w:history="1">
        <w:r w:rsidRPr="00EF28CC">
          <w:rPr>
            <w:rStyle w:val="Hyperlink"/>
            <w:color w:val="auto"/>
            <w:lang w:val="es-ES"/>
          </w:rPr>
          <w:t>CSJ anterior declaró sin lugar despenalización del aborto por tres causales</w:t>
        </w:r>
      </w:hyperlink>
      <w:r w:rsidRPr="00EF28CC">
        <w:rPr>
          <w:lang w:val="es-ES"/>
        </w:rPr>
        <w:t xml:space="preserve"> (21 de febrero de 2023)</w:t>
      </w:r>
    </w:p>
  </w:endnote>
  <w:endnote w:id="16">
    <w:p w14:paraId="73A15078" w14:textId="0E779048" w:rsidR="00F32DFB" w:rsidRPr="00EF28CC" w:rsidRDefault="007E62E7" w:rsidP="00EF28CC">
      <w:pPr>
        <w:pStyle w:val="EndnoteText"/>
        <w:spacing w:before="120" w:after="120"/>
        <w:contextualSpacing/>
        <w:jc w:val="both"/>
        <w:rPr>
          <w:lang w:val="es-ES"/>
        </w:rPr>
      </w:pPr>
      <w:r w:rsidRPr="00EF28CC">
        <w:rPr>
          <w:rStyle w:val="EndnoteReference"/>
        </w:rPr>
        <w:endnoteRef/>
      </w:r>
      <w:r w:rsidRPr="00EF28CC">
        <w:t xml:space="preserve"> Human Rights Watch </w:t>
      </w:r>
      <w:hyperlink r:id="rId12" w:tooltip="https://www.hrw.org/news/2023/11/10/honduras-joint-submission-committee-rights-child-97th-pre-sessional-working-group" w:history="1">
        <w:r w:rsidRPr="00EF28CC">
          <w:rPr>
            <w:rStyle w:val="Hyperlink"/>
            <w:color w:val="auto"/>
          </w:rPr>
          <w:t>Honduras: Joint Submission to the Committee on the Rights of the Child at the 97th Pre-Sessional Working Group</w:t>
        </w:r>
      </w:hyperlink>
      <w:r w:rsidRPr="00EF28CC">
        <w:t xml:space="preserve"> (</w:t>
      </w:r>
      <w:proofErr w:type="spellStart"/>
      <w:r w:rsidRPr="00EF28CC">
        <w:t>noviembre</w:t>
      </w:r>
      <w:proofErr w:type="spellEnd"/>
      <w:r w:rsidRPr="00EF28CC">
        <w:t xml:space="preserve"> de 2023). </w:t>
      </w:r>
      <w:r w:rsidR="004E3124" w:rsidRPr="00EF28CC">
        <w:rPr>
          <w:lang w:val="es-ES"/>
        </w:rPr>
        <w:t xml:space="preserve">Ver también, Somos Muchas. </w:t>
      </w:r>
      <w:hyperlink r:id="rId13" w:history="1">
        <w:r w:rsidR="004E3124" w:rsidRPr="00EF28CC">
          <w:rPr>
            <w:rStyle w:val="Hyperlink"/>
            <w:color w:val="auto"/>
            <w:lang w:val="es-ES"/>
          </w:rPr>
          <w:t>Una Corte Suprema de Justicia insensible a los derechos humanos de las mujeres</w:t>
        </w:r>
      </w:hyperlink>
      <w:r w:rsidR="004E3124" w:rsidRPr="00EF28CC">
        <w:rPr>
          <w:lang w:val="es-ES"/>
        </w:rPr>
        <w:t xml:space="preserve"> (</w:t>
      </w:r>
      <w:r w:rsidR="00A6072D" w:rsidRPr="00EF28CC">
        <w:rPr>
          <w:lang w:val="es-ES"/>
        </w:rPr>
        <w:t>28 agosto 2023).</w:t>
      </w:r>
    </w:p>
  </w:endnote>
  <w:endnote w:id="17">
    <w:p w14:paraId="25819107" w14:textId="77777777" w:rsidR="00F32DFB" w:rsidRPr="00EF28CC" w:rsidRDefault="007E62E7" w:rsidP="00EF28CC">
      <w:pPr>
        <w:pStyle w:val="EndnoteText"/>
        <w:spacing w:before="120" w:after="120"/>
        <w:contextualSpacing/>
        <w:jc w:val="both"/>
        <w:rPr>
          <w:lang w:val="es-ES"/>
        </w:rPr>
      </w:pPr>
      <w:r w:rsidRPr="00EF28CC">
        <w:rPr>
          <w:rStyle w:val="EndnoteReference"/>
        </w:rPr>
        <w:endnoteRef/>
      </w:r>
      <w:r w:rsidRPr="00EF28CC">
        <w:rPr>
          <w:lang w:val="es-ES"/>
        </w:rPr>
        <w:t xml:space="preserve"> Organización Mundial de la Salud. </w:t>
      </w:r>
      <w:hyperlink r:id="rId14" w:tooltip="https://www.who.int/es/publications/i/item/9789240039483" w:history="1">
        <w:r w:rsidRPr="00EF28CC">
          <w:rPr>
            <w:rStyle w:val="Hyperlink"/>
            <w:color w:val="auto"/>
            <w:lang w:val="es-ES"/>
          </w:rPr>
          <w:t>Directrices sobre la atención para el aborto</w:t>
        </w:r>
      </w:hyperlink>
      <w:r w:rsidRPr="00EF28CC">
        <w:rPr>
          <w:lang w:val="es-ES"/>
        </w:rPr>
        <w:t xml:space="preserve"> (8 de marzo de 2022).</w:t>
      </w:r>
    </w:p>
  </w:endnote>
  <w:endnote w:id="18">
    <w:p w14:paraId="76A57136" w14:textId="35FDEBC7" w:rsidR="00F32DFB" w:rsidRPr="00A57A41" w:rsidRDefault="007E62E7" w:rsidP="00EF28CC">
      <w:pPr>
        <w:pStyle w:val="EndnoteText"/>
        <w:spacing w:before="120" w:after="120"/>
        <w:contextualSpacing/>
        <w:jc w:val="both"/>
        <w:rPr>
          <w:lang w:val="es-CO"/>
        </w:rPr>
      </w:pPr>
      <w:r w:rsidRPr="00EF28CC">
        <w:rPr>
          <w:rStyle w:val="EndnoteReference"/>
        </w:rPr>
        <w:endnoteRef/>
      </w:r>
      <w:r w:rsidRPr="00A57A41">
        <w:rPr>
          <w:lang w:val="es-CO"/>
        </w:rPr>
        <w:t xml:space="preserve"> </w:t>
      </w:r>
      <w:r w:rsidR="00DE2E06" w:rsidRPr="00A57A41">
        <w:rPr>
          <w:lang w:val="es-CO"/>
        </w:rPr>
        <w:t xml:space="preserve">Ibid. </w:t>
      </w:r>
      <w:r w:rsidRPr="00A57A41">
        <w:rPr>
          <w:lang w:val="es-CO"/>
        </w:rPr>
        <w:t>p. 24.</w:t>
      </w:r>
    </w:p>
  </w:endnote>
  <w:endnote w:id="19">
    <w:p w14:paraId="43F5233F" w14:textId="532E3184" w:rsidR="00F32DFB" w:rsidRPr="00A57A41" w:rsidRDefault="007E62E7" w:rsidP="00EF28CC">
      <w:pPr>
        <w:pStyle w:val="EndnoteText"/>
        <w:spacing w:before="120" w:after="120"/>
        <w:contextualSpacing/>
        <w:jc w:val="both"/>
        <w:rPr>
          <w:lang w:val="es-CO"/>
        </w:rPr>
      </w:pPr>
      <w:r w:rsidRPr="00EF28CC">
        <w:rPr>
          <w:rStyle w:val="EndnoteReference"/>
        </w:rPr>
        <w:endnoteRef/>
      </w:r>
      <w:r w:rsidRPr="00A57A41">
        <w:rPr>
          <w:lang w:val="es-CO"/>
        </w:rPr>
        <w:t xml:space="preserve"> </w:t>
      </w:r>
      <w:r w:rsidR="0047568A" w:rsidRPr="00A57A41">
        <w:rPr>
          <w:lang w:val="es-CO"/>
        </w:rPr>
        <w:t xml:space="preserve">Ibid. </w:t>
      </w:r>
      <w:r w:rsidRPr="00A57A41">
        <w:rPr>
          <w:lang w:val="es-CO"/>
        </w:rPr>
        <w:t xml:space="preserve"> p. 25.</w:t>
      </w:r>
    </w:p>
  </w:endnote>
  <w:endnote w:id="20">
    <w:p w14:paraId="2E5600D4" w14:textId="60936466" w:rsidR="00F32DFB" w:rsidRPr="00A57A41" w:rsidRDefault="007E62E7" w:rsidP="00EF28CC">
      <w:pPr>
        <w:pStyle w:val="EndnoteText"/>
        <w:spacing w:before="120" w:after="120"/>
        <w:contextualSpacing/>
        <w:jc w:val="both"/>
        <w:rPr>
          <w:lang w:val="es-CO"/>
        </w:rPr>
      </w:pPr>
      <w:r w:rsidRPr="00EF28CC">
        <w:rPr>
          <w:rStyle w:val="EndnoteReference"/>
        </w:rPr>
        <w:endnoteRef/>
      </w:r>
      <w:r w:rsidRPr="00A57A41">
        <w:rPr>
          <w:lang w:val="es-CO"/>
        </w:rPr>
        <w:t xml:space="preserve"> </w:t>
      </w:r>
      <w:r w:rsidR="0047568A" w:rsidRPr="00A57A41">
        <w:rPr>
          <w:lang w:val="es-CO"/>
        </w:rPr>
        <w:t xml:space="preserve">Ibid.  </w:t>
      </w:r>
    </w:p>
  </w:endnote>
  <w:endnote w:id="21">
    <w:p w14:paraId="346A8FCC" w14:textId="5CCB68A8" w:rsidR="00F32DFB" w:rsidRPr="00EF28CC" w:rsidRDefault="007E62E7" w:rsidP="00EF28CC">
      <w:pPr>
        <w:pStyle w:val="EndnoteText"/>
        <w:spacing w:after="0"/>
        <w:contextualSpacing/>
        <w:jc w:val="both"/>
        <w:rPr>
          <w:lang w:val="es-ES"/>
        </w:rPr>
      </w:pPr>
      <w:r w:rsidRPr="00EF28CC">
        <w:rPr>
          <w:rStyle w:val="EndnoteReference"/>
        </w:rPr>
        <w:endnoteRef/>
      </w:r>
      <w:r w:rsidRPr="00EF28CC">
        <w:rPr>
          <w:lang w:val="es-ES"/>
        </w:rPr>
        <w:t xml:space="preserve"> </w:t>
      </w:r>
      <w:r w:rsidR="001A70A9" w:rsidRPr="00EF28CC">
        <w:rPr>
          <w:lang w:val="es-ES"/>
        </w:rPr>
        <w:t xml:space="preserve">Diario Oficial de la República de Honduras. </w:t>
      </w:r>
      <w:hyperlink r:id="rId15" w:history="1">
        <w:r w:rsidR="001A70A9" w:rsidRPr="00EF28CC">
          <w:rPr>
            <w:rStyle w:val="Hyperlink"/>
            <w:color w:val="auto"/>
            <w:lang w:val="es-ES"/>
          </w:rPr>
          <w:t>Código Penal de 2017</w:t>
        </w:r>
      </w:hyperlink>
      <w:r w:rsidR="001A70A9" w:rsidRPr="00EF28CC">
        <w:rPr>
          <w:lang w:val="es-ES"/>
        </w:rPr>
        <w:t xml:space="preserve">. (25 de junio de 2020). </w:t>
      </w:r>
      <w:r w:rsidRPr="00EF28CC">
        <w:rPr>
          <w:lang w:val="es-ES"/>
        </w:rPr>
        <w:t>art. 196</w:t>
      </w:r>
    </w:p>
  </w:endnote>
  <w:endnote w:id="22">
    <w:p w14:paraId="6BEED1CC" w14:textId="1F7D9E40" w:rsidR="00F32DFB" w:rsidRPr="00EF28CC" w:rsidRDefault="007E62E7" w:rsidP="00EF28CC">
      <w:pPr>
        <w:pStyle w:val="EndnoteText"/>
        <w:spacing w:before="120" w:after="120"/>
        <w:contextualSpacing/>
        <w:jc w:val="both"/>
        <w:rPr>
          <w:lang w:val="es-ES"/>
        </w:rPr>
      </w:pPr>
      <w:r w:rsidRPr="00EF28CC">
        <w:rPr>
          <w:rStyle w:val="EndnoteReference"/>
        </w:rPr>
        <w:endnoteRef/>
      </w:r>
      <w:r w:rsidRPr="00EF28CC">
        <w:rPr>
          <w:lang w:val="es-ES"/>
        </w:rPr>
        <w:t xml:space="preserve"> </w:t>
      </w:r>
      <w:r w:rsidR="007874BD" w:rsidRPr="00EF28CC">
        <w:rPr>
          <w:lang w:val="es-ES"/>
        </w:rPr>
        <w:t xml:space="preserve">Comité para la Eliminación de la Discriminación contra la Mujer. </w:t>
      </w:r>
      <w:hyperlink r:id="rId16" w:history="1">
        <w:r w:rsidR="007874BD" w:rsidRPr="00EF28CC">
          <w:rPr>
            <w:rStyle w:val="Hyperlink"/>
            <w:color w:val="auto"/>
            <w:lang w:val="es-ES"/>
          </w:rPr>
          <w:t xml:space="preserve">Comunicación </w:t>
        </w:r>
        <w:proofErr w:type="spellStart"/>
        <w:r w:rsidR="007874BD" w:rsidRPr="00EF28CC">
          <w:rPr>
            <w:rStyle w:val="Hyperlink"/>
            <w:color w:val="auto"/>
            <w:lang w:val="es-ES"/>
          </w:rPr>
          <w:t>Nº</w:t>
        </w:r>
        <w:proofErr w:type="spellEnd"/>
        <w:r w:rsidR="007874BD" w:rsidRPr="00EF28CC">
          <w:rPr>
            <w:rStyle w:val="Hyperlink"/>
            <w:color w:val="auto"/>
            <w:lang w:val="es-ES"/>
          </w:rPr>
          <w:t xml:space="preserve"> 22/2009</w:t>
        </w:r>
        <w:r w:rsidRPr="00EF28CC">
          <w:rPr>
            <w:rStyle w:val="Hyperlink"/>
            <w:color w:val="auto"/>
            <w:lang w:val="es-ES"/>
          </w:rPr>
          <w:t>, L.C. c. Perú</w:t>
        </w:r>
      </w:hyperlink>
      <w:r w:rsidRPr="00EF28CC">
        <w:rPr>
          <w:lang w:val="es-ES"/>
        </w:rPr>
        <w:t xml:space="preserve">, </w:t>
      </w:r>
      <w:r w:rsidR="005136F4" w:rsidRPr="00EF28CC">
        <w:rPr>
          <w:lang w:val="es-ES"/>
        </w:rPr>
        <w:t xml:space="preserve">(25 de noviembre de 2011) </w:t>
      </w:r>
      <w:r w:rsidRPr="00EF28CC">
        <w:rPr>
          <w:lang w:val="es-ES"/>
        </w:rPr>
        <w:t xml:space="preserve">CEDAW/C/50/D/22/2009, ¶ 8.15. </w:t>
      </w:r>
    </w:p>
  </w:endnote>
  <w:endnote w:id="23">
    <w:p w14:paraId="43F3751F" w14:textId="6A31BA26" w:rsidR="00F32DFB" w:rsidRPr="00EF28CC" w:rsidRDefault="007E62E7" w:rsidP="00EF28CC">
      <w:pPr>
        <w:pStyle w:val="EndnoteText"/>
        <w:spacing w:before="120" w:after="120"/>
        <w:contextualSpacing/>
        <w:jc w:val="both"/>
        <w:rPr>
          <w:lang w:val="es-ES"/>
        </w:rPr>
      </w:pPr>
      <w:r w:rsidRPr="00EF28CC">
        <w:rPr>
          <w:rStyle w:val="EndnoteReference"/>
        </w:rPr>
        <w:endnoteRef/>
      </w:r>
      <w:r w:rsidRPr="00EF28CC">
        <w:rPr>
          <w:lang w:val="es-ES"/>
        </w:rPr>
        <w:t xml:space="preserve"> </w:t>
      </w:r>
      <w:r w:rsidR="00BF2327" w:rsidRPr="00EF28CC">
        <w:rPr>
          <w:lang w:val="es-ES"/>
        </w:rPr>
        <w:t xml:space="preserve">Comité de Derechos Humanos. </w:t>
      </w:r>
      <w:hyperlink r:id="rId17" w:history="1">
        <w:r w:rsidR="00BF2327" w:rsidRPr="00EF28CC">
          <w:rPr>
            <w:rStyle w:val="Hyperlink"/>
            <w:color w:val="auto"/>
            <w:lang w:val="es-ES"/>
          </w:rPr>
          <w:t>Observación general núm. 36. Artículo 6: derecho a la vida</w:t>
        </w:r>
      </w:hyperlink>
      <w:r w:rsidRPr="00EF28CC">
        <w:rPr>
          <w:lang w:val="es-ES"/>
        </w:rPr>
        <w:t>,</w:t>
      </w:r>
      <w:r w:rsidR="00A3133A" w:rsidRPr="00EF28CC">
        <w:rPr>
          <w:lang w:val="es-ES"/>
        </w:rPr>
        <w:t xml:space="preserve"> (3 de septiembre de 2019)</w:t>
      </w:r>
      <w:r w:rsidRPr="00EF28CC">
        <w:rPr>
          <w:lang w:val="es-ES"/>
        </w:rPr>
        <w:t xml:space="preserve"> CCPR/C/GC/36, ¶ 8.</w:t>
      </w:r>
    </w:p>
  </w:endnote>
  <w:endnote w:id="24">
    <w:p w14:paraId="4CC0C8DF" w14:textId="7A94835F" w:rsidR="002662B3" w:rsidRPr="00EF28CC" w:rsidRDefault="002662B3" w:rsidP="00EF28CC">
      <w:pPr>
        <w:pStyle w:val="EndnoteText"/>
        <w:spacing w:before="120" w:after="120"/>
        <w:contextualSpacing/>
        <w:jc w:val="both"/>
        <w:rPr>
          <w:lang w:val="es-ES"/>
        </w:rPr>
      </w:pPr>
      <w:r w:rsidRPr="00EF28CC">
        <w:rPr>
          <w:rStyle w:val="EndnoteReference"/>
        </w:rPr>
        <w:endnoteRef/>
      </w:r>
      <w:r w:rsidRPr="00EF28CC">
        <w:rPr>
          <w:lang w:val="es-ES"/>
        </w:rPr>
        <w:t xml:space="preserve"> Comité de los Derechos del Niño</w:t>
      </w:r>
      <w:r w:rsidR="00EF63AA" w:rsidRPr="00EF28CC">
        <w:rPr>
          <w:lang w:val="es-ES"/>
        </w:rPr>
        <w:t xml:space="preserve">. </w:t>
      </w:r>
      <w:hyperlink r:id="rId18" w:history="1">
        <w:r w:rsidR="00EF63AA" w:rsidRPr="00EF28CC">
          <w:rPr>
            <w:rStyle w:val="Hyperlink"/>
            <w:color w:val="auto"/>
            <w:lang w:val="es-ES"/>
          </w:rPr>
          <w:t xml:space="preserve">Comunicación </w:t>
        </w:r>
        <w:proofErr w:type="spellStart"/>
        <w:r w:rsidR="00EF63AA" w:rsidRPr="00EF28CC">
          <w:rPr>
            <w:rStyle w:val="Hyperlink"/>
            <w:color w:val="auto"/>
            <w:lang w:val="es-ES"/>
          </w:rPr>
          <w:t>Nº</w:t>
        </w:r>
        <w:proofErr w:type="spellEnd"/>
        <w:r w:rsidR="00EF63AA" w:rsidRPr="00EF28CC">
          <w:rPr>
            <w:rStyle w:val="Hyperlink"/>
            <w:color w:val="auto"/>
            <w:lang w:val="es-ES"/>
          </w:rPr>
          <w:t xml:space="preserve"> 136/2021. Camila v. el Perú</w:t>
        </w:r>
      </w:hyperlink>
      <w:r w:rsidR="00EF63AA" w:rsidRPr="00EF28CC">
        <w:rPr>
          <w:lang w:val="es-ES"/>
        </w:rPr>
        <w:t xml:space="preserve">, (13 de junio de 2023) </w:t>
      </w:r>
      <w:r w:rsidRPr="00EF28CC">
        <w:rPr>
          <w:lang w:val="es-ES"/>
        </w:rPr>
        <w:t>CRC/C/93/D/136/2021</w:t>
      </w:r>
      <w:r w:rsidR="006D4ABC" w:rsidRPr="00EF28CC">
        <w:rPr>
          <w:lang w:val="es-ES"/>
        </w:rPr>
        <w:t xml:space="preserve"> </w:t>
      </w:r>
      <w:r w:rsidRPr="00EF28CC">
        <w:rPr>
          <w:lang w:val="es-ES"/>
        </w:rPr>
        <w:t xml:space="preserve">¶ 8.5. </w:t>
      </w:r>
    </w:p>
  </w:endnote>
  <w:endnote w:id="25">
    <w:p w14:paraId="211730F3" w14:textId="2A588C2D" w:rsidR="00C93372" w:rsidRPr="00EF28CC" w:rsidRDefault="00C93372" w:rsidP="00EF28CC">
      <w:pPr>
        <w:pStyle w:val="EndnoteText"/>
        <w:spacing w:before="120" w:after="120"/>
        <w:contextualSpacing/>
        <w:jc w:val="both"/>
        <w:rPr>
          <w:lang w:val="es-ES"/>
        </w:rPr>
      </w:pPr>
      <w:r w:rsidRPr="00EF28CC">
        <w:rPr>
          <w:rStyle w:val="EndnoteReference"/>
        </w:rPr>
        <w:endnoteRef/>
      </w:r>
      <w:r w:rsidRPr="00EF28CC">
        <w:rPr>
          <w:lang w:val="es-ES"/>
        </w:rPr>
        <w:t xml:space="preserve"> </w:t>
      </w:r>
      <w:proofErr w:type="spellStart"/>
      <w:r w:rsidR="003A194C" w:rsidRPr="00EF28CC">
        <w:rPr>
          <w:lang w:val="es-ES"/>
        </w:rPr>
        <w:t>Ibid</w:t>
      </w:r>
      <w:proofErr w:type="spellEnd"/>
      <w:r w:rsidRPr="00EF28CC">
        <w:rPr>
          <w:lang w:val="es-ES"/>
        </w:rPr>
        <w:t>, ¶ 8.12.</w:t>
      </w:r>
    </w:p>
  </w:endnote>
  <w:endnote w:id="26">
    <w:p w14:paraId="6DE10365" w14:textId="7E9EF95D" w:rsidR="00F32DFB" w:rsidRPr="00EF28CC" w:rsidRDefault="007E62E7" w:rsidP="00EF28CC">
      <w:pPr>
        <w:pStyle w:val="EndnoteText"/>
        <w:spacing w:before="120" w:after="120"/>
        <w:contextualSpacing/>
        <w:jc w:val="both"/>
        <w:rPr>
          <w:lang w:val="es-ES"/>
        </w:rPr>
      </w:pPr>
      <w:r w:rsidRPr="00EF28CC">
        <w:rPr>
          <w:rStyle w:val="EndnoteReference"/>
        </w:rPr>
        <w:endnoteRef/>
      </w:r>
      <w:r w:rsidRPr="00EF28CC">
        <w:rPr>
          <w:lang w:val="es-ES"/>
        </w:rPr>
        <w:t xml:space="preserve"> </w:t>
      </w:r>
      <w:r w:rsidR="006D4ABC" w:rsidRPr="00EF28CC">
        <w:rPr>
          <w:lang w:val="es-ES"/>
        </w:rPr>
        <w:t xml:space="preserve">Comité de Derechos Humanos. </w:t>
      </w:r>
      <w:hyperlink r:id="rId19" w:history="1">
        <w:r w:rsidR="006D4ABC" w:rsidRPr="00EF28CC">
          <w:rPr>
            <w:rStyle w:val="Hyperlink"/>
            <w:color w:val="auto"/>
            <w:lang w:val="es-ES"/>
          </w:rPr>
          <w:t>Observación general núm. 36. Artículo 6: derecho a la vida</w:t>
        </w:r>
      </w:hyperlink>
      <w:r w:rsidR="006D4ABC" w:rsidRPr="00EF28CC">
        <w:rPr>
          <w:lang w:val="es-ES"/>
        </w:rPr>
        <w:t>, (3 de septiembre de 2019) CCPR/C/GC/36, ¶ 8</w:t>
      </w:r>
      <w:r w:rsidRPr="00EF28CC">
        <w:rPr>
          <w:lang w:val="es-ES"/>
        </w:rPr>
        <w:t xml:space="preserve">; Comité de Derechos Humanos, </w:t>
      </w:r>
      <w:hyperlink r:id="rId20" w:history="1">
        <w:r w:rsidR="00AE4B7B" w:rsidRPr="00EF28CC">
          <w:rPr>
            <w:rStyle w:val="Hyperlink"/>
            <w:color w:val="auto"/>
            <w:lang w:val="es-ES"/>
          </w:rPr>
          <w:t xml:space="preserve">Observación general </w:t>
        </w:r>
        <w:proofErr w:type="spellStart"/>
        <w:r w:rsidR="00AE4B7B" w:rsidRPr="00EF28CC">
          <w:rPr>
            <w:rStyle w:val="Hyperlink"/>
            <w:color w:val="auto"/>
            <w:lang w:val="es-ES"/>
          </w:rPr>
          <w:t>Nº</w:t>
        </w:r>
        <w:proofErr w:type="spellEnd"/>
        <w:r w:rsidR="00AE4B7B" w:rsidRPr="00EF28CC">
          <w:rPr>
            <w:rStyle w:val="Hyperlink"/>
            <w:color w:val="auto"/>
            <w:lang w:val="es-ES"/>
          </w:rPr>
          <w:t xml:space="preserve"> 28</w:t>
        </w:r>
        <w:r w:rsidR="00571675" w:rsidRPr="00EF28CC">
          <w:rPr>
            <w:rStyle w:val="Hyperlink"/>
            <w:color w:val="auto"/>
            <w:lang w:val="es-ES"/>
          </w:rPr>
          <w:t>: La igualdad de derechos entre hombres y mujeres</w:t>
        </w:r>
      </w:hyperlink>
      <w:r w:rsidR="00571675" w:rsidRPr="00EF28CC">
        <w:rPr>
          <w:lang w:val="es-ES"/>
        </w:rPr>
        <w:t xml:space="preserve"> (29 marzo 2000)</w:t>
      </w:r>
      <w:r w:rsidR="009E30BE" w:rsidRPr="00EF28CC">
        <w:rPr>
          <w:lang w:val="es-ES"/>
        </w:rPr>
        <w:t xml:space="preserve"> CCPR/C/21/Rev.1/Add.10</w:t>
      </w:r>
      <w:r w:rsidRPr="00EF28CC">
        <w:rPr>
          <w:lang w:val="es-ES"/>
        </w:rPr>
        <w:t xml:space="preserve">, ¶¶ 10-11; </w:t>
      </w:r>
      <w:r w:rsidR="0011080C" w:rsidRPr="00EF28CC">
        <w:rPr>
          <w:lang w:val="es-ES"/>
        </w:rPr>
        <w:t>Comité de Derechos Económicos, Sociales y Culturales. Observación general núm. 22 (2016), relativa al derecho a la salud sexual y reproductiva (artículo 12 del Pacto Internacional de Derechos Económicos, Sociales y Culturales)</w:t>
      </w:r>
      <w:r w:rsidR="00175279" w:rsidRPr="00EF28CC">
        <w:rPr>
          <w:lang w:val="es-ES"/>
        </w:rPr>
        <w:t xml:space="preserve"> (2 de mayo de 2016) E/C.12/GC/22</w:t>
      </w:r>
      <w:r w:rsidRPr="00EF28CC">
        <w:rPr>
          <w:lang w:val="es-ES"/>
        </w:rPr>
        <w:t xml:space="preserve">, ¶¶ 28, 34, 40, 41, 45, 49(a), 49(e), 57; </w:t>
      </w:r>
      <w:r w:rsidR="0083092B" w:rsidRPr="00EF28CC">
        <w:rPr>
          <w:lang w:val="es-ES"/>
        </w:rPr>
        <w:t>Comité para la Eliminación de la Discriminación contra la Mujer</w:t>
      </w:r>
      <w:r w:rsidRPr="00EF28CC">
        <w:rPr>
          <w:lang w:val="es-ES"/>
        </w:rPr>
        <w:t xml:space="preserve">, </w:t>
      </w:r>
      <w:r w:rsidR="00280270" w:rsidRPr="00EF28CC">
        <w:rPr>
          <w:lang w:val="es-ES"/>
        </w:rPr>
        <w:t xml:space="preserve">Recomendación General </w:t>
      </w:r>
      <w:proofErr w:type="spellStart"/>
      <w:r w:rsidR="00280270" w:rsidRPr="00EF28CC">
        <w:rPr>
          <w:lang w:val="es-ES"/>
        </w:rPr>
        <w:t>Nº</w:t>
      </w:r>
      <w:proofErr w:type="spellEnd"/>
      <w:r w:rsidR="00280270" w:rsidRPr="00EF28CC">
        <w:rPr>
          <w:lang w:val="es-ES"/>
        </w:rPr>
        <w:t xml:space="preserve"> 24. </w:t>
      </w:r>
      <w:hyperlink r:id="rId21" w:history="1">
        <w:r w:rsidR="00280270" w:rsidRPr="00EF28CC">
          <w:rPr>
            <w:rStyle w:val="Hyperlink"/>
            <w:color w:val="auto"/>
            <w:lang w:val="es-ES"/>
          </w:rPr>
          <w:t>Artículo 12 de la Convención sobre la eliminación de todas las formas de discriminación contra la mujer - La mujer y la salud</w:t>
        </w:r>
      </w:hyperlink>
      <w:r w:rsidRPr="00EF28CC">
        <w:rPr>
          <w:lang w:val="es-ES"/>
        </w:rPr>
        <w:t>,</w:t>
      </w:r>
      <w:r w:rsidR="00280270" w:rsidRPr="00EF28CC">
        <w:rPr>
          <w:lang w:val="es-ES"/>
        </w:rPr>
        <w:t xml:space="preserve"> (1999)</w:t>
      </w:r>
      <w:r w:rsidRPr="00EF28CC">
        <w:rPr>
          <w:lang w:val="es-ES"/>
        </w:rPr>
        <w:t xml:space="preserve"> ¶ 14; </w:t>
      </w:r>
      <w:r w:rsidR="00DD15AE" w:rsidRPr="00EF28CC">
        <w:rPr>
          <w:lang w:val="es-ES"/>
        </w:rPr>
        <w:t>Comité para la Eliminación de la Discriminación contra la Mujer</w:t>
      </w:r>
      <w:r w:rsidR="002D519E" w:rsidRPr="00EF28CC">
        <w:rPr>
          <w:lang w:val="es-ES"/>
        </w:rPr>
        <w:t>.</w:t>
      </w:r>
      <w:r w:rsidR="00DD15AE" w:rsidRPr="00EF28CC">
        <w:rPr>
          <w:lang w:val="es-ES"/>
        </w:rPr>
        <w:t xml:space="preserve"> </w:t>
      </w:r>
      <w:hyperlink r:id="rId22" w:history="1">
        <w:r w:rsidR="00DD15AE" w:rsidRPr="00EF28CC">
          <w:rPr>
            <w:rStyle w:val="Hyperlink"/>
            <w:color w:val="auto"/>
            <w:lang w:val="es-ES"/>
          </w:rPr>
          <w:t xml:space="preserve">Recomendación general </w:t>
        </w:r>
        <w:proofErr w:type="spellStart"/>
        <w:r w:rsidR="00DD15AE" w:rsidRPr="00EF28CC">
          <w:rPr>
            <w:rStyle w:val="Hyperlink"/>
            <w:color w:val="auto"/>
            <w:lang w:val="es-ES"/>
          </w:rPr>
          <w:t>num</w:t>
        </w:r>
        <w:proofErr w:type="spellEnd"/>
        <w:r w:rsidR="00DD15AE" w:rsidRPr="00EF28CC">
          <w:rPr>
            <w:rStyle w:val="Hyperlink"/>
            <w:color w:val="auto"/>
            <w:lang w:val="es-ES"/>
          </w:rPr>
          <w:t>. 35 sobre la violencia</w:t>
        </w:r>
        <w:r w:rsidR="002D519E" w:rsidRPr="00EF28CC">
          <w:rPr>
            <w:rStyle w:val="Hyperlink"/>
            <w:color w:val="auto"/>
            <w:lang w:val="es-ES"/>
          </w:rPr>
          <w:t xml:space="preserve"> </w:t>
        </w:r>
        <w:r w:rsidR="00DD15AE" w:rsidRPr="00EF28CC">
          <w:rPr>
            <w:rStyle w:val="Hyperlink"/>
            <w:color w:val="auto"/>
            <w:lang w:val="es-ES"/>
          </w:rPr>
          <w:t xml:space="preserve">por razón de género contra la mujer, por la que se actualiza la recomendación general </w:t>
        </w:r>
        <w:proofErr w:type="spellStart"/>
        <w:r w:rsidR="00DD15AE" w:rsidRPr="00EF28CC">
          <w:rPr>
            <w:rStyle w:val="Hyperlink"/>
            <w:color w:val="auto"/>
            <w:lang w:val="es-ES"/>
          </w:rPr>
          <w:t>num</w:t>
        </w:r>
        <w:proofErr w:type="spellEnd"/>
        <w:r w:rsidR="00DD15AE" w:rsidRPr="00EF28CC">
          <w:rPr>
            <w:rStyle w:val="Hyperlink"/>
            <w:color w:val="auto"/>
            <w:lang w:val="es-ES"/>
          </w:rPr>
          <w:t>. 19</w:t>
        </w:r>
      </w:hyperlink>
      <w:r w:rsidR="002D519E" w:rsidRPr="00EF28CC">
        <w:rPr>
          <w:lang w:val="es-ES"/>
        </w:rPr>
        <w:t xml:space="preserve"> (26 de julio de 2017) CEDAW/C/GC/35</w:t>
      </w:r>
      <w:r w:rsidRPr="00EF28CC">
        <w:rPr>
          <w:lang w:val="es-ES"/>
        </w:rPr>
        <w:t xml:space="preserve">, ¶ 29(c)(i); </w:t>
      </w:r>
      <w:r w:rsidR="0083092B" w:rsidRPr="00EF28CC">
        <w:rPr>
          <w:lang w:val="es-ES"/>
        </w:rPr>
        <w:t>Comité para la Eliminación de la Discriminación contra la Mujer</w:t>
      </w:r>
      <w:r w:rsidRPr="00EF28CC">
        <w:rPr>
          <w:lang w:val="es-ES"/>
        </w:rPr>
        <w:t xml:space="preserve">, </w:t>
      </w:r>
      <w:hyperlink r:id="rId23" w:history="1">
        <w:r w:rsidR="008B23AD" w:rsidRPr="00EF28CC">
          <w:rPr>
            <w:rStyle w:val="Hyperlink"/>
            <w:color w:val="auto"/>
            <w:lang w:val="es-ES"/>
          </w:rPr>
          <w:t xml:space="preserve">Recomendación General </w:t>
        </w:r>
        <w:proofErr w:type="spellStart"/>
        <w:r w:rsidR="008B23AD" w:rsidRPr="00EF28CC">
          <w:rPr>
            <w:rStyle w:val="Hyperlink"/>
            <w:color w:val="auto"/>
            <w:lang w:val="es-ES"/>
          </w:rPr>
          <w:t>Nº</w:t>
        </w:r>
        <w:proofErr w:type="spellEnd"/>
        <w:r w:rsidR="008B23AD" w:rsidRPr="00EF28CC">
          <w:rPr>
            <w:rStyle w:val="Hyperlink"/>
            <w:color w:val="auto"/>
            <w:lang w:val="es-ES"/>
          </w:rPr>
          <w:t xml:space="preserve"> 34 (2016) sobre los derechos de las mujeres rurales</w:t>
        </w:r>
      </w:hyperlink>
      <w:r w:rsidR="00B9198F" w:rsidRPr="00EF28CC">
        <w:rPr>
          <w:lang w:val="es-ES"/>
        </w:rPr>
        <w:t xml:space="preserve"> (7 de marzo de 2016)</w:t>
      </w:r>
      <w:r w:rsidR="008B23AD" w:rsidRPr="00EF28CC">
        <w:rPr>
          <w:lang w:val="es-ES"/>
        </w:rPr>
        <w:t xml:space="preserve"> CEDAW/C/GC/34</w:t>
      </w:r>
      <w:r w:rsidRPr="00EF28CC">
        <w:rPr>
          <w:lang w:val="es-ES"/>
        </w:rPr>
        <w:t>, ¶ 39(c)</w:t>
      </w:r>
      <w:r w:rsidR="0083092B" w:rsidRPr="00EF28CC">
        <w:rPr>
          <w:lang w:val="es-ES"/>
        </w:rPr>
        <w:t xml:space="preserve">; </w:t>
      </w:r>
      <w:r w:rsidR="00B860F6" w:rsidRPr="00EF28CC">
        <w:rPr>
          <w:lang w:val="es-ES"/>
        </w:rPr>
        <w:t>Comité de los Derechos del Niño. Observación general núm. 20 (2016) sobre la efectividad de los derechos del niño durante la adolescencia</w:t>
      </w:r>
      <w:r w:rsidRPr="00EF28CC">
        <w:rPr>
          <w:lang w:val="es-ES"/>
        </w:rPr>
        <w:t xml:space="preserve">, </w:t>
      </w:r>
      <w:r w:rsidR="00881FA8" w:rsidRPr="00EF28CC">
        <w:rPr>
          <w:lang w:val="es-ES"/>
        </w:rPr>
        <w:t xml:space="preserve">(6 de diciembre de 2016) </w:t>
      </w:r>
      <w:r w:rsidR="00B860F6" w:rsidRPr="00EF28CC">
        <w:rPr>
          <w:lang w:val="es-ES"/>
        </w:rPr>
        <w:t xml:space="preserve">CRC/C/GC/20 </w:t>
      </w:r>
      <w:r w:rsidRPr="00EF28CC">
        <w:rPr>
          <w:lang w:val="es-ES"/>
        </w:rPr>
        <w:t>párr. 60</w:t>
      </w:r>
      <w:r w:rsidR="00881FA8" w:rsidRPr="00EF28CC">
        <w:rPr>
          <w:lang w:val="es-ES"/>
        </w:rPr>
        <w:t xml:space="preserve">. </w:t>
      </w:r>
      <w:r w:rsidRPr="00EF28CC">
        <w:rPr>
          <w:lang w:val="es-ES"/>
        </w:rPr>
        <w:t xml:space="preserve"> </w:t>
      </w:r>
      <w:r w:rsidR="00CA5AAF" w:rsidRPr="00EF28CC">
        <w:rPr>
          <w:lang w:val="es-ES"/>
        </w:rPr>
        <w:t>Comité de los Derechos del Niño</w:t>
      </w:r>
      <w:r w:rsidR="008C29B3" w:rsidRPr="00EF28CC">
        <w:rPr>
          <w:lang w:val="es-ES"/>
        </w:rPr>
        <w:t xml:space="preserve">. Observación general </w:t>
      </w:r>
      <w:proofErr w:type="spellStart"/>
      <w:r w:rsidR="008C29B3" w:rsidRPr="00EF28CC">
        <w:rPr>
          <w:lang w:val="es-ES"/>
        </w:rPr>
        <w:t>Nº</w:t>
      </w:r>
      <w:proofErr w:type="spellEnd"/>
      <w:r w:rsidR="008C29B3" w:rsidRPr="00EF28CC">
        <w:rPr>
          <w:lang w:val="es-ES"/>
        </w:rPr>
        <w:t xml:space="preserve"> 15 (2013) sobre el derecho del niño al disfrute del más alto nivel posible de salud (artículo 24), </w:t>
      </w:r>
      <w:r w:rsidR="0066331D" w:rsidRPr="00EF28CC">
        <w:rPr>
          <w:lang w:val="es-ES"/>
        </w:rPr>
        <w:t xml:space="preserve">(17 de abril de 2013) </w:t>
      </w:r>
      <w:r w:rsidRPr="00EF28CC">
        <w:rPr>
          <w:lang w:val="es-ES"/>
        </w:rPr>
        <w:t xml:space="preserve">CRC/C/GC/15 </w:t>
      </w:r>
      <w:r w:rsidR="00CA5AAF" w:rsidRPr="00EF28CC">
        <w:rPr>
          <w:lang w:val="es-ES"/>
        </w:rPr>
        <w:t>¶31.</w:t>
      </w:r>
    </w:p>
  </w:endnote>
  <w:endnote w:id="27">
    <w:p w14:paraId="6C4C316D" w14:textId="58B9D701" w:rsidR="00F32DFB" w:rsidRPr="00EF28CC" w:rsidRDefault="007E62E7" w:rsidP="00EF28CC">
      <w:pPr>
        <w:pStyle w:val="EndnoteText"/>
        <w:spacing w:before="120" w:after="120"/>
        <w:contextualSpacing/>
        <w:jc w:val="both"/>
        <w:rPr>
          <w:lang w:val="es-ES"/>
        </w:rPr>
      </w:pPr>
      <w:r w:rsidRPr="00EF28CC">
        <w:rPr>
          <w:rStyle w:val="EndnoteReference"/>
        </w:rPr>
        <w:endnoteRef/>
      </w:r>
      <w:r w:rsidRPr="00EF28CC">
        <w:rPr>
          <w:lang w:val="es-ES"/>
        </w:rPr>
        <w:t xml:space="preserve"> Comité de Derechos Económicos, Sociales y Culturales</w:t>
      </w:r>
      <w:r w:rsidR="00B577DF" w:rsidRPr="00EF28CC">
        <w:rPr>
          <w:lang w:val="es-ES"/>
        </w:rPr>
        <w:t>.</w:t>
      </w:r>
      <w:r w:rsidRPr="00EF28CC">
        <w:rPr>
          <w:lang w:val="es-ES"/>
        </w:rPr>
        <w:t xml:space="preserve"> </w:t>
      </w:r>
      <w:hyperlink r:id="rId24" w:history="1">
        <w:r w:rsidRPr="00EF28CC">
          <w:rPr>
            <w:rStyle w:val="Hyperlink"/>
            <w:color w:val="auto"/>
            <w:lang w:val="es-ES"/>
          </w:rPr>
          <w:t>Observación general n.º 22 (2016) sobre el derecho a la salud sexual y reproductiva</w:t>
        </w:r>
      </w:hyperlink>
      <w:r w:rsidRPr="00EF28CC">
        <w:rPr>
          <w:lang w:val="es-ES"/>
        </w:rPr>
        <w:t>,</w:t>
      </w:r>
      <w:r w:rsidR="00B577DF" w:rsidRPr="00EF28CC">
        <w:rPr>
          <w:lang w:val="es-ES"/>
        </w:rPr>
        <w:t xml:space="preserve"> (2 de mayo de 2016)</w:t>
      </w:r>
      <w:r w:rsidRPr="00EF28CC">
        <w:rPr>
          <w:lang w:val="es-ES"/>
        </w:rPr>
        <w:t xml:space="preserve"> E/C.12/GC/22, ¶¶ 11- 21.</w:t>
      </w:r>
    </w:p>
  </w:endnote>
  <w:endnote w:id="28">
    <w:p w14:paraId="08FDCE11" w14:textId="77777777" w:rsidR="00EA18CE" w:rsidRPr="00EF28CC" w:rsidRDefault="00EA18CE" w:rsidP="00EF28CC">
      <w:pPr>
        <w:pStyle w:val="EndnoteText"/>
        <w:spacing w:before="120" w:after="120"/>
        <w:contextualSpacing/>
        <w:jc w:val="both"/>
        <w:rPr>
          <w:lang w:val="es-ES"/>
        </w:rPr>
      </w:pPr>
      <w:r w:rsidRPr="00EF28CC">
        <w:rPr>
          <w:rStyle w:val="EndnoteReference"/>
        </w:rPr>
        <w:endnoteRef/>
      </w:r>
      <w:r w:rsidRPr="00EF28CC">
        <w:rPr>
          <w:lang w:val="es-ES"/>
        </w:rPr>
        <w:t xml:space="preserve"> CEDAW </w:t>
      </w:r>
      <w:hyperlink r:id="rId25" w:tooltip="https://tbinternet.ohchr.org/_layouts/15/treatybodyexternal/Download.aspx?symbolno=CEDAW%2FC%2FHND%2FCO%2F9&amp;Lang=en" w:history="1">
        <w:r w:rsidRPr="00EF28CC">
          <w:rPr>
            <w:rStyle w:val="Hyperlink"/>
            <w:color w:val="auto"/>
            <w:lang w:val="es-ES"/>
          </w:rPr>
          <w:t>Observaciones finales sobre el noveno informe periódico de Honduras</w:t>
        </w:r>
      </w:hyperlink>
      <w:r w:rsidRPr="00EF28CC">
        <w:rPr>
          <w:lang w:val="es-ES"/>
        </w:rPr>
        <w:t xml:space="preserve"> (1 de noviembre de 2022) UN Doc. CEDAW/C/HND/CO/9</w:t>
      </w:r>
      <w:r w:rsidRPr="00EF28CC">
        <w:rPr>
          <w:rFonts w:eastAsia="Times New Roman"/>
          <w:lang w:val="es-ES" w:eastAsia="en-GB"/>
        </w:rPr>
        <w:t xml:space="preserve"> ¶ </w:t>
      </w:r>
      <w:r w:rsidRPr="00EF28CC">
        <w:rPr>
          <w:lang w:val="es-ES"/>
        </w:rPr>
        <w:t>13</w:t>
      </w:r>
    </w:p>
  </w:endnote>
  <w:endnote w:id="29">
    <w:p w14:paraId="0BD71BE0" w14:textId="72FBD10C" w:rsidR="00EA18CE" w:rsidRPr="00EF28CC" w:rsidRDefault="00EA18CE" w:rsidP="00EF28CC">
      <w:pPr>
        <w:pStyle w:val="EndnoteText"/>
        <w:spacing w:before="120" w:after="120"/>
        <w:contextualSpacing/>
        <w:jc w:val="both"/>
        <w:rPr>
          <w:lang w:val="es-ES"/>
        </w:rPr>
      </w:pPr>
      <w:r w:rsidRPr="00EF28CC">
        <w:rPr>
          <w:rStyle w:val="EndnoteReference"/>
        </w:rPr>
        <w:endnoteRef/>
      </w:r>
      <w:r w:rsidRPr="00EF28CC">
        <w:rPr>
          <w:lang w:val="es-ES"/>
        </w:rPr>
        <w:t xml:space="preserve"> </w:t>
      </w:r>
      <w:r w:rsidR="00233D60" w:rsidRPr="00EF28CC">
        <w:rPr>
          <w:lang w:val="es-ES"/>
        </w:rPr>
        <w:t>Ibid.</w:t>
      </w:r>
      <w:r w:rsidRPr="00EF28CC">
        <w:rPr>
          <w:rFonts w:eastAsia="Times New Roman"/>
          <w:lang w:val="es-ES" w:eastAsia="en-GB"/>
        </w:rPr>
        <w:t xml:space="preserve"> ¶ </w:t>
      </w:r>
      <w:r w:rsidRPr="00EF28CC">
        <w:rPr>
          <w:lang w:val="es-ES"/>
        </w:rPr>
        <w:t xml:space="preserve">39 </w:t>
      </w:r>
    </w:p>
  </w:endnote>
  <w:endnote w:id="30">
    <w:p w14:paraId="223814D9" w14:textId="01DCBF44" w:rsidR="00F32DFB" w:rsidRPr="00EF28CC" w:rsidRDefault="007E62E7" w:rsidP="00EF28CC">
      <w:pPr>
        <w:pStyle w:val="EndnoteText"/>
        <w:spacing w:before="120" w:after="120"/>
        <w:contextualSpacing/>
        <w:jc w:val="both"/>
        <w:rPr>
          <w:lang w:val="es-ES"/>
        </w:rPr>
      </w:pPr>
      <w:r w:rsidRPr="00EF28CC">
        <w:rPr>
          <w:rStyle w:val="EndnoteReference"/>
        </w:rPr>
        <w:endnoteRef/>
      </w:r>
      <w:r w:rsidRPr="00EF28CC">
        <w:rPr>
          <w:lang w:val="es-ES"/>
        </w:rPr>
        <w:t xml:space="preserve"> </w:t>
      </w:r>
      <w:r w:rsidR="002C70E7" w:rsidRPr="00EF28CC">
        <w:rPr>
          <w:lang w:val="es-ES"/>
        </w:rPr>
        <w:t xml:space="preserve">Comité de Derechos Económicos, Sociales y Culturales. </w:t>
      </w:r>
      <w:hyperlink r:id="rId26" w:history="1">
        <w:r w:rsidR="002C70E7" w:rsidRPr="00EF28CC">
          <w:rPr>
            <w:rStyle w:val="Hyperlink"/>
            <w:color w:val="auto"/>
            <w:lang w:val="es-ES"/>
          </w:rPr>
          <w:t>Observación general n.º 22 (2016) sobre el derecho a la salud sexual y reproductiva</w:t>
        </w:r>
      </w:hyperlink>
      <w:r w:rsidR="002C70E7" w:rsidRPr="00EF28CC">
        <w:rPr>
          <w:lang w:val="es-ES"/>
        </w:rPr>
        <w:t>, (2 de mayo de 2016) E/C.12/GC/22</w:t>
      </w:r>
      <w:r w:rsidRPr="00EF28CC">
        <w:rPr>
          <w:lang w:val="es-ES"/>
        </w:rPr>
        <w:t>¶ 49.</w:t>
      </w:r>
    </w:p>
  </w:endnote>
  <w:endnote w:id="31">
    <w:p w14:paraId="2B664DA4" w14:textId="026F4119" w:rsidR="00A00320" w:rsidRPr="00EF28CC" w:rsidRDefault="00A00320" w:rsidP="00EF28CC">
      <w:pPr>
        <w:pStyle w:val="EndnoteText"/>
        <w:spacing w:before="120" w:after="120"/>
        <w:contextualSpacing/>
        <w:jc w:val="both"/>
        <w:rPr>
          <w:lang w:val="es-ES"/>
        </w:rPr>
      </w:pPr>
      <w:r w:rsidRPr="00EF28CC">
        <w:rPr>
          <w:rStyle w:val="EndnoteReference"/>
        </w:rPr>
        <w:endnoteRef/>
      </w:r>
      <w:r w:rsidRPr="00EF28CC">
        <w:rPr>
          <w:lang w:val="es-ES"/>
        </w:rPr>
        <w:t xml:space="preserve"> Hoja informativa de la OMS, </w:t>
      </w:r>
      <w:hyperlink r:id="rId27" w:history="1">
        <w:r w:rsidRPr="00EF28CC">
          <w:rPr>
            <w:rStyle w:val="Hyperlink"/>
            <w:color w:val="auto"/>
            <w:lang w:val="es-ES"/>
          </w:rPr>
          <w:t>Aborto</w:t>
        </w:r>
      </w:hyperlink>
      <w:r w:rsidRPr="00EF28CC">
        <w:rPr>
          <w:lang w:val="es-ES"/>
        </w:rPr>
        <w:t xml:space="preserve">, </w:t>
      </w:r>
      <w:r w:rsidR="00FF653C" w:rsidRPr="00EF28CC">
        <w:rPr>
          <w:lang w:val="es-ES"/>
        </w:rPr>
        <w:t>(</w:t>
      </w:r>
      <w:r w:rsidRPr="00EF28CC">
        <w:rPr>
          <w:lang w:val="es-ES"/>
        </w:rPr>
        <w:t>25 de noviembre de 2021</w:t>
      </w:r>
      <w:r w:rsidR="00FF653C" w:rsidRPr="00EF28CC">
        <w:rPr>
          <w:lang w:val="es-ES"/>
        </w:rPr>
        <w:t>)</w:t>
      </w:r>
    </w:p>
  </w:endnote>
  <w:endnote w:id="32">
    <w:p w14:paraId="0EBD48AD" w14:textId="0137C0D7" w:rsidR="00A00320" w:rsidRPr="00EF28CC" w:rsidRDefault="00A00320" w:rsidP="00EF28CC">
      <w:pPr>
        <w:pStyle w:val="EndnoteText"/>
        <w:spacing w:before="120" w:after="120"/>
        <w:contextualSpacing/>
        <w:jc w:val="both"/>
        <w:rPr>
          <w:lang w:val="es-ES"/>
        </w:rPr>
      </w:pPr>
      <w:r w:rsidRPr="00EF28CC">
        <w:rPr>
          <w:rStyle w:val="EndnoteReference"/>
        </w:rPr>
        <w:endnoteRef/>
      </w:r>
      <w:r w:rsidRPr="00EF28CC">
        <w:rPr>
          <w:lang w:val="es-ES"/>
        </w:rPr>
        <w:t xml:space="preserve"> </w:t>
      </w:r>
      <w:r w:rsidR="002C70E7" w:rsidRPr="00EF28CC">
        <w:rPr>
          <w:lang w:val="es-ES"/>
        </w:rPr>
        <w:t xml:space="preserve">Comité de Derechos Económicos, Sociales y Culturales. </w:t>
      </w:r>
      <w:hyperlink r:id="rId28" w:history="1">
        <w:r w:rsidR="002C70E7" w:rsidRPr="00EF28CC">
          <w:rPr>
            <w:rStyle w:val="Hyperlink"/>
            <w:color w:val="auto"/>
            <w:lang w:val="es-ES"/>
          </w:rPr>
          <w:t>Observación general n.º 22 (2016) sobre el derecho a la salud sexual y reproductiva</w:t>
        </w:r>
      </w:hyperlink>
      <w:r w:rsidR="002C70E7" w:rsidRPr="00EF28CC">
        <w:rPr>
          <w:lang w:val="es-ES"/>
        </w:rPr>
        <w:t>, (2 de mayo de 2016) E/C.12/GC/22</w:t>
      </w:r>
      <w:r w:rsidRPr="00EF28CC">
        <w:rPr>
          <w:lang w:val="es-ES"/>
        </w:rPr>
        <w:t>¶ 8.</w:t>
      </w:r>
    </w:p>
  </w:endnote>
  <w:endnote w:id="33">
    <w:p w14:paraId="0E99BBE3" w14:textId="6C3200FE" w:rsidR="00A00320" w:rsidRPr="00EF28CC" w:rsidRDefault="00A00320" w:rsidP="00EF28CC">
      <w:pPr>
        <w:pStyle w:val="EndnoteText"/>
        <w:spacing w:after="0"/>
        <w:contextualSpacing/>
        <w:jc w:val="both"/>
        <w:rPr>
          <w:lang w:val="es-ES"/>
        </w:rPr>
      </w:pPr>
      <w:r w:rsidRPr="00EF28CC">
        <w:rPr>
          <w:rStyle w:val="EndnoteReference"/>
        </w:rPr>
        <w:endnoteRef/>
      </w:r>
      <w:r w:rsidRPr="00EF28CC">
        <w:rPr>
          <w:lang w:val="es-ES"/>
        </w:rPr>
        <w:t xml:space="preserve"> Consejo de Derechos Humanos, </w:t>
      </w:r>
      <w:hyperlink r:id="rId29" w:history="1">
        <w:r w:rsidRPr="00EF28CC">
          <w:rPr>
            <w:rStyle w:val="Hyperlink"/>
            <w:color w:val="auto"/>
            <w:lang w:val="es-ES"/>
          </w:rPr>
          <w:t>Informe del Grupo de Trabajo sobre la cuestión de la discriminación contra la mujer en la legislación y en la práctica</w:t>
        </w:r>
        <w:r w:rsidR="001450B7" w:rsidRPr="00EF28CC">
          <w:rPr>
            <w:rStyle w:val="Hyperlink"/>
            <w:color w:val="auto"/>
            <w:lang w:val="es-ES"/>
          </w:rPr>
          <w:t>. Visita a Honduras</w:t>
        </w:r>
      </w:hyperlink>
      <w:r w:rsidR="001450B7" w:rsidRPr="00EF28CC">
        <w:rPr>
          <w:lang w:val="es-ES"/>
        </w:rPr>
        <w:t xml:space="preserve"> (8 de mayo de 2019) </w:t>
      </w:r>
      <w:r w:rsidRPr="00EF28CC">
        <w:rPr>
          <w:lang w:val="es-ES"/>
        </w:rPr>
        <w:t xml:space="preserve">UN </w:t>
      </w:r>
      <w:proofErr w:type="spellStart"/>
      <w:r w:rsidRPr="00EF28CC">
        <w:rPr>
          <w:lang w:val="es-ES"/>
        </w:rPr>
        <w:t>Doc</w:t>
      </w:r>
      <w:proofErr w:type="spellEnd"/>
      <w:r w:rsidRPr="00EF28CC">
        <w:rPr>
          <w:lang w:val="es-ES"/>
        </w:rPr>
        <w:t xml:space="preserve"> A/HRC/41/33/Add.1, ¶ 51.</w:t>
      </w:r>
    </w:p>
  </w:endnote>
  <w:endnote w:id="34">
    <w:p w14:paraId="39B9433B" w14:textId="11AB8B4E" w:rsidR="004D1D2D" w:rsidRPr="00EF28CC" w:rsidRDefault="004D1D2D" w:rsidP="00EF28CC">
      <w:pPr>
        <w:spacing w:after="0"/>
        <w:contextualSpacing/>
        <w:jc w:val="both"/>
        <w:rPr>
          <w:rFonts w:ascii="Times New Roman" w:eastAsia="Times New Roman" w:hAnsi="Times New Roman" w:cs="Times New Roman"/>
          <w:sz w:val="20"/>
          <w:szCs w:val="20"/>
          <w:lang w:val="es-ES"/>
        </w:rPr>
      </w:pPr>
      <w:r w:rsidRPr="00EF28CC">
        <w:rPr>
          <w:rFonts w:ascii="Times New Roman" w:hAnsi="Times New Roman" w:cs="Times New Roman"/>
          <w:sz w:val="20"/>
          <w:szCs w:val="20"/>
          <w:vertAlign w:val="superscript"/>
        </w:rPr>
        <w:endnoteRef/>
      </w:r>
      <w:r w:rsidRPr="00EF28CC">
        <w:rPr>
          <w:rFonts w:ascii="Times New Roman" w:eastAsia="Times New Roman" w:hAnsi="Times New Roman" w:cs="Times New Roman"/>
          <w:sz w:val="20"/>
          <w:szCs w:val="20"/>
          <w:lang w:val="es-ES"/>
        </w:rPr>
        <w:t xml:space="preserve"> Comité para la Eliminación de la Discriminación contra la Mujer, </w:t>
      </w:r>
      <w:hyperlink r:id="rId30">
        <w:r w:rsidRPr="00EF28CC">
          <w:rPr>
            <w:rStyle w:val="Hyperlink"/>
            <w:rFonts w:ascii="Times New Roman" w:eastAsia="Times New Roman" w:hAnsi="Times New Roman" w:cs="Times New Roman"/>
            <w:color w:val="auto"/>
            <w:sz w:val="20"/>
            <w:szCs w:val="20"/>
            <w:lang w:val="es-ES"/>
          </w:rPr>
          <w:t>Recomendación General núm. 34 sobre los derechos de las mujeres rurales</w:t>
        </w:r>
      </w:hyperlink>
      <w:r w:rsidRPr="00EF28CC">
        <w:rPr>
          <w:rFonts w:ascii="Times New Roman" w:eastAsia="Times New Roman" w:hAnsi="Times New Roman" w:cs="Times New Roman"/>
          <w:sz w:val="20"/>
          <w:szCs w:val="20"/>
          <w:lang w:val="es-ES"/>
        </w:rPr>
        <w:t>, CEDAW/C/GC/34, (7 marzo 2016)</w:t>
      </w:r>
      <w:r w:rsidR="00DE6A86" w:rsidRPr="00EF28CC">
        <w:rPr>
          <w:rFonts w:ascii="Times New Roman" w:eastAsia="Times New Roman" w:hAnsi="Times New Roman" w:cs="Times New Roman"/>
          <w:sz w:val="20"/>
          <w:szCs w:val="20"/>
          <w:lang w:val="es-ES"/>
        </w:rPr>
        <w:t xml:space="preserve"> párr. 38,</w:t>
      </w:r>
    </w:p>
  </w:endnote>
  <w:endnote w:id="35">
    <w:p w14:paraId="13550C2C" w14:textId="77777777" w:rsidR="004D1D2D" w:rsidRPr="00EF28CC" w:rsidRDefault="004D1D2D" w:rsidP="00EF28CC">
      <w:pPr>
        <w:widowControl w:val="0"/>
        <w:pBdr>
          <w:top w:val="nil"/>
          <w:left w:val="nil"/>
          <w:bottom w:val="nil"/>
          <w:right w:val="nil"/>
          <w:between w:val="nil"/>
        </w:pBdr>
        <w:spacing w:after="0" w:line="240" w:lineRule="auto"/>
        <w:contextualSpacing/>
        <w:jc w:val="both"/>
        <w:rPr>
          <w:rFonts w:ascii="Times New Roman" w:eastAsia="Times New Roman" w:hAnsi="Times New Roman" w:cs="Times New Roman"/>
          <w:sz w:val="20"/>
          <w:szCs w:val="20"/>
          <w:lang w:val="es-ES"/>
        </w:rPr>
      </w:pPr>
      <w:r w:rsidRPr="00EF28CC">
        <w:rPr>
          <w:rFonts w:ascii="Times New Roman" w:hAnsi="Times New Roman" w:cs="Times New Roman"/>
          <w:sz w:val="20"/>
          <w:szCs w:val="20"/>
          <w:vertAlign w:val="superscript"/>
        </w:rPr>
        <w:endnoteRef/>
      </w:r>
      <w:r w:rsidRPr="00EF28CC">
        <w:rPr>
          <w:rFonts w:ascii="Times New Roman" w:eastAsia="Times New Roman" w:hAnsi="Times New Roman" w:cs="Times New Roman"/>
          <w:sz w:val="20"/>
          <w:szCs w:val="20"/>
          <w:lang w:val="es-ES"/>
        </w:rPr>
        <w:t xml:space="preserve"> Centro de Derechos de Mujeres (CDM), Observatorio de Derechos de las Mujeres. </w:t>
      </w:r>
      <w:hyperlink r:id="rId31" w:history="1">
        <w:r w:rsidRPr="00EF28CC">
          <w:rPr>
            <w:rStyle w:val="Hyperlink"/>
            <w:rFonts w:ascii="Times New Roman" w:eastAsia="Times New Roman" w:hAnsi="Times New Roman" w:cs="Times New Roman"/>
            <w:color w:val="auto"/>
            <w:sz w:val="20"/>
            <w:szCs w:val="20"/>
            <w:lang w:val="es-ES"/>
          </w:rPr>
          <w:t>Secreto a voces: una reseña sobre el aborto en Honduras</w:t>
        </w:r>
      </w:hyperlink>
      <w:r w:rsidRPr="00EF28CC">
        <w:rPr>
          <w:rFonts w:ascii="Times New Roman" w:eastAsia="Times New Roman" w:hAnsi="Times New Roman" w:cs="Times New Roman"/>
          <w:sz w:val="20"/>
          <w:szCs w:val="20"/>
          <w:lang w:val="es-ES"/>
        </w:rPr>
        <w:t>. (septiembre 2015).</w:t>
      </w:r>
    </w:p>
  </w:endnote>
  <w:endnote w:id="36">
    <w:p w14:paraId="3B3B3C26" w14:textId="77777777" w:rsidR="004D1D2D" w:rsidRPr="00EF28CC" w:rsidRDefault="004D1D2D" w:rsidP="00EF28CC">
      <w:pPr>
        <w:widowControl w:val="0"/>
        <w:pBdr>
          <w:top w:val="nil"/>
          <w:left w:val="nil"/>
          <w:bottom w:val="nil"/>
          <w:right w:val="nil"/>
          <w:between w:val="nil"/>
        </w:pBdr>
        <w:spacing w:after="0" w:line="240" w:lineRule="auto"/>
        <w:contextualSpacing/>
        <w:jc w:val="both"/>
        <w:rPr>
          <w:rFonts w:ascii="Times New Roman" w:eastAsia="Times New Roman" w:hAnsi="Times New Roman" w:cs="Times New Roman"/>
          <w:sz w:val="20"/>
          <w:szCs w:val="20"/>
          <w:lang w:val="es-ES"/>
        </w:rPr>
      </w:pPr>
      <w:r w:rsidRPr="00EF28CC">
        <w:rPr>
          <w:rFonts w:ascii="Times New Roman" w:hAnsi="Times New Roman" w:cs="Times New Roman"/>
          <w:sz w:val="20"/>
          <w:szCs w:val="20"/>
          <w:vertAlign w:val="superscript"/>
        </w:rPr>
        <w:endnoteRef/>
      </w:r>
      <w:r w:rsidRPr="00EF28CC">
        <w:rPr>
          <w:rFonts w:ascii="Times New Roman" w:eastAsia="Times New Roman" w:hAnsi="Times New Roman" w:cs="Times New Roman"/>
          <w:sz w:val="20"/>
          <w:szCs w:val="20"/>
          <w:lang w:val="es-ES"/>
        </w:rPr>
        <w:t xml:space="preserve"> Organización Mundial de la Salud y Programa de Reproducción Humana. </w:t>
      </w:r>
      <w:hyperlink r:id="rId32" w:history="1">
        <w:r w:rsidRPr="00EF28CC">
          <w:rPr>
            <w:rStyle w:val="Hyperlink"/>
            <w:rFonts w:ascii="Times New Roman" w:eastAsia="Times New Roman" w:hAnsi="Times New Roman" w:cs="Times New Roman"/>
            <w:color w:val="auto"/>
            <w:sz w:val="20"/>
            <w:szCs w:val="20"/>
            <w:lang w:val="es-ES"/>
          </w:rPr>
          <w:t>Mortalidad materna, Informe de pruebas: Para mejorar la salud materna, es preciso identificar y abordar las barreras que limitan el acceso a servicios de salud materna de calidad en todos los niveles del sistema de salud</w:t>
        </w:r>
      </w:hyperlink>
      <w:r w:rsidRPr="00EF28CC">
        <w:rPr>
          <w:rFonts w:ascii="Times New Roman" w:eastAsia="Times New Roman" w:hAnsi="Times New Roman" w:cs="Times New Roman"/>
          <w:sz w:val="20"/>
          <w:szCs w:val="20"/>
          <w:lang w:val="es-ES"/>
        </w:rPr>
        <w:t xml:space="preserve">, (2019). </w:t>
      </w:r>
    </w:p>
  </w:endnote>
  <w:endnote w:id="37">
    <w:p w14:paraId="6A7F5F82" w14:textId="77777777" w:rsidR="004D1D2D" w:rsidRPr="00EF28CC" w:rsidRDefault="004D1D2D" w:rsidP="00EF28CC">
      <w:pPr>
        <w:pStyle w:val="EndnoteText"/>
        <w:contextualSpacing/>
        <w:jc w:val="both"/>
        <w:rPr>
          <w:lang w:val="es-ES"/>
        </w:rPr>
      </w:pPr>
      <w:r w:rsidRPr="00EF28CC">
        <w:rPr>
          <w:rStyle w:val="EndnoteReference"/>
        </w:rPr>
        <w:endnoteRef/>
      </w:r>
      <w:r w:rsidRPr="00EF28CC">
        <w:rPr>
          <w:lang w:val="es-ES"/>
        </w:rPr>
        <w:t xml:space="preserve"> </w:t>
      </w:r>
      <w:proofErr w:type="spellStart"/>
      <w:r w:rsidRPr="00EF28CC">
        <w:rPr>
          <w:lang w:val="es-ES"/>
        </w:rPr>
        <w:t>Guttmacher</w:t>
      </w:r>
      <w:proofErr w:type="spellEnd"/>
      <w:r w:rsidRPr="00EF28CC">
        <w:rPr>
          <w:lang w:val="es-ES"/>
        </w:rPr>
        <w:t xml:space="preserve"> </w:t>
      </w:r>
      <w:proofErr w:type="spellStart"/>
      <w:r w:rsidRPr="00EF28CC">
        <w:rPr>
          <w:lang w:val="es-ES"/>
        </w:rPr>
        <w:t>Institute</w:t>
      </w:r>
      <w:proofErr w:type="spellEnd"/>
      <w:r w:rsidRPr="00EF28CC">
        <w:rPr>
          <w:lang w:val="es-ES"/>
        </w:rPr>
        <w:t xml:space="preserve">, </w:t>
      </w:r>
      <w:hyperlink r:id="rId33" w:history="1">
        <w:r w:rsidRPr="00EF28CC">
          <w:rPr>
            <w:rStyle w:val="Hyperlink"/>
            <w:color w:val="auto"/>
            <w:lang w:val="es-ES"/>
          </w:rPr>
          <w:t>Perfil de País, Honduras</w:t>
        </w:r>
      </w:hyperlink>
      <w:r w:rsidRPr="00EF28CC">
        <w:rPr>
          <w:lang w:val="es-ES"/>
        </w:rPr>
        <w:t>, (2019).</w:t>
      </w:r>
    </w:p>
  </w:endnote>
  <w:endnote w:id="38">
    <w:p w14:paraId="1090CCF7" w14:textId="5218716E" w:rsidR="00FA54FA" w:rsidRPr="00EF28CC" w:rsidRDefault="00FA54FA" w:rsidP="00EF28CC">
      <w:pPr>
        <w:pStyle w:val="EndnoteText"/>
        <w:spacing w:before="120" w:after="120"/>
        <w:contextualSpacing/>
        <w:jc w:val="both"/>
        <w:rPr>
          <w:lang w:val="es-ES"/>
        </w:rPr>
      </w:pPr>
      <w:r w:rsidRPr="00EF28CC">
        <w:rPr>
          <w:rStyle w:val="EndnoteReference"/>
        </w:rPr>
        <w:endnoteRef/>
      </w:r>
      <w:r w:rsidRPr="00EF28CC">
        <w:rPr>
          <w:lang w:val="es-ES"/>
        </w:rPr>
        <w:t xml:space="preserve"> Human Rights </w:t>
      </w:r>
      <w:proofErr w:type="spellStart"/>
      <w:r w:rsidRPr="00EF28CC">
        <w:rPr>
          <w:lang w:val="es-ES"/>
        </w:rPr>
        <w:t>Watch</w:t>
      </w:r>
      <w:proofErr w:type="spellEnd"/>
      <w:r w:rsidRPr="00EF28CC">
        <w:rPr>
          <w:lang w:val="es-ES"/>
        </w:rPr>
        <w:t xml:space="preserve">, </w:t>
      </w:r>
      <w:hyperlink r:id="rId34" w:history="1">
        <w:r w:rsidRPr="00EF28CC">
          <w:rPr>
            <w:rStyle w:val="Hyperlink"/>
            <w:color w:val="auto"/>
            <w:lang w:val="es-ES"/>
          </w:rPr>
          <w:t>Opciones de vida o muerte para las mujeres que viven bajo la prohibición del aborto en Honduras</w:t>
        </w:r>
      </w:hyperlink>
      <w:r w:rsidR="00DE6A86" w:rsidRPr="00EF28CC">
        <w:rPr>
          <w:lang w:val="es-ES"/>
        </w:rPr>
        <w:t xml:space="preserve"> (</w:t>
      </w:r>
      <w:r w:rsidRPr="00EF28CC">
        <w:rPr>
          <w:lang w:val="es-ES"/>
        </w:rPr>
        <w:t>6 de junio de 2019</w:t>
      </w:r>
      <w:r w:rsidR="00DE6A86" w:rsidRPr="00EF28CC">
        <w:rPr>
          <w:lang w:val="es-ES"/>
        </w:rPr>
        <w:t>)</w:t>
      </w:r>
    </w:p>
  </w:endnote>
  <w:endnote w:id="39">
    <w:p w14:paraId="1E13D934" w14:textId="5E3B470D" w:rsidR="00FA54FA" w:rsidRPr="00EF28CC" w:rsidRDefault="00FA54FA" w:rsidP="00EF28CC">
      <w:pPr>
        <w:pStyle w:val="EndnoteText"/>
        <w:spacing w:after="0"/>
        <w:contextualSpacing/>
        <w:jc w:val="both"/>
        <w:rPr>
          <w:lang w:val="es-ES"/>
        </w:rPr>
      </w:pPr>
      <w:r w:rsidRPr="00EF28CC">
        <w:rPr>
          <w:rStyle w:val="EndnoteReference"/>
        </w:rPr>
        <w:endnoteRef/>
      </w:r>
      <w:r w:rsidRPr="00EF28CC">
        <w:rPr>
          <w:lang w:val="es-ES"/>
        </w:rPr>
        <w:t xml:space="preserve"> </w:t>
      </w:r>
      <w:r w:rsidR="003B3CFE" w:rsidRPr="00EF28CC">
        <w:rPr>
          <w:lang w:val="es-ES"/>
        </w:rPr>
        <w:t xml:space="preserve">Consejo de Derechos Humanos, </w:t>
      </w:r>
      <w:hyperlink r:id="rId35" w:history="1">
        <w:r w:rsidR="003B3CFE" w:rsidRPr="00EF28CC">
          <w:rPr>
            <w:rStyle w:val="Hyperlink"/>
            <w:color w:val="auto"/>
            <w:lang w:val="es-ES"/>
          </w:rPr>
          <w:t>Informe del Grupo de Trabajo sobre la cuestión de la discriminación contra la mujer en la legislación y en la práctica. Visita a Honduras</w:t>
        </w:r>
      </w:hyperlink>
      <w:r w:rsidR="003B3CFE" w:rsidRPr="00EF28CC">
        <w:rPr>
          <w:lang w:val="es-ES"/>
        </w:rPr>
        <w:t xml:space="preserve"> (8 de mayo de 2019) UN </w:t>
      </w:r>
      <w:proofErr w:type="spellStart"/>
      <w:r w:rsidR="003B3CFE" w:rsidRPr="00EF28CC">
        <w:rPr>
          <w:lang w:val="es-ES"/>
        </w:rPr>
        <w:t>Doc</w:t>
      </w:r>
      <w:proofErr w:type="spellEnd"/>
      <w:r w:rsidR="003B3CFE" w:rsidRPr="00EF28CC">
        <w:rPr>
          <w:lang w:val="es-ES"/>
        </w:rPr>
        <w:t xml:space="preserve"> A/HRC/41/33/Add.1, ¶ 51.</w:t>
      </w:r>
    </w:p>
  </w:endnote>
  <w:endnote w:id="40">
    <w:p w14:paraId="7A805F94" w14:textId="15B0E0A2" w:rsidR="00FA54FA" w:rsidRPr="00EF28CC" w:rsidRDefault="00FA54FA" w:rsidP="00EF28CC">
      <w:pPr>
        <w:pStyle w:val="Heading1"/>
        <w:spacing w:before="0" w:line="240" w:lineRule="auto"/>
        <w:contextualSpacing/>
        <w:jc w:val="both"/>
        <w:rPr>
          <w:rFonts w:ascii="Times New Roman" w:hAnsi="Times New Roman" w:cs="Times New Roman"/>
          <w:color w:val="auto"/>
          <w:sz w:val="20"/>
          <w:szCs w:val="20"/>
          <w:lang w:val="es-ES"/>
        </w:rPr>
      </w:pPr>
      <w:r w:rsidRPr="00EF28CC">
        <w:rPr>
          <w:rStyle w:val="EndnoteReference"/>
          <w:rFonts w:ascii="Times New Roman" w:eastAsia="Calibri" w:hAnsi="Times New Roman" w:cs="Times New Roman"/>
          <w:color w:val="auto"/>
          <w:sz w:val="20"/>
          <w:szCs w:val="20"/>
        </w:rPr>
        <w:endnoteRef/>
      </w:r>
      <w:r w:rsidRPr="00EF28CC">
        <w:rPr>
          <w:rFonts w:ascii="Times New Roman" w:eastAsia="Calibri" w:hAnsi="Times New Roman" w:cs="Times New Roman"/>
          <w:color w:val="auto"/>
          <w:sz w:val="20"/>
          <w:szCs w:val="20"/>
          <w:lang w:val="es-ES"/>
        </w:rPr>
        <w:t xml:space="preserve"> OMS, </w:t>
      </w:r>
      <w:hyperlink r:id="rId36" w:history="1">
        <w:r w:rsidRPr="00EF28CC">
          <w:rPr>
            <w:rStyle w:val="Hyperlink"/>
            <w:rFonts w:ascii="Times New Roman" w:eastAsia="Calibri" w:hAnsi="Times New Roman" w:cs="Times New Roman"/>
            <w:color w:val="auto"/>
            <w:sz w:val="20"/>
            <w:szCs w:val="20"/>
            <w:lang w:val="es-ES"/>
          </w:rPr>
          <w:t>Tendencias de la mortalidad materna 2000 a 2020: estimaciones de la OMS, UNICEF, UNFPA, Grupo del Banco Mundial y UNDESA/División de Población, Perfil de país: Mortalidad materna Honduras 2000-2020</w:t>
        </w:r>
      </w:hyperlink>
      <w:r w:rsidRPr="00EF28CC">
        <w:rPr>
          <w:rFonts w:ascii="Times New Roman" w:eastAsia="Calibri" w:hAnsi="Times New Roman" w:cs="Times New Roman"/>
          <w:color w:val="auto"/>
          <w:sz w:val="20"/>
          <w:szCs w:val="20"/>
          <w:lang w:val="es-ES"/>
        </w:rPr>
        <w:t xml:space="preserve">, </w:t>
      </w:r>
      <w:r w:rsidR="00DE6A86" w:rsidRPr="00EF28CC">
        <w:rPr>
          <w:rFonts w:ascii="Times New Roman" w:eastAsia="Calibri" w:hAnsi="Times New Roman" w:cs="Times New Roman"/>
          <w:color w:val="auto"/>
          <w:sz w:val="20"/>
          <w:szCs w:val="20"/>
          <w:lang w:val="es-ES"/>
        </w:rPr>
        <w:t>(</w:t>
      </w:r>
      <w:r w:rsidRPr="00EF28CC">
        <w:rPr>
          <w:rFonts w:ascii="Times New Roman" w:eastAsia="Calibri" w:hAnsi="Times New Roman" w:cs="Times New Roman"/>
          <w:color w:val="auto"/>
          <w:sz w:val="20"/>
          <w:szCs w:val="20"/>
          <w:lang w:val="es-ES"/>
        </w:rPr>
        <w:t>23 de febrero de 2023</w:t>
      </w:r>
      <w:r w:rsidR="00DE6A86" w:rsidRPr="00EF28CC">
        <w:rPr>
          <w:rFonts w:ascii="Times New Roman" w:eastAsia="Calibri" w:hAnsi="Times New Roman" w:cs="Times New Roman"/>
          <w:color w:val="auto"/>
          <w:sz w:val="20"/>
          <w:szCs w:val="20"/>
          <w:lang w:val="es-ES"/>
        </w:rPr>
        <w:t>)</w:t>
      </w:r>
    </w:p>
  </w:endnote>
  <w:endnote w:id="41">
    <w:p w14:paraId="4BDEF57B" w14:textId="77777777" w:rsidR="00931E7C" w:rsidRPr="00EF28CC" w:rsidRDefault="00931E7C" w:rsidP="00EF28CC">
      <w:pPr>
        <w:spacing w:after="0" w:line="240" w:lineRule="auto"/>
        <w:contextualSpacing/>
        <w:jc w:val="both"/>
        <w:rPr>
          <w:rFonts w:ascii="Times New Roman" w:eastAsia="Times New Roman" w:hAnsi="Times New Roman" w:cs="Times New Roman"/>
          <w:sz w:val="20"/>
          <w:szCs w:val="20"/>
          <w:lang w:val="es-ES"/>
        </w:rPr>
      </w:pPr>
      <w:r w:rsidRPr="00EF28CC">
        <w:rPr>
          <w:rFonts w:ascii="Times New Roman" w:hAnsi="Times New Roman" w:cs="Times New Roman"/>
          <w:sz w:val="20"/>
          <w:szCs w:val="20"/>
          <w:vertAlign w:val="superscript"/>
        </w:rPr>
        <w:endnoteRef/>
      </w:r>
      <w:r w:rsidRPr="00EF28CC">
        <w:rPr>
          <w:rFonts w:ascii="Times New Roman" w:eastAsia="Times New Roman" w:hAnsi="Times New Roman" w:cs="Times New Roman"/>
          <w:sz w:val="20"/>
          <w:szCs w:val="20"/>
          <w:lang w:val="es-ES"/>
        </w:rPr>
        <w:t xml:space="preserve"> Greta Rico y Morena Pérez. </w:t>
      </w:r>
      <w:hyperlink r:id="rId37" w:history="1">
        <w:r w:rsidRPr="00EF28CC">
          <w:rPr>
            <w:rStyle w:val="Hyperlink"/>
            <w:rFonts w:ascii="Times New Roman" w:eastAsia="Times New Roman" w:hAnsi="Times New Roman" w:cs="Times New Roman"/>
            <w:color w:val="auto"/>
            <w:sz w:val="20"/>
            <w:szCs w:val="20"/>
            <w:lang w:val="es-ES"/>
          </w:rPr>
          <w:t>Abortar en Honduras: un derecho que se ejerce en la clandestinidad</w:t>
        </w:r>
      </w:hyperlink>
      <w:r w:rsidRPr="00EF28CC">
        <w:rPr>
          <w:rFonts w:ascii="Times New Roman" w:eastAsia="Times New Roman" w:hAnsi="Times New Roman" w:cs="Times New Roman"/>
          <w:sz w:val="20"/>
          <w:szCs w:val="20"/>
          <w:lang w:val="es-ES"/>
        </w:rPr>
        <w:t>, (5 marzo 2020).</w:t>
      </w:r>
    </w:p>
  </w:endnote>
  <w:endnote w:id="42">
    <w:p w14:paraId="437C4ACC" w14:textId="77777777" w:rsidR="00931E7C" w:rsidRPr="00EF28CC" w:rsidRDefault="00931E7C" w:rsidP="00EF28CC">
      <w:pPr>
        <w:pStyle w:val="EndnoteText"/>
        <w:spacing w:after="0"/>
        <w:contextualSpacing/>
        <w:jc w:val="both"/>
        <w:rPr>
          <w:lang w:val="es-ES"/>
        </w:rPr>
      </w:pPr>
      <w:r w:rsidRPr="00EF28CC">
        <w:rPr>
          <w:rStyle w:val="EndnoteReference"/>
        </w:rPr>
        <w:endnoteRef/>
      </w:r>
      <w:r w:rsidRPr="00EF28CC">
        <w:rPr>
          <w:lang w:val="es-ES"/>
        </w:rPr>
        <w:t xml:space="preserve"> De acuerdo con la información recolectada de primera mano por organizaciones de la sociedad civil locales el procedimiento de aborto ilegal seguro puede superar los USD $1600.</w:t>
      </w:r>
    </w:p>
  </w:endnote>
  <w:endnote w:id="43">
    <w:p w14:paraId="124E4928" w14:textId="77777777" w:rsidR="00931E7C" w:rsidRPr="00EF28CC" w:rsidRDefault="00931E7C" w:rsidP="00EF28CC">
      <w:pPr>
        <w:spacing w:after="0" w:line="240" w:lineRule="auto"/>
        <w:contextualSpacing/>
        <w:jc w:val="both"/>
        <w:rPr>
          <w:rFonts w:ascii="Times New Roman" w:eastAsia="Times New Roman" w:hAnsi="Times New Roman" w:cs="Times New Roman"/>
          <w:sz w:val="20"/>
          <w:szCs w:val="20"/>
          <w:lang w:val="es-ES"/>
        </w:rPr>
      </w:pPr>
      <w:r w:rsidRPr="00EF28CC">
        <w:rPr>
          <w:rFonts w:ascii="Times New Roman" w:hAnsi="Times New Roman" w:cs="Times New Roman"/>
          <w:sz w:val="20"/>
          <w:szCs w:val="20"/>
          <w:vertAlign w:val="superscript"/>
        </w:rPr>
        <w:endnoteRef/>
      </w:r>
      <w:r w:rsidRPr="00EF28CC">
        <w:rPr>
          <w:rFonts w:ascii="Times New Roman" w:eastAsia="Times New Roman" w:hAnsi="Times New Roman" w:cs="Times New Roman"/>
          <w:sz w:val="20"/>
          <w:szCs w:val="20"/>
          <w:lang w:val="es-ES"/>
        </w:rPr>
        <w:t xml:space="preserve"> El Financiero. </w:t>
      </w:r>
      <w:hyperlink r:id="rId38" w:history="1">
        <w:r w:rsidRPr="00EF28CC">
          <w:rPr>
            <w:rStyle w:val="Hyperlink"/>
            <w:rFonts w:ascii="Times New Roman" w:eastAsia="Times New Roman" w:hAnsi="Times New Roman" w:cs="Times New Roman"/>
            <w:color w:val="auto"/>
            <w:sz w:val="20"/>
            <w:szCs w:val="20"/>
            <w:lang w:val="es-ES"/>
          </w:rPr>
          <w:t>Ranking de salario mínimo 2023 en América Latina: ¿En qué país ganan más y qué lugar ocupa México?</w:t>
        </w:r>
      </w:hyperlink>
      <w:r w:rsidRPr="00EF28CC">
        <w:rPr>
          <w:rFonts w:ascii="Times New Roman" w:eastAsia="Times New Roman" w:hAnsi="Times New Roman" w:cs="Times New Roman"/>
          <w:sz w:val="20"/>
          <w:szCs w:val="20"/>
          <w:lang w:val="es-ES"/>
        </w:rPr>
        <w:t>, (08 julio 2023)</w:t>
      </w:r>
    </w:p>
  </w:endnote>
  <w:endnote w:id="44">
    <w:p w14:paraId="60593D39" w14:textId="77777777" w:rsidR="00931E7C" w:rsidRPr="00EF28CC" w:rsidRDefault="00931E7C" w:rsidP="00EF28CC">
      <w:pPr>
        <w:spacing w:after="0" w:line="240" w:lineRule="auto"/>
        <w:contextualSpacing/>
        <w:jc w:val="both"/>
        <w:rPr>
          <w:rFonts w:ascii="Times New Roman" w:hAnsi="Times New Roman" w:cs="Times New Roman"/>
          <w:sz w:val="20"/>
          <w:szCs w:val="20"/>
          <w:lang w:val="es-ES"/>
        </w:rPr>
      </w:pPr>
      <w:r w:rsidRPr="00EF28CC">
        <w:rPr>
          <w:rFonts w:ascii="Times New Roman" w:hAnsi="Times New Roman" w:cs="Times New Roman"/>
          <w:sz w:val="20"/>
          <w:szCs w:val="20"/>
          <w:vertAlign w:val="superscript"/>
        </w:rPr>
        <w:endnoteRef/>
      </w:r>
      <w:r w:rsidRPr="00EF28CC">
        <w:rPr>
          <w:rFonts w:ascii="Times New Roman" w:hAnsi="Times New Roman" w:cs="Times New Roman"/>
          <w:sz w:val="20"/>
          <w:szCs w:val="20"/>
          <w:lang w:val="es-ES"/>
        </w:rPr>
        <w:t xml:space="preserve"> Banco Mundial. </w:t>
      </w:r>
      <w:hyperlink r:id="rId39" w:history="1">
        <w:r w:rsidRPr="00EF28CC">
          <w:rPr>
            <w:rStyle w:val="Hyperlink"/>
            <w:rFonts w:ascii="Times New Roman" w:hAnsi="Times New Roman" w:cs="Times New Roman"/>
            <w:color w:val="auto"/>
            <w:sz w:val="20"/>
            <w:szCs w:val="20"/>
            <w:lang w:val="es-ES"/>
          </w:rPr>
          <w:t>Honduras Panorama General</w:t>
        </w:r>
      </w:hyperlink>
      <w:r w:rsidRPr="00EF28CC">
        <w:rPr>
          <w:rFonts w:ascii="Times New Roman" w:hAnsi="Times New Roman" w:cs="Times New Roman"/>
          <w:sz w:val="20"/>
          <w:szCs w:val="20"/>
          <w:lang w:val="es-ES"/>
        </w:rPr>
        <w:t xml:space="preserve">, (4 octubre 2023): En donde se refiere que, antes de la pandemia y los huracanes Eta e Iota, “la mitad de la población [de Honduras] (4,8 millones de personas) vivía con menos de 5,50 dólares al día, [siendo ésta] la segunda tasa de pobreza más alta de ALC después de Haití”.  </w:t>
      </w:r>
    </w:p>
  </w:endnote>
  <w:endnote w:id="45">
    <w:p w14:paraId="5A8EAEAA" w14:textId="77777777" w:rsidR="00931E7C" w:rsidRPr="00EF28CC" w:rsidRDefault="00931E7C" w:rsidP="00EF28CC">
      <w:pPr>
        <w:spacing w:after="0" w:line="240" w:lineRule="auto"/>
        <w:contextualSpacing/>
        <w:jc w:val="both"/>
        <w:rPr>
          <w:rFonts w:ascii="Times New Roman" w:hAnsi="Times New Roman" w:cs="Times New Roman"/>
          <w:sz w:val="20"/>
          <w:szCs w:val="20"/>
          <w:lang w:val="es-ES"/>
        </w:rPr>
      </w:pPr>
      <w:r w:rsidRPr="00EF28CC">
        <w:rPr>
          <w:rFonts w:ascii="Times New Roman" w:hAnsi="Times New Roman" w:cs="Times New Roman"/>
          <w:sz w:val="20"/>
          <w:szCs w:val="20"/>
          <w:vertAlign w:val="superscript"/>
        </w:rPr>
        <w:endnoteRef/>
      </w:r>
      <w:r w:rsidRPr="00EF28CC">
        <w:rPr>
          <w:rFonts w:ascii="Times New Roman" w:hAnsi="Times New Roman" w:cs="Times New Roman"/>
          <w:sz w:val="20"/>
          <w:szCs w:val="20"/>
          <w:lang w:val="es-ES"/>
        </w:rPr>
        <w:t xml:space="preserve"> Banco Mundial. </w:t>
      </w:r>
      <w:hyperlink r:id="rId40" w:history="1">
        <w:r w:rsidRPr="00EF28CC">
          <w:rPr>
            <w:rStyle w:val="Hyperlink"/>
            <w:rFonts w:ascii="Times New Roman" w:hAnsi="Times New Roman" w:cs="Times New Roman"/>
            <w:color w:val="auto"/>
            <w:sz w:val="20"/>
            <w:szCs w:val="20"/>
            <w:lang w:val="es-ES"/>
          </w:rPr>
          <w:t>Honduras Panorama General</w:t>
        </w:r>
      </w:hyperlink>
      <w:r w:rsidRPr="00EF28CC">
        <w:rPr>
          <w:rFonts w:ascii="Times New Roman" w:hAnsi="Times New Roman" w:cs="Times New Roman"/>
          <w:sz w:val="20"/>
          <w:szCs w:val="20"/>
          <w:lang w:val="es-ES"/>
        </w:rPr>
        <w:t>, (4 octubre 2023). Refiriendo que “[l]as proyecciones sugieren que la proporción de personas que viven por debajo de la línea de pobreza de 5,50 dólares al día podría aumentar al 55,4 por ciento en 2020, lo que resultaría en más de 700.000 nuevos pobres, mientras que la desigualdad aumenta ligeramente.</w:t>
      </w:r>
    </w:p>
  </w:endnote>
  <w:endnote w:id="46">
    <w:p w14:paraId="5C7FDBBF" w14:textId="26FE97D0" w:rsidR="002264D6" w:rsidRPr="00EF28CC" w:rsidRDefault="002264D6" w:rsidP="00EF28CC">
      <w:pPr>
        <w:pStyle w:val="EndnoteText"/>
        <w:spacing w:after="0"/>
        <w:contextualSpacing/>
        <w:jc w:val="both"/>
        <w:rPr>
          <w:lang w:val="en-GB"/>
        </w:rPr>
      </w:pPr>
      <w:r w:rsidRPr="00EF28CC">
        <w:rPr>
          <w:rStyle w:val="EndnoteReference"/>
        </w:rPr>
        <w:endnoteRef/>
      </w:r>
      <w:r w:rsidRPr="00EF28CC">
        <w:t xml:space="preserve"> The Globe and Mail "</w:t>
      </w:r>
      <w:hyperlink r:id="rId41" w:history="1">
        <w:r w:rsidRPr="00EF28CC">
          <w:rPr>
            <w:rStyle w:val="Hyperlink"/>
            <w:color w:val="auto"/>
          </w:rPr>
          <w:t>Honduran women risk death and imprisonment as they try to access reproductive care</w:t>
        </w:r>
      </w:hyperlink>
      <w:r w:rsidRPr="00EF28CC">
        <w:t xml:space="preserve">", </w:t>
      </w:r>
      <w:r w:rsidR="00BB6309" w:rsidRPr="00EF28CC">
        <w:t>(</w:t>
      </w:r>
      <w:r w:rsidRPr="00EF28CC">
        <w:t xml:space="preserve">1 de </w:t>
      </w:r>
      <w:proofErr w:type="spellStart"/>
      <w:r w:rsidRPr="00EF28CC">
        <w:t>agosto</w:t>
      </w:r>
      <w:proofErr w:type="spellEnd"/>
      <w:r w:rsidRPr="00EF28CC">
        <w:t xml:space="preserve"> de 2023</w:t>
      </w:r>
      <w:r w:rsidR="00BB6309" w:rsidRPr="00EF28CC">
        <w:t>)</w:t>
      </w:r>
    </w:p>
  </w:endnote>
  <w:endnote w:id="47">
    <w:p w14:paraId="437E5723" w14:textId="4F7A8E14" w:rsidR="00F32DFB" w:rsidRPr="00EF28CC" w:rsidRDefault="007E62E7" w:rsidP="00EF28CC">
      <w:pPr>
        <w:pStyle w:val="EndnoteText"/>
        <w:spacing w:after="0"/>
        <w:contextualSpacing/>
        <w:jc w:val="both"/>
        <w:rPr>
          <w:lang w:val="es-ES"/>
        </w:rPr>
      </w:pPr>
      <w:r w:rsidRPr="00EF28CC">
        <w:rPr>
          <w:rStyle w:val="EndnoteReference"/>
        </w:rPr>
        <w:endnoteRef/>
      </w:r>
      <w:r w:rsidRPr="00EF28CC">
        <w:rPr>
          <w:lang w:val="es-ES"/>
        </w:rPr>
        <w:t xml:space="preserve"> </w:t>
      </w:r>
      <w:r w:rsidR="003B3CFE" w:rsidRPr="00EF28CC">
        <w:rPr>
          <w:lang w:val="es-ES"/>
        </w:rPr>
        <w:t xml:space="preserve">Consejo de Derechos Humanos, </w:t>
      </w:r>
      <w:hyperlink r:id="rId42" w:history="1">
        <w:r w:rsidR="003B3CFE" w:rsidRPr="00EF28CC">
          <w:rPr>
            <w:rStyle w:val="Hyperlink"/>
            <w:color w:val="auto"/>
            <w:lang w:val="es-ES"/>
          </w:rPr>
          <w:t>Informe del Grupo de Trabajo sobre la cuestión de la discriminación contra la mujer en la legislación y en la práctica. Visita a Honduras</w:t>
        </w:r>
      </w:hyperlink>
      <w:r w:rsidR="003B3CFE" w:rsidRPr="00EF28CC">
        <w:rPr>
          <w:lang w:val="es-ES"/>
        </w:rPr>
        <w:t xml:space="preserve"> (8 de mayo de 2019) UN </w:t>
      </w:r>
      <w:proofErr w:type="spellStart"/>
      <w:r w:rsidR="003B3CFE" w:rsidRPr="00EF28CC">
        <w:rPr>
          <w:lang w:val="es-ES"/>
        </w:rPr>
        <w:t>Doc</w:t>
      </w:r>
      <w:proofErr w:type="spellEnd"/>
      <w:r w:rsidR="003B3CFE" w:rsidRPr="00EF28CC">
        <w:rPr>
          <w:lang w:val="es-ES"/>
        </w:rPr>
        <w:t xml:space="preserve"> A/HRC/41/33/Add.1, ¶ </w:t>
      </w:r>
      <w:r w:rsidRPr="00EF28CC">
        <w:rPr>
          <w:lang w:val="es-ES"/>
        </w:rPr>
        <w:t>25.</w:t>
      </w:r>
    </w:p>
  </w:endnote>
  <w:endnote w:id="48">
    <w:p w14:paraId="0A8FC1CE" w14:textId="48B7FB58" w:rsidR="00FA54FA" w:rsidRPr="00EF28CC" w:rsidRDefault="00FA54FA" w:rsidP="00EF28CC">
      <w:pPr>
        <w:spacing w:after="0" w:line="240" w:lineRule="auto"/>
        <w:contextualSpacing/>
        <w:jc w:val="both"/>
        <w:rPr>
          <w:rFonts w:ascii="Times New Roman" w:eastAsia="Times New Roman" w:hAnsi="Times New Roman" w:cs="Times New Roman"/>
          <w:sz w:val="20"/>
          <w:szCs w:val="20"/>
          <w:lang w:val="es-ES"/>
        </w:rPr>
      </w:pPr>
      <w:r w:rsidRPr="00EF28CC">
        <w:rPr>
          <w:rFonts w:ascii="Times New Roman" w:hAnsi="Times New Roman" w:cs="Times New Roman"/>
          <w:sz w:val="20"/>
          <w:szCs w:val="20"/>
          <w:vertAlign w:val="superscript"/>
        </w:rPr>
        <w:endnoteRef/>
      </w:r>
      <w:r w:rsidRPr="00EF28CC">
        <w:rPr>
          <w:rFonts w:ascii="Times New Roman" w:eastAsia="Times New Roman" w:hAnsi="Times New Roman" w:cs="Times New Roman"/>
          <w:sz w:val="20"/>
          <w:szCs w:val="20"/>
          <w:lang w:val="es-ES"/>
        </w:rPr>
        <w:t xml:space="preserve"> Somos Muchas y OPTIO, </w:t>
      </w:r>
      <w:hyperlink r:id="rId43" w:history="1">
        <w:r w:rsidRPr="00EF28CC">
          <w:rPr>
            <w:rStyle w:val="Hyperlink"/>
            <w:rFonts w:ascii="Times New Roman" w:eastAsia="Times New Roman" w:hAnsi="Times New Roman" w:cs="Times New Roman"/>
            <w:color w:val="auto"/>
            <w:sz w:val="20"/>
            <w:szCs w:val="20"/>
            <w:lang w:val="es-ES"/>
          </w:rPr>
          <w:t>Informe La Criminalización de mujeres por el delito de aborto en Honduras</w:t>
        </w:r>
      </w:hyperlink>
      <w:r w:rsidRPr="00EF28CC">
        <w:rPr>
          <w:rStyle w:val="Hyperlink"/>
          <w:rFonts w:ascii="Times New Roman" w:eastAsia="Times New Roman" w:hAnsi="Times New Roman" w:cs="Times New Roman"/>
          <w:color w:val="auto"/>
          <w:sz w:val="20"/>
          <w:szCs w:val="20"/>
          <w:lang w:val="es-ES"/>
        </w:rPr>
        <w:t xml:space="preserve">, </w:t>
      </w:r>
      <w:r w:rsidRPr="00EF28CC">
        <w:rPr>
          <w:rFonts w:ascii="Times New Roman" w:eastAsia="Times New Roman" w:hAnsi="Times New Roman" w:cs="Times New Roman"/>
          <w:sz w:val="20"/>
          <w:szCs w:val="20"/>
          <w:lang w:val="es-ES"/>
        </w:rPr>
        <w:t>(junio 2019)</w:t>
      </w:r>
      <w:r w:rsidR="00BB6309" w:rsidRPr="00EF28CC">
        <w:rPr>
          <w:rFonts w:ascii="Times New Roman" w:eastAsia="Times New Roman" w:hAnsi="Times New Roman" w:cs="Times New Roman"/>
          <w:sz w:val="20"/>
          <w:szCs w:val="20"/>
          <w:lang w:val="es-ES"/>
        </w:rPr>
        <w:t xml:space="preserve"> p. 13 y 37,</w:t>
      </w:r>
    </w:p>
  </w:endnote>
  <w:endnote w:id="49">
    <w:p w14:paraId="480AB4EE" w14:textId="59C83012" w:rsidR="00FA54FA" w:rsidRPr="00A57A41" w:rsidRDefault="00FA54FA" w:rsidP="00EF28CC">
      <w:pPr>
        <w:widowControl w:val="0"/>
        <w:pBdr>
          <w:top w:val="nil"/>
          <w:left w:val="nil"/>
          <w:bottom w:val="nil"/>
          <w:right w:val="nil"/>
          <w:between w:val="nil"/>
        </w:pBdr>
        <w:spacing w:after="0" w:line="240" w:lineRule="auto"/>
        <w:contextualSpacing/>
        <w:jc w:val="both"/>
        <w:rPr>
          <w:rFonts w:ascii="Times New Roman" w:eastAsia="Times New Roman" w:hAnsi="Times New Roman" w:cs="Times New Roman"/>
          <w:sz w:val="20"/>
          <w:szCs w:val="20"/>
          <w:lang w:val="es-CO"/>
        </w:rPr>
      </w:pPr>
      <w:r w:rsidRPr="00EF28CC">
        <w:rPr>
          <w:rFonts w:ascii="Times New Roman" w:hAnsi="Times New Roman" w:cs="Times New Roman"/>
          <w:sz w:val="20"/>
          <w:szCs w:val="20"/>
          <w:vertAlign w:val="superscript"/>
        </w:rPr>
        <w:endnoteRef/>
      </w:r>
      <w:r w:rsidR="00BB6309" w:rsidRPr="00A57A41">
        <w:rPr>
          <w:rFonts w:ascii="Times New Roman" w:eastAsia="Times New Roman" w:hAnsi="Times New Roman" w:cs="Times New Roman"/>
          <w:sz w:val="20"/>
          <w:szCs w:val="20"/>
          <w:lang w:val="es-CO"/>
        </w:rPr>
        <w:t xml:space="preserve"> </w:t>
      </w:r>
      <w:r w:rsidR="00BB6309" w:rsidRPr="00A57A41">
        <w:rPr>
          <w:rFonts w:ascii="Times New Roman" w:eastAsia="Times New Roman" w:hAnsi="Times New Roman" w:cs="Times New Roman"/>
          <w:sz w:val="20"/>
          <w:szCs w:val="20"/>
          <w:lang w:val="es-CO"/>
        </w:rPr>
        <w:t xml:space="preserve">Ibid. </w:t>
      </w:r>
      <w:r w:rsidRPr="00A57A41">
        <w:rPr>
          <w:rFonts w:ascii="Times New Roman" w:eastAsia="Times New Roman" w:hAnsi="Times New Roman" w:cs="Times New Roman"/>
          <w:sz w:val="20"/>
          <w:szCs w:val="20"/>
          <w:lang w:val="es-CO"/>
        </w:rPr>
        <w:t>p. 20</w:t>
      </w:r>
    </w:p>
  </w:endnote>
  <w:endnote w:id="50">
    <w:p w14:paraId="5DCBF809" w14:textId="00B8FAF7" w:rsidR="00FA54FA" w:rsidRPr="00A57A41" w:rsidRDefault="00FA54FA" w:rsidP="00EF28CC">
      <w:pPr>
        <w:widowControl w:val="0"/>
        <w:pBdr>
          <w:top w:val="nil"/>
          <w:left w:val="nil"/>
          <w:bottom w:val="nil"/>
          <w:right w:val="nil"/>
          <w:between w:val="nil"/>
        </w:pBdr>
        <w:spacing w:after="0" w:line="240" w:lineRule="auto"/>
        <w:contextualSpacing/>
        <w:jc w:val="both"/>
        <w:rPr>
          <w:rFonts w:ascii="Times New Roman" w:eastAsia="Times New Roman" w:hAnsi="Times New Roman" w:cs="Times New Roman"/>
          <w:sz w:val="20"/>
          <w:szCs w:val="20"/>
          <w:lang w:val="es-CO"/>
        </w:rPr>
      </w:pPr>
      <w:r w:rsidRPr="00EF28CC">
        <w:rPr>
          <w:rFonts w:ascii="Times New Roman" w:hAnsi="Times New Roman" w:cs="Times New Roman"/>
          <w:sz w:val="20"/>
          <w:szCs w:val="20"/>
          <w:vertAlign w:val="superscript"/>
        </w:rPr>
        <w:endnoteRef/>
      </w:r>
      <w:r w:rsidRPr="00A57A41">
        <w:rPr>
          <w:rFonts w:ascii="Times New Roman" w:eastAsia="Times New Roman" w:hAnsi="Times New Roman" w:cs="Times New Roman"/>
          <w:sz w:val="20"/>
          <w:szCs w:val="20"/>
          <w:lang w:val="es-CO"/>
        </w:rPr>
        <w:t xml:space="preserve"> </w:t>
      </w:r>
      <w:r w:rsidR="00BB6309" w:rsidRPr="00A57A41">
        <w:rPr>
          <w:rFonts w:ascii="Times New Roman" w:eastAsia="Times New Roman" w:hAnsi="Times New Roman" w:cs="Times New Roman"/>
          <w:sz w:val="20"/>
          <w:szCs w:val="20"/>
          <w:lang w:val="es-CO"/>
        </w:rPr>
        <w:t>Ibid.</w:t>
      </w:r>
    </w:p>
  </w:endnote>
  <w:endnote w:id="51">
    <w:p w14:paraId="74F7487C" w14:textId="19FE0D37" w:rsidR="00FA54FA" w:rsidRPr="00A57A41" w:rsidRDefault="00FA54FA" w:rsidP="00EF28CC">
      <w:pPr>
        <w:widowControl w:val="0"/>
        <w:pBdr>
          <w:top w:val="nil"/>
          <w:left w:val="nil"/>
          <w:bottom w:val="nil"/>
          <w:right w:val="nil"/>
          <w:between w:val="nil"/>
        </w:pBdr>
        <w:spacing w:after="0" w:line="240" w:lineRule="auto"/>
        <w:contextualSpacing/>
        <w:jc w:val="both"/>
        <w:rPr>
          <w:rFonts w:ascii="Times New Roman" w:eastAsia="Times New Roman" w:hAnsi="Times New Roman" w:cs="Times New Roman"/>
          <w:sz w:val="20"/>
          <w:szCs w:val="20"/>
          <w:lang w:val="es-CO"/>
        </w:rPr>
      </w:pPr>
      <w:r w:rsidRPr="00EF28CC">
        <w:rPr>
          <w:rFonts w:ascii="Times New Roman" w:hAnsi="Times New Roman" w:cs="Times New Roman"/>
          <w:sz w:val="20"/>
          <w:szCs w:val="20"/>
          <w:vertAlign w:val="superscript"/>
        </w:rPr>
        <w:endnoteRef/>
      </w:r>
      <w:r w:rsidR="00BB6309" w:rsidRPr="00A57A41">
        <w:rPr>
          <w:rFonts w:ascii="Times New Roman" w:eastAsia="Times New Roman" w:hAnsi="Times New Roman" w:cs="Times New Roman"/>
          <w:sz w:val="20"/>
          <w:szCs w:val="20"/>
          <w:lang w:val="es-CO"/>
        </w:rPr>
        <w:t xml:space="preserve"> Ibid. </w:t>
      </w:r>
      <w:r w:rsidRPr="00A57A41">
        <w:rPr>
          <w:rFonts w:ascii="Times New Roman" w:eastAsia="Times New Roman" w:hAnsi="Times New Roman" w:cs="Times New Roman"/>
          <w:sz w:val="20"/>
          <w:szCs w:val="20"/>
          <w:lang w:val="es-CO"/>
        </w:rPr>
        <w:t>p. 21</w:t>
      </w:r>
    </w:p>
  </w:endnote>
  <w:endnote w:id="52">
    <w:p w14:paraId="4DA4A75F" w14:textId="4B0166F2" w:rsidR="00FA54FA" w:rsidRPr="00EF28CC" w:rsidRDefault="00FA54FA" w:rsidP="00EF28CC">
      <w:pPr>
        <w:spacing w:after="0" w:line="240" w:lineRule="auto"/>
        <w:contextualSpacing/>
        <w:jc w:val="both"/>
        <w:rPr>
          <w:rFonts w:ascii="Times New Roman" w:eastAsia="Times New Roman" w:hAnsi="Times New Roman" w:cs="Times New Roman"/>
          <w:sz w:val="20"/>
          <w:szCs w:val="20"/>
          <w:lang w:val="es-ES"/>
        </w:rPr>
      </w:pPr>
      <w:r w:rsidRPr="00EF28CC">
        <w:rPr>
          <w:rFonts w:ascii="Times New Roman" w:hAnsi="Times New Roman" w:cs="Times New Roman"/>
          <w:sz w:val="20"/>
          <w:szCs w:val="20"/>
          <w:vertAlign w:val="superscript"/>
        </w:rPr>
        <w:endnoteRef/>
      </w:r>
      <w:r w:rsidRPr="00EF28CC">
        <w:rPr>
          <w:rFonts w:ascii="Times New Roman" w:eastAsia="Times New Roman" w:hAnsi="Times New Roman" w:cs="Times New Roman"/>
          <w:sz w:val="20"/>
          <w:szCs w:val="20"/>
          <w:lang w:val="es-ES"/>
        </w:rPr>
        <w:t xml:space="preserve"> </w:t>
      </w:r>
      <w:r w:rsidR="00BB6309" w:rsidRPr="00EF28CC">
        <w:rPr>
          <w:rFonts w:ascii="Times New Roman" w:eastAsia="Times New Roman" w:hAnsi="Times New Roman" w:cs="Times New Roman"/>
          <w:sz w:val="20"/>
          <w:szCs w:val="20"/>
          <w:lang w:val="es-ES"/>
        </w:rPr>
        <w:t>Ibid.</w:t>
      </w:r>
      <w:r w:rsidRPr="00EF28CC">
        <w:rPr>
          <w:rFonts w:ascii="Times New Roman" w:eastAsia="Times New Roman" w:hAnsi="Times New Roman" w:cs="Times New Roman"/>
          <w:sz w:val="20"/>
          <w:szCs w:val="20"/>
          <w:lang w:val="es-ES"/>
        </w:rPr>
        <w:t xml:space="preserve"> 13 y 37</w:t>
      </w:r>
    </w:p>
  </w:endnote>
  <w:endnote w:id="53">
    <w:p w14:paraId="62548363" w14:textId="45F2C880" w:rsidR="00FA54FA" w:rsidRPr="00EF28CC" w:rsidRDefault="00FA54FA" w:rsidP="00EF28CC">
      <w:pPr>
        <w:pStyle w:val="EndnoteText"/>
        <w:spacing w:after="0"/>
        <w:contextualSpacing/>
        <w:jc w:val="both"/>
        <w:rPr>
          <w:lang w:val="es-ES"/>
        </w:rPr>
      </w:pPr>
      <w:r w:rsidRPr="00EF28CC">
        <w:rPr>
          <w:rStyle w:val="EndnoteReference"/>
        </w:rPr>
        <w:endnoteRef/>
      </w:r>
      <w:r w:rsidRPr="00EF28CC">
        <w:rPr>
          <w:lang w:val="es-ES"/>
        </w:rPr>
        <w:t xml:space="preserve"> </w:t>
      </w:r>
      <w:r w:rsidR="006F2FA4" w:rsidRPr="00EF28CC">
        <w:rPr>
          <w:rFonts w:eastAsia="Times New Roman"/>
          <w:lang w:val="es-ES"/>
        </w:rPr>
        <w:t xml:space="preserve">Comisión Interamericana de Derechos Humanos, </w:t>
      </w:r>
      <w:hyperlink r:id="rId44" w:history="1">
        <w:r w:rsidR="006F2FA4" w:rsidRPr="00EF28CC">
          <w:rPr>
            <w:rStyle w:val="Hyperlink"/>
            <w:rFonts w:eastAsia="Times New Roman"/>
            <w:color w:val="auto"/>
            <w:lang w:val="es-ES"/>
          </w:rPr>
          <w:t>Situación de derechos humanos en Honduras</w:t>
        </w:r>
      </w:hyperlink>
      <w:r w:rsidR="006F2FA4" w:rsidRPr="00EF28CC">
        <w:rPr>
          <w:rFonts w:eastAsia="Times New Roman"/>
          <w:lang w:val="es-ES"/>
        </w:rPr>
        <w:t>, (27 agosto 2019), OEA/</w:t>
      </w:r>
      <w:proofErr w:type="spellStart"/>
      <w:r w:rsidR="006F2FA4" w:rsidRPr="00EF28CC">
        <w:rPr>
          <w:rFonts w:eastAsia="Times New Roman"/>
          <w:lang w:val="es-ES"/>
        </w:rPr>
        <w:t>Ser.L</w:t>
      </w:r>
      <w:proofErr w:type="spellEnd"/>
      <w:r w:rsidR="006F2FA4" w:rsidRPr="00EF28CC">
        <w:rPr>
          <w:rFonts w:eastAsia="Times New Roman"/>
          <w:lang w:val="es-ES"/>
        </w:rPr>
        <w:t>/V/II, párr. 340</w:t>
      </w:r>
    </w:p>
  </w:endnote>
  <w:endnote w:id="54">
    <w:p w14:paraId="685D273B" w14:textId="7728F134" w:rsidR="00253E8E" w:rsidRPr="00EF28CC" w:rsidRDefault="00253E8E" w:rsidP="00EF28CC">
      <w:pPr>
        <w:pStyle w:val="EndnoteText"/>
        <w:spacing w:before="120" w:after="120"/>
        <w:contextualSpacing/>
        <w:jc w:val="both"/>
        <w:rPr>
          <w:lang w:val="es-ES"/>
        </w:rPr>
      </w:pPr>
      <w:r w:rsidRPr="00EF28CC">
        <w:rPr>
          <w:rStyle w:val="EndnoteReference"/>
        </w:rPr>
        <w:endnoteRef/>
      </w:r>
      <w:r w:rsidRPr="00EF28CC">
        <w:rPr>
          <w:lang w:val="es-ES"/>
        </w:rPr>
        <w:t> </w:t>
      </w:r>
      <w:r w:rsidR="006F2FA4" w:rsidRPr="00EF28CC">
        <w:rPr>
          <w:lang w:val="es-ES"/>
        </w:rPr>
        <w:t>Ibid.</w:t>
      </w:r>
      <w:r w:rsidRPr="00EF28CC">
        <w:rPr>
          <w:lang w:val="es-ES"/>
        </w:rPr>
        <w:t xml:space="preserve"> </w:t>
      </w:r>
    </w:p>
  </w:endnote>
  <w:endnote w:id="55">
    <w:p w14:paraId="58B702A2" w14:textId="4D0DC382" w:rsidR="00253E8E" w:rsidRPr="00EF28CC" w:rsidRDefault="00253E8E" w:rsidP="00EF28CC">
      <w:pPr>
        <w:pStyle w:val="EndnoteText"/>
        <w:spacing w:before="120" w:after="120"/>
        <w:contextualSpacing/>
        <w:jc w:val="both"/>
        <w:rPr>
          <w:lang w:val="es-ES"/>
        </w:rPr>
      </w:pPr>
      <w:r w:rsidRPr="00EF28CC">
        <w:rPr>
          <w:rStyle w:val="EndnoteReference"/>
        </w:rPr>
        <w:endnoteRef/>
      </w:r>
      <w:r w:rsidRPr="00EF28CC">
        <w:rPr>
          <w:lang w:val="es-ES"/>
        </w:rPr>
        <w:t> </w:t>
      </w:r>
      <w:r w:rsidR="006F2FA4" w:rsidRPr="00EF28CC">
        <w:rPr>
          <w:lang w:val="es-ES"/>
        </w:rPr>
        <w:t>Ibid.</w:t>
      </w:r>
    </w:p>
  </w:endnote>
  <w:endnote w:id="56">
    <w:p w14:paraId="7FECF8E2" w14:textId="68035BEA" w:rsidR="00253E8E" w:rsidRPr="00EF28CC" w:rsidRDefault="00253E8E" w:rsidP="00EF28CC">
      <w:pPr>
        <w:pStyle w:val="EndnoteText"/>
        <w:spacing w:before="120" w:after="120"/>
        <w:contextualSpacing/>
        <w:jc w:val="both"/>
        <w:rPr>
          <w:lang w:val="es-ES"/>
        </w:rPr>
      </w:pPr>
      <w:r w:rsidRPr="00EF28CC">
        <w:rPr>
          <w:rStyle w:val="EndnoteReference"/>
        </w:rPr>
        <w:endnoteRef/>
      </w:r>
      <w:r w:rsidRPr="00EF28CC">
        <w:rPr>
          <w:lang w:val="es-ES"/>
        </w:rPr>
        <w:t xml:space="preserve"> </w:t>
      </w:r>
      <w:r w:rsidR="006F2FA4" w:rsidRPr="00EF28CC">
        <w:rPr>
          <w:lang w:val="es-ES"/>
        </w:rPr>
        <w:t>Ibid.</w:t>
      </w:r>
    </w:p>
  </w:endnote>
  <w:endnote w:id="57">
    <w:p w14:paraId="6C8F4206" w14:textId="79F67758" w:rsidR="00D977C4" w:rsidRPr="00EF28CC" w:rsidRDefault="00D977C4" w:rsidP="00EF28CC">
      <w:pPr>
        <w:pStyle w:val="EndnoteText"/>
        <w:spacing w:after="0"/>
        <w:contextualSpacing/>
        <w:jc w:val="both"/>
        <w:rPr>
          <w:lang w:val="es-ES"/>
        </w:rPr>
      </w:pPr>
      <w:r w:rsidRPr="00EF28CC">
        <w:rPr>
          <w:rStyle w:val="EndnoteReference"/>
        </w:rPr>
        <w:endnoteRef/>
      </w:r>
      <w:r w:rsidRPr="00EF28CC">
        <w:rPr>
          <w:lang w:val="es-ES"/>
        </w:rPr>
        <w:t xml:space="preserve"> </w:t>
      </w:r>
      <w:r w:rsidR="00D84110" w:rsidRPr="00EF28CC">
        <w:rPr>
          <w:lang w:val="es-ES"/>
        </w:rPr>
        <w:t xml:space="preserve">Reportar Sin Miedo. </w:t>
      </w:r>
      <w:hyperlink r:id="rId45" w:history="1">
        <w:r w:rsidR="00D84110" w:rsidRPr="00EF28CC">
          <w:rPr>
            <w:rStyle w:val="Hyperlink"/>
            <w:color w:val="auto"/>
            <w:lang w:val="es-ES"/>
          </w:rPr>
          <w:t>Tres países, tres historias de criminalización por aborto</w:t>
        </w:r>
      </w:hyperlink>
      <w:r w:rsidR="00D84110" w:rsidRPr="00EF28CC">
        <w:rPr>
          <w:lang w:val="es-ES"/>
        </w:rPr>
        <w:t xml:space="preserve"> (17 enero 2022)</w:t>
      </w:r>
    </w:p>
  </w:endnote>
  <w:endnote w:id="58">
    <w:p w14:paraId="020251DB" w14:textId="736313DC" w:rsidR="00F32DFB" w:rsidRPr="00EF28CC" w:rsidRDefault="007E62E7" w:rsidP="00EF28CC">
      <w:pPr>
        <w:pStyle w:val="EndnoteText"/>
        <w:spacing w:before="120" w:after="120"/>
        <w:contextualSpacing/>
        <w:jc w:val="both"/>
      </w:pPr>
      <w:r w:rsidRPr="00EF28CC">
        <w:rPr>
          <w:rStyle w:val="EndnoteReference"/>
        </w:rPr>
        <w:endnoteRef/>
      </w:r>
      <w:r w:rsidRPr="00EF28CC">
        <w:t xml:space="preserve"> UNFPA, </w:t>
      </w:r>
      <w:hyperlink r:id="rId46" w:history="1">
        <w:r w:rsidRPr="00EF28CC">
          <w:rPr>
            <w:rStyle w:val="Hyperlink"/>
            <w:color w:val="auto"/>
          </w:rPr>
          <w:t>"Honduras television drama shines light on teen pregnancy, helps girls speak out"</w:t>
        </w:r>
      </w:hyperlink>
      <w:r w:rsidRPr="00EF28CC">
        <w:t xml:space="preserve"> </w:t>
      </w:r>
      <w:r w:rsidR="00BB6309" w:rsidRPr="00EF28CC">
        <w:t>(</w:t>
      </w:r>
      <w:r w:rsidRPr="00EF28CC">
        <w:t xml:space="preserve">4 de </w:t>
      </w:r>
      <w:proofErr w:type="spellStart"/>
      <w:r w:rsidRPr="00EF28CC">
        <w:t>noviembre</w:t>
      </w:r>
      <w:proofErr w:type="spellEnd"/>
      <w:r w:rsidRPr="00EF28CC">
        <w:t xml:space="preserve"> de 2020</w:t>
      </w:r>
      <w:r w:rsidR="00BB6309" w:rsidRPr="00EF28CC">
        <w:t>)</w:t>
      </w:r>
    </w:p>
  </w:endnote>
  <w:endnote w:id="59">
    <w:p w14:paraId="2E0AFFE6" w14:textId="350BCEEF" w:rsidR="00F32DFB" w:rsidRPr="00EF28CC" w:rsidRDefault="007E62E7" w:rsidP="00EF28CC">
      <w:pPr>
        <w:pStyle w:val="EndnoteText"/>
        <w:spacing w:before="120" w:after="120"/>
        <w:contextualSpacing/>
        <w:jc w:val="both"/>
        <w:rPr>
          <w:lang w:val="es-ES"/>
        </w:rPr>
      </w:pPr>
      <w:r w:rsidRPr="00EF28CC">
        <w:rPr>
          <w:rStyle w:val="EndnoteReference"/>
        </w:rPr>
        <w:endnoteRef/>
      </w:r>
      <w:r w:rsidRPr="00EF28CC">
        <w:rPr>
          <w:lang w:val="es-ES"/>
        </w:rPr>
        <w:t xml:space="preserve"> </w:t>
      </w:r>
      <w:r w:rsidR="006F2FA4" w:rsidRPr="00EF28CC">
        <w:rPr>
          <w:lang w:val="es-ES"/>
        </w:rPr>
        <w:t xml:space="preserve">Consejo de Derechos Humanos, </w:t>
      </w:r>
      <w:hyperlink r:id="rId47" w:history="1">
        <w:r w:rsidR="006F2FA4" w:rsidRPr="00EF28CC">
          <w:rPr>
            <w:rStyle w:val="Hyperlink"/>
            <w:color w:val="auto"/>
            <w:lang w:val="es-ES"/>
          </w:rPr>
          <w:t>Informe del Grupo de Trabajo sobre la cuestión de la discriminación contra la mujer en la legislación y en la práctica. Visita a Honduras</w:t>
        </w:r>
      </w:hyperlink>
      <w:r w:rsidR="006F2FA4" w:rsidRPr="00EF28CC">
        <w:rPr>
          <w:lang w:val="es-ES"/>
        </w:rPr>
        <w:t xml:space="preserve"> (8 de mayo de 2019) UN </w:t>
      </w:r>
      <w:proofErr w:type="spellStart"/>
      <w:r w:rsidR="006F2FA4" w:rsidRPr="00EF28CC">
        <w:rPr>
          <w:lang w:val="es-ES"/>
        </w:rPr>
        <w:t>Doc</w:t>
      </w:r>
      <w:proofErr w:type="spellEnd"/>
      <w:r w:rsidR="006F2FA4" w:rsidRPr="00EF28CC">
        <w:rPr>
          <w:lang w:val="es-ES"/>
        </w:rPr>
        <w:t xml:space="preserve"> A/HRC/41/33/Add.1, ¶</w:t>
      </w:r>
      <w:r w:rsidRPr="00EF28CC">
        <w:rPr>
          <w:lang w:val="es-ES"/>
        </w:rPr>
        <w:t>50.</w:t>
      </w:r>
    </w:p>
  </w:endnote>
  <w:endnote w:id="60">
    <w:p w14:paraId="7707DD04" w14:textId="42992698" w:rsidR="00F32DFB" w:rsidRPr="00EF28CC" w:rsidRDefault="007E62E7" w:rsidP="00EF28CC">
      <w:pPr>
        <w:pStyle w:val="EndnoteText"/>
        <w:spacing w:before="120" w:after="120"/>
        <w:contextualSpacing/>
        <w:jc w:val="both"/>
      </w:pPr>
      <w:r w:rsidRPr="00EF28CC">
        <w:rPr>
          <w:rStyle w:val="EndnoteReference"/>
        </w:rPr>
        <w:endnoteRef/>
      </w:r>
      <w:r w:rsidRPr="00EF28CC">
        <w:t xml:space="preserve"> </w:t>
      </w:r>
      <w:proofErr w:type="spellStart"/>
      <w:r w:rsidRPr="00EF28CC">
        <w:t>Médicos</w:t>
      </w:r>
      <w:proofErr w:type="spellEnd"/>
      <w:r w:rsidRPr="00EF28CC">
        <w:t xml:space="preserve"> Sin Fronteras, </w:t>
      </w:r>
      <w:hyperlink r:id="rId48" w:history="1">
        <w:r w:rsidRPr="00EF28CC">
          <w:rPr>
            <w:rStyle w:val="Hyperlink"/>
            <w:color w:val="auto"/>
          </w:rPr>
          <w:t>"Honduras: Bringing sexual and reproductive health care to the community"</w:t>
        </w:r>
      </w:hyperlink>
      <w:r w:rsidRPr="00EF28CC">
        <w:t xml:space="preserve"> </w:t>
      </w:r>
      <w:r w:rsidR="00BB6309" w:rsidRPr="00EF28CC">
        <w:t>(</w:t>
      </w:r>
      <w:r w:rsidRPr="00EF28CC">
        <w:t>9 de septiembre de 2022</w:t>
      </w:r>
      <w:r w:rsidR="00BB6309" w:rsidRPr="00EF28CC">
        <w:t>)</w:t>
      </w:r>
    </w:p>
  </w:endnote>
  <w:endnote w:id="61">
    <w:p w14:paraId="03B6D7B8" w14:textId="5983EC44" w:rsidR="00F32DFB" w:rsidRPr="00EF28CC" w:rsidRDefault="007E62E7" w:rsidP="00EF28CC">
      <w:pPr>
        <w:pStyle w:val="EndnoteText"/>
        <w:spacing w:before="120" w:after="120"/>
        <w:contextualSpacing/>
        <w:jc w:val="both"/>
        <w:rPr>
          <w:lang w:val="es-ES"/>
        </w:rPr>
      </w:pPr>
      <w:r w:rsidRPr="00EF28CC">
        <w:rPr>
          <w:rStyle w:val="EndnoteReference"/>
        </w:rPr>
        <w:endnoteRef/>
      </w:r>
      <w:r w:rsidRPr="00EF28CC">
        <w:rPr>
          <w:lang w:val="es-ES"/>
        </w:rPr>
        <w:t xml:space="preserve"> </w:t>
      </w:r>
      <w:r w:rsidR="006F2FA4" w:rsidRPr="00EF28CC">
        <w:rPr>
          <w:lang w:val="es-ES"/>
        </w:rPr>
        <w:t xml:space="preserve">Consejo de Derechos Humanos, </w:t>
      </w:r>
      <w:hyperlink r:id="rId49" w:history="1">
        <w:r w:rsidR="006F2FA4" w:rsidRPr="00EF28CC">
          <w:rPr>
            <w:rStyle w:val="Hyperlink"/>
            <w:color w:val="auto"/>
            <w:lang w:val="es-ES"/>
          </w:rPr>
          <w:t>Informe del Grupo de Trabajo sobre la cuestión de la discriminación contra la mujer en la legislación y en la práctica. Visita a Honduras</w:t>
        </w:r>
      </w:hyperlink>
      <w:r w:rsidR="006F2FA4" w:rsidRPr="00EF28CC">
        <w:rPr>
          <w:lang w:val="es-ES"/>
        </w:rPr>
        <w:t xml:space="preserve"> (8 de mayo de 2019) UN </w:t>
      </w:r>
      <w:proofErr w:type="spellStart"/>
      <w:r w:rsidR="006F2FA4" w:rsidRPr="00EF28CC">
        <w:rPr>
          <w:lang w:val="es-ES"/>
        </w:rPr>
        <w:t>Doc</w:t>
      </w:r>
      <w:proofErr w:type="spellEnd"/>
      <w:r w:rsidR="006F2FA4" w:rsidRPr="00EF28CC">
        <w:rPr>
          <w:lang w:val="es-ES"/>
        </w:rPr>
        <w:t xml:space="preserve"> A/HRC/41/33/Add.1, ¶</w:t>
      </w:r>
      <w:r w:rsidRPr="00EF28CC">
        <w:rPr>
          <w:lang w:val="es-ES"/>
        </w:rPr>
        <w:t>50.</w:t>
      </w:r>
    </w:p>
  </w:endnote>
  <w:endnote w:id="62">
    <w:p w14:paraId="187E6BAA" w14:textId="5168B87C" w:rsidR="00F32DFB" w:rsidRPr="00EF28CC" w:rsidRDefault="007E62E7" w:rsidP="00EF28CC">
      <w:pPr>
        <w:pStyle w:val="EndnoteText"/>
        <w:spacing w:before="120" w:after="120"/>
        <w:contextualSpacing/>
        <w:jc w:val="both"/>
        <w:rPr>
          <w:lang w:val="es-ES"/>
        </w:rPr>
      </w:pPr>
      <w:r w:rsidRPr="00EF28CC">
        <w:rPr>
          <w:rStyle w:val="EndnoteReference"/>
        </w:rPr>
        <w:endnoteRef/>
      </w:r>
      <w:r w:rsidRPr="00EF28CC">
        <w:rPr>
          <w:lang w:val="es-ES"/>
        </w:rPr>
        <w:t xml:space="preserve"> Global Issues "</w:t>
      </w:r>
      <w:hyperlink r:id="rId50" w:history="1">
        <w:r w:rsidRPr="00EF28CC">
          <w:rPr>
            <w:rStyle w:val="Hyperlink"/>
            <w:color w:val="auto"/>
            <w:lang w:val="es-ES"/>
          </w:rPr>
          <w:t xml:space="preserve">'No' </w:t>
        </w:r>
        <w:proofErr w:type="spellStart"/>
        <w:r w:rsidRPr="00EF28CC">
          <w:rPr>
            <w:rStyle w:val="Hyperlink"/>
            <w:color w:val="auto"/>
            <w:lang w:val="es-ES"/>
          </w:rPr>
          <w:t>to</w:t>
        </w:r>
        <w:proofErr w:type="spellEnd"/>
        <w:r w:rsidRPr="00EF28CC">
          <w:rPr>
            <w:rStyle w:val="Hyperlink"/>
            <w:color w:val="auto"/>
            <w:lang w:val="es-ES"/>
          </w:rPr>
          <w:t xml:space="preserve"> Sex </w:t>
        </w:r>
        <w:proofErr w:type="spellStart"/>
        <w:r w:rsidRPr="00EF28CC">
          <w:rPr>
            <w:rStyle w:val="Hyperlink"/>
            <w:color w:val="auto"/>
            <w:lang w:val="es-ES"/>
          </w:rPr>
          <w:t>Education</w:t>
        </w:r>
        <w:proofErr w:type="spellEnd"/>
        <w:r w:rsidRPr="00EF28CC">
          <w:rPr>
            <w:rStyle w:val="Hyperlink"/>
            <w:color w:val="auto"/>
            <w:lang w:val="es-ES"/>
          </w:rPr>
          <w:t xml:space="preserve"> </w:t>
        </w:r>
        <w:proofErr w:type="spellStart"/>
        <w:r w:rsidRPr="00EF28CC">
          <w:rPr>
            <w:rStyle w:val="Hyperlink"/>
            <w:color w:val="auto"/>
            <w:lang w:val="es-ES"/>
          </w:rPr>
          <w:t>Fuels</w:t>
        </w:r>
        <w:proofErr w:type="spellEnd"/>
        <w:r w:rsidRPr="00EF28CC">
          <w:rPr>
            <w:rStyle w:val="Hyperlink"/>
            <w:color w:val="auto"/>
            <w:lang w:val="es-ES"/>
          </w:rPr>
          <w:t xml:space="preserve"> </w:t>
        </w:r>
        <w:proofErr w:type="spellStart"/>
        <w:r w:rsidRPr="00EF28CC">
          <w:rPr>
            <w:rStyle w:val="Hyperlink"/>
            <w:color w:val="auto"/>
            <w:lang w:val="es-ES"/>
          </w:rPr>
          <w:t>Early</w:t>
        </w:r>
        <w:proofErr w:type="spellEnd"/>
        <w:r w:rsidRPr="00EF28CC">
          <w:rPr>
            <w:rStyle w:val="Hyperlink"/>
            <w:color w:val="auto"/>
            <w:lang w:val="es-ES"/>
          </w:rPr>
          <w:t xml:space="preserve"> </w:t>
        </w:r>
        <w:proofErr w:type="spellStart"/>
        <w:r w:rsidRPr="00EF28CC">
          <w:rPr>
            <w:rStyle w:val="Hyperlink"/>
            <w:color w:val="auto"/>
            <w:lang w:val="es-ES"/>
          </w:rPr>
          <w:t>Pregnancies</w:t>
        </w:r>
        <w:proofErr w:type="spellEnd"/>
        <w:r w:rsidRPr="00EF28CC">
          <w:rPr>
            <w:rStyle w:val="Hyperlink"/>
            <w:color w:val="auto"/>
            <w:lang w:val="es-ES"/>
          </w:rPr>
          <w:t xml:space="preserve"> in Central America</w:t>
        </w:r>
      </w:hyperlink>
      <w:r w:rsidRPr="00EF28CC">
        <w:rPr>
          <w:lang w:val="es-ES"/>
        </w:rPr>
        <w:t>"</w:t>
      </w:r>
      <w:r w:rsidR="00BB6309" w:rsidRPr="00EF28CC">
        <w:rPr>
          <w:lang w:val="es-ES"/>
        </w:rPr>
        <w:t xml:space="preserve"> (</w:t>
      </w:r>
      <w:r w:rsidRPr="00EF28CC">
        <w:rPr>
          <w:lang w:val="es-ES"/>
        </w:rPr>
        <w:t>3 de agosto de 2023</w:t>
      </w:r>
      <w:r w:rsidR="00BB6309" w:rsidRPr="00EF28CC">
        <w:rPr>
          <w:lang w:val="es-ES"/>
        </w:rPr>
        <w:t>)</w:t>
      </w:r>
    </w:p>
  </w:endnote>
  <w:endnote w:id="63">
    <w:p w14:paraId="44F5069D" w14:textId="77777777" w:rsidR="00F32DFB" w:rsidRPr="00EF28CC" w:rsidRDefault="007E62E7" w:rsidP="00EF28CC">
      <w:pPr>
        <w:pStyle w:val="EndnoteText"/>
        <w:contextualSpacing/>
        <w:jc w:val="both"/>
        <w:rPr>
          <w:lang w:val="es-ES"/>
        </w:rPr>
      </w:pPr>
      <w:r w:rsidRPr="00EF28CC">
        <w:rPr>
          <w:rStyle w:val="EndnoteReference"/>
        </w:rPr>
        <w:endnoteRef/>
      </w:r>
      <w:r w:rsidRPr="00EF28CC">
        <w:rPr>
          <w:lang w:val="es-ES"/>
        </w:rPr>
        <w:t xml:space="preserve"> Médicos sin Fronteras. </w:t>
      </w:r>
      <w:hyperlink r:id="rId51" w:anchor=":~:text=Una%20inadecuada%20educaci%C3%B3n%20en%20salud,las%20mujeres%2C%20adolescentes%20y%20ni%C3%B1as." w:tooltip="https://www.msf.es/noticia/norte-honduras-las-mujeres-son-excluidas-las-graves-limitaciones-acceso-salud-sexual-y#:~:text=Una%20inadecuada%20educaci%C3%B3n%20en%20salud,las%20mujeres%2C%20adolescentes%20y%20ni%C3%B1as." w:history="1">
        <w:r w:rsidRPr="00EF28CC">
          <w:rPr>
            <w:rStyle w:val="Hyperlink"/>
            <w:color w:val="auto"/>
            <w:lang w:val="es-ES"/>
          </w:rPr>
          <w:t>En el norte de Honduras, las mujeres son excluidas por las graves limitaciones de acceso a salud sexual y reproductiva</w:t>
        </w:r>
      </w:hyperlink>
      <w:r w:rsidRPr="00EF28CC">
        <w:rPr>
          <w:lang w:val="es-ES"/>
        </w:rPr>
        <w:t>, (8 septiembre 2022).</w:t>
      </w:r>
    </w:p>
  </w:endnote>
  <w:endnote w:id="64">
    <w:p w14:paraId="070B952C" w14:textId="3F3BB64A" w:rsidR="00F32DFB" w:rsidRPr="00EF28CC" w:rsidRDefault="007E62E7" w:rsidP="00EF28CC">
      <w:pPr>
        <w:pStyle w:val="EndnoteText"/>
        <w:contextualSpacing/>
        <w:jc w:val="both"/>
        <w:rPr>
          <w:highlight w:val="yellow"/>
          <w:lang w:val="es-ES"/>
        </w:rPr>
      </w:pPr>
      <w:r w:rsidRPr="00EF28CC">
        <w:rPr>
          <w:rStyle w:val="EndnoteReference"/>
        </w:rPr>
        <w:endnoteRef/>
      </w:r>
      <w:r w:rsidRPr="00EF28CC">
        <w:rPr>
          <w:lang w:val="es-ES"/>
        </w:rPr>
        <w:t xml:space="preserve"> </w:t>
      </w:r>
      <w:r w:rsidR="00BB6309" w:rsidRPr="00EF28CC">
        <w:rPr>
          <w:lang w:val="es-ES"/>
        </w:rPr>
        <w:t xml:space="preserve">Joan Suazo. </w:t>
      </w:r>
      <w:r w:rsidR="00645010" w:rsidRPr="00EF28CC">
        <w:rPr>
          <w:lang w:val="es-ES"/>
        </w:rPr>
        <w:t>“</w:t>
      </w:r>
      <w:hyperlink r:id="rId52" w:history="1">
        <w:r w:rsidR="00645010" w:rsidRPr="00EF28CC">
          <w:rPr>
            <w:rStyle w:val="Hyperlink"/>
            <w:color w:val="auto"/>
            <w:lang w:val="es-ES"/>
          </w:rPr>
          <w:t>No te metas con mis hijos”, el movimiento conservador que se adueña de las calles y las redes sociales en Honduras</w:t>
        </w:r>
      </w:hyperlink>
      <w:r w:rsidR="00A92E6D" w:rsidRPr="00EF28CC">
        <w:rPr>
          <w:lang w:val="es-ES"/>
        </w:rPr>
        <w:t xml:space="preserve"> </w:t>
      </w:r>
      <w:r w:rsidRPr="00EF28CC">
        <w:rPr>
          <w:lang w:val="es-ES"/>
        </w:rPr>
        <w:t>(</w:t>
      </w:r>
      <w:r w:rsidR="00A92E6D" w:rsidRPr="00EF28CC">
        <w:rPr>
          <w:lang w:val="es-ES"/>
        </w:rPr>
        <w:t>28 de julio de 2023</w:t>
      </w:r>
      <w:r w:rsidRPr="00EF28CC">
        <w:rPr>
          <w:lang w:val="es-ES"/>
        </w:rPr>
        <w:t>).</w:t>
      </w:r>
    </w:p>
  </w:endnote>
  <w:endnote w:id="65">
    <w:p w14:paraId="0CC10B74" w14:textId="7A946D9F" w:rsidR="006E3FB8" w:rsidRPr="00EF28CC" w:rsidRDefault="006E3FB8" w:rsidP="00EF28CC">
      <w:pPr>
        <w:pStyle w:val="EndnoteText"/>
        <w:contextualSpacing/>
        <w:jc w:val="both"/>
        <w:rPr>
          <w:lang w:val="es-ES"/>
        </w:rPr>
      </w:pPr>
      <w:r w:rsidRPr="00EF28CC">
        <w:rPr>
          <w:rStyle w:val="EndnoteReference"/>
        </w:rPr>
        <w:endnoteRef/>
      </w:r>
      <w:r w:rsidRPr="00EF28CC">
        <w:rPr>
          <w:lang w:val="es-ES"/>
        </w:rPr>
        <w:t xml:space="preserve"> </w:t>
      </w:r>
      <w:r w:rsidR="002E226D" w:rsidRPr="00EF28CC">
        <w:rPr>
          <w:lang w:val="es-ES"/>
        </w:rPr>
        <w:t xml:space="preserve">Comisión de Equidad de Género. </w:t>
      </w:r>
      <w:hyperlink r:id="rId53" w:history="1">
        <w:r w:rsidR="002E226D" w:rsidRPr="00EF28CC">
          <w:rPr>
            <w:rStyle w:val="Hyperlink"/>
            <w:color w:val="auto"/>
            <w:lang w:val="es-ES"/>
          </w:rPr>
          <w:t>Ley de Educación Integral de Prevención al Embarazo Adolescente en Honduras</w:t>
        </w:r>
      </w:hyperlink>
      <w:r w:rsidR="002E226D" w:rsidRPr="00EF28CC">
        <w:rPr>
          <w:lang w:val="es-ES"/>
        </w:rPr>
        <w:t xml:space="preserve"> (</w:t>
      </w:r>
      <w:r w:rsidR="008456B8" w:rsidRPr="00EF28CC">
        <w:rPr>
          <w:lang w:val="es-ES"/>
        </w:rPr>
        <w:t>junio 2023)</w:t>
      </w:r>
    </w:p>
  </w:endnote>
  <w:endnote w:id="66">
    <w:p w14:paraId="3B780CFE" w14:textId="77777777" w:rsidR="00F100F5" w:rsidRPr="00EF28CC" w:rsidRDefault="00F100F5" w:rsidP="00EF28CC">
      <w:pPr>
        <w:pStyle w:val="EndnoteText"/>
        <w:contextualSpacing/>
        <w:jc w:val="both"/>
        <w:rPr>
          <w:lang w:val="es-ES"/>
        </w:rPr>
      </w:pPr>
      <w:r w:rsidRPr="00EF28CC">
        <w:rPr>
          <w:rStyle w:val="EndnoteReference"/>
        </w:rPr>
        <w:endnoteRef/>
      </w:r>
      <w:r w:rsidRPr="00EF28CC">
        <w:rPr>
          <w:lang w:val="es-ES"/>
        </w:rPr>
        <w:t xml:space="preserve"> Los objetivos de la ley, son: i) Promover y garantizar la enseñanza de la educación integral de prevención al embarazo adolescente, basada en un enfoque de derechos, en todas las modalidades del sistema educativo público de gestión estatal y de gestión </w:t>
      </w:r>
      <w:r w:rsidRPr="00EF28CC">
        <w:rPr>
          <w:lang w:val="es-ES"/>
        </w:rPr>
        <w:t>privada No gubernamental; ii) Contribuir al desarrollo de la personalidad y de las capacidades de hondureños y hondureñas, en condiciones de libertad, igualdad, sin discriminación y con respeto a la dignidad humana; iii) Asegurar la inclusión de la educación integral para la prevención al embarazo adolescente, en el marco curricular nacional que promueva la formación integral de niños y niñas, el empoderamiento y la responsabilidad de las personas adolescentes; iv) Brindar información científica, precisa, actualizada y adecuada a cada etapa de desarrollo de los y las educandos/as, acerca de los distintos aspectos involucrados en sexualidad enfocándose en la formación integral de la persona, respetando su dignidad, sus derechos, su conciencia y su cultura; v) Fomentar una conducta responsable en el ejercicio de la sexualidad y estimular la postergación del inicio de las relaciones sexuales, hasta que la persona alcance la madurez física, emocional y mental; vi) Prevenir los embarazos no deseados y difundir el conocimiento del uso de los métodos anticonceptivos modernos en las personas adolescentes sexualmente activos y en madres adolescentes; vii) Desarrollar acciones para la promoción de hábitos de vida saludables y prevenir las enfermedades de transmisión sexual como el VIH/SIDA; viii) Prevenir la deserción escolar y los diferentes tipos de violencia con énfasis en el combate contra toda práctica sexual coercitiva, el abuso y la violencia sexual; ix) Generar conciencia sobre las obligaciones derivadas de la maternidad y la paternidad; x) Promover la participación activa de los y las adolescentes en las estrategias de la educación integral para la prevención al embarazo adolescente en Honduras; xi) Fomentar el involucramiento y la responsabilidad de la familia como ámbito de cuidado y formación de niñas, niños y las personas adolescentes, y; xii) Mejorar las competencias de la familia y cuidadores para que ellos y ellas promuevan y colaboren en la formación y educación integral de prevención al embarazo adolescente en Honduras, de sus, niños, niñas y adolescentes.</w:t>
      </w:r>
    </w:p>
  </w:endnote>
  <w:endnote w:id="67">
    <w:p w14:paraId="0E9DD991" w14:textId="77777777" w:rsidR="00F32DFB" w:rsidRPr="00EF28CC" w:rsidRDefault="007E62E7" w:rsidP="00EF28CC">
      <w:pPr>
        <w:pStyle w:val="EndnoteText"/>
        <w:contextualSpacing/>
        <w:jc w:val="both"/>
        <w:rPr>
          <w:lang w:val="es-ES"/>
        </w:rPr>
      </w:pPr>
      <w:r w:rsidRPr="00EF28CC">
        <w:rPr>
          <w:rStyle w:val="EndnoteReference"/>
        </w:rPr>
        <w:endnoteRef/>
      </w:r>
      <w:r w:rsidRPr="00EF28CC">
        <w:rPr>
          <w:lang w:val="es-ES"/>
        </w:rPr>
        <w:t xml:space="preserve"> Congreso Nacional. </w:t>
      </w:r>
      <w:hyperlink r:id="rId54" w:tooltip="https://congresonacional.hn/noticias/640938bd642e0754ed334ce7" w:history="1">
        <w:r w:rsidRPr="00EF28CC">
          <w:rPr>
            <w:rStyle w:val="Hyperlink"/>
            <w:color w:val="auto"/>
            <w:lang w:val="es-ES"/>
          </w:rPr>
          <w:t>CN aprobó la “Ley de Educación Integral de Prevención al Embarazo Adolescente en Honduras”</w:t>
        </w:r>
      </w:hyperlink>
      <w:r w:rsidRPr="00EF28CC">
        <w:rPr>
          <w:lang w:val="es-ES"/>
        </w:rPr>
        <w:t>, (8 marzo 2023).</w:t>
      </w:r>
    </w:p>
  </w:endnote>
  <w:endnote w:id="68">
    <w:p w14:paraId="58B05702" w14:textId="3DAB4D4B" w:rsidR="00F32DFB" w:rsidRPr="00EF28CC" w:rsidRDefault="007E62E7" w:rsidP="00EF28CC">
      <w:pPr>
        <w:pStyle w:val="EndnoteText"/>
        <w:contextualSpacing/>
        <w:jc w:val="both"/>
        <w:rPr>
          <w:lang w:val="es-ES"/>
        </w:rPr>
      </w:pPr>
      <w:r w:rsidRPr="00EF28CC">
        <w:rPr>
          <w:rStyle w:val="EndnoteReference"/>
        </w:rPr>
        <w:endnoteRef/>
      </w:r>
      <w:r w:rsidRPr="00EF28CC">
        <w:rPr>
          <w:lang w:val="es-ES"/>
        </w:rPr>
        <w:t xml:space="preserve"> </w:t>
      </w:r>
      <w:r w:rsidR="00E068FF" w:rsidRPr="00EF28CC">
        <w:rPr>
          <w:lang w:val="es-ES"/>
        </w:rPr>
        <w:t xml:space="preserve">Asamblea Nacional Constituyente. Constitución de la República. </w:t>
      </w:r>
      <w:hyperlink r:id="rId55" w:history="1">
        <w:r w:rsidR="00E068FF" w:rsidRPr="00EF28CC">
          <w:rPr>
            <w:rStyle w:val="Hyperlink"/>
            <w:color w:val="auto"/>
            <w:lang w:val="es-ES"/>
          </w:rPr>
          <w:t>Decreto No.131</w:t>
        </w:r>
      </w:hyperlink>
      <w:r w:rsidR="00E068FF" w:rsidRPr="00EF28CC">
        <w:rPr>
          <w:lang w:val="es-ES"/>
        </w:rPr>
        <w:t xml:space="preserve"> (11 enero 1982). </w:t>
      </w:r>
      <w:r w:rsidRPr="00EF28CC">
        <w:rPr>
          <w:lang w:val="es-ES"/>
        </w:rPr>
        <w:t>Artículo 215</w:t>
      </w:r>
    </w:p>
  </w:endnote>
  <w:endnote w:id="69">
    <w:p w14:paraId="0006BE93" w14:textId="77777777" w:rsidR="00F32DFB" w:rsidRPr="00EF28CC" w:rsidRDefault="007E62E7" w:rsidP="00EF28CC">
      <w:pPr>
        <w:pStyle w:val="EndnoteText"/>
        <w:contextualSpacing/>
        <w:jc w:val="both"/>
        <w:rPr>
          <w:lang w:val="es-ES"/>
        </w:rPr>
      </w:pPr>
      <w:r w:rsidRPr="00EF28CC">
        <w:rPr>
          <w:rStyle w:val="EndnoteReference"/>
        </w:rPr>
        <w:endnoteRef/>
      </w:r>
      <w:r w:rsidRPr="00EF28CC">
        <w:rPr>
          <w:lang w:val="es-ES"/>
        </w:rPr>
        <w:t xml:space="preserve"> Ibid. Artículo 216</w:t>
      </w:r>
    </w:p>
  </w:endnote>
  <w:endnote w:id="70">
    <w:p w14:paraId="1DC9AE86" w14:textId="77777777" w:rsidR="00F32DFB" w:rsidRPr="00EF28CC" w:rsidRDefault="007E62E7" w:rsidP="00EF28CC">
      <w:pPr>
        <w:pStyle w:val="EndnoteText"/>
        <w:spacing w:after="0"/>
        <w:contextualSpacing/>
        <w:jc w:val="both"/>
        <w:rPr>
          <w:lang w:val="es-ES"/>
        </w:rPr>
      </w:pPr>
      <w:r w:rsidRPr="00EF28CC">
        <w:rPr>
          <w:rStyle w:val="EndnoteReference"/>
        </w:rPr>
        <w:endnoteRef/>
      </w:r>
      <w:r w:rsidRPr="00EF28CC">
        <w:rPr>
          <w:lang w:val="es-ES"/>
        </w:rPr>
        <w:t xml:space="preserve"> DW, </w:t>
      </w:r>
      <w:hyperlink r:id="rId56" w:history="1">
        <w:r w:rsidRPr="00EF28CC">
          <w:rPr>
            <w:rStyle w:val="Hyperlink"/>
            <w:color w:val="auto"/>
            <w:lang w:val="es-ES"/>
          </w:rPr>
          <w:t>Miles marchan contra la "ideología de género" en Honduras</w:t>
        </w:r>
      </w:hyperlink>
      <w:r w:rsidRPr="00EF28CC">
        <w:rPr>
          <w:lang w:val="es-ES"/>
        </w:rPr>
        <w:t xml:space="preserve">, 2023, </w:t>
      </w:r>
    </w:p>
  </w:endnote>
  <w:endnote w:id="71">
    <w:p w14:paraId="5D390918" w14:textId="77777777" w:rsidR="00F32DFB" w:rsidRPr="00EF28CC" w:rsidRDefault="007E62E7" w:rsidP="00EF28CC">
      <w:pPr>
        <w:pStyle w:val="EndnoteText"/>
        <w:contextualSpacing/>
        <w:jc w:val="both"/>
        <w:rPr>
          <w:lang w:val="es-ES"/>
        </w:rPr>
      </w:pPr>
      <w:r w:rsidRPr="00EF28CC">
        <w:rPr>
          <w:rStyle w:val="EndnoteReference"/>
        </w:rPr>
        <w:endnoteRef/>
      </w:r>
      <w:r w:rsidRPr="00EF28CC">
        <w:rPr>
          <w:lang w:val="es-ES"/>
        </w:rPr>
        <w:t xml:space="preserve"> X. Xiomara Castro. </w:t>
      </w:r>
      <w:r w:rsidRPr="00EF28CC">
        <w:rPr>
          <w:rFonts w:eastAsia="Cambria"/>
          <w:lang w:val="es-ES"/>
        </w:rPr>
        <w:t xml:space="preserve">29 de julio de 2023. </w:t>
      </w:r>
      <w:r w:rsidRPr="00EF28CC">
        <w:rPr>
          <w:lang w:val="es-ES"/>
        </w:rPr>
        <w:t xml:space="preserve">Recuperado de: </w:t>
      </w:r>
      <w:hyperlink r:id="rId57" w:tooltip="https://twitter.com/XiomaraCastroZ/status/1685363148889485313" w:history="1">
        <w:r w:rsidRPr="00EF28CC">
          <w:rPr>
            <w:rStyle w:val="Hyperlink"/>
            <w:color w:val="auto"/>
            <w:lang w:val="es-ES"/>
          </w:rPr>
          <w:t>https://twitter.com/XiomaraCastroZ/status/1685363148889485313</w:t>
        </w:r>
      </w:hyperlink>
      <w:r w:rsidRPr="00EF28CC">
        <w:rPr>
          <w:lang w:val="es-ES"/>
        </w:rPr>
        <w:t xml:space="preserve"> </w:t>
      </w:r>
    </w:p>
  </w:endnote>
  <w:endnote w:id="72">
    <w:p w14:paraId="69432EC7" w14:textId="77777777" w:rsidR="00F32DFB" w:rsidRPr="00EF28CC" w:rsidRDefault="007E62E7" w:rsidP="00EF28CC">
      <w:pPr>
        <w:pStyle w:val="EndnoteText"/>
        <w:contextualSpacing/>
        <w:jc w:val="both"/>
        <w:rPr>
          <w:lang w:val="es-ES"/>
        </w:rPr>
      </w:pPr>
      <w:r w:rsidRPr="00EF28CC">
        <w:rPr>
          <w:rStyle w:val="EndnoteReference"/>
        </w:rPr>
        <w:endnoteRef/>
      </w:r>
      <w:r w:rsidRPr="00EF28CC">
        <w:rPr>
          <w:lang w:val="es-ES"/>
        </w:rPr>
        <w:t xml:space="preserve"> Ibid.</w:t>
      </w:r>
    </w:p>
  </w:endnote>
  <w:endnote w:id="73">
    <w:p w14:paraId="51667829" w14:textId="77777777" w:rsidR="00F32DFB" w:rsidRPr="00EF28CC" w:rsidRDefault="007E62E7" w:rsidP="00EF28CC">
      <w:pPr>
        <w:pStyle w:val="EndnoteText"/>
        <w:contextualSpacing/>
        <w:jc w:val="both"/>
        <w:rPr>
          <w:lang w:val="es-ES"/>
        </w:rPr>
      </w:pPr>
      <w:r w:rsidRPr="00EF28CC">
        <w:rPr>
          <w:rStyle w:val="EndnoteReference"/>
        </w:rPr>
        <w:endnoteRef/>
      </w:r>
      <w:r w:rsidRPr="00EF28CC">
        <w:rPr>
          <w:lang w:val="es-ES"/>
        </w:rPr>
        <w:t xml:space="preserve"> Los argumentos para el veto de la ley presentan algunas inconsistencias. En primer lugar, uno de los principios de la Ley vetada es “el reconocimiento y valoración de las familias y los centros educativos como espacios de formación de las niñas, niños y personas adolescentes”. En segundo lugar, el anteproyecto de la Ley fue construido por personas expertas; además, las Secretarías de Estado que menciona el veto presidencial, sí fueron parte del nuevo proceso de presentación, teniendo la oportunidad de revisar y redactar propuestas para su mejora. En tercer lugar, la Ley vetada ya menciona quiénes son los sujetos obligados para el cumplimiento de ésta: Secretaría de Educación, Secretaría de Salud, Secretaría de Desarrollo Social y el Consejo de Educación Superior, en el ámbito de la educación superior. Y, en cuarto lugar, para la debida profundización y efectiva aplicación de la Ley, ésta ya ordena su reglamentación, indicando que este reglamento debía estar listo dos meses después de que la Ley </w:t>
      </w:r>
      <w:proofErr w:type="gramStart"/>
      <w:r w:rsidRPr="00EF28CC">
        <w:rPr>
          <w:lang w:val="es-ES"/>
        </w:rPr>
        <w:t>entrara en vigencia</w:t>
      </w:r>
      <w:proofErr w:type="gramEnd"/>
      <w:r w:rsidRPr="00EF28CC">
        <w:rPr>
          <w:lang w:val="es-ES"/>
        </w:rPr>
        <w:t>.</w:t>
      </w:r>
    </w:p>
  </w:endnote>
  <w:endnote w:id="74">
    <w:p w14:paraId="631C9E00" w14:textId="77777777" w:rsidR="00F32DFB" w:rsidRPr="00EF28CC" w:rsidRDefault="007E62E7" w:rsidP="00EF28CC">
      <w:pPr>
        <w:pStyle w:val="EndnoteText"/>
        <w:contextualSpacing/>
        <w:jc w:val="both"/>
        <w:rPr>
          <w:lang w:val="es-ES"/>
        </w:rPr>
      </w:pPr>
      <w:r w:rsidRPr="00EF28CC">
        <w:rPr>
          <w:rStyle w:val="EndnoteReference"/>
        </w:rPr>
        <w:endnoteRef/>
      </w:r>
      <w:r w:rsidRPr="00EF28CC">
        <w:rPr>
          <w:lang w:val="es-ES"/>
        </w:rPr>
        <w:t xml:space="preserve"> Breidy Hernández. </w:t>
      </w:r>
      <w:hyperlink r:id="rId58" w:tooltip="https://criterio.hn/pese-a-altos-indices-de-embarazos-en-adolescentes-honduras-aun-no-cuenta-con-una-ley-de-prevencion/" w:history="1">
        <w:r w:rsidRPr="00EF28CC">
          <w:rPr>
            <w:rStyle w:val="Hyperlink"/>
            <w:color w:val="auto"/>
            <w:lang w:val="es-ES"/>
          </w:rPr>
          <w:t>Pese a altos índices de embarazos en adolescentes, Honduras aún no cuenta con una ley de prevención</w:t>
        </w:r>
      </w:hyperlink>
      <w:r w:rsidRPr="00EF28CC">
        <w:rPr>
          <w:rStyle w:val="Hyperlink"/>
          <w:color w:val="auto"/>
          <w:lang w:val="es-ES"/>
        </w:rPr>
        <w:t>,</w:t>
      </w:r>
      <w:r w:rsidRPr="00EF28CC">
        <w:rPr>
          <w:lang w:val="es-ES"/>
        </w:rPr>
        <w:t xml:space="preserve"> (10 julio 2023).  </w:t>
      </w:r>
    </w:p>
  </w:endnote>
  <w:endnote w:id="75">
    <w:p w14:paraId="018B4165" w14:textId="0C5F2301" w:rsidR="00F46470" w:rsidRPr="00EF28CC" w:rsidRDefault="00F46470" w:rsidP="00EF28CC">
      <w:pPr>
        <w:pStyle w:val="EndnoteText"/>
        <w:spacing w:before="120" w:after="120"/>
        <w:contextualSpacing/>
        <w:jc w:val="both"/>
      </w:pPr>
      <w:r w:rsidRPr="00EF28CC">
        <w:rPr>
          <w:rStyle w:val="EndnoteReference"/>
        </w:rPr>
        <w:endnoteRef/>
      </w:r>
      <w:r w:rsidRPr="00EF28CC">
        <w:t xml:space="preserve"> </w:t>
      </w:r>
      <w:r w:rsidRPr="00EF28CC">
        <w:t xml:space="preserve">Guttmacher Institute, </w:t>
      </w:r>
      <w:hyperlink r:id="rId59" w:history="1">
        <w:r w:rsidRPr="00EF28CC">
          <w:rPr>
            <w:rStyle w:val="Hyperlink"/>
            <w:color w:val="auto"/>
          </w:rPr>
          <w:t>Perfil de país: Honduras - Meeting the needs for essential sexual and reproductive health services</w:t>
        </w:r>
      </w:hyperlink>
      <w:r w:rsidR="00780DC3" w:rsidRPr="00EF28CC">
        <w:t xml:space="preserve"> (</w:t>
      </w:r>
      <w:r w:rsidR="00777C67" w:rsidRPr="00EF28CC">
        <w:t>2024)</w:t>
      </w:r>
    </w:p>
  </w:endnote>
  <w:endnote w:id="76">
    <w:p w14:paraId="5658733E" w14:textId="3F540545" w:rsidR="00F46470" w:rsidRPr="00EF28CC" w:rsidRDefault="00F46470" w:rsidP="00EF28CC">
      <w:pPr>
        <w:pStyle w:val="EndnoteText"/>
        <w:spacing w:before="120" w:after="120"/>
        <w:contextualSpacing/>
        <w:jc w:val="both"/>
        <w:rPr>
          <w:lang w:val="es-ES"/>
        </w:rPr>
      </w:pPr>
      <w:r w:rsidRPr="00EF28CC">
        <w:rPr>
          <w:rStyle w:val="EndnoteReference"/>
        </w:rPr>
        <w:endnoteRef/>
      </w:r>
      <w:r w:rsidRPr="00EF28CC">
        <w:rPr>
          <w:lang w:val="es-ES"/>
        </w:rPr>
        <w:t xml:space="preserve"> </w:t>
      </w:r>
      <w:r w:rsidR="00780DC3" w:rsidRPr="00EF28CC">
        <w:rPr>
          <w:lang w:val="es-ES"/>
        </w:rPr>
        <w:t xml:space="preserve">Human Rights Watch, </w:t>
      </w:r>
      <w:hyperlink r:id="rId60" w:history="1">
        <w:r w:rsidR="00780DC3" w:rsidRPr="00EF28CC">
          <w:rPr>
            <w:rStyle w:val="Hyperlink"/>
            <w:color w:val="auto"/>
            <w:lang w:val="es-ES"/>
          </w:rPr>
          <w:t>Opciones de vida o muerte para las mujeres que viven bajo la prohibición del aborto en Honduras</w:t>
        </w:r>
      </w:hyperlink>
      <w:r w:rsidR="00780DC3" w:rsidRPr="00EF28CC">
        <w:rPr>
          <w:lang w:val="es-ES"/>
        </w:rPr>
        <w:t xml:space="preserve"> (6 de junio de 2019)</w:t>
      </w:r>
    </w:p>
  </w:endnote>
  <w:endnote w:id="77">
    <w:p w14:paraId="1A49EA2B" w14:textId="4412E4D3" w:rsidR="00F46470" w:rsidRPr="00EF28CC" w:rsidRDefault="00F46470" w:rsidP="00EF28CC">
      <w:pPr>
        <w:pStyle w:val="EndnoteText"/>
        <w:spacing w:before="120" w:after="120"/>
        <w:contextualSpacing/>
        <w:jc w:val="both"/>
        <w:rPr>
          <w:lang w:val="es-ES"/>
        </w:rPr>
      </w:pPr>
      <w:r w:rsidRPr="00EF28CC">
        <w:rPr>
          <w:rStyle w:val="EndnoteReference"/>
        </w:rPr>
        <w:endnoteRef/>
      </w:r>
      <w:r w:rsidRPr="00EF28CC">
        <w:rPr>
          <w:lang w:val="es-ES"/>
        </w:rPr>
        <w:t xml:space="preserve"> </w:t>
      </w:r>
      <w:r w:rsidR="00780DC3" w:rsidRPr="00EF28CC">
        <w:rPr>
          <w:lang w:val="es-ES"/>
        </w:rPr>
        <w:t>Ibid.</w:t>
      </w:r>
    </w:p>
  </w:endnote>
  <w:endnote w:id="78">
    <w:p w14:paraId="0A3BFB34" w14:textId="7FEBC845" w:rsidR="003A62AE" w:rsidRPr="00EF28CC" w:rsidRDefault="003A62AE" w:rsidP="00EF28CC">
      <w:pPr>
        <w:pStyle w:val="EndnoteText"/>
        <w:spacing w:before="120" w:after="120"/>
        <w:contextualSpacing/>
        <w:jc w:val="both"/>
        <w:rPr>
          <w:lang w:val="es-ES"/>
        </w:rPr>
      </w:pPr>
      <w:r w:rsidRPr="00EF28CC">
        <w:rPr>
          <w:rStyle w:val="EndnoteReference"/>
        </w:rPr>
        <w:endnoteRef/>
      </w:r>
      <w:r w:rsidRPr="00EF28CC">
        <w:rPr>
          <w:lang w:val="es-ES"/>
        </w:rPr>
        <w:t xml:space="preserve"> </w:t>
      </w:r>
      <w:r w:rsidR="00780DC3" w:rsidRPr="00EF28CC">
        <w:rPr>
          <w:lang w:val="es-ES"/>
        </w:rPr>
        <w:t>Ibid.</w:t>
      </w:r>
      <w:r w:rsidRPr="00EF28CC">
        <w:rPr>
          <w:lang w:val="es-ES"/>
        </w:rPr>
        <w:t xml:space="preserve"> </w:t>
      </w:r>
    </w:p>
  </w:endnote>
  <w:endnote w:id="79">
    <w:p w14:paraId="3A20B95B" w14:textId="3718E332" w:rsidR="003A62AE" w:rsidRPr="00EF28CC" w:rsidRDefault="003A62AE" w:rsidP="00EF28CC">
      <w:pPr>
        <w:pStyle w:val="EndnoteText"/>
        <w:spacing w:before="120" w:after="120"/>
        <w:contextualSpacing/>
        <w:jc w:val="both"/>
        <w:rPr>
          <w:lang w:val="es-ES"/>
        </w:rPr>
      </w:pPr>
      <w:r w:rsidRPr="00EF28CC">
        <w:rPr>
          <w:rStyle w:val="EndnoteReference"/>
        </w:rPr>
        <w:endnoteRef/>
      </w:r>
      <w:r w:rsidRPr="00EF28CC">
        <w:rPr>
          <w:lang w:val="es-ES"/>
        </w:rPr>
        <w:t xml:space="preserve"> </w:t>
      </w:r>
      <w:r w:rsidRPr="00EF28CC">
        <w:rPr>
          <w:lang w:val="es-ES"/>
        </w:rPr>
        <w:t xml:space="preserve">Naciones Unidas Honduras, </w:t>
      </w:r>
      <w:hyperlink r:id="rId61" w:anchor=":~:text=Seg%C3%BAn%20cifras%20del%20Fondo%20de,tasa%20de%20embarazos%20en%20adolescentes" w:history="1">
        <w:r w:rsidRPr="00EF28CC">
          <w:rPr>
            <w:rStyle w:val="Hyperlink"/>
            <w:color w:val="auto"/>
            <w:lang w:val="es-ES"/>
          </w:rPr>
          <w:t>Declaración sobre la Ley de Educación Integral para la Prevención del Embarazo Adolescente</w:t>
        </w:r>
      </w:hyperlink>
      <w:r w:rsidRPr="00EF28CC">
        <w:rPr>
          <w:lang w:val="es-ES"/>
        </w:rPr>
        <w:t>, Comunicado de prensa</w:t>
      </w:r>
      <w:r w:rsidR="00780DC3" w:rsidRPr="00EF28CC">
        <w:rPr>
          <w:lang w:val="es-ES"/>
        </w:rPr>
        <w:t xml:space="preserve"> (</w:t>
      </w:r>
      <w:r w:rsidRPr="00EF28CC">
        <w:rPr>
          <w:lang w:val="es-ES"/>
        </w:rPr>
        <w:t>2 de junio de 2023</w:t>
      </w:r>
      <w:r w:rsidR="00780DC3" w:rsidRPr="00EF28CC">
        <w:rPr>
          <w:lang w:val="es-ES"/>
        </w:rPr>
        <w:t>)</w:t>
      </w:r>
      <w:r w:rsidRPr="00EF28CC">
        <w:rPr>
          <w:lang w:val="es-ES"/>
        </w:rPr>
        <w:t xml:space="preserve"> </w:t>
      </w:r>
    </w:p>
  </w:endnote>
  <w:endnote w:id="80">
    <w:p w14:paraId="1473AC22" w14:textId="51191672" w:rsidR="003A62AE" w:rsidRPr="00EF28CC" w:rsidRDefault="003A62AE" w:rsidP="00EF28CC">
      <w:pPr>
        <w:pStyle w:val="EndnoteText"/>
        <w:spacing w:before="120" w:after="120"/>
        <w:contextualSpacing/>
        <w:jc w:val="both"/>
        <w:rPr>
          <w:lang w:val="es-ES"/>
        </w:rPr>
      </w:pPr>
      <w:r w:rsidRPr="00EF28CC">
        <w:rPr>
          <w:rStyle w:val="EndnoteReference"/>
        </w:rPr>
        <w:endnoteRef/>
      </w:r>
      <w:r w:rsidRPr="00EF28CC">
        <w:rPr>
          <w:lang w:val="es-ES"/>
        </w:rPr>
        <w:t xml:space="preserve"> Primer Informe Situacional Sobre Embarazo en Adolescentes y su Impacto en el Derecho a la Educación, Procuraduría para los Derechos Humanos, 2009, citado en, Relatora Especial sobre la violencia contra la mujer, sus causas y consecuencias, Informe de la Relatora Especial sobre la violencia contra la mujer, sus causas y consecuencias, Sra. </w:t>
      </w:r>
      <w:r w:rsidRPr="00EF28CC">
        <w:rPr>
          <w:lang w:val="es-ES"/>
        </w:rPr>
        <w:t xml:space="preserve">Rashida Manjoo - Adición - misión de seguimiento a El Salvador </w:t>
      </w:r>
      <w:r w:rsidR="00105571" w:rsidRPr="00EF28CC">
        <w:rPr>
          <w:lang w:val="es-ES"/>
        </w:rPr>
        <w:t xml:space="preserve">(14 de febrero de 2011) </w:t>
      </w:r>
      <w:r w:rsidRPr="00EF28CC">
        <w:rPr>
          <w:lang w:val="es-ES"/>
        </w:rPr>
        <w:t>UN Doc A/HRC/17/26/</w:t>
      </w:r>
      <w:proofErr w:type="gramStart"/>
      <w:r w:rsidRPr="00EF28CC">
        <w:rPr>
          <w:lang w:val="es-ES"/>
        </w:rPr>
        <w:t>Add.2,.</w:t>
      </w:r>
      <w:proofErr w:type="gramEnd"/>
      <w:r w:rsidRPr="00EF28CC">
        <w:rPr>
          <w:lang w:val="es-ES"/>
        </w:rPr>
        <w:t xml:space="preserve"> </w:t>
      </w:r>
    </w:p>
  </w:endnote>
  <w:endnote w:id="81">
    <w:p w14:paraId="5C6E2EE1" w14:textId="2270D177" w:rsidR="003A62AE" w:rsidRPr="00EF28CC" w:rsidRDefault="003A62AE" w:rsidP="00EF28CC">
      <w:pPr>
        <w:pStyle w:val="EndnoteText"/>
        <w:spacing w:before="120" w:after="120"/>
        <w:contextualSpacing/>
        <w:jc w:val="both"/>
        <w:rPr>
          <w:lang w:val="es-ES"/>
        </w:rPr>
      </w:pPr>
      <w:r w:rsidRPr="00EF28CC">
        <w:rPr>
          <w:rStyle w:val="EndnoteReference"/>
        </w:rPr>
        <w:endnoteRef/>
      </w:r>
      <w:r w:rsidRPr="00EF28CC">
        <w:rPr>
          <w:lang w:val="es-ES"/>
        </w:rPr>
        <w:t xml:space="preserve"> Instituto de Estadística de la UNESCO (UIS). </w:t>
      </w:r>
      <w:r w:rsidR="00C01630">
        <w:fldChar w:fldCharType="begin"/>
      </w:r>
      <w:r w:rsidR="00C01630" w:rsidRPr="00A57A41">
        <w:rPr>
          <w:lang w:val="es-CO"/>
        </w:rPr>
        <w:instrText>HYPERLINK "https://data.worldbank.org/indicator/SE.SEC.UNER.LO.FE.ZS?end=2021&amp;locations=HN&amp;start=2012&amp;view=chart"</w:instrText>
      </w:r>
      <w:r w:rsidR="00C01630">
        <w:fldChar w:fldCharType="separate"/>
      </w:r>
      <w:r w:rsidRPr="00EF28CC">
        <w:rPr>
          <w:rStyle w:val="Hyperlink"/>
          <w:color w:val="auto"/>
          <w:lang w:val="es-ES"/>
        </w:rPr>
        <w:t>UIS.Stat Bulk Data Download Service</w:t>
      </w:r>
      <w:r w:rsidR="00C01630">
        <w:rPr>
          <w:rStyle w:val="Hyperlink"/>
          <w:color w:val="auto"/>
          <w:lang w:val="es-ES"/>
        </w:rPr>
        <w:fldChar w:fldCharType="end"/>
      </w:r>
      <w:r w:rsidR="00DE3E39" w:rsidRPr="00EF28CC">
        <w:rPr>
          <w:lang w:val="es-ES"/>
        </w:rPr>
        <w:t xml:space="preserve"> (2020-2021)</w:t>
      </w:r>
    </w:p>
  </w:endnote>
  <w:endnote w:id="82">
    <w:p w14:paraId="0A09457C" w14:textId="2BA352B9" w:rsidR="003A62AE" w:rsidRPr="00EF28CC" w:rsidRDefault="003A62AE" w:rsidP="00EF28CC">
      <w:pPr>
        <w:pStyle w:val="EndnoteText"/>
        <w:spacing w:before="120" w:after="120"/>
        <w:contextualSpacing/>
        <w:jc w:val="both"/>
        <w:rPr>
          <w:lang w:val="es-ES"/>
        </w:rPr>
      </w:pPr>
      <w:r w:rsidRPr="00EF28CC">
        <w:rPr>
          <w:rStyle w:val="EndnoteReference"/>
        </w:rPr>
        <w:endnoteRef/>
      </w:r>
      <w:r w:rsidRPr="00EF28CC">
        <w:rPr>
          <w:lang w:val="es-ES"/>
        </w:rPr>
        <w:t xml:space="preserve"> </w:t>
      </w:r>
      <w:r w:rsidRPr="00EF28CC">
        <w:rPr>
          <w:lang w:val="es-ES"/>
        </w:rPr>
        <w:t xml:space="preserve">Banco Mundial, </w:t>
      </w:r>
      <w:hyperlink r:id="rId62" w:history="1">
        <w:r w:rsidRPr="00EF28CC">
          <w:rPr>
            <w:rStyle w:val="Hyperlink"/>
            <w:color w:val="auto"/>
            <w:lang w:val="es-ES"/>
          </w:rPr>
          <w:t>Gender Data Portal</w:t>
        </w:r>
      </w:hyperlink>
      <w:r w:rsidR="008A5F19" w:rsidRPr="00EF28CC">
        <w:rPr>
          <w:lang w:val="es-ES"/>
        </w:rPr>
        <w:t xml:space="preserve"> (25 febrero 2022)</w:t>
      </w:r>
      <w:r w:rsidR="00195608" w:rsidRPr="00EF28CC">
        <w:rPr>
          <w:lang w:val="es-ES"/>
        </w:rPr>
        <w:t xml:space="preserve"> </w:t>
      </w:r>
    </w:p>
  </w:endnote>
  <w:endnote w:id="83">
    <w:p w14:paraId="20BB4E10" w14:textId="77777777" w:rsidR="003A62AE" w:rsidRPr="00EF28CC" w:rsidRDefault="003A62AE" w:rsidP="00EF28CC">
      <w:pPr>
        <w:pStyle w:val="EndnoteText"/>
        <w:spacing w:before="120" w:after="120"/>
        <w:contextualSpacing/>
        <w:jc w:val="both"/>
        <w:rPr>
          <w:lang w:val="es-ES"/>
        </w:rPr>
      </w:pPr>
      <w:r w:rsidRPr="00EF28CC">
        <w:rPr>
          <w:rStyle w:val="EndnoteReference"/>
        </w:rPr>
        <w:endnoteRef/>
      </w:r>
      <w:r w:rsidRPr="00EF28CC">
        <w:rPr>
          <w:lang w:val="es-ES"/>
        </w:rPr>
        <w:t xml:space="preserve"> Ibid. </w:t>
      </w:r>
    </w:p>
  </w:endnote>
  <w:endnote w:id="84">
    <w:p w14:paraId="5BE64F6C" w14:textId="77777777" w:rsidR="00F32DFB" w:rsidRPr="00EF28CC" w:rsidRDefault="007E62E7" w:rsidP="00EF28CC">
      <w:pPr>
        <w:pStyle w:val="EndnoteText"/>
        <w:spacing w:before="120" w:after="120"/>
        <w:contextualSpacing/>
        <w:jc w:val="both"/>
        <w:rPr>
          <w:lang w:val="es-ES"/>
        </w:rPr>
      </w:pPr>
      <w:r w:rsidRPr="00EF28CC">
        <w:rPr>
          <w:rStyle w:val="EndnoteReference"/>
        </w:rPr>
        <w:endnoteRef/>
      </w:r>
      <w:r w:rsidRPr="00EF28CC">
        <w:rPr>
          <w:lang w:val="es-ES"/>
        </w:rPr>
        <w:t xml:space="preserve"> Naciones Unidas, "Comunicado sobre la Ley de Educación Integral de Prevención al Embarazo Adolescente", 2 de junio de 2023, &lt;</w:t>
      </w:r>
      <w:hyperlink r:id="rId63" w:tooltip="https://honduras.un.org/es/234541-comunicado-sobre-la-ley-de-educaci%C3%B3n-integral-de-prevenci%C3%B3n-al-embarazo-adolescente" w:history="1">
        <w:r w:rsidRPr="00EF28CC">
          <w:rPr>
            <w:rStyle w:val="Hyperlink"/>
            <w:color w:val="auto"/>
            <w:lang w:val="es-ES"/>
          </w:rPr>
          <w:t>https://honduras.un.org/es/234541-comunicado-sobre-la-ley-de-educaci%C3%B3n-integral-de-prevenci%C3%B3n-al-embarazo-adolescente</w:t>
        </w:r>
      </w:hyperlink>
      <w:r w:rsidRPr="00EF28CC">
        <w:rPr>
          <w:lang w:val="es-ES"/>
        </w:rPr>
        <w:t xml:space="preserve">&gt;, consultado por última vez el 18 de abril de 2024. </w:t>
      </w:r>
    </w:p>
  </w:endnote>
  <w:endnote w:id="85">
    <w:p w14:paraId="2D81D1E1" w14:textId="77777777" w:rsidR="00F32DFB" w:rsidRPr="00EF28CC" w:rsidRDefault="007E62E7" w:rsidP="00EF28CC">
      <w:pPr>
        <w:pStyle w:val="EndnoteText"/>
        <w:spacing w:after="0"/>
        <w:contextualSpacing/>
        <w:jc w:val="both"/>
        <w:rPr>
          <w:lang w:val="es-ES"/>
        </w:rPr>
      </w:pPr>
      <w:r w:rsidRPr="00EF28CC">
        <w:rPr>
          <w:rStyle w:val="EndnoteReference"/>
        </w:rPr>
        <w:endnoteRef/>
      </w:r>
      <w:r w:rsidRPr="00EF28CC">
        <w:rPr>
          <w:lang w:val="es-ES"/>
        </w:rPr>
        <w:t xml:space="preserve"> OEA, Honduras Situación de Derechos Humanos, 24 de marzo de 2024, ¶ 382, disponible en &lt;chrome-extension</w:t>
      </w:r>
      <w:r w:rsidRPr="00EF28CC">
        <w:rPr>
          <w:rStyle w:val="Hyperlink"/>
          <w:color w:val="auto"/>
          <w:lang w:val="es-ES"/>
        </w:rPr>
        <w:t xml:space="preserve">://efaidnbmnnnibpcajpcglclefindmkaj/https://www.oas.org/es/cidh/informes/pdfs/2024/informe-honduras.pdf&gt; </w:t>
      </w:r>
      <w:r w:rsidRPr="00EF28CC">
        <w:rPr>
          <w:lang w:val="es-ES"/>
        </w:rPr>
        <w:t xml:space="preserve">consultado el 28 de marzo de 2024.  </w:t>
      </w:r>
    </w:p>
  </w:endnote>
  <w:endnote w:id="86">
    <w:p w14:paraId="4DF3381D" w14:textId="77777777" w:rsidR="002D6165" w:rsidRPr="00EF28CC" w:rsidRDefault="002D6165" w:rsidP="00EF28CC">
      <w:pPr>
        <w:widowControl w:val="0"/>
        <w:pBdr>
          <w:top w:val="nil"/>
          <w:left w:val="nil"/>
          <w:bottom w:val="nil"/>
          <w:right w:val="nil"/>
          <w:between w:val="nil"/>
        </w:pBdr>
        <w:spacing w:after="0" w:line="240" w:lineRule="auto"/>
        <w:contextualSpacing/>
        <w:jc w:val="both"/>
        <w:rPr>
          <w:rFonts w:ascii="Times New Roman" w:eastAsia="Times New Roman" w:hAnsi="Times New Roman" w:cs="Times New Roman"/>
          <w:sz w:val="20"/>
          <w:szCs w:val="20"/>
          <w:lang w:val="es-ES"/>
        </w:rPr>
      </w:pPr>
      <w:r w:rsidRPr="00EF28CC">
        <w:rPr>
          <w:rFonts w:ascii="Times New Roman" w:hAnsi="Times New Roman" w:cs="Times New Roman"/>
          <w:sz w:val="20"/>
          <w:szCs w:val="20"/>
          <w:vertAlign w:val="superscript"/>
        </w:rPr>
        <w:endnoteRef/>
      </w:r>
      <w:r w:rsidRPr="00EF28CC">
        <w:rPr>
          <w:rFonts w:ascii="Times New Roman" w:eastAsia="Times New Roman" w:hAnsi="Times New Roman" w:cs="Times New Roman"/>
          <w:sz w:val="20"/>
          <w:szCs w:val="20"/>
          <w:lang w:val="es-ES"/>
        </w:rPr>
        <w:t xml:space="preserve"> Como ejemplo, ver: Comisión Interamericana de Derechos Humanos, </w:t>
      </w:r>
      <w:hyperlink r:id="rId64" w:history="1">
        <w:r w:rsidRPr="00EF28CC">
          <w:rPr>
            <w:rStyle w:val="Hyperlink"/>
            <w:rFonts w:ascii="Times New Roman" w:eastAsia="Times New Roman" w:hAnsi="Times New Roman" w:cs="Times New Roman"/>
            <w:color w:val="auto"/>
            <w:sz w:val="20"/>
            <w:szCs w:val="20"/>
            <w:lang w:val="es-ES"/>
          </w:rPr>
          <w:t>Situación de derechos humanos en Honduras</w:t>
        </w:r>
      </w:hyperlink>
      <w:r w:rsidRPr="00EF28CC">
        <w:rPr>
          <w:rFonts w:ascii="Times New Roman" w:eastAsia="Times New Roman" w:hAnsi="Times New Roman" w:cs="Times New Roman"/>
          <w:sz w:val="20"/>
          <w:szCs w:val="20"/>
          <w:lang w:val="es-ES"/>
        </w:rPr>
        <w:t xml:space="preserve">, párr. 233, OEA/Ser.L/V/II (27 agosto 2019); y Asociadas por lo Justo, Centro de Derechos de Mujeres, y Centro de Estudios de la Mujer Honduras, </w:t>
      </w:r>
      <w:hyperlink r:id="rId65" w:history="1">
        <w:r w:rsidRPr="00EF28CC">
          <w:rPr>
            <w:rStyle w:val="Hyperlink"/>
            <w:rFonts w:ascii="Times New Roman" w:eastAsia="Times New Roman" w:hAnsi="Times New Roman" w:cs="Times New Roman"/>
            <w:color w:val="auto"/>
            <w:sz w:val="20"/>
            <w:szCs w:val="20"/>
            <w:lang w:val="es-ES"/>
          </w:rPr>
          <w:t>Informe de Organizaciones Feministas de Honduras: Situación de la Violencia contra las Mujeres en Honduras</w:t>
        </w:r>
      </w:hyperlink>
      <w:r w:rsidRPr="00EF28CC">
        <w:rPr>
          <w:rFonts w:ascii="Times New Roman" w:eastAsia="Times New Roman" w:hAnsi="Times New Roman" w:cs="Times New Roman"/>
          <w:sz w:val="20"/>
          <w:szCs w:val="20"/>
          <w:lang w:val="es-ES"/>
        </w:rPr>
        <w:t xml:space="preserve">, p.3, (2014). </w:t>
      </w:r>
    </w:p>
  </w:endnote>
  <w:endnote w:id="87">
    <w:p w14:paraId="06BCA008" w14:textId="77777777" w:rsidR="002D6165" w:rsidRPr="00EF28CC" w:rsidRDefault="002D6165" w:rsidP="00EF28CC">
      <w:pPr>
        <w:pStyle w:val="EndnoteText"/>
        <w:contextualSpacing/>
        <w:jc w:val="both"/>
        <w:rPr>
          <w:u w:val="single"/>
          <w:lang w:val="es-ES"/>
        </w:rPr>
      </w:pPr>
      <w:r w:rsidRPr="00EF28CC">
        <w:rPr>
          <w:rStyle w:val="EndnoteReference"/>
        </w:rPr>
        <w:endnoteRef/>
      </w:r>
      <w:r w:rsidRPr="00EF28CC">
        <w:rPr>
          <w:lang w:val="es-ES"/>
        </w:rPr>
        <w:t xml:space="preserve"> Gobierno de la República de Honduras, et. al. </w:t>
      </w:r>
      <w:hyperlink r:id="rId66" w:history="1">
        <w:r w:rsidRPr="00EF28CC">
          <w:rPr>
            <w:rStyle w:val="Hyperlink"/>
            <w:color w:val="auto"/>
            <w:lang w:val="es-ES"/>
          </w:rPr>
          <w:t>Ejes de la Política Integral de Seguridad ciudadana con enfoque de género y derechos humanos 2023-2032: Análisis de información para los ejes de prevención y control de la violencia y el delito</w:t>
        </w:r>
      </w:hyperlink>
      <w:r w:rsidRPr="00EF28CC">
        <w:rPr>
          <w:lang w:val="es-ES"/>
        </w:rPr>
        <w:t>, p.7, (febrero 2023).</w:t>
      </w:r>
    </w:p>
  </w:endnote>
  <w:endnote w:id="88">
    <w:p w14:paraId="0D54112D" w14:textId="77777777" w:rsidR="002D6165" w:rsidRPr="00EF28CC" w:rsidRDefault="002D6165" w:rsidP="00EF28CC">
      <w:pPr>
        <w:pStyle w:val="EndnoteText"/>
        <w:contextualSpacing/>
        <w:jc w:val="both"/>
        <w:rPr>
          <w:lang w:val="es-ES"/>
        </w:rPr>
      </w:pPr>
      <w:r w:rsidRPr="00EF28CC">
        <w:rPr>
          <w:rStyle w:val="EndnoteReference"/>
        </w:rPr>
        <w:endnoteRef/>
      </w:r>
      <w:r w:rsidRPr="00EF28CC">
        <w:rPr>
          <w:lang w:val="es-ES"/>
        </w:rPr>
        <w:t xml:space="preserve"> Gobierno de la República de Honduras, et. al. </w:t>
      </w:r>
      <w:hyperlink r:id="rId67" w:history="1">
        <w:r w:rsidRPr="00EF28CC">
          <w:rPr>
            <w:rStyle w:val="Hyperlink"/>
            <w:color w:val="auto"/>
            <w:lang w:val="es-ES"/>
          </w:rPr>
          <w:t>Ejes de la Política Integral de Seguridad ciudadana con enfoque de género y derechos humanos 2023-2032: Análisis de información para los ejes de prevención y control de la violencia y el delito</w:t>
        </w:r>
      </w:hyperlink>
      <w:r w:rsidRPr="00EF28CC">
        <w:rPr>
          <w:lang w:val="es-ES"/>
        </w:rPr>
        <w:t xml:space="preserve">, p.7, (febrero 2023). </w:t>
      </w:r>
    </w:p>
  </w:endnote>
  <w:endnote w:id="89">
    <w:p w14:paraId="6D239CA6" w14:textId="77777777" w:rsidR="002D6165" w:rsidRPr="00EF28CC" w:rsidRDefault="002D6165" w:rsidP="00EF28CC">
      <w:pPr>
        <w:pStyle w:val="EndnoteText"/>
        <w:contextualSpacing/>
        <w:jc w:val="both"/>
        <w:rPr>
          <w:highlight w:val="yellow"/>
          <w:lang w:val="es-ES"/>
        </w:rPr>
      </w:pPr>
      <w:r w:rsidRPr="00EF28CC">
        <w:rPr>
          <w:rStyle w:val="EndnoteReference"/>
        </w:rPr>
        <w:endnoteRef/>
      </w:r>
      <w:r w:rsidRPr="00EF28CC">
        <w:rPr>
          <w:lang w:val="es-ES"/>
        </w:rPr>
        <w:t xml:space="preserve"> Gobierno de la República de Honduras, et. al. </w:t>
      </w:r>
      <w:hyperlink r:id="rId68" w:history="1">
        <w:r w:rsidRPr="00EF28CC">
          <w:rPr>
            <w:rStyle w:val="Hyperlink"/>
            <w:color w:val="auto"/>
            <w:lang w:val="es-ES"/>
          </w:rPr>
          <w:t>Ejes de la Política Integral de Seguridad ciudadana con enfoque de género y derechos humanos 2023-2032: Análisis de información para los ejes de prevención y control de la violencia y el delito</w:t>
        </w:r>
      </w:hyperlink>
      <w:r w:rsidRPr="00EF28CC">
        <w:rPr>
          <w:lang w:val="es-ES"/>
        </w:rPr>
        <w:t>, p.7, (febrero 2023).</w:t>
      </w:r>
    </w:p>
  </w:endnote>
  <w:endnote w:id="90">
    <w:p w14:paraId="0A3D7A14" w14:textId="77777777" w:rsidR="002D6165" w:rsidRPr="00EF28CC" w:rsidRDefault="002D6165" w:rsidP="00EF28CC">
      <w:pPr>
        <w:pStyle w:val="EndnoteText"/>
        <w:spacing w:after="0"/>
        <w:contextualSpacing/>
        <w:jc w:val="both"/>
        <w:rPr>
          <w:lang w:val="es-ES"/>
        </w:rPr>
      </w:pPr>
      <w:r w:rsidRPr="00EF28CC">
        <w:rPr>
          <w:rStyle w:val="EndnoteReference"/>
        </w:rPr>
        <w:endnoteRef/>
      </w:r>
      <w:r w:rsidRPr="00EF28CC">
        <w:rPr>
          <w:lang w:val="es-ES"/>
        </w:rPr>
        <w:t xml:space="preserve"> Médicos sin Fronteras. </w:t>
      </w:r>
      <w:hyperlink r:id="rId69" w:anchor=":~:text=En%20Honduras%2C%20seg%C3%BAn%20datos%20del,sobrevivientes%20es%20probablemente%20mucho%20mayor." w:history="1">
        <w:r w:rsidRPr="00EF28CC">
          <w:rPr>
            <w:rStyle w:val="Hyperlink"/>
            <w:color w:val="auto"/>
            <w:lang w:val="es-ES"/>
          </w:rPr>
          <w:t>Violencia y violencia sexual: dos epidemias invisibilizadas en Honduras</w:t>
        </w:r>
      </w:hyperlink>
      <w:r w:rsidRPr="00EF28CC">
        <w:rPr>
          <w:lang w:val="es-ES"/>
        </w:rPr>
        <w:t xml:space="preserve">, (25 noviembre 2023).  </w:t>
      </w:r>
    </w:p>
  </w:endnote>
  <w:endnote w:id="91">
    <w:p w14:paraId="7393F8E4" w14:textId="77777777" w:rsidR="00012207" w:rsidRPr="00EF28CC" w:rsidRDefault="00012207" w:rsidP="00EF28CC">
      <w:pPr>
        <w:spacing w:after="0" w:line="240" w:lineRule="auto"/>
        <w:contextualSpacing/>
        <w:jc w:val="both"/>
        <w:rPr>
          <w:rFonts w:ascii="Times New Roman" w:eastAsia="Times New Roman" w:hAnsi="Times New Roman" w:cs="Times New Roman"/>
          <w:sz w:val="20"/>
          <w:szCs w:val="20"/>
          <w:lang w:val="es-ES"/>
        </w:rPr>
      </w:pPr>
      <w:r w:rsidRPr="00EF28CC">
        <w:rPr>
          <w:rFonts w:ascii="Times New Roman" w:hAnsi="Times New Roman" w:cs="Times New Roman"/>
          <w:sz w:val="20"/>
          <w:szCs w:val="20"/>
          <w:vertAlign w:val="superscript"/>
        </w:rPr>
        <w:endnoteRef/>
      </w:r>
      <w:r w:rsidRPr="00EF28CC">
        <w:rPr>
          <w:rFonts w:ascii="Times New Roman" w:eastAsia="Times New Roman" w:hAnsi="Times New Roman" w:cs="Times New Roman"/>
          <w:sz w:val="20"/>
          <w:szCs w:val="20"/>
          <w:lang w:val="es-ES"/>
        </w:rPr>
        <w:t xml:space="preserve"> Proceso digital. </w:t>
      </w:r>
      <w:hyperlink r:id="rId70" w:history="1">
        <w:r w:rsidRPr="00EF28CC">
          <w:rPr>
            <w:rStyle w:val="Hyperlink"/>
            <w:rFonts w:ascii="Times New Roman" w:eastAsia="Times New Roman" w:hAnsi="Times New Roman" w:cs="Times New Roman"/>
            <w:color w:val="auto"/>
            <w:sz w:val="20"/>
            <w:szCs w:val="20"/>
            <w:lang w:val="es-ES"/>
          </w:rPr>
          <w:t>30 mujeres fueron asesinadas en Honduras durante enero de este año</w:t>
        </w:r>
      </w:hyperlink>
      <w:r w:rsidRPr="00EF28CC">
        <w:rPr>
          <w:rFonts w:ascii="Times New Roman" w:eastAsia="Times New Roman" w:hAnsi="Times New Roman" w:cs="Times New Roman"/>
          <w:sz w:val="20"/>
          <w:szCs w:val="20"/>
          <w:lang w:val="es-ES"/>
        </w:rPr>
        <w:t>, (2 febrero 2019).</w:t>
      </w:r>
    </w:p>
  </w:endnote>
  <w:endnote w:id="92">
    <w:p w14:paraId="0EC02909" w14:textId="77777777" w:rsidR="00012207" w:rsidRPr="00EF28CC" w:rsidRDefault="00012207" w:rsidP="00EF28CC">
      <w:pPr>
        <w:spacing w:after="0" w:line="240" w:lineRule="auto"/>
        <w:contextualSpacing/>
        <w:jc w:val="both"/>
        <w:rPr>
          <w:rFonts w:ascii="Times New Roman" w:eastAsia="Times New Roman" w:hAnsi="Times New Roman" w:cs="Times New Roman"/>
          <w:sz w:val="20"/>
          <w:szCs w:val="20"/>
          <w:lang w:val="es-ES"/>
        </w:rPr>
      </w:pPr>
      <w:r w:rsidRPr="00EF28CC">
        <w:rPr>
          <w:rFonts w:ascii="Times New Roman" w:hAnsi="Times New Roman" w:cs="Times New Roman"/>
          <w:sz w:val="20"/>
          <w:szCs w:val="20"/>
          <w:vertAlign w:val="superscript"/>
        </w:rPr>
        <w:endnoteRef/>
      </w:r>
      <w:r w:rsidRPr="00EF28CC">
        <w:rPr>
          <w:rFonts w:ascii="Times New Roman" w:eastAsia="Times New Roman" w:hAnsi="Times New Roman" w:cs="Times New Roman"/>
          <w:sz w:val="20"/>
          <w:szCs w:val="20"/>
          <w:lang w:val="es-ES"/>
        </w:rPr>
        <w:t xml:space="preserve"> Redacción El Heraldo. </w:t>
      </w:r>
      <w:hyperlink r:id="rId71" w:history="1">
        <w:r w:rsidRPr="00EF28CC">
          <w:rPr>
            <w:rStyle w:val="Hyperlink"/>
            <w:rFonts w:ascii="Times New Roman" w:eastAsia="Times New Roman" w:hAnsi="Times New Roman" w:cs="Times New Roman"/>
            <w:color w:val="auto"/>
            <w:sz w:val="20"/>
            <w:szCs w:val="20"/>
            <w:lang w:val="es-ES"/>
          </w:rPr>
          <w:t>Preocupante aumento de la violencia contra las mujeres Honduras</w:t>
        </w:r>
      </w:hyperlink>
      <w:r w:rsidRPr="00EF28CC">
        <w:rPr>
          <w:rFonts w:ascii="Times New Roman" w:eastAsia="Times New Roman" w:hAnsi="Times New Roman" w:cs="Times New Roman"/>
          <w:sz w:val="20"/>
          <w:szCs w:val="20"/>
          <w:lang w:val="es-ES"/>
        </w:rPr>
        <w:t xml:space="preserve">, (9 julio 2019); Eduin Fune. </w:t>
      </w:r>
      <w:hyperlink r:id="rId72" w:history="1">
        <w:r w:rsidRPr="00EF28CC">
          <w:rPr>
            <w:rStyle w:val="Hyperlink"/>
            <w:rFonts w:ascii="Times New Roman" w:eastAsia="Times New Roman" w:hAnsi="Times New Roman" w:cs="Times New Roman"/>
            <w:color w:val="auto"/>
            <w:sz w:val="20"/>
            <w:szCs w:val="20"/>
            <w:lang w:val="es-ES"/>
          </w:rPr>
          <w:t>Incremento de violencia contra la mujer pone en alerta al país</w:t>
        </w:r>
      </w:hyperlink>
      <w:r w:rsidRPr="00EF28CC">
        <w:rPr>
          <w:rFonts w:ascii="Times New Roman" w:eastAsia="Times New Roman" w:hAnsi="Times New Roman" w:cs="Times New Roman"/>
          <w:sz w:val="20"/>
          <w:szCs w:val="20"/>
          <w:lang w:val="es-ES"/>
        </w:rPr>
        <w:t>, (11 julio 2019).</w:t>
      </w:r>
      <w:r w:rsidRPr="00EF28CC">
        <w:rPr>
          <w:rFonts w:ascii="Times New Roman" w:eastAsia="Times New Roman" w:hAnsi="Times New Roman" w:cs="Times New Roman"/>
          <w:sz w:val="20"/>
          <w:szCs w:val="20"/>
          <w:u w:val="single"/>
          <w:lang w:val="es-ES"/>
        </w:rPr>
        <w:t xml:space="preserve"> </w:t>
      </w:r>
    </w:p>
  </w:endnote>
  <w:endnote w:id="93">
    <w:p w14:paraId="7CF2E873" w14:textId="77777777" w:rsidR="00012207" w:rsidRPr="00EF28CC" w:rsidRDefault="00012207" w:rsidP="00EF28CC">
      <w:pPr>
        <w:pStyle w:val="EndnoteText"/>
        <w:contextualSpacing/>
        <w:jc w:val="both"/>
        <w:rPr>
          <w:lang w:val="es-ES"/>
        </w:rPr>
      </w:pPr>
      <w:r w:rsidRPr="00EF28CC">
        <w:rPr>
          <w:rStyle w:val="EndnoteReference"/>
        </w:rPr>
        <w:endnoteRef/>
      </w:r>
      <w:r w:rsidRPr="00EF28CC">
        <w:rPr>
          <w:lang w:val="es-ES"/>
        </w:rPr>
        <w:t xml:space="preserve"> Gobierno de la República de Honduras, et. al. </w:t>
      </w:r>
      <w:hyperlink r:id="rId73" w:history="1">
        <w:r w:rsidRPr="00EF28CC">
          <w:rPr>
            <w:rStyle w:val="Hyperlink"/>
            <w:color w:val="auto"/>
            <w:lang w:val="es-ES"/>
          </w:rPr>
          <w:t>Ejes de la Política Integral de Seguridad ciudadana con enfoque de género y derechos humanos 2023-2032: Análisis de información para los ejes de prevención y control de la violencia y el delito</w:t>
        </w:r>
      </w:hyperlink>
      <w:r w:rsidRPr="00EF28CC">
        <w:rPr>
          <w:lang w:val="es-ES"/>
        </w:rPr>
        <w:t>, p.2, (febrero 2023).</w:t>
      </w:r>
    </w:p>
  </w:endnote>
  <w:endnote w:id="94">
    <w:p w14:paraId="0DCC8E19" w14:textId="77777777" w:rsidR="00012207" w:rsidRPr="00EF28CC" w:rsidRDefault="00012207" w:rsidP="00EF28CC">
      <w:pPr>
        <w:pStyle w:val="EndnoteText"/>
        <w:contextualSpacing/>
        <w:jc w:val="both"/>
        <w:rPr>
          <w:lang w:val="es-ES"/>
        </w:rPr>
      </w:pPr>
      <w:r w:rsidRPr="00EF28CC">
        <w:rPr>
          <w:rStyle w:val="EndnoteReference"/>
        </w:rPr>
        <w:endnoteRef/>
      </w:r>
      <w:r w:rsidRPr="00EF28CC">
        <w:rPr>
          <w:lang w:val="es-ES"/>
        </w:rPr>
        <w:t xml:space="preserve"> Gobierno de la República de Honduras, et. al. </w:t>
      </w:r>
      <w:hyperlink r:id="rId74" w:history="1">
        <w:r w:rsidRPr="00EF28CC">
          <w:rPr>
            <w:rStyle w:val="Hyperlink"/>
            <w:color w:val="auto"/>
            <w:lang w:val="es-ES"/>
          </w:rPr>
          <w:t>Ejes de la Política Integral de Seguridad ciudadana con enfoque de género y derechos humanos 2023-2032: Análisis de información para los ejes de prevención y control de la violencia y el delito</w:t>
        </w:r>
      </w:hyperlink>
      <w:r w:rsidRPr="00EF28CC">
        <w:rPr>
          <w:lang w:val="es-ES"/>
        </w:rPr>
        <w:t>, p.2, (febrero 2023).</w:t>
      </w:r>
    </w:p>
  </w:endnote>
  <w:endnote w:id="95">
    <w:p w14:paraId="1AA467BE" w14:textId="57A65798" w:rsidR="00B64E8D" w:rsidRPr="00EF28CC" w:rsidRDefault="00B64E8D" w:rsidP="00EF28CC">
      <w:pPr>
        <w:pStyle w:val="EndnoteText"/>
        <w:spacing w:before="120" w:after="120"/>
        <w:contextualSpacing/>
        <w:jc w:val="both"/>
        <w:rPr>
          <w:lang w:val="es-ES"/>
        </w:rPr>
      </w:pPr>
      <w:r w:rsidRPr="00EF28CC">
        <w:rPr>
          <w:rStyle w:val="EndnoteReference"/>
        </w:rPr>
        <w:endnoteRef/>
      </w:r>
      <w:r w:rsidRPr="00EF28CC">
        <w:rPr>
          <w:lang w:val="es-ES"/>
        </w:rPr>
        <w:t xml:space="preserve"> IDEA, </w:t>
      </w:r>
      <w:hyperlink r:id="rId75" w:history="1">
        <w:r w:rsidRPr="00EF28CC">
          <w:rPr>
            <w:rStyle w:val="Hyperlink"/>
            <w:color w:val="auto"/>
            <w:lang w:val="es-ES"/>
          </w:rPr>
          <w:t>La inconstitucionalidad de una reforma constitucional: el caso de Honduras,</w:t>
        </w:r>
      </w:hyperlink>
      <w:r w:rsidRPr="00EF28CC">
        <w:rPr>
          <w:lang w:val="es-ES"/>
        </w:rPr>
        <w:t xml:space="preserve"> </w:t>
      </w:r>
      <w:r w:rsidR="00195608" w:rsidRPr="00EF28CC">
        <w:rPr>
          <w:lang w:val="es-ES"/>
        </w:rPr>
        <w:t>(</w:t>
      </w:r>
      <w:r w:rsidRPr="00EF28CC">
        <w:rPr>
          <w:lang w:val="es-ES"/>
        </w:rPr>
        <w:t>31 de marzo de 202</w:t>
      </w:r>
      <w:r w:rsidR="00195608" w:rsidRPr="00EF28CC">
        <w:rPr>
          <w:lang w:val="es-ES"/>
        </w:rPr>
        <w:t>1)</w:t>
      </w:r>
    </w:p>
  </w:endnote>
  <w:endnote w:id="96">
    <w:p w14:paraId="302CAD61" w14:textId="2A218E49" w:rsidR="00B64E8D" w:rsidRPr="00EF28CC" w:rsidRDefault="00B64E8D" w:rsidP="00EF28CC">
      <w:pPr>
        <w:pStyle w:val="EndnoteText"/>
        <w:spacing w:after="0"/>
        <w:contextualSpacing/>
        <w:jc w:val="both"/>
        <w:rPr>
          <w:lang w:val="es-ES"/>
        </w:rPr>
      </w:pPr>
      <w:r w:rsidRPr="00EF28CC">
        <w:rPr>
          <w:rStyle w:val="EndnoteReference"/>
        </w:rPr>
        <w:endnoteRef/>
      </w:r>
      <w:r w:rsidRPr="00EF28CC">
        <w:rPr>
          <w:lang w:val="es-ES"/>
        </w:rPr>
        <w:t xml:space="preserve"> </w:t>
      </w:r>
      <w:r w:rsidRPr="00EF28CC">
        <w:rPr>
          <w:lang w:val="es-ES"/>
        </w:rPr>
        <w:t xml:space="preserve">Human Rights Watch, </w:t>
      </w:r>
      <w:hyperlink r:id="rId76" w:history="1">
        <w:r w:rsidRPr="00EF28CC">
          <w:rPr>
            <w:rStyle w:val="Hyperlink"/>
            <w:color w:val="auto"/>
            <w:lang w:val="es-ES"/>
          </w:rPr>
          <w:t>Honduras: Abortion Ban's Dire Consequences</w:t>
        </w:r>
      </w:hyperlink>
      <w:r w:rsidRPr="00EF28CC">
        <w:rPr>
          <w:lang w:val="es-ES"/>
        </w:rPr>
        <w:t xml:space="preserve"> </w:t>
      </w:r>
      <w:r w:rsidR="00195608" w:rsidRPr="00EF28CC">
        <w:rPr>
          <w:lang w:val="es-ES"/>
        </w:rPr>
        <w:t>(</w:t>
      </w:r>
      <w:r w:rsidRPr="00EF28CC">
        <w:rPr>
          <w:lang w:val="es-ES"/>
        </w:rPr>
        <w:t>6 de junio de 2019</w:t>
      </w:r>
      <w:r w:rsidR="00195608" w:rsidRPr="00EF28CC">
        <w:rPr>
          <w:lang w:val="es-ES"/>
        </w:rPr>
        <w:t>)</w:t>
      </w:r>
      <w:r w:rsidRPr="00EF28CC">
        <w:rPr>
          <w:lang w:val="es-ES"/>
        </w:rPr>
        <w:t>.</w:t>
      </w:r>
    </w:p>
  </w:endnote>
  <w:endnote w:id="97">
    <w:p w14:paraId="2967A357" w14:textId="77777777" w:rsidR="00CE601A" w:rsidRPr="00EF28CC" w:rsidRDefault="00CE601A" w:rsidP="00EF28CC">
      <w:pPr>
        <w:widowControl w:val="0"/>
        <w:pBdr>
          <w:top w:val="nil"/>
          <w:left w:val="nil"/>
          <w:bottom w:val="nil"/>
          <w:right w:val="nil"/>
          <w:between w:val="nil"/>
        </w:pBdr>
        <w:spacing w:after="0" w:line="240" w:lineRule="auto"/>
        <w:contextualSpacing/>
        <w:jc w:val="both"/>
        <w:rPr>
          <w:rFonts w:ascii="Times New Roman" w:eastAsia="Times New Roman" w:hAnsi="Times New Roman" w:cs="Times New Roman"/>
          <w:sz w:val="20"/>
          <w:szCs w:val="20"/>
          <w:lang w:val="es-ES"/>
        </w:rPr>
      </w:pPr>
      <w:r w:rsidRPr="00EF28CC">
        <w:rPr>
          <w:rFonts w:ascii="Times New Roman" w:hAnsi="Times New Roman" w:cs="Times New Roman"/>
          <w:sz w:val="20"/>
          <w:szCs w:val="20"/>
          <w:vertAlign w:val="superscript"/>
        </w:rPr>
        <w:endnoteRef/>
      </w:r>
      <w:r w:rsidRPr="00EF28CC">
        <w:rPr>
          <w:rFonts w:ascii="Times New Roman" w:eastAsia="Times New Roman" w:hAnsi="Times New Roman" w:cs="Times New Roman"/>
          <w:sz w:val="20"/>
          <w:szCs w:val="20"/>
          <w:lang w:val="es-ES"/>
        </w:rPr>
        <w:t xml:space="preserve"> Comité para la eliminación de la Discriminación contra la mujer. </w:t>
      </w:r>
      <w:hyperlink r:id="rId77" w:history="1">
        <w:r w:rsidRPr="00EF28CC">
          <w:rPr>
            <w:rStyle w:val="Hyperlink"/>
            <w:rFonts w:ascii="Times New Roman" w:eastAsia="Times New Roman" w:hAnsi="Times New Roman" w:cs="Times New Roman"/>
            <w:color w:val="auto"/>
            <w:sz w:val="20"/>
            <w:szCs w:val="20"/>
            <w:lang w:val="es-ES"/>
          </w:rPr>
          <w:t>Observaciones finales sobre los informes periódicos séptimo y octavo combinados de Honduras</w:t>
        </w:r>
      </w:hyperlink>
      <w:r w:rsidRPr="00EF28CC">
        <w:rPr>
          <w:rStyle w:val="Hyperlink"/>
          <w:rFonts w:ascii="Times New Roman" w:eastAsia="Times New Roman" w:hAnsi="Times New Roman" w:cs="Times New Roman"/>
          <w:color w:val="auto"/>
          <w:sz w:val="20"/>
          <w:szCs w:val="20"/>
          <w:lang w:val="es-ES"/>
        </w:rPr>
        <w:t xml:space="preserve">, </w:t>
      </w:r>
      <w:r w:rsidRPr="00EF28CC">
        <w:rPr>
          <w:rFonts w:ascii="Times New Roman" w:eastAsia="Times New Roman" w:hAnsi="Times New Roman" w:cs="Times New Roman"/>
          <w:sz w:val="20"/>
          <w:szCs w:val="20"/>
          <w:lang w:val="es-ES"/>
        </w:rPr>
        <w:t xml:space="preserve">CEDAW/C/HND/CO/7-8, (25 noviembre 2016). </w:t>
      </w:r>
    </w:p>
  </w:endnote>
  <w:endnote w:id="98">
    <w:p w14:paraId="07F21427" w14:textId="77777777" w:rsidR="00CE601A" w:rsidRPr="00EF28CC" w:rsidRDefault="00CE601A" w:rsidP="00EF28CC">
      <w:pPr>
        <w:widowControl w:val="0"/>
        <w:pBdr>
          <w:top w:val="nil"/>
          <w:left w:val="nil"/>
          <w:bottom w:val="nil"/>
          <w:right w:val="nil"/>
          <w:between w:val="nil"/>
        </w:pBdr>
        <w:spacing w:after="0" w:line="240" w:lineRule="auto"/>
        <w:contextualSpacing/>
        <w:jc w:val="both"/>
        <w:rPr>
          <w:rFonts w:ascii="Times New Roman" w:eastAsia="Times New Roman" w:hAnsi="Times New Roman" w:cs="Times New Roman"/>
          <w:sz w:val="20"/>
          <w:szCs w:val="20"/>
          <w:lang w:val="es-ES"/>
        </w:rPr>
      </w:pPr>
      <w:r w:rsidRPr="00EF28CC">
        <w:rPr>
          <w:rFonts w:ascii="Times New Roman" w:hAnsi="Times New Roman" w:cs="Times New Roman"/>
          <w:sz w:val="20"/>
          <w:szCs w:val="20"/>
          <w:vertAlign w:val="superscript"/>
        </w:rPr>
        <w:endnoteRef/>
      </w:r>
      <w:r w:rsidRPr="00EF28CC">
        <w:rPr>
          <w:rFonts w:ascii="Times New Roman" w:eastAsia="Times New Roman" w:hAnsi="Times New Roman" w:cs="Times New Roman"/>
          <w:sz w:val="20"/>
          <w:szCs w:val="20"/>
          <w:lang w:val="es-ES"/>
        </w:rPr>
        <w:t xml:space="preserve"> Consejo de Derechos Humanos. </w:t>
      </w:r>
      <w:hyperlink r:id="rId78" w:history="1">
        <w:r w:rsidRPr="00EF28CC">
          <w:rPr>
            <w:rStyle w:val="Hyperlink"/>
            <w:rFonts w:ascii="Times New Roman" w:eastAsia="Times New Roman" w:hAnsi="Times New Roman" w:cs="Times New Roman"/>
            <w:color w:val="auto"/>
            <w:sz w:val="20"/>
            <w:szCs w:val="20"/>
            <w:lang w:val="es-ES"/>
          </w:rPr>
          <w:t>Recopilación sobre Honduras: Informe de la Oficina del Alto Comisionado de las Naciones Unidas para los Derechos Humanos</w:t>
        </w:r>
      </w:hyperlink>
      <w:r w:rsidRPr="00EF28CC">
        <w:rPr>
          <w:rFonts w:ascii="Times New Roman" w:eastAsia="Times New Roman" w:hAnsi="Times New Roman" w:cs="Times New Roman"/>
          <w:sz w:val="20"/>
          <w:szCs w:val="20"/>
          <w:lang w:val="es-ES"/>
        </w:rPr>
        <w:t xml:space="preserve">, párr. 64, A/HRC/WG.6/36/HND/2, (3 marzo 2020); Comité de Derechos Humanos. </w:t>
      </w:r>
      <w:hyperlink r:id="rId79" w:history="1">
        <w:r w:rsidRPr="00EF28CC">
          <w:rPr>
            <w:rStyle w:val="Hyperlink"/>
            <w:rFonts w:ascii="Times New Roman" w:eastAsia="Times New Roman" w:hAnsi="Times New Roman" w:cs="Times New Roman"/>
            <w:color w:val="auto"/>
            <w:sz w:val="20"/>
            <w:szCs w:val="20"/>
            <w:lang w:val="es-ES"/>
          </w:rPr>
          <w:t>Observaciones finales sobre el segundo informe periódico de Honduras</w:t>
        </w:r>
      </w:hyperlink>
      <w:r w:rsidRPr="00EF28CC">
        <w:rPr>
          <w:rFonts w:ascii="Times New Roman" w:eastAsia="Times New Roman" w:hAnsi="Times New Roman" w:cs="Times New Roman"/>
          <w:sz w:val="20"/>
          <w:szCs w:val="20"/>
          <w:lang w:val="es-ES"/>
        </w:rPr>
        <w:t xml:space="preserve">, párr. 14, CCPR/C/HND/CO/2, (22 agosto 2017); Comité para la Eliminación de la Discriminación contra la Mujer. </w:t>
      </w:r>
      <w:hyperlink r:id="rId80" w:history="1">
        <w:r w:rsidRPr="00EF28CC">
          <w:rPr>
            <w:rStyle w:val="Hyperlink"/>
            <w:rFonts w:ascii="Times New Roman" w:eastAsia="Times New Roman" w:hAnsi="Times New Roman" w:cs="Times New Roman"/>
            <w:color w:val="auto"/>
            <w:sz w:val="20"/>
            <w:szCs w:val="20"/>
            <w:lang w:val="es-ES"/>
          </w:rPr>
          <w:t xml:space="preserve">Examen de los informes presentados por los </w:t>
        </w:r>
        <w:proofErr w:type="gramStart"/>
        <w:r w:rsidRPr="00EF28CC">
          <w:rPr>
            <w:rStyle w:val="Hyperlink"/>
            <w:rFonts w:ascii="Times New Roman" w:eastAsia="Times New Roman" w:hAnsi="Times New Roman" w:cs="Times New Roman"/>
            <w:color w:val="auto"/>
            <w:sz w:val="20"/>
            <w:szCs w:val="20"/>
            <w:lang w:val="es-ES"/>
          </w:rPr>
          <w:t>Estados partes</w:t>
        </w:r>
        <w:proofErr w:type="gramEnd"/>
        <w:r w:rsidRPr="00EF28CC">
          <w:rPr>
            <w:rStyle w:val="Hyperlink"/>
            <w:rFonts w:ascii="Times New Roman" w:eastAsia="Times New Roman" w:hAnsi="Times New Roman" w:cs="Times New Roman"/>
            <w:color w:val="auto"/>
            <w:sz w:val="20"/>
            <w:szCs w:val="20"/>
            <w:lang w:val="es-ES"/>
          </w:rPr>
          <w:t xml:space="preserve"> en virtud del artículo 18 de la Convención. Séptimo y octavo informes periódicos que los </w:t>
        </w:r>
        <w:proofErr w:type="gramStart"/>
        <w:r w:rsidRPr="00EF28CC">
          <w:rPr>
            <w:rStyle w:val="Hyperlink"/>
            <w:rFonts w:ascii="Times New Roman" w:eastAsia="Times New Roman" w:hAnsi="Times New Roman" w:cs="Times New Roman"/>
            <w:color w:val="auto"/>
            <w:sz w:val="20"/>
            <w:szCs w:val="20"/>
            <w:lang w:val="es-ES"/>
          </w:rPr>
          <w:t>Estados partes</w:t>
        </w:r>
        <w:proofErr w:type="gramEnd"/>
        <w:r w:rsidRPr="00EF28CC">
          <w:rPr>
            <w:rStyle w:val="Hyperlink"/>
            <w:rFonts w:ascii="Times New Roman" w:eastAsia="Times New Roman" w:hAnsi="Times New Roman" w:cs="Times New Roman"/>
            <w:color w:val="auto"/>
            <w:sz w:val="20"/>
            <w:szCs w:val="20"/>
            <w:lang w:val="es-ES"/>
          </w:rPr>
          <w:t xml:space="preserve"> debían presentar en 2012. Honduras</w:t>
        </w:r>
      </w:hyperlink>
      <w:r w:rsidRPr="00EF28CC">
        <w:rPr>
          <w:rFonts w:ascii="Times New Roman" w:eastAsia="Times New Roman" w:hAnsi="Times New Roman" w:cs="Times New Roman"/>
          <w:sz w:val="20"/>
          <w:szCs w:val="20"/>
          <w:lang w:val="es-ES"/>
        </w:rPr>
        <w:t xml:space="preserve">, párr. 22, CEDAW/C/HND/CO/7-8, (25 noviembre 2016); Comité de Derechos Económicos, Sociales y Culturales. </w:t>
      </w:r>
      <w:hyperlink r:id="rId81" w:history="1">
        <w:r w:rsidRPr="00EF28CC">
          <w:rPr>
            <w:rStyle w:val="Hyperlink"/>
            <w:rFonts w:ascii="Times New Roman" w:eastAsia="Times New Roman" w:hAnsi="Times New Roman" w:cs="Times New Roman"/>
            <w:color w:val="auto"/>
            <w:sz w:val="20"/>
            <w:szCs w:val="20"/>
            <w:lang w:val="es-ES"/>
          </w:rPr>
          <w:t>Observaciones finales sobre el segundo informe periódico de Honduras</w:t>
        </w:r>
      </w:hyperlink>
      <w:r w:rsidRPr="00EF28CC">
        <w:rPr>
          <w:rFonts w:ascii="Times New Roman" w:eastAsia="Times New Roman" w:hAnsi="Times New Roman" w:cs="Times New Roman"/>
          <w:sz w:val="20"/>
          <w:szCs w:val="20"/>
          <w:lang w:val="es-ES"/>
        </w:rPr>
        <w:t xml:space="preserve">, párr. 25, E/C.12/HND/CO/2, (11 julio 2016); Comité contra la Tortura. </w:t>
      </w:r>
      <w:hyperlink r:id="rId82" w:history="1">
        <w:r w:rsidRPr="00EF28CC">
          <w:rPr>
            <w:rStyle w:val="Hyperlink"/>
            <w:rFonts w:ascii="Times New Roman" w:eastAsia="Times New Roman" w:hAnsi="Times New Roman" w:cs="Times New Roman"/>
            <w:color w:val="auto"/>
            <w:sz w:val="20"/>
            <w:szCs w:val="20"/>
            <w:lang w:val="es-ES"/>
          </w:rPr>
          <w:t>Observaciones finales sobre el segundo informe periódico de Honduras</w:t>
        </w:r>
      </w:hyperlink>
      <w:r w:rsidRPr="00EF28CC">
        <w:rPr>
          <w:rFonts w:ascii="Times New Roman" w:eastAsia="Times New Roman" w:hAnsi="Times New Roman" w:cs="Times New Roman"/>
          <w:sz w:val="20"/>
          <w:szCs w:val="20"/>
          <w:lang w:val="es-ES"/>
        </w:rPr>
        <w:t>, párr. 45, CAT/C/HND/CO/2, (26 agosto 2016); Consejo de Derechos Humanos.</w:t>
      </w:r>
      <w:r w:rsidRPr="00EF28CC">
        <w:rPr>
          <w:rFonts w:ascii="Times New Roman" w:hAnsi="Times New Roman" w:cs="Times New Roman"/>
          <w:sz w:val="20"/>
          <w:szCs w:val="20"/>
          <w:lang w:val="es-ES"/>
        </w:rPr>
        <w:t xml:space="preserve"> </w:t>
      </w:r>
      <w:hyperlink r:id="rId83" w:history="1">
        <w:r w:rsidRPr="00EF28CC">
          <w:rPr>
            <w:rStyle w:val="Hyperlink"/>
            <w:rFonts w:ascii="Times New Roman" w:eastAsia="Times New Roman" w:hAnsi="Times New Roman" w:cs="Times New Roman"/>
            <w:color w:val="auto"/>
            <w:sz w:val="20"/>
            <w:szCs w:val="20"/>
            <w:lang w:val="es-ES"/>
          </w:rPr>
          <w:t>Visita a Honduras. Informe del Grupo de Trabajo sobre la cuestión de la discriminación contra la mujer en la legislación y en la práctica</w:t>
        </w:r>
      </w:hyperlink>
      <w:r w:rsidRPr="00EF28CC">
        <w:rPr>
          <w:rFonts w:ascii="Times New Roman" w:eastAsia="Times New Roman" w:hAnsi="Times New Roman" w:cs="Times New Roman"/>
          <w:sz w:val="20"/>
          <w:szCs w:val="20"/>
          <w:lang w:val="es-ES"/>
        </w:rPr>
        <w:t xml:space="preserve">, párr. 53-55, A/HRC/41/33/Add.1, (8 mayo 2019); Consejo de Derechos Humanos. </w:t>
      </w:r>
      <w:hyperlink r:id="rId84" w:history="1">
        <w:r w:rsidRPr="00EF28CC">
          <w:rPr>
            <w:rStyle w:val="Hyperlink"/>
            <w:rFonts w:ascii="Times New Roman" w:eastAsia="Times New Roman" w:hAnsi="Times New Roman" w:cs="Times New Roman"/>
            <w:color w:val="auto"/>
            <w:sz w:val="20"/>
            <w:szCs w:val="20"/>
            <w:lang w:val="es-ES"/>
          </w:rPr>
          <w:t>Informe del Relator Especial sobre las ejecuciones extrajudiciales, sumarias o arbitrarias acerca de su misión a Honduras</w:t>
        </w:r>
      </w:hyperlink>
      <w:r w:rsidRPr="00EF28CC">
        <w:rPr>
          <w:rFonts w:ascii="Times New Roman" w:eastAsia="Times New Roman" w:hAnsi="Times New Roman" w:cs="Times New Roman"/>
          <w:sz w:val="20"/>
          <w:szCs w:val="20"/>
          <w:lang w:val="es-ES"/>
        </w:rPr>
        <w:t xml:space="preserve">, párr. 68, A/HRC/35/23/Add.1, (11 abril 2017); Consejo de Derechos Humanos. </w:t>
      </w:r>
      <w:hyperlink r:id="rId85" w:history="1">
        <w:r w:rsidRPr="00EF28CC">
          <w:rPr>
            <w:rStyle w:val="Hyperlink"/>
            <w:rFonts w:ascii="Times New Roman" w:eastAsia="Times New Roman" w:hAnsi="Times New Roman" w:cs="Times New Roman"/>
            <w:color w:val="auto"/>
            <w:sz w:val="20"/>
            <w:szCs w:val="20"/>
            <w:lang w:val="es-ES"/>
          </w:rPr>
          <w:t>Situación de los derechos humanos en Honduras. Informe del Alto Comisionado de las Naciones Unidas para los Derechos Humanos sobre la situación de los derechos humanos en Honduras</w:t>
        </w:r>
      </w:hyperlink>
      <w:r w:rsidRPr="00EF28CC">
        <w:rPr>
          <w:rFonts w:ascii="Times New Roman" w:eastAsia="Times New Roman" w:hAnsi="Times New Roman" w:cs="Times New Roman"/>
          <w:sz w:val="20"/>
          <w:szCs w:val="20"/>
          <w:lang w:val="es-ES"/>
        </w:rPr>
        <w:t xml:space="preserve">, párr 24, A/HRC/43/3/Add.2, (2 abril 2020). </w:t>
      </w:r>
    </w:p>
  </w:endnote>
  <w:endnote w:id="99">
    <w:p w14:paraId="6CFBE3F2" w14:textId="77777777" w:rsidR="00CE601A" w:rsidRPr="00EF28CC" w:rsidRDefault="00CE601A" w:rsidP="00EF28CC">
      <w:pPr>
        <w:widowControl w:val="0"/>
        <w:pBdr>
          <w:top w:val="nil"/>
          <w:left w:val="nil"/>
          <w:bottom w:val="nil"/>
          <w:right w:val="nil"/>
          <w:between w:val="nil"/>
        </w:pBdr>
        <w:spacing w:after="0" w:line="240" w:lineRule="auto"/>
        <w:contextualSpacing/>
        <w:jc w:val="both"/>
        <w:rPr>
          <w:rFonts w:ascii="Times New Roman" w:eastAsia="Times New Roman" w:hAnsi="Times New Roman" w:cs="Times New Roman"/>
          <w:sz w:val="20"/>
          <w:szCs w:val="20"/>
          <w:highlight w:val="yellow"/>
          <w:lang w:val="es-ES"/>
        </w:rPr>
      </w:pPr>
      <w:r w:rsidRPr="00EF28CC">
        <w:rPr>
          <w:rFonts w:ascii="Times New Roman" w:hAnsi="Times New Roman" w:cs="Times New Roman"/>
          <w:sz w:val="20"/>
          <w:szCs w:val="20"/>
          <w:vertAlign w:val="superscript"/>
        </w:rPr>
        <w:endnoteRef/>
      </w:r>
      <w:r w:rsidRPr="00EF28CC">
        <w:rPr>
          <w:rFonts w:ascii="Times New Roman" w:eastAsia="Times New Roman" w:hAnsi="Times New Roman" w:cs="Times New Roman"/>
          <w:sz w:val="20"/>
          <w:szCs w:val="20"/>
          <w:lang w:val="es-ES"/>
        </w:rPr>
        <w:t xml:space="preserve"> Consejo de Derechos Humanos, </w:t>
      </w:r>
      <w:hyperlink r:id="rId86">
        <w:r w:rsidRPr="00EF28CC">
          <w:rPr>
            <w:rStyle w:val="Hyperlink"/>
            <w:rFonts w:ascii="Times New Roman" w:eastAsia="Times New Roman" w:hAnsi="Times New Roman" w:cs="Times New Roman"/>
            <w:color w:val="auto"/>
            <w:sz w:val="20"/>
            <w:szCs w:val="20"/>
            <w:lang w:val="es-ES"/>
          </w:rPr>
          <w:t>Informe del Grupo de Trabajo sobre el Examen Periódico Universal, Honduras</w:t>
        </w:r>
      </w:hyperlink>
      <w:r w:rsidRPr="00EF28CC">
        <w:rPr>
          <w:rFonts w:ascii="Times New Roman" w:eastAsia="Times New Roman" w:hAnsi="Times New Roman" w:cs="Times New Roman"/>
          <w:sz w:val="20"/>
          <w:szCs w:val="20"/>
          <w:lang w:val="es-ES"/>
        </w:rPr>
        <w:t>, recomendaciones 104.6; 104.162, 104.165, 104.166, 104.169, 104.170-104.175, 104.177-104.185, 104.187, 104.188, 104.190-104.193, 104.195, 104.198, A/HRC/46/12, (16 de diciembre de 2020).</w:t>
      </w:r>
    </w:p>
  </w:endnote>
  <w:endnote w:id="100">
    <w:p w14:paraId="1664BB92" w14:textId="77777777" w:rsidR="00CE601A" w:rsidRPr="00EF28CC" w:rsidRDefault="00CE601A" w:rsidP="00EF28CC">
      <w:pPr>
        <w:pStyle w:val="EndnoteText"/>
        <w:contextualSpacing/>
        <w:jc w:val="both"/>
        <w:rPr>
          <w:lang w:val="es-ES"/>
        </w:rPr>
      </w:pPr>
      <w:r w:rsidRPr="00EF28CC">
        <w:rPr>
          <w:rStyle w:val="EndnoteReference"/>
        </w:rPr>
        <w:endnoteRef/>
      </w:r>
      <w:r w:rsidRPr="00EF28CC">
        <w:rPr>
          <w:lang w:val="es-ES"/>
        </w:rPr>
        <w:t xml:space="preserve"> Comisión Interamericana de Derechos Humanos. </w:t>
      </w:r>
      <w:hyperlink r:id="rId87" w:history="1">
        <w:r w:rsidRPr="00EF28CC">
          <w:rPr>
            <w:rStyle w:val="Hyperlink"/>
            <w:color w:val="auto"/>
            <w:lang w:val="es-ES"/>
          </w:rPr>
          <w:t>Observaciones Preliminares. Visita in Loco a Honduras. 24 al 28 de abril de 2023</w:t>
        </w:r>
      </w:hyperlink>
      <w:r w:rsidRPr="00EF28CC">
        <w:rPr>
          <w:lang w:val="es-ES"/>
        </w:rPr>
        <w:t>, (28 abril 2023).</w:t>
      </w:r>
    </w:p>
  </w:endnote>
  <w:endnote w:id="101">
    <w:p w14:paraId="4F97DD64" w14:textId="1A923075" w:rsidR="00F32DFB" w:rsidRPr="00EF28CC" w:rsidRDefault="007E62E7" w:rsidP="00EF28CC">
      <w:pPr>
        <w:pStyle w:val="EndnoteText"/>
        <w:spacing w:before="120" w:after="120"/>
        <w:contextualSpacing/>
        <w:jc w:val="both"/>
        <w:rPr>
          <w:lang w:val="en-GB"/>
        </w:rPr>
      </w:pPr>
      <w:r w:rsidRPr="00EF28CC">
        <w:rPr>
          <w:rStyle w:val="EndnoteReference"/>
        </w:rPr>
        <w:endnoteRef/>
      </w:r>
      <w:r w:rsidRPr="00EF28CC">
        <w:t xml:space="preserve"> </w:t>
      </w:r>
      <w:r w:rsidR="00335D86" w:rsidRPr="00EF28CC">
        <w:t>Center for Reproductive Rights, "</w:t>
      </w:r>
      <w:hyperlink r:id="rId88" w:history="1">
        <w:r w:rsidR="00335D86" w:rsidRPr="00EF28CC">
          <w:rPr>
            <w:rStyle w:val="Hyperlink"/>
            <w:color w:val="auto"/>
          </w:rPr>
          <w:t>Submission from the Center for Reproductive Rights following the call for submission of the Special Rapporteur on Violence Against Women and Girls on violence against indigenous women</w:t>
        </w:r>
      </w:hyperlink>
      <w:r w:rsidR="00335D86" w:rsidRPr="00EF28CC">
        <w:t>",</w:t>
      </w:r>
    </w:p>
  </w:endnote>
  <w:endnote w:id="102">
    <w:p w14:paraId="101513B5" w14:textId="5FE56E24" w:rsidR="00F32DFB" w:rsidRPr="00612463" w:rsidRDefault="007E62E7" w:rsidP="00EF28CC">
      <w:pPr>
        <w:pStyle w:val="EndnoteText"/>
        <w:spacing w:before="120" w:after="120"/>
        <w:contextualSpacing/>
        <w:jc w:val="both"/>
        <w:rPr>
          <w:lang w:val="es-CO"/>
        </w:rPr>
      </w:pPr>
      <w:r w:rsidRPr="00EF28CC">
        <w:rPr>
          <w:rStyle w:val="EndnoteReference"/>
        </w:rPr>
        <w:endnoteRef/>
      </w:r>
      <w:r w:rsidRPr="00612463">
        <w:rPr>
          <w:lang w:val="es-CO"/>
        </w:rPr>
        <w:t xml:space="preserve"> </w:t>
      </w:r>
      <w:r w:rsidR="00335D86" w:rsidRPr="00612463">
        <w:rPr>
          <w:lang w:val="es-CO"/>
        </w:rPr>
        <w:t>Ibid.</w:t>
      </w:r>
      <w:r w:rsidRPr="00612463">
        <w:rPr>
          <w:lang w:val="es-CO"/>
        </w:rPr>
        <w:t xml:space="preserve">   </w:t>
      </w:r>
    </w:p>
  </w:endnote>
  <w:endnote w:id="103">
    <w:p w14:paraId="13A1BA15" w14:textId="76B8C509" w:rsidR="00F32DFB" w:rsidRPr="00612463" w:rsidRDefault="007E62E7" w:rsidP="00EF28CC">
      <w:pPr>
        <w:pStyle w:val="EndnoteText"/>
        <w:spacing w:before="120" w:after="120"/>
        <w:contextualSpacing/>
        <w:jc w:val="both"/>
        <w:rPr>
          <w:lang w:val="es-CO"/>
        </w:rPr>
      </w:pPr>
      <w:r w:rsidRPr="00EF28CC">
        <w:rPr>
          <w:rStyle w:val="EndnoteReference"/>
        </w:rPr>
        <w:endnoteRef/>
      </w:r>
      <w:r w:rsidRPr="00612463">
        <w:rPr>
          <w:lang w:val="es-CO"/>
        </w:rPr>
        <w:t xml:space="preserve"> </w:t>
      </w:r>
      <w:r w:rsidR="00335D86" w:rsidRPr="00612463">
        <w:rPr>
          <w:lang w:val="es-CO"/>
        </w:rPr>
        <w:t xml:space="preserve">Ibid.   </w:t>
      </w:r>
    </w:p>
  </w:endnote>
  <w:endnote w:id="104">
    <w:p w14:paraId="3E6C7B5D" w14:textId="2A82478D" w:rsidR="00F32DFB" w:rsidRPr="00612463" w:rsidRDefault="007E62E7" w:rsidP="00EF28CC">
      <w:pPr>
        <w:pStyle w:val="EndnoteText"/>
        <w:spacing w:before="120" w:after="120"/>
        <w:contextualSpacing/>
        <w:jc w:val="both"/>
        <w:rPr>
          <w:lang w:val="es-CO"/>
        </w:rPr>
      </w:pPr>
      <w:r w:rsidRPr="00EF28CC">
        <w:rPr>
          <w:rStyle w:val="EndnoteReference"/>
        </w:rPr>
        <w:endnoteRef/>
      </w:r>
      <w:r w:rsidRPr="00612463">
        <w:rPr>
          <w:lang w:val="es-CO"/>
        </w:rPr>
        <w:t xml:space="preserve"> </w:t>
      </w:r>
      <w:r w:rsidR="00335D86" w:rsidRPr="00612463">
        <w:rPr>
          <w:lang w:val="es-CO"/>
        </w:rPr>
        <w:t xml:space="preserve">Ibid.   </w:t>
      </w:r>
    </w:p>
  </w:endnote>
  <w:endnote w:id="105">
    <w:p w14:paraId="18E96721" w14:textId="385B3101" w:rsidR="00F32DFB" w:rsidRPr="00EF28CC" w:rsidRDefault="007E62E7" w:rsidP="00EF28CC">
      <w:pPr>
        <w:pStyle w:val="EndnoteText"/>
        <w:spacing w:before="120" w:after="120"/>
        <w:contextualSpacing/>
        <w:jc w:val="both"/>
        <w:rPr>
          <w:lang w:val="es-ES"/>
        </w:rPr>
      </w:pPr>
      <w:r w:rsidRPr="00EF28CC">
        <w:rPr>
          <w:rStyle w:val="EndnoteReference"/>
        </w:rPr>
        <w:endnoteRef/>
      </w:r>
      <w:r w:rsidRPr="00EF28CC">
        <w:rPr>
          <w:lang w:val="es-ES"/>
        </w:rPr>
        <w:t xml:space="preserve"> Gobierno de la República de Honduras, Secretaría de Salud, </w:t>
      </w:r>
      <w:hyperlink r:id="rId89" w:history="1">
        <w:r w:rsidRPr="00EF28CC">
          <w:rPr>
            <w:rStyle w:val="Hyperlink"/>
            <w:color w:val="auto"/>
            <w:lang w:val="es-ES"/>
          </w:rPr>
          <w:t>"Protocolo para la Atención Integral a Sobrevivientes de Violencia Sexual"</w:t>
        </w:r>
      </w:hyperlink>
      <w:r w:rsidRPr="00EF28CC">
        <w:rPr>
          <w:lang w:val="es-ES"/>
        </w:rPr>
        <w:t xml:space="preserve"> (2022), p 47</w:t>
      </w:r>
    </w:p>
  </w:endnote>
  <w:endnote w:id="106">
    <w:p w14:paraId="4D262BD0" w14:textId="77777777" w:rsidR="00F32DFB" w:rsidRPr="00EF28CC" w:rsidRDefault="007E62E7" w:rsidP="00EF28CC">
      <w:pPr>
        <w:pStyle w:val="EndnoteText"/>
        <w:spacing w:after="0"/>
        <w:contextualSpacing/>
        <w:jc w:val="both"/>
        <w:rPr>
          <w:lang w:val="es-ES"/>
        </w:rPr>
      </w:pPr>
      <w:r w:rsidRPr="00EF28CC">
        <w:rPr>
          <w:rStyle w:val="EndnoteReference"/>
        </w:rPr>
        <w:endnoteRef/>
      </w:r>
      <w:r w:rsidRPr="00EF28CC">
        <w:rPr>
          <w:lang w:val="es-ES"/>
        </w:rPr>
        <w:t xml:space="preserve"> El Heraldo. Acuerdo ejecutivo 75-2023 sobre uso libre de las PAE en Honduras, (9 marzo 2023).</w:t>
      </w:r>
    </w:p>
  </w:endnote>
  <w:endnote w:id="107">
    <w:p w14:paraId="4C6BA7B3" w14:textId="77777777" w:rsidR="00F32DFB" w:rsidRPr="00EF28CC" w:rsidRDefault="007E62E7" w:rsidP="00EF28CC">
      <w:pPr>
        <w:pStyle w:val="EndnoteText"/>
        <w:contextualSpacing/>
        <w:jc w:val="both"/>
        <w:rPr>
          <w:lang w:val="es-ES"/>
        </w:rPr>
      </w:pPr>
      <w:r w:rsidRPr="00EF28CC">
        <w:rPr>
          <w:rStyle w:val="EndnoteReference"/>
        </w:rPr>
        <w:endnoteRef/>
      </w:r>
      <w:r w:rsidRPr="00EF28CC">
        <w:rPr>
          <w:lang w:val="es-ES"/>
        </w:rPr>
        <w:t xml:space="preserve"> Breidy Hernández. </w:t>
      </w:r>
      <w:hyperlink r:id="rId90" w:tooltip="https://criterio.hn/donde-hay-pae-en-honduras/" w:history="1">
        <w:r w:rsidRPr="00EF28CC">
          <w:rPr>
            <w:rStyle w:val="Hyperlink"/>
            <w:color w:val="auto"/>
            <w:lang w:val="es-ES"/>
          </w:rPr>
          <w:t>¿Dónde hay PAE en Honduras?</w:t>
        </w:r>
      </w:hyperlink>
      <w:r w:rsidRPr="00EF28CC">
        <w:rPr>
          <w:rStyle w:val="Hyperlink"/>
          <w:color w:val="auto"/>
          <w:lang w:val="es-ES"/>
        </w:rPr>
        <w:t>,</w:t>
      </w:r>
      <w:r w:rsidRPr="00EF28CC">
        <w:rPr>
          <w:lang w:val="es-ES"/>
        </w:rPr>
        <w:t xml:space="preserve"> (5 mayo 2023).</w:t>
      </w:r>
    </w:p>
  </w:endnote>
  <w:endnote w:id="108">
    <w:p w14:paraId="590D4F66" w14:textId="77777777" w:rsidR="00F32DFB" w:rsidRPr="00EF28CC" w:rsidRDefault="007E62E7" w:rsidP="00EF28CC">
      <w:pPr>
        <w:pStyle w:val="EndnoteText"/>
        <w:contextualSpacing/>
        <w:jc w:val="both"/>
        <w:rPr>
          <w:lang w:val="es-ES"/>
        </w:rPr>
      </w:pPr>
      <w:r w:rsidRPr="00EF28CC">
        <w:rPr>
          <w:rStyle w:val="EndnoteReference"/>
        </w:rPr>
        <w:endnoteRef/>
      </w:r>
      <w:r w:rsidRPr="00EF28CC">
        <w:rPr>
          <w:lang w:val="es-ES"/>
        </w:rPr>
        <w:t xml:space="preserve"> Deutsche Welle. </w:t>
      </w:r>
      <w:hyperlink r:id="rId91" w:tooltip="https://www.laprensani.com/2023/07/12/internacionales/3174275-pildoras-anticonceptivas-en-honduras-una-realidad-a-medias" w:history="1">
        <w:r w:rsidRPr="00EF28CC">
          <w:rPr>
            <w:rStyle w:val="Hyperlink"/>
            <w:color w:val="auto"/>
            <w:lang w:val="es-ES"/>
          </w:rPr>
          <w:t>Píldoras anticonceptivas en Honduras: una realidad a medias</w:t>
        </w:r>
      </w:hyperlink>
      <w:r w:rsidRPr="00EF28CC">
        <w:rPr>
          <w:rStyle w:val="Hyperlink"/>
          <w:color w:val="auto"/>
          <w:lang w:val="es-ES"/>
        </w:rPr>
        <w:t>,</w:t>
      </w:r>
      <w:r w:rsidRPr="00EF28CC">
        <w:rPr>
          <w:lang w:val="es-ES"/>
        </w:rPr>
        <w:t xml:space="preserve"> (12 julio 2023).</w:t>
      </w:r>
    </w:p>
  </w:endnote>
  <w:endnote w:id="109">
    <w:p w14:paraId="6EABDFEE" w14:textId="77777777" w:rsidR="00F32DFB" w:rsidRPr="00EF28CC" w:rsidRDefault="007E62E7" w:rsidP="00EF28CC">
      <w:pPr>
        <w:pStyle w:val="EndnoteText"/>
        <w:contextualSpacing/>
        <w:jc w:val="both"/>
        <w:rPr>
          <w:lang w:val="es-ES"/>
        </w:rPr>
      </w:pPr>
      <w:r w:rsidRPr="00EF28CC">
        <w:rPr>
          <w:rStyle w:val="EndnoteReference"/>
        </w:rPr>
        <w:endnoteRef/>
      </w:r>
      <w:r w:rsidRPr="00EF28CC">
        <w:rPr>
          <w:lang w:val="es-ES"/>
        </w:rPr>
        <w:t xml:space="preserve"> Ibid.</w:t>
      </w:r>
    </w:p>
  </w:endnote>
  <w:endnote w:id="110">
    <w:p w14:paraId="52BAB288" w14:textId="77777777" w:rsidR="00F32DFB" w:rsidRPr="008456B8" w:rsidRDefault="007E62E7" w:rsidP="00EF28CC">
      <w:pPr>
        <w:pStyle w:val="EndnoteText"/>
        <w:contextualSpacing/>
        <w:jc w:val="both"/>
        <w:rPr>
          <w:lang w:val="es-ES"/>
        </w:rPr>
      </w:pPr>
      <w:r w:rsidRPr="00EF28CC">
        <w:rPr>
          <w:rStyle w:val="EndnoteReference"/>
        </w:rPr>
        <w:endnoteRef/>
      </w:r>
      <w:r w:rsidRPr="00EF28CC">
        <w:rPr>
          <w:lang w:val="es-ES"/>
        </w:rPr>
        <w:t xml:space="preserve"> omisión Interamericana de Derechos Humanos. </w:t>
      </w:r>
      <w:hyperlink r:id="rId92" w:tooltip="https://www.oas.org/es/cidh/informes/pdfs/2024/informe-honduras.pdf" w:history="1">
        <w:r w:rsidRPr="00EF28CC">
          <w:rPr>
            <w:rStyle w:val="Hyperlink"/>
            <w:color w:val="auto"/>
            <w:lang w:val="es-ES"/>
          </w:rPr>
          <w:t>Informe Situación de Derechos Humanos en Honduras</w:t>
        </w:r>
      </w:hyperlink>
      <w:r w:rsidRPr="00EF28CC">
        <w:rPr>
          <w:lang w:val="es-ES"/>
        </w:rPr>
        <w:t xml:space="preserve"> (24 de marzo de 2024) OEA/Ser.L/V/II Doc.9/24. Párr. 372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1161441"/>
      <w:docPartObj>
        <w:docPartGallery w:val="Page Numbers (Bottom of Page)"/>
        <w:docPartUnique/>
      </w:docPartObj>
    </w:sdtPr>
    <w:sdtEndPr/>
    <w:sdtContent>
      <w:p w14:paraId="39AADD6C" w14:textId="77777777" w:rsidR="00F32DFB" w:rsidRDefault="007E62E7">
        <w:pPr>
          <w:pStyle w:val="Footer"/>
          <w:jc w:val="right"/>
        </w:pPr>
        <w:r>
          <w:fldChar w:fldCharType="begin"/>
        </w:r>
        <w:r>
          <w:instrText>PAGE   \* MERGEFORMAT</w:instrText>
        </w:r>
        <w:r>
          <w:fldChar w:fldCharType="separate"/>
        </w:r>
        <w:r w:rsidR="00E02F45" w:rsidRPr="00E02F45">
          <w:rPr>
            <w:noProof/>
            <w:lang w:val="es-ES"/>
          </w:rPr>
          <w:t>2</w:t>
        </w:r>
        <w:r>
          <w:fldChar w:fldCharType="end"/>
        </w:r>
      </w:p>
    </w:sdtContent>
  </w:sdt>
  <w:p w14:paraId="6AFD46E8" w14:textId="77777777" w:rsidR="00F32DFB" w:rsidRDefault="00F32DFB">
    <w:pPr>
      <w:pStyle w:val="Footer"/>
      <w:jc w:val="center"/>
      <w:rPr>
        <w:rFonts w:ascii="Times New Roman" w:hAnsi="Times New Roman" w:cs="Times New Roman"/>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1F9469" w14:textId="77777777" w:rsidR="00272C9D" w:rsidRDefault="00272C9D">
      <w:pPr>
        <w:spacing w:after="0" w:line="240" w:lineRule="auto"/>
      </w:pPr>
      <w:r>
        <w:separator/>
      </w:r>
    </w:p>
  </w:footnote>
  <w:footnote w:type="continuationSeparator" w:id="0">
    <w:p w14:paraId="579F9748" w14:textId="77777777" w:rsidR="00272C9D" w:rsidRDefault="00272C9D">
      <w:pPr>
        <w:spacing w:after="0" w:line="240" w:lineRule="auto"/>
      </w:pPr>
      <w:r>
        <w:continuationSeparator/>
      </w:r>
    </w:p>
  </w:footnote>
  <w:footnote w:type="continuationNotice" w:id="1">
    <w:p w14:paraId="3BD5390B" w14:textId="77777777" w:rsidR="00272C9D" w:rsidRDefault="00272C9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F68FCA" w14:textId="77777777" w:rsidR="00F32DFB" w:rsidRDefault="007E62E7">
    <w:pPr>
      <w:pStyle w:val="Header"/>
    </w:pPr>
    <w:r>
      <w:rPr>
        <w:noProof/>
        <w:lang w:val="es-MX" w:eastAsia="es-MX"/>
      </w:rPr>
      <mc:AlternateContent>
        <mc:Choice Requires="wps">
          <w:drawing>
            <wp:anchor distT="0" distB="0" distL="114300" distR="114300" simplePos="0" relativeHeight="251658240" behindDoc="1" locked="0" layoutInCell="0" allowOverlap="1" wp14:anchorId="6DD843CF" wp14:editId="1CAE5C54">
              <wp:simplePos x="0" y="0"/>
              <wp:positionH relativeFrom="margin">
                <wp:align>center</wp:align>
              </wp:positionH>
              <wp:positionV relativeFrom="margin">
                <wp:align>center</wp:align>
              </wp:positionV>
              <wp:extent cx="5237480" cy="3142615"/>
              <wp:effectExtent l="0" t="0" r="0" b="0"/>
              <wp:wrapNone/>
              <wp:docPr id="3" name="Rectángulo 3"/>
              <wp:cNvGraphicFramePr/>
              <a:graphic xmlns:a="http://schemas.openxmlformats.org/drawingml/2006/main">
                <a:graphicData uri="http://schemas.microsoft.com/office/word/2010/wordprocessingShape">
                  <wps:wsp>
                    <wps:cNvSpPr/>
                    <wps:spPr bwMode="auto">
                      <a:xfrm rot="18900000">
                        <a:off x="0" y="0"/>
                        <a:ext cx="5237480" cy="3142615"/>
                      </a:xfrm>
                      <a:prstGeom prst="rect">
                        <a:avLst/>
                      </a:prstGeom>
                      <a:noFill/>
                      <a:ln>
                        <a:noFill/>
                      </a:ln>
                    </wps:spPr>
                    <wps:txbx>
                      <w:txbxContent>
                        <w:p w14:paraId="213A9EB2" w14:textId="77777777" w:rsidR="00F32DFB" w:rsidRDefault="007E62E7">
                          <w:pPr>
                            <w:jc w:val="center"/>
                            <w:rPr>
                              <w:rFonts w:ascii="Calibri" w:hAnsi="Calibri"/>
                              <w:color w:val="C0C0C0"/>
                              <w:sz w:val="2"/>
                              <w:szCs w:val="2"/>
                              <w14:textOutline w14:w="12700" w14:cap="flat" w14:cmpd="sng" w14:algn="ctr">
                                <w14:noFill/>
                                <w14:prstDash w14:val="solid"/>
                                <w14:bevel/>
                              </w14:textOutline>
                              <w14:textFill>
                                <w14:solidFill>
                                  <w14:srgbClr w14:val="C0C0C0">
                                    <w14:alpha w14:val="49803"/>
                                  </w14:srgbClr>
                                </w14:solidFill>
                              </w14:textFill>
                            </w:rPr>
                          </w:pPr>
                          <w:r>
                            <w:rPr>
                              <w:rFonts w:ascii="Calibri" w:hAnsi="Calibri"/>
                              <w:color w:val="C0C0C0"/>
                              <w:sz w:val="2"/>
                              <w:szCs w:val="2"/>
                              <w14:textOutline w14:w="12700" w14:cap="flat" w14:cmpd="sng" w14:algn="ctr">
                                <w14:noFill/>
                                <w14:prstDash w14:val="solid"/>
                                <w14:bevel/>
                              </w14:textOutline>
                              <w14:textFill>
                                <w14:solidFill>
                                  <w14:srgbClr w14:val="C0C0C0">
                                    <w14:alpha w14:val="49803"/>
                                  </w14:srgbClr>
                                </w14:solidFill>
                              </w14:textFill>
                            </w:rPr>
                            <w:t>DRAFT</w:t>
                          </w:r>
                        </w:p>
                      </w:txbxContent>
                    </wps:txbx>
                    <wps:bodyPr wrap="square" lIns="0" tIns="0" rIns="0" bIns="0" numCol="1" fromWordArt="1">
                      <a:prstTxWarp prst="textPlain">
                        <a:avLst>
                          <a:gd name="adj" fmla="val 50000"/>
                        </a:avLst>
                      </a:prstTxWarp>
                      <a:normAutofit/>
                    </wps:bodyPr>
                  </wps:wsp>
                </a:graphicData>
              </a:graphic>
            </wp:anchor>
          </w:drawing>
        </mc:Choice>
        <mc:Fallback>
          <w:pict>
            <v:rect w14:anchorId="6DD843CF" id="Rectángulo 3" o:spid="_x0000_s1026" style="position:absolute;margin-left:0;margin-top:0;width:412.4pt;height:247.45pt;rotation:-45;z-index:-251658240;visibility:visible;mso-wrap-style:squar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ImW3wEAAK8DAAAOAAAAZHJzL2Uyb0RvYy54bWysk01v2zAMhu8D9h8E3RfHadNlRpyiWNFh&#10;wD4KtEPPiiwlHiRRo5TY+fejZDvd1lsxHwSaIl7zeUmvr3tr2FFhaMHVvJzNOVNOQtO6Xc1/PN69&#10;W3EWonCNMOBUzU8q8OvN2zfrzldqAXswjUJGIi5Una/5PkZfFUWQe2VFmIFXji41oBWRXnFXNCg6&#10;UremWMznV0UH2HgEqUKg7O1wyTdZX2sl43etg4rM1Jx6i/nEfG7TWWzWotqh8PtWjm2IV3RhRevo&#10;o2epWxEFO2D7Qsq2EiGAjjMJtgCtW6kyA9GU839oHvbCq8xC5gR/tin8P1n57fjg75Fs6HyoAoVs&#10;232FhkYlDhEyU6/RMgTyrlx9mKcnp6l51mcnT2cnVR+ZpORycfH+ckWGS7q7KC8XV+UyeV2IKqkl&#10;pzyG+EmBZSmoOdKosqw4fglxKJ1KUrmDu9aYPC7j/kqQZsoUE8CAEvttP1JtoTkRV0dTrnn4dRCo&#10;ODOfHdmYVmIKcAq2U+AO9iPQ4pScaQT7RKt2g8mG3Gjq7rF/EuhHhEj092bahMyRV6JhTthkaPOT&#10;hKyhBTsKw5bZyYF0LCaUZ9UBEu0NzUG32ZKEONCMvLQV2dRxg9Pa/fmeq57/s81vAAAA//8DAFBL&#10;AwQUAAYACAAAACEA0OLDMN0AAAAFAQAADwAAAGRycy9kb3ducmV2LnhtbEyPS0/DMBCE70j9D9Yi&#10;cUHUaWWqNsSpAInHpYcWOHBz4yWJGq+j2Hnw71m40MtIq1nNfJNtJ9eIAbtQe9KwmCcgkApvayo1&#10;vL893axBhGjImsYTavjGANt8dpGZ1PqR9jgcYik4hEJqNFQxtqmUoajQmTD3LRJ7X75zJvLZldJ2&#10;ZuRw18hlkqykMzVxQ2VafKywOB16pwEfbj/aYl++Pu8G+7JQ6npUn73WV5fT/R2IiFP8f4ZffEaH&#10;nJmOvicbRKOBh8Q/ZW+9VDzjqEFt1AZknslz+vwHAAD//wMAUEsBAi0AFAAGAAgAAAAhALaDOJL+&#10;AAAA4QEAABMAAAAAAAAAAAAAAAAAAAAAAFtDb250ZW50X1R5cGVzXS54bWxQSwECLQAUAAYACAAA&#10;ACEAOP0h/9YAAACUAQAACwAAAAAAAAAAAAAAAAAvAQAAX3JlbHMvLnJlbHNQSwECLQAUAAYACAAA&#10;ACEASiiJlt8BAACvAwAADgAAAAAAAAAAAAAAAAAuAgAAZHJzL2Uyb0RvYy54bWxQSwECLQAUAAYA&#10;CAAAACEA0OLDMN0AAAAFAQAADwAAAAAAAAAAAAAAAAA5BAAAZHJzL2Rvd25yZXYueG1sUEsFBgAA&#10;AAAEAAQA8wAAAEMFAAAAAA==&#10;" o:allowincell="f" filled="f" stroked="f">
              <v:textbox inset="0,0,0,0">
                <w:txbxContent>
                  <w:p w14:paraId="213A9EB2" w14:textId="77777777" w:rsidR="00F32DFB" w:rsidRDefault="007E62E7">
                    <w:pPr>
                      <w:jc w:val="center"/>
                      <w:rPr>
                        <w:rFonts w:ascii="Calibri" w:hAnsi="Calibri"/>
                        <w:color w:val="C0C0C0"/>
                        <w:sz w:val="2"/>
                        <w:szCs w:val="2"/>
                        <w14:textOutline w14:w="12700" w14:cap="flat" w14:cmpd="sng" w14:algn="ctr">
                          <w14:noFill/>
                          <w14:prstDash w14:val="solid"/>
                          <w14:bevel/>
                        </w14:textOutline>
                        <w14:textFill>
                          <w14:solidFill>
                            <w14:srgbClr w14:val="C0C0C0">
                              <w14:alpha w14:val="49803"/>
                            </w14:srgbClr>
                          </w14:solidFill>
                        </w14:textFill>
                      </w:rPr>
                    </w:pPr>
                    <w:r>
                      <w:rPr>
                        <w:rFonts w:ascii="Calibri" w:hAnsi="Calibri"/>
                        <w:color w:val="C0C0C0"/>
                        <w:sz w:val="2"/>
                        <w:szCs w:val="2"/>
                        <w14:textOutline w14:w="12700" w14:cap="flat" w14:cmpd="sng" w14:algn="ctr">
                          <w14:noFill/>
                          <w14:prstDash w14:val="solid"/>
                          <w14:bevel/>
                        </w14:textOutline>
                        <w14:textFill>
                          <w14:solidFill>
                            <w14:srgbClr w14:val="C0C0C0">
                              <w14:alpha w14:val="49803"/>
                            </w14:srgbClr>
                          </w14:solidFill>
                        </w14:textFill>
                      </w:rPr>
                      <w:t>DRAFT</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185FA8" w14:textId="09C96FFF" w:rsidR="00F32DFB" w:rsidRDefault="00314B21">
    <w:pPr>
      <w:pStyle w:val="BodyText"/>
      <w:tabs>
        <w:tab w:val="left" w:pos="1394"/>
      </w:tabs>
      <w:spacing w:before="0" w:after="0"/>
      <w:ind w:firstLine="0"/>
    </w:pPr>
    <w:r>
      <w:rPr>
        <w:noProof/>
      </w:rPr>
      <w:drawing>
        <wp:anchor distT="0" distB="0" distL="114300" distR="114300" simplePos="0" relativeHeight="251659267" behindDoc="1" locked="0" layoutInCell="1" allowOverlap="1" wp14:anchorId="309A1F61" wp14:editId="221F3EA9">
          <wp:simplePos x="0" y="0"/>
          <wp:positionH relativeFrom="column">
            <wp:posOffset>57150</wp:posOffset>
          </wp:positionH>
          <wp:positionV relativeFrom="paragraph">
            <wp:posOffset>-228600</wp:posOffset>
          </wp:positionV>
          <wp:extent cx="1457325" cy="475615"/>
          <wp:effectExtent l="0" t="0" r="9525" b="635"/>
          <wp:wrapTight wrapText="bothSides">
            <wp:wrapPolygon edited="0">
              <wp:start x="0" y="0"/>
              <wp:lineTo x="0" y="20764"/>
              <wp:lineTo x="21459" y="20764"/>
              <wp:lineTo x="21459" y="13842"/>
              <wp:lineTo x="14400" y="11247"/>
              <wp:lineTo x="13835" y="865"/>
              <wp:lineTo x="13271" y="0"/>
              <wp:lineTo x="0" y="0"/>
            </wp:wrapPolygon>
          </wp:wrapTight>
          <wp:docPr id="125628134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7325" cy="475615"/>
                  </a:xfrm>
                  <a:prstGeom prst="rect">
                    <a:avLst/>
                  </a:prstGeom>
                  <a:noFill/>
                </pic:spPr>
              </pic:pic>
            </a:graphicData>
          </a:graphic>
        </wp:anchor>
      </w:drawing>
    </w:r>
    <w:r w:rsidR="007E62E7">
      <w:rPr>
        <w:noProof/>
        <w:lang w:val="es-MX" w:eastAsia="es-MX"/>
      </w:rPr>
      <w:drawing>
        <wp:anchor distT="0" distB="0" distL="114300" distR="114300" simplePos="0" relativeHeight="251658243" behindDoc="0" locked="0" layoutInCell="1" allowOverlap="1" wp14:anchorId="6818CD5E" wp14:editId="4B1AC41A">
          <wp:simplePos x="0" y="0"/>
          <wp:positionH relativeFrom="column">
            <wp:posOffset>5419725</wp:posOffset>
          </wp:positionH>
          <wp:positionV relativeFrom="paragraph">
            <wp:posOffset>-304799</wp:posOffset>
          </wp:positionV>
          <wp:extent cx="1143000" cy="762000"/>
          <wp:effectExtent l="0" t="0" r="0" b="0"/>
          <wp:wrapNone/>
          <wp:docPr id="1"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pic:blipFill>
                <pic:spPr bwMode="auto">
                  <a:xfrm>
                    <a:off x="0" y="0"/>
                    <a:ext cx="1143000" cy="762000"/>
                  </a:xfrm>
                  <a:prstGeom prst="rect">
                    <a:avLst/>
                  </a:prstGeom>
                  <a:noFill/>
                  <a:ln>
                    <a:noFill/>
                  </a:ln>
                </pic:spPr>
              </pic:pic>
            </a:graphicData>
          </a:graphic>
        </wp:anchor>
      </w:drawing>
    </w:r>
  </w:p>
  <w:p w14:paraId="571A72F1" w14:textId="77777777" w:rsidR="00F32DFB" w:rsidRDefault="00F32DFB">
    <w:pPr>
      <w:pStyle w:val="Header"/>
      <w:jc w:val="right"/>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836328" w14:textId="77777777" w:rsidR="00F32DFB" w:rsidRDefault="007E62E7">
    <w:pPr>
      <w:pStyle w:val="Header"/>
    </w:pPr>
    <w:r>
      <w:rPr>
        <w:noProof/>
        <w:lang w:val="es-MX" w:eastAsia="es-MX"/>
      </w:rPr>
      <mc:AlternateContent>
        <mc:Choice Requires="wps">
          <w:drawing>
            <wp:anchor distT="0" distB="0" distL="114300" distR="114300" simplePos="0" relativeHeight="251658241" behindDoc="1" locked="0" layoutInCell="0" allowOverlap="1" wp14:anchorId="30809031" wp14:editId="4F2883F6">
              <wp:simplePos x="0" y="0"/>
              <wp:positionH relativeFrom="margin">
                <wp:align>center</wp:align>
              </wp:positionH>
              <wp:positionV relativeFrom="margin">
                <wp:align>center</wp:align>
              </wp:positionV>
              <wp:extent cx="5237480" cy="3142615"/>
              <wp:effectExtent l="0" t="0" r="0" b="0"/>
              <wp:wrapNone/>
              <wp:docPr id="4" name="Rectángulo 4"/>
              <wp:cNvGraphicFramePr/>
              <a:graphic xmlns:a="http://schemas.openxmlformats.org/drawingml/2006/main">
                <a:graphicData uri="http://schemas.microsoft.com/office/word/2010/wordprocessingShape">
                  <wps:wsp>
                    <wps:cNvSpPr/>
                    <wps:spPr bwMode="auto">
                      <a:xfrm rot="18900000">
                        <a:off x="0" y="0"/>
                        <a:ext cx="5237480" cy="3142615"/>
                      </a:xfrm>
                      <a:prstGeom prst="rect">
                        <a:avLst/>
                      </a:prstGeom>
                      <a:noFill/>
                      <a:ln>
                        <a:noFill/>
                      </a:ln>
                    </wps:spPr>
                    <wps:txbx>
                      <w:txbxContent>
                        <w:p w14:paraId="11A5153C" w14:textId="77777777" w:rsidR="00F32DFB" w:rsidRDefault="007E62E7">
                          <w:pPr>
                            <w:jc w:val="center"/>
                            <w:rPr>
                              <w:rFonts w:ascii="Calibri" w:hAnsi="Calibri"/>
                              <w:color w:val="C0C0C0"/>
                              <w:sz w:val="2"/>
                              <w:szCs w:val="2"/>
                              <w14:textOutline w14:w="12700" w14:cap="flat" w14:cmpd="sng" w14:algn="ctr">
                                <w14:noFill/>
                                <w14:prstDash w14:val="solid"/>
                                <w14:bevel/>
                              </w14:textOutline>
                              <w14:textFill>
                                <w14:solidFill>
                                  <w14:srgbClr w14:val="C0C0C0">
                                    <w14:alpha w14:val="49803"/>
                                  </w14:srgbClr>
                                </w14:solidFill>
                              </w14:textFill>
                            </w:rPr>
                          </w:pPr>
                          <w:r>
                            <w:rPr>
                              <w:rFonts w:ascii="Calibri" w:hAnsi="Calibri"/>
                              <w:color w:val="C0C0C0"/>
                              <w:sz w:val="2"/>
                              <w:szCs w:val="2"/>
                              <w14:textOutline w14:w="12700" w14:cap="flat" w14:cmpd="sng" w14:algn="ctr">
                                <w14:noFill/>
                                <w14:prstDash w14:val="solid"/>
                                <w14:bevel/>
                              </w14:textOutline>
                              <w14:textFill>
                                <w14:solidFill>
                                  <w14:srgbClr w14:val="C0C0C0">
                                    <w14:alpha w14:val="49803"/>
                                  </w14:srgbClr>
                                </w14:solidFill>
                              </w14:textFill>
                            </w:rPr>
                            <w:t>DRAFT</w:t>
                          </w:r>
                        </w:p>
                      </w:txbxContent>
                    </wps:txbx>
                    <wps:bodyPr wrap="square" lIns="0" tIns="0" rIns="0" bIns="0" numCol="1" fromWordArt="1">
                      <a:prstTxWarp prst="textPlain">
                        <a:avLst>
                          <a:gd name="adj" fmla="val 50000"/>
                        </a:avLst>
                      </a:prstTxWarp>
                      <a:normAutofit/>
                    </wps:bodyPr>
                  </wps:wsp>
                </a:graphicData>
              </a:graphic>
            </wp:anchor>
          </w:drawing>
        </mc:Choice>
        <mc:Fallback>
          <w:pict>
            <v:rect w14:anchorId="30809031" id="Rectángulo 4" o:spid="_x0000_s1027" style="position:absolute;margin-left:0;margin-top:0;width:412.4pt;height:247.45pt;rotation:-45;z-index:-251658239;visibility:visible;mso-wrap-style:squar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TYN4gEAALYDAAAOAAAAZHJzL2Uyb0RvYy54bWysU01v2zAMvQ/YfxB0XxynTZcZcYpiRYcB&#10;+yjQDj0rshR7kESNUmLn34+S42Qft2E+CBRJPPE9Pq9vB2vYQWHowNW8nM05U05C07ldzb89P7xZ&#10;cRaicI0w4FTNjyrw283rV+veV2oBLZhGISMQF6re17yN0VdFEWSrrAgz8MpRUQNaEemKu6JB0RO6&#10;NcViPr8pesDGI0gVAmXvxyLfZHytlYxftQ4qMlNzmi3mE/O5TWexWYtqh8K3nTyNIf5hCis6R4+e&#10;oe5FFGyP3V9QtpMIAXScSbAFaN1JlTkQm3L+B5unVniVuZA4wZ9lCv8PVn45PPlHJBl6H6pAIdv2&#10;n6GhVYl9hMxp0GgZAmlXrt7N05fTNDwbspLHs5JqiExScrm4enu9IsEl1a7K68VNuUxaF6JKaEkp&#10;jyF+UGBZCmqOtKoMKw6fQhxbp5bU7uChMyavy7jfEoSZMsVEYKQSh+3AuoZmTu+m2haaI9Hradk1&#10;Dz/2AhVn5qMjNZMzpgCnYDsFbm/fA/mn5Ewj2Bdy3B0mNfK8acjn4UWgPzGJJMKjmQyR6WRnNMwJ&#10;m3RtvhOQNeSzgzBsmQUdCZ+aidEFdeSK9o7WobuszIXNiTaZI2t7MnJy36/33HX53TY/AQAA//8D&#10;AFBLAwQUAAYACAAAACEA0OLDMN0AAAAFAQAADwAAAGRycy9kb3ducmV2LnhtbEyPS0/DMBCE70j9&#10;D9YicUHUaWWqNsSpAInHpYcWOHBz4yWJGq+j2Hnw71m40MtIq1nNfJNtJ9eIAbtQe9KwmCcgkApv&#10;ayo1vL893axBhGjImsYTavjGANt8dpGZ1PqR9jgcYik4hEJqNFQxtqmUoajQmTD3LRJ7X75zJvLZ&#10;ldJ2ZuRw18hlkqykMzVxQ2VafKywOB16pwEfbj/aYl++Pu8G+7JQ6npUn73WV5fT/R2IiFP8f4Zf&#10;fEaHnJmOvicbRKOBh8Q/ZW+9VDzjqEFt1AZknslz+vwHAAD//wMAUEsBAi0AFAAGAAgAAAAhALaD&#10;OJL+AAAA4QEAABMAAAAAAAAAAAAAAAAAAAAAAFtDb250ZW50X1R5cGVzXS54bWxQSwECLQAUAAYA&#10;CAAAACEAOP0h/9YAAACUAQAACwAAAAAAAAAAAAAAAAAvAQAAX3JlbHMvLnJlbHNQSwECLQAUAAYA&#10;CAAAACEAxO02DeIBAAC2AwAADgAAAAAAAAAAAAAAAAAuAgAAZHJzL2Uyb0RvYy54bWxQSwECLQAU&#10;AAYACAAAACEA0OLDMN0AAAAFAQAADwAAAAAAAAAAAAAAAAA8BAAAZHJzL2Rvd25yZXYueG1sUEsF&#10;BgAAAAAEAAQA8wAAAEYFAAAAAA==&#10;" o:allowincell="f" filled="f" stroked="f">
              <v:textbox inset="0,0,0,0">
                <w:txbxContent>
                  <w:p w14:paraId="11A5153C" w14:textId="77777777" w:rsidR="00F32DFB" w:rsidRDefault="007E62E7">
                    <w:pPr>
                      <w:jc w:val="center"/>
                      <w:rPr>
                        <w:rFonts w:ascii="Calibri" w:hAnsi="Calibri"/>
                        <w:color w:val="C0C0C0"/>
                        <w:sz w:val="2"/>
                        <w:szCs w:val="2"/>
                        <w14:textOutline w14:w="12700" w14:cap="flat" w14:cmpd="sng" w14:algn="ctr">
                          <w14:noFill/>
                          <w14:prstDash w14:val="solid"/>
                          <w14:bevel/>
                        </w14:textOutline>
                        <w14:textFill>
                          <w14:solidFill>
                            <w14:srgbClr w14:val="C0C0C0">
                              <w14:alpha w14:val="49803"/>
                            </w14:srgbClr>
                          </w14:solidFill>
                        </w14:textFill>
                      </w:rPr>
                    </w:pPr>
                    <w:r>
                      <w:rPr>
                        <w:rFonts w:ascii="Calibri" w:hAnsi="Calibri"/>
                        <w:color w:val="C0C0C0"/>
                        <w:sz w:val="2"/>
                        <w:szCs w:val="2"/>
                        <w14:textOutline w14:w="12700" w14:cap="flat" w14:cmpd="sng" w14:algn="ctr">
                          <w14:noFill/>
                          <w14:prstDash w14:val="solid"/>
                          <w14:bevel/>
                        </w14:textOutline>
                        <w14:textFill>
                          <w14:solidFill>
                            <w14:srgbClr w14:val="C0C0C0">
                              <w14:alpha w14:val="49803"/>
                            </w14:srgbClr>
                          </w14:solidFill>
                        </w14:textFill>
                      </w:rPr>
                      <w:t>DRAFT</w:t>
                    </w:r>
                  </w:p>
                </w:txbxContent>
              </v:textbox>
              <w10:wrap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96231"/>
    <w:multiLevelType w:val="hybridMultilevel"/>
    <w:tmpl w:val="5DA01888"/>
    <w:lvl w:ilvl="0" w:tplc="5E22D5A4">
      <w:start w:val="1"/>
      <w:numFmt w:val="lowerLetter"/>
      <w:lvlText w:val="%1)"/>
      <w:lvlJc w:val="left"/>
      <w:pPr>
        <w:ind w:left="720" w:hanging="360"/>
      </w:pPr>
      <w:rPr>
        <w:b w:val="0"/>
        <w:i w:val="0"/>
      </w:rPr>
    </w:lvl>
    <w:lvl w:ilvl="1" w:tplc="95821B6E">
      <w:start w:val="1"/>
      <w:numFmt w:val="lowerLetter"/>
      <w:lvlText w:val="%2."/>
      <w:lvlJc w:val="left"/>
      <w:pPr>
        <w:ind w:left="1440" w:hanging="360"/>
      </w:pPr>
    </w:lvl>
    <w:lvl w:ilvl="2" w:tplc="CA9A2484">
      <w:start w:val="1"/>
      <w:numFmt w:val="lowerRoman"/>
      <w:lvlText w:val="%3."/>
      <w:lvlJc w:val="right"/>
      <w:pPr>
        <w:ind w:left="2160" w:hanging="180"/>
      </w:pPr>
    </w:lvl>
    <w:lvl w:ilvl="3" w:tplc="372E36CA">
      <w:start w:val="1"/>
      <w:numFmt w:val="decimal"/>
      <w:lvlText w:val="%4."/>
      <w:lvlJc w:val="left"/>
      <w:pPr>
        <w:ind w:left="2880" w:hanging="360"/>
      </w:pPr>
    </w:lvl>
    <w:lvl w:ilvl="4" w:tplc="6B480D06">
      <w:start w:val="1"/>
      <w:numFmt w:val="lowerLetter"/>
      <w:lvlText w:val="%5."/>
      <w:lvlJc w:val="left"/>
      <w:pPr>
        <w:ind w:left="3600" w:hanging="360"/>
      </w:pPr>
    </w:lvl>
    <w:lvl w:ilvl="5" w:tplc="EB523DBE">
      <w:start w:val="1"/>
      <w:numFmt w:val="lowerRoman"/>
      <w:lvlText w:val="%6."/>
      <w:lvlJc w:val="right"/>
      <w:pPr>
        <w:ind w:left="4320" w:hanging="180"/>
      </w:pPr>
    </w:lvl>
    <w:lvl w:ilvl="6" w:tplc="2A5084E6">
      <w:start w:val="1"/>
      <w:numFmt w:val="decimal"/>
      <w:lvlText w:val="%7."/>
      <w:lvlJc w:val="left"/>
      <w:pPr>
        <w:ind w:left="5040" w:hanging="360"/>
      </w:pPr>
    </w:lvl>
    <w:lvl w:ilvl="7" w:tplc="F14A5044">
      <w:start w:val="1"/>
      <w:numFmt w:val="lowerLetter"/>
      <w:lvlText w:val="%8."/>
      <w:lvlJc w:val="left"/>
      <w:pPr>
        <w:ind w:left="5760" w:hanging="360"/>
      </w:pPr>
    </w:lvl>
    <w:lvl w:ilvl="8" w:tplc="BA723590">
      <w:start w:val="1"/>
      <w:numFmt w:val="lowerRoman"/>
      <w:lvlText w:val="%9."/>
      <w:lvlJc w:val="right"/>
      <w:pPr>
        <w:ind w:left="6480" w:hanging="180"/>
      </w:pPr>
    </w:lvl>
  </w:abstractNum>
  <w:abstractNum w:abstractNumId="1" w15:restartNumberingAfterBreak="0">
    <w:nsid w:val="0FB55613"/>
    <w:multiLevelType w:val="hybridMultilevel"/>
    <w:tmpl w:val="B7AE0308"/>
    <w:lvl w:ilvl="0" w:tplc="C188FF2E">
      <w:start w:val="1"/>
      <w:numFmt w:val="decimal"/>
      <w:lvlText w:val="%1."/>
      <w:lvlJc w:val="left"/>
      <w:pPr>
        <w:ind w:left="720" w:hanging="360"/>
      </w:pPr>
      <w:rPr>
        <w:b w:val="0"/>
        <w:bCs w:val="0"/>
        <w:i w:val="0"/>
        <w:iCs w:val="0"/>
      </w:rPr>
    </w:lvl>
    <w:lvl w:ilvl="1" w:tplc="1E80612E">
      <w:start w:val="1"/>
      <w:numFmt w:val="lowerLetter"/>
      <w:lvlText w:val="%2."/>
      <w:lvlJc w:val="left"/>
      <w:pPr>
        <w:ind w:left="1440" w:hanging="360"/>
      </w:pPr>
    </w:lvl>
    <w:lvl w:ilvl="2" w:tplc="A9444AB0">
      <w:start w:val="1"/>
      <w:numFmt w:val="lowerRoman"/>
      <w:lvlText w:val="%3."/>
      <w:lvlJc w:val="right"/>
      <w:pPr>
        <w:ind w:left="2160" w:hanging="180"/>
      </w:pPr>
    </w:lvl>
    <w:lvl w:ilvl="3" w:tplc="D0BEB076">
      <w:start w:val="1"/>
      <w:numFmt w:val="decimal"/>
      <w:lvlText w:val="%4."/>
      <w:lvlJc w:val="left"/>
      <w:pPr>
        <w:ind w:left="2880" w:hanging="360"/>
      </w:pPr>
    </w:lvl>
    <w:lvl w:ilvl="4" w:tplc="4714292A">
      <w:start w:val="1"/>
      <w:numFmt w:val="lowerLetter"/>
      <w:lvlText w:val="%5."/>
      <w:lvlJc w:val="left"/>
      <w:pPr>
        <w:ind w:left="3600" w:hanging="360"/>
      </w:pPr>
    </w:lvl>
    <w:lvl w:ilvl="5" w:tplc="ADE48EC8">
      <w:start w:val="1"/>
      <w:numFmt w:val="lowerRoman"/>
      <w:lvlText w:val="%6."/>
      <w:lvlJc w:val="right"/>
      <w:pPr>
        <w:ind w:left="4320" w:hanging="180"/>
      </w:pPr>
    </w:lvl>
    <w:lvl w:ilvl="6" w:tplc="2D8C9ADE">
      <w:start w:val="1"/>
      <w:numFmt w:val="decimal"/>
      <w:lvlText w:val="%7."/>
      <w:lvlJc w:val="left"/>
      <w:pPr>
        <w:ind w:left="5040" w:hanging="360"/>
      </w:pPr>
    </w:lvl>
    <w:lvl w:ilvl="7" w:tplc="BFC6B398">
      <w:start w:val="1"/>
      <w:numFmt w:val="lowerLetter"/>
      <w:lvlText w:val="%8."/>
      <w:lvlJc w:val="left"/>
      <w:pPr>
        <w:ind w:left="5760" w:hanging="360"/>
      </w:pPr>
    </w:lvl>
    <w:lvl w:ilvl="8" w:tplc="6BC49AAA">
      <w:start w:val="1"/>
      <w:numFmt w:val="lowerRoman"/>
      <w:lvlText w:val="%9."/>
      <w:lvlJc w:val="right"/>
      <w:pPr>
        <w:ind w:left="6480" w:hanging="180"/>
      </w:pPr>
    </w:lvl>
  </w:abstractNum>
  <w:abstractNum w:abstractNumId="2" w15:restartNumberingAfterBreak="0">
    <w:nsid w:val="308352A9"/>
    <w:multiLevelType w:val="hybridMultilevel"/>
    <w:tmpl w:val="A9CC9468"/>
    <w:lvl w:ilvl="0" w:tplc="FAA06EBC">
      <w:start w:val="1"/>
      <w:numFmt w:val="upperLetter"/>
      <w:lvlText w:val="%1."/>
      <w:lvlJc w:val="left"/>
      <w:pPr>
        <w:ind w:left="1440" w:hanging="360"/>
      </w:pPr>
      <w:rPr>
        <w:b/>
        <w:bCs/>
      </w:rPr>
    </w:lvl>
    <w:lvl w:ilvl="1" w:tplc="9D462356">
      <w:start w:val="1"/>
      <w:numFmt w:val="lowerLetter"/>
      <w:lvlText w:val="%2."/>
      <w:lvlJc w:val="left"/>
      <w:pPr>
        <w:ind w:left="2160" w:hanging="360"/>
      </w:pPr>
    </w:lvl>
    <w:lvl w:ilvl="2" w:tplc="F0FA5A12">
      <w:start w:val="1"/>
      <w:numFmt w:val="lowerRoman"/>
      <w:lvlText w:val="%3."/>
      <w:lvlJc w:val="right"/>
      <w:pPr>
        <w:ind w:left="2880" w:hanging="180"/>
      </w:pPr>
    </w:lvl>
    <w:lvl w:ilvl="3" w:tplc="C5FE1442">
      <w:start w:val="1"/>
      <w:numFmt w:val="decimal"/>
      <w:lvlText w:val="%4."/>
      <w:lvlJc w:val="left"/>
      <w:pPr>
        <w:ind w:left="3600" w:hanging="360"/>
      </w:pPr>
    </w:lvl>
    <w:lvl w:ilvl="4" w:tplc="93689AF4">
      <w:start w:val="1"/>
      <w:numFmt w:val="lowerLetter"/>
      <w:lvlText w:val="%5."/>
      <w:lvlJc w:val="left"/>
      <w:pPr>
        <w:ind w:left="4320" w:hanging="360"/>
      </w:pPr>
    </w:lvl>
    <w:lvl w:ilvl="5" w:tplc="226E3C24">
      <w:start w:val="1"/>
      <w:numFmt w:val="lowerRoman"/>
      <w:lvlText w:val="%6."/>
      <w:lvlJc w:val="right"/>
      <w:pPr>
        <w:ind w:left="5040" w:hanging="180"/>
      </w:pPr>
    </w:lvl>
    <w:lvl w:ilvl="6" w:tplc="A1FEF470">
      <w:start w:val="1"/>
      <w:numFmt w:val="decimal"/>
      <w:lvlText w:val="%7."/>
      <w:lvlJc w:val="left"/>
      <w:pPr>
        <w:ind w:left="5760" w:hanging="360"/>
      </w:pPr>
    </w:lvl>
    <w:lvl w:ilvl="7" w:tplc="13481D78">
      <w:start w:val="1"/>
      <w:numFmt w:val="lowerLetter"/>
      <w:lvlText w:val="%8."/>
      <w:lvlJc w:val="left"/>
      <w:pPr>
        <w:ind w:left="6480" w:hanging="360"/>
      </w:pPr>
    </w:lvl>
    <w:lvl w:ilvl="8" w:tplc="F712F5F6">
      <w:start w:val="1"/>
      <w:numFmt w:val="lowerRoman"/>
      <w:lvlText w:val="%9."/>
      <w:lvlJc w:val="right"/>
      <w:pPr>
        <w:ind w:left="7200" w:hanging="180"/>
      </w:pPr>
    </w:lvl>
  </w:abstractNum>
  <w:abstractNum w:abstractNumId="3" w15:restartNumberingAfterBreak="0">
    <w:nsid w:val="36034633"/>
    <w:multiLevelType w:val="hybridMultilevel"/>
    <w:tmpl w:val="D1A0705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D94170"/>
    <w:multiLevelType w:val="hybridMultilevel"/>
    <w:tmpl w:val="54BC3866"/>
    <w:lvl w:ilvl="0" w:tplc="20E40D00">
      <w:start w:val="1"/>
      <w:numFmt w:val="decimal"/>
      <w:lvlText w:val="%1."/>
      <w:lvlJc w:val="left"/>
      <w:pPr>
        <w:ind w:left="720" w:hanging="360"/>
      </w:pPr>
      <w:rPr>
        <w:b w:val="0"/>
        <w:bCs w:val="0"/>
        <w:i w:val="0"/>
        <w:iCs w:val="0"/>
      </w:rPr>
    </w:lvl>
    <w:lvl w:ilvl="1" w:tplc="04021BA2">
      <w:start w:val="1"/>
      <w:numFmt w:val="lowerLetter"/>
      <w:lvlText w:val="%2."/>
      <w:lvlJc w:val="left"/>
      <w:pPr>
        <w:ind w:left="1440" w:hanging="360"/>
      </w:pPr>
    </w:lvl>
    <w:lvl w:ilvl="2" w:tplc="7D8AA058">
      <w:start w:val="1"/>
      <w:numFmt w:val="lowerRoman"/>
      <w:lvlText w:val="%3."/>
      <w:lvlJc w:val="right"/>
      <w:pPr>
        <w:ind w:left="2160" w:hanging="180"/>
      </w:pPr>
    </w:lvl>
    <w:lvl w:ilvl="3" w:tplc="EB0247C8">
      <w:start w:val="1"/>
      <w:numFmt w:val="decimal"/>
      <w:lvlText w:val="%4."/>
      <w:lvlJc w:val="left"/>
      <w:pPr>
        <w:ind w:left="2880" w:hanging="360"/>
      </w:pPr>
    </w:lvl>
    <w:lvl w:ilvl="4" w:tplc="30360C46">
      <w:start w:val="1"/>
      <w:numFmt w:val="lowerLetter"/>
      <w:lvlText w:val="%5."/>
      <w:lvlJc w:val="left"/>
      <w:pPr>
        <w:ind w:left="3600" w:hanging="360"/>
      </w:pPr>
    </w:lvl>
    <w:lvl w:ilvl="5" w:tplc="4208C082">
      <w:start w:val="1"/>
      <w:numFmt w:val="lowerRoman"/>
      <w:lvlText w:val="%6."/>
      <w:lvlJc w:val="right"/>
      <w:pPr>
        <w:ind w:left="4320" w:hanging="180"/>
      </w:pPr>
    </w:lvl>
    <w:lvl w:ilvl="6" w:tplc="DEB2140C">
      <w:start w:val="1"/>
      <w:numFmt w:val="decimal"/>
      <w:lvlText w:val="%7."/>
      <w:lvlJc w:val="left"/>
      <w:pPr>
        <w:ind w:left="5040" w:hanging="360"/>
      </w:pPr>
    </w:lvl>
    <w:lvl w:ilvl="7" w:tplc="819E2912">
      <w:start w:val="1"/>
      <w:numFmt w:val="lowerLetter"/>
      <w:lvlText w:val="%8."/>
      <w:lvlJc w:val="left"/>
      <w:pPr>
        <w:ind w:left="5760" w:hanging="360"/>
      </w:pPr>
    </w:lvl>
    <w:lvl w:ilvl="8" w:tplc="1C30E20E">
      <w:start w:val="1"/>
      <w:numFmt w:val="lowerRoman"/>
      <w:lvlText w:val="%9."/>
      <w:lvlJc w:val="right"/>
      <w:pPr>
        <w:ind w:left="6480" w:hanging="180"/>
      </w:pPr>
    </w:lvl>
  </w:abstractNum>
  <w:abstractNum w:abstractNumId="5" w15:restartNumberingAfterBreak="0">
    <w:nsid w:val="3FB65CE3"/>
    <w:multiLevelType w:val="hybridMultilevel"/>
    <w:tmpl w:val="8084E8CC"/>
    <w:lvl w:ilvl="0" w:tplc="92740E54">
      <w:start w:val="1"/>
      <w:numFmt w:val="upperRoman"/>
      <w:pStyle w:val="Lindas1"/>
      <w:lvlText w:val="%1."/>
      <w:lvlJc w:val="left"/>
      <w:pPr>
        <w:ind w:left="720" w:hanging="720"/>
      </w:pPr>
      <w:rPr>
        <w:rFonts w:ascii="Times New Roman" w:hAnsi="Times New Roman" w:cs="Times New Roman"/>
        <w:b/>
        <w:i w:val="0"/>
        <w:caps w:val="0"/>
        <w:strike w:val="0"/>
        <w:vanish w:val="0"/>
        <w:color w:val="auto"/>
        <w:sz w:val="24"/>
        <w:u w:val="none"/>
        <w:vertAlign w:val="baseline"/>
      </w:rPr>
    </w:lvl>
    <w:lvl w:ilvl="1" w:tplc="1B503744">
      <w:start w:val="1"/>
      <w:numFmt w:val="upperLetter"/>
      <w:pStyle w:val="Lindas2"/>
      <w:lvlText w:val="%2."/>
      <w:lvlJc w:val="left"/>
      <w:pPr>
        <w:ind w:left="720" w:hanging="720"/>
      </w:pPr>
      <w:rPr>
        <w:rFonts w:ascii="Times New Roman Bold" w:hAnsi="Times New Roman Bold"/>
        <w:b/>
        <w:i w:val="0"/>
        <w:caps w:val="0"/>
        <w:strike w:val="0"/>
        <w:vanish w:val="0"/>
        <w:color w:val="auto"/>
        <w:sz w:val="24"/>
        <w:u w:val="none"/>
        <w:vertAlign w:val="baseline"/>
      </w:rPr>
    </w:lvl>
    <w:lvl w:ilvl="2" w:tplc="AE269536">
      <w:start w:val="1"/>
      <w:numFmt w:val="decimal"/>
      <w:lvlRestart w:val="0"/>
      <w:lvlText w:val="%3."/>
      <w:lvlJc w:val="left"/>
      <w:pPr>
        <w:tabs>
          <w:tab w:val="num" w:pos="1430"/>
        </w:tabs>
        <w:ind w:left="1430" w:hanging="720"/>
      </w:pPr>
      <w:rPr>
        <w:rFonts w:ascii="Times New Roman" w:hAnsi="Times New Roman" w:cs="Times New Roman"/>
        <w:b w:val="0"/>
        <w:i w:val="0"/>
        <w:caps w:val="0"/>
        <w:strike w:val="0"/>
        <w:vanish w:val="0"/>
        <w:color w:val="auto"/>
        <w:sz w:val="22"/>
        <w:u w:val="none"/>
        <w:vertAlign w:val="baseline"/>
      </w:rPr>
    </w:lvl>
    <w:lvl w:ilvl="3" w:tplc="D868BB9E">
      <w:start w:val="1"/>
      <w:numFmt w:val="lowerLetter"/>
      <w:pStyle w:val="Lindas4"/>
      <w:lvlText w:val="(%4)"/>
      <w:lvlJc w:val="left"/>
      <w:pPr>
        <w:ind w:left="1440" w:hanging="646"/>
      </w:pPr>
      <w:rPr>
        <w:rFonts w:ascii="Times New Roman" w:hAnsi="Times New Roman" w:cs="Times New Roman" w:hint="default"/>
        <w:b w:val="0"/>
        <w:i w:val="0"/>
        <w:caps w:val="0"/>
        <w:strike w:val="0"/>
        <w:vanish w:val="0"/>
        <w:color w:val="auto"/>
        <w:sz w:val="24"/>
        <w:szCs w:val="24"/>
        <w:u w:val="none"/>
        <w:vertAlign w:val="baseline"/>
      </w:rPr>
    </w:lvl>
    <w:lvl w:ilvl="4" w:tplc="34AC0AD2">
      <w:start w:val="1"/>
      <w:numFmt w:val="lowerRoman"/>
      <w:pStyle w:val="Lindas5"/>
      <w:lvlText w:val="(%5)"/>
      <w:lvlJc w:val="left"/>
      <w:pPr>
        <w:ind w:left="2280" w:hanging="720"/>
      </w:pPr>
      <w:rPr>
        <w:rFonts w:ascii="Times New Roman" w:hAnsi="Times New Roman" w:cs="Times New Roman"/>
        <w:b w:val="0"/>
        <w:i w:val="0"/>
        <w:caps w:val="0"/>
        <w:strike w:val="0"/>
        <w:vanish w:val="0"/>
        <w:color w:val="auto"/>
        <w:sz w:val="22"/>
        <w:u w:val="none"/>
        <w:vertAlign w:val="baseline"/>
      </w:rPr>
    </w:lvl>
    <w:lvl w:ilvl="5" w:tplc="54A819DA">
      <w:start w:val="1"/>
      <w:numFmt w:val="none"/>
      <w:pStyle w:val="Lindas6"/>
      <w:suff w:val="nothing"/>
      <w:lvlText w:val="%6"/>
      <w:lvlJc w:val="left"/>
      <w:pPr>
        <w:ind w:left="1440" w:firstLine="0"/>
      </w:pPr>
      <w:rPr>
        <w:rFonts w:ascii="Times New Roman" w:hAnsi="Times New Roman" w:cs="Times New Roman"/>
        <w:b w:val="0"/>
        <w:i w:val="0"/>
        <w:caps w:val="0"/>
        <w:strike w:val="0"/>
        <w:vanish w:val="0"/>
        <w:color w:val="auto"/>
        <w:sz w:val="24"/>
        <w:u w:val="none"/>
        <w:vertAlign w:val="baseline"/>
      </w:rPr>
    </w:lvl>
    <w:lvl w:ilvl="6" w:tplc="4906FE80">
      <w:start w:val="1"/>
      <w:numFmt w:val="lowerLetter"/>
      <w:pStyle w:val="Lindas7"/>
      <w:lvlText w:val="%7."/>
      <w:lvlJc w:val="left"/>
      <w:pPr>
        <w:ind w:left="5040" w:hanging="720"/>
      </w:pPr>
      <w:rPr>
        <w:rFonts w:ascii="Times New Roman" w:hAnsi="Times New Roman" w:cs="Times New Roman"/>
        <w:b w:val="0"/>
        <w:i w:val="0"/>
        <w:caps w:val="0"/>
        <w:strike w:val="0"/>
        <w:vanish w:val="0"/>
        <w:color w:val="auto"/>
        <w:sz w:val="24"/>
        <w:u w:val="none"/>
        <w:vertAlign w:val="baseline"/>
      </w:rPr>
    </w:lvl>
    <w:lvl w:ilvl="7" w:tplc="2D207F34">
      <w:start w:val="1"/>
      <w:numFmt w:val="lowerRoman"/>
      <w:pStyle w:val="Lindas8"/>
      <w:lvlText w:val="%8."/>
      <w:lvlJc w:val="left"/>
      <w:pPr>
        <w:ind w:left="5760" w:hanging="720"/>
      </w:pPr>
      <w:rPr>
        <w:rFonts w:ascii="Times New Roman" w:hAnsi="Times New Roman" w:cs="Times New Roman"/>
        <w:b w:val="0"/>
        <w:i w:val="0"/>
        <w:caps w:val="0"/>
        <w:strike w:val="0"/>
        <w:vanish w:val="0"/>
        <w:color w:val="auto"/>
        <w:sz w:val="24"/>
        <w:u w:val="none"/>
        <w:vertAlign w:val="baseline"/>
      </w:rPr>
    </w:lvl>
    <w:lvl w:ilvl="8" w:tplc="77848A82">
      <w:start w:val="1"/>
      <w:numFmt w:val="decimal"/>
      <w:pStyle w:val="Lindas9"/>
      <w:lvlText w:val="%9."/>
      <w:lvlJc w:val="left"/>
      <w:pPr>
        <w:ind w:left="6480" w:hanging="720"/>
      </w:pPr>
      <w:rPr>
        <w:rFonts w:ascii="Times New Roman" w:hAnsi="Times New Roman" w:cs="Times New Roman"/>
        <w:b w:val="0"/>
        <w:i w:val="0"/>
        <w:caps w:val="0"/>
        <w:strike w:val="0"/>
        <w:vanish w:val="0"/>
        <w:color w:val="auto"/>
        <w:sz w:val="24"/>
        <w:u w:val="none"/>
        <w:vertAlign w:val="baseline"/>
      </w:rPr>
    </w:lvl>
  </w:abstractNum>
  <w:abstractNum w:abstractNumId="6" w15:restartNumberingAfterBreak="0">
    <w:nsid w:val="46EF737F"/>
    <w:multiLevelType w:val="hybridMultilevel"/>
    <w:tmpl w:val="78E0BFA0"/>
    <w:lvl w:ilvl="0" w:tplc="F82C727E">
      <w:start w:val="1"/>
      <w:numFmt w:val="decimal"/>
      <w:pStyle w:val="Recomendaciones"/>
      <w:lvlText w:val="%1."/>
      <w:lvlJc w:val="left"/>
      <w:pPr>
        <w:ind w:left="1440" w:hanging="360"/>
      </w:pPr>
      <w:rPr>
        <w:rFonts w:asciiTheme="minorHAnsi" w:eastAsiaTheme="minorHAnsi" w:hAnsiTheme="minorHAnsi"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5CA20A4B"/>
    <w:multiLevelType w:val="hybridMultilevel"/>
    <w:tmpl w:val="20468C80"/>
    <w:lvl w:ilvl="0" w:tplc="86E8E78C">
      <w:start w:val="2"/>
      <w:numFmt w:val="upperRoman"/>
      <w:lvlText w:val="%1."/>
      <w:lvlJc w:val="left"/>
      <w:pPr>
        <w:ind w:left="1080" w:hanging="720"/>
      </w:pPr>
      <w:rPr>
        <w:rFonts w:hint="default"/>
      </w:rPr>
    </w:lvl>
    <w:lvl w:ilvl="1" w:tplc="82602A30">
      <w:start w:val="1"/>
      <w:numFmt w:val="lowerLetter"/>
      <w:lvlText w:val="%2."/>
      <w:lvlJc w:val="left"/>
      <w:pPr>
        <w:ind w:left="1440" w:hanging="360"/>
      </w:pPr>
    </w:lvl>
    <w:lvl w:ilvl="2" w:tplc="DF8A3C92">
      <w:start w:val="1"/>
      <w:numFmt w:val="lowerRoman"/>
      <w:lvlText w:val="%3."/>
      <w:lvlJc w:val="right"/>
      <w:pPr>
        <w:ind w:left="2160" w:hanging="180"/>
      </w:pPr>
    </w:lvl>
    <w:lvl w:ilvl="3" w:tplc="F56E4530">
      <w:start w:val="1"/>
      <w:numFmt w:val="decimal"/>
      <w:lvlText w:val="%4."/>
      <w:lvlJc w:val="left"/>
      <w:pPr>
        <w:ind w:left="2880" w:hanging="360"/>
      </w:pPr>
    </w:lvl>
    <w:lvl w:ilvl="4" w:tplc="C6D46C52">
      <w:start w:val="1"/>
      <w:numFmt w:val="lowerLetter"/>
      <w:lvlText w:val="%5."/>
      <w:lvlJc w:val="left"/>
      <w:pPr>
        <w:ind w:left="3600" w:hanging="360"/>
      </w:pPr>
    </w:lvl>
    <w:lvl w:ilvl="5" w:tplc="DF5A0840">
      <w:start w:val="1"/>
      <w:numFmt w:val="lowerRoman"/>
      <w:lvlText w:val="%6."/>
      <w:lvlJc w:val="right"/>
      <w:pPr>
        <w:ind w:left="4320" w:hanging="180"/>
      </w:pPr>
    </w:lvl>
    <w:lvl w:ilvl="6" w:tplc="C5DC2F2C">
      <w:start w:val="1"/>
      <w:numFmt w:val="decimal"/>
      <w:lvlText w:val="%7."/>
      <w:lvlJc w:val="left"/>
      <w:pPr>
        <w:ind w:left="5040" w:hanging="360"/>
      </w:pPr>
    </w:lvl>
    <w:lvl w:ilvl="7" w:tplc="0C321858">
      <w:start w:val="1"/>
      <w:numFmt w:val="lowerLetter"/>
      <w:lvlText w:val="%8."/>
      <w:lvlJc w:val="left"/>
      <w:pPr>
        <w:ind w:left="5760" w:hanging="360"/>
      </w:pPr>
    </w:lvl>
    <w:lvl w:ilvl="8" w:tplc="4F166B42">
      <w:start w:val="1"/>
      <w:numFmt w:val="lowerRoman"/>
      <w:lvlText w:val="%9."/>
      <w:lvlJc w:val="right"/>
      <w:pPr>
        <w:ind w:left="6480" w:hanging="180"/>
      </w:pPr>
    </w:lvl>
  </w:abstractNum>
  <w:abstractNum w:abstractNumId="8" w15:restartNumberingAfterBreak="0">
    <w:nsid w:val="6BD05594"/>
    <w:multiLevelType w:val="hybridMultilevel"/>
    <w:tmpl w:val="B63C96D4"/>
    <w:lvl w:ilvl="0" w:tplc="B498A9AC">
      <w:start w:val="1"/>
      <w:numFmt w:val="decimal"/>
      <w:lvlText w:val="%1."/>
      <w:lvlJc w:val="left"/>
      <w:pPr>
        <w:ind w:left="720" w:hanging="360"/>
      </w:pPr>
      <w:rPr>
        <w:b w:val="0"/>
        <w:bCs w:val="0"/>
        <w:i w:val="0"/>
        <w:iCs w:val="0"/>
      </w:rPr>
    </w:lvl>
    <w:lvl w:ilvl="1" w:tplc="C02A87C0">
      <w:start w:val="1"/>
      <w:numFmt w:val="lowerLetter"/>
      <w:lvlText w:val="%2."/>
      <w:lvlJc w:val="left"/>
      <w:pPr>
        <w:ind w:left="1440" w:hanging="360"/>
      </w:pPr>
    </w:lvl>
    <w:lvl w:ilvl="2" w:tplc="5D8AFF4E">
      <w:start w:val="1"/>
      <w:numFmt w:val="lowerRoman"/>
      <w:lvlText w:val="%3."/>
      <w:lvlJc w:val="right"/>
      <w:pPr>
        <w:ind w:left="2160" w:hanging="180"/>
      </w:pPr>
    </w:lvl>
    <w:lvl w:ilvl="3" w:tplc="1918F146">
      <w:start w:val="1"/>
      <w:numFmt w:val="decimal"/>
      <w:lvlText w:val="%4."/>
      <w:lvlJc w:val="left"/>
      <w:pPr>
        <w:ind w:left="2880" w:hanging="360"/>
      </w:pPr>
    </w:lvl>
    <w:lvl w:ilvl="4" w:tplc="9D3EF234">
      <w:start w:val="1"/>
      <w:numFmt w:val="lowerLetter"/>
      <w:lvlText w:val="%5."/>
      <w:lvlJc w:val="left"/>
      <w:pPr>
        <w:ind w:left="3600" w:hanging="360"/>
      </w:pPr>
    </w:lvl>
    <w:lvl w:ilvl="5" w:tplc="5E045D46">
      <w:start w:val="1"/>
      <w:numFmt w:val="lowerRoman"/>
      <w:lvlText w:val="%6."/>
      <w:lvlJc w:val="right"/>
      <w:pPr>
        <w:ind w:left="4320" w:hanging="180"/>
      </w:pPr>
    </w:lvl>
    <w:lvl w:ilvl="6" w:tplc="A8BA81C4">
      <w:start w:val="1"/>
      <w:numFmt w:val="decimal"/>
      <w:lvlText w:val="%7."/>
      <w:lvlJc w:val="left"/>
      <w:pPr>
        <w:ind w:left="5040" w:hanging="360"/>
      </w:pPr>
    </w:lvl>
    <w:lvl w:ilvl="7" w:tplc="C15EC01C">
      <w:start w:val="1"/>
      <w:numFmt w:val="lowerLetter"/>
      <w:lvlText w:val="%8."/>
      <w:lvlJc w:val="left"/>
      <w:pPr>
        <w:ind w:left="5760" w:hanging="360"/>
      </w:pPr>
    </w:lvl>
    <w:lvl w:ilvl="8" w:tplc="720479D8">
      <w:start w:val="1"/>
      <w:numFmt w:val="lowerRoman"/>
      <w:lvlText w:val="%9."/>
      <w:lvlJc w:val="right"/>
      <w:pPr>
        <w:ind w:left="6480" w:hanging="180"/>
      </w:pPr>
    </w:lvl>
  </w:abstractNum>
  <w:abstractNum w:abstractNumId="9" w15:restartNumberingAfterBreak="0">
    <w:nsid w:val="6FC64F0E"/>
    <w:multiLevelType w:val="hybridMultilevel"/>
    <w:tmpl w:val="1A42B6B0"/>
    <w:lvl w:ilvl="0" w:tplc="F7120F28">
      <w:start w:val="1"/>
      <w:numFmt w:val="decimal"/>
      <w:lvlText w:val="%1."/>
      <w:lvlJc w:val="left"/>
      <w:pPr>
        <w:ind w:left="720" w:hanging="360"/>
      </w:pPr>
      <w:rPr>
        <w:b w:val="0"/>
        <w:bCs w:val="0"/>
        <w:i w:val="0"/>
        <w:iCs w:val="0"/>
      </w:rPr>
    </w:lvl>
    <w:lvl w:ilvl="1" w:tplc="B37AC4AA">
      <w:start w:val="1"/>
      <w:numFmt w:val="lowerLetter"/>
      <w:lvlText w:val="%2."/>
      <w:lvlJc w:val="left"/>
      <w:pPr>
        <w:ind w:left="1440" w:hanging="360"/>
      </w:pPr>
    </w:lvl>
    <w:lvl w:ilvl="2" w:tplc="36CEFB08">
      <w:start w:val="1"/>
      <w:numFmt w:val="lowerRoman"/>
      <w:lvlText w:val="%3."/>
      <w:lvlJc w:val="right"/>
      <w:pPr>
        <w:ind w:left="2160" w:hanging="180"/>
      </w:pPr>
    </w:lvl>
    <w:lvl w:ilvl="3" w:tplc="FF78553E">
      <w:start w:val="1"/>
      <w:numFmt w:val="decimal"/>
      <w:lvlText w:val="%4."/>
      <w:lvlJc w:val="left"/>
      <w:pPr>
        <w:ind w:left="2880" w:hanging="360"/>
      </w:pPr>
    </w:lvl>
    <w:lvl w:ilvl="4" w:tplc="7DA81572">
      <w:start w:val="1"/>
      <w:numFmt w:val="lowerLetter"/>
      <w:lvlText w:val="%5."/>
      <w:lvlJc w:val="left"/>
      <w:pPr>
        <w:ind w:left="3600" w:hanging="360"/>
      </w:pPr>
    </w:lvl>
    <w:lvl w:ilvl="5" w:tplc="F39AF7B6">
      <w:start w:val="1"/>
      <w:numFmt w:val="lowerRoman"/>
      <w:lvlText w:val="%6."/>
      <w:lvlJc w:val="right"/>
      <w:pPr>
        <w:ind w:left="4320" w:hanging="180"/>
      </w:pPr>
    </w:lvl>
    <w:lvl w:ilvl="6" w:tplc="B016BC12">
      <w:start w:val="1"/>
      <w:numFmt w:val="decimal"/>
      <w:lvlText w:val="%7."/>
      <w:lvlJc w:val="left"/>
      <w:pPr>
        <w:ind w:left="5040" w:hanging="360"/>
      </w:pPr>
    </w:lvl>
    <w:lvl w:ilvl="7" w:tplc="AD7E5FB0">
      <w:start w:val="1"/>
      <w:numFmt w:val="lowerLetter"/>
      <w:lvlText w:val="%8."/>
      <w:lvlJc w:val="left"/>
      <w:pPr>
        <w:ind w:left="5760" w:hanging="360"/>
      </w:pPr>
    </w:lvl>
    <w:lvl w:ilvl="8" w:tplc="7E920832">
      <w:start w:val="1"/>
      <w:numFmt w:val="lowerRoman"/>
      <w:lvlText w:val="%9."/>
      <w:lvlJc w:val="right"/>
      <w:pPr>
        <w:ind w:left="6480" w:hanging="180"/>
      </w:pPr>
    </w:lvl>
  </w:abstractNum>
  <w:abstractNum w:abstractNumId="10" w15:restartNumberingAfterBreak="0">
    <w:nsid w:val="73E15193"/>
    <w:multiLevelType w:val="hybridMultilevel"/>
    <w:tmpl w:val="66A688E8"/>
    <w:lvl w:ilvl="0" w:tplc="C51C7130">
      <w:start w:val="1"/>
      <w:numFmt w:val="lowerLetter"/>
      <w:lvlText w:val="(%1)"/>
      <w:lvlJc w:val="left"/>
      <w:pPr>
        <w:ind w:left="1070" w:hanging="710"/>
      </w:pPr>
      <w:rPr>
        <w:rFonts w:hint="default"/>
      </w:rPr>
    </w:lvl>
    <w:lvl w:ilvl="1" w:tplc="C234FC86">
      <w:start w:val="1"/>
      <w:numFmt w:val="lowerLetter"/>
      <w:lvlText w:val="%2."/>
      <w:lvlJc w:val="left"/>
      <w:pPr>
        <w:ind w:left="1440" w:hanging="360"/>
      </w:pPr>
    </w:lvl>
    <w:lvl w:ilvl="2" w:tplc="63205EA2">
      <w:start w:val="1"/>
      <w:numFmt w:val="lowerRoman"/>
      <w:lvlText w:val="%3."/>
      <w:lvlJc w:val="right"/>
      <w:pPr>
        <w:ind w:left="2160" w:hanging="180"/>
      </w:pPr>
    </w:lvl>
    <w:lvl w:ilvl="3" w:tplc="CC707E42">
      <w:start w:val="1"/>
      <w:numFmt w:val="decimal"/>
      <w:lvlText w:val="%4."/>
      <w:lvlJc w:val="left"/>
      <w:pPr>
        <w:ind w:left="2880" w:hanging="360"/>
      </w:pPr>
    </w:lvl>
    <w:lvl w:ilvl="4" w:tplc="50788B82">
      <w:start w:val="1"/>
      <w:numFmt w:val="lowerLetter"/>
      <w:lvlText w:val="%5."/>
      <w:lvlJc w:val="left"/>
      <w:pPr>
        <w:ind w:left="3600" w:hanging="360"/>
      </w:pPr>
    </w:lvl>
    <w:lvl w:ilvl="5" w:tplc="62DC29A2">
      <w:start w:val="1"/>
      <w:numFmt w:val="lowerRoman"/>
      <w:lvlText w:val="%6."/>
      <w:lvlJc w:val="right"/>
      <w:pPr>
        <w:ind w:left="4320" w:hanging="180"/>
      </w:pPr>
    </w:lvl>
    <w:lvl w:ilvl="6" w:tplc="794CEEC4">
      <w:start w:val="1"/>
      <w:numFmt w:val="decimal"/>
      <w:lvlText w:val="%7."/>
      <w:lvlJc w:val="left"/>
      <w:pPr>
        <w:ind w:left="5040" w:hanging="360"/>
      </w:pPr>
    </w:lvl>
    <w:lvl w:ilvl="7" w:tplc="82709E16">
      <w:start w:val="1"/>
      <w:numFmt w:val="lowerLetter"/>
      <w:lvlText w:val="%8."/>
      <w:lvlJc w:val="left"/>
      <w:pPr>
        <w:ind w:left="5760" w:hanging="360"/>
      </w:pPr>
    </w:lvl>
    <w:lvl w:ilvl="8" w:tplc="222C78B6">
      <w:start w:val="1"/>
      <w:numFmt w:val="lowerRoman"/>
      <w:lvlText w:val="%9."/>
      <w:lvlJc w:val="right"/>
      <w:pPr>
        <w:ind w:left="6480" w:hanging="180"/>
      </w:pPr>
    </w:lvl>
  </w:abstractNum>
  <w:abstractNum w:abstractNumId="11" w15:restartNumberingAfterBreak="0">
    <w:nsid w:val="762B2624"/>
    <w:multiLevelType w:val="multilevel"/>
    <w:tmpl w:val="7B3C1662"/>
    <w:styleLink w:val="WithersHeadings"/>
    <w:lvl w:ilvl="0">
      <w:start w:val="1"/>
      <w:numFmt w:val="decimal"/>
      <w:pStyle w:val="WLegalH1"/>
      <w:lvlText w:val="%1."/>
      <w:lvlJc w:val="left"/>
      <w:pPr>
        <w:tabs>
          <w:tab w:val="num" w:pos="720"/>
        </w:tabs>
        <w:ind w:left="720" w:hanging="720"/>
      </w:pPr>
      <w:rPr>
        <w:rFonts w:hint="default"/>
        <w:b w:val="0"/>
        <w:i w:val="0"/>
      </w:rPr>
    </w:lvl>
    <w:lvl w:ilvl="1">
      <w:start w:val="1"/>
      <w:numFmt w:val="decimal"/>
      <w:pStyle w:val="WLegal2"/>
      <w:lvlText w:val="%1.%2"/>
      <w:lvlJc w:val="left"/>
      <w:pPr>
        <w:tabs>
          <w:tab w:val="num" w:pos="720"/>
        </w:tabs>
        <w:ind w:left="720" w:hanging="720"/>
      </w:pPr>
      <w:rPr>
        <w:rFonts w:hint="default"/>
        <w:b w:val="0"/>
        <w:i w:val="0"/>
      </w:rPr>
    </w:lvl>
    <w:lvl w:ilvl="2">
      <w:start w:val="1"/>
      <w:numFmt w:val="lowerLetter"/>
      <w:pStyle w:val="WLegal3"/>
      <w:lvlText w:val="(%3)"/>
      <w:lvlJc w:val="left"/>
      <w:pPr>
        <w:tabs>
          <w:tab w:val="num" w:pos="1287"/>
        </w:tabs>
        <w:ind w:left="1287" w:hanging="567"/>
      </w:pPr>
      <w:rPr>
        <w:rFonts w:hint="default"/>
      </w:rPr>
    </w:lvl>
    <w:lvl w:ilvl="3">
      <w:start w:val="1"/>
      <w:numFmt w:val="lowerRoman"/>
      <w:pStyle w:val="WLegal4"/>
      <w:lvlText w:val="(%4)"/>
      <w:lvlJc w:val="left"/>
      <w:pPr>
        <w:tabs>
          <w:tab w:val="num" w:pos="1854"/>
        </w:tabs>
        <w:ind w:left="1854" w:hanging="567"/>
      </w:pPr>
      <w:rPr>
        <w:rFonts w:hint="default"/>
      </w:rPr>
    </w:lvl>
    <w:lvl w:ilvl="4">
      <w:start w:val="1"/>
      <w:numFmt w:val="decimal"/>
      <w:pStyle w:val="WLegal5"/>
      <w:lvlText w:val="(%5)"/>
      <w:lvlJc w:val="left"/>
      <w:pPr>
        <w:tabs>
          <w:tab w:val="num" w:pos="2421"/>
        </w:tabs>
        <w:ind w:left="2421"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7950495F"/>
    <w:multiLevelType w:val="multilevel"/>
    <w:tmpl w:val="7B3C1662"/>
    <w:numStyleLink w:val="WithersHeadings"/>
  </w:abstractNum>
  <w:num w:numId="1" w16cid:durableId="660622730">
    <w:abstractNumId w:val="5"/>
  </w:num>
  <w:num w:numId="2" w16cid:durableId="15847536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36549749">
    <w:abstractNumId w:val="11"/>
  </w:num>
  <w:num w:numId="4" w16cid:durableId="656883333">
    <w:abstractNumId w:val="12"/>
  </w:num>
  <w:num w:numId="5" w16cid:durableId="13106663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30064895">
    <w:abstractNumId w:val="8"/>
  </w:num>
  <w:num w:numId="7" w16cid:durableId="1679502228">
    <w:abstractNumId w:val="5"/>
  </w:num>
  <w:num w:numId="8" w16cid:durableId="221328377">
    <w:abstractNumId w:val="2"/>
  </w:num>
  <w:num w:numId="9" w16cid:durableId="2096514957">
    <w:abstractNumId w:val="7"/>
  </w:num>
  <w:num w:numId="10" w16cid:durableId="1315643851">
    <w:abstractNumId w:val="10"/>
  </w:num>
  <w:num w:numId="11" w16cid:durableId="1944654059">
    <w:abstractNumId w:val="9"/>
  </w:num>
  <w:num w:numId="12" w16cid:durableId="955523423">
    <w:abstractNumId w:val="1"/>
  </w:num>
  <w:num w:numId="13" w16cid:durableId="984090161">
    <w:abstractNumId w:val="4"/>
  </w:num>
  <w:num w:numId="14" w16cid:durableId="770316922">
    <w:abstractNumId w:val="0"/>
  </w:num>
  <w:num w:numId="15" w16cid:durableId="1765150715">
    <w:abstractNumId w:val="3"/>
  </w:num>
  <w:num w:numId="16" w16cid:durableId="5471818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DFB"/>
    <w:rsid w:val="00012207"/>
    <w:rsid w:val="00035F3F"/>
    <w:rsid w:val="0004226C"/>
    <w:rsid w:val="000725EB"/>
    <w:rsid w:val="00082042"/>
    <w:rsid w:val="0008502D"/>
    <w:rsid w:val="0009711B"/>
    <w:rsid w:val="000B5D83"/>
    <w:rsid w:val="000B6378"/>
    <w:rsid w:val="000F5AC3"/>
    <w:rsid w:val="00105571"/>
    <w:rsid w:val="0011080C"/>
    <w:rsid w:val="001218EA"/>
    <w:rsid w:val="00132AD1"/>
    <w:rsid w:val="001367A2"/>
    <w:rsid w:val="0013694B"/>
    <w:rsid w:val="001450B7"/>
    <w:rsid w:val="00175279"/>
    <w:rsid w:val="00181A32"/>
    <w:rsid w:val="00184F8A"/>
    <w:rsid w:val="00192ACC"/>
    <w:rsid w:val="00195608"/>
    <w:rsid w:val="001A70A9"/>
    <w:rsid w:val="001B63E1"/>
    <w:rsid w:val="001B678D"/>
    <w:rsid w:val="001C4428"/>
    <w:rsid w:val="001C61AF"/>
    <w:rsid w:val="001C7D71"/>
    <w:rsid w:val="001E7B49"/>
    <w:rsid w:val="00210861"/>
    <w:rsid w:val="002133F7"/>
    <w:rsid w:val="00214DC1"/>
    <w:rsid w:val="002264D6"/>
    <w:rsid w:val="00233D60"/>
    <w:rsid w:val="00235AAC"/>
    <w:rsid w:val="0024295D"/>
    <w:rsid w:val="00253E8E"/>
    <w:rsid w:val="002557C4"/>
    <w:rsid w:val="002662B3"/>
    <w:rsid w:val="00272C9D"/>
    <w:rsid w:val="00280270"/>
    <w:rsid w:val="00282335"/>
    <w:rsid w:val="00282421"/>
    <w:rsid w:val="00283EA3"/>
    <w:rsid w:val="002A612A"/>
    <w:rsid w:val="002B32C4"/>
    <w:rsid w:val="002C655F"/>
    <w:rsid w:val="002C70E7"/>
    <w:rsid w:val="002D3247"/>
    <w:rsid w:val="002D519E"/>
    <w:rsid w:val="002D6165"/>
    <w:rsid w:val="002E226D"/>
    <w:rsid w:val="003044DD"/>
    <w:rsid w:val="00314B21"/>
    <w:rsid w:val="00315FD9"/>
    <w:rsid w:val="00330D81"/>
    <w:rsid w:val="00332370"/>
    <w:rsid w:val="00335D86"/>
    <w:rsid w:val="00370CD0"/>
    <w:rsid w:val="00377E01"/>
    <w:rsid w:val="0038639B"/>
    <w:rsid w:val="003A194C"/>
    <w:rsid w:val="003A58EE"/>
    <w:rsid w:val="003A5D50"/>
    <w:rsid w:val="003A62AE"/>
    <w:rsid w:val="003B3CFE"/>
    <w:rsid w:val="003E73A0"/>
    <w:rsid w:val="0046638F"/>
    <w:rsid w:val="0047568A"/>
    <w:rsid w:val="004760FA"/>
    <w:rsid w:val="00482EA0"/>
    <w:rsid w:val="004D1D2D"/>
    <w:rsid w:val="004E10E1"/>
    <w:rsid w:val="004E3124"/>
    <w:rsid w:val="005068F3"/>
    <w:rsid w:val="005136F4"/>
    <w:rsid w:val="00526DFA"/>
    <w:rsid w:val="00532391"/>
    <w:rsid w:val="0054667C"/>
    <w:rsid w:val="00551D78"/>
    <w:rsid w:val="00565EC4"/>
    <w:rsid w:val="00571675"/>
    <w:rsid w:val="005A5CE2"/>
    <w:rsid w:val="005D4915"/>
    <w:rsid w:val="005D5EC9"/>
    <w:rsid w:val="00603DB0"/>
    <w:rsid w:val="00612463"/>
    <w:rsid w:val="0062214C"/>
    <w:rsid w:val="00645010"/>
    <w:rsid w:val="0066331D"/>
    <w:rsid w:val="006D1782"/>
    <w:rsid w:val="006D4ABC"/>
    <w:rsid w:val="006E3FB8"/>
    <w:rsid w:val="006F2FA4"/>
    <w:rsid w:val="006F525F"/>
    <w:rsid w:val="00704E86"/>
    <w:rsid w:val="0076242A"/>
    <w:rsid w:val="00766D54"/>
    <w:rsid w:val="00777C67"/>
    <w:rsid w:val="00780DC3"/>
    <w:rsid w:val="0078154A"/>
    <w:rsid w:val="007874BD"/>
    <w:rsid w:val="00795B0D"/>
    <w:rsid w:val="007A46F0"/>
    <w:rsid w:val="007B5C17"/>
    <w:rsid w:val="007D2C04"/>
    <w:rsid w:val="007E1F85"/>
    <w:rsid w:val="007E62E7"/>
    <w:rsid w:val="007F2CFD"/>
    <w:rsid w:val="007F5A0F"/>
    <w:rsid w:val="0083092B"/>
    <w:rsid w:val="008456B8"/>
    <w:rsid w:val="008647CA"/>
    <w:rsid w:val="008665FC"/>
    <w:rsid w:val="00881EAF"/>
    <w:rsid w:val="00881FA8"/>
    <w:rsid w:val="00895C32"/>
    <w:rsid w:val="008A5F19"/>
    <w:rsid w:val="008B090D"/>
    <w:rsid w:val="008B23AD"/>
    <w:rsid w:val="008C29B3"/>
    <w:rsid w:val="008D1A44"/>
    <w:rsid w:val="008D640A"/>
    <w:rsid w:val="008D6E21"/>
    <w:rsid w:val="00931E7C"/>
    <w:rsid w:val="009616C6"/>
    <w:rsid w:val="00973A72"/>
    <w:rsid w:val="00977BA9"/>
    <w:rsid w:val="00984322"/>
    <w:rsid w:val="009932AF"/>
    <w:rsid w:val="00993327"/>
    <w:rsid w:val="009E30BE"/>
    <w:rsid w:val="009F2A92"/>
    <w:rsid w:val="00A00320"/>
    <w:rsid w:val="00A12B9E"/>
    <w:rsid w:val="00A21A49"/>
    <w:rsid w:val="00A251C9"/>
    <w:rsid w:val="00A3133A"/>
    <w:rsid w:val="00A57A41"/>
    <w:rsid w:val="00A6072D"/>
    <w:rsid w:val="00A80FC5"/>
    <w:rsid w:val="00A857E5"/>
    <w:rsid w:val="00A920D6"/>
    <w:rsid w:val="00A92E6D"/>
    <w:rsid w:val="00A95F58"/>
    <w:rsid w:val="00AA0D08"/>
    <w:rsid w:val="00AA1D6A"/>
    <w:rsid w:val="00AB69E9"/>
    <w:rsid w:val="00AE4B7B"/>
    <w:rsid w:val="00B13AEE"/>
    <w:rsid w:val="00B13D54"/>
    <w:rsid w:val="00B52828"/>
    <w:rsid w:val="00B577DF"/>
    <w:rsid w:val="00B63903"/>
    <w:rsid w:val="00B64E8D"/>
    <w:rsid w:val="00B67A49"/>
    <w:rsid w:val="00B774DF"/>
    <w:rsid w:val="00B860F6"/>
    <w:rsid w:val="00B90D96"/>
    <w:rsid w:val="00B9198F"/>
    <w:rsid w:val="00BA2FB4"/>
    <w:rsid w:val="00BB6309"/>
    <w:rsid w:val="00BC6103"/>
    <w:rsid w:val="00BE2448"/>
    <w:rsid w:val="00BF2327"/>
    <w:rsid w:val="00C01630"/>
    <w:rsid w:val="00C07DCD"/>
    <w:rsid w:val="00C11A12"/>
    <w:rsid w:val="00C163D3"/>
    <w:rsid w:val="00C2087C"/>
    <w:rsid w:val="00C455C9"/>
    <w:rsid w:val="00C52287"/>
    <w:rsid w:val="00C7041E"/>
    <w:rsid w:val="00C80CC4"/>
    <w:rsid w:val="00C80E8F"/>
    <w:rsid w:val="00C86D4A"/>
    <w:rsid w:val="00C90B6A"/>
    <w:rsid w:val="00C91793"/>
    <w:rsid w:val="00C93372"/>
    <w:rsid w:val="00CA5AAF"/>
    <w:rsid w:val="00CC1CE7"/>
    <w:rsid w:val="00CD7DA3"/>
    <w:rsid w:val="00CE4E03"/>
    <w:rsid w:val="00CE601A"/>
    <w:rsid w:val="00CF0A15"/>
    <w:rsid w:val="00D10C8B"/>
    <w:rsid w:val="00D327EE"/>
    <w:rsid w:val="00D36F53"/>
    <w:rsid w:val="00D46555"/>
    <w:rsid w:val="00D73B26"/>
    <w:rsid w:val="00D7453A"/>
    <w:rsid w:val="00D84110"/>
    <w:rsid w:val="00D93F09"/>
    <w:rsid w:val="00D95BBC"/>
    <w:rsid w:val="00D977C4"/>
    <w:rsid w:val="00DA19F3"/>
    <w:rsid w:val="00DA7FCD"/>
    <w:rsid w:val="00DB2A92"/>
    <w:rsid w:val="00DD15AE"/>
    <w:rsid w:val="00DE2E06"/>
    <w:rsid w:val="00DE3E39"/>
    <w:rsid w:val="00DE6A86"/>
    <w:rsid w:val="00E02F45"/>
    <w:rsid w:val="00E05327"/>
    <w:rsid w:val="00E06164"/>
    <w:rsid w:val="00E068FF"/>
    <w:rsid w:val="00E156BC"/>
    <w:rsid w:val="00E278B8"/>
    <w:rsid w:val="00E415B3"/>
    <w:rsid w:val="00E50E36"/>
    <w:rsid w:val="00E542BC"/>
    <w:rsid w:val="00E9065C"/>
    <w:rsid w:val="00E944F2"/>
    <w:rsid w:val="00E96840"/>
    <w:rsid w:val="00EA18CE"/>
    <w:rsid w:val="00EB0D2F"/>
    <w:rsid w:val="00EB40BA"/>
    <w:rsid w:val="00ED2BFB"/>
    <w:rsid w:val="00EE134B"/>
    <w:rsid w:val="00EF28CC"/>
    <w:rsid w:val="00EF63AA"/>
    <w:rsid w:val="00F100F5"/>
    <w:rsid w:val="00F315A1"/>
    <w:rsid w:val="00F32DFB"/>
    <w:rsid w:val="00F4131F"/>
    <w:rsid w:val="00F46470"/>
    <w:rsid w:val="00F56306"/>
    <w:rsid w:val="00FA54FA"/>
    <w:rsid w:val="00FD015B"/>
    <w:rsid w:val="00FF653C"/>
    <w:rsid w:val="00FF6EB9"/>
    <w:rsid w:val="0A7BD3B3"/>
    <w:rsid w:val="0D0EADCB"/>
    <w:rsid w:val="0FB50462"/>
    <w:rsid w:val="11554D9F"/>
    <w:rsid w:val="16699F6A"/>
    <w:rsid w:val="17BD7AAC"/>
    <w:rsid w:val="18E4D804"/>
    <w:rsid w:val="19BFDC2D"/>
    <w:rsid w:val="1BF7FE8B"/>
    <w:rsid w:val="1CD66CF4"/>
    <w:rsid w:val="1D359571"/>
    <w:rsid w:val="1E11F6BE"/>
    <w:rsid w:val="20B2FA78"/>
    <w:rsid w:val="2114E45F"/>
    <w:rsid w:val="220351EC"/>
    <w:rsid w:val="2291BCEB"/>
    <w:rsid w:val="260CF9A5"/>
    <w:rsid w:val="27BD7844"/>
    <w:rsid w:val="27C715F1"/>
    <w:rsid w:val="28D6B9E7"/>
    <w:rsid w:val="2CDE0710"/>
    <w:rsid w:val="2DE57B1B"/>
    <w:rsid w:val="2DF3D1AD"/>
    <w:rsid w:val="2E253C2A"/>
    <w:rsid w:val="2E363531"/>
    <w:rsid w:val="2F64E90C"/>
    <w:rsid w:val="2F8758E1"/>
    <w:rsid w:val="30731FEE"/>
    <w:rsid w:val="32A891A5"/>
    <w:rsid w:val="38E4F4C0"/>
    <w:rsid w:val="42A47E3E"/>
    <w:rsid w:val="4BF229CA"/>
    <w:rsid w:val="4D722FC1"/>
    <w:rsid w:val="4F8DC2A3"/>
    <w:rsid w:val="50861C55"/>
    <w:rsid w:val="55C011E3"/>
    <w:rsid w:val="56CA85A8"/>
    <w:rsid w:val="5C125BF1"/>
    <w:rsid w:val="5DDA0F85"/>
    <w:rsid w:val="5F1DE52C"/>
    <w:rsid w:val="64C1A529"/>
    <w:rsid w:val="652598FC"/>
    <w:rsid w:val="6DBD26E6"/>
    <w:rsid w:val="6DCE4D34"/>
    <w:rsid w:val="6FA94B0B"/>
    <w:rsid w:val="6FDDE791"/>
    <w:rsid w:val="715ABFD8"/>
    <w:rsid w:val="71A7513A"/>
    <w:rsid w:val="7598F273"/>
    <w:rsid w:val="76C22051"/>
    <w:rsid w:val="779B6431"/>
    <w:rsid w:val="78F742EC"/>
    <w:rsid w:val="79CEA4F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A725F3"/>
  <w15:docId w15:val="{A22882EA-5D8D-4DD4-91C7-15BA6FA5F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lang w:val="en-US"/>
    </w:rPr>
  </w:style>
  <w:style w:type="paragraph" w:styleId="Heading1">
    <w:name w:val="heading 1"/>
    <w:basedOn w:val="Normal"/>
    <w:next w:val="Normal"/>
    <w:link w:val="Heading1Char1"/>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1"/>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1"/>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1"/>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1"/>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1"/>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1"/>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1"/>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1"/>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uiPriority w:val="9"/>
    <w:rPr>
      <w:rFonts w:ascii="Arial" w:eastAsia="Arial" w:hAnsi="Arial" w:cs="Arial"/>
      <w:sz w:val="34"/>
    </w:r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ing1Char">
    <w:name w:val="Heading 1 Char"/>
    <w:basedOn w:val="DefaultParagraphFont"/>
    <w:uiPriority w:val="9"/>
    <w:rPr>
      <w:rFonts w:ascii="Arial" w:eastAsia="Arial" w:hAnsi="Arial" w:cs="Arial"/>
      <w:sz w:val="40"/>
      <w:szCs w:val="40"/>
    </w:rPr>
  </w:style>
  <w:style w:type="character" w:customStyle="1" w:styleId="Heading2Char1">
    <w:name w:val="Heading 2 Char1"/>
    <w:basedOn w:val="DefaultParagraphFont"/>
    <w:link w:val="Heading2"/>
    <w:uiPriority w:val="9"/>
    <w:rPr>
      <w:rFonts w:ascii="Arial" w:eastAsia="Arial" w:hAnsi="Arial" w:cs="Arial"/>
      <w:sz w:val="34"/>
    </w:rPr>
  </w:style>
  <w:style w:type="character" w:customStyle="1" w:styleId="Heading3Char1">
    <w:name w:val="Heading 3 Char1"/>
    <w:basedOn w:val="DefaultParagraphFont"/>
    <w:link w:val="Heading3"/>
    <w:uiPriority w:val="9"/>
    <w:rPr>
      <w:rFonts w:ascii="Arial" w:eastAsia="Arial" w:hAnsi="Arial" w:cs="Arial"/>
      <w:sz w:val="30"/>
      <w:szCs w:val="30"/>
    </w:rPr>
  </w:style>
  <w:style w:type="character" w:customStyle="1" w:styleId="Heading4Char1">
    <w:name w:val="Heading 4 Char1"/>
    <w:basedOn w:val="DefaultParagraphFont"/>
    <w:link w:val="Heading4"/>
    <w:uiPriority w:val="9"/>
    <w:rPr>
      <w:rFonts w:ascii="Arial" w:eastAsia="Arial" w:hAnsi="Arial" w:cs="Arial"/>
      <w:b/>
      <w:bCs/>
      <w:sz w:val="26"/>
      <w:szCs w:val="26"/>
    </w:rPr>
  </w:style>
  <w:style w:type="character" w:customStyle="1" w:styleId="Heading5Char1">
    <w:name w:val="Heading 5 Char1"/>
    <w:basedOn w:val="DefaultParagraphFont"/>
    <w:link w:val="Heading5"/>
    <w:uiPriority w:val="9"/>
    <w:rPr>
      <w:rFonts w:ascii="Arial" w:eastAsia="Arial" w:hAnsi="Arial" w:cs="Arial"/>
      <w:b/>
      <w:bCs/>
      <w:sz w:val="24"/>
      <w:szCs w:val="24"/>
    </w:rPr>
  </w:style>
  <w:style w:type="character" w:customStyle="1" w:styleId="Heading6Char1">
    <w:name w:val="Heading 6 Char1"/>
    <w:basedOn w:val="DefaultParagraphFont"/>
    <w:link w:val="Heading6"/>
    <w:uiPriority w:val="9"/>
    <w:rPr>
      <w:rFonts w:ascii="Arial" w:eastAsia="Arial" w:hAnsi="Arial" w:cs="Arial"/>
      <w:b/>
      <w:bCs/>
      <w:sz w:val="22"/>
      <w:szCs w:val="22"/>
    </w:rPr>
  </w:style>
  <w:style w:type="character" w:customStyle="1" w:styleId="Heading7Char1">
    <w:name w:val="Heading 7 Char1"/>
    <w:basedOn w:val="DefaultParagraphFont"/>
    <w:link w:val="Heading7"/>
    <w:uiPriority w:val="9"/>
    <w:rPr>
      <w:rFonts w:ascii="Arial" w:eastAsia="Arial" w:hAnsi="Arial" w:cs="Arial"/>
      <w:b/>
      <w:bCs/>
      <w:i/>
      <w:iCs/>
      <w:sz w:val="22"/>
      <w:szCs w:val="22"/>
    </w:rPr>
  </w:style>
  <w:style w:type="character" w:customStyle="1" w:styleId="Heading8Char1">
    <w:name w:val="Heading 8 Char1"/>
    <w:basedOn w:val="DefaultParagraphFont"/>
    <w:link w:val="Heading8"/>
    <w:uiPriority w:val="9"/>
    <w:rPr>
      <w:rFonts w:ascii="Arial" w:eastAsia="Arial" w:hAnsi="Arial" w:cs="Arial"/>
      <w:i/>
      <w:iCs/>
      <w:sz w:val="22"/>
      <w:szCs w:val="22"/>
    </w:rPr>
  </w:style>
  <w:style w:type="character" w:customStyle="1" w:styleId="Heading9Char1">
    <w:name w:val="Heading 9 Char1"/>
    <w:basedOn w:val="DefaultParagraphFont"/>
    <w:link w:val="Heading9"/>
    <w:uiPriority w:val="9"/>
    <w:rPr>
      <w:rFonts w:ascii="Arial" w:eastAsia="Arial" w:hAnsi="Arial" w:cs="Arial"/>
      <w:i/>
      <w:iCs/>
      <w:sz w:val="21"/>
      <w:szCs w:val="21"/>
    </w:rPr>
  </w:style>
  <w:style w:type="paragraph" w:styleId="Title">
    <w:name w:val="Title"/>
    <w:basedOn w:val="Normal"/>
    <w:next w:val="Normal"/>
    <w:link w:val="TitleChar1"/>
    <w:uiPriority w:val="10"/>
    <w:qFormat/>
    <w:pPr>
      <w:spacing w:before="300"/>
      <w:contextualSpacing/>
    </w:pPr>
    <w:rPr>
      <w:sz w:val="48"/>
      <w:szCs w:val="48"/>
    </w:rPr>
  </w:style>
  <w:style w:type="character" w:customStyle="1" w:styleId="TitleChar1">
    <w:name w:val="Title Char1"/>
    <w:basedOn w:val="DefaultParagraphFont"/>
    <w:link w:val="Title"/>
    <w:uiPriority w:val="10"/>
    <w:rPr>
      <w:sz w:val="48"/>
      <w:szCs w:val="48"/>
    </w:rPr>
  </w:style>
  <w:style w:type="paragraph" w:styleId="Subtitle">
    <w:name w:val="Subtitle"/>
    <w:basedOn w:val="Normal"/>
    <w:next w:val="Normal"/>
    <w:link w:val="SubtitleChar1"/>
    <w:uiPriority w:val="11"/>
    <w:qFormat/>
    <w:pPr>
      <w:spacing w:before="200"/>
    </w:pPr>
    <w:rPr>
      <w:sz w:val="24"/>
      <w:szCs w:val="24"/>
    </w:rPr>
  </w:style>
  <w:style w:type="character" w:customStyle="1" w:styleId="SubtitleChar1">
    <w:name w:val="Subtitle Char1"/>
    <w:basedOn w:val="DefaultParagraphFont"/>
    <w:link w:val="Subtitle"/>
    <w:uiPriority w:val="11"/>
    <w:rPr>
      <w:sz w:val="24"/>
      <w:szCs w:val="24"/>
    </w:rPr>
  </w:style>
  <w:style w:type="paragraph" w:styleId="Quote">
    <w:name w:val="Quote"/>
    <w:basedOn w:val="Normal"/>
    <w:next w:val="Normal"/>
    <w:link w:val="QuoteChar1"/>
    <w:uiPriority w:val="29"/>
    <w:qFormat/>
    <w:pPr>
      <w:ind w:left="720" w:right="720"/>
    </w:pPr>
    <w:rPr>
      <w:i/>
    </w:rPr>
  </w:style>
  <w:style w:type="character" w:customStyle="1" w:styleId="QuoteChar1">
    <w:name w:val="Quote Char1"/>
    <w:link w:val="Quote"/>
    <w:uiPriority w:val="29"/>
    <w:rPr>
      <w:i/>
    </w:rPr>
  </w:style>
  <w:style w:type="paragraph" w:styleId="IntenseQuote">
    <w:name w:val="Intense Quote"/>
    <w:basedOn w:val="Normal"/>
    <w:next w:val="Normal"/>
    <w:link w:val="IntenseQuoteChar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1">
    <w:name w:val="Intense Quote Char1"/>
    <w:link w:val="IntenseQuote"/>
    <w:uiPriority w:val="30"/>
    <w:rPr>
      <w:i/>
    </w:rPr>
  </w:style>
  <w:style w:type="character" w:customStyle="1" w:styleId="HeaderChar">
    <w:name w:val="Header Char"/>
    <w:basedOn w:val="DefaultParagraphFont"/>
    <w:uiPriority w:val="99"/>
  </w:style>
  <w:style w:type="character" w:customStyle="1" w:styleId="FooterChar">
    <w:name w:val="Footer Char"/>
    <w:basedOn w:val="DefaultParagraphFont"/>
    <w:uiPriority w:val="99"/>
  </w:style>
  <w:style w:type="paragraph" w:styleId="Caption">
    <w:name w:val="caption"/>
    <w:basedOn w:val="Normal"/>
    <w:next w:val="Normal"/>
    <w:uiPriority w:val="35"/>
    <w:semiHidden/>
    <w:unhideWhenUsed/>
    <w:qFormat/>
    <w:rPr>
      <w:b/>
      <w:bCs/>
      <w:color w:val="4472C4" w:themeColor="accent1"/>
      <w:sz w:val="18"/>
      <w:szCs w:val="18"/>
    </w:rPr>
  </w:style>
  <w:style w:type="character" w:customStyle="1" w:styleId="CaptionChar">
    <w:name w:val="Caption Char"/>
    <w:uiPriority w:val="99"/>
  </w:style>
  <w:style w:type="character" w:styleId="UnresolvedMention">
    <w:name w:val="Unresolved Mention"/>
    <w:basedOn w:val="DefaultParagraphFont"/>
    <w:uiPriority w:val="99"/>
    <w:semiHidden/>
    <w:unhideWhenUsed/>
    <w:rsid w:val="001C7D71"/>
    <w:rPr>
      <w:color w:val="605E5C"/>
      <w:shd w:val="clear" w:color="auto" w:fill="E1DFDD"/>
    </w:r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ned-Accent">
    <w:name w:val="Lined - Accent"/>
    <w:basedOn w:val="TableNormal"/>
    <w:uiPriority w:val="99"/>
    <w:pPr>
      <w:spacing w:after="0" w:line="240" w:lineRule="auto"/>
    </w:pPr>
    <w:rPr>
      <w:color w:val="404040"/>
      <w:sz w:val="20"/>
      <w:szCs w:val="20"/>
      <w:lang w:val="es-HN" w:eastAsia="es-HN"/>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s-HN" w:eastAsia="es-HN"/>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s-HN" w:eastAsia="es-HN"/>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s-HN" w:eastAsia="es-HN"/>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s-HN" w:eastAsia="es-HN"/>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s-HN" w:eastAsia="es-HN"/>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s-HN" w:eastAsia="es-HN"/>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s-HN" w:eastAsia="es-HN"/>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s-HN" w:eastAsia="es-HN"/>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s-HN" w:eastAsia="es-HN"/>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s-HN" w:eastAsia="es-HN"/>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s-HN" w:eastAsia="es-HN"/>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s-HN" w:eastAsia="es-HN"/>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s-HN" w:eastAsia="es-HN"/>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character" w:customStyle="1" w:styleId="Heading1Char1">
    <w:name w:val="Heading 1 Char1"/>
    <w:basedOn w:val="DefaultParagraphFont"/>
    <w:link w:val="Heading1"/>
    <w:uiPriority w:val="9"/>
    <w:rPr>
      <w:rFonts w:asciiTheme="majorHAnsi" w:eastAsiaTheme="majorEastAsia" w:hAnsiTheme="majorHAnsi" w:cstheme="majorBidi"/>
      <w:color w:val="2F5496" w:themeColor="accent1" w:themeShade="BF"/>
      <w:sz w:val="32"/>
      <w:szCs w:val="32"/>
      <w:lang w:val="en-US"/>
    </w:rPr>
  </w:style>
  <w:style w:type="paragraph" w:styleId="Header">
    <w:name w:val="header"/>
    <w:basedOn w:val="Normal"/>
    <w:link w:val="HeaderChar1"/>
    <w:uiPriority w:val="99"/>
    <w:unhideWhenUsed/>
    <w:pPr>
      <w:tabs>
        <w:tab w:val="center" w:pos="4680"/>
        <w:tab w:val="right" w:pos="9360"/>
      </w:tabs>
      <w:spacing w:after="0" w:line="240" w:lineRule="auto"/>
    </w:pPr>
  </w:style>
  <w:style w:type="character" w:customStyle="1" w:styleId="HeaderChar1">
    <w:name w:val="Header Char1"/>
    <w:basedOn w:val="DefaultParagraphFont"/>
    <w:link w:val="Header"/>
    <w:uiPriority w:val="99"/>
    <w:rPr>
      <w:lang w:val="en-US"/>
    </w:rPr>
  </w:style>
  <w:style w:type="paragraph" w:styleId="Footer">
    <w:name w:val="footer"/>
    <w:basedOn w:val="Normal"/>
    <w:link w:val="FooterChar1"/>
    <w:uiPriority w:val="99"/>
    <w:unhideWhenUsed/>
    <w:pPr>
      <w:tabs>
        <w:tab w:val="center" w:pos="4680"/>
        <w:tab w:val="right" w:pos="9360"/>
      </w:tabs>
      <w:spacing w:after="0" w:line="240" w:lineRule="auto"/>
    </w:pPr>
  </w:style>
  <w:style w:type="character" w:customStyle="1" w:styleId="FooterChar1">
    <w:name w:val="Footer Char1"/>
    <w:basedOn w:val="DefaultParagraphFont"/>
    <w:link w:val="Footer"/>
    <w:uiPriority w:val="99"/>
    <w:rPr>
      <w:lang w:val="en-US"/>
    </w:rPr>
  </w:style>
  <w:style w:type="paragraph" w:styleId="BodyText">
    <w:name w:val="Body Text"/>
    <w:basedOn w:val="Normal"/>
    <w:link w:val="BodyTextChar"/>
    <w:unhideWhenUsed/>
    <w:qFormat/>
    <w:pPr>
      <w:spacing w:before="240" w:after="240" w:line="240" w:lineRule="auto"/>
      <w:ind w:firstLine="720"/>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Pr>
      <w:rFonts w:ascii="Times New Roman" w:eastAsia="Times New Roman" w:hAnsi="Times New Roman" w:cs="Times New Roman"/>
      <w:sz w:val="24"/>
      <w:szCs w:val="20"/>
      <w:lang w:val="en-US"/>
    </w:rPr>
  </w:style>
  <w:style w:type="paragraph" w:styleId="NoSpacing">
    <w:name w:val="No Spacing"/>
    <w:uiPriority w:val="1"/>
    <w:qFormat/>
    <w:pPr>
      <w:spacing w:after="0" w:line="240" w:lineRule="auto"/>
    </w:pPr>
    <w:rPr>
      <w:rFonts w:ascii="Times New Roman" w:eastAsia="Calibri" w:hAnsi="Times New Roman" w:cs="Times New Roman"/>
      <w:sz w:val="24"/>
      <w:szCs w:val="24"/>
      <w:lang w:val="en-US"/>
    </w:rPr>
  </w:style>
  <w:style w:type="paragraph" w:customStyle="1" w:styleId="Lindas9">
    <w:name w:val="Lindas_9"/>
    <w:basedOn w:val="Normal"/>
    <w:next w:val="BodyText"/>
    <w:pPr>
      <w:numPr>
        <w:ilvl w:val="8"/>
        <w:numId w:val="1"/>
      </w:numPr>
      <w:spacing w:before="240" w:after="240" w:line="240" w:lineRule="auto"/>
      <w:outlineLvl w:val="8"/>
    </w:pPr>
    <w:rPr>
      <w:rFonts w:ascii="Times New Roman" w:eastAsia="Times New Roman" w:hAnsi="Times New Roman" w:cs="Times New Roman"/>
      <w:sz w:val="24"/>
      <w:szCs w:val="24"/>
    </w:rPr>
  </w:style>
  <w:style w:type="paragraph" w:customStyle="1" w:styleId="Lindas8">
    <w:name w:val="Lindas_8"/>
    <w:basedOn w:val="Normal"/>
    <w:next w:val="BodyText"/>
    <w:pPr>
      <w:numPr>
        <w:ilvl w:val="7"/>
        <w:numId w:val="1"/>
      </w:numPr>
      <w:spacing w:before="240" w:after="240" w:line="240" w:lineRule="auto"/>
      <w:outlineLvl w:val="7"/>
    </w:pPr>
    <w:rPr>
      <w:rFonts w:ascii="Times New Roman" w:eastAsia="Times New Roman" w:hAnsi="Times New Roman" w:cs="Times New Roman"/>
      <w:sz w:val="24"/>
      <w:szCs w:val="24"/>
    </w:rPr>
  </w:style>
  <w:style w:type="paragraph" w:customStyle="1" w:styleId="Lindas7">
    <w:name w:val="Lindas_7"/>
    <w:basedOn w:val="Normal"/>
    <w:next w:val="BodyText"/>
    <w:pPr>
      <w:numPr>
        <w:ilvl w:val="6"/>
        <w:numId w:val="1"/>
      </w:numPr>
      <w:spacing w:before="240" w:after="240" w:line="240" w:lineRule="auto"/>
      <w:outlineLvl w:val="6"/>
    </w:pPr>
    <w:rPr>
      <w:rFonts w:ascii="Times New Roman" w:eastAsia="Times New Roman" w:hAnsi="Times New Roman" w:cs="Times New Roman"/>
      <w:sz w:val="24"/>
      <w:szCs w:val="24"/>
    </w:rPr>
  </w:style>
  <w:style w:type="paragraph" w:customStyle="1" w:styleId="Lindas6">
    <w:name w:val="Lindas_6"/>
    <w:basedOn w:val="Normal"/>
    <w:next w:val="BodyText"/>
    <w:link w:val="Lindas6Char"/>
    <w:pPr>
      <w:numPr>
        <w:ilvl w:val="5"/>
        <w:numId w:val="1"/>
      </w:numPr>
      <w:spacing w:before="240" w:after="240" w:line="360" w:lineRule="auto"/>
      <w:jc w:val="both"/>
      <w:outlineLvl w:val="5"/>
    </w:pPr>
    <w:rPr>
      <w:rFonts w:ascii="Times New Roman" w:eastAsia="Times New Roman" w:hAnsi="Times New Roman" w:cs="Times New Roman"/>
      <w:i/>
      <w:sz w:val="24"/>
      <w:szCs w:val="24"/>
    </w:rPr>
  </w:style>
  <w:style w:type="paragraph" w:customStyle="1" w:styleId="Lindas5">
    <w:name w:val="Lindas_5"/>
    <w:basedOn w:val="Normal"/>
    <w:next w:val="BodyText"/>
    <w:pPr>
      <w:numPr>
        <w:ilvl w:val="4"/>
        <w:numId w:val="1"/>
      </w:numPr>
      <w:spacing w:before="240" w:after="240" w:line="480" w:lineRule="auto"/>
      <w:jc w:val="both"/>
      <w:outlineLvl w:val="4"/>
    </w:pPr>
    <w:rPr>
      <w:rFonts w:ascii="Times New Roman" w:eastAsia="Times New Roman" w:hAnsi="Times New Roman" w:cs="Times New Roman"/>
      <w:sz w:val="24"/>
      <w:szCs w:val="24"/>
    </w:rPr>
  </w:style>
  <w:style w:type="paragraph" w:customStyle="1" w:styleId="Lindas4">
    <w:name w:val="Lindas_4"/>
    <w:basedOn w:val="Normal"/>
    <w:next w:val="BodyText"/>
    <w:link w:val="Lindas4Char"/>
    <w:pPr>
      <w:numPr>
        <w:ilvl w:val="3"/>
        <w:numId w:val="1"/>
      </w:numPr>
      <w:spacing w:before="240" w:after="240" w:line="480" w:lineRule="auto"/>
      <w:jc w:val="both"/>
      <w:outlineLvl w:val="3"/>
    </w:pPr>
    <w:rPr>
      <w:rFonts w:ascii="Times New Roman" w:eastAsia="Times New Roman" w:hAnsi="Times New Roman" w:cs="Times New Roman"/>
      <w:sz w:val="24"/>
      <w:szCs w:val="24"/>
    </w:rPr>
  </w:style>
  <w:style w:type="character" w:customStyle="1" w:styleId="Lindas4Char">
    <w:name w:val="Lindas_4 Char"/>
    <w:link w:val="Lindas4"/>
    <w:rPr>
      <w:rFonts w:ascii="Times New Roman" w:eastAsia="Times New Roman" w:hAnsi="Times New Roman" w:cs="Times New Roman"/>
      <w:sz w:val="24"/>
      <w:szCs w:val="24"/>
      <w:lang w:val="en-US"/>
    </w:rPr>
  </w:style>
  <w:style w:type="paragraph" w:customStyle="1" w:styleId="Lindas3">
    <w:name w:val="Lindas_3"/>
    <w:basedOn w:val="Normal"/>
    <w:next w:val="BodyText"/>
    <w:link w:val="Lindas3Char"/>
    <w:pPr>
      <w:spacing w:before="240" w:after="240" w:line="480" w:lineRule="auto"/>
      <w:jc w:val="both"/>
      <w:outlineLvl w:val="2"/>
    </w:pPr>
    <w:rPr>
      <w:rFonts w:ascii="Times New Roman" w:eastAsia="Times New Roman" w:hAnsi="Times New Roman" w:cs="Times New Roman"/>
      <w:sz w:val="24"/>
      <w:szCs w:val="24"/>
    </w:rPr>
  </w:style>
  <w:style w:type="character" w:customStyle="1" w:styleId="Lindas3Char">
    <w:name w:val="Lindas_3 Char"/>
    <w:link w:val="Lindas3"/>
    <w:rPr>
      <w:rFonts w:ascii="Times New Roman" w:eastAsia="Times New Roman" w:hAnsi="Times New Roman" w:cs="Times New Roman"/>
      <w:sz w:val="24"/>
      <w:szCs w:val="24"/>
      <w:lang w:val="en-US"/>
    </w:rPr>
  </w:style>
  <w:style w:type="paragraph" w:customStyle="1" w:styleId="Lindas2">
    <w:name w:val="Lindas_2"/>
    <w:basedOn w:val="Normal"/>
    <w:next w:val="BodyText"/>
    <w:pPr>
      <w:widowControl w:val="0"/>
      <w:numPr>
        <w:ilvl w:val="1"/>
        <w:numId w:val="1"/>
      </w:numPr>
      <w:spacing w:before="240" w:after="240" w:line="360" w:lineRule="auto"/>
      <w:jc w:val="both"/>
      <w:outlineLvl w:val="1"/>
    </w:pPr>
    <w:rPr>
      <w:rFonts w:ascii="Times New Roman Bold" w:eastAsia="Times New Roman" w:hAnsi="Times New Roman" w:cs="Times New Roman"/>
      <w:b/>
      <w:sz w:val="24"/>
      <w:szCs w:val="24"/>
    </w:rPr>
  </w:style>
  <w:style w:type="paragraph" w:customStyle="1" w:styleId="Lindas1">
    <w:name w:val="Lindas_1"/>
    <w:basedOn w:val="Normal"/>
    <w:next w:val="BodyText"/>
    <w:pPr>
      <w:keepNext/>
      <w:widowControl w:val="0"/>
      <w:numPr>
        <w:numId w:val="1"/>
      </w:numPr>
      <w:spacing w:before="240" w:after="240" w:line="360" w:lineRule="auto"/>
      <w:jc w:val="both"/>
      <w:outlineLvl w:val="0"/>
    </w:pPr>
    <w:rPr>
      <w:rFonts w:ascii="Times New Roman" w:eastAsia="Times New Roman" w:hAnsi="Times New Roman" w:cs="Times New Roman"/>
      <w:b/>
      <w:caps/>
      <w:sz w:val="24"/>
      <w:szCs w:val="24"/>
    </w:rPr>
  </w:style>
  <w:style w:type="character" w:customStyle="1" w:styleId="DEBIntro">
    <w:name w:val="DEB Intro"/>
    <w:rPr>
      <w:rFonts w:ascii="Times New Roman" w:hAnsi="Times New Roman"/>
      <w:sz w:val="18"/>
    </w:rPr>
  </w:style>
  <w:style w:type="character" w:styleId="Hyperlink">
    <w:name w:val="Hyperlink"/>
    <w:uiPriority w:val="99"/>
    <w:unhideWhenUsed/>
    <w:rPr>
      <w:color w:val="0044BB"/>
      <w:u w:val="single"/>
    </w:rPr>
  </w:style>
  <w:style w:type="paragraph" w:styleId="EndnoteText">
    <w:name w:val="endnote text"/>
    <w:aliases w:val="en"/>
    <w:basedOn w:val="Normal"/>
    <w:link w:val="EndnoteTextChar1"/>
    <w:uiPriority w:val="99"/>
    <w:unhideWhenUsed/>
    <w:qFormat/>
    <w:pPr>
      <w:spacing w:after="240" w:line="240" w:lineRule="auto"/>
    </w:pPr>
    <w:rPr>
      <w:rFonts w:ascii="Times New Roman" w:eastAsia="Calibri" w:hAnsi="Times New Roman" w:cs="Times New Roman"/>
      <w:sz w:val="20"/>
      <w:szCs w:val="20"/>
    </w:rPr>
  </w:style>
  <w:style w:type="character" w:customStyle="1" w:styleId="EndnoteTextChar1">
    <w:name w:val="Endnote Text Char1"/>
    <w:aliases w:val="en Char"/>
    <w:basedOn w:val="DefaultParagraphFont"/>
    <w:link w:val="EndnoteText"/>
    <w:uiPriority w:val="99"/>
    <w:rPr>
      <w:rFonts w:ascii="Times New Roman" w:eastAsia="Calibri" w:hAnsi="Times New Roman" w:cs="Times New Roman"/>
      <w:sz w:val="20"/>
      <w:szCs w:val="20"/>
      <w:lang w:val="en-US"/>
    </w:rPr>
  </w:style>
  <w:style w:type="character" w:styleId="EndnoteReference">
    <w:name w:val="endnote reference"/>
    <w:aliases w:val="1_G"/>
    <w:uiPriority w:val="99"/>
    <w:unhideWhenUsed/>
    <w:qFormat/>
    <w:rPr>
      <w:vertAlign w:val="superscript"/>
    </w:rPr>
  </w:style>
  <w:style w:type="numbering" w:customStyle="1" w:styleId="WithersHeadings">
    <w:name w:val="Withers Headings"/>
    <w:uiPriority w:val="99"/>
    <w:pPr>
      <w:numPr>
        <w:numId w:val="3"/>
      </w:numPr>
    </w:pPr>
  </w:style>
  <w:style w:type="paragraph" w:customStyle="1" w:styleId="WLegal2">
    <w:name w:val="WLegal2"/>
    <w:basedOn w:val="Normal"/>
    <w:uiPriority w:val="19"/>
    <w:qFormat/>
    <w:pPr>
      <w:numPr>
        <w:ilvl w:val="1"/>
        <w:numId w:val="4"/>
      </w:numPr>
      <w:spacing w:line="288" w:lineRule="auto"/>
      <w:jc w:val="both"/>
    </w:pPr>
    <w:rPr>
      <w:rFonts w:ascii="Arial" w:eastAsia="Times New Roman" w:hAnsi="Arial" w:cs="Times New Roman"/>
      <w:sz w:val="20"/>
      <w:szCs w:val="24"/>
      <w:lang w:val="en-GB"/>
    </w:rPr>
  </w:style>
  <w:style w:type="paragraph" w:customStyle="1" w:styleId="WLegal3">
    <w:name w:val="WLegal3"/>
    <w:basedOn w:val="Normal"/>
    <w:uiPriority w:val="19"/>
    <w:qFormat/>
    <w:pPr>
      <w:numPr>
        <w:ilvl w:val="2"/>
        <w:numId w:val="4"/>
      </w:numPr>
      <w:spacing w:line="288" w:lineRule="auto"/>
      <w:jc w:val="both"/>
    </w:pPr>
    <w:rPr>
      <w:rFonts w:ascii="Arial" w:eastAsia="Times New Roman" w:hAnsi="Arial" w:cs="Times New Roman"/>
      <w:sz w:val="20"/>
      <w:szCs w:val="24"/>
      <w:lang w:val="en-GB"/>
    </w:rPr>
  </w:style>
  <w:style w:type="paragraph" w:customStyle="1" w:styleId="WLegal4">
    <w:name w:val="WLegal4"/>
    <w:basedOn w:val="Normal"/>
    <w:uiPriority w:val="19"/>
    <w:qFormat/>
    <w:pPr>
      <w:numPr>
        <w:ilvl w:val="3"/>
        <w:numId w:val="4"/>
      </w:numPr>
      <w:spacing w:line="288" w:lineRule="auto"/>
      <w:jc w:val="both"/>
    </w:pPr>
    <w:rPr>
      <w:rFonts w:ascii="Arial" w:eastAsia="Times New Roman" w:hAnsi="Arial" w:cs="Times New Roman"/>
      <w:sz w:val="20"/>
      <w:szCs w:val="24"/>
      <w:lang w:val="en-GB"/>
    </w:rPr>
  </w:style>
  <w:style w:type="paragraph" w:customStyle="1" w:styleId="WLegal5">
    <w:name w:val="WLegal5"/>
    <w:basedOn w:val="Normal"/>
    <w:uiPriority w:val="19"/>
    <w:qFormat/>
    <w:pPr>
      <w:numPr>
        <w:ilvl w:val="4"/>
        <w:numId w:val="4"/>
      </w:numPr>
      <w:spacing w:line="288" w:lineRule="auto"/>
      <w:jc w:val="both"/>
    </w:pPr>
    <w:rPr>
      <w:rFonts w:ascii="Arial" w:eastAsia="Times New Roman" w:hAnsi="Arial" w:cs="Times New Roman"/>
      <w:sz w:val="20"/>
      <w:szCs w:val="24"/>
      <w:lang w:val="en-GB"/>
    </w:rPr>
  </w:style>
  <w:style w:type="paragraph" w:customStyle="1" w:styleId="WLegalH1">
    <w:name w:val="WLegalH1"/>
    <w:basedOn w:val="Heading1"/>
    <w:next w:val="WLegal2"/>
    <w:uiPriority w:val="17"/>
    <w:qFormat/>
    <w:pPr>
      <w:keepLines w:val="0"/>
      <w:numPr>
        <w:numId w:val="4"/>
      </w:numPr>
      <w:tabs>
        <w:tab w:val="clear" w:pos="720"/>
      </w:tabs>
      <w:spacing w:before="0" w:after="200" w:line="288" w:lineRule="auto"/>
      <w:jc w:val="both"/>
    </w:pPr>
    <w:rPr>
      <w:rFonts w:ascii="Arial" w:eastAsia="Times New Roman" w:hAnsi="Arial" w:cs="Arial"/>
      <w:b/>
      <w:bCs/>
      <w:color w:val="auto"/>
      <w:sz w:val="20"/>
      <w:lang w:val="en-GB"/>
    </w:rPr>
  </w:style>
  <w:style w:type="paragraph" w:customStyle="1" w:styleId="WBodyText">
    <w:name w:val="WBodyText"/>
    <w:basedOn w:val="Normal"/>
    <w:link w:val="WBodyTextChar"/>
    <w:uiPriority w:val="9"/>
    <w:qFormat/>
    <w:pPr>
      <w:spacing w:line="288" w:lineRule="auto"/>
      <w:jc w:val="both"/>
    </w:pPr>
    <w:rPr>
      <w:rFonts w:ascii="Arial" w:eastAsia="Times New Roman" w:hAnsi="Arial" w:cs="Times New Roman"/>
      <w:bCs/>
      <w:sz w:val="20"/>
      <w:szCs w:val="24"/>
      <w:lang w:val="en-GB"/>
    </w:rPr>
  </w:style>
  <w:style w:type="character" w:customStyle="1" w:styleId="WBodyTextChar">
    <w:name w:val="WBodyText Char"/>
    <w:basedOn w:val="DefaultParagraphFont"/>
    <w:link w:val="WBodyText"/>
    <w:uiPriority w:val="9"/>
    <w:rPr>
      <w:rFonts w:ascii="Arial" w:eastAsia="Times New Roman" w:hAnsi="Arial" w:cs="Times New Roman"/>
      <w:bCs/>
      <w:sz w:val="20"/>
      <w:szCs w:val="24"/>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TableGrid">
    <w:name w:val="Table Grid"/>
    <w:basedOn w:val="TableNormal"/>
    <w:uiPriority w:val="59"/>
    <w:pPr>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pPr>
      <w:spacing w:after="0" w:line="240" w:lineRule="auto"/>
    </w:pPr>
    <w:rPr>
      <w:rFonts w:ascii="Times New Roman" w:hAnsi="Times New Roman" w:cs="Times New Roman"/>
      <w:color w:val="000000"/>
      <w:sz w:val="24"/>
      <w:szCs w:val="24"/>
    </w:rPr>
  </w:style>
  <w:style w:type="character" w:customStyle="1" w:styleId="Lindas6Char">
    <w:name w:val="Lindas_6 Char"/>
    <w:link w:val="Lindas6"/>
    <w:rPr>
      <w:rFonts w:ascii="Times New Roman" w:eastAsia="Times New Roman" w:hAnsi="Times New Roman" w:cs="Times New Roman"/>
      <w:i/>
      <w:sz w:val="24"/>
      <w:szCs w:val="24"/>
      <w:lang w:val="en-US"/>
    </w:rPr>
  </w:style>
  <w:style w:type="paragraph" w:styleId="Revision">
    <w:name w:val="Revision"/>
    <w:hidden/>
    <w:uiPriority w:val="99"/>
    <w:semiHidden/>
    <w:pPr>
      <w:spacing w:after="0" w:line="240" w:lineRule="auto"/>
    </w:pPr>
    <w:rPr>
      <w:lang w:val="en-U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lang w:val="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lang w:val="en-US"/>
    </w:rPr>
  </w:style>
  <w:style w:type="character" w:customStyle="1" w:styleId="Mencinsinresolver1">
    <w:name w:val="Mención sin resolver1"/>
    <w:basedOn w:val="DefaultParagraphFont"/>
    <w:uiPriority w:val="99"/>
    <w:semiHidden/>
    <w:unhideWhenUsed/>
    <w:rPr>
      <w:color w:val="605E5C"/>
      <w:shd w:val="clear" w:color="auto" w:fill="E1DFDD"/>
    </w:rPr>
  </w:style>
  <w:style w:type="paragraph" w:styleId="FootnoteText">
    <w:name w:val="footnote text"/>
    <w:basedOn w:val="Normal"/>
    <w:link w:val="FootnoteTextChar1"/>
    <w:uiPriority w:val="99"/>
    <w:semiHidden/>
    <w:unhideWhenUsed/>
    <w:pPr>
      <w:spacing w:after="0" w:line="240" w:lineRule="auto"/>
    </w:pPr>
    <w:rPr>
      <w:sz w:val="20"/>
      <w:szCs w:val="20"/>
    </w:rPr>
  </w:style>
  <w:style w:type="character" w:customStyle="1" w:styleId="FootnoteTextChar1">
    <w:name w:val="Footnote Text Char1"/>
    <w:basedOn w:val="DefaultParagraphFont"/>
    <w:link w:val="FootnoteText"/>
    <w:uiPriority w:val="99"/>
    <w:semiHidden/>
    <w:rPr>
      <w:sz w:val="20"/>
      <w:szCs w:val="20"/>
      <w:lang w:val="en-US"/>
    </w:rPr>
  </w:style>
  <w:style w:type="character" w:styleId="FootnoteReference">
    <w:name w:val="foot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ListParagraph">
    <w:name w:val="List Paragraph"/>
    <w:aliases w:val="Dot pt,F5 List Paragraph,List Paragraph1,No Spacing1,List Paragraph Char Char Char,Indicator Text,Numbered Para 1,Colorful List - Accent 11,Bullet 1,Bullet Points,MAIN CONTENT,Recommendation,List Paragraph2,Normal numbere,Bullets"/>
    <w:basedOn w:val="Normal"/>
    <w:link w:val="ListParagraphChar"/>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n-US"/>
    </w:rPr>
  </w:style>
  <w:style w:type="table" w:customStyle="1" w:styleId="TableGridLight1">
    <w:name w:val="Table Grid Light1"/>
    <w:basedOn w:val="TableNormal"/>
    <w:uiPriority w:val="59"/>
    <w:rsid w:val="00D73B26"/>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
    <w:name w:val="Grid Table 1 Light - Accent 11"/>
    <w:basedOn w:val="TableNormal"/>
    <w:uiPriority w:val="99"/>
    <w:rsid w:val="00D73B26"/>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
    <w:name w:val="Grid Table 1 Light - Accent 21"/>
    <w:basedOn w:val="TableNormal"/>
    <w:uiPriority w:val="99"/>
    <w:rsid w:val="00D73B26"/>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leNormal"/>
    <w:uiPriority w:val="99"/>
    <w:rsid w:val="00D73B26"/>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eNormal"/>
    <w:uiPriority w:val="99"/>
    <w:rsid w:val="00D73B26"/>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leNormal"/>
    <w:uiPriority w:val="99"/>
    <w:rsid w:val="00D73B26"/>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
    <w:name w:val="Grid Table 1 Light - Accent 61"/>
    <w:basedOn w:val="TableNormal"/>
    <w:uiPriority w:val="99"/>
    <w:rsid w:val="00D73B26"/>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
    <w:name w:val="Grid Table 2 - Accent 11"/>
    <w:basedOn w:val="TableNormal"/>
    <w:uiPriority w:val="99"/>
    <w:rsid w:val="00D73B26"/>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1">
    <w:name w:val="Grid Table 2 - Accent 21"/>
    <w:basedOn w:val="TableNormal"/>
    <w:uiPriority w:val="99"/>
    <w:rsid w:val="00D73B26"/>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leNormal"/>
    <w:uiPriority w:val="99"/>
    <w:rsid w:val="00D73B26"/>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leNormal"/>
    <w:uiPriority w:val="99"/>
    <w:rsid w:val="00D73B26"/>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leNormal"/>
    <w:uiPriority w:val="99"/>
    <w:rsid w:val="00D73B26"/>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1">
    <w:name w:val="Grid Table 2 - Accent 61"/>
    <w:basedOn w:val="TableNormal"/>
    <w:uiPriority w:val="99"/>
    <w:rsid w:val="00D73B26"/>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
    <w:name w:val="Grid Table 3 - Accent 11"/>
    <w:basedOn w:val="TableNormal"/>
    <w:uiPriority w:val="99"/>
    <w:rsid w:val="00D73B26"/>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1">
    <w:name w:val="Grid Table 3 - Accent 21"/>
    <w:basedOn w:val="TableNormal"/>
    <w:uiPriority w:val="99"/>
    <w:rsid w:val="00D73B26"/>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leNormal"/>
    <w:uiPriority w:val="99"/>
    <w:rsid w:val="00D73B26"/>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leNormal"/>
    <w:uiPriority w:val="99"/>
    <w:rsid w:val="00D73B26"/>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leNormal"/>
    <w:uiPriority w:val="99"/>
    <w:rsid w:val="00D73B26"/>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1">
    <w:name w:val="Grid Table 3 - Accent 61"/>
    <w:basedOn w:val="TableNormal"/>
    <w:uiPriority w:val="99"/>
    <w:rsid w:val="00D73B26"/>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
    <w:name w:val="Grid Table 4 - Accent 11"/>
    <w:basedOn w:val="TableNormal"/>
    <w:uiPriority w:val="59"/>
    <w:rsid w:val="00D73B26"/>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1">
    <w:name w:val="Grid Table 4 - Accent 21"/>
    <w:basedOn w:val="TableNormal"/>
    <w:uiPriority w:val="59"/>
    <w:rsid w:val="00D73B26"/>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leNormal"/>
    <w:uiPriority w:val="59"/>
    <w:rsid w:val="00D73B26"/>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leNormal"/>
    <w:uiPriority w:val="59"/>
    <w:rsid w:val="00D73B26"/>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leNormal"/>
    <w:uiPriority w:val="59"/>
    <w:rsid w:val="00D73B26"/>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1">
    <w:name w:val="Grid Table 4 - Accent 61"/>
    <w:basedOn w:val="TableNormal"/>
    <w:uiPriority w:val="59"/>
    <w:rsid w:val="00D73B26"/>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11">
    <w:name w:val="Grid Table 5 Dark - Accent 11"/>
    <w:basedOn w:val="TableNormal"/>
    <w:uiPriority w:val="99"/>
    <w:rsid w:val="00D73B26"/>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1">
    <w:name w:val="Grid Table 5 Dark - Accent 21"/>
    <w:basedOn w:val="TableNormal"/>
    <w:uiPriority w:val="99"/>
    <w:rsid w:val="00D73B26"/>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leNormal"/>
    <w:uiPriority w:val="99"/>
    <w:rsid w:val="00D73B26"/>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1">
    <w:name w:val="Grid Table 5 Dark - Accent 41"/>
    <w:basedOn w:val="TableNormal"/>
    <w:uiPriority w:val="99"/>
    <w:rsid w:val="00D73B26"/>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1">
    <w:name w:val="Grid Table 5 Dark - Accent 51"/>
    <w:basedOn w:val="TableNormal"/>
    <w:uiPriority w:val="99"/>
    <w:rsid w:val="00D73B26"/>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1">
    <w:name w:val="Grid Table 5 Dark - Accent 61"/>
    <w:basedOn w:val="TableNormal"/>
    <w:uiPriority w:val="99"/>
    <w:rsid w:val="00D73B26"/>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1">
    <w:name w:val="Grid Table 6 Colorful - Accent 11"/>
    <w:basedOn w:val="TableNormal"/>
    <w:uiPriority w:val="99"/>
    <w:rsid w:val="00D73B26"/>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1">
    <w:name w:val="Grid Table 6 Colorful - Accent 21"/>
    <w:basedOn w:val="TableNormal"/>
    <w:uiPriority w:val="99"/>
    <w:rsid w:val="00D73B26"/>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leNormal"/>
    <w:uiPriority w:val="99"/>
    <w:rsid w:val="00D73B26"/>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eNormal"/>
    <w:uiPriority w:val="99"/>
    <w:rsid w:val="00D73B26"/>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leNormal"/>
    <w:uiPriority w:val="99"/>
    <w:rsid w:val="00D73B26"/>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1">
    <w:name w:val="Grid Table 6 Colorful - Accent 61"/>
    <w:basedOn w:val="TableNormal"/>
    <w:uiPriority w:val="99"/>
    <w:rsid w:val="00D73B26"/>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Accent11">
    <w:name w:val="Grid Table 7 Colorful - Accent 11"/>
    <w:basedOn w:val="TableNormal"/>
    <w:uiPriority w:val="99"/>
    <w:rsid w:val="00D73B26"/>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1">
    <w:name w:val="Grid Table 7 Colorful - Accent 21"/>
    <w:basedOn w:val="TableNormal"/>
    <w:uiPriority w:val="99"/>
    <w:rsid w:val="00D73B26"/>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leNormal"/>
    <w:uiPriority w:val="99"/>
    <w:rsid w:val="00D73B26"/>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eNormal"/>
    <w:uiPriority w:val="99"/>
    <w:rsid w:val="00D73B26"/>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leNormal"/>
    <w:uiPriority w:val="99"/>
    <w:rsid w:val="00D73B26"/>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1">
    <w:name w:val="Grid Table 7 Colorful - Accent 61"/>
    <w:basedOn w:val="TableNormal"/>
    <w:uiPriority w:val="99"/>
    <w:rsid w:val="00D73B26"/>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
    <w:name w:val="List Table 1 Light - Accent 11"/>
    <w:basedOn w:val="TableNormal"/>
    <w:uiPriority w:val="99"/>
    <w:rsid w:val="00D73B26"/>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1">
    <w:name w:val="List Table 1 Light - Accent 21"/>
    <w:basedOn w:val="TableNormal"/>
    <w:uiPriority w:val="99"/>
    <w:rsid w:val="00D73B26"/>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leNormal"/>
    <w:uiPriority w:val="99"/>
    <w:rsid w:val="00D73B26"/>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leNormal"/>
    <w:uiPriority w:val="99"/>
    <w:rsid w:val="00D73B26"/>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leNormal"/>
    <w:uiPriority w:val="99"/>
    <w:rsid w:val="00D73B26"/>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1">
    <w:name w:val="List Table 1 Light - Accent 61"/>
    <w:basedOn w:val="TableNormal"/>
    <w:uiPriority w:val="99"/>
    <w:rsid w:val="00D73B26"/>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
    <w:name w:val="List Table 2 - Accent 11"/>
    <w:basedOn w:val="TableNormal"/>
    <w:uiPriority w:val="99"/>
    <w:rsid w:val="00D73B26"/>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1">
    <w:name w:val="List Table 2 - Accent 21"/>
    <w:basedOn w:val="TableNormal"/>
    <w:uiPriority w:val="99"/>
    <w:rsid w:val="00D73B26"/>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leNormal"/>
    <w:uiPriority w:val="99"/>
    <w:rsid w:val="00D73B26"/>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leNormal"/>
    <w:uiPriority w:val="99"/>
    <w:rsid w:val="00D73B26"/>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leNormal"/>
    <w:uiPriority w:val="99"/>
    <w:rsid w:val="00D73B26"/>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1">
    <w:name w:val="List Table 2 - Accent 61"/>
    <w:basedOn w:val="TableNormal"/>
    <w:uiPriority w:val="99"/>
    <w:rsid w:val="00D73B26"/>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
    <w:name w:val="List Table 3 - Accent 11"/>
    <w:basedOn w:val="TableNormal"/>
    <w:uiPriority w:val="99"/>
    <w:rsid w:val="00D73B26"/>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
    <w:name w:val="List Table 3 - Accent 21"/>
    <w:basedOn w:val="TableNormal"/>
    <w:uiPriority w:val="99"/>
    <w:rsid w:val="00D73B26"/>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leNormal"/>
    <w:uiPriority w:val="99"/>
    <w:rsid w:val="00D73B26"/>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eNormal"/>
    <w:uiPriority w:val="99"/>
    <w:rsid w:val="00D73B26"/>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leNormal"/>
    <w:uiPriority w:val="99"/>
    <w:rsid w:val="00D73B26"/>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
    <w:name w:val="List Table 3 - Accent 61"/>
    <w:basedOn w:val="TableNormal"/>
    <w:uiPriority w:val="99"/>
    <w:rsid w:val="00D73B26"/>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
    <w:name w:val="List Table 4 - Accent 11"/>
    <w:basedOn w:val="TableNormal"/>
    <w:uiPriority w:val="99"/>
    <w:rsid w:val="00D73B26"/>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1">
    <w:name w:val="List Table 4 - Accent 21"/>
    <w:basedOn w:val="TableNormal"/>
    <w:uiPriority w:val="99"/>
    <w:rsid w:val="00D73B26"/>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leNormal"/>
    <w:uiPriority w:val="99"/>
    <w:rsid w:val="00D73B26"/>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leNormal"/>
    <w:uiPriority w:val="99"/>
    <w:rsid w:val="00D73B26"/>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leNormal"/>
    <w:uiPriority w:val="99"/>
    <w:rsid w:val="00D73B26"/>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1">
    <w:name w:val="List Table 4 - Accent 61"/>
    <w:basedOn w:val="TableNormal"/>
    <w:uiPriority w:val="99"/>
    <w:rsid w:val="00D73B26"/>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
    <w:name w:val="List Table 5 Dark - Accent 11"/>
    <w:basedOn w:val="TableNormal"/>
    <w:uiPriority w:val="99"/>
    <w:rsid w:val="00D73B26"/>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1">
    <w:name w:val="List Table 5 Dark - Accent 21"/>
    <w:basedOn w:val="TableNormal"/>
    <w:uiPriority w:val="99"/>
    <w:rsid w:val="00D73B26"/>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leNormal"/>
    <w:uiPriority w:val="99"/>
    <w:rsid w:val="00D73B26"/>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leNormal"/>
    <w:uiPriority w:val="99"/>
    <w:rsid w:val="00D73B26"/>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leNormal"/>
    <w:uiPriority w:val="99"/>
    <w:rsid w:val="00D73B26"/>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1">
    <w:name w:val="List Table 5 Dark - Accent 61"/>
    <w:basedOn w:val="TableNormal"/>
    <w:uiPriority w:val="99"/>
    <w:rsid w:val="00D73B26"/>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1">
    <w:name w:val="List Table 6 Colorful - Accent 11"/>
    <w:basedOn w:val="TableNormal"/>
    <w:uiPriority w:val="99"/>
    <w:rsid w:val="00D73B26"/>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1">
    <w:name w:val="List Table 6 Colorful - Accent 21"/>
    <w:basedOn w:val="TableNormal"/>
    <w:uiPriority w:val="99"/>
    <w:rsid w:val="00D73B26"/>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leNormal"/>
    <w:uiPriority w:val="99"/>
    <w:rsid w:val="00D73B26"/>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eNormal"/>
    <w:uiPriority w:val="99"/>
    <w:rsid w:val="00D73B26"/>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leNormal"/>
    <w:uiPriority w:val="99"/>
    <w:rsid w:val="00D73B26"/>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1">
    <w:name w:val="List Table 6 Colorful - Accent 61"/>
    <w:basedOn w:val="TableNormal"/>
    <w:uiPriority w:val="99"/>
    <w:rsid w:val="00D73B26"/>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1">
    <w:name w:val="List Table 7 Colorful - Accent 11"/>
    <w:basedOn w:val="TableNormal"/>
    <w:uiPriority w:val="99"/>
    <w:rsid w:val="00D73B26"/>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1">
    <w:name w:val="List Table 7 Colorful - Accent 21"/>
    <w:basedOn w:val="TableNormal"/>
    <w:uiPriority w:val="99"/>
    <w:rsid w:val="00D73B26"/>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leNormal"/>
    <w:uiPriority w:val="99"/>
    <w:rsid w:val="00D73B26"/>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eNormal"/>
    <w:uiPriority w:val="99"/>
    <w:rsid w:val="00D73B26"/>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leNormal"/>
    <w:uiPriority w:val="99"/>
    <w:rsid w:val="00D73B26"/>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1">
    <w:name w:val="List Table 7 Colorful - Accent 61"/>
    <w:basedOn w:val="TableNormal"/>
    <w:uiPriority w:val="99"/>
    <w:rsid w:val="00D73B26"/>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qFormat/>
    <w:locked/>
    <w:rsid w:val="00565EC4"/>
    <w:rPr>
      <w:lang w:val="en-US"/>
    </w:rPr>
  </w:style>
  <w:style w:type="paragraph" w:customStyle="1" w:styleId="Recomendaciones">
    <w:name w:val="Recomendaciones"/>
    <w:basedOn w:val="Normal"/>
    <w:link w:val="RecomendacionesChar"/>
    <w:qFormat/>
    <w:rsid w:val="007F5A0F"/>
    <w:pPr>
      <w:numPr>
        <w:numId w:val="16"/>
      </w:numPr>
      <w:spacing w:after="160" w:line="259" w:lineRule="auto"/>
      <w:ind w:left="1296" w:hanging="576"/>
      <w:jc w:val="both"/>
    </w:pPr>
    <w:rPr>
      <w:lang w:val="es-CO"/>
      <w14:ligatures w14:val="standardContextual"/>
    </w:rPr>
  </w:style>
  <w:style w:type="character" w:customStyle="1" w:styleId="RecomendacionesChar">
    <w:name w:val="Recomendaciones Char"/>
    <w:basedOn w:val="DefaultParagraphFont"/>
    <w:link w:val="Recomendaciones"/>
    <w:rsid w:val="007F5A0F"/>
    <w:rPr>
      <w:lang w:val="es-CO"/>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ndocs.org/A/HRC/29/27/Add.1"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26" Type="http://schemas.openxmlformats.org/officeDocument/2006/relationships/hyperlink" Target="https://docstore.ohchr.org/SelfServices/FilesHandler.ashx?enc=4slQ6QSmlBEDzFEovLCuW1a0Szab0oXTdImnsJZZVQfQejF41Tob4CvIjeTiAP6sU9x9eXO0nzmOMzdytOOLx1%2BaoaWAKy4%2BuhMA8PLnWFdJ4z4216PjNj67NdUrGT87" TargetMode="External"/><Relationship Id="rId21" Type="http://schemas.openxmlformats.org/officeDocument/2006/relationships/hyperlink" Target="https://www.un.org/womenwatch/daw/cedaw/recommendations/recomm-sp.htm" TargetMode="External"/><Relationship Id="rId42" Type="http://schemas.openxmlformats.org/officeDocument/2006/relationships/hyperlink" Target="https://documents.un.org/doc/undoc/gen/g19/134/33/pdf/g1913433.pdf?token=hKAMhO7HSfRJ4Fbcbb&amp;fe=true" TargetMode="External"/><Relationship Id="rId47" Type="http://schemas.openxmlformats.org/officeDocument/2006/relationships/hyperlink" Target="https://documents.un.org/doc/undoc/gen/g19/134/33/pdf/g1913433.pdf?token=hKAMhO7HSfRJ4Fbcbb&amp;fe=true" TargetMode="External"/><Relationship Id="rId63" Type="http://schemas.openxmlformats.org/officeDocument/2006/relationships/hyperlink" Target="https://honduras.un.org/es/234541-comunicado-sobre-la-ley-de-educaci%C3%B3n-integral-de-prevenci%C3%B3n-al-embarazo-adolescente" TargetMode="External"/><Relationship Id="rId68" Type="http://schemas.openxmlformats.org/officeDocument/2006/relationships/hyperlink" Target="https://www.undp.org/sites/g/files/zskgke326/files/2023-12/PNUD-HN_ANALISIS-CONTROL-VIOLENCIA-DELITO.pdf" TargetMode="External"/><Relationship Id="rId84" Type="http://schemas.openxmlformats.org/officeDocument/2006/relationships/hyperlink" Target="https://documents-dds-ny.un.org/doc/UNDOC/GEN/G17/090/34/PDF/G1709034.pdf?OpenElement" TargetMode="External"/><Relationship Id="rId89" Type="http://schemas.openxmlformats.org/officeDocument/2006/relationships/hyperlink" Target="https://www.salud.gob.hn/site/index.php/component/edocman/protocolo-de-atencion-integral-a-personas-victimas-sobrevivientes-de-violencia-sexual" TargetMode="External"/><Relationship Id="rId16" Type="http://schemas.openxmlformats.org/officeDocument/2006/relationships/hyperlink" Target="https://www2.ohchr.org/english/law/docs/cedaw-c-50-d-22-2009_sp.pdf" TargetMode="External"/><Relationship Id="rId11" Type="http://schemas.openxmlformats.org/officeDocument/2006/relationships/hyperlink" Target="https://criterio.hn/csj-anterior-declaro-sin-lugar-despenalizacion-del-aborto-por-tres-causales/" TargetMode="External"/><Relationship Id="rId32" Type="http://schemas.openxmlformats.org/officeDocument/2006/relationships/hyperlink" Target="https://apps.who.int/iris/bitstream/handle/10665/329886/WHO-RHR-19.20-eng.pdf?ua=1" TargetMode="External"/><Relationship Id="rId37" Type="http://schemas.openxmlformats.org/officeDocument/2006/relationships/hyperlink" Target="https://piedepagina.mx/abortar-en-honduras-un-derecho-que-se-ejerce-en-la-clandestinidad/" TargetMode="External"/><Relationship Id="rId53" Type="http://schemas.openxmlformats.org/officeDocument/2006/relationships/hyperlink" Target="https://hch.tv/wp-content/uploads/2023/06/INFORME-LEY-PREVENCIO%CC%81N-EMBARAZOS-ADOLESCENTES-.pdf" TargetMode="External"/><Relationship Id="rId58" Type="http://schemas.openxmlformats.org/officeDocument/2006/relationships/hyperlink" Target="https://criterio.hn/pese-a-altos-indices-de-embarazos-en-adolescentes-honduras-aun-no-cuenta-con-una-ley-de-prevencion/" TargetMode="External"/><Relationship Id="rId74" Type="http://schemas.openxmlformats.org/officeDocument/2006/relationships/hyperlink" Target="https://www.undp.org/sites/g/files/zskgke326/files/2023-12/PNUD-HN_ANALISIS-CONTROL-VIOLENCIA-DELITO.pdf" TargetMode="External"/><Relationship Id="rId79" Type="http://schemas.openxmlformats.org/officeDocument/2006/relationships/hyperlink" Target="https://documents-dds-ny.un.org/doc/UNDOC/GEN/G17/244/57/PDF/G1724457.pdf?OpenElement" TargetMode="External"/><Relationship Id="rId5" Type="http://schemas.openxmlformats.org/officeDocument/2006/relationships/hyperlink" Target="https://tbinternet.ohchr.org/_layouts/15/treatybodyexternal/Download.aspx?symbolno=INT%2FCEDAW%2FCSS%2FHND%2F50173&amp;Lang=es" TargetMode="External"/><Relationship Id="rId90" Type="http://schemas.openxmlformats.org/officeDocument/2006/relationships/hyperlink" Target="https://criterio.hn/donde-hay-pae-en-honduras/" TargetMode="External"/><Relationship Id="rId14" Type="http://schemas.openxmlformats.org/officeDocument/2006/relationships/hyperlink" Target="https://www.who.int/es/publications/i/item/9789240039483" TargetMode="External"/><Relationship Id="rId22" Type="http://schemas.openxmlformats.org/officeDocument/2006/relationships/hyperlink" Target="https://www.acnur.org/fileadmin/Documentos/BDL/2017/11405.pdf" TargetMode="External"/><Relationship Id="rId27" Type="http://schemas.openxmlformats.org/officeDocument/2006/relationships/hyperlink" Target="https://www.who.int/news-room/fact-sheets/detail/abortion" TargetMode="External"/><Relationship Id="rId30" Type="http://schemas.openxmlformats.org/officeDocument/2006/relationships/hyperlink" Target="https://www.refworld.org.es/type,GENERAL,CEDAW,,5d7fcfcba,0.html" TargetMode="External"/><Relationship Id="rId35" Type="http://schemas.openxmlformats.org/officeDocument/2006/relationships/hyperlink" Target="https://documents.un.org/doc/undoc/gen/g19/134/33/pdf/g1913433.pdf?token=hKAMhO7HSfRJ4Fbcbb&amp;fe=true" TargetMode="External"/><Relationship Id="rId43" Type="http://schemas.openxmlformats.org/officeDocument/2006/relationships/hyperlink" Target="https://somosmuchas.hn/wp-content/uploads/2020/10/Informe-sobre-criminalizacion-del-aborto-en-Honduras-2006-2019.-1.pdf" TargetMode="External"/><Relationship Id="rId48" Type="http://schemas.openxmlformats.org/officeDocument/2006/relationships/hyperlink" Target="https://www.doctorswithoutborders.org/latest/honduras-bringing-sexual-and-reproductive-health-care-community" TargetMode="External"/><Relationship Id="rId56" Type="http://schemas.openxmlformats.org/officeDocument/2006/relationships/hyperlink" Target="https://www.dw.com/es/miles-marchan-contra-la-ideolog%C3%ADa-de-g%C3%A9nero-en-honduras/a-66321145" TargetMode="External"/><Relationship Id="rId64" Type="http://schemas.openxmlformats.org/officeDocument/2006/relationships/hyperlink" Target="https://www.oas.org/es/cidh/informes/pdfs/Honduras2019.pdf" TargetMode="External"/><Relationship Id="rId69" Type="http://schemas.openxmlformats.org/officeDocument/2006/relationships/hyperlink" Target="https://www.msf.mx/actualidad/violencia-y-violencia-sexual-dos-epidemias-invisibilizadas-en-honduras/" TargetMode="External"/><Relationship Id="rId77" Type="http://schemas.openxmlformats.org/officeDocument/2006/relationships/hyperlink" Target="https://undocs.org/Home/Mobile?FinalSymbol=CEDAW%2FC%2FHND%2FCO%2F7-8&amp;Language=E&amp;DeviceType=Desktop&amp;LangRequested=False" TargetMode="External"/><Relationship Id="rId8" Type="http://schemas.openxmlformats.org/officeDocument/2006/relationships/hyperlink" Target="https://www.bbc.com/mundo/noticias-america-latina-55760365" TargetMode="External"/><Relationship Id="rId51" Type="http://schemas.openxmlformats.org/officeDocument/2006/relationships/hyperlink" Target="https://www.msf.es/noticia/norte-honduras-las-mujeres-son-excluidas-las-graves-limitaciones-acceso-salud-sexual-y" TargetMode="External"/><Relationship Id="rId72" Type="http://schemas.openxmlformats.org/officeDocument/2006/relationships/hyperlink" Target="https://tiempo.hn/incremento-de-violencia-contra-la-mujer-pone-en-alerta-al-pais1/" TargetMode="External"/><Relationship Id="rId80" Type="http://schemas.openxmlformats.org/officeDocument/2006/relationships/hyperlink" Target="https://undocs.org/Home/Mobile?FinalSymbol=CEDAW%2FC%2FHND%2FCO%2F7-8&amp;Language=E&amp;DeviceType=Desktop&amp;LangRequested=False" TargetMode="External"/><Relationship Id="rId85" Type="http://schemas.openxmlformats.org/officeDocument/2006/relationships/hyperlink" Target="https://documents-dds-ny.un.org/doc/UNDOC/GEN/G20/079/65/PDF/G2007965.pdf?OpenElement" TargetMode="External"/><Relationship Id="rId3" Type="http://schemas.openxmlformats.org/officeDocument/2006/relationships/hyperlink" Target="https://www.tsc.gob.hn/web/leyes/Decreto-3-2021.pdf" TargetMode="External"/><Relationship Id="rId12" Type="http://schemas.openxmlformats.org/officeDocument/2006/relationships/hyperlink" Target="https://www.hrw.org/news/2023/11/10/honduras-joint-submission-committee-rights-child-97th-pre-sessional-working-group" TargetMode="External"/><Relationship Id="rId17" Type="http://schemas.openxmlformats.org/officeDocument/2006/relationships/hyperlink" Target="https://www.refworld.org/es/ref/inforep/ccpr/2019/es/123145" TargetMode="External"/><Relationship Id="rId25" Type="http://schemas.openxmlformats.org/officeDocument/2006/relationships/hyperlink" Target="https://tbinternet.ohchr.org/_layouts/15/treatybodyexternal/Download.aspx?symbolno=CEDAW%2FC%2FHND%2FCO%2F9&amp;Lang=en" TargetMode="External"/><Relationship Id="rId33" Type="http://schemas.openxmlformats.org/officeDocument/2006/relationships/hyperlink" Target="https://www.guttmacher.org/geography/latin-america-caribbean/honduras" TargetMode="External"/><Relationship Id="rId38" Type="http://schemas.openxmlformats.org/officeDocument/2006/relationships/hyperlink" Target="https://www.elfinanciero.com.mx/mis-finanzas/2023/07/08/ranking-salario-minimo-2023-america-latina-en-que-pais-ganan-mas/" TargetMode="External"/><Relationship Id="rId46" Type="http://schemas.openxmlformats.org/officeDocument/2006/relationships/hyperlink" Target="https://www.unfpa.org/news/honduras-television-drama-shines-light-teen-pregnancy-helps-girls-speak-out" TargetMode="External"/><Relationship Id="rId59" Type="http://schemas.openxmlformats.org/officeDocument/2006/relationships/hyperlink" Target="https://www.guttmacher.org/regions/latin-america-caribbean/honduras" TargetMode="External"/><Relationship Id="rId67" Type="http://schemas.openxmlformats.org/officeDocument/2006/relationships/hyperlink" Target="https://www.undp.org/sites/g/files/zskgke326/files/2023-12/PNUD-HN_ANALISIS-CONTROL-VIOLENCIA-DELITO.pdf" TargetMode="External"/><Relationship Id="rId20" Type="http://schemas.openxmlformats.org/officeDocument/2006/relationships/hyperlink" Target="https://tbinternet.ohchr.org/_layouts/15/treatybodyexternal/Download.aspx?symbolno=CCPR%2FC%2F21%2FRev.1%2FAdd.10&amp;Lang=es" TargetMode="External"/><Relationship Id="rId41" Type="http://schemas.openxmlformats.org/officeDocument/2006/relationships/hyperlink" Target="https://www.theglobeandmail.com/world/article-honduras-total-abortion-ban/" TargetMode="External"/><Relationship Id="rId54" Type="http://schemas.openxmlformats.org/officeDocument/2006/relationships/hyperlink" Target="https://congresonacional.hn/noticias/640938bd642e0754ed334ce7" TargetMode="External"/><Relationship Id="rId62" Type="http://schemas.openxmlformats.org/officeDocument/2006/relationships/hyperlink" Target="https://genderdata.worldbank.org/data-stories/adolescent-fertility/" TargetMode="External"/><Relationship Id="rId70" Type="http://schemas.openxmlformats.org/officeDocument/2006/relationships/hyperlink" Target="https://proceso.hn/30-mujeres-fueron-asesinadas-en-honduras-durante-enero-de-este-ano/" TargetMode="External"/><Relationship Id="rId75" Type="http://schemas.openxmlformats.org/officeDocument/2006/relationships/hyperlink" Target="https://constitutionnet.org/news/unconstitutionality-constitutional-reform-case-honduras" TargetMode="External"/><Relationship Id="rId83" Type="http://schemas.openxmlformats.org/officeDocument/2006/relationships/hyperlink" Target="https://digitallibrary.un.org/record/3809746/files/A_HRC_41_33_Add-1-ES.pdf?ln=es" TargetMode="External"/><Relationship Id="rId88" Type="http://schemas.openxmlformats.org/officeDocument/2006/relationships/hyperlink" Target="https://www.ohchr.org/sites/default/files/2022-03/Center-reproductive-rights.pdf" TargetMode="External"/><Relationship Id="rId91" Type="http://schemas.openxmlformats.org/officeDocument/2006/relationships/hyperlink" Target="https://www.laprensani.com/2023/07/12/internacionales/3174275-pildoras-anticonceptivas-en-honduras-una-realidad-a-medias" TargetMode="External"/><Relationship Id="rId1" Type="http://schemas.openxmlformats.org/officeDocument/2006/relationships/hyperlink" Target="http://www.worldabortionlaws.com/map" TargetMode="External"/><Relationship Id="rId6" Type="http://schemas.openxmlformats.org/officeDocument/2006/relationships/hyperlink" Target="https://rebelion.org/el-congreso-nacional-hondureno-mantiene-la-penalizacion-total-del-aborto/" TargetMode="External"/><Relationship Id="rId15" Type="http://schemas.openxmlformats.org/officeDocument/2006/relationships/hyperlink" Target="https://www.tsc.gob.hn/web/leyes/Decreto_130-2017.pdf" TargetMode="External"/><Relationship Id="rId23" Type="http://schemas.openxmlformats.org/officeDocument/2006/relationships/hyperlink" Target="https://www.refworld.org/es/leg/coment/cedaw/2016/es/133598" TargetMode="External"/><Relationship Id="rId28" Type="http://schemas.openxmlformats.org/officeDocument/2006/relationships/hyperlink" Target="https://docstore.ohchr.org/SelfServices/FilesHandler.ashx?enc=4slQ6QSmlBEDzFEovLCuW1a0Szab0oXTdImnsJZZVQfQejF41Tob4CvIjeTiAP6sU9x9eXO0nzmOMzdytOOLx1%2BaoaWAKy4%2BuhMA8PLnWFdJ4z4216PjNj67NdUrGT87" TargetMode="External"/><Relationship Id="rId36" Type="http://schemas.openxmlformats.org/officeDocument/2006/relationships/hyperlink" Target="https://www.who.int/publications/i/item/9789240068759" TargetMode="External"/><Relationship Id="rId49" Type="http://schemas.openxmlformats.org/officeDocument/2006/relationships/hyperlink" Target="https://documents.un.org/doc/undoc/gen/g19/134/33/pdf/g1913433.pdf?token=hKAMhO7HSfRJ4Fbcbb&amp;fe=true" TargetMode="External"/><Relationship Id="rId57" Type="http://schemas.openxmlformats.org/officeDocument/2006/relationships/hyperlink" Target="https://twitter.com/XiomaraCastroZ/status/1685363148889485313" TargetMode="External"/><Relationship Id="rId10" Type="http://schemas.openxmlformats.org/officeDocument/2006/relationships/hyperlink" Target="https://wipolex-res.wipo.int/edocs/lexdocs/laws/es/hn/hn024es.pdf" TargetMode="External"/><Relationship Id="rId31" Type="http://schemas.openxmlformats.org/officeDocument/2006/relationships/hyperlink" Target="http://derechosdelamujer.org/wp-content/uploads/2016/02/Secreto-a-voces-una-resena-sobre-el-aborto-en-Honduras.pdf" TargetMode="External"/><Relationship Id="rId44" Type="http://schemas.openxmlformats.org/officeDocument/2006/relationships/hyperlink" Target="https://www.oas.org/es/cidh/informes/pdfs/Honduras2019.pdf" TargetMode="External"/><Relationship Id="rId52" Type="http://schemas.openxmlformats.org/officeDocument/2006/relationships/hyperlink" Target="https://criterio.hn/no-te-metas-con-mis-hijos-el-movimiento-conservador-que-se-aduena-de-las-calles-y-las-redes-sociales-en-honduras/" TargetMode="External"/><Relationship Id="rId60" Type="http://schemas.openxmlformats.org/officeDocument/2006/relationships/hyperlink" Target="https://www.hrw.org/news/2019/06/06/life-or-death-choices-women-living-under-honduras-abortion-ban" TargetMode="External"/><Relationship Id="rId65" Type="http://schemas.openxmlformats.org/officeDocument/2006/relationships/hyperlink" Target="https://www.justassociates.org/sites/justassociates.org/files/informe-violencia-mujeres-honduras-relatoraonu-junio2014_0.pdf" TargetMode="External"/><Relationship Id="rId73" Type="http://schemas.openxmlformats.org/officeDocument/2006/relationships/hyperlink" Target="https://www.undp.org/sites/g/files/zskgke326/files/2023-12/PNUD-HN_ANALISIS-CONTROL-VIOLENCIA-DELITO.pdf" TargetMode="External"/><Relationship Id="rId78" Type="http://schemas.openxmlformats.org/officeDocument/2006/relationships/hyperlink" Target="https://digitallibrary.un.org/record/3863092/files/A_HRC_WG.6_36_HND_2-ES.pdf" TargetMode="External"/><Relationship Id="rId81" Type="http://schemas.openxmlformats.org/officeDocument/2006/relationships/hyperlink" Target="https://docstore.ohchr.org/SelfServices/FilesHandler.ashx?enc=4slQ6QSmlBEDzFEovLCuW7r%2Fs5PmIHnsb%2BdhE9gELmAtKbtSsGHdyvVcvoFuYl8yZr%2B8qKmLReyED5gSAK8obDeBQGMXilHUfLLkDlhDdZSQFB3YorMB%2FB9GFg2cY5s0" TargetMode="External"/><Relationship Id="rId86" Type="http://schemas.openxmlformats.org/officeDocument/2006/relationships/hyperlink" Target="https://documents-dds-ny.un.org/doc/UNDOC/GEN/G20/348/75/PDF/G2034875.pdf?OpenElement" TargetMode="External"/><Relationship Id="rId4" Type="http://schemas.openxmlformats.org/officeDocument/2006/relationships/hyperlink" Target="https://oig.cepal.org/sites/default/files/hon_politica_nacional_ssr_2016.pdf" TargetMode="External"/><Relationship Id="rId9" Type="http://schemas.openxmlformats.org/officeDocument/2006/relationships/hyperlink" Target="https://www.tsc.gob.hn/web/leyes/Decreto-192-2020.pdf" TargetMode="External"/><Relationship Id="rId13" Type="http://schemas.openxmlformats.org/officeDocument/2006/relationships/hyperlink" Target="https://somosmuchas.hn/csj-honduras-aborto-recurso/" TargetMode="External"/><Relationship Id="rId18" Type="http://schemas.openxmlformats.org/officeDocument/2006/relationships/hyperlink" Target="https://tbinternet.ohchr.org/_layouts/15/treatybodyexternal/Download.aspx?symbolno=CRC%2FC%2F93%2FD%2F136%2F2021&amp;Lang=en" TargetMode="External"/><Relationship Id="rId39" Type="http://schemas.openxmlformats.org/officeDocument/2006/relationships/hyperlink" Target="https://www.bancomundial.org/es/country/honduras/overview" TargetMode="External"/><Relationship Id="rId34" Type="http://schemas.openxmlformats.org/officeDocument/2006/relationships/hyperlink" Target="https://www.hrw.org/news/2019/06/06/life-or-death-choices-women-living-under-honduras-abortion-ban" TargetMode="External"/><Relationship Id="rId50" Type="http://schemas.openxmlformats.org/officeDocument/2006/relationships/hyperlink" Target="https://www.globalissues.org/news/2023/08/03/34418" TargetMode="External"/><Relationship Id="rId55" Type="http://schemas.openxmlformats.org/officeDocument/2006/relationships/hyperlink" Target="https://wipolex-res.wipo.int/edocs/lexdocs/laws/es/hn/hn024es.pdf" TargetMode="External"/><Relationship Id="rId76" Type="http://schemas.openxmlformats.org/officeDocument/2006/relationships/hyperlink" Target="https://www.hrw.org/news/2019/06/06/honduras-abortion-bans-dire-consequences" TargetMode="External"/><Relationship Id="rId7" Type="http://schemas.openxmlformats.org/officeDocument/2006/relationships/hyperlink" Target="https://www.tsc.gob.hn/web/leyes/Decreto_130-2017.pdf" TargetMode="External"/><Relationship Id="rId71" Type="http://schemas.openxmlformats.org/officeDocument/2006/relationships/hyperlink" Target="https://www.elheraldo.hn/pais/1300410-466/preocupante-aumento-de-la-violencia-contra-las-mujeres-en-honduras" TargetMode="External"/><Relationship Id="rId92" Type="http://schemas.openxmlformats.org/officeDocument/2006/relationships/hyperlink" Target="https://www.oas.org/es/cidh/informes/pdfs/2024/informe-honduras.pdf" TargetMode="External"/><Relationship Id="rId2" Type="http://schemas.openxmlformats.org/officeDocument/2006/relationships/hyperlink" Target="https://www.tsc.gob.hn/web/leyes/Decreto_130-2017.pdf" TargetMode="External"/><Relationship Id="rId29" Type="http://schemas.openxmlformats.org/officeDocument/2006/relationships/hyperlink" Target="https://documents.un.org/doc/undoc/gen/g19/134/33/pdf/g1913433.pdf?token=hKAMhO7HSfRJ4Fbcbb&amp;fe=true" TargetMode="External"/><Relationship Id="rId24" Type="http://schemas.openxmlformats.org/officeDocument/2006/relationships/hyperlink" Target="https://docstore.ohchr.org/SelfServices/FilesHandler.ashx?enc=4slQ6QSmlBEDzFEovLCuW1a0Szab0oXTdImnsJZZVQfQejF41Tob4CvIjeTiAP6sU9x9eXO0nzmOMzdytOOLx1%2BaoaWAKy4%2BuhMA8PLnWFdJ4z4216PjNj67NdUrGT87" TargetMode="External"/><Relationship Id="rId40" Type="http://schemas.openxmlformats.org/officeDocument/2006/relationships/hyperlink" Target="https://www.bancomundial.org/es/country/honduras/overview" TargetMode="External"/><Relationship Id="rId45" Type="http://schemas.openxmlformats.org/officeDocument/2006/relationships/hyperlink" Target="https://reportarsinmiedo.org/2022/01/17/tres-paises-tres-historias-de-criminalizacion-por-aborto/" TargetMode="External"/><Relationship Id="rId66" Type="http://schemas.openxmlformats.org/officeDocument/2006/relationships/hyperlink" Target="https://www.undp.org/sites/g/files/zskgke326/files/2023-12/PNUD-HN_ANALISIS-CONTROL-VIOLENCIA-DELITO.pdf" TargetMode="External"/><Relationship Id="rId87" Type="http://schemas.openxmlformats.org/officeDocument/2006/relationships/hyperlink" Target="https://www.oas.org/es/cidh/actividades/visitas/2023/04-28-Visita-in-Loco-Honduras.pdf" TargetMode="External"/><Relationship Id="rId61" Type="http://schemas.openxmlformats.org/officeDocument/2006/relationships/hyperlink" Target="https://reproductiverights-my.sharepoint.com/personal/pjimenez_reprorights_org/Documents/Datos%20adjuntos/%3chttps:/honduras.un.org/es/234334-comunicado-sobre-la-ley-de-educaci%C3%B3n-integral-de-prevenci%C3%B3n-al-embarazo-adolescente" TargetMode="External"/><Relationship Id="rId82" Type="http://schemas.openxmlformats.org/officeDocument/2006/relationships/hyperlink" Target="https://undocs.org/Home/Mobile?FinalSymbol=CAT%2FC%2FHND%2FCO%2F2&amp;Language=E&amp;DeviceType=Desktop&amp;LangRequested=False" TargetMode="External"/><Relationship Id="rId19" Type="http://schemas.openxmlformats.org/officeDocument/2006/relationships/hyperlink" Target="https://www.refworld.org/es/ref/inforep/ccpr/2019/es/123145"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2.xml><?xml version="1.0" encoding="utf-8"?>
<ct:contentTypeSchema xmlns:ct="http://schemas.microsoft.com/office/2006/metadata/contentType" xmlns:ma="http://schemas.microsoft.com/office/2006/metadata/properties/metaAttributes" ct:_="" ma:_="" ma:contentTypeName="Document" ma:contentTypeID="0x01010030575A62FAE047498B4F442CB92FEF4F" ma:contentTypeVersion="15" ma:contentTypeDescription="Create a new document." ma:contentTypeScope="" ma:versionID="bc7ad0c7d76bb4181c28e77f2466f950">
  <xsd:schema xmlns:xsd="http://www.w3.org/2001/XMLSchema" xmlns:xs="http://www.w3.org/2001/XMLSchema" xmlns:p="http://schemas.microsoft.com/office/2006/metadata/properties" xmlns:ns2="11d9c3d8-88ca-41c8-819f-23186d238f58" xmlns:ns3="5420c68d-3a28-4a0e-822e-6cbf27b7375d" targetNamespace="http://schemas.microsoft.com/office/2006/metadata/properties" ma:root="true" ma:fieldsID="9e6d91597ab603f63592f2790e50d770" ns2:_="" ns3:_="">
    <xsd:import namespace="11d9c3d8-88ca-41c8-819f-23186d238f58"/>
    <xsd:import namespace="5420c68d-3a28-4a0e-822e-6cbf27b7375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TCconlaquesepag_x00f3_"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d9c3d8-88ca-41c8-819f-23186d238f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4db032e-73db-4e5a-8f41-4badddda096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TCconlaquesepag_x00f3_" ma:index="20" nillable="true" ma:displayName="TC con la que se pagó" ma:format="Dropdown" ma:list="UserInfo" ma:SharePointGroup="0" ma:internalName="TCconlaquesepag_x00f3_">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420c68d-3a28-4a0e-822e-6cbf27b7375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77775c86-caa7-4152-8d46-119e0788e48e}" ma:internalName="TaxCatchAll" ma:showField="CatchAllData" ma:web="5420c68d-3a28-4a0e-822e-6cbf27b737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420c68d-3a28-4a0e-822e-6cbf27b7375d" xsi:nil="true"/>
    <lcf76f155ced4ddcb4097134ff3c332f xmlns="11d9c3d8-88ca-41c8-819f-23186d238f58">
      <Terms xmlns="http://schemas.microsoft.com/office/infopath/2007/PartnerControls"/>
    </lcf76f155ced4ddcb4097134ff3c332f>
    <TCconlaquesepag_x00f3_ xmlns="11d9c3d8-88ca-41c8-819f-23186d238f58">
      <UserInfo>
        <DisplayName/>
        <AccountId xsi:nil="true"/>
        <AccountType/>
      </UserInfo>
    </TCconlaquesepag_x00f3_>
  </documentManagement>
</p:properties>
</file>

<file path=customXml/itemProps1.xml><?xml version="1.0" encoding="utf-8"?>
<ds:datastoreItem xmlns:ds="http://schemas.openxmlformats.org/officeDocument/2006/customXml" ds:itemID="{ECE09BC1-1F24-4AC2-A02F-88CC271444B6}">
  <ds:schemaRefs>
    <ds:schemaRef ds:uri="http://schemas.openxmlformats.org/officeDocument/2006/bibliography"/>
  </ds:schemaRefs>
</ds:datastoreItem>
</file>

<file path=customXml/itemProps2.xml><?xml version="1.0" encoding="utf-8"?>
<ds:datastoreItem xmlns:ds="http://schemas.openxmlformats.org/officeDocument/2006/customXml" ds:itemID="{0BFEF688-F52F-47DF-A8B9-149597E932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d9c3d8-88ca-41c8-819f-23186d238f58"/>
    <ds:schemaRef ds:uri="5420c68d-3a28-4a0e-822e-6cbf27b737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4D2222-8DA7-4EC1-AC7D-87D09ED408C2}">
  <ds:schemaRefs>
    <ds:schemaRef ds:uri="http://schemas.microsoft.com/sharepoint/v3/contenttype/forms"/>
  </ds:schemaRefs>
</ds:datastoreItem>
</file>

<file path=customXml/itemProps4.xml><?xml version="1.0" encoding="utf-8"?>
<ds:datastoreItem xmlns:ds="http://schemas.openxmlformats.org/officeDocument/2006/customXml" ds:itemID="{A91D9653-519C-4C56-AA6A-4BF76C26FEC8}">
  <ds:schemaRefs>
    <ds:schemaRef ds:uri="http://schemas.microsoft.com/office/2006/metadata/properties"/>
    <ds:schemaRef ds:uri="http://schemas.microsoft.com/office/infopath/2007/PartnerControls"/>
    <ds:schemaRef ds:uri="5420c68d-3a28-4a0e-822e-6cbf27b7375d"/>
    <ds:schemaRef ds:uri="11d9c3d8-88ca-41c8-819f-23186d238f58"/>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0</TotalTime>
  <Pages>16</Pages>
  <Words>5573</Words>
  <Characters>28871</Characters>
  <Application>Microsoft Office Word</Application>
  <DocSecurity>0</DocSecurity>
  <Lines>443</Lines>
  <Paragraphs>85</Paragraphs>
  <ScaleCrop>false</ScaleCrop>
  <Company/>
  <LinksUpToDate>false</LinksUpToDate>
  <CharactersWithSpaces>34324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Jimenez</dc:creator>
  <cp:keywords>, docId:8B8B79D4CA98672D1762CA35E6FDD6B7</cp:keywords>
  <dc:description/>
  <cp:lastModifiedBy>Tania Agosti</cp:lastModifiedBy>
  <cp:revision>32</cp:revision>
  <dcterms:created xsi:type="dcterms:W3CDTF">2024-08-07T15:11:00Z</dcterms:created>
  <dcterms:modified xsi:type="dcterms:W3CDTF">2024-08-12T14:46:00Z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835acd608185d3dccabab26fc43c45350462eb9136b414c812e0e11caee1d278</vt:lpwstr>
  </property>
  <property fmtid="{D5CDD505-2E9C-101B-9397-08002B2CF9AE}" pid="3" name="ContentTypeId">
    <vt:lpwstr>0x01010030575A62FAE047498B4F442CB92FEF4F</vt:lpwstr>
  </property>
  <property fmtid="{D5CDD505-2E9C-101B-9397-08002B2CF9AE}" pid="4" name="MediaServiceImageTags">
    <vt:lpwstr/>
  </property>
</Properties>
</file>