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650C3" w14:textId="77777777" w:rsidR="00B42DE1" w:rsidRPr="00B84DDA" w:rsidRDefault="00DB5F33" w:rsidP="00DB5F33">
      <w:pPr>
        <w:pStyle w:val="StandaardLinks"/>
        <w:tabs>
          <w:tab w:val="left" w:pos="7752"/>
        </w:tabs>
        <w:rPr>
          <w:rFonts w:ascii="Arial" w:hAnsi="Arial" w:cs="Arial"/>
          <w:noProof w:val="0"/>
          <w:lang w:val="en-US" w:eastAsia="nl-NL"/>
        </w:rPr>
      </w:pPr>
      <w:r w:rsidRPr="00B84DDA">
        <w:rPr>
          <w:rFonts w:ascii="Arial" w:hAnsi="Arial" w:cs="Arial"/>
          <w:noProof w:val="0"/>
          <w:lang w:val="en-US" w:eastAsia="nl-NL"/>
        </w:rPr>
        <w:tab/>
      </w:r>
    </w:p>
    <w:p w14:paraId="59250142"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7BAE388F"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65BCC241"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15751EA5"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49254A0D"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3696B1B6"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sectPr w:rsidR="00B42DE1" w:rsidRPr="00B84DDA">
          <w:headerReference w:type="default" r:id="rId10"/>
          <w:footerReference w:type="default" r:id="rId11"/>
          <w:pgSz w:w="11907" w:h="16840" w:code="9"/>
          <w:pgMar w:top="567" w:right="1469" w:bottom="1418" w:left="1985" w:header="708" w:footer="510" w:gutter="0"/>
          <w:cols w:space="708"/>
          <w:noEndnote/>
        </w:sectPr>
      </w:pPr>
    </w:p>
    <w:p w14:paraId="4E2C568D"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16014B59"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4AB44CEE" w14:textId="77777777" w:rsidR="0073375F" w:rsidRPr="00B84DDA" w:rsidRDefault="0073375F">
      <w:pPr>
        <w:widowControl w:val="0"/>
        <w:tabs>
          <w:tab w:val="left" w:pos="3402"/>
          <w:tab w:val="left" w:pos="6804"/>
          <w:tab w:val="left" w:pos="8222"/>
        </w:tabs>
        <w:rPr>
          <w:rFonts w:ascii="Arial" w:hAnsi="Arial" w:cs="Arial"/>
          <w:snapToGrid w:val="0"/>
          <w:sz w:val="20"/>
          <w:lang w:val="en-US" w:eastAsia="nl-NL"/>
        </w:rPr>
      </w:pPr>
    </w:p>
    <w:p w14:paraId="01F817C3" w14:textId="77777777" w:rsidR="0073375F" w:rsidRPr="00B84DDA" w:rsidRDefault="0073375F">
      <w:pPr>
        <w:widowControl w:val="0"/>
        <w:tabs>
          <w:tab w:val="left" w:pos="3402"/>
          <w:tab w:val="left" w:pos="6804"/>
          <w:tab w:val="left" w:pos="8222"/>
        </w:tabs>
        <w:rPr>
          <w:rFonts w:ascii="Arial" w:hAnsi="Arial" w:cs="Arial"/>
          <w:snapToGrid w:val="0"/>
          <w:sz w:val="20"/>
          <w:lang w:val="en-US" w:eastAsia="nl-NL"/>
        </w:rPr>
      </w:pPr>
    </w:p>
    <w:p w14:paraId="3C65DB84" w14:textId="77777777" w:rsidR="00E9195D" w:rsidRDefault="00E9195D" w:rsidP="00E9195D">
      <w:pPr>
        <w:ind w:left="708" w:firstLine="708"/>
        <w:rPr>
          <w:rFonts w:ascii="Trebuchet MS" w:hAnsi="Trebuchet MS"/>
          <w:lang w:val="en-GB"/>
        </w:rPr>
      </w:pPr>
    </w:p>
    <w:p w14:paraId="2AA32E79" w14:textId="77777777" w:rsidR="00E9195D" w:rsidRPr="00445660" w:rsidRDefault="00E9195D" w:rsidP="00E9195D">
      <w:pPr>
        <w:ind w:left="708" w:firstLine="708"/>
        <w:rPr>
          <w:rFonts w:ascii="Trebuchet MS" w:hAnsi="Trebuchet MS"/>
          <w:b/>
          <w:bCs/>
          <w:lang w:val="en-GB"/>
        </w:rPr>
      </w:pPr>
      <w:r w:rsidRPr="00445660">
        <w:rPr>
          <w:rFonts w:ascii="Trebuchet MS" w:hAnsi="Trebuchet MS"/>
          <w:b/>
          <w:bCs/>
          <w:lang w:val="en-GB"/>
        </w:rPr>
        <w:t xml:space="preserve">CRPD-committee, 31st Session, Constructive Dialogue, </w:t>
      </w:r>
    </w:p>
    <w:p w14:paraId="513A916D" w14:textId="77777777" w:rsidR="00E9195D" w:rsidRPr="00445660" w:rsidRDefault="00E9195D" w:rsidP="00E9195D">
      <w:pPr>
        <w:jc w:val="center"/>
        <w:rPr>
          <w:rFonts w:ascii="Trebuchet MS" w:hAnsi="Trebuchet MS"/>
          <w:b/>
          <w:bCs/>
          <w:lang w:val="en-GB"/>
        </w:rPr>
      </w:pPr>
      <w:r w:rsidRPr="00445660">
        <w:rPr>
          <w:rFonts w:ascii="Trebuchet MS" w:hAnsi="Trebuchet MS"/>
          <w:b/>
          <w:bCs/>
          <w:lang w:val="en-GB"/>
        </w:rPr>
        <w:t>Opening Statement by the Netherlands Institute for Human Rights (NIHR)</w:t>
      </w:r>
    </w:p>
    <w:p w14:paraId="4EE9E8A6" w14:textId="77777777" w:rsidR="00E9195D" w:rsidRPr="00445660" w:rsidRDefault="00E9195D" w:rsidP="00E9195D">
      <w:pPr>
        <w:pBdr>
          <w:bottom w:val="single" w:sz="6" w:space="1" w:color="auto"/>
        </w:pBdr>
        <w:jc w:val="center"/>
        <w:rPr>
          <w:rFonts w:ascii="Trebuchet MS" w:hAnsi="Trebuchet MS"/>
          <w:b/>
          <w:bCs/>
          <w:i/>
          <w:iCs/>
          <w:lang w:val="en-GB"/>
        </w:rPr>
      </w:pPr>
      <w:r w:rsidRPr="00445660">
        <w:rPr>
          <w:rFonts w:ascii="Trebuchet MS" w:hAnsi="Trebuchet MS"/>
          <w:b/>
          <w:bCs/>
          <w:lang w:val="en-GB"/>
        </w:rPr>
        <w:t>Nico Schrijver, Interim Chair NIHR</w:t>
      </w:r>
      <w:r w:rsidRPr="00445660">
        <w:rPr>
          <w:rFonts w:ascii="Trebuchet MS" w:hAnsi="Trebuchet MS"/>
          <w:b/>
          <w:bCs/>
          <w:lang w:val="en-GB"/>
        </w:rPr>
        <w:br/>
      </w:r>
      <w:r w:rsidRPr="00445660">
        <w:rPr>
          <w:rFonts w:ascii="Trebuchet MS" w:hAnsi="Trebuchet MS"/>
          <w:b/>
          <w:bCs/>
          <w:lang w:val="en-GB"/>
        </w:rPr>
        <w:br/>
      </w:r>
      <w:r w:rsidRPr="00445660">
        <w:rPr>
          <w:rFonts w:ascii="Trebuchet MS" w:hAnsi="Trebuchet MS"/>
          <w:i/>
          <w:iCs/>
          <w:lang w:val="en-GB"/>
        </w:rPr>
        <w:t>15 August 2024</w:t>
      </w:r>
    </w:p>
    <w:p w14:paraId="7E8F1147" w14:textId="77777777" w:rsidR="00E9195D" w:rsidRDefault="00E9195D" w:rsidP="00E9195D">
      <w:pPr>
        <w:rPr>
          <w:rFonts w:ascii="Trebuchet MS" w:hAnsi="Trebuchet MS"/>
          <w:lang w:val="en-GB"/>
        </w:rPr>
      </w:pPr>
      <w:r w:rsidRPr="00E237B2">
        <w:rPr>
          <w:rFonts w:ascii="Trebuchet MS" w:hAnsi="Trebuchet MS"/>
          <w:lang w:val="en-GB"/>
        </w:rPr>
        <w:t>Distinguished Chair and Members of the Committee, representatives of the Netherlands government, and persons with disabilities and their representative organisations,</w:t>
      </w:r>
    </w:p>
    <w:p w14:paraId="4D33F232" w14:textId="77777777" w:rsidR="00E9195D" w:rsidRPr="00E237B2" w:rsidRDefault="00E9195D" w:rsidP="00E9195D">
      <w:pPr>
        <w:rPr>
          <w:rFonts w:ascii="Trebuchet MS" w:hAnsi="Trebuchet MS"/>
          <w:lang w:val="en-GB"/>
        </w:rPr>
      </w:pPr>
    </w:p>
    <w:p w14:paraId="5196BCFD" w14:textId="74287E00" w:rsidR="00E9195D" w:rsidRDefault="00E9195D" w:rsidP="00E9195D">
      <w:pPr>
        <w:rPr>
          <w:rFonts w:ascii="Trebuchet MS" w:hAnsi="Trebuchet MS"/>
          <w:lang w:val="en-GB"/>
        </w:rPr>
      </w:pPr>
      <w:r w:rsidRPr="00E237B2">
        <w:rPr>
          <w:rFonts w:ascii="Trebuchet MS" w:hAnsi="Trebuchet MS"/>
          <w:lang w:val="en-GB"/>
        </w:rPr>
        <w:t xml:space="preserve">My name is Nico </w:t>
      </w:r>
      <w:proofErr w:type="gramStart"/>
      <w:r w:rsidRPr="00E237B2">
        <w:rPr>
          <w:rFonts w:ascii="Trebuchet MS" w:hAnsi="Trebuchet MS"/>
          <w:lang w:val="en-GB"/>
        </w:rPr>
        <w:t>Schrijver</w:t>
      </w:r>
      <w:proofErr w:type="gramEnd"/>
      <w:r w:rsidRPr="00E237B2">
        <w:rPr>
          <w:rFonts w:ascii="Trebuchet MS" w:hAnsi="Trebuchet MS"/>
          <w:lang w:val="en-GB"/>
        </w:rPr>
        <w:t xml:space="preserve"> and </w:t>
      </w:r>
      <w:r w:rsidRPr="3B292EDA">
        <w:rPr>
          <w:rFonts w:ascii="Trebuchet MS" w:hAnsi="Trebuchet MS"/>
          <w:lang w:val="en-GB"/>
        </w:rPr>
        <w:t>it</w:t>
      </w:r>
      <w:r w:rsidRPr="00E237B2">
        <w:rPr>
          <w:rFonts w:ascii="Trebuchet MS" w:hAnsi="Trebuchet MS"/>
          <w:lang w:val="en-GB"/>
        </w:rPr>
        <w:t xml:space="preserve"> is an honour to deliver this statement as Chair of the Netherlands Institute for Human Rights, which </w:t>
      </w:r>
      <w:r>
        <w:rPr>
          <w:rFonts w:ascii="Trebuchet MS" w:hAnsi="Trebuchet MS"/>
          <w:lang w:val="en-GB"/>
        </w:rPr>
        <w:t>serves as</w:t>
      </w:r>
      <w:r w:rsidRPr="00E237B2">
        <w:rPr>
          <w:rFonts w:ascii="Trebuchet MS" w:hAnsi="Trebuchet MS"/>
          <w:lang w:val="en-GB"/>
        </w:rPr>
        <w:t xml:space="preserve"> the Netherlands’ independent monitoring mechanism.  </w:t>
      </w:r>
    </w:p>
    <w:p w14:paraId="7C27AFB4" w14:textId="77777777" w:rsidR="00E9195D" w:rsidRPr="00E237B2" w:rsidRDefault="00E9195D" w:rsidP="00E9195D">
      <w:pPr>
        <w:rPr>
          <w:rFonts w:ascii="Trebuchet MS" w:hAnsi="Trebuchet MS"/>
          <w:lang w:val="en-GB"/>
        </w:rPr>
      </w:pPr>
    </w:p>
    <w:p w14:paraId="1EDD1AD7" w14:textId="77777777" w:rsidR="00E9195D" w:rsidRDefault="00E9195D" w:rsidP="00E9195D">
      <w:pPr>
        <w:rPr>
          <w:rFonts w:ascii="Trebuchet MS" w:hAnsi="Trebuchet MS"/>
          <w:lang w:val="en-GB"/>
        </w:rPr>
      </w:pPr>
      <w:r w:rsidRPr="00E237B2">
        <w:rPr>
          <w:rFonts w:ascii="Trebuchet MS" w:hAnsi="Trebuchet MS"/>
          <w:lang w:val="en-GB"/>
        </w:rPr>
        <w:t xml:space="preserve">Since the ratification of the CRPD in 2016, the </w:t>
      </w:r>
      <w:r>
        <w:rPr>
          <w:rFonts w:ascii="Trebuchet MS" w:hAnsi="Trebuchet MS"/>
          <w:lang w:val="en-GB"/>
        </w:rPr>
        <w:t xml:space="preserve">Dutch </w:t>
      </w:r>
      <w:r w:rsidRPr="00E237B2">
        <w:rPr>
          <w:rFonts w:ascii="Trebuchet MS" w:hAnsi="Trebuchet MS"/>
          <w:lang w:val="en-GB"/>
        </w:rPr>
        <w:t xml:space="preserve">government has made significant efforts to implement the Convention. Particularly the adoption of the national strategy for the implementation of the Convention can be seen as an important milestone. The aim of this strategy is </w:t>
      </w:r>
      <w:r>
        <w:rPr>
          <w:rFonts w:ascii="Trebuchet MS" w:hAnsi="Trebuchet MS"/>
          <w:lang w:val="en-GB"/>
        </w:rPr>
        <w:t>to bring the position of persons with disabilities in line with</w:t>
      </w:r>
      <w:r w:rsidRPr="00E237B2">
        <w:rPr>
          <w:rFonts w:ascii="Trebuchet MS" w:hAnsi="Trebuchet MS"/>
          <w:lang w:val="en-GB"/>
        </w:rPr>
        <w:t xml:space="preserve"> the Convention by 2040. </w:t>
      </w:r>
    </w:p>
    <w:p w14:paraId="77902B5B" w14:textId="77777777" w:rsidR="00E9195D" w:rsidRDefault="00E9195D" w:rsidP="00E9195D">
      <w:pPr>
        <w:rPr>
          <w:rFonts w:ascii="Trebuchet MS" w:hAnsi="Trebuchet MS"/>
          <w:lang w:val="en-GB"/>
        </w:rPr>
      </w:pPr>
    </w:p>
    <w:p w14:paraId="235B7749" w14:textId="77777777" w:rsidR="00E9195D" w:rsidRDefault="00E9195D" w:rsidP="00E9195D">
      <w:pPr>
        <w:rPr>
          <w:rFonts w:ascii="Trebuchet MS" w:hAnsi="Trebuchet MS"/>
          <w:lang w:val="en-GB"/>
        </w:rPr>
      </w:pPr>
      <w:r>
        <w:rPr>
          <w:rFonts w:ascii="Trebuchet MS" w:hAnsi="Trebuchet MS"/>
          <w:lang w:val="en-GB"/>
        </w:rPr>
        <w:t>However</w:t>
      </w:r>
      <w:r w:rsidRPr="00E237B2">
        <w:rPr>
          <w:rFonts w:ascii="Trebuchet MS" w:hAnsi="Trebuchet MS"/>
          <w:lang w:val="en-GB"/>
        </w:rPr>
        <w:t>, as monitoring mechanism, we</w:t>
      </w:r>
      <w:r>
        <w:rPr>
          <w:rFonts w:ascii="Trebuchet MS" w:hAnsi="Trebuchet MS"/>
          <w:lang w:val="en-GB"/>
        </w:rPr>
        <w:t xml:space="preserve"> </w:t>
      </w:r>
      <w:r w:rsidRPr="00E237B2">
        <w:rPr>
          <w:rFonts w:ascii="Trebuchet MS" w:hAnsi="Trebuchet MS"/>
          <w:lang w:val="en-GB"/>
        </w:rPr>
        <w:t>note that ther</w:t>
      </w:r>
      <w:r>
        <w:rPr>
          <w:rFonts w:ascii="Trebuchet MS" w:hAnsi="Trebuchet MS"/>
          <w:lang w:val="en-GB"/>
        </w:rPr>
        <w:t xml:space="preserve">e are still several shortcomings. In this statement, I will elaborate on four central gaps that, according to the Institute, need to be addressed </w:t>
      </w:r>
      <w:proofErr w:type="gramStart"/>
      <w:r>
        <w:rPr>
          <w:rFonts w:ascii="Trebuchet MS" w:hAnsi="Trebuchet MS"/>
          <w:lang w:val="en-GB"/>
        </w:rPr>
        <w:t>in order to</w:t>
      </w:r>
      <w:proofErr w:type="gramEnd"/>
      <w:r>
        <w:rPr>
          <w:rFonts w:ascii="Trebuchet MS" w:hAnsi="Trebuchet MS"/>
          <w:lang w:val="en-GB"/>
        </w:rPr>
        <w:t xml:space="preserve"> be able to realise effective implementation of the Convention.</w:t>
      </w:r>
    </w:p>
    <w:p w14:paraId="4C42FD88" w14:textId="77777777" w:rsidR="00E9195D" w:rsidRPr="00E237B2" w:rsidRDefault="00E9195D" w:rsidP="00E9195D">
      <w:pPr>
        <w:rPr>
          <w:rFonts w:ascii="Trebuchet MS" w:hAnsi="Trebuchet MS"/>
          <w:lang w:val="en-GB"/>
        </w:rPr>
      </w:pPr>
    </w:p>
    <w:p w14:paraId="06FBE272" w14:textId="1670E58F" w:rsidR="00E9195D" w:rsidRDefault="00E9195D" w:rsidP="00E9195D">
      <w:pPr>
        <w:spacing w:line="252" w:lineRule="auto"/>
        <w:rPr>
          <w:rFonts w:ascii="Trebuchet MS" w:eastAsia="Trebuchet MS" w:hAnsi="Trebuchet MS"/>
          <w:lang w:val="en-GB"/>
        </w:rPr>
      </w:pPr>
      <w:r w:rsidRPr="00F17E08">
        <w:rPr>
          <w:rFonts w:ascii="Trebuchet MS" w:hAnsi="Trebuchet MS"/>
          <w:b/>
          <w:bCs/>
          <w:lang w:val="en-GB"/>
        </w:rPr>
        <w:t>First</w:t>
      </w:r>
      <w:r w:rsidRPr="00E237B2">
        <w:rPr>
          <w:rFonts w:ascii="Trebuchet MS" w:hAnsi="Trebuchet MS"/>
          <w:lang w:val="en-GB"/>
        </w:rPr>
        <w:t xml:space="preserve">, </w:t>
      </w:r>
      <w:r w:rsidRPr="00E237B2">
        <w:rPr>
          <w:rFonts w:ascii="Trebuchet MS" w:eastAsia="Trebuchet MS" w:hAnsi="Trebuchet MS"/>
          <w:lang w:val="en-GB"/>
        </w:rPr>
        <w:t xml:space="preserve">the national strategy for the implementation of the CRPD does not encompass all provisions of the Convention, as it does not fully address several articles, such as articles 10, 15, 16, 17, 18, 21, 22 and 23. Instead, the strategy addresses seven key principles and areas of life that are reflected in the </w:t>
      </w:r>
      <w:r w:rsidRPr="3B292EDA">
        <w:rPr>
          <w:rFonts w:ascii="Trebuchet MS" w:eastAsia="Trebuchet MS" w:hAnsi="Trebuchet MS"/>
          <w:lang w:val="en-GB"/>
        </w:rPr>
        <w:t>Convention.</w:t>
      </w:r>
      <w:r w:rsidRPr="00E237B2">
        <w:rPr>
          <w:rFonts w:ascii="Trebuchet MS" w:eastAsia="Trebuchet MS" w:hAnsi="Trebuchet MS"/>
          <w:lang w:val="en-GB"/>
        </w:rPr>
        <w:t xml:space="preserve"> The Institute notes that the full implementation of the </w:t>
      </w:r>
      <w:r w:rsidRPr="3B292EDA">
        <w:rPr>
          <w:rFonts w:ascii="Trebuchet MS" w:eastAsia="Trebuchet MS" w:hAnsi="Trebuchet MS"/>
          <w:lang w:val="en-GB"/>
        </w:rPr>
        <w:t>Convention</w:t>
      </w:r>
      <w:r w:rsidRPr="00E237B2">
        <w:rPr>
          <w:rFonts w:ascii="Trebuchet MS" w:eastAsia="Trebuchet MS" w:hAnsi="Trebuchet MS"/>
          <w:lang w:val="en-GB"/>
        </w:rPr>
        <w:t xml:space="preserve"> requires a</w:t>
      </w:r>
      <w:r>
        <w:rPr>
          <w:rFonts w:ascii="Trebuchet MS" w:eastAsia="Trebuchet MS" w:hAnsi="Trebuchet MS"/>
          <w:lang w:val="en-GB"/>
        </w:rPr>
        <w:t xml:space="preserve"> comprehensive</w:t>
      </w:r>
      <w:r w:rsidRPr="00E237B2">
        <w:rPr>
          <w:rFonts w:ascii="Trebuchet MS" w:eastAsia="Trebuchet MS" w:hAnsi="Trebuchet MS"/>
          <w:lang w:val="en-GB"/>
        </w:rPr>
        <w:t xml:space="preserve"> strategy in which all articles and principles are addressed.</w:t>
      </w:r>
    </w:p>
    <w:p w14:paraId="0009B702" w14:textId="77777777" w:rsidR="00E9195D" w:rsidRPr="00E237B2" w:rsidRDefault="00E9195D" w:rsidP="00E9195D">
      <w:pPr>
        <w:spacing w:line="252" w:lineRule="auto"/>
        <w:rPr>
          <w:rFonts w:ascii="Trebuchet MS" w:eastAsia="Trebuchet MS" w:hAnsi="Trebuchet MS"/>
          <w:lang w:val="en-GB"/>
        </w:rPr>
      </w:pPr>
    </w:p>
    <w:p w14:paraId="082AE85D" w14:textId="77777777" w:rsidR="00E9195D" w:rsidRPr="00E237B2" w:rsidRDefault="00E9195D" w:rsidP="00E9195D">
      <w:pPr>
        <w:rPr>
          <w:rFonts w:ascii="Trebuchet MS" w:hAnsi="Trebuchet MS"/>
          <w:lang w:val="en-GB"/>
        </w:rPr>
      </w:pPr>
      <w:r w:rsidRPr="00AB092F">
        <w:rPr>
          <w:rFonts w:ascii="Trebuchet MS" w:hAnsi="Trebuchet MS"/>
          <w:b/>
          <w:bCs/>
          <w:lang w:val="en-GB"/>
        </w:rPr>
        <w:t>Second</w:t>
      </w:r>
      <w:r w:rsidRPr="00E237B2">
        <w:rPr>
          <w:rFonts w:ascii="Trebuchet MS" w:hAnsi="Trebuchet MS"/>
          <w:lang w:val="en-GB"/>
        </w:rPr>
        <w:t xml:space="preserve">, the Convention and its general principles are not adequately integrated in all levels of government. </w:t>
      </w:r>
    </w:p>
    <w:p w14:paraId="7120ED0E" w14:textId="6AF6B06F" w:rsidR="00E9195D" w:rsidRDefault="00E9195D" w:rsidP="00E9195D">
      <w:pPr>
        <w:rPr>
          <w:rFonts w:ascii="Trebuchet MS" w:hAnsi="Trebuchet MS"/>
          <w:lang w:val="en-GB"/>
        </w:rPr>
      </w:pPr>
      <w:r w:rsidRPr="00E237B2">
        <w:rPr>
          <w:rFonts w:ascii="Trebuchet MS" w:hAnsi="Trebuchet MS"/>
          <w:lang w:val="en-GB"/>
        </w:rPr>
        <w:t>An example that illustrates this, is the fact that persons with disabilities experience significant barriers to the right to work</w:t>
      </w:r>
      <w:r>
        <w:rPr>
          <w:rFonts w:ascii="Trebuchet MS" w:hAnsi="Trebuchet MS"/>
          <w:lang w:val="en-GB"/>
        </w:rPr>
        <w:t>]</w:t>
      </w:r>
      <w:r w:rsidRPr="00E237B2">
        <w:rPr>
          <w:rFonts w:ascii="Trebuchet MS" w:hAnsi="Trebuchet MS"/>
          <w:lang w:val="en-GB"/>
        </w:rPr>
        <w:t xml:space="preserve">. These barriers increase </w:t>
      </w:r>
      <w:r w:rsidRPr="00E237B2">
        <w:rPr>
          <w:rFonts w:ascii="Trebuchet MS" w:hAnsi="Trebuchet MS"/>
          <w:lang w:val="en-GB"/>
        </w:rPr>
        <w:lastRenderedPageBreak/>
        <w:t xml:space="preserve">the importance of social security. However, the system is complex and does not always offer adequate security, as it is not suited to address some of the specific situations of persons with disabilities. The Institute continues to emphasise that the government should visibly review social security policies and legislation </w:t>
      </w:r>
      <w:proofErr w:type="gramStart"/>
      <w:r w:rsidRPr="00E237B2">
        <w:rPr>
          <w:rFonts w:ascii="Trebuchet MS" w:hAnsi="Trebuchet MS"/>
          <w:lang w:val="en-GB"/>
        </w:rPr>
        <w:t>in light of</w:t>
      </w:r>
      <w:proofErr w:type="gramEnd"/>
      <w:r w:rsidRPr="00E237B2">
        <w:rPr>
          <w:rFonts w:ascii="Trebuchet MS" w:hAnsi="Trebuchet MS"/>
          <w:lang w:val="en-GB"/>
        </w:rPr>
        <w:t xml:space="preserve"> the </w:t>
      </w:r>
      <w:r w:rsidRPr="3B292EDA">
        <w:rPr>
          <w:rFonts w:ascii="Trebuchet MS" w:hAnsi="Trebuchet MS"/>
          <w:lang w:val="en-GB"/>
        </w:rPr>
        <w:t>Convention.</w:t>
      </w:r>
    </w:p>
    <w:p w14:paraId="3D9CA24E" w14:textId="77777777" w:rsidR="00E9195D" w:rsidRPr="00E237B2" w:rsidRDefault="00E9195D" w:rsidP="00E9195D">
      <w:pPr>
        <w:rPr>
          <w:rFonts w:ascii="Trebuchet MS" w:hAnsi="Trebuchet MS"/>
          <w:lang w:val="en-GB"/>
        </w:rPr>
      </w:pPr>
    </w:p>
    <w:p w14:paraId="7AFD4DC6" w14:textId="77777777" w:rsidR="00E9195D" w:rsidRDefault="00E9195D" w:rsidP="00E9195D">
      <w:pPr>
        <w:rPr>
          <w:rFonts w:ascii="Trebuchet MS" w:hAnsi="Trebuchet MS"/>
          <w:lang w:val="en-GB"/>
        </w:rPr>
      </w:pPr>
      <w:r w:rsidRPr="00AB092F">
        <w:rPr>
          <w:rFonts w:ascii="Trebuchet MS" w:hAnsi="Trebuchet MS"/>
          <w:b/>
          <w:bCs/>
          <w:lang w:val="en-GB"/>
        </w:rPr>
        <w:t>Third</w:t>
      </w:r>
      <w:r w:rsidRPr="00E237B2">
        <w:rPr>
          <w:rFonts w:ascii="Trebuchet MS" w:hAnsi="Trebuchet MS"/>
          <w:lang w:val="en-GB"/>
        </w:rPr>
        <w:t xml:space="preserve">, there is currently still no adequate infrastructure to allow for the structural participation of persons with disabilities in law- and </w:t>
      </w:r>
      <w:proofErr w:type="gramStart"/>
      <w:r w:rsidRPr="00E237B2">
        <w:rPr>
          <w:rFonts w:ascii="Trebuchet MS" w:hAnsi="Trebuchet MS"/>
          <w:lang w:val="en-GB"/>
        </w:rPr>
        <w:t>policymaking..</w:t>
      </w:r>
      <w:proofErr w:type="gramEnd"/>
      <w:r w:rsidRPr="00E237B2">
        <w:rPr>
          <w:rFonts w:ascii="Trebuchet MS" w:hAnsi="Trebuchet MS"/>
          <w:lang w:val="en-GB"/>
        </w:rPr>
        <w:t xml:space="preserve"> The national strategy for the implementation of the CRPD outlines the ambition that by 2040 at the latest, persons with disabilities are actively involved in the process of drawing up policy and legislation at every level of government, also at the local level. We believe that this cannot wait until 2040, as </w:t>
      </w:r>
      <w:proofErr w:type="gramStart"/>
      <w:r w:rsidRPr="00E237B2">
        <w:rPr>
          <w:rFonts w:ascii="Trebuchet MS" w:hAnsi="Trebuchet MS"/>
          <w:lang w:val="en-GB"/>
        </w:rPr>
        <w:t>in order for</w:t>
      </w:r>
      <w:proofErr w:type="gramEnd"/>
      <w:r w:rsidRPr="00E237B2">
        <w:rPr>
          <w:rFonts w:ascii="Trebuchet MS" w:hAnsi="Trebuchet MS"/>
          <w:lang w:val="en-GB"/>
        </w:rPr>
        <w:t xml:space="preserve"> the national strategy to be effective, an adequate infrastructure that guarantees the participation of persons with disabilities in law- and policymaking processes is crucial.</w:t>
      </w:r>
      <w:r>
        <w:rPr>
          <w:rFonts w:ascii="Trebuchet MS" w:hAnsi="Trebuchet MS"/>
          <w:lang w:val="en-GB"/>
        </w:rPr>
        <w:t xml:space="preserve"> This also includes structural financial support for representative organisations.</w:t>
      </w:r>
    </w:p>
    <w:p w14:paraId="173337E9" w14:textId="3D0B7110" w:rsidR="00E9195D" w:rsidRPr="00E237B2" w:rsidRDefault="00E9195D" w:rsidP="00E9195D">
      <w:pPr>
        <w:rPr>
          <w:rFonts w:ascii="Trebuchet MS" w:hAnsi="Trebuchet MS"/>
          <w:lang w:val="en-GB"/>
        </w:rPr>
      </w:pPr>
      <w:r>
        <w:rPr>
          <w:rFonts w:ascii="Trebuchet MS" w:hAnsi="Trebuchet MS"/>
          <w:lang w:val="en-GB"/>
        </w:rPr>
        <w:t xml:space="preserve"> </w:t>
      </w:r>
    </w:p>
    <w:p w14:paraId="22F4A902" w14:textId="77777777" w:rsidR="00E9195D" w:rsidRDefault="00E9195D" w:rsidP="00E9195D">
      <w:pPr>
        <w:rPr>
          <w:rFonts w:ascii="Trebuchet MS" w:hAnsi="Trebuchet MS"/>
          <w:lang w:val="en-GB"/>
        </w:rPr>
      </w:pPr>
      <w:r w:rsidRPr="00AB092F">
        <w:rPr>
          <w:rFonts w:ascii="Trebuchet MS" w:hAnsi="Trebuchet MS"/>
          <w:b/>
          <w:bCs/>
          <w:lang w:val="en-GB"/>
        </w:rPr>
        <w:t>Lastly</w:t>
      </w:r>
      <w:r w:rsidRPr="00E237B2">
        <w:rPr>
          <w:rFonts w:ascii="Trebuchet MS" w:hAnsi="Trebuchet MS"/>
          <w:lang w:val="en-GB"/>
        </w:rPr>
        <w:t xml:space="preserve">, I would like to point at the lack of a clear timeline for the extension of the territorial scope of the </w:t>
      </w:r>
      <w:r w:rsidRPr="3B292EDA">
        <w:rPr>
          <w:rFonts w:ascii="Trebuchet MS" w:hAnsi="Trebuchet MS"/>
          <w:lang w:val="en-GB"/>
        </w:rPr>
        <w:t xml:space="preserve">Convention to </w:t>
      </w:r>
      <w:r w:rsidRPr="00E237B2">
        <w:rPr>
          <w:rFonts w:ascii="Trebuchet MS" w:hAnsi="Trebuchet MS"/>
          <w:lang w:val="en-GB"/>
        </w:rPr>
        <w:t xml:space="preserve">the </w:t>
      </w:r>
      <w:r w:rsidRPr="3B292EDA">
        <w:rPr>
          <w:rFonts w:ascii="Trebuchet MS" w:hAnsi="Trebuchet MS"/>
          <w:lang w:val="en-GB"/>
        </w:rPr>
        <w:t xml:space="preserve">three special </w:t>
      </w:r>
      <w:r w:rsidRPr="00E237B2">
        <w:rPr>
          <w:rFonts w:ascii="Trebuchet MS" w:hAnsi="Trebuchet MS"/>
          <w:lang w:val="en-GB"/>
        </w:rPr>
        <w:t xml:space="preserve">Caribbean </w:t>
      </w:r>
      <w:r w:rsidRPr="3B292EDA">
        <w:rPr>
          <w:rFonts w:ascii="Trebuchet MS" w:hAnsi="Trebuchet MS"/>
          <w:lang w:val="en-GB"/>
        </w:rPr>
        <w:t>municipalities</w:t>
      </w:r>
      <w:r w:rsidRPr="00E237B2">
        <w:rPr>
          <w:rFonts w:ascii="Trebuchet MS" w:hAnsi="Trebuchet MS"/>
          <w:lang w:val="en-GB"/>
        </w:rPr>
        <w:t xml:space="preserve"> of the Netherlands. The government has indicated that its aim is for the territorial scope of the Convention to be extended as soon as possible, without, however, providing a clear timeline. The Institute reiterates that </w:t>
      </w:r>
      <w:r>
        <w:rPr>
          <w:rFonts w:ascii="Trebuchet MS" w:hAnsi="Trebuchet MS"/>
          <w:lang w:val="en-GB"/>
        </w:rPr>
        <w:t xml:space="preserve">eight </w:t>
      </w:r>
      <w:r w:rsidRPr="00E237B2">
        <w:rPr>
          <w:rFonts w:ascii="Trebuchet MS" w:hAnsi="Trebuchet MS"/>
          <w:lang w:val="en-GB"/>
        </w:rPr>
        <w:t xml:space="preserve">years have passed since the Netherlands ratified the CRPD. The lack of significant progress in implementation is detrimental to the rights of persons with disabilities in the Caribbean </w:t>
      </w:r>
      <w:r w:rsidRPr="3B292EDA">
        <w:rPr>
          <w:rFonts w:ascii="Trebuchet MS" w:hAnsi="Trebuchet MS"/>
          <w:lang w:val="en-GB"/>
        </w:rPr>
        <w:t>municipalities</w:t>
      </w:r>
      <w:r w:rsidRPr="00E237B2">
        <w:rPr>
          <w:rFonts w:ascii="Trebuchet MS" w:hAnsi="Trebuchet MS"/>
          <w:lang w:val="en-GB"/>
        </w:rPr>
        <w:t xml:space="preserve"> of the Netherlands.</w:t>
      </w:r>
    </w:p>
    <w:p w14:paraId="52063B6E" w14:textId="77777777" w:rsidR="00E9195D" w:rsidRPr="00E237B2" w:rsidRDefault="00E9195D" w:rsidP="00E9195D">
      <w:pPr>
        <w:rPr>
          <w:rFonts w:ascii="Trebuchet MS" w:hAnsi="Trebuchet MS"/>
          <w:lang w:val="en-GB"/>
        </w:rPr>
      </w:pPr>
    </w:p>
    <w:p w14:paraId="1F047085" w14:textId="77777777" w:rsidR="00E9195D" w:rsidRPr="00E237B2" w:rsidRDefault="00E9195D" w:rsidP="00E9195D">
      <w:pPr>
        <w:rPr>
          <w:rFonts w:ascii="Trebuchet MS" w:hAnsi="Trebuchet MS"/>
          <w:lang w:val="en-GB"/>
        </w:rPr>
      </w:pPr>
      <w:r w:rsidRPr="00AB092F">
        <w:rPr>
          <w:rFonts w:ascii="Trebuchet MS" w:hAnsi="Trebuchet MS"/>
          <w:b/>
          <w:bCs/>
          <w:lang w:val="en-GB"/>
        </w:rPr>
        <w:t>In conclusion</w:t>
      </w:r>
      <w:r w:rsidRPr="00E237B2">
        <w:rPr>
          <w:rFonts w:ascii="Trebuchet MS" w:hAnsi="Trebuchet MS"/>
          <w:lang w:val="en-GB"/>
        </w:rPr>
        <w:t xml:space="preserve">, the government has taken important steps towards implementation, yet there is still a lot of progress to be made. A structural approach to the integration of all articles and principles of the Convention on all </w:t>
      </w:r>
      <w:r>
        <w:rPr>
          <w:rFonts w:ascii="Trebuchet MS" w:hAnsi="Trebuchet MS"/>
          <w:lang w:val="en-GB"/>
        </w:rPr>
        <w:t xml:space="preserve">relevant </w:t>
      </w:r>
      <w:r w:rsidRPr="00E237B2">
        <w:rPr>
          <w:rFonts w:ascii="Trebuchet MS" w:hAnsi="Trebuchet MS"/>
          <w:lang w:val="en-GB"/>
        </w:rPr>
        <w:t>government levels is crucial in this regard.</w:t>
      </w:r>
    </w:p>
    <w:p w14:paraId="085D5A0A" w14:textId="77777777" w:rsidR="00E9195D" w:rsidRPr="00E9195D" w:rsidRDefault="00E9195D" w:rsidP="00E9195D">
      <w:pPr>
        <w:rPr>
          <w:rFonts w:ascii="Trebuchet MS" w:hAnsi="Trebuchet MS" w:cs="Aptos"/>
          <w:lang w:val="en-GB"/>
        </w:rPr>
      </w:pPr>
      <w:r w:rsidRPr="00E9195D">
        <w:rPr>
          <w:rFonts w:ascii="Trebuchet MS" w:hAnsi="Trebuchet MS" w:cs="Aptos"/>
          <w:lang w:val="en-GB"/>
        </w:rPr>
        <w:t>Thank you very much for your attention. I look forward to the fruitful discussions during the Constructive Dialogue.</w:t>
      </w:r>
    </w:p>
    <w:p w14:paraId="0053DC32" w14:textId="77777777" w:rsidR="00E9195D" w:rsidRPr="00E9195D" w:rsidRDefault="00E9195D" w:rsidP="00E9195D">
      <w:pPr>
        <w:rPr>
          <w:rFonts w:ascii="Trebuchet MS" w:hAnsi="Trebuchet MS" w:cs="Aptos"/>
          <w:lang w:val="en-GB"/>
        </w:rPr>
      </w:pPr>
    </w:p>
    <w:p w14:paraId="2C33243C" w14:textId="77777777" w:rsidR="00E9195D" w:rsidRPr="00E237B2" w:rsidRDefault="00E9195D" w:rsidP="00E9195D">
      <w:pPr>
        <w:rPr>
          <w:rFonts w:ascii="Trebuchet MS" w:hAnsi="Trebuchet MS" w:cs="Calibri"/>
          <w:lang w:val="en-GB"/>
        </w:rPr>
      </w:pPr>
    </w:p>
    <w:p w14:paraId="4101E2DF" w14:textId="77777777" w:rsidR="00E9195D" w:rsidRPr="00E237B2" w:rsidRDefault="00E9195D" w:rsidP="00E9195D">
      <w:pPr>
        <w:rPr>
          <w:rFonts w:ascii="Trebuchet MS" w:hAnsi="Trebuchet MS" w:cs="Calibri"/>
          <w:lang w:val="en-GB"/>
        </w:rPr>
      </w:pPr>
    </w:p>
    <w:p w14:paraId="00695B69" w14:textId="77777777" w:rsidR="00E9195D" w:rsidRPr="00E237B2" w:rsidRDefault="00E9195D" w:rsidP="00E9195D">
      <w:pPr>
        <w:ind w:left="708" w:firstLine="708"/>
        <w:rPr>
          <w:rFonts w:ascii="Trebuchet MS" w:hAnsi="Trebuchet MS"/>
          <w:lang w:val="en-GB"/>
        </w:rPr>
      </w:pPr>
    </w:p>
    <w:p w14:paraId="4FE291A5" w14:textId="77777777" w:rsidR="007F4DD1" w:rsidRPr="00B84DDA" w:rsidRDefault="007F4DD1">
      <w:pPr>
        <w:pStyle w:val="StandaardLinks"/>
        <w:rPr>
          <w:rFonts w:ascii="Arial" w:hAnsi="Arial" w:cs="Arial"/>
          <w:noProof w:val="0"/>
          <w:lang w:val="en-US"/>
        </w:rPr>
      </w:pPr>
    </w:p>
    <w:sectPr w:rsidR="007F4DD1" w:rsidRPr="00B84DDA" w:rsidSect="00C64173">
      <w:footerReference w:type="default" r:id="rId12"/>
      <w:type w:val="continuous"/>
      <w:pgSz w:w="11907" w:h="16840" w:code="9"/>
      <w:pgMar w:top="1418" w:right="1842" w:bottom="1418" w:left="1985" w:header="708" w:footer="510" w:gutter="0"/>
      <w:cols w:space="708"/>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487F2" w14:textId="77777777" w:rsidR="00E9195D" w:rsidRDefault="00E9195D">
      <w:r>
        <w:separator/>
      </w:r>
    </w:p>
  </w:endnote>
  <w:endnote w:type="continuationSeparator" w:id="0">
    <w:p w14:paraId="7AC3E21F" w14:textId="77777777" w:rsidR="00E9195D" w:rsidRDefault="00E91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etter Gothic">
    <w:altName w:val="Calibri"/>
    <w:panose1 w:val="00000000000000000000"/>
    <w:charset w:val="00"/>
    <w:family w:val="modern"/>
    <w:notTrueType/>
    <w:pitch w:val="fixed"/>
    <w:sig w:usb0="00000003" w:usb1="00000000" w:usb2="00000000" w:usb3="00000000" w:csb0="00000001" w:csb1="00000000"/>
  </w:font>
  <w:font w:name="TheSansOffice">
    <w:altName w:val="Calibri"/>
    <w:charset w:val="00"/>
    <w:family w:val="swiss"/>
    <w:pitch w:val="variable"/>
    <w:sig w:usb0="00000003" w:usb1="0000004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D3A5F" w14:textId="77777777" w:rsidR="00C64173" w:rsidRPr="00B84DDA" w:rsidRDefault="00C64173" w:rsidP="00C64173">
    <w:pPr>
      <w:pStyle w:val="Footer"/>
      <w:tabs>
        <w:tab w:val="left" w:pos="284"/>
        <w:tab w:val="left" w:pos="2127"/>
        <w:tab w:val="left" w:pos="4111"/>
        <w:tab w:val="left" w:pos="6237"/>
        <w:tab w:val="right" w:pos="7938"/>
      </w:tabs>
      <w:ind w:right="-142"/>
      <w:jc w:val="left"/>
      <w:rPr>
        <w:rFonts w:ascii="Arial" w:hAnsi="Arial" w:cs="Arial"/>
        <w:sz w:val="16"/>
        <w:szCs w:val="16"/>
      </w:rPr>
    </w:pPr>
    <w:r w:rsidRPr="00B84DDA">
      <w:rPr>
        <w:rFonts w:ascii="Arial" w:hAnsi="Arial" w:cs="Arial"/>
        <w:sz w:val="16"/>
        <w:szCs w:val="16"/>
      </w:rPr>
      <w:tab/>
    </w:r>
    <w:r w:rsidRPr="00B84DDA">
      <w:rPr>
        <w:rFonts w:ascii="Arial" w:hAnsi="Arial" w:cs="Arial"/>
        <w:sz w:val="16"/>
        <w:szCs w:val="16"/>
      </w:rPr>
      <w:tab/>
    </w:r>
    <w:r w:rsidRPr="00B84DDA">
      <w:rPr>
        <w:rFonts w:ascii="Arial" w:hAnsi="Arial" w:cs="Arial"/>
        <w:sz w:val="16"/>
        <w:szCs w:val="16"/>
      </w:rPr>
      <w:tab/>
    </w:r>
    <w:r w:rsidRPr="00B84DDA">
      <w:rPr>
        <w:rFonts w:ascii="Arial" w:hAnsi="Arial" w:cs="Arial"/>
        <w:sz w:val="16"/>
        <w:szCs w:val="16"/>
      </w:rPr>
      <w:tab/>
    </w:r>
    <w:r w:rsidRPr="00B84DDA">
      <w:rPr>
        <w:rFonts w:ascii="Arial" w:hAnsi="Arial" w:cs="Arial"/>
        <w:sz w:val="16"/>
        <w:szCs w:val="16"/>
      </w:rPr>
      <w:tab/>
    </w:r>
    <w:r w:rsidRPr="00B84DDA">
      <w:rPr>
        <w:rFonts w:ascii="Arial" w:hAnsi="Arial" w:cs="Arial"/>
        <w:sz w:val="16"/>
        <w:szCs w:val="16"/>
      </w:rPr>
      <w:tab/>
    </w:r>
    <w:r w:rsidRPr="00B84DDA">
      <w:rPr>
        <w:rFonts w:ascii="Arial" w:hAnsi="Arial" w:cs="Arial"/>
        <w:sz w:val="16"/>
        <w:szCs w:val="16"/>
      </w:rPr>
      <w:t xml:space="preserve">Page </w:t>
    </w:r>
    <w:r w:rsidRPr="00B84DDA">
      <w:rPr>
        <w:rFonts w:ascii="Arial" w:hAnsi="Arial" w:cs="Arial"/>
        <w:bCs/>
        <w:sz w:val="16"/>
        <w:szCs w:val="16"/>
      </w:rPr>
      <w:fldChar w:fldCharType="begin"/>
    </w:r>
    <w:r w:rsidRPr="00B84DDA">
      <w:rPr>
        <w:rFonts w:ascii="Arial" w:hAnsi="Arial" w:cs="Arial"/>
        <w:bCs/>
        <w:sz w:val="16"/>
        <w:szCs w:val="16"/>
      </w:rPr>
      <w:instrText>PAGE</w:instrText>
    </w:r>
    <w:r w:rsidRPr="00B84DDA">
      <w:rPr>
        <w:rFonts w:ascii="Arial" w:hAnsi="Arial" w:cs="Arial"/>
        <w:bCs/>
        <w:sz w:val="16"/>
        <w:szCs w:val="16"/>
      </w:rPr>
      <w:fldChar w:fldCharType="separate"/>
    </w:r>
    <w:r w:rsidR="00A4311A" w:rsidRPr="00B84DDA">
      <w:rPr>
        <w:rFonts w:ascii="Arial" w:hAnsi="Arial" w:cs="Arial"/>
        <w:bCs/>
        <w:noProof/>
        <w:sz w:val="16"/>
        <w:szCs w:val="16"/>
      </w:rPr>
      <w:t>1</w:t>
    </w:r>
    <w:r w:rsidRPr="00B84DDA">
      <w:rPr>
        <w:rFonts w:ascii="Arial" w:hAnsi="Arial" w:cs="Arial"/>
        <w:bCs/>
        <w:sz w:val="16"/>
        <w:szCs w:val="16"/>
      </w:rPr>
      <w:fldChar w:fldCharType="end"/>
    </w:r>
    <w:r w:rsidRPr="00B84DDA">
      <w:rPr>
        <w:rFonts w:ascii="Arial" w:hAnsi="Arial" w:cs="Arial"/>
        <w:sz w:val="16"/>
        <w:szCs w:val="16"/>
      </w:rPr>
      <w:t xml:space="preserve"> of </w:t>
    </w:r>
    <w:r w:rsidRPr="00B84DDA">
      <w:rPr>
        <w:rFonts w:ascii="Arial" w:hAnsi="Arial" w:cs="Arial"/>
        <w:bCs/>
        <w:sz w:val="16"/>
        <w:szCs w:val="16"/>
      </w:rPr>
      <w:fldChar w:fldCharType="begin"/>
    </w:r>
    <w:r w:rsidRPr="00B84DDA">
      <w:rPr>
        <w:rFonts w:ascii="Arial" w:hAnsi="Arial" w:cs="Arial"/>
        <w:bCs/>
        <w:sz w:val="16"/>
        <w:szCs w:val="16"/>
      </w:rPr>
      <w:instrText>NUMPAGES</w:instrText>
    </w:r>
    <w:r w:rsidRPr="00B84DDA">
      <w:rPr>
        <w:rFonts w:ascii="Arial" w:hAnsi="Arial" w:cs="Arial"/>
        <w:bCs/>
        <w:sz w:val="16"/>
        <w:szCs w:val="16"/>
      </w:rPr>
      <w:fldChar w:fldCharType="separate"/>
    </w:r>
    <w:r w:rsidR="00A4311A" w:rsidRPr="00B84DDA">
      <w:rPr>
        <w:rFonts w:ascii="Arial" w:hAnsi="Arial" w:cs="Arial"/>
        <w:bCs/>
        <w:noProof/>
        <w:sz w:val="16"/>
        <w:szCs w:val="16"/>
      </w:rPr>
      <w:t>1</w:t>
    </w:r>
    <w:r w:rsidRPr="00B84DDA">
      <w:rPr>
        <w:rFonts w:ascii="Arial" w:hAnsi="Arial" w:cs="Arial"/>
        <w:bCs/>
        <w:sz w:val="16"/>
        <w:szCs w:val="16"/>
      </w:rPr>
      <w:fldChar w:fldCharType="end"/>
    </w:r>
  </w:p>
  <w:p w14:paraId="61C53503" w14:textId="77777777" w:rsidR="00C64173" w:rsidRPr="00B84DDA" w:rsidRDefault="00C64173" w:rsidP="00C64173">
    <w:pPr>
      <w:pStyle w:val="Footer"/>
      <w:tabs>
        <w:tab w:val="left" w:pos="284"/>
        <w:tab w:val="left" w:pos="2127"/>
        <w:tab w:val="left" w:pos="4111"/>
        <w:tab w:val="left" w:pos="6237"/>
      </w:tabs>
      <w:ind w:right="-142"/>
      <w:jc w:val="left"/>
      <w:rPr>
        <w:rFonts w:ascii="Arial" w:hAnsi="Arial" w:cs="Arial"/>
        <w:color w:val="A6A6A6"/>
        <w:sz w:val="16"/>
        <w:szCs w:val="16"/>
      </w:rPr>
    </w:pPr>
  </w:p>
  <w:p w14:paraId="658FA082" w14:textId="77777777" w:rsidR="00C64173" w:rsidRPr="00B84DDA" w:rsidRDefault="00C64173">
    <w:pPr>
      <w:pStyle w:val="Foote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29384" w14:textId="77777777" w:rsidR="00C64173" w:rsidRDefault="00C64173" w:rsidP="00C64173">
    <w:pPr>
      <w:pStyle w:val="Footer"/>
      <w:tabs>
        <w:tab w:val="left" w:pos="284"/>
        <w:tab w:val="left" w:pos="2127"/>
        <w:tab w:val="left" w:pos="4111"/>
        <w:tab w:val="left" w:pos="6237"/>
        <w:tab w:val="right" w:pos="7938"/>
      </w:tabs>
      <w:ind w:right="-142"/>
      <w:jc w:val="left"/>
      <w:rPr>
        <w:rFonts w:ascii="Trebuchet MS" w:hAnsi="Trebuchet MS"/>
        <w:bCs/>
        <w:sz w:val="16"/>
        <w:szCs w:val="16"/>
      </w:rPr>
    </w:pPr>
    <w:r>
      <w:rPr>
        <w:rFonts w:ascii="Trebuchet MS" w:hAnsi="Trebuchet MS"/>
        <w:sz w:val="16"/>
        <w:szCs w:val="16"/>
      </w:rPr>
      <w:tab/>
    </w:r>
    <w:r>
      <w:rPr>
        <w:rFonts w:ascii="Trebuchet MS" w:hAnsi="Trebuchet MS"/>
        <w:sz w:val="16"/>
        <w:szCs w:val="16"/>
      </w:rPr>
      <w:tab/>
    </w:r>
    <w:r>
      <w:rPr>
        <w:rFonts w:ascii="Trebuchet MS" w:hAnsi="Trebuchet MS"/>
        <w:sz w:val="16"/>
        <w:szCs w:val="16"/>
      </w:rPr>
      <w:tab/>
    </w:r>
    <w:r>
      <w:rPr>
        <w:rFonts w:ascii="Trebuchet MS" w:hAnsi="Trebuchet MS"/>
        <w:sz w:val="16"/>
        <w:szCs w:val="16"/>
      </w:rPr>
      <w:tab/>
    </w:r>
    <w:r>
      <w:rPr>
        <w:rFonts w:ascii="Trebuchet MS" w:hAnsi="Trebuchet MS"/>
        <w:sz w:val="16"/>
        <w:szCs w:val="16"/>
      </w:rPr>
      <w:tab/>
    </w:r>
    <w:r>
      <w:rPr>
        <w:rFonts w:ascii="Trebuchet MS" w:hAnsi="Trebuchet MS"/>
        <w:sz w:val="16"/>
        <w:szCs w:val="16"/>
      </w:rPr>
      <w:tab/>
    </w:r>
    <w:r w:rsidRPr="00837FA5">
      <w:rPr>
        <w:rFonts w:ascii="Trebuchet MS" w:hAnsi="Trebuchet MS"/>
        <w:sz w:val="16"/>
        <w:szCs w:val="16"/>
      </w:rPr>
      <w:t>Pag</w:t>
    </w:r>
    <w:r>
      <w:rPr>
        <w:rFonts w:ascii="Trebuchet MS" w:hAnsi="Trebuchet MS"/>
        <w:sz w:val="16"/>
        <w:szCs w:val="16"/>
      </w:rPr>
      <w:t>e</w:t>
    </w:r>
    <w:r w:rsidRPr="00837FA5">
      <w:rPr>
        <w:rFonts w:ascii="Trebuchet MS" w:hAnsi="Trebuchet MS"/>
        <w:sz w:val="16"/>
        <w:szCs w:val="16"/>
      </w:rPr>
      <w:t xml:space="preserve"> </w:t>
    </w:r>
    <w:r w:rsidRPr="00837FA5">
      <w:rPr>
        <w:rFonts w:ascii="Trebuchet MS" w:hAnsi="Trebuchet MS"/>
        <w:bCs/>
        <w:sz w:val="16"/>
        <w:szCs w:val="16"/>
      </w:rPr>
      <w:fldChar w:fldCharType="begin"/>
    </w:r>
    <w:r w:rsidRPr="00837FA5">
      <w:rPr>
        <w:rFonts w:ascii="Trebuchet MS" w:hAnsi="Trebuchet MS"/>
        <w:bCs/>
        <w:sz w:val="16"/>
        <w:szCs w:val="16"/>
      </w:rPr>
      <w:instrText>PAGE</w:instrText>
    </w:r>
    <w:r w:rsidRPr="00837FA5">
      <w:rPr>
        <w:rFonts w:ascii="Trebuchet MS" w:hAnsi="Trebuchet MS"/>
        <w:bCs/>
        <w:sz w:val="16"/>
        <w:szCs w:val="16"/>
      </w:rPr>
      <w:fldChar w:fldCharType="separate"/>
    </w:r>
    <w:r w:rsidR="007F4DD1">
      <w:rPr>
        <w:rFonts w:ascii="Trebuchet MS" w:hAnsi="Trebuchet MS"/>
        <w:bCs/>
        <w:noProof/>
        <w:sz w:val="16"/>
        <w:szCs w:val="16"/>
      </w:rPr>
      <w:t>3</w:t>
    </w:r>
    <w:r w:rsidRPr="00837FA5">
      <w:rPr>
        <w:rFonts w:ascii="Trebuchet MS" w:hAnsi="Trebuchet MS"/>
        <w:bCs/>
        <w:sz w:val="16"/>
        <w:szCs w:val="16"/>
      </w:rPr>
      <w:fldChar w:fldCharType="end"/>
    </w:r>
    <w:r>
      <w:rPr>
        <w:rFonts w:ascii="Trebuchet MS" w:hAnsi="Trebuchet MS"/>
        <w:sz w:val="16"/>
        <w:szCs w:val="16"/>
      </w:rPr>
      <w:t xml:space="preserve"> of</w:t>
    </w:r>
    <w:r w:rsidRPr="00837FA5">
      <w:rPr>
        <w:rFonts w:ascii="Trebuchet MS" w:hAnsi="Trebuchet MS"/>
        <w:sz w:val="16"/>
        <w:szCs w:val="16"/>
      </w:rPr>
      <w:t xml:space="preserve"> </w:t>
    </w:r>
    <w:r w:rsidRPr="00837FA5">
      <w:rPr>
        <w:rFonts w:ascii="Trebuchet MS" w:hAnsi="Trebuchet MS"/>
        <w:bCs/>
        <w:sz w:val="16"/>
        <w:szCs w:val="16"/>
      </w:rPr>
      <w:fldChar w:fldCharType="begin"/>
    </w:r>
    <w:r w:rsidRPr="00837FA5">
      <w:rPr>
        <w:rFonts w:ascii="Trebuchet MS" w:hAnsi="Trebuchet MS"/>
        <w:bCs/>
        <w:sz w:val="16"/>
        <w:szCs w:val="16"/>
      </w:rPr>
      <w:instrText>NUMPAGES</w:instrText>
    </w:r>
    <w:r w:rsidRPr="00837FA5">
      <w:rPr>
        <w:rFonts w:ascii="Trebuchet MS" w:hAnsi="Trebuchet MS"/>
        <w:bCs/>
        <w:sz w:val="16"/>
        <w:szCs w:val="16"/>
      </w:rPr>
      <w:fldChar w:fldCharType="separate"/>
    </w:r>
    <w:r w:rsidR="007F4DD1">
      <w:rPr>
        <w:rFonts w:ascii="Trebuchet MS" w:hAnsi="Trebuchet MS"/>
        <w:bCs/>
        <w:noProof/>
        <w:sz w:val="16"/>
        <w:szCs w:val="16"/>
      </w:rPr>
      <w:t>3</w:t>
    </w:r>
    <w:r w:rsidRPr="00837FA5">
      <w:rPr>
        <w:rFonts w:ascii="Trebuchet MS" w:hAnsi="Trebuchet MS"/>
        <w:bCs/>
        <w:sz w:val="16"/>
        <w:szCs w:val="16"/>
      </w:rPr>
      <w:fldChar w:fldCharType="end"/>
    </w:r>
  </w:p>
  <w:p w14:paraId="5851F323" w14:textId="77777777" w:rsidR="00C64173" w:rsidRDefault="00C64173" w:rsidP="00C64173">
    <w:pPr>
      <w:pStyle w:val="Footer"/>
      <w:tabs>
        <w:tab w:val="left" w:pos="284"/>
        <w:tab w:val="left" w:pos="2127"/>
        <w:tab w:val="left" w:pos="4111"/>
        <w:tab w:val="left" w:pos="6237"/>
        <w:tab w:val="right" w:pos="7938"/>
      </w:tabs>
      <w:ind w:right="-142"/>
      <w:jc w:val="left"/>
      <w:rPr>
        <w:rFonts w:ascii="Trebuchet MS" w:hAnsi="Trebuchet MS"/>
        <w:bCs/>
        <w:sz w:val="16"/>
        <w:szCs w:val="16"/>
      </w:rPr>
    </w:pPr>
  </w:p>
  <w:p w14:paraId="5AE96ACB" w14:textId="77777777" w:rsidR="00C64173" w:rsidRDefault="00C64173" w:rsidP="00C64173">
    <w:pPr>
      <w:pStyle w:val="Footer"/>
      <w:tabs>
        <w:tab w:val="left" w:pos="284"/>
        <w:tab w:val="left" w:pos="2127"/>
        <w:tab w:val="left" w:pos="4111"/>
        <w:tab w:val="left" w:pos="6237"/>
        <w:tab w:val="right" w:pos="7938"/>
      </w:tabs>
      <w:ind w:right="-142"/>
      <w:jc w:val="left"/>
      <w:rPr>
        <w:rFonts w:ascii="Trebuchet MS" w:hAnsi="Trebuchet MS"/>
        <w:bCs/>
        <w:sz w:val="16"/>
        <w:szCs w:val="16"/>
      </w:rPr>
    </w:pPr>
  </w:p>
  <w:p w14:paraId="47B2C8DC" w14:textId="77777777" w:rsidR="00C64173" w:rsidRDefault="00C64173" w:rsidP="00C64173">
    <w:pPr>
      <w:pStyle w:val="Footer"/>
      <w:tabs>
        <w:tab w:val="left" w:pos="284"/>
        <w:tab w:val="left" w:pos="2127"/>
        <w:tab w:val="left" w:pos="4111"/>
        <w:tab w:val="left" w:pos="6237"/>
        <w:tab w:val="right" w:pos="7938"/>
      </w:tabs>
      <w:ind w:right="-142"/>
      <w:jc w:val="left"/>
      <w:rPr>
        <w:rFonts w:ascii="Trebuchet MS" w:hAnsi="Trebuchet MS" w:cs="Arial"/>
        <w:sz w:val="16"/>
        <w:szCs w:val="16"/>
      </w:rPr>
    </w:pPr>
  </w:p>
  <w:p w14:paraId="30D074F7" w14:textId="77777777" w:rsidR="00C64173" w:rsidRDefault="00C641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8F6AC" w14:textId="77777777" w:rsidR="00E9195D" w:rsidRDefault="00E9195D">
      <w:r>
        <w:separator/>
      </w:r>
    </w:p>
  </w:footnote>
  <w:footnote w:type="continuationSeparator" w:id="0">
    <w:p w14:paraId="5CD45E53" w14:textId="77777777" w:rsidR="00E9195D" w:rsidRDefault="00E919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01EAC" w14:textId="5C3064EE" w:rsidR="001C7231" w:rsidRDefault="00E9195D">
    <w:pPr>
      <w:pStyle w:val="Header"/>
    </w:pPr>
    <w:r>
      <w:rPr>
        <w:noProof/>
      </w:rPr>
      <w:drawing>
        <wp:anchor distT="0" distB="0" distL="114300" distR="114300" simplePos="0" relativeHeight="251657728" behindDoc="0" locked="0" layoutInCell="1" allowOverlap="1" wp14:anchorId="5604E76E" wp14:editId="20724E3E">
          <wp:simplePos x="0" y="0"/>
          <wp:positionH relativeFrom="column">
            <wp:posOffset>3761740</wp:posOffset>
          </wp:positionH>
          <wp:positionV relativeFrom="paragraph">
            <wp:posOffset>-449580</wp:posOffset>
          </wp:positionV>
          <wp:extent cx="2005330" cy="1367790"/>
          <wp:effectExtent l="0" t="0" r="0" b="0"/>
          <wp:wrapSquare wrapText="bothSides"/>
          <wp:docPr id="30" name="Afbeelding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5330"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133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201D4B"/>
    <w:multiLevelType w:val="singleLevel"/>
    <w:tmpl w:val="04130001"/>
    <w:lvl w:ilvl="0">
      <w:start w:val="3555"/>
      <w:numFmt w:val="bullet"/>
      <w:lvlText w:val=""/>
      <w:lvlJc w:val="left"/>
      <w:pPr>
        <w:tabs>
          <w:tab w:val="num" w:pos="360"/>
        </w:tabs>
        <w:ind w:left="360" w:hanging="360"/>
      </w:pPr>
      <w:rPr>
        <w:rFonts w:ascii="Symbol" w:hAnsi="Symbol" w:hint="default"/>
      </w:rPr>
    </w:lvl>
  </w:abstractNum>
  <w:abstractNum w:abstractNumId="2" w15:restartNumberingAfterBreak="0">
    <w:nsid w:val="20465CA0"/>
    <w:multiLevelType w:val="singleLevel"/>
    <w:tmpl w:val="04130015"/>
    <w:lvl w:ilvl="0">
      <w:start w:val="1"/>
      <w:numFmt w:val="upperLetter"/>
      <w:lvlText w:val="%1."/>
      <w:lvlJc w:val="left"/>
      <w:pPr>
        <w:tabs>
          <w:tab w:val="num" w:pos="360"/>
        </w:tabs>
        <w:ind w:left="360" w:hanging="360"/>
      </w:pPr>
      <w:rPr>
        <w:rFonts w:hint="default"/>
      </w:rPr>
    </w:lvl>
  </w:abstractNum>
  <w:abstractNum w:abstractNumId="3" w15:restartNumberingAfterBreak="0">
    <w:nsid w:val="38F602A0"/>
    <w:multiLevelType w:val="singleLevel"/>
    <w:tmpl w:val="04130001"/>
    <w:lvl w:ilvl="0">
      <w:start w:val="7200"/>
      <w:numFmt w:val="bullet"/>
      <w:lvlText w:val=""/>
      <w:lvlJc w:val="left"/>
      <w:pPr>
        <w:tabs>
          <w:tab w:val="num" w:pos="360"/>
        </w:tabs>
        <w:ind w:left="360" w:hanging="360"/>
      </w:pPr>
      <w:rPr>
        <w:rFonts w:ascii="Symbol" w:hAnsi="Symbol" w:hint="default"/>
      </w:rPr>
    </w:lvl>
  </w:abstractNum>
  <w:num w:numId="1" w16cid:durableId="1922595192">
    <w:abstractNumId w:val="3"/>
  </w:num>
  <w:num w:numId="2" w16cid:durableId="1292442254">
    <w:abstractNumId w:val="1"/>
  </w:num>
  <w:num w:numId="3" w16cid:durableId="2009668517">
    <w:abstractNumId w:val="2"/>
  </w:num>
  <w:num w:numId="4" w16cid:durableId="1245072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95D"/>
    <w:rsid w:val="00055E48"/>
    <w:rsid w:val="001C7231"/>
    <w:rsid w:val="002F6986"/>
    <w:rsid w:val="0032237A"/>
    <w:rsid w:val="00386666"/>
    <w:rsid w:val="00441579"/>
    <w:rsid w:val="00445DC1"/>
    <w:rsid w:val="004F6047"/>
    <w:rsid w:val="00591EAD"/>
    <w:rsid w:val="00594D07"/>
    <w:rsid w:val="005E5B25"/>
    <w:rsid w:val="0073375F"/>
    <w:rsid w:val="007718F2"/>
    <w:rsid w:val="007F4DD1"/>
    <w:rsid w:val="00837776"/>
    <w:rsid w:val="009224DD"/>
    <w:rsid w:val="009A5E85"/>
    <w:rsid w:val="009F5019"/>
    <w:rsid w:val="00A4311A"/>
    <w:rsid w:val="00B42DE1"/>
    <w:rsid w:val="00B56908"/>
    <w:rsid w:val="00B720B4"/>
    <w:rsid w:val="00B84DDA"/>
    <w:rsid w:val="00BD5BD7"/>
    <w:rsid w:val="00C64173"/>
    <w:rsid w:val="00CF0E0F"/>
    <w:rsid w:val="00DB5F33"/>
    <w:rsid w:val="00E23A78"/>
    <w:rsid w:val="00E60F4F"/>
    <w:rsid w:val="00E90E98"/>
    <w:rsid w:val="00E9195D"/>
    <w:rsid w:val="00EB2251"/>
    <w:rsid w:val="00EC5763"/>
    <w:rsid w:val="00EF01B3"/>
    <w:rsid w:val="00F451A9"/>
    <w:rsid w:val="00FA2A81"/>
    <w:rsid w:val="00FA5066"/>
    <w:rsid w:val="00FA64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C12885"/>
  <w15:chartTrackingRefBased/>
  <w15:docId w15:val="{487357DD-D06C-4DB5-9CA6-965736D1A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sz w:val="24"/>
      <w:lang w:eastAsia="en-US"/>
    </w:rPr>
  </w:style>
  <w:style w:type="paragraph" w:styleId="Heading1">
    <w:name w:val="heading 1"/>
    <w:basedOn w:val="Normal"/>
    <w:next w:val="Normal"/>
    <w:qFormat/>
    <w:pPr>
      <w:keepNext/>
      <w:widowControl w:val="0"/>
      <w:tabs>
        <w:tab w:val="left" w:pos="3402"/>
        <w:tab w:val="left" w:pos="6804"/>
        <w:tab w:val="left" w:pos="8222"/>
      </w:tabs>
      <w:outlineLvl w:val="0"/>
    </w:pPr>
    <w:rPr>
      <w:rFonts w:ascii="Letter Gothic" w:hAnsi="Letter Gothic"/>
      <w:snapToGrid w:val="0"/>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36"/>
        <w:tab w:val="right" w:pos="9072"/>
      </w:tabs>
    </w:pPr>
  </w:style>
  <w:style w:type="paragraph" w:styleId="Footer">
    <w:name w:val="footer"/>
    <w:basedOn w:val="Normal"/>
    <w:link w:val="FooterChar"/>
    <w:uiPriority w:val="99"/>
    <w:pPr>
      <w:tabs>
        <w:tab w:val="center" w:pos="4536"/>
        <w:tab w:val="right" w:pos="9072"/>
      </w:tabs>
      <w:jc w:val="center"/>
    </w:pPr>
  </w:style>
  <w:style w:type="character" w:styleId="PageNumber">
    <w:name w:val="page number"/>
    <w:basedOn w:val="DefaultParagraphFont"/>
  </w:style>
  <w:style w:type="paragraph" w:customStyle="1" w:styleId="StandaardLinks">
    <w:name w:val="StandaardLinks"/>
    <w:basedOn w:val="Normal"/>
    <w:pPr>
      <w:widowControl w:val="0"/>
      <w:jc w:val="left"/>
    </w:pPr>
    <w:rPr>
      <w:rFonts w:ascii="TheSansOffice" w:hAnsi="TheSansOffice"/>
      <w:noProof/>
      <w:snapToGrid w:val="0"/>
      <w:sz w:val="22"/>
    </w:rPr>
  </w:style>
  <w:style w:type="paragraph" w:customStyle="1" w:styleId="Adres">
    <w:name w:val="Adres"/>
    <w:basedOn w:val="Normal"/>
    <w:rPr>
      <w:rFonts w:ascii="Arial" w:hAnsi="Arial"/>
      <w:sz w:val="16"/>
    </w:rPr>
  </w:style>
  <w:style w:type="paragraph" w:customStyle="1" w:styleId="Kenmerken">
    <w:name w:val="Kenmerken"/>
    <w:basedOn w:val="Normal"/>
    <w:pPr>
      <w:widowControl w:val="0"/>
      <w:tabs>
        <w:tab w:val="left" w:pos="3402"/>
        <w:tab w:val="left" w:pos="6804"/>
        <w:tab w:val="left" w:pos="8222"/>
      </w:tabs>
    </w:pPr>
    <w:rPr>
      <w:rFonts w:ascii="Arial" w:hAnsi="Arial"/>
      <w:snapToGrid w:val="0"/>
      <w:sz w:val="16"/>
      <w:lang w:eastAsia="nl-NL"/>
    </w:rPr>
  </w:style>
  <w:style w:type="paragraph" w:styleId="BalloonText">
    <w:name w:val="Balloon Text"/>
    <w:basedOn w:val="Normal"/>
    <w:semiHidden/>
    <w:rsid w:val="00445DC1"/>
    <w:rPr>
      <w:rFonts w:ascii="Tahoma" w:hAnsi="Tahoma" w:cs="Tahoma"/>
      <w:sz w:val="16"/>
      <w:szCs w:val="16"/>
    </w:rPr>
  </w:style>
  <w:style w:type="character" w:customStyle="1" w:styleId="FooterChar">
    <w:name w:val="Footer Char"/>
    <w:link w:val="Footer"/>
    <w:uiPriority w:val="99"/>
    <w:rsid w:val="00C64173"/>
    <w:rPr>
      <w:sz w:val="24"/>
      <w:lang w:eastAsia="en-US"/>
    </w:rPr>
  </w:style>
  <w:style w:type="character" w:styleId="Hyperlink">
    <w:name w:val="Hyperlink"/>
    <w:rsid w:val="00C64173"/>
    <w:rPr>
      <w:color w:val="0000FF"/>
      <w:u w:val="single"/>
    </w:rPr>
  </w:style>
  <w:style w:type="paragraph" w:customStyle="1" w:styleId="Standaard1">
    <w:name w:val="Standaard1"/>
    <w:rsid w:val="0073375F"/>
    <w:pPr>
      <w:widowControl w:val="0"/>
      <w:suppressAutoHyphens/>
    </w:pPr>
    <w:rPr>
      <w:rFonts w:ascii="Arial" w:eastAsia="SimSun" w:hAnsi="Arial" w:cs="Arial"/>
      <w:sz w:val="24"/>
      <w:szCs w:val="24"/>
      <w:lang w:val="en-US" w:eastAsia="hi-IN" w:bidi="hi-IN"/>
    </w:rPr>
  </w:style>
  <w:style w:type="paragraph" w:styleId="CommentText">
    <w:name w:val="annotation text"/>
    <w:basedOn w:val="Normal"/>
    <w:link w:val="CommentTextChar"/>
    <w:uiPriority w:val="99"/>
    <w:unhideWhenUsed/>
    <w:rsid w:val="00E9195D"/>
    <w:pPr>
      <w:spacing w:after="160"/>
      <w:jc w:val="left"/>
    </w:pPr>
    <w:rPr>
      <w:rFonts w:ascii="Aptos" w:eastAsia="Aptos" w:hAnsi="Aptos" w:cs="Arial"/>
      <w:sz w:val="20"/>
    </w:rPr>
  </w:style>
  <w:style w:type="character" w:customStyle="1" w:styleId="CommentTextChar">
    <w:name w:val="Comment Text Char"/>
    <w:basedOn w:val="DefaultParagraphFont"/>
    <w:link w:val="CommentText"/>
    <w:uiPriority w:val="99"/>
    <w:rsid w:val="00E9195D"/>
    <w:rPr>
      <w:rFonts w:ascii="Aptos" w:eastAsia="Aptos" w:hAnsi="Aptos" w:cs="Arial"/>
      <w:lang w:eastAsia="en-US"/>
    </w:rPr>
  </w:style>
  <w:style w:type="character" w:styleId="CommentReference">
    <w:name w:val="annotation reference"/>
    <w:uiPriority w:val="99"/>
    <w:unhideWhenUsed/>
    <w:rsid w:val="00E9195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30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2024-08-15T14:36:35+00:00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85452A-CB36-45DE-88CF-5ADE88BEF50E}">
  <ds:schemaRefs>
    <ds:schemaRef ds:uri="http://schemas.microsoft.com/sharepoint/v3/contenttype/forms"/>
  </ds:schemaRefs>
</ds:datastoreItem>
</file>

<file path=customXml/itemProps2.xml><?xml version="1.0" encoding="utf-8"?>
<ds:datastoreItem xmlns:ds="http://schemas.openxmlformats.org/officeDocument/2006/customXml" ds:itemID="{3ED0EDBC-5ED0-4B5A-B354-7E6884C20B7E}">
  <ds:schemaRefs>
    <ds:schemaRef ds:uri="http://purl.org/dc/dcmitype/"/>
    <ds:schemaRef ds:uri="http://purl.org/dc/term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11a6fe0c-d8de-4390-afb3-d9c7c54181f0"/>
    <ds:schemaRef ds:uri="c43d6523-f909-4250-bbe1-6bcdc0c7194c"/>
    <ds:schemaRef ds:uri="985ec44e-1bab-4c0b-9df0-6ba128686fc9"/>
    <ds:schemaRef ds:uri="http://www.w3.org/XML/1998/namespace"/>
  </ds:schemaRefs>
</ds:datastoreItem>
</file>

<file path=customXml/itemProps3.xml><?xml version="1.0" encoding="utf-8"?>
<ds:datastoreItem xmlns:ds="http://schemas.openxmlformats.org/officeDocument/2006/customXml" ds:itemID="{DB042151-543A-4A69-B4C0-3698AADA2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605</Words>
  <Characters>3452</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lpstr>
    </vt:vector>
  </TitlesOfParts>
  <Company>Ministerie van Justitie</Company>
  <LinksUpToDate>false</LinksUpToDate>
  <CharactersWithSpaces>4049</CharactersWithSpaces>
  <SharedDoc>false</SharedDoc>
  <HLinks>
    <vt:vector size="12" baseType="variant">
      <vt:variant>
        <vt:i4>2949237</vt:i4>
      </vt:variant>
      <vt:variant>
        <vt:i4>21</vt:i4>
      </vt:variant>
      <vt:variant>
        <vt:i4>0</vt:i4>
      </vt:variant>
      <vt:variant>
        <vt:i4>5</vt:i4>
      </vt:variant>
      <vt:variant>
        <vt:lpwstr>https://eur03.safelinks.protection.outlook.com/?url=http%3A%2F%2Fwww.mensenrechten.nl%2F&amp;data=05%7C01%7Cg.zorgman%40mensenrechten.nl%7C58b39cba31c8419100c308db30f70505%7C0fe554fe537344f297e77e38799c8747%7C0%7C0%7C638157609716959772%7CUnknown%7CTWFpbGZsb3d8eyJWIjoiMC4wLjAwMDAiLCJQIjoiV2luMzIiLCJBTiI6Ik1haWwiLCJXVCI6Mn0%3D%7C3000%7C%7C%7C&amp;sdata=l07p%2BVCBAbyy4pENTiqeoVAtT8KFELc6guMvdS4ujdM%3D&amp;reserved=0</vt:lpwstr>
      </vt:variant>
      <vt:variant>
        <vt:lpwstr/>
      </vt:variant>
      <vt:variant>
        <vt:i4>8323144</vt:i4>
      </vt:variant>
      <vt:variant>
        <vt:i4>18</vt:i4>
      </vt:variant>
      <vt:variant>
        <vt:i4>0</vt:i4>
      </vt:variant>
      <vt:variant>
        <vt:i4>5</vt:i4>
      </vt:variant>
      <vt:variant>
        <vt:lpwstr>mailto:info@mensenrechten.nl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Luna Vollebregt</dc:creator>
  <cp:keywords/>
  <cp:lastModifiedBy>Robert OUKO</cp:lastModifiedBy>
  <cp:revision>2</cp:revision>
  <cp:lastPrinted>2014-06-05T12:45:00Z</cp:lastPrinted>
  <dcterms:created xsi:type="dcterms:W3CDTF">2024-08-15T14:37:00Z</dcterms:created>
  <dcterms:modified xsi:type="dcterms:W3CDTF">2024-08-15T14:37:00Z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