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4F251" w14:textId="77777777" w:rsidR="00C23BF7" w:rsidRDefault="00C23BF7">
      <w:r w:rsidRPr="00C23BF7">
        <w:rPr>
          <w:noProof/>
        </w:rPr>
        <w:drawing>
          <wp:anchor distT="0" distB="0" distL="114300" distR="114300" simplePos="0" relativeHeight="251658240" behindDoc="0" locked="0" layoutInCell="1" allowOverlap="1" wp14:anchorId="7AA6410B" wp14:editId="571A29DF">
            <wp:simplePos x="0" y="0"/>
            <wp:positionH relativeFrom="column">
              <wp:posOffset>2103120</wp:posOffset>
            </wp:positionH>
            <wp:positionV relativeFrom="paragraph">
              <wp:posOffset>-294640</wp:posOffset>
            </wp:positionV>
            <wp:extent cx="1432560" cy="1432560"/>
            <wp:effectExtent l="0" t="0" r="2540" b="2540"/>
            <wp:wrapNone/>
            <wp:docPr id="160670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70991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2560" cy="1432560"/>
                    </a:xfrm>
                    <a:prstGeom prst="rect">
                      <a:avLst/>
                    </a:prstGeom>
                  </pic:spPr>
                </pic:pic>
              </a:graphicData>
            </a:graphic>
            <wp14:sizeRelH relativeFrom="page">
              <wp14:pctWidth>0</wp14:pctWidth>
            </wp14:sizeRelH>
            <wp14:sizeRelV relativeFrom="page">
              <wp14:pctHeight>0</wp14:pctHeight>
            </wp14:sizeRelV>
          </wp:anchor>
        </w:drawing>
      </w:r>
    </w:p>
    <w:p w14:paraId="74E0E218" w14:textId="77777777" w:rsidR="00C23BF7" w:rsidRDefault="00C23BF7"/>
    <w:p w14:paraId="724E964C" w14:textId="77777777" w:rsidR="00C23BF7" w:rsidRDefault="00C23BF7">
      <w:pPr>
        <w:rPr>
          <w:b/>
          <w:bCs/>
        </w:rPr>
      </w:pPr>
    </w:p>
    <w:p w14:paraId="4BE8CAE2" w14:textId="77777777" w:rsidR="00C23BF7" w:rsidRDefault="00C23BF7">
      <w:pPr>
        <w:rPr>
          <w:b/>
          <w:bCs/>
        </w:rPr>
      </w:pPr>
    </w:p>
    <w:p w14:paraId="3CBC21E2" w14:textId="77777777" w:rsidR="00C23BF7" w:rsidRDefault="00C23BF7">
      <w:pPr>
        <w:rPr>
          <w:b/>
          <w:bCs/>
        </w:rPr>
      </w:pPr>
    </w:p>
    <w:p w14:paraId="186CB684" w14:textId="77777777" w:rsidR="00C23BF7" w:rsidRDefault="00C23BF7">
      <w:pPr>
        <w:rPr>
          <w:b/>
          <w:bCs/>
        </w:rPr>
      </w:pPr>
    </w:p>
    <w:p w14:paraId="1DA2B082" w14:textId="77777777" w:rsidR="00C23BF7" w:rsidRDefault="00C23BF7">
      <w:pPr>
        <w:rPr>
          <w:b/>
          <w:bCs/>
        </w:rPr>
      </w:pPr>
    </w:p>
    <w:p w14:paraId="055A3ACE" w14:textId="77777777" w:rsidR="00C23BF7" w:rsidRDefault="00C23BF7">
      <w:pPr>
        <w:rPr>
          <w:b/>
          <w:bCs/>
        </w:rPr>
      </w:pPr>
    </w:p>
    <w:p w14:paraId="718EA090" w14:textId="6D142782" w:rsidR="00C23BF7" w:rsidRPr="007E21E0" w:rsidRDefault="00C23BF7">
      <w:pPr>
        <w:rPr>
          <w:rFonts w:ascii="Gilroy" w:hAnsi="Gilroy"/>
          <w:b/>
          <w:bCs/>
          <w:sz w:val="22"/>
          <w:szCs w:val="22"/>
        </w:rPr>
      </w:pPr>
      <w:r w:rsidRPr="007E21E0">
        <w:rPr>
          <w:rFonts w:ascii="Gilroy" w:hAnsi="Gilroy"/>
          <w:b/>
          <w:bCs/>
          <w:sz w:val="22"/>
          <w:szCs w:val="22"/>
        </w:rPr>
        <w:t xml:space="preserve">Privacy International's </w:t>
      </w:r>
      <w:r w:rsidR="00932F48">
        <w:rPr>
          <w:rFonts w:ascii="Gilroy" w:hAnsi="Gilroy"/>
          <w:b/>
          <w:bCs/>
          <w:sz w:val="22"/>
          <w:szCs w:val="22"/>
        </w:rPr>
        <w:t xml:space="preserve">submission </w:t>
      </w:r>
      <w:r w:rsidRPr="007E21E0">
        <w:rPr>
          <w:rFonts w:ascii="Gilroy" w:hAnsi="Gilroy"/>
          <w:b/>
          <w:bCs/>
          <w:sz w:val="22"/>
          <w:szCs w:val="22"/>
        </w:rPr>
        <w:t>in advance of the consideration of the United Kingdom at the 77th session of Committee on Economic, Social and Cultural Rights</w:t>
      </w:r>
    </w:p>
    <w:p w14:paraId="07B2A934" w14:textId="77777777" w:rsidR="00C23BF7" w:rsidRPr="007E21E0" w:rsidRDefault="00C23BF7">
      <w:pPr>
        <w:rPr>
          <w:rFonts w:ascii="Gilroy" w:hAnsi="Gilroy"/>
          <w:sz w:val="22"/>
          <w:szCs w:val="22"/>
        </w:rPr>
      </w:pPr>
    </w:p>
    <w:p w14:paraId="6C11F127" w14:textId="77777777" w:rsidR="00C23BF7" w:rsidRPr="007E21E0" w:rsidRDefault="00C23BF7" w:rsidP="00C23BF7">
      <w:pPr>
        <w:jc w:val="right"/>
        <w:rPr>
          <w:rFonts w:ascii="Gilroy" w:hAnsi="Gilroy"/>
          <w:sz w:val="22"/>
          <w:szCs w:val="22"/>
        </w:rPr>
      </w:pPr>
      <w:r w:rsidRPr="007E21E0">
        <w:rPr>
          <w:rFonts w:ascii="Gilroy" w:hAnsi="Gilroy"/>
          <w:sz w:val="22"/>
          <w:szCs w:val="22"/>
        </w:rPr>
        <w:t>January 2025</w:t>
      </w:r>
    </w:p>
    <w:p w14:paraId="075D4707" w14:textId="77777777" w:rsidR="00C23BF7" w:rsidRPr="007E21E0" w:rsidRDefault="00C23BF7" w:rsidP="00C23BF7">
      <w:pPr>
        <w:jc w:val="right"/>
        <w:rPr>
          <w:rFonts w:ascii="Gilroy" w:hAnsi="Gilroy"/>
          <w:sz w:val="22"/>
          <w:szCs w:val="22"/>
        </w:rPr>
      </w:pPr>
    </w:p>
    <w:p w14:paraId="207A93B6" w14:textId="77777777" w:rsidR="00C23BF7" w:rsidRPr="007E21E0" w:rsidRDefault="00C23BF7" w:rsidP="00C23BF7">
      <w:pPr>
        <w:rPr>
          <w:rFonts w:ascii="Gilroy" w:hAnsi="Gilroy"/>
          <w:b/>
          <w:bCs/>
          <w:sz w:val="22"/>
          <w:szCs w:val="22"/>
        </w:rPr>
      </w:pPr>
      <w:r w:rsidRPr="007E21E0">
        <w:rPr>
          <w:rFonts w:ascii="Gilroy" w:hAnsi="Gilroy"/>
          <w:b/>
          <w:bCs/>
          <w:sz w:val="22"/>
          <w:szCs w:val="22"/>
        </w:rPr>
        <w:t>Introduction</w:t>
      </w:r>
    </w:p>
    <w:p w14:paraId="1981817D" w14:textId="77777777" w:rsidR="00C23BF7" w:rsidRPr="007E21E0" w:rsidRDefault="00C23BF7" w:rsidP="00C23BF7">
      <w:pPr>
        <w:rPr>
          <w:rFonts w:ascii="Gilroy" w:hAnsi="Gilroy"/>
          <w:sz w:val="22"/>
          <w:szCs w:val="22"/>
        </w:rPr>
      </w:pPr>
    </w:p>
    <w:p w14:paraId="1851601F" w14:textId="1D3FD648" w:rsidR="00C23BF7" w:rsidRPr="007E21E0" w:rsidRDefault="00C23BF7" w:rsidP="00C23BF7">
      <w:pPr>
        <w:rPr>
          <w:rFonts w:ascii="Gilroy" w:hAnsi="Gilroy"/>
          <w:sz w:val="22"/>
          <w:szCs w:val="22"/>
        </w:rPr>
      </w:pPr>
      <w:r w:rsidRPr="007E21E0">
        <w:rPr>
          <w:rFonts w:ascii="Gilroy" w:hAnsi="Gilroy"/>
          <w:sz w:val="22"/>
          <w:szCs w:val="22"/>
        </w:rPr>
        <w:t>This submission is ahead of the 77th Session of the Committee on Economic Social and Cultural Rights that will take place between 10</w:t>
      </w:r>
      <w:r w:rsidR="00932F48">
        <w:rPr>
          <w:rFonts w:ascii="Gilroy" w:hAnsi="Gilroy"/>
          <w:sz w:val="22"/>
          <w:szCs w:val="22"/>
        </w:rPr>
        <w:t xml:space="preserve"> and </w:t>
      </w:r>
      <w:r w:rsidRPr="007E21E0">
        <w:rPr>
          <w:rFonts w:ascii="Gilroy" w:hAnsi="Gilroy"/>
          <w:sz w:val="22"/>
          <w:szCs w:val="22"/>
        </w:rPr>
        <w:t>28 Feb</w:t>
      </w:r>
      <w:r w:rsidR="00932F48">
        <w:rPr>
          <w:rFonts w:ascii="Gilroy" w:hAnsi="Gilroy"/>
          <w:sz w:val="22"/>
          <w:szCs w:val="22"/>
        </w:rPr>
        <w:t>ruary</w:t>
      </w:r>
      <w:r w:rsidRPr="007E21E0">
        <w:rPr>
          <w:rFonts w:ascii="Gilroy" w:hAnsi="Gilroy"/>
          <w:sz w:val="22"/>
          <w:szCs w:val="22"/>
        </w:rPr>
        <w:t xml:space="preserve"> 2025 in relation to the</w:t>
      </w:r>
      <w:r w:rsidR="00932F48">
        <w:rPr>
          <w:rFonts w:ascii="Gilroy" w:hAnsi="Gilroy"/>
          <w:sz w:val="22"/>
          <w:szCs w:val="22"/>
        </w:rPr>
        <w:t xml:space="preserve"> consideration of the</w:t>
      </w:r>
      <w:r w:rsidRPr="007E21E0">
        <w:rPr>
          <w:rFonts w:ascii="Gilroy" w:hAnsi="Gilroy"/>
          <w:sz w:val="22"/>
          <w:szCs w:val="22"/>
        </w:rPr>
        <w:t xml:space="preserve"> </w:t>
      </w:r>
      <w:r w:rsidR="00932F48" w:rsidRPr="00932F48">
        <w:rPr>
          <w:rFonts w:ascii="Gilroy" w:hAnsi="Gilroy"/>
          <w:sz w:val="22"/>
          <w:szCs w:val="22"/>
          <w:lang w:val="en-US"/>
        </w:rPr>
        <w:t>the United Kingdom of Great Britain and Northern Ireland’s</w:t>
      </w:r>
      <w:r w:rsidRPr="007E21E0">
        <w:rPr>
          <w:rFonts w:ascii="Gilroy" w:hAnsi="Gilroy"/>
          <w:sz w:val="22"/>
          <w:szCs w:val="22"/>
        </w:rPr>
        <w:t xml:space="preserve"> compliance with the International Covenant on Economic, Social and Cultural Rights</w:t>
      </w:r>
      <w:r w:rsidR="00B1621D">
        <w:rPr>
          <w:rFonts w:ascii="Gilroy" w:hAnsi="Gilroy"/>
          <w:sz w:val="22"/>
          <w:szCs w:val="22"/>
        </w:rPr>
        <w:t xml:space="preserve"> (ICESCR)</w:t>
      </w:r>
      <w:r w:rsidRPr="007E21E0">
        <w:rPr>
          <w:rFonts w:ascii="Gilroy" w:hAnsi="Gilroy"/>
          <w:sz w:val="22"/>
          <w:szCs w:val="22"/>
        </w:rPr>
        <w:t>.</w:t>
      </w:r>
    </w:p>
    <w:p w14:paraId="04E13239" w14:textId="77777777" w:rsidR="00C23BF7" w:rsidRPr="007E21E0" w:rsidRDefault="00C23BF7" w:rsidP="00C23BF7">
      <w:pPr>
        <w:rPr>
          <w:rFonts w:ascii="Gilroy" w:hAnsi="Gilroy"/>
          <w:sz w:val="22"/>
          <w:szCs w:val="22"/>
        </w:rPr>
      </w:pPr>
    </w:p>
    <w:p w14:paraId="4E506795" w14:textId="77777777" w:rsidR="00C23BF7" w:rsidRPr="007E21E0" w:rsidRDefault="00C23BF7" w:rsidP="00C23BF7">
      <w:pPr>
        <w:rPr>
          <w:rFonts w:ascii="Gilroy" w:hAnsi="Gilroy"/>
          <w:sz w:val="22"/>
          <w:szCs w:val="22"/>
        </w:rPr>
      </w:pPr>
      <w:r w:rsidRPr="007E21E0">
        <w:rPr>
          <w:rFonts w:ascii="Gilroy" w:hAnsi="Gilroy"/>
          <w:sz w:val="22"/>
          <w:szCs w:val="22"/>
        </w:rPr>
        <w:t>Privacy International (PI) is a global advocacy and campaigning group that works at the intersection of technology and human rights. PI campaigns against companies and governments who exploit our data and technologies. We expose harm and abuses, mobilise allies globally, campaign with the public for solutions, and pressure companies and governments to change.</w:t>
      </w:r>
    </w:p>
    <w:p w14:paraId="7DA2A5C7" w14:textId="77777777" w:rsidR="00C23BF7" w:rsidRPr="007E21E0" w:rsidRDefault="00C23BF7" w:rsidP="00C23BF7">
      <w:pPr>
        <w:rPr>
          <w:rFonts w:ascii="Gilroy" w:hAnsi="Gilroy"/>
          <w:sz w:val="22"/>
          <w:szCs w:val="22"/>
        </w:rPr>
      </w:pPr>
    </w:p>
    <w:p w14:paraId="63BEBDA6" w14:textId="74A181E5" w:rsidR="00C23BF7" w:rsidRPr="007E21E0" w:rsidRDefault="00C23BF7" w:rsidP="00C23BF7">
      <w:pPr>
        <w:rPr>
          <w:rFonts w:ascii="Gilroy" w:hAnsi="Gilroy"/>
          <w:sz w:val="22"/>
          <w:szCs w:val="22"/>
        </w:rPr>
      </w:pPr>
      <w:r w:rsidRPr="007E21E0">
        <w:rPr>
          <w:rFonts w:ascii="Gilroy" w:hAnsi="Gilroy"/>
          <w:sz w:val="22"/>
          <w:szCs w:val="22"/>
        </w:rPr>
        <w:t xml:space="preserve">Our submission will cover issues relating to Articles </w:t>
      </w:r>
      <w:r w:rsidR="006634A2" w:rsidRPr="007E21E0">
        <w:rPr>
          <w:rFonts w:ascii="Gilroy" w:hAnsi="Gilroy"/>
          <w:sz w:val="22"/>
          <w:szCs w:val="22"/>
        </w:rPr>
        <w:t xml:space="preserve">2, </w:t>
      </w:r>
      <w:r w:rsidRPr="007E21E0">
        <w:rPr>
          <w:rFonts w:ascii="Gilroy" w:hAnsi="Gilroy"/>
          <w:sz w:val="22"/>
          <w:szCs w:val="22"/>
        </w:rPr>
        <w:t>7, 9, 11</w:t>
      </w:r>
      <w:r w:rsidR="007B2C8A">
        <w:rPr>
          <w:rFonts w:ascii="Gilroy" w:hAnsi="Gilroy"/>
          <w:sz w:val="22"/>
          <w:szCs w:val="22"/>
        </w:rPr>
        <w:t>,</w:t>
      </w:r>
      <w:r w:rsidR="006F783A">
        <w:rPr>
          <w:rFonts w:ascii="Gilroy" w:hAnsi="Gilroy"/>
          <w:sz w:val="22"/>
          <w:szCs w:val="22"/>
        </w:rPr>
        <w:t xml:space="preserve"> </w:t>
      </w:r>
      <w:r w:rsidRPr="007E21E0">
        <w:rPr>
          <w:rFonts w:ascii="Gilroy" w:hAnsi="Gilroy"/>
          <w:sz w:val="22"/>
          <w:szCs w:val="22"/>
        </w:rPr>
        <w:t xml:space="preserve">12 </w:t>
      </w:r>
      <w:r w:rsidR="007B2C8A">
        <w:rPr>
          <w:rFonts w:ascii="Gilroy" w:hAnsi="Gilroy"/>
          <w:sz w:val="22"/>
          <w:szCs w:val="22"/>
        </w:rPr>
        <w:t xml:space="preserve">and 13 </w:t>
      </w:r>
      <w:r w:rsidRPr="007E21E0">
        <w:rPr>
          <w:rFonts w:ascii="Gilroy" w:hAnsi="Gilroy"/>
          <w:sz w:val="22"/>
          <w:szCs w:val="22"/>
        </w:rPr>
        <w:t>of ICESCR.</w:t>
      </w:r>
    </w:p>
    <w:p w14:paraId="277E7AF9" w14:textId="77777777" w:rsidR="00C23BF7" w:rsidRPr="007E21E0" w:rsidRDefault="00C23BF7" w:rsidP="00C23BF7">
      <w:pPr>
        <w:rPr>
          <w:rFonts w:ascii="Gilroy" w:hAnsi="Gilroy"/>
          <w:sz w:val="22"/>
          <w:szCs w:val="22"/>
        </w:rPr>
      </w:pPr>
    </w:p>
    <w:p w14:paraId="3A406AFD" w14:textId="3512DC97" w:rsidR="00C23BF7" w:rsidRPr="007E21E0" w:rsidRDefault="006634A2" w:rsidP="00467372">
      <w:pPr>
        <w:pStyle w:val="ListParagraph"/>
        <w:numPr>
          <w:ilvl w:val="0"/>
          <w:numId w:val="1"/>
        </w:numPr>
        <w:rPr>
          <w:rFonts w:ascii="Gilroy" w:hAnsi="Gilroy"/>
          <w:b/>
          <w:bCs/>
          <w:sz w:val="22"/>
          <w:szCs w:val="22"/>
        </w:rPr>
      </w:pPr>
      <w:r w:rsidRPr="007E21E0">
        <w:rPr>
          <w:rFonts w:ascii="Gilroy" w:hAnsi="Gilroy"/>
          <w:b/>
          <w:bCs/>
          <w:sz w:val="22"/>
          <w:szCs w:val="22"/>
        </w:rPr>
        <w:t xml:space="preserve">Surveillance of welfare fraud </w:t>
      </w:r>
      <w:r w:rsidR="00C23BF7" w:rsidRPr="007E21E0">
        <w:rPr>
          <w:rFonts w:ascii="Gilroy" w:hAnsi="Gilroy"/>
          <w:b/>
          <w:bCs/>
          <w:sz w:val="22"/>
          <w:szCs w:val="22"/>
        </w:rPr>
        <w:t>(</w:t>
      </w:r>
      <w:r w:rsidRPr="007E21E0">
        <w:rPr>
          <w:rFonts w:ascii="Gilroy" w:hAnsi="Gilroy"/>
          <w:b/>
          <w:bCs/>
          <w:sz w:val="22"/>
          <w:szCs w:val="22"/>
        </w:rPr>
        <w:t>Articles 2, 9</w:t>
      </w:r>
      <w:r w:rsidR="00456D1B">
        <w:rPr>
          <w:rFonts w:ascii="Gilroy" w:hAnsi="Gilroy"/>
          <w:b/>
          <w:bCs/>
          <w:sz w:val="22"/>
          <w:szCs w:val="22"/>
        </w:rPr>
        <w:t xml:space="preserve">, </w:t>
      </w:r>
      <w:r w:rsidRPr="007E21E0">
        <w:rPr>
          <w:rFonts w:ascii="Gilroy" w:hAnsi="Gilroy"/>
          <w:b/>
          <w:bCs/>
          <w:sz w:val="22"/>
          <w:szCs w:val="22"/>
        </w:rPr>
        <w:t>11</w:t>
      </w:r>
      <w:r w:rsidR="00456D1B">
        <w:rPr>
          <w:rFonts w:ascii="Gilroy" w:hAnsi="Gilroy"/>
          <w:b/>
          <w:bCs/>
          <w:sz w:val="22"/>
          <w:szCs w:val="22"/>
        </w:rPr>
        <w:t>)</w:t>
      </w:r>
    </w:p>
    <w:p w14:paraId="54553F28" w14:textId="77777777" w:rsidR="006634A2" w:rsidRPr="007E21E0" w:rsidRDefault="006634A2" w:rsidP="00C23BF7">
      <w:pPr>
        <w:rPr>
          <w:rFonts w:ascii="Gilroy" w:hAnsi="Gilroy"/>
          <w:b/>
          <w:bCs/>
          <w:sz w:val="22"/>
          <w:szCs w:val="22"/>
        </w:rPr>
      </w:pPr>
    </w:p>
    <w:p w14:paraId="6564B3CD" w14:textId="3DC56FFF" w:rsidR="00C23BF7" w:rsidRPr="007E21E0" w:rsidRDefault="00C23BF7" w:rsidP="00C23BF7">
      <w:pPr>
        <w:rPr>
          <w:rFonts w:ascii="Gilroy" w:hAnsi="Gilroy"/>
          <w:sz w:val="22"/>
          <w:szCs w:val="22"/>
        </w:rPr>
      </w:pPr>
      <w:r w:rsidRPr="007E21E0">
        <w:rPr>
          <w:rFonts w:ascii="Gilroy" w:hAnsi="Gilroy"/>
          <w:sz w:val="22"/>
          <w:szCs w:val="22"/>
        </w:rPr>
        <w:t>PI has documented</w:t>
      </w:r>
      <w:r w:rsidR="005C62A0">
        <w:rPr>
          <w:rFonts w:ascii="Gilroy" w:hAnsi="Gilroy"/>
          <w:sz w:val="22"/>
          <w:szCs w:val="22"/>
        </w:rPr>
        <w:t xml:space="preserve"> </w:t>
      </w:r>
      <w:r w:rsidR="006F783A">
        <w:rPr>
          <w:rFonts w:ascii="Gilroy" w:hAnsi="Gilroy"/>
          <w:sz w:val="22"/>
          <w:szCs w:val="22"/>
        </w:rPr>
        <w:t>t</w:t>
      </w:r>
      <w:r w:rsidRPr="007E21E0">
        <w:rPr>
          <w:rFonts w:ascii="Gilroy" w:hAnsi="Gilroy"/>
          <w:sz w:val="22"/>
          <w:szCs w:val="22"/>
        </w:rPr>
        <w:t xml:space="preserve">he increasing surveillance capabilities of the UK government's Department for Work and Pensions (DWP), including covert surveillance which threatens individual's access to social security, </w:t>
      </w:r>
      <w:r w:rsidR="006634A2" w:rsidRPr="007E21E0">
        <w:rPr>
          <w:rFonts w:ascii="Gilroy" w:hAnsi="Gilroy"/>
          <w:sz w:val="22"/>
          <w:szCs w:val="22"/>
        </w:rPr>
        <w:t>particularly</w:t>
      </w:r>
      <w:r w:rsidRPr="007E21E0">
        <w:rPr>
          <w:rFonts w:ascii="Gilroy" w:hAnsi="Gilroy"/>
          <w:sz w:val="22"/>
          <w:szCs w:val="22"/>
        </w:rPr>
        <w:t xml:space="preserve"> those from marginalised and vulnerable populations.</w:t>
      </w:r>
      <w:r w:rsidR="005C62A0">
        <w:rPr>
          <w:rStyle w:val="FootnoteReference"/>
          <w:rFonts w:ascii="Gilroy" w:hAnsi="Gilroy"/>
          <w:sz w:val="22"/>
          <w:szCs w:val="22"/>
        </w:rPr>
        <w:footnoteReference w:id="1"/>
      </w:r>
      <w:r w:rsidRPr="007E21E0">
        <w:rPr>
          <w:rFonts w:ascii="Gilroy" w:hAnsi="Gilroy"/>
          <w:sz w:val="22"/>
          <w:szCs w:val="22"/>
        </w:rPr>
        <w:t xml:space="preserve"> The expansion includes the use of algorithms</w:t>
      </w:r>
      <w:r w:rsidR="006634A2" w:rsidRPr="007E21E0">
        <w:rPr>
          <w:rFonts w:ascii="Gilroy" w:hAnsi="Gilroy"/>
          <w:sz w:val="22"/>
          <w:szCs w:val="22"/>
        </w:rPr>
        <w:t xml:space="preserve"> </w:t>
      </w:r>
      <w:r w:rsidRPr="007E21E0">
        <w:rPr>
          <w:rFonts w:ascii="Gilroy" w:hAnsi="Gilroy"/>
          <w:sz w:val="22"/>
          <w:szCs w:val="22"/>
        </w:rPr>
        <w:t xml:space="preserve">to scan millions of bank accounts and potentially granting access to individuals’ financial </w:t>
      </w:r>
      <w:r w:rsidR="00337E6E" w:rsidRPr="007E21E0">
        <w:rPr>
          <w:rFonts w:ascii="Gilroy" w:hAnsi="Gilroy"/>
          <w:sz w:val="22"/>
          <w:szCs w:val="22"/>
        </w:rPr>
        <w:t>information</w:t>
      </w:r>
      <w:r w:rsidR="00337E6E">
        <w:rPr>
          <w:rFonts w:ascii="Gilroy" w:hAnsi="Gilroy"/>
          <w:sz w:val="22"/>
          <w:szCs w:val="22"/>
        </w:rPr>
        <w:t xml:space="preserve"> or</w:t>
      </w:r>
      <w:r w:rsidRPr="007E21E0">
        <w:rPr>
          <w:rFonts w:ascii="Gilroy" w:hAnsi="Gilroy"/>
          <w:sz w:val="22"/>
          <w:szCs w:val="22"/>
        </w:rPr>
        <w:t xml:space="preserve"> allowing authorities to withdraw funds directly.</w:t>
      </w:r>
      <w:r w:rsidR="005C62A0">
        <w:rPr>
          <w:rStyle w:val="FootnoteReference"/>
          <w:rFonts w:ascii="Gilroy" w:hAnsi="Gilroy"/>
          <w:sz w:val="22"/>
          <w:szCs w:val="22"/>
        </w:rPr>
        <w:footnoteReference w:id="2"/>
      </w:r>
      <w:r w:rsidRPr="007E21E0">
        <w:rPr>
          <w:rFonts w:ascii="Gilroy" w:hAnsi="Gilroy"/>
          <w:sz w:val="22"/>
          <w:szCs w:val="22"/>
        </w:rPr>
        <w:t xml:space="preserve"> </w:t>
      </w:r>
      <w:r w:rsidR="00917206">
        <w:rPr>
          <w:rFonts w:ascii="Gilroy" w:hAnsi="Gilroy"/>
          <w:sz w:val="22"/>
          <w:szCs w:val="22"/>
        </w:rPr>
        <w:t xml:space="preserve">The UK government justifies the use of these powers to combat </w:t>
      </w:r>
      <w:r w:rsidRPr="007E21E0">
        <w:rPr>
          <w:rFonts w:ascii="Gilroy" w:hAnsi="Gilroy"/>
          <w:sz w:val="22"/>
          <w:szCs w:val="22"/>
        </w:rPr>
        <w:t xml:space="preserve">fraud, </w:t>
      </w:r>
      <w:r w:rsidR="00917206">
        <w:rPr>
          <w:rFonts w:ascii="Gilroy" w:hAnsi="Gilroy"/>
          <w:sz w:val="22"/>
          <w:szCs w:val="22"/>
        </w:rPr>
        <w:t xml:space="preserve">but PI believes that </w:t>
      </w:r>
      <w:r w:rsidRPr="007E21E0">
        <w:rPr>
          <w:rFonts w:ascii="Gilroy" w:hAnsi="Gilroy"/>
          <w:sz w:val="22"/>
          <w:szCs w:val="22"/>
        </w:rPr>
        <w:t xml:space="preserve">these measures </w:t>
      </w:r>
      <w:r w:rsidR="00917206">
        <w:rPr>
          <w:rFonts w:ascii="Gilroy" w:hAnsi="Gilroy"/>
          <w:sz w:val="22"/>
          <w:szCs w:val="22"/>
        </w:rPr>
        <w:t xml:space="preserve">are not </w:t>
      </w:r>
      <w:r w:rsidRPr="007E21E0">
        <w:rPr>
          <w:rFonts w:ascii="Gilroy" w:hAnsi="Gilroy"/>
          <w:sz w:val="22"/>
          <w:szCs w:val="22"/>
        </w:rPr>
        <w:t xml:space="preserve">proportionate </w:t>
      </w:r>
      <w:r w:rsidR="00917206">
        <w:rPr>
          <w:rFonts w:ascii="Gilroy" w:hAnsi="Gilroy"/>
          <w:sz w:val="22"/>
          <w:szCs w:val="22"/>
        </w:rPr>
        <w:t xml:space="preserve">and not in accordance with </w:t>
      </w:r>
      <w:r w:rsidRPr="007E21E0">
        <w:rPr>
          <w:rFonts w:ascii="Gilroy" w:hAnsi="Gilroy"/>
          <w:sz w:val="22"/>
          <w:szCs w:val="22"/>
        </w:rPr>
        <w:t>the UK's obligatio</w:t>
      </w:r>
      <w:r w:rsidR="006634A2" w:rsidRPr="007E21E0">
        <w:rPr>
          <w:rFonts w:ascii="Gilroy" w:hAnsi="Gilroy"/>
          <w:sz w:val="22"/>
          <w:szCs w:val="22"/>
        </w:rPr>
        <w:t>n</w:t>
      </w:r>
      <w:r w:rsidRPr="007E21E0">
        <w:rPr>
          <w:rFonts w:ascii="Gilroy" w:hAnsi="Gilroy"/>
          <w:sz w:val="22"/>
          <w:szCs w:val="22"/>
        </w:rPr>
        <w:t>s under</w:t>
      </w:r>
      <w:r w:rsidR="007D57F5">
        <w:rPr>
          <w:rFonts w:ascii="Gilroy" w:hAnsi="Gilroy"/>
          <w:sz w:val="22"/>
          <w:szCs w:val="22"/>
        </w:rPr>
        <w:t xml:space="preserve"> the </w:t>
      </w:r>
      <w:r w:rsidR="005C62A0">
        <w:rPr>
          <w:rFonts w:ascii="Gilroy" w:hAnsi="Gilroy"/>
          <w:sz w:val="22"/>
          <w:szCs w:val="22"/>
        </w:rPr>
        <w:t>Covenant</w:t>
      </w:r>
      <w:r w:rsidRPr="007E21E0">
        <w:rPr>
          <w:rFonts w:ascii="Gilroy" w:hAnsi="Gilroy"/>
          <w:sz w:val="22"/>
          <w:szCs w:val="22"/>
        </w:rPr>
        <w:t>.</w:t>
      </w:r>
    </w:p>
    <w:p w14:paraId="6352AA3E" w14:textId="77777777" w:rsidR="00C23BF7" w:rsidRPr="007E21E0" w:rsidRDefault="00C23BF7" w:rsidP="00C23BF7">
      <w:pPr>
        <w:rPr>
          <w:rFonts w:ascii="Gilroy" w:hAnsi="Gilroy"/>
          <w:sz w:val="22"/>
          <w:szCs w:val="22"/>
        </w:rPr>
      </w:pPr>
    </w:p>
    <w:p w14:paraId="755A0681" w14:textId="03493207" w:rsidR="00C23BF7" w:rsidRPr="007E21E0" w:rsidRDefault="00C23BF7" w:rsidP="00C23BF7">
      <w:pPr>
        <w:rPr>
          <w:rFonts w:ascii="Gilroy" w:hAnsi="Gilroy"/>
          <w:sz w:val="22"/>
          <w:szCs w:val="22"/>
        </w:rPr>
      </w:pPr>
      <w:r w:rsidRPr="007E21E0">
        <w:rPr>
          <w:rFonts w:ascii="Gilroy" w:hAnsi="Gilroy"/>
          <w:sz w:val="22"/>
          <w:szCs w:val="22"/>
        </w:rPr>
        <w:t xml:space="preserve">The reliance on technology, especially </w:t>
      </w:r>
      <w:r w:rsidR="006634A2" w:rsidRPr="007E21E0">
        <w:rPr>
          <w:rFonts w:ascii="Gilroy" w:hAnsi="Gilroy"/>
          <w:sz w:val="22"/>
          <w:szCs w:val="22"/>
        </w:rPr>
        <w:t>a</w:t>
      </w:r>
      <w:r w:rsidRPr="007E21E0">
        <w:rPr>
          <w:rFonts w:ascii="Gilroy" w:hAnsi="Gilroy"/>
          <w:sz w:val="22"/>
          <w:szCs w:val="22"/>
        </w:rPr>
        <w:t xml:space="preserve">rtificial </w:t>
      </w:r>
      <w:r w:rsidR="006634A2" w:rsidRPr="007E21E0">
        <w:rPr>
          <w:rFonts w:ascii="Gilroy" w:hAnsi="Gilroy"/>
          <w:sz w:val="22"/>
          <w:szCs w:val="22"/>
        </w:rPr>
        <w:t>i</w:t>
      </w:r>
      <w:r w:rsidRPr="007E21E0">
        <w:rPr>
          <w:rFonts w:ascii="Gilroy" w:hAnsi="Gilroy"/>
          <w:sz w:val="22"/>
          <w:szCs w:val="22"/>
        </w:rPr>
        <w:t>ntelligence</w:t>
      </w:r>
      <w:r w:rsidR="007D57F5">
        <w:rPr>
          <w:rFonts w:ascii="Gilroy" w:hAnsi="Gilroy"/>
          <w:sz w:val="22"/>
          <w:szCs w:val="22"/>
        </w:rPr>
        <w:t xml:space="preserve"> (AI)</w:t>
      </w:r>
      <w:r w:rsidRPr="007E21E0">
        <w:rPr>
          <w:rFonts w:ascii="Gilroy" w:hAnsi="Gilroy"/>
          <w:sz w:val="22"/>
          <w:szCs w:val="22"/>
        </w:rPr>
        <w:t>, for exercising these new powers is particularly concerning, as it is prone to errors and biases, and no safeguards can fully eliminate the risk of mistakes.</w:t>
      </w:r>
      <w:r w:rsidR="005C62A0">
        <w:rPr>
          <w:rStyle w:val="FootnoteReference"/>
          <w:rFonts w:ascii="Gilroy" w:hAnsi="Gilroy"/>
          <w:sz w:val="22"/>
          <w:szCs w:val="22"/>
        </w:rPr>
        <w:footnoteReference w:id="3"/>
      </w:r>
      <w:r w:rsidRPr="007E21E0">
        <w:rPr>
          <w:rFonts w:ascii="Gilroy" w:hAnsi="Gilroy"/>
          <w:sz w:val="22"/>
          <w:szCs w:val="22"/>
        </w:rPr>
        <w:t xml:space="preserve"> </w:t>
      </w:r>
      <w:r w:rsidR="00020F62">
        <w:rPr>
          <w:rFonts w:ascii="Gilroy" w:hAnsi="Gilroy"/>
          <w:sz w:val="22"/>
          <w:szCs w:val="22"/>
        </w:rPr>
        <w:t>The result of e</w:t>
      </w:r>
      <w:r w:rsidRPr="007E21E0">
        <w:rPr>
          <w:rFonts w:ascii="Gilroy" w:hAnsi="Gilroy"/>
          <w:sz w:val="22"/>
          <w:szCs w:val="22"/>
        </w:rPr>
        <w:t xml:space="preserve">rroneous investigations could unjustly withhold </w:t>
      </w:r>
      <w:r w:rsidR="006634A2" w:rsidRPr="007E21E0">
        <w:rPr>
          <w:rFonts w:ascii="Gilroy" w:hAnsi="Gilroy"/>
          <w:sz w:val="22"/>
          <w:szCs w:val="22"/>
        </w:rPr>
        <w:t xml:space="preserve">access to </w:t>
      </w:r>
      <w:r w:rsidRPr="007E21E0">
        <w:rPr>
          <w:rFonts w:ascii="Gilroy" w:hAnsi="Gilroy"/>
          <w:sz w:val="22"/>
          <w:szCs w:val="22"/>
        </w:rPr>
        <w:t xml:space="preserve">society security, leaving individuals unable to afford </w:t>
      </w:r>
      <w:r w:rsidR="00337E6E" w:rsidRPr="007E21E0">
        <w:rPr>
          <w:rFonts w:ascii="Gilroy" w:hAnsi="Gilroy"/>
          <w:sz w:val="22"/>
          <w:szCs w:val="22"/>
        </w:rPr>
        <w:lastRenderedPageBreak/>
        <w:t>necessities</w:t>
      </w:r>
      <w:r w:rsidRPr="007E21E0">
        <w:rPr>
          <w:rFonts w:ascii="Gilroy" w:hAnsi="Gilroy"/>
          <w:sz w:val="22"/>
          <w:szCs w:val="22"/>
        </w:rPr>
        <w:t>. Moreover, the lack of</w:t>
      </w:r>
      <w:r w:rsidR="006634A2" w:rsidRPr="007E21E0">
        <w:rPr>
          <w:rFonts w:ascii="Gilroy" w:hAnsi="Gilroy"/>
          <w:sz w:val="22"/>
          <w:szCs w:val="22"/>
        </w:rPr>
        <w:t xml:space="preserve"> </w:t>
      </w:r>
      <w:r w:rsidRPr="007E21E0">
        <w:rPr>
          <w:rFonts w:ascii="Gilroy" w:hAnsi="Gilroy"/>
          <w:sz w:val="22"/>
          <w:szCs w:val="22"/>
        </w:rPr>
        <w:t>transparency</w:t>
      </w:r>
      <w:r w:rsidR="006634A2" w:rsidRPr="007E21E0">
        <w:rPr>
          <w:rFonts w:ascii="Gilroy" w:hAnsi="Gilroy"/>
          <w:sz w:val="22"/>
          <w:szCs w:val="22"/>
        </w:rPr>
        <w:t xml:space="preserve"> </w:t>
      </w:r>
      <w:r w:rsidRPr="007E21E0">
        <w:rPr>
          <w:rFonts w:ascii="Gilroy" w:hAnsi="Gilroy"/>
          <w:sz w:val="22"/>
          <w:szCs w:val="22"/>
        </w:rPr>
        <w:t>in how the DWP conducts fraud investigations, particularly regarding the triggers for investigations and the thresholds for action, compounds this issue further.</w:t>
      </w:r>
      <w:r w:rsidR="006634A2" w:rsidRPr="007E21E0">
        <w:rPr>
          <w:rStyle w:val="FootnoteReference"/>
          <w:rFonts w:ascii="Gilroy" w:hAnsi="Gilroy"/>
          <w:sz w:val="22"/>
          <w:szCs w:val="22"/>
        </w:rPr>
        <w:footnoteReference w:id="4"/>
      </w:r>
    </w:p>
    <w:p w14:paraId="19B877FB" w14:textId="77777777" w:rsidR="00C23BF7" w:rsidRPr="007E21E0" w:rsidRDefault="00C23BF7" w:rsidP="00C23BF7">
      <w:pPr>
        <w:rPr>
          <w:rFonts w:ascii="Gilroy" w:hAnsi="Gilroy"/>
          <w:sz w:val="22"/>
          <w:szCs w:val="22"/>
        </w:rPr>
      </w:pPr>
    </w:p>
    <w:p w14:paraId="54DF8810" w14:textId="616796DC" w:rsidR="00C23BF7" w:rsidRPr="007E21E0" w:rsidRDefault="00C23BF7" w:rsidP="00C23BF7">
      <w:pPr>
        <w:rPr>
          <w:rFonts w:ascii="Gilroy" w:hAnsi="Gilroy"/>
          <w:sz w:val="22"/>
          <w:szCs w:val="22"/>
        </w:rPr>
      </w:pPr>
      <w:r w:rsidRPr="007E21E0">
        <w:rPr>
          <w:rFonts w:ascii="Gilroy" w:hAnsi="Gilroy"/>
          <w:sz w:val="22"/>
          <w:szCs w:val="22"/>
        </w:rPr>
        <w:t xml:space="preserve">Such </w:t>
      </w:r>
      <w:r w:rsidR="00020F62">
        <w:rPr>
          <w:rFonts w:ascii="Gilroy" w:hAnsi="Gilroy"/>
          <w:sz w:val="22"/>
          <w:szCs w:val="22"/>
        </w:rPr>
        <w:t>powers</w:t>
      </w:r>
      <w:r w:rsidR="00020F62" w:rsidRPr="007E21E0">
        <w:rPr>
          <w:rFonts w:ascii="Gilroy" w:hAnsi="Gilroy"/>
          <w:sz w:val="22"/>
          <w:szCs w:val="22"/>
        </w:rPr>
        <w:t xml:space="preserve"> </w:t>
      </w:r>
      <w:r w:rsidRPr="007E21E0">
        <w:rPr>
          <w:rFonts w:ascii="Gilroy" w:hAnsi="Gilroy"/>
          <w:sz w:val="22"/>
          <w:szCs w:val="22"/>
        </w:rPr>
        <w:t xml:space="preserve">also pose specific risks to </w:t>
      </w:r>
      <w:r w:rsidR="006634A2" w:rsidRPr="007E21E0">
        <w:rPr>
          <w:rFonts w:ascii="Gilroy" w:hAnsi="Gilroy"/>
          <w:sz w:val="22"/>
          <w:szCs w:val="22"/>
        </w:rPr>
        <w:t xml:space="preserve">marginalised </w:t>
      </w:r>
      <w:r w:rsidRPr="007E21E0">
        <w:rPr>
          <w:rFonts w:ascii="Gilroy" w:hAnsi="Gilroy"/>
          <w:sz w:val="22"/>
          <w:szCs w:val="22"/>
        </w:rPr>
        <w:t>populations such as persons with</w:t>
      </w:r>
      <w:r w:rsidR="006634A2" w:rsidRPr="007E21E0">
        <w:rPr>
          <w:rFonts w:ascii="Gilroy" w:hAnsi="Gilroy"/>
          <w:sz w:val="22"/>
          <w:szCs w:val="22"/>
        </w:rPr>
        <w:t xml:space="preserve"> </w:t>
      </w:r>
      <w:r w:rsidRPr="007E21E0">
        <w:rPr>
          <w:rFonts w:ascii="Gilroy" w:hAnsi="Gilroy"/>
          <w:sz w:val="22"/>
          <w:szCs w:val="22"/>
        </w:rPr>
        <w:t xml:space="preserve">disabilities, due to the propensity of </w:t>
      </w:r>
      <w:r w:rsidR="00020F62">
        <w:rPr>
          <w:rFonts w:ascii="Gilroy" w:hAnsi="Gilroy"/>
          <w:sz w:val="22"/>
          <w:szCs w:val="22"/>
        </w:rPr>
        <w:t xml:space="preserve">the </w:t>
      </w:r>
      <w:r w:rsidRPr="007E21E0">
        <w:rPr>
          <w:rFonts w:ascii="Gilroy" w:hAnsi="Gilroy"/>
          <w:sz w:val="22"/>
          <w:szCs w:val="22"/>
        </w:rPr>
        <w:t xml:space="preserve">computer algorithms </w:t>
      </w:r>
      <w:r w:rsidR="00020F62">
        <w:rPr>
          <w:rFonts w:ascii="Gilroy" w:hAnsi="Gilroy"/>
          <w:sz w:val="22"/>
          <w:szCs w:val="22"/>
        </w:rPr>
        <w:t xml:space="preserve">used by the DWP </w:t>
      </w:r>
      <w:r w:rsidRPr="007E21E0">
        <w:rPr>
          <w:rFonts w:ascii="Gilroy" w:hAnsi="Gilroy"/>
          <w:sz w:val="22"/>
          <w:szCs w:val="22"/>
        </w:rPr>
        <w:t>to discriminate against them.</w:t>
      </w:r>
      <w:r w:rsidR="005C62A0">
        <w:rPr>
          <w:rStyle w:val="FootnoteReference"/>
          <w:rFonts w:ascii="Gilroy" w:hAnsi="Gilroy"/>
          <w:sz w:val="22"/>
          <w:szCs w:val="22"/>
        </w:rPr>
        <w:footnoteReference w:id="5"/>
      </w:r>
      <w:r w:rsidRPr="007E21E0">
        <w:rPr>
          <w:rFonts w:ascii="Gilroy" w:hAnsi="Gilroy"/>
          <w:sz w:val="22"/>
          <w:szCs w:val="22"/>
        </w:rPr>
        <w:t xml:space="preserve"> An internal assessment</w:t>
      </w:r>
      <w:r w:rsidR="006634A2" w:rsidRPr="007E21E0">
        <w:rPr>
          <w:rFonts w:ascii="Gilroy" w:hAnsi="Gilroy"/>
          <w:sz w:val="22"/>
          <w:szCs w:val="22"/>
        </w:rPr>
        <w:t xml:space="preserve"> </w:t>
      </w:r>
      <w:r w:rsidRPr="007E21E0">
        <w:rPr>
          <w:rFonts w:ascii="Gilroy" w:hAnsi="Gilroy"/>
          <w:sz w:val="22"/>
          <w:szCs w:val="22"/>
        </w:rPr>
        <w:t>of the DWP machine-learning program</w:t>
      </w:r>
      <w:r w:rsidR="006F783A">
        <w:rPr>
          <w:rFonts w:ascii="Gilroy" w:hAnsi="Gilroy"/>
          <w:sz w:val="22"/>
          <w:szCs w:val="22"/>
        </w:rPr>
        <w:t>me</w:t>
      </w:r>
      <w:r w:rsidRPr="007E21E0">
        <w:rPr>
          <w:rFonts w:ascii="Gilroy" w:hAnsi="Gilroy"/>
          <w:sz w:val="22"/>
          <w:szCs w:val="22"/>
        </w:rPr>
        <w:t xml:space="preserve"> used to vet thousands of universal credit claims across England has revealed troubling evidence of algorithmic bias.</w:t>
      </w:r>
      <w:r w:rsidR="005C62A0">
        <w:rPr>
          <w:rStyle w:val="FootnoteReference"/>
          <w:rFonts w:ascii="Gilroy" w:hAnsi="Gilroy"/>
          <w:sz w:val="22"/>
          <w:szCs w:val="22"/>
        </w:rPr>
        <w:footnoteReference w:id="6"/>
      </w:r>
      <w:r w:rsidRPr="007E21E0">
        <w:rPr>
          <w:rFonts w:ascii="Gilroy" w:hAnsi="Gilroy"/>
          <w:sz w:val="22"/>
          <w:szCs w:val="22"/>
        </w:rPr>
        <w:t xml:space="preserve"> The assessment, disclosed through a Freedom of Information request, identified a "statistically significant outcome disparity" in how the automated system recommended fraud investigations. According to </w:t>
      </w:r>
      <w:r w:rsidR="006F783A">
        <w:rPr>
          <w:rFonts w:ascii="Gilroy" w:hAnsi="Gilroy"/>
          <w:sz w:val="22"/>
          <w:szCs w:val="22"/>
        </w:rPr>
        <w:t>T</w:t>
      </w:r>
      <w:r w:rsidRPr="007E21E0">
        <w:rPr>
          <w:rFonts w:ascii="Gilroy" w:hAnsi="Gilroy"/>
          <w:sz w:val="22"/>
          <w:szCs w:val="22"/>
        </w:rPr>
        <w:t>he Guardian, it disproportionately targeted individuals based on characteristics such as age, disability, marital status, and nationality.</w:t>
      </w:r>
      <w:r w:rsidR="005C62A0">
        <w:rPr>
          <w:rStyle w:val="FootnoteReference"/>
          <w:rFonts w:ascii="Gilroy" w:hAnsi="Gilroy"/>
          <w:sz w:val="22"/>
          <w:szCs w:val="22"/>
        </w:rPr>
        <w:footnoteReference w:id="7"/>
      </w:r>
    </w:p>
    <w:p w14:paraId="1E73AA47" w14:textId="77777777" w:rsidR="00C23BF7" w:rsidRPr="007E21E0" w:rsidRDefault="00C23BF7" w:rsidP="00C23BF7">
      <w:pPr>
        <w:rPr>
          <w:rFonts w:ascii="Gilroy" w:hAnsi="Gilroy"/>
          <w:sz w:val="22"/>
          <w:szCs w:val="22"/>
        </w:rPr>
      </w:pPr>
    </w:p>
    <w:p w14:paraId="56581ED0" w14:textId="3FAEECA3" w:rsidR="00C23BF7" w:rsidRPr="007E21E0" w:rsidRDefault="00C23BF7" w:rsidP="00C23BF7">
      <w:pPr>
        <w:rPr>
          <w:rFonts w:ascii="Gilroy" w:hAnsi="Gilroy"/>
          <w:sz w:val="22"/>
          <w:szCs w:val="22"/>
        </w:rPr>
      </w:pPr>
      <w:r w:rsidRPr="007E21E0">
        <w:rPr>
          <w:rFonts w:ascii="Gilroy" w:hAnsi="Gilroy"/>
          <w:sz w:val="22"/>
          <w:szCs w:val="22"/>
        </w:rPr>
        <w:t>The DWP is facing legal action</w:t>
      </w:r>
      <w:r w:rsidR="005C62A0">
        <w:rPr>
          <w:rFonts w:ascii="Gilroy" w:hAnsi="Gilroy"/>
          <w:sz w:val="22"/>
          <w:szCs w:val="22"/>
        </w:rPr>
        <w:t xml:space="preserve"> </w:t>
      </w:r>
      <w:r w:rsidRPr="007E21E0">
        <w:rPr>
          <w:rFonts w:ascii="Gilroy" w:hAnsi="Gilroy"/>
          <w:sz w:val="22"/>
          <w:szCs w:val="22"/>
        </w:rPr>
        <w:t>by a disability rights group</w:t>
      </w:r>
      <w:r w:rsidR="00020F62">
        <w:rPr>
          <w:rFonts w:ascii="Gilroy" w:hAnsi="Gilroy"/>
          <w:sz w:val="22"/>
          <w:szCs w:val="22"/>
        </w:rPr>
        <w:t xml:space="preserve">, claiming that </w:t>
      </w:r>
      <w:r w:rsidRPr="007E21E0">
        <w:rPr>
          <w:rFonts w:ascii="Gilroy" w:hAnsi="Gilroy"/>
          <w:sz w:val="22"/>
          <w:szCs w:val="22"/>
        </w:rPr>
        <w:t xml:space="preserve">the algorithm used to flag </w:t>
      </w:r>
      <w:r w:rsidR="006634A2" w:rsidRPr="007E21E0">
        <w:rPr>
          <w:rFonts w:ascii="Gilroy" w:hAnsi="Gilroy"/>
          <w:sz w:val="22"/>
          <w:szCs w:val="22"/>
        </w:rPr>
        <w:t>individuals</w:t>
      </w:r>
      <w:r w:rsidRPr="007E21E0">
        <w:rPr>
          <w:rFonts w:ascii="Gilroy" w:hAnsi="Gilroy"/>
          <w:sz w:val="22"/>
          <w:szCs w:val="22"/>
        </w:rPr>
        <w:t xml:space="preserve"> as ‘fraud risks’ is unfair and discriminatory.</w:t>
      </w:r>
      <w:r w:rsidR="005C62A0">
        <w:rPr>
          <w:rStyle w:val="FootnoteReference"/>
          <w:rFonts w:ascii="Gilroy" w:hAnsi="Gilroy"/>
          <w:sz w:val="22"/>
          <w:szCs w:val="22"/>
        </w:rPr>
        <w:footnoteReference w:id="8"/>
      </w:r>
      <w:r w:rsidRPr="007E21E0">
        <w:rPr>
          <w:rFonts w:ascii="Gilroy" w:hAnsi="Gilroy"/>
          <w:sz w:val="22"/>
          <w:szCs w:val="22"/>
        </w:rPr>
        <w:t xml:space="preserve"> </w:t>
      </w:r>
      <w:r w:rsidR="00020F62">
        <w:rPr>
          <w:rFonts w:ascii="Gilroy" w:hAnsi="Gilroy"/>
          <w:sz w:val="22"/>
          <w:szCs w:val="22"/>
        </w:rPr>
        <w:t xml:space="preserve">According to their </w:t>
      </w:r>
      <w:r w:rsidR="00287083">
        <w:rPr>
          <w:rFonts w:ascii="Gilroy" w:hAnsi="Gilroy"/>
          <w:sz w:val="22"/>
          <w:szCs w:val="22"/>
        </w:rPr>
        <w:t>claim, b</w:t>
      </w:r>
      <w:r w:rsidRPr="007E21E0">
        <w:rPr>
          <w:rFonts w:ascii="Gilroy" w:hAnsi="Gilroy"/>
          <w:sz w:val="22"/>
          <w:szCs w:val="22"/>
        </w:rPr>
        <w:t xml:space="preserve">y profiling individuals who interact with caseworkers and the DWP </w:t>
      </w:r>
      <w:r w:rsidR="006634A2" w:rsidRPr="007E21E0">
        <w:rPr>
          <w:rFonts w:ascii="Gilroy" w:hAnsi="Gilroy"/>
          <w:sz w:val="22"/>
          <w:szCs w:val="22"/>
        </w:rPr>
        <w:t>based on</w:t>
      </w:r>
      <w:r w:rsidRPr="007E21E0">
        <w:rPr>
          <w:rFonts w:ascii="Gilroy" w:hAnsi="Gilroy"/>
          <w:sz w:val="22"/>
          <w:szCs w:val="22"/>
        </w:rPr>
        <w:t xml:space="preserve"> unknown data points, the DWP is creating derived, inferred, and predicted profiles which may be inaccurate or systematically biased. This type of profiling can lead to individuals being misidentified, misclassified, or misjudged, increasing their vulnerability to poverty and marginalisation, as</w:t>
      </w:r>
      <w:r w:rsidR="006634A2" w:rsidRPr="007E21E0">
        <w:rPr>
          <w:rFonts w:ascii="Gilroy" w:hAnsi="Gilroy"/>
          <w:sz w:val="22"/>
          <w:szCs w:val="22"/>
        </w:rPr>
        <w:t xml:space="preserve"> </w:t>
      </w:r>
      <w:r w:rsidRPr="007E21E0">
        <w:rPr>
          <w:rFonts w:ascii="Gilroy" w:hAnsi="Gilroy"/>
          <w:sz w:val="22"/>
          <w:szCs w:val="22"/>
        </w:rPr>
        <w:t xml:space="preserve">recognised by the </w:t>
      </w:r>
      <w:r w:rsidR="00287083">
        <w:rPr>
          <w:rFonts w:ascii="Gilroy" w:hAnsi="Gilroy"/>
          <w:sz w:val="22"/>
          <w:szCs w:val="22"/>
        </w:rPr>
        <w:t xml:space="preserve">UN </w:t>
      </w:r>
      <w:r w:rsidRPr="007E21E0">
        <w:rPr>
          <w:rFonts w:ascii="Gilroy" w:hAnsi="Gilroy"/>
          <w:sz w:val="22"/>
          <w:szCs w:val="22"/>
        </w:rPr>
        <w:t>Special Rapporteur on the Rights of Persons with Disabilities.</w:t>
      </w:r>
      <w:r w:rsidR="006634A2" w:rsidRPr="007E21E0">
        <w:rPr>
          <w:rStyle w:val="FootnoteReference"/>
          <w:rFonts w:ascii="Gilroy" w:hAnsi="Gilroy"/>
          <w:sz w:val="22"/>
          <w:szCs w:val="22"/>
        </w:rPr>
        <w:footnoteReference w:id="9"/>
      </w:r>
    </w:p>
    <w:p w14:paraId="0DA2F42C" w14:textId="77777777" w:rsidR="00C23BF7" w:rsidRPr="008E68EB" w:rsidRDefault="00C23BF7" w:rsidP="00C23BF7">
      <w:pPr>
        <w:rPr>
          <w:rFonts w:ascii="Gilroy" w:hAnsi="Gilroy"/>
          <w:i/>
          <w:iCs/>
          <w:sz w:val="22"/>
          <w:szCs w:val="22"/>
        </w:rPr>
      </w:pPr>
    </w:p>
    <w:p w14:paraId="3F7DF0F6" w14:textId="77777777" w:rsidR="00C23BF7" w:rsidRPr="008E68EB" w:rsidRDefault="00C23BF7" w:rsidP="00C23BF7">
      <w:pPr>
        <w:rPr>
          <w:rFonts w:ascii="Gilroy" w:hAnsi="Gilroy"/>
          <w:i/>
          <w:iCs/>
          <w:sz w:val="22"/>
          <w:szCs w:val="22"/>
        </w:rPr>
      </w:pPr>
      <w:r w:rsidRPr="008E68EB">
        <w:rPr>
          <w:rFonts w:ascii="Gilroy" w:hAnsi="Gilroy"/>
          <w:i/>
          <w:iCs/>
          <w:sz w:val="22"/>
          <w:szCs w:val="22"/>
        </w:rPr>
        <w:t>Fraud, Error, and Debt Bill</w:t>
      </w:r>
    </w:p>
    <w:p w14:paraId="5D91D0F3" w14:textId="77777777" w:rsidR="00C23BF7" w:rsidRPr="007E21E0" w:rsidRDefault="00C23BF7" w:rsidP="00C23BF7">
      <w:pPr>
        <w:rPr>
          <w:rFonts w:ascii="Gilroy" w:hAnsi="Gilroy"/>
          <w:sz w:val="22"/>
          <w:szCs w:val="22"/>
        </w:rPr>
      </w:pPr>
    </w:p>
    <w:p w14:paraId="3E09F456" w14:textId="60892784" w:rsidR="00C23BF7" w:rsidRPr="007E21E0" w:rsidRDefault="00287083" w:rsidP="00C23BF7">
      <w:pPr>
        <w:rPr>
          <w:rFonts w:ascii="Gilroy" w:hAnsi="Gilroy"/>
          <w:sz w:val="22"/>
          <w:szCs w:val="22"/>
        </w:rPr>
      </w:pPr>
      <w:r>
        <w:rPr>
          <w:rFonts w:ascii="Gilroy" w:hAnsi="Gilroy"/>
          <w:sz w:val="22"/>
          <w:szCs w:val="22"/>
        </w:rPr>
        <w:t>T</w:t>
      </w:r>
      <w:r w:rsidR="00C23BF7" w:rsidRPr="007E21E0">
        <w:rPr>
          <w:rFonts w:ascii="Gilroy" w:hAnsi="Gilroy"/>
          <w:sz w:val="22"/>
          <w:szCs w:val="22"/>
        </w:rPr>
        <w:t>he UK government plans to introduce a new Fraud, Error, and Debt Bill aimed at “cracking down on fraud in the social security system”.</w:t>
      </w:r>
      <w:r w:rsidR="005C62A0">
        <w:rPr>
          <w:rStyle w:val="FootnoteReference"/>
          <w:rFonts w:ascii="Gilroy" w:hAnsi="Gilroy"/>
          <w:sz w:val="22"/>
          <w:szCs w:val="22"/>
        </w:rPr>
        <w:footnoteReference w:id="10"/>
      </w:r>
      <w:r w:rsidR="00C23BF7" w:rsidRPr="007E21E0">
        <w:rPr>
          <w:rFonts w:ascii="Gilroy" w:hAnsi="Gilroy"/>
          <w:sz w:val="22"/>
          <w:szCs w:val="22"/>
        </w:rPr>
        <w:t xml:space="preserve"> While the bill has not yet been tabled, </w:t>
      </w:r>
      <w:r>
        <w:rPr>
          <w:rFonts w:ascii="Gilroy" w:hAnsi="Gilroy"/>
          <w:sz w:val="22"/>
          <w:szCs w:val="22"/>
        </w:rPr>
        <w:t>the government suggests that it</w:t>
      </w:r>
      <w:r w:rsidR="00C23BF7" w:rsidRPr="007E21E0">
        <w:rPr>
          <w:rFonts w:ascii="Gilroy" w:hAnsi="Gilroy"/>
          <w:sz w:val="22"/>
          <w:szCs w:val="22"/>
        </w:rPr>
        <w:t xml:space="preserve"> will allow DWP to request data from banks and financial institutions to identify customers who may not meet eligibility rules for benefits and recover debts from those who can repay but have avoided doing so.</w:t>
      </w:r>
      <w:r w:rsidR="00467372" w:rsidRPr="007E21E0">
        <w:rPr>
          <w:rStyle w:val="FootnoteReference"/>
          <w:rFonts w:ascii="Gilroy" w:hAnsi="Gilroy"/>
          <w:sz w:val="22"/>
          <w:szCs w:val="22"/>
        </w:rPr>
        <w:footnoteReference w:id="11"/>
      </w:r>
      <w:r w:rsidR="005C62A0">
        <w:rPr>
          <w:rFonts w:ascii="Gilroy" w:hAnsi="Gilroy"/>
          <w:sz w:val="22"/>
          <w:szCs w:val="22"/>
        </w:rPr>
        <w:t xml:space="preserve"> </w:t>
      </w:r>
      <w:r w:rsidR="00C23BF7" w:rsidRPr="007E21E0">
        <w:rPr>
          <w:rFonts w:ascii="Gilroy" w:hAnsi="Gilroy"/>
          <w:sz w:val="22"/>
          <w:szCs w:val="22"/>
        </w:rPr>
        <w:t xml:space="preserve">We are deeply concerned that the proposed approach on eradicating fraud </w:t>
      </w:r>
      <w:r>
        <w:rPr>
          <w:rFonts w:ascii="Gilroy" w:hAnsi="Gilroy"/>
          <w:sz w:val="22"/>
          <w:szCs w:val="22"/>
        </w:rPr>
        <w:t xml:space="preserve">which </w:t>
      </w:r>
      <w:r w:rsidR="00C23BF7" w:rsidRPr="007E21E0">
        <w:rPr>
          <w:rFonts w:ascii="Gilroy" w:hAnsi="Gilroy"/>
          <w:sz w:val="22"/>
          <w:szCs w:val="22"/>
        </w:rPr>
        <w:t xml:space="preserve">overlooks the essential framing of social security as a fundamental human right. Instead of punitive measures and policing social </w:t>
      </w:r>
      <w:r w:rsidR="00467372" w:rsidRPr="007E21E0">
        <w:rPr>
          <w:rFonts w:ascii="Gilroy" w:hAnsi="Gilroy"/>
          <w:sz w:val="22"/>
          <w:szCs w:val="22"/>
        </w:rPr>
        <w:t>security</w:t>
      </w:r>
      <w:r w:rsidR="00C23BF7" w:rsidRPr="007E21E0">
        <w:rPr>
          <w:rFonts w:ascii="Gilroy" w:hAnsi="Gilroy"/>
          <w:sz w:val="22"/>
          <w:szCs w:val="22"/>
        </w:rPr>
        <w:t xml:space="preserve">, the government should prioritise equitable access </w:t>
      </w:r>
      <w:r w:rsidR="00C23BF7" w:rsidRPr="007E21E0">
        <w:rPr>
          <w:rFonts w:ascii="Gilroy" w:hAnsi="Gilroy"/>
          <w:sz w:val="22"/>
          <w:szCs w:val="22"/>
        </w:rPr>
        <w:lastRenderedPageBreak/>
        <w:t>to social protection, free from discrimination, while safeguarding recipients’ dignity.</w:t>
      </w:r>
      <w:r w:rsidR="005C62A0">
        <w:rPr>
          <w:rStyle w:val="FootnoteReference"/>
          <w:rFonts w:ascii="Gilroy" w:hAnsi="Gilroy"/>
          <w:sz w:val="22"/>
          <w:szCs w:val="22"/>
        </w:rPr>
        <w:footnoteReference w:id="12"/>
      </w:r>
      <w:r w:rsidR="00C23BF7" w:rsidRPr="007E21E0">
        <w:rPr>
          <w:rFonts w:ascii="Gilroy" w:hAnsi="Gilroy"/>
          <w:sz w:val="22"/>
          <w:szCs w:val="22"/>
        </w:rPr>
        <w:t xml:space="preserve"> PI has documented these practices and developed a framework</w:t>
      </w:r>
      <w:r w:rsidR="00467372" w:rsidRPr="007E21E0">
        <w:rPr>
          <w:rFonts w:ascii="Gilroy" w:hAnsi="Gilroy"/>
          <w:sz w:val="22"/>
          <w:szCs w:val="22"/>
        </w:rPr>
        <w:t xml:space="preserve"> </w:t>
      </w:r>
      <w:r w:rsidR="00C23BF7" w:rsidRPr="007E21E0">
        <w:rPr>
          <w:rFonts w:ascii="Gilroy" w:hAnsi="Gilroy"/>
          <w:sz w:val="22"/>
          <w:szCs w:val="22"/>
        </w:rPr>
        <w:t>for examining social benefits through a human rights lens.</w:t>
      </w:r>
      <w:r w:rsidR="00467372" w:rsidRPr="007E21E0">
        <w:rPr>
          <w:rStyle w:val="FootnoteReference"/>
          <w:rFonts w:ascii="Gilroy" w:hAnsi="Gilroy"/>
          <w:sz w:val="22"/>
          <w:szCs w:val="22"/>
        </w:rPr>
        <w:footnoteReference w:id="13"/>
      </w:r>
    </w:p>
    <w:p w14:paraId="1EEF5CF6" w14:textId="77777777" w:rsidR="00467372" w:rsidRPr="007E21E0" w:rsidRDefault="00467372" w:rsidP="00C23BF7">
      <w:pPr>
        <w:rPr>
          <w:rFonts w:ascii="Gilroy" w:hAnsi="Gilroy"/>
          <w:sz w:val="22"/>
          <w:szCs w:val="22"/>
        </w:rPr>
      </w:pPr>
    </w:p>
    <w:p w14:paraId="5FCE1B69" w14:textId="0E35F9FA" w:rsidR="00467372" w:rsidRPr="007E21E0" w:rsidRDefault="00467372" w:rsidP="00467372">
      <w:pPr>
        <w:pStyle w:val="ListParagraph"/>
        <w:numPr>
          <w:ilvl w:val="0"/>
          <w:numId w:val="1"/>
        </w:numPr>
        <w:rPr>
          <w:rFonts w:ascii="Gilroy" w:hAnsi="Gilroy"/>
          <w:b/>
          <w:bCs/>
          <w:sz w:val="22"/>
          <w:szCs w:val="22"/>
        </w:rPr>
      </w:pPr>
      <w:r w:rsidRPr="007E21E0">
        <w:rPr>
          <w:rFonts w:ascii="Gilroy" w:hAnsi="Gilroy"/>
          <w:b/>
          <w:bCs/>
          <w:sz w:val="22"/>
          <w:szCs w:val="22"/>
        </w:rPr>
        <w:t xml:space="preserve">Intrusive surveillance technologies impact mental and physical health of migrants and </w:t>
      </w:r>
      <w:r w:rsidR="0090274F">
        <w:rPr>
          <w:rFonts w:ascii="Gilroy" w:hAnsi="Gilroy"/>
          <w:b/>
          <w:bCs/>
          <w:sz w:val="22"/>
          <w:szCs w:val="22"/>
        </w:rPr>
        <w:t>restrict</w:t>
      </w:r>
      <w:r w:rsidRPr="007E21E0">
        <w:rPr>
          <w:rFonts w:ascii="Gilroy" w:hAnsi="Gilroy"/>
          <w:b/>
          <w:bCs/>
          <w:sz w:val="22"/>
          <w:szCs w:val="22"/>
        </w:rPr>
        <w:t xml:space="preserve"> access to social security</w:t>
      </w:r>
      <w:r w:rsidR="008E68EB">
        <w:rPr>
          <w:rFonts w:ascii="Gilroy" w:hAnsi="Gilroy"/>
          <w:b/>
          <w:bCs/>
          <w:sz w:val="22"/>
          <w:szCs w:val="22"/>
        </w:rPr>
        <w:t xml:space="preserve"> and healthcare</w:t>
      </w:r>
      <w:r w:rsidRPr="007E21E0">
        <w:rPr>
          <w:rFonts w:ascii="Gilroy" w:hAnsi="Gilroy"/>
          <w:b/>
          <w:bCs/>
          <w:sz w:val="22"/>
          <w:szCs w:val="22"/>
        </w:rPr>
        <w:t xml:space="preserve"> (Articles 2, </w:t>
      </w:r>
      <w:r w:rsidR="00456D1B">
        <w:rPr>
          <w:rFonts w:ascii="Gilroy" w:hAnsi="Gilroy"/>
          <w:b/>
          <w:bCs/>
          <w:sz w:val="22"/>
          <w:szCs w:val="22"/>
        </w:rPr>
        <w:t>9, 11, 12)</w:t>
      </w:r>
    </w:p>
    <w:p w14:paraId="00FE8761" w14:textId="77777777" w:rsidR="00467372" w:rsidRPr="007E21E0" w:rsidRDefault="00467372" w:rsidP="00467372">
      <w:pPr>
        <w:rPr>
          <w:rFonts w:ascii="Gilroy" w:hAnsi="Gilroy"/>
          <w:sz w:val="22"/>
          <w:szCs w:val="22"/>
        </w:rPr>
      </w:pPr>
    </w:p>
    <w:p w14:paraId="3F9C4DDC" w14:textId="2104A47D" w:rsidR="00467372" w:rsidRDefault="00467372" w:rsidP="00467372">
      <w:pPr>
        <w:rPr>
          <w:rFonts w:ascii="Gilroy" w:hAnsi="Gilroy"/>
          <w:sz w:val="22"/>
          <w:szCs w:val="22"/>
        </w:rPr>
      </w:pPr>
      <w:r w:rsidRPr="007E21E0">
        <w:rPr>
          <w:rFonts w:ascii="Gilroy" w:hAnsi="Gilroy"/>
          <w:sz w:val="22"/>
          <w:szCs w:val="22"/>
        </w:rPr>
        <w:t>The UK Home Office Electronic Monitoring Programme deploys a range of highly invasive surveillance tools on migrants including fitted GPS ankle tags, non-fitted GPS fingerprint scanners</w:t>
      </w:r>
      <w:r w:rsidR="0042051C">
        <w:rPr>
          <w:rFonts w:ascii="Gilroy" w:hAnsi="Gilroy"/>
          <w:sz w:val="22"/>
          <w:szCs w:val="22"/>
        </w:rPr>
        <w:t xml:space="preserve"> (non-fitted devices)</w:t>
      </w:r>
      <w:r w:rsidRPr="007E21E0">
        <w:rPr>
          <w:rFonts w:ascii="Gilroy" w:hAnsi="Gilroy"/>
          <w:sz w:val="22"/>
          <w:szCs w:val="22"/>
        </w:rPr>
        <w:t>, and algorithmically powered immigration decision-making systems like Identify and Prioritise Immigration Cases' (IPIC).</w:t>
      </w:r>
      <w:r w:rsidR="005C62A0">
        <w:rPr>
          <w:rStyle w:val="FootnoteReference"/>
          <w:rFonts w:ascii="Gilroy" w:hAnsi="Gilroy"/>
          <w:sz w:val="22"/>
          <w:szCs w:val="22"/>
        </w:rPr>
        <w:footnoteReference w:id="14"/>
      </w:r>
      <w:r w:rsidRPr="007E21E0">
        <w:rPr>
          <w:rFonts w:ascii="Gilroy" w:hAnsi="Gilroy"/>
          <w:sz w:val="22"/>
          <w:szCs w:val="22"/>
        </w:rPr>
        <w:t xml:space="preserve"> This places migrants and asylum seekers under constant surveillance which have reported detrimental impacts to their mental and physical health</w:t>
      </w:r>
      <w:r w:rsidR="007D57F5">
        <w:rPr>
          <w:rFonts w:ascii="Gilroy" w:hAnsi="Gilroy"/>
          <w:sz w:val="22"/>
          <w:szCs w:val="22"/>
        </w:rPr>
        <w:t>.</w:t>
      </w:r>
      <w:r w:rsidRPr="007E21E0">
        <w:rPr>
          <w:rStyle w:val="FootnoteReference"/>
          <w:rFonts w:ascii="Gilroy" w:hAnsi="Gilroy"/>
          <w:sz w:val="22"/>
          <w:szCs w:val="22"/>
        </w:rPr>
        <w:footnoteReference w:id="15"/>
      </w:r>
    </w:p>
    <w:p w14:paraId="39B3E116" w14:textId="77777777" w:rsidR="0042051C" w:rsidRDefault="0042051C" w:rsidP="00467372">
      <w:pPr>
        <w:rPr>
          <w:rFonts w:ascii="Gilroy" w:hAnsi="Gilroy"/>
          <w:sz w:val="22"/>
          <w:szCs w:val="22"/>
        </w:rPr>
      </w:pPr>
    </w:p>
    <w:p w14:paraId="5D552B2C" w14:textId="77777777" w:rsidR="0042051C" w:rsidRPr="0042051C" w:rsidRDefault="0042051C" w:rsidP="0042051C">
      <w:pPr>
        <w:rPr>
          <w:rFonts w:ascii="Gilroy" w:hAnsi="Gilroy"/>
          <w:sz w:val="22"/>
          <w:szCs w:val="22"/>
        </w:rPr>
      </w:pPr>
      <w:r w:rsidRPr="0042051C">
        <w:rPr>
          <w:rFonts w:ascii="Gilroy" w:hAnsi="Gilroy"/>
          <w:sz w:val="22"/>
          <w:szCs w:val="22"/>
        </w:rPr>
        <w:t>With respect to the use of GPS ankle tags, civil society organisations carried out research that demonstrated that the imposition of ankle tags as a condition of immigration bail has consistently caused anxiety, stress, discomfort, and pain in wearers.</w:t>
      </w:r>
      <w:r w:rsidRPr="0042051C">
        <w:rPr>
          <w:rFonts w:ascii="Gilroy" w:hAnsi="Gilroy"/>
          <w:sz w:val="22"/>
          <w:szCs w:val="22"/>
          <w:vertAlign w:val="superscript"/>
        </w:rPr>
        <w:footnoteReference w:id="16"/>
      </w:r>
      <w:r w:rsidRPr="0042051C">
        <w:rPr>
          <w:rFonts w:ascii="Gilroy" w:hAnsi="Gilroy"/>
          <w:sz w:val="22"/>
          <w:szCs w:val="22"/>
        </w:rPr>
        <w:t xml:space="preserve"> The research involved numerous interviews with tag wearers.</w:t>
      </w:r>
      <w:r w:rsidRPr="0042051C">
        <w:rPr>
          <w:rFonts w:ascii="Gilroy" w:hAnsi="Gilroy"/>
          <w:sz w:val="22"/>
          <w:szCs w:val="22"/>
          <w:vertAlign w:val="superscript"/>
        </w:rPr>
        <w:footnoteReference w:id="17"/>
      </w:r>
      <w:r w:rsidRPr="0042051C">
        <w:rPr>
          <w:rFonts w:ascii="Gilroy" w:hAnsi="Gilroy"/>
          <w:sz w:val="22"/>
          <w:szCs w:val="22"/>
        </w:rPr>
        <w:t xml:space="preserve"> In several case studies tag wearers described the impacts as akin to “torture”.</w:t>
      </w:r>
      <w:r w:rsidRPr="0042051C">
        <w:rPr>
          <w:rFonts w:ascii="Gilroy" w:hAnsi="Gilroy"/>
          <w:sz w:val="22"/>
          <w:szCs w:val="22"/>
          <w:vertAlign w:val="superscript"/>
        </w:rPr>
        <w:footnoteReference w:id="18"/>
      </w:r>
      <w:r w:rsidRPr="0042051C">
        <w:rPr>
          <w:rFonts w:ascii="Gilroy" w:hAnsi="Gilroy"/>
          <w:sz w:val="22"/>
          <w:szCs w:val="22"/>
        </w:rPr>
        <w:t xml:space="preserve"> Wearers highlighted its stigmatising impact given the association between tagging and criminal offending, which in turn was said to have caused them to feel increasingly isolated.</w:t>
      </w:r>
      <w:r w:rsidRPr="0042051C">
        <w:rPr>
          <w:rFonts w:ascii="Gilroy" w:hAnsi="Gilroy"/>
          <w:sz w:val="22"/>
          <w:szCs w:val="22"/>
          <w:vertAlign w:val="superscript"/>
        </w:rPr>
        <w:footnoteReference w:id="19"/>
      </w:r>
      <w:r w:rsidRPr="0042051C">
        <w:rPr>
          <w:rFonts w:ascii="Gilroy" w:hAnsi="Gilroy"/>
          <w:sz w:val="22"/>
          <w:szCs w:val="22"/>
        </w:rPr>
        <w:t xml:space="preserve"> Others noted the bulky size of the device, the physical presence of which reminded wearers of the constant risk of adverse immigration enforcement action including detention and/or deportation.</w:t>
      </w:r>
      <w:r w:rsidRPr="0042051C">
        <w:rPr>
          <w:rFonts w:ascii="Gilroy" w:hAnsi="Gilroy"/>
          <w:sz w:val="22"/>
          <w:szCs w:val="22"/>
          <w:vertAlign w:val="superscript"/>
        </w:rPr>
        <w:footnoteReference w:id="20"/>
      </w:r>
      <w:r w:rsidRPr="0042051C">
        <w:rPr>
          <w:rFonts w:ascii="Gilroy" w:hAnsi="Gilroy"/>
          <w:sz w:val="22"/>
          <w:szCs w:val="22"/>
        </w:rPr>
        <w:t xml:space="preserve"> Finally, several wearers reported difficulties in sleeping due to onerous charging times – in some cases the devices were said to take up to 4 hours to fully charge. When the devices are low in battery they start vibrating, which wearers interviewed for the report said often meant that they could not sleep for long periods at a time. </w:t>
      </w:r>
    </w:p>
    <w:p w14:paraId="27661818" w14:textId="77777777" w:rsidR="0042051C" w:rsidRPr="0042051C" w:rsidRDefault="0042051C" w:rsidP="0042051C">
      <w:pPr>
        <w:rPr>
          <w:rFonts w:ascii="Gilroy" w:hAnsi="Gilroy"/>
          <w:sz w:val="22"/>
          <w:szCs w:val="22"/>
        </w:rPr>
      </w:pPr>
    </w:p>
    <w:p w14:paraId="63267A6B" w14:textId="12B713C8" w:rsidR="0042051C" w:rsidRPr="007E21E0" w:rsidRDefault="0042051C" w:rsidP="0042051C">
      <w:pPr>
        <w:rPr>
          <w:rFonts w:ascii="Gilroy" w:hAnsi="Gilroy"/>
          <w:sz w:val="22"/>
          <w:szCs w:val="22"/>
        </w:rPr>
      </w:pPr>
      <w:r w:rsidRPr="0042051C">
        <w:rPr>
          <w:rFonts w:ascii="Gilroy" w:hAnsi="Gilroy"/>
          <w:sz w:val="22"/>
          <w:szCs w:val="22"/>
        </w:rPr>
        <w:t xml:space="preserve">In its Equality Impact Assessment (EIA) conducted prior to the introduction of the non-fitted devices, the Home Office suggested that this technology may be more suitable </w:t>
      </w:r>
      <w:r w:rsidRPr="0042051C">
        <w:rPr>
          <w:rFonts w:ascii="Gilroy" w:hAnsi="Gilroy"/>
          <w:sz w:val="22"/>
          <w:szCs w:val="22"/>
        </w:rPr>
        <w:lastRenderedPageBreak/>
        <w:t>than ankle tags for individuals suffering from particular health conditions - including mental health conditions exacerbated by social stigma associated with fitted devices.</w:t>
      </w:r>
      <w:r w:rsidRPr="0042051C">
        <w:rPr>
          <w:rFonts w:ascii="Gilroy" w:hAnsi="Gilroy"/>
          <w:sz w:val="22"/>
          <w:szCs w:val="22"/>
          <w:vertAlign w:val="superscript"/>
        </w:rPr>
        <w:footnoteReference w:id="21"/>
      </w:r>
      <w:r w:rsidRPr="0042051C">
        <w:rPr>
          <w:rFonts w:ascii="Gilroy" w:hAnsi="Gilroy"/>
          <w:sz w:val="22"/>
          <w:szCs w:val="22"/>
        </w:rPr>
        <w:t xml:space="preserve"> Further research by civil society organisations has however exposed significant harms stemming from technology that the EIA suggests is at least in part deployed in order to mitigate the detriment suffered by ankle tag wearers.</w:t>
      </w:r>
      <w:r w:rsidRPr="0042051C">
        <w:rPr>
          <w:rFonts w:ascii="Gilroy" w:hAnsi="Gilroy"/>
          <w:sz w:val="22"/>
          <w:szCs w:val="22"/>
          <w:vertAlign w:val="superscript"/>
        </w:rPr>
        <w:footnoteReference w:id="22"/>
      </w:r>
      <w:r w:rsidRPr="0042051C">
        <w:rPr>
          <w:rFonts w:ascii="Gilroy" w:hAnsi="Gilroy"/>
          <w:sz w:val="22"/>
          <w:szCs w:val="22"/>
        </w:rPr>
        <w:t xml:space="preserve"> In particular, the research points to the fact that the randomness of daily prompts to provide one’s fingerprints contributes to individuals subjected to the monitoring feeling as though they are “in a constant state of alertness and in a heightened sense of being under constant surveillance”.</w:t>
      </w:r>
      <w:r w:rsidRPr="0042051C">
        <w:rPr>
          <w:rFonts w:ascii="Gilroy" w:hAnsi="Gilroy"/>
          <w:sz w:val="22"/>
          <w:szCs w:val="22"/>
          <w:vertAlign w:val="superscript"/>
        </w:rPr>
        <w:footnoteReference w:id="23"/>
      </w:r>
      <w:r w:rsidRPr="0042051C">
        <w:rPr>
          <w:rFonts w:ascii="Gilroy" w:hAnsi="Gilroy"/>
          <w:sz w:val="22"/>
          <w:szCs w:val="22"/>
        </w:rPr>
        <w:t xml:space="preserve"> The research shows through the anonymised interviews that this in turn impacts the enjoyment of basic everyday activities - such as being able to sleep properly. Subjects also reported that having too little time (e.g., 1 minute) to provide their fingerprints contributed to the feelings of anxiety and stress they felt.</w:t>
      </w:r>
      <w:r w:rsidRPr="0042051C">
        <w:rPr>
          <w:rFonts w:ascii="Gilroy" w:hAnsi="Gilroy"/>
          <w:sz w:val="22"/>
          <w:szCs w:val="22"/>
          <w:vertAlign w:val="superscript"/>
        </w:rPr>
        <w:footnoteReference w:id="24"/>
      </w:r>
    </w:p>
    <w:p w14:paraId="6A63BE8C" w14:textId="77777777" w:rsidR="00467372" w:rsidRPr="007E21E0" w:rsidRDefault="00467372" w:rsidP="00467372">
      <w:pPr>
        <w:rPr>
          <w:rFonts w:ascii="Gilroy" w:hAnsi="Gilroy"/>
          <w:sz w:val="22"/>
          <w:szCs w:val="22"/>
        </w:rPr>
      </w:pPr>
    </w:p>
    <w:p w14:paraId="0F91ED0F" w14:textId="44EEDE64" w:rsidR="008E68EB" w:rsidRPr="007E21E0" w:rsidRDefault="00467372" w:rsidP="008E68EB">
      <w:pPr>
        <w:rPr>
          <w:rFonts w:ascii="Gilroy" w:hAnsi="Gilroy"/>
          <w:sz w:val="22"/>
          <w:szCs w:val="22"/>
        </w:rPr>
      </w:pPr>
      <w:r w:rsidRPr="007E21E0">
        <w:rPr>
          <w:rFonts w:ascii="Gilroy" w:hAnsi="Gilroy"/>
          <w:sz w:val="22"/>
          <w:szCs w:val="22"/>
        </w:rPr>
        <w:t xml:space="preserve">The IPIC </w:t>
      </w:r>
      <w:r w:rsidR="007D57F5">
        <w:rPr>
          <w:rFonts w:ascii="Gilroy" w:hAnsi="Gilroy"/>
          <w:sz w:val="22"/>
          <w:szCs w:val="22"/>
        </w:rPr>
        <w:t xml:space="preserve">system </w:t>
      </w:r>
      <w:r w:rsidRPr="007E21E0">
        <w:rPr>
          <w:rFonts w:ascii="Gilroy" w:hAnsi="Gilroy"/>
          <w:sz w:val="22"/>
          <w:szCs w:val="22"/>
        </w:rPr>
        <w:t xml:space="preserve">processes </w:t>
      </w:r>
      <w:r w:rsidR="0033217C" w:rsidRPr="007E21E0">
        <w:rPr>
          <w:rFonts w:ascii="Gilroy" w:hAnsi="Gilroy"/>
          <w:sz w:val="22"/>
          <w:szCs w:val="22"/>
        </w:rPr>
        <w:t xml:space="preserve">migrants’ </w:t>
      </w:r>
      <w:r w:rsidRPr="007E21E0">
        <w:rPr>
          <w:rFonts w:ascii="Gilroy" w:hAnsi="Gilroy"/>
          <w:sz w:val="22"/>
          <w:szCs w:val="22"/>
        </w:rPr>
        <w:t xml:space="preserve">personal data collected through immigration enforcement activities, from information </w:t>
      </w:r>
      <w:r w:rsidR="007D57F5">
        <w:rPr>
          <w:rFonts w:ascii="Gilroy" w:hAnsi="Gilroy"/>
          <w:sz w:val="22"/>
          <w:szCs w:val="22"/>
        </w:rPr>
        <w:t xml:space="preserve">about </w:t>
      </w:r>
      <w:r w:rsidRPr="007E21E0">
        <w:rPr>
          <w:rFonts w:ascii="Gilroy" w:hAnsi="Gilroy"/>
          <w:sz w:val="22"/>
          <w:szCs w:val="22"/>
        </w:rPr>
        <w:t>their health to their GPS tracking</w:t>
      </w:r>
      <w:r w:rsidR="007D57F5">
        <w:rPr>
          <w:rFonts w:ascii="Gilroy" w:hAnsi="Gilroy"/>
          <w:sz w:val="22"/>
          <w:szCs w:val="22"/>
        </w:rPr>
        <w:t xml:space="preserve"> and</w:t>
      </w:r>
      <w:r w:rsidRPr="007E21E0">
        <w:rPr>
          <w:rFonts w:ascii="Gilroy" w:hAnsi="Gilroy"/>
          <w:sz w:val="22"/>
          <w:szCs w:val="22"/>
        </w:rPr>
        <w:t xml:space="preserve"> bail conditions, all without their knowing.</w:t>
      </w:r>
      <w:r w:rsidR="0033217C" w:rsidRPr="007E21E0">
        <w:rPr>
          <w:rStyle w:val="FootnoteReference"/>
          <w:rFonts w:ascii="Gilroy" w:hAnsi="Gilroy"/>
          <w:sz w:val="22"/>
          <w:szCs w:val="22"/>
        </w:rPr>
        <w:footnoteReference w:id="25"/>
      </w:r>
      <w:r w:rsidRPr="007E21E0">
        <w:rPr>
          <w:rFonts w:ascii="Gilroy" w:hAnsi="Gilroy"/>
          <w:sz w:val="22"/>
          <w:szCs w:val="22"/>
        </w:rPr>
        <w:t xml:space="preserve"> The algorithm</w:t>
      </w:r>
      <w:r w:rsidR="0033217C" w:rsidRPr="007E21E0">
        <w:rPr>
          <w:rFonts w:ascii="Gilroy" w:hAnsi="Gilroy"/>
          <w:sz w:val="22"/>
          <w:szCs w:val="22"/>
        </w:rPr>
        <w:t xml:space="preserve"> </w:t>
      </w:r>
      <w:r w:rsidR="008E68EB">
        <w:rPr>
          <w:rFonts w:ascii="Gilroy" w:hAnsi="Gilroy"/>
          <w:sz w:val="22"/>
          <w:szCs w:val="22"/>
        </w:rPr>
        <w:t xml:space="preserve">that </w:t>
      </w:r>
      <w:r w:rsidR="0033217C" w:rsidRPr="007E21E0">
        <w:rPr>
          <w:rFonts w:ascii="Gilroy" w:hAnsi="Gilroy"/>
          <w:sz w:val="22"/>
          <w:szCs w:val="22"/>
        </w:rPr>
        <w:t xml:space="preserve">processes </w:t>
      </w:r>
      <w:r w:rsidR="007D57F5">
        <w:rPr>
          <w:rFonts w:ascii="Gilroy" w:hAnsi="Gilroy"/>
          <w:sz w:val="22"/>
          <w:szCs w:val="22"/>
        </w:rPr>
        <w:t>this data</w:t>
      </w:r>
      <w:r w:rsidR="008E68EB">
        <w:rPr>
          <w:rFonts w:ascii="Gilroy" w:hAnsi="Gilroy"/>
          <w:sz w:val="22"/>
          <w:szCs w:val="22"/>
        </w:rPr>
        <w:t xml:space="preserve">, </w:t>
      </w:r>
      <w:r w:rsidRPr="007E21E0">
        <w:rPr>
          <w:rFonts w:ascii="Gilroy" w:hAnsi="Gilroy"/>
          <w:sz w:val="22"/>
          <w:szCs w:val="22"/>
        </w:rPr>
        <w:t xml:space="preserve">among </w:t>
      </w:r>
      <w:r w:rsidR="0033217C" w:rsidRPr="007E21E0">
        <w:rPr>
          <w:rFonts w:ascii="Gilroy" w:hAnsi="Gilroy"/>
          <w:sz w:val="22"/>
          <w:szCs w:val="22"/>
        </w:rPr>
        <w:t xml:space="preserve">a </w:t>
      </w:r>
      <w:r w:rsidRPr="007E21E0">
        <w:rPr>
          <w:rFonts w:ascii="Gilroy" w:hAnsi="Gilroy"/>
          <w:sz w:val="22"/>
          <w:szCs w:val="22"/>
        </w:rPr>
        <w:t xml:space="preserve">multiple </w:t>
      </w:r>
      <w:r w:rsidR="0033217C" w:rsidRPr="007E21E0">
        <w:rPr>
          <w:rFonts w:ascii="Gilroy" w:hAnsi="Gilroy"/>
          <w:sz w:val="22"/>
          <w:szCs w:val="22"/>
        </w:rPr>
        <w:t xml:space="preserve">of </w:t>
      </w:r>
      <w:r w:rsidRPr="007E21E0">
        <w:rPr>
          <w:rFonts w:ascii="Gilroy" w:hAnsi="Gilroy"/>
          <w:sz w:val="22"/>
          <w:szCs w:val="22"/>
        </w:rPr>
        <w:t>other categories of personal information</w:t>
      </w:r>
      <w:r w:rsidR="008E68EB">
        <w:rPr>
          <w:rFonts w:ascii="Gilroy" w:hAnsi="Gilroy"/>
          <w:sz w:val="22"/>
          <w:szCs w:val="22"/>
        </w:rPr>
        <w:t>,</w:t>
      </w:r>
      <w:r w:rsidRPr="007E21E0">
        <w:rPr>
          <w:rFonts w:ascii="Gilroy" w:hAnsi="Gilroy"/>
          <w:sz w:val="22"/>
          <w:szCs w:val="22"/>
        </w:rPr>
        <w:t xml:space="preserve"> make</w:t>
      </w:r>
      <w:r w:rsidR="008E68EB">
        <w:rPr>
          <w:rFonts w:ascii="Gilroy" w:hAnsi="Gilroy"/>
          <w:sz w:val="22"/>
          <w:szCs w:val="22"/>
        </w:rPr>
        <w:t>s</w:t>
      </w:r>
      <w:r w:rsidRPr="007E21E0">
        <w:rPr>
          <w:rFonts w:ascii="Gilroy" w:hAnsi="Gilroy"/>
          <w:sz w:val="22"/>
          <w:szCs w:val="22"/>
        </w:rPr>
        <w:t xml:space="preserve"> recommendations about </w:t>
      </w:r>
      <w:r w:rsidR="0033217C" w:rsidRPr="007E21E0">
        <w:rPr>
          <w:rFonts w:ascii="Gilroy" w:hAnsi="Gilroy"/>
          <w:sz w:val="22"/>
          <w:szCs w:val="22"/>
        </w:rPr>
        <w:t>whether</w:t>
      </w:r>
      <w:r w:rsidRPr="007E21E0">
        <w:rPr>
          <w:rFonts w:ascii="Gilroy" w:hAnsi="Gilroy"/>
          <w:sz w:val="22"/>
          <w:szCs w:val="22"/>
        </w:rPr>
        <w:t xml:space="preserve"> to subject an individual to a particular immigration enforcement action. </w:t>
      </w:r>
      <w:r w:rsidR="0033217C" w:rsidRPr="007E21E0">
        <w:rPr>
          <w:rFonts w:ascii="Gilroy" w:hAnsi="Gilroy"/>
          <w:sz w:val="22"/>
          <w:szCs w:val="22"/>
        </w:rPr>
        <w:t>T</w:t>
      </w:r>
      <w:r w:rsidRPr="007E21E0">
        <w:rPr>
          <w:rFonts w:ascii="Gilroy" w:hAnsi="Gilroy"/>
          <w:sz w:val="22"/>
          <w:szCs w:val="22"/>
        </w:rPr>
        <w:t>he Home Office has refused to disclose the nature of the recommendations and the enforcement actions in relation to which they are used.</w:t>
      </w:r>
      <w:r w:rsidR="008E68EB">
        <w:rPr>
          <w:rFonts w:ascii="Gilroy" w:hAnsi="Gilroy"/>
          <w:sz w:val="22"/>
          <w:szCs w:val="22"/>
        </w:rPr>
        <w:t xml:space="preserve"> </w:t>
      </w:r>
      <w:r w:rsidRPr="007E21E0">
        <w:rPr>
          <w:rFonts w:ascii="Gilroy" w:hAnsi="Gilroy"/>
          <w:sz w:val="22"/>
          <w:szCs w:val="22"/>
        </w:rPr>
        <w:t xml:space="preserve">It is clear from </w:t>
      </w:r>
      <w:r w:rsidR="007E0FF5" w:rsidRPr="007E21E0">
        <w:rPr>
          <w:rFonts w:ascii="Gilroy" w:hAnsi="Gilroy"/>
          <w:sz w:val="22"/>
          <w:szCs w:val="22"/>
        </w:rPr>
        <w:t>several</w:t>
      </w:r>
      <w:r w:rsidRPr="007E21E0">
        <w:rPr>
          <w:rFonts w:ascii="Gilroy" w:hAnsi="Gilroy"/>
          <w:sz w:val="22"/>
          <w:szCs w:val="22"/>
        </w:rPr>
        <w:t xml:space="preserve"> training materials disclosed </w:t>
      </w:r>
      <w:r w:rsidR="0033217C" w:rsidRPr="007E21E0">
        <w:rPr>
          <w:rFonts w:ascii="Gilroy" w:hAnsi="Gilroy"/>
          <w:sz w:val="22"/>
          <w:szCs w:val="22"/>
        </w:rPr>
        <w:t>fr</w:t>
      </w:r>
      <w:r w:rsidR="007D57F5">
        <w:rPr>
          <w:rFonts w:ascii="Gilroy" w:hAnsi="Gilroy"/>
          <w:sz w:val="22"/>
          <w:szCs w:val="22"/>
        </w:rPr>
        <w:t>o</w:t>
      </w:r>
      <w:r w:rsidR="0033217C" w:rsidRPr="007E21E0">
        <w:rPr>
          <w:rFonts w:ascii="Gilroy" w:hAnsi="Gilroy"/>
          <w:sz w:val="22"/>
          <w:szCs w:val="22"/>
        </w:rPr>
        <w:t xml:space="preserve">m the Home Office </w:t>
      </w:r>
      <w:r w:rsidRPr="007E21E0">
        <w:rPr>
          <w:rFonts w:ascii="Gilroy" w:hAnsi="Gilroy"/>
          <w:sz w:val="22"/>
          <w:szCs w:val="22"/>
        </w:rPr>
        <w:t xml:space="preserve">in response </w:t>
      </w:r>
      <w:r w:rsidR="008E68EB">
        <w:rPr>
          <w:rFonts w:ascii="Gilroy" w:hAnsi="Gilroy"/>
          <w:sz w:val="22"/>
          <w:szCs w:val="22"/>
        </w:rPr>
        <w:t>to a</w:t>
      </w:r>
      <w:r w:rsidR="0033217C" w:rsidRPr="007E21E0">
        <w:rPr>
          <w:rFonts w:ascii="Gilroy" w:hAnsi="Gilroy"/>
          <w:sz w:val="22"/>
          <w:szCs w:val="22"/>
        </w:rPr>
        <w:t xml:space="preserve"> PI</w:t>
      </w:r>
      <w:r w:rsidR="008E68EB">
        <w:rPr>
          <w:rFonts w:ascii="Gilroy" w:hAnsi="Gilroy"/>
          <w:sz w:val="22"/>
          <w:szCs w:val="22"/>
        </w:rPr>
        <w:t xml:space="preserve"> complaint, </w:t>
      </w:r>
      <w:r w:rsidR="008E68EB" w:rsidRPr="007E21E0">
        <w:rPr>
          <w:rFonts w:ascii="Gilroy" w:hAnsi="Gilroy"/>
          <w:sz w:val="22"/>
          <w:szCs w:val="22"/>
        </w:rPr>
        <w:t>that</w:t>
      </w:r>
      <w:r w:rsidR="008E68EB">
        <w:rPr>
          <w:rFonts w:ascii="Gilroy" w:hAnsi="Gilroy"/>
          <w:sz w:val="22"/>
          <w:szCs w:val="22"/>
        </w:rPr>
        <w:t xml:space="preserve"> the</w:t>
      </w:r>
      <w:r w:rsidR="008E68EB" w:rsidRPr="007E21E0">
        <w:rPr>
          <w:rFonts w:ascii="Gilroy" w:hAnsi="Gilroy"/>
          <w:sz w:val="22"/>
          <w:szCs w:val="22"/>
        </w:rPr>
        <w:t xml:space="preserve"> IPIC's algorithmic outputs can include recommendations for referrals by the Home Office to other government departments for the cessation </w:t>
      </w:r>
      <w:r w:rsidR="00A22273">
        <w:rPr>
          <w:rFonts w:ascii="Gilroy" w:hAnsi="Gilroy"/>
          <w:sz w:val="22"/>
          <w:szCs w:val="22"/>
        </w:rPr>
        <w:t xml:space="preserve">or limitation </w:t>
      </w:r>
      <w:r w:rsidR="008E68EB" w:rsidRPr="007E21E0">
        <w:rPr>
          <w:rFonts w:ascii="Gilroy" w:hAnsi="Gilroy"/>
          <w:sz w:val="22"/>
          <w:szCs w:val="22"/>
        </w:rPr>
        <w:t xml:space="preserve">of certain </w:t>
      </w:r>
      <w:r w:rsidR="00A22273">
        <w:rPr>
          <w:rFonts w:ascii="Gilroy" w:hAnsi="Gilroy"/>
          <w:sz w:val="22"/>
          <w:szCs w:val="22"/>
        </w:rPr>
        <w:t xml:space="preserve">public </w:t>
      </w:r>
      <w:r w:rsidR="008E68EB" w:rsidRPr="007E21E0">
        <w:rPr>
          <w:rFonts w:ascii="Gilroy" w:hAnsi="Gilroy"/>
          <w:sz w:val="22"/>
          <w:szCs w:val="22"/>
        </w:rPr>
        <w:t>services and welfare benefits where a migrant is suspected of not having immigration status. The relevant Home Office policy</w:t>
      </w:r>
      <w:r w:rsidR="005C62A0">
        <w:rPr>
          <w:rFonts w:ascii="Gilroy" w:hAnsi="Gilroy"/>
          <w:sz w:val="22"/>
          <w:szCs w:val="22"/>
        </w:rPr>
        <w:t xml:space="preserve"> </w:t>
      </w:r>
      <w:r w:rsidR="008E68EB" w:rsidRPr="007E21E0">
        <w:rPr>
          <w:rFonts w:ascii="Gilroy" w:hAnsi="Gilroy"/>
          <w:sz w:val="22"/>
          <w:szCs w:val="22"/>
        </w:rPr>
        <w:t>includes referrals relating to the charging of N</w:t>
      </w:r>
      <w:r w:rsidR="006F783A">
        <w:rPr>
          <w:rFonts w:ascii="Gilroy" w:hAnsi="Gilroy"/>
          <w:sz w:val="22"/>
          <w:szCs w:val="22"/>
        </w:rPr>
        <w:t xml:space="preserve">ational </w:t>
      </w:r>
      <w:r w:rsidR="008E68EB" w:rsidRPr="007E21E0">
        <w:rPr>
          <w:rFonts w:ascii="Gilroy" w:hAnsi="Gilroy"/>
          <w:sz w:val="22"/>
          <w:szCs w:val="22"/>
        </w:rPr>
        <w:t>H</w:t>
      </w:r>
      <w:r w:rsidR="006F783A">
        <w:rPr>
          <w:rFonts w:ascii="Gilroy" w:hAnsi="Gilroy"/>
          <w:sz w:val="22"/>
          <w:szCs w:val="22"/>
        </w:rPr>
        <w:t xml:space="preserve">ealth </w:t>
      </w:r>
      <w:r w:rsidR="008E68EB" w:rsidRPr="007E21E0">
        <w:rPr>
          <w:rFonts w:ascii="Gilroy" w:hAnsi="Gilroy"/>
          <w:sz w:val="22"/>
          <w:szCs w:val="22"/>
        </w:rPr>
        <w:t>S</w:t>
      </w:r>
      <w:r w:rsidR="006F783A">
        <w:rPr>
          <w:rFonts w:ascii="Gilroy" w:hAnsi="Gilroy"/>
          <w:sz w:val="22"/>
          <w:szCs w:val="22"/>
        </w:rPr>
        <w:t>ervice (NHS)</w:t>
      </w:r>
      <w:r w:rsidR="008E68EB" w:rsidRPr="007E21E0">
        <w:rPr>
          <w:rFonts w:ascii="Gilroy" w:hAnsi="Gilroy"/>
          <w:sz w:val="22"/>
          <w:szCs w:val="22"/>
        </w:rPr>
        <w:t xml:space="preserve"> treatment in cases where individuals do not have immigration status.</w:t>
      </w:r>
      <w:r w:rsidR="008E68EB">
        <w:rPr>
          <w:rStyle w:val="FootnoteReference"/>
          <w:rFonts w:ascii="Gilroy" w:hAnsi="Gilroy"/>
          <w:sz w:val="22"/>
          <w:szCs w:val="22"/>
        </w:rPr>
        <w:footnoteReference w:id="26"/>
      </w:r>
    </w:p>
    <w:p w14:paraId="6C401703" w14:textId="77777777" w:rsidR="008E68EB" w:rsidRPr="007E21E0" w:rsidRDefault="00467372" w:rsidP="00467372">
      <w:pPr>
        <w:rPr>
          <w:rFonts w:ascii="Gilroy" w:hAnsi="Gilroy"/>
          <w:sz w:val="22"/>
          <w:szCs w:val="22"/>
        </w:rPr>
      </w:pPr>
      <w:r w:rsidRPr="007E21E0">
        <w:rPr>
          <w:rFonts w:ascii="Gilroy" w:hAnsi="Gilroy"/>
          <w:sz w:val="22"/>
          <w:szCs w:val="22"/>
        </w:rPr>
        <w:t xml:space="preserve"> </w:t>
      </w:r>
    </w:p>
    <w:p w14:paraId="71BFC1A0" w14:textId="77777777" w:rsidR="00467372" w:rsidRPr="007E21E0" w:rsidRDefault="00467372" w:rsidP="00467372">
      <w:pPr>
        <w:rPr>
          <w:rFonts w:ascii="Gilroy" w:hAnsi="Gilroy"/>
          <w:sz w:val="22"/>
          <w:szCs w:val="22"/>
        </w:rPr>
      </w:pPr>
      <w:r w:rsidRPr="007E21E0">
        <w:rPr>
          <w:rFonts w:ascii="Gilroy" w:hAnsi="Gilroy"/>
          <w:sz w:val="22"/>
          <w:szCs w:val="22"/>
        </w:rPr>
        <w:t xml:space="preserve">There is therefore an urgent need for greater transparency as regards how sensitive health data is being used in algorithmic decision-making for the purposes of immigration enforcement decisions and </w:t>
      </w:r>
      <w:r w:rsidR="0033217C" w:rsidRPr="007E21E0">
        <w:rPr>
          <w:rFonts w:ascii="Gilroy" w:hAnsi="Gilroy"/>
          <w:sz w:val="22"/>
          <w:szCs w:val="22"/>
        </w:rPr>
        <w:t>regarding</w:t>
      </w:r>
      <w:r w:rsidRPr="007E21E0">
        <w:rPr>
          <w:rFonts w:ascii="Gilroy" w:hAnsi="Gilroy"/>
          <w:sz w:val="22"/>
          <w:szCs w:val="22"/>
        </w:rPr>
        <w:t xml:space="preserve"> access to social security and healthcare.</w:t>
      </w:r>
    </w:p>
    <w:p w14:paraId="0E72D832" w14:textId="77777777" w:rsidR="006F5A33" w:rsidRPr="007E21E0" w:rsidRDefault="006F5A33" w:rsidP="00467372">
      <w:pPr>
        <w:rPr>
          <w:rFonts w:ascii="Gilroy" w:hAnsi="Gilroy"/>
          <w:sz w:val="22"/>
          <w:szCs w:val="22"/>
        </w:rPr>
      </w:pPr>
    </w:p>
    <w:p w14:paraId="66DCA0A5" w14:textId="7AD9C165" w:rsidR="006F5A33" w:rsidRPr="007E21E0" w:rsidRDefault="006F5A33" w:rsidP="006F5A33">
      <w:pPr>
        <w:pStyle w:val="ListParagraph"/>
        <w:numPr>
          <w:ilvl w:val="0"/>
          <w:numId w:val="1"/>
        </w:numPr>
        <w:rPr>
          <w:rFonts w:ascii="Gilroy" w:hAnsi="Gilroy"/>
          <w:b/>
          <w:bCs/>
          <w:sz w:val="22"/>
          <w:szCs w:val="22"/>
        </w:rPr>
      </w:pPr>
      <w:r w:rsidRPr="007E21E0">
        <w:rPr>
          <w:rFonts w:ascii="Gilroy" w:hAnsi="Gilroy"/>
          <w:b/>
          <w:bCs/>
          <w:sz w:val="22"/>
          <w:szCs w:val="22"/>
        </w:rPr>
        <w:t>The right of everyone to the enjoyment of the highest attainable standard of physical and mental health (Article 12)</w:t>
      </w:r>
    </w:p>
    <w:p w14:paraId="390BD9C5" w14:textId="77777777" w:rsidR="006F5A33" w:rsidRPr="007E21E0" w:rsidRDefault="006F5A33" w:rsidP="006F5A33">
      <w:pPr>
        <w:rPr>
          <w:rFonts w:ascii="Gilroy" w:hAnsi="Gilroy"/>
          <w:sz w:val="22"/>
          <w:szCs w:val="22"/>
        </w:rPr>
      </w:pPr>
    </w:p>
    <w:p w14:paraId="16AE2FC3" w14:textId="46AA1CB1" w:rsidR="006F5A33" w:rsidRPr="007E21E0" w:rsidRDefault="006F5A33" w:rsidP="006F5A33">
      <w:pPr>
        <w:rPr>
          <w:rFonts w:ascii="Gilroy" w:hAnsi="Gilroy"/>
          <w:sz w:val="22"/>
          <w:szCs w:val="22"/>
        </w:rPr>
      </w:pPr>
      <w:r w:rsidRPr="007E21E0">
        <w:rPr>
          <w:rFonts w:ascii="Gilroy" w:hAnsi="Gilroy"/>
          <w:sz w:val="22"/>
          <w:szCs w:val="22"/>
        </w:rPr>
        <w:t xml:space="preserve">General Comment 14 </w:t>
      </w:r>
      <w:r w:rsidR="00A22273">
        <w:rPr>
          <w:rFonts w:ascii="Gilroy" w:hAnsi="Gilroy"/>
          <w:sz w:val="22"/>
          <w:szCs w:val="22"/>
        </w:rPr>
        <w:t xml:space="preserve">of the CESCR </w:t>
      </w:r>
      <w:r w:rsidRPr="007E21E0">
        <w:rPr>
          <w:rFonts w:ascii="Gilroy" w:hAnsi="Gilroy"/>
          <w:sz w:val="22"/>
          <w:szCs w:val="22"/>
        </w:rPr>
        <w:t xml:space="preserve">outlines the that the realisation of the right to health is dependent on other rights including the right to privacy and healthcare should respect </w:t>
      </w:r>
      <w:r w:rsidRPr="007E21E0">
        <w:rPr>
          <w:rFonts w:ascii="Gilroy" w:hAnsi="Gilroy"/>
          <w:sz w:val="22"/>
          <w:szCs w:val="22"/>
        </w:rPr>
        <w:lastRenderedPageBreak/>
        <w:t>confidentiality and privacy.</w:t>
      </w:r>
      <w:r w:rsidRPr="007E21E0">
        <w:rPr>
          <w:rStyle w:val="FootnoteReference"/>
          <w:rFonts w:ascii="Gilroy" w:hAnsi="Gilroy"/>
          <w:sz w:val="22"/>
          <w:szCs w:val="22"/>
        </w:rPr>
        <w:footnoteReference w:id="27"/>
      </w:r>
      <w:r w:rsidRPr="007E21E0">
        <w:rPr>
          <w:rFonts w:ascii="Gilroy" w:hAnsi="Gilroy"/>
          <w:sz w:val="22"/>
          <w:szCs w:val="22"/>
        </w:rPr>
        <w:t xml:space="preserve"> Increasingly healthcare in the UK is being digitalised and we are seeing new technologies being used in healthcare, as well as the increasing involvement of private sector actors in healthcare, which are all presenting new threats to the realisation of the right to health and wider rights. </w:t>
      </w:r>
    </w:p>
    <w:p w14:paraId="336B1379" w14:textId="77777777" w:rsidR="006F5A33" w:rsidRPr="007E21E0" w:rsidRDefault="006F5A33" w:rsidP="006F5A33">
      <w:pPr>
        <w:rPr>
          <w:rFonts w:ascii="Gilroy" w:hAnsi="Gilroy"/>
          <w:sz w:val="22"/>
          <w:szCs w:val="22"/>
        </w:rPr>
      </w:pPr>
    </w:p>
    <w:p w14:paraId="25C21510" w14:textId="6DD9DD5D" w:rsidR="006F5A33" w:rsidRDefault="006F5A33" w:rsidP="006F5A33">
      <w:pPr>
        <w:rPr>
          <w:rFonts w:ascii="Gilroy" w:hAnsi="Gilroy"/>
          <w:sz w:val="22"/>
          <w:szCs w:val="22"/>
        </w:rPr>
      </w:pPr>
      <w:r w:rsidRPr="007E21E0">
        <w:rPr>
          <w:rFonts w:ascii="Gilroy" w:hAnsi="Gilroy"/>
          <w:sz w:val="22"/>
          <w:szCs w:val="22"/>
        </w:rPr>
        <w:t xml:space="preserve">The UK government </w:t>
      </w:r>
      <w:r w:rsidR="006E7B6E">
        <w:rPr>
          <w:rFonts w:ascii="Gilroy" w:hAnsi="Gilroy"/>
          <w:sz w:val="22"/>
          <w:szCs w:val="22"/>
        </w:rPr>
        <w:t xml:space="preserve">is currently consulting </w:t>
      </w:r>
      <w:r w:rsidRPr="007E21E0">
        <w:rPr>
          <w:rFonts w:ascii="Gilroy" w:hAnsi="Gilroy"/>
          <w:sz w:val="22"/>
          <w:szCs w:val="22"/>
        </w:rPr>
        <w:t>on the development of their 10 Year Health Plan which will transform the</w:t>
      </w:r>
      <w:r w:rsidR="006F783A">
        <w:rPr>
          <w:rFonts w:ascii="Gilroy" w:hAnsi="Gilroy"/>
          <w:sz w:val="22"/>
          <w:szCs w:val="22"/>
        </w:rPr>
        <w:t xml:space="preserve"> NHS</w:t>
      </w:r>
      <w:r w:rsidRPr="007E21E0">
        <w:rPr>
          <w:rFonts w:ascii="Gilroy" w:hAnsi="Gilroy"/>
          <w:sz w:val="22"/>
          <w:szCs w:val="22"/>
        </w:rPr>
        <w:t xml:space="preserve"> from analogue to digital.</w:t>
      </w:r>
      <w:r w:rsidRPr="007E21E0">
        <w:rPr>
          <w:rStyle w:val="FootnoteReference"/>
          <w:rFonts w:ascii="Gilroy" w:hAnsi="Gilroy"/>
          <w:sz w:val="22"/>
          <w:szCs w:val="22"/>
        </w:rPr>
        <w:footnoteReference w:id="28"/>
      </w:r>
      <w:r w:rsidRPr="007E21E0">
        <w:rPr>
          <w:rFonts w:ascii="Gilroy" w:hAnsi="Gilroy"/>
          <w:sz w:val="22"/>
          <w:szCs w:val="22"/>
        </w:rPr>
        <w:t xml:space="preserve"> The government has </w:t>
      </w:r>
      <w:r w:rsidR="006E7B6E">
        <w:rPr>
          <w:rFonts w:ascii="Gilroy" w:hAnsi="Gilroy"/>
          <w:sz w:val="22"/>
          <w:szCs w:val="22"/>
        </w:rPr>
        <w:t xml:space="preserve">suggested </w:t>
      </w:r>
      <w:r w:rsidRPr="007E21E0">
        <w:rPr>
          <w:rFonts w:ascii="Gilroy" w:hAnsi="Gilroy"/>
          <w:sz w:val="22"/>
          <w:szCs w:val="22"/>
        </w:rPr>
        <w:t xml:space="preserve">that this will include plans to introduce </w:t>
      </w:r>
      <w:r w:rsidR="006E7B6E">
        <w:rPr>
          <w:rFonts w:ascii="Gilroy" w:hAnsi="Gilroy"/>
          <w:sz w:val="22"/>
          <w:szCs w:val="22"/>
        </w:rPr>
        <w:t>‘</w:t>
      </w:r>
      <w:r w:rsidRPr="007E21E0">
        <w:rPr>
          <w:rFonts w:ascii="Gilroy" w:hAnsi="Gilroy"/>
          <w:sz w:val="22"/>
          <w:szCs w:val="22"/>
        </w:rPr>
        <w:t>patient passports</w:t>
      </w:r>
      <w:r w:rsidR="006E7B6E">
        <w:rPr>
          <w:rFonts w:ascii="Gilroy" w:hAnsi="Gilroy"/>
          <w:sz w:val="22"/>
          <w:szCs w:val="22"/>
        </w:rPr>
        <w:t>’</w:t>
      </w:r>
      <w:r w:rsidRPr="007E21E0">
        <w:rPr>
          <w:rFonts w:ascii="Gilroy" w:hAnsi="Gilroy"/>
          <w:sz w:val="22"/>
          <w:szCs w:val="22"/>
        </w:rPr>
        <w:t xml:space="preserve"> containing health data that can be accessed across health services.</w:t>
      </w:r>
      <w:r w:rsidRPr="007E21E0">
        <w:rPr>
          <w:rStyle w:val="FootnoteReference"/>
          <w:rFonts w:ascii="Gilroy" w:hAnsi="Gilroy"/>
          <w:sz w:val="22"/>
          <w:szCs w:val="22"/>
        </w:rPr>
        <w:footnoteReference w:id="29"/>
      </w:r>
      <w:r w:rsidRPr="007E21E0">
        <w:rPr>
          <w:rFonts w:ascii="Gilroy" w:hAnsi="Gilroy"/>
          <w:sz w:val="22"/>
          <w:szCs w:val="22"/>
        </w:rPr>
        <w:t xml:space="preserve"> These single patient records will combine a range of different data (including health information and test results) in one place, which could be potentially accessed by up to 1.5 million NHS staff without appropriate safeguards to uphold rights and ensure protections against abuse.</w:t>
      </w:r>
      <w:r w:rsidRPr="007E21E0">
        <w:rPr>
          <w:rStyle w:val="FootnoteReference"/>
          <w:rFonts w:ascii="Gilroy" w:hAnsi="Gilroy"/>
          <w:sz w:val="22"/>
          <w:szCs w:val="22"/>
        </w:rPr>
        <w:footnoteReference w:id="30"/>
      </w:r>
      <w:r w:rsidRPr="007E21E0">
        <w:rPr>
          <w:rFonts w:ascii="Gilroy" w:hAnsi="Gilroy"/>
          <w:sz w:val="22"/>
          <w:szCs w:val="22"/>
        </w:rPr>
        <w:t xml:space="preserve"> The Data Use and Access Bill, currently making its way through Parliament, supports this initiative by containing new legal provisions to facilitate the transfer of patient data across the NHS.</w:t>
      </w:r>
      <w:r w:rsidRPr="007E21E0">
        <w:rPr>
          <w:rStyle w:val="FootnoteReference"/>
          <w:rFonts w:ascii="Gilroy" w:hAnsi="Gilroy"/>
          <w:sz w:val="22"/>
          <w:szCs w:val="22"/>
        </w:rPr>
        <w:footnoteReference w:id="31"/>
      </w:r>
      <w:r w:rsidRPr="007E21E0">
        <w:rPr>
          <w:rFonts w:ascii="Gilroy" w:hAnsi="Gilroy"/>
          <w:sz w:val="22"/>
          <w:szCs w:val="22"/>
        </w:rPr>
        <w:t xml:space="preserve"> </w:t>
      </w:r>
      <w:r w:rsidR="00F91CD7" w:rsidRPr="007E21E0">
        <w:rPr>
          <w:rFonts w:ascii="Gilroy" w:hAnsi="Gilroy"/>
          <w:sz w:val="22"/>
          <w:szCs w:val="22"/>
        </w:rPr>
        <w:t xml:space="preserve">England’s Women's Health Strategy also included within its 10-year plan to make greater use of technologies such as period tracking and menopause apps and </w:t>
      </w:r>
      <w:proofErr w:type="spellStart"/>
      <w:r w:rsidR="00F91CD7" w:rsidRPr="007E21E0">
        <w:rPr>
          <w:rFonts w:ascii="Gilroy" w:hAnsi="Gilroy"/>
          <w:sz w:val="22"/>
          <w:szCs w:val="22"/>
        </w:rPr>
        <w:t>femtech</w:t>
      </w:r>
      <w:proofErr w:type="spellEnd"/>
      <w:r w:rsidR="00F91CD7" w:rsidRPr="007E21E0">
        <w:rPr>
          <w:rFonts w:ascii="Gilroy" w:hAnsi="Gilroy"/>
          <w:sz w:val="22"/>
          <w:szCs w:val="22"/>
        </w:rPr>
        <w:t xml:space="preserve"> more generally.</w:t>
      </w:r>
      <w:r w:rsidR="00F91CD7" w:rsidRPr="007E21E0">
        <w:rPr>
          <w:rStyle w:val="FootnoteReference"/>
          <w:rFonts w:ascii="Gilroy" w:hAnsi="Gilroy"/>
          <w:sz w:val="22"/>
          <w:szCs w:val="22"/>
        </w:rPr>
        <w:footnoteReference w:id="32"/>
      </w:r>
      <w:r w:rsidR="00F91CD7" w:rsidRPr="007E21E0">
        <w:rPr>
          <w:rFonts w:ascii="Gilroy" w:hAnsi="Gilroy"/>
          <w:sz w:val="22"/>
          <w:szCs w:val="22"/>
        </w:rPr>
        <w:t xml:space="preserve"> </w:t>
      </w:r>
    </w:p>
    <w:p w14:paraId="21AEC6BA" w14:textId="77777777" w:rsidR="003C0D61" w:rsidRDefault="003C0D61" w:rsidP="006F5A33">
      <w:pPr>
        <w:rPr>
          <w:rFonts w:ascii="Gilroy" w:hAnsi="Gilroy"/>
          <w:sz w:val="22"/>
          <w:szCs w:val="22"/>
        </w:rPr>
      </w:pPr>
    </w:p>
    <w:p w14:paraId="269AB0B5" w14:textId="40AC85BF" w:rsidR="003C0D61" w:rsidRDefault="006E7B6E" w:rsidP="00B1621D">
      <w:pPr>
        <w:rPr>
          <w:rFonts w:ascii="Gilroy" w:hAnsi="Gilroy"/>
          <w:sz w:val="22"/>
          <w:szCs w:val="22"/>
        </w:rPr>
      </w:pPr>
      <w:r>
        <w:rPr>
          <w:rFonts w:ascii="Gilroy" w:hAnsi="Gilroy"/>
          <w:sz w:val="22"/>
          <w:szCs w:val="22"/>
        </w:rPr>
        <w:t>PI is</w:t>
      </w:r>
      <w:r w:rsidR="00B1621D">
        <w:rPr>
          <w:rFonts w:ascii="Gilroy" w:hAnsi="Gilroy"/>
          <w:sz w:val="22"/>
          <w:szCs w:val="22"/>
        </w:rPr>
        <w:t xml:space="preserve"> also concerned </w:t>
      </w:r>
      <w:r>
        <w:rPr>
          <w:rFonts w:ascii="Gilroy" w:hAnsi="Gilroy"/>
          <w:sz w:val="22"/>
          <w:szCs w:val="22"/>
        </w:rPr>
        <w:t xml:space="preserve">about reports </w:t>
      </w:r>
      <w:r w:rsidR="00B1621D">
        <w:rPr>
          <w:rFonts w:ascii="Gilroy" w:hAnsi="Gilroy"/>
          <w:sz w:val="22"/>
          <w:szCs w:val="22"/>
        </w:rPr>
        <w:t xml:space="preserve">that </w:t>
      </w:r>
      <w:r w:rsidR="003C0D61" w:rsidRPr="003C0D61">
        <w:rPr>
          <w:rFonts w:ascii="Gilroy" w:hAnsi="Gilroy"/>
          <w:sz w:val="22"/>
          <w:szCs w:val="22"/>
        </w:rPr>
        <w:t xml:space="preserve">UK healthcare data records </w:t>
      </w:r>
      <w:r w:rsidR="00B1621D">
        <w:rPr>
          <w:rFonts w:ascii="Gilroy" w:hAnsi="Gilroy"/>
          <w:sz w:val="22"/>
          <w:szCs w:val="22"/>
        </w:rPr>
        <w:t>could be</w:t>
      </w:r>
      <w:r w:rsidR="003C0D61" w:rsidRPr="003C0D61">
        <w:rPr>
          <w:rFonts w:ascii="Gilroy" w:hAnsi="Gilroy"/>
          <w:sz w:val="22"/>
          <w:szCs w:val="22"/>
        </w:rPr>
        <w:t xml:space="preserve"> combined with other forms of public sector data</w:t>
      </w:r>
      <w:r>
        <w:rPr>
          <w:rFonts w:ascii="Gilroy" w:hAnsi="Gilroy"/>
          <w:sz w:val="22"/>
          <w:szCs w:val="22"/>
        </w:rPr>
        <w:t>,</w:t>
      </w:r>
      <w:r w:rsidR="00B1621D">
        <w:rPr>
          <w:rFonts w:ascii="Gilroy" w:hAnsi="Gilroy"/>
          <w:sz w:val="22"/>
          <w:szCs w:val="22"/>
        </w:rPr>
        <w:t xml:space="preserve"> for example s</w:t>
      </w:r>
      <w:r w:rsidR="00B1621D" w:rsidRPr="003C0D61">
        <w:rPr>
          <w:rFonts w:ascii="Gilroy" w:hAnsi="Gilroy"/>
          <w:sz w:val="22"/>
          <w:szCs w:val="22"/>
        </w:rPr>
        <w:t>ocial housing data</w:t>
      </w:r>
      <w:r w:rsidR="002A5655">
        <w:rPr>
          <w:rFonts w:ascii="Gilroy" w:hAnsi="Gilroy"/>
          <w:sz w:val="22"/>
          <w:szCs w:val="22"/>
        </w:rPr>
        <w:t xml:space="preserve"> </w:t>
      </w:r>
      <w:r w:rsidR="00B1621D">
        <w:rPr>
          <w:rFonts w:ascii="Gilroy" w:hAnsi="Gilroy"/>
          <w:sz w:val="22"/>
          <w:szCs w:val="22"/>
        </w:rPr>
        <w:t>and e</w:t>
      </w:r>
      <w:r w:rsidR="00B1621D" w:rsidRPr="003C0D61">
        <w:rPr>
          <w:rFonts w:ascii="Gilroy" w:hAnsi="Gilroy"/>
          <w:sz w:val="22"/>
          <w:szCs w:val="22"/>
        </w:rPr>
        <w:t>mployment and earnings data</w:t>
      </w:r>
      <w:r w:rsidR="002A5655">
        <w:rPr>
          <w:rFonts w:ascii="Gilroy" w:hAnsi="Gilroy"/>
          <w:sz w:val="22"/>
          <w:szCs w:val="22"/>
        </w:rPr>
        <w:t>,</w:t>
      </w:r>
      <w:r w:rsidR="00B1621D">
        <w:rPr>
          <w:rFonts w:ascii="Gilroy" w:hAnsi="Gilroy"/>
          <w:sz w:val="22"/>
          <w:szCs w:val="22"/>
        </w:rPr>
        <w:t xml:space="preserve"> </w:t>
      </w:r>
      <w:r w:rsidR="003C0D61" w:rsidRPr="003C0D61">
        <w:rPr>
          <w:rFonts w:ascii="Gilroy" w:hAnsi="Gilroy"/>
          <w:sz w:val="22"/>
          <w:szCs w:val="22"/>
        </w:rPr>
        <w:t>which may result in re-identification, discrimination, or restricting access to health services.</w:t>
      </w:r>
      <w:r w:rsidR="002A5655">
        <w:rPr>
          <w:rStyle w:val="FootnoteReference"/>
          <w:rFonts w:ascii="Gilroy" w:hAnsi="Gilroy"/>
          <w:sz w:val="22"/>
          <w:szCs w:val="22"/>
        </w:rPr>
        <w:footnoteReference w:id="33"/>
      </w:r>
      <w:r w:rsidR="003C0D61" w:rsidRPr="003C0D61">
        <w:rPr>
          <w:rFonts w:ascii="Gilroy" w:hAnsi="Gilroy"/>
          <w:sz w:val="22"/>
          <w:szCs w:val="22"/>
        </w:rPr>
        <w:t xml:space="preserve"> </w:t>
      </w:r>
    </w:p>
    <w:p w14:paraId="7D25F31C" w14:textId="77777777" w:rsidR="0061055A" w:rsidRDefault="0061055A" w:rsidP="006F5A33">
      <w:pPr>
        <w:rPr>
          <w:rFonts w:ascii="Gilroy" w:hAnsi="Gilroy"/>
          <w:sz w:val="22"/>
          <w:szCs w:val="22"/>
        </w:rPr>
      </w:pPr>
    </w:p>
    <w:p w14:paraId="33EC6CB6" w14:textId="36492006" w:rsidR="008E68EB" w:rsidRPr="008E68EB" w:rsidRDefault="008E68EB" w:rsidP="006F5A33">
      <w:pPr>
        <w:rPr>
          <w:rFonts w:ascii="Gilroy" w:hAnsi="Gilroy"/>
          <w:i/>
          <w:iCs/>
          <w:sz w:val="22"/>
          <w:szCs w:val="22"/>
        </w:rPr>
      </w:pPr>
      <w:r w:rsidRPr="008E68EB">
        <w:rPr>
          <w:rFonts w:ascii="Gilroy" w:hAnsi="Gilroy"/>
          <w:i/>
          <w:iCs/>
          <w:sz w:val="22"/>
          <w:szCs w:val="22"/>
        </w:rPr>
        <w:t>New technologies</w:t>
      </w:r>
      <w:r w:rsidR="00B1621D">
        <w:rPr>
          <w:rFonts w:ascii="Gilroy" w:hAnsi="Gilroy"/>
          <w:i/>
          <w:iCs/>
          <w:sz w:val="22"/>
          <w:szCs w:val="22"/>
        </w:rPr>
        <w:t xml:space="preserve"> </w:t>
      </w:r>
      <w:r>
        <w:rPr>
          <w:rFonts w:ascii="Gilroy" w:hAnsi="Gilroy"/>
          <w:i/>
          <w:iCs/>
          <w:sz w:val="22"/>
          <w:szCs w:val="22"/>
        </w:rPr>
        <w:t xml:space="preserve">in healthcare </w:t>
      </w:r>
    </w:p>
    <w:p w14:paraId="10135F8E" w14:textId="77777777" w:rsidR="008E68EB" w:rsidRDefault="008E68EB" w:rsidP="006F5A33">
      <w:pPr>
        <w:rPr>
          <w:rFonts w:ascii="Gilroy" w:hAnsi="Gilroy"/>
          <w:sz w:val="22"/>
          <w:szCs w:val="22"/>
        </w:rPr>
      </w:pPr>
    </w:p>
    <w:p w14:paraId="52459178" w14:textId="645132AE" w:rsidR="007D57F5" w:rsidRDefault="007D57F5" w:rsidP="006F5A33">
      <w:pPr>
        <w:rPr>
          <w:rFonts w:ascii="Gilroy" w:hAnsi="Gilroy"/>
          <w:sz w:val="22"/>
          <w:szCs w:val="22"/>
        </w:rPr>
      </w:pPr>
      <w:r>
        <w:rPr>
          <w:rFonts w:ascii="Gilroy" w:hAnsi="Gilroy"/>
          <w:sz w:val="22"/>
          <w:szCs w:val="22"/>
        </w:rPr>
        <w:t>UK h</w:t>
      </w:r>
      <w:r w:rsidRPr="007E21E0">
        <w:rPr>
          <w:rFonts w:ascii="Gilroy" w:hAnsi="Gilroy"/>
          <w:sz w:val="22"/>
          <w:szCs w:val="22"/>
        </w:rPr>
        <w:t>ealthcare professionals are</w:t>
      </w:r>
      <w:r>
        <w:rPr>
          <w:rFonts w:ascii="Gilroy" w:hAnsi="Gilroy"/>
          <w:sz w:val="22"/>
          <w:szCs w:val="22"/>
        </w:rPr>
        <w:t xml:space="preserve"> </w:t>
      </w:r>
      <w:r w:rsidRPr="007E21E0">
        <w:rPr>
          <w:rFonts w:ascii="Gilroy" w:hAnsi="Gilroy"/>
          <w:sz w:val="22"/>
          <w:szCs w:val="22"/>
        </w:rPr>
        <w:t xml:space="preserve">increasingly </w:t>
      </w:r>
      <w:r>
        <w:rPr>
          <w:rFonts w:ascii="Gilroy" w:hAnsi="Gilroy"/>
          <w:sz w:val="22"/>
          <w:szCs w:val="22"/>
        </w:rPr>
        <w:t xml:space="preserve">reported to be </w:t>
      </w:r>
      <w:r w:rsidRPr="007E21E0">
        <w:rPr>
          <w:rFonts w:ascii="Gilroy" w:hAnsi="Gilroy"/>
          <w:sz w:val="22"/>
          <w:szCs w:val="22"/>
        </w:rPr>
        <w:t>using social media and AI tools without adequate safeguards for patient confidentiality and privacy.</w:t>
      </w:r>
      <w:r w:rsidRPr="007E21E0">
        <w:rPr>
          <w:rStyle w:val="FootnoteReference"/>
          <w:rFonts w:ascii="Gilroy" w:hAnsi="Gilroy"/>
          <w:sz w:val="22"/>
          <w:szCs w:val="22"/>
        </w:rPr>
        <w:footnoteReference w:id="34"/>
      </w:r>
      <w:r w:rsidRPr="007E21E0">
        <w:rPr>
          <w:rFonts w:ascii="Gilroy" w:hAnsi="Gilroy"/>
          <w:sz w:val="22"/>
          <w:szCs w:val="22"/>
        </w:rPr>
        <w:t xml:space="preserve"> Further still </w:t>
      </w:r>
      <w:r>
        <w:rPr>
          <w:rFonts w:ascii="Gilroy" w:hAnsi="Gilroy"/>
          <w:sz w:val="22"/>
          <w:szCs w:val="22"/>
        </w:rPr>
        <w:t xml:space="preserve">some </w:t>
      </w:r>
      <w:r w:rsidR="00FE10CB">
        <w:rPr>
          <w:rFonts w:ascii="Gilroy" w:hAnsi="Gilroy"/>
          <w:sz w:val="22"/>
          <w:szCs w:val="22"/>
        </w:rPr>
        <w:t xml:space="preserve">AI </w:t>
      </w:r>
      <w:r w:rsidRPr="007E21E0">
        <w:rPr>
          <w:rFonts w:ascii="Gilroy" w:hAnsi="Gilroy"/>
          <w:sz w:val="22"/>
          <w:szCs w:val="22"/>
        </w:rPr>
        <w:t xml:space="preserve">tools can also </w:t>
      </w:r>
      <w:r w:rsidR="00FE10CB">
        <w:rPr>
          <w:rFonts w:ascii="Gilroy" w:hAnsi="Gilroy"/>
          <w:sz w:val="22"/>
          <w:szCs w:val="22"/>
        </w:rPr>
        <w:t xml:space="preserve">lead to discriminatory outcomes </w:t>
      </w:r>
      <w:r w:rsidRPr="007E21E0">
        <w:rPr>
          <w:rFonts w:ascii="Gilroy" w:hAnsi="Gilroy"/>
          <w:sz w:val="22"/>
          <w:szCs w:val="22"/>
        </w:rPr>
        <w:t xml:space="preserve">if trained on biased data sets and </w:t>
      </w:r>
      <w:r w:rsidRPr="007E21E0">
        <w:rPr>
          <w:rFonts w:ascii="Gilroy" w:hAnsi="Gilroy"/>
          <w:sz w:val="22"/>
          <w:szCs w:val="22"/>
        </w:rPr>
        <w:lastRenderedPageBreak/>
        <w:t xml:space="preserve">may lead to </w:t>
      </w:r>
      <w:r w:rsidR="00FE10CB">
        <w:rPr>
          <w:rFonts w:ascii="Gilroy" w:hAnsi="Gilroy"/>
          <w:sz w:val="22"/>
          <w:szCs w:val="22"/>
        </w:rPr>
        <w:t xml:space="preserve">discrimination and exclusion of marginalised </w:t>
      </w:r>
      <w:r w:rsidRPr="007E21E0">
        <w:rPr>
          <w:rFonts w:ascii="Gilroy" w:hAnsi="Gilroy"/>
          <w:sz w:val="22"/>
          <w:szCs w:val="22"/>
        </w:rPr>
        <w:t xml:space="preserve">groups </w:t>
      </w:r>
      <w:r w:rsidR="00FE10CB">
        <w:rPr>
          <w:rFonts w:ascii="Gilroy" w:hAnsi="Gilroy"/>
          <w:sz w:val="22"/>
          <w:szCs w:val="22"/>
        </w:rPr>
        <w:t>including on grounds of</w:t>
      </w:r>
      <w:r w:rsidR="002A5655">
        <w:rPr>
          <w:rFonts w:ascii="Gilroy" w:hAnsi="Gilroy"/>
          <w:sz w:val="22"/>
          <w:szCs w:val="22"/>
        </w:rPr>
        <w:t xml:space="preserve"> </w:t>
      </w:r>
      <w:r w:rsidRPr="007E21E0">
        <w:rPr>
          <w:rFonts w:ascii="Gilroy" w:hAnsi="Gilroy"/>
          <w:sz w:val="22"/>
          <w:szCs w:val="22"/>
        </w:rPr>
        <w:t>race, gender, class, migration status, disability, sexual orientation and gender identity. The</w:t>
      </w:r>
      <w:r w:rsidR="003C0D61">
        <w:rPr>
          <w:rFonts w:ascii="Gilroy" w:hAnsi="Gilroy"/>
          <w:sz w:val="22"/>
          <w:szCs w:val="22"/>
        </w:rPr>
        <w:t xml:space="preserve"> issue</w:t>
      </w:r>
      <w:r w:rsidRPr="007E21E0">
        <w:rPr>
          <w:rFonts w:ascii="Gilroy" w:hAnsi="Gilroy"/>
          <w:sz w:val="22"/>
          <w:szCs w:val="22"/>
        </w:rPr>
        <w:t xml:space="preserve"> was raised by the UN Special Rapporteur on contemporary forms of racism in her thematic report on AI and racism to which PI provided input during the call for evidence.</w:t>
      </w:r>
      <w:r w:rsidRPr="007E21E0">
        <w:rPr>
          <w:rStyle w:val="FootnoteReference"/>
          <w:rFonts w:ascii="Gilroy" w:hAnsi="Gilroy"/>
          <w:sz w:val="22"/>
          <w:szCs w:val="22"/>
        </w:rPr>
        <w:footnoteReference w:id="35"/>
      </w:r>
      <w:r w:rsidRPr="007E21E0">
        <w:rPr>
          <w:rFonts w:ascii="Gilroy" w:hAnsi="Gilroy"/>
          <w:sz w:val="22"/>
          <w:szCs w:val="22"/>
        </w:rPr>
        <w:t xml:space="preserve"> The rapporteur specifically drew out health as an important sector and specifically highlighted an example of skin cancer detection technology showing poorer performance for individuals with darker skin tones, because many of the publicly available image data sets used to train them are biased, with a lack of diversity in skin tones and ethnic backgrounds.</w:t>
      </w:r>
      <w:r w:rsidRPr="007E21E0">
        <w:rPr>
          <w:rStyle w:val="FootnoteReference"/>
          <w:rFonts w:ascii="Gilroy" w:hAnsi="Gilroy"/>
          <w:sz w:val="22"/>
          <w:szCs w:val="22"/>
        </w:rPr>
        <w:footnoteReference w:id="36"/>
      </w:r>
      <w:r w:rsidRPr="007E21E0">
        <w:rPr>
          <w:rFonts w:ascii="Gilroy" w:hAnsi="Gilroy"/>
          <w:sz w:val="22"/>
          <w:szCs w:val="22"/>
        </w:rPr>
        <w:t xml:space="preserve"> </w:t>
      </w:r>
    </w:p>
    <w:p w14:paraId="51EA7BFD" w14:textId="77777777" w:rsidR="007D57F5" w:rsidRDefault="007D57F5" w:rsidP="006F5A33">
      <w:pPr>
        <w:rPr>
          <w:rFonts w:ascii="Gilroy" w:hAnsi="Gilroy"/>
          <w:sz w:val="22"/>
          <w:szCs w:val="22"/>
        </w:rPr>
      </w:pPr>
    </w:p>
    <w:p w14:paraId="2BA3791F" w14:textId="77777777" w:rsidR="0061055A" w:rsidRPr="008E68EB" w:rsidRDefault="0061055A" w:rsidP="006F5A33">
      <w:pPr>
        <w:rPr>
          <w:rFonts w:ascii="Gilroy" w:hAnsi="Gilroy"/>
          <w:i/>
          <w:iCs/>
          <w:sz w:val="22"/>
          <w:szCs w:val="22"/>
        </w:rPr>
      </w:pPr>
      <w:r w:rsidRPr="008E68EB">
        <w:rPr>
          <w:rFonts w:ascii="Gilroy" w:hAnsi="Gilroy"/>
          <w:i/>
          <w:iCs/>
          <w:sz w:val="22"/>
          <w:szCs w:val="22"/>
        </w:rPr>
        <w:t xml:space="preserve">Private </w:t>
      </w:r>
      <w:r w:rsidR="008E68EB" w:rsidRPr="008E68EB">
        <w:rPr>
          <w:rFonts w:ascii="Gilroy" w:hAnsi="Gilroy"/>
          <w:i/>
          <w:iCs/>
          <w:sz w:val="22"/>
          <w:szCs w:val="22"/>
        </w:rPr>
        <w:t>actors’</w:t>
      </w:r>
      <w:r w:rsidRPr="008E68EB">
        <w:rPr>
          <w:rFonts w:ascii="Gilroy" w:hAnsi="Gilroy"/>
          <w:i/>
          <w:iCs/>
          <w:sz w:val="22"/>
          <w:szCs w:val="22"/>
        </w:rPr>
        <w:t xml:space="preserve"> involvement in health</w:t>
      </w:r>
      <w:r w:rsidR="008E68EB">
        <w:rPr>
          <w:rFonts w:ascii="Gilroy" w:hAnsi="Gilroy"/>
          <w:i/>
          <w:iCs/>
          <w:sz w:val="22"/>
          <w:szCs w:val="22"/>
        </w:rPr>
        <w:t>care</w:t>
      </w:r>
      <w:r w:rsidRPr="008E68EB">
        <w:rPr>
          <w:rFonts w:ascii="Gilroy" w:hAnsi="Gilroy"/>
          <w:i/>
          <w:iCs/>
          <w:sz w:val="22"/>
          <w:szCs w:val="22"/>
        </w:rPr>
        <w:t xml:space="preserve"> </w:t>
      </w:r>
    </w:p>
    <w:p w14:paraId="396A566E" w14:textId="77777777" w:rsidR="0061055A" w:rsidRDefault="0061055A" w:rsidP="006F5A33">
      <w:pPr>
        <w:rPr>
          <w:rFonts w:ascii="Gilroy" w:hAnsi="Gilroy"/>
          <w:sz w:val="22"/>
          <w:szCs w:val="22"/>
        </w:rPr>
      </w:pPr>
    </w:p>
    <w:p w14:paraId="3F828E55" w14:textId="77777777" w:rsidR="00ED6FC8" w:rsidRDefault="006F5A33" w:rsidP="006F5A33">
      <w:pPr>
        <w:rPr>
          <w:rFonts w:ascii="Gilroy" w:hAnsi="Gilroy"/>
          <w:sz w:val="22"/>
          <w:szCs w:val="22"/>
        </w:rPr>
      </w:pPr>
      <w:r w:rsidRPr="007E21E0">
        <w:rPr>
          <w:rFonts w:ascii="Gilroy" w:hAnsi="Gilroy"/>
          <w:sz w:val="22"/>
          <w:szCs w:val="22"/>
        </w:rPr>
        <w:t>The involvement of private actors also poses risks to the right to privacy and health, as the proliferation of personal health data gives rise to the risk of security systems being breached through malware and hackers, as well as the risk that personal data will be sold to third parties for uses not originally consented to.</w:t>
      </w:r>
      <w:r w:rsidRPr="007E21E0">
        <w:rPr>
          <w:rStyle w:val="FootnoteReference"/>
          <w:rFonts w:ascii="Gilroy" w:hAnsi="Gilroy"/>
          <w:sz w:val="22"/>
          <w:szCs w:val="22"/>
        </w:rPr>
        <w:footnoteReference w:id="37"/>
      </w:r>
      <w:r w:rsidRPr="007E21E0">
        <w:rPr>
          <w:rFonts w:ascii="Gilroy" w:hAnsi="Gilroy"/>
          <w:sz w:val="22"/>
          <w:szCs w:val="22"/>
        </w:rPr>
        <w:t xml:space="preserve"> </w:t>
      </w:r>
    </w:p>
    <w:p w14:paraId="0E9B1A97" w14:textId="77777777" w:rsidR="00ED6FC8" w:rsidRDefault="00ED6FC8" w:rsidP="006F5A33">
      <w:pPr>
        <w:rPr>
          <w:rFonts w:ascii="Gilroy" w:hAnsi="Gilroy"/>
          <w:sz w:val="22"/>
          <w:szCs w:val="22"/>
        </w:rPr>
      </w:pPr>
    </w:p>
    <w:p w14:paraId="6F57BFCF" w14:textId="54C9584D" w:rsidR="006F5A33" w:rsidRPr="007E21E0" w:rsidRDefault="006F5A33" w:rsidP="006F5A33">
      <w:pPr>
        <w:rPr>
          <w:rFonts w:ascii="Gilroy" w:hAnsi="Gilroy"/>
          <w:sz w:val="22"/>
          <w:szCs w:val="22"/>
        </w:rPr>
      </w:pPr>
      <w:r w:rsidRPr="007E21E0">
        <w:rPr>
          <w:rFonts w:ascii="Gilroy" w:hAnsi="Gilroy"/>
          <w:sz w:val="22"/>
          <w:szCs w:val="22"/>
        </w:rPr>
        <w:t>Throughout the Covid-19 Pandemic the UK government awarded at least £1.7 billion in contracts to private companies, most of them without a competitive tender.</w:t>
      </w:r>
      <w:r w:rsidRPr="007E21E0">
        <w:rPr>
          <w:rStyle w:val="FootnoteReference"/>
          <w:rFonts w:ascii="Gilroy" w:hAnsi="Gilroy"/>
          <w:sz w:val="22"/>
          <w:szCs w:val="22"/>
        </w:rPr>
        <w:footnoteReference w:id="38"/>
      </w:r>
      <w:r w:rsidRPr="007E21E0">
        <w:rPr>
          <w:rFonts w:ascii="Gilroy" w:hAnsi="Gilroy"/>
          <w:sz w:val="22"/>
          <w:szCs w:val="22"/>
        </w:rPr>
        <w:t xml:space="preserve"> Most notably, the UK Government granted Palantir a £1 contract allowing them to access reportedly unprecedented quantities of NHS patient data during the pandemic.</w:t>
      </w:r>
      <w:r w:rsidRPr="007E21E0">
        <w:rPr>
          <w:rStyle w:val="FootnoteReference"/>
          <w:rFonts w:ascii="Gilroy" w:hAnsi="Gilroy"/>
          <w:sz w:val="22"/>
          <w:szCs w:val="22"/>
        </w:rPr>
        <w:footnoteReference w:id="39"/>
      </w:r>
      <w:r w:rsidRPr="007E21E0">
        <w:rPr>
          <w:rFonts w:ascii="Gilroy" w:hAnsi="Gilroy"/>
          <w:sz w:val="22"/>
          <w:szCs w:val="22"/>
        </w:rPr>
        <w:t xml:space="preserve"> Palantir is a US based data analytics firm who have numerous contracts with intelligence agencies, military forces, or law enforcement and immigration authorities that have raised human rights concerns.</w:t>
      </w:r>
      <w:r w:rsidRPr="007E21E0">
        <w:rPr>
          <w:rStyle w:val="FootnoteReference"/>
          <w:rFonts w:ascii="Gilroy" w:hAnsi="Gilroy"/>
          <w:sz w:val="22"/>
          <w:szCs w:val="22"/>
        </w:rPr>
        <w:footnoteReference w:id="40"/>
      </w:r>
      <w:r w:rsidRPr="007E21E0">
        <w:rPr>
          <w:rFonts w:ascii="Gilroy" w:hAnsi="Gilroy"/>
          <w:sz w:val="22"/>
          <w:szCs w:val="22"/>
        </w:rPr>
        <w:t xml:space="preserve"> Yet despite this track record the UK government awarded Palantir a £330m contract to create a new Federated Data Platform (FDP) in November 2023.</w:t>
      </w:r>
      <w:r w:rsidRPr="007E21E0">
        <w:rPr>
          <w:rStyle w:val="FootnoteReference"/>
          <w:rFonts w:ascii="Gilroy" w:hAnsi="Gilroy"/>
          <w:sz w:val="22"/>
          <w:szCs w:val="22"/>
        </w:rPr>
        <w:footnoteReference w:id="41"/>
      </w:r>
      <w:r w:rsidRPr="007E21E0">
        <w:rPr>
          <w:rFonts w:ascii="Gilroy" w:hAnsi="Gilroy"/>
          <w:sz w:val="22"/>
          <w:szCs w:val="22"/>
        </w:rPr>
        <w:t xml:space="preserve"> </w:t>
      </w:r>
      <w:r w:rsidR="00ED6FC8" w:rsidRPr="007E21E0">
        <w:rPr>
          <w:rFonts w:ascii="Gilroy" w:hAnsi="Gilroy"/>
          <w:sz w:val="22"/>
          <w:szCs w:val="22"/>
        </w:rPr>
        <w:t xml:space="preserve">Palantir's CEO has already suggested that its FDP may also help sell NHS data </w:t>
      </w:r>
      <w:r w:rsidR="003C0D61">
        <w:rPr>
          <w:rFonts w:ascii="Gilroy" w:hAnsi="Gilroy"/>
          <w:sz w:val="22"/>
          <w:szCs w:val="22"/>
        </w:rPr>
        <w:t>a</w:t>
      </w:r>
      <w:r w:rsidR="00ED6FC8" w:rsidRPr="007E21E0">
        <w:rPr>
          <w:rFonts w:ascii="Gilroy" w:hAnsi="Gilroy"/>
          <w:sz w:val="22"/>
          <w:szCs w:val="22"/>
        </w:rPr>
        <w:t xml:space="preserve">nd reports </w:t>
      </w:r>
      <w:r w:rsidR="00B315EB">
        <w:rPr>
          <w:rFonts w:ascii="Gilroy" w:hAnsi="Gilroy"/>
          <w:sz w:val="22"/>
          <w:szCs w:val="22"/>
        </w:rPr>
        <w:t xml:space="preserve">emerged </w:t>
      </w:r>
      <w:r w:rsidR="003C0D61">
        <w:rPr>
          <w:rFonts w:ascii="Gilroy" w:hAnsi="Gilroy"/>
          <w:sz w:val="22"/>
          <w:szCs w:val="22"/>
        </w:rPr>
        <w:t xml:space="preserve">that data collected across the </w:t>
      </w:r>
      <w:r w:rsidR="00ED6FC8" w:rsidRPr="007E21E0">
        <w:rPr>
          <w:rFonts w:ascii="Gilroy" w:hAnsi="Gilroy"/>
          <w:sz w:val="22"/>
          <w:szCs w:val="22"/>
        </w:rPr>
        <w:t xml:space="preserve">FDP </w:t>
      </w:r>
      <w:r w:rsidR="003C0D61">
        <w:rPr>
          <w:rFonts w:ascii="Gilroy" w:hAnsi="Gilroy"/>
          <w:sz w:val="22"/>
          <w:szCs w:val="22"/>
        </w:rPr>
        <w:t>could be</w:t>
      </w:r>
      <w:r w:rsidR="00ED6FC8" w:rsidRPr="007E21E0">
        <w:rPr>
          <w:rFonts w:ascii="Gilroy" w:hAnsi="Gilroy"/>
          <w:sz w:val="22"/>
          <w:szCs w:val="22"/>
        </w:rPr>
        <w:t xml:space="preserve"> used to train AI models.</w:t>
      </w:r>
      <w:r w:rsidR="00ED6FC8" w:rsidRPr="007E21E0">
        <w:rPr>
          <w:rStyle w:val="FootnoteReference"/>
          <w:rFonts w:ascii="Gilroy" w:hAnsi="Gilroy"/>
          <w:sz w:val="22"/>
          <w:szCs w:val="22"/>
        </w:rPr>
        <w:footnoteReference w:id="42"/>
      </w:r>
      <w:r w:rsidR="00ED6FC8">
        <w:rPr>
          <w:rFonts w:ascii="Gilroy" w:hAnsi="Gilroy"/>
          <w:sz w:val="22"/>
          <w:szCs w:val="22"/>
        </w:rPr>
        <w:t xml:space="preserve"> </w:t>
      </w:r>
      <w:r w:rsidRPr="007E21E0">
        <w:rPr>
          <w:rFonts w:ascii="Gilroy" w:hAnsi="Gilroy"/>
          <w:sz w:val="22"/>
          <w:szCs w:val="22"/>
        </w:rPr>
        <w:t xml:space="preserve">The government have </w:t>
      </w:r>
      <w:r w:rsidR="003C0D61">
        <w:rPr>
          <w:rFonts w:ascii="Gilroy" w:hAnsi="Gilroy"/>
          <w:sz w:val="22"/>
          <w:szCs w:val="22"/>
        </w:rPr>
        <w:t xml:space="preserve">already </w:t>
      </w:r>
      <w:r w:rsidRPr="007E21E0">
        <w:rPr>
          <w:rFonts w:ascii="Gilroy" w:hAnsi="Gilroy"/>
          <w:sz w:val="22"/>
          <w:szCs w:val="22"/>
        </w:rPr>
        <w:t>faced legal action regarding access to the</w:t>
      </w:r>
      <w:r w:rsidR="00ED6FC8">
        <w:rPr>
          <w:rFonts w:ascii="Gilroy" w:hAnsi="Gilroy"/>
          <w:sz w:val="22"/>
          <w:szCs w:val="22"/>
        </w:rPr>
        <w:t>ir</w:t>
      </w:r>
      <w:r w:rsidRPr="007E21E0">
        <w:rPr>
          <w:rFonts w:ascii="Gilroy" w:hAnsi="Gilroy"/>
          <w:sz w:val="22"/>
          <w:szCs w:val="22"/>
        </w:rPr>
        <w:t xml:space="preserve"> contract with Palantir</w:t>
      </w:r>
      <w:r w:rsidR="00ED6FC8">
        <w:rPr>
          <w:rFonts w:ascii="Gilroy" w:hAnsi="Gilroy"/>
          <w:sz w:val="22"/>
          <w:szCs w:val="22"/>
        </w:rPr>
        <w:t xml:space="preserve"> over significant redactions</w:t>
      </w:r>
      <w:r w:rsidR="003C0D61">
        <w:rPr>
          <w:rFonts w:ascii="Gilroy" w:hAnsi="Gilroy"/>
          <w:sz w:val="22"/>
          <w:szCs w:val="22"/>
        </w:rPr>
        <w:t xml:space="preserve"> and lack of transparency around the intentions of the partnership</w:t>
      </w:r>
      <w:r w:rsidRPr="007E21E0">
        <w:rPr>
          <w:rFonts w:ascii="Gilroy" w:hAnsi="Gilroy"/>
          <w:sz w:val="22"/>
          <w:szCs w:val="22"/>
        </w:rPr>
        <w:t>.</w:t>
      </w:r>
      <w:r w:rsidRPr="007E21E0">
        <w:rPr>
          <w:rStyle w:val="FootnoteReference"/>
          <w:rFonts w:ascii="Gilroy" w:hAnsi="Gilroy"/>
          <w:sz w:val="22"/>
          <w:szCs w:val="22"/>
        </w:rPr>
        <w:footnoteReference w:id="43"/>
      </w:r>
      <w:r w:rsidRPr="007E21E0">
        <w:rPr>
          <w:rFonts w:ascii="Gilroy" w:hAnsi="Gilroy"/>
          <w:sz w:val="22"/>
          <w:szCs w:val="22"/>
        </w:rPr>
        <w:t xml:space="preserve"> </w:t>
      </w:r>
    </w:p>
    <w:p w14:paraId="146667CE" w14:textId="77777777" w:rsidR="00F91CD7" w:rsidRDefault="00F91CD7" w:rsidP="006F5A33">
      <w:pPr>
        <w:rPr>
          <w:rFonts w:ascii="Gilroy" w:hAnsi="Gilroy"/>
          <w:sz w:val="22"/>
          <w:szCs w:val="22"/>
        </w:rPr>
      </w:pPr>
    </w:p>
    <w:p w14:paraId="37A90A33" w14:textId="4ABF1D76" w:rsidR="006F5A33" w:rsidRPr="007E21E0" w:rsidRDefault="006F5A33" w:rsidP="006F5A33">
      <w:pPr>
        <w:rPr>
          <w:rFonts w:ascii="Gilroy" w:hAnsi="Gilroy"/>
          <w:sz w:val="22"/>
          <w:szCs w:val="22"/>
        </w:rPr>
      </w:pPr>
      <w:r w:rsidRPr="007E21E0">
        <w:rPr>
          <w:rFonts w:ascii="Gilroy" w:hAnsi="Gilroy"/>
          <w:sz w:val="22"/>
          <w:szCs w:val="22"/>
        </w:rPr>
        <w:t>A contract has also been awarded to biotech company, IQVIA, which has also raised concerns about a lack of a legal basis for the data processing by the privacy-enhancing technology as part of the (FDP)</w:t>
      </w:r>
      <w:r w:rsidR="00B315EB">
        <w:rPr>
          <w:rFonts w:ascii="Gilroy" w:hAnsi="Gilroy"/>
          <w:sz w:val="22"/>
          <w:szCs w:val="22"/>
        </w:rPr>
        <w:t>.</w:t>
      </w:r>
      <w:r w:rsidRPr="007E21E0">
        <w:rPr>
          <w:rStyle w:val="FootnoteReference"/>
          <w:rFonts w:ascii="Gilroy" w:hAnsi="Gilroy"/>
          <w:sz w:val="22"/>
          <w:szCs w:val="22"/>
        </w:rPr>
        <w:footnoteReference w:id="44"/>
      </w:r>
      <w:r w:rsidRPr="007E21E0">
        <w:rPr>
          <w:rFonts w:ascii="Gilroy" w:hAnsi="Gilroy"/>
          <w:sz w:val="22"/>
          <w:szCs w:val="22"/>
        </w:rPr>
        <w:t xml:space="preserve"> I </w:t>
      </w:r>
    </w:p>
    <w:p w14:paraId="6AF9217D" w14:textId="77777777" w:rsidR="006F5A33" w:rsidRPr="007E21E0" w:rsidRDefault="006F5A33" w:rsidP="006F5A33">
      <w:pPr>
        <w:rPr>
          <w:rFonts w:ascii="Gilroy" w:hAnsi="Gilroy"/>
          <w:sz w:val="22"/>
          <w:szCs w:val="22"/>
        </w:rPr>
      </w:pPr>
    </w:p>
    <w:p w14:paraId="7286A5E1" w14:textId="17C614DA" w:rsidR="006F5A33" w:rsidRPr="007E21E0" w:rsidRDefault="006F5A33" w:rsidP="006F5A33">
      <w:pPr>
        <w:rPr>
          <w:rFonts w:ascii="Gilroy" w:hAnsi="Gilroy"/>
          <w:sz w:val="22"/>
          <w:szCs w:val="22"/>
        </w:rPr>
      </w:pPr>
      <w:r w:rsidRPr="007E21E0">
        <w:rPr>
          <w:rFonts w:ascii="Gilroy" w:hAnsi="Gilroy"/>
          <w:sz w:val="22"/>
          <w:szCs w:val="22"/>
        </w:rPr>
        <w:t>As noted above, plans to create single patient records will also facilitate greater access to primary data for private companies and researchers.</w:t>
      </w:r>
      <w:r w:rsidR="007E0FF5" w:rsidRPr="007E21E0">
        <w:rPr>
          <w:rStyle w:val="FootnoteReference"/>
          <w:rFonts w:ascii="Gilroy" w:hAnsi="Gilroy"/>
          <w:sz w:val="22"/>
          <w:szCs w:val="22"/>
        </w:rPr>
        <w:footnoteReference w:id="45"/>
      </w:r>
      <w:r w:rsidRPr="007E21E0">
        <w:rPr>
          <w:rFonts w:ascii="Gilroy" w:hAnsi="Gilroy"/>
          <w:sz w:val="22"/>
          <w:szCs w:val="22"/>
        </w:rPr>
        <w:t xml:space="preserve"> </w:t>
      </w:r>
    </w:p>
    <w:p w14:paraId="3296911D" w14:textId="77777777" w:rsidR="006F5A33" w:rsidRPr="007E21E0" w:rsidRDefault="006F5A33" w:rsidP="006F5A33">
      <w:pPr>
        <w:rPr>
          <w:rFonts w:ascii="Gilroy" w:hAnsi="Gilroy"/>
          <w:sz w:val="22"/>
          <w:szCs w:val="22"/>
        </w:rPr>
      </w:pPr>
    </w:p>
    <w:p w14:paraId="5549E06C" w14:textId="77777777" w:rsidR="006F5A33" w:rsidRPr="007E21E0" w:rsidRDefault="006F5A33" w:rsidP="006F5A33">
      <w:pPr>
        <w:rPr>
          <w:rFonts w:ascii="Gilroy" w:hAnsi="Gilroy"/>
          <w:sz w:val="22"/>
          <w:szCs w:val="22"/>
        </w:rPr>
      </w:pPr>
      <w:r w:rsidRPr="007E21E0">
        <w:rPr>
          <w:rFonts w:ascii="Gilroy" w:hAnsi="Gilroy"/>
          <w:sz w:val="22"/>
          <w:szCs w:val="22"/>
        </w:rPr>
        <w:t xml:space="preserve">PI is concerned about the commoditisation of health data undermining people's ability to access quality and affordable healthcare. We are also concerned about the number of examples of poor practice of health data security within the private sector, for example: </w:t>
      </w:r>
    </w:p>
    <w:p w14:paraId="0E3375BD" w14:textId="77777777" w:rsidR="007E0FF5" w:rsidRPr="007E21E0" w:rsidRDefault="006F5A33" w:rsidP="006F5A33">
      <w:pPr>
        <w:pStyle w:val="ListParagraph"/>
        <w:numPr>
          <w:ilvl w:val="0"/>
          <w:numId w:val="2"/>
        </w:numPr>
        <w:rPr>
          <w:rFonts w:ascii="Gilroy" w:hAnsi="Gilroy"/>
          <w:sz w:val="22"/>
          <w:szCs w:val="22"/>
        </w:rPr>
      </w:pPr>
      <w:r w:rsidRPr="007E21E0">
        <w:rPr>
          <w:rFonts w:ascii="Gilroy" w:hAnsi="Gilroy"/>
          <w:sz w:val="22"/>
          <w:szCs w:val="22"/>
        </w:rPr>
        <w:t>UK Biobank sharing data with insurance companies despite promising not to</w:t>
      </w:r>
      <w:r w:rsidR="007E0FF5" w:rsidRPr="007E21E0">
        <w:rPr>
          <w:rFonts w:ascii="Gilroy" w:hAnsi="Gilroy"/>
          <w:sz w:val="22"/>
          <w:szCs w:val="22"/>
        </w:rPr>
        <w:t>;</w:t>
      </w:r>
      <w:r w:rsidR="007E0FF5" w:rsidRPr="007E21E0">
        <w:rPr>
          <w:rStyle w:val="FootnoteReference"/>
          <w:rFonts w:ascii="Gilroy" w:hAnsi="Gilroy"/>
          <w:sz w:val="22"/>
          <w:szCs w:val="22"/>
        </w:rPr>
        <w:footnoteReference w:id="46"/>
      </w:r>
    </w:p>
    <w:p w14:paraId="673899B7" w14:textId="77777777" w:rsidR="007E0FF5" w:rsidRPr="007E21E0" w:rsidRDefault="006F5A33" w:rsidP="006F5A33">
      <w:pPr>
        <w:pStyle w:val="ListParagraph"/>
        <w:numPr>
          <w:ilvl w:val="0"/>
          <w:numId w:val="2"/>
        </w:numPr>
        <w:rPr>
          <w:rFonts w:ascii="Gilroy" w:hAnsi="Gilroy"/>
          <w:sz w:val="22"/>
          <w:szCs w:val="22"/>
        </w:rPr>
      </w:pPr>
      <w:r w:rsidRPr="007E21E0">
        <w:rPr>
          <w:rFonts w:ascii="Gilroy" w:hAnsi="Gilroy"/>
          <w:sz w:val="22"/>
          <w:szCs w:val="22"/>
        </w:rPr>
        <w:t>UK Biobank being accused of allowing a racist "race science" network to access their data</w:t>
      </w:r>
      <w:r w:rsidR="007E0FF5" w:rsidRPr="007E21E0">
        <w:rPr>
          <w:rFonts w:ascii="Gilroy" w:hAnsi="Gilroy"/>
          <w:sz w:val="22"/>
          <w:szCs w:val="22"/>
        </w:rPr>
        <w:t>;</w:t>
      </w:r>
      <w:r w:rsidR="007E0FF5" w:rsidRPr="007E21E0">
        <w:rPr>
          <w:rStyle w:val="FootnoteReference"/>
          <w:rFonts w:ascii="Gilroy" w:hAnsi="Gilroy"/>
          <w:sz w:val="22"/>
          <w:szCs w:val="22"/>
        </w:rPr>
        <w:footnoteReference w:id="47"/>
      </w:r>
      <w:r w:rsidRPr="007E21E0">
        <w:rPr>
          <w:rFonts w:ascii="Gilroy" w:hAnsi="Gilroy"/>
          <w:sz w:val="22"/>
          <w:szCs w:val="22"/>
        </w:rPr>
        <w:t xml:space="preserve"> </w:t>
      </w:r>
    </w:p>
    <w:p w14:paraId="016DFB51" w14:textId="77777777" w:rsidR="007E0FF5" w:rsidRPr="007E21E0" w:rsidRDefault="006F5A33" w:rsidP="006F5A33">
      <w:pPr>
        <w:pStyle w:val="ListParagraph"/>
        <w:numPr>
          <w:ilvl w:val="0"/>
          <w:numId w:val="2"/>
        </w:numPr>
        <w:rPr>
          <w:rFonts w:ascii="Gilroy" w:hAnsi="Gilroy"/>
          <w:sz w:val="22"/>
          <w:szCs w:val="22"/>
        </w:rPr>
      </w:pPr>
      <w:r w:rsidRPr="007E21E0">
        <w:rPr>
          <w:rFonts w:ascii="Gilroy" w:hAnsi="Gilroy"/>
          <w:sz w:val="22"/>
          <w:szCs w:val="22"/>
        </w:rPr>
        <w:t>Data of 6.9million users of 23andme being accessed by hackers</w:t>
      </w:r>
      <w:r w:rsidR="007E0FF5" w:rsidRPr="007E21E0">
        <w:rPr>
          <w:rFonts w:ascii="Gilroy" w:hAnsi="Gilroy"/>
          <w:sz w:val="22"/>
          <w:szCs w:val="22"/>
        </w:rPr>
        <w:t>;</w:t>
      </w:r>
      <w:r w:rsidR="007E0FF5" w:rsidRPr="007E21E0">
        <w:rPr>
          <w:rStyle w:val="FootnoteReference"/>
          <w:rFonts w:ascii="Gilroy" w:hAnsi="Gilroy"/>
          <w:sz w:val="22"/>
          <w:szCs w:val="22"/>
        </w:rPr>
        <w:footnoteReference w:id="48"/>
      </w:r>
      <w:r w:rsidRPr="007E21E0">
        <w:rPr>
          <w:rFonts w:ascii="Gilroy" w:hAnsi="Gilroy"/>
          <w:sz w:val="22"/>
          <w:szCs w:val="22"/>
        </w:rPr>
        <w:t xml:space="preserve"> </w:t>
      </w:r>
    </w:p>
    <w:p w14:paraId="734F133C" w14:textId="77777777" w:rsidR="007E0FF5" w:rsidRPr="007E21E0" w:rsidRDefault="006F5A33" w:rsidP="006F5A33">
      <w:pPr>
        <w:pStyle w:val="ListParagraph"/>
        <w:numPr>
          <w:ilvl w:val="0"/>
          <w:numId w:val="2"/>
        </w:numPr>
        <w:rPr>
          <w:rFonts w:ascii="Gilroy" w:hAnsi="Gilroy"/>
          <w:sz w:val="22"/>
          <w:szCs w:val="22"/>
        </w:rPr>
      </w:pPr>
      <w:r w:rsidRPr="007E21E0">
        <w:rPr>
          <w:rFonts w:ascii="Gilroy" w:hAnsi="Gilroy"/>
          <w:sz w:val="22"/>
          <w:szCs w:val="22"/>
        </w:rPr>
        <w:t>DNA testing company Atlas Biomed disappeared without warning, leaving uncertainty about the status of highly sensitive user data</w:t>
      </w:r>
      <w:r w:rsidR="003C0D61">
        <w:rPr>
          <w:rFonts w:ascii="Gilroy" w:hAnsi="Gilroy"/>
          <w:sz w:val="22"/>
          <w:szCs w:val="22"/>
        </w:rPr>
        <w:t xml:space="preserve"> </w:t>
      </w:r>
      <w:proofErr w:type="gramStart"/>
      <w:r w:rsidR="003C0D61">
        <w:rPr>
          <w:rFonts w:ascii="Gilroy" w:hAnsi="Gilroy"/>
          <w:sz w:val="22"/>
          <w:szCs w:val="22"/>
        </w:rPr>
        <w:t>and</w:t>
      </w:r>
      <w:r w:rsidR="007E0FF5" w:rsidRPr="007E21E0">
        <w:rPr>
          <w:rFonts w:ascii="Gilroy" w:hAnsi="Gilroy"/>
          <w:sz w:val="22"/>
          <w:szCs w:val="22"/>
        </w:rPr>
        <w:t>;</w:t>
      </w:r>
      <w:proofErr w:type="gramEnd"/>
      <w:r w:rsidR="007E0FF5" w:rsidRPr="007E21E0">
        <w:rPr>
          <w:rStyle w:val="FootnoteReference"/>
          <w:rFonts w:ascii="Gilroy" w:hAnsi="Gilroy"/>
          <w:sz w:val="22"/>
          <w:szCs w:val="22"/>
        </w:rPr>
        <w:footnoteReference w:id="49"/>
      </w:r>
    </w:p>
    <w:p w14:paraId="3BA1E992" w14:textId="320429A7" w:rsidR="006F5A33" w:rsidRPr="007E21E0" w:rsidRDefault="006F5A33" w:rsidP="006F5A33">
      <w:pPr>
        <w:pStyle w:val="ListParagraph"/>
        <w:numPr>
          <w:ilvl w:val="0"/>
          <w:numId w:val="2"/>
        </w:numPr>
        <w:rPr>
          <w:rFonts w:ascii="Gilroy" w:hAnsi="Gilroy"/>
          <w:sz w:val="22"/>
          <w:szCs w:val="22"/>
        </w:rPr>
      </w:pPr>
      <w:r w:rsidRPr="007E21E0">
        <w:rPr>
          <w:rFonts w:ascii="Gilroy" w:hAnsi="Gilroy"/>
          <w:sz w:val="22"/>
          <w:szCs w:val="22"/>
        </w:rPr>
        <w:t>A workplace mental health service letting corporate clients listen in to confidential calls</w:t>
      </w:r>
      <w:r w:rsidR="007E0FF5" w:rsidRPr="007E21E0">
        <w:rPr>
          <w:rFonts w:ascii="Gilroy" w:hAnsi="Gilroy"/>
          <w:sz w:val="22"/>
          <w:szCs w:val="22"/>
        </w:rPr>
        <w:t>.</w:t>
      </w:r>
      <w:r w:rsidR="002A5655">
        <w:rPr>
          <w:rStyle w:val="FootnoteReference"/>
          <w:rFonts w:ascii="Gilroy" w:hAnsi="Gilroy"/>
          <w:sz w:val="22"/>
          <w:szCs w:val="22"/>
        </w:rPr>
        <w:footnoteReference w:id="50"/>
      </w:r>
    </w:p>
    <w:p w14:paraId="4D8A6652" w14:textId="77777777" w:rsidR="006F5A33" w:rsidRPr="007E21E0" w:rsidRDefault="006F5A33" w:rsidP="006F5A33">
      <w:pPr>
        <w:rPr>
          <w:rFonts w:ascii="Gilroy" w:hAnsi="Gilroy"/>
          <w:sz w:val="22"/>
          <w:szCs w:val="22"/>
        </w:rPr>
      </w:pPr>
      <w:r w:rsidRPr="007E21E0">
        <w:rPr>
          <w:rFonts w:ascii="Gilroy" w:hAnsi="Gilroy"/>
          <w:sz w:val="22"/>
          <w:szCs w:val="22"/>
        </w:rPr>
        <w:t xml:space="preserve">   </w:t>
      </w:r>
    </w:p>
    <w:p w14:paraId="5184414A" w14:textId="77777777" w:rsidR="006F5A33" w:rsidRPr="007E21E0" w:rsidRDefault="007E0FF5" w:rsidP="006F5A33">
      <w:pPr>
        <w:rPr>
          <w:rFonts w:ascii="Gilroy" w:hAnsi="Gilroy"/>
          <w:sz w:val="22"/>
          <w:szCs w:val="22"/>
        </w:rPr>
      </w:pPr>
      <w:r w:rsidRPr="007E21E0">
        <w:rPr>
          <w:rFonts w:ascii="Gilroy" w:hAnsi="Gilroy"/>
          <w:sz w:val="22"/>
          <w:szCs w:val="22"/>
        </w:rPr>
        <w:t>All</w:t>
      </w:r>
      <w:r w:rsidR="006F5A33" w:rsidRPr="007E21E0">
        <w:rPr>
          <w:rFonts w:ascii="Gilroy" w:hAnsi="Gilroy"/>
          <w:sz w:val="22"/>
          <w:szCs w:val="22"/>
        </w:rPr>
        <w:t xml:space="preserve"> these </w:t>
      </w:r>
      <w:r w:rsidR="007D57F5">
        <w:rPr>
          <w:rFonts w:ascii="Gilroy" w:hAnsi="Gilroy"/>
          <w:sz w:val="22"/>
          <w:szCs w:val="22"/>
        </w:rPr>
        <w:t xml:space="preserve">above </w:t>
      </w:r>
      <w:r w:rsidR="006F5A33" w:rsidRPr="007E21E0">
        <w:rPr>
          <w:rFonts w:ascii="Gilroy" w:hAnsi="Gilroy"/>
          <w:sz w:val="22"/>
          <w:szCs w:val="22"/>
        </w:rPr>
        <w:t>issues</w:t>
      </w:r>
      <w:r w:rsidR="007D57F5">
        <w:rPr>
          <w:rFonts w:ascii="Gilroy" w:hAnsi="Gilroy"/>
          <w:sz w:val="22"/>
          <w:szCs w:val="22"/>
        </w:rPr>
        <w:t xml:space="preserve"> </w:t>
      </w:r>
      <w:r w:rsidR="006F5A33" w:rsidRPr="007E21E0">
        <w:rPr>
          <w:rFonts w:ascii="Gilroy" w:hAnsi="Gilroy"/>
          <w:sz w:val="22"/>
          <w:szCs w:val="22"/>
        </w:rPr>
        <w:t xml:space="preserve">have been raised by the UN Special Rapporteur on the </w:t>
      </w:r>
      <w:r w:rsidRPr="007E21E0">
        <w:rPr>
          <w:rFonts w:ascii="Gilroy" w:hAnsi="Gilroy"/>
          <w:sz w:val="22"/>
          <w:szCs w:val="22"/>
        </w:rPr>
        <w:t>r</w:t>
      </w:r>
      <w:r w:rsidR="006F5A33" w:rsidRPr="007E21E0">
        <w:rPr>
          <w:rFonts w:ascii="Gilroy" w:hAnsi="Gilroy"/>
          <w:sz w:val="22"/>
          <w:szCs w:val="22"/>
        </w:rPr>
        <w:t xml:space="preserve">ight to </w:t>
      </w:r>
      <w:r w:rsidRPr="007E21E0">
        <w:rPr>
          <w:rFonts w:ascii="Gilroy" w:hAnsi="Gilroy"/>
          <w:sz w:val="22"/>
          <w:szCs w:val="22"/>
        </w:rPr>
        <w:t>h</w:t>
      </w:r>
      <w:r w:rsidR="006F5A33" w:rsidRPr="007E21E0">
        <w:rPr>
          <w:rFonts w:ascii="Gilroy" w:hAnsi="Gilroy"/>
          <w:sz w:val="22"/>
          <w:szCs w:val="22"/>
        </w:rPr>
        <w:t>ealth in her report on ‘Digital innovation, technologies and the right to health’.</w:t>
      </w:r>
      <w:r w:rsidRPr="007E21E0">
        <w:rPr>
          <w:rStyle w:val="FootnoteReference"/>
          <w:rFonts w:ascii="Gilroy" w:hAnsi="Gilroy"/>
          <w:sz w:val="22"/>
          <w:szCs w:val="22"/>
        </w:rPr>
        <w:footnoteReference w:id="51"/>
      </w:r>
      <w:r w:rsidR="006F5A33" w:rsidRPr="007E21E0">
        <w:rPr>
          <w:rFonts w:ascii="Gilroy" w:hAnsi="Gilroy"/>
          <w:sz w:val="22"/>
          <w:szCs w:val="22"/>
        </w:rPr>
        <w:t xml:space="preserve"> The rapporteur recommended human rights impact assessments must be embedded in the design, development and implementation of new technologies, including the meaningful engagement of stakeholders. </w:t>
      </w:r>
    </w:p>
    <w:p w14:paraId="5988761F" w14:textId="77777777" w:rsidR="00ED6FC8" w:rsidRDefault="00ED6FC8" w:rsidP="006F5A33">
      <w:pPr>
        <w:rPr>
          <w:rFonts w:ascii="Gilroy" w:hAnsi="Gilroy"/>
          <w:sz w:val="22"/>
          <w:szCs w:val="22"/>
        </w:rPr>
      </w:pPr>
    </w:p>
    <w:p w14:paraId="63286E42" w14:textId="5797297C" w:rsidR="007E21E0" w:rsidRPr="001C2B2A" w:rsidRDefault="0090274F" w:rsidP="001C2B2A">
      <w:pPr>
        <w:pStyle w:val="ListParagraph"/>
        <w:numPr>
          <w:ilvl w:val="0"/>
          <w:numId w:val="1"/>
        </w:numPr>
        <w:rPr>
          <w:rFonts w:ascii="Gilroy" w:hAnsi="Gilroy"/>
          <w:b/>
          <w:bCs/>
          <w:sz w:val="22"/>
          <w:szCs w:val="22"/>
        </w:rPr>
      </w:pPr>
      <w:r w:rsidRPr="001C2B2A">
        <w:rPr>
          <w:rFonts w:ascii="Gilroy" w:hAnsi="Gilroy"/>
          <w:b/>
          <w:bCs/>
          <w:sz w:val="22"/>
          <w:szCs w:val="22"/>
        </w:rPr>
        <w:t>New technologies in education: accessing education means a trade-off of wider rights</w:t>
      </w:r>
      <w:r w:rsidR="007B2C8A">
        <w:rPr>
          <w:rFonts w:ascii="Gilroy" w:hAnsi="Gilroy"/>
          <w:b/>
          <w:bCs/>
          <w:sz w:val="22"/>
          <w:szCs w:val="22"/>
        </w:rPr>
        <w:t xml:space="preserve"> (Article 13)</w:t>
      </w:r>
    </w:p>
    <w:p w14:paraId="211AC281" w14:textId="77777777" w:rsidR="007E21E0" w:rsidRPr="007E21E0" w:rsidRDefault="007E21E0" w:rsidP="006F5A33">
      <w:pPr>
        <w:rPr>
          <w:rFonts w:ascii="Gilroy" w:hAnsi="Gilroy"/>
          <w:sz w:val="22"/>
          <w:szCs w:val="22"/>
        </w:rPr>
      </w:pPr>
    </w:p>
    <w:p w14:paraId="1AA49141" w14:textId="64F4F85F" w:rsidR="00F41664" w:rsidRDefault="007E21E0" w:rsidP="007E21E0">
      <w:pPr>
        <w:rPr>
          <w:rFonts w:ascii="Gilroy" w:hAnsi="Gilroy"/>
          <w:sz w:val="22"/>
          <w:szCs w:val="22"/>
        </w:rPr>
      </w:pPr>
      <w:r w:rsidRPr="007E21E0">
        <w:rPr>
          <w:rFonts w:ascii="Gilroy" w:hAnsi="Gilroy"/>
          <w:sz w:val="22"/>
          <w:szCs w:val="22"/>
        </w:rPr>
        <w:t>Education in the UK</w:t>
      </w:r>
      <w:r>
        <w:rPr>
          <w:rFonts w:ascii="Gilroy" w:hAnsi="Gilroy"/>
          <w:sz w:val="22"/>
          <w:szCs w:val="22"/>
        </w:rPr>
        <w:t xml:space="preserve"> was</w:t>
      </w:r>
      <w:r w:rsidRPr="007E21E0">
        <w:rPr>
          <w:rFonts w:ascii="Gilroy" w:hAnsi="Gilroy"/>
          <w:sz w:val="22"/>
          <w:szCs w:val="22"/>
        </w:rPr>
        <w:t xml:space="preserve"> rapidly driven online by during the Covid-19 pandemic. This, combined with the UK's broader uptake of education technologies in schools, has created significant risks for </w:t>
      </w:r>
      <w:r w:rsidR="00F91CD7">
        <w:rPr>
          <w:rFonts w:ascii="Gilroy" w:hAnsi="Gilroy"/>
          <w:sz w:val="22"/>
          <w:szCs w:val="22"/>
        </w:rPr>
        <w:t xml:space="preserve">those accessing education, particularly those </w:t>
      </w:r>
      <w:r w:rsidRPr="007E21E0">
        <w:rPr>
          <w:rFonts w:ascii="Gilroy" w:hAnsi="Gilroy"/>
          <w:sz w:val="22"/>
          <w:szCs w:val="22"/>
        </w:rPr>
        <w:t>most disadvantage</w:t>
      </w:r>
      <w:r w:rsidR="00B1621D">
        <w:rPr>
          <w:rFonts w:ascii="Gilroy" w:hAnsi="Gilroy"/>
          <w:sz w:val="22"/>
          <w:szCs w:val="22"/>
        </w:rPr>
        <w:t>d.</w:t>
      </w:r>
    </w:p>
    <w:p w14:paraId="36651B8B" w14:textId="77777777" w:rsidR="00F41664" w:rsidRDefault="00F41664" w:rsidP="007E21E0">
      <w:pPr>
        <w:rPr>
          <w:rFonts w:ascii="Gilroy" w:hAnsi="Gilroy"/>
          <w:sz w:val="22"/>
          <w:szCs w:val="22"/>
        </w:rPr>
      </w:pPr>
    </w:p>
    <w:p w14:paraId="5FDE6E6C" w14:textId="6CF2E790" w:rsidR="007E21E0" w:rsidRPr="007E21E0" w:rsidRDefault="00F91CD7" w:rsidP="007E21E0">
      <w:pPr>
        <w:rPr>
          <w:rFonts w:ascii="Gilroy" w:hAnsi="Gilroy"/>
          <w:sz w:val="22"/>
          <w:szCs w:val="22"/>
        </w:rPr>
      </w:pPr>
      <w:r>
        <w:rPr>
          <w:rFonts w:ascii="Gilroy" w:hAnsi="Gilroy"/>
          <w:sz w:val="22"/>
          <w:szCs w:val="22"/>
        </w:rPr>
        <w:t xml:space="preserve">Examples include the </w:t>
      </w:r>
      <w:r w:rsidR="007E21E0" w:rsidRPr="007E21E0">
        <w:rPr>
          <w:rFonts w:ascii="Gilroy" w:hAnsi="Gilroy"/>
          <w:sz w:val="22"/>
          <w:szCs w:val="22"/>
        </w:rPr>
        <w:t>uptake of facial recognition</w:t>
      </w:r>
      <w:r>
        <w:rPr>
          <w:rFonts w:ascii="Gilroy" w:hAnsi="Gilroy"/>
          <w:sz w:val="22"/>
          <w:szCs w:val="22"/>
        </w:rPr>
        <w:t xml:space="preserve"> technologies</w:t>
      </w:r>
      <w:r w:rsidR="0061055A">
        <w:rPr>
          <w:rFonts w:ascii="Gilroy" w:hAnsi="Gilroy"/>
          <w:sz w:val="22"/>
          <w:szCs w:val="22"/>
        </w:rPr>
        <w:t xml:space="preserve"> in schools</w:t>
      </w:r>
      <w:r w:rsidR="00F41664">
        <w:rPr>
          <w:rFonts w:ascii="Gilroy" w:hAnsi="Gilroy"/>
          <w:sz w:val="22"/>
          <w:szCs w:val="22"/>
        </w:rPr>
        <w:t xml:space="preserve"> </w:t>
      </w:r>
      <w:r w:rsidR="0061055A">
        <w:rPr>
          <w:rFonts w:ascii="Gilroy" w:hAnsi="Gilroy"/>
          <w:sz w:val="22"/>
          <w:szCs w:val="22"/>
        </w:rPr>
        <w:t xml:space="preserve">and use of </w:t>
      </w:r>
      <w:r w:rsidR="007E21E0" w:rsidRPr="007E21E0">
        <w:rPr>
          <w:rFonts w:ascii="Gilroy" w:hAnsi="Gilroy"/>
          <w:sz w:val="22"/>
          <w:szCs w:val="22"/>
        </w:rPr>
        <w:t>online proctoring services to prevent cheating in exams.</w:t>
      </w:r>
      <w:r w:rsidR="007E21E0">
        <w:rPr>
          <w:rStyle w:val="FootnoteReference"/>
          <w:rFonts w:ascii="Gilroy" w:hAnsi="Gilroy"/>
          <w:sz w:val="22"/>
          <w:szCs w:val="22"/>
        </w:rPr>
        <w:footnoteReference w:id="52"/>
      </w:r>
      <w:r w:rsidR="007E21E0" w:rsidRPr="007E21E0">
        <w:rPr>
          <w:rFonts w:ascii="Gilroy" w:hAnsi="Gilroy"/>
          <w:sz w:val="22"/>
          <w:szCs w:val="22"/>
        </w:rPr>
        <w:t xml:space="preserve"> Many </w:t>
      </w:r>
      <w:r w:rsidR="00BD3303">
        <w:rPr>
          <w:rFonts w:ascii="Gilroy" w:hAnsi="Gilroy"/>
          <w:sz w:val="22"/>
          <w:szCs w:val="22"/>
        </w:rPr>
        <w:t xml:space="preserve">proctoring systems </w:t>
      </w:r>
      <w:r w:rsidR="007E21E0" w:rsidRPr="007E21E0">
        <w:rPr>
          <w:rFonts w:ascii="Gilroy" w:hAnsi="Gilroy"/>
          <w:sz w:val="22"/>
          <w:szCs w:val="22"/>
        </w:rPr>
        <w:t>emplo</w:t>
      </w:r>
      <w:r w:rsidR="00B1621D">
        <w:rPr>
          <w:rFonts w:ascii="Gilroy" w:hAnsi="Gilroy"/>
          <w:sz w:val="22"/>
          <w:szCs w:val="22"/>
        </w:rPr>
        <w:t>yed</w:t>
      </w:r>
      <w:r w:rsidR="007E21E0" w:rsidRPr="007E21E0">
        <w:rPr>
          <w:rFonts w:ascii="Gilroy" w:hAnsi="Gilroy"/>
          <w:sz w:val="22"/>
          <w:szCs w:val="22"/>
        </w:rPr>
        <w:t xml:space="preserve"> facial recognition </w:t>
      </w:r>
      <w:r w:rsidR="00293014">
        <w:rPr>
          <w:rFonts w:ascii="Gilroy" w:hAnsi="Gilroy"/>
          <w:sz w:val="22"/>
          <w:szCs w:val="22"/>
        </w:rPr>
        <w:t>technology</w:t>
      </w:r>
      <w:r w:rsidR="00293014" w:rsidRPr="007E21E0">
        <w:rPr>
          <w:rFonts w:ascii="Gilroy" w:hAnsi="Gilroy"/>
          <w:sz w:val="22"/>
          <w:szCs w:val="22"/>
        </w:rPr>
        <w:t xml:space="preserve"> </w:t>
      </w:r>
      <w:r w:rsidR="007E21E0" w:rsidRPr="007E21E0">
        <w:rPr>
          <w:rFonts w:ascii="Gilroy" w:hAnsi="Gilroy"/>
          <w:sz w:val="22"/>
          <w:szCs w:val="22"/>
        </w:rPr>
        <w:t xml:space="preserve">that had difficulty recognising black student's faces, making it harder for black students to </w:t>
      </w:r>
      <w:r w:rsidR="00B1621D">
        <w:rPr>
          <w:rFonts w:ascii="Gilroy" w:hAnsi="Gilroy"/>
          <w:sz w:val="22"/>
          <w:szCs w:val="22"/>
        </w:rPr>
        <w:t xml:space="preserve">undertake </w:t>
      </w:r>
      <w:r w:rsidR="007E21E0" w:rsidRPr="007E21E0">
        <w:rPr>
          <w:rFonts w:ascii="Gilroy" w:hAnsi="Gilroy"/>
          <w:sz w:val="22"/>
          <w:szCs w:val="22"/>
        </w:rPr>
        <w:t xml:space="preserve">their exams than their white </w:t>
      </w:r>
      <w:r w:rsidR="007E21E0" w:rsidRPr="007E21E0">
        <w:rPr>
          <w:rFonts w:ascii="Gilroy" w:hAnsi="Gilroy"/>
          <w:sz w:val="22"/>
          <w:szCs w:val="22"/>
        </w:rPr>
        <w:lastRenderedPageBreak/>
        <w:t>peers.</w:t>
      </w:r>
      <w:r w:rsidR="002A5655">
        <w:rPr>
          <w:rStyle w:val="FootnoteReference"/>
          <w:rFonts w:ascii="Gilroy" w:hAnsi="Gilroy"/>
          <w:sz w:val="22"/>
          <w:szCs w:val="22"/>
        </w:rPr>
        <w:footnoteReference w:id="53"/>
      </w:r>
      <w:r w:rsidR="007E21E0" w:rsidRPr="007E21E0">
        <w:rPr>
          <w:rFonts w:ascii="Gilroy" w:hAnsi="Gilroy"/>
          <w:sz w:val="22"/>
          <w:szCs w:val="22"/>
        </w:rPr>
        <w:t xml:space="preserve"> Moreover, the systems are designed to flag </w:t>
      </w:r>
      <w:r w:rsidR="00B1621D">
        <w:rPr>
          <w:rFonts w:ascii="Gilroy" w:hAnsi="Gilroy"/>
          <w:sz w:val="22"/>
          <w:szCs w:val="22"/>
        </w:rPr>
        <w:t xml:space="preserve">certain </w:t>
      </w:r>
      <w:r w:rsidR="007E21E0" w:rsidRPr="007E21E0">
        <w:rPr>
          <w:rFonts w:ascii="Gilroy" w:hAnsi="Gilroy"/>
          <w:sz w:val="22"/>
          <w:szCs w:val="22"/>
        </w:rPr>
        <w:t xml:space="preserve">behaviours </w:t>
      </w:r>
      <w:r w:rsidR="00B1621D">
        <w:rPr>
          <w:rFonts w:ascii="Gilroy" w:hAnsi="Gilroy"/>
          <w:sz w:val="22"/>
          <w:szCs w:val="22"/>
        </w:rPr>
        <w:t xml:space="preserve">for </w:t>
      </w:r>
      <w:r w:rsidR="007E21E0" w:rsidRPr="007E21E0">
        <w:rPr>
          <w:rFonts w:ascii="Gilroy" w:hAnsi="Gilroy"/>
          <w:sz w:val="22"/>
          <w:szCs w:val="22"/>
        </w:rPr>
        <w:t>cheating</w:t>
      </w:r>
      <w:r w:rsidR="00B1621D">
        <w:rPr>
          <w:rFonts w:ascii="Gilroy" w:hAnsi="Gilroy"/>
          <w:sz w:val="22"/>
          <w:szCs w:val="22"/>
        </w:rPr>
        <w:t xml:space="preserve"> such as</w:t>
      </w:r>
      <w:r w:rsidR="007E21E0" w:rsidRPr="007E21E0">
        <w:rPr>
          <w:rFonts w:ascii="Gilroy" w:hAnsi="Gilroy"/>
          <w:sz w:val="22"/>
          <w:szCs w:val="22"/>
        </w:rPr>
        <w:t xml:space="preserve"> </w:t>
      </w:r>
      <w:r w:rsidR="00B1621D">
        <w:rPr>
          <w:rFonts w:ascii="Gilroy" w:hAnsi="Gilroy"/>
          <w:sz w:val="22"/>
          <w:szCs w:val="22"/>
        </w:rPr>
        <w:t xml:space="preserve">when a person </w:t>
      </w:r>
      <w:r w:rsidR="007E21E0" w:rsidRPr="007E21E0">
        <w:rPr>
          <w:rFonts w:ascii="Gilroy" w:hAnsi="Gilroy"/>
          <w:sz w:val="22"/>
          <w:szCs w:val="22"/>
        </w:rPr>
        <w:t>leav</w:t>
      </w:r>
      <w:r w:rsidR="00B1621D">
        <w:rPr>
          <w:rFonts w:ascii="Gilroy" w:hAnsi="Gilroy"/>
          <w:sz w:val="22"/>
          <w:szCs w:val="22"/>
        </w:rPr>
        <w:t>es</w:t>
      </w:r>
      <w:r w:rsidR="007E21E0" w:rsidRPr="007E21E0">
        <w:rPr>
          <w:rFonts w:ascii="Gilroy" w:hAnsi="Gilroy"/>
          <w:sz w:val="22"/>
          <w:szCs w:val="22"/>
        </w:rPr>
        <w:t xml:space="preserve"> the</w:t>
      </w:r>
      <w:r w:rsidR="00B1621D">
        <w:rPr>
          <w:rFonts w:ascii="Gilroy" w:hAnsi="Gilroy"/>
          <w:sz w:val="22"/>
          <w:szCs w:val="22"/>
        </w:rPr>
        <w:t xml:space="preserve"> camera</w:t>
      </w:r>
      <w:r w:rsidR="007E21E0" w:rsidRPr="007E21E0">
        <w:rPr>
          <w:rFonts w:ascii="Gilroy" w:hAnsi="Gilroy"/>
          <w:sz w:val="22"/>
          <w:szCs w:val="22"/>
        </w:rPr>
        <w:t xml:space="preserve"> frame or look</w:t>
      </w:r>
      <w:r w:rsidR="00B1621D">
        <w:rPr>
          <w:rFonts w:ascii="Gilroy" w:hAnsi="Gilroy"/>
          <w:sz w:val="22"/>
          <w:szCs w:val="22"/>
        </w:rPr>
        <w:t>s</w:t>
      </w:r>
      <w:r w:rsidR="007E21E0" w:rsidRPr="007E21E0">
        <w:rPr>
          <w:rFonts w:ascii="Gilroy" w:hAnsi="Gilroy"/>
          <w:sz w:val="22"/>
          <w:szCs w:val="22"/>
        </w:rPr>
        <w:t xml:space="preserve"> away from the camera. This led to unpleasant circumstances for some students who felt the need to go to the toilet in buckets</w:t>
      </w:r>
      <w:r w:rsidR="002A5655">
        <w:rPr>
          <w:rFonts w:ascii="Gilroy" w:hAnsi="Gilroy"/>
          <w:sz w:val="22"/>
          <w:szCs w:val="22"/>
        </w:rPr>
        <w:t xml:space="preserve"> </w:t>
      </w:r>
      <w:r w:rsidR="007E21E0" w:rsidRPr="007E21E0">
        <w:rPr>
          <w:rFonts w:ascii="Gilroy" w:hAnsi="Gilroy"/>
          <w:sz w:val="22"/>
          <w:szCs w:val="22"/>
        </w:rPr>
        <w:t xml:space="preserve">or </w:t>
      </w:r>
      <w:r w:rsidR="007E21E0">
        <w:rPr>
          <w:rFonts w:ascii="Gilroy" w:hAnsi="Gilroy"/>
          <w:sz w:val="22"/>
          <w:szCs w:val="22"/>
        </w:rPr>
        <w:t xml:space="preserve">in </w:t>
      </w:r>
      <w:r w:rsidR="007E21E0" w:rsidRPr="007E21E0">
        <w:rPr>
          <w:rFonts w:ascii="Gilroy" w:hAnsi="Gilroy"/>
          <w:sz w:val="22"/>
          <w:szCs w:val="22"/>
        </w:rPr>
        <w:t>bottles to avoid leaving the frame.</w:t>
      </w:r>
      <w:r w:rsidR="002A5655">
        <w:rPr>
          <w:rStyle w:val="FootnoteReference"/>
          <w:rFonts w:ascii="Gilroy" w:hAnsi="Gilroy"/>
          <w:sz w:val="22"/>
          <w:szCs w:val="22"/>
        </w:rPr>
        <w:footnoteReference w:id="54"/>
      </w:r>
      <w:r w:rsidR="007E21E0" w:rsidRPr="007E21E0">
        <w:rPr>
          <w:rFonts w:ascii="Gilroy" w:hAnsi="Gilroy"/>
          <w:sz w:val="22"/>
          <w:szCs w:val="22"/>
        </w:rPr>
        <w:t xml:space="preserve"> Moreover, </w:t>
      </w:r>
      <w:r w:rsidR="00B97564">
        <w:rPr>
          <w:rFonts w:ascii="Gilroy" w:hAnsi="Gilroy"/>
          <w:sz w:val="22"/>
          <w:szCs w:val="22"/>
        </w:rPr>
        <w:t xml:space="preserve">some </w:t>
      </w:r>
      <w:r w:rsidR="007E21E0" w:rsidRPr="007E21E0">
        <w:rPr>
          <w:rFonts w:ascii="Gilroy" w:hAnsi="Gilroy"/>
          <w:sz w:val="22"/>
          <w:szCs w:val="22"/>
        </w:rPr>
        <w:t>student</w:t>
      </w:r>
      <w:r w:rsidR="00B97564">
        <w:rPr>
          <w:rFonts w:ascii="Gilroy" w:hAnsi="Gilroy"/>
          <w:sz w:val="22"/>
          <w:szCs w:val="22"/>
        </w:rPr>
        <w:t>s were</w:t>
      </w:r>
      <w:r w:rsidR="007E21E0" w:rsidRPr="007E21E0">
        <w:rPr>
          <w:rFonts w:ascii="Gilroy" w:hAnsi="Gilroy"/>
          <w:sz w:val="22"/>
          <w:szCs w:val="22"/>
        </w:rPr>
        <w:t xml:space="preserve"> flagged for cheating</w:t>
      </w:r>
      <w:r w:rsidR="00F41664">
        <w:rPr>
          <w:rFonts w:ascii="Gilroy" w:hAnsi="Gilroy"/>
          <w:sz w:val="22"/>
          <w:szCs w:val="22"/>
        </w:rPr>
        <w:t xml:space="preserve"> </w:t>
      </w:r>
      <w:r w:rsidR="00B97564">
        <w:rPr>
          <w:rFonts w:ascii="Gilroy" w:hAnsi="Gilroy"/>
          <w:sz w:val="22"/>
          <w:szCs w:val="22"/>
        </w:rPr>
        <w:t xml:space="preserve">due to </w:t>
      </w:r>
      <w:r w:rsidR="00F41664">
        <w:rPr>
          <w:rFonts w:ascii="Gilroy" w:hAnsi="Gilroy"/>
          <w:sz w:val="22"/>
          <w:szCs w:val="22"/>
        </w:rPr>
        <w:t xml:space="preserve">having </w:t>
      </w:r>
      <w:r w:rsidR="007E21E0" w:rsidRPr="007E21E0">
        <w:rPr>
          <w:rFonts w:ascii="Gilroy" w:hAnsi="Gilroy"/>
          <w:sz w:val="22"/>
          <w:szCs w:val="22"/>
        </w:rPr>
        <w:t xml:space="preserve">people in the background of the camera, which could be </w:t>
      </w:r>
      <w:r w:rsidR="00F41664">
        <w:rPr>
          <w:rFonts w:ascii="Gilroy" w:hAnsi="Gilroy"/>
          <w:sz w:val="22"/>
          <w:szCs w:val="22"/>
        </w:rPr>
        <w:t xml:space="preserve">due to not </w:t>
      </w:r>
      <w:r w:rsidR="007E21E0" w:rsidRPr="007E21E0">
        <w:rPr>
          <w:rFonts w:ascii="Gilroy" w:hAnsi="Gilroy"/>
          <w:sz w:val="22"/>
          <w:szCs w:val="22"/>
        </w:rPr>
        <w:t>having access to a private room to take the exam</w:t>
      </w:r>
      <w:r w:rsidR="002A5655">
        <w:rPr>
          <w:rFonts w:ascii="Gilroy" w:hAnsi="Gilroy"/>
          <w:sz w:val="22"/>
          <w:szCs w:val="22"/>
        </w:rPr>
        <w:t>.</w:t>
      </w:r>
      <w:r w:rsidR="007E21E0">
        <w:rPr>
          <w:rStyle w:val="FootnoteReference"/>
          <w:rFonts w:ascii="Gilroy" w:hAnsi="Gilroy"/>
          <w:sz w:val="22"/>
          <w:szCs w:val="22"/>
        </w:rPr>
        <w:footnoteReference w:id="55"/>
      </w:r>
      <w:r w:rsidR="002A5655">
        <w:rPr>
          <w:rFonts w:ascii="Gilroy" w:hAnsi="Gilroy"/>
          <w:sz w:val="22"/>
          <w:szCs w:val="22"/>
        </w:rPr>
        <w:t xml:space="preserve"> </w:t>
      </w:r>
      <w:r w:rsidR="007E21E0" w:rsidRPr="007E21E0">
        <w:rPr>
          <w:rFonts w:ascii="Gilroy" w:hAnsi="Gilroy"/>
          <w:sz w:val="22"/>
          <w:szCs w:val="22"/>
        </w:rPr>
        <w:t>It also led to students with disabilities being flagged for</w:t>
      </w:r>
      <w:r w:rsidR="00F41664">
        <w:rPr>
          <w:rFonts w:ascii="Gilroy" w:hAnsi="Gilroy"/>
          <w:sz w:val="22"/>
          <w:szCs w:val="22"/>
        </w:rPr>
        <w:t xml:space="preserve"> so called</w:t>
      </w:r>
      <w:r w:rsidR="007E21E0" w:rsidRPr="007E21E0">
        <w:rPr>
          <w:rFonts w:ascii="Gilroy" w:hAnsi="Gilroy"/>
          <w:sz w:val="22"/>
          <w:szCs w:val="22"/>
        </w:rPr>
        <w:t xml:space="preserve"> 'suspicious' behaviours</w:t>
      </w:r>
      <w:r w:rsidR="00F41664">
        <w:rPr>
          <w:rFonts w:ascii="Gilroy" w:hAnsi="Gilroy"/>
          <w:sz w:val="22"/>
          <w:szCs w:val="22"/>
        </w:rPr>
        <w:t>.</w:t>
      </w:r>
      <w:r w:rsidR="007E21E0">
        <w:rPr>
          <w:rStyle w:val="FootnoteReference"/>
          <w:rFonts w:ascii="Gilroy" w:hAnsi="Gilroy"/>
          <w:sz w:val="22"/>
          <w:szCs w:val="22"/>
        </w:rPr>
        <w:footnoteReference w:id="56"/>
      </w:r>
    </w:p>
    <w:p w14:paraId="733F17A6" w14:textId="77777777" w:rsidR="007E21E0" w:rsidRPr="007E21E0" w:rsidRDefault="007E21E0" w:rsidP="007E21E0">
      <w:pPr>
        <w:rPr>
          <w:rFonts w:ascii="Gilroy" w:hAnsi="Gilroy"/>
          <w:sz w:val="22"/>
          <w:szCs w:val="22"/>
        </w:rPr>
      </w:pPr>
    </w:p>
    <w:p w14:paraId="567B2327" w14:textId="205E0BA0" w:rsidR="007E21E0" w:rsidRPr="007E21E0" w:rsidRDefault="007E21E0" w:rsidP="007E21E0">
      <w:pPr>
        <w:rPr>
          <w:rFonts w:ascii="Gilroy" w:hAnsi="Gilroy"/>
          <w:sz w:val="22"/>
          <w:szCs w:val="22"/>
        </w:rPr>
      </w:pPr>
      <w:r w:rsidRPr="007E21E0">
        <w:rPr>
          <w:rFonts w:ascii="Gilroy" w:hAnsi="Gilroy"/>
          <w:sz w:val="22"/>
          <w:szCs w:val="22"/>
        </w:rPr>
        <w:t xml:space="preserve">These </w:t>
      </w:r>
      <w:r w:rsidR="00293014">
        <w:rPr>
          <w:rFonts w:ascii="Gilroy" w:hAnsi="Gilroy"/>
          <w:sz w:val="22"/>
          <w:szCs w:val="22"/>
        </w:rPr>
        <w:t xml:space="preserve">concerns </w:t>
      </w:r>
      <w:r w:rsidRPr="007E21E0">
        <w:rPr>
          <w:rFonts w:ascii="Gilroy" w:hAnsi="Gilroy"/>
          <w:sz w:val="22"/>
          <w:szCs w:val="22"/>
        </w:rPr>
        <w:t xml:space="preserve">do not seem to have slowed down the UK's adoption of </w:t>
      </w:r>
      <w:r w:rsidR="00F41664">
        <w:rPr>
          <w:rFonts w:ascii="Gilroy" w:hAnsi="Gilroy"/>
          <w:sz w:val="22"/>
          <w:szCs w:val="22"/>
        </w:rPr>
        <w:t>f</w:t>
      </w:r>
      <w:r w:rsidRPr="007E21E0">
        <w:rPr>
          <w:rFonts w:ascii="Gilroy" w:hAnsi="Gilroy"/>
          <w:sz w:val="22"/>
          <w:szCs w:val="22"/>
        </w:rPr>
        <w:t xml:space="preserve">acial </w:t>
      </w:r>
      <w:r w:rsidR="00F41664">
        <w:rPr>
          <w:rFonts w:ascii="Gilroy" w:hAnsi="Gilroy"/>
          <w:sz w:val="22"/>
          <w:szCs w:val="22"/>
        </w:rPr>
        <w:t>r</w:t>
      </w:r>
      <w:r w:rsidRPr="007E21E0">
        <w:rPr>
          <w:rFonts w:ascii="Gilroy" w:hAnsi="Gilroy"/>
          <w:sz w:val="22"/>
          <w:szCs w:val="22"/>
        </w:rPr>
        <w:t xml:space="preserve">ecognition without </w:t>
      </w:r>
      <w:r w:rsidR="00293014">
        <w:rPr>
          <w:rFonts w:ascii="Gilroy" w:hAnsi="Gilroy"/>
          <w:sz w:val="22"/>
          <w:szCs w:val="22"/>
        </w:rPr>
        <w:t xml:space="preserve">necessary </w:t>
      </w:r>
      <w:r w:rsidRPr="007E21E0">
        <w:rPr>
          <w:rFonts w:ascii="Gilroy" w:hAnsi="Gilroy"/>
          <w:sz w:val="22"/>
          <w:szCs w:val="22"/>
        </w:rPr>
        <w:t>safeguards in the UK. Schools in Essex and Scotland have been reprimanded by the Information Commissioner's Office</w:t>
      </w:r>
      <w:r w:rsidR="00B97564">
        <w:rPr>
          <w:rFonts w:ascii="Gilroy" w:hAnsi="Gilroy"/>
          <w:sz w:val="22"/>
          <w:szCs w:val="22"/>
        </w:rPr>
        <w:t xml:space="preserve"> (ICO)</w:t>
      </w:r>
      <w:r w:rsidR="002A5655" w:rsidRPr="007E21E0">
        <w:rPr>
          <w:rFonts w:ascii="Gilroy" w:hAnsi="Gilroy"/>
          <w:sz w:val="22"/>
          <w:szCs w:val="22"/>
        </w:rPr>
        <w:t xml:space="preserve"> </w:t>
      </w:r>
      <w:r w:rsidRPr="007E21E0">
        <w:rPr>
          <w:rFonts w:ascii="Gilroy" w:hAnsi="Gilroy"/>
          <w:sz w:val="22"/>
          <w:szCs w:val="22"/>
        </w:rPr>
        <w:t>for inadequate processes in their deployment of this disturbing and invasive technology - which would seem to fail to meet the necessity and proportionality requirements</w:t>
      </w:r>
      <w:r w:rsidR="00F41664">
        <w:rPr>
          <w:rFonts w:ascii="Gilroy" w:hAnsi="Gilroy"/>
          <w:sz w:val="22"/>
          <w:szCs w:val="22"/>
        </w:rPr>
        <w:t xml:space="preserve"> </w:t>
      </w:r>
      <w:r w:rsidRPr="007E21E0">
        <w:rPr>
          <w:rFonts w:ascii="Gilroy" w:hAnsi="Gilroy"/>
          <w:sz w:val="22"/>
          <w:szCs w:val="22"/>
        </w:rPr>
        <w:t>for the use of this kind of technology</w:t>
      </w:r>
      <w:r w:rsidR="00293014">
        <w:rPr>
          <w:rFonts w:ascii="Gilroy" w:hAnsi="Gilroy"/>
          <w:sz w:val="22"/>
          <w:szCs w:val="22"/>
        </w:rPr>
        <w:t>.</w:t>
      </w:r>
      <w:r w:rsidR="00F41664">
        <w:rPr>
          <w:rStyle w:val="FootnoteReference"/>
          <w:rFonts w:ascii="Gilroy" w:hAnsi="Gilroy"/>
          <w:sz w:val="22"/>
          <w:szCs w:val="22"/>
        </w:rPr>
        <w:footnoteReference w:id="57"/>
      </w:r>
      <w:r w:rsidRPr="007E21E0">
        <w:rPr>
          <w:rFonts w:ascii="Gilroy" w:hAnsi="Gilroy"/>
          <w:sz w:val="22"/>
          <w:szCs w:val="22"/>
        </w:rPr>
        <w:t xml:space="preserve">  Some schools have even installed sensors in the toilets which 'listen' to pupils and send alerts if </w:t>
      </w:r>
      <w:r w:rsidR="00E523E7" w:rsidRPr="007E21E0">
        <w:rPr>
          <w:rFonts w:ascii="Gilroy" w:hAnsi="Gilroy"/>
          <w:sz w:val="22"/>
          <w:szCs w:val="22"/>
        </w:rPr>
        <w:t>keywords</w:t>
      </w:r>
      <w:r w:rsidRPr="007E21E0">
        <w:rPr>
          <w:rFonts w:ascii="Gilroy" w:hAnsi="Gilroy"/>
          <w:sz w:val="22"/>
          <w:szCs w:val="22"/>
        </w:rPr>
        <w:t xml:space="preserve"> are triggered - as part of a vape sensor. Disturbingly, one headteacher whos</w:t>
      </w:r>
      <w:r w:rsidR="00293014">
        <w:rPr>
          <w:rFonts w:ascii="Gilroy" w:hAnsi="Gilroy"/>
          <w:sz w:val="22"/>
          <w:szCs w:val="22"/>
        </w:rPr>
        <w:t>e</w:t>
      </w:r>
      <w:r w:rsidRPr="007E21E0">
        <w:rPr>
          <w:rFonts w:ascii="Gilroy" w:hAnsi="Gilroy"/>
          <w:sz w:val="22"/>
          <w:szCs w:val="22"/>
        </w:rPr>
        <w:t xml:space="preserve"> school had installed the sensors was</w:t>
      </w:r>
      <w:r w:rsidR="00293014">
        <w:rPr>
          <w:rFonts w:ascii="Gilroy" w:hAnsi="Gilroy"/>
          <w:sz w:val="22"/>
          <w:szCs w:val="22"/>
        </w:rPr>
        <w:t xml:space="preserve"> reportedly not </w:t>
      </w:r>
      <w:r w:rsidRPr="007E21E0">
        <w:rPr>
          <w:rFonts w:ascii="Gilroy" w:hAnsi="Gilroy"/>
          <w:sz w:val="22"/>
          <w:szCs w:val="22"/>
        </w:rPr>
        <w:t>aware that the sensors were listening at all.</w:t>
      </w:r>
      <w:r w:rsidR="0042051C" w:rsidRPr="0042051C">
        <w:rPr>
          <w:rFonts w:ascii="Gilroy" w:hAnsi="Gilroy"/>
          <w:sz w:val="22"/>
          <w:szCs w:val="22"/>
          <w:vertAlign w:val="superscript"/>
        </w:rPr>
        <w:footnoteReference w:id="58"/>
      </w:r>
    </w:p>
    <w:p w14:paraId="4D008614" w14:textId="77777777" w:rsidR="007E21E0" w:rsidRPr="007E21E0" w:rsidRDefault="007E21E0" w:rsidP="007E21E0">
      <w:pPr>
        <w:rPr>
          <w:rFonts w:ascii="Gilroy" w:hAnsi="Gilroy"/>
          <w:sz w:val="22"/>
          <w:szCs w:val="22"/>
        </w:rPr>
      </w:pPr>
    </w:p>
    <w:p w14:paraId="28249139" w14:textId="39752F5A" w:rsidR="007E21E0" w:rsidRPr="007E21E0" w:rsidRDefault="007E21E0" w:rsidP="007E21E0">
      <w:pPr>
        <w:rPr>
          <w:rFonts w:ascii="Gilroy" w:hAnsi="Gilroy"/>
          <w:sz w:val="22"/>
          <w:szCs w:val="22"/>
        </w:rPr>
      </w:pPr>
      <w:r w:rsidRPr="007E21E0">
        <w:rPr>
          <w:rFonts w:ascii="Gilroy" w:hAnsi="Gilroy"/>
          <w:sz w:val="22"/>
          <w:szCs w:val="22"/>
        </w:rPr>
        <w:t>The</w:t>
      </w:r>
      <w:r w:rsidR="005A25CC">
        <w:rPr>
          <w:rFonts w:ascii="Gilroy" w:hAnsi="Gilroy"/>
          <w:sz w:val="22"/>
          <w:szCs w:val="22"/>
        </w:rPr>
        <w:t xml:space="preserve">se </w:t>
      </w:r>
      <w:r w:rsidRPr="007E21E0">
        <w:rPr>
          <w:rFonts w:ascii="Gilroy" w:hAnsi="Gilroy"/>
          <w:sz w:val="22"/>
          <w:szCs w:val="22"/>
        </w:rPr>
        <w:t>technologies are being implemented in a context of a huge amount of data collection in UK schools- often with inadequate protections.</w:t>
      </w:r>
      <w:r w:rsidR="00F41664">
        <w:rPr>
          <w:rStyle w:val="FootnoteReference"/>
          <w:rFonts w:ascii="Gilroy" w:hAnsi="Gilroy"/>
          <w:sz w:val="22"/>
          <w:szCs w:val="22"/>
        </w:rPr>
        <w:footnoteReference w:id="59"/>
      </w:r>
      <w:r w:rsidRPr="007E21E0">
        <w:rPr>
          <w:rFonts w:ascii="Gilroy" w:hAnsi="Gilroy"/>
          <w:sz w:val="22"/>
          <w:szCs w:val="22"/>
        </w:rPr>
        <w:t xml:space="preserve"> The </w:t>
      </w:r>
      <w:r w:rsidR="00B97564">
        <w:rPr>
          <w:rFonts w:ascii="Gilroy" w:hAnsi="Gilroy"/>
          <w:sz w:val="22"/>
          <w:szCs w:val="22"/>
        </w:rPr>
        <w:t xml:space="preserve">ICO conducted an </w:t>
      </w:r>
      <w:r w:rsidRPr="007E21E0">
        <w:rPr>
          <w:rFonts w:ascii="Gilroy" w:hAnsi="Gilroy"/>
          <w:sz w:val="22"/>
          <w:szCs w:val="22"/>
        </w:rPr>
        <w:t>audit</w:t>
      </w:r>
      <w:r w:rsidR="00B97564">
        <w:rPr>
          <w:rFonts w:ascii="Gilroy" w:hAnsi="Gilroy"/>
          <w:sz w:val="22"/>
          <w:szCs w:val="22"/>
        </w:rPr>
        <w:t xml:space="preserve"> of </w:t>
      </w:r>
      <w:r w:rsidRPr="007E21E0">
        <w:rPr>
          <w:rFonts w:ascii="Gilroy" w:hAnsi="Gilroy"/>
          <w:sz w:val="22"/>
          <w:szCs w:val="22"/>
        </w:rPr>
        <w:t>the Department of Education following complaints about the department</w:t>
      </w:r>
      <w:r w:rsidR="00B97564">
        <w:rPr>
          <w:rFonts w:ascii="Gilroy" w:hAnsi="Gilroy"/>
          <w:sz w:val="22"/>
          <w:szCs w:val="22"/>
        </w:rPr>
        <w:t>’</w:t>
      </w:r>
      <w:r w:rsidRPr="007E21E0">
        <w:rPr>
          <w:rFonts w:ascii="Gilroy" w:hAnsi="Gilroy"/>
          <w:sz w:val="22"/>
          <w:szCs w:val="22"/>
        </w:rPr>
        <w:t>s data processes. It found significant issues in the Department's Compliance with existing law that governs data protection.</w:t>
      </w:r>
      <w:r w:rsidR="005A25CC">
        <w:rPr>
          <w:rStyle w:val="FootnoteReference"/>
          <w:rFonts w:ascii="Gilroy" w:hAnsi="Gilroy"/>
          <w:sz w:val="22"/>
          <w:szCs w:val="22"/>
        </w:rPr>
        <w:footnoteReference w:id="60"/>
      </w:r>
      <w:r w:rsidRPr="007E21E0">
        <w:rPr>
          <w:rFonts w:ascii="Gilroy" w:hAnsi="Gilroy"/>
          <w:sz w:val="22"/>
          <w:szCs w:val="22"/>
        </w:rPr>
        <w:t xml:space="preserve"> This failure cannot be surprising given </w:t>
      </w:r>
      <w:r w:rsidR="00B97564" w:rsidRPr="007E21E0">
        <w:rPr>
          <w:rFonts w:ascii="Gilroy" w:hAnsi="Gilroy"/>
          <w:sz w:val="22"/>
          <w:szCs w:val="22"/>
        </w:rPr>
        <w:t>its</w:t>
      </w:r>
      <w:r w:rsidRPr="007E21E0">
        <w:rPr>
          <w:rFonts w:ascii="Gilroy" w:hAnsi="Gilroy"/>
          <w:sz w:val="22"/>
          <w:szCs w:val="22"/>
        </w:rPr>
        <w:t xml:space="preserve"> history, which included granting access to a database of student learning records to gambling companies.</w:t>
      </w:r>
      <w:r w:rsidR="005A25CC">
        <w:rPr>
          <w:rStyle w:val="FootnoteReference"/>
          <w:rFonts w:ascii="Gilroy" w:hAnsi="Gilroy"/>
          <w:sz w:val="22"/>
          <w:szCs w:val="22"/>
        </w:rPr>
        <w:footnoteReference w:id="61"/>
      </w:r>
    </w:p>
    <w:p w14:paraId="1DE3F706" w14:textId="77777777" w:rsidR="007E21E0" w:rsidRDefault="007E21E0" w:rsidP="007E21E0">
      <w:pPr>
        <w:rPr>
          <w:rFonts w:ascii="Gilroy" w:hAnsi="Gilroy"/>
          <w:sz w:val="22"/>
          <w:szCs w:val="22"/>
        </w:rPr>
      </w:pPr>
    </w:p>
    <w:p w14:paraId="4D886750" w14:textId="77777777" w:rsidR="007E21E0" w:rsidRPr="007E21E0" w:rsidRDefault="007E21E0" w:rsidP="007E21E0">
      <w:pPr>
        <w:rPr>
          <w:rFonts w:ascii="Gilroy" w:hAnsi="Gilroy"/>
          <w:sz w:val="22"/>
          <w:szCs w:val="22"/>
        </w:rPr>
      </w:pPr>
      <w:r w:rsidRPr="007E21E0">
        <w:rPr>
          <w:rFonts w:ascii="Gilroy" w:hAnsi="Gilroy"/>
          <w:sz w:val="22"/>
          <w:szCs w:val="22"/>
        </w:rPr>
        <w:t>As is often inevitable after data is collected, the potential for scope creep in the re-use of such data is significant, and ministers at the Department of Education were reported to be asking questions including what the extensive data they hold might be worth.</w:t>
      </w:r>
      <w:r w:rsidR="0061055A">
        <w:rPr>
          <w:rStyle w:val="FootnoteReference"/>
          <w:rFonts w:ascii="Gilroy" w:hAnsi="Gilroy"/>
          <w:sz w:val="22"/>
          <w:szCs w:val="22"/>
        </w:rPr>
        <w:footnoteReference w:id="62"/>
      </w:r>
      <w:r w:rsidRPr="007E21E0">
        <w:rPr>
          <w:rFonts w:ascii="Gilroy" w:hAnsi="Gilroy"/>
          <w:sz w:val="22"/>
          <w:szCs w:val="22"/>
        </w:rPr>
        <w:t xml:space="preserve"> </w:t>
      </w:r>
    </w:p>
    <w:p w14:paraId="04F04281" w14:textId="77777777" w:rsidR="007E21E0" w:rsidRPr="007E21E0" w:rsidRDefault="007E21E0" w:rsidP="007E21E0">
      <w:pPr>
        <w:rPr>
          <w:rFonts w:ascii="Gilroy" w:hAnsi="Gilroy"/>
          <w:sz w:val="22"/>
          <w:szCs w:val="22"/>
        </w:rPr>
      </w:pPr>
    </w:p>
    <w:p w14:paraId="10340B8F" w14:textId="4B1B679D" w:rsidR="007E21E0" w:rsidRDefault="007E21E0" w:rsidP="007E21E0">
      <w:pPr>
        <w:rPr>
          <w:rFonts w:ascii="Gilroy" w:hAnsi="Gilroy"/>
          <w:sz w:val="22"/>
          <w:szCs w:val="22"/>
        </w:rPr>
      </w:pPr>
      <w:r w:rsidRPr="007E21E0">
        <w:rPr>
          <w:rFonts w:ascii="Gilroy" w:hAnsi="Gilroy"/>
          <w:sz w:val="22"/>
          <w:szCs w:val="22"/>
        </w:rPr>
        <w:lastRenderedPageBreak/>
        <w:t>The increasing volume and sensitivity of</w:t>
      </w:r>
      <w:r w:rsidR="008A44C5">
        <w:rPr>
          <w:rFonts w:ascii="Gilroy" w:hAnsi="Gilroy"/>
          <w:sz w:val="22"/>
          <w:szCs w:val="22"/>
        </w:rPr>
        <w:t xml:space="preserve"> personal</w:t>
      </w:r>
      <w:r w:rsidRPr="007E21E0">
        <w:rPr>
          <w:rFonts w:ascii="Gilroy" w:hAnsi="Gilroy"/>
          <w:sz w:val="22"/>
          <w:szCs w:val="22"/>
        </w:rPr>
        <w:t xml:space="preserve"> data being collected in schools by the state and by private companies is hugely problematic, not only is this highly sensitive data vulnerable to unauthorised access is ways that threaten children's education and privacy rights</w:t>
      </w:r>
      <w:r w:rsidR="0061055A">
        <w:rPr>
          <w:rFonts w:ascii="Gilroy" w:hAnsi="Gilroy"/>
          <w:sz w:val="22"/>
          <w:szCs w:val="22"/>
        </w:rPr>
        <w:t xml:space="preserve"> </w:t>
      </w:r>
      <w:r w:rsidRPr="007E21E0">
        <w:rPr>
          <w:rFonts w:ascii="Gilroy" w:hAnsi="Gilroy"/>
          <w:sz w:val="22"/>
          <w:szCs w:val="22"/>
        </w:rPr>
        <w:t>but can also lead to adverse outcomes for children.</w:t>
      </w:r>
      <w:r w:rsidR="002A5655">
        <w:rPr>
          <w:rStyle w:val="FootnoteReference"/>
          <w:rFonts w:ascii="Gilroy" w:hAnsi="Gilroy"/>
          <w:sz w:val="22"/>
          <w:szCs w:val="22"/>
        </w:rPr>
        <w:footnoteReference w:id="63"/>
      </w:r>
      <w:r w:rsidRPr="007E21E0">
        <w:rPr>
          <w:rFonts w:ascii="Gilroy" w:hAnsi="Gilroy"/>
          <w:sz w:val="22"/>
          <w:szCs w:val="22"/>
        </w:rPr>
        <w:t xml:space="preserve"> For example, one system used by schools in Bristol - which gathered data on pupils including broader data from </w:t>
      </w:r>
      <w:r w:rsidR="00E523E7" w:rsidRPr="007E21E0">
        <w:rPr>
          <w:rFonts w:ascii="Gilroy" w:hAnsi="Gilroy"/>
          <w:sz w:val="22"/>
          <w:szCs w:val="22"/>
        </w:rPr>
        <w:t>students</w:t>
      </w:r>
      <w:r w:rsidRPr="007E21E0">
        <w:rPr>
          <w:rFonts w:ascii="Gilroy" w:hAnsi="Gilroy"/>
          <w:sz w:val="22"/>
          <w:szCs w:val="22"/>
        </w:rPr>
        <w:t xml:space="preserve"> and their </w:t>
      </w:r>
      <w:r w:rsidR="00E523E7" w:rsidRPr="007E21E0">
        <w:rPr>
          <w:rFonts w:ascii="Gilroy" w:hAnsi="Gilroy"/>
          <w:sz w:val="22"/>
          <w:szCs w:val="22"/>
        </w:rPr>
        <w:t>families’</w:t>
      </w:r>
      <w:r w:rsidRPr="007E21E0">
        <w:rPr>
          <w:rFonts w:ascii="Gilroy" w:hAnsi="Gilroy"/>
          <w:sz w:val="22"/>
          <w:szCs w:val="22"/>
        </w:rPr>
        <w:t xml:space="preserve"> interactions with other part of the UK state like the police or child protection services - has been </w:t>
      </w:r>
      <w:r w:rsidR="00E523E7" w:rsidRPr="007E21E0">
        <w:rPr>
          <w:rFonts w:ascii="Gilroy" w:hAnsi="Gilroy"/>
          <w:sz w:val="22"/>
          <w:szCs w:val="22"/>
        </w:rPr>
        <w:t>criticised</w:t>
      </w:r>
      <w:r w:rsidRPr="007E21E0">
        <w:rPr>
          <w:rFonts w:ascii="Gilroy" w:hAnsi="Gilroy"/>
          <w:sz w:val="22"/>
          <w:szCs w:val="22"/>
        </w:rPr>
        <w:t xml:space="preserve"> for increasing the risks of discrimination for students from a </w:t>
      </w:r>
      <w:r w:rsidR="00C14D51" w:rsidRPr="007E21E0">
        <w:rPr>
          <w:rFonts w:ascii="Gilroy" w:hAnsi="Gilroy"/>
          <w:sz w:val="22"/>
          <w:szCs w:val="22"/>
        </w:rPr>
        <w:t>minority ethnic or working-class background</w:t>
      </w:r>
      <w:r w:rsidR="0061055A">
        <w:rPr>
          <w:rFonts w:ascii="Gilroy" w:hAnsi="Gilroy"/>
          <w:sz w:val="22"/>
          <w:szCs w:val="22"/>
        </w:rPr>
        <w:t>.</w:t>
      </w:r>
      <w:r w:rsidR="0061055A">
        <w:rPr>
          <w:rStyle w:val="FootnoteReference"/>
          <w:rFonts w:ascii="Gilroy" w:hAnsi="Gilroy"/>
          <w:sz w:val="22"/>
          <w:szCs w:val="22"/>
        </w:rPr>
        <w:footnoteReference w:id="64"/>
      </w:r>
      <w:r w:rsidRPr="007E21E0">
        <w:rPr>
          <w:rFonts w:ascii="Gilroy" w:hAnsi="Gilroy"/>
          <w:sz w:val="22"/>
          <w:szCs w:val="22"/>
        </w:rPr>
        <w:t xml:space="preserve">   </w:t>
      </w:r>
    </w:p>
    <w:p w14:paraId="37AC255F" w14:textId="77777777" w:rsidR="00ED6FC8" w:rsidRDefault="00ED6FC8" w:rsidP="007E21E0">
      <w:pPr>
        <w:rPr>
          <w:rFonts w:ascii="Gilroy" w:hAnsi="Gilroy"/>
          <w:sz w:val="22"/>
          <w:szCs w:val="22"/>
        </w:rPr>
      </w:pPr>
    </w:p>
    <w:p w14:paraId="62227EBB" w14:textId="497388DE" w:rsidR="00ED6FC8" w:rsidRPr="001C2B2A" w:rsidRDefault="00ED6FC8" w:rsidP="001C2B2A">
      <w:pPr>
        <w:pStyle w:val="ListParagraph"/>
        <w:numPr>
          <w:ilvl w:val="0"/>
          <w:numId w:val="1"/>
        </w:numPr>
        <w:rPr>
          <w:rFonts w:ascii="Gilroy" w:hAnsi="Gilroy"/>
          <w:b/>
          <w:bCs/>
          <w:sz w:val="22"/>
          <w:szCs w:val="22"/>
        </w:rPr>
      </w:pPr>
      <w:r w:rsidRPr="001C2B2A">
        <w:rPr>
          <w:rFonts w:ascii="Gilroy" w:hAnsi="Gilroy"/>
          <w:b/>
          <w:bCs/>
          <w:sz w:val="22"/>
          <w:szCs w:val="22"/>
        </w:rPr>
        <w:t>Recommendations</w:t>
      </w:r>
    </w:p>
    <w:p w14:paraId="6064C83D" w14:textId="77777777" w:rsidR="00ED6FC8" w:rsidRDefault="00ED6FC8" w:rsidP="007E21E0">
      <w:pPr>
        <w:rPr>
          <w:rFonts w:ascii="Gilroy" w:hAnsi="Gilroy"/>
          <w:sz w:val="22"/>
          <w:szCs w:val="22"/>
        </w:rPr>
      </w:pPr>
    </w:p>
    <w:p w14:paraId="1562B31D" w14:textId="77777777" w:rsidR="00ED6FC8" w:rsidRDefault="00ED6FC8" w:rsidP="007E21E0">
      <w:pPr>
        <w:rPr>
          <w:rFonts w:ascii="Gilroy" w:hAnsi="Gilroy"/>
          <w:sz w:val="22"/>
          <w:szCs w:val="22"/>
        </w:rPr>
      </w:pPr>
      <w:r w:rsidRPr="00ED6FC8">
        <w:rPr>
          <w:rFonts w:ascii="Gilroy" w:hAnsi="Gilroy"/>
          <w:sz w:val="22"/>
          <w:szCs w:val="22"/>
        </w:rPr>
        <w:t xml:space="preserve">Based on these observations, Privacy International suggests the Committee on Economic, Social and Cultural Rights considers the following recommendations for the </w:t>
      </w:r>
      <w:r w:rsidR="0090274F">
        <w:rPr>
          <w:rFonts w:ascii="Gilroy" w:hAnsi="Gilroy"/>
          <w:sz w:val="22"/>
          <w:szCs w:val="22"/>
        </w:rPr>
        <w:t>UK government in the</w:t>
      </w:r>
      <w:r w:rsidR="007D51B1">
        <w:rPr>
          <w:rFonts w:ascii="Gilroy" w:hAnsi="Gilroy"/>
          <w:sz w:val="22"/>
          <w:szCs w:val="22"/>
        </w:rPr>
        <w:t>ir</w:t>
      </w:r>
      <w:r w:rsidR="0090274F">
        <w:rPr>
          <w:rFonts w:ascii="Gilroy" w:hAnsi="Gilroy"/>
          <w:sz w:val="22"/>
          <w:szCs w:val="22"/>
        </w:rPr>
        <w:t xml:space="preserve"> </w:t>
      </w:r>
      <w:r w:rsidRPr="00ED6FC8">
        <w:rPr>
          <w:rFonts w:ascii="Gilroy" w:hAnsi="Gilroy"/>
          <w:sz w:val="22"/>
          <w:szCs w:val="22"/>
        </w:rPr>
        <w:t>concluding observations:</w:t>
      </w:r>
    </w:p>
    <w:p w14:paraId="067E290B" w14:textId="77777777" w:rsidR="00ED6FC8" w:rsidRDefault="00ED6FC8" w:rsidP="007E21E0">
      <w:pPr>
        <w:rPr>
          <w:rFonts w:ascii="Gilroy" w:hAnsi="Gilroy"/>
          <w:sz w:val="22"/>
          <w:szCs w:val="22"/>
        </w:rPr>
      </w:pPr>
    </w:p>
    <w:p w14:paraId="30F945BE" w14:textId="2D0AB9E5" w:rsidR="0090274F" w:rsidRDefault="00E87199" w:rsidP="0090274F">
      <w:pPr>
        <w:pStyle w:val="ListParagraph"/>
        <w:numPr>
          <w:ilvl w:val="0"/>
          <w:numId w:val="4"/>
        </w:numPr>
        <w:rPr>
          <w:rFonts w:ascii="Gilroy" w:hAnsi="Gilroy"/>
          <w:sz w:val="22"/>
          <w:szCs w:val="22"/>
        </w:rPr>
      </w:pPr>
      <w:r>
        <w:rPr>
          <w:rFonts w:ascii="Gilroy" w:hAnsi="Gilroy"/>
          <w:sz w:val="22"/>
          <w:szCs w:val="22"/>
        </w:rPr>
        <w:t>A</w:t>
      </w:r>
      <w:r w:rsidR="0090274F" w:rsidRPr="0090274F">
        <w:rPr>
          <w:rFonts w:ascii="Gilroy" w:hAnsi="Gilroy"/>
          <w:sz w:val="22"/>
          <w:szCs w:val="22"/>
        </w:rPr>
        <w:t>ddress longstanding concerns regarding the use of surveillance mechanisms</w:t>
      </w:r>
      <w:r>
        <w:rPr>
          <w:rFonts w:ascii="Gilroy" w:hAnsi="Gilroy"/>
          <w:sz w:val="22"/>
          <w:szCs w:val="22"/>
        </w:rPr>
        <w:t xml:space="preserve"> by the Department for Work and Pensions</w:t>
      </w:r>
      <w:r w:rsidR="0090274F" w:rsidRPr="0090274F">
        <w:rPr>
          <w:rFonts w:ascii="Gilroy" w:hAnsi="Gilroy"/>
          <w:sz w:val="22"/>
          <w:szCs w:val="22"/>
        </w:rPr>
        <w:t>, including covert practices, by ensuring transparency, accountability, and the protection of individuals' rights within its fraud prevention initiatives.</w:t>
      </w:r>
    </w:p>
    <w:p w14:paraId="05F15C9E" w14:textId="65E21A20" w:rsidR="00E87199" w:rsidRPr="0000585F" w:rsidRDefault="00E87199" w:rsidP="0000585F">
      <w:pPr>
        <w:pStyle w:val="ListParagraph"/>
        <w:numPr>
          <w:ilvl w:val="0"/>
          <w:numId w:val="4"/>
        </w:numPr>
        <w:snapToGrid w:val="0"/>
        <w:spacing w:before="100" w:beforeAutospacing="1" w:after="100" w:afterAutospacing="1"/>
        <w:jc w:val="both"/>
        <w:rPr>
          <w:rFonts w:ascii="Gilroy" w:eastAsia="Times New Roman" w:hAnsi="Gilroy" w:cs="Times New Roman"/>
          <w:lang w:eastAsia="en-GB"/>
        </w:rPr>
      </w:pPr>
      <w:r>
        <w:rPr>
          <w:rFonts w:ascii="Gilroy" w:eastAsia="Times New Roman" w:hAnsi="Gilroy" w:cs="Times New Roman"/>
          <w:lang w:eastAsia="en-GB"/>
        </w:rPr>
        <w:t>Recognise and address the risks that the use of AI technologies poses to access to social benefits, including the dangers that the use of such technology lead to exclusionary and discriminatory impacts</w:t>
      </w:r>
      <w:r w:rsidR="00706E1C">
        <w:rPr>
          <w:rFonts w:ascii="Gilroy" w:eastAsia="Times New Roman" w:hAnsi="Gilroy" w:cs="Times New Roman"/>
          <w:lang w:eastAsia="en-GB"/>
        </w:rPr>
        <w:t>.</w:t>
      </w:r>
    </w:p>
    <w:p w14:paraId="487DA58D" w14:textId="55683BC9" w:rsidR="00C17062" w:rsidRPr="0000585F" w:rsidRDefault="00E87199" w:rsidP="00E87199">
      <w:pPr>
        <w:pStyle w:val="ListParagraph"/>
        <w:numPr>
          <w:ilvl w:val="0"/>
          <w:numId w:val="4"/>
        </w:numPr>
        <w:rPr>
          <w:rFonts w:ascii="Gilroy" w:hAnsi="Gilroy"/>
          <w:sz w:val="22"/>
          <w:szCs w:val="22"/>
        </w:rPr>
      </w:pPr>
      <w:r w:rsidRPr="00E87199">
        <w:rPr>
          <w:rFonts w:ascii="Gilroy" w:hAnsi="Gilroy"/>
          <w:sz w:val="22"/>
          <w:szCs w:val="22"/>
        </w:rPr>
        <w:t xml:space="preserve">Cease the imposition of GPS tagging on migrants and adopt </w:t>
      </w:r>
      <w:r w:rsidR="00706E1C">
        <w:rPr>
          <w:rFonts w:ascii="Gilroy" w:hAnsi="Gilroy"/>
          <w:sz w:val="22"/>
          <w:szCs w:val="22"/>
        </w:rPr>
        <w:t xml:space="preserve">measures </w:t>
      </w:r>
      <w:r w:rsidRPr="00E87199">
        <w:rPr>
          <w:rFonts w:ascii="Gilroy" w:hAnsi="Gilroy"/>
          <w:sz w:val="22"/>
          <w:szCs w:val="22"/>
        </w:rPr>
        <w:t>that are respectful of human rights, instead of surveillance-based technolo</w:t>
      </w:r>
      <w:r w:rsidR="00706E1C">
        <w:rPr>
          <w:rFonts w:ascii="Gilroy" w:hAnsi="Gilroy"/>
          <w:sz w:val="22"/>
          <w:szCs w:val="22"/>
        </w:rPr>
        <w:t>gies.</w:t>
      </w:r>
    </w:p>
    <w:p w14:paraId="6D7F5FA1" w14:textId="2061D1ED" w:rsidR="00ED6FC8" w:rsidRPr="0000585F" w:rsidRDefault="00D664FD" w:rsidP="00706E1C">
      <w:pPr>
        <w:pStyle w:val="ListParagraph"/>
        <w:numPr>
          <w:ilvl w:val="0"/>
          <w:numId w:val="4"/>
        </w:numPr>
        <w:rPr>
          <w:rFonts w:ascii="Gilroy" w:hAnsi="Gilroy"/>
          <w:sz w:val="22"/>
          <w:szCs w:val="22"/>
        </w:rPr>
      </w:pPr>
      <w:r>
        <w:rPr>
          <w:rFonts w:ascii="Gilroy" w:hAnsi="Gilroy"/>
          <w:sz w:val="22"/>
          <w:szCs w:val="22"/>
        </w:rPr>
        <w:t>Ensure that t</w:t>
      </w:r>
      <w:r w:rsidR="00C17062">
        <w:rPr>
          <w:rFonts w:ascii="Gilroy" w:hAnsi="Gilroy"/>
          <w:sz w:val="22"/>
          <w:szCs w:val="22"/>
        </w:rPr>
        <w:t xml:space="preserve">he </w:t>
      </w:r>
      <w:r w:rsidR="00ED6FC8" w:rsidRPr="00ED6FC8">
        <w:rPr>
          <w:rFonts w:ascii="Gilroy" w:hAnsi="Gilroy"/>
          <w:sz w:val="22"/>
          <w:szCs w:val="22"/>
        </w:rPr>
        <w:t xml:space="preserve">digitalisation of </w:t>
      </w:r>
      <w:r w:rsidRPr="00C17062">
        <w:rPr>
          <w:rFonts w:ascii="Gilroy" w:hAnsi="Gilroy"/>
          <w:sz w:val="22"/>
          <w:szCs w:val="22"/>
        </w:rPr>
        <w:t>health</w:t>
      </w:r>
      <w:r>
        <w:rPr>
          <w:rFonts w:ascii="Gilroy" w:hAnsi="Gilroy"/>
          <w:sz w:val="22"/>
          <w:szCs w:val="22"/>
        </w:rPr>
        <w:t xml:space="preserve">care services does not come at cost to </w:t>
      </w:r>
      <w:r w:rsidR="00706E1C">
        <w:rPr>
          <w:rFonts w:ascii="Gilroy" w:hAnsi="Gilroy"/>
          <w:sz w:val="22"/>
          <w:szCs w:val="22"/>
        </w:rPr>
        <w:t xml:space="preserve">human </w:t>
      </w:r>
      <w:r>
        <w:rPr>
          <w:rFonts w:ascii="Gilroy" w:hAnsi="Gilroy"/>
          <w:sz w:val="22"/>
          <w:szCs w:val="22"/>
        </w:rPr>
        <w:t xml:space="preserve">rights </w:t>
      </w:r>
      <w:r w:rsidR="00706E1C">
        <w:rPr>
          <w:rFonts w:ascii="Gilroy" w:hAnsi="Gilroy"/>
          <w:sz w:val="22"/>
          <w:szCs w:val="22"/>
        </w:rPr>
        <w:t xml:space="preserve">to health and </w:t>
      </w:r>
      <w:r>
        <w:rPr>
          <w:rFonts w:ascii="Gilroy" w:hAnsi="Gilroy"/>
          <w:sz w:val="22"/>
          <w:szCs w:val="22"/>
        </w:rPr>
        <w:t xml:space="preserve">the right to privacy, </w:t>
      </w:r>
      <w:r w:rsidR="00706E1C">
        <w:rPr>
          <w:rFonts w:ascii="Gilroy" w:hAnsi="Gilroy"/>
          <w:sz w:val="22"/>
          <w:szCs w:val="22"/>
        </w:rPr>
        <w:t xml:space="preserve">including by </w:t>
      </w:r>
      <w:r w:rsidRPr="00C17062">
        <w:rPr>
          <w:rFonts w:ascii="Gilroy" w:hAnsi="Gilroy"/>
          <w:sz w:val="22"/>
          <w:szCs w:val="22"/>
        </w:rPr>
        <w:t xml:space="preserve">protecting people’s </w:t>
      </w:r>
      <w:r>
        <w:rPr>
          <w:rFonts w:ascii="Gilroy" w:hAnsi="Gilroy"/>
          <w:sz w:val="22"/>
          <w:szCs w:val="22"/>
        </w:rPr>
        <w:t xml:space="preserve">sensitive </w:t>
      </w:r>
      <w:r w:rsidRPr="00C17062">
        <w:rPr>
          <w:rFonts w:ascii="Gilroy" w:hAnsi="Gilroy"/>
          <w:sz w:val="22"/>
          <w:szCs w:val="22"/>
        </w:rPr>
        <w:t>health data</w:t>
      </w:r>
      <w:r w:rsidR="00706E1C">
        <w:rPr>
          <w:rFonts w:ascii="Gilroy" w:hAnsi="Gilroy"/>
          <w:sz w:val="22"/>
          <w:szCs w:val="22"/>
        </w:rPr>
        <w:t xml:space="preserve"> and by ensuring that </w:t>
      </w:r>
      <w:r>
        <w:rPr>
          <w:rFonts w:ascii="Gilroy" w:hAnsi="Gilroy"/>
          <w:sz w:val="22"/>
          <w:szCs w:val="22"/>
        </w:rPr>
        <w:t xml:space="preserve">the use </w:t>
      </w:r>
      <w:r w:rsidR="00ED6FC8" w:rsidRPr="00D664FD">
        <w:rPr>
          <w:rFonts w:ascii="Gilroy" w:hAnsi="Gilroy"/>
          <w:sz w:val="22"/>
          <w:szCs w:val="22"/>
        </w:rPr>
        <w:t>digital innovation and technologies</w:t>
      </w:r>
      <w:r>
        <w:rPr>
          <w:rFonts w:ascii="Gilroy" w:hAnsi="Gilroy"/>
          <w:sz w:val="22"/>
          <w:szCs w:val="22"/>
        </w:rPr>
        <w:t xml:space="preserve"> in healthcare</w:t>
      </w:r>
      <w:r w:rsidR="00706E1C">
        <w:rPr>
          <w:rFonts w:ascii="Gilroy" w:hAnsi="Gilroy"/>
          <w:sz w:val="22"/>
          <w:szCs w:val="22"/>
        </w:rPr>
        <w:t xml:space="preserve"> do not lead to discriminatory outcomes and </w:t>
      </w:r>
      <w:proofErr w:type="gramStart"/>
      <w:r w:rsidR="00706E1C">
        <w:rPr>
          <w:rFonts w:ascii="Gilroy" w:hAnsi="Gilroy"/>
          <w:sz w:val="22"/>
          <w:szCs w:val="22"/>
        </w:rPr>
        <w:t>impacts;</w:t>
      </w:r>
      <w:proofErr w:type="gramEnd"/>
    </w:p>
    <w:p w14:paraId="63CFD54B" w14:textId="0D82B8AB" w:rsidR="00D664FD" w:rsidRDefault="00706E1C" w:rsidP="00ED6FC8">
      <w:pPr>
        <w:pStyle w:val="ListParagraph"/>
        <w:numPr>
          <w:ilvl w:val="0"/>
          <w:numId w:val="4"/>
        </w:numPr>
        <w:rPr>
          <w:rFonts w:ascii="Gilroy" w:hAnsi="Gilroy"/>
          <w:sz w:val="22"/>
          <w:szCs w:val="22"/>
        </w:rPr>
      </w:pPr>
      <w:r>
        <w:rPr>
          <w:rFonts w:ascii="Gilroy" w:hAnsi="Gilroy"/>
          <w:sz w:val="22"/>
          <w:szCs w:val="22"/>
        </w:rPr>
        <w:t xml:space="preserve">Carry out regular </w:t>
      </w:r>
      <w:r w:rsidR="00D664FD" w:rsidRPr="00C17062">
        <w:rPr>
          <w:rFonts w:ascii="Gilroy" w:hAnsi="Gilroy"/>
          <w:sz w:val="22"/>
          <w:szCs w:val="22"/>
        </w:rPr>
        <w:t xml:space="preserve">human rights due diligence and impact assessments to ensure </w:t>
      </w:r>
      <w:r>
        <w:rPr>
          <w:rFonts w:ascii="Gilroy" w:hAnsi="Gilroy"/>
          <w:sz w:val="22"/>
          <w:szCs w:val="22"/>
        </w:rPr>
        <w:t>that t</w:t>
      </w:r>
      <w:r w:rsidRPr="00C17062">
        <w:rPr>
          <w:rFonts w:ascii="Gilroy" w:hAnsi="Gilroy"/>
          <w:sz w:val="22"/>
          <w:szCs w:val="22"/>
        </w:rPr>
        <w:t xml:space="preserve">he involvement of the private sector in the UK’s provision of healthcare </w:t>
      </w:r>
      <w:r>
        <w:rPr>
          <w:rFonts w:ascii="Gilroy" w:hAnsi="Gilroy"/>
          <w:sz w:val="22"/>
          <w:szCs w:val="22"/>
        </w:rPr>
        <w:t xml:space="preserve">is compliant </w:t>
      </w:r>
      <w:r w:rsidR="00D664FD" w:rsidRPr="00C17062">
        <w:rPr>
          <w:rFonts w:ascii="Gilroy" w:hAnsi="Gilroy"/>
          <w:sz w:val="22"/>
          <w:szCs w:val="22"/>
        </w:rPr>
        <w:t>with the UK’s obligations</w:t>
      </w:r>
      <w:r>
        <w:rPr>
          <w:rFonts w:ascii="Gilroy" w:hAnsi="Gilroy"/>
          <w:sz w:val="22"/>
          <w:szCs w:val="22"/>
        </w:rPr>
        <w:t xml:space="preserve"> under the Covenant</w:t>
      </w:r>
      <w:r w:rsidR="00D664FD" w:rsidRPr="00C17062">
        <w:rPr>
          <w:rFonts w:ascii="Gilroy" w:hAnsi="Gilroy"/>
          <w:sz w:val="22"/>
          <w:szCs w:val="22"/>
        </w:rPr>
        <w:t>.</w:t>
      </w:r>
    </w:p>
    <w:p w14:paraId="4A849946" w14:textId="6AF33389" w:rsidR="00ED6FC8" w:rsidRDefault="00ED6FC8" w:rsidP="00ED6FC8">
      <w:pPr>
        <w:pStyle w:val="ListParagraph"/>
        <w:numPr>
          <w:ilvl w:val="0"/>
          <w:numId w:val="4"/>
        </w:numPr>
        <w:rPr>
          <w:rFonts w:ascii="Gilroy" w:hAnsi="Gilroy"/>
          <w:sz w:val="22"/>
          <w:szCs w:val="22"/>
        </w:rPr>
      </w:pPr>
      <w:r w:rsidRPr="00ED6FC8">
        <w:rPr>
          <w:rFonts w:ascii="Gilroy" w:hAnsi="Gilroy"/>
          <w:sz w:val="22"/>
          <w:szCs w:val="22"/>
        </w:rPr>
        <w:t>Prohibit the use of facial recognition technology (FRT) in educational settings due to its disproportionate impact, security risks, inaccuracies, and discriminatory biases that pose threat</w:t>
      </w:r>
      <w:r w:rsidR="00C17062">
        <w:rPr>
          <w:rFonts w:ascii="Gilroy" w:hAnsi="Gilroy"/>
          <w:sz w:val="22"/>
          <w:szCs w:val="22"/>
        </w:rPr>
        <w:t>s</w:t>
      </w:r>
      <w:r w:rsidRPr="00ED6FC8">
        <w:rPr>
          <w:rFonts w:ascii="Gilroy" w:hAnsi="Gilroy"/>
          <w:sz w:val="22"/>
          <w:szCs w:val="22"/>
        </w:rPr>
        <w:t xml:space="preserve"> to the right to </w:t>
      </w:r>
      <w:r w:rsidR="00706E1C">
        <w:rPr>
          <w:rFonts w:ascii="Gilroy" w:hAnsi="Gilroy"/>
          <w:sz w:val="22"/>
          <w:szCs w:val="22"/>
        </w:rPr>
        <w:t>e</w:t>
      </w:r>
      <w:r w:rsidRPr="00ED6FC8">
        <w:rPr>
          <w:rFonts w:ascii="Gilroy" w:hAnsi="Gilroy"/>
          <w:sz w:val="22"/>
          <w:szCs w:val="22"/>
        </w:rPr>
        <w:t>ducation</w:t>
      </w:r>
      <w:r w:rsidR="00C17062">
        <w:rPr>
          <w:rFonts w:ascii="Gilroy" w:hAnsi="Gilroy"/>
          <w:sz w:val="22"/>
          <w:szCs w:val="22"/>
        </w:rPr>
        <w:t xml:space="preserve">. </w:t>
      </w:r>
    </w:p>
    <w:p w14:paraId="5BF900F3" w14:textId="388B13CF" w:rsidR="00ED6FC8" w:rsidRPr="00ED6FC8" w:rsidRDefault="00ED6FC8" w:rsidP="00ED6FC8">
      <w:pPr>
        <w:pStyle w:val="ListParagraph"/>
        <w:numPr>
          <w:ilvl w:val="0"/>
          <w:numId w:val="4"/>
        </w:numPr>
        <w:rPr>
          <w:rFonts w:ascii="Gilroy" w:hAnsi="Gilroy"/>
          <w:sz w:val="22"/>
          <w:szCs w:val="22"/>
        </w:rPr>
      </w:pPr>
      <w:r w:rsidRPr="00ED6FC8">
        <w:rPr>
          <w:rFonts w:ascii="Gilroy" w:hAnsi="Gilroy"/>
          <w:sz w:val="22"/>
          <w:szCs w:val="22"/>
        </w:rPr>
        <w:t xml:space="preserve">Regulate the use of education technologies and implement regulations governing the use of EdTech in </w:t>
      </w:r>
      <w:r w:rsidR="00C17062">
        <w:rPr>
          <w:rFonts w:ascii="Gilroy" w:hAnsi="Gilroy"/>
          <w:sz w:val="22"/>
          <w:szCs w:val="22"/>
        </w:rPr>
        <w:t>educational</w:t>
      </w:r>
      <w:r w:rsidRPr="00ED6FC8">
        <w:rPr>
          <w:rFonts w:ascii="Gilroy" w:hAnsi="Gilroy"/>
          <w:sz w:val="22"/>
          <w:szCs w:val="22"/>
        </w:rPr>
        <w:t xml:space="preserve"> settings (including private institutions), ensuring alignment with robust data protection standards and to guarantee educational institutions create an environment </w:t>
      </w:r>
      <w:r w:rsidR="00E523E7">
        <w:rPr>
          <w:rFonts w:ascii="Gilroy" w:hAnsi="Gilroy"/>
          <w:sz w:val="22"/>
          <w:szCs w:val="22"/>
        </w:rPr>
        <w:t xml:space="preserve">fulfils </w:t>
      </w:r>
      <w:r w:rsidRPr="00ED6FC8">
        <w:rPr>
          <w:rFonts w:ascii="Gilroy" w:hAnsi="Gilroy"/>
          <w:sz w:val="22"/>
          <w:szCs w:val="22"/>
        </w:rPr>
        <w:t xml:space="preserve">the right to </w:t>
      </w:r>
      <w:r w:rsidR="00C17062">
        <w:rPr>
          <w:rFonts w:ascii="Gilroy" w:hAnsi="Gilroy"/>
          <w:sz w:val="22"/>
          <w:szCs w:val="22"/>
        </w:rPr>
        <w:t>e</w:t>
      </w:r>
      <w:r w:rsidRPr="00ED6FC8">
        <w:rPr>
          <w:rFonts w:ascii="Gilroy" w:hAnsi="Gilroy"/>
          <w:sz w:val="22"/>
          <w:szCs w:val="22"/>
        </w:rPr>
        <w:t>ducation</w:t>
      </w:r>
      <w:r w:rsidR="00C17062">
        <w:rPr>
          <w:rFonts w:ascii="Gilroy" w:hAnsi="Gilroy"/>
          <w:sz w:val="22"/>
          <w:szCs w:val="22"/>
        </w:rPr>
        <w:t xml:space="preserve">. </w:t>
      </w:r>
    </w:p>
    <w:sectPr w:rsidR="00ED6FC8" w:rsidRPr="00ED6F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8F15F" w14:textId="77777777" w:rsidR="00831C44" w:rsidRDefault="00831C44" w:rsidP="006634A2">
      <w:r>
        <w:separator/>
      </w:r>
    </w:p>
  </w:endnote>
  <w:endnote w:type="continuationSeparator" w:id="0">
    <w:p w14:paraId="69CC2517" w14:textId="77777777" w:rsidR="00831C44" w:rsidRDefault="00831C44" w:rsidP="00663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roy">
    <w:panose1 w:val="00000500000000000000"/>
    <w:charset w:val="4D"/>
    <w:family w:val="auto"/>
    <w:notTrueType/>
    <w:pitch w:val="variable"/>
    <w:sig w:usb0="00000207" w:usb1="00000000"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8FA13" w14:textId="77777777" w:rsidR="00831C44" w:rsidRDefault="00831C44" w:rsidP="006634A2">
      <w:r>
        <w:separator/>
      </w:r>
    </w:p>
  </w:footnote>
  <w:footnote w:type="continuationSeparator" w:id="0">
    <w:p w14:paraId="68EADD28" w14:textId="77777777" w:rsidR="00831C44" w:rsidRDefault="00831C44" w:rsidP="006634A2">
      <w:r>
        <w:continuationSeparator/>
      </w:r>
    </w:p>
  </w:footnote>
  <w:footnote w:id="1">
    <w:p w14:paraId="15AB1E94"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Privacy International, ‘Shedding light on the DWP Part 1 - We read the UK welfare agency’s 995-page guide on conducting surveillance and here are the scariest bits’, February 2021. </w:t>
      </w:r>
    </w:p>
    <w:p w14:paraId="7B864679" w14:textId="60C0BDF3" w:rsidR="005C62A0" w:rsidRPr="002A5655" w:rsidRDefault="005C62A0" w:rsidP="005C62A0">
      <w:pPr>
        <w:pStyle w:val="FootnoteText"/>
        <w:rPr>
          <w:rFonts w:ascii="Gilroy" w:hAnsi="Gilroy"/>
          <w:sz w:val="18"/>
          <w:szCs w:val="18"/>
        </w:rPr>
      </w:pPr>
      <w:hyperlink r:id="rId1" w:history="1">
        <w:r w:rsidRPr="002A5655">
          <w:rPr>
            <w:rStyle w:val="Hyperlink"/>
            <w:rFonts w:ascii="Gilroy" w:hAnsi="Gilroy"/>
            <w:sz w:val="18"/>
            <w:szCs w:val="18"/>
          </w:rPr>
          <w:t>https://privacyinternational.org/long-read/4395/shedding-light-dwp-part-1-we-read-uk-welfare-agencys-995-page-guide-conducting</w:t>
        </w:r>
      </w:hyperlink>
    </w:p>
  </w:footnote>
  <w:footnote w:id="2">
    <w:p w14:paraId="4F6EDDF6"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The Guardian, ‘UK government failing to list use of AI on mandatory register’, 28 November 2024. </w:t>
      </w:r>
    </w:p>
    <w:p w14:paraId="5213EE90" w14:textId="5E5D0D0C" w:rsidR="005C62A0" w:rsidRPr="002A5655" w:rsidRDefault="005C62A0" w:rsidP="005C62A0">
      <w:pPr>
        <w:pStyle w:val="FootnoteText"/>
        <w:rPr>
          <w:rFonts w:ascii="Gilroy" w:hAnsi="Gilroy"/>
          <w:sz w:val="18"/>
          <w:szCs w:val="18"/>
        </w:rPr>
      </w:pPr>
      <w:r w:rsidRPr="002A5655">
        <w:rPr>
          <w:rFonts w:ascii="Gilroy" w:hAnsi="Gilroy"/>
          <w:sz w:val="18"/>
          <w:szCs w:val="18"/>
        </w:rPr>
        <w:t xml:space="preserve"> </w:t>
      </w:r>
      <w:hyperlink r:id="rId2" w:history="1">
        <w:r w:rsidRPr="002A5655">
          <w:rPr>
            <w:rStyle w:val="Hyperlink"/>
            <w:rFonts w:ascii="Gilroy" w:hAnsi="Gilroy"/>
            <w:sz w:val="18"/>
            <w:szCs w:val="18"/>
          </w:rPr>
          <w:t>https://www.theguardian.com/technology/2024/nov/28/uk-government-failing-to-list-use-of-ai-on-mandatory-register</w:t>
        </w:r>
      </w:hyperlink>
      <w:r w:rsidRPr="002A5655">
        <w:rPr>
          <w:rStyle w:val="Hyperlink"/>
          <w:rFonts w:ascii="Gilroy" w:hAnsi="Gilroy"/>
          <w:sz w:val="18"/>
          <w:szCs w:val="18"/>
        </w:rPr>
        <w:t xml:space="preserve"> </w:t>
      </w:r>
    </w:p>
  </w:footnote>
  <w:footnote w:id="3">
    <w:p w14:paraId="5F189544" w14:textId="2854E465" w:rsidR="005C62A0" w:rsidRDefault="005C62A0">
      <w:pPr>
        <w:pStyle w:val="FootnoteText"/>
      </w:pPr>
      <w:r w:rsidRPr="002A5655">
        <w:rPr>
          <w:rStyle w:val="FootnoteReference"/>
          <w:rFonts w:ascii="Gilroy" w:hAnsi="Gilroy"/>
          <w:sz w:val="18"/>
          <w:szCs w:val="18"/>
        </w:rPr>
        <w:footnoteRef/>
      </w:r>
      <w:r w:rsidRPr="002A5655">
        <w:rPr>
          <w:rFonts w:ascii="Gilroy" w:hAnsi="Gilroy"/>
          <w:sz w:val="18"/>
          <w:szCs w:val="18"/>
        </w:rPr>
        <w:t xml:space="preserve"> The Guardian, ‘AI use widened to assess universal credit applications and tackle fraud’, 11 July 2023. </w:t>
      </w:r>
      <w:hyperlink r:id="rId3" w:history="1">
        <w:r w:rsidRPr="002A5655">
          <w:rPr>
            <w:rStyle w:val="Hyperlink"/>
            <w:rFonts w:ascii="Gilroy" w:hAnsi="Gilroy"/>
            <w:sz w:val="18"/>
            <w:szCs w:val="18"/>
          </w:rPr>
          <w:t>https://www.theguardian.com/society/2023/jul/11/use-of-artificial-intelligence-widened-to-assess-universal-credit-applications-and-tackle</w:t>
        </w:r>
      </w:hyperlink>
      <w:r>
        <w:rPr>
          <w:rStyle w:val="Hyperlink"/>
          <w:rFonts w:ascii="Gilroy" w:hAnsi="Gilroy"/>
          <w:sz w:val="18"/>
          <w:szCs w:val="18"/>
        </w:rPr>
        <w:t xml:space="preserve"> </w:t>
      </w:r>
    </w:p>
  </w:footnote>
  <w:footnote w:id="4">
    <w:p w14:paraId="5CEF338A" w14:textId="41215B44" w:rsidR="006634A2" w:rsidRPr="002A5655" w:rsidRDefault="006634A2">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5C62A0" w:rsidRPr="002A5655">
        <w:rPr>
          <w:rFonts w:ascii="Gilroy" w:hAnsi="Gilroy"/>
          <w:sz w:val="18"/>
          <w:szCs w:val="18"/>
        </w:rPr>
        <w:t xml:space="preserve">Privacy International, ‘Shedding light on the DWP Part 2 - A Long Day's Journey Towards Transparency’, 14 February 2021, </w:t>
      </w:r>
      <w:hyperlink r:id="rId4" w:history="1">
        <w:r w:rsidR="005C62A0" w:rsidRPr="002A5655">
          <w:rPr>
            <w:rStyle w:val="Hyperlink"/>
            <w:rFonts w:ascii="Gilroy" w:hAnsi="Gilroy"/>
            <w:sz w:val="18"/>
            <w:szCs w:val="18"/>
          </w:rPr>
          <w:t>https://privacyinternational.org/long-read/4397/shedding-light-dwp-part-2-long-days-journey-towards-transparency</w:t>
        </w:r>
      </w:hyperlink>
      <w:r w:rsidR="005C62A0" w:rsidRPr="002A5655">
        <w:rPr>
          <w:rFonts w:ascii="Gilroy" w:hAnsi="Gilroy"/>
          <w:sz w:val="18"/>
          <w:szCs w:val="18"/>
        </w:rPr>
        <w:t xml:space="preserve">; </w:t>
      </w:r>
      <w:r w:rsidR="00BD3303" w:rsidRPr="002A5655">
        <w:rPr>
          <w:rFonts w:ascii="Gilroy" w:hAnsi="Gilroy"/>
          <w:sz w:val="18"/>
          <w:szCs w:val="18"/>
        </w:rPr>
        <w:t>Privacy International, ‘Stage 3 - The policing of social benefits: punishing poverty’, 7 August 2019</w:t>
      </w:r>
      <w:r w:rsidR="00B1621D" w:rsidRPr="002A5655">
        <w:rPr>
          <w:rFonts w:ascii="Gilroy" w:hAnsi="Gilroy"/>
          <w:sz w:val="18"/>
          <w:szCs w:val="18"/>
        </w:rPr>
        <w:t xml:space="preserve">, </w:t>
      </w:r>
      <w:hyperlink r:id="rId5" w:history="1">
        <w:r w:rsidR="005C62A0" w:rsidRPr="002A5655">
          <w:rPr>
            <w:rStyle w:val="Hyperlink"/>
            <w:rFonts w:ascii="Gilroy" w:hAnsi="Gilroy"/>
            <w:sz w:val="18"/>
            <w:szCs w:val="18"/>
          </w:rPr>
          <w:t>https://privacyinternational.org/node/3114</w:t>
        </w:r>
      </w:hyperlink>
      <w:r w:rsidR="00B1621D" w:rsidRPr="002A5655">
        <w:rPr>
          <w:rFonts w:ascii="Gilroy" w:hAnsi="Gilroy"/>
          <w:sz w:val="18"/>
          <w:szCs w:val="18"/>
        </w:rPr>
        <w:t>.</w:t>
      </w:r>
    </w:p>
  </w:footnote>
  <w:footnote w:id="5">
    <w:p w14:paraId="7D82F892"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Privacy International, ‘Submission to the OHCHR on the rights of persons with disabilities’, 17 August 2023, </w:t>
      </w:r>
    </w:p>
    <w:p w14:paraId="1785E145" w14:textId="2487071B" w:rsidR="005C62A0" w:rsidRPr="002A5655" w:rsidRDefault="005C62A0" w:rsidP="005C62A0">
      <w:pPr>
        <w:pStyle w:val="FootnoteText"/>
        <w:rPr>
          <w:rFonts w:ascii="Gilroy" w:hAnsi="Gilroy"/>
          <w:sz w:val="18"/>
          <w:szCs w:val="18"/>
        </w:rPr>
      </w:pPr>
      <w:r w:rsidRPr="002A5655">
        <w:rPr>
          <w:rFonts w:ascii="Gilroy" w:hAnsi="Gilroy"/>
          <w:sz w:val="18"/>
          <w:szCs w:val="18"/>
        </w:rPr>
        <w:t xml:space="preserve"> </w:t>
      </w:r>
      <w:hyperlink r:id="rId6" w:history="1">
        <w:r w:rsidRPr="002A5655">
          <w:rPr>
            <w:rStyle w:val="Hyperlink"/>
            <w:rFonts w:ascii="Gilroy" w:hAnsi="Gilroy"/>
            <w:sz w:val="18"/>
            <w:szCs w:val="18"/>
          </w:rPr>
          <w:t>https://privacyinternational.org/advocacy/5107/submission-ohchr-rights-persons-disabilities</w:t>
        </w:r>
      </w:hyperlink>
    </w:p>
  </w:footnote>
  <w:footnote w:id="6">
    <w:p w14:paraId="21F168E1" w14:textId="60470A92" w:rsidR="005C62A0" w:rsidRPr="002A5655" w:rsidRDefault="005C62A0">
      <w:pPr>
        <w:pStyle w:val="FootnoteText"/>
        <w:rPr>
          <w:rFonts w:ascii="Gilroy" w:hAnsi="Gilroy"/>
          <w:sz w:val="18"/>
          <w:szCs w:val="18"/>
        </w:rPr>
      </w:pPr>
      <w:r w:rsidRPr="002A5655">
        <w:rPr>
          <w:rStyle w:val="FootnoteReference"/>
          <w:rFonts w:ascii="Gilroy" w:hAnsi="Gilroy"/>
          <w:sz w:val="18"/>
          <w:szCs w:val="18"/>
        </w:rPr>
        <w:footnoteRef/>
      </w:r>
      <w:hyperlink r:id="rId7" w:history="1">
        <w:r w:rsidRPr="002A5655">
          <w:rPr>
            <w:rStyle w:val="Hyperlink"/>
            <w:rFonts w:ascii="Gilroy" w:hAnsi="Gilroy"/>
            <w:sz w:val="18"/>
            <w:szCs w:val="18"/>
          </w:rPr>
          <w:t>https://www.whatdotheyknow.com/request/ai_strategy_information/response/2748592/attach/6/Advances%20Fairness%20Analysis%20February%2024%20redacted%201.pdf?cookie_passthrough=1</w:t>
        </w:r>
      </w:hyperlink>
    </w:p>
  </w:footnote>
  <w:footnote w:id="7">
    <w:p w14:paraId="53432DC0"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The Guardian, ‘Revealed: bias found in AI system used to detect UK benefits fraud’, 6 December 2024, </w:t>
      </w:r>
    </w:p>
    <w:p w14:paraId="3A5609FF" w14:textId="533EEE06" w:rsidR="005C62A0" w:rsidRPr="002A5655" w:rsidRDefault="005C62A0" w:rsidP="005C62A0">
      <w:pPr>
        <w:pStyle w:val="FootnoteText"/>
        <w:rPr>
          <w:rFonts w:ascii="Gilroy" w:hAnsi="Gilroy"/>
          <w:sz w:val="18"/>
          <w:szCs w:val="18"/>
        </w:rPr>
      </w:pPr>
      <w:r w:rsidRPr="002A5655">
        <w:rPr>
          <w:rFonts w:ascii="Gilroy" w:hAnsi="Gilroy"/>
          <w:sz w:val="18"/>
          <w:szCs w:val="18"/>
        </w:rPr>
        <w:t xml:space="preserve"> </w:t>
      </w:r>
      <w:hyperlink r:id="rId8" w:history="1">
        <w:r w:rsidRPr="002A5655">
          <w:rPr>
            <w:rStyle w:val="Hyperlink"/>
            <w:rFonts w:ascii="Gilroy" w:hAnsi="Gilroy"/>
            <w:sz w:val="18"/>
            <w:szCs w:val="18"/>
          </w:rPr>
          <w:t>https://www.theguardian.com/society/2024/dec/06/revealed-bias-found-in-ai-system-used-to-detect-uk-benefits</w:t>
        </w:r>
      </w:hyperlink>
      <w:r w:rsidRPr="002A5655">
        <w:rPr>
          <w:rFonts w:ascii="Gilroy" w:hAnsi="Gilroy"/>
          <w:sz w:val="18"/>
          <w:szCs w:val="18"/>
        </w:rPr>
        <w:t>.</w:t>
      </w:r>
    </w:p>
  </w:footnote>
  <w:footnote w:id="8">
    <w:p w14:paraId="21737C71"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See GMCDP &amp; Foxglove Legal Challenge to the Department for Work and Pensions DWP Fraud Algorithm</w:t>
      </w:r>
    </w:p>
    <w:p w14:paraId="34B8F1E5" w14:textId="6679C7A0" w:rsidR="005C62A0" w:rsidRPr="002A5655" w:rsidRDefault="005C62A0" w:rsidP="005C62A0">
      <w:pPr>
        <w:pStyle w:val="FootnoteText"/>
        <w:rPr>
          <w:rFonts w:ascii="Gilroy" w:hAnsi="Gilroy"/>
          <w:sz w:val="18"/>
          <w:szCs w:val="18"/>
        </w:rPr>
      </w:pPr>
      <w:r w:rsidRPr="002A5655">
        <w:rPr>
          <w:rFonts w:ascii="Gilroy" w:hAnsi="Gilroy"/>
          <w:sz w:val="18"/>
          <w:szCs w:val="18"/>
        </w:rPr>
        <w:t xml:space="preserve"> </w:t>
      </w:r>
      <w:hyperlink r:id="rId9" w:history="1">
        <w:r w:rsidRPr="002A5655">
          <w:rPr>
            <w:rStyle w:val="Hyperlink"/>
            <w:rFonts w:ascii="Gilroy" w:hAnsi="Gilroy"/>
            <w:sz w:val="18"/>
            <w:szCs w:val="18"/>
          </w:rPr>
          <w:t>https://gmcdp.com/gmcdp-foxglove-legal-challenge-department-work-and-pensions-dwp-fraud-algorithm</w:t>
        </w:r>
      </w:hyperlink>
      <w:r w:rsidRPr="002A5655">
        <w:rPr>
          <w:rFonts w:ascii="Gilroy" w:hAnsi="Gilroy"/>
          <w:sz w:val="18"/>
          <w:szCs w:val="18"/>
        </w:rPr>
        <w:t>.</w:t>
      </w:r>
    </w:p>
  </w:footnote>
  <w:footnote w:id="9">
    <w:p w14:paraId="4049DF9A" w14:textId="77777777" w:rsidR="001F28C6" w:rsidRPr="002A5655" w:rsidRDefault="006634A2" w:rsidP="001F28C6">
      <w:pPr>
        <w:pStyle w:val="FootnoteText"/>
        <w:rPr>
          <w:rFonts w:ascii="Gilroy" w:hAnsi="Gilroy"/>
          <w:sz w:val="18"/>
          <w:szCs w:val="18"/>
        </w:rPr>
      </w:pPr>
      <w:r w:rsidRPr="002A5655">
        <w:rPr>
          <w:rStyle w:val="FootnoteReference"/>
          <w:rFonts w:ascii="Gilroy" w:hAnsi="Gilroy"/>
          <w:sz w:val="18"/>
          <w:szCs w:val="18"/>
        </w:rPr>
        <w:footnoteRef/>
      </w:r>
      <w:r w:rsidR="009A68FF" w:rsidRPr="002A5655">
        <w:rPr>
          <w:rFonts w:ascii="Gilroy" w:hAnsi="Gilroy"/>
          <w:sz w:val="18"/>
          <w:szCs w:val="18"/>
        </w:rPr>
        <w:t xml:space="preserve"> </w:t>
      </w:r>
      <w:r w:rsidR="001F28C6" w:rsidRPr="002A5655">
        <w:rPr>
          <w:rFonts w:ascii="Gilroy" w:hAnsi="Gilroy"/>
          <w:sz w:val="18"/>
          <w:szCs w:val="18"/>
        </w:rPr>
        <w:t xml:space="preserve">A/HRC/49/52 </w:t>
      </w:r>
      <w:r w:rsidR="009A68FF" w:rsidRPr="002A5655">
        <w:rPr>
          <w:rFonts w:ascii="Gilroy" w:hAnsi="Gilroy"/>
          <w:sz w:val="18"/>
          <w:szCs w:val="18"/>
        </w:rPr>
        <w:t xml:space="preserve">UN Human Rights Council, </w:t>
      </w:r>
      <w:r w:rsidR="001F28C6" w:rsidRPr="002A5655">
        <w:rPr>
          <w:rFonts w:ascii="Gilroy" w:hAnsi="Gilroy"/>
          <w:sz w:val="18"/>
          <w:szCs w:val="18"/>
        </w:rPr>
        <w:t>Report of the Special Rapporteur on the rights of persons with</w:t>
      </w:r>
    </w:p>
    <w:p w14:paraId="6D13DECD" w14:textId="77777777" w:rsidR="006634A2" w:rsidRPr="002A5655" w:rsidRDefault="001F28C6" w:rsidP="001F28C6">
      <w:pPr>
        <w:pStyle w:val="FootnoteText"/>
        <w:rPr>
          <w:rFonts w:ascii="Gilroy" w:hAnsi="Gilroy"/>
          <w:sz w:val="18"/>
          <w:szCs w:val="18"/>
        </w:rPr>
      </w:pPr>
      <w:r w:rsidRPr="002A5655">
        <w:rPr>
          <w:rFonts w:ascii="Gilroy" w:hAnsi="Gilroy"/>
          <w:sz w:val="18"/>
          <w:szCs w:val="18"/>
        </w:rPr>
        <w:t>Disabilities, 28 December 2021.</w:t>
      </w:r>
      <w:r w:rsidR="00C64CFF" w:rsidRPr="002A5655">
        <w:rPr>
          <w:rFonts w:ascii="Gilroy" w:hAnsi="Gilroy"/>
          <w:sz w:val="18"/>
          <w:szCs w:val="18"/>
        </w:rPr>
        <w:t xml:space="preserve"> </w:t>
      </w:r>
      <w:hyperlink r:id="rId10" w:history="1">
        <w:r w:rsidR="00C64CFF" w:rsidRPr="002A5655">
          <w:rPr>
            <w:rStyle w:val="Hyperlink"/>
            <w:rFonts w:ascii="Gilroy" w:hAnsi="Gilroy"/>
            <w:sz w:val="18"/>
            <w:szCs w:val="18"/>
          </w:rPr>
          <w:t>https://www.undocs.org/Home/Mobile?FinalSymbol=A%2FHRC%2F49%2F52&amp;Language=E&amp;DeviceType=Desktop&amp;LangRequested=False</w:t>
        </w:r>
      </w:hyperlink>
      <w:r w:rsidR="006634A2" w:rsidRPr="002A5655">
        <w:rPr>
          <w:rFonts w:ascii="Gilroy" w:hAnsi="Gilroy"/>
          <w:sz w:val="18"/>
          <w:szCs w:val="18"/>
        </w:rPr>
        <w:t xml:space="preserve"> </w:t>
      </w:r>
    </w:p>
  </w:footnote>
  <w:footnote w:id="10">
    <w:p w14:paraId="73532599" w14:textId="16BC49C7" w:rsidR="005C62A0" w:rsidRPr="002A5655" w:rsidRDefault="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Department for Work and Pensions, ‘Press release: New laws to be introduced to crack down on fraud’, 24 September 2024, </w:t>
      </w:r>
      <w:hyperlink r:id="rId11" w:history="1">
        <w:r w:rsidRPr="002A5655">
          <w:rPr>
            <w:rStyle w:val="Hyperlink"/>
            <w:rFonts w:ascii="Gilroy" w:hAnsi="Gilroy"/>
            <w:sz w:val="18"/>
            <w:szCs w:val="18"/>
          </w:rPr>
          <w:t>https://www.gov.uk/government/news/new-laws-to-be-introduced-to-crack-down-on-fraud</w:t>
        </w:r>
      </w:hyperlink>
      <w:r w:rsidRPr="002A5655">
        <w:rPr>
          <w:rFonts w:ascii="Gilroy" w:hAnsi="Gilroy"/>
          <w:sz w:val="18"/>
          <w:szCs w:val="18"/>
        </w:rPr>
        <w:t xml:space="preserve">. </w:t>
      </w:r>
    </w:p>
  </w:footnote>
  <w:footnote w:id="11">
    <w:p w14:paraId="6434BA14" w14:textId="77777777" w:rsidR="00467372" w:rsidRPr="00BD3303" w:rsidRDefault="00467372">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337E6E" w:rsidRPr="002A5655">
        <w:rPr>
          <w:rFonts w:ascii="Gilroy" w:hAnsi="Gilroy"/>
          <w:sz w:val="18"/>
          <w:szCs w:val="18"/>
        </w:rPr>
        <w:t>Ibid.</w:t>
      </w:r>
      <w:r w:rsidR="00337E6E" w:rsidRPr="00BD3303">
        <w:rPr>
          <w:rFonts w:ascii="Gilroy" w:hAnsi="Gilroy"/>
          <w:sz w:val="18"/>
          <w:szCs w:val="18"/>
        </w:rPr>
        <w:t xml:space="preserve"> </w:t>
      </w:r>
    </w:p>
  </w:footnote>
  <w:footnote w:id="12">
    <w:p w14:paraId="08BDDFE7" w14:textId="41C4B499" w:rsidR="005C62A0" w:rsidRPr="002A5655" w:rsidRDefault="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Privacy International, ‘Stage 3 - The policing of social benefits: punishing poverty’, 7 August 2019,  </w:t>
      </w:r>
      <w:hyperlink r:id="rId12" w:history="1">
        <w:r w:rsidRPr="002A5655">
          <w:rPr>
            <w:rStyle w:val="Hyperlink"/>
            <w:rFonts w:ascii="Gilroy" w:hAnsi="Gilroy"/>
            <w:sz w:val="18"/>
            <w:szCs w:val="18"/>
          </w:rPr>
          <w:t>https://privacyinternational.org/node/3114</w:t>
        </w:r>
      </w:hyperlink>
      <w:r w:rsidRPr="002A5655">
        <w:rPr>
          <w:rFonts w:ascii="Gilroy" w:hAnsi="Gilroy"/>
          <w:sz w:val="18"/>
          <w:szCs w:val="18"/>
        </w:rPr>
        <w:t xml:space="preserve">. </w:t>
      </w:r>
    </w:p>
  </w:footnote>
  <w:footnote w:id="13">
    <w:p w14:paraId="55FD61F2" w14:textId="77777777" w:rsidR="00467372" w:rsidRPr="002A5655" w:rsidRDefault="00467372">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1F28C6" w:rsidRPr="002A5655">
        <w:rPr>
          <w:rFonts w:ascii="Gilroy" w:hAnsi="Gilroy"/>
          <w:sz w:val="18"/>
          <w:szCs w:val="18"/>
        </w:rPr>
        <w:t>Privacy International, ‘Researching social benefits systems’</w:t>
      </w:r>
      <w:r w:rsidR="00B1621D" w:rsidRPr="002A5655">
        <w:rPr>
          <w:rFonts w:ascii="Gilroy" w:hAnsi="Gilroy"/>
          <w:sz w:val="18"/>
          <w:szCs w:val="18"/>
        </w:rPr>
        <w:t>,</w:t>
      </w:r>
      <w:r w:rsidR="001F28C6" w:rsidRPr="002A5655">
        <w:rPr>
          <w:rFonts w:ascii="Gilroy" w:hAnsi="Gilroy"/>
          <w:sz w:val="18"/>
          <w:szCs w:val="18"/>
        </w:rPr>
        <w:t xml:space="preserve"> </w:t>
      </w:r>
      <w:hyperlink r:id="rId13" w:history="1">
        <w:r w:rsidR="001F28C6" w:rsidRPr="002A5655">
          <w:rPr>
            <w:rStyle w:val="Hyperlink"/>
            <w:rFonts w:ascii="Gilroy" w:hAnsi="Gilroy"/>
            <w:sz w:val="18"/>
            <w:szCs w:val="18"/>
          </w:rPr>
          <w:t>https://privacyinternational.org/researching-social-benefits</w:t>
        </w:r>
      </w:hyperlink>
      <w:r w:rsidRPr="002A5655">
        <w:rPr>
          <w:rFonts w:ascii="Gilroy" w:hAnsi="Gilroy"/>
          <w:sz w:val="18"/>
          <w:szCs w:val="18"/>
        </w:rPr>
        <w:t xml:space="preserve"> </w:t>
      </w:r>
    </w:p>
  </w:footnote>
  <w:footnote w:id="14">
    <w:p w14:paraId="0F284AE0" w14:textId="77777777" w:rsidR="005C62A0" w:rsidRPr="002A5655" w:rsidRDefault="005C62A0" w:rsidP="005C62A0">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Privacy International, ‘Life under 24/7 GPS surveillance - A GPS ankle tag experiment’, 5th May 2023,</w:t>
      </w:r>
    </w:p>
    <w:p w14:paraId="4A271D69" w14:textId="089FCBA1" w:rsidR="005C62A0" w:rsidRPr="002A5655" w:rsidRDefault="005C62A0">
      <w:pPr>
        <w:pStyle w:val="FootnoteText"/>
        <w:rPr>
          <w:rFonts w:ascii="Gilroy" w:hAnsi="Gilroy"/>
          <w:sz w:val="18"/>
          <w:szCs w:val="18"/>
        </w:rPr>
      </w:pPr>
      <w:hyperlink r:id="rId14" w:history="1">
        <w:r w:rsidRPr="002A5655">
          <w:rPr>
            <w:rStyle w:val="Hyperlink"/>
            <w:rFonts w:ascii="Gilroy" w:hAnsi="Gilroy"/>
            <w:sz w:val="18"/>
            <w:szCs w:val="18"/>
          </w:rPr>
          <w:t>https://privacyinternational.org/long-read/5064/life-under-247-gps-surveillance-gps-ankle-tag-experiment</w:t>
        </w:r>
      </w:hyperlink>
      <w:r w:rsidRPr="002A5655">
        <w:rPr>
          <w:rFonts w:ascii="Gilroy" w:hAnsi="Gilroy"/>
          <w:sz w:val="18"/>
          <w:szCs w:val="18"/>
        </w:rPr>
        <w:t xml:space="preserve">; Privacy International, ‘Two court judgments, one regulatory decision - Bricks fall around UK's GPS tagging of migrants’, 16 May 2024, </w:t>
      </w:r>
      <w:hyperlink r:id="rId15" w:history="1">
        <w:r w:rsidRPr="002A5655">
          <w:rPr>
            <w:rStyle w:val="Hyperlink"/>
            <w:rFonts w:ascii="Gilroy" w:hAnsi="Gilroy"/>
            <w:sz w:val="18"/>
            <w:szCs w:val="18"/>
          </w:rPr>
          <w:t>https://privacyinternational.org/news-analysis/5323/two-court-judgments-one-regulatory-decision-bricks-fall-around-uks-gps-tagging</w:t>
        </w:r>
      </w:hyperlink>
      <w:r w:rsidRPr="002A5655">
        <w:rPr>
          <w:rFonts w:ascii="Gilroy" w:hAnsi="Gilroy"/>
          <w:sz w:val="18"/>
          <w:szCs w:val="18"/>
        </w:rPr>
        <w:t xml:space="preserve">; Privacy International, ‘Non-fitted devices in the Home Office’s surveillance arsenal: Investigating the technology behind GPS fingerprint scanners’, 29 October 2024, </w:t>
      </w:r>
      <w:hyperlink r:id="rId16" w:history="1">
        <w:r w:rsidRPr="002A5655">
          <w:rPr>
            <w:rStyle w:val="Hyperlink"/>
            <w:rFonts w:ascii="Gilroy" w:hAnsi="Gilroy"/>
            <w:sz w:val="18"/>
            <w:szCs w:val="18"/>
          </w:rPr>
          <w:t>https://privacyinternational.org/long-read/5457/non-fitted-devices-home-offices-surveillance-arsenal-investigating-technology-behind</w:t>
        </w:r>
      </w:hyperlink>
      <w:r w:rsidRPr="002A5655">
        <w:rPr>
          <w:rFonts w:ascii="Gilroy" w:hAnsi="Gilroy"/>
          <w:sz w:val="18"/>
          <w:szCs w:val="18"/>
        </w:rPr>
        <w:t xml:space="preserve">; Privacy International, ‘Automating the hostile environment: uncovering a secretive Home Office algorithm at the heart of immigration decision-making’, 17 October 2024, </w:t>
      </w:r>
      <w:hyperlink r:id="rId17" w:history="1">
        <w:r w:rsidRPr="002A5655">
          <w:rPr>
            <w:rStyle w:val="Hyperlink"/>
            <w:rFonts w:ascii="Gilroy" w:hAnsi="Gilroy"/>
            <w:sz w:val="18"/>
            <w:szCs w:val="18"/>
          </w:rPr>
          <w:t>https://privacyinternational.org/news-analysis/5452/automating-hostile-environment-uncovering-secretive-home-office-algorithm-heart</w:t>
        </w:r>
      </w:hyperlink>
      <w:r w:rsidRPr="002A5655">
        <w:rPr>
          <w:rStyle w:val="Hyperlink"/>
          <w:rFonts w:ascii="Gilroy" w:hAnsi="Gilroy"/>
          <w:sz w:val="18"/>
          <w:szCs w:val="18"/>
        </w:rPr>
        <w:t xml:space="preserve">. </w:t>
      </w:r>
    </w:p>
  </w:footnote>
  <w:footnote w:id="15">
    <w:p w14:paraId="7ADB062D" w14:textId="77777777" w:rsidR="00C64CFF" w:rsidRPr="002A5655" w:rsidRDefault="00467372" w:rsidP="00C64CFF">
      <w:pPr>
        <w:pStyle w:val="FootnoteText"/>
        <w:rPr>
          <w:rFonts w:ascii="Gilroy" w:hAnsi="Gilroy"/>
          <w:sz w:val="18"/>
          <w:szCs w:val="18"/>
        </w:rPr>
      </w:pPr>
      <w:r w:rsidRPr="002A5655">
        <w:rPr>
          <w:rStyle w:val="FootnoteReference"/>
          <w:rFonts w:ascii="Gilroy" w:hAnsi="Gilroy"/>
          <w:sz w:val="18"/>
          <w:szCs w:val="18"/>
        </w:rPr>
        <w:footnoteRef/>
      </w:r>
      <w:r w:rsidR="00C64CFF" w:rsidRPr="002A5655">
        <w:rPr>
          <w:rFonts w:ascii="Gilroy" w:hAnsi="Gilroy"/>
          <w:sz w:val="18"/>
          <w:szCs w:val="18"/>
        </w:rPr>
        <w:t xml:space="preserve"> Medical Justice, Bid for Immigration Detainees &amp; Public Law Project, ‘Constantly on edge: The expansion of</w:t>
      </w:r>
    </w:p>
    <w:p w14:paraId="3F88F8B0" w14:textId="77777777" w:rsidR="00467372" w:rsidRPr="002A5655" w:rsidRDefault="00C64CFF" w:rsidP="00C64CFF">
      <w:pPr>
        <w:pStyle w:val="FootnoteText"/>
        <w:rPr>
          <w:rFonts w:ascii="Gilroy" w:hAnsi="Gilroy"/>
          <w:sz w:val="18"/>
          <w:szCs w:val="18"/>
        </w:rPr>
      </w:pPr>
      <w:r w:rsidRPr="002A5655">
        <w:rPr>
          <w:rFonts w:ascii="Gilroy" w:hAnsi="Gilroy"/>
          <w:sz w:val="18"/>
          <w:szCs w:val="18"/>
        </w:rPr>
        <w:t>GPS tagging and the rollout of non-fitted devices</w:t>
      </w:r>
      <w:r w:rsidR="00BB2EC1" w:rsidRPr="002A5655">
        <w:rPr>
          <w:rFonts w:ascii="Gilroy" w:hAnsi="Gilroy"/>
          <w:sz w:val="18"/>
          <w:szCs w:val="18"/>
        </w:rPr>
        <w:t>.</w:t>
      </w:r>
      <w:r w:rsidRPr="002A5655">
        <w:rPr>
          <w:rFonts w:ascii="Gilroy" w:hAnsi="Gilroy"/>
          <w:sz w:val="18"/>
          <w:szCs w:val="18"/>
        </w:rPr>
        <w:t xml:space="preserve"> Annual review of GPS tagging in the immigration</w:t>
      </w:r>
      <w:r w:rsidR="00BB2EC1" w:rsidRPr="002A5655">
        <w:rPr>
          <w:rFonts w:ascii="Gilroy" w:hAnsi="Gilroy"/>
          <w:sz w:val="18"/>
          <w:szCs w:val="18"/>
        </w:rPr>
        <w:t xml:space="preserve"> </w:t>
      </w:r>
      <w:r w:rsidRPr="002A5655">
        <w:rPr>
          <w:rFonts w:ascii="Gilroy" w:hAnsi="Gilroy"/>
          <w:sz w:val="18"/>
          <w:szCs w:val="18"/>
        </w:rPr>
        <w:t>system</w:t>
      </w:r>
      <w:r w:rsidR="00BB2EC1" w:rsidRPr="002A5655">
        <w:rPr>
          <w:rFonts w:ascii="Gilroy" w:hAnsi="Gilroy"/>
          <w:sz w:val="18"/>
          <w:szCs w:val="18"/>
        </w:rPr>
        <w:t>’</w:t>
      </w:r>
      <w:r w:rsidRPr="002A5655">
        <w:rPr>
          <w:rFonts w:ascii="Gilroy" w:hAnsi="Gilroy"/>
          <w:sz w:val="18"/>
          <w:szCs w:val="18"/>
        </w:rPr>
        <w:t xml:space="preserve">, </w:t>
      </w:r>
      <w:r w:rsidR="00BB2EC1" w:rsidRPr="002A5655">
        <w:rPr>
          <w:rFonts w:ascii="Gilroy" w:hAnsi="Gilroy"/>
          <w:sz w:val="18"/>
          <w:szCs w:val="18"/>
        </w:rPr>
        <w:t xml:space="preserve">December </w:t>
      </w:r>
      <w:r w:rsidRPr="002A5655">
        <w:rPr>
          <w:rFonts w:ascii="Gilroy" w:hAnsi="Gilroy"/>
          <w:sz w:val="18"/>
          <w:szCs w:val="18"/>
        </w:rPr>
        <w:t>2023</w:t>
      </w:r>
      <w:r w:rsidR="00B1621D" w:rsidRPr="002A5655">
        <w:rPr>
          <w:rFonts w:ascii="Gilroy" w:hAnsi="Gilroy"/>
          <w:sz w:val="18"/>
          <w:szCs w:val="18"/>
        </w:rPr>
        <w:t>,</w:t>
      </w:r>
      <w:r w:rsidR="00467372" w:rsidRPr="002A5655">
        <w:rPr>
          <w:rFonts w:ascii="Gilroy" w:hAnsi="Gilroy"/>
          <w:sz w:val="18"/>
          <w:szCs w:val="18"/>
        </w:rPr>
        <w:t xml:space="preserve"> </w:t>
      </w:r>
      <w:hyperlink r:id="rId18" w:history="1">
        <w:r w:rsidR="00467372" w:rsidRPr="002A5655">
          <w:rPr>
            <w:rStyle w:val="Hyperlink"/>
            <w:rFonts w:ascii="Gilroy" w:hAnsi="Gilroy"/>
            <w:sz w:val="18"/>
            <w:szCs w:val="18"/>
          </w:rPr>
          <w:t>https://medicaljustice.org.uk/wp-content/uploads/2023/12/2023_Constantly-On-Edge_Final.pdf</w:t>
        </w:r>
      </w:hyperlink>
      <w:r w:rsidR="00467372" w:rsidRPr="002A5655">
        <w:rPr>
          <w:rFonts w:ascii="Gilroy" w:hAnsi="Gilroy"/>
          <w:sz w:val="18"/>
          <w:szCs w:val="18"/>
        </w:rPr>
        <w:t xml:space="preserve"> </w:t>
      </w:r>
    </w:p>
  </w:footnote>
  <w:footnote w:id="16">
    <w:p w14:paraId="147EA8F0" w14:textId="77777777" w:rsidR="0042051C" w:rsidRPr="002A5655" w:rsidRDefault="0042051C" w:rsidP="0042051C">
      <w:pPr>
        <w:pStyle w:val="FootnoteText"/>
        <w:rPr>
          <w:rFonts w:ascii="Gilroy" w:hAnsi="Gilroy"/>
          <w:sz w:val="18"/>
          <w:szCs w:val="18"/>
          <w:lang w:val="en-US"/>
        </w:rPr>
      </w:pPr>
      <w:r w:rsidRPr="002A5655">
        <w:rPr>
          <w:rStyle w:val="FootnoteReference"/>
          <w:rFonts w:ascii="Gilroy" w:hAnsi="Gilroy"/>
          <w:sz w:val="18"/>
          <w:szCs w:val="18"/>
        </w:rPr>
        <w:footnoteRef/>
      </w:r>
      <w:r w:rsidRPr="002A5655">
        <w:rPr>
          <w:rFonts w:ascii="Gilroy" w:hAnsi="Gilroy"/>
          <w:sz w:val="18"/>
          <w:szCs w:val="18"/>
        </w:rPr>
        <w:t xml:space="preserve"> Bail for Immigration Detainees (BID), </w:t>
      </w:r>
      <w:r w:rsidRPr="002A5655">
        <w:rPr>
          <w:rFonts w:ascii="Gilroy" w:hAnsi="Gilroy"/>
          <w:sz w:val="18"/>
          <w:szCs w:val="18"/>
          <w:lang w:val="en-US"/>
        </w:rPr>
        <w:t xml:space="preserve">Research reveals “inhumane” effects of GPS tagging on migrants, 31 October 2022, </w:t>
      </w:r>
      <w:hyperlink r:id="rId19" w:history="1">
        <w:r w:rsidRPr="002A5655">
          <w:rPr>
            <w:rStyle w:val="Hyperlink"/>
            <w:rFonts w:ascii="Gilroy" w:hAnsi="Gilroy"/>
            <w:sz w:val="18"/>
            <w:szCs w:val="18"/>
            <w:lang w:val="en-US"/>
          </w:rPr>
          <w:t>https://www.biduk.org/articles/research-reveals-inhumane-effects-of-gps-tagging-on-migrants</w:t>
        </w:r>
      </w:hyperlink>
      <w:r w:rsidRPr="002A5655">
        <w:rPr>
          <w:rFonts w:ascii="Gilroy" w:hAnsi="Gilroy"/>
          <w:sz w:val="18"/>
          <w:szCs w:val="18"/>
          <w:lang w:val="en-US"/>
        </w:rPr>
        <w:t xml:space="preserve">. </w:t>
      </w:r>
    </w:p>
  </w:footnote>
  <w:footnote w:id="17">
    <w:p w14:paraId="5A23CB63"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BID, Medical Justice, and Public Law Project, Every Move You Make: The Human Cost of GPS Tagging in the Immigration System, October 2022, </w:t>
      </w:r>
      <w:hyperlink r:id="rId20" w:history="1">
        <w:r w:rsidRPr="002A5655">
          <w:rPr>
            <w:rStyle w:val="Hyperlink"/>
            <w:rFonts w:ascii="Gilroy" w:hAnsi="Gilroy"/>
            <w:sz w:val="18"/>
            <w:szCs w:val="18"/>
          </w:rPr>
          <w:t>https://hubble-live-assets.s3.amazonaws.com/biduk/file_asset/file/682/GPS_Tagging_Report_Final.pdf</w:t>
        </w:r>
      </w:hyperlink>
      <w:r w:rsidRPr="002A5655">
        <w:rPr>
          <w:rFonts w:ascii="Gilroy" w:hAnsi="Gilroy"/>
          <w:sz w:val="18"/>
          <w:szCs w:val="18"/>
        </w:rPr>
        <w:t xml:space="preserve">. </w:t>
      </w:r>
    </w:p>
  </w:footnote>
  <w:footnote w:id="18">
    <w:p w14:paraId="2A3E8AC1"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Ibid.</w:t>
      </w:r>
    </w:p>
  </w:footnote>
  <w:footnote w:id="19">
    <w:p w14:paraId="3C5DD645"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Ibid.</w:t>
      </w:r>
    </w:p>
  </w:footnote>
  <w:footnote w:id="20">
    <w:p w14:paraId="76F1EBD5" w14:textId="77777777" w:rsidR="0042051C" w:rsidRDefault="0042051C" w:rsidP="0042051C">
      <w:pPr>
        <w:pStyle w:val="FootnoteText"/>
      </w:pPr>
      <w:r w:rsidRPr="002A5655">
        <w:rPr>
          <w:rStyle w:val="FootnoteReference"/>
          <w:rFonts w:ascii="Gilroy" w:hAnsi="Gilroy"/>
          <w:sz w:val="18"/>
          <w:szCs w:val="18"/>
        </w:rPr>
        <w:footnoteRef/>
      </w:r>
      <w:r w:rsidRPr="002A5655">
        <w:rPr>
          <w:rFonts w:ascii="Gilroy" w:hAnsi="Gilroy"/>
          <w:sz w:val="18"/>
          <w:szCs w:val="18"/>
        </w:rPr>
        <w:t xml:space="preserve"> Ibid.</w:t>
      </w:r>
      <w:r>
        <w:t xml:space="preserve"> </w:t>
      </w:r>
    </w:p>
  </w:footnote>
  <w:footnote w:id="21">
    <w:p w14:paraId="39F13142" w14:textId="77777777" w:rsidR="0042051C" w:rsidRPr="002A5655" w:rsidRDefault="0042051C" w:rsidP="0042051C">
      <w:pPr>
        <w:pStyle w:val="FootnoteText"/>
        <w:rPr>
          <w:rFonts w:ascii="Gilroy" w:hAnsi="Gilroy"/>
          <w:sz w:val="18"/>
          <w:szCs w:val="18"/>
          <w:lang w:val="en-US"/>
        </w:rPr>
      </w:pPr>
      <w:r w:rsidRPr="002A5655">
        <w:rPr>
          <w:rStyle w:val="FootnoteReference"/>
          <w:rFonts w:ascii="Gilroy" w:hAnsi="Gilroy"/>
          <w:sz w:val="18"/>
          <w:szCs w:val="18"/>
        </w:rPr>
        <w:footnoteRef/>
      </w:r>
      <w:r w:rsidRPr="002A5655">
        <w:rPr>
          <w:rFonts w:ascii="Gilroy" w:hAnsi="Gilroy"/>
          <w:sz w:val="18"/>
          <w:szCs w:val="18"/>
        </w:rPr>
        <w:t xml:space="preserve"> UK Home Office, Equality Impact Assessment: </w:t>
      </w:r>
      <w:r w:rsidRPr="002A5655">
        <w:rPr>
          <w:rFonts w:ascii="Gilroy" w:hAnsi="Gilroy"/>
          <w:sz w:val="18"/>
          <w:szCs w:val="18"/>
          <w:lang w:val="en-US"/>
        </w:rPr>
        <w:t xml:space="preserve">GPS non-fitted devices (accessible), Updated 23 October 2024, </w:t>
      </w:r>
      <w:hyperlink r:id="rId21" w:history="1">
        <w:r w:rsidRPr="002A5655">
          <w:rPr>
            <w:rStyle w:val="Hyperlink"/>
            <w:rFonts w:ascii="Gilroy" w:hAnsi="Gilroy"/>
            <w:sz w:val="18"/>
            <w:szCs w:val="18"/>
            <w:lang w:val="en-US"/>
          </w:rPr>
          <w:t>https://www.gov.uk/government/publications/offender-management/equality-impact-assessment-gps-non-fitted-devices-accessible</w:t>
        </w:r>
      </w:hyperlink>
      <w:r w:rsidRPr="002A5655">
        <w:rPr>
          <w:rFonts w:ascii="Gilroy" w:hAnsi="Gilroy"/>
          <w:sz w:val="18"/>
          <w:szCs w:val="18"/>
          <w:lang w:val="en-US"/>
        </w:rPr>
        <w:t xml:space="preserve">. </w:t>
      </w:r>
    </w:p>
  </w:footnote>
  <w:footnote w:id="22">
    <w:p w14:paraId="74FB7396" w14:textId="77777777" w:rsidR="0042051C" w:rsidRPr="002A5655" w:rsidRDefault="0042051C" w:rsidP="0042051C">
      <w:pPr>
        <w:pStyle w:val="FootnoteText"/>
        <w:rPr>
          <w:rFonts w:ascii="Gilroy" w:hAnsi="Gilroy"/>
          <w:b/>
          <w:bCs/>
          <w:sz w:val="18"/>
          <w:szCs w:val="18"/>
          <w:lang w:val="en-US"/>
        </w:rPr>
      </w:pPr>
      <w:r w:rsidRPr="002A5655">
        <w:rPr>
          <w:rStyle w:val="FootnoteReference"/>
          <w:rFonts w:ascii="Gilroy" w:hAnsi="Gilroy"/>
          <w:sz w:val="18"/>
          <w:szCs w:val="18"/>
        </w:rPr>
        <w:footnoteRef/>
      </w:r>
      <w:r w:rsidRPr="002A5655">
        <w:rPr>
          <w:rFonts w:ascii="Gilroy" w:hAnsi="Gilroy"/>
          <w:sz w:val="18"/>
          <w:szCs w:val="18"/>
        </w:rPr>
        <w:t xml:space="preserve"> Public Law Project, </w:t>
      </w:r>
      <w:r w:rsidRPr="002A5655">
        <w:rPr>
          <w:rFonts w:ascii="Gilroy" w:hAnsi="Gilroy"/>
          <w:sz w:val="18"/>
          <w:szCs w:val="18"/>
          <w:lang w:val="en-US"/>
        </w:rPr>
        <w:t xml:space="preserve">‘Constantly on Edge’: The expansion of GPS tagging and the rollout of non-fitted devices, 20 December 2023, </w:t>
      </w:r>
      <w:hyperlink r:id="rId22" w:history="1">
        <w:r w:rsidRPr="002A5655">
          <w:rPr>
            <w:rStyle w:val="Hyperlink"/>
            <w:rFonts w:ascii="Gilroy" w:hAnsi="Gilroy"/>
            <w:sz w:val="18"/>
            <w:szCs w:val="18"/>
            <w:lang w:val="en-US"/>
          </w:rPr>
          <w:t>https://publiclawproject.org.uk/resources/constantly-on-edge-annual-review-of-gps-tagging-in-the-immigration-system-2023/</w:t>
        </w:r>
      </w:hyperlink>
      <w:r w:rsidRPr="002A5655">
        <w:rPr>
          <w:rFonts w:ascii="Gilroy" w:hAnsi="Gilroy"/>
          <w:sz w:val="18"/>
          <w:szCs w:val="18"/>
          <w:lang w:val="en-US"/>
        </w:rPr>
        <w:t>.</w:t>
      </w:r>
      <w:r w:rsidRPr="002A5655">
        <w:rPr>
          <w:rFonts w:ascii="Gilroy" w:hAnsi="Gilroy"/>
          <w:b/>
          <w:bCs/>
          <w:sz w:val="18"/>
          <w:szCs w:val="18"/>
          <w:lang w:val="en-US"/>
        </w:rPr>
        <w:t xml:space="preserve"> </w:t>
      </w:r>
    </w:p>
  </w:footnote>
  <w:footnote w:id="23">
    <w:p w14:paraId="6D8E2DB0"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Ibid. </w:t>
      </w:r>
    </w:p>
  </w:footnote>
  <w:footnote w:id="24">
    <w:p w14:paraId="027B9DDF"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Ibid. </w:t>
      </w:r>
    </w:p>
  </w:footnote>
  <w:footnote w:id="25">
    <w:p w14:paraId="55BF42BD" w14:textId="254CD333" w:rsidR="0033217C" w:rsidRPr="002A5655" w:rsidRDefault="0033217C">
      <w:pPr>
        <w:pStyle w:val="FootnoteText"/>
        <w:rPr>
          <w:rFonts w:ascii="Gilroy" w:hAnsi="Gilroy"/>
          <w:sz w:val="18"/>
          <w:szCs w:val="18"/>
        </w:rPr>
      </w:pPr>
      <w:r w:rsidRPr="002A5655">
        <w:rPr>
          <w:rStyle w:val="FootnoteReference"/>
          <w:rFonts w:ascii="Gilroy" w:hAnsi="Gilroy"/>
          <w:sz w:val="18"/>
          <w:szCs w:val="18"/>
        </w:rPr>
        <w:footnoteRef/>
      </w:r>
      <w:r w:rsidR="00C64CFF" w:rsidRPr="002A5655">
        <w:rPr>
          <w:rFonts w:ascii="Gilroy" w:hAnsi="Gilroy"/>
          <w:sz w:val="18"/>
          <w:szCs w:val="18"/>
        </w:rPr>
        <w:t xml:space="preserve"> </w:t>
      </w:r>
      <w:r w:rsidR="005C62A0" w:rsidRPr="002A5655">
        <w:rPr>
          <w:rFonts w:ascii="Gilroy" w:hAnsi="Gilroy"/>
          <w:sz w:val="18"/>
          <w:szCs w:val="18"/>
        </w:rPr>
        <w:t xml:space="preserve">Privacy International, ‘Automating the hostile environment: uncovering a secretive Home Office algorithm at the heart of immigration decision-making’, 17 October 2024, </w:t>
      </w:r>
      <w:hyperlink r:id="rId23" w:history="1">
        <w:r w:rsidR="005C62A0" w:rsidRPr="002A5655">
          <w:rPr>
            <w:rStyle w:val="Hyperlink"/>
            <w:rFonts w:ascii="Gilroy" w:hAnsi="Gilroy"/>
            <w:sz w:val="18"/>
            <w:szCs w:val="18"/>
          </w:rPr>
          <w:t>https://privacyinternational.org/news-analysis/5452/automating-hostile-environment-uncovering-secretive-home-office-algorithm-heart</w:t>
        </w:r>
      </w:hyperlink>
      <w:r w:rsidR="005C62A0" w:rsidRPr="002A5655">
        <w:rPr>
          <w:rStyle w:val="Hyperlink"/>
          <w:rFonts w:ascii="Gilroy" w:hAnsi="Gilroy"/>
          <w:sz w:val="18"/>
          <w:szCs w:val="18"/>
        </w:rPr>
        <w:t>;</w:t>
      </w:r>
      <w:r w:rsidR="005C62A0" w:rsidRPr="002A5655">
        <w:rPr>
          <w:rFonts w:ascii="Gilroy" w:hAnsi="Gilroy"/>
          <w:sz w:val="18"/>
          <w:szCs w:val="18"/>
        </w:rPr>
        <w:t xml:space="preserve"> </w:t>
      </w:r>
      <w:r w:rsidR="00C64CFF" w:rsidRPr="002A5655">
        <w:rPr>
          <w:rFonts w:ascii="Gilroy" w:hAnsi="Gilroy"/>
          <w:sz w:val="18"/>
          <w:szCs w:val="18"/>
        </w:rPr>
        <w:t>See freedom of information request</w:t>
      </w:r>
      <w:r w:rsidR="00B1621D" w:rsidRPr="002A5655">
        <w:rPr>
          <w:rFonts w:ascii="Gilroy" w:hAnsi="Gilroy"/>
          <w:sz w:val="18"/>
          <w:szCs w:val="18"/>
        </w:rPr>
        <w:t>:</w:t>
      </w:r>
      <w:r w:rsidR="00C64CFF" w:rsidRPr="002A5655">
        <w:rPr>
          <w:rFonts w:ascii="Gilroy" w:hAnsi="Gilroy"/>
          <w:sz w:val="18"/>
          <w:szCs w:val="18"/>
        </w:rPr>
        <w:t xml:space="preserve"> </w:t>
      </w:r>
      <w:hyperlink r:id="rId24" w:history="1">
        <w:r w:rsidR="00C64CFF" w:rsidRPr="002A5655">
          <w:rPr>
            <w:rStyle w:val="Hyperlink"/>
            <w:rFonts w:ascii="Gilroy" w:hAnsi="Gilroy"/>
            <w:sz w:val="18"/>
            <w:szCs w:val="18"/>
          </w:rPr>
          <w:t>https://www.whatdotheyknow.com/request/identify_and_prioritise_immigrat_3/response/2780331/attach/5/04608%20Privacy%20International%20Annex%20C.pdf?cookie_passthrough=1</w:t>
        </w:r>
      </w:hyperlink>
    </w:p>
  </w:footnote>
  <w:footnote w:id="26">
    <w:p w14:paraId="14B6D1AB" w14:textId="77777777" w:rsidR="005C62A0" w:rsidRPr="002A5655" w:rsidRDefault="008E68EB" w:rsidP="005C62A0">
      <w:pPr>
        <w:pStyle w:val="FootnoteText"/>
        <w:rPr>
          <w:rFonts w:ascii="Gilroy" w:hAnsi="Gilroy"/>
          <w:sz w:val="18"/>
          <w:szCs w:val="18"/>
        </w:rPr>
      </w:pPr>
      <w:r w:rsidRPr="002A5655">
        <w:rPr>
          <w:rStyle w:val="FootnoteReference"/>
          <w:rFonts w:ascii="Gilroy" w:hAnsi="Gilroy"/>
          <w:sz w:val="18"/>
          <w:szCs w:val="18"/>
        </w:rPr>
        <w:footnoteRef/>
      </w:r>
      <w:r w:rsidR="00C64CFF" w:rsidRPr="002A5655">
        <w:rPr>
          <w:rFonts w:ascii="Gilroy" w:hAnsi="Gilroy"/>
          <w:sz w:val="18"/>
          <w:szCs w:val="18"/>
        </w:rPr>
        <w:t xml:space="preserve"> </w:t>
      </w:r>
      <w:r w:rsidR="005C62A0" w:rsidRPr="002A5655">
        <w:rPr>
          <w:rFonts w:ascii="Gilroy" w:hAnsi="Gilroy"/>
          <w:sz w:val="18"/>
          <w:szCs w:val="18"/>
        </w:rPr>
        <w:t xml:space="preserve">UK Home Office, ‘Immigration Removals, Enforcement and Detention General Instructions. Sanctions: refer case to Interventions and Sanctions Directorate (ISD)’, 17 January 2018, </w:t>
      </w:r>
    </w:p>
    <w:p w14:paraId="2903ADC1" w14:textId="5B0D830A" w:rsidR="008E68EB" w:rsidRPr="008E68EB" w:rsidRDefault="005C62A0" w:rsidP="005C62A0">
      <w:pPr>
        <w:pStyle w:val="FootnoteText"/>
        <w:rPr>
          <w:sz w:val="18"/>
          <w:szCs w:val="18"/>
        </w:rPr>
      </w:pPr>
      <w:hyperlink r:id="rId25" w:history="1">
        <w:r w:rsidRPr="002A5655">
          <w:rPr>
            <w:rStyle w:val="Hyperlink"/>
            <w:rFonts w:ascii="Gilroy" w:hAnsi="Gilroy"/>
            <w:sz w:val="18"/>
            <w:szCs w:val="18"/>
          </w:rPr>
          <w:t>https://assets.publishing.service.gov.uk/media/5a82ccb3e5274a2e87dc30aa/ISD-referrals-and-sanctions-v3.0ext.pdf</w:t>
        </w:r>
      </w:hyperlink>
      <w:r w:rsidR="003A2EFD" w:rsidRPr="002A5655">
        <w:rPr>
          <w:rStyle w:val="Hyperlink"/>
          <w:rFonts w:ascii="Gilroy" w:hAnsi="Gilroy"/>
          <w:sz w:val="18"/>
          <w:szCs w:val="18"/>
        </w:rPr>
        <w:t>;</w:t>
      </w:r>
      <w:r w:rsidRPr="002A5655">
        <w:rPr>
          <w:rFonts w:ascii="Gilroy" w:hAnsi="Gilroy"/>
          <w:sz w:val="18"/>
          <w:szCs w:val="18"/>
        </w:rPr>
        <w:t xml:space="preserve"> </w:t>
      </w:r>
      <w:r w:rsidR="00C64CFF" w:rsidRPr="002A5655">
        <w:rPr>
          <w:rFonts w:ascii="Gilroy" w:hAnsi="Gilroy"/>
          <w:sz w:val="18"/>
          <w:szCs w:val="18"/>
        </w:rPr>
        <w:t>See freedom of information request</w:t>
      </w:r>
      <w:r w:rsidR="00B1621D" w:rsidRPr="002A5655">
        <w:rPr>
          <w:rFonts w:ascii="Gilroy" w:hAnsi="Gilroy"/>
          <w:sz w:val="18"/>
          <w:szCs w:val="18"/>
        </w:rPr>
        <w:t>:</w:t>
      </w:r>
      <w:r w:rsidR="00C64CFF" w:rsidRPr="002A5655">
        <w:rPr>
          <w:rFonts w:ascii="Gilroy" w:hAnsi="Gilroy"/>
          <w:sz w:val="18"/>
          <w:szCs w:val="18"/>
        </w:rPr>
        <w:t xml:space="preserve"> </w:t>
      </w:r>
      <w:hyperlink r:id="rId26" w:anchor="outgoing-1735546" w:history="1">
        <w:r w:rsidR="00C64CFF" w:rsidRPr="002A5655">
          <w:rPr>
            <w:rStyle w:val="Hyperlink"/>
            <w:rFonts w:ascii="Gilroy" w:hAnsi="Gilroy"/>
            <w:sz w:val="18"/>
            <w:szCs w:val="18"/>
          </w:rPr>
          <w:t>https://www.whatdotheyknow.com/request/identify_and_prioritise_immigrat_3#outgoing-1735546</w:t>
        </w:r>
      </w:hyperlink>
      <w:r w:rsidR="008E68EB" w:rsidRPr="00BB2EC1">
        <w:rPr>
          <w:rFonts w:ascii="Gilroy" w:hAnsi="Gilroy"/>
          <w:sz w:val="18"/>
          <w:szCs w:val="18"/>
        </w:rPr>
        <w:t xml:space="preserve"> </w:t>
      </w:r>
    </w:p>
  </w:footnote>
  <w:footnote w:id="27">
    <w:p w14:paraId="5611D4E7"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9E72B3" w:rsidRPr="002A5655">
        <w:rPr>
          <w:rFonts w:ascii="Gilroy" w:hAnsi="Gilroy"/>
          <w:sz w:val="18"/>
          <w:szCs w:val="18"/>
        </w:rPr>
        <w:t xml:space="preserve"> CESCR General Comment No. 14: The Right to the Highest Attainable Standard of Health (Art. 12) </w:t>
      </w:r>
      <w:r w:rsidRPr="002A5655">
        <w:rPr>
          <w:rFonts w:ascii="Gilroy" w:hAnsi="Gilroy"/>
          <w:sz w:val="18"/>
          <w:szCs w:val="18"/>
        </w:rPr>
        <w:t xml:space="preserve"> </w:t>
      </w:r>
      <w:hyperlink r:id="rId27" w:history="1">
        <w:r w:rsidRPr="002A5655">
          <w:rPr>
            <w:rStyle w:val="Hyperlink"/>
            <w:rFonts w:ascii="Gilroy" w:hAnsi="Gilroy"/>
            <w:sz w:val="18"/>
            <w:szCs w:val="18"/>
          </w:rPr>
          <w:t>https://www.ohchr.org/sites/default/files/Documents/Issues/Women/WRGS/Health/GC14.pdf</w:t>
        </w:r>
      </w:hyperlink>
      <w:r w:rsidRPr="002A5655">
        <w:rPr>
          <w:rFonts w:ascii="Gilroy" w:hAnsi="Gilroy"/>
          <w:sz w:val="18"/>
          <w:szCs w:val="18"/>
        </w:rPr>
        <w:t xml:space="preserve"> </w:t>
      </w:r>
    </w:p>
  </w:footnote>
  <w:footnote w:id="28">
    <w:p w14:paraId="05217E15"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BB2EC1" w:rsidRPr="002A5655">
        <w:rPr>
          <w:rFonts w:ascii="Gilroy" w:hAnsi="Gilroy"/>
          <w:sz w:val="18"/>
          <w:szCs w:val="18"/>
        </w:rPr>
        <w:t xml:space="preserve"> See</w:t>
      </w:r>
      <w:r w:rsidR="00B1621D" w:rsidRPr="002A5655">
        <w:rPr>
          <w:rFonts w:ascii="Gilroy" w:hAnsi="Gilroy"/>
          <w:sz w:val="18"/>
          <w:szCs w:val="18"/>
        </w:rPr>
        <w:t>:</w:t>
      </w:r>
      <w:r w:rsidRPr="002A5655">
        <w:rPr>
          <w:rFonts w:ascii="Gilroy" w:hAnsi="Gilroy"/>
          <w:sz w:val="18"/>
          <w:szCs w:val="18"/>
        </w:rPr>
        <w:t xml:space="preserve"> </w:t>
      </w:r>
      <w:hyperlink r:id="rId28" w:history="1">
        <w:r w:rsidRPr="002A5655">
          <w:rPr>
            <w:rStyle w:val="Hyperlink"/>
            <w:rFonts w:ascii="Gilroy" w:hAnsi="Gilroy"/>
            <w:sz w:val="18"/>
            <w:szCs w:val="18"/>
          </w:rPr>
          <w:t>https://change.nhs.uk/en-GB/</w:t>
        </w:r>
      </w:hyperlink>
      <w:r w:rsidR="00B1621D" w:rsidRPr="002A5655">
        <w:rPr>
          <w:rFonts w:ascii="Gilroy" w:hAnsi="Gilroy"/>
          <w:sz w:val="18"/>
          <w:szCs w:val="18"/>
        </w:rPr>
        <w:t xml:space="preserve">. </w:t>
      </w:r>
      <w:r w:rsidRPr="002A5655">
        <w:rPr>
          <w:rFonts w:ascii="Gilroy" w:hAnsi="Gilroy"/>
          <w:sz w:val="18"/>
          <w:szCs w:val="18"/>
        </w:rPr>
        <w:t xml:space="preserve"> </w:t>
      </w:r>
    </w:p>
  </w:footnote>
  <w:footnote w:id="29">
    <w:p w14:paraId="70EEAF23"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BB2EC1" w:rsidRPr="002A5655">
        <w:rPr>
          <w:rFonts w:ascii="Gilroy" w:hAnsi="Gilroy"/>
          <w:sz w:val="18"/>
          <w:szCs w:val="18"/>
        </w:rPr>
        <w:t xml:space="preserve"> The Guardian, ‘</w:t>
      </w:r>
      <w:r w:rsidR="009E72B3" w:rsidRPr="002A5655">
        <w:rPr>
          <w:rFonts w:ascii="Gilroy" w:hAnsi="Gilroy"/>
          <w:sz w:val="18"/>
          <w:szCs w:val="18"/>
        </w:rPr>
        <w:t>Wes Streeting unveils plans for ‘patient passports’ to hold all medical records’, 21 October 2024</w:t>
      </w:r>
      <w:r w:rsidR="00B1621D" w:rsidRPr="002A5655">
        <w:rPr>
          <w:rFonts w:ascii="Gilroy" w:hAnsi="Gilroy"/>
          <w:sz w:val="18"/>
          <w:szCs w:val="18"/>
        </w:rPr>
        <w:t>,</w:t>
      </w:r>
      <w:r w:rsidRPr="002A5655">
        <w:rPr>
          <w:rFonts w:ascii="Gilroy" w:hAnsi="Gilroy"/>
          <w:sz w:val="18"/>
          <w:szCs w:val="18"/>
        </w:rPr>
        <w:t xml:space="preserve"> </w:t>
      </w:r>
      <w:hyperlink r:id="rId29" w:history="1">
        <w:r w:rsidRPr="002A5655">
          <w:rPr>
            <w:rStyle w:val="Hyperlink"/>
            <w:rFonts w:ascii="Gilroy" w:hAnsi="Gilroy"/>
            <w:sz w:val="18"/>
            <w:szCs w:val="18"/>
          </w:rPr>
          <w:t>https://www.theguardian.com/society/2024/oct/21/wes-streeting-unveils-plans-for-patient-passports-to-hold-all-medical-records</w:t>
        </w:r>
      </w:hyperlink>
      <w:r w:rsidR="00B1621D" w:rsidRPr="002A5655">
        <w:rPr>
          <w:rFonts w:ascii="Gilroy" w:hAnsi="Gilroy"/>
          <w:sz w:val="18"/>
          <w:szCs w:val="18"/>
        </w:rPr>
        <w:t xml:space="preserve">. </w:t>
      </w:r>
    </w:p>
  </w:footnote>
  <w:footnote w:id="30">
    <w:p w14:paraId="202F7A86" w14:textId="05615786" w:rsidR="009E72B3" w:rsidRPr="002A5655" w:rsidRDefault="006F5A33" w:rsidP="003A2EFD">
      <w:pPr>
        <w:pStyle w:val="FootnoteText"/>
        <w:rPr>
          <w:rFonts w:ascii="Gilroy" w:hAnsi="Gilroy"/>
          <w:sz w:val="18"/>
          <w:szCs w:val="18"/>
        </w:rPr>
      </w:pPr>
      <w:r w:rsidRPr="002A5655">
        <w:rPr>
          <w:rStyle w:val="FootnoteReference"/>
          <w:rFonts w:ascii="Gilroy" w:hAnsi="Gilroy"/>
          <w:sz w:val="18"/>
          <w:szCs w:val="18"/>
        </w:rPr>
        <w:footnoteRef/>
      </w:r>
      <w:r w:rsidR="00BB2EC1" w:rsidRPr="002A5655">
        <w:rPr>
          <w:rFonts w:ascii="Gilroy" w:hAnsi="Gilroy"/>
          <w:sz w:val="18"/>
          <w:szCs w:val="18"/>
        </w:rPr>
        <w:t xml:space="preserve"> </w:t>
      </w:r>
      <w:r w:rsidR="003A2EFD" w:rsidRPr="002A5655">
        <w:rPr>
          <w:rFonts w:ascii="Gilroy" w:hAnsi="Gilroy"/>
          <w:sz w:val="18"/>
          <w:szCs w:val="18"/>
        </w:rPr>
        <w:t xml:space="preserve">Department for Health and Social Care, ‘Press release: Government issues rallying cry to the nation to help fix NHS’, 21 October 2024, </w:t>
      </w:r>
      <w:hyperlink r:id="rId30" w:history="1">
        <w:r w:rsidR="003A2EFD" w:rsidRPr="002A5655">
          <w:rPr>
            <w:rStyle w:val="Hyperlink"/>
            <w:rFonts w:ascii="Gilroy" w:hAnsi="Gilroy"/>
            <w:sz w:val="18"/>
            <w:szCs w:val="18"/>
          </w:rPr>
          <w:t>https://www.gov.uk/government/news/government-issues-rallying-cry-to-the-nation-to-help-fix-nhs</w:t>
        </w:r>
      </w:hyperlink>
      <w:r w:rsidR="003A2EFD" w:rsidRPr="002A5655">
        <w:rPr>
          <w:rFonts w:ascii="Gilroy" w:hAnsi="Gilroy"/>
          <w:sz w:val="18"/>
          <w:szCs w:val="18"/>
        </w:rPr>
        <w:t xml:space="preserve">; See: </w:t>
      </w:r>
      <w:hyperlink r:id="rId31" w:history="1">
        <w:r w:rsidR="003A2EFD" w:rsidRPr="002A5655">
          <w:rPr>
            <w:rStyle w:val="Hyperlink"/>
            <w:rFonts w:ascii="Gilroy" w:hAnsi="Gilroy"/>
            <w:sz w:val="18"/>
            <w:szCs w:val="18"/>
          </w:rPr>
          <w:t>https://x.com/BBCr4today/status/1848286462900326893</w:t>
        </w:r>
      </w:hyperlink>
      <w:r w:rsidR="003A2EFD" w:rsidRPr="002A5655">
        <w:rPr>
          <w:rFonts w:ascii="Gilroy" w:hAnsi="Gilroy"/>
          <w:sz w:val="18"/>
          <w:szCs w:val="18"/>
        </w:rPr>
        <w:t xml:space="preserve">; </w:t>
      </w:r>
      <w:r w:rsidR="00BB2EC1" w:rsidRPr="002A5655">
        <w:rPr>
          <w:rFonts w:ascii="Gilroy" w:hAnsi="Gilroy"/>
          <w:sz w:val="18"/>
          <w:szCs w:val="18"/>
        </w:rPr>
        <w:t>The Guardian, ‘</w:t>
      </w:r>
      <w:r w:rsidR="009E72B3" w:rsidRPr="002A5655">
        <w:rPr>
          <w:rFonts w:ascii="Gilroy" w:hAnsi="Gilroy"/>
          <w:sz w:val="18"/>
          <w:szCs w:val="18"/>
        </w:rPr>
        <w:t>Warnings over NHS data privacy after ‘stalker’ doctor shares woman’s records’, 14 May 2023</w:t>
      </w:r>
      <w:r w:rsidR="00B1621D" w:rsidRPr="002A5655">
        <w:rPr>
          <w:rFonts w:ascii="Gilroy" w:hAnsi="Gilroy"/>
          <w:sz w:val="18"/>
          <w:szCs w:val="18"/>
        </w:rPr>
        <w:t>,</w:t>
      </w:r>
      <w:r w:rsidR="009E72B3" w:rsidRPr="002A5655">
        <w:rPr>
          <w:rFonts w:ascii="Gilroy" w:hAnsi="Gilroy"/>
          <w:sz w:val="18"/>
          <w:szCs w:val="18"/>
        </w:rPr>
        <w:t xml:space="preserve"> </w:t>
      </w:r>
    </w:p>
    <w:p w14:paraId="587C19B4" w14:textId="77777777" w:rsidR="006F5A33" w:rsidRPr="002A5655" w:rsidRDefault="006F5A33">
      <w:pPr>
        <w:pStyle w:val="FootnoteText"/>
        <w:rPr>
          <w:rFonts w:ascii="Gilroy" w:hAnsi="Gilroy"/>
          <w:sz w:val="18"/>
          <w:szCs w:val="18"/>
        </w:rPr>
      </w:pPr>
      <w:hyperlink r:id="rId32" w:history="1">
        <w:r w:rsidRPr="002A5655">
          <w:rPr>
            <w:rStyle w:val="Hyperlink"/>
            <w:rFonts w:ascii="Gilroy" w:hAnsi="Gilroy"/>
            <w:sz w:val="18"/>
            <w:szCs w:val="18"/>
          </w:rPr>
          <w:t>https://www.theguardian.com/society/2023/may/14/nhs-england-data-privacy-confidentiality-records-addenbrookes-hospital</w:t>
        </w:r>
      </w:hyperlink>
      <w:r w:rsidR="00B1621D" w:rsidRPr="002A5655">
        <w:rPr>
          <w:rFonts w:ascii="Gilroy" w:hAnsi="Gilroy"/>
          <w:sz w:val="18"/>
          <w:szCs w:val="18"/>
        </w:rPr>
        <w:t>.</w:t>
      </w:r>
      <w:r w:rsidRPr="002A5655">
        <w:rPr>
          <w:rFonts w:ascii="Gilroy" w:hAnsi="Gilroy"/>
          <w:sz w:val="18"/>
          <w:szCs w:val="18"/>
        </w:rPr>
        <w:t xml:space="preserve"> </w:t>
      </w:r>
    </w:p>
  </w:footnote>
  <w:footnote w:id="31">
    <w:p w14:paraId="24C622F0" w14:textId="22CE1EE8"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9E72B3" w:rsidRPr="002A5655">
        <w:rPr>
          <w:rFonts w:ascii="Gilroy" w:hAnsi="Gilroy"/>
          <w:sz w:val="18"/>
          <w:szCs w:val="18"/>
        </w:rPr>
        <w:t xml:space="preserve"> </w:t>
      </w:r>
      <w:r w:rsidR="003A2EFD" w:rsidRPr="002A5655">
        <w:rPr>
          <w:rFonts w:ascii="Gilroy" w:hAnsi="Gilroy"/>
          <w:sz w:val="18"/>
          <w:szCs w:val="18"/>
        </w:rPr>
        <w:t xml:space="preserve">See: </w:t>
      </w:r>
      <w:hyperlink r:id="rId33" w:history="1">
        <w:r w:rsidR="003A2EFD" w:rsidRPr="002A5655">
          <w:rPr>
            <w:rStyle w:val="Hyperlink"/>
            <w:rFonts w:ascii="Gilroy" w:hAnsi="Gilroy"/>
            <w:sz w:val="18"/>
            <w:szCs w:val="18"/>
          </w:rPr>
          <w:t>https://bills.parliament.uk/bills/3825</w:t>
        </w:r>
      </w:hyperlink>
      <w:r w:rsidR="003A2EFD" w:rsidRPr="002A5655">
        <w:rPr>
          <w:rFonts w:ascii="Gilroy" w:hAnsi="Gilroy"/>
          <w:sz w:val="18"/>
          <w:szCs w:val="18"/>
        </w:rPr>
        <w:t xml:space="preserve">; </w:t>
      </w:r>
      <w:r w:rsidR="009E72B3" w:rsidRPr="002A5655">
        <w:rPr>
          <w:rFonts w:ascii="Gilroy" w:hAnsi="Gilroy"/>
          <w:sz w:val="18"/>
          <w:szCs w:val="18"/>
        </w:rPr>
        <w:t>Digital Health, ‘New data laws will allow patient data to be shared across the NHS’, 24 October 2024</w:t>
      </w:r>
      <w:r w:rsidR="00B1621D" w:rsidRPr="002A5655">
        <w:rPr>
          <w:rFonts w:ascii="Gilroy" w:hAnsi="Gilroy"/>
          <w:sz w:val="18"/>
          <w:szCs w:val="18"/>
        </w:rPr>
        <w:t>,</w:t>
      </w:r>
      <w:r w:rsidRPr="002A5655">
        <w:rPr>
          <w:rFonts w:ascii="Gilroy" w:hAnsi="Gilroy"/>
          <w:sz w:val="18"/>
          <w:szCs w:val="18"/>
        </w:rPr>
        <w:t xml:space="preserve"> </w:t>
      </w:r>
      <w:hyperlink r:id="rId34" w:history="1">
        <w:r w:rsidRPr="002A5655">
          <w:rPr>
            <w:rStyle w:val="Hyperlink"/>
            <w:rFonts w:ascii="Gilroy" w:hAnsi="Gilroy"/>
            <w:sz w:val="18"/>
            <w:szCs w:val="18"/>
          </w:rPr>
          <w:t>https://www.digitalhealth.net/2024/10/new-data-laws-will-allow-patient-data-to-be-shared-across-the-nhs/</w:t>
        </w:r>
      </w:hyperlink>
      <w:r w:rsidR="003A2EFD" w:rsidRPr="002A5655">
        <w:rPr>
          <w:rStyle w:val="Hyperlink"/>
          <w:rFonts w:ascii="Gilroy" w:hAnsi="Gilroy"/>
          <w:sz w:val="18"/>
          <w:szCs w:val="18"/>
        </w:rPr>
        <w:t xml:space="preserve">. </w:t>
      </w:r>
    </w:p>
  </w:footnote>
  <w:footnote w:id="32">
    <w:p w14:paraId="60371D2A" w14:textId="77777777" w:rsidR="00F91CD7" w:rsidRPr="002A5655" w:rsidRDefault="00F91CD7" w:rsidP="00F91CD7">
      <w:pPr>
        <w:pStyle w:val="FootnoteText"/>
        <w:rPr>
          <w:rFonts w:ascii="Gilroy" w:hAnsi="Gilroy"/>
          <w:sz w:val="18"/>
          <w:szCs w:val="18"/>
        </w:rPr>
      </w:pPr>
      <w:r w:rsidRPr="002A5655">
        <w:rPr>
          <w:rStyle w:val="FootnoteReference"/>
          <w:rFonts w:ascii="Gilroy" w:hAnsi="Gilroy"/>
          <w:sz w:val="18"/>
          <w:szCs w:val="18"/>
        </w:rPr>
        <w:footnoteRef/>
      </w:r>
      <w:r w:rsidR="009E72B3" w:rsidRPr="002A5655">
        <w:rPr>
          <w:rFonts w:ascii="Gilroy" w:hAnsi="Gilroy"/>
          <w:sz w:val="18"/>
          <w:szCs w:val="18"/>
        </w:rPr>
        <w:t xml:space="preserve"> Department for Health and Social Care, ‘Policy paper: Women's Health Strategy for England’, 30 August 2022</w:t>
      </w:r>
      <w:r w:rsidR="00B1621D" w:rsidRPr="002A5655">
        <w:rPr>
          <w:rFonts w:ascii="Gilroy" w:hAnsi="Gilroy"/>
          <w:sz w:val="18"/>
          <w:szCs w:val="18"/>
        </w:rPr>
        <w:t>,</w:t>
      </w:r>
      <w:r w:rsidRPr="002A5655">
        <w:rPr>
          <w:rFonts w:ascii="Gilroy" w:hAnsi="Gilroy"/>
          <w:sz w:val="18"/>
          <w:szCs w:val="18"/>
        </w:rPr>
        <w:t xml:space="preserve"> </w:t>
      </w:r>
      <w:hyperlink r:id="rId35" w:history="1">
        <w:r w:rsidRPr="002A5655">
          <w:rPr>
            <w:rStyle w:val="Hyperlink"/>
            <w:rFonts w:ascii="Gilroy" w:hAnsi="Gilroy"/>
            <w:sz w:val="18"/>
            <w:szCs w:val="18"/>
          </w:rPr>
          <w:t>https://www.gov.uk/government/publications/womens-health-strategy-for-england/womens-health-strategy-for-england</w:t>
        </w:r>
      </w:hyperlink>
      <w:r w:rsidR="00B1621D" w:rsidRPr="002A5655">
        <w:rPr>
          <w:rFonts w:ascii="Gilroy" w:hAnsi="Gilroy"/>
          <w:sz w:val="18"/>
          <w:szCs w:val="18"/>
        </w:rPr>
        <w:t>.</w:t>
      </w:r>
      <w:r w:rsidRPr="002A5655">
        <w:rPr>
          <w:rFonts w:ascii="Gilroy" w:hAnsi="Gilroy"/>
          <w:sz w:val="18"/>
          <w:szCs w:val="18"/>
        </w:rPr>
        <w:t xml:space="preserve"> </w:t>
      </w:r>
    </w:p>
  </w:footnote>
  <w:footnote w:id="33">
    <w:p w14:paraId="3593CE46" w14:textId="5CA0C133" w:rsidR="002A5655" w:rsidRPr="002A5655" w:rsidRDefault="002A5655" w:rsidP="002A5655">
      <w:pPr>
        <w:pStyle w:val="FootnoteText"/>
        <w:rPr>
          <w:rFonts w:ascii="Gilroy" w:hAnsi="Gilroy"/>
          <w:b/>
          <w:bCs/>
          <w:sz w:val="18"/>
          <w:szCs w:val="18"/>
        </w:rPr>
      </w:pPr>
      <w:r w:rsidRPr="002A5655">
        <w:rPr>
          <w:rStyle w:val="FootnoteReference"/>
          <w:rFonts w:ascii="Gilroy" w:hAnsi="Gilroy"/>
          <w:sz w:val="18"/>
          <w:szCs w:val="18"/>
        </w:rPr>
        <w:footnoteRef/>
      </w:r>
      <w:r w:rsidRPr="002A5655">
        <w:rPr>
          <w:rFonts w:ascii="Gilroy" w:hAnsi="Gilroy"/>
          <w:sz w:val="18"/>
          <w:szCs w:val="18"/>
        </w:rPr>
        <w:t xml:space="preserve"> Public Technology, ‘Liverpool NHS trust to combine social housing and health data’, 1 November 2024,  </w:t>
      </w:r>
      <w:hyperlink r:id="rId36" w:history="1">
        <w:r w:rsidRPr="002A5655">
          <w:rPr>
            <w:rStyle w:val="Hyperlink"/>
            <w:rFonts w:ascii="Gilroy" w:hAnsi="Gilroy"/>
            <w:sz w:val="18"/>
            <w:szCs w:val="18"/>
          </w:rPr>
          <w:t>https://www.publictechnology.net/2024/11/01/health-and-social-care/liverpool-nhs-trust-to-combine-social-housing-and-health-data/</w:t>
        </w:r>
      </w:hyperlink>
      <w:r w:rsidRPr="002A5655">
        <w:rPr>
          <w:rFonts w:ascii="Gilroy" w:hAnsi="Gilroy"/>
          <w:sz w:val="18"/>
          <w:szCs w:val="18"/>
        </w:rPr>
        <w:t>; NHS England, ‘News: World leading NHS trial to boost health and support people in work’,</w:t>
      </w:r>
      <w:r w:rsidRPr="002A5655">
        <w:rPr>
          <w:rFonts w:ascii="Gilroy" w:hAnsi="Gilroy"/>
          <w:b/>
          <w:bCs/>
          <w:sz w:val="18"/>
          <w:szCs w:val="18"/>
        </w:rPr>
        <w:t xml:space="preserve"> </w:t>
      </w:r>
      <w:r w:rsidRPr="002A5655">
        <w:rPr>
          <w:rFonts w:ascii="Gilroy" w:hAnsi="Gilroy"/>
          <w:sz w:val="18"/>
          <w:szCs w:val="18"/>
        </w:rPr>
        <w:t>5 December 2024</w:t>
      </w:r>
      <w:r w:rsidRPr="002A5655">
        <w:rPr>
          <w:rFonts w:ascii="Gilroy" w:hAnsi="Gilroy"/>
          <w:b/>
          <w:bCs/>
          <w:sz w:val="18"/>
          <w:szCs w:val="18"/>
        </w:rPr>
        <w:t>,</w:t>
      </w:r>
      <w:r w:rsidRPr="002A5655">
        <w:rPr>
          <w:rFonts w:ascii="Gilroy" w:hAnsi="Gilroy"/>
          <w:sz w:val="18"/>
          <w:szCs w:val="18"/>
        </w:rPr>
        <w:t xml:space="preserve"> </w:t>
      </w:r>
      <w:hyperlink r:id="rId37" w:history="1">
        <w:r w:rsidRPr="002A5655">
          <w:rPr>
            <w:rStyle w:val="Hyperlink"/>
            <w:rFonts w:ascii="Gilroy" w:hAnsi="Gilroy"/>
            <w:sz w:val="18"/>
            <w:szCs w:val="18"/>
          </w:rPr>
          <w:t>https://www.england.nhs.uk/2024/12/world-leading-nhs-trial-to-boost-health-and-support-people-in-work/</w:t>
        </w:r>
      </w:hyperlink>
      <w:r w:rsidRPr="002A5655">
        <w:rPr>
          <w:rFonts w:ascii="Gilroy" w:hAnsi="Gilroy"/>
          <w:sz w:val="18"/>
          <w:szCs w:val="18"/>
        </w:rPr>
        <w:t xml:space="preserve">; Office for National Statistics, ‘Press Release: The impact of bariatric surgery on monthly employee pay and employee status, England’, 23 October 2024, </w:t>
      </w:r>
      <w:hyperlink r:id="rId38" w:history="1">
        <w:r w:rsidRPr="002A5655">
          <w:rPr>
            <w:rStyle w:val="Hyperlink"/>
            <w:rFonts w:ascii="Gilroy" w:hAnsi="Gilroy"/>
            <w:sz w:val="18"/>
            <w:szCs w:val="18"/>
          </w:rPr>
          <w:t>https://www.ons.gov.uk/peoplepopulationandcommunity/healthandsocialcare/healthandwellbeing/articles/theimpactofbariatricsurgeryonmonthlyemployeepayandemployeestatusengland/april2014todecember2022</w:t>
        </w:r>
      </w:hyperlink>
      <w:r w:rsidRPr="002A5655">
        <w:rPr>
          <w:rFonts w:ascii="Gilroy" w:hAnsi="Gilroy"/>
          <w:sz w:val="18"/>
          <w:szCs w:val="18"/>
        </w:rPr>
        <w:t>.</w:t>
      </w:r>
    </w:p>
  </w:footnote>
  <w:footnote w:id="34">
    <w:p w14:paraId="21D29D27" w14:textId="1E209DC4" w:rsidR="007D57F5" w:rsidRPr="009E72B3" w:rsidRDefault="007D57F5" w:rsidP="007D57F5">
      <w:pPr>
        <w:pStyle w:val="FootnoteText"/>
        <w:rPr>
          <w:rFonts w:ascii="Gilroy" w:hAnsi="Gilroy"/>
          <w:sz w:val="18"/>
          <w:szCs w:val="18"/>
        </w:rPr>
      </w:pPr>
      <w:r w:rsidRPr="002A5655">
        <w:rPr>
          <w:rStyle w:val="FootnoteReference"/>
          <w:rFonts w:ascii="Gilroy" w:hAnsi="Gilroy"/>
          <w:sz w:val="18"/>
          <w:szCs w:val="18"/>
        </w:rPr>
        <w:footnoteRef/>
      </w:r>
      <w:r w:rsidR="00C47C54" w:rsidRPr="002A5655">
        <w:rPr>
          <w:rFonts w:ascii="Gilroy" w:hAnsi="Gilroy"/>
          <w:sz w:val="18"/>
          <w:szCs w:val="18"/>
        </w:rPr>
        <w:t xml:space="preserve"> Financial Times, ‘NHS Staff use WhatsApp ‘Constantly’ to Share Private Patient Data’</w:t>
      </w:r>
      <w:r w:rsidR="00B1621D" w:rsidRPr="002A5655">
        <w:rPr>
          <w:rFonts w:ascii="Gilroy" w:hAnsi="Gilroy"/>
          <w:sz w:val="18"/>
          <w:szCs w:val="18"/>
        </w:rPr>
        <w:t>,</w:t>
      </w:r>
      <w:r w:rsidR="00C47C54" w:rsidRPr="002A5655">
        <w:rPr>
          <w:rFonts w:ascii="Gilroy" w:hAnsi="Gilroy"/>
          <w:sz w:val="18"/>
          <w:szCs w:val="18"/>
        </w:rPr>
        <w:t xml:space="preserve">  </w:t>
      </w:r>
      <w:hyperlink r:id="rId39" w:history="1">
        <w:r w:rsidR="00C47C54" w:rsidRPr="002A5655">
          <w:rPr>
            <w:rStyle w:val="Hyperlink"/>
            <w:rFonts w:ascii="Gilroy" w:hAnsi="Gilroy"/>
            <w:sz w:val="18"/>
            <w:szCs w:val="18"/>
          </w:rPr>
          <w:t>https://www.ft.com/content/c19fe8bf-0fd3-42bf-8e07-8f4e5d26ec25</w:t>
        </w:r>
      </w:hyperlink>
      <w:r w:rsidR="00C47C54" w:rsidRPr="002A5655">
        <w:rPr>
          <w:rFonts w:ascii="Gilroy" w:hAnsi="Gilroy"/>
          <w:sz w:val="18"/>
          <w:szCs w:val="18"/>
        </w:rPr>
        <w:t>; The Guardian, ‘One in five GPs use AI such as ChatGPT for daily tasks, survey finds’, 17 September 2024</w:t>
      </w:r>
      <w:r w:rsidR="00B1621D" w:rsidRPr="002A5655">
        <w:rPr>
          <w:rFonts w:ascii="Gilroy" w:hAnsi="Gilroy"/>
          <w:sz w:val="18"/>
          <w:szCs w:val="18"/>
        </w:rPr>
        <w:t xml:space="preserve">, </w:t>
      </w:r>
      <w:hyperlink r:id="rId40" w:history="1">
        <w:r w:rsidR="00B1621D" w:rsidRPr="002A5655">
          <w:rPr>
            <w:rStyle w:val="Hyperlink"/>
            <w:rFonts w:ascii="Gilroy" w:hAnsi="Gilroy"/>
            <w:sz w:val="18"/>
            <w:szCs w:val="18"/>
          </w:rPr>
          <w:t>https://www.theguardian.com/society/2024/sep/17/one-in-five-gps-use-ai-such-as-chatgpt-for-daily-tasks-survey-finds</w:t>
        </w:r>
      </w:hyperlink>
      <w:r w:rsidR="002A5655" w:rsidRPr="002A5655">
        <w:rPr>
          <w:rStyle w:val="Hyperlink"/>
          <w:rFonts w:ascii="Gilroy" w:hAnsi="Gilroy"/>
          <w:sz w:val="18"/>
          <w:szCs w:val="18"/>
        </w:rPr>
        <w:t>.</w:t>
      </w:r>
      <w:r w:rsidRPr="009E72B3">
        <w:rPr>
          <w:rFonts w:ascii="Gilroy" w:hAnsi="Gilroy"/>
          <w:sz w:val="18"/>
          <w:szCs w:val="18"/>
        </w:rPr>
        <w:t xml:space="preserve"> </w:t>
      </w:r>
    </w:p>
  </w:footnote>
  <w:footnote w:id="35">
    <w:p w14:paraId="27E394CC" w14:textId="77777777" w:rsidR="007D57F5" w:rsidRPr="002A5655" w:rsidRDefault="007D57F5" w:rsidP="007D57F5">
      <w:pPr>
        <w:pStyle w:val="FootnoteText"/>
        <w:rPr>
          <w:rFonts w:ascii="Gilroy" w:hAnsi="Gilroy"/>
          <w:sz w:val="18"/>
          <w:szCs w:val="18"/>
        </w:rPr>
      </w:pPr>
      <w:r w:rsidRPr="002A5655">
        <w:rPr>
          <w:rStyle w:val="FootnoteReference"/>
          <w:rFonts w:ascii="Gilroy" w:hAnsi="Gilroy"/>
          <w:sz w:val="18"/>
          <w:szCs w:val="18"/>
        </w:rPr>
        <w:footnoteRef/>
      </w:r>
      <w:r w:rsidR="00C47C54" w:rsidRPr="002A5655">
        <w:rPr>
          <w:rFonts w:ascii="Gilroy" w:hAnsi="Gilroy"/>
          <w:sz w:val="18"/>
          <w:szCs w:val="18"/>
        </w:rPr>
        <w:t xml:space="preserve"> Privacy International, ‘PI seeks to inform report on AI and racial discrimination of the UN Special Rapporteur on racism’, 9 April 2024</w:t>
      </w:r>
      <w:r w:rsidR="00B1621D" w:rsidRPr="002A5655">
        <w:rPr>
          <w:rFonts w:ascii="Gilroy" w:hAnsi="Gilroy"/>
          <w:sz w:val="18"/>
          <w:szCs w:val="18"/>
        </w:rPr>
        <w:t>,</w:t>
      </w:r>
      <w:r w:rsidRPr="002A5655">
        <w:rPr>
          <w:rFonts w:ascii="Gilroy" w:hAnsi="Gilroy"/>
          <w:sz w:val="18"/>
          <w:szCs w:val="18"/>
        </w:rPr>
        <w:t xml:space="preserve"> </w:t>
      </w:r>
      <w:hyperlink r:id="rId41" w:history="1">
        <w:r w:rsidRPr="002A5655">
          <w:rPr>
            <w:rStyle w:val="Hyperlink"/>
            <w:rFonts w:ascii="Gilroy" w:hAnsi="Gilroy"/>
            <w:sz w:val="18"/>
            <w:szCs w:val="18"/>
          </w:rPr>
          <w:t>https://privacyinternational.org/advocacy/5295/pi-seeks-inform-report-ai-and-racial-discrimination-un-special-rapporteur-racism</w:t>
        </w:r>
      </w:hyperlink>
      <w:r w:rsidRPr="002A5655">
        <w:rPr>
          <w:rFonts w:ascii="Gilroy" w:hAnsi="Gilroy"/>
          <w:sz w:val="18"/>
          <w:szCs w:val="18"/>
        </w:rPr>
        <w:t xml:space="preserve"> </w:t>
      </w:r>
    </w:p>
  </w:footnote>
  <w:footnote w:id="36">
    <w:p w14:paraId="60D00F5A" w14:textId="77777777" w:rsidR="007D57F5" w:rsidRPr="002A5655" w:rsidRDefault="007D57F5" w:rsidP="009A0A39">
      <w:pPr>
        <w:pStyle w:val="FootnoteText"/>
        <w:rPr>
          <w:rFonts w:ascii="Gilroy" w:hAnsi="Gilroy"/>
          <w:sz w:val="18"/>
          <w:szCs w:val="18"/>
        </w:rPr>
      </w:pPr>
      <w:r w:rsidRPr="002A5655">
        <w:rPr>
          <w:rStyle w:val="FootnoteReference"/>
          <w:rFonts w:ascii="Gilroy" w:hAnsi="Gilroy"/>
          <w:sz w:val="18"/>
          <w:szCs w:val="18"/>
        </w:rPr>
        <w:footnoteRef/>
      </w:r>
      <w:r w:rsidR="009A0A39" w:rsidRPr="002A5655">
        <w:rPr>
          <w:rFonts w:ascii="Gilroy" w:hAnsi="Gilroy"/>
          <w:sz w:val="18"/>
          <w:szCs w:val="18"/>
        </w:rPr>
        <w:t xml:space="preserve"> A/HRC/56/68 Human Rights Council, ‘Report of the Special Rapporteur on contemporary forms of racism, racial discrimination, xenophobia and related intolerance, Ashwini K.P.’, 3 June 2024</w:t>
      </w:r>
      <w:r w:rsidR="00B1621D" w:rsidRPr="002A5655">
        <w:rPr>
          <w:rFonts w:ascii="Gilroy" w:hAnsi="Gilroy"/>
          <w:sz w:val="18"/>
          <w:szCs w:val="18"/>
        </w:rPr>
        <w:t>,</w:t>
      </w:r>
      <w:r w:rsidR="009A0A39" w:rsidRPr="002A5655">
        <w:rPr>
          <w:rFonts w:ascii="Gilroy" w:hAnsi="Gilroy"/>
          <w:sz w:val="18"/>
          <w:szCs w:val="18"/>
        </w:rPr>
        <w:t xml:space="preserve"> </w:t>
      </w:r>
      <w:hyperlink r:id="rId42" w:history="1">
        <w:r w:rsidR="009A0A39" w:rsidRPr="002A5655">
          <w:rPr>
            <w:rStyle w:val="Hyperlink"/>
            <w:rFonts w:ascii="Gilroy" w:hAnsi="Gilroy"/>
            <w:sz w:val="18"/>
            <w:szCs w:val="18"/>
          </w:rPr>
          <w:t>https://documents.un.org/doc/undoc/gen/g24/084/20/pdf/g2408420.pdf</w:t>
        </w:r>
      </w:hyperlink>
      <w:r w:rsidRPr="002A5655">
        <w:rPr>
          <w:rFonts w:ascii="Gilroy" w:hAnsi="Gilroy"/>
          <w:sz w:val="18"/>
          <w:szCs w:val="18"/>
        </w:rPr>
        <w:t xml:space="preserve"> </w:t>
      </w:r>
    </w:p>
  </w:footnote>
  <w:footnote w:id="37">
    <w:p w14:paraId="28E9E735" w14:textId="77777777" w:rsidR="00754231" w:rsidRPr="002A5655" w:rsidRDefault="006F5A33" w:rsidP="00754231">
      <w:pPr>
        <w:pStyle w:val="FootnoteText"/>
        <w:rPr>
          <w:rFonts w:ascii="Gilroy" w:hAnsi="Gilroy"/>
          <w:sz w:val="18"/>
          <w:szCs w:val="18"/>
        </w:rPr>
      </w:pPr>
      <w:r w:rsidRPr="002A5655">
        <w:rPr>
          <w:rStyle w:val="FootnoteReference"/>
          <w:rFonts w:ascii="Gilroy" w:hAnsi="Gilroy"/>
          <w:sz w:val="18"/>
          <w:szCs w:val="18"/>
        </w:rPr>
        <w:footnoteRef/>
      </w:r>
      <w:r w:rsidR="009A0A39" w:rsidRPr="002A5655">
        <w:rPr>
          <w:rFonts w:ascii="Gilroy" w:hAnsi="Gilroy"/>
          <w:sz w:val="18"/>
          <w:szCs w:val="18"/>
        </w:rPr>
        <w:t xml:space="preserve"> </w:t>
      </w:r>
      <w:r w:rsidR="00754231" w:rsidRPr="002A5655">
        <w:rPr>
          <w:rFonts w:ascii="Gilroy" w:hAnsi="Gilroy"/>
          <w:sz w:val="18"/>
          <w:szCs w:val="18"/>
        </w:rPr>
        <w:t>A/HRC/53/65 Human Rights Council, ‘Report of the Special Rapporteur on the right of everyone to the</w:t>
      </w:r>
    </w:p>
    <w:p w14:paraId="3057AB3B" w14:textId="77777777" w:rsidR="006F5A33" w:rsidRPr="002A5655" w:rsidRDefault="00754231" w:rsidP="00754231">
      <w:pPr>
        <w:pStyle w:val="FootnoteText"/>
        <w:rPr>
          <w:rFonts w:ascii="Gilroy" w:hAnsi="Gilroy"/>
          <w:sz w:val="18"/>
          <w:szCs w:val="18"/>
        </w:rPr>
      </w:pPr>
      <w:r w:rsidRPr="002A5655">
        <w:rPr>
          <w:rFonts w:ascii="Gilroy" w:hAnsi="Gilroy"/>
          <w:sz w:val="18"/>
          <w:szCs w:val="18"/>
        </w:rPr>
        <w:t>enjoyment of the highest attainable standard of physical and mental health’, 21 April 2023</w:t>
      </w:r>
      <w:r w:rsidR="00B1621D" w:rsidRPr="002A5655">
        <w:rPr>
          <w:rFonts w:ascii="Gilroy" w:hAnsi="Gilroy"/>
          <w:sz w:val="18"/>
          <w:szCs w:val="18"/>
        </w:rPr>
        <w:t>,</w:t>
      </w:r>
      <w:r w:rsidRPr="002A5655">
        <w:rPr>
          <w:rFonts w:ascii="Gilroy" w:hAnsi="Gilroy"/>
          <w:sz w:val="18"/>
          <w:szCs w:val="18"/>
        </w:rPr>
        <w:t xml:space="preserve"> ‘</w:t>
      </w:r>
      <w:hyperlink r:id="rId43" w:history="1">
        <w:r w:rsidRPr="002A5655">
          <w:rPr>
            <w:rStyle w:val="Hyperlink"/>
            <w:rFonts w:ascii="Gilroy" w:hAnsi="Gilroy"/>
            <w:sz w:val="18"/>
            <w:szCs w:val="18"/>
          </w:rPr>
          <w:t>https://undocs.org/Home/Mobile?FinalSymbol=A%2FHRC%2F53%2F65&amp;Language=E&amp;DeviceType=Desktop&amp;LangRequested=False</w:t>
        </w:r>
      </w:hyperlink>
      <w:r w:rsidR="006F5A33" w:rsidRPr="002A5655">
        <w:rPr>
          <w:rFonts w:ascii="Gilroy" w:hAnsi="Gilroy"/>
          <w:sz w:val="18"/>
          <w:szCs w:val="18"/>
        </w:rPr>
        <w:t xml:space="preserve"> </w:t>
      </w:r>
    </w:p>
  </w:footnote>
  <w:footnote w:id="38">
    <w:p w14:paraId="2E50BB25"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9A0A39" w:rsidRPr="002A5655">
        <w:rPr>
          <w:rFonts w:ascii="Gilroy" w:hAnsi="Gilroy"/>
          <w:sz w:val="18"/>
          <w:szCs w:val="18"/>
        </w:rPr>
        <w:t xml:space="preserve"> Privacy International, ‘UK awards £1.7 billion in coronavirus-related contracts’, 4 June 2020</w:t>
      </w:r>
      <w:r w:rsidR="00B1621D" w:rsidRPr="002A5655">
        <w:rPr>
          <w:rFonts w:ascii="Gilroy" w:hAnsi="Gilroy"/>
          <w:sz w:val="18"/>
          <w:szCs w:val="18"/>
        </w:rPr>
        <w:t xml:space="preserve">, </w:t>
      </w:r>
      <w:hyperlink r:id="rId44" w:history="1">
        <w:r w:rsidR="00B1621D" w:rsidRPr="002A5655">
          <w:rPr>
            <w:rStyle w:val="Hyperlink"/>
            <w:rFonts w:ascii="Gilroy" w:hAnsi="Gilroy"/>
            <w:sz w:val="18"/>
            <w:szCs w:val="18"/>
          </w:rPr>
          <w:t>https://privacyinternational.org/examples/4032/uk-awards-ps17-billion-coronavirus-related-contracts</w:t>
        </w:r>
      </w:hyperlink>
      <w:r w:rsidRPr="002A5655">
        <w:rPr>
          <w:rFonts w:ascii="Gilroy" w:hAnsi="Gilroy"/>
          <w:sz w:val="18"/>
          <w:szCs w:val="18"/>
        </w:rPr>
        <w:t xml:space="preserve"> </w:t>
      </w:r>
    </w:p>
  </w:footnote>
  <w:footnote w:id="39">
    <w:p w14:paraId="6A284392"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9A0A39" w:rsidRPr="002A5655">
        <w:rPr>
          <w:rFonts w:ascii="Gilroy" w:hAnsi="Gilroy"/>
          <w:sz w:val="18"/>
          <w:szCs w:val="18"/>
        </w:rPr>
        <w:t>Digital Health, ‘Palantir’s road to the Federated Data Platform contract: a timeline’,</w:t>
      </w:r>
      <w:r w:rsidR="009A0A39" w:rsidRPr="002A5655">
        <w:rPr>
          <w:rFonts w:ascii="Gilroy" w:hAnsi="Gilroy"/>
          <w:b/>
          <w:bCs/>
          <w:sz w:val="18"/>
          <w:szCs w:val="18"/>
        </w:rPr>
        <w:t xml:space="preserve"> </w:t>
      </w:r>
      <w:r w:rsidR="009A0A39" w:rsidRPr="002A5655">
        <w:rPr>
          <w:rFonts w:ascii="Gilroy" w:hAnsi="Gilroy"/>
          <w:sz w:val="18"/>
          <w:szCs w:val="18"/>
        </w:rPr>
        <w:t>21 November 2023</w:t>
      </w:r>
      <w:r w:rsidR="00B1621D" w:rsidRPr="002A5655">
        <w:rPr>
          <w:rFonts w:ascii="Gilroy" w:hAnsi="Gilroy"/>
          <w:b/>
          <w:bCs/>
          <w:sz w:val="18"/>
          <w:szCs w:val="18"/>
        </w:rPr>
        <w:t>,</w:t>
      </w:r>
      <w:r w:rsidR="009A0A39" w:rsidRPr="002A5655">
        <w:rPr>
          <w:rFonts w:ascii="Gilroy" w:hAnsi="Gilroy"/>
          <w:sz w:val="18"/>
          <w:szCs w:val="18"/>
        </w:rPr>
        <w:t xml:space="preserve"> </w:t>
      </w:r>
      <w:hyperlink r:id="rId45" w:history="1">
        <w:r w:rsidRPr="002A5655">
          <w:rPr>
            <w:rStyle w:val="Hyperlink"/>
            <w:rFonts w:ascii="Gilroy" w:hAnsi="Gilroy"/>
            <w:sz w:val="18"/>
            <w:szCs w:val="18"/>
          </w:rPr>
          <w:t>https://www.digitalhealth.net/2023/11/palantirs-road-to-the-federated-data-platform-contract-a-timeline/</w:t>
        </w:r>
      </w:hyperlink>
      <w:r w:rsidRPr="002A5655">
        <w:rPr>
          <w:rFonts w:ascii="Gilroy" w:hAnsi="Gilroy"/>
          <w:sz w:val="18"/>
          <w:szCs w:val="18"/>
        </w:rPr>
        <w:t xml:space="preserve"> </w:t>
      </w:r>
    </w:p>
  </w:footnote>
  <w:footnote w:id="40">
    <w:p w14:paraId="3019A3CA" w14:textId="54EE8412"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2A5655" w:rsidRPr="002A5655">
        <w:rPr>
          <w:rFonts w:ascii="Gilroy" w:hAnsi="Gilroy"/>
          <w:sz w:val="18"/>
          <w:szCs w:val="18"/>
        </w:rPr>
        <w:t xml:space="preserve">See: </w:t>
      </w:r>
      <w:hyperlink r:id="rId46" w:history="1">
        <w:r w:rsidR="002A5655" w:rsidRPr="002A5655">
          <w:rPr>
            <w:rStyle w:val="Hyperlink"/>
            <w:rFonts w:ascii="Gilroy" w:hAnsi="Gilroy"/>
            <w:sz w:val="18"/>
            <w:szCs w:val="18"/>
          </w:rPr>
          <w:t>https://www.palantir.com/uk/</w:t>
        </w:r>
      </w:hyperlink>
      <w:r w:rsidR="002A5655" w:rsidRPr="002A5655">
        <w:rPr>
          <w:rFonts w:ascii="Gilroy" w:hAnsi="Gilroy"/>
          <w:sz w:val="18"/>
          <w:szCs w:val="18"/>
        </w:rPr>
        <w:t xml:space="preserve">; </w:t>
      </w:r>
      <w:r w:rsidR="009A0A39" w:rsidRPr="002A5655">
        <w:rPr>
          <w:rFonts w:ascii="Gilroy" w:hAnsi="Gilroy"/>
          <w:sz w:val="18"/>
          <w:szCs w:val="18"/>
        </w:rPr>
        <w:t xml:space="preserve">Amnesty International, </w:t>
      </w:r>
      <w:r w:rsidR="00754231" w:rsidRPr="002A5655">
        <w:rPr>
          <w:rFonts w:ascii="Gilroy" w:hAnsi="Gilroy"/>
          <w:sz w:val="18"/>
          <w:szCs w:val="18"/>
        </w:rPr>
        <w:t>‘</w:t>
      </w:r>
      <w:r w:rsidR="009A0A39" w:rsidRPr="002A5655">
        <w:rPr>
          <w:rFonts w:ascii="Gilroy" w:hAnsi="Gilroy"/>
          <w:sz w:val="18"/>
          <w:szCs w:val="18"/>
        </w:rPr>
        <w:t>F</w:t>
      </w:r>
      <w:r w:rsidR="00754231" w:rsidRPr="002A5655">
        <w:rPr>
          <w:rFonts w:ascii="Gilroy" w:hAnsi="Gilroy"/>
          <w:sz w:val="18"/>
          <w:szCs w:val="18"/>
        </w:rPr>
        <w:t>ailing to do Rights: The Urgent Need for Palantir to Respect Human Rights’</w:t>
      </w:r>
      <w:r w:rsidR="009A0A39" w:rsidRPr="002A5655">
        <w:rPr>
          <w:rFonts w:ascii="Gilroy" w:hAnsi="Gilroy"/>
          <w:sz w:val="18"/>
          <w:szCs w:val="18"/>
        </w:rPr>
        <w:t>, September 2020</w:t>
      </w:r>
      <w:r w:rsidR="00B1621D" w:rsidRPr="002A5655">
        <w:rPr>
          <w:rFonts w:ascii="Gilroy" w:hAnsi="Gilroy"/>
          <w:sz w:val="18"/>
          <w:szCs w:val="18"/>
        </w:rPr>
        <w:t>,</w:t>
      </w:r>
      <w:r w:rsidR="009A0A39" w:rsidRPr="002A5655">
        <w:rPr>
          <w:rFonts w:ascii="Gilroy" w:hAnsi="Gilroy"/>
          <w:sz w:val="18"/>
          <w:szCs w:val="18"/>
        </w:rPr>
        <w:t xml:space="preserve"> </w:t>
      </w:r>
      <w:hyperlink r:id="rId47" w:history="1">
        <w:r w:rsidR="00754231" w:rsidRPr="002A5655">
          <w:rPr>
            <w:rStyle w:val="Hyperlink"/>
            <w:rFonts w:ascii="Gilroy" w:hAnsi="Gilroy"/>
            <w:sz w:val="18"/>
            <w:szCs w:val="18"/>
          </w:rPr>
          <w:t>https://www.amnestyusa.org/wp-content/uploads/2020/09/Amnest-International-Palantir-Briefing-Report-092520_Final.pdf</w:t>
        </w:r>
      </w:hyperlink>
      <w:r w:rsidR="002A5655" w:rsidRPr="002A5655">
        <w:rPr>
          <w:rStyle w:val="Hyperlink"/>
          <w:rFonts w:ascii="Gilroy" w:hAnsi="Gilroy"/>
          <w:sz w:val="18"/>
          <w:szCs w:val="18"/>
        </w:rPr>
        <w:t>.</w:t>
      </w:r>
      <w:r w:rsidRPr="002A5655">
        <w:rPr>
          <w:rFonts w:ascii="Gilroy" w:hAnsi="Gilroy"/>
          <w:sz w:val="18"/>
          <w:szCs w:val="18"/>
        </w:rPr>
        <w:t xml:space="preserve"> </w:t>
      </w:r>
    </w:p>
  </w:footnote>
  <w:footnote w:id="41">
    <w:p w14:paraId="62AD43CA" w14:textId="77777777" w:rsidR="006F5A33" w:rsidRPr="002A5655" w:rsidRDefault="006F5A33">
      <w:pPr>
        <w:pStyle w:val="FootnoteText"/>
        <w:rPr>
          <w:rFonts w:ascii="Gilroy" w:hAnsi="Gilroy"/>
          <w:sz w:val="18"/>
          <w:szCs w:val="18"/>
        </w:rPr>
      </w:pPr>
      <w:r w:rsidRPr="002A5655">
        <w:rPr>
          <w:rStyle w:val="FootnoteReference"/>
          <w:rFonts w:ascii="Gilroy" w:hAnsi="Gilroy"/>
          <w:sz w:val="18"/>
          <w:szCs w:val="18"/>
        </w:rPr>
        <w:footnoteRef/>
      </w:r>
      <w:r w:rsidR="00B1621D" w:rsidRPr="002A5655">
        <w:rPr>
          <w:rFonts w:ascii="Gilroy" w:hAnsi="Gilroy"/>
          <w:sz w:val="18"/>
          <w:szCs w:val="18"/>
        </w:rPr>
        <w:t xml:space="preserve"> See:</w:t>
      </w:r>
      <w:r w:rsidRPr="002A5655">
        <w:rPr>
          <w:rFonts w:ascii="Gilroy" w:hAnsi="Gilroy"/>
          <w:sz w:val="18"/>
          <w:szCs w:val="18"/>
        </w:rPr>
        <w:t xml:space="preserve"> </w:t>
      </w:r>
      <w:hyperlink r:id="rId48" w:history="1">
        <w:r w:rsidRPr="002A5655">
          <w:rPr>
            <w:rStyle w:val="Hyperlink"/>
            <w:rFonts w:ascii="Gilroy" w:hAnsi="Gilroy"/>
            <w:sz w:val="18"/>
            <w:szCs w:val="18"/>
          </w:rPr>
          <w:t>https://privacyinternational.org/examples/5299/controversial-data-analytics-firm-palantir-run-uks-health-data-platform</w:t>
        </w:r>
      </w:hyperlink>
      <w:r w:rsidRPr="002A5655">
        <w:rPr>
          <w:rFonts w:ascii="Gilroy" w:hAnsi="Gilroy"/>
          <w:sz w:val="18"/>
          <w:szCs w:val="18"/>
        </w:rPr>
        <w:t xml:space="preserve"> &amp; </w:t>
      </w:r>
      <w:hyperlink r:id="rId49" w:history="1">
        <w:r w:rsidRPr="002A5655">
          <w:rPr>
            <w:rStyle w:val="Hyperlink"/>
            <w:rFonts w:ascii="Gilroy" w:hAnsi="Gilroy"/>
            <w:sz w:val="18"/>
            <w:szCs w:val="18"/>
          </w:rPr>
          <w:t>https://www.theguardian.com/society/2023/nov/21/patient-privacy-fears-us-spy-tech-firm-palantir-wins-nhs-contract</w:t>
        </w:r>
      </w:hyperlink>
      <w:r w:rsidRPr="002A5655">
        <w:rPr>
          <w:rFonts w:ascii="Gilroy" w:hAnsi="Gilroy"/>
          <w:sz w:val="18"/>
          <w:szCs w:val="18"/>
        </w:rPr>
        <w:t xml:space="preserve"> </w:t>
      </w:r>
    </w:p>
  </w:footnote>
  <w:footnote w:id="42">
    <w:p w14:paraId="42729386" w14:textId="6B3F29F8" w:rsidR="00ED6FC8" w:rsidRPr="002A5655" w:rsidRDefault="00ED6FC8" w:rsidP="00ED6FC8">
      <w:pPr>
        <w:pStyle w:val="FootnoteText"/>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w:t>
      </w:r>
      <w:r w:rsidR="002A5655" w:rsidRPr="002A5655">
        <w:rPr>
          <w:rFonts w:ascii="Gilroy" w:hAnsi="Gilroy"/>
          <w:sz w:val="18"/>
          <w:szCs w:val="18"/>
        </w:rPr>
        <w:t xml:space="preserve">Digital Health, ‘Palantir CEO acknowledges FDP could aid NHS data being sold in future’, 30 October 2023, </w:t>
      </w:r>
      <w:hyperlink r:id="rId50" w:history="1">
        <w:r w:rsidR="002A5655" w:rsidRPr="002A5655">
          <w:rPr>
            <w:rStyle w:val="Hyperlink"/>
            <w:rFonts w:ascii="Gilroy" w:hAnsi="Gilroy"/>
            <w:sz w:val="18"/>
            <w:szCs w:val="18"/>
          </w:rPr>
          <w:t>https://www.digitalhealth.net/2023/10/palantir-ceo-acknowledges-fdp-could-aid-nhs-data-being-sold-in-future/</w:t>
        </w:r>
      </w:hyperlink>
      <w:r w:rsidR="002A5655" w:rsidRPr="002A5655">
        <w:rPr>
          <w:rFonts w:ascii="Gilroy" w:hAnsi="Gilroy"/>
          <w:sz w:val="18"/>
          <w:szCs w:val="18"/>
        </w:rPr>
        <w:t xml:space="preserve">; </w:t>
      </w:r>
      <w:r w:rsidR="00754231" w:rsidRPr="002A5655">
        <w:rPr>
          <w:rFonts w:ascii="Gilroy" w:hAnsi="Gilroy"/>
          <w:sz w:val="18"/>
          <w:szCs w:val="18"/>
        </w:rPr>
        <w:t>HSJ, ‘Exclusive: AI models to be trained on Federated Data Platform’, 10 December 2024</w:t>
      </w:r>
      <w:r w:rsidR="00B1621D" w:rsidRPr="002A5655">
        <w:rPr>
          <w:rFonts w:ascii="Gilroy" w:hAnsi="Gilroy"/>
          <w:sz w:val="18"/>
          <w:szCs w:val="18"/>
        </w:rPr>
        <w:t>,</w:t>
      </w:r>
      <w:r w:rsidRPr="002A5655">
        <w:rPr>
          <w:rFonts w:ascii="Gilroy" w:hAnsi="Gilroy"/>
          <w:sz w:val="18"/>
          <w:szCs w:val="18"/>
        </w:rPr>
        <w:t xml:space="preserve"> </w:t>
      </w:r>
      <w:hyperlink r:id="rId51" w:history="1">
        <w:r w:rsidRPr="002A5655">
          <w:rPr>
            <w:rStyle w:val="Hyperlink"/>
            <w:rFonts w:ascii="Gilroy" w:hAnsi="Gilroy"/>
            <w:sz w:val="18"/>
            <w:szCs w:val="18"/>
          </w:rPr>
          <w:t>https://www.hsj.co.uk/technology-and-innovation/exclusive-ai-models-to-be-trained-on-federated-data-platform/7038320.article</w:t>
        </w:r>
      </w:hyperlink>
      <w:r w:rsidR="002A5655" w:rsidRPr="002A5655">
        <w:rPr>
          <w:rStyle w:val="Hyperlink"/>
          <w:rFonts w:ascii="Gilroy" w:hAnsi="Gilroy"/>
          <w:sz w:val="18"/>
          <w:szCs w:val="18"/>
        </w:rPr>
        <w:t xml:space="preserve">. </w:t>
      </w:r>
      <w:r w:rsidRPr="002A5655">
        <w:rPr>
          <w:rFonts w:ascii="Gilroy" w:hAnsi="Gilroy"/>
          <w:sz w:val="18"/>
          <w:szCs w:val="18"/>
        </w:rPr>
        <w:t xml:space="preserve"> </w:t>
      </w:r>
    </w:p>
  </w:footnote>
  <w:footnote w:id="43">
    <w:p w14:paraId="409260D5" w14:textId="77777777" w:rsidR="006F5A33" w:rsidRPr="00C47C54" w:rsidRDefault="006F5A33">
      <w:pPr>
        <w:pStyle w:val="FootnoteText"/>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Good Law Project, ‘Case: We’re taking legal action to uncover Palantir’s blanked-out contract’</w:t>
      </w:r>
      <w:r w:rsidR="00B1621D" w:rsidRPr="002A5655">
        <w:rPr>
          <w:rFonts w:ascii="Gilroy" w:hAnsi="Gilroy"/>
          <w:sz w:val="18"/>
          <w:szCs w:val="18"/>
        </w:rPr>
        <w:t xml:space="preserve">, </w:t>
      </w:r>
      <w:hyperlink r:id="rId52" w:history="1">
        <w:r w:rsidR="00B1621D" w:rsidRPr="002A5655">
          <w:rPr>
            <w:rStyle w:val="Hyperlink"/>
            <w:rFonts w:ascii="Gilroy" w:hAnsi="Gilroy"/>
            <w:sz w:val="18"/>
            <w:szCs w:val="18"/>
          </w:rPr>
          <w:t>https://goodlawproject.org/case/were-taking-legal-action-to-uncover-palantirs-blanked-out-contract/</w:t>
        </w:r>
      </w:hyperlink>
      <w:r w:rsidR="00B1621D" w:rsidRPr="002A5655">
        <w:rPr>
          <w:rFonts w:ascii="Gilroy" w:hAnsi="Gilroy"/>
          <w:sz w:val="18"/>
          <w:szCs w:val="18"/>
        </w:rPr>
        <w:t>.</w:t>
      </w:r>
      <w:r w:rsidRPr="00C47C54">
        <w:rPr>
          <w:rFonts w:ascii="Gilroy" w:hAnsi="Gilroy"/>
          <w:sz w:val="18"/>
          <w:szCs w:val="18"/>
        </w:rPr>
        <w:t xml:space="preserve"> </w:t>
      </w:r>
    </w:p>
  </w:footnote>
  <w:footnote w:id="44">
    <w:p w14:paraId="04A058CB" w14:textId="77777777" w:rsidR="006F5A33" w:rsidRPr="002A5655" w:rsidRDefault="006F5A33">
      <w:pPr>
        <w:pStyle w:val="FootnoteText"/>
        <w:rPr>
          <w:rFonts w:ascii="Gilroy" w:hAnsi="Gilroy"/>
          <w:b/>
          <w:bCs/>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The Register, ‘Key aspects of Palantir's Federated Data Platform lack legal basis, lawyers tell NHS England’, 5 September 2024</w:t>
      </w:r>
      <w:r w:rsidR="00B1621D" w:rsidRPr="002A5655">
        <w:rPr>
          <w:rFonts w:ascii="Gilroy" w:hAnsi="Gilroy"/>
          <w:sz w:val="18"/>
          <w:szCs w:val="18"/>
        </w:rPr>
        <w:t>,</w:t>
      </w:r>
      <w:r w:rsidR="00754231" w:rsidRPr="002A5655">
        <w:rPr>
          <w:rFonts w:ascii="Gilroy" w:hAnsi="Gilroy"/>
          <w:sz w:val="18"/>
          <w:szCs w:val="18"/>
        </w:rPr>
        <w:t xml:space="preserve"> h</w:t>
      </w:r>
      <w:hyperlink r:id="rId53" w:history="1">
        <w:r w:rsidRPr="002A5655">
          <w:rPr>
            <w:rStyle w:val="Hyperlink"/>
            <w:rFonts w:ascii="Gilroy" w:hAnsi="Gilroy"/>
            <w:sz w:val="18"/>
            <w:szCs w:val="18"/>
          </w:rPr>
          <w:t>ttps://www.theregister.com/2024/09/05/fdp_lacks_legal_basis/</w:t>
        </w:r>
      </w:hyperlink>
      <w:r w:rsidRPr="002A5655">
        <w:rPr>
          <w:rFonts w:ascii="Gilroy" w:hAnsi="Gilroy"/>
          <w:sz w:val="18"/>
          <w:szCs w:val="18"/>
        </w:rPr>
        <w:t xml:space="preserve"> </w:t>
      </w:r>
    </w:p>
  </w:footnote>
  <w:footnote w:id="45">
    <w:p w14:paraId="0C33AC00" w14:textId="443F0C9E" w:rsidR="007E0FF5" w:rsidRPr="002A5655" w:rsidRDefault="007E0FF5">
      <w:pPr>
        <w:pStyle w:val="FootnoteText"/>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w:t>
      </w:r>
      <w:r w:rsidR="002A5655" w:rsidRPr="002A5655">
        <w:rPr>
          <w:rFonts w:ascii="Gilroy" w:hAnsi="Gilroy"/>
          <w:sz w:val="18"/>
          <w:szCs w:val="18"/>
        </w:rPr>
        <w:t xml:space="preserve">See: </w:t>
      </w:r>
      <w:hyperlink r:id="rId54" w:history="1">
        <w:r w:rsidR="002A5655" w:rsidRPr="002A5655">
          <w:rPr>
            <w:rStyle w:val="Hyperlink"/>
            <w:rFonts w:ascii="Gilroy" w:hAnsi="Gilroy"/>
            <w:sz w:val="18"/>
            <w:szCs w:val="18"/>
          </w:rPr>
          <w:t>https://www.iqvia.com/locations/united-kingdom</w:t>
        </w:r>
      </w:hyperlink>
      <w:r w:rsidR="002A5655" w:rsidRPr="002A5655">
        <w:rPr>
          <w:rFonts w:ascii="Gilroy" w:hAnsi="Gilroy"/>
          <w:sz w:val="18"/>
          <w:szCs w:val="18"/>
        </w:rPr>
        <w:t xml:space="preserve"> ; </w:t>
      </w:r>
      <w:r w:rsidR="00754231" w:rsidRPr="002A5655">
        <w:rPr>
          <w:rFonts w:ascii="Gilroy" w:hAnsi="Gilroy"/>
          <w:sz w:val="18"/>
          <w:szCs w:val="18"/>
        </w:rPr>
        <w:t>See</w:t>
      </w:r>
      <w:r w:rsidR="00B1621D" w:rsidRPr="002A5655">
        <w:rPr>
          <w:rFonts w:ascii="Gilroy" w:hAnsi="Gilroy"/>
          <w:sz w:val="18"/>
          <w:szCs w:val="18"/>
        </w:rPr>
        <w:t>:</w:t>
      </w:r>
      <w:r w:rsidRPr="002A5655">
        <w:rPr>
          <w:rFonts w:ascii="Gilroy" w:hAnsi="Gilroy"/>
          <w:sz w:val="18"/>
          <w:szCs w:val="18"/>
        </w:rPr>
        <w:t xml:space="preserve"> </w:t>
      </w:r>
      <w:hyperlink r:id="rId55" w:history="1">
        <w:r w:rsidRPr="002A5655">
          <w:rPr>
            <w:rStyle w:val="Hyperlink"/>
            <w:rFonts w:ascii="Gilroy" w:hAnsi="Gilroy"/>
            <w:sz w:val="18"/>
            <w:szCs w:val="18"/>
          </w:rPr>
          <w:t>https://www.progress.org.uk/uk-biobank-will-be-able-to-access-participants-gp-data/</w:t>
        </w:r>
      </w:hyperlink>
      <w:r w:rsidR="002A5655" w:rsidRPr="002A5655">
        <w:rPr>
          <w:rStyle w:val="Hyperlink"/>
          <w:rFonts w:ascii="Gilroy" w:hAnsi="Gilroy"/>
          <w:sz w:val="18"/>
          <w:szCs w:val="18"/>
        </w:rPr>
        <w:t xml:space="preserve">. </w:t>
      </w:r>
      <w:r w:rsidRPr="002A5655">
        <w:rPr>
          <w:rFonts w:ascii="Gilroy" w:hAnsi="Gilroy"/>
          <w:sz w:val="18"/>
          <w:szCs w:val="18"/>
        </w:rPr>
        <w:t xml:space="preserve"> </w:t>
      </w:r>
    </w:p>
  </w:footnote>
  <w:footnote w:id="46">
    <w:p w14:paraId="355A4402" w14:textId="77777777" w:rsidR="007E0FF5" w:rsidRPr="002A5655" w:rsidRDefault="007E0FF5">
      <w:pPr>
        <w:pStyle w:val="FootnoteText"/>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w:t>
      </w:r>
      <w:r w:rsidR="00935C1B" w:rsidRPr="002A5655">
        <w:rPr>
          <w:rFonts w:ascii="Gilroy" w:hAnsi="Gilroy"/>
          <w:sz w:val="18"/>
          <w:szCs w:val="18"/>
        </w:rPr>
        <w:t>See</w:t>
      </w:r>
      <w:r w:rsidR="00B1621D" w:rsidRPr="002A5655">
        <w:rPr>
          <w:rFonts w:ascii="Gilroy" w:hAnsi="Gilroy"/>
          <w:sz w:val="18"/>
          <w:szCs w:val="18"/>
        </w:rPr>
        <w:t>:</w:t>
      </w:r>
      <w:r w:rsidR="00935C1B" w:rsidRPr="002A5655">
        <w:rPr>
          <w:rFonts w:ascii="Gilroy" w:hAnsi="Gilroy"/>
          <w:sz w:val="18"/>
          <w:szCs w:val="18"/>
        </w:rPr>
        <w:t xml:space="preserve"> </w:t>
      </w:r>
      <w:hyperlink r:id="rId56" w:history="1">
        <w:r w:rsidRPr="002A5655">
          <w:rPr>
            <w:rStyle w:val="Hyperlink"/>
            <w:rFonts w:ascii="Gilroy" w:hAnsi="Gilroy"/>
            <w:sz w:val="18"/>
            <w:szCs w:val="18"/>
          </w:rPr>
          <w:t>https://www.theguardian.com/technology/2023/nov/12/private-uk-health-data-donated-medical-research-shared-insurance-companies</w:t>
        </w:r>
      </w:hyperlink>
      <w:r w:rsidRPr="002A5655">
        <w:rPr>
          <w:rFonts w:ascii="Gilroy" w:hAnsi="Gilroy"/>
          <w:sz w:val="18"/>
          <w:szCs w:val="18"/>
        </w:rPr>
        <w:t xml:space="preserve"> </w:t>
      </w:r>
    </w:p>
  </w:footnote>
  <w:footnote w:id="47">
    <w:p w14:paraId="62EFC98E" w14:textId="77777777" w:rsidR="007E0FF5" w:rsidRPr="002A5655" w:rsidRDefault="007E0FF5">
      <w:pPr>
        <w:pStyle w:val="FootnoteText"/>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w:t>
      </w:r>
      <w:r w:rsidR="00935C1B" w:rsidRPr="002A5655">
        <w:rPr>
          <w:rFonts w:ascii="Gilroy" w:hAnsi="Gilroy"/>
          <w:sz w:val="18"/>
          <w:szCs w:val="18"/>
        </w:rPr>
        <w:t>See</w:t>
      </w:r>
      <w:r w:rsidR="00B1621D" w:rsidRPr="002A5655">
        <w:rPr>
          <w:rFonts w:ascii="Gilroy" w:hAnsi="Gilroy"/>
          <w:sz w:val="18"/>
          <w:szCs w:val="18"/>
        </w:rPr>
        <w:t>:</w:t>
      </w:r>
      <w:r w:rsidR="00935C1B" w:rsidRPr="002A5655">
        <w:rPr>
          <w:rFonts w:ascii="Gilroy" w:hAnsi="Gilroy"/>
          <w:sz w:val="18"/>
          <w:szCs w:val="18"/>
        </w:rPr>
        <w:t xml:space="preserve"> </w:t>
      </w:r>
      <w:hyperlink r:id="rId57" w:history="1">
        <w:r w:rsidRPr="002A5655">
          <w:rPr>
            <w:rStyle w:val="Hyperlink"/>
            <w:rFonts w:ascii="Gilroy" w:hAnsi="Gilroy"/>
            <w:sz w:val="18"/>
            <w:szCs w:val="18"/>
          </w:rPr>
          <w:t>https://www.theguardian.com/world/2024/oct/17/race-science-group-say-they-accessed-sensitive-uk-health-data</w:t>
        </w:r>
      </w:hyperlink>
      <w:r w:rsidRPr="002A5655">
        <w:rPr>
          <w:rFonts w:ascii="Gilroy" w:hAnsi="Gilroy"/>
          <w:sz w:val="18"/>
          <w:szCs w:val="18"/>
        </w:rPr>
        <w:t xml:space="preserve"> </w:t>
      </w:r>
    </w:p>
  </w:footnote>
  <w:footnote w:id="48">
    <w:p w14:paraId="24143BB5" w14:textId="77777777" w:rsidR="007E0FF5" w:rsidRPr="002A5655" w:rsidRDefault="007E0FF5" w:rsidP="007E0FF5">
      <w:pPr>
        <w:rPr>
          <w:rFonts w:ascii="Gilroy" w:hAnsi="Gilroy"/>
          <w:sz w:val="18"/>
          <w:szCs w:val="18"/>
        </w:rPr>
      </w:pPr>
      <w:r w:rsidRPr="002A5655">
        <w:rPr>
          <w:rStyle w:val="FootnoteReference"/>
          <w:rFonts w:ascii="Gilroy" w:hAnsi="Gilroy"/>
          <w:sz w:val="18"/>
          <w:szCs w:val="18"/>
        </w:rPr>
        <w:footnoteRef/>
      </w:r>
      <w:r w:rsidR="00754231" w:rsidRPr="002A5655">
        <w:rPr>
          <w:rFonts w:ascii="Gilroy" w:hAnsi="Gilroy"/>
          <w:sz w:val="18"/>
          <w:szCs w:val="18"/>
        </w:rPr>
        <w:t xml:space="preserve"> See</w:t>
      </w:r>
      <w:r w:rsidR="00B1621D" w:rsidRPr="002A5655">
        <w:rPr>
          <w:rFonts w:ascii="Gilroy" w:hAnsi="Gilroy"/>
          <w:sz w:val="18"/>
          <w:szCs w:val="18"/>
        </w:rPr>
        <w:t>:</w:t>
      </w:r>
      <w:r w:rsidRPr="002A5655">
        <w:rPr>
          <w:rFonts w:ascii="Gilroy" w:hAnsi="Gilroy"/>
          <w:sz w:val="18"/>
          <w:szCs w:val="18"/>
        </w:rPr>
        <w:t xml:space="preserve"> </w:t>
      </w:r>
      <w:hyperlink r:id="rId58" w:history="1">
        <w:r w:rsidRPr="002A5655">
          <w:rPr>
            <w:rStyle w:val="Hyperlink"/>
            <w:rFonts w:ascii="Gilroy" w:hAnsi="Gilroy"/>
            <w:sz w:val="18"/>
            <w:szCs w:val="18"/>
          </w:rPr>
          <w:t>https://www.bbc.co.uk/news/technology-67624182</w:t>
        </w:r>
      </w:hyperlink>
      <w:r w:rsidRPr="002A5655">
        <w:rPr>
          <w:rFonts w:ascii="Gilroy" w:hAnsi="Gilroy"/>
          <w:sz w:val="18"/>
          <w:szCs w:val="18"/>
        </w:rPr>
        <w:t xml:space="preserve"> </w:t>
      </w:r>
    </w:p>
  </w:footnote>
  <w:footnote w:id="49">
    <w:p w14:paraId="3743508B" w14:textId="77777777" w:rsidR="007E0FF5" w:rsidRPr="002A5655" w:rsidRDefault="007E0FF5">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w:t>
      </w:r>
      <w:r w:rsidR="00754231" w:rsidRPr="002A5655">
        <w:rPr>
          <w:rFonts w:ascii="Gilroy" w:hAnsi="Gilroy"/>
          <w:sz w:val="18"/>
          <w:szCs w:val="18"/>
        </w:rPr>
        <w:t>See</w:t>
      </w:r>
      <w:r w:rsidR="00B1621D" w:rsidRPr="002A5655">
        <w:rPr>
          <w:rFonts w:ascii="Gilroy" w:hAnsi="Gilroy"/>
          <w:sz w:val="18"/>
          <w:szCs w:val="18"/>
        </w:rPr>
        <w:t>:</w:t>
      </w:r>
      <w:r w:rsidR="00754231" w:rsidRPr="002A5655">
        <w:rPr>
          <w:rFonts w:ascii="Gilroy" w:hAnsi="Gilroy"/>
          <w:sz w:val="18"/>
          <w:szCs w:val="18"/>
        </w:rPr>
        <w:t xml:space="preserve"> </w:t>
      </w:r>
      <w:hyperlink r:id="rId59" w:history="1">
        <w:r w:rsidR="00754231" w:rsidRPr="002A5655">
          <w:rPr>
            <w:rStyle w:val="Hyperlink"/>
            <w:rFonts w:ascii="Gilroy" w:hAnsi="Gilroy"/>
            <w:sz w:val="18"/>
            <w:szCs w:val="18"/>
          </w:rPr>
          <w:t>https://www.bbc.co.uk/news/articles/cz7wl7rpndjo</w:t>
        </w:r>
      </w:hyperlink>
      <w:r w:rsidRPr="002A5655">
        <w:rPr>
          <w:rFonts w:ascii="Gilroy" w:hAnsi="Gilroy"/>
          <w:sz w:val="18"/>
          <w:szCs w:val="18"/>
        </w:rPr>
        <w:t xml:space="preserve"> </w:t>
      </w:r>
    </w:p>
  </w:footnote>
  <w:footnote w:id="50">
    <w:p w14:paraId="64BECBCD" w14:textId="4F64F82C" w:rsidR="002A5655" w:rsidRPr="002A5655" w:rsidRDefault="002A5655">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See: </w:t>
      </w:r>
      <w:hyperlink r:id="rId60" w:history="1">
        <w:r w:rsidRPr="002A5655">
          <w:rPr>
            <w:rStyle w:val="Hyperlink"/>
            <w:rFonts w:ascii="Gilroy" w:hAnsi="Gilroy"/>
            <w:sz w:val="18"/>
            <w:szCs w:val="18"/>
          </w:rPr>
          <w:t>https://www.bbc.co.uk/news/articles/cxee3glz2pyo</w:t>
        </w:r>
      </w:hyperlink>
    </w:p>
  </w:footnote>
  <w:footnote w:id="51">
    <w:p w14:paraId="39171D51" w14:textId="77777777" w:rsidR="00935C1B" w:rsidRPr="002A5655" w:rsidRDefault="007E0FF5" w:rsidP="00935C1B">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A/HRC/53/65 Human Rights Council, ‘Report of the Special Rapporteur on the right of everyone to the</w:t>
      </w:r>
    </w:p>
    <w:p w14:paraId="46CC757B" w14:textId="77777777" w:rsidR="007E0FF5" w:rsidRPr="002A5655" w:rsidRDefault="00935C1B" w:rsidP="00935C1B">
      <w:pPr>
        <w:pStyle w:val="FootnoteText"/>
        <w:rPr>
          <w:rFonts w:ascii="Gilroy" w:hAnsi="Gilroy"/>
          <w:sz w:val="18"/>
          <w:szCs w:val="18"/>
        </w:rPr>
      </w:pPr>
      <w:r w:rsidRPr="002A5655">
        <w:rPr>
          <w:rFonts w:ascii="Gilroy" w:hAnsi="Gilroy"/>
          <w:sz w:val="18"/>
          <w:szCs w:val="18"/>
        </w:rPr>
        <w:t>enjoyment of the highest attainable standard of physical and mental health’, 21 April 2023</w:t>
      </w:r>
      <w:r w:rsidR="00B1621D" w:rsidRPr="002A5655">
        <w:rPr>
          <w:rFonts w:ascii="Gilroy" w:hAnsi="Gilroy"/>
          <w:sz w:val="18"/>
          <w:szCs w:val="18"/>
        </w:rPr>
        <w:t>,</w:t>
      </w:r>
      <w:r w:rsidRPr="002A5655">
        <w:rPr>
          <w:rFonts w:ascii="Gilroy" w:hAnsi="Gilroy"/>
          <w:sz w:val="18"/>
          <w:szCs w:val="18"/>
        </w:rPr>
        <w:t xml:space="preserve"> </w:t>
      </w:r>
      <w:hyperlink r:id="rId61" w:history="1">
        <w:r w:rsidRPr="002A5655">
          <w:rPr>
            <w:rStyle w:val="Hyperlink"/>
            <w:rFonts w:ascii="Gilroy" w:hAnsi="Gilroy"/>
            <w:sz w:val="18"/>
            <w:szCs w:val="18"/>
          </w:rPr>
          <w:t>https://www.ohchr.org/en/documents/thematic-reports/ahrc5365-digital-innovation-technologies-and-right-health</w:t>
        </w:r>
      </w:hyperlink>
      <w:r w:rsidR="007E0FF5" w:rsidRPr="002A5655">
        <w:rPr>
          <w:rFonts w:ascii="Gilroy" w:hAnsi="Gilroy"/>
          <w:sz w:val="18"/>
          <w:szCs w:val="18"/>
        </w:rPr>
        <w:t xml:space="preserve"> </w:t>
      </w:r>
    </w:p>
  </w:footnote>
  <w:footnote w:id="52">
    <w:p w14:paraId="6EA984C1" w14:textId="5CE42A16" w:rsidR="007E21E0" w:rsidRPr="00935C1B" w:rsidRDefault="007E21E0">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Open Knowledge, ‘Open Knowledge Justice Programme challenges the use of algorithmic proctoring apps’, 26 February 2021</w:t>
      </w:r>
      <w:r w:rsidR="00B1621D" w:rsidRPr="002A5655">
        <w:rPr>
          <w:rFonts w:ascii="Gilroy" w:hAnsi="Gilroy"/>
          <w:sz w:val="18"/>
          <w:szCs w:val="18"/>
        </w:rPr>
        <w:t>,</w:t>
      </w:r>
      <w:r w:rsidRPr="002A5655">
        <w:rPr>
          <w:rFonts w:ascii="Gilroy" w:hAnsi="Gilroy"/>
          <w:sz w:val="18"/>
          <w:szCs w:val="18"/>
        </w:rPr>
        <w:t xml:space="preserve"> </w:t>
      </w:r>
      <w:hyperlink r:id="rId62" w:history="1">
        <w:r w:rsidRPr="002A5655">
          <w:rPr>
            <w:rStyle w:val="Hyperlink"/>
            <w:rFonts w:ascii="Gilroy" w:hAnsi="Gilroy"/>
            <w:sz w:val="18"/>
            <w:szCs w:val="18"/>
          </w:rPr>
          <w:t>https://blog.okfn.org/2021/02/26/open-knowledge-justice-programme-challenges-the-use-of-algorithmic-proctoring-apps/</w:t>
        </w:r>
      </w:hyperlink>
      <w:r w:rsidR="00B1621D" w:rsidRPr="002A5655">
        <w:rPr>
          <w:rFonts w:ascii="Gilroy" w:hAnsi="Gilroy"/>
          <w:sz w:val="18"/>
          <w:szCs w:val="18"/>
        </w:rPr>
        <w:t>.</w:t>
      </w:r>
      <w:r w:rsidRPr="00935C1B">
        <w:rPr>
          <w:rFonts w:ascii="Gilroy" w:hAnsi="Gilroy"/>
          <w:sz w:val="18"/>
          <w:szCs w:val="18"/>
        </w:rPr>
        <w:t xml:space="preserve"> </w:t>
      </w:r>
    </w:p>
  </w:footnote>
  <w:footnote w:id="53">
    <w:p w14:paraId="03E4E5FC" w14:textId="754219AD" w:rsidR="002A5655" w:rsidRPr="002A5655" w:rsidRDefault="002A5655">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Frontiers in Education, ‘Racial, skin tone, and sex disparities in automated proctoring software’, 20 September 2022, </w:t>
      </w:r>
      <w:hyperlink r:id="rId63" w:history="1">
        <w:r w:rsidRPr="002A5655">
          <w:rPr>
            <w:rStyle w:val="Hyperlink"/>
            <w:rFonts w:ascii="Gilroy" w:hAnsi="Gilroy"/>
            <w:sz w:val="18"/>
            <w:szCs w:val="18"/>
          </w:rPr>
          <w:t>https://www.frontiersin.org/journals/education/articles/10.3389/feduc.2022.881449/full</w:t>
        </w:r>
      </w:hyperlink>
      <w:r w:rsidRPr="002A5655">
        <w:rPr>
          <w:rFonts w:ascii="Gilroy" w:hAnsi="Gilroy"/>
          <w:sz w:val="18"/>
          <w:szCs w:val="18"/>
        </w:rPr>
        <w:t>.</w:t>
      </w:r>
    </w:p>
  </w:footnote>
  <w:footnote w:id="54">
    <w:p w14:paraId="0FFA710D" w14:textId="034DE943" w:rsidR="002A5655" w:rsidRPr="002A5655" w:rsidRDefault="002A5655">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Open Knowledge, ‘Open Knowledge Justice Programme challenges the use of algorithmic proctoring apps’, 26 February 2021,  </w:t>
      </w:r>
      <w:hyperlink r:id="rId64" w:history="1">
        <w:r w:rsidRPr="002A5655">
          <w:rPr>
            <w:rStyle w:val="Hyperlink"/>
            <w:rFonts w:ascii="Gilroy" w:hAnsi="Gilroy"/>
            <w:sz w:val="18"/>
            <w:szCs w:val="18"/>
          </w:rPr>
          <w:t>https://blog.okfn.org/2021/02/26/open-knowledge-justice-programme-challenges-the-use-of-algorithmic-proctoring-apps/</w:t>
        </w:r>
      </w:hyperlink>
      <w:r w:rsidRPr="002A5655">
        <w:rPr>
          <w:rFonts w:ascii="Gilroy" w:hAnsi="Gilroy"/>
          <w:sz w:val="18"/>
          <w:szCs w:val="18"/>
        </w:rPr>
        <w:t>.</w:t>
      </w:r>
    </w:p>
  </w:footnote>
  <w:footnote w:id="55">
    <w:p w14:paraId="480BA6FD" w14:textId="77777777" w:rsidR="007E21E0" w:rsidRPr="002A5655" w:rsidRDefault="007E21E0">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The New York Times, ‘How It Feels When Software Watches You Take Tests’</w:t>
      </w:r>
      <w:r w:rsidR="00B1621D" w:rsidRPr="002A5655">
        <w:rPr>
          <w:rFonts w:ascii="Gilroy" w:hAnsi="Gilroy"/>
          <w:sz w:val="18"/>
          <w:szCs w:val="18"/>
        </w:rPr>
        <w:t xml:space="preserve">, </w:t>
      </w:r>
      <w:hyperlink r:id="rId65" w:history="1">
        <w:r w:rsidR="00B1621D" w:rsidRPr="002A5655">
          <w:rPr>
            <w:rStyle w:val="Hyperlink"/>
            <w:rFonts w:ascii="Gilroy" w:hAnsi="Gilroy"/>
            <w:sz w:val="18"/>
            <w:szCs w:val="18"/>
          </w:rPr>
          <w:t>https://www.nytimes.com/2020/09/29/style/testing-schools-proctorio.html</w:t>
        </w:r>
      </w:hyperlink>
      <w:r w:rsidRPr="002A5655">
        <w:rPr>
          <w:rFonts w:ascii="Gilroy" w:hAnsi="Gilroy"/>
          <w:sz w:val="18"/>
          <w:szCs w:val="18"/>
        </w:rPr>
        <w:t xml:space="preserve"> </w:t>
      </w:r>
    </w:p>
  </w:footnote>
  <w:footnote w:id="56">
    <w:p w14:paraId="0212222A" w14:textId="77777777" w:rsidR="007E21E0" w:rsidRPr="002A5655" w:rsidRDefault="007E21E0">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Hybrid Pedagogy, ‘Our Bodies Encoded: Algorithmic Test Proctoring in Higher Education’, 2 April 2020</w:t>
      </w:r>
      <w:r w:rsidR="00B1621D" w:rsidRPr="002A5655">
        <w:rPr>
          <w:rFonts w:ascii="Gilroy" w:hAnsi="Gilroy"/>
          <w:sz w:val="18"/>
          <w:szCs w:val="18"/>
        </w:rPr>
        <w:t xml:space="preserve">, </w:t>
      </w:r>
      <w:hyperlink r:id="rId66" w:anchor=":~:text=Algorithmic%20test%20proctoring%20encodes%20ideal,exclusion%20from%20the%20educational%20community" w:history="1">
        <w:r w:rsidR="00B1621D" w:rsidRPr="002A5655">
          <w:rPr>
            <w:rStyle w:val="Hyperlink"/>
            <w:rFonts w:ascii="Gilroy" w:hAnsi="Gilroy"/>
            <w:sz w:val="18"/>
            <w:szCs w:val="18"/>
          </w:rPr>
          <w:t>https://hybridpedagogy.org/our-bodies-encoded-algorithmic-test-proctoring-in-higher-education/#:~:text=Algorithmic%20test%20proctoring%20encodes%20ideal,exclusion%20from%20the%20educational%20community</w:t>
        </w:r>
      </w:hyperlink>
      <w:r w:rsidRPr="002A5655">
        <w:rPr>
          <w:rFonts w:ascii="Gilroy" w:hAnsi="Gilroy"/>
          <w:sz w:val="18"/>
          <w:szCs w:val="18"/>
        </w:rPr>
        <w:t xml:space="preserve"> </w:t>
      </w:r>
    </w:p>
  </w:footnote>
  <w:footnote w:id="57">
    <w:p w14:paraId="71EE47BF" w14:textId="04A3EFF2" w:rsidR="00F41664" w:rsidRPr="002A5655" w:rsidRDefault="00F41664">
      <w:pPr>
        <w:pStyle w:val="FootnoteText"/>
        <w:rPr>
          <w:rFonts w:ascii="Gilroy" w:hAnsi="Gilroy"/>
          <w:b/>
          <w:bCs/>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w:t>
      </w:r>
      <w:r w:rsidR="002A5655" w:rsidRPr="002A5655">
        <w:rPr>
          <w:rFonts w:ascii="Gilroy" w:hAnsi="Gilroy"/>
          <w:sz w:val="18"/>
          <w:szCs w:val="18"/>
        </w:rPr>
        <w:t xml:space="preserve">Information Commissioner’s Office, ‘Facial recognition technology in schools’, </w:t>
      </w:r>
      <w:hyperlink r:id="rId67" w:history="1">
        <w:r w:rsidR="002A5655" w:rsidRPr="002A5655">
          <w:rPr>
            <w:rStyle w:val="Hyperlink"/>
            <w:rFonts w:ascii="Gilroy" w:hAnsi="Gilroy"/>
            <w:sz w:val="18"/>
            <w:szCs w:val="18"/>
          </w:rPr>
          <w:t>https://ico.org.uk/for-the-public/ico-40/facial-recognition-technology-in-schools/</w:t>
        </w:r>
      </w:hyperlink>
      <w:r w:rsidR="002A5655" w:rsidRPr="002A5655">
        <w:rPr>
          <w:rFonts w:ascii="Gilroy" w:hAnsi="Gilroy"/>
          <w:sz w:val="18"/>
          <w:szCs w:val="18"/>
        </w:rPr>
        <w:t xml:space="preserve">; See: </w:t>
      </w:r>
      <w:hyperlink r:id="rId68" w:history="1">
        <w:r w:rsidR="002A5655" w:rsidRPr="002A5655">
          <w:rPr>
            <w:rStyle w:val="Hyperlink"/>
            <w:rFonts w:ascii="Gilroy" w:hAnsi="Gilroy"/>
            <w:sz w:val="18"/>
            <w:szCs w:val="18"/>
          </w:rPr>
          <w:t>https://ico.org.uk/for-organisations/uk-gdpr-guidance-and-resources/childrens-information/childrens-code-guidance-and-resources/dpia-tools/online-retail/step-4-assess-necessity-and-proportionality/</w:t>
        </w:r>
      </w:hyperlink>
      <w:r w:rsidR="002A5655" w:rsidRPr="002A5655">
        <w:rPr>
          <w:rFonts w:ascii="Gilroy" w:hAnsi="Gilroy"/>
          <w:sz w:val="18"/>
          <w:szCs w:val="18"/>
        </w:rPr>
        <w:t xml:space="preserve">; </w:t>
      </w:r>
      <w:r w:rsidR="00935C1B" w:rsidRPr="002A5655">
        <w:rPr>
          <w:rFonts w:ascii="Gilroy" w:hAnsi="Gilroy"/>
          <w:sz w:val="18"/>
          <w:szCs w:val="18"/>
        </w:rPr>
        <w:t>Privacy Internationa</w:t>
      </w:r>
      <w:r w:rsidR="007D51B1" w:rsidRPr="002A5655">
        <w:rPr>
          <w:rFonts w:ascii="Gilroy" w:hAnsi="Gilroy"/>
          <w:sz w:val="18"/>
          <w:szCs w:val="18"/>
        </w:rPr>
        <w:t>l</w:t>
      </w:r>
      <w:r w:rsidR="00935C1B" w:rsidRPr="002A5655">
        <w:rPr>
          <w:rFonts w:ascii="Gilroy" w:hAnsi="Gilroy"/>
          <w:sz w:val="18"/>
          <w:szCs w:val="18"/>
        </w:rPr>
        <w:t>,</w:t>
      </w:r>
      <w:r w:rsidR="007D51B1" w:rsidRPr="002A5655">
        <w:rPr>
          <w:rFonts w:ascii="Gilroy" w:hAnsi="Gilroy"/>
          <w:sz w:val="18"/>
          <w:szCs w:val="18"/>
        </w:rPr>
        <w:t xml:space="preserve"> ‘Legality, Necessity and Proportionality</w:t>
      </w:r>
      <w:r w:rsidR="00B1621D" w:rsidRPr="002A5655">
        <w:rPr>
          <w:rFonts w:ascii="Gilroy" w:hAnsi="Gilroy"/>
          <w:sz w:val="18"/>
          <w:szCs w:val="18"/>
        </w:rPr>
        <w:t>’,</w:t>
      </w:r>
      <w:r w:rsidR="007D51B1" w:rsidRPr="002A5655">
        <w:rPr>
          <w:rFonts w:ascii="Gilroy" w:hAnsi="Gilroy"/>
          <w:sz w:val="18"/>
          <w:szCs w:val="18"/>
        </w:rPr>
        <w:t xml:space="preserve"> </w:t>
      </w:r>
      <w:hyperlink r:id="rId69" w:history="1">
        <w:r w:rsidR="007D51B1" w:rsidRPr="002A5655">
          <w:rPr>
            <w:rStyle w:val="Hyperlink"/>
            <w:rFonts w:ascii="Gilroy" w:hAnsi="Gilroy"/>
            <w:sz w:val="18"/>
            <w:szCs w:val="18"/>
          </w:rPr>
          <w:t>https://privacyinternational.org/our-demands/legality-necessity-and-proportionality</w:t>
        </w:r>
      </w:hyperlink>
      <w:r w:rsidR="002A5655" w:rsidRPr="002A5655">
        <w:rPr>
          <w:rStyle w:val="Hyperlink"/>
          <w:rFonts w:ascii="Gilroy" w:hAnsi="Gilroy"/>
          <w:sz w:val="18"/>
          <w:szCs w:val="18"/>
        </w:rPr>
        <w:t xml:space="preserve">. </w:t>
      </w:r>
      <w:r w:rsidRPr="002A5655">
        <w:rPr>
          <w:rFonts w:ascii="Gilroy" w:hAnsi="Gilroy"/>
          <w:sz w:val="18"/>
          <w:szCs w:val="18"/>
        </w:rPr>
        <w:t xml:space="preserve"> </w:t>
      </w:r>
    </w:p>
  </w:footnote>
  <w:footnote w:id="58">
    <w:p w14:paraId="0A085A42" w14:textId="77777777" w:rsidR="0042051C" w:rsidRPr="002A5655" w:rsidRDefault="0042051C" w:rsidP="0042051C">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Schools Week, ‘Schools install toilet sensors that ‘actively listen’ to pupils’, 4 February 2024,</w:t>
      </w:r>
    </w:p>
    <w:p w14:paraId="7D7B47E0" w14:textId="77777777" w:rsidR="0042051C" w:rsidRPr="002A5655" w:rsidRDefault="0042051C" w:rsidP="0042051C">
      <w:pPr>
        <w:pStyle w:val="FootnoteText"/>
        <w:rPr>
          <w:rFonts w:ascii="Gilroy" w:hAnsi="Gilroy"/>
          <w:sz w:val="18"/>
          <w:szCs w:val="18"/>
        </w:rPr>
      </w:pPr>
      <w:r w:rsidRPr="002A5655">
        <w:rPr>
          <w:rFonts w:ascii="Gilroy" w:hAnsi="Gilroy"/>
          <w:sz w:val="18"/>
          <w:szCs w:val="18"/>
        </w:rPr>
        <w:t xml:space="preserve"> </w:t>
      </w:r>
      <w:hyperlink r:id="rId70" w:history="1">
        <w:r w:rsidRPr="002A5655">
          <w:rPr>
            <w:rStyle w:val="Hyperlink"/>
            <w:rFonts w:ascii="Gilroy" w:hAnsi="Gilroy"/>
            <w:sz w:val="18"/>
            <w:szCs w:val="18"/>
          </w:rPr>
          <w:t>https://schoolsweek.co.uk/schools-install-toilet-sensors-that-actively-listen-to-pupils/</w:t>
        </w:r>
      </w:hyperlink>
      <w:r w:rsidRPr="002A5655">
        <w:rPr>
          <w:rFonts w:ascii="Gilroy" w:hAnsi="Gilroy"/>
          <w:sz w:val="18"/>
          <w:szCs w:val="18"/>
        </w:rPr>
        <w:t xml:space="preserve"> </w:t>
      </w:r>
    </w:p>
  </w:footnote>
  <w:footnote w:id="59">
    <w:p w14:paraId="43680738" w14:textId="77777777" w:rsidR="00F41664" w:rsidRPr="002A5655" w:rsidRDefault="00F41664">
      <w:pPr>
        <w:pStyle w:val="FootnoteText"/>
        <w:rPr>
          <w:rFonts w:ascii="Gilroy" w:hAnsi="Gilroy"/>
          <w:sz w:val="18"/>
          <w:szCs w:val="18"/>
        </w:rPr>
      </w:pPr>
      <w:r w:rsidRPr="002A5655">
        <w:rPr>
          <w:rStyle w:val="FootnoteReference"/>
          <w:rFonts w:ascii="Gilroy" w:hAnsi="Gilroy"/>
          <w:sz w:val="18"/>
          <w:szCs w:val="18"/>
        </w:rPr>
        <w:footnoteRef/>
      </w:r>
      <w:r w:rsidR="007D51B1" w:rsidRPr="002A5655">
        <w:rPr>
          <w:rFonts w:ascii="Gilroy" w:hAnsi="Gilroy"/>
          <w:sz w:val="18"/>
          <w:szCs w:val="18"/>
        </w:rPr>
        <w:t xml:space="preserve"> Defend Digital Me, ‘The State of Data 2020’, October 2020</w:t>
      </w:r>
      <w:r w:rsidR="00B1621D" w:rsidRPr="002A5655">
        <w:rPr>
          <w:rFonts w:ascii="Gilroy" w:hAnsi="Gilroy"/>
          <w:sz w:val="18"/>
          <w:szCs w:val="18"/>
        </w:rPr>
        <w:t>,</w:t>
      </w:r>
      <w:r w:rsidR="007D51B1" w:rsidRPr="002A5655">
        <w:rPr>
          <w:rFonts w:ascii="Gilroy" w:hAnsi="Gilroy"/>
          <w:sz w:val="18"/>
          <w:szCs w:val="18"/>
        </w:rPr>
        <w:t xml:space="preserve"> </w:t>
      </w:r>
      <w:r w:rsidRPr="002A5655">
        <w:rPr>
          <w:rFonts w:ascii="Gilroy" w:hAnsi="Gilroy"/>
          <w:sz w:val="18"/>
          <w:szCs w:val="18"/>
        </w:rPr>
        <w:t xml:space="preserve"> </w:t>
      </w:r>
      <w:hyperlink r:id="rId71" w:history="1">
        <w:r w:rsidRPr="002A5655">
          <w:rPr>
            <w:rStyle w:val="Hyperlink"/>
            <w:rFonts w:ascii="Gilroy" w:hAnsi="Gilroy"/>
            <w:sz w:val="18"/>
            <w:szCs w:val="18"/>
          </w:rPr>
          <w:t>https://defenddigitalme.org/wp-content/uploads/2020/11/The-state-of-data-2020-v2.2-1.pdf</w:t>
        </w:r>
      </w:hyperlink>
      <w:r w:rsidRPr="002A5655">
        <w:rPr>
          <w:rFonts w:ascii="Gilroy" w:hAnsi="Gilroy"/>
          <w:sz w:val="18"/>
          <w:szCs w:val="18"/>
        </w:rPr>
        <w:t xml:space="preserve"> </w:t>
      </w:r>
    </w:p>
  </w:footnote>
  <w:footnote w:id="60">
    <w:p w14:paraId="08E9BACD" w14:textId="77777777" w:rsidR="005A25CC" w:rsidRPr="002A5655" w:rsidRDefault="005A25CC" w:rsidP="007D51B1">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Information Commissioner</w:t>
      </w:r>
      <w:r w:rsidR="007D51B1" w:rsidRPr="002A5655">
        <w:rPr>
          <w:rFonts w:ascii="Gilroy" w:hAnsi="Gilroy"/>
          <w:sz w:val="18"/>
          <w:szCs w:val="18"/>
        </w:rPr>
        <w:t>’</w:t>
      </w:r>
      <w:r w:rsidR="00935C1B" w:rsidRPr="002A5655">
        <w:rPr>
          <w:rFonts w:ascii="Gilroy" w:hAnsi="Gilroy"/>
          <w:sz w:val="18"/>
          <w:szCs w:val="18"/>
        </w:rPr>
        <w:t>s Office,</w:t>
      </w:r>
      <w:r w:rsidR="007D51B1" w:rsidRPr="002A5655">
        <w:rPr>
          <w:rFonts w:ascii="Gilroy" w:hAnsi="Gilroy"/>
          <w:sz w:val="18"/>
          <w:szCs w:val="18"/>
        </w:rPr>
        <w:t xml:space="preserve"> ‘Department for Education (DfE) Data protection audit report’, February 2020</w:t>
      </w:r>
      <w:r w:rsidR="00B1621D" w:rsidRPr="002A5655">
        <w:rPr>
          <w:rFonts w:ascii="Gilroy" w:hAnsi="Gilroy"/>
          <w:sz w:val="18"/>
          <w:szCs w:val="18"/>
        </w:rPr>
        <w:t>,</w:t>
      </w:r>
      <w:r w:rsidRPr="002A5655">
        <w:rPr>
          <w:rFonts w:ascii="Gilroy" w:hAnsi="Gilroy"/>
          <w:sz w:val="18"/>
          <w:szCs w:val="18"/>
        </w:rPr>
        <w:t xml:space="preserve"> </w:t>
      </w:r>
      <w:hyperlink r:id="rId72" w:history="1">
        <w:r w:rsidRPr="002A5655">
          <w:rPr>
            <w:rStyle w:val="Hyperlink"/>
            <w:rFonts w:ascii="Gilroy" w:hAnsi="Gilroy"/>
            <w:sz w:val="18"/>
            <w:szCs w:val="18"/>
          </w:rPr>
          <w:t>https://ico.org.uk/media/action-weve-taken/audits-and-advisory-visits/2618384/department-for-education-audit-executive-summary-v1_0.pdf</w:t>
        </w:r>
      </w:hyperlink>
      <w:r w:rsidR="00B1621D" w:rsidRPr="002A5655">
        <w:rPr>
          <w:rFonts w:ascii="Gilroy" w:hAnsi="Gilroy"/>
          <w:sz w:val="18"/>
          <w:szCs w:val="18"/>
        </w:rPr>
        <w:t>.</w:t>
      </w:r>
    </w:p>
  </w:footnote>
  <w:footnote w:id="61">
    <w:p w14:paraId="09AFFA95" w14:textId="77777777" w:rsidR="005A25CC" w:rsidRPr="002A5655" w:rsidRDefault="005A25CC">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The Guardian, ‘</w:t>
      </w:r>
      <w:r w:rsidR="007D51B1" w:rsidRPr="002A5655">
        <w:rPr>
          <w:rFonts w:ascii="Gilroy" w:hAnsi="Gilroy"/>
          <w:sz w:val="18"/>
          <w:szCs w:val="18"/>
        </w:rPr>
        <w:t>‘Woeful’ DfE blamed as betting firms gain access to children’s data’, 6 November 2022</w:t>
      </w:r>
      <w:r w:rsidR="00B1621D" w:rsidRPr="002A5655">
        <w:rPr>
          <w:rFonts w:ascii="Gilroy" w:hAnsi="Gilroy"/>
          <w:sz w:val="18"/>
          <w:szCs w:val="18"/>
        </w:rPr>
        <w:t>,</w:t>
      </w:r>
      <w:r w:rsidRPr="002A5655">
        <w:rPr>
          <w:rFonts w:ascii="Gilroy" w:hAnsi="Gilroy"/>
          <w:sz w:val="18"/>
          <w:szCs w:val="18"/>
        </w:rPr>
        <w:t xml:space="preserve"> </w:t>
      </w:r>
      <w:hyperlink r:id="rId73" w:history="1">
        <w:r w:rsidRPr="002A5655">
          <w:rPr>
            <w:rStyle w:val="Hyperlink"/>
            <w:rFonts w:ascii="Gilroy" w:hAnsi="Gilroy"/>
            <w:sz w:val="18"/>
            <w:szCs w:val="18"/>
          </w:rPr>
          <w:t>https://www.theguardian.com/education/2022/nov/06/woeful-dfe-blamed-as-betting-firms-gain-access-to-childrens-data</w:t>
        </w:r>
      </w:hyperlink>
      <w:r w:rsidR="00B1621D" w:rsidRPr="002A5655">
        <w:rPr>
          <w:rFonts w:ascii="Gilroy" w:hAnsi="Gilroy"/>
          <w:sz w:val="18"/>
          <w:szCs w:val="18"/>
        </w:rPr>
        <w:t>.</w:t>
      </w:r>
      <w:r w:rsidRPr="002A5655">
        <w:rPr>
          <w:rFonts w:ascii="Gilroy" w:hAnsi="Gilroy"/>
          <w:sz w:val="18"/>
          <w:szCs w:val="18"/>
        </w:rPr>
        <w:t xml:space="preserve"> </w:t>
      </w:r>
    </w:p>
  </w:footnote>
  <w:footnote w:id="62">
    <w:p w14:paraId="3F2CCAC5" w14:textId="77777777" w:rsidR="0061055A" w:rsidRPr="00C64CFF" w:rsidRDefault="0061055A">
      <w:pPr>
        <w:pStyle w:val="FootnoteText"/>
        <w:rPr>
          <w:rFonts w:ascii="Gilroy" w:hAnsi="Gilroy"/>
          <w:sz w:val="18"/>
          <w:szCs w:val="18"/>
        </w:rPr>
      </w:pPr>
      <w:r w:rsidRPr="002A5655">
        <w:rPr>
          <w:rStyle w:val="FootnoteReference"/>
          <w:rFonts w:ascii="Gilroy" w:hAnsi="Gilroy"/>
          <w:sz w:val="18"/>
          <w:szCs w:val="18"/>
        </w:rPr>
        <w:footnoteRef/>
      </w:r>
      <w:r w:rsidR="007D51B1" w:rsidRPr="002A5655">
        <w:rPr>
          <w:rFonts w:ascii="Gilroy" w:hAnsi="Gilroy"/>
          <w:sz w:val="18"/>
          <w:szCs w:val="18"/>
        </w:rPr>
        <w:t xml:space="preserve"> Schools Week, ‘Minister wants schools to benefit from AI revolution’, 19 June 2023</w:t>
      </w:r>
      <w:r w:rsidR="00B1621D" w:rsidRPr="002A5655">
        <w:rPr>
          <w:rFonts w:ascii="Gilroy" w:hAnsi="Gilroy"/>
          <w:sz w:val="18"/>
          <w:szCs w:val="18"/>
        </w:rPr>
        <w:t xml:space="preserve">, </w:t>
      </w:r>
      <w:hyperlink r:id="rId74" w:history="1">
        <w:r w:rsidR="00B1621D" w:rsidRPr="002A5655">
          <w:rPr>
            <w:rStyle w:val="Hyperlink"/>
            <w:rFonts w:ascii="Gilroy" w:hAnsi="Gilroy"/>
            <w:sz w:val="18"/>
            <w:szCs w:val="18"/>
          </w:rPr>
          <w:t>https://schoolsweek.co.uk/minister-wants-schools-to-benefit-from-ai-revolution/</w:t>
        </w:r>
      </w:hyperlink>
      <w:r w:rsidR="00B1621D" w:rsidRPr="002A5655">
        <w:rPr>
          <w:rFonts w:ascii="Gilroy" w:hAnsi="Gilroy"/>
          <w:sz w:val="18"/>
          <w:szCs w:val="18"/>
        </w:rPr>
        <w:t>.</w:t>
      </w:r>
      <w:r w:rsidRPr="00C64CFF">
        <w:rPr>
          <w:rFonts w:ascii="Gilroy" w:hAnsi="Gilroy"/>
          <w:sz w:val="18"/>
          <w:szCs w:val="18"/>
        </w:rPr>
        <w:t xml:space="preserve"> </w:t>
      </w:r>
    </w:p>
  </w:footnote>
  <w:footnote w:id="63">
    <w:p w14:paraId="7562C919" w14:textId="5FFD7F58" w:rsidR="002A5655" w:rsidRPr="002A5655" w:rsidRDefault="002A5655">
      <w:pPr>
        <w:pStyle w:val="FootnoteText"/>
        <w:rPr>
          <w:rFonts w:ascii="Gilroy" w:hAnsi="Gilroy"/>
          <w:sz w:val="18"/>
          <w:szCs w:val="18"/>
        </w:rPr>
      </w:pPr>
      <w:r w:rsidRPr="002A5655">
        <w:rPr>
          <w:rStyle w:val="FootnoteReference"/>
          <w:rFonts w:ascii="Gilroy" w:hAnsi="Gilroy"/>
          <w:sz w:val="18"/>
          <w:szCs w:val="18"/>
        </w:rPr>
        <w:footnoteRef/>
      </w:r>
      <w:r w:rsidRPr="002A5655">
        <w:rPr>
          <w:rFonts w:ascii="Gilroy" w:hAnsi="Gilroy"/>
          <w:sz w:val="18"/>
          <w:szCs w:val="18"/>
        </w:rPr>
        <w:t xml:space="preserve"> The Record, ‘Ransomware attack forces high school in London to close and send students home’, 9 September 2024, </w:t>
      </w:r>
      <w:hyperlink r:id="rId75" w:history="1">
        <w:r w:rsidRPr="002A5655">
          <w:rPr>
            <w:rStyle w:val="Hyperlink"/>
            <w:rFonts w:ascii="Gilroy" w:hAnsi="Gilroy"/>
            <w:sz w:val="18"/>
            <w:szCs w:val="18"/>
          </w:rPr>
          <w:t>https://therecord.media/ransomware-attack-forces-london-high-school-to-close</w:t>
        </w:r>
      </w:hyperlink>
      <w:r w:rsidRPr="002A5655">
        <w:rPr>
          <w:rFonts w:ascii="Gilroy" w:hAnsi="Gilroy"/>
          <w:sz w:val="18"/>
          <w:szCs w:val="18"/>
        </w:rPr>
        <w:t>.</w:t>
      </w:r>
    </w:p>
  </w:footnote>
  <w:footnote w:id="64">
    <w:p w14:paraId="23E1F039" w14:textId="77777777" w:rsidR="0061055A" w:rsidRPr="007D51B1" w:rsidRDefault="0061055A">
      <w:pPr>
        <w:pStyle w:val="FootnoteText"/>
        <w:rPr>
          <w:rFonts w:ascii="Gilroy" w:hAnsi="Gilroy"/>
          <w:sz w:val="18"/>
          <w:szCs w:val="18"/>
        </w:rPr>
      </w:pPr>
      <w:r w:rsidRPr="002A5655">
        <w:rPr>
          <w:rStyle w:val="FootnoteReference"/>
          <w:rFonts w:ascii="Gilroy" w:hAnsi="Gilroy"/>
          <w:sz w:val="18"/>
          <w:szCs w:val="18"/>
        </w:rPr>
        <w:footnoteRef/>
      </w:r>
      <w:r w:rsidR="00935C1B" w:rsidRPr="002A5655">
        <w:rPr>
          <w:rFonts w:ascii="Gilroy" w:hAnsi="Gilroy"/>
          <w:sz w:val="18"/>
          <w:szCs w:val="18"/>
        </w:rPr>
        <w:t xml:space="preserve"> The Guardian, ‘</w:t>
      </w:r>
      <w:r w:rsidR="007D51B1" w:rsidRPr="002A5655">
        <w:rPr>
          <w:rFonts w:ascii="Gilroy" w:hAnsi="Gilroy"/>
          <w:sz w:val="18"/>
          <w:szCs w:val="18"/>
        </w:rPr>
        <w:t>Call to shut down Bristol schools’ use of app to ‘monitor’ pupils and families’, 21 September 2023</w:t>
      </w:r>
      <w:r w:rsidR="00B1621D" w:rsidRPr="002A5655">
        <w:rPr>
          <w:rFonts w:ascii="Gilroy" w:hAnsi="Gilroy"/>
          <w:sz w:val="18"/>
          <w:szCs w:val="18"/>
        </w:rPr>
        <w:t>,</w:t>
      </w:r>
      <w:r w:rsidRPr="002A5655">
        <w:rPr>
          <w:rFonts w:ascii="Gilroy" w:hAnsi="Gilroy"/>
          <w:sz w:val="18"/>
          <w:szCs w:val="18"/>
        </w:rPr>
        <w:t xml:space="preserve"> </w:t>
      </w:r>
      <w:hyperlink r:id="rId76" w:history="1">
        <w:r w:rsidRPr="002A5655">
          <w:rPr>
            <w:rStyle w:val="Hyperlink"/>
            <w:rFonts w:ascii="Gilroy" w:hAnsi="Gilroy"/>
            <w:sz w:val="18"/>
            <w:szCs w:val="18"/>
          </w:rPr>
          <w:t>https://www.theguardian.com/education/2023/sep/21/calls-to-shut-down-bristol-schools-use-of-think-family-education-app-pupils-and-families</w:t>
        </w:r>
      </w:hyperlink>
      <w:r w:rsidR="00B1621D" w:rsidRPr="002A5655">
        <w:rPr>
          <w:rFonts w:ascii="Gilroy" w:hAnsi="Gilroy"/>
          <w:sz w:val="18"/>
          <w:szCs w:val="18"/>
        </w:rPr>
        <w:t>.</w:t>
      </w:r>
      <w:r w:rsidRPr="0061055A">
        <w:rPr>
          <w:rFonts w:ascii="Gilroy" w:hAnsi="Gilroy"/>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803F3"/>
    <w:multiLevelType w:val="multilevel"/>
    <w:tmpl w:val="59D6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9677B3"/>
    <w:multiLevelType w:val="hybridMultilevel"/>
    <w:tmpl w:val="0BA637EA"/>
    <w:lvl w:ilvl="0" w:tplc="0809000F">
      <w:start w:val="1"/>
      <w:numFmt w:val="decimal"/>
      <w:lvlText w:val="%1."/>
      <w:lvlJc w:val="left"/>
      <w:pPr>
        <w:ind w:left="720" w:hanging="360"/>
      </w:pPr>
      <w:rPr>
        <w:rFonts w:hint="default"/>
      </w:rPr>
    </w:lvl>
    <w:lvl w:ilvl="1" w:tplc="80B63E0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2B6A34"/>
    <w:multiLevelType w:val="multilevel"/>
    <w:tmpl w:val="0F96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D63A7"/>
    <w:multiLevelType w:val="hybridMultilevel"/>
    <w:tmpl w:val="989AC4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6513EC"/>
    <w:multiLevelType w:val="multilevel"/>
    <w:tmpl w:val="F3F2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F7F2D"/>
    <w:multiLevelType w:val="hybridMultilevel"/>
    <w:tmpl w:val="7998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51549"/>
    <w:multiLevelType w:val="hybridMultilevel"/>
    <w:tmpl w:val="A552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444E8"/>
    <w:multiLevelType w:val="multilevel"/>
    <w:tmpl w:val="7A684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8A3DBF"/>
    <w:multiLevelType w:val="hybridMultilevel"/>
    <w:tmpl w:val="8496E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5C19B2"/>
    <w:multiLevelType w:val="multilevel"/>
    <w:tmpl w:val="E190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BF52CF"/>
    <w:multiLevelType w:val="hybridMultilevel"/>
    <w:tmpl w:val="56DA6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0D4D27"/>
    <w:multiLevelType w:val="multilevel"/>
    <w:tmpl w:val="09C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5717858">
    <w:abstractNumId w:val="10"/>
  </w:num>
  <w:num w:numId="2" w16cid:durableId="2030983165">
    <w:abstractNumId w:val="6"/>
  </w:num>
  <w:num w:numId="3" w16cid:durableId="364064048">
    <w:abstractNumId w:val="5"/>
  </w:num>
  <w:num w:numId="4" w16cid:durableId="224033207">
    <w:abstractNumId w:val="8"/>
  </w:num>
  <w:num w:numId="5" w16cid:durableId="2016613153">
    <w:abstractNumId w:val="1"/>
  </w:num>
  <w:num w:numId="6" w16cid:durableId="500509156">
    <w:abstractNumId w:val="2"/>
  </w:num>
  <w:num w:numId="7" w16cid:durableId="430902318">
    <w:abstractNumId w:val="7"/>
  </w:num>
  <w:num w:numId="8" w16cid:durableId="1586763995">
    <w:abstractNumId w:val="11"/>
  </w:num>
  <w:num w:numId="9" w16cid:durableId="921791494">
    <w:abstractNumId w:val="4"/>
  </w:num>
  <w:num w:numId="10" w16cid:durableId="666325482">
    <w:abstractNumId w:val="3"/>
  </w:num>
  <w:num w:numId="11" w16cid:durableId="1291134639">
    <w:abstractNumId w:val="0"/>
  </w:num>
  <w:num w:numId="12" w16cid:durableId="1258900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BF7"/>
    <w:rsid w:val="0000585F"/>
    <w:rsid w:val="00020F62"/>
    <w:rsid w:val="00036631"/>
    <w:rsid w:val="001C2B2A"/>
    <w:rsid w:val="001F28C6"/>
    <w:rsid w:val="001F4A86"/>
    <w:rsid w:val="00287083"/>
    <w:rsid w:val="00293014"/>
    <w:rsid w:val="002A5655"/>
    <w:rsid w:val="002D363A"/>
    <w:rsid w:val="002E38AB"/>
    <w:rsid w:val="0033217C"/>
    <w:rsid w:val="00337E6E"/>
    <w:rsid w:val="003A2EFD"/>
    <w:rsid w:val="003B424B"/>
    <w:rsid w:val="003C0D61"/>
    <w:rsid w:val="0042051C"/>
    <w:rsid w:val="00456D1B"/>
    <w:rsid w:val="00467372"/>
    <w:rsid w:val="005A25CC"/>
    <w:rsid w:val="005C62A0"/>
    <w:rsid w:val="005C7510"/>
    <w:rsid w:val="005F0061"/>
    <w:rsid w:val="0061055A"/>
    <w:rsid w:val="006634A2"/>
    <w:rsid w:val="006810CA"/>
    <w:rsid w:val="00693C29"/>
    <w:rsid w:val="006E7B6E"/>
    <w:rsid w:val="006F5A33"/>
    <w:rsid w:val="006F783A"/>
    <w:rsid w:val="00706E1C"/>
    <w:rsid w:val="00754231"/>
    <w:rsid w:val="007B2C8A"/>
    <w:rsid w:val="007D51B1"/>
    <w:rsid w:val="007D57F5"/>
    <w:rsid w:val="007D79A8"/>
    <w:rsid w:val="007E0FF5"/>
    <w:rsid w:val="007E21E0"/>
    <w:rsid w:val="00812EDC"/>
    <w:rsid w:val="00831C44"/>
    <w:rsid w:val="008A44C5"/>
    <w:rsid w:val="008A4DEC"/>
    <w:rsid w:val="008E5AE4"/>
    <w:rsid w:val="008E68EB"/>
    <w:rsid w:val="0090274F"/>
    <w:rsid w:val="00917206"/>
    <w:rsid w:val="00932F48"/>
    <w:rsid w:val="00935C1B"/>
    <w:rsid w:val="009A0A39"/>
    <w:rsid w:val="009A68FF"/>
    <w:rsid w:val="009E72B3"/>
    <w:rsid w:val="00A22273"/>
    <w:rsid w:val="00A35FF1"/>
    <w:rsid w:val="00AC2704"/>
    <w:rsid w:val="00AF6571"/>
    <w:rsid w:val="00B1621D"/>
    <w:rsid w:val="00B315EB"/>
    <w:rsid w:val="00B650F3"/>
    <w:rsid w:val="00B97564"/>
    <w:rsid w:val="00BB2EC1"/>
    <w:rsid w:val="00BD3303"/>
    <w:rsid w:val="00BF1B29"/>
    <w:rsid w:val="00C14D51"/>
    <w:rsid w:val="00C17062"/>
    <w:rsid w:val="00C23BF7"/>
    <w:rsid w:val="00C47C54"/>
    <w:rsid w:val="00C62842"/>
    <w:rsid w:val="00C64CFF"/>
    <w:rsid w:val="00CA4DEA"/>
    <w:rsid w:val="00CE1DE4"/>
    <w:rsid w:val="00D570E6"/>
    <w:rsid w:val="00D664FD"/>
    <w:rsid w:val="00E35ECE"/>
    <w:rsid w:val="00E523E7"/>
    <w:rsid w:val="00E87199"/>
    <w:rsid w:val="00ED6FC8"/>
    <w:rsid w:val="00F41664"/>
    <w:rsid w:val="00F90388"/>
    <w:rsid w:val="00F91CD7"/>
    <w:rsid w:val="00FE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2BA6"/>
  <w15:chartTrackingRefBased/>
  <w15:docId w15:val="{BD361556-A5DB-8B45-A447-7E1CD2474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B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3B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3B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3B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3B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3B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B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B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B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B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3B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3B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3B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3B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3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BF7"/>
    <w:rPr>
      <w:rFonts w:eastAsiaTheme="majorEastAsia" w:cstheme="majorBidi"/>
      <w:color w:val="272727" w:themeColor="text1" w:themeTint="D8"/>
    </w:rPr>
  </w:style>
  <w:style w:type="paragraph" w:styleId="Title">
    <w:name w:val="Title"/>
    <w:basedOn w:val="Normal"/>
    <w:next w:val="Normal"/>
    <w:link w:val="TitleChar"/>
    <w:uiPriority w:val="10"/>
    <w:qFormat/>
    <w:rsid w:val="00C23B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B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B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3BF7"/>
    <w:rPr>
      <w:i/>
      <w:iCs/>
      <w:color w:val="404040" w:themeColor="text1" w:themeTint="BF"/>
    </w:rPr>
  </w:style>
  <w:style w:type="paragraph" w:styleId="ListParagraph">
    <w:name w:val="List Paragraph"/>
    <w:basedOn w:val="Normal"/>
    <w:uiPriority w:val="34"/>
    <w:qFormat/>
    <w:rsid w:val="00C23BF7"/>
    <w:pPr>
      <w:ind w:left="720"/>
      <w:contextualSpacing/>
    </w:pPr>
  </w:style>
  <w:style w:type="character" w:styleId="IntenseEmphasis">
    <w:name w:val="Intense Emphasis"/>
    <w:basedOn w:val="DefaultParagraphFont"/>
    <w:uiPriority w:val="21"/>
    <w:qFormat/>
    <w:rsid w:val="00C23BF7"/>
    <w:rPr>
      <w:i/>
      <w:iCs/>
      <w:color w:val="2F5496" w:themeColor="accent1" w:themeShade="BF"/>
    </w:rPr>
  </w:style>
  <w:style w:type="paragraph" w:styleId="IntenseQuote">
    <w:name w:val="Intense Quote"/>
    <w:basedOn w:val="Normal"/>
    <w:next w:val="Normal"/>
    <w:link w:val="IntenseQuoteChar"/>
    <w:uiPriority w:val="30"/>
    <w:qFormat/>
    <w:rsid w:val="00C23B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3BF7"/>
    <w:rPr>
      <w:i/>
      <w:iCs/>
      <w:color w:val="2F5496" w:themeColor="accent1" w:themeShade="BF"/>
    </w:rPr>
  </w:style>
  <w:style w:type="character" w:styleId="IntenseReference">
    <w:name w:val="Intense Reference"/>
    <w:basedOn w:val="DefaultParagraphFont"/>
    <w:uiPriority w:val="32"/>
    <w:qFormat/>
    <w:rsid w:val="00C23BF7"/>
    <w:rPr>
      <w:b/>
      <w:bCs/>
      <w:smallCaps/>
      <w:color w:val="2F5496" w:themeColor="accent1" w:themeShade="BF"/>
      <w:spacing w:val="5"/>
    </w:rPr>
  </w:style>
  <w:style w:type="paragraph" w:styleId="FootnoteText">
    <w:name w:val="footnote text"/>
    <w:basedOn w:val="Normal"/>
    <w:link w:val="FootnoteTextChar"/>
    <w:uiPriority w:val="99"/>
    <w:unhideWhenUsed/>
    <w:rsid w:val="006634A2"/>
    <w:rPr>
      <w:sz w:val="20"/>
      <w:szCs w:val="20"/>
    </w:rPr>
  </w:style>
  <w:style w:type="character" w:customStyle="1" w:styleId="FootnoteTextChar">
    <w:name w:val="Footnote Text Char"/>
    <w:basedOn w:val="DefaultParagraphFont"/>
    <w:link w:val="FootnoteText"/>
    <w:uiPriority w:val="99"/>
    <w:rsid w:val="006634A2"/>
    <w:rPr>
      <w:sz w:val="20"/>
      <w:szCs w:val="20"/>
    </w:rPr>
  </w:style>
  <w:style w:type="character" w:styleId="FootnoteReference">
    <w:name w:val="footnote reference"/>
    <w:basedOn w:val="DefaultParagraphFont"/>
    <w:uiPriority w:val="99"/>
    <w:semiHidden/>
    <w:unhideWhenUsed/>
    <w:rsid w:val="006634A2"/>
    <w:rPr>
      <w:vertAlign w:val="superscript"/>
    </w:rPr>
  </w:style>
  <w:style w:type="character" w:styleId="Hyperlink">
    <w:name w:val="Hyperlink"/>
    <w:basedOn w:val="DefaultParagraphFont"/>
    <w:uiPriority w:val="99"/>
    <w:unhideWhenUsed/>
    <w:rsid w:val="006634A2"/>
    <w:rPr>
      <w:color w:val="0563C1" w:themeColor="hyperlink"/>
      <w:u w:val="single"/>
    </w:rPr>
  </w:style>
  <w:style w:type="character" w:styleId="UnresolvedMention">
    <w:name w:val="Unresolved Mention"/>
    <w:basedOn w:val="DefaultParagraphFont"/>
    <w:uiPriority w:val="99"/>
    <w:semiHidden/>
    <w:unhideWhenUsed/>
    <w:rsid w:val="006634A2"/>
    <w:rPr>
      <w:color w:val="605E5C"/>
      <w:shd w:val="clear" w:color="auto" w:fill="E1DFDD"/>
    </w:rPr>
  </w:style>
  <w:style w:type="character" w:styleId="FollowedHyperlink">
    <w:name w:val="FollowedHyperlink"/>
    <w:basedOn w:val="DefaultParagraphFont"/>
    <w:uiPriority w:val="99"/>
    <w:semiHidden/>
    <w:unhideWhenUsed/>
    <w:rsid w:val="006634A2"/>
    <w:rPr>
      <w:color w:val="954F72" w:themeColor="followedHyperlink"/>
      <w:u w:val="single"/>
    </w:rPr>
  </w:style>
  <w:style w:type="paragraph" w:styleId="NormalWeb">
    <w:name w:val="Normal (Web)"/>
    <w:basedOn w:val="Normal"/>
    <w:uiPriority w:val="99"/>
    <w:semiHidden/>
    <w:unhideWhenUsed/>
    <w:rsid w:val="009E72B3"/>
    <w:rPr>
      <w:rFonts w:ascii="Times New Roman" w:hAnsi="Times New Roman" w:cs="Times New Roman"/>
    </w:rPr>
  </w:style>
  <w:style w:type="character" w:styleId="CommentReference">
    <w:name w:val="annotation reference"/>
    <w:basedOn w:val="DefaultParagraphFont"/>
    <w:uiPriority w:val="99"/>
    <w:semiHidden/>
    <w:unhideWhenUsed/>
    <w:rsid w:val="00B1621D"/>
    <w:rPr>
      <w:sz w:val="16"/>
      <w:szCs w:val="16"/>
    </w:rPr>
  </w:style>
  <w:style w:type="paragraph" w:styleId="CommentText">
    <w:name w:val="annotation text"/>
    <w:basedOn w:val="Normal"/>
    <w:link w:val="CommentTextChar"/>
    <w:uiPriority w:val="99"/>
    <w:semiHidden/>
    <w:unhideWhenUsed/>
    <w:rsid w:val="00B1621D"/>
    <w:rPr>
      <w:sz w:val="20"/>
      <w:szCs w:val="20"/>
    </w:rPr>
  </w:style>
  <w:style w:type="character" w:customStyle="1" w:styleId="CommentTextChar">
    <w:name w:val="Comment Text Char"/>
    <w:basedOn w:val="DefaultParagraphFont"/>
    <w:link w:val="CommentText"/>
    <w:uiPriority w:val="99"/>
    <w:semiHidden/>
    <w:rsid w:val="00B1621D"/>
    <w:rPr>
      <w:sz w:val="20"/>
      <w:szCs w:val="20"/>
    </w:rPr>
  </w:style>
  <w:style w:type="paragraph" w:styleId="CommentSubject">
    <w:name w:val="annotation subject"/>
    <w:basedOn w:val="CommentText"/>
    <w:next w:val="CommentText"/>
    <w:link w:val="CommentSubjectChar"/>
    <w:uiPriority w:val="99"/>
    <w:semiHidden/>
    <w:unhideWhenUsed/>
    <w:rsid w:val="00B1621D"/>
    <w:rPr>
      <w:b/>
      <w:bCs/>
    </w:rPr>
  </w:style>
  <w:style w:type="character" w:customStyle="1" w:styleId="CommentSubjectChar">
    <w:name w:val="Comment Subject Char"/>
    <w:basedOn w:val="CommentTextChar"/>
    <w:link w:val="CommentSubject"/>
    <w:uiPriority w:val="99"/>
    <w:semiHidden/>
    <w:rsid w:val="00B1621D"/>
    <w:rPr>
      <w:b/>
      <w:bCs/>
      <w:sz w:val="20"/>
      <w:szCs w:val="20"/>
    </w:rPr>
  </w:style>
  <w:style w:type="paragraph" w:styleId="Revision">
    <w:name w:val="Revision"/>
    <w:hidden/>
    <w:uiPriority w:val="99"/>
    <w:semiHidden/>
    <w:rsid w:val="00AF6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14">
      <w:bodyDiv w:val="1"/>
      <w:marLeft w:val="0"/>
      <w:marRight w:val="0"/>
      <w:marTop w:val="0"/>
      <w:marBottom w:val="0"/>
      <w:divBdr>
        <w:top w:val="none" w:sz="0" w:space="0" w:color="auto"/>
        <w:left w:val="none" w:sz="0" w:space="0" w:color="auto"/>
        <w:bottom w:val="none" w:sz="0" w:space="0" w:color="auto"/>
        <w:right w:val="none" w:sz="0" w:space="0" w:color="auto"/>
      </w:divBdr>
    </w:div>
    <w:div w:id="51194522">
      <w:bodyDiv w:val="1"/>
      <w:marLeft w:val="0"/>
      <w:marRight w:val="0"/>
      <w:marTop w:val="0"/>
      <w:marBottom w:val="0"/>
      <w:divBdr>
        <w:top w:val="none" w:sz="0" w:space="0" w:color="auto"/>
        <w:left w:val="none" w:sz="0" w:space="0" w:color="auto"/>
        <w:bottom w:val="none" w:sz="0" w:space="0" w:color="auto"/>
        <w:right w:val="none" w:sz="0" w:space="0" w:color="auto"/>
      </w:divBdr>
      <w:divsChild>
        <w:div w:id="2045707728">
          <w:marLeft w:val="0"/>
          <w:marRight w:val="0"/>
          <w:marTop w:val="0"/>
          <w:marBottom w:val="0"/>
          <w:divBdr>
            <w:top w:val="none" w:sz="0" w:space="0" w:color="auto"/>
            <w:left w:val="none" w:sz="0" w:space="0" w:color="auto"/>
            <w:bottom w:val="none" w:sz="0" w:space="0" w:color="auto"/>
            <w:right w:val="none" w:sz="0" w:space="0" w:color="auto"/>
          </w:divBdr>
          <w:divsChild>
            <w:div w:id="2121412791">
              <w:marLeft w:val="0"/>
              <w:marRight w:val="0"/>
              <w:marTop w:val="0"/>
              <w:marBottom w:val="0"/>
              <w:divBdr>
                <w:top w:val="none" w:sz="0" w:space="0" w:color="auto"/>
                <w:left w:val="none" w:sz="0" w:space="0" w:color="auto"/>
                <w:bottom w:val="none" w:sz="0" w:space="0" w:color="auto"/>
                <w:right w:val="none" w:sz="0" w:space="0" w:color="auto"/>
              </w:divBdr>
              <w:divsChild>
                <w:div w:id="35901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3986">
      <w:bodyDiv w:val="1"/>
      <w:marLeft w:val="0"/>
      <w:marRight w:val="0"/>
      <w:marTop w:val="0"/>
      <w:marBottom w:val="0"/>
      <w:divBdr>
        <w:top w:val="none" w:sz="0" w:space="0" w:color="auto"/>
        <w:left w:val="none" w:sz="0" w:space="0" w:color="auto"/>
        <w:bottom w:val="none" w:sz="0" w:space="0" w:color="auto"/>
        <w:right w:val="none" w:sz="0" w:space="0" w:color="auto"/>
      </w:divBdr>
    </w:div>
    <w:div w:id="58745678">
      <w:bodyDiv w:val="1"/>
      <w:marLeft w:val="0"/>
      <w:marRight w:val="0"/>
      <w:marTop w:val="0"/>
      <w:marBottom w:val="0"/>
      <w:divBdr>
        <w:top w:val="none" w:sz="0" w:space="0" w:color="auto"/>
        <w:left w:val="none" w:sz="0" w:space="0" w:color="auto"/>
        <w:bottom w:val="none" w:sz="0" w:space="0" w:color="auto"/>
        <w:right w:val="none" w:sz="0" w:space="0" w:color="auto"/>
      </w:divBdr>
      <w:divsChild>
        <w:div w:id="406391345">
          <w:marLeft w:val="0"/>
          <w:marRight w:val="0"/>
          <w:marTop w:val="0"/>
          <w:marBottom w:val="0"/>
          <w:divBdr>
            <w:top w:val="none" w:sz="0" w:space="0" w:color="auto"/>
            <w:left w:val="none" w:sz="0" w:space="0" w:color="auto"/>
            <w:bottom w:val="none" w:sz="0" w:space="0" w:color="auto"/>
            <w:right w:val="none" w:sz="0" w:space="0" w:color="auto"/>
          </w:divBdr>
          <w:divsChild>
            <w:div w:id="1117798822">
              <w:marLeft w:val="0"/>
              <w:marRight w:val="0"/>
              <w:marTop w:val="0"/>
              <w:marBottom w:val="0"/>
              <w:divBdr>
                <w:top w:val="none" w:sz="0" w:space="0" w:color="auto"/>
                <w:left w:val="none" w:sz="0" w:space="0" w:color="auto"/>
                <w:bottom w:val="none" w:sz="0" w:space="0" w:color="auto"/>
                <w:right w:val="none" w:sz="0" w:space="0" w:color="auto"/>
              </w:divBdr>
              <w:divsChild>
                <w:div w:id="210383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37943">
      <w:bodyDiv w:val="1"/>
      <w:marLeft w:val="0"/>
      <w:marRight w:val="0"/>
      <w:marTop w:val="0"/>
      <w:marBottom w:val="0"/>
      <w:divBdr>
        <w:top w:val="none" w:sz="0" w:space="0" w:color="auto"/>
        <w:left w:val="none" w:sz="0" w:space="0" w:color="auto"/>
        <w:bottom w:val="none" w:sz="0" w:space="0" w:color="auto"/>
        <w:right w:val="none" w:sz="0" w:space="0" w:color="auto"/>
      </w:divBdr>
    </w:div>
    <w:div w:id="160439384">
      <w:bodyDiv w:val="1"/>
      <w:marLeft w:val="0"/>
      <w:marRight w:val="0"/>
      <w:marTop w:val="0"/>
      <w:marBottom w:val="0"/>
      <w:divBdr>
        <w:top w:val="none" w:sz="0" w:space="0" w:color="auto"/>
        <w:left w:val="none" w:sz="0" w:space="0" w:color="auto"/>
        <w:bottom w:val="none" w:sz="0" w:space="0" w:color="auto"/>
        <w:right w:val="none" w:sz="0" w:space="0" w:color="auto"/>
      </w:divBdr>
    </w:div>
    <w:div w:id="169637791">
      <w:bodyDiv w:val="1"/>
      <w:marLeft w:val="0"/>
      <w:marRight w:val="0"/>
      <w:marTop w:val="0"/>
      <w:marBottom w:val="0"/>
      <w:divBdr>
        <w:top w:val="none" w:sz="0" w:space="0" w:color="auto"/>
        <w:left w:val="none" w:sz="0" w:space="0" w:color="auto"/>
        <w:bottom w:val="none" w:sz="0" w:space="0" w:color="auto"/>
        <w:right w:val="none" w:sz="0" w:space="0" w:color="auto"/>
      </w:divBdr>
    </w:div>
    <w:div w:id="171073347">
      <w:bodyDiv w:val="1"/>
      <w:marLeft w:val="0"/>
      <w:marRight w:val="0"/>
      <w:marTop w:val="0"/>
      <w:marBottom w:val="0"/>
      <w:divBdr>
        <w:top w:val="none" w:sz="0" w:space="0" w:color="auto"/>
        <w:left w:val="none" w:sz="0" w:space="0" w:color="auto"/>
        <w:bottom w:val="none" w:sz="0" w:space="0" w:color="auto"/>
        <w:right w:val="none" w:sz="0" w:space="0" w:color="auto"/>
      </w:divBdr>
      <w:divsChild>
        <w:div w:id="989290793">
          <w:marLeft w:val="0"/>
          <w:marRight w:val="0"/>
          <w:marTop w:val="225"/>
          <w:marBottom w:val="0"/>
          <w:divBdr>
            <w:top w:val="none" w:sz="0" w:space="0" w:color="auto"/>
            <w:left w:val="none" w:sz="0" w:space="0" w:color="auto"/>
            <w:bottom w:val="none" w:sz="0" w:space="0" w:color="auto"/>
            <w:right w:val="none" w:sz="0" w:space="0" w:color="auto"/>
          </w:divBdr>
        </w:div>
      </w:divsChild>
    </w:div>
    <w:div w:id="181937194">
      <w:bodyDiv w:val="1"/>
      <w:marLeft w:val="0"/>
      <w:marRight w:val="0"/>
      <w:marTop w:val="0"/>
      <w:marBottom w:val="0"/>
      <w:divBdr>
        <w:top w:val="none" w:sz="0" w:space="0" w:color="auto"/>
        <w:left w:val="none" w:sz="0" w:space="0" w:color="auto"/>
        <w:bottom w:val="none" w:sz="0" w:space="0" w:color="auto"/>
        <w:right w:val="none" w:sz="0" w:space="0" w:color="auto"/>
      </w:divBdr>
    </w:div>
    <w:div w:id="187791935">
      <w:bodyDiv w:val="1"/>
      <w:marLeft w:val="0"/>
      <w:marRight w:val="0"/>
      <w:marTop w:val="0"/>
      <w:marBottom w:val="0"/>
      <w:divBdr>
        <w:top w:val="none" w:sz="0" w:space="0" w:color="auto"/>
        <w:left w:val="none" w:sz="0" w:space="0" w:color="auto"/>
        <w:bottom w:val="none" w:sz="0" w:space="0" w:color="auto"/>
        <w:right w:val="none" w:sz="0" w:space="0" w:color="auto"/>
      </w:divBdr>
    </w:div>
    <w:div w:id="193927740">
      <w:bodyDiv w:val="1"/>
      <w:marLeft w:val="0"/>
      <w:marRight w:val="0"/>
      <w:marTop w:val="0"/>
      <w:marBottom w:val="0"/>
      <w:divBdr>
        <w:top w:val="none" w:sz="0" w:space="0" w:color="auto"/>
        <w:left w:val="none" w:sz="0" w:space="0" w:color="auto"/>
        <w:bottom w:val="none" w:sz="0" w:space="0" w:color="auto"/>
        <w:right w:val="none" w:sz="0" w:space="0" w:color="auto"/>
      </w:divBdr>
    </w:div>
    <w:div w:id="209539227">
      <w:bodyDiv w:val="1"/>
      <w:marLeft w:val="0"/>
      <w:marRight w:val="0"/>
      <w:marTop w:val="0"/>
      <w:marBottom w:val="0"/>
      <w:divBdr>
        <w:top w:val="none" w:sz="0" w:space="0" w:color="auto"/>
        <w:left w:val="none" w:sz="0" w:space="0" w:color="auto"/>
        <w:bottom w:val="none" w:sz="0" w:space="0" w:color="auto"/>
        <w:right w:val="none" w:sz="0" w:space="0" w:color="auto"/>
      </w:divBdr>
    </w:div>
    <w:div w:id="210773031">
      <w:bodyDiv w:val="1"/>
      <w:marLeft w:val="0"/>
      <w:marRight w:val="0"/>
      <w:marTop w:val="0"/>
      <w:marBottom w:val="0"/>
      <w:divBdr>
        <w:top w:val="none" w:sz="0" w:space="0" w:color="auto"/>
        <w:left w:val="none" w:sz="0" w:space="0" w:color="auto"/>
        <w:bottom w:val="none" w:sz="0" w:space="0" w:color="auto"/>
        <w:right w:val="none" w:sz="0" w:space="0" w:color="auto"/>
      </w:divBdr>
    </w:div>
    <w:div w:id="214782026">
      <w:bodyDiv w:val="1"/>
      <w:marLeft w:val="0"/>
      <w:marRight w:val="0"/>
      <w:marTop w:val="0"/>
      <w:marBottom w:val="0"/>
      <w:divBdr>
        <w:top w:val="none" w:sz="0" w:space="0" w:color="auto"/>
        <w:left w:val="none" w:sz="0" w:space="0" w:color="auto"/>
        <w:bottom w:val="none" w:sz="0" w:space="0" w:color="auto"/>
        <w:right w:val="none" w:sz="0" w:space="0" w:color="auto"/>
      </w:divBdr>
    </w:div>
    <w:div w:id="230040269">
      <w:bodyDiv w:val="1"/>
      <w:marLeft w:val="0"/>
      <w:marRight w:val="0"/>
      <w:marTop w:val="0"/>
      <w:marBottom w:val="0"/>
      <w:divBdr>
        <w:top w:val="none" w:sz="0" w:space="0" w:color="auto"/>
        <w:left w:val="none" w:sz="0" w:space="0" w:color="auto"/>
        <w:bottom w:val="none" w:sz="0" w:space="0" w:color="auto"/>
        <w:right w:val="none" w:sz="0" w:space="0" w:color="auto"/>
      </w:divBdr>
    </w:div>
    <w:div w:id="234777516">
      <w:bodyDiv w:val="1"/>
      <w:marLeft w:val="0"/>
      <w:marRight w:val="0"/>
      <w:marTop w:val="0"/>
      <w:marBottom w:val="0"/>
      <w:divBdr>
        <w:top w:val="none" w:sz="0" w:space="0" w:color="auto"/>
        <w:left w:val="none" w:sz="0" w:space="0" w:color="auto"/>
        <w:bottom w:val="none" w:sz="0" w:space="0" w:color="auto"/>
        <w:right w:val="none" w:sz="0" w:space="0" w:color="auto"/>
      </w:divBdr>
      <w:divsChild>
        <w:div w:id="1316883881">
          <w:marLeft w:val="0"/>
          <w:marRight w:val="0"/>
          <w:marTop w:val="0"/>
          <w:marBottom w:val="0"/>
          <w:divBdr>
            <w:top w:val="none" w:sz="0" w:space="0" w:color="auto"/>
            <w:left w:val="none" w:sz="0" w:space="0" w:color="auto"/>
            <w:bottom w:val="none" w:sz="0" w:space="0" w:color="auto"/>
            <w:right w:val="none" w:sz="0" w:space="0" w:color="auto"/>
          </w:divBdr>
        </w:div>
      </w:divsChild>
    </w:div>
    <w:div w:id="275413057">
      <w:bodyDiv w:val="1"/>
      <w:marLeft w:val="0"/>
      <w:marRight w:val="0"/>
      <w:marTop w:val="0"/>
      <w:marBottom w:val="0"/>
      <w:divBdr>
        <w:top w:val="none" w:sz="0" w:space="0" w:color="auto"/>
        <w:left w:val="none" w:sz="0" w:space="0" w:color="auto"/>
        <w:bottom w:val="none" w:sz="0" w:space="0" w:color="auto"/>
        <w:right w:val="none" w:sz="0" w:space="0" w:color="auto"/>
      </w:divBdr>
    </w:div>
    <w:div w:id="314914197">
      <w:bodyDiv w:val="1"/>
      <w:marLeft w:val="0"/>
      <w:marRight w:val="0"/>
      <w:marTop w:val="0"/>
      <w:marBottom w:val="0"/>
      <w:divBdr>
        <w:top w:val="none" w:sz="0" w:space="0" w:color="auto"/>
        <w:left w:val="none" w:sz="0" w:space="0" w:color="auto"/>
        <w:bottom w:val="none" w:sz="0" w:space="0" w:color="auto"/>
        <w:right w:val="none" w:sz="0" w:space="0" w:color="auto"/>
      </w:divBdr>
    </w:div>
    <w:div w:id="360395904">
      <w:bodyDiv w:val="1"/>
      <w:marLeft w:val="0"/>
      <w:marRight w:val="0"/>
      <w:marTop w:val="0"/>
      <w:marBottom w:val="0"/>
      <w:divBdr>
        <w:top w:val="none" w:sz="0" w:space="0" w:color="auto"/>
        <w:left w:val="none" w:sz="0" w:space="0" w:color="auto"/>
        <w:bottom w:val="none" w:sz="0" w:space="0" w:color="auto"/>
        <w:right w:val="none" w:sz="0" w:space="0" w:color="auto"/>
      </w:divBdr>
    </w:div>
    <w:div w:id="384643318">
      <w:bodyDiv w:val="1"/>
      <w:marLeft w:val="0"/>
      <w:marRight w:val="0"/>
      <w:marTop w:val="0"/>
      <w:marBottom w:val="0"/>
      <w:divBdr>
        <w:top w:val="none" w:sz="0" w:space="0" w:color="auto"/>
        <w:left w:val="none" w:sz="0" w:space="0" w:color="auto"/>
        <w:bottom w:val="none" w:sz="0" w:space="0" w:color="auto"/>
        <w:right w:val="none" w:sz="0" w:space="0" w:color="auto"/>
      </w:divBdr>
    </w:div>
    <w:div w:id="393116330">
      <w:bodyDiv w:val="1"/>
      <w:marLeft w:val="0"/>
      <w:marRight w:val="0"/>
      <w:marTop w:val="0"/>
      <w:marBottom w:val="0"/>
      <w:divBdr>
        <w:top w:val="none" w:sz="0" w:space="0" w:color="auto"/>
        <w:left w:val="none" w:sz="0" w:space="0" w:color="auto"/>
        <w:bottom w:val="none" w:sz="0" w:space="0" w:color="auto"/>
        <w:right w:val="none" w:sz="0" w:space="0" w:color="auto"/>
      </w:divBdr>
    </w:div>
    <w:div w:id="398984822">
      <w:bodyDiv w:val="1"/>
      <w:marLeft w:val="0"/>
      <w:marRight w:val="0"/>
      <w:marTop w:val="0"/>
      <w:marBottom w:val="0"/>
      <w:divBdr>
        <w:top w:val="none" w:sz="0" w:space="0" w:color="auto"/>
        <w:left w:val="none" w:sz="0" w:space="0" w:color="auto"/>
        <w:bottom w:val="none" w:sz="0" w:space="0" w:color="auto"/>
        <w:right w:val="none" w:sz="0" w:space="0" w:color="auto"/>
      </w:divBdr>
    </w:div>
    <w:div w:id="411198723">
      <w:bodyDiv w:val="1"/>
      <w:marLeft w:val="0"/>
      <w:marRight w:val="0"/>
      <w:marTop w:val="0"/>
      <w:marBottom w:val="0"/>
      <w:divBdr>
        <w:top w:val="none" w:sz="0" w:space="0" w:color="auto"/>
        <w:left w:val="none" w:sz="0" w:space="0" w:color="auto"/>
        <w:bottom w:val="none" w:sz="0" w:space="0" w:color="auto"/>
        <w:right w:val="none" w:sz="0" w:space="0" w:color="auto"/>
      </w:divBdr>
    </w:div>
    <w:div w:id="413211958">
      <w:bodyDiv w:val="1"/>
      <w:marLeft w:val="0"/>
      <w:marRight w:val="0"/>
      <w:marTop w:val="0"/>
      <w:marBottom w:val="0"/>
      <w:divBdr>
        <w:top w:val="none" w:sz="0" w:space="0" w:color="auto"/>
        <w:left w:val="none" w:sz="0" w:space="0" w:color="auto"/>
        <w:bottom w:val="none" w:sz="0" w:space="0" w:color="auto"/>
        <w:right w:val="none" w:sz="0" w:space="0" w:color="auto"/>
      </w:divBdr>
    </w:div>
    <w:div w:id="417681809">
      <w:bodyDiv w:val="1"/>
      <w:marLeft w:val="0"/>
      <w:marRight w:val="0"/>
      <w:marTop w:val="0"/>
      <w:marBottom w:val="0"/>
      <w:divBdr>
        <w:top w:val="none" w:sz="0" w:space="0" w:color="auto"/>
        <w:left w:val="none" w:sz="0" w:space="0" w:color="auto"/>
        <w:bottom w:val="none" w:sz="0" w:space="0" w:color="auto"/>
        <w:right w:val="none" w:sz="0" w:space="0" w:color="auto"/>
      </w:divBdr>
      <w:divsChild>
        <w:div w:id="370345912">
          <w:marLeft w:val="0"/>
          <w:marRight w:val="0"/>
          <w:marTop w:val="0"/>
          <w:marBottom w:val="0"/>
          <w:divBdr>
            <w:top w:val="none" w:sz="0" w:space="0" w:color="auto"/>
            <w:left w:val="none" w:sz="0" w:space="0" w:color="auto"/>
            <w:bottom w:val="none" w:sz="0" w:space="0" w:color="auto"/>
            <w:right w:val="none" w:sz="0" w:space="0" w:color="auto"/>
          </w:divBdr>
          <w:divsChild>
            <w:div w:id="328872777">
              <w:marLeft w:val="0"/>
              <w:marRight w:val="0"/>
              <w:marTop w:val="0"/>
              <w:marBottom w:val="0"/>
              <w:divBdr>
                <w:top w:val="none" w:sz="0" w:space="0" w:color="auto"/>
                <w:left w:val="none" w:sz="0" w:space="0" w:color="auto"/>
                <w:bottom w:val="none" w:sz="0" w:space="0" w:color="auto"/>
                <w:right w:val="none" w:sz="0" w:space="0" w:color="auto"/>
              </w:divBdr>
              <w:divsChild>
                <w:div w:id="173219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742211">
      <w:bodyDiv w:val="1"/>
      <w:marLeft w:val="0"/>
      <w:marRight w:val="0"/>
      <w:marTop w:val="0"/>
      <w:marBottom w:val="0"/>
      <w:divBdr>
        <w:top w:val="none" w:sz="0" w:space="0" w:color="auto"/>
        <w:left w:val="none" w:sz="0" w:space="0" w:color="auto"/>
        <w:bottom w:val="none" w:sz="0" w:space="0" w:color="auto"/>
        <w:right w:val="none" w:sz="0" w:space="0" w:color="auto"/>
      </w:divBdr>
    </w:div>
    <w:div w:id="471673168">
      <w:bodyDiv w:val="1"/>
      <w:marLeft w:val="0"/>
      <w:marRight w:val="0"/>
      <w:marTop w:val="0"/>
      <w:marBottom w:val="0"/>
      <w:divBdr>
        <w:top w:val="none" w:sz="0" w:space="0" w:color="auto"/>
        <w:left w:val="none" w:sz="0" w:space="0" w:color="auto"/>
        <w:bottom w:val="none" w:sz="0" w:space="0" w:color="auto"/>
        <w:right w:val="none" w:sz="0" w:space="0" w:color="auto"/>
      </w:divBdr>
    </w:div>
    <w:div w:id="474489528">
      <w:bodyDiv w:val="1"/>
      <w:marLeft w:val="0"/>
      <w:marRight w:val="0"/>
      <w:marTop w:val="0"/>
      <w:marBottom w:val="0"/>
      <w:divBdr>
        <w:top w:val="none" w:sz="0" w:space="0" w:color="auto"/>
        <w:left w:val="none" w:sz="0" w:space="0" w:color="auto"/>
        <w:bottom w:val="none" w:sz="0" w:space="0" w:color="auto"/>
        <w:right w:val="none" w:sz="0" w:space="0" w:color="auto"/>
      </w:divBdr>
    </w:div>
    <w:div w:id="477184923">
      <w:bodyDiv w:val="1"/>
      <w:marLeft w:val="0"/>
      <w:marRight w:val="0"/>
      <w:marTop w:val="0"/>
      <w:marBottom w:val="0"/>
      <w:divBdr>
        <w:top w:val="none" w:sz="0" w:space="0" w:color="auto"/>
        <w:left w:val="none" w:sz="0" w:space="0" w:color="auto"/>
        <w:bottom w:val="none" w:sz="0" w:space="0" w:color="auto"/>
        <w:right w:val="none" w:sz="0" w:space="0" w:color="auto"/>
      </w:divBdr>
    </w:div>
    <w:div w:id="492262396">
      <w:bodyDiv w:val="1"/>
      <w:marLeft w:val="0"/>
      <w:marRight w:val="0"/>
      <w:marTop w:val="0"/>
      <w:marBottom w:val="0"/>
      <w:divBdr>
        <w:top w:val="none" w:sz="0" w:space="0" w:color="auto"/>
        <w:left w:val="none" w:sz="0" w:space="0" w:color="auto"/>
        <w:bottom w:val="none" w:sz="0" w:space="0" w:color="auto"/>
        <w:right w:val="none" w:sz="0" w:space="0" w:color="auto"/>
      </w:divBdr>
    </w:div>
    <w:div w:id="501626763">
      <w:bodyDiv w:val="1"/>
      <w:marLeft w:val="0"/>
      <w:marRight w:val="0"/>
      <w:marTop w:val="0"/>
      <w:marBottom w:val="0"/>
      <w:divBdr>
        <w:top w:val="none" w:sz="0" w:space="0" w:color="auto"/>
        <w:left w:val="none" w:sz="0" w:space="0" w:color="auto"/>
        <w:bottom w:val="none" w:sz="0" w:space="0" w:color="auto"/>
        <w:right w:val="none" w:sz="0" w:space="0" w:color="auto"/>
      </w:divBdr>
    </w:div>
    <w:div w:id="503861699">
      <w:bodyDiv w:val="1"/>
      <w:marLeft w:val="0"/>
      <w:marRight w:val="0"/>
      <w:marTop w:val="0"/>
      <w:marBottom w:val="0"/>
      <w:divBdr>
        <w:top w:val="none" w:sz="0" w:space="0" w:color="auto"/>
        <w:left w:val="none" w:sz="0" w:space="0" w:color="auto"/>
        <w:bottom w:val="none" w:sz="0" w:space="0" w:color="auto"/>
        <w:right w:val="none" w:sz="0" w:space="0" w:color="auto"/>
      </w:divBdr>
    </w:div>
    <w:div w:id="505904021">
      <w:bodyDiv w:val="1"/>
      <w:marLeft w:val="0"/>
      <w:marRight w:val="0"/>
      <w:marTop w:val="0"/>
      <w:marBottom w:val="0"/>
      <w:divBdr>
        <w:top w:val="none" w:sz="0" w:space="0" w:color="auto"/>
        <w:left w:val="none" w:sz="0" w:space="0" w:color="auto"/>
        <w:bottom w:val="none" w:sz="0" w:space="0" w:color="auto"/>
        <w:right w:val="none" w:sz="0" w:space="0" w:color="auto"/>
      </w:divBdr>
    </w:div>
    <w:div w:id="525677636">
      <w:bodyDiv w:val="1"/>
      <w:marLeft w:val="0"/>
      <w:marRight w:val="0"/>
      <w:marTop w:val="0"/>
      <w:marBottom w:val="0"/>
      <w:divBdr>
        <w:top w:val="none" w:sz="0" w:space="0" w:color="auto"/>
        <w:left w:val="none" w:sz="0" w:space="0" w:color="auto"/>
        <w:bottom w:val="none" w:sz="0" w:space="0" w:color="auto"/>
        <w:right w:val="none" w:sz="0" w:space="0" w:color="auto"/>
      </w:divBdr>
    </w:div>
    <w:div w:id="592320471">
      <w:bodyDiv w:val="1"/>
      <w:marLeft w:val="0"/>
      <w:marRight w:val="0"/>
      <w:marTop w:val="0"/>
      <w:marBottom w:val="0"/>
      <w:divBdr>
        <w:top w:val="none" w:sz="0" w:space="0" w:color="auto"/>
        <w:left w:val="none" w:sz="0" w:space="0" w:color="auto"/>
        <w:bottom w:val="none" w:sz="0" w:space="0" w:color="auto"/>
        <w:right w:val="none" w:sz="0" w:space="0" w:color="auto"/>
      </w:divBdr>
    </w:div>
    <w:div w:id="633757857">
      <w:bodyDiv w:val="1"/>
      <w:marLeft w:val="0"/>
      <w:marRight w:val="0"/>
      <w:marTop w:val="0"/>
      <w:marBottom w:val="0"/>
      <w:divBdr>
        <w:top w:val="none" w:sz="0" w:space="0" w:color="auto"/>
        <w:left w:val="none" w:sz="0" w:space="0" w:color="auto"/>
        <w:bottom w:val="none" w:sz="0" w:space="0" w:color="auto"/>
        <w:right w:val="none" w:sz="0" w:space="0" w:color="auto"/>
      </w:divBdr>
    </w:div>
    <w:div w:id="635063853">
      <w:bodyDiv w:val="1"/>
      <w:marLeft w:val="0"/>
      <w:marRight w:val="0"/>
      <w:marTop w:val="0"/>
      <w:marBottom w:val="0"/>
      <w:divBdr>
        <w:top w:val="none" w:sz="0" w:space="0" w:color="auto"/>
        <w:left w:val="none" w:sz="0" w:space="0" w:color="auto"/>
        <w:bottom w:val="none" w:sz="0" w:space="0" w:color="auto"/>
        <w:right w:val="none" w:sz="0" w:space="0" w:color="auto"/>
      </w:divBdr>
    </w:div>
    <w:div w:id="637347022">
      <w:bodyDiv w:val="1"/>
      <w:marLeft w:val="0"/>
      <w:marRight w:val="0"/>
      <w:marTop w:val="0"/>
      <w:marBottom w:val="0"/>
      <w:divBdr>
        <w:top w:val="none" w:sz="0" w:space="0" w:color="auto"/>
        <w:left w:val="none" w:sz="0" w:space="0" w:color="auto"/>
        <w:bottom w:val="none" w:sz="0" w:space="0" w:color="auto"/>
        <w:right w:val="none" w:sz="0" w:space="0" w:color="auto"/>
      </w:divBdr>
    </w:div>
    <w:div w:id="639573908">
      <w:bodyDiv w:val="1"/>
      <w:marLeft w:val="0"/>
      <w:marRight w:val="0"/>
      <w:marTop w:val="0"/>
      <w:marBottom w:val="0"/>
      <w:divBdr>
        <w:top w:val="none" w:sz="0" w:space="0" w:color="auto"/>
        <w:left w:val="none" w:sz="0" w:space="0" w:color="auto"/>
        <w:bottom w:val="none" w:sz="0" w:space="0" w:color="auto"/>
        <w:right w:val="none" w:sz="0" w:space="0" w:color="auto"/>
      </w:divBdr>
    </w:div>
    <w:div w:id="657655538">
      <w:bodyDiv w:val="1"/>
      <w:marLeft w:val="0"/>
      <w:marRight w:val="0"/>
      <w:marTop w:val="0"/>
      <w:marBottom w:val="0"/>
      <w:divBdr>
        <w:top w:val="none" w:sz="0" w:space="0" w:color="auto"/>
        <w:left w:val="none" w:sz="0" w:space="0" w:color="auto"/>
        <w:bottom w:val="none" w:sz="0" w:space="0" w:color="auto"/>
        <w:right w:val="none" w:sz="0" w:space="0" w:color="auto"/>
      </w:divBdr>
    </w:div>
    <w:div w:id="669869578">
      <w:bodyDiv w:val="1"/>
      <w:marLeft w:val="0"/>
      <w:marRight w:val="0"/>
      <w:marTop w:val="0"/>
      <w:marBottom w:val="0"/>
      <w:divBdr>
        <w:top w:val="none" w:sz="0" w:space="0" w:color="auto"/>
        <w:left w:val="none" w:sz="0" w:space="0" w:color="auto"/>
        <w:bottom w:val="none" w:sz="0" w:space="0" w:color="auto"/>
        <w:right w:val="none" w:sz="0" w:space="0" w:color="auto"/>
      </w:divBdr>
      <w:divsChild>
        <w:div w:id="1388601155">
          <w:marLeft w:val="0"/>
          <w:marRight w:val="0"/>
          <w:marTop w:val="0"/>
          <w:marBottom w:val="0"/>
          <w:divBdr>
            <w:top w:val="none" w:sz="0" w:space="0" w:color="auto"/>
            <w:left w:val="none" w:sz="0" w:space="0" w:color="auto"/>
            <w:bottom w:val="none" w:sz="0" w:space="0" w:color="auto"/>
            <w:right w:val="none" w:sz="0" w:space="0" w:color="auto"/>
          </w:divBdr>
          <w:divsChild>
            <w:div w:id="2079014141">
              <w:marLeft w:val="0"/>
              <w:marRight w:val="0"/>
              <w:marTop w:val="0"/>
              <w:marBottom w:val="0"/>
              <w:divBdr>
                <w:top w:val="none" w:sz="0" w:space="0" w:color="auto"/>
                <w:left w:val="none" w:sz="0" w:space="0" w:color="auto"/>
                <w:bottom w:val="none" w:sz="0" w:space="0" w:color="auto"/>
                <w:right w:val="none" w:sz="0" w:space="0" w:color="auto"/>
              </w:divBdr>
              <w:divsChild>
                <w:div w:id="43544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347865">
      <w:bodyDiv w:val="1"/>
      <w:marLeft w:val="0"/>
      <w:marRight w:val="0"/>
      <w:marTop w:val="0"/>
      <w:marBottom w:val="0"/>
      <w:divBdr>
        <w:top w:val="none" w:sz="0" w:space="0" w:color="auto"/>
        <w:left w:val="none" w:sz="0" w:space="0" w:color="auto"/>
        <w:bottom w:val="none" w:sz="0" w:space="0" w:color="auto"/>
        <w:right w:val="none" w:sz="0" w:space="0" w:color="auto"/>
      </w:divBdr>
    </w:div>
    <w:div w:id="697126376">
      <w:bodyDiv w:val="1"/>
      <w:marLeft w:val="0"/>
      <w:marRight w:val="0"/>
      <w:marTop w:val="0"/>
      <w:marBottom w:val="0"/>
      <w:divBdr>
        <w:top w:val="none" w:sz="0" w:space="0" w:color="auto"/>
        <w:left w:val="none" w:sz="0" w:space="0" w:color="auto"/>
        <w:bottom w:val="none" w:sz="0" w:space="0" w:color="auto"/>
        <w:right w:val="none" w:sz="0" w:space="0" w:color="auto"/>
      </w:divBdr>
    </w:div>
    <w:div w:id="709719990">
      <w:bodyDiv w:val="1"/>
      <w:marLeft w:val="0"/>
      <w:marRight w:val="0"/>
      <w:marTop w:val="0"/>
      <w:marBottom w:val="0"/>
      <w:divBdr>
        <w:top w:val="none" w:sz="0" w:space="0" w:color="auto"/>
        <w:left w:val="none" w:sz="0" w:space="0" w:color="auto"/>
        <w:bottom w:val="none" w:sz="0" w:space="0" w:color="auto"/>
        <w:right w:val="none" w:sz="0" w:space="0" w:color="auto"/>
      </w:divBdr>
    </w:div>
    <w:div w:id="716391383">
      <w:bodyDiv w:val="1"/>
      <w:marLeft w:val="0"/>
      <w:marRight w:val="0"/>
      <w:marTop w:val="0"/>
      <w:marBottom w:val="0"/>
      <w:divBdr>
        <w:top w:val="none" w:sz="0" w:space="0" w:color="auto"/>
        <w:left w:val="none" w:sz="0" w:space="0" w:color="auto"/>
        <w:bottom w:val="none" w:sz="0" w:space="0" w:color="auto"/>
        <w:right w:val="none" w:sz="0" w:space="0" w:color="auto"/>
      </w:divBdr>
    </w:div>
    <w:div w:id="745803341">
      <w:bodyDiv w:val="1"/>
      <w:marLeft w:val="0"/>
      <w:marRight w:val="0"/>
      <w:marTop w:val="0"/>
      <w:marBottom w:val="0"/>
      <w:divBdr>
        <w:top w:val="none" w:sz="0" w:space="0" w:color="auto"/>
        <w:left w:val="none" w:sz="0" w:space="0" w:color="auto"/>
        <w:bottom w:val="none" w:sz="0" w:space="0" w:color="auto"/>
        <w:right w:val="none" w:sz="0" w:space="0" w:color="auto"/>
      </w:divBdr>
    </w:div>
    <w:div w:id="772821183">
      <w:bodyDiv w:val="1"/>
      <w:marLeft w:val="0"/>
      <w:marRight w:val="0"/>
      <w:marTop w:val="0"/>
      <w:marBottom w:val="0"/>
      <w:divBdr>
        <w:top w:val="none" w:sz="0" w:space="0" w:color="auto"/>
        <w:left w:val="none" w:sz="0" w:space="0" w:color="auto"/>
        <w:bottom w:val="none" w:sz="0" w:space="0" w:color="auto"/>
        <w:right w:val="none" w:sz="0" w:space="0" w:color="auto"/>
      </w:divBdr>
      <w:divsChild>
        <w:div w:id="252982951">
          <w:marLeft w:val="0"/>
          <w:marRight w:val="0"/>
          <w:marTop w:val="0"/>
          <w:marBottom w:val="0"/>
          <w:divBdr>
            <w:top w:val="none" w:sz="0" w:space="0" w:color="auto"/>
            <w:left w:val="none" w:sz="0" w:space="0" w:color="auto"/>
            <w:bottom w:val="none" w:sz="0" w:space="0" w:color="auto"/>
            <w:right w:val="none" w:sz="0" w:space="0" w:color="auto"/>
          </w:divBdr>
          <w:divsChild>
            <w:div w:id="522285438">
              <w:marLeft w:val="0"/>
              <w:marRight w:val="0"/>
              <w:marTop w:val="0"/>
              <w:marBottom w:val="0"/>
              <w:divBdr>
                <w:top w:val="none" w:sz="0" w:space="0" w:color="auto"/>
                <w:left w:val="none" w:sz="0" w:space="0" w:color="auto"/>
                <w:bottom w:val="none" w:sz="0" w:space="0" w:color="auto"/>
                <w:right w:val="none" w:sz="0" w:space="0" w:color="auto"/>
              </w:divBdr>
              <w:divsChild>
                <w:div w:id="8578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14109">
      <w:bodyDiv w:val="1"/>
      <w:marLeft w:val="0"/>
      <w:marRight w:val="0"/>
      <w:marTop w:val="0"/>
      <w:marBottom w:val="0"/>
      <w:divBdr>
        <w:top w:val="none" w:sz="0" w:space="0" w:color="auto"/>
        <w:left w:val="none" w:sz="0" w:space="0" w:color="auto"/>
        <w:bottom w:val="none" w:sz="0" w:space="0" w:color="auto"/>
        <w:right w:val="none" w:sz="0" w:space="0" w:color="auto"/>
      </w:divBdr>
    </w:div>
    <w:div w:id="799764930">
      <w:bodyDiv w:val="1"/>
      <w:marLeft w:val="0"/>
      <w:marRight w:val="0"/>
      <w:marTop w:val="0"/>
      <w:marBottom w:val="0"/>
      <w:divBdr>
        <w:top w:val="none" w:sz="0" w:space="0" w:color="auto"/>
        <w:left w:val="none" w:sz="0" w:space="0" w:color="auto"/>
        <w:bottom w:val="none" w:sz="0" w:space="0" w:color="auto"/>
        <w:right w:val="none" w:sz="0" w:space="0" w:color="auto"/>
      </w:divBdr>
    </w:div>
    <w:div w:id="811674617">
      <w:bodyDiv w:val="1"/>
      <w:marLeft w:val="0"/>
      <w:marRight w:val="0"/>
      <w:marTop w:val="0"/>
      <w:marBottom w:val="0"/>
      <w:divBdr>
        <w:top w:val="none" w:sz="0" w:space="0" w:color="auto"/>
        <w:left w:val="none" w:sz="0" w:space="0" w:color="auto"/>
        <w:bottom w:val="none" w:sz="0" w:space="0" w:color="auto"/>
        <w:right w:val="none" w:sz="0" w:space="0" w:color="auto"/>
      </w:divBdr>
    </w:div>
    <w:div w:id="828254161">
      <w:bodyDiv w:val="1"/>
      <w:marLeft w:val="0"/>
      <w:marRight w:val="0"/>
      <w:marTop w:val="0"/>
      <w:marBottom w:val="0"/>
      <w:divBdr>
        <w:top w:val="none" w:sz="0" w:space="0" w:color="auto"/>
        <w:left w:val="none" w:sz="0" w:space="0" w:color="auto"/>
        <w:bottom w:val="none" w:sz="0" w:space="0" w:color="auto"/>
        <w:right w:val="none" w:sz="0" w:space="0" w:color="auto"/>
      </w:divBdr>
    </w:div>
    <w:div w:id="831023802">
      <w:bodyDiv w:val="1"/>
      <w:marLeft w:val="0"/>
      <w:marRight w:val="0"/>
      <w:marTop w:val="0"/>
      <w:marBottom w:val="0"/>
      <w:divBdr>
        <w:top w:val="none" w:sz="0" w:space="0" w:color="auto"/>
        <w:left w:val="none" w:sz="0" w:space="0" w:color="auto"/>
        <w:bottom w:val="none" w:sz="0" w:space="0" w:color="auto"/>
        <w:right w:val="none" w:sz="0" w:space="0" w:color="auto"/>
      </w:divBdr>
    </w:div>
    <w:div w:id="865755443">
      <w:bodyDiv w:val="1"/>
      <w:marLeft w:val="0"/>
      <w:marRight w:val="0"/>
      <w:marTop w:val="0"/>
      <w:marBottom w:val="0"/>
      <w:divBdr>
        <w:top w:val="none" w:sz="0" w:space="0" w:color="auto"/>
        <w:left w:val="none" w:sz="0" w:space="0" w:color="auto"/>
        <w:bottom w:val="none" w:sz="0" w:space="0" w:color="auto"/>
        <w:right w:val="none" w:sz="0" w:space="0" w:color="auto"/>
      </w:divBdr>
    </w:div>
    <w:div w:id="871768475">
      <w:bodyDiv w:val="1"/>
      <w:marLeft w:val="0"/>
      <w:marRight w:val="0"/>
      <w:marTop w:val="0"/>
      <w:marBottom w:val="0"/>
      <w:divBdr>
        <w:top w:val="none" w:sz="0" w:space="0" w:color="auto"/>
        <w:left w:val="none" w:sz="0" w:space="0" w:color="auto"/>
        <w:bottom w:val="none" w:sz="0" w:space="0" w:color="auto"/>
        <w:right w:val="none" w:sz="0" w:space="0" w:color="auto"/>
      </w:divBdr>
    </w:div>
    <w:div w:id="887227035">
      <w:bodyDiv w:val="1"/>
      <w:marLeft w:val="0"/>
      <w:marRight w:val="0"/>
      <w:marTop w:val="0"/>
      <w:marBottom w:val="0"/>
      <w:divBdr>
        <w:top w:val="none" w:sz="0" w:space="0" w:color="auto"/>
        <w:left w:val="none" w:sz="0" w:space="0" w:color="auto"/>
        <w:bottom w:val="none" w:sz="0" w:space="0" w:color="auto"/>
        <w:right w:val="none" w:sz="0" w:space="0" w:color="auto"/>
      </w:divBdr>
    </w:div>
    <w:div w:id="918715766">
      <w:bodyDiv w:val="1"/>
      <w:marLeft w:val="0"/>
      <w:marRight w:val="0"/>
      <w:marTop w:val="0"/>
      <w:marBottom w:val="0"/>
      <w:divBdr>
        <w:top w:val="none" w:sz="0" w:space="0" w:color="auto"/>
        <w:left w:val="none" w:sz="0" w:space="0" w:color="auto"/>
        <w:bottom w:val="none" w:sz="0" w:space="0" w:color="auto"/>
        <w:right w:val="none" w:sz="0" w:space="0" w:color="auto"/>
      </w:divBdr>
      <w:divsChild>
        <w:div w:id="2103987764">
          <w:marLeft w:val="0"/>
          <w:marRight w:val="0"/>
          <w:marTop w:val="0"/>
          <w:marBottom w:val="0"/>
          <w:divBdr>
            <w:top w:val="none" w:sz="0" w:space="0" w:color="auto"/>
            <w:left w:val="none" w:sz="0" w:space="0" w:color="auto"/>
            <w:bottom w:val="none" w:sz="0" w:space="0" w:color="auto"/>
            <w:right w:val="none" w:sz="0" w:space="0" w:color="auto"/>
          </w:divBdr>
          <w:divsChild>
            <w:div w:id="543449425">
              <w:marLeft w:val="0"/>
              <w:marRight w:val="0"/>
              <w:marTop w:val="0"/>
              <w:marBottom w:val="0"/>
              <w:divBdr>
                <w:top w:val="none" w:sz="0" w:space="0" w:color="auto"/>
                <w:left w:val="none" w:sz="0" w:space="0" w:color="auto"/>
                <w:bottom w:val="none" w:sz="0" w:space="0" w:color="auto"/>
                <w:right w:val="none" w:sz="0" w:space="0" w:color="auto"/>
              </w:divBdr>
              <w:divsChild>
                <w:div w:id="119183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15676">
      <w:bodyDiv w:val="1"/>
      <w:marLeft w:val="0"/>
      <w:marRight w:val="0"/>
      <w:marTop w:val="0"/>
      <w:marBottom w:val="0"/>
      <w:divBdr>
        <w:top w:val="none" w:sz="0" w:space="0" w:color="auto"/>
        <w:left w:val="none" w:sz="0" w:space="0" w:color="auto"/>
        <w:bottom w:val="none" w:sz="0" w:space="0" w:color="auto"/>
        <w:right w:val="none" w:sz="0" w:space="0" w:color="auto"/>
      </w:divBdr>
    </w:div>
    <w:div w:id="965159283">
      <w:bodyDiv w:val="1"/>
      <w:marLeft w:val="0"/>
      <w:marRight w:val="0"/>
      <w:marTop w:val="0"/>
      <w:marBottom w:val="0"/>
      <w:divBdr>
        <w:top w:val="none" w:sz="0" w:space="0" w:color="auto"/>
        <w:left w:val="none" w:sz="0" w:space="0" w:color="auto"/>
        <w:bottom w:val="none" w:sz="0" w:space="0" w:color="auto"/>
        <w:right w:val="none" w:sz="0" w:space="0" w:color="auto"/>
      </w:divBdr>
    </w:div>
    <w:div w:id="974603558">
      <w:bodyDiv w:val="1"/>
      <w:marLeft w:val="0"/>
      <w:marRight w:val="0"/>
      <w:marTop w:val="0"/>
      <w:marBottom w:val="0"/>
      <w:divBdr>
        <w:top w:val="none" w:sz="0" w:space="0" w:color="auto"/>
        <w:left w:val="none" w:sz="0" w:space="0" w:color="auto"/>
        <w:bottom w:val="none" w:sz="0" w:space="0" w:color="auto"/>
        <w:right w:val="none" w:sz="0" w:space="0" w:color="auto"/>
      </w:divBdr>
    </w:div>
    <w:div w:id="979968159">
      <w:bodyDiv w:val="1"/>
      <w:marLeft w:val="0"/>
      <w:marRight w:val="0"/>
      <w:marTop w:val="0"/>
      <w:marBottom w:val="0"/>
      <w:divBdr>
        <w:top w:val="none" w:sz="0" w:space="0" w:color="auto"/>
        <w:left w:val="none" w:sz="0" w:space="0" w:color="auto"/>
        <w:bottom w:val="none" w:sz="0" w:space="0" w:color="auto"/>
        <w:right w:val="none" w:sz="0" w:space="0" w:color="auto"/>
      </w:divBdr>
      <w:divsChild>
        <w:div w:id="1647929676">
          <w:marLeft w:val="0"/>
          <w:marRight w:val="0"/>
          <w:marTop w:val="0"/>
          <w:marBottom w:val="0"/>
          <w:divBdr>
            <w:top w:val="none" w:sz="0" w:space="0" w:color="auto"/>
            <w:left w:val="none" w:sz="0" w:space="0" w:color="auto"/>
            <w:bottom w:val="none" w:sz="0" w:space="0" w:color="auto"/>
            <w:right w:val="none" w:sz="0" w:space="0" w:color="auto"/>
          </w:divBdr>
          <w:divsChild>
            <w:div w:id="1219363506">
              <w:marLeft w:val="0"/>
              <w:marRight w:val="0"/>
              <w:marTop w:val="0"/>
              <w:marBottom w:val="0"/>
              <w:divBdr>
                <w:top w:val="none" w:sz="0" w:space="0" w:color="auto"/>
                <w:left w:val="none" w:sz="0" w:space="0" w:color="auto"/>
                <w:bottom w:val="none" w:sz="0" w:space="0" w:color="auto"/>
                <w:right w:val="none" w:sz="0" w:space="0" w:color="auto"/>
              </w:divBdr>
              <w:divsChild>
                <w:div w:id="34112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15506">
      <w:bodyDiv w:val="1"/>
      <w:marLeft w:val="0"/>
      <w:marRight w:val="0"/>
      <w:marTop w:val="0"/>
      <w:marBottom w:val="0"/>
      <w:divBdr>
        <w:top w:val="none" w:sz="0" w:space="0" w:color="auto"/>
        <w:left w:val="none" w:sz="0" w:space="0" w:color="auto"/>
        <w:bottom w:val="none" w:sz="0" w:space="0" w:color="auto"/>
        <w:right w:val="none" w:sz="0" w:space="0" w:color="auto"/>
      </w:divBdr>
    </w:div>
    <w:div w:id="1002470544">
      <w:bodyDiv w:val="1"/>
      <w:marLeft w:val="0"/>
      <w:marRight w:val="0"/>
      <w:marTop w:val="0"/>
      <w:marBottom w:val="0"/>
      <w:divBdr>
        <w:top w:val="none" w:sz="0" w:space="0" w:color="auto"/>
        <w:left w:val="none" w:sz="0" w:space="0" w:color="auto"/>
        <w:bottom w:val="none" w:sz="0" w:space="0" w:color="auto"/>
        <w:right w:val="none" w:sz="0" w:space="0" w:color="auto"/>
      </w:divBdr>
    </w:div>
    <w:div w:id="1005286912">
      <w:bodyDiv w:val="1"/>
      <w:marLeft w:val="0"/>
      <w:marRight w:val="0"/>
      <w:marTop w:val="0"/>
      <w:marBottom w:val="0"/>
      <w:divBdr>
        <w:top w:val="none" w:sz="0" w:space="0" w:color="auto"/>
        <w:left w:val="none" w:sz="0" w:space="0" w:color="auto"/>
        <w:bottom w:val="none" w:sz="0" w:space="0" w:color="auto"/>
        <w:right w:val="none" w:sz="0" w:space="0" w:color="auto"/>
      </w:divBdr>
    </w:div>
    <w:div w:id="1007253263">
      <w:bodyDiv w:val="1"/>
      <w:marLeft w:val="0"/>
      <w:marRight w:val="0"/>
      <w:marTop w:val="0"/>
      <w:marBottom w:val="0"/>
      <w:divBdr>
        <w:top w:val="none" w:sz="0" w:space="0" w:color="auto"/>
        <w:left w:val="none" w:sz="0" w:space="0" w:color="auto"/>
        <w:bottom w:val="none" w:sz="0" w:space="0" w:color="auto"/>
        <w:right w:val="none" w:sz="0" w:space="0" w:color="auto"/>
      </w:divBdr>
    </w:div>
    <w:div w:id="1051147025">
      <w:bodyDiv w:val="1"/>
      <w:marLeft w:val="0"/>
      <w:marRight w:val="0"/>
      <w:marTop w:val="0"/>
      <w:marBottom w:val="0"/>
      <w:divBdr>
        <w:top w:val="none" w:sz="0" w:space="0" w:color="auto"/>
        <w:left w:val="none" w:sz="0" w:space="0" w:color="auto"/>
        <w:bottom w:val="none" w:sz="0" w:space="0" w:color="auto"/>
        <w:right w:val="none" w:sz="0" w:space="0" w:color="auto"/>
      </w:divBdr>
    </w:div>
    <w:div w:id="1052074842">
      <w:bodyDiv w:val="1"/>
      <w:marLeft w:val="0"/>
      <w:marRight w:val="0"/>
      <w:marTop w:val="0"/>
      <w:marBottom w:val="0"/>
      <w:divBdr>
        <w:top w:val="none" w:sz="0" w:space="0" w:color="auto"/>
        <w:left w:val="none" w:sz="0" w:space="0" w:color="auto"/>
        <w:bottom w:val="none" w:sz="0" w:space="0" w:color="auto"/>
        <w:right w:val="none" w:sz="0" w:space="0" w:color="auto"/>
      </w:divBdr>
    </w:div>
    <w:div w:id="1136605071">
      <w:bodyDiv w:val="1"/>
      <w:marLeft w:val="0"/>
      <w:marRight w:val="0"/>
      <w:marTop w:val="0"/>
      <w:marBottom w:val="0"/>
      <w:divBdr>
        <w:top w:val="none" w:sz="0" w:space="0" w:color="auto"/>
        <w:left w:val="none" w:sz="0" w:space="0" w:color="auto"/>
        <w:bottom w:val="none" w:sz="0" w:space="0" w:color="auto"/>
        <w:right w:val="none" w:sz="0" w:space="0" w:color="auto"/>
      </w:divBdr>
    </w:div>
    <w:div w:id="1156991315">
      <w:bodyDiv w:val="1"/>
      <w:marLeft w:val="0"/>
      <w:marRight w:val="0"/>
      <w:marTop w:val="0"/>
      <w:marBottom w:val="0"/>
      <w:divBdr>
        <w:top w:val="none" w:sz="0" w:space="0" w:color="auto"/>
        <w:left w:val="none" w:sz="0" w:space="0" w:color="auto"/>
        <w:bottom w:val="none" w:sz="0" w:space="0" w:color="auto"/>
        <w:right w:val="none" w:sz="0" w:space="0" w:color="auto"/>
      </w:divBdr>
    </w:div>
    <w:div w:id="1167867156">
      <w:bodyDiv w:val="1"/>
      <w:marLeft w:val="0"/>
      <w:marRight w:val="0"/>
      <w:marTop w:val="0"/>
      <w:marBottom w:val="0"/>
      <w:divBdr>
        <w:top w:val="none" w:sz="0" w:space="0" w:color="auto"/>
        <w:left w:val="none" w:sz="0" w:space="0" w:color="auto"/>
        <w:bottom w:val="none" w:sz="0" w:space="0" w:color="auto"/>
        <w:right w:val="none" w:sz="0" w:space="0" w:color="auto"/>
      </w:divBdr>
    </w:div>
    <w:div w:id="1188371493">
      <w:bodyDiv w:val="1"/>
      <w:marLeft w:val="0"/>
      <w:marRight w:val="0"/>
      <w:marTop w:val="0"/>
      <w:marBottom w:val="0"/>
      <w:divBdr>
        <w:top w:val="none" w:sz="0" w:space="0" w:color="auto"/>
        <w:left w:val="none" w:sz="0" w:space="0" w:color="auto"/>
        <w:bottom w:val="none" w:sz="0" w:space="0" w:color="auto"/>
        <w:right w:val="none" w:sz="0" w:space="0" w:color="auto"/>
      </w:divBdr>
    </w:div>
    <w:div w:id="1199245893">
      <w:bodyDiv w:val="1"/>
      <w:marLeft w:val="0"/>
      <w:marRight w:val="0"/>
      <w:marTop w:val="0"/>
      <w:marBottom w:val="0"/>
      <w:divBdr>
        <w:top w:val="none" w:sz="0" w:space="0" w:color="auto"/>
        <w:left w:val="none" w:sz="0" w:space="0" w:color="auto"/>
        <w:bottom w:val="none" w:sz="0" w:space="0" w:color="auto"/>
        <w:right w:val="none" w:sz="0" w:space="0" w:color="auto"/>
      </w:divBdr>
    </w:div>
    <w:div w:id="1203590291">
      <w:bodyDiv w:val="1"/>
      <w:marLeft w:val="0"/>
      <w:marRight w:val="0"/>
      <w:marTop w:val="0"/>
      <w:marBottom w:val="0"/>
      <w:divBdr>
        <w:top w:val="none" w:sz="0" w:space="0" w:color="auto"/>
        <w:left w:val="none" w:sz="0" w:space="0" w:color="auto"/>
        <w:bottom w:val="none" w:sz="0" w:space="0" w:color="auto"/>
        <w:right w:val="none" w:sz="0" w:space="0" w:color="auto"/>
      </w:divBdr>
    </w:div>
    <w:div w:id="1209680813">
      <w:bodyDiv w:val="1"/>
      <w:marLeft w:val="0"/>
      <w:marRight w:val="0"/>
      <w:marTop w:val="0"/>
      <w:marBottom w:val="0"/>
      <w:divBdr>
        <w:top w:val="none" w:sz="0" w:space="0" w:color="auto"/>
        <w:left w:val="none" w:sz="0" w:space="0" w:color="auto"/>
        <w:bottom w:val="none" w:sz="0" w:space="0" w:color="auto"/>
        <w:right w:val="none" w:sz="0" w:space="0" w:color="auto"/>
      </w:divBdr>
      <w:divsChild>
        <w:div w:id="874196954">
          <w:marLeft w:val="-225"/>
          <w:marRight w:val="-225"/>
          <w:marTop w:val="0"/>
          <w:marBottom w:val="0"/>
          <w:divBdr>
            <w:top w:val="none" w:sz="0" w:space="0" w:color="auto"/>
            <w:left w:val="none" w:sz="0" w:space="0" w:color="auto"/>
            <w:bottom w:val="none" w:sz="0" w:space="0" w:color="auto"/>
            <w:right w:val="none" w:sz="0" w:space="0" w:color="auto"/>
          </w:divBdr>
          <w:divsChild>
            <w:div w:id="1590117790">
              <w:marLeft w:val="0"/>
              <w:marRight w:val="0"/>
              <w:marTop w:val="0"/>
              <w:marBottom w:val="0"/>
              <w:divBdr>
                <w:top w:val="none" w:sz="0" w:space="0" w:color="auto"/>
                <w:left w:val="none" w:sz="0" w:space="0" w:color="auto"/>
                <w:bottom w:val="none" w:sz="0" w:space="0" w:color="auto"/>
                <w:right w:val="none" w:sz="0" w:space="0" w:color="auto"/>
              </w:divBdr>
              <w:divsChild>
                <w:div w:id="506595865">
                  <w:marLeft w:val="0"/>
                  <w:marRight w:val="0"/>
                  <w:marTop w:val="0"/>
                  <w:marBottom w:val="0"/>
                  <w:divBdr>
                    <w:top w:val="none" w:sz="0" w:space="0" w:color="auto"/>
                    <w:left w:val="none" w:sz="0" w:space="0" w:color="auto"/>
                    <w:bottom w:val="none" w:sz="0" w:space="0" w:color="auto"/>
                    <w:right w:val="none" w:sz="0" w:space="0" w:color="auto"/>
                  </w:divBdr>
                </w:div>
              </w:divsChild>
            </w:div>
            <w:div w:id="66764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089685">
      <w:bodyDiv w:val="1"/>
      <w:marLeft w:val="0"/>
      <w:marRight w:val="0"/>
      <w:marTop w:val="0"/>
      <w:marBottom w:val="0"/>
      <w:divBdr>
        <w:top w:val="none" w:sz="0" w:space="0" w:color="auto"/>
        <w:left w:val="none" w:sz="0" w:space="0" w:color="auto"/>
        <w:bottom w:val="none" w:sz="0" w:space="0" w:color="auto"/>
        <w:right w:val="none" w:sz="0" w:space="0" w:color="auto"/>
      </w:divBdr>
    </w:div>
    <w:div w:id="1228303106">
      <w:bodyDiv w:val="1"/>
      <w:marLeft w:val="0"/>
      <w:marRight w:val="0"/>
      <w:marTop w:val="0"/>
      <w:marBottom w:val="0"/>
      <w:divBdr>
        <w:top w:val="none" w:sz="0" w:space="0" w:color="auto"/>
        <w:left w:val="none" w:sz="0" w:space="0" w:color="auto"/>
        <w:bottom w:val="none" w:sz="0" w:space="0" w:color="auto"/>
        <w:right w:val="none" w:sz="0" w:space="0" w:color="auto"/>
      </w:divBdr>
    </w:div>
    <w:div w:id="1247032727">
      <w:bodyDiv w:val="1"/>
      <w:marLeft w:val="0"/>
      <w:marRight w:val="0"/>
      <w:marTop w:val="0"/>
      <w:marBottom w:val="0"/>
      <w:divBdr>
        <w:top w:val="none" w:sz="0" w:space="0" w:color="auto"/>
        <w:left w:val="none" w:sz="0" w:space="0" w:color="auto"/>
        <w:bottom w:val="none" w:sz="0" w:space="0" w:color="auto"/>
        <w:right w:val="none" w:sz="0" w:space="0" w:color="auto"/>
      </w:divBdr>
    </w:div>
    <w:div w:id="1292396898">
      <w:bodyDiv w:val="1"/>
      <w:marLeft w:val="0"/>
      <w:marRight w:val="0"/>
      <w:marTop w:val="0"/>
      <w:marBottom w:val="0"/>
      <w:divBdr>
        <w:top w:val="none" w:sz="0" w:space="0" w:color="auto"/>
        <w:left w:val="none" w:sz="0" w:space="0" w:color="auto"/>
        <w:bottom w:val="none" w:sz="0" w:space="0" w:color="auto"/>
        <w:right w:val="none" w:sz="0" w:space="0" w:color="auto"/>
      </w:divBdr>
    </w:div>
    <w:div w:id="1302004279">
      <w:bodyDiv w:val="1"/>
      <w:marLeft w:val="0"/>
      <w:marRight w:val="0"/>
      <w:marTop w:val="0"/>
      <w:marBottom w:val="0"/>
      <w:divBdr>
        <w:top w:val="none" w:sz="0" w:space="0" w:color="auto"/>
        <w:left w:val="none" w:sz="0" w:space="0" w:color="auto"/>
        <w:bottom w:val="none" w:sz="0" w:space="0" w:color="auto"/>
        <w:right w:val="none" w:sz="0" w:space="0" w:color="auto"/>
      </w:divBdr>
      <w:divsChild>
        <w:div w:id="434372743">
          <w:marLeft w:val="-225"/>
          <w:marRight w:val="-225"/>
          <w:marTop w:val="0"/>
          <w:marBottom w:val="0"/>
          <w:divBdr>
            <w:top w:val="none" w:sz="0" w:space="0" w:color="auto"/>
            <w:left w:val="none" w:sz="0" w:space="0" w:color="auto"/>
            <w:bottom w:val="none" w:sz="0" w:space="0" w:color="auto"/>
            <w:right w:val="none" w:sz="0" w:space="0" w:color="auto"/>
          </w:divBdr>
          <w:divsChild>
            <w:div w:id="6099695">
              <w:marLeft w:val="0"/>
              <w:marRight w:val="0"/>
              <w:marTop w:val="0"/>
              <w:marBottom w:val="0"/>
              <w:divBdr>
                <w:top w:val="none" w:sz="0" w:space="0" w:color="auto"/>
                <w:left w:val="none" w:sz="0" w:space="0" w:color="auto"/>
                <w:bottom w:val="none" w:sz="0" w:space="0" w:color="auto"/>
                <w:right w:val="none" w:sz="0" w:space="0" w:color="auto"/>
              </w:divBdr>
              <w:divsChild>
                <w:div w:id="115027621">
                  <w:marLeft w:val="0"/>
                  <w:marRight w:val="0"/>
                  <w:marTop w:val="0"/>
                  <w:marBottom w:val="0"/>
                  <w:divBdr>
                    <w:top w:val="none" w:sz="0" w:space="0" w:color="auto"/>
                    <w:left w:val="none" w:sz="0" w:space="0" w:color="auto"/>
                    <w:bottom w:val="none" w:sz="0" w:space="0" w:color="auto"/>
                    <w:right w:val="none" w:sz="0" w:space="0" w:color="auto"/>
                  </w:divBdr>
                </w:div>
              </w:divsChild>
            </w:div>
            <w:div w:id="13173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98096">
      <w:bodyDiv w:val="1"/>
      <w:marLeft w:val="0"/>
      <w:marRight w:val="0"/>
      <w:marTop w:val="0"/>
      <w:marBottom w:val="0"/>
      <w:divBdr>
        <w:top w:val="none" w:sz="0" w:space="0" w:color="auto"/>
        <w:left w:val="none" w:sz="0" w:space="0" w:color="auto"/>
        <w:bottom w:val="none" w:sz="0" w:space="0" w:color="auto"/>
        <w:right w:val="none" w:sz="0" w:space="0" w:color="auto"/>
      </w:divBdr>
    </w:div>
    <w:div w:id="1373731920">
      <w:bodyDiv w:val="1"/>
      <w:marLeft w:val="0"/>
      <w:marRight w:val="0"/>
      <w:marTop w:val="0"/>
      <w:marBottom w:val="0"/>
      <w:divBdr>
        <w:top w:val="none" w:sz="0" w:space="0" w:color="auto"/>
        <w:left w:val="none" w:sz="0" w:space="0" w:color="auto"/>
        <w:bottom w:val="none" w:sz="0" w:space="0" w:color="auto"/>
        <w:right w:val="none" w:sz="0" w:space="0" w:color="auto"/>
      </w:divBdr>
    </w:div>
    <w:div w:id="1399012809">
      <w:bodyDiv w:val="1"/>
      <w:marLeft w:val="0"/>
      <w:marRight w:val="0"/>
      <w:marTop w:val="0"/>
      <w:marBottom w:val="0"/>
      <w:divBdr>
        <w:top w:val="none" w:sz="0" w:space="0" w:color="auto"/>
        <w:left w:val="none" w:sz="0" w:space="0" w:color="auto"/>
        <w:bottom w:val="none" w:sz="0" w:space="0" w:color="auto"/>
        <w:right w:val="none" w:sz="0" w:space="0" w:color="auto"/>
      </w:divBdr>
    </w:div>
    <w:div w:id="1470785838">
      <w:bodyDiv w:val="1"/>
      <w:marLeft w:val="0"/>
      <w:marRight w:val="0"/>
      <w:marTop w:val="0"/>
      <w:marBottom w:val="0"/>
      <w:divBdr>
        <w:top w:val="none" w:sz="0" w:space="0" w:color="auto"/>
        <w:left w:val="none" w:sz="0" w:space="0" w:color="auto"/>
        <w:bottom w:val="none" w:sz="0" w:space="0" w:color="auto"/>
        <w:right w:val="none" w:sz="0" w:space="0" w:color="auto"/>
      </w:divBdr>
    </w:div>
    <w:div w:id="1471903041">
      <w:bodyDiv w:val="1"/>
      <w:marLeft w:val="0"/>
      <w:marRight w:val="0"/>
      <w:marTop w:val="0"/>
      <w:marBottom w:val="0"/>
      <w:divBdr>
        <w:top w:val="none" w:sz="0" w:space="0" w:color="auto"/>
        <w:left w:val="none" w:sz="0" w:space="0" w:color="auto"/>
        <w:bottom w:val="none" w:sz="0" w:space="0" w:color="auto"/>
        <w:right w:val="none" w:sz="0" w:space="0" w:color="auto"/>
      </w:divBdr>
    </w:div>
    <w:div w:id="1497456926">
      <w:bodyDiv w:val="1"/>
      <w:marLeft w:val="0"/>
      <w:marRight w:val="0"/>
      <w:marTop w:val="0"/>
      <w:marBottom w:val="0"/>
      <w:divBdr>
        <w:top w:val="none" w:sz="0" w:space="0" w:color="auto"/>
        <w:left w:val="none" w:sz="0" w:space="0" w:color="auto"/>
        <w:bottom w:val="none" w:sz="0" w:space="0" w:color="auto"/>
        <w:right w:val="none" w:sz="0" w:space="0" w:color="auto"/>
      </w:divBdr>
    </w:div>
    <w:div w:id="1501307346">
      <w:bodyDiv w:val="1"/>
      <w:marLeft w:val="0"/>
      <w:marRight w:val="0"/>
      <w:marTop w:val="0"/>
      <w:marBottom w:val="0"/>
      <w:divBdr>
        <w:top w:val="none" w:sz="0" w:space="0" w:color="auto"/>
        <w:left w:val="none" w:sz="0" w:space="0" w:color="auto"/>
        <w:bottom w:val="none" w:sz="0" w:space="0" w:color="auto"/>
        <w:right w:val="none" w:sz="0" w:space="0" w:color="auto"/>
      </w:divBdr>
    </w:div>
    <w:div w:id="1521242299">
      <w:bodyDiv w:val="1"/>
      <w:marLeft w:val="0"/>
      <w:marRight w:val="0"/>
      <w:marTop w:val="0"/>
      <w:marBottom w:val="0"/>
      <w:divBdr>
        <w:top w:val="none" w:sz="0" w:space="0" w:color="auto"/>
        <w:left w:val="none" w:sz="0" w:space="0" w:color="auto"/>
        <w:bottom w:val="none" w:sz="0" w:space="0" w:color="auto"/>
        <w:right w:val="none" w:sz="0" w:space="0" w:color="auto"/>
      </w:divBdr>
    </w:div>
    <w:div w:id="1540583567">
      <w:bodyDiv w:val="1"/>
      <w:marLeft w:val="0"/>
      <w:marRight w:val="0"/>
      <w:marTop w:val="0"/>
      <w:marBottom w:val="0"/>
      <w:divBdr>
        <w:top w:val="none" w:sz="0" w:space="0" w:color="auto"/>
        <w:left w:val="none" w:sz="0" w:space="0" w:color="auto"/>
        <w:bottom w:val="none" w:sz="0" w:space="0" w:color="auto"/>
        <w:right w:val="none" w:sz="0" w:space="0" w:color="auto"/>
      </w:divBdr>
    </w:div>
    <w:div w:id="1556309514">
      <w:bodyDiv w:val="1"/>
      <w:marLeft w:val="0"/>
      <w:marRight w:val="0"/>
      <w:marTop w:val="0"/>
      <w:marBottom w:val="0"/>
      <w:divBdr>
        <w:top w:val="none" w:sz="0" w:space="0" w:color="auto"/>
        <w:left w:val="none" w:sz="0" w:space="0" w:color="auto"/>
        <w:bottom w:val="none" w:sz="0" w:space="0" w:color="auto"/>
        <w:right w:val="none" w:sz="0" w:space="0" w:color="auto"/>
      </w:divBdr>
    </w:div>
    <w:div w:id="1617980566">
      <w:bodyDiv w:val="1"/>
      <w:marLeft w:val="0"/>
      <w:marRight w:val="0"/>
      <w:marTop w:val="0"/>
      <w:marBottom w:val="0"/>
      <w:divBdr>
        <w:top w:val="none" w:sz="0" w:space="0" w:color="auto"/>
        <w:left w:val="none" w:sz="0" w:space="0" w:color="auto"/>
        <w:bottom w:val="none" w:sz="0" w:space="0" w:color="auto"/>
        <w:right w:val="none" w:sz="0" w:space="0" w:color="auto"/>
      </w:divBdr>
    </w:div>
    <w:div w:id="1657029232">
      <w:bodyDiv w:val="1"/>
      <w:marLeft w:val="0"/>
      <w:marRight w:val="0"/>
      <w:marTop w:val="0"/>
      <w:marBottom w:val="0"/>
      <w:divBdr>
        <w:top w:val="none" w:sz="0" w:space="0" w:color="auto"/>
        <w:left w:val="none" w:sz="0" w:space="0" w:color="auto"/>
        <w:bottom w:val="none" w:sz="0" w:space="0" w:color="auto"/>
        <w:right w:val="none" w:sz="0" w:space="0" w:color="auto"/>
      </w:divBdr>
    </w:div>
    <w:div w:id="1696081677">
      <w:bodyDiv w:val="1"/>
      <w:marLeft w:val="0"/>
      <w:marRight w:val="0"/>
      <w:marTop w:val="0"/>
      <w:marBottom w:val="0"/>
      <w:divBdr>
        <w:top w:val="none" w:sz="0" w:space="0" w:color="auto"/>
        <w:left w:val="none" w:sz="0" w:space="0" w:color="auto"/>
        <w:bottom w:val="none" w:sz="0" w:space="0" w:color="auto"/>
        <w:right w:val="none" w:sz="0" w:space="0" w:color="auto"/>
      </w:divBdr>
    </w:div>
    <w:div w:id="1710062219">
      <w:bodyDiv w:val="1"/>
      <w:marLeft w:val="0"/>
      <w:marRight w:val="0"/>
      <w:marTop w:val="0"/>
      <w:marBottom w:val="0"/>
      <w:divBdr>
        <w:top w:val="none" w:sz="0" w:space="0" w:color="auto"/>
        <w:left w:val="none" w:sz="0" w:space="0" w:color="auto"/>
        <w:bottom w:val="none" w:sz="0" w:space="0" w:color="auto"/>
        <w:right w:val="none" w:sz="0" w:space="0" w:color="auto"/>
      </w:divBdr>
    </w:div>
    <w:div w:id="1734620201">
      <w:bodyDiv w:val="1"/>
      <w:marLeft w:val="0"/>
      <w:marRight w:val="0"/>
      <w:marTop w:val="0"/>
      <w:marBottom w:val="0"/>
      <w:divBdr>
        <w:top w:val="none" w:sz="0" w:space="0" w:color="auto"/>
        <w:left w:val="none" w:sz="0" w:space="0" w:color="auto"/>
        <w:bottom w:val="none" w:sz="0" w:space="0" w:color="auto"/>
        <w:right w:val="none" w:sz="0" w:space="0" w:color="auto"/>
      </w:divBdr>
      <w:divsChild>
        <w:div w:id="192807875">
          <w:marLeft w:val="0"/>
          <w:marRight w:val="0"/>
          <w:marTop w:val="225"/>
          <w:marBottom w:val="0"/>
          <w:divBdr>
            <w:top w:val="none" w:sz="0" w:space="0" w:color="auto"/>
            <w:left w:val="none" w:sz="0" w:space="0" w:color="auto"/>
            <w:bottom w:val="none" w:sz="0" w:space="0" w:color="auto"/>
            <w:right w:val="none" w:sz="0" w:space="0" w:color="auto"/>
          </w:divBdr>
        </w:div>
      </w:divsChild>
    </w:div>
    <w:div w:id="1749307189">
      <w:bodyDiv w:val="1"/>
      <w:marLeft w:val="0"/>
      <w:marRight w:val="0"/>
      <w:marTop w:val="0"/>
      <w:marBottom w:val="0"/>
      <w:divBdr>
        <w:top w:val="none" w:sz="0" w:space="0" w:color="auto"/>
        <w:left w:val="none" w:sz="0" w:space="0" w:color="auto"/>
        <w:bottom w:val="none" w:sz="0" w:space="0" w:color="auto"/>
        <w:right w:val="none" w:sz="0" w:space="0" w:color="auto"/>
      </w:divBdr>
    </w:div>
    <w:div w:id="1755852904">
      <w:bodyDiv w:val="1"/>
      <w:marLeft w:val="0"/>
      <w:marRight w:val="0"/>
      <w:marTop w:val="0"/>
      <w:marBottom w:val="0"/>
      <w:divBdr>
        <w:top w:val="none" w:sz="0" w:space="0" w:color="auto"/>
        <w:left w:val="none" w:sz="0" w:space="0" w:color="auto"/>
        <w:bottom w:val="none" w:sz="0" w:space="0" w:color="auto"/>
        <w:right w:val="none" w:sz="0" w:space="0" w:color="auto"/>
      </w:divBdr>
    </w:div>
    <w:div w:id="1761216747">
      <w:bodyDiv w:val="1"/>
      <w:marLeft w:val="0"/>
      <w:marRight w:val="0"/>
      <w:marTop w:val="0"/>
      <w:marBottom w:val="0"/>
      <w:divBdr>
        <w:top w:val="none" w:sz="0" w:space="0" w:color="auto"/>
        <w:left w:val="none" w:sz="0" w:space="0" w:color="auto"/>
        <w:bottom w:val="none" w:sz="0" w:space="0" w:color="auto"/>
        <w:right w:val="none" w:sz="0" w:space="0" w:color="auto"/>
      </w:divBdr>
    </w:div>
    <w:div w:id="1807503920">
      <w:bodyDiv w:val="1"/>
      <w:marLeft w:val="0"/>
      <w:marRight w:val="0"/>
      <w:marTop w:val="0"/>
      <w:marBottom w:val="0"/>
      <w:divBdr>
        <w:top w:val="none" w:sz="0" w:space="0" w:color="auto"/>
        <w:left w:val="none" w:sz="0" w:space="0" w:color="auto"/>
        <w:bottom w:val="none" w:sz="0" w:space="0" w:color="auto"/>
        <w:right w:val="none" w:sz="0" w:space="0" w:color="auto"/>
      </w:divBdr>
    </w:div>
    <w:div w:id="1850635293">
      <w:bodyDiv w:val="1"/>
      <w:marLeft w:val="0"/>
      <w:marRight w:val="0"/>
      <w:marTop w:val="0"/>
      <w:marBottom w:val="0"/>
      <w:divBdr>
        <w:top w:val="none" w:sz="0" w:space="0" w:color="auto"/>
        <w:left w:val="none" w:sz="0" w:space="0" w:color="auto"/>
        <w:bottom w:val="none" w:sz="0" w:space="0" w:color="auto"/>
        <w:right w:val="none" w:sz="0" w:space="0" w:color="auto"/>
      </w:divBdr>
      <w:divsChild>
        <w:div w:id="1206792602">
          <w:marLeft w:val="0"/>
          <w:marRight w:val="0"/>
          <w:marTop w:val="0"/>
          <w:marBottom w:val="0"/>
          <w:divBdr>
            <w:top w:val="none" w:sz="0" w:space="0" w:color="auto"/>
            <w:left w:val="none" w:sz="0" w:space="0" w:color="auto"/>
            <w:bottom w:val="none" w:sz="0" w:space="0" w:color="auto"/>
            <w:right w:val="none" w:sz="0" w:space="0" w:color="auto"/>
          </w:divBdr>
          <w:divsChild>
            <w:div w:id="345061839">
              <w:marLeft w:val="0"/>
              <w:marRight w:val="0"/>
              <w:marTop w:val="0"/>
              <w:marBottom w:val="0"/>
              <w:divBdr>
                <w:top w:val="none" w:sz="0" w:space="0" w:color="auto"/>
                <w:left w:val="none" w:sz="0" w:space="0" w:color="auto"/>
                <w:bottom w:val="none" w:sz="0" w:space="0" w:color="auto"/>
                <w:right w:val="none" w:sz="0" w:space="0" w:color="auto"/>
              </w:divBdr>
              <w:divsChild>
                <w:div w:id="70008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10458">
      <w:bodyDiv w:val="1"/>
      <w:marLeft w:val="0"/>
      <w:marRight w:val="0"/>
      <w:marTop w:val="0"/>
      <w:marBottom w:val="0"/>
      <w:divBdr>
        <w:top w:val="none" w:sz="0" w:space="0" w:color="auto"/>
        <w:left w:val="none" w:sz="0" w:space="0" w:color="auto"/>
        <w:bottom w:val="none" w:sz="0" w:space="0" w:color="auto"/>
        <w:right w:val="none" w:sz="0" w:space="0" w:color="auto"/>
      </w:divBdr>
    </w:div>
    <w:div w:id="1886722164">
      <w:bodyDiv w:val="1"/>
      <w:marLeft w:val="0"/>
      <w:marRight w:val="0"/>
      <w:marTop w:val="0"/>
      <w:marBottom w:val="0"/>
      <w:divBdr>
        <w:top w:val="none" w:sz="0" w:space="0" w:color="auto"/>
        <w:left w:val="none" w:sz="0" w:space="0" w:color="auto"/>
        <w:bottom w:val="none" w:sz="0" w:space="0" w:color="auto"/>
        <w:right w:val="none" w:sz="0" w:space="0" w:color="auto"/>
      </w:divBdr>
      <w:divsChild>
        <w:div w:id="1272323100">
          <w:marLeft w:val="0"/>
          <w:marRight w:val="0"/>
          <w:marTop w:val="0"/>
          <w:marBottom w:val="0"/>
          <w:divBdr>
            <w:top w:val="none" w:sz="0" w:space="0" w:color="auto"/>
            <w:left w:val="none" w:sz="0" w:space="0" w:color="auto"/>
            <w:bottom w:val="none" w:sz="0" w:space="0" w:color="auto"/>
            <w:right w:val="none" w:sz="0" w:space="0" w:color="auto"/>
          </w:divBdr>
        </w:div>
      </w:divsChild>
    </w:div>
    <w:div w:id="1929998400">
      <w:bodyDiv w:val="1"/>
      <w:marLeft w:val="0"/>
      <w:marRight w:val="0"/>
      <w:marTop w:val="0"/>
      <w:marBottom w:val="0"/>
      <w:divBdr>
        <w:top w:val="none" w:sz="0" w:space="0" w:color="auto"/>
        <w:left w:val="none" w:sz="0" w:space="0" w:color="auto"/>
        <w:bottom w:val="none" w:sz="0" w:space="0" w:color="auto"/>
        <w:right w:val="none" w:sz="0" w:space="0" w:color="auto"/>
      </w:divBdr>
    </w:div>
    <w:div w:id="1930119095">
      <w:bodyDiv w:val="1"/>
      <w:marLeft w:val="0"/>
      <w:marRight w:val="0"/>
      <w:marTop w:val="0"/>
      <w:marBottom w:val="0"/>
      <w:divBdr>
        <w:top w:val="none" w:sz="0" w:space="0" w:color="auto"/>
        <w:left w:val="none" w:sz="0" w:space="0" w:color="auto"/>
        <w:bottom w:val="none" w:sz="0" w:space="0" w:color="auto"/>
        <w:right w:val="none" w:sz="0" w:space="0" w:color="auto"/>
      </w:divBdr>
    </w:div>
    <w:div w:id="1939093172">
      <w:bodyDiv w:val="1"/>
      <w:marLeft w:val="0"/>
      <w:marRight w:val="0"/>
      <w:marTop w:val="0"/>
      <w:marBottom w:val="0"/>
      <w:divBdr>
        <w:top w:val="none" w:sz="0" w:space="0" w:color="auto"/>
        <w:left w:val="none" w:sz="0" w:space="0" w:color="auto"/>
        <w:bottom w:val="none" w:sz="0" w:space="0" w:color="auto"/>
        <w:right w:val="none" w:sz="0" w:space="0" w:color="auto"/>
      </w:divBdr>
    </w:div>
    <w:div w:id="1955164769">
      <w:bodyDiv w:val="1"/>
      <w:marLeft w:val="0"/>
      <w:marRight w:val="0"/>
      <w:marTop w:val="0"/>
      <w:marBottom w:val="0"/>
      <w:divBdr>
        <w:top w:val="none" w:sz="0" w:space="0" w:color="auto"/>
        <w:left w:val="none" w:sz="0" w:space="0" w:color="auto"/>
        <w:bottom w:val="none" w:sz="0" w:space="0" w:color="auto"/>
        <w:right w:val="none" w:sz="0" w:space="0" w:color="auto"/>
      </w:divBdr>
    </w:div>
    <w:div w:id="1964385555">
      <w:bodyDiv w:val="1"/>
      <w:marLeft w:val="0"/>
      <w:marRight w:val="0"/>
      <w:marTop w:val="0"/>
      <w:marBottom w:val="0"/>
      <w:divBdr>
        <w:top w:val="none" w:sz="0" w:space="0" w:color="auto"/>
        <w:left w:val="none" w:sz="0" w:space="0" w:color="auto"/>
        <w:bottom w:val="none" w:sz="0" w:space="0" w:color="auto"/>
        <w:right w:val="none" w:sz="0" w:space="0" w:color="auto"/>
      </w:divBdr>
    </w:div>
    <w:div w:id="1986540266">
      <w:bodyDiv w:val="1"/>
      <w:marLeft w:val="0"/>
      <w:marRight w:val="0"/>
      <w:marTop w:val="0"/>
      <w:marBottom w:val="0"/>
      <w:divBdr>
        <w:top w:val="none" w:sz="0" w:space="0" w:color="auto"/>
        <w:left w:val="none" w:sz="0" w:space="0" w:color="auto"/>
        <w:bottom w:val="none" w:sz="0" w:space="0" w:color="auto"/>
        <w:right w:val="none" w:sz="0" w:space="0" w:color="auto"/>
      </w:divBdr>
    </w:div>
    <w:div w:id="2013337978">
      <w:bodyDiv w:val="1"/>
      <w:marLeft w:val="0"/>
      <w:marRight w:val="0"/>
      <w:marTop w:val="0"/>
      <w:marBottom w:val="0"/>
      <w:divBdr>
        <w:top w:val="none" w:sz="0" w:space="0" w:color="auto"/>
        <w:left w:val="none" w:sz="0" w:space="0" w:color="auto"/>
        <w:bottom w:val="none" w:sz="0" w:space="0" w:color="auto"/>
        <w:right w:val="none" w:sz="0" w:space="0" w:color="auto"/>
      </w:divBdr>
    </w:div>
    <w:div w:id="2026905884">
      <w:bodyDiv w:val="1"/>
      <w:marLeft w:val="0"/>
      <w:marRight w:val="0"/>
      <w:marTop w:val="0"/>
      <w:marBottom w:val="0"/>
      <w:divBdr>
        <w:top w:val="none" w:sz="0" w:space="0" w:color="auto"/>
        <w:left w:val="none" w:sz="0" w:space="0" w:color="auto"/>
        <w:bottom w:val="none" w:sz="0" w:space="0" w:color="auto"/>
        <w:right w:val="none" w:sz="0" w:space="0" w:color="auto"/>
      </w:divBdr>
    </w:div>
    <w:div w:id="2051294397">
      <w:bodyDiv w:val="1"/>
      <w:marLeft w:val="0"/>
      <w:marRight w:val="0"/>
      <w:marTop w:val="0"/>
      <w:marBottom w:val="0"/>
      <w:divBdr>
        <w:top w:val="none" w:sz="0" w:space="0" w:color="auto"/>
        <w:left w:val="none" w:sz="0" w:space="0" w:color="auto"/>
        <w:bottom w:val="none" w:sz="0" w:space="0" w:color="auto"/>
        <w:right w:val="none" w:sz="0" w:space="0" w:color="auto"/>
      </w:divBdr>
    </w:div>
    <w:div w:id="21305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whatdotheyknow.com/request/identify_and_prioritise_immigrat_3" TargetMode="External"/><Relationship Id="rId21" Type="http://schemas.openxmlformats.org/officeDocument/2006/relationships/hyperlink" Target="https://www.gov.uk/government/publications/offender-management/equality-impact-assessment-gps-non-fitted-devices-accessible" TargetMode="External"/><Relationship Id="rId42" Type="http://schemas.openxmlformats.org/officeDocument/2006/relationships/hyperlink" Target="https://documents.un.org/doc/undoc/gen/g24/084/20/pdf/g2408420.pdf" TargetMode="External"/><Relationship Id="rId47" Type="http://schemas.openxmlformats.org/officeDocument/2006/relationships/hyperlink" Target="https://www.amnestyusa.org/wp-content/uploads/2020/09/Amnest-International-Palantir-Briefing-Report-092520_Final.pdf" TargetMode="External"/><Relationship Id="rId63" Type="http://schemas.openxmlformats.org/officeDocument/2006/relationships/hyperlink" Target="https://www.frontiersin.org/journals/education/articles/10.3389/feduc.2022.881449/full" TargetMode="External"/><Relationship Id="rId68" Type="http://schemas.openxmlformats.org/officeDocument/2006/relationships/hyperlink" Target="https://ico.org.uk/for-organisations/uk-gdpr-guidance-and-resources/childrens-information/childrens-code-guidance-and-resources/dpia-tools/online-retail/step-4-assess-necessity-and-proportionality/" TargetMode="External"/><Relationship Id="rId2" Type="http://schemas.openxmlformats.org/officeDocument/2006/relationships/hyperlink" Target="https://www.theguardian.com/technology/2024/nov/28/uk-government-failing-to-list-use-of-ai-on-mandatory-register" TargetMode="External"/><Relationship Id="rId16" Type="http://schemas.openxmlformats.org/officeDocument/2006/relationships/hyperlink" Target="https://privacyinternational.org/long-read/5457/non-fitted-devices-home-offices-surveillance-arsenal-investigating-technology-behind" TargetMode="External"/><Relationship Id="rId29" Type="http://schemas.openxmlformats.org/officeDocument/2006/relationships/hyperlink" Target="https://www.theguardian.com/society/2024/oct/21/wes-streeting-unveils-plans-for-patient-passports-to-hold-all-medical-records" TargetMode="External"/><Relationship Id="rId11" Type="http://schemas.openxmlformats.org/officeDocument/2006/relationships/hyperlink" Target="https://www.gov.uk/government/news/new-laws-to-be-introduced-to-crack-down-on-fraud" TargetMode="External"/><Relationship Id="rId24" Type="http://schemas.openxmlformats.org/officeDocument/2006/relationships/hyperlink" Target="https://www.whatdotheyknow.com/request/identify_and_prioritise_immigrat_3/response/2780331/attach/5/04608%20Privacy%20International%20Annex%20C.pdf?cookie_passthrough=1" TargetMode="External"/><Relationship Id="rId32" Type="http://schemas.openxmlformats.org/officeDocument/2006/relationships/hyperlink" Target="https://www.theguardian.com/society/2023/may/14/nhs-england-data-privacy-confidentiality-records-addenbrookes-hospital" TargetMode="External"/><Relationship Id="rId37" Type="http://schemas.openxmlformats.org/officeDocument/2006/relationships/hyperlink" Target="https://www.england.nhs.uk/2024/12/world-leading-nhs-trial-to-boost-health-and-support-people-in-work/" TargetMode="External"/><Relationship Id="rId40" Type="http://schemas.openxmlformats.org/officeDocument/2006/relationships/hyperlink" Target="https://www.theguardian.com/society/2024/sep/17/one-in-five-gps-use-ai-such-as-chatgpt-for-daily-tasks-survey-finds" TargetMode="External"/><Relationship Id="rId45" Type="http://schemas.openxmlformats.org/officeDocument/2006/relationships/hyperlink" Target="https://www.digitalhealth.net/2023/11/palantirs-road-to-the-federated-data-platform-contract-a-timeline/" TargetMode="External"/><Relationship Id="rId53" Type="http://schemas.openxmlformats.org/officeDocument/2006/relationships/hyperlink" Target="https://www.theregister.com/2024/09/05/fdp_lacks_legal_basis/" TargetMode="External"/><Relationship Id="rId58" Type="http://schemas.openxmlformats.org/officeDocument/2006/relationships/hyperlink" Target="https://www.bbc.co.uk/news/technology-67624182" TargetMode="External"/><Relationship Id="rId66" Type="http://schemas.openxmlformats.org/officeDocument/2006/relationships/hyperlink" Target="https://hybridpedagogy.org/our-bodies-encoded-algorithmic-test-proctoring-in-higher-education/" TargetMode="External"/><Relationship Id="rId74" Type="http://schemas.openxmlformats.org/officeDocument/2006/relationships/hyperlink" Target="https://schoolsweek.co.uk/minister-wants-schools-to-benefit-from-ai-revolution/" TargetMode="External"/><Relationship Id="rId5" Type="http://schemas.openxmlformats.org/officeDocument/2006/relationships/hyperlink" Target="https://privacyinternational.org/node/3114" TargetMode="External"/><Relationship Id="rId61" Type="http://schemas.openxmlformats.org/officeDocument/2006/relationships/hyperlink" Target="https://www.ohchr.org/en/documents/thematic-reports/ahrc5365-digital-innovation-technologies-and-right-health" TargetMode="External"/><Relationship Id="rId19" Type="http://schemas.openxmlformats.org/officeDocument/2006/relationships/hyperlink" Target="https://www.biduk.org/articles/research-reveals-inhumane-effects-of-gps-tagging-on-migrants" TargetMode="External"/><Relationship Id="rId14" Type="http://schemas.openxmlformats.org/officeDocument/2006/relationships/hyperlink" Target="https://privacyinternational.org/long-read/5064/life-under-247-gps-surveillance-gps-ankle-tag-experiment" TargetMode="External"/><Relationship Id="rId22" Type="http://schemas.openxmlformats.org/officeDocument/2006/relationships/hyperlink" Target="https://publiclawproject.org.uk/resources/constantly-on-edge-annual-review-of-gps-tagging-in-the-immigration-system-2023/" TargetMode="External"/><Relationship Id="rId27" Type="http://schemas.openxmlformats.org/officeDocument/2006/relationships/hyperlink" Target="https://www.ohchr.org/sites/default/files/Documents/Issues/Women/WRGS/Health/GC14.pdf" TargetMode="External"/><Relationship Id="rId30" Type="http://schemas.openxmlformats.org/officeDocument/2006/relationships/hyperlink" Target="https://www.gov.uk/government/news/government-issues-rallying-cry-to-the-nation-to-help-fix-nhs" TargetMode="External"/><Relationship Id="rId35" Type="http://schemas.openxmlformats.org/officeDocument/2006/relationships/hyperlink" Target="https://www.gov.uk/government/publications/womens-health-strategy-for-england/womens-health-strategy-for-england" TargetMode="External"/><Relationship Id="rId43" Type="http://schemas.openxmlformats.org/officeDocument/2006/relationships/hyperlink" Target="https://undocs.org/Home/Mobile?FinalSymbol=A%2FHRC%2F53%2F65&amp;Language=E&amp;DeviceType=Desktop&amp;LangRequested=False" TargetMode="External"/><Relationship Id="rId48" Type="http://schemas.openxmlformats.org/officeDocument/2006/relationships/hyperlink" Target="https://privacyinternational.org/examples/5299/controversial-data-analytics-firm-palantir-run-uks-health-data-platform" TargetMode="External"/><Relationship Id="rId56" Type="http://schemas.openxmlformats.org/officeDocument/2006/relationships/hyperlink" Target="https://www.theguardian.com/technology/2023/nov/12/private-uk-health-data-donated-medical-research-shared-insurance-companies" TargetMode="External"/><Relationship Id="rId64" Type="http://schemas.openxmlformats.org/officeDocument/2006/relationships/hyperlink" Target="https://blog.okfn.org/2021/02/26/open-knowledge-justice-programme-challenges-the-use-of-algorithmic-proctoring-apps/" TargetMode="External"/><Relationship Id="rId69" Type="http://schemas.openxmlformats.org/officeDocument/2006/relationships/hyperlink" Target="https://privacyinternational.org/our-demands/legality-necessity-and-proportionality" TargetMode="External"/><Relationship Id="rId8" Type="http://schemas.openxmlformats.org/officeDocument/2006/relationships/hyperlink" Target="https://www.theguardian.com/society/2024/dec/06/revealed-bias-found-in-ai-system-used-to-detect-uk-benefits" TargetMode="External"/><Relationship Id="rId51" Type="http://schemas.openxmlformats.org/officeDocument/2006/relationships/hyperlink" Target="https://www.hsj.co.uk/technology-and-innovation/exclusive-ai-models-to-be-trained-on-federated-data-platform/7038320.article" TargetMode="External"/><Relationship Id="rId72" Type="http://schemas.openxmlformats.org/officeDocument/2006/relationships/hyperlink" Target="https://ico.org.uk/media/action-weve-taken/audits-and-advisory-visits/2618384/department-for-education-audit-executive-summary-v1_0.pdf" TargetMode="External"/><Relationship Id="rId3" Type="http://schemas.openxmlformats.org/officeDocument/2006/relationships/hyperlink" Target="https://www.theguardian.com/society/2023/jul/11/use-of-artificial-intelligence-widened-to-assess-universal-credit-applications-and-tackle" TargetMode="External"/><Relationship Id="rId12" Type="http://schemas.openxmlformats.org/officeDocument/2006/relationships/hyperlink" Target="https://privacyinternational.org/node/3114" TargetMode="External"/><Relationship Id="rId17" Type="http://schemas.openxmlformats.org/officeDocument/2006/relationships/hyperlink" Target="https://privacyinternational.org/news-analysis/5452/automating-hostile-environment-uncovering-secretive-home-office-algorithm-heart" TargetMode="External"/><Relationship Id="rId25" Type="http://schemas.openxmlformats.org/officeDocument/2006/relationships/hyperlink" Target="https://assets.publishing.service.gov.uk/media/5a82ccb3e5274a2e87dc30aa/ISD-referrals-and-sanctions-v3.0ext.pdf" TargetMode="External"/><Relationship Id="rId33" Type="http://schemas.openxmlformats.org/officeDocument/2006/relationships/hyperlink" Target="https://bills.parliament.uk/bills/3825" TargetMode="External"/><Relationship Id="rId38" Type="http://schemas.openxmlformats.org/officeDocument/2006/relationships/hyperlink" Target="https://www.ons.gov.uk/peoplepopulationandcommunity/healthandsocialcare/healthandwellbeing/articles/theimpactofbariatricsurgeryonmonthlyemployeepayandemployeestatusengland/april2014todecember2022" TargetMode="External"/><Relationship Id="rId46" Type="http://schemas.openxmlformats.org/officeDocument/2006/relationships/hyperlink" Target="https://www.palantir.com/uk/" TargetMode="External"/><Relationship Id="rId59" Type="http://schemas.openxmlformats.org/officeDocument/2006/relationships/hyperlink" Target="https://www.bbc.co.uk/news/articles/cz7wl7rpndjo" TargetMode="External"/><Relationship Id="rId67" Type="http://schemas.openxmlformats.org/officeDocument/2006/relationships/hyperlink" Target="https://ico.org.uk/for-the-public/ico-40/facial-recognition-technology-in-schools/" TargetMode="External"/><Relationship Id="rId20" Type="http://schemas.openxmlformats.org/officeDocument/2006/relationships/hyperlink" Target="https://hubble-live-assets.s3.amazonaws.com/biduk/file_asset/file/682/GPS_Tagging_Report_Final.pdf" TargetMode="External"/><Relationship Id="rId41" Type="http://schemas.openxmlformats.org/officeDocument/2006/relationships/hyperlink" Target="https://privacyinternational.org/advocacy/5295/pi-seeks-inform-report-ai-and-racial-discrimination-un-special-rapporteur-racism" TargetMode="External"/><Relationship Id="rId54" Type="http://schemas.openxmlformats.org/officeDocument/2006/relationships/hyperlink" Target="https://www.iqvia.com/locations/united-kingdom" TargetMode="External"/><Relationship Id="rId62" Type="http://schemas.openxmlformats.org/officeDocument/2006/relationships/hyperlink" Target="https://blog.okfn.org/2021/02/26/open-knowledge-justice-programme-challenges-the-use-of-algorithmic-proctoring-apps/" TargetMode="External"/><Relationship Id="rId70" Type="http://schemas.openxmlformats.org/officeDocument/2006/relationships/hyperlink" Target="https://schoolsweek.co.uk/schools-install-toilet-sensors-that-actively-listen-to-pupils/" TargetMode="External"/><Relationship Id="rId75" Type="http://schemas.openxmlformats.org/officeDocument/2006/relationships/hyperlink" Target="https://therecord.media/ransomware-attack-forces-london-high-school-to-close" TargetMode="External"/><Relationship Id="rId1" Type="http://schemas.openxmlformats.org/officeDocument/2006/relationships/hyperlink" Target="https://privacyinternational.org/long-read/4395/shedding-light-dwp-part-1-we-read-uk-welfare-agencys-995-page-guide-conducting" TargetMode="External"/><Relationship Id="rId6" Type="http://schemas.openxmlformats.org/officeDocument/2006/relationships/hyperlink" Target="https://privacyinternational.org/advocacy/5107/submission-ohchr-rights-persons-disabilities" TargetMode="External"/><Relationship Id="rId15" Type="http://schemas.openxmlformats.org/officeDocument/2006/relationships/hyperlink" Target="https://privacyinternational.org/news-analysis/5323/two-court-judgments-one-regulatory-decision-bricks-fall-around-uks-gps-tagging" TargetMode="External"/><Relationship Id="rId23" Type="http://schemas.openxmlformats.org/officeDocument/2006/relationships/hyperlink" Target="https://privacyinternational.org/news-analysis/5452/automating-hostile-environment-uncovering-secretive-home-office-algorithm-heart" TargetMode="External"/><Relationship Id="rId28" Type="http://schemas.openxmlformats.org/officeDocument/2006/relationships/hyperlink" Target="https://change.nhs.uk/en-GB/" TargetMode="External"/><Relationship Id="rId36" Type="http://schemas.openxmlformats.org/officeDocument/2006/relationships/hyperlink" Target="https://www.publictechnology.net/2024/11/01/health-and-social-care/liverpool-nhs-trust-to-combine-social-housing-and-health-data/" TargetMode="External"/><Relationship Id="rId49" Type="http://schemas.openxmlformats.org/officeDocument/2006/relationships/hyperlink" Target="https://www.theguardian.com/society/2023/nov/21/patient-privacy-fears-us-spy-tech-firm-palantir-wins-nhs-contract" TargetMode="External"/><Relationship Id="rId57" Type="http://schemas.openxmlformats.org/officeDocument/2006/relationships/hyperlink" Target="https://www.theguardian.com/world/2024/oct/17/race-science-group-say-they-accessed-sensitive-uk-health-data" TargetMode="External"/><Relationship Id="rId10" Type="http://schemas.openxmlformats.org/officeDocument/2006/relationships/hyperlink" Target="https://www.undocs.org/Home/Mobile?FinalSymbol=A%2FHRC%2F49%2F52&amp;Language=E&amp;DeviceType=Desktop&amp;LangRequested=False" TargetMode="External"/><Relationship Id="rId31" Type="http://schemas.openxmlformats.org/officeDocument/2006/relationships/hyperlink" Target="https://x.com/BBCr4today/status/1848286462900326893" TargetMode="External"/><Relationship Id="rId44" Type="http://schemas.openxmlformats.org/officeDocument/2006/relationships/hyperlink" Target="https://privacyinternational.org/examples/4032/uk-awards-ps17-billion-coronavirus-related-contracts" TargetMode="External"/><Relationship Id="rId52" Type="http://schemas.openxmlformats.org/officeDocument/2006/relationships/hyperlink" Target="https://goodlawproject.org/case/were-taking-legal-action-to-uncover-palantirs-blanked-out-contract/" TargetMode="External"/><Relationship Id="rId60" Type="http://schemas.openxmlformats.org/officeDocument/2006/relationships/hyperlink" Target="https://www.bbc.co.uk/news/articles/cxee3glz2pyo" TargetMode="External"/><Relationship Id="rId65" Type="http://schemas.openxmlformats.org/officeDocument/2006/relationships/hyperlink" Target="https://www.nytimes.com/2020/09/29/style/testing-schools-proctorio.html" TargetMode="External"/><Relationship Id="rId73" Type="http://schemas.openxmlformats.org/officeDocument/2006/relationships/hyperlink" Target="https://www.theguardian.com/education/2022/nov/06/woeful-dfe-blamed-as-betting-firms-gain-access-to-childrens-data" TargetMode="External"/><Relationship Id="rId4" Type="http://schemas.openxmlformats.org/officeDocument/2006/relationships/hyperlink" Target="https://privacyinternational.org/long-read/4397/shedding-light-dwp-part-2-long-days-journey-towards-transparency" TargetMode="External"/><Relationship Id="rId9" Type="http://schemas.openxmlformats.org/officeDocument/2006/relationships/hyperlink" Target="https://gmcdp.com/gmcdp-foxglove-legal-challenge-department-work-and-pensions-dwp-fraud-algorithm" TargetMode="External"/><Relationship Id="rId13" Type="http://schemas.openxmlformats.org/officeDocument/2006/relationships/hyperlink" Target="https://privacyinternational.org/researching-social-benefits" TargetMode="External"/><Relationship Id="rId18" Type="http://schemas.openxmlformats.org/officeDocument/2006/relationships/hyperlink" Target="https://medicaljustice.org.uk/wp-content/uploads/2023/12/2023_Constantly-On-Edge_Final.pdf" TargetMode="External"/><Relationship Id="rId39" Type="http://schemas.openxmlformats.org/officeDocument/2006/relationships/hyperlink" Target="https://www.ft.com/content/c19fe8bf-0fd3-42bf-8e07-8f4e5d26ec25" TargetMode="External"/><Relationship Id="rId34" Type="http://schemas.openxmlformats.org/officeDocument/2006/relationships/hyperlink" Target="https://www.digitalhealth.net/2024/10/new-data-laws-will-allow-patient-data-to-be-shared-across-the-nhs/" TargetMode="External"/><Relationship Id="rId50" Type="http://schemas.openxmlformats.org/officeDocument/2006/relationships/hyperlink" Target="https://www.digitalhealth.net/2023/10/palantir-ceo-acknowledges-fdp-could-aid-nhs-data-being-sold-in-future/" TargetMode="External"/><Relationship Id="rId55" Type="http://schemas.openxmlformats.org/officeDocument/2006/relationships/hyperlink" Target="https://www.progress.org.uk/uk-biobank-will-be-able-to-access-participants-gp-data/" TargetMode="External"/><Relationship Id="rId76" Type="http://schemas.openxmlformats.org/officeDocument/2006/relationships/hyperlink" Target="https://www.theguardian.com/education/2023/sep/21/calls-to-shut-down-bristol-schools-use-of-think-family-education-app-pupils-and-families" TargetMode="External"/><Relationship Id="rId7" Type="http://schemas.openxmlformats.org/officeDocument/2006/relationships/hyperlink" Target="https://www.whatdotheyknow.com/request/ai_strategy_information/response/2748592/attach/6/Advances%20Fairness%20Analysis%20February%2024%20redacted%201.pdf?cookie_passthrough=1" TargetMode="External"/><Relationship Id="rId71" Type="http://schemas.openxmlformats.org/officeDocument/2006/relationships/hyperlink" Target="https://defenddigitalme.org/wp-content/uploads/2020/11/The-state-of-data-2020-v2.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1FBA-01FD-2644-B4CD-D692897D9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Simms</dc:creator>
  <cp:keywords/>
  <dc:description/>
  <cp:lastModifiedBy>Sarah Simms</cp:lastModifiedBy>
  <cp:revision>2</cp:revision>
  <dcterms:created xsi:type="dcterms:W3CDTF">2025-01-13T15:41:00Z</dcterms:created>
  <dcterms:modified xsi:type="dcterms:W3CDTF">2025-01-13T15:41:00Z</dcterms:modified>
</cp:coreProperties>
</file>