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15A23D" w14:textId="77777777" w:rsidR="007A591C" w:rsidRDefault="007A591C" w:rsidP="007A591C">
      <w:pPr>
        <w:jc w:val="center"/>
        <w:rPr>
          <w:rFonts w:asciiTheme="majorBidi" w:hAnsiTheme="majorBidi" w:cstheme="majorBidi"/>
          <w:b/>
          <w:bCs/>
          <w:sz w:val="28"/>
          <w:szCs w:val="28"/>
        </w:rPr>
      </w:pPr>
    </w:p>
    <w:p w14:paraId="6699C588" w14:textId="77777777" w:rsidR="00C24AE5" w:rsidRPr="00C24AE5" w:rsidRDefault="00C24AE5" w:rsidP="00C24AE5">
      <w:pPr>
        <w:jc w:val="center"/>
        <w:rPr>
          <w:rFonts w:asciiTheme="majorBidi" w:hAnsiTheme="majorBidi" w:cstheme="majorBidi"/>
          <w:b/>
          <w:bCs/>
          <w:sz w:val="28"/>
          <w:szCs w:val="28"/>
        </w:rPr>
      </w:pPr>
      <w:r w:rsidRPr="00C24AE5">
        <w:rPr>
          <w:rFonts w:asciiTheme="majorBidi" w:hAnsiTheme="majorBidi" w:cstheme="majorBidi"/>
          <w:b/>
          <w:bCs/>
          <w:sz w:val="28"/>
          <w:szCs w:val="28"/>
        </w:rPr>
        <w:t>The Human Rights Committee</w:t>
      </w:r>
    </w:p>
    <w:p w14:paraId="60D83312" w14:textId="340A26BD" w:rsidR="00C24AE5" w:rsidRPr="00C24AE5" w:rsidRDefault="00C24AE5" w:rsidP="00C24AE5">
      <w:pPr>
        <w:jc w:val="center"/>
        <w:rPr>
          <w:rFonts w:asciiTheme="majorBidi" w:hAnsiTheme="majorBidi" w:cstheme="majorBidi"/>
          <w:b/>
          <w:bCs/>
          <w:sz w:val="28"/>
          <w:szCs w:val="28"/>
        </w:rPr>
      </w:pPr>
      <w:r w:rsidRPr="00C24AE5">
        <w:rPr>
          <w:rFonts w:asciiTheme="majorBidi" w:hAnsiTheme="majorBidi" w:cstheme="majorBidi"/>
          <w:b/>
          <w:bCs/>
          <w:sz w:val="28"/>
          <w:szCs w:val="28"/>
        </w:rPr>
        <w:t>The 142nd Session (14 Oct 2024 - 07 Nov 2024)</w:t>
      </w:r>
    </w:p>
    <w:p w14:paraId="739CBA26" w14:textId="62E3820F" w:rsidR="00C24AE5" w:rsidRPr="00C24AE5" w:rsidRDefault="00C24AE5" w:rsidP="00C24AE5">
      <w:pPr>
        <w:jc w:val="center"/>
        <w:rPr>
          <w:rFonts w:asciiTheme="majorBidi" w:hAnsiTheme="majorBidi" w:cstheme="majorBidi"/>
          <w:b/>
          <w:bCs/>
          <w:sz w:val="28"/>
          <w:szCs w:val="28"/>
        </w:rPr>
      </w:pPr>
      <w:r w:rsidRPr="00C24AE5">
        <w:rPr>
          <w:rFonts w:asciiTheme="majorBidi" w:hAnsiTheme="majorBidi" w:cstheme="majorBidi"/>
          <w:b/>
          <w:bCs/>
          <w:sz w:val="28"/>
          <w:szCs w:val="28"/>
        </w:rPr>
        <w:t>Subject: Violations of the Right to Peaceful Assembly in France</w:t>
      </w:r>
    </w:p>
    <w:p w14:paraId="5E9E3279" w14:textId="08F5DF03" w:rsidR="00C24AE5" w:rsidRPr="00C24AE5" w:rsidRDefault="00C24AE5" w:rsidP="00C24AE5">
      <w:pPr>
        <w:jc w:val="center"/>
        <w:rPr>
          <w:rFonts w:asciiTheme="majorBidi" w:hAnsiTheme="majorBidi" w:cstheme="majorBidi"/>
          <w:b/>
          <w:bCs/>
          <w:sz w:val="28"/>
          <w:szCs w:val="28"/>
          <w:rtl/>
          <w:lang w:bidi="fa-IR"/>
        </w:rPr>
      </w:pPr>
      <w:r w:rsidRPr="00DB15A9">
        <w:rPr>
          <w:rFonts w:asciiTheme="majorBidi" w:hAnsiTheme="majorBidi" w:cstheme="majorBidi"/>
          <w:b/>
          <w:bCs/>
          <w:sz w:val="28"/>
          <w:szCs w:val="28"/>
        </w:rPr>
        <w:t xml:space="preserve">By: </w:t>
      </w:r>
      <w:r w:rsidR="00DB15A9">
        <w:rPr>
          <w:rFonts w:asciiTheme="majorBidi" w:hAnsiTheme="majorBidi" w:cstheme="majorBidi"/>
          <w:b/>
          <w:bCs/>
          <w:sz w:val="28"/>
          <w:szCs w:val="28"/>
          <w:lang w:bidi="fa-IR"/>
        </w:rPr>
        <w:t>The Iranian Jurists Defending Human Rights</w:t>
      </w:r>
    </w:p>
    <w:p w14:paraId="3476C81F" w14:textId="77777777" w:rsidR="007A591C" w:rsidRDefault="007A591C" w:rsidP="007A591C">
      <w:pPr>
        <w:jc w:val="center"/>
        <w:rPr>
          <w:rFonts w:asciiTheme="majorBidi" w:hAnsiTheme="majorBidi" w:cstheme="majorBidi"/>
          <w:b/>
          <w:bCs/>
          <w:sz w:val="28"/>
          <w:szCs w:val="28"/>
        </w:rPr>
      </w:pPr>
    </w:p>
    <w:p w14:paraId="22763609" w14:textId="77777777" w:rsidR="007A591C" w:rsidRDefault="007A591C" w:rsidP="007A591C">
      <w:pPr>
        <w:jc w:val="center"/>
        <w:rPr>
          <w:rFonts w:asciiTheme="majorBidi" w:hAnsiTheme="majorBidi" w:cstheme="majorBidi"/>
          <w:b/>
          <w:bCs/>
          <w:sz w:val="28"/>
          <w:szCs w:val="28"/>
        </w:rPr>
      </w:pPr>
    </w:p>
    <w:p w14:paraId="26C80FE2" w14:textId="77777777" w:rsidR="007A591C" w:rsidRDefault="007A591C" w:rsidP="007A591C">
      <w:pPr>
        <w:jc w:val="center"/>
        <w:rPr>
          <w:rFonts w:asciiTheme="majorBidi" w:hAnsiTheme="majorBidi" w:cstheme="majorBidi"/>
          <w:b/>
          <w:bCs/>
          <w:sz w:val="28"/>
          <w:szCs w:val="28"/>
        </w:rPr>
      </w:pPr>
    </w:p>
    <w:p w14:paraId="19C58750" w14:textId="77777777" w:rsidR="0037554B" w:rsidRPr="0037554B" w:rsidRDefault="0037554B" w:rsidP="0037554B">
      <w:pPr>
        <w:rPr>
          <w:rFonts w:asciiTheme="majorBidi" w:hAnsiTheme="majorBidi" w:cstheme="majorBidi"/>
          <w:sz w:val="24"/>
          <w:szCs w:val="24"/>
        </w:rPr>
      </w:pPr>
    </w:p>
    <w:p w14:paraId="425264A9" w14:textId="6DEC826E" w:rsidR="0037554B" w:rsidRPr="0037554B" w:rsidRDefault="0037554B" w:rsidP="0037554B">
      <w:pPr>
        <w:rPr>
          <w:rFonts w:asciiTheme="majorBidi" w:hAnsiTheme="majorBidi" w:cstheme="majorBidi"/>
          <w:b/>
          <w:bCs/>
          <w:sz w:val="24"/>
          <w:szCs w:val="24"/>
        </w:rPr>
      </w:pPr>
      <w:r w:rsidRPr="0037554B">
        <w:rPr>
          <w:rFonts w:asciiTheme="majorBidi" w:hAnsiTheme="majorBidi" w:cstheme="majorBidi"/>
          <w:b/>
          <w:bCs/>
          <w:sz w:val="24"/>
          <w:szCs w:val="24"/>
        </w:rPr>
        <w:t>Introduction</w:t>
      </w:r>
    </w:p>
    <w:p w14:paraId="608DAEE0" w14:textId="55B155A2" w:rsidR="00A04718" w:rsidRDefault="00A04718" w:rsidP="00A04718">
      <w:pPr>
        <w:spacing w:line="276" w:lineRule="auto"/>
        <w:jc w:val="both"/>
        <w:rPr>
          <w:rFonts w:asciiTheme="majorBidi" w:hAnsiTheme="majorBidi" w:cstheme="majorBidi"/>
          <w:sz w:val="24"/>
          <w:szCs w:val="24"/>
        </w:rPr>
      </w:pPr>
      <w:r w:rsidRPr="00A04718">
        <w:rPr>
          <w:rFonts w:asciiTheme="majorBidi" w:hAnsiTheme="majorBidi" w:cstheme="majorBidi"/>
          <w:sz w:val="24"/>
          <w:szCs w:val="24"/>
        </w:rPr>
        <w:t xml:space="preserve">This report delves into the significant violations of the right to peaceful assembly. The right to peaceful assembly is a fundamental human right, integral to the functioning of democratic societies, and is enshrined in several international human rights instruments, including Article 21 of the International Covenant on Civil and Political Rights (ICCPR). This right is pivotal in allowing individuals to collectively express, promote, pursue, and defend common interests. </w:t>
      </w:r>
    </w:p>
    <w:p w14:paraId="1A36E4C4" w14:textId="77777777" w:rsidR="00A04718" w:rsidRDefault="00A04718" w:rsidP="00A04718">
      <w:pPr>
        <w:spacing w:line="276" w:lineRule="auto"/>
        <w:jc w:val="both"/>
        <w:rPr>
          <w:rFonts w:asciiTheme="majorBidi" w:hAnsiTheme="majorBidi" w:cstheme="majorBidi"/>
          <w:sz w:val="24"/>
          <w:szCs w:val="24"/>
        </w:rPr>
      </w:pPr>
      <w:r w:rsidRPr="00A04718">
        <w:rPr>
          <w:rFonts w:asciiTheme="majorBidi" w:hAnsiTheme="majorBidi" w:cstheme="majorBidi"/>
          <w:sz w:val="24"/>
          <w:szCs w:val="24"/>
        </w:rPr>
        <w:t xml:space="preserve">In recent years, however, there have been numerous instances in France where this right has been systematically undermined. These incidents have sparked widespread concern among human rights organizations, civil society groups, and international bodies about France’s adherence to its obligations under international law. </w:t>
      </w:r>
    </w:p>
    <w:p w14:paraId="7209760A" w14:textId="77777777" w:rsidR="00A04718" w:rsidRDefault="00A04718" w:rsidP="00A04718">
      <w:pPr>
        <w:spacing w:line="276" w:lineRule="auto"/>
        <w:jc w:val="both"/>
        <w:rPr>
          <w:rFonts w:asciiTheme="majorBidi" w:hAnsiTheme="majorBidi" w:cstheme="majorBidi"/>
          <w:sz w:val="24"/>
          <w:szCs w:val="24"/>
        </w:rPr>
      </w:pPr>
      <w:r w:rsidRPr="00A04718">
        <w:rPr>
          <w:rFonts w:asciiTheme="majorBidi" w:hAnsiTheme="majorBidi" w:cstheme="majorBidi"/>
          <w:sz w:val="24"/>
          <w:szCs w:val="24"/>
        </w:rPr>
        <w:t xml:space="preserve">From the Gilets Jaunes (Yellow Vests) protests, which began in 2018 and continued into 2020, to the recent protests against pension reforms and environmental policies, French authorities have repeatedly employed excessive force, engaged in arbitrary arrests, and implemented restrictive measures against peaceful protesters. These actions not only contravene France’s domestic legal commitments but also violate its international obligations under the ICCPR. </w:t>
      </w:r>
    </w:p>
    <w:p w14:paraId="26078A38" w14:textId="77777777" w:rsidR="00A04718" w:rsidRDefault="00A04718" w:rsidP="00A04718">
      <w:pPr>
        <w:spacing w:line="276" w:lineRule="auto"/>
        <w:jc w:val="both"/>
        <w:rPr>
          <w:rFonts w:asciiTheme="majorBidi" w:hAnsiTheme="majorBidi" w:cstheme="majorBidi"/>
          <w:sz w:val="24"/>
          <w:szCs w:val="24"/>
        </w:rPr>
      </w:pPr>
      <w:r w:rsidRPr="00A04718">
        <w:rPr>
          <w:rFonts w:asciiTheme="majorBidi" w:hAnsiTheme="majorBidi" w:cstheme="majorBidi"/>
          <w:sz w:val="24"/>
          <w:szCs w:val="24"/>
        </w:rPr>
        <w:t xml:space="preserve">The patterns of suppression observed in various protest movements across France reflect a broader trend of prioritizing public order over fundamental human rights. Reports from reputable organizations such as Human Rights Watch, Amnesty International, and the United Nations have documented these violations, providing a sobering account of the erosion of civil liberties in the country. </w:t>
      </w:r>
    </w:p>
    <w:p w14:paraId="76FE7418" w14:textId="77777777" w:rsidR="00A04718" w:rsidRDefault="00A04718" w:rsidP="00A04718">
      <w:pPr>
        <w:spacing w:line="276" w:lineRule="auto"/>
        <w:jc w:val="both"/>
        <w:rPr>
          <w:rFonts w:asciiTheme="majorBidi" w:hAnsiTheme="majorBidi" w:cstheme="majorBidi"/>
          <w:sz w:val="24"/>
          <w:szCs w:val="24"/>
        </w:rPr>
      </w:pPr>
      <w:r w:rsidRPr="00A04718">
        <w:rPr>
          <w:rFonts w:asciiTheme="majorBidi" w:hAnsiTheme="majorBidi" w:cstheme="majorBidi"/>
          <w:sz w:val="24"/>
          <w:szCs w:val="24"/>
        </w:rPr>
        <w:t xml:space="preserve">Moreover, these violations have disproportionately impacted marginalized communities, including ethnic minorities, environmental activists, and labor unions, raising serious concerns about systemic discrimination and the unequal application of justice. The government’s heavy-handed </w:t>
      </w:r>
      <w:r w:rsidRPr="00A04718">
        <w:rPr>
          <w:rFonts w:asciiTheme="majorBidi" w:hAnsiTheme="majorBidi" w:cstheme="majorBidi"/>
          <w:sz w:val="24"/>
          <w:szCs w:val="24"/>
        </w:rPr>
        <w:lastRenderedPageBreak/>
        <w:t xml:space="preserve">response to peaceful assemblies, particularly those challenging its policies, signals an alarming disregard for the principles of democracy and the rule of law. </w:t>
      </w:r>
    </w:p>
    <w:p w14:paraId="3C00BDCF" w14:textId="77777777" w:rsidR="00A04718" w:rsidRDefault="00A04718" w:rsidP="00A04718">
      <w:pPr>
        <w:spacing w:line="276" w:lineRule="auto"/>
        <w:jc w:val="both"/>
        <w:rPr>
          <w:rFonts w:asciiTheme="majorBidi" w:hAnsiTheme="majorBidi" w:cstheme="majorBidi"/>
          <w:sz w:val="24"/>
          <w:szCs w:val="24"/>
        </w:rPr>
      </w:pPr>
      <w:r w:rsidRPr="00A04718">
        <w:rPr>
          <w:rFonts w:asciiTheme="majorBidi" w:hAnsiTheme="majorBidi" w:cstheme="majorBidi"/>
          <w:sz w:val="24"/>
          <w:szCs w:val="24"/>
        </w:rPr>
        <w:t xml:space="preserve">This report will examine specific instances where the right to peaceful assembly was compromised in France between 2020 and 2024, highlighting the methods used by authorities to stifle dissent and the resulting human rights implications. It will also offer recommendations for policy reforms aimed at ensuring that France upholds its international obligations and protects the rights of all individuals to assemble peacefully. </w:t>
      </w:r>
    </w:p>
    <w:p w14:paraId="44D86DC3" w14:textId="1AB8BB93" w:rsidR="00A04718" w:rsidRDefault="00A04718" w:rsidP="00A04718">
      <w:pPr>
        <w:spacing w:line="276" w:lineRule="auto"/>
        <w:jc w:val="both"/>
        <w:rPr>
          <w:rFonts w:asciiTheme="majorBidi" w:hAnsiTheme="majorBidi" w:cstheme="majorBidi"/>
          <w:sz w:val="24"/>
          <w:szCs w:val="24"/>
        </w:rPr>
      </w:pPr>
      <w:r w:rsidRPr="00A04718">
        <w:rPr>
          <w:rFonts w:asciiTheme="majorBidi" w:hAnsiTheme="majorBidi" w:cstheme="majorBidi"/>
          <w:sz w:val="24"/>
          <w:szCs w:val="24"/>
        </w:rPr>
        <w:t>By shedding light on these violations, this report seeks to contribute to ongoing efforts to safeguard civil liberties in France and reinforce the importance of the right to peaceful assembly as a cornerstone of a healthy, functioning democracy.</w:t>
      </w:r>
    </w:p>
    <w:p w14:paraId="36120E04" w14:textId="77777777" w:rsidR="00A04718" w:rsidRDefault="0037554B" w:rsidP="00A04718">
      <w:pPr>
        <w:spacing w:line="276" w:lineRule="auto"/>
        <w:jc w:val="both"/>
        <w:rPr>
          <w:rFonts w:asciiTheme="majorBidi" w:hAnsiTheme="majorBidi" w:cstheme="majorBidi"/>
          <w:sz w:val="24"/>
          <w:szCs w:val="24"/>
        </w:rPr>
      </w:pPr>
      <w:r w:rsidRPr="0037554B">
        <w:rPr>
          <w:rFonts w:asciiTheme="majorBidi" w:hAnsiTheme="majorBidi" w:cstheme="majorBidi"/>
          <w:sz w:val="24"/>
          <w:szCs w:val="24"/>
        </w:rPr>
        <w:t xml:space="preserve">1. </w:t>
      </w:r>
      <w:r w:rsidRPr="0037554B">
        <w:rPr>
          <w:rFonts w:asciiTheme="majorBidi" w:hAnsiTheme="majorBidi" w:cstheme="majorBidi"/>
          <w:b/>
          <w:bCs/>
          <w:sz w:val="24"/>
          <w:szCs w:val="24"/>
        </w:rPr>
        <w:t>Gilets Jaunes (Yellow Vests) Protests (2020):</w:t>
      </w:r>
      <w:r w:rsidRPr="0037554B">
        <w:rPr>
          <w:rFonts w:asciiTheme="majorBidi" w:hAnsiTheme="majorBidi" w:cstheme="majorBidi"/>
          <w:sz w:val="24"/>
          <w:szCs w:val="24"/>
        </w:rPr>
        <w:t xml:space="preserve"> </w:t>
      </w:r>
      <w:r w:rsidR="00A04718" w:rsidRPr="00A04718">
        <w:rPr>
          <w:rFonts w:asciiTheme="majorBidi" w:hAnsiTheme="majorBidi" w:cstheme="majorBidi"/>
          <w:sz w:val="24"/>
          <w:szCs w:val="24"/>
        </w:rPr>
        <w:t>The excessive use of force by police, including tear gas, rubber bullets, and stun grenades, was reported against peaceful protesters. Arbitrary arrests were also documented. Reports from Human Rights Watch and Amnesty International detailed the use of disproportionate force and the suppression of peaceful assemblies during the Yellow Vests protests, which violate Article 21 of the ICCPR (Right to peaceful assembly) and Article 9 of the ICCPR (Right to liberty and security of person).</w:t>
      </w:r>
    </w:p>
    <w:p w14:paraId="73DDBAEA" w14:textId="3C81819B" w:rsidR="0037554B" w:rsidRDefault="0037554B" w:rsidP="00A04718">
      <w:pPr>
        <w:spacing w:line="276" w:lineRule="auto"/>
        <w:jc w:val="both"/>
        <w:rPr>
          <w:rFonts w:asciiTheme="majorBidi" w:hAnsiTheme="majorBidi" w:cstheme="majorBidi"/>
          <w:sz w:val="24"/>
          <w:szCs w:val="24"/>
        </w:rPr>
      </w:pPr>
      <w:r w:rsidRPr="0037554B">
        <w:rPr>
          <w:rFonts w:asciiTheme="majorBidi" w:hAnsiTheme="majorBidi" w:cstheme="majorBidi"/>
          <w:sz w:val="24"/>
          <w:szCs w:val="24"/>
        </w:rPr>
        <w:t xml:space="preserve">2. </w:t>
      </w:r>
      <w:r w:rsidRPr="0037554B">
        <w:rPr>
          <w:rFonts w:asciiTheme="majorBidi" w:hAnsiTheme="majorBidi" w:cstheme="majorBidi"/>
          <w:b/>
          <w:bCs/>
          <w:sz w:val="24"/>
          <w:szCs w:val="24"/>
        </w:rPr>
        <w:t>Protests Against the Global Security Bill (2020-2021):</w:t>
      </w:r>
      <w:r w:rsidRPr="0037554B">
        <w:rPr>
          <w:rFonts w:asciiTheme="majorBidi" w:hAnsiTheme="majorBidi" w:cstheme="majorBidi"/>
          <w:sz w:val="24"/>
          <w:szCs w:val="24"/>
        </w:rPr>
        <w:t xml:space="preserve"> </w:t>
      </w:r>
      <w:r w:rsidR="00A04718" w:rsidRPr="00A04718">
        <w:rPr>
          <w:rFonts w:asciiTheme="majorBidi" w:hAnsiTheme="majorBidi" w:cstheme="majorBidi"/>
          <w:sz w:val="24"/>
          <w:szCs w:val="24"/>
        </w:rPr>
        <w:t>The French government introduced and attempted to pass the Global Security Bill, which aimed to restrict the recording of police officers during protests. This law was seen as a threat to freedom of assembly and expression. The response to protests against this bill included violent police tactics. The United Nations Special Rapporteur on the right to freedom of peaceful assembly expressed concerns over the bill and the police's heavy-handed response to protests, reflecting a violation of Article 21 of the ICCPR (Right to peaceful assembly) and Article 19 of the ICCPR (Freedom of expression).</w:t>
      </w:r>
    </w:p>
    <w:p w14:paraId="2BD35B80" w14:textId="77777777" w:rsidR="00A04718" w:rsidRDefault="0037554B" w:rsidP="00A04718">
      <w:pPr>
        <w:spacing w:line="276" w:lineRule="auto"/>
        <w:jc w:val="both"/>
        <w:rPr>
          <w:rFonts w:asciiTheme="majorBidi" w:hAnsiTheme="majorBidi" w:cstheme="majorBidi"/>
          <w:sz w:val="24"/>
          <w:szCs w:val="24"/>
        </w:rPr>
      </w:pPr>
      <w:r w:rsidRPr="0037554B">
        <w:rPr>
          <w:rFonts w:asciiTheme="majorBidi" w:hAnsiTheme="majorBidi" w:cstheme="majorBidi"/>
          <w:sz w:val="24"/>
          <w:szCs w:val="24"/>
        </w:rPr>
        <w:t xml:space="preserve">3. </w:t>
      </w:r>
      <w:r w:rsidRPr="0037554B">
        <w:rPr>
          <w:rFonts w:asciiTheme="majorBidi" w:hAnsiTheme="majorBidi" w:cstheme="majorBidi"/>
          <w:b/>
          <w:bCs/>
          <w:sz w:val="24"/>
          <w:szCs w:val="24"/>
        </w:rPr>
        <w:t>Black Lives Matter Protests (2020):</w:t>
      </w:r>
      <w:r w:rsidRPr="0037554B">
        <w:rPr>
          <w:rFonts w:asciiTheme="majorBidi" w:hAnsiTheme="majorBidi" w:cstheme="majorBidi"/>
          <w:sz w:val="24"/>
          <w:szCs w:val="24"/>
        </w:rPr>
        <w:t xml:space="preserve"> </w:t>
      </w:r>
      <w:r w:rsidR="00A04718" w:rsidRPr="00A04718">
        <w:rPr>
          <w:rFonts w:asciiTheme="majorBidi" w:hAnsiTheme="majorBidi" w:cstheme="majorBidi"/>
          <w:sz w:val="24"/>
          <w:szCs w:val="24"/>
        </w:rPr>
        <w:t>Protests against police violence and racial discrimination were met with a significant police presence and instances of forceful dispersal, particularly targeting marginalized communities. Amnesty International reported that peaceful protesters, especially from minority backgrounds, faced aggressive policing and were disproportionately targeted. These actions violate Article 21 of the ICCPR (Right to peaceful assembly) and Article 2 of the ICCPR (Right to non-discrimination).</w:t>
      </w:r>
    </w:p>
    <w:p w14:paraId="66407619" w14:textId="3314E2F0" w:rsidR="0037554B" w:rsidRDefault="0037554B" w:rsidP="00A04718">
      <w:pPr>
        <w:spacing w:line="276" w:lineRule="auto"/>
        <w:jc w:val="both"/>
        <w:rPr>
          <w:rFonts w:asciiTheme="majorBidi" w:hAnsiTheme="majorBidi" w:cstheme="majorBidi"/>
          <w:sz w:val="24"/>
          <w:szCs w:val="24"/>
        </w:rPr>
      </w:pPr>
      <w:r w:rsidRPr="0037554B">
        <w:rPr>
          <w:rFonts w:asciiTheme="majorBidi" w:hAnsiTheme="majorBidi" w:cstheme="majorBidi"/>
          <w:sz w:val="24"/>
          <w:szCs w:val="24"/>
        </w:rPr>
        <w:t xml:space="preserve">4. </w:t>
      </w:r>
      <w:r w:rsidRPr="0037554B">
        <w:rPr>
          <w:rFonts w:asciiTheme="majorBidi" w:hAnsiTheme="majorBidi" w:cstheme="majorBidi"/>
          <w:b/>
          <w:bCs/>
          <w:sz w:val="24"/>
          <w:szCs w:val="24"/>
        </w:rPr>
        <w:t>Pension Reform Protests (2023):</w:t>
      </w:r>
      <w:r w:rsidRPr="0037554B">
        <w:rPr>
          <w:rFonts w:asciiTheme="majorBidi" w:hAnsiTheme="majorBidi" w:cstheme="majorBidi"/>
          <w:sz w:val="24"/>
          <w:szCs w:val="24"/>
        </w:rPr>
        <w:t xml:space="preserve"> </w:t>
      </w:r>
      <w:r w:rsidR="00A04718" w:rsidRPr="00A04718">
        <w:rPr>
          <w:rFonts w:asciiTheme="majorBidi" w:hAnsiTheme="majorBidi" w:cstheme="majorBidi"/>
          <w:sz w:val="24"/>
          <w:szCs w:val="24"/>
        </w:rPr>
        <w:t>Demonstrations against pension reforms were marked by the use of riot police, water cannons, and the arrest of protesters, including labor union leaders. Reports by French human rights organizations highlighted the excessive use of force and the suppression of workers' rights to protest, showing violations of Article 21 of the ICCPR (Right to peaceful assembly) and Article 22 of the ICCPR (Freedom of association).</w:t>
      </w:r>
    </w:p>
    <w:p w14:paraId="65E60A10" w14:textId="77777777" w:rsidR="00A04718" w:rsidRDefault="0037554B" w:rsidP="00A04718">
      <w:pPr>
        <w:spacing w:line="276" w:lineRule="auto"/>
        <w:jc w:val="both"/>
        <w:rPr>
          <w:rFonts w:asciiTheme="majorBidi" w:hAnsiTheme="majorBidi" w:cstheme="majorBidi"/>
          <w:sz w:val="24"/>
          <w:szCs w:val="24"/>
        </w:rPr>
      </w:pPr>
      <w:r w:rsidRPr="0037554B">
        <w:rPr>
          <w:rFonts w:asciiTheme="majorBidi" w:hAnsiTheme="majorBidi" w:cstheme="majorBidi"/>
          <w:sz w:val="24"/>
          <w:szCs w:val="24"/>
        </w:rPr>
        <w:t xml:space="preserve">5. </w:t>
      </w:r>
      <w:r w:rsidRPr="0037554B">
        <w:rPr>
          <w:rFonts w:asciiTheme="majorBidi" w:hAnsiTheme="majorBidi" w:cstheme="majorBidi"/>
          <w:b/>
          <w:bCs/>
          <w:sz w:val="24"/>
          <w:szCs w:val="24"/>
        </w:rPr>
        <w:t>Protests in Support of Palestine (2021):</w:t>
      </w:r>
      <w:r w:rsidRPr="0037554B">
        <w:rPr>
          <w:rFonts w:asciiTheme="majorBidi" w:hAnsiTheme="majorBidi" w:cstheme="majorBidi"/>
          <w:sz w:val="24"/>
          <w:szCs w:val="24"/>
        </w:rPr>
        <w:t xml:space="preserve"> </w:t>
      </w:r>
      <w:r w:rsidR="00A04718" w:rsidRPr="00A04718">
        <w:rPr>
          <w:rFonts w:asciiTheme="majorBidi" w:hAnsiTheme="majorBidi" w:cstheme="majorBidi"/>
          <w:sz w:val="24"/>
          <w:szCs w:val="24"/>
        </w:rPr>
        <w:t xml:space="preserve">In May 2021, during the escalation of violence in Gaza, French authorities banned pro-Palestinian demonstrations, citing concerns about public order. Police used force to disperse demonstrators who gathered despite the ban, leading to arrests </w:t>
      </w:r>
      <w:r w:rsidR="00A04718" w:rsidRPr="00A04718">
        <w:rPr>
          <w:rFonts w:asciiTheme="majorBidi" w:hAnsiTheme="majorBidi" w:cstheme="majorBidi"/>
          <w:sz w:val="24"/>
          <w:szCs w:val="24"/>
        </w:rPr>
        <w:lastRenderedPageBreak/>
        <w:t xml:space="preserve">and injuries. The ban on pro-Palestinian demonstrations was widely criticized by human rights organizations, including Amnesty International, which argued that the ban and subsequent police actions violated the right to peaceful assembly and freedom of expression. This action violates Article 21 of the ICCPR (Right to peaceful assembly) and Article 19 of the ICCPR (Freedom of expression). </w:t>
      </w:r>
    </w:p>
    <w:p w14:paraId="558D0C94" w14:textId="2F193930" w:rsidR="00A04718" w:rsidRPr="00A04718" w:rsidRDefault="0037554B" w:rsidP="00A04718">
      <w:pPr>
        <w:spacing w:line="276" w:lineRule="auto"/>
        <w:jc w:val="both"/>
        <w:rPr>
          <w:rFonts w:asciiTheme="majorBidi" w:hAnsiTheme="majorBidi" w:cstheme="majorBidi"/>
          <w:sz w:val="24"/>
          <w:szCs w:val="24"/>
        </w:rPr>
      </w:pPr>
      <w:r w:rsidRPr="0037554B">
        <w:rPr>
          <w:rFonts w:asciiTheme="majorBidi" w:hAnsiTheme="majorBidi" w:cstheme="majorBidi"/>
          <w:sz w:val="24"/>
          <w:szCs w:val="24"/>
        </w:rPr>
        <w:t xml:space="preserve">6. </w:t>
      </w:r>
      <w:r w:rsidRPr="0037554B">
        <w:rPr>
          <w:rFonts w:asciiTheme="majorBidi" w:hAnsiTheme="majorBidi" w:cstheme="majorBidi"/>
          <w:b/>
          <w:bCs/>
          <w:sz w:val="24"/>
          <w:szCs w:val="24"/>
        </w:rPr>
        <w:t>Protests Against Pension Reform (2024):</w:t>
      </w:r>
      <w:r w:rsidRPr="0037554B">
        <w:rPr>
          <w:rFonts w:asciiTheme="majorBidi" w:hAnsiTheme="majorBidi" w:cstheme="majorBidi"/>
          <w:sz w:val="24"/>
          <w:szCs w:val="24"/>
        </w:rPr>
        <w:t xml:space="preserve"> </w:t>
      </w:r>
      <w:r w:rsidR="00A04718" w:rsidRPr="00A04718">
        <w:rPr>
          <w:rFonts w:asciiTheme="majorBidi" w:hAnsiTheme="majorBidi" w:cstheme="majorBidi"/>
          <w:sz w:val="24"/>
          <w:szCs w:val="24"/>
        </w:rPr>
        <w:t>In early 2024, large-scale protests erupted once again against the French government's proposed pension reforms. These demonstrations were met with a heavy police presence, the use of tear gas, and mass arrests. Reports indicated that law enforcement targeted specific groups, such as labor unions and student organizations, with disproportionate force. Human Rights Watch and local French media documented numerous instances of police brutality during these protests, including videos of law enforcement officers using excessive force against peaceful protesters.</w:t>
      </w:r>
      <w:r w:rsidR="00A04718">
        <w:rPr>
          <w:rFonts w:asciiTheme="majorBidi" w:hAnsiTheme="majorBidi" w:cstheme="majorBidi"/>
          <w:sz w:val="24"/>
          <w:szCs w:val="24"/>
        </w:rPr>
        <w:t xml:space="preserve"> </w:t>
      </w:r>
      <w:r w:rsidR="00A04718" w:rsidRPr="00A04718">
        <w:rPr>
          <w:rFonts w:asciiTheme="majorBidi" w:hAnsiTheme="majorBidi" w:cstheme="majorBidi"/>
          <w:sz w:val="24"/>
          <w:szCs w:val="24"/>
        </w:rPr>
        <w:t xml:space="preserve">The United Nations Human Rights Council also expressed concern over these developments, calling on France to respect the rights of its citizens to peacefully assemble. These forceful actions violate Article 21 of the ICCPR (Right to peaceful assembly) and Article 22 of the ICCPR (Freedom of association). </w:t>
      </w:r>
    </w:p>
    <w:p w14:paraId="3A5020E7" w14:textId="77777777" w:rsidR="00A04718" w:rsidRDefault="0037554B" w:rsidP="00A04718">
      <w:pPr>
        <w:spacing w:line="276" w:lineRule="auto"/>
        <w:jc w:val="both"/>
        <w:rPr>
          <w:rFonts w:asciiTheme="majorBidi" w:hAnsiTheme="majorBidi" w:cstheme="majorBidi"/>
          <w:sz w:val="24"/>
          <w:szCs w:val="24"/>
        </w:rPr>
      </w:pPr>
      <w:r w:rsidRPr="0037554B">
        <w:rPr>
          <w:rFonts w:asciiTheme="majorBidi" w:hAnsiTheme="majorBidi" w:cstheme="majorBidi"/>
          <w:sz w:val="24"/>
          <w:szCs w:val="24"/>
        </w:rPr>
        <w:t xml:space="preserve">7. </w:t>
      </w:r>
      <w:r w:rsidRPr="0037554B">
        <w:rPr>
          <w:rFonts w:asciiTheme="majorBidi" w:hAnsiTheme="majorBidi" w:cstheme="majorBidi"/>
          <w:b/>
          <w:bCs/>
          <w:sz w:val="24"/>
          <w:szCs w:val="24"/>
        </w:rPr>
        <w:t>Environmental Protests (2023-2024):</w:t>
      </w:r>
      <w:r w:rsidRPr="0037554B">
        <w:rPr>
          <w:rFonts w:asciiTheme="majorBidi" w:hAnsiTheme="majorBidi" w:cstheme="majorBidi"/>
          <w:sz w:val="24"/>
          <w:szCs w:val="24"/>
        </w:rPr>
        <w:t xml:space="preserve"> </w:t>
      </w:r>
      <w:r w:rsidR="00A04718" w:rsidRPr="00A04718">
        <w:rPr>
          <w:rFonts w:asciiTheme="majorBidi" w:hAnsiTheme="majorBidi" w:cstheme="majorBidi"/>
          <w:sz w:val="24"/>
          <w:szCs w:val="24"/>
        </w:rPr>
        <w:t>Environmental activists in France have faced increasing repression, particularly those protesting against large infrastructure projects such as the construction of new airports and highways. In several instances, the French government invoked emergency powers to disperse these protests, leading to widespread arrests and the criminalization of environmental activism. Reports from Greenpeace and other environmental organizations highlighted cases where protesters were detained without charge and faced harsh penalties for organizing or participating in peaceful demonstrations. The European Court of Human Rights has also received complaints regarding the treatment of environmental protesters in France. These actions violate Article 21 of the ICCPR (Right to peaceful assembly) and Article 19 of the ICCPR (Freedom of expression).</w:t>
      </w:r>
    </w:p>
    <w:p w14:paraId="04409BDD" w14:textId="77777777" w:rsidR="00A04718" w:rsidRDefault="0037554B" w:rsidP="00A04718">
      <w:pPr>
        <w:spacing w:line="276" w:lineRule="auto"/>
        <w:jc w:val="both"/>
        <w:rPr>
          <w:rFonts w:asciiTheme="majorBidi" w:hAnsiTheme="majorBidi" w:cstheme="majorBidi"/>
          <w:sz w:val="24"/>
          <w:szCs w:val="24"/>
        </w:rPr>
      </w:pPr>
      <w:r w:rsidRPr="0037554B">
        <w:rPr>
          <w:rFonts w:asciiTheme="majorBidi" w:hAnsiTheme="majorBidi" w:cstheme="majorBidi"/>
          <w:sz w:val="24"/>
          <w:szCs w:val="24"/>
        </w:rPr>
        <w:t xml:space="preserve">8. </w:t>
      </w:r>
      <w:r w:rsidRPr="0037554B">
        <w:rPr>
          <w:rFonts w:asciiTheme="majorBidi" w:hAnsiTheme="majorBidi" w:cstheme="majorBidi"/>
          <w:b/>
          <w:bCs/>
          <w:sz w:val="24"/>
          <w:szCs w:val="24"/>
        </w:rPr>
        <w:t>Protests Against the New Immigration Law (2024):</w:t>
      </w:r>
      <w:r w:rsidRPr="0037554B">
        <w:rPr>
          <w:rFonts w:asciiTheme="majorBidi" w:hAnsiTheme="majorBidi" w:cstheme="majorBidi"/>
          <w:sz w:val="24"/>
          <w:szCs w:val="24"/>
        </w:rPr>
        <w:t xml:space="preserve"> </w:t>
      </w:r>
      <w:r w:rsidR="00A04718" w:rsidRPr="00A04718">
        <w:rPr>
          <w:rFonts w:asciiTheme="majorBidi" w:hAnsiTheme="majorBidi" w:cstheme="majorBidi"/>
          <w:sz w:val="24"/>
          <w:szCs w:val="24"/>
        </w:rPr>
        <w:t>In response to a new immigration law that many viewed as discriminatory, protests broke out across France in 2024. The government's response included a significant police crackdown, with hundreds of protesters detained, many of whom were migrants or from marginalized communities. Amnesty International and local human rights groups reported on the disproportionate use of force against protesters and the discriminatory nature of the arrests. The crackdown was seen as part of a broader trend of targeting minority communities under the guise of maintaining public order. These actions violate Article 21 of the ICCPR (Right to peaceful assembly) and Article 2 of the ICCPR (Right to non-discrimination).</w:t>
      </w:r>
    </w:p>
    <w:p w14:paraId="5C16C32E" w14:textId="4D16F1A1" w:rsidR="005724C5" w:rsidRDefault="0037554B" w:rsidP="00A04718">
      <w:pPr>
        <w:spacing w:line="276" w:lineRule="auto"/>
        <w:jc w:val="both"/>
        <w:rPr>
          <w:rFonts w:asciiTheme="majorBidi" w:hAnsiTheme="majorBidi" w:cstheme="majorBidi"/>
          <w:sz w:val="24"/>
          <w:szCs w:val="24"/>
        </w:rPr>
      </w:pPr>
      <w:r w:rsidRPr="0037554B">
        <w:rPr>
          <w:rFonts w:asciiTheme="majorBidi" w:hAnsiTheme="majorBidi" w:cstheme="majorBidi"/>
          <w:b/>
          <w:bCs/>
          <w:sz w:val="24"/>
          <w:szCs w:val="24"/>
        </w:rPr>
        <w:t>Recommendations:</w:t>
      </w:r>
      <w:r w:rsidRPr="0037554B">
        <w:rPr>
          <w:rFonts w:asciiTheme="majorBidi" w:hAnsiTheme="majorBidi" w:cstheme="majorBidi"/>
          <w:sz w:val="24"/>
          <w:szCs w:val="24"/>
        </w:rPr>
        <w:t xml:space="preserve"> </w:t>
      </w:r>
    </w:p>
    <w:p w14:paraId="7988C62F" w14:textId="77777777" w:rsidR="005724C5" w:rsidRDefault="0037554B" w:rsidP="0037554B">
      <w:pPr>
        <w:spacing w:line="276" w:lineRule="auto"/>
        <w:jc w:val="both"/>
        <w:rPr>
          <w:rFonts w:asciiTheme="majorBidi" w:hAnsiTheme="majorBidi" w:cstheme="majorBidi"/>
          <w:sz w:val="24"/>
          <w:szCs w:val="24"/>
        </w:rPr>
      </w:pPr>
      <w:r w:rsidRPr="0037554B">
        <w:rPr>
          <w:rFonts w:asciiTheme="majorBidi" w:hAnsiTheme="majorBidi" w:cstheme="majorBidi"/>
          <w:sz w:val="24"/>
          <w:szCs w:val="24"/>
        </w:rPr>
        <w:t xml:space="preserve">1. </w:t>
      </w:r>
      <w:r w:rsidRPr="0037554B">
        <w:rPr>
          <w:rFonts w:asciiTheme="majorBidi" w:hAnsiTheme="majorBidi" w:cstheme="majorBidi"/>
          <w:b/>
          <w:bCs/>
          <w:sz w:val="24"/>
          <w:szCs w:val="24"/>
        </w:rPr>
        <w:t>Review and Reform of Policing Practices:</w:t>
      </w:r>
      <w:r w:rsidRPr="0037554B">
        <w:rPr>
          <w:rFonts w:asciiTheme="majorBidi" w:hAnsiTheme="majorBidi" w:cstheme="majorBidi"/>
          <w:sz w:val="24"/>
          <w:szCs w:val="24"/>
        </w:rPr>
        <w:t xml:space="preserve"> The French government should conduct a thorough review of its policing practices, particularly concerning the use of force during peaceful assemblies. Clear guidelines must be established to ensure that any force used is necessary and proportionate.</w:t>
      </w:r>
    </w:p>
    <w:p w14:paraId="3E202ECC" w14:textId="77777777" w:rsidR="005724C5" w:rsidRDefault="0037554B" w:rsidP="0037554B">
      <w:pPr>
        <w:spacing w:line="276" w:lineRule="auto"/>
        <w:jc w:val="both"/>
        <w:rPr>
          <w:rFonts w:asciiTheme="majorBidi" w:hAnsiTheme="majorBidi" w:cstheme="majorBidi"/>
          <w:sz w:val="24"/>
          <w:szCs w:val="24"/>
        </w:rPr>
      </w:pPr>
      <w:r w:rsidRPr="0037554B">
        <w:rPr>
          <w:rFonts w:asciiTheme="majorBidi" w:hAnsiTheme="majorBidi" w:cstheme="majorBidi"/>
          <w:sz w:val="24"/>
          <w:szCs w:val="24"/>
        </w:rPr>
        <w:lastRenderedPageBreak/>
        <w:t xml:space="preserve">2. </w:t>
      </w:r>
      <w:r w:rsidRPr="0037554B">
        <w:rPr>
          <w:rFonts w:asciiTheme="majorBidi" w:hAnsiTheme="majorBidi" w:cstheme="majorBidi"/>
          <w:b/>
          <w:bCs/>
          <w:sz w:val="24"/>
          <w:szCs w:val="24"/>
        </w:rPr>
        <w:t>Strengthen Accountability Mechanisms:</w:t>
      </w:r>
      <w:r w:rsidRPr="0037554B">
        <w:rPr>
          <w:rFonts w:asciiTheme="majorBidi" w:hAnsiTheme="majorBidi" w:cstheme="majorBidi"/>
          <w:sz w:val="24"/>
          <w:szCs w:val="24"/>
        </w:rPr>
        <w:t xml:space="preserve"> Establish independent bodies to investigate and hold accountable those responsible for violating the right to peaceful assembly, including law enforcement officials. </w:t>
      </w:r>
    </w:p>
    <w:p w14:paraId="3C2E7B44" w14:textId="094884ED" w:rsidR="0037554B" w:rsidRPr="0037554B" w:rsidRDefault="0037554B" w:rsidP="0037554B">
      <w:pPr>
        <w:spacing w:line="276" w:lineRule="auto"/>
        <w:jc w:val="both"/>
        <w:rPr>
          <w:rFonts w:asciiTheme="majorBidi" w:hAnsiTheme="majorBidi" w:cstheme="majorBidi"/>
          <w:sz w:val="24"/>
          <w:szCs w:val="24"/>
        </w:rPr>
      </w:pPr>
      <w:r w:rsidRPr="0037554B">
        <w:rPr>
          <w:rFonts w:asciiTheme="majorBidi" w:hAnsiTheme="majorBidi" w:cstheme="majorBidi"/>
          <w:sz w:val="24"/>
          <w:szCs w:val="24"/>
        </w:rPr>
        <w:t xml:space="preserve">3. </w:t>
      </w:r>
      <w:r w:rsidRPr="0037554B">
        <w:rPr>
          <w:rFonts w:asciiTheme="majorBidi" w:hAnsiTheme="majorBidi" w:cstheme="majorBidi"/>
          <w:b/>
          <w:bCs/>
          <w:sz w:val="24"/>
          <w:szCs w:val="24"/>
        </w:rPr>
        <w:t>Legislative Safeguards:</w:t>
      </w:r>
      <w:r w:rsidRPr="0037554B">
        <w:rPr>
          <w:rFonts w:asciiTheme="majorBidi" w:hAnsiTheme="majorBidi" w:cstheme="majorBidi"/>
          <w:sz w:val="24"/>
          <w:szCs w:val="24"/>
        </w:rPr>
        <w:t xml:space="preserve"> Ensure that any legislation, such as the Global Security Bill, does not infringe upon the rights to peaceful assembly and freedom of expression. Laws that are found to be restrictive should be repealed or amended in line with international human rights standards.</w:t>
      </w:r>
    </w:p>
    <w:p w14:paraId="44C31397" w14:textId="77777777" w:rsidR="005724C5" w:rsidRDefault="0037554B" w:rsidP="0037554B">
      <w:pPr>
        <w:spacing w:line="276" w:lineRule="auto"/>
        <w:jc w:val="both"/>
        <w:rPr>
          <w:rFonts w:asciiTheme="majorBidi" w:hAnsiTheme="majorBidi" w:cstheme="majorBidi"/>
          <w:sz w:val="24"/>
          <w:szCs w:val="24"/>
        </w:rPr>
      </w:pPr>
      <w:r w:rsidRPr="0037554B">
        <w:rPr>
          <w:rFonts w:asciiTheme="majorBidi" w:hAnsiTheme="majorBidi" w:cstheme="majorBidi"/>
          <w:sz w:val="24"/>
          <w:szCs w:val="24"/>
        </w:rPr>
        <w:t xml:space="preserve">4. </w:t>
      </w:r>
      <w:r w:rsidRPr="0037554B">
        <w:rPr>
          <w:rFonts w:asciiTheme="majorBidi" w:hAnsiTheme="majorBidi" w:cstheme="majorBidi"/>
          <w:b/>
          <w:bCs/>
          <w:sz w:val="24"/>
          <w:szCs w:val="24"/>
        </w:rPr>
        <w:t>Training for Law Enforcement:</w:t>
      </w:r>
      <w:r w:rsidRPr="0037554B">
        <w:rPr>
          <w:rFonts w:asciiTheme="majorBidi" w:hAnsiTheme="majorBidi" w:cstheme="majorBidi"/>
          <w:sz w:val="24"/>
          <w:szCs w:val="24"/>
        </w:rPr>
        <w:t xml:space="preserve"> Provide comprehensive training for police and security forces on human rights and the appropriate management of peaceful assemblies. This training should emphasize de-escalation techniques and the protection of the rights of protesters. </w:t>
      </w:r>
    </w:p>
    <w:p w14:paraId="31DCF71A" w14:textId="73B01283" w:rsidR="0037554B" w:rsidRDefault="0037554B" w:rsidP="0037554B">
      <w:pPr>
        <w:spacing w:line="276" w:lineRule="auto"/>
        <w:jc w:val="both"/>
        <w:rPr>
          <w:rFonts w:asciiTheme="majorBidi" w:hAnsiTheme="majorBidi" w:cstheme="majorBidi"/>
          <w:sz w:val="24"/>
          <w:szCs w:val="24"/>
        </w:rPr>
      </w:pPr>
      <w:r w:rsidRPr="0037554B">
        <w:rPr>
          <w:rFonts w:asciiTheme="majorBidi" w:hAnsiTheme="majorBidi" w:cstheme="majorBidi"/>
          <w:sz w:val="24"/>
          <w:szCs w:val="24"/>
        </w:rPr>
        <w:t xml:space="preserve">5. </w:t>
      </w:r>
      <w:r w:rsidRPr="0037554B">
        <w:rPr>
          <w:rFonts w:asciiTheme="majorBidi" w:hAnsiTheme="majorBidi" w:cstheme="majorBidi"/>
          <w:b/>
          <w:bCs/>
          <w:sz w:val="24"/>
          <w:szCs w:val="24"/>
        </w:rPr>
        <w:t>Engagement with Civil Society:</w:t>
      </w:r>
      <w:r w:rsidRPr="0037554B">
        <w:rPr>
          <w:rFonts w:asciiTheme="majorBidi" w:hAnsiTheme="majorBidi" w:cstheme="majorBidi"/>
          <w:sz w:val="24"/>
          <w:szCs w:val="24"/>
        </w:rPr>
        <w:t xml:space="preserve"> The French government should engage more actively with civil society organizations to address concerns related to the right to peaceful assembly and work collaboratively to create a more supportive environment for exercising this right. </w:t>
      </w:r>
    </w:p>
    <w:p w14:paraId="1B3B7D13" w14:textId="5093696E" w:rsidR="005724C5" w:rsidRPr="0037554B" w:rsidRDefault="005724C5" w:rsidP="005724C5">
      <w:pPr>
        <w:spacing w:line="276" w:lineRule="auto"/>
        <w:jc w:val="both"/>
        <w:rPr>
          <w:rFonts w:asciiTheme="majorBidi" w:hAnsiTheme="majorBidi" w:cstheme="majorBidi"/>
          <w:sz w:val="24"/>
          <w:szCs w:val="24"/>
        </w:rPr>
      </w:pPr>
      <w:r>
        <w:rPr>
          <w:rFonts w:asciiTheme="majorBidi" w:hAnsiTheme="majorBidi" w:cstheme="majorBidi"/>
          <w:sz w:val="24"/>
          <w:szCs w:val="24"/>
        </w:rPr>
        <w:t>All t</w:t>
      </w:r>
      <w:r w:rsidRPr="005724C5">
        <w:rPr>
          <w:rFonts w:asciiTheme="majorBidi" w:hAnsiTheme="majorBidi" w:cstheme="majorBidi"/>
          <w:sz w:val="24"/>
          <w:szCs w:val="24"/>
        </w:rPr>
        <w:t>hese cases illustrate a pattern of systematic violations of the right to peaceful assembly in France, particularly against marginalized groups and movements challenging government policies. The French government's approach has often been criticized for prioritizing public order over fundamental human rights, leading to a significant erosion of civil liberties in the country.</w:t>
      </w:r>
      <w:r>
        <w:rPr>
          <w:rFonts w:asciiTheme="majorBidi" w:hAnsiTheme="majorBidi" w:cstheme="majorBidi"/>
          <w:sz w:val="24"/>
          <w:szCs w:val="24"/>
        </w:rPr>
        <w:t xml:space="preserve"> </w:t>
      </w:r>
      <w:r w:rsidRPr="005724C5">
        <w:rPr>
          <w:rFonts w:asciiTheme="majorBidi" w:hAnsiTheme="majorBidi" w:cstheme="majorBidi"/>
          <w:sz w:val="24"/>
          <w:szCs w:val="24"/>
        </w:rPr>
        <w:t>The right to peaceful assembly is a cornerstone of democratic societies, and France, as a signatory to the ICCPR, has a duty to uphold this right. The violations highlighted in this report underscore the need for urgent reforms to align France's practices with its international human rights obligations. Implementing the recommendations provided will be crucial in ensuring that the right to peaceful assembly is respected and protected in France.</w:t>
      </w:r>
    </w:p>
    <w:p w14:paraId="4DCA3D32" w14:textId="77777777" w:rsidR="00840D45" w:rsidRPr="0037554B" w:rsidRDefault="00840D45" w:rsidP="0037554B">
      <w:pPr>
        <w:spacing w:line="276" w:lineRule="auto"/>
        <w:jc w:val="both"/>
        <w:rPr>
          <w:rFonts w:asciiTheme="majorBidi" w:hAnsiTheme="majorBidi" w:cstheme="majorBidi"/>
          <w:sz w:val="24"/>
          <w:szCs w:val="24"/>
        </w:rPr>
      </w:pPr>
    </w:p>
    <w:sectPr w:rsidR="00840D45" w:rsidRPr="0037554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A92"/>
    <w:rsid w:val="00365CC8"/>
    <w:rsid w:val="0037554B"/>
    <w:rsid w:val="0048159E"/>
    <w:rsid w:val="005724C5"/>
    <w:rsid w:val="006C145C"/>
    <w:rsid w:val="007A591C"/>
    <w:rsid w:val="00840D45"/>
    <w:rsid w:val="00995A92"/>
    <w:rsid w:val="009F3C56"/>
    <w:rsid w:val="00A04718"/>
    <w:rsid w:val="00C24AE5"/>
    <w:rsid w:val="00C32EF8"/>
    <w:rsid w:val="00DB15A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0D3D9B"/>
  <w15:chartTrackingRefBased/>
  <w15:docId w15:val="{C112AD81-BAB6-42FC-BADE-39C4D0478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625196">
      <w:bodyDiv w:val="1"/>
      <w:marLeft w:val="0"/>
      <w:marRight w:val="0"/>
      <w:marTop w:val="0"/>
      <w:marBottom w:val="0"/>
      <w:divBdr>
        <w:top w:val="none" w:sz="0" w:space="0" w:color="auto"/>
        <w:left w:val="none" w:sz="0" w:space="0" w:color="auto"/>
        <w:bottom w:val="none" w:sz="0" w:space="0" w:color="auto"/>
        <w:right w:val="none" w:sz="0" w:space="0" w:color="auto"/>
      </w:divBdr>
      <w:divsChild>
        <w:div w:id="221915695">
          <w:marLeft w:val="0"/>
          <w:marRight w:val="0"/>
          <w:marTop w:val="0"/>
          <w:marBottom w:val="0"/>
          <w:divBdr>
            <w:top w:val="none" w:sz="0" w:space="0" w:color="auto"/>
            <w:left w:val="none" w:sz="0" w:space="0" w:color="auto"/>
            <w:bottom w:val="none" w:sz="0" w:space="0" w:color="auto"/>
            <w:right w:val="none" w:sz="0" w:space="0" w:color="auto"/>
          </w:divBdr>
          <w:divsChild>
            <w:div w:id="2090927208">
              <w:marLeft w:val="0"/>
              <w:marRight w:val="0"/>
              <w:marTop w:val="0"/>
              <w:marBottom w:val="0"/>
              <w:divBdr>
                <w:top w:val="none" w:sz="0" w:space="0" w:color="auto"/>
                <w:left w:val="none" w:sz="0" w:space="0" w:color="auto"/>
                <w:bottom w:val="none" w:sz="0" w:space="0" w:color="auto"/>
                <w:right w:val="none" w:sz="0" w:space="0" w:color="auto"/>
              </w:divBdr>
              <w:divsChild>
                <w:div w:id="1686513526">
                  <w:marLeft w:val="0"/>
                  <w:marRight w:val="0"/>
                  <w:marTop w:val="0"/>
                  <w:marBottom w:val="0"/>
                  <w:divBdr>
                    <w:top w:val="none" w:sz="0" w:space="0" w:color="auto"/>
                    <w:left w:val="none" w:sz="0" w:space="0" w:color="auto"/>
                    <w:bottom w:val="none" w:sz="0" w:space="0" w:color="auto"/>
                    <w:right w:val="none" w:sz="0" w:space="0" w:color="auto"/>
                  </w:divBdr>
                  <w:divsChild>
                    <w:div w:id="1294292717">
                      <w:marLeft w:val="0"/>
                      <w:marRight w:val="0"/>
                      <w:marTop w:val="0"/>
                      <w:marBottom w:val="0"/>
                      <w:divBdr>
                        <w:top w:val="none" w:sz="0" w:space="0" w:color="auto"/>
                        <w:left w:val="none" w:sz="0" w:space="0" w:color="auto"/>
                        <w:bottom w:val="none" w:sz="0" w:space="0" w:color="auto"/>
                        <w:right w:val="none" w:sz="0" w:space="0" w:color="auto"/>
                      </w:divBdr>
                      <w:divsChild>
                        <w:div w:id="73859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7313225">
          <w:marLeft w:val="0"/>
          <w:marRight w:val="0"/>
          <w:marTop w:val="0"/>
          <w:marBottom w:val="0"/>
          <w:divBdr>
            <w:top w:val="none" w:sz="0" w:space="0" w:color="auto"/>
            <w:left w:val="none" w:sz="0" w:space="0" w:color="auto"/>
            <w:bottom w:val="none" w:sz="0" w:space="0" w:color="auto"/>
            <w:right w:val="none" w:sz="0" w:space="0" w:color="auto"/>
          </w:divBdr>
          <w:divsChild>
            <w:div w:id="2073043401">
              <w:marLeft w:val="0"/>
              <w:marRight w:val="0"/>
              <w:marTop w:val="0"/>
              <w:marBottom w:val="0"/>
              <w:divBdr>
                <w:top w:val="none" w:sz="0" w:space="0" w:color="auto"/>
                <w:left w:val="none" w:sz="0" w:space="0" w:color="auto"/>
                <w:bottom w:val="none" w:sz="0" w:space="0" w:color="auto"/>
                <w:right w:val="none" w:sz="0" w:space="0" w:color="auto"/>
              </w:divBdr>
              <w:divsChild>
                <w:div w:id="2136755962">
                  <w:marLeft w:val="0"/>
                  <w:marRight w:val="0"/>
                  <w:marTop w:val="0"/>
                  <w:marBottom w:val="0"/>
                  <w:divBdr>
                    <w:top w:val="none" w:sz="0" w:space="0" w:color="auto"/>
                    <w:left w:val="none" w:sz="0" w:space="0" w:color="auto"/>
                    <w:bottom w:val="none" w:sz="0" w:space="0" w:color="auto"/>
                    <w:right w:val="none" w:sz="0" w:space="0" w:color="auto"/>
                  </w:divBdr>
                  <w:divsChild>
                    <w:div w:id="1351181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5942632">
      <w:bodyDiv w:val="1"/>
      <w:marLeft w:val="0"/>
      <w:marRight w:val="0"/>
      <w:marTop w:val="0"/>
      <w:marBottom w:val="0"/>
      <w:divBdr>
        <w:top w:val="none" w:sz="0" w:space="0" w:color="auto"/>
        <w:left w:val="none" w:sz="0" w:space="0" w:color="auto"/>
        <w:bottom w:val="none" w:sz="0" w:space="0" w:color="auto"/>
        <w:right w:val="none" w:sz="0" w:space="0" w:color="auto"/>
      </w:divBdr>
      <w:divsChild>
        <w:div w:id="559365638">
          <w:marLeft w:val="0"/>
          <w:marRight w:val="0"/>
          <w:marTop w:val="0"/>
          <w:marBottom w:val="0"/>
          <w:divBdr>
            <w:top w:val="none" w:sz="0" w:space="0" w:color="auto"/>
            <w:left w:val="none" w:sz="0" w:space="0" w:color="auto"/>
            <w:bottom w:val="none" w:sz="0" w:space="0" w:color="auto"/>
            <w:right w:val="none" w:sz="0" w:space="0" w:color="auto"/>
          </w:divBdr>
          <w:divsChild>
            <w:div w:id="648897827">
              <w:marLeft w:val="0"/>
              <w:marRight w:val="0"/>
              <w:marTop w:val="0"/>
              <w:marBottom w:val="0"/>
              <w:divBdr>
                <w:top w:val="none" w:sz="0" w:space="0" w:color="auto"/>
                <w:left w:val="none" w:sz="0" w:space="0" w:color="auto"/>
                <w:bottom w:val="none" w:sz="0" w:space="0" w:color="auto"/>
                <w:right w:val="none" w:sz="0" w:space="0" w:color="auto"/>
              </w:divBdr>
              <w:divsChild>
                <w:div w:id="601493706">
                  <w:marLeft w:val="0"/>
                  <w:marRight w:val="0"/>
                  <w:marTop w:val="0"/>
                  <w:marBottom w:val="0"/>
                  <w:divBdr>
                    <w:top w:val="none" w:sz="0" w:space="0" w:color="auto"/>
                    <w:left w:val="none" w:sz="0" w:space="0" w:color="auto"/>
                    <w:bottom w:val="none" w:sz="0" w:space="0" w:color="auto"/>
                    <w:right w:val="none" w:sz="0" w:space="0" w:color="auto"/>
                  </w:divBdr>
                  <w:divsChild>
                    <w:div w:id="1504779564">
                      <w:marLeft w:val="0"/>
                      <w:marRight w:val="0"/>
                      <w:marTop w:val="0"/>
                      <w:marBottom w:val="0"/>
                      <w:divBdr>
                        <w:top w:val="none" w:sz="0" w:space="0" w:color="auto"/>
                        <w:left w:val="none" w:sz="0" w:space="0" w:color="auto"/>
                        <w:bottom w:val="none" w:sz="0" w:space="0" w:color="auto"/>
                        <w:right w:val="none" w:sz="0" w:space="0" w:color="auto"/>
                      </w:divBdr>
                      <w:divsChild>
                        <w:div w:id="2131389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4729583">
          <w:marLeft w:val="0"/>
          <w:marRight w:val="0"/>
          <w:marTop w:val="0"/>
          <w:marBottom w:val="0"/>
          <w:divBdr>
            <w:top w:val="none" w:sz="0" w:space="0" w:color="auto"/>
            <w:left w:val="none" w:sz="0" w:space="0" w:color="auto"/>
            <w:bottom w:val="none" w:sz="0" w:space="0" w:color="auto"/>
            <w:right w:val="none" w:sz="0" w:space="0" w:color="auto"/>
          </w:divBdr>
          <w:divsChild>
            <w:div w:id="998116103">
              <w:marLeft w:val="0"/>
              <w:marRight w:val="0"/>
              <w:marTop w:val="0"/>
              <w:marBottom w:val="0"/>
              <w:divBdr>
                <w:top w:val="none" w:sz="0" w:space="0" w:color="auto"/>
                <w:left w:val="none" w:sz="0" w:space="0" w:color="auto"/>
                <w:bottom w:val="none" w:sz="0" w:space="0" w:color="auto"/>
                <w:right w:val="none" w:sz="0" w:space="0" w:color="auto"/>
              </w:divBdr>
              <w:divsChild>
                <w:div w:id="28730453">
                  <w:marLeft w:val="0"/>
                  <w:marRight w:val="0"/>
                  <w:marTop w:val="0"/>
                  <w:marBottom w:val="0"/>
                  <w:divBdr>
                    <w:top w:val="none" w:sz="0" w:space="0" w:color="auto"/>
                    <w:left w:val="none" w:sz="0" w:space="0" w:color="auto"/>
                    <w:bottom w:val="none" w:sz="0" w:space="0" w:color="auto"/>
                    <w:right w:val="none" w:sz="0" w:space="0" w:color="auto"/>
                  </w:divBdr>
                  <w:divsChild>
                    <w:div w:id="2065827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3231375">
      <w:bodyDiv w:val="1"/>
      <w:marLeft w:val="0"/>
      <w:marRight w:val="0"/>
      <w:marTop w:val="0"/>
      <w:marBottom w:val="0"/>
      <w:divBdr>
        <w:top w:val="none" w:sz="0" w:space="0" w:color="auto"/>
        <w:left w:val="none" w:sz="0" w:space="0" w:color="auto"/>
        <w:bottom w:val="none" w:sz="0" w:space="0" w:color="auto"/>
        <w:right w:val="none" w:sz="0" w:space="0" w:color="auto"/>
      </w:divBdr>
      <w:divsChild>
        <w:div w:id="1002201702">
          <w:marLeft w:val="0"/>
          <w:marRight w:val="0"/>
          <w:marTop w:val="0"/>
          <w:marBottom w:val="0"/>
          <w:divBdr>
            <w:top w:val="none" w:sz="0" w:space="0" w:color="auto"/>
            <w:left w:val="none" w:sz="0" w:space="0" w:color="auto"/>
            <w:bottom w:val="none" w:sz="0" w:space="0" w:color="auto"/>
            <w:right w:val="none" w:sz="0" w:space="0" w:color="auto"/>
          </w:divBdr>
          <w:divsChild>
            <w:div w:id="963735511">
              <w:marLeft w:val="0"/>
              <w:marRight w:val="0"/>
              <w:marTop w:val="0"/>
              <w:marBottom w:val="0"/>
              <w:divBdr>
                <w:top w:val="none" w:sz="0" w:space="0" w:color="auto"/>
                <w:left w:val="none" w:sz="0" w:space="0" w:color="auto"/>
                <w:bottom w:val="none" w:sz="0" w:space="0" w:color="auto"/>
                <w:right w:val="none" w:sz="0" w:space="0" w:color="auto"/>
              </w:divBdr>
              <w:divsChild>
                <w:div w:id="1373576295">
                  <w:marLeft w:val="0"/>
                  <w:marRight w:val="0"/>
                  <w:marTop w:val="0"/>
                  <w:marBottom w:val="0"/>
                  <w:divBdr>
                    <w:top w:val="none" w:sz="0" w:space="0" w:color="auto"/>
                    <w:left w:val="none" w:sz="0" w:space="0" w:color="auto"/>
                    <w:bottom w:val="none" w:sz="0" w:space="0" w:color="auto"/>
                    <w:right w:val="none" w:sz="0" w:space="0" w:color="auto"/>
                  </w:divBdr>
                  <w:divsChild>
                    <w:div w:id="1297444533">
                      <w:marLeft w:val="0"/>
                      <w:marRight w:val="0"/>
                      <w:marTop w:val="0"/>
                      <w:marBottom w:val="0"/>
                      <w:divBdr>
                        <w:top w:val="none" w:sz="0" w:space="0" w:color="auto"/>
                        <w:left w:val="none" w:sz="0" w:space="0" w:color="auto"/>
                        <w:bottom w:val="none" w:sz="0" w:space="0" w:color="auto"/>
                        <w:right w:val="none" w:sz="0" w:space="0" w:color="auto"/>
                      </w:divBdr>
                      <w:divsChild>
                        <w:div w:id="1951400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4290938">
          <w:marLeft w:val="0"/>
          <w:marRight w:val="0"/>
          <w:marTop w:val="0"/>
          <w:marBottom w:val="0"/>
          <w:divBdr>
            <w:top w:val="none" w:sz="0" w:space="0" w:color="auto"/>
            <w:left w:val="none" w:sz="0" w:space="0" w:color="auto"/>
            <w:bottom w:val="none" w:sz="0" w:space="0" w:color="auto"/>
            <w:right w:val="none" w:sz="0" w:space="0" w:color="auto"/>
          </w:divBdr>
          <w:divsChild>
            <w:div w:id="1269125333">
              <w:marLeft w:val="0"/>
              <w:marRight w:val="0"/>
              <w:marTop w:val="0"/>
              <w:marBottom w:val="0"/>
              <w:divBdr>
                <w:top w:val="none" w:sz="0" w:space="0" w:color="auto"/>
                <w:left w:val="none" w:sz="0" w:space="0" w:color="auto"/>
                <w:bottom w:val="none" w:sz="0" w:space="0" w:color="auto"/>
                <w:right w:val="none" w:sz="0" w:space="0" w:color="auto"/>
              </w:divBdr>
              <w:divsChild>
                <w:div w:id="139856024">
                  <w:marLeft w:val="0"/>
                  <w:marRight w:val="0"/>
                  <w:marTop w:val="0"/>
                  <w:marBottom w:val="0"/>
                  <w:divBdr>
                    <w:top w:val="none" w:sz="0" w:space="0" w:color="auto"/>
                    <w:left w:val="none" w:sz="0" w:space="0" w:color="auto"/>
                    <w:bottom w:val="none" w:sz="0" w:space="0" w:color="auto"/>
                    <w:right w:val="none" w:sz="0" w:space="0" w:color="auto"/>
                  </w:divBdr>
                  <w:divsChild>
                    <w:div w:id="35936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3321084">
      <w:bodyDiv w:val="1"/>
      <w:marLeft w:val="0"/>
      <w:marRight w:val="0"/>
      <w:marTop w:val="0"/>
      <w:marBottom w:val="0"/>
      <w:divBdr>
        <w:top w:val="none" w:sz="0" w:space="0" w:color="auto"/>
        <w:left w:val="none" w:sz="0" w:space="0" w:color="auto"/>
        <w:bottom w:val="none" w:sz="0" w:space="0" w:color="auto"/>
        <w:right w:val="none" w:sz="0" w:space="0" w:color="auto"/>
      </w:divBdr>
      <w:divsChild>
        <w:div w:id="762844077">
          <w:marLeft w:val="0"/>
          <w:marRight w:val="0"/>
          <w:marTop w:val="0"/>
          <w:marBottom w:val="0"/>
          <w:divBdr>
            <w:top w:val="none" w:sz="0" w:space="0" w:color="auto"/>
            <w:left w:val="none" w:sz="0" w:space="0" w:color="auto"/>
            <w:bottom w:val="none" w:sz="0" w:space="0" w:color="auto"/>
            <w:right w:val="none" w:sz="0" w:space="0" w:color="auto"/>
          </w:divBdr>
          <w:divsChild>
            <w:div w:id="993800663">
              <w:marLeft w:val="0"/>
              <w:marRight w:val="0"/>
              <w:marTop w:val="0"/>
              <w:marBottom w:val="0"/>
              <w:divBdr>
                <w:top w:val="none" w:sz="0" w:space="0" w:color="auto"/>
                <w:left w:val="none" w:sz="0" w:space="0" w:color="auto"/>
                <w:bottom w:val="none" w:sz="0" w:space="0" w:color="auto"/>
                <w:right w:val="none" w:sz="0" w:space="0" w:color="auto"/>
              </w:divBdr>
              <w:divsChild>
                <w:div w:id="1997609447">
                  <w:marLeft w:val="0"/>
                  <w:marRight w:val="0"/>
                  <w:marTop w:val="0"/>
                  <w:marBottom w:val="0"/>
                  <w:divBdr>
                    <w:top w:val="none" w:sz="0" w:space="0" w:color="auto"/>
                    <w:left w:val="none" w:sz="0" w:space="0" w:color="auto"/>
                    <w:bottom w:val="none" w:sz="0" w:space="0" w:color="auto"/>
                    <w:right w:val="none" w:sz="0" w:space="0" w:color="auto"/>
                  </w:divBdr>
                  <w:divsChild>
                    <w:div w:id="864516124">
                      <w:marLeft w:val="0"/>
                      <w:marRight w:val="0"/>
                      <w:marTop w:val="0"/>
                      <w:marBottom w:val="0"/>
                      <w:divBdr>
                        <w:top w:val="none" w:sz="0" w:space="0" w:color="auto"/>
                        <w:left w:val="none" w:sz="0" w:space="0" w:color="auto"/>
                        <w:bottom w:val="none" w:sz="0" w:space="0" w:color="auto"/>
                        <w:right w:val="none" w:sz="0" w:space="0" w:color="auto"/>
                      </w:divBdr>
                      <w:divsChild>
                        <w:div w:id="1468746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3294734">
          <w:marLeft w:val="0"/>
          <w:marRight w:val="0"/>
          <w:marTop w:val="0"/>
          <w:marBottom w:val="0"/>
          <w:divBdr>
            <w:top w:val="none" w:sz="0" w:space="0" w:color="auto"/>
            <w:left w:val="none" w:sz="0" w:space="0" w:color="auto"/>
            <w:bottom w:val="none" w:sz="0" w:space="0" w:color="auto"/>
            <w:right w:val="none" w:sz="0" w:space="0" w:color="auto"/>
          </w:divBdr>
          <w:divsChild>
            <w:div w:id="212812596">
              <w:marLeft w:val="0"/>
              <w:marRight w:val="0"/>
              <w:marTop w:val="0"/>
              <w:marBottom w:val="0"/>
              <w:divBdr>
                <w:top w:val="none" w:sz="0" w:space="0" w:color="auto"/>
                <w:left w:val="none" w:sz="0" w:space="0" w:color="auto"/>
                <w:bottom w:val="none" w:sz="0" w:space="0" w:color="auto"/>
                <w:right w:val="none" w:sz="0" w:space="0" w:color="auto"/>
              </w:divBdr>
              <w:divsChild>
                <w:div w:id="389037571">
                  <w:marLeft w:val="0"/>
                  <w:marRight w:val="0"/>
                  <w:marTop w:val="0"/>
                  <w:marBottom w:val="0"/>
                  <w:divBdr>
                    <w:top w:val="none" w:sz="0" w:space="0" w:color="auto"/>
                    <w:left w:val="none" w:sz="0" w:space="0" w:color="auto"/>
                    <w:bottom w:val="none" w:sz="0" w:space="0" w:color="auto"/>
                    <w:right w:val="none" w:sz="0" w:space="0" w:color="auto"/>
                  </w:divBdr>
                  <w:divsChild>
                    <w:div w:id="1409887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4553589">
      <w:bodyDiv w:val="1"/>
      <w:marLeft w:val="0"/>
      <w:marRight w:val="0"/>
      <w:marTop w:val="0"/>
      <w:marBottom w:val="0"/>
      <w:divBdr>
        <w:top w:val="none" w:sz="0" w:space="0" w:color="auto"/>
        <w:left w:val="none" w:sz="0" w:space="0" w:color="auto"/>
        <w:bottom w:val="none" w:sz="0" w:space="0" w:color="auto"/>
        <w:right w:val="none" w:sz="0" w:space="0" w:color="auto"/>
      </w:divBdr>
      <w:divsChild>
        <w:div w:id="445780181">
          <w:marLeft w:val="0"/>
          <w:marRight w:val="0"/>
          <w:marTop w:val="0"/>
          <w:marBottom w:val="0"/>
          <w:divBdr>
            <w:top w:val="none" w:sz="0" w:space="0" w:color="auto"/>
            <w:left w:val="none" w:sz="0" w:space="0" w:color="auto"/>
            <w:bottom w:val="none" w:sz="0" w:space="0" w:color="auto"/>
            <w:right w:val="none" w:sz="0" w:space="0" w:color="auto"/>
          </w:divBdr>
          <w:divsChild>
            <w:div w:id="1786073074">
              <w:marLeft w:val="0"/>
              <w:marRight w:val="0"/>
              <w:marTop w:val="0"/>
              <w:marBottom w:val="0"/>
              <w:divBdr>
                <w:top w:val="none" w:sz="0" w:space="0" w:color="auto"/>
                <w:left w:val="none" w:sz="0" w:space="0" w:color="auto"/>
                <w:bottom w:val="none" w:sz="0" w:space="0" w:color="auto"/>
                <w:right w:val="none" w:sz="0" w:space="0" w:color="auto"/>
              </w:divBdr>
              <w:divsChild>
                <w:div w:id="641663059">
                  <w:marLeft w:val="0"/>
                  <w:marRight w:val="0"/>
                  <w:marTop w:val="0"/>
                  <w:marBottom w:val="0"/>
                  <w:divBdr>
                    <w:top w:val="none" w:sz="0" w:space="0" w:color="auto"/>
                    <w:left w:val="none" w:sz="0" w:space="0" w:color="auto"/>
                    <w:bottom w:val="none" w:sz="0" w:space="0" w:color="auto"/>
                    <w:right w:val="none" w:sz="0" w:space="0" w:color="auto"/>
                  </w:divBdr>
                  <w:divsChild>
                    <w:div w:id="2000382210">
                      <w:marLeft w:val="0"/>
                      <w:marRight w:val="0"/>
                      <w:marTop w:val="0"/>
                      <w:marBottom w:val="0"/>
                      <w:divBdr>
                        <w:top w:val="none" w:sz="0" w:space="0" w:color="auto"/>
                        <w:left w:val="none" w:sz="0" w:space="0" w:color="auto"/>
                        <w:bottom w:val="none" w:sz="0" w:space="0" w:color="auto"/>
                        <w:right w:val="none" w:sz="0" w:space="0" w:color="auto"/>
                      </w:divBdr>
                      <w:divsChild>
                        <w:div w:id="1593080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9436842">
          <w:marLeft w:val="0"/>
          <w:marRight w:val="0"/>
          <w:marTop w:val="0"/>
          <w:marBottom w:val="0"/>
          <w:divBdr>
            <w:top w:val="none" w:sz="0" w:space="0" w:color="auto"/>
            <w:left w:val="none" w:sz="0" w:space="0" w:color="auto"/>
            <w:bottom w:val="none" w:sz="0" w:space="0" w:color="auto"/>
            <w:right w:val="none" w:sz="0" w:space="0" w:color="auto"/>
          </w:divBdr>
          <w:divsChild>
            <w:div w:id="914241964">
              <w:marLeft w:val="0"/>
              <w:marRight w:val="0"/>
              <w:marTop w:val="0"/>
              <w:marBottom w:val="0"/>
              <w:divBdr>
                <w:top w:val="none" w:sz="0" w:space="0" w:color="auto"/>
                <w:left w:val="none" w:sz="0" w:space="0" w:color="auto"/>
                <w:bottom w:val="none" w:sz="0" w:space="0" w:color="auto"/>
                <w:right w:val="none" w:sz="0" w:space="0" w:color="auto"/>
              </w:divBdr>
              <w:divsChild>
                <w:div w:id="1836606779">
                  <w:marLeft w:val="0"/>
                  <w:marRight w:val="0"/>
                  <w:marTop w:val="0"/>
                  <w:marBottom w:val="0"/>
                  <w:divBdr>
                    <w:top w:val="none" w:sz="0" w:space="0" w:color="auto"/>
                    <w:left w:val="none" w:sz="0" w:space="0" w:color="auto"/>
                    <w:bottom w:val="none" w:sz="0" w:space="0" w:color="auto"/>
                    <w:right w:val="none" w:sz="0" w:space="0" w:color="auto"/>
                  </w:divBdr>
                  <w:divsChild>
                    <w:div w:id="1406302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9376896">
      <w:bodyDiv w:val="1"/>
      <w:marLeft w:val="0"/>
      <w:marRight w:val="0"/>
      <w:marTop w:val="0"/>
      <w:marBottom w:val="0"/>
      <w:divBdr>
        <w:top w:val="none" w:sz="0" w:space="0" w:color="auto"/>
        <w:left w:val="none" w:sz="0" w:space="0" w:color="auto"/>
        <w:bottom w:val="none" w:sz="0" w:space="0" w:color="auto"/>
        <w:right w:val="none" w:sz="0" w:space="0" w:color="auto"/>
      </w:divBdr>
      <w:divsChild>
        <w:div w:id="660932649">
          <w:marLeft w:val="0"/>
          <w:marRight w:val="0"/>
          <w:marTop w:val="0"/>
          <w:marBottom w:val="0"/>
          <w:divBdr>
            <w:top w:val="none" w:sz="0" w:space="0" w:color="auto"/>
            <w:left w:val="none" w:sz="0" w:space="0" w:color="auto"/>
            <w:bottom w:val="none" w:sz="0" w:space="0" w:color="auto"/>
            <w:right w:val="none" w:sz="0" w:space="0" w:color="auto"/>
          </w:divBdr>
          <w:divsChild>
            <w:div w:id="1048990363">
              <w:marLeft w:val="0"/>
              <w:marRight w:val="0"/>
              <w:marTop w:val="0"/>
              <w:marBottom w:val="0"/>
              <w:divBdr>
                <w:top w:val="none" w:sz="0" w:space="0" w:color="auto"/>
                <w:left w:val="none" w:sz="0" w:space="0" w:color="auto"/>
                <w:bottom w:val="none" w:sz="0" w:space="0" w:color="auto"/>
                <w:right w:val="none" w:sz="0" w:space="0" w:color="auto"/>
              </w:divBdr>
              <w:divsChild>
                <w:div w:id="437987439">
                  <w:marLeft w:val="0"/>
                  <w:marRight w:val="0"/>
                  <w:marTop w:val="0"/>
                  <w:marBottom w:val="0"/>
                  <w:divBdr>
                    <w:top w:val="none" w:sz="0" w:space="0" w:color="auto"/>
                    <w:left w:val="none" w:sz="0" w:space="0" w:color="auto"/>
                    <w:bottom w:val="none" w:sz="0" w:space="0" w:color="auto"/>
                    <w:right w:val="none" w:sz="0" w:space="0" w:color="auto"/>
                  </w:divBdr>
                  <w:divsChild>
                    <w:div w:id="2071417155">
                      <w:marLeft w:val="0"/>
                      <w:marRight w:val="0"/>
                      <w:marTop w:val="0"/>
                      <w:marBottom w:val="0"/>
                      <w:divBdr>
                        <w:top w:val="none" w:sz="0" w:space="0" w:color="auto"/>
                        <w:left w:val="none" w:sz="0" w:space="0" w:color="auto"/>
                        <w:bottom w:val="none" w:sz="0" w:space="0" w:color="auto"/>
                        <w:right w:val="none" w:sz="0" w:space="0" w:color="auto"/>
                      </w:divBdr>
                      <w:divsChild>
                        <w:div w:id="963851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0887356">
          <w:marLeft w:val="0"/>
          <w:marRight w:val="0"/>
          <w:marTop w:val="0"/>
          <w:marBottom w:val="0"/>
          <w:divBdr>
            <w:top w:val="none" w:sz="0" w:space="0" w:color="auto"/>
            <w:left w:val="none" w:sz="0" w:space="0" w:color="auto"/>
            <w:bottom w:val="none" w:sz="0" w:space="0" w:color="auto"/>
            <w:right w:val="none" w:sz="0" w:space="0" w:color="auto"/>
          </w:divBdr>
          <w:divsChild>
            <w:div w:id="2082872674">
              <w:marLeft w:val="0"/>
              <w:marRight w:val="0"/>
              <w:marTop w:val="0"/>
              <w:marBottom w:val="0"/>
              <w:divBdr>
                <w:top w:val="none" w:sz="0" w:space="0" w:color="auto"/>
                <w:left w:val="none" w:sz="0" w:space="0" w:color="auto"/>
                <w:bottom w:val="none" w:sz="0" w:space="0" w:color="auto"/>
                <w:right w:val="none" w:sz="0" w:space="0" w:color="auto"/>
              </w:divBdr>
              <w:divsChild>
                <w:div w:id="1773086222">
                  <w:marLeft w:val="0"/>
                  <w:marRight w:val="0"/>
                  <w:marTop w:val="0"/>
                  <w:marBottom w:val="0"/>
                  <w:divBdr>
                    <w:top w:val="none" w:sz="0" w:space="0" w:color="auto"/>
                    <w:left w:val="none" w:sz="0" w:space="0" w:color="auto"/>
                    <w:bottom w:val="none" w:sz="0" w:space="0" w:color="auto"/>
                    <w:right w:val="none" w:sz="0" w:space="0" w:color="auto"/>
                  </w:divBdr>
                  <w:divsChild>
                    <w:div w:id="76177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0" ma:contentTypeDescription="Create a new document." ma:contentTypeScope="" ma:versionID="c7473d22715c354a911c6e5ac56bedf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7353edd2849960c8a315ced5813ef6a6"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249D8E-4E53-495A-B241-70D6C8E9E365}"/>
</file>

<file path=customXml/itemProps2.xml><?xml version="1.0" encoding="utf-8"?>
<ds:datastoreItem xmlns:ds="http://schemas.openxmlformats.org/officeDocument/2006/customXml" ds:itemID="{4B46DDEB-D2D0-4628-B1CF-02B22B5E1D74}"/>
</file>

<file path=docProps/app.xml><?xml version="1.0" encoding="utf-8"?>
<Properties xmlns="http://schemas.openxmlformats.org/officeDocument/2006/extended-properties" xmlns:vt="http://schemas.openxmlformats.org/officeDocument/2006/docPropsVTypes">
  <Template>Normal</Template>
  <TotalTime>4</TotalTime>
  <Pages>4</Pages>
  <Words>1575</Words>
  <Characters>8979</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c:creator>
  <cp:keywords/>
  <dc:description/>
  <cp:lastModifiedBy>Lenovo</cp:lastModifiedBy>
  <cp:revision>2</cp:revision>
  <dcterms:created xsi:type="dcterms:W3CDTF">2024-09-16T16:54:00Z</dcterms:created>
  <dcterms:modified xsi:type="dcterms:W3CDTF">2024-09-16T16:54:00Z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cb841509277f8baabc2f669f33b12cfef913e18d6e31ee5183e40ca43d885680</vt:lpwstr>
  </property>
</Properties>
</file>