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E9449" w14:textId="7243707F" w:rsidR="00201381" w:rsidRPr="00AC645E" w:rsidRDefault="00135C19" w:rsidP="00481084">
      <w:pPr>
        <w:spacing w:line="360" w:lineRule="auto"/>
        <w:rPr>
          <w:rFonts w:ascii="Times New Roman" w:hAnsi="Times New Roman" w:cs="Times New Roman"/>
          <w:szCs w:val="24"/>
        </w:rPr>
      </w:pPr>
      <w:r w:rsidRPr="00AC645E">
        <w:rPr>
          <w:rStyle w:val="ae"/>
          <w:rFonts w:ascii="Times New Roman" w:hAnsi="Times New Roman" w:cs="Times New Roman"/>
          <w:sz w:val="40"/>
          <w:szCs w:val="40"/>
        </w:rPr>
        <w:t>SHADOW REPORT</w:t>
      </w:r>
      <w:r w:rsidRPr="00AC645E">
        <w:rPr>
          <w:rFonts w:ascii="Times New Roman" w:hAnsi="Times New Roman" w:cs="Times New Roman"/>
          <w:szCs w:val="24"/>
        </w:rPr>
        <w:br/>
        <w:t>on the Implementation of the Convention on the Elimination</w:t>
      </w:r>
      <w:r w:rsidRPr="00AC645E">
        <w:rPr>
          <w:rFonts w:ascii="Times New Roman" w:hAnsi="Times New Roman" w:cs="Times New Roman"/>
          <w:szCs w:val="24"/>
        </w:rPr>
        <w:br/>
        <w:t>of All Forms of Discrimination Against Women (CEDAW)</w:t>
      </w:r>
    </w:p>
    <w:p w14:paraId="04E38341" w14:textId="0F959B78" w:rsidR="00135C19" w:rsidRPr="00AC645E" w:rsidRDefault="00135C19" w:rsidP="00481084">
      <w:pPr>
        <w:pStyle w:val="af"/>
        <w:spacing w:line="360" w:lineRule="auto"/>
        <w:rPr>
          <w:rFonts w:eastAsiaTheme="majorEastAsia"/>
        </w:rPr>
      </w:pPr>
      <w:r w:rsidRPr="00AC645E">
        <w:rPr>
          <w:rStyle w:val="ae"/>
          <w:rFonts w:eastAsiaTheme="majorEastAsia"/>
          <w:sz w:val="40"/>
          <w:szCs w:val="40"/>
        </w:rPr>
        <w:t>Thailand</w:t>
      </w:r>
      <w:r w:rsidRPr="00AC645E">
        <w:rPr>
          <w:rStyle w:val="ae"/>
          <w:rFonts w:eastAsiaTheme="majorEastAsia"/>
          <w:b w:val="0"/>
          <w:bCs w:val="0"/>
        </w:rPr>
        <w:t>: The Situation of Patani Malay Women</w:t>
      </w:r>
      <w:r w:rsidRPr="00AC645E">
        <w:br/>
      </w:r>
      <w:r w:rsidRPr="00AC645E">
        <w:rPr>
          <w:rStyle w:val="ae"/>
          <w:rFonts w:eastAsiaTheme="majorEastAsia"/>
          <w:b w:val="0"/>
          <w:bCs w:val="0"/>
        </w:rPr>
        <w:t>in the Southern Border Provinces</w:t>
      </w:r>
    </w:p>
    <w:p w14:paraId="186FF354" w14:textId="7B1E3670" w:rsidR="00135C19" w:rsidRPr="00AC645E" w:rsidRDefault="00135C19" w:rsidP="00481084">
      <w:pPr>
        <w:spacing w:line="360" w:lineRule="auto"/>
        <w:rPr>
          <w:rFonts w:ascii="Times New Roman" w:hAnsi="Times New Roman" w:cs="Times New Roman"/>
          <w:szCs w:val="24"/>
        </w:rPr>
      </w:pPr>
      <w:r w:rsidRPr="00AC645E">
        <w:rPr>
          <w:rStyle w:val="ae"/>
          <w:rFonts w:ascii="Times New Roman" w:hAnsi="Times New Roman" w:cs="Times New Roman"/>
          <w:b w:val="0"/>
          <w:bCs w:val="0"/>
          <w:szCs w:val="24"/>
        </w:rPr>
        <w:t>Submitted to</w:t>
      </w:r>
      <w:r w:rsidRPr="00AC645E">
        <w:rPr>
          <w:rFonts w:ascii="Times New Roman" w:hAnsi="Times New Roman" w:cs="Times New Roman"/>
          <w:szCs w:val="24"/>
        </w:rPr>
        <w:br/>
        <w:t>The Committee on the Elimination of Discrimination against Women (CEDAW Committee)</w:t>
      </w:r>
    </w:p>
    <w:p w14:paraId="3D515234" w14:textId="56FC00BA" w:rsidR="00201381" w:rsidRPr="00AC645E" w:rsidRDefault="00135C19" w:rsidP="00481084">
      <w:pPr>
        <w:spacing w:line="360" w:lineRule="auto"/>
        <w:rPr>
          <w:rFonts w:ascii="Times New Roman" w:hAnsi="Times New Roman" w:cs="Times New Roman"/>
          <w:szCs w:val="24"/>
        </w:rPr>
      </w:pPr>
      <w:r w:rsidRPr="00AC645E">
        <w:rPr>
          <w:rStyle w:val="ae"/>
          <w:rFonts w:ascii="Times New Roman" w:hAnsi="Times New Roman" w:cs="Times New Roman"/>
          <w:b w:val="0"/>
          <w:bCs w:val="0"/>
          <w:szCs w:val="24"/>
        </w:rPr>
        <w:t>91st Session</w:t>
      </w:r>
      <w:r w:rsidRPr="00AC645E">
        <w:rPr>
          <w:rFonts w:ascii="Times New Roman" w:hAnsi="Times New Roman" w:cs="Times New Roman"/>
          <w:szCs w:val="24"/>
        </w:rPr>
        <w:br/>
        <w:t>16 June – 4 July 2025</w:t>
      </w:r>
    </w:p>
    <w:p w14:paraId="2A8DA7D5" w14:textId="3864AF76" w:rsidR="00135C19" w:rsidRPr="00AC645E" w:rsidRDefault="00135C19" w:rsidP="00481084">
      <w:pPr>
        <w:spacing w:line="360" w:lineRule="auto"/>
        <w:rPr>
          <w:rFonts w:ascii="Times New Roman" w:hAnsi="Times New Roman" w:cs="Times New Roman"/>
          <w:szCs w:val="24"/>
        </w:rPr>
      </w:pPr>
      <w:r w:rsidRPr="00AC645E">
        <w:rPr>
          <w:rStyle w:val="ae"/>
          <w:rFonts w:ascii="Times New Roman" w:hAnsi="Times New Roman" w:cs="Times New Roman"/>
          <w:b w:val="0"/>
          <w:bCs w:val="0"/>
          <w:szCs w:val="24"/>
        </w:rPr>
        <w:t>Submitted by:</w:t>
      </w:r>
      <w:r w:rsidRPr="00AC645E">
        <w:rPr>
          <w:rFonts w:ascii="Times New Roman" w:hAnsi="Times New Roman" w:cs="Times New Roman"/>
          <w:szCs w:val="24"/>
        </w:rPr>
        <w:br/>
      </w:r>
      <w:r w:rsidRPr="00AC645E">
        <w:rPr>
          <w:rStyle w:val="ae"/>
          <w:rFonts w:ascii="Times New Roman" w:hAnsi="Times New Roman" w:cs="Times New Roman"/>
          <w:b w:val="0"/>
          <w:bCs w:val="0"/>
          <w:szCs w:val="24"/>
        </w:rPr>
        <w:t>CAP Women and Children</w:t>
      </w:r>
    </w:p>
    <w:p w14:paraId="5B72AF7D" w14:textId="41E78AE5" w:rsidR="00201381" w:rsidRPr="00AC645E" w:rsidRDefault="00087F23" w:rsidP="00481084">
      <w:pPr>
        <w:spacing w:line="360" w:lineRule="auto"/>
        <w:rPr>
          <w:rFonts w:ascii="Times New Roman" w:hAnsi="Times New Roman" w:cs="Times New Roman"/>
          <w:szCs w:val="24"/>
        </w:rPr>
      </w:pPr>
      <w:r>
        <w:rPr>
          <w:rFonts w:ascii="Times New Roman" w:hAnsi="Times New Roman" w:cs="Times New Roman"/>
          <w:noProof/>
          <w:szCs w:val="24"/>
        </w:rPr>
        <w:drawing>
          <wp:anchor distT="0" distB="0" distL="114300" distR="114300" simplePos="0" relativeHeight="251658240" behindDoc="1" locked="0" layoutInCell="1" allowOverlap="1" wp14:anchorId="33175F4E" wp14:editId="7378D5CA">
            <wp:simplePos x="0" y="0"/>
            <wp:positionH relativeFrom="column">
              <wp:posOffset>2210435</wp:posOffset>
            </wp:positionH>
            <wp:positionV relativeFrom="paragraph">
              <wp:posOffset>340360</wp:posOffset>
            </wp:positionV>
            <wp:extent cx="3983355" cy="3983355"/>
            <wp:effectExtent l="0" t="0" r="0" b="0"/>
            <wp:wrapTight wrapText="bothSides">
              <wp:wrapPolygon edited="0">
                <wp:start x="0" y="0"/>
                <wp:lineTo x="0" y="21486"/>
                <wp:lineTo x="21486" y="21486"/>
                <wp:lineTo x="21486" y="0"/>
                <wp:lineTo x="0" y="0"/>
              </wp:wrapPolygon>
            </wp:wrapTight>
            <wp:docPr id="1912047127"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047127" name="รูปภาพ 191204712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83355" cy="3983355"/>
                    </a:xfrm>
                    <a:prstGeom prst="rect">
                      <a:avLst/>
                    </a:prstGeom>
                  </pic:spPr>
                </pic:pic>
              </a:graphicData>
            </a:graphic>
            <wp14:sizeRelH relativeFrom="margin">
              <wp14:pctWidth>0</wp14:pctWidth>
            </wp14:sizeRelH>
            <wp14:sizeRelV relativeFrom="margin">
              <wp14:pctHeight>0</wp14:pctHeight>
            </wp14:sizeRelV>
          </wp:anchor>
        </w:drawing>
      </w:r>
    </w:p>
    <w:p w14:paraId="2FAF6821" w14:textId="4CF6C215" w:rsidR="00201381" w:rsidRPr="00AC645E" w:rsidRDefault="00201381" w:rsidP="00481084">
      <w:pPr>
        <w:spacing w:line="360" w:lineRule="auto"/>
        <w:rPr>
          <w:rFonts w:ascii="Times New Roman" w:hAnsi="Times New Roman" w:cs="Times New Roman"/>
          <w:szCs w:val="24"/>
        </w:rPr>
      </w:pPr>
    </w:p>
    <w:p w14:paraId="1B7452A4" w14:textId="058C0AC2" w:rsidR="00201381" w:rsidRPr="00AC645E" w:rsidRDefault="00201381" w:rsidP="00481084">
      <w:pPr>
        <w:spacing w:line="360" w:lineRule="auto"/>
        <w:rPr>
          <w:rFonts w:ascii="Times New Roman" w:hAnsi="Times New Roman" w:cs="Times New Roman"/>
          <w:szCs w:val="24"/>
        </w:rPr>
      </w:pPr>
    </w:p>
    <w:p w14:paraId="1F40FDE5" w14:textId="5417093B" w:rsidR="00201381" w:rsidRPr="00AC645E" w:rsidRDefault="00201381" w:rsidP="00481084">
      <w:pPr>
        <w:spacing w:line="360" w:lineRule="auto"/>
        <w:rPr>
          <w:rFonts w:ascii="Times New Roman" w:hAnsi="Times New Roman" w:cs="Times New Roman"/>
          <w:szCs w:val="24"/>
        </w:rPr>
      </w:pPr>
    </w:p>
    <w:p w14:paraId="4088296D" w14:textId="0F40BEE2" w:rsidR="00201381" w:rsidRPr="00AC645E" w:rsidRDefault="00201381" w:rsidP="00481084">
      <w:pPr>
        <w:spacing w:line="360" w:lineRule="auto"/>
        <w:rPr>
          <w:rFonts w:ascii="Times New Roman" w:hAnsi="Times New Roman" w:cs="Times New Roman"/>
          <w:szCs w:val="24"/>
        </w:rPr>
      </w:pPr>
    </w:p>
    <w:p w14:paraId="13714C42" w14:textId="3E73E565" w:rsidR="00201381" w:rsidRPr="00087F23" w:rsidRDefault="00201381" w:rsidP="00481084">
      <w:pPr>
        <w:spacing w:line="360" w:lineRule="auto"/>
        <w:rPr>
          <w:rFonts w:ascii="Times New Roman" w:hAnsi="Times New Roman" w:hint="cs"/>
          <w:szCs w:val="24"/>
          <w:cs/>
        </w:rPr>
      </w:pPr>
    </w:p>
    <w:p w14:paraId="6982FE2C" w14:textId="77777777" w:rsidR="00201381" w:rsidRPr="00AC645E" w:rsidRDefault="00201381" w:rsidP="00481084">
      <w:pPr>
        <w:spacing w:line="360" w:lineRule="auto"/>
        <w:rPr>
          <w:rFonts w:ascii="Times New Roman" w:hAnsi="Times New Roman" w:cs="Times New Roman"/>
          <w:szCs w:val="24"/>
        </w:rPr>
      </w:pPr>
    </w:p>
    <w:p w14:paraId="67DFB797" w14:textId="77777777" w:rsidR="00201381" w:rsidRPr="00AC645E" w:rsidRDefault="00201381" w:rsidP="00481084">
      <w:pPr>
        <w:spacing w:line="360" w:lineRule="auto"/>
        <w:rPr>
          <w:rFonts w:ascii="Times New Roman" w:hAnsi="Times New Roman" w:cs="Times New Roman"/>
          <w:szCs w:val="24"/>
        </w:rPr>
      </w:pPr>
    </w:p>
    <w:p w14:paraId="02C4FBD5" w14:textId="77777777" w:rsidR="00201381" w:rsidRPr="00AC645E" w:rsidRDefault="00201381" w:rsidP="00481084">
      <w:pPr>
        <w:spacing w:line="360" w:lineRule="auto"/>
        <w:rPr>
          <w:rFonts w:ascii="Times New Roman" w:hAnsi="Times New Roman" w:cs="Times New Roman"/>
          <w:szCs w:val="24"/>
        </w:rPr>
      </w:pPr>
    </w:p>
    <w:p w14:paraId="7850A1EC" w14:textId="77777777" w:rsidR="00201381" w:rsidRPr="00AC645E" w:rsidRDefault="00201381" w:rsidP="00481084">
      <w:pPr>
        <w:spacing w:line="360" w:lineRule="auto"/>
        <w:rPr>
          <w:rFonts w:ascii="Times New Roman" w:hAnsi="Times New Roman" w:cs="Times New Roman"/>
          <w:szCs w:val="24"/>
        </w:rPr>
      </w:pPr>
    </w:p>
    <w:p w14:paraId="6BB51C1C" w14:textId="77777777" w:rsidR="00087F23" w:rsidRDefault="00087F23" w:rsidP="00481084">
      <w:pPr>
        <w:spacing w:line="360" w:lineRule="auto"/>
        <w:rPr>
          <w:rFonts w:ascii="Times New Roman" w:hAnsi="Times New Roman" w:cs="Angsana New" w:hint="cs"/>
          <w:szCs w:val="24"/>
          <w:cs/>
        </w:rPr>
        <w:sectPr w:rsidR="00087F23">
          <w:footerReference w:type="default" r:id="rId9"/>
          <w:pgSz w:w="12240" w:h="15840"/>
          <w:pgMar w:top="1440" w:right="1440" w:bottom="1440" w:left="1440" w:header="708" w:footer="708" w:gutter="0"/>
          <w:cols w:space="708"/>
          <w:docGrid w:linePitch="360"/>
        </w:sectPr>
      </w:pPr>
    </w:p>
    <w:p w14:paraId="0F952A3E" w14:textId="77777777" w:rsidR="00201381" w:rsidRPr="00087F23" w:rsidRDefault="00201381" w:rsidP="00481084">
      <w:pPr>
        <w:spacing w:line="360" w:lineRule="auto"/>
        <w:rPr>
          <w:rFonts w:ascii="Times New Roman" w:hAnsi="Times New Roman" w:hint="cs"/>
          <w:szCs w:val="24"/>
        </w:rPr>
      </w:pPr>
    </w:p>
    <w:p w14:paraId="7025E504" w14:textId="77777777" w:rsidR="00135C19" w:rsidRPr="00AC645E" w:rsidRDefault="00135C19" w:rsidP="00481084">
      <w:pPr>
        <w:pStyle w:val="af"/>
        <w:spacing w:line="360" w:lineRule="auto"/>
        <w:rPr>
          <w:rStyle w:val="ae"/>
          <w:sz w:val="28"/>
          <w:szCs w:val="28"/>
        </w:rPr>
      </w:pPr>
      <w:r w:rsidRPr="00AC645E">
        <w:rPr>
          <w:rStyle w:val="ae"/>
          <w:sz w:val="28"/>
          <w:szCs w:val="28"/>
        </w:rPr>
        <w:t>Table of Contents</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3"/>
        <w:gridCol w:w="441"/>
        <w:gridCol w:w="456"/>
      </w:tblGrid>
      <w:tr w:rsidR="0028795B" w:rsidRPr="0028795B" w14:paraId="279DCB53" w14:textId="77777777" w:rsidTr="0028795B">
        <w:tc>
          <w:tcPr>
            <w:tcW w:w="8463" w:type="dxa"/>
          </w:tcPr>
          <w:p w14:paraId="2CD08941" w14:textId="4EF76692" w:rsidR="0028795B" w:rsidRPr="0028795B" w:rsidRDefault="0028795B" w:rsidP="0028795B">
            <w:pPr>
              <w:spacing w:after="160" w:line="360" w:lineRule="auto"/>
              <w:rPr>
                <w:rFonts w:ascii="Times New Roman" w:hAnsi="Times New Roman" w:cs="Times New Roman"/>
                <w:sz w:val="24"/>
                <w:szCs w:val="24"/>
              </w:rPr>
            </w:pPr>
            <w:r w:rsidRPr="00135C19">
              <w:rPr>
                <w:rFonts w:ascii="Times New Roman" w:hAnsi="Times New Roman" w:cs="Times New Roman"/>
                <w:sz w:val="24"/>
                <w:szCs w:val="24"/>
              </w:rPr>
              <w:t>1. Introduction</w:t>
            </w:r>
          </w:p>
        </w:tc>
        <w:tc>
          <w:tcPr>
            <w:tcW w:w="441" w:type="dxa"/>
          </w:tcPr>
          <w:p w14:paraId="1C693092" w14:textId="77777777" w:rsidR="0028795B" w:rsidRPr="0028795B" w:rsidRDefault="0028795B" w:rsidP="0028795B">
            <w:pPr>
              <w:pStyle w:val="af"/>
              <w:spacing w:line="360" w:lineRule="auto"/>
              <w:rPr>
                <w:rFonts w:cstheme="minorBidi"/>
              </w:rPr>
            </w:pPr>
          </w:p>
        </w:tc>
        <w:tc>
          <w:tcPr>
            <w:tcW w:w="456" w:type="dxa"/>
          </w:tcPr>
          <w:p w14:paraId="572E55C8" w14:textId="371ADBA6" w:rsidR="0028795B" w:rsidRPr="0028795B" w:rsidRDefault="0028795B" w:rsidP="0028795B">
            <w:pPr>
              <w:pStyle w:val="af"/>
              <w:spacing w:line="360" w:lineRule="auto"/>
              <w:jc w:val="right"/>
              <w:rPr>
                <w:rFonts w:cstheme="minorBidi"/>
                <w:sz w:val="24"/>
                <w:lang w:bidi="th-TH"/>
              </w:rPr>
            </w:pPr>
            <w:r w:rsidRPr="0028795B">
              <w:rPr>
                <w:rFonts w:cstheme="minorBidi"/>
                <w:sz w:val="24"/>
                <w:lang w:bidi="th-TH"/>
              </w:rPr>
              <w:t>3</w:t>
            </w:r>
          </w:p>
        </w:tc>
      </w:tr>
      <w:tr w:rsidR="0028795B" w:rsidRPr="0028795B" w14:paraId="608836AE" w14:textId="77777777" w:rsidTr="0028795B">
        <w:tc>
          <w:tcPr>
            <w:tcW w:w="8463" w:type="dxa"/>
          </w:tcPr>
          <w:p w14:paraId="1F51E9A2" w14:textId="00E4C332" w:rsidR="0028795B" w:rsidRPr="0028795B" w:rsidRDefault="0028795B" w:rsidP="0028795B">
            <w:pPr>
              <w:spacing w:after="160" w:line="360" w:lineRule="auto"/>
              <w:rPr>
                <w:rFonts w:ascii="Times New Roman" w:hAnsi="Times New Roman" w:cs="Times New Roman"/>
                <w:sz w:val="24"/>
                <w:szCs w:val="24"/>
              </w:rPr>
            </w:pPr>
            <w:r w:rsidRPr="00BB6BF4">
              <w:rPr>
                <w:rFonts w:ascii="Times New Roman" w:hAnsi="Times New Roman" w:cs="Times New Roman"/>
                <w:sz w:val="24"/>
                <w:szCs w:val="24"/>
              </w:rPr>
              <w:t>2. Key Thematic Findings</w:t>
            </w:r>
          </w:p>
        </w:tc>
        <w:tc>
          <w:tcPr>
            <w:tcW w:w="441" w:type="dxa"/>
          </w:tcPr>
          <w:p w14:paraId="60E29FC9" w14:textId="77777777" w:rsidR="0028795B" w:rsidRPr="0028795B" w:rsidRDefault="0028795B" w:rsidP="0028795B">
            <w:pPr>
              <w:pStyle w:val="af"/>
              <w:spacing w:line="360" w:lineRule="auto"/>
            </w:pPr>
          </w:p>
        </w:tc>
        <w:tc>
          <w:tcPr>
            <w:tcW w:w="456" w:type="dxa"/>
          </w:tcPr>
          <w:p w14:paraId="247CBDC0" w14:textId="0A790C89" w:rsidR="0028795B" w:rsidRPr="0028795B" w:rsidRDefault="0028795B" w:rsidP="0028795B">
            <w:pPr>
              <w:pStyle w:val="af"/>
              <w:spacing w:line="360" w:lineRule="auto"/>
              <w:jc w:val="right"/>
              <w:rPr>
                <w:sz w:val="24"/>
              </w:rPr>
            </w:pPr>
            <w:r w:rsidRPr="0028795B">
              <w:rPr>
                <w:sz w:val="24"/>
              </w:rPr>
              <w:t>4</w:t>
            </w:r>
          </w:p>
        </w:tc>
      </w:tr>
      <w:tr w:rsidR="0028795B" w:rsidRPr="0028795B" w14:paraId="47A461CE" w14:textId="77777777" w:rsidTr="0028795B">
        <w:tc>
          <w:tcPr>
            <w:tcW w:w="8463" w:type="dxa"/>
          </w:tcPr>
          <w:p w14:paraId="02DEC69C" w14:textId="1862AF99" w:rsidR="0028795B" w:rsidRPr="0028795B" w:rsidRDefault="0028795B" w:rsidP="0028795B">
            <w:pPr>
              <w:pStyle w:val="af"/>
              <w:spacing w:line="480" w:lineRule="auto"/>
              <w:rPr>
                <w:sz w:val="24"/>
              </w:rPr>
            </w:pPr>
            <w:r w:rsidRPr="0028795B">
              <w:rPr>
                <w:sz w:val="24"/>
              </w:rPr>
              <w:t>3. Recommendations</w:t>
            </w:r>
          </w:p>
        </w:tc>
        <w:tc>
          <w:tcPr>
            <w:tcW w:w="441" w:type="dxa"/>
          </w:tcPr>
          <w:p w14:paraId="5FC2F7DF" w14:textId="77777777" w:rsidR="0028795B" w:rsidRPr="0028795B" w:rsidRDefault="0028795B" w:rsidP="0028795B">
            <w:pPr>
              <w:pStyle w:val="af"/>
              <w:spacing w:line="360" w:lineRule="auto"/>
            </w:pPr>
          </w:p>
        </w:tc>
        <w:tc>
          <w:tcPr>
            <w:tcW w:w="456" w:type="dxa"/>
          </w:tcPr>
          <w:p w14:paraId="3776122F" w14:textId="7118CED0" w:rsidR="0028795B" w:rsidRPr="0028795B" w:rsidRDefault="0028795B" w:rsidP="0028795B">
            <w:pPr>
              <w:pStyle w:val="af"/>
              <w:spacing w:line="360" w:lineRule="auto"/>
              <w:jc w:val="right"/>
              <w:rPr>
                <w:sz w:val="24"/>
              </w:rPr>
            </w:pPr>
            <w:r w:rsidRPr="0028795B">
              <w:rPr>
                <w:sz w:val="24"/>
              </w:rPr>
              <w:t>11</w:t>
            </w:r>
          </w:p>
        </w:tc>
      </w:tr>
      <w:tr w:rsidR="0028795B" w:rsidRPr="0028795B" w14:paraId="1A393B48" w14:textId="77777777" w:rsidTr="0028795B">
        <w:tc>
          <w:tcPr>
            <w:tcW w:w="8463" w:type="dxa"/>
          </w:tcPr>
          <w:p w14:paraId="51DFE968" w14:textId="5C1246F9" w:rsidR="0028795B" w:rsidRPr="0028795B" w:rsidRDefault="0028795B" w:rsidP="0028795B">
            <w:pPr>
              <w:spacing w:before="100" w:beforeAutospacing="1" w:after="100" w:afterAutospacing="1" w:line="480" w:lineRule="auto"/>
              <w:outlineLvl w:val="1"/>
              <w:rPr>
                <w:rFonts w:ascii="Times New Roman" w:eastAsia="Times New Roman" w:hAnsi="Times New Roman" w:cs="Times New Roman"/>
                <w:sz w:val="24"/>
                <w:szCs w:val="24"/>
              </w:rPr>
            </w:pPr>
            <w:r w:rsidRPr="0028795B">
              <w:rPr>
                <w:rFonts w:ascii="Times New Roman" w:eastAsia="Times New Roman" w:hAnsi="Times New Roman" w:cs="Times New Roman"/>
                <w:sz w:val="24"/>
                <w:szCs w:val="24"/>
              </w:rPr>
              <w:t xml:space="preserve">4. </w:t>
            </w:r>
            <w:r w:rsidRPr="00AC645E">
              <w:rPr>
                <w:rFonts w:ascii="Times New Roman" w:eastAsia="Times New Roman" w:hAnsi="Times New Roman" w:cs="Times New Roman"/>
                <w:sz w:val="24"/>
                <w:szCs w:val="24"/>
              </w:rPr>
              <w:t>Appendix</w:t>
            </w:r>
          </w:p>
        </w:tc>
        <w:tc>
          <w:tcPr>
            <w:tcW w:w="441" w:type="dxa"/>
          </w:tcPr>
          <w:p w14:paraId="472EEA11" w14:textId="77777777" w:rsidR="0028795B" w:rsidRPr="0028795B" w:rsidRDefault="0028795B" w:rsidP="0028795B">
            <w:pPr>
              <w:pStyle w:val="af"/>
              <w:spacing w:line="360" w:lineRule="auto"/>
            </w:pPr>
          </w:p>
        </w:tc>
        <w:tc>
          <w:tcPr>
            <w:tcW w:w="456" w:type="dxa"/>
          </w:tcPr>
          <w:p w14:paraId="160A0A48" w14:textId="55AC1F05" w:rsidR="0028795B" w:rsidRPr="0028795B" w:rsidRDefault="0028795B" w:rsidP="0028795B">
            <w:pPr>
              <w:pStyle w:val="af"/>
              <w:spacing w:line="360" w:lineRule="auto"/>
              <w:jc w:val="right"/>
              <w:rPr>
                <w:sz w:val="24"/>
              </w:rPr>
            </w:pPr>
            <w:r w:rsidRPr="0028795B">
              <w:rPr>
                <w:sz w:val="24"/>
              </w:rPr>
              <w:t>15</w:t>
            </w:r>
          </w:p>
        </w:tc>
      </w:tr>
    </w:tbl>
    <w:p w14:paraId="635FD4F8" w14:textId="77777777" w:rsidR="005F01F7" w:rsidRPr="00AC645E" w:rsidRDefault="005F01F7" w:rsidP="00481084">
      <w:pPr>
        <w:pStyle w:val="af"/>
        <w:spacing w:line="360" w:lineRule="auto"/>
      </w:pPr>
    </w:p>
    <w:p w14:paraId="69456181" w14:textId="77777777" w:rsidR="00201381" w:rsidRPr="00AC645E" w:rsidRDefault="00201381" w:rsidP="00481084">
      <w:pPr>
        <w:spacing w:line="360" w:lineRule="auto"/>
        <w:rPr>
          <w:rFonts w:ascii="Times New Roman" w:hAnsi="Times New Roman" w:cs="Times New Roman"/>
          <w:szCs w:val="24"/>
        </w:rPr>
      </w:pPr>
    </w:p>
    <w:p w14:paraId="7EFBA4F1" w14:textId="77777777" w:rsidR="00201381" w:rsidRPr="00AC645E" w:rsidRDefault="00201381" w:rsidP="00481084">
      <w:pPr>
        <w:spacing w:line="360" w:lineRule="auto"/>
        <w:rPr>
          <w:rFonts w:ascii="Times New Roman" w:hAnsi="Times New Roman" w:cs="Times New Roman"/>
          <w:szCs w:val="24"/>
        </w:rPr>
      </w:pPr>
    </w:p>
    <w:p w14:paraId="1EDFE050" w14:textId="77777777" w:rsidR="00201381" w:rsidRPr="00AC645E" w:rsidRDefault="00201381" w:rsidP="00481084">
      <w:pPr>
        <w:spacing w:line="360" w:lineRule="auto"/>
        <w:rPr>
          <w:rFonts w:ascii="Times New Roman" w:hAnsi="Times New Roman" w:cs="Times New Roman"/>
          <w:szCs w:val="24"/>
        </w:rPr>
      </w:pPr>
    </w:p>
    <w:p w14:paraId="793E0802" w14:textId="77777777" w:rsidR="00201381" w:rsidRPr="00AC645E" w:rsidRDefault="00201381" w:rsidP="00481084">
      <w:pPr>
        <w:spacing w:line="360" w:lineRule="auto"/>
        <w:rPr>
          <w:rFonts w:ascii="Times New Roman" w:hAnsi="Times New Roman" w:cs="Times New Roman"/>
          <w:szCs w:val="24"/>
        </w:rPr>
      </w:pPr>
    </w:p>
    <w:p w14:paraId="5A3D75F6" w14:textId="77777777" w:rsidR="00201381" w:rsidRPr="00AC645E" w:rsidRDefault="00201381" w:rsidP="00481084">
      <w:pPr>
        <w:spacing w:line="360" w:lineRule="auto"/>
        <w:rPr>
          <w:rFonts w:ascii="Times New Roman" w:hAnsi="Times New Roman" w:cs="Times New Roman"/>
          <w:szCs w:val="24"/>
        </w:rPr>
      </w:pPr>
    </w:p>
    <w:p w14:paraId="1CB55C73" w14:textId="77777777" w:rsidR="00135C19" w:rsidRPr="00AC645E" w:rsidRDefault="00135C19" w:rsidP="00481084">
      <w:pPr>
        <w:spacing w:line="360" w:lineRule="auto"/>
        <w:rPr>
          <w:rFonts w:ascii="Times New Roman" w:hAnsi="Times New Roman" w:cs="Times New Roman"/>
          <w:szCs w:val="24"/>
        </w:rPr>
      </w:pPr>
    </w:p>
    <w:p w14:paraId="7A6E1686" w14:textId="77777777" w:rsidR="00135C19" w:rsidRPr="00AC645E" w:rsidRDefault="00135C19" w:rsidP="00481084">
      <w:pPr>
        <w:spacing w:line="360" w:lineRule="auto"/>
        <w:rPr>
          <w:rFonts w:ascii="Times New Roman" w:hAnsi="Times New Roman" w:cs="Times New Roman"/>
          <w:szCs w:val="24"/>
        </w:rPr>
      </w:pPr>
    </w:p>
    <w:p w14:paraId="2D3D57DA" w14:textId="77777777" w:rsidR="00135C19" w:rsidRPr="00AC645E" w:rsidRDefault="00135C19" w:rsidP="00481084">
      <w:pPr>
        <w:spacing w:line="360" w:lineRule="auto"/>
        <w:rPr>
          <w:rFonts w:ascii="Times New Roman" w:hAnsi="Times New Roman" w:cs="Times New Roman"/>
          <w:szCs w:val="24"/>
        </w:rPr>
      </w:pPr>
    </w:p>
    <w:p w14:paraId="7443C4BB" w14:textId="77777777" w:rsidR="00135C19" w:rsidRPr="00AC645E" w:rsidRDefault="00135C19" w:rsidP="00481084">
      <w:pPr>
        <w:spacing w:line="360" w:lineRule="auto"/>
        <w:rPr>
          <w:rFonts w:ascii="Times New Roman" w:hAnsi="Times New Roman" w:cs="Times New Roman"/>
          <w:szCs w:val="24"/>
        </w:rPr>
      </w:pPr>
    </w:p>
    <w:p w14:paraId="1BCEED96" w14:textId="77777777" w:rsidR="00135C19" w:rsidRPr="00AC645E" w:rsidRDefault="00135C19" w:rsidP="00481084">
      <w:pPr>
        <w:spacing w:line="360" w:lineRule="auto"/>
        <w:rPr>
          <w:rFonts w:ascii="Times New Roman" w:hAnsi="Times New Roman" w:cs="Times New Roman"/>
          <w:szCs w:val="24"/>
        </w:rPr>
      </w:pPr>
    </w:p>
    <w:p w14:paraId="1F712EBD" w14:textId="77777777" w:rsidR="00135C19" w:rsidRPr="00AC645E" w:rsidRDefault="00135C19" w:rsidP="00481084">
      <w:pPr>
        <w:spacing w:line="360" w:lineRule="auto"/>
        <w:rPr>
          <w:rFonts w:ascii="Times New Roman" w:hAnsi="Times New Roman" w:cs="Times New Roman"/>
          <w:szCs w:val="24"/>
        </w:rPr>
      </w:pPr>
    </w:p>
    <w:p w14:paraId="23C9B8B2" w14:textId="77777777" w:rsidR="00135C19" w:rsidRPr="00AC645E" w:rsidRDefault="00135C19" w:rsidP="00481084">
      <w:pPr>
        <w:spacing w:line="360" w:lineRule="auto"/>
        <w:rPr>
          <w:rFonts w:ascii="Times New Roman" w:hAnsi="Times New Roman" w:cs="Times New Roman"/>
          <w:szCs w:val="24"/>
        </w:rPr>
      </w:pPr>
    </w:p>
    <w:p w14:paraId="20CDB840" w14:textId="77777777" w:rsidR="00135C19" w:rsidRPr="00AC645E" w:rsidRDefault="00135C19" w:rsidP="00481084">
      <w:pPr>
        <w:spacing w:line="360" w:lineRule="auto"/>
        <w:rPr>
          <w:rFonts w:ascii="Times New Roman" w:hAnsi="Times New Roman" w:cs="Times New Roman"/>
          <w:szCs w:val="24"/>
        </w:rPr>
      </w:pPr>
    </w:p>
    <w:p w14:paraId="6D928B3B" w14:textId="77777777" w:rsidR="00A324A5" w:rsidRPr="0028795B" w:rsidRDefault="00A324A5" w:rsidP="00481084">
      <w:pPr>
        <w:spacing w:line="360" w:lineRule="auto"/>
        <w:rPr>
          <w:rFonts w:ascii="Times New Roman" w:hAnsi="Times New Roman" w:hint="cs"/>
          <w:szCs w:val="24"/>
        </w:rPr>
      </w:pPr>
    </w:p>
    <w:p w14:paraId="26F3B3CE" w14:textId="77777777" w:rsidR="005F01F7" w:rsidRPr="00135C19" w:rsidRDefault="005F01F7" w:rsidP="00481084">
      <w:pPr>
        <w:spacing w:line="360" w:lineRule="auto"/>
        <w:rPr>
          <w:rFonts w:ascii="Times New Roman" w:hAnsi="Times New Roman" w:cs="Times New Roman"/>
          <w:b/>
          <w:bCs/>
          <w:sz w:val="28"/>
          <w:szCs w:val="28"/>
        </w:rPr>
      </w:pPr>
      <w:r w:rsidRPr="00135C19">
        <w:rPr>
          <w:rFonts w:ascii="Times New Roman" w:hAnsi="Times New Roman" w:cs="Times New Roman"/>
          <w:b/>
          <w:bCs/>
          <w:sz w:val="28"/>
          <w:szCs w:val="28"/>
        </w:rPr>
        <w:lastRenderedPageBreak/>
        <w:t>1. Introduction</w:t>
      </w:r>
    </w:p>
    <w:p w14:paraId="16202B5E" w14:textId="55071F69" w:rsidR="00135C19" w:rsidRPr="00135C19" w:rsidRDefault="00135C19" w:rsidP="00481084">
      <w:pPr>
        <w:spacing w:line="360" w:lineRule="auto"/>
        <w:jc w:val="both"/>
        <w:rPr>
          <w:rFonts w:ascii="Times New Roman" w:hAnsi="Times New Roman" w:cs="Times New Roman"/>
          <w:szCs w:val="24"/>
        </w:rPr>
      </w:pPr>
      <w:r w:rsidRPr="00135C19">
        <w:rPr>
          <w:rFonts w:ascii="Times New Roman" w:hAnsi="Times New Roman" w:cs="Times New Roman"/>
          <w:b/>
          <w:bCs/>
          <w:szCs w:val="24"/>
        </w:rPr>
        <w:t>1.1</w:t>
      </w:r>
      <w:r w:rsidRPr="00AC645E">
        <w:rPr>
          <w:rFonts w:ascii="Times New Roman" w:hAnsi="Times New Roman" w:cs="Times New Roman"/>
          <w:szCs w:val="24"/>
        </w:rPr>
        <w:t xml:space="preserve"> </w:t>
      </w:r>
      <w:r w:rsidRPr="00135C19">
        <w:rPr>
          <w:rFonts w:ascii="Times New Roman" w:hAnsi="Times New Roman" w:cs="Times New Roman"/>
          <w:szCs w:val="24"/>
        </w:rPr>
        <w:t>We, as a collective of civil society organizations based in Thailand’s Southern Border Provinces and operating under the Civil Society Assembly for Peace (CAP) network, comprising</w:t>
      </w:r>
      <w:r w:rsidR="005F01F7" w:rsidRPr="00AC645E">
        <w:rPr>
          <w:rFonts w:ascii="Times New Roman" w:hAnsi="Times New Roman" w:cs="Times New Roman"/>
          <w:szCs w:val="24"/>
        </w:rPr>
        <w:t xml:space="preserve"> </w:t>
      </w:r>
      <w:r w:rsidRPr="00135C19">
        <w:rPr>
          <w:rFonts w:ascii="Times New Roman" w:hAnsi="Times New Roman" w:cs="Times New Roman"/>
          <w:szCs w:val="24"/>
        </w:rPr>
        <w:t xml:space="preserve">Patani Women </w:t>
      </w:r>
      <w:r w:rsidR="005F01F7" w:rsidRPr="00AC645E">
        <w:rPr>
          <w:rFonts w:ascii="Times New Roman" w:hAnsi="Times New Roman" w:cs="Times New Roman"/>
          <w:szCs w:val="24"/>
        </w:rPr>
        <w:t>Organization (PERWANI)</w:t>
      </w:r>
      <w:r w:rsidRPr="00135C19">
        <w:rPr>
          <w:rFonts w:ascii="Times New Roman" w:hAnsi="Times New Roman" w:cs="Times New Roman"/>
          <w:szCs w:val="24"/>
        </w:rPr>
        <w:t xml:space="preserve">, the Muslim Attorney Centre </w:t>
      </w:r>
      <w:r w:rsidR="005F01F7" w:rsidRPr="00AC645E">
        <w:rPr>
          <w:rFonts w:ascii="Times New Roman" w:hAnsi="Times New Roman" w:cs="Times New Roman"/>
          <w:szCs w:val="24"/>
        </w:rPr>
        <w:t>Foundation (MAC)</w:t>
      </w:r>
      <w:r w:rsidRPr="00135C19">
        <w:rPr>
          <w:rFonts w:ascii="Times New Roman" w:hAnsi="Times New Roman" w:cs="Times New Roman"/>
          <w:szCs w:val="24"/>
        </w:rPr>
        <w:t>, and Patani Human Rights Network (HAP), are honored to submit this shadow report to the Committee on the Elimination of Discrimination against Women (the Committee). We hope that the information presented in this document will be useful in the Committee’s consideration of Thailand’s eighth periodic report during its 91st session, taking place from 16 June to 4 July 2025. This shadow report provides an independent assessment of the situation of Patani Malay women in the Southern Border Provinces of Thailand—namely Pattani, Yala, Narathiwat, and parts of Songkhla—within the framework of the State Party’s obligations under the Convention on the Elimination of All Forms of Discrimination Against Women (CEDAW).</w:t>
      </w:r>
    </w:p>
    <w:p w14:paraId="213259BF" w14:textId="0F95C961" w:rsidR="00135C19" w:rsidRPr="00135C19" w:rsidRDefault="00135C19" w:rsidP="00481084">
      <w:pPr>
        <w:spacing w:line="360" w:lineRule="auto"/>
        <w:jc w:val="both"/>
        <w:rPr>
          <w:rFonts w:ascii="Times New Roman" w:hAnsi="Times New Roman" w:cs="Times New Roman"/>
          <w:szCs w:val="24"/>
        </w:rPr>
      </w:pPr>
      <w:r w:rsidRPr="00135C19">
        <w:rPr>
          <w:rFonts w:ascii="Times New Roman" w:hAnsi="Times New Roman" w:cs="Times New Roman"/>
          <w:b/>
          <w:bCs/>
          <w:szCs w:val="24"/>
        </w:rPr>
        <w:t>1.2</w:t>
      </w:r>
      <w:r w:rsidR="005F01F7" w:rsidRPr="00AC645E">
        <w:rPr>
          <w:rFonts w:ascii="Times New Roman" w:hAnsi="Times New Roman" w:cs="Times New Roman"/>
          <w:szCs w:val="24"/>
        </w:rPr>
        <w:t xml:space="preserve"> </w:t>
      </w:r>
      <w:r w:rsidRPr="00135C19">
        <w:rPr>
          <w:rFonts w:ascii="Times New Roman" w:hAnsi="Times New Roman" w:cs="Times New Roman"/>
          <w:szCs w:val="24"/>
        </w:rPr>
        <w:t>Although Thailand acceded to CEDAW on 9 August 1985 and has received ongoing recommendations from the Committee, women in the Southern Border Provinces—where approximately 80% of the population are Malay Muslims—continue to be disproportionately affected by a protracted conflict rooted in the denial of identity, political marginalization, and socio-economic exclusion. These women experience both direct and structural violence, in violation of key provisions of the Convention, including Articles 2, 5, 7, 10, 11, and 15. This report highlights the ongoing challenges under the List of Issues, particularly in paragraphs 4, 6, 9, 13, 15, 16, and 23, with the following key findings:</w:t>
      </w:r>
    </w:p>
    <w:p w14:paraId="43F1DD66" w14:textId="5A29D654" w:rsidR="00135C19" w:rsidRPr="00135C19" w:rsidRDefault="00135C19" w:rsidP="00481084">
      <w:pPr>
        <w:spacing w:line="360" w:lineRule="auto"/>
        <w:jc w:val="both"/>
        <w:rPr>
          <w:rFonts w:ascii="Times New Roman" w:hAnsi="Times New Roman" w:cs="Times New Roman"/>
          <w:szCs w:val="24"/>
        </w:rPr>
      </w:pPr>
      <w:r w:rsidRPr="00135C19">
        <w:rPr>
          <w:rFonts w:ascii="Times New Roman" w:hAnsi="Times New Roman" w:cs="Times New Roman"/>
          <w:b/>
          <w:bCs/>
          <w:szCs w:val="24"/>
        </w:rPr>
        <w:t>1.2.1</w:t>
      </w:r>
      <w:r w:rsidR="005F01F7" w:rsidRPr="00AC645E">
        <w:rPr>
          <w:rFonts w:ascii="Times New Roman" w:hAnsi="Times New Roman" w:cs="Times New Roman"/>
          <w:szCs w:val="24"/>
        </w:rPr>
        <w:t xml:space="preserve"> </w:t>
      </w:r>
      <w:r w:rsidRPr="00135C19">
        <w:rPr>
          <w:rFonts w:ascii="Times New Roman" w:hAnsi="Times New Roman" w:cs="Times New Roman"/>
          <w:szCs w:val="24"/>
        </w:rPr>
        <w:t>Women face significant barriers in accessing justice due to fear of reprisal, the absence of gender-sensitive legal services, language obstacles, and deep-seated mistrust of security agencies.</w:t>
      </w:r>
    </w:p>
    <w:p w14:paraId="6CAE4B6E" w14:textId="11A9CC6A" w:rsidR="00135C19" w:rsidRPr="00135C19" w:rsidRDefault="00135C19" w:rsidP="00481084">
      <w:pPr>
        <w:spacing w:line="360" w:lineRule="auto"/>
        <w:jc w:val="both"/>
        <w:rPr>
          <w:rFonts w:ascii="Times New Roman" w:hAnsi="Times New Roman" w:cs="Times New Roman"/>
          <w:szCs w:val="24"/>
        </w:rPr>
      </w:pPr>
      <w:r w:rsidRPr="00135C19">
        <w:rPr>
          <w:rFonts w:ascii="Times New Roman" w:hAnsi="Times New Roman" w:cs="Times New Roman"/>
          <w:b/>
          <w:bCs/>
          <w:szCs w:val="24"/>
        </w:rPr>
        <w:t>1.2.2</w:t>
      </w:r>
      <w:r w:rsidR="005F01F7" w:rsidRPr="00AC645E">
        <w:rPr>
          <w:rFonts w:ascii="Times New Roman" w:hAnsi="Times New Roman" w:cs="Times New Roman"/>
          <w:szCs w:val="24"/>
        </w:rPr>
        <w:t xml:space="preserve"> </w:t>
      </w:r>
      <w:r w:rsidRPr="00135C19">
        <w:rPr>
          <w:rFonts w:ascii="Times New Roman" w:hAnsi="Times New Roman" w:cs="Times New Roman"/>
          <w:szCs w:val="24"/>
        </w:rPr>
        <w:t>Women continue to experience both direct and indirect violence resulting from the ongoing conflict and so-called "security measures," such as arbitrary detention, involuntary DNA collection, extrajudicial killings of family members, and long-term psychological trauma. At the same time, their participation in peace processes and political decision-making is largely symbolic and systematically excluded.</w:t>
      </w:r>
    </w:p>
    <w:p w14:paraId="4C0D1025" w14:textId="22D628BE" w:rsidR="00135C19" w:rsidRPr="00135C19" w:rsidRDefault="00135C19" w:rsidP="00481084">
      <w:pPr>
        <w:spacing w:line="360" w:lineRule="auto"/>
        <w:jc w:val="both"/>
        <w:rPr>
          <w:rFonts w:ascii="Times New Roman" w:hAnsi="Times New Roman" w:cs="Times New Roman"/>
          <w:szCs w:val="24"/>
        </w:rPr>
      </w:pPr>
      <w:r w:rsidRPr="00135C19">
        <w:rPr>
          <w:rFonts w:ascii="Times New Roman" w:hAnsi="Times New Roman" w:cs="Times New Roman"/>
          <w:b/>
          <w:bCs/>
          <w:szCs w:val="24"/>
        </w:rPr>
        <w:t>1.2.3</w:t>
      </w:r>
      <w:r w:rsidR="005F01F7" w:rsidRPr="00AC645E">
        <w:rPr>
          <w:rFonts w:ascii="Times New Roman" w:hAnsi="Times New Roman" w:cs="Times New Roman"/>
          <w:szCs w:val="24"/>
        </w:rPr>
        <w:t xml:space="preserve"> </w:t>
      </w:r>
      <w:r w:rsidRPr="00135C19">
        <w:rPr>
          <w:rFonts w:ascii="Times New Roman" w:hAnsi="Times New Roman" w:cs="Times New Roman"/>
          <w:szCs w:val="24"/>
        </w:rPr>
        <w:t>Domestic violence has intensified in the context of conflict, yet culturally appropriate support services—such as shelters and counseling—remain grossly inadequate.</w:t>
      </w:r>
    </w:p>
    <w:p w14:paraId="7496F6B1" w14:textId="680A4D77" w:rsidR="00135C19" w:rsidRPr="00135C19" w:rsidRDefault="00135C19" w:rsidP="00481084">
      <w:pPr>
        <w:spacing w:line="360" w:lineRule="auto"/>
        <w:jc w:val="both"/>
        <w:rPr>
          <w:rFonts w:ascii="Times New Roman" w:hAnsi="Times New Roman" w:cs="Times New Roman"/>
          <w:szCs w:val="24"/>
        </w:rPr>
      </w:pPr>
      <w:r w:rsidRPr="00135C19">
        <w:rPr>
          <w:rFonts w:ascii="Times New Roman" w:hAnsi="Times New Roman" w:cs="Times New Roman"/>
          <w:b/>
          <w:bCs/>
          <w:szCs w:val="24"/>
        </w:rPr>
        <w:lastRenderedPageBreak/>
        <w:t>1.2.4</w:t>
      </w:r>
      <w:r w:rsidR="005F01F7" w:rsidRPr="00AC645E">
        <w:rPr>
          <w:rFonts w:ascii="Times New Roman" w:hAnsi="Times New Roman" w:cs="Times New Roman"/>
          <w:szCs w:val="24"/>
        </w:rPr>
        <w:t xml:space="preserve"> </w:t>
      </w:r>
      <w:r w:rsidRPr="00135C19">
        <w:rPr>
          <w:rFonts w:ascii="Times New Roman" w:hAnsi="Times New Roman" w:cs="Times New Roman"/>
          <w:szCs w:val="24"/>
        </w:rPr>
        <w:t>Women human rights defenders (WHRDs) continue to be subjected to surveillance, intimidation, and judicial harassment.</w:t>
      </w:r>
    </w:p>
    <w:p w14:paraId="5B7CDD87" w14:textId="444647DF" w:rsidR="00135C19" w:rsidRPr="00135C19" w:rsidRDefault="00135C19" w:rsidP="00481084">
      <w:pPr>
        <w:spacing w:line="360" w:lineRule="auto"/>
        <w:jc w:val="both"/>
        <w:rPr>
          <w:rFonts w:ascii="Times New Roman" w:hAnsi="Times New Roman" w:cs="Times New Roman"/>
          <w:szCs w:val="24"/>
        </w:rPr>
      </w:pPr>
      <w:r w:rsidRPr="00135C19">
        <w:rPr>
          <w:rFonts w:ascii="Times New Roman" w:hAnsi="Times New Roman" w:cs="Times New Roman"/>
          <w:b/>
          <w:bCs/>
          <w:szCs w:val="24"/>
        </w:rPr>
        <w:t>1.2.5</w:t>
      </w:r>
      <w:r w:rsidR="005F01F7" w:rsidRPr="00AC645E">
        <w:rPr>
          <w:rFonts w:ascii="Times New Roman" w:hAnsi="Times New Roman" w:cs="Times New Roman"/>
          <w:szCs w:val="24"/>
        </w:rPr>
        <w:t xml:space="preserve"> </w:t>
      </w:r>
      <w:r w:rsidRPr="00135C19">
        <w:rPr>
          <w:rFonts w:ascii="Times New Roman" w:hAnsi="Times New Roman" w:cs="Times New Roman"/>
          <w:szCs w:val="24"/>
        </w:rPr>
        <w:t>Women’s access to education and economic opportunities is severely limited by insecurity, patriarchal cultural norms, and systemic exclusion, resulting in dropout rates and wage gaps far exceeding national averages.</w:t>
      </w:r>
    </w:p>
    <w:p w14:paraId="475D4D43" w14:textId="4E8D7CCD" w:rsidR="00135C19" w:rsidRPr="00135C19" w:rsidRDefault="00135C19" w:rsidP="00481084">
      <w:pPr>
        <w:spacing w:line="360" w:lineRule="auto"/>
        <w:jc w:val="both"/>
        <w:rPr>
          <w:rFonts w:ascii="Times New Roman" w:hAnsi="Times New Roman" w:cs="Times New Roman"/>
          <w:szCs w:val="24"/>
        </w:rPr>
      </w:pPr>
      <w:r w:rsidRPr="00135C19">
        <w:rPr>
          <w:rFonts w:ascii="Times New Roman" w:hAnsi="Times New Roman" w:cs="Times New Roman"/>
          <w:b/>
          <w:bCs/>
          <w:szCs w:val="24"/>
        </w:rPr>
        <w:t>1.2.6</w:t>
      </w:r>
      <w:r w:rsidR="005F01F7" w:rsidRPr="00AC645E">
        <w:rPr>
          <w:rFonts w:ascii="Times New Roman" w:hAnsi="Times New Roman" w:cs="Times New Roman"/>
          <w:szCs w:val="24"/>
        </w:rPr>
        <w:t xml:space="preserve"> </w:t>
      </w:r>
      <w:r w:rsidRPr="00135C19">
        <w:rPr>
          <w:rFonts w:ascii="Times New Roman" w:hAnsi="Times New Roman" w:cs="Times New Roman"/>
          <w:szCs w:val="24"/>
        </w:rPr>
        <w:t>Women in detention facilities are subjected to treatment that disregards their gender, religion, and human dignity.</w:t>
      </w:r>
    </w:p>
    <w:p w14:paraId="37CC8310" w14:textId="0E48DA8A" w:rsidR="00135C19" w:rsidRPr="00135C19" w:rsidRDefault="00135C19" w:rsidP="00481084">
      <w:pPr>
        <w:spacing w:line="360" w:lineRule="auto"/>
        <w:jc w:val="both"/>
        <w:rPr>
          <w:rFonts w:ascii="Times New Roman" w:hAnsi="Times New Roman" w:cs="Times New Roman"/>
          <w:szCs w:val="24"/>
        </w:rPr>
      </w:pPr>
      <w:r w:rsidRPr="00135C19">
        <w:rPr>
          <w:rFonts w:ascii="Times New Roman" w:hAnsi="Times New Roman" w:cs="Times New Roman"/>
          <w:b/>
          <w:bCs/>
          <w:szCs w:val="24"/>
        </w:rPr>
        <w:t>1.</w:t>
      </w:r>
      <w:r w:rsidR="00E10DAB" w:rsidRPr="00B04F82">
        <w:rPr>
          <w:rFonts w:ascii="Times New Roman" w:hAnsi="Times New Roman" w:cs="Times New Roman"/>
          <w:b/>
          <w:bCs/>
          <w:szCs w:val="24"/>
        </w:rPr>
        <w:t>3</w:t>
      </w:r>
      <w:r w:rsidR="005F01F7" w:rsidRPr="00AC645E">
        <w:rPr>
          <w:rFonts w:ascii="Times New Roman" w:hAnsi="Times New Roman" w:cs="Times New Roman"/>
          <w:szCs w:val="24"/>
        </w:rPr>
        <w:t xml:space="preserve"> </w:t>
      </w:r>
      <w:r w:rsidRPr="00135C19">
        <w:rPr>
          <w:rFonts w:ascii="Times New Roman" w:hAnsi="Times New Roman" w:cs="Times New Roman"/>
          <w:szCs w:val="24"/>
        </w:rPr>
        <w:t>The coalition of organizations affirms that the ongoing human rights violations against Patani Malay women are not isolated incidents, but rather stem from structural violence—that is, a system of exclusion, marginalization, and control embedded within state policies and practices. These include the normalization of militarization through special laws, intersectional discrimination based on gender, Malay ethnicity, Muslim identity, and socio-economic status, legal and policy gaps that fail to integrate gender-responsive approaches, and a deeply rooted culture of impunity for state actors. These systemic issues obstruct efforts toward sustainable peace and contradict Thailand’s international human rights obligations.</w:t>
      </w:r>
    </w:p>
    <w:p w14:paraId="5A17530F" w14:textId="7E7E7303" w:rsidR="00AC645E" w:rsidRDefault="00135C19" w:rsidP="00246CCE">
      <w:pPr>
        <w:spacing w:line="360" w:lineRule="auto"/>
        <w:jc w:val="both"/>
        <w:rPr>
          <w:rFonts w:ascii="Times New Roman" w:hAnsi="Times New Roman" w:cs="Times New Roman"/>
          <w:szCs w:val="24"/>
        </w:rPr>
      </w:pPr>
      <w:r w:rsidRPr="00135C19">
        <w:rPr>
          <w:rFonts w:ascii="Times New Roman" w:hAnsi="Times New Roman" w:cs="Times New Roman"/>
          <w:b/>
          <w:bCs/>
          <w:szCs w:val="24"/>
        </w:rPr>
        <w:t>1.</w:t>
      </w:r>
      <w:r w:rsidR="00E10DAB" w:rsidRPr="00B04F82">
        <w:rPr>
          <w:rFonts w:ascii="Times New Roman" w:hAnsi="Times New Roman" w:cs="Times New Roman"/>
          <w:b/>
          <w:bCs/>
          <w:szCs w:val="24"/>
        </w:rPr>
        <w:t>4</w:t>
      </w:r>
      <w:r w:rsidR="005F01F7" w:rsidRPr="00AC645E">
        <w:rPr>
          <w:rFonts w:ascii="Times New Roman" w:hAnsi="Times New Roman" w:cs="Times New Roman"/>
          <w:szCs w:val="24"/>
        </w:rPr>
        <w:t xml:space="preserve"> </w:t>
      </w:r>
      <w:r w:rsidRPr="00135C19">
        <w:rPr>
          <w:rFonts w:ascii="Times New Roman" w:hAnsi="Times New Roman" w:cs="Times New Roman"/>
          <w:szCs w:val="24"/>
        </w:rPr>
        <w:t>This report is based on independent research and community consultations conducted by women’s rights organizations, civil society groups, and researchers working directly with Patani Malay women affected by the ongoing conflict in the Southern Border Provinces between 2022 and 2024. The findings focus on diverse groups, including widows, survivors of violence, youth, and women human rights defenders (WHRDs). The report also includes case studies based on firsthand testimonies of affected women and other secondary sources. Relevant statistical data are provided in Annex A, and applicable legal instruments and international standards are referenced in Annex B.</w:t>
      </w:r>
    </w:p>
    <w:p w14:paraId="5A60AABC" w14:textId="797A0B7A" w:rsidR="00BB6BF4" w:rsidRPr="00BB6BF4" w:rsidRDefault="00BB6BF4" w:rsidP="00481084">
      <w:pPr>
        <w:spacing w:line="360" w:lineRule="auto"/>
        <w:jc w:val="both"/>
        <w:rPr>
          <w:rFonts w:ascii="Times New Roman" w:hAnsi="Times New Roman" w:cs="Times New Roman"/>
          <w:b/>
          <w:bCs/>
          <w:sz w:val="28"/>
          <w:szCs w:val="28"/>
        </w:rPr>
      </w:pPr>
      <w:r w:rsidRPr="00BB6BF4">
        <w:rPr>
          <w:rFonts w:ascii="Times New Roman" w:hAnsi="Times New Roman" w:cs="Times New Roman"/>
          <w:b/>
          <w:bCs/>
          <w:sz w:val="28"/>
          <w:szCs w:val="28"/>
        </w:rPr>
        <w:t>2. Key Thematic Findings</w:t>
      </w:r>
    </w:p>
    <w:p w14:paraId="4982DADE" w14:textId="25834602" w:rsidR="00BB6BF4" w:rsidRDefault="00BB6BF4" w:rsidP="00481084">
      <w:pPr>
        <w:spacing w:line="360" w:lineRule="auto"/>
        <w:jc w:val="both"/>
        <w:rPr>
          <w:rFonts w:ascii="Times New Roman" w:hAnsi="Times New Roman" w:cs="Times New Roman"/>
          <w:b/>
          <w:bCs/>
          <w:szCs w:val="24"/>
        </w:rPr>
      </w:pPr>
      <w:r w:rsidRPr="00BB6BF4">
        <w:rPr>
          <w:rFonts w:ascii="Times New Roman" w:hAnsi="Times New Roman" w:cs="Times New Roman"/>
          <w:b/>
          <w:bCs/>
          <w:szCs w:val="24"/>
        </w:rPr>
        <w:t xml:space="preserve">2.1 Legal Framework </w:t>
      </w:r>
    </w:p>
    <w:p w14:paraId="0A89F9F1" w14:textId="4EC67912" w:rsidR="00026603" w:rsidRPr="00BB6BF4" w:rsidRDefault="00026603" w:rsidP="00481084">
      <w:pPr>
        <w:spacing w:line="360" w:lineRule="auto"/>
        <w:jc w:val="both"/>
        <w:rPr>
          <w:rFonts w:ascii="Times New Roman" w:hAnsi="Times New Roman" w:cs="Times New Roman"/>
          <w:i/>
          <w:iCs/>
          <w:szCs w:val="24"/>
        </w:rPr>
      </w:pPr>
      <w:r>
        <w:rPr>
          <w:rFonts w:ascii="Times New Roman" w:hAnsi="Times New Roman" w:cs="Times New Roman"/>
          <w:i/>
          <w:iCs/>
          <w:szCs w:val="24"/>
        </w:rPr>
        <w:t>(</w:t>
      </w:r>
      <w:r w:rsidRPr="00BB6BF4">
        <w:rPr>
          <w:rFonts w:ascii="Times New Roman" w:hAnsi="Times New Roman" w:cs="Times New Roman"/>
          <w:i/>
          <w:iCs/>
          <w:szCs w:val="24"/>
        </w:rPr>
        <w:t>Paragraph 3 of the List of Issues</w:t>
      </w:r>
      <w:r>
        <w:rPr>
          <w:rFonts w:ascii="Times New Roman" w:hAnsi="Times New Roman" w:cs="Times New Roman"/>
          <w:i/>
          <w:iCs/>
          <w:szCs w:val="24"/>
        </w:rPr>
        <w:t>)</w:t>
      </w:r>
    </w:p>
    <w:p w14:paraId="6733B95B" w14:textId="1DBE3BC6" w:rsidR="00481084" w:rsidRPr="00BB6BF4" w:rsidRDefault="00BB6BF4" w:rsidP="00481084">
      <w:pPr>
        <w:spacing w:line="360" w:lineRule="auto"/>
        <w:jc w:val="both"/>
        <w:rPr>
          <w:rFonts w:ascii="Times New Roman" w:hAnsi="Times New Roman" w:cs="Times New Roman"/>
          <w:szCs w:val="24"/>
        </w:rPr>
      </w:pPr>
      <w:r w:rsidRPr="00BB6BF4">
        <w:rPr>
          <w:rFonts w:ascii="Times New Roman" w:hAnsi="Times New Roman" w:cs="Times New Roman"/>
          <w:szCs w:val="24"/>
        </w:rPr>
        <w:t xml:space="preserve">Although Thailand has enacted laws to promote gender equality, such as the Gender Equality Act B.E. 2558 (2015), and despite the Committee's recommendations on the implementation of such </w:t>
      </w:r>
      <w:r w:rsidRPr="00BB6BF4">
        <w:rPr>
          <w:rFonts w:ascii="Times New Roman" w:hAnsi="Times New Roman" w:cs="Times New Roman"/>
          <w:szCs w:val="24"/>
        </w:rPr>
        <w:lastRenderedPageBreak/>
        <w:t>laws in the context of the Southern Border Provinces—including in its 2017 Concluding Observations—the enforcement of these laws in the region remains superficial and ineffective. Mechanisms for lodging complaints under the Act are not widely known, are difficult to access, or are entirely unavailable to women affected by the conflict.</w:t>
      </w:r>
    </w:p>
    <w:p w14:paraId="2F22DB33" w14:textId="77777777" w:rsidR="00965D73" w:rsidRPr="00965D73" w:rsidRDefault="00965D73" w:rsidP="00965D73">
      <w:pPr>
        <w:spacing w:before="100" w:beforeAutospacing="1" w:after="100" w:afterAutospacing="1" w:line="360" w:lineRule="auto"/>
        <w:jc w:val="both"/>
        <w:outlineLvl w:val="2"/>
        <w:rPr>
          <w:rFonts w:ascii="Times New Roman" w:eastAsia="Times New Roman" w:hAnsi="Times New Roman" w:cs="Times New Roman"/>
          <w:b/>
          <w:bCs/>
          <w:kern w:val="0"/>
          <w:sz w:val="27"/>
          <w:szCs w:val="27"/>
          <w14:ligatures w14:val="none"/>
        </w:rPr>
      </w:pPr>
      <w:r w:rsidRPr="00965D73">
        <w:rPr>
          <w:rFonts w:ascii="Times New Roman" w:eastAsia="Times New Roman" w:hAnsi="Times New Roman" w:cs="Times New Roman"/>
          <w:b/>
          <w:bCs/>
          <w:kern w:val="0"/>
          <w:sz w:val="27"/>
          <w:szCs w:val="27"/>
          <w14:ligatures w14:val="none"/>
        </w:rPr>
        <w:t>2.2 Barriers to Women’s Access to Justice</w:t>
      </w:r>
    </w:p>
    <w:p w14:paraId="673FF78F" w14:textId="77777777" w:rsidR="00965D73" w:rsidRPr="00965D73" w:rsidRDefault="00965D73" w:rsidP="00965D7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65D73">
        <w:rPr>
          <w:rFonts w:ascii="Times New Roman" w:eastAsia="Times New Roman" w:hAnsi="Times New Roman" w:cs="Times New Roman"/>
          <w:i/>
          <w:iCs/>
          <w:kern w:val="0"/>
          <w:szCs w:val="24"/>
          <w14:ligatures w14:val="none"/>
        </w:rPr>
        <w:t>(Paragraph 4 of the List of Issues)</w:t>
      </w:r>
    </w:p>
    <w:p w14:paraId="1C092675" w14:textId="09EC4961" w:rsidR="00965D73" w:rsidRPr="00965D73" w:rsidRDefault="00965D73" w:rsidP="00965D7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65D73">
        <w:rPr>
          <w:rFonts w:ascii="Times New Roman" w:eastAsia="Times New Roman" w:hAnsi="Times New Roman" w:cs="Times New Roman"/>
          <w:b/>
          <w:bCs/>
          <w:kern w:val="0"/>
          <w:szCs w:val="24"/>
          <w14:ligatures w14:val="none"/>
        </w:rPr>
        <w:t>2.2.1</w:t>
      </w:r>
      <w:r>
        <w:rPr>
          <w:rFonts w:ascii="Times New Roman" w:eastAsia="Times New Roman" w:hAnsi="Times New Roman" w:cs="Times New Roman"/>
          <w:kern w:val="0"/>
          <w:szCs w:val="24"/>
          <w14:ligatures w14:val="none"/>
        </w:rPr>
        <w:t xml:space="preserve"> </w:t>
      </w:r>
      <w:r w:rsidRPr="00965D73">
        <w:rPr>
          <w:rFonts w:ascii="Times New Roman" w:eastAsia="Times New Roman" w:hAnsi="Times New Roman" w:cs="Times New Roman"/>
          <w:kern w:val="0"/>
          <w:szCs w:val="24"/>
          <w14:ligatures w14:val="none"/>
        </w:rPr>
        <w:t>Although the Committee provided recommendations in its 2017 Concluding Observations, specifically in paragraphs 10(b) and (c), the network has found that women who are victims of violence—both related to the conflict and of sexual violence—in the Southern Border Provinces continue to face serious barriers in accessing justice and reparations. A key obstacle is language, especially in cases where Malay-speaking women must communicate with Thai-speaking officials. The use of Thai as the sole administrative language further limits Malay women’s access to justice and public services.</w:t>
      </w:r>
    </w:p>
    <w:p w14:paraId="2615137F" w14:textId="31038ACD" w:rsidR="00965D73" w:rsidRPr="00965D73" w:rsidRDefault="00965D73" w:rsidP="00965D7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65D73">
        <w:rPr>
          <w:rFonts w:ascii="Times New Roman" w:eastAsia="Times New Roman" w:hAnsi="Times New Roman" w:cs="Times New Roman"/>
          <w:b/>
          <w:bCs/>
          <w:kern w:val="0"/>
          <w:szCs w:val="24"/>
          <w14:ligatures w14:val="none"/>
        </w:rPr>
        <w:t>2.2.2</w:t>
      </w:r>
      <w:r>
        <w:rPr>
          <w:rFonts w:ascii="Times New Roman" w:eastAsia="Times New Roman" w:hAnsi="Times New Roman" w:cs="Times New Roman"/>
          <w:kern w:val="0"/>
          <w:szCs w:val="24"/>
          <w14:ligatures w14:val="none"/>
        </w:rPr>
        <w:t xml:space="preserve"> </w:t>
      </w:r>
      <w:r w:rsidRPr="00965D73">
        <w:rPr>
          <w:rFonts w:ascii="Times New Roman" w:eastAsia="Times New Roman" w:hAnsi="Times New Roman" w:cs="Times New Roman"/>
          <w:kern w:val="0"/>
          <w:szCs w:val="24"/>
          <w14:ligatures w14:val="none"/>
        </w:rPr>
        <w:t>Legal procedures also remain insufficiently gender-sensitive. There is a lack of female officers in law enforcement agencies, and existing witness protection programs do not take gender into account. This constitutes a significant barrier that contradicts the Convention, the Committee’s General Recommendations Nos. 33 and 35, as well as the Concluding Observations issued to Thailand, including those from 2017.</w:t>
      </w:r>
    </w:p>
    <w:p w14:paraId="1199C36F" w14:textId="4C7DF62C" w:rsidR="00965D73" w:rsidRPr="00965D73" w:rsidRDefault="00965D73" w:rsidP="00965D7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65D73">
        <w:rPr>
          <w:rFonts w:ascii="Times New Roman" w:eastAsia="Times New Roman" w:hAnsi="Times New Roman" w:cs="Times New Roman"/>
          <w:b/>
          <w:bCs/>
          <w:kern w:val="0"/>
          <w:szCs w:val="24"/>
          <w14:ligatures w14:val="none"/>
        </w:rPr>
        <w:t>2.2.3</w:t>
      </w:r>
      <w:r>
        <w:rPr>
          <w:rFonts w:ascii="Times New Roman" w:eastAsia="Times New Roman" w:hAnsi="Times New Roman" w:cs="Times New Roman"/>
          <w:kern w:val="0"/>
          <w:szCs w:val="24"/>
          <w14:ligatures w14:val="none"/>
        </w:rPr>
        <w:t xml:space="preserve"> </w:t>
      </w:r>
      <w:r w:rsidRPr="00965D73">
        <w:rPr>
          <w:rFonts w:ascii="Times New Roman" w:eastAsia="Times New Roman" w:hAnsi="Times New Roman" w:cs="Times New Roman"/>
          <w:kern w:val="0"/>
          <w:szCs w:val="24"/>
          <w14:ligatures w14:val="none"/>
        </w:rPr>
        <w:t>Other barriers include fear of retaliation or gender-based targeting, due to the absence of effective protection mechanisms for complainants, as well as intimidation by state officials and deep mistrust of the security forces and justice system</w:t>
      </w:r>
      <w:r>
        <w:rPr>
          <w:rStyle w:val="af8"/>
          <w:rFonts w:ascii="Times New Roman" w:eastAsia="Times New Roman" w:hAnsi="Times New Roman" w:cs="Times New Roman"/>
          <w:kern w:val="0"/>
          <w:szCs w:val="24"/>
          <w14:ligatures w14:val="none"/>
        </w:rPr>
        <w:footnoteReference w:id="1"/>
      </w:r>
      <w:r w:rsidRPr="00965D73">
        <w:rPr>
          <w:rFonts w:ascii="Times New Roman" w:eastAsia="Times New Roman" w:hAnsi="Times New Roman" w:cs="Times New Roman"/>
          <w:kern w:val="0"/>
          <w:szCs w:val="24"/>
          <w14:ligatures w14:val="none"/>
        </w:rPr>
        <w:t>. Consequently, few complaints are submitted to state agencies regarding human rights violations or cases of sexual violence. This pattern aligns with findings from the National Human Rights Commission and local organizations, all of which reflect a failure to meet obligations under the Convention and General Recommendation No. 33 of the Committee.</w:t>
      </w:r>
    </w:p>
    <w:p w14:paraId="52EB3A10" w14:textId="599BEF9D" w:rsidR="00965D73" w:rsidRDefault="00965D73" w:rsidP="00965D7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65D73">
        <w:rPr>
          <w:rFonts w:ascii="Times New Roman" w:eastAsia="Times New Roman" w:hAnsi="Times New Roman" w:cs="Times New Roman"/>
          <w:b/>
          <w:bCs/>
          <w:kern w:val="0"/>
          <w:szCs w:val="24"/>
          <w14:ligatures w14:val="none"/>
        </w:rPr>
        <w:lastRenderedPageBreak/>
        <w:t>2.2.4</w:t>
      </w:r>
      <w:r>
        <w:rPr>
          <w:rFonts w:ascii="Times New Roman" w:eastAsia="Times New Roman" w:hAnsi="Times New Roman" w:cs="Times New Roman"/>
          <w:kern w:val="0"/>
          <w:szCs w:val="24"/>
          <w14:ligatures w14:val="none"/>
        </w:rPr>
        <w:t xml:space="preserve"> </w:t>
      </w:r>
      <w:r w:rsidRPr="00965D73">
        <w:rPr>
          <w:rFonts w:ascii="Times New Roman" w:eastAsia="Times New Roman" w:hAnsi="Times New Roman" w:cs="Times New Roman"/>
          <w:kern w:val="0"/>
          <w:szCs w:val="24"/>
          <w14:ligatures w14:val="none"/>
        </w:rPr>
        <w:t>An example of how a lack of legal understanding can hinder access to justice is the case of “</w:t>
      </w:r>
      <w:proofErr w:type="spellStart"/>
      <w:r w:rsidRPr="00965D73">
        <w:rPr>
          <w:rFonts w:ascii="Times New Roman" w:eastAsia="Times New Roman" w:hAnsi="Times New Roman" w:cs="Times New Roman"/>
          <w:kern w:val="0"/>
          <w:szCs w:val="24"/>
          <w14:ligatures w14:val="none"/>
        </w:rPr>
        <w:t>Koliya</w:t>
      </w:r>
      <w:proofErr w:type="spellEnd"/>
      <w:r w:rsidRPr="00965D73">
        <w:rPr>
          <w:rFonts w:ascii="Times New Roman" w:eastAsia="Times New Roman" w:hAnsi="Times New Roman" w:cs="Times New Roman"/>
          <w:kern w:val="0"/>
          <w:szCs w:val="24"/>
          <w14:ligatures w14:val="none"/>
        </w:rPr>
        <w:t xml:space="preserve">” (pseudonym), a 32-year-old woman who was summoned for interrogation under Martial Law enforced in the Southern Border Provinces. She became a suspect in a bombing incident after her DNA matched that found at the scene. While in custody, a female paramilitary officer reassured her not to be afraid or worried, claiming she would be allowed to go home. </w:t>
      </w:r>
      <w:proofErr w:type="spellStart"/>
      <w:r w:rsidRPr="00965D73">
        <w:rPr>
          <w:rFonts w:ascii="Times New Roman" w:eastAsia="Times New Roman" w:hAnsi="Times New Roman" w:cs="Times New Roman"/>
          <w:kern w:val="0"/>
          <w:szCs w:val="24"/>
          <w14:ligatures w14:val="none"/>
        </w:rPr>
        <w:t>Koliya</w:t>
      </w:r>
      <w:proofErr w:type="spellEnd"/>
      <w:r w:rsidRPr="00965D73">
        <w:rPr>
          <w:rFonts w:ascii="Times New Roman" w:eastAsia="Times New Roman" w:hAnsi="Times New Roman" w:cs="Times New Roman"/>
          <w:kern w:val="0"/>
          <w:szCs w:val="24"/>
          <w14:ligatures w14:val="none"/>
        </w:rPr>
        <w:t xml:space="preserve"> was then asked to sign documents written in Thai—a language she did not understand. Misled into believing she would be released, she signed the papers, which ultimately led to her being charged in a national security case, subjected to a staged re-enactment of her alleged confession, and detained in prison. Her case reflects the vulnerability of women living in conflict zones under Thailand’s special laws, particularly in situations where they are coerced into “confessing” under false pretenses.</w:t>
      </w:r>
    </w:p>
    <w:p w14:paraId="36721881" w14:textId="77777777"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b/>
          <w:bCs/>
          <w:kern w:val="0"/>
          <w:szCs w:val="24"/>
          <w14:ligatures w14:val="none"/>
        </w:rPr>
      </w:pPr>
      <w:r w:rsidRPr="009F00B3">
        <w:rPr>
          <w:rFonts w:ascii="Times New Roman" w:eastAsia="Times New Roman" w:hAnsi="Times New Roman" w:cs="Times New Roman"/>
          <w:b/>
          <w:bCs/>
          <w:kern w:val="0"/>
          <w:szCs w:val="24"/>
          <w14:ligatures w14:val="none"/>
        </w:rPr>
        <w:t>2.3 Violence and Insecurity Affecting Women in Conflict-Affected Areas</w:t>
      </w:r>
    </w:p>
    <w:p w14:paraId="5222DBEA" w14:textId="77777777"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i/>
          <w:iCs/>
          <w:kern w:val="0"/>
          <w:szCs w:val="24"/>
          <w14:ligatures w14:val="none"/>
        </w:rPr>
        <w:t>(Paragraph 6 of the List of Issues)</w:t>
      </w:r>
    </w:p>
    <w:p w14:paraId="1E5B82B1" w14:textId="5D2915AE"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2.3.1</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The Thai government’s security-focused approach in the Southern Border Provinces—including the use of special laws such as the Emergency Decree and Martial Law—has led to the normalization of militarization and the severe restriction of civil liberties. These measures have had a disproportionately negative impact on women, as detailed below. These include heightened risks of arbitrary detention, harassment, threats to personal security, increased economic burdens due to the loss of family breadwinners, restrictions on mobility and access to public spaces due to security checkpoints, and forced DNA collection. The Thai state’s failure to implement effective protective measures for women and to investigate or provide redress for rights violations committed by security personnel constitutes a breach of its obligations under the Convention to exercise due diligence in preventing, investigating, and punishing violence against women.</w:t>
      </w:r>
    </w:p>
    <w:p w14:paraId="37B17C3F" w14:textId="77777777"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i/>
          <w:iCs/>
          <w:kern w:val="0"/>
          <w:szCs w:val="24"/>
          <w14:ligatures w14:val="none"/>
        </w:rPr>
      </w:pPr>
      <w:r w:rsidRPr="009F00B3">
        <w:rPr>
          <w:rFonts w:ascii="Times New Roman" w:eastAsia="Times New Roman" w:hAnsi="Times New Roman" w:cs="Times New Roman"/>
          <w:b/>
          <w:bCs/>
          <w:i/>
          <w:iCs/>
          <w:kern w:val="0"/>
          <w:szCs w:val="24"/>
          <w14:ligatures w14:val="none"/>
        </w:rPr>
        <w:t>Women as Direct Victims of Violence in the Conflict Zone</w:t>
      </w:r>
    </w:p>
    <w:p w14:paraId="2EF83C5A" w14:textId="68B545C2"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2.3.2</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 xml:space="preserve">Although the Committee has previously expressed concern—including in its 2017 Concluding Observations—regarding the direct impact of violence on women in the conflict-affected region, the issue regrettably persists. Women in the Southern Border Provinces continue to be disproportionately affected by the prolonged conflict, facing direct forms of violence such as becoming victims of attacks or the loss of family heads. Between 2004 and 2023, over 26,000 </w:t>
      </w:r>
      <w:r w:rsidRPr="009F00B3">
        <w:rPr>
          <w:rFonts w:ascii="Times New Roman" w:eastAsia="Times New Roman" w:hAnsi="Times New Roman" w:cs="Times New Roman"/>
          <w:kern w:val="0"/>
          <w:szCs w:val="24"/>
          <w14:ligatures w14:val="none"/>
        </w:rPr>
        <w:lastRenderedPageBreak/>
        <w:t>violent incidents were recorded, resulting in more than 7,300 deaths, of which approximately 6–10% were women. Most of these women were unintended casualties or indirect targets.</w:t>
      </w:r>
    </w:p>
    <w:p w14:paraId="04301CC5" w14:textId="3929AC61"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2.3.3</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In addition, women face increasing risks such as harassment by security personnel, arbitrary detention of family members, or becoming victims of arbitrary detention themselves—as in the case of "</w:t>
      </w:r>
      <w:proofErr w:type="spellStart"/>
      <w:r w:rsidRPr="009F00B3">
        <w:rPr>
          <w:rFonts w:ascii="Times New Roman" w:eastAsia="Times New Roman" w:hAnsi="Times New Roman" w:cs="Times New Roman"/>
          <w:kern w:val="0"/>
          <w:szCs w:val="24"/>
          <w14:ligatures w14:val="none"/>
        </w:rPr>
        <w:t>Koliya</w:t>
      </w:r>
      <w:proofErr w:type="spellEnd"/>
      <w:r w:rsidRPr="009F00B3">
        <w:rPr>
          <w:rFonts w:ascii="Times New Roman" w:eastAsia="Times New Roman" w:hAnsi="Times New Roman" w:cs="Times New Roman"/>
          <w:kern w:val="0"/>
          <w:szCs w:val="24"/>
          <w14:ligatures w14:val="none"/>
        </w:rPr>
        <w:t>" noted earlier. Women also suffer economic and psychological impacts due to insecurity, such as frequent visits from military personnel or state patrols in areas where local communities rely on land for their livelihoods.</w:t>
      </w:r>
    </w:p>
    <w:p w14:paraId="44CC5D66" w14:textId="7FF861F5"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2.3.4</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Here, arbitrary detention refers to detention under the special laws enforced in the Southern Border Provinces—namely Martial Law and the Emergency Decree—which allow individuals to be held for up to 37 days without formal charges, adequate judicial oversight, or access to legal counsel. These laws also include provisions that grant immunity to state officials, resulting in impunity. The use of such laws creates an atmosphere of fear and leads to violations of women’s rights to life and security, contrary to the Convention.</w:t>
      </w:r>
    </w:p>
    <w:p w14:paraId="6F27F5DB" w14:textId="1642C32E"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2.3.5</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Women are also indirectly affected by the violent context, including through increased economic burdens, psychological trauma, and escalating domestic violence (addressed further in the following sections).</w:t>
      </w:r>
    </w:p>
    <w:p w14:paraId="6B0FD0A9" w14:textId="1A6C5E64"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2.3.6</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 xml:space="preserve">One such example is the case of “Fatimah” (pseudonym), a 41-year-old Malay Muslim woman from </w:t>
      </w:r>
      <w:proofErr w:type="spellStart"/>
      <w:r w:rsidRPr="009F00B3">
        <w:rPr>
          <w:rFonts w:ascii="Times New Roman" w:eastAsia="Times New Roman" w:hAnsi="Times New Roman" w:cs="Times New Roman"/>
          <w:kern w:val="0"/>
          <w:szCs w:val="24"/>
          <w14:ligatures w14:val="none"/>
        </w:rPr>
        <w:t>Krong</w:t>
      </w:r>
      <w:proofErr w:type="spellEnd"/>
      <w:r w:rsidRPr="009F00B3">
        <w:rPr>
          <w:rFonts w:ascii="Times New Roman" w:eastAsia="Times New Roman" w:hAnsi="Times New Roman" w:cs="Times New Roman"/>
          <w:kern w:val="0"/>
          <w:szCs w:val="24"/>
          <w14:ligatures w14:val="none"/>
        </w:rPr>
        <w:t xml:space="preserve"> Pinang District, Yala Province. Her husband was extrajudicially killed in a state security operation in 2024. Following his death, Fatimah was subjected to constant monitoring and harassment by security personnel, and was required to report to officials regularly. This caused significant fear and anxiety. She became the sole income earner for her three school-aged children and faced severe emotional, social, and economic hardship. She received no compensation or livelihood support from the state.</w:t>
      </w:r>
    </w:p>
    <w:p w14:paraId="58C4D835" w14:textId="77777777"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i/>
          <w:iCs/>
          <w:kern w:val="0"/>
          <w:szCs w:val="24"/>
          <w14:ligatures w14:val="none"/>
        </w:rPr>
      </w:pPr>
      <w:r w:rsidRPr="009F00B3">
        <w:rPr>
          <w:rFonts w:ascii="Times New Roman" w:eastAsia="Times New Roman" w:hAnsi="Times New Roman" w:cs="Times New Roman"/>
          <w:b/>
          <w:bCs/>
          <w:i/>
          <w:iCs/>
          <w:kern w:val="0"/>
          <w:szCs w:val="24"/>
          <w14:ligatures w14:val="none"/>
        </w:rPr>
        <w:t>Exclusion from Political Participation and Peace Processes</w:t>
      </w:r>
    </w:p>
    <w:p w14:paraId="12A749FD" w14:textId="7D4C77C0"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2.3.7</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 xml:space="preserve">Despite the important role Patani Malay women play as community leaders and peacebuilders, they continue to be systematically excluded from political processes and formal </w:t>
      </w:r>
      <w:r w:rsidRPr="009F00B3">
        <w:rPr>
          <w:rFonts w:ascii="Times New Roman" w:eastAsia="Times New Roman" w:hAnsi="Times New Roman" w:cs="Times New Roman"/>
          <w:kern w:val="0"/>
          <w:szCs w:val="24"/>
          <w14:ligatures w14:val="none"/>
        </w:rPr>
        <w:lastRenderedPageBreak/>
        <w:t>peace negotiations. Only 5%</w:t>
      </w:r>
      <w:r w:rsidR="000A324A">
        <w:rPr>
          <w:rStyle w:val="af8"/>
          <w:rFonts w:ascii="Times New Roman" w:eastAsia="Times New Roman" w:hAnsi="Times New Roman" w:cs="Times New Roman"/>
          <w:kern w:val="0"/>
          <w:szCs w:val="24"/>
          <w14:ligatures w14:val="none"/>
        </w:rPr>
        <w:footnoteReference w:id="2"/>
      </w:r>
      <w:r w:rsidRPr="009F00B3">
        <w:rPr>
          <w:rFonts w:ascii="Times New Roman" w:eastAsia="Times New Roman" w:hAnsi="Times New Roman" w:cs="Times New Roman"/>
          <w:kern w:val="0"/>
          <w:szCs w:val="24"/>
          <w14:ligatures w14:val="none"/>
        </w:rPr>
        <w:t xml:space="preserve"> of local leadership positions—such as subdistrict administrative organization (SAO) mayors—in the Southern Border Provinces are held by women. At the national level, fewer than 5%</w:t>
      </w:r>
      <w:r w:rsidR="000A324A">
        <w:rPr>
          <w:rStyle w:val="af8"/>
          <w:rFonts w:ascii="Times New Roman" w:eastAsia="Times New Roman" w:hAnsi="Times New Roman" w:cs="Times New Roman"/>
          <w:kern w:val="0"/>
          <w:szCs w:val="24"/>
          <w14:ligatures w14:val="none"/>
        </w:rPr>
        <w:footnoteReference w:id="3"/>
      </w:r>
      <w:r w:rsidRPr="009F00B3">
        <w:rPr>
          <w:rFonts w:ascii="Times New Roman" w:eastAsia="Times New Roman" w:hAnsi="Times New Roman" w:cs="Times New Roman"/>
          <w:kern w:val="0"/>
          <w:szCs w:val="24"/>
          <w14:ligatures w14:val="none"/>
        </w:rPr>
        <w:t xml:space="preserve"> of participants in peace negotiations between the Thai state and insurgent groups have been women. This violates Article 7 of the Convention and contradicts UN Security Council Resolution 1325 on Women, Peace, and Security, which calls for the full, equal, and meaningful participation of women in peace processes.</w:t>
      </w:r>
    </w:p>
    <w:p w14:paraId="2453C45C" w14:textId="77777777"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i/>
          <w:iCs/>
          <w:kern w:val="0"/>
          <w:szCs w:val="24"/>
          <w14:ligatures w14:val="none"/>
        </w:rPr>
      </w:pPr>
      <w:r w:rsidRPr="009F00B3">
        <w:rPr>
          <w:rFonts w:ascii="Times New Roman" w:eastAsia="Times New Roman" w:hAnsi="Times New Roman" w:cs="Times New Roman"/>
          <w:b/>
          <w:bCs/>
          <w:i/>
          <w:iCs/>
          <w:kern w:val="0"/>
          <w:szCs w:val="24"/>
          <w14:ligatures w14:val="none"/>
        </w:rPr>
        <w:t>Forced Collection of DNA Samples</w:t>
      </w:r>
    </w:p>
    <w:p w14:paraId="3CA0B4CB" w14:textId="05E7D082"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2.3.8</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Although the Committee issued recommendations in 2017 and specifically called for the immediate cessation of DNA collection in the List of Issues, such practices persist. According to complaint data reported by the Muslim Attorney Center Foundation, between 2020 and 2024, at least 9 women and 1 child were subjected to DNA collection simply because a family member was suspected of involvement in a national security case.</w:t>
      </w:r>
      <w:r w:rsidR="004D5DFB">
        <w:rPr>
          <w:rStyle w:val="af8"/>
          <w:rFonts w:ascii="Times New Roman" w:eastAsia="Times New Roman" w:hAnsi="Times New Roman" w:cs="Times New Roman"/>
          <w:kern w:val="0"/>
          <w:szCs w:val="24"/>
          <w14:ligatures w14:val="none"/>
        </w:rPr>
        <w:footnoteReference w:id="4"/>
      </w:r>
    </w:p>
    <w:p w14:paraId="489F9F8F" w14:textId="77777777"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b/>
          <w:bCs/>
          <w:kern w:val="0"/>
          <w:szCs w:val="24"/>
          <w14:ligatures w14:val="none"/>
        </w:rPr>
      </w:pPr>
      <w:r w:rsidRPr="009F00B3">
        <w:rPr>
          <w:rFonts w:ascii="Times New Roman" w:eastAsia="Times New Roman" w:hAnsi="Times New Roman" w:cs="Times New Roman"/>
          <w:b/>
          <w:bCs/>
          <w:kern w:val="0"/>
          <w:szCs w:val="24"/>
          <w14:ligatures w14:val="none"/>
        </w:rPr>
        <w:t>2.4 Rising Domestic Violence and Limited Support Services</w:t>
      </w:r>
    </w:p>
    <w:p w14:paraId="2EB91248" w14:textId="77777777"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i/>
          <w:iCs/>
          <w:kern w:val="0"/>
          <w:szCs w:val="24"/>
          <w14:ligatures w14:val="none"/>
        </w:rPr>
        <w:t>(Paragraph 9 of the List of Issues)</w:t>
      </w:r>
    </w:p>
    <w:p w14:paraId="0CFF2C20" w14:textId="388EDD9F"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2.4.1</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The conflict situation in the Southern Border Provinces has exacerbated the issue of domestic violence against women and girls. A report by Amnesty International and the Southern Women’s Rights Network stated that 41%</w:t>
      </w:r>
      <w:r w:rsidR="000A324A">
        <w:rPr>
          <w:rStyle w:val="af8"/>
          <w:rFonts w:ascii="Times New Roman" w:eastAsia="Times New Roman" w:hAnsi="Times New Roman" w:cs="Times New Roman"/>
          <w:kern w:val="0"/>
          <w:szCs w:val="24"/>
          <w14:ligatures w14:val="none"/>
        </w:rPr>
        <w:footnoteReference w:id="5"/>
      </w:r>
      <w:r w:rsidRPr="009F00B3">
        <w:rPr>
          <w:rFonts w:ascii="Times New Roman" w:eastAsia="Times New Roman" w:hAnsi="Times New Roman" w:cs="Times New Roman"/>
          <w:kern w:val="0"/>
          <w:szCs w:val="24"/>
          <w14:ligatures w14:val="none"/>
        </w:rPr>
        <w:t xml:space="preserve"> of women in the area have experienced domestic violence—whether physical, psychological, or economic. According to field data collected by civil society organizations, a significant portion of domestic violence stems from drug abuse by family </w:t>
      </w:r>
      <w:r w:rsidRPr="009F00B3">
        <w:rPr>
          <w:rFonts w:ascii="Times New Roman" w:eastAsia="Times New Roman" w:hAnsi="Times New Roman" w:cs="Times New Roman"/>
          <w:kern w:val="0"/>
          <w:szCs w:val="24"/>
          <w14:ligatures w14:val="none"/>
        </w:rPr>
        <w:lastRenderedPageBreak/>
        <w:t>members, particularly husbands. This issue has not improved despite the Committee expressing concern, most recently in 2017.</w:t>
      </w:r>
    </w:p>
    <w:p w14:paraId="344C848B" w14:textId="3F44D80E"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2.4.2</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In the Deep South, intersecting challenges persist. For example, when women seek divorce due to domestic abuse, the process is hindered by the lack of female personnel who are knowledgeable and sensitive to such issues. Furthermore, provincial Islamic committees are composed almost entirely of male members.</w:t>
      </w:r>
    </w:p>
    <w:p w14:paraId="7DD18482" w14:textId="7BDF4DB6"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2.4.3</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State support services for victims of domestic violence remain critically insufficient, despite recommendations by the Committee in 2017. There is a lack of culturally appropriate shelters for women experiencing violence, and counseling services for domestic and sexual violence fail to meet women’s linguistic, religious, and cultural needs. The protection system for victims remains underdeveloped, leaving many women without a safe refuge. These shortcomings constitute violations of the Convention and General Recommendations Nos. 33 and 35.</w:t>
      </w:r>
    </w:p>
    <w:p w14:paraId="69D56CBB" w14:textId="77777777"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b/>
          <w:bCs/>
          <w:kern w:val="0"/>
          <w:szCs w:val="24"/>
          <w14:ligatures w14:val="none"/>
        </w:rPr>
      </w:pPr>
      <w:r w:rsidRPr="009F00B3">
        <w:rPr>
          <w:rFonts w:ascii="Times New Roman" w:eastAsia="Times New Roman" w:hAnsi="Times New Roman" w:cs="Times New Roman"/>
          <w:b/>
          <w:bCs/>
          <w:kern w:val="0"/>
          <w:szCs w:val="24"/>
          <w14:ligatures w14:val="none"/>
        </w:rPr>
        <w:t>2.5 Harassment of Women Human Rights Defenders</w:t>
      </w:r>
    </w:p>
    <w:p w14:paraId="3BB9255D" w14:textId="77777777"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i/>
          <w:iCs/>
          <w:kern w:val="0"/>
          <w:szCs w:val="24"/>
          <w14:ligatures w14:val="none"/>
        </w:rPr>
        <w:t>(Paragraph 13 of the List of Issues)</w:t>
      </w:r>
    </w:p>
    <w:p w14:paraId="48DB3C0C" w14:textId="01D29AFE"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2.5.1</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The safety of women human rights defenders (WHRDs) has been repeatedly highlighted by the Committee in its Concluding Observations, including in 2017 and in the List of Issues. However, in the Southern Border Provinces, WHRDs and rights-based organizations often face targeting due to their work. The network has observed an increasing trend in harassment through means such as summons by authorities, judicial harassment through unfounded charges, and surveillance.</w:t>
      </w:r>
    </w:p>
    <w:p w14:paraId="70D7906B" w14:textId="0D954029"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2.5.2</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One example includes legal action against nine young Muslim activists for organizing a peaceful gathering during the Hari Raya celebration. In the same case, a female organizer of the celebration was repeatedly visited and questioned by officials, making her feel unsafe.</w:t>
      </w:r>
    </w:p>
    <w:p w14:paraId="18CC5495" w14:textId="77777777"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b/>
          <w:bCs/>
          <w:kern w:val="0"/>
          <w:szCs w:val="24"/>
          <w14:ligatures w14:val="none"/>
        </w:rPr>
      </w:pPr>
      <w:r w:rsidRPr="009F00B3">
        <w:rPr>
          <w:rFonts w:ascii="Times New Roman" w:eastAsia="Times New Roman" w:hAnsi="Times New Roman" w:cs="Times New Roman"/>
          <w:b/>
          <w:bCs/>
          <w:kern w:val="0"/>
          <w:szCs w:val="24"/>
          <w14:ligatures w14:val="none"/>
        </w:rPr>
        <w:t>2.6 Discrimination in Education</w:t>
      </w:r>
    </w:p>
    <w:p w14:paraId="71D58768" w14:textId="77777777"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i/>
          <w:iCs/>
          <w:kern w:val="0"/>
          <w:szCs w:val="24"/>
          <w14:ligatures w14:val="none"/>
        </w:rPr>
        <w:t>(Paragraph 15 of the List of Issues)</w:t>
      </w:r>
    </w:p>
    <w:p w14:paraId="27B89239" w14:textId="6EA64197"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lastRenderedPageBreak/>
        <w:t>2.6.1</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Although primary school enrollment rates for girls in the Southern Border Provinces are comparable to boys, dropout rates increase significantly at the secondary and tertiary levels. In 2022, the lower secondary school dropout rate for girls in the region was 23%, compared to the national average of 14%.</w:t>
      </w:r>
      <w:r w:rsidR="000A324A">
        <w:rPr>
          <w:rStyle w:val="af8"/>
          <w:rFonts w:ascii="Times New Roman" w:eastAsia="Times New Roman" w:hAnsi="Times New Roman" w:cs="Times New Roman"/>
          <w:kern w:val="0"/>
          <w:szCs w:val="24"/>
          <w14:ligatures w14:val="none"/>
        </w:rPr>
        <w:footnoteReference w:id="6"/>
      </w:r>
      <w:r w:rsidRPr="009F00B3">
        <w:rPr>
          <w:rFonts w:ascii="Times New Roman" w:eastAsia="Times New Roman" w:hAnsi="Times New Roman" w:cs="Times New Roman"/>
          <w:kern w:val="0"/>
          <w:szCs w:val="24"/>
          <w14:ligatures w14:val="none"/>
        </w:rPr>
        <w:t xml:space="preserve"> Factors contributing to this disparity include the conflict situation—for example, "Zainab" (pseudonym), a 15-year-old girl from Rue So District in Narathiwat, was forced to drop out of school after her brother was extrajudicially killed by state officials without a warrant. She was present at the scene. With no one to support her education, she began working to support herself and her mother. Other contributing factors include insecurity during travel to school and cultural norms surrounding early marriage, which collectively undermine girls’ right to education under the Convention.</w:t>
      </w:r>
    </w:p>
    <w:p w14:paraId="007F4205" w14:textId="32488EF1"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2.6.2</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Furthermore, consistent with the Committee’s concerns and its 2017 Concluding Observations, local organizations report that comprehensive sexuality education remains insufficient and culturally inappropriate. This contributes to rising rates of teenage pregnancy, which is a growing concern in the region.</w:t>
      </w:r>
    </w:p>
    <w:p w14:paraId="2D145C82" w14:textId="77777777"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b/>
          <w:bCs/>
          <w:kern w:val="0"/>
          <w:szCs w:val="24"/>
          <w14:ligatures w14:val="none"/>
        </w:rPr>
      </w:pPr>
      <w:r w:rsidRPr="009F00B3">
        <w:rPr>
          <w:rFonts w:ascii="Times New Roman" w:eastAsia="Times New Roman" w:hAnsi="Times New Roman" w:cs="Times New Roman"/>
          <w:b/>
          <w:bCs/>
          <w:kern w:val="0"/>
          <w:szCs w:val="24"/>
          <w14:ligatures w14:val="none"/>
        </w:rPr>
        <w:t>2.7 Discrimination in Employment</w:t>
      </w:r>
    </w:p>
    <w:p w14:paraId="012DC4E4" w14:textId="77777777"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i/>
          <w:iCs/>
          <w:kern w:val="0"/>
          <w:szCs w:val="24"/>
          <w14:ligatures w14:val="none"/>
        </w:rPr>
        <w:t>(Paragraph 16 of the List of Issues)</w:t>
      </w:r>
    </w:p>
    <w:p w14:paraId="53E71FC1" w14:textId="3EB902DD"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2.7.1</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Despite the Committee's past recommendations, including in 2017, to increase women’s employment opportunities in the formal sector, most women in the Southern Border Provinces remain in informal work, which is insecure and lacks benefits such as social security protections.</w:t>
      </w:r>
    </w:p>
    <w:p w14:paraId="64BA04CB" w14:textId="1EBC250B"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2.7.2</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Women also continue to face employment discrimination, particularly those who wear the hijab. Access to public sector jobs is limited, and in some local health facilities, the proportion of hijab-wearing women in leadership roles remains disproportionately low relative to their overall representation in the workforce.</w:t>
      </w:r>
    </w:p>
    <w:p w14:paraId="5002FFAB" w14:textId="4284EAA0"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2.7.3</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The unemployment rate for women in the Southern Border Provinces is 1.5 times higher than the national average. The gender wage gap in the region remains as high as 25%.</w:t>
      </w:r>
      <w:r w:rsidR="000A324A">
        <w:rPr>
          <w:rStyle w:val="af8"/>
          <w:rFonts w:ascii="Times New Roman" w:eastAsia="Times New Roman" w:hAnsi="Times New Roman" w:cs="Times New Roman"/>
          <w:kern w:val="0"/>
          <w:szCs w:val="24"/>
          <w14:ligatures w14:val="none"/>
        </w:rPr>
        <w:footnoteReference w:id="7"/>
      </w:r>
      <w:r w:rsidRPr="009F00B3">
        <w:rPr>
          <w:rFonts w:ascii="Times New Roman" w:eastAsia="Times New Roman" w:hAnsi="Times New Roman" w:cs="Times New Roman"/>
          <w:kern w:val="0"/>
          <w:szCs w:val="24"/>
          <w14:ligatures w14:val="none"/>
        </w:rPr>
        <w:t xml:space="preserve"> These disparities </w:t>
      </w:r>
      <w:r w:rsidRPr="009F00B3">
        <w:rPr>
          <w:rFonts w:ascii="Times New Roman" w:eastAsia="Times New Roman" w:hAnsi="Times New Roman" w:cs="Times New Roman"/>
          <w:kern w:val="0"/>
          <w:szCs w:val="24"/>
          <w14:ligatures w14:val="none"/>
        </w:rPr>
        <w:lastRenderedPageBreak/>
        <w:t>violate Article 11 of the Convention and stem from structural discrimination rooted in intersectional biases. Cultural stigmas portray Muslim Malay women as “backward” or “threatening,” leading to their exclusion from employment and political participation.</w:t>
      </w:r>
    </w:p>
    <w:p w14:paraId="1E172355" w14:textId="77777777"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b/>
          <w:bCs/>
          <w:kern w:val="0"/>
          <w:szCs w:val="24"/>
          <w14:ligatures w14:val="none"/>
        </w:rPr>
      </w:pPr>
      <w:r w:rsidRPr="009F00B3">
        <w:rPr>
          <w:rFonts w:ascii="Times New Roman" w:eastAsia="Times New Roman" w:hAnsi="Times New Roman" w:cs="Times New Roman"/>
          <w:b/>
          <w:bCs/>
          <w:kern w:val="0"/>
          <w:szCs w:val="24"/>
          <w14:ligatures w14:val="none"/>
        </w:rPr>
        <w:t>2.8 Women in Places of Detention</w:t>
      </w:r>
    </w:p>
    <w:p w14:paraId="78B3300B" w14:textId="77777777"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i/>
          <w:iCs/>
          <w:kern w:val="0"/>
          <w:szCs w:val="24"/>
          <w14:ligatures w14:val="none"/>
        </w:rPr>
        <w:t>(Paragraph 23 of the List of Issues)</w:t>
      </w:r>
    </w:p>
    <w:p w14:paraId="0D4710BB" w14:textId="423C4DCB" w:rsidR="009F00B3" w:rsidRPr="009F00B3" w:rsidRDefault="009F00B3" w:rsidP="009F00B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2.8.1</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Beyond the concerns raised by the Committee and outlined in the List of Issues, women in the Southern Border Provinces face specific violations while in detention—under both special and ordinary laws—that disregard gender, religion, and dignity. Documented violations include the denial of the right to wear the hijab, and the requirement to wear shorts above the knee as part of the prison uniform—both inside and outside the detention facility, such as in court or upon release. Women have also reported being interrogated by male officers and lacking access to appropriate halal food. These structural issues stem from intersectional religious discrimination, particularly the restriction or bias against Muslim women’s religious practices.</w:t>
      </w:r>
    </w:p>
    <w:p w14:paraId="20900CF7" w14:textId="688A671A" w:rsidR="00965D73" w:rsidRPr="00965D73" w:rsidRDefault="009F00B3" w:rsidP="00965D73">
      <w:pPr>
        <w:spacing w:before="100" w:beforeAutospacing="1" w:after="100" w:afterAutospacing="1" w:line="360" w:lineRule="auto"/>
        <w:jc w:val="both"/>
        <w:rPr>
          <w:rFonts w:ascii="Times New Roman" w:eastAsia="Times New Roman" w:hAnsi="Times New Roman" w:cs="Times New Roman"/>
          <w:kern w:val="0"/>
          <w:szCs w:val="24"/>
          <w14:ligatures w14:val="none"/>
        </w:rPr>
      </w:pPr>
      <w:r w:rsidRPr="009F00B3">
        <w:rPr>
          <w:rFonts w:ascii="Times New Roman" w:eastAsia="Times New Roman" w:hAnsi="Times New Roman" w:cs="Times New Roman"/>
          <w:b/>
          <w:bCs/>
          <w:kern w:val="0"/>
          <w:szCs w:val="24"/>
          <w14:ligatures w14:val="none"/>
        </w:rPr>
        <w:t>2.8.2</w:t>
      </w:r>
      <w:r>
        <w:rPr>
          <w:rFonts w:ascii="Times New Roman" w:eastAsia="Times New Roman" w:hAnsi="Times New Roman" w:cs="Times New Roman"/>
          <w:kern w:val="0"/>
          <w:szCs w:val="24"/>
          <w14:ligatures w14:val="none"/>
        </w:rPr>
        <w:t xml:space="preserve"> </w:t>
      </w:r>
      <w:r w:rsidRPr="009F00B3">
        <w:rPr>
          <w:rFonts w:ascii="Times New Roman" w:eastAsia="Times New Roman" w:hAnsi="Times New Roman" w:cs="Times New Roman"/>
          <w:kern w:val="0"/>
          <w:szCs w:val="24"/>
          <w14:ligatures w14:val="none"/>
        </w:rPr>
        <w:t>For example, "</w:t>
      </w:r>
      <w:proofErr w:type="spellStart"/>
      <w:r w:rsidRPr="009F00B3">
        <w:rPr>
          <w:rFonts w:ascii="Times New Roman" w:eastAsia="Times New Roman" w:hAnsi="Times New Roman" w:cs="Times New Roman"/>
          <w:kern w:val="0"/>
          <w:szCs w:val="24"/>
          <w14:ligatures w14:val="none"/>
        </w:rPr>
        <w:t>Rokaiyah</w:t>
      </w:r>
      <w:proofErr w:type="spellEnd"/>
      <w:r w:rsidRPr="009F00B3">
        <w:rPr>
          <w:rFonts w:ascii="Times New Roman" w:eastAsia="Times New Roman" w:hAnsi="Times New Roman" w:cs="Times New Roman"/>
          <w:kern w:val="0"/>
          <w:szCs w:val="24"/>
          <w14:ligatures w14:val="none"/>
        </w:rPr>
        <w:t>" (pseudonym), a 34-year-old woman from Rue So District, Narathiwat, was detained and interrogated under Martial Law and the Emergency Decree in a military camp. During interrogation, she was questioned simultaneously by more than 10 male officers, which caused her significant fear. Upon release, she was not allowed to wear her hijab and was forced to appear before her family in prison attire.</w:t>
      </w:r>
    </w:p>
    <w:p w14:paraId="4EFA67F0" w14:textId="75AA3EED" w:rsidR="00A324A5" w:rsidRPr="00026603" w:rsidRDefault="00AC645E" w:rsidP="00481084">
      <w:pPr>
        <w:pStyle w:val="af"/>
        <w:spacing w:line="360" w:lineRule="auto"/>
        <w:rPr>
          <w:b/>
          <w:bCs/>
          <w:sz w:val="28"/>
          <w:szCs w:val="28"/>
        </w:rPr>
      </w:pPr>
      <w:r w:rsidRPr="00026603">
        <w:rPr>
          <w:b/>
          <w:bCs/>
          <w:sz w:val="28"/>
          <w:szCs w:val="28"/>
        </w:rPr>
        <w:t xml:space="preserve">3. </w:t>
      </w:r>
      <w:r w:rsidR="00A324A5" w:rsidRPr="00026603">
        <w:rPr>
          <w:b/>
          <w:bCs/>
          <w:sz w:val="28"/>
          <w:szCs w:val="28"/>
        </w:rPr>
        <w:t>Recommendations</w:t>
      </w:r>
    </w:p>
    <w:p w14:paraId="7772367B" w14:textId="77777777" w:rsidR="00A324A5" w:rsidRPr="00AC645E" w:rsidRDefault="00A324A5" w:rsidP="009F00B3">
      <w:pPr>
        <w:pStyle w:val="af"/>
        <w:spacing w:line="360" w:lineRule="auto"/>
        <w:jc w:val="both"/>
      </w:pPr>
      <w:r w:rsidRPr="00AC645E">
        <w:t>In light of the ongoing and systematic human rights violations against Patani Malay women in the Southern Border Provinces, this shadow report respectfully recommends that the Committee urge the Thai government to take the following actions:</w:t>
      </w:r>
    </w:p>
    <w:p w14:paraId="73A0F3C8" w14:textId="77777777" w:rsidR="00A324A5" w:rsidRPr="00026603" w:rsidRDefault="00A324A5" w:rsidP="009F00B3">
      <w:pPr>
        <w:pStyle w:val="af"/>
        <w:spacing w:line="360" w:lineRule="auto"/>
        <w:jc w:val="both"/>
      </w:pPr>
      <w:r w:rsidRPr="00026603">
        <w:rPr>
          <w:rStyle w:val="ae"/>
          <w:rFonts w:eastAsiaTheme="majorEastAsia"/>
        </w:rPr>
        <w:t>3.1 General Recommendations</w:t>
      </w:r>
    </w:p>
    <w:p w14:paraId="00B53D77" w14:textId="77777777" w:rsidR="00A324A5" w:rsidRPr="00AC645E" w:rsidRDefault="00A324A5" w:rsidP="009F00B3">
      <w:pPr>
        <w:pStyle w:val="af"/>
        <w:numPr>
          <w:ilvl w:val="0"/>
          <w:numId w:val="3"/>
        </w:numPr>
        <w:spacing w:line="360" w:lineRule="auto"/>
        <w:jc w:val="both"/>
      </w:pPr>
      <w:r w:rsidRPr="00AC645E">
        <w:t xml:space="preserve">The Thai state must adopt an integrated, intersectional, rights-based approach in all policies and programs related to women's rights in conflict-affected areas of the Southern Border Provinces. This approach should align with the Committee's General Recommendations </w:t>
      </w:r>
      <w:r w:rsidRPr="00AC645E">
        <w:lastRenderedPageBreak/>
        <w:t>Nos. 19, 28, 30, 33, and 35, as well as UN Security Council Resolution 1325 on Women, Peace, and Security.</w:t>
      </w:r>
    </w:p>
    <w:p w14:paraId="4403B0CF" w14:textId="77777777" w:rsidR="00A324A5" w:rsidRPr="00026603" w:rsidRDefault="00A324A5" w:rsidP="009F00B3">
      <w:pPr>
        <w:pStyle w:val="af"/>
        <w:spacing w:line="360" w:lineRule="auto"/>
        <w:jc w:val="both"/>
      </w:pPr>
      <w:r w:rsidRPr="00026603">
        <w:rPr>
          <w:rStyle w:val="ae"/>
          <w:rFonts w:eastAsiaTheme="majorEastAsia"/>
        </w:rPr>
        <w:t>3.2 Access to Justice</w:t>
      </w:r>
    </w:p>
    <w:p w14:paraId="5CA2BFFA" w14:textId="77777777" w:rsidR="00A324A5" w:rsidRPr="00AC645E" w:rsidRDefault="00A324A5" w:rsidP="009F00B3">
      <w:pPr>
        <w:pStyle w:val="af"/>
        <w:numPr>
          <w:ilvl w:val="0"/>
          <w:numId w:val="4"/>
        </w:numPr>
        <w:spacing w:line="360" w:lineRule="auto"/>
        <w:jc w:val="both"/>
      </w:pPr>
      <w:r w:rsidRPr="00AC645E">
        <w:t>Ensure that the legal and justice systems are accessible, culturally appropriate, and gender-responsive—for example, by offering services in the Malay language and providing female officers in law enforcement.</w:t>
      </w:r>
    </w:p>
    <w:p w14:paraId="6AABC9C3" w14:textId="77777777" w:rsidR="00A324A5" w:rsidRPr="00AC645E" w:rsidRDefault="00A324A5" w:rsidP="009F00B3">
      <w:pPr>
        <w:pStyle w:val="af"/>
        <w:numPr>
          <w:ilvl w:val="0"/>
          <w:numId w:val="4"/>
        </w:numPr>
        <w:spacing w:line="360" w:lineRule="auto"/>
        <w:jc w:val="both"/>
      </w:pPr>
      <w:r w:rsidRPr="00AC645E">
        <w:t>Establish a gender-sensitive witness protection program to enable women to seek justice without fear.</w:t>
      </w:r>
    </w:p>
    <w:p w14:paraId="5B6825EA" w14:textId="77777777" w:rsidR="00A324A5" w:rsidRPr="00AC645E" w:rsidRDefault="00A324A5" w:rsidP="009F00B3">
      <w:pPr>
        <w:pStyle w:val="af"/>
        <w:numPr>
          <w:ilvl w:val="0"/>
          <w:numId w:val="4"/>
        </w:numPr>
        <w:spacing w:line="360" w:lineRule="auto"/>
        <w:jc w:val="both"/>
      </w:pPr>
      <w:r w:rsidRPr="00AC645E">
        <w:t>Strengthen monitoring and reporting systems for women's rights violations, including sexual violence, with a focus on transparent investigations, timely responses, and adequate reparations.</w:t>
      </w:r>
    </w:p>
    <w:p w14:paraId="45836750" w14:textId="77777777" w:rsidR="00A324A5" w:rsidRPr="00026603" w:rsidRDefault="00A324A5" w:rsidP="009F00B3">
      <w:pPr>
        <w:pStyle w:val="af"/>
        <w:spacing w:line="360" w:lineRule="auto"/>
        <w:jc w:val="both"/>
      </w:pPr>
      <w:r w:rsidRPr="00026603">
        <w:rPr>
          <w:rStyle w:val="ae"/>
          <w:rFonts w:eastAsiaTheme="majorEastAsia"/>
        </w:rPr>
        <w:t>3.3 Women, Security, and Peace</w:t>
      </w:r>
    </w:p>
    <w:p w14:paraId="5D1F31B7" w14:textId="77777777" w:rsidR="00A324A5" w:rsidRPr="00AC645E" w:rsidRDefault="00A324A5" w:rsidP="009F00B3">
      <w:pPr>
        <w:pStyle w:val="af"/>
        <w:numPr>
          <w:ilvl w:val="0"/>
          <w:numId w:val="5"/>
        </w:numPr>
        <w:spacing w:line="360" w:lineRule="auto"/>
        <w:jc w:val="both"/>
      </w:pPr>
      <w:r w:rsidRPr="00AC645E">
        <w:t>Repeal or reform special security laws (e.g., the Emergency Decree and Martial Law) to comply with international human rights standards and CEDAW obligations, particularly regarding women’s rights to life, liberty, and security.</w:t>
      </w:r>
    </w:p>
    <w:p w14:paraId="10C32887" w14:textId="77777777" w:rsidR="00A324A5" w:rsidRPr="00AC645E" w:rsidRDefault="00A324A5" w:rsidP="009F00B3">
      <w:pPr>
        <w:pStyle w:val="af"/>
        <w:numPr>
          <w:ilvl w:val="0"/>
          <w:numId w:val="5"/>
        </w:numPr>
        <w:spacing w:line="360" w:lineRule="auto"/>
        <w:jc w:val="both"/>
      </w:pPr>
      <w:r w:rsidRPr="00AC645E">
        <w:t>Establish an independent mechanism to investigate human rights violations by state actors and take decisive action against extrajudicial killings, arbitrary detention, and other abuses affecting women.</w:t>
      </w:r>
    </w:p>
    <w:p w14:paraId="29F67DDD" w14:textId="77777777" w:rsidR="00A324A5" w:rsidRPr="00AC645E" w:rsidRDefault="00A324A5" w:rsidP="009F00B3">
      <w:pPr>
        <w:pStyle w:val="af"/>
        <w:numPr>
          <w:ilvl w:val="0"/>
          <w:numId w:val="5"/>
        </w:numPr>
        <w:spacing w:line="360" w:lineRule="auto"/>
        <w:jc w:val="both"/>
      </w:pPr>
      <w:r w:rsidRPr="00AC645E">
        <w:t>Develop gender-sensitive human rights protection measures in conflict zones, such as community-based early warning systems led by women.</w:t>
      </w:r>
    </w:p>
    <w:p w14:paraId="70475150" w14:textId="77777777" w:rsidR="00A324A5" w:rsidRPr="00AC645E" w:rsidRDefault="00A324A5" w:rsidP="009F00B3">
      <w:pPr>
        <w:pStyle w:val="af"/>
        <w:numPr>
          <w:ilvl w:val="0"/>
          <w:numId w:val="5"/>
        </w:numPr>
        <w:spacing w:line="360" w:lineRule="auto"/>
        <w:jc w:val="both"/>
      </w:pPr>
      <w:r w:rsidRPr="00AC645E">
        <w:t>Cease the collection of DNA samples from individuals not involved in criminal activity. End night-time raids and arrests based on ethnic profiling. House searches and raids must respect human rights, and affected persons must be ensured effective and fair access to remedies—such as halting ongoing DNA collection, destroying previously stored data, and guaranteeing non-repetition.</w:t>
      </w:r>
    </w:p>
    <w:p w14:paraId="7B075595" w14:textId="77777777" w:rsidR="00A324A5" w:rsidRPr="00AC645E" w:rsidRDefault="00A324A5" w:rsidP="009F00B3">
      <w:pPr>
        <w:pStyle w:val="af"/>
        <w:numPr>
          <w:ilvl w:val="0"/>
          <w:numId w:val="5"/>
        </w:numPr>
        <w:spacing w:line="360" w:lineRule="auto"/>
        <w:jc w:val="both"/>
      </w:pPr>
      <w:r w:rsidRPr="00AC645E">
        <w:t>Mandate a minimum gender quota of 30% in all peace negotiations, political dialogues, and local government bodies in the Southern Border Provinces.</w:t>
      </w:r>
    </w:p>
    <w:p w14:paraId="636B2824" w14:textId="77777777" w:rsidR="00A324A5" w:rsidRPr="00AC645E" w:rsidRDefault="00A324A5" w:rsidP="009F00B3">
      <w:pPr>
        <w:pStyle w:val="af"/>
        <w:numPr>
          <w:ilvl w:val="0"/>
          <w:numId w:val="5"/>
        </w:numPr>
        <w:spacing w:line="360" w:lineRule="auto"/>
        <w:jc w:val="both"/>
      </w:pPr>
      <w:r w:rsidRPr="00AC645E">
        <w:lastRenderedPageBreak/>
        <w:t>Support the capacity-building of Patani Malay women to become leaders, negotiators, and peacebuilders through specialized training and financial assistance.</w:t>
      </w:r>
    </w:p>
    <w:p w14:paraId="20EFE664" w14:textId="77777777" w:rsidR="00A324A5" w:rsidRPr="00AC645E" w:rsidRDefault="00A324A5" w:rsidP="009F00B3">
      <w:pPr>
        <w:pStyle w:val="af"/>
        <w:numPr>
          <w:ilvl w:val="0"/>
          <w:numId w:val="5"/>
        </w:numPr>
        <w:spacing w:line="360" w:lineRule="auto"/>
        <w:jc w:val="both"/>
      </w:pPr>
      <w:r w:rsidRPr="00AC645E">
        <w:t>Establish institutional mechanisms to ensure the full, equal, and meaningful participation of women in decision-making processes on peace and security.</w:t>
      </w:r>
    </w:p>
    <w:p w14:paraId="2E6640BA" w14:textId="77777777" w:rsidR="00A324A5" w:rsidRPr="00AC645E" w:rsidRDefault="00A324A5" w:rsidP="009F00B3">
      <w:pPr>
        <w:pStyle w:val="af"/>
        <w:numPr>
          <w:ilvl w:val="0"/>
          <w:numId w:val="5"/>
        </w:numPr>
        <w:spacing w:line="360" w:lineRule="auto"/>
        <w:jc w:val="both"/>
      </w:pPr>
      <w:r w:rsidRPr="00AC645E">
        <w:t>To ensure that peace negotiations between the Thai government and the BRN are inclusive, effective, and aligned with CEDAW and UNSC Resolution 1325, the state should:</w:t>
      </w:r>
    </w:p>
    <w:p w14:paraId="23CDF477" w14:textId="77777777" w:rsidR="00A324A5" w:rsidRPr="00AC645E" w:rsidRDefault="00A324A5" w:rsidP="009F00B3">
      <w:pPr>
        <w:pStyle w:val="af"/>
        <w:numPr>
          <w:ilvl w:val="1"/>
          <w:numId w:val="5"/>
        </w:numPr>
        <w:spacing w:line="360" w:lineRule="auto"/>
        <w:jc w:val="both"/>
      </w:pPr>
      <w:r w:rsidRPr="00AC645E">
        <w:t>Appoint women as official representatives in peace negotiations with a minimum quota of 30% in both negotiating and support teams.</w:t>
      </w:r>
    </w:p>
    <w:p w14:paraId="2F284B5A" w14:textId="77777777" w:rsidR="00A324A5" w:rsidRPr="00AC645E" w:rsidRDefault="00A324A5" w:rsidP="009F00B3">
      <w:pPr>
        <w:pStyle w:val="af"/>
        <w:numPr>
          <w:ilvl w:val="1"/>
          <w:numId w:val="5"/>
        </w:numPr>
        <w:spacing w:line="360" w:lineRule="auto"/>
        <w:jc w:val="both"/>
      </w:pPr>
      <w:r w:rsidRPr="00AC645E">
        <w:t>Create space for women's civil society in the Deep South to influence negotiation agendas, especially on issues of sexual violence, civilian protection, and reparations.</w:t>
      </w:r>
    </w:p>
    <w:p w14:paraId="37DF9888" w14:textId="77777777" w:rsidR="00A324A5" w:rsidRPr="00AC645E" w:rsidRDefault="00A324A5" w:rsidP="009F00B3">
      <w:pPr>
        <w:pStyle w:val="af"/>
        <w:numPr>
          <w:ilvl w:val="1"/>
          <w:numId w:val="5"/>
        </w:numPr>
        <w:spacing w:line="360" w:lineRule="auto"/>
        <w:jc w:val="both"/>
      </w:pPr>
      <w:r w:rsidRPr="00AC645E">
        <w:t>Establish a gender-sensitive monitoring mechanism for tracking the progress and outcomes of peace talks, with women representatives included on monitoring teams.</w:t>
      </w:r>
    </w:p>
    <w:p w14:paraId="17EB7545" w14:textId="77777777" w:rsidR="00A324A5" w:rsidRPr="00AC645E" w:rsidRDefault="00A324A5" w:rsidP="009F00B3">
      <w:pPr>
        <w:pStyle w:val="af"/>
        <w:numPr>
          <w:ilvl w:val="1"/>
          <w:numId w:val="5"/>
        </w:numPr>
        <w:spacing w:line="360" w:lineRule="auto"/>
        <w:jc w:val="both"/>
      </w:pPr>
      <w:r w:rsidRPr="00AC645E">
        <w:t>Support the training of local women in negotiation, peacebuilding, and policymaking to enable their effective participation in peace processes.</w:t>
      </w:r>
    </w:p>
    <w:p w14:paraId="3EFEA611" w14:textId="77777777" w:rsidR="00A324A5" w:rsidRPr="00AC645E" w:rsidRDefault="00A324A5" w:rsidP="009F00B3">
      <w:pPr>
        <w:pStyle w:val="af"/>
        <w:numPr>
          <w:ilvl w:val="1"/>
          <w:numId w:val="5"/>
        </w:numPr>
        <w:spacing w:line="360" w:lineRule="auto"/>
        <w:jc w:val="both"/>
      </w:pPr>
      <w:r w:rsidRPr="00AC645E">
        <w:t>Promote the creation of "safe spaces for women" to allow community women to express views and submit policy proposals to peace platforms.</w:t>
      </w:r>
    </w:p>
    <w:p w14:paraId="4A35B763" w14:textId="77777777" w:rsidR="00A324A5" w:rsidRPr="00AC645E" w:rsidRDefault="00A324A5" w:rsidP="009F00B3">
      <w:pPr>
        <w:pStyle w:val="af"/>
        <w:numPr>
          <w:ilvl w:val="1"/>
          <w:numId w:val="5"/>
        </w:numPr>
        <w:spacing w:line="360" w:lineRule="auto"/>
        <w:jc w:val="both"/>
      </w:pPr>
      <w:r w:rsidRPr="00AC645E">
        <w:t>Facilitate regular consultations with women’s networks to ensure women’s perspectives are reflected in policy and strategy development in the peace process.</w:t>
      </w:r>
    </w:p>
    <w:p w14:paraId="09C9294F" w14:textId="77777777" w:rsidR="00A324A5" w:rsidRPr="00026603" w:rsidRDefault="00A324A5" w:rsidP="009F00B3">
      <w:pPr>
        <w:pStyle w:val="af"/>
        <w:spacing w:line="360" w:lineRule="auto"/>
        <w:jc w:val="both"/>
      </w:pPr>
      <w:r w:rsidRPr="00026603">
        <w:rPr>
          <w:rStyle w:val="ae"/>
          <w:rFonts w:eastAsiaTheme="majorEastAsia"/>
        </w:rPr>
        <w:t>3.4 Prevention and Response to Domestic Violence</w:t>
      </w:r>
    </w:p>
    <w:p w14:paraId="05427519" w14:textId="77777777" w:rsidR="00A324A5" w:rsidRPr="00AC645E" w:rsidRDefault="00A324A5" w:rsidP="009F00B3">
      <w:pPr>
        <w:pStyle w:val="af"/>
        <w:numPr>
          <w:ilvl w:val="0"/>
          <w:numId w:val="6"/>
        </w:numPr>
        <w:spacing w:line="360" w:lineRule="auto"/>
        <w:jc w:val="both"/>
      </w:pPr>
      <w:r w:rsidRPr="00AC645E">
        <w:t>Expand and allocate budgets for culturally appropriate shelters and counseling services in the Southern Border Provinces.</w:t>
      </w:r>
    </w:p>
    <w:p w14:paraId="6192F8CD" w14:textId="77777777" w:rsidR="00A324A5" w:rsidRPr="00AC645E" w:rsidRDefault="00A324A5" w:rsidP="009F00B3">
      <w:pPr>
        <w:pStyle w:val="af"/>
        <w:numPr>
          <w:ilvl w:val="0"/>
          <w:numId w:val="6"/>
        </w:numPr>
        <w:spacing w:line="360" w:lineRule="auto"/>
        <w:jc w:val="both"/>
      </w:pPr>
      <w:r w:rsidRPr="00AC645E">
        <w:t>Conduct culturally sensitive public campaigns to end the stigmatization of women reporting domestic violence and to promote survivors’ rights.</w:t>
      </w:r>
    </w:p>
    <w:p w14:paraId="5E5FBD91" w14:textId="77777777" w:rsidR="00A324A5" w:rsidRPr="00AC645E" w:rsidRDefault="00A324A5" w:rsidP="009F00B3">
      <w:pPr>
        <w:pStyle w:val="af"/>
        <w:numPr>
          <w:ilvl w:val="0"/>
          <w:numId w:val="6"/>
        </w:numPr>
        <w:spacing w:line="360" w:lineRule="auto"/>
        <w:jc w:val="both"/>
      </w:pPr>
      <w:r w:rsidRPr="00AC645E">
        <w:t>Guarantee access to justice for women survivors of domestic violence, including free legal aid, safe housing, and community-based support networks.</w:t>
      </w:r>
    </w:p>
    <w:p w14:paraId="19F84F80" w14:textId="77777777" w:rsidR="00A324A5" w:rsidRPr="00026603" w:rsidRDefault="00A324A5" w:rsidP="009F00B3">
      <w:pPr>
        <w:pStyle w:val="af"/>
        <w:spacing w:line="360" w:lineRule="auto"/>
        <w:jc w:val="both"/>
      </w:pPr>
      <w:r w:rsidRPr="00026603">
        <w:rPr>
          <w:rStyle w:val="ae"/>
          <w:rFonts w:eastAsiaTheme="majorEastAsia"/>
        </w:rPr>
        <w:t>3.5 Women Human Rights Defenders</w:t>
      </w:r>
    </w:p>
    <w:p w14:paraId="660EA396" w14:textId="77777777" w:rsidR="00A324A5" w:rsidRPr="00AC645E" w:rsidRDefault="00A324A5" w:rsidP="009F00B3">
      <w:pPr>
        <w:pStyle w:val="af"/>
        <w:numPr>
          <w:ilvl w:val="0"/>
          <w:numId w:val="7"/>
        </w:numPr>
        <w:spacing w:line="360" w:lineRule="auto"/>
        <w:jc w:val="both"/>
      </w:pPr>
      <w:r w:rsidRPr="00AC645E">
        <w:lastRenderedPageBreak/>
        <w:t>Investigate human rights violations and prosecute perpetrators, especially in cases involving extrajudicial killings and misconduct by police or military forces. Reports on development and problem-solving in the Southern Border Provinces should reference the 2012 Concluding Observations of the Committee on the Elimination of Racial Discrimination.</w:t>
      </w:r>
    </w:p>
    <w:p w14:paraId="5AA69346" w14:textId="77777777" w:rsidR="00A324A5" w:rsidRPr="00AC645E" w:rsidRDefault="00A324A5" w:rsidP="009F00B3">
      <w:pPr>
        <w:pStyle w:val="af"/>
        <w:numPr>
          <w:ilvl w:val="0"/>
          <w:numId w:val="7"/>
        </w:numPr>
        <w:spacing w:line="360" w:lineRule="auto"/>
        <w:jc w:val="both"/>
      </w:pPr>
      <w:r w:rsidRPr="00AC645E">
        <w:t>Provide reparations to women human rights defenders who are accused of involvement in unrest or who are criminalized as dissidents.</w:t>
      </w:r>
    </w:p>
    <w:p w14:paraId="436CBFD8" w14:textId="77777777" w:rsidR="00A324A5" w:rsidRPr="00026603" w:rsidRDefault="00A324A5" w:rsidP="009F00B3">
      <w:pPr>
        <w:pStyle w:val="af"/>
        <w:spacing w:line="360" w:lineRule="auto"/>
        <w:jc w:val="both"/>
      </w:pPr>
      <w:r w:rsidRPr="00026603">
        <w:rPr>
          <w:rStyle w:val="ae"/>
          <w:rFonts w:eastAsiaTheme="majorEastAsia"/>
        </w:rPr>
        <w:t>3.6 Education and Women’s Economic Empowerment</w:t>
      </w:r>
    </w:p>
    <w:p w14:paraId="3E088C06" w14:textId="77777777" w:rsidR="00A324A5" w:rsidRPr="00AC645E" w:rsidRDefault="00A324A5" w:rsidP="009F00B3">
      <w:pPr>
        <w:pStyle w:val="af"/>
        <w:numPr>
          <w:ilvl w:val="0"/>
          <w:numId w:val="8"/>
        </w:numPr>
        <w:spacing w:line="360" w:lineRule="auto"/>
        <w:jc w:val="both"/>
      </w:pPr>
      <w:r w:rsidRPr="00AC645E">
        <w:t>Ensure girls’ safe access to education, including safe transportation, conflict-sensitive school environments, and community awareness-raising on the importance of girls’ education.</w:t>
      </w:r>
    </w:p>
    <w:p w14:paraId="68F091C0" w14:textId="77777777" w:rsidR="00A324A5" w:rsidRPr="00AC645E" w:rsidRDefault="00A324A5" w:rsidP="009F00B3">
      <w:pPr>
        <w:pStyle w:val="af"/>
        <w:numPr>
          <w:ilvl w:val="0"/>
          <w:numId w:val="8"/>
        </w:numPr>
        <w:spacing w:line="360" w:lineRule="auto"/>
        <w:jc w:val="both"/>
      </w:pPr>
      <w:r w:rsidRPr="00AC645E">
        <w:t>Take proactive measures to promote women’s employment, especially for Malay Muslim women—for instance, banning discrimination based on religious dress and enhancing access to formal sector employment.</w:t>
      </w:r>
    </w:p>
    <w:p w14:paraId="70146F34" w14:textId="77777777" w:rsidR="00A324A5" w:rsidRPr="00AC645E" w:rsidRDefault="00A324A5" w:rsidP="009F00B3">
      <w:pPr>
        <w:pStyle w:val="af"/>
        <w:numPr>
          <w:ilvl w:val="0"/>
          <w:numId w:val="8"/>
        </w:numPr>
        <w:spacing w:line="360" w:lineRule="auto"/>
        <w:jc w:val="both"/>
      </w:pPr>
      <w:r w:rsidRPr="00AC645E">
        <w:t>Support women’s economic empowerment by allocating funds for vocational training, providing grants for women-led enterprises, and facilitating access to financing and markets.</w:t>
      </w:r>
    </w:p>
    <w:p w14:paraId="5AFB12C7" w14:textId="77777777" w:rsidR="00A324A5" w:rsidRPr="00026603" w:rsidRDefault="00A324A5" w:rsidP="009F00B3">
      <w:pPr>
        <w:pStyle w:val="af"/>
        <w:spacing w:line="360" w:lineRule="auto"/>
        <w:jc w:val="both"/>
      </w:pPr>
      <w:r w:rsidRPr="00026603">
        <w:rPr>
          <w:rStyle w:val="ae"/>
          <w:rFonts w:eastAsiaTheme="majorEastAsia"/>
        </w:rPr>
        <w:t>3.7 Women and Detention</w:t>
      </w:r>
    </w:p>
    <w:p w14:paraId="6D0C43EB" w14:textId="77777777" w:rsidR="00A324A5" w:rsidRPr="00AC645E" w:rsidRDefault="00A324A5" w:rsidP="009F00B3">
      <w:pPr>
        <w:pStyle w:val="af"/>
        <w:numPr>
          <w:ilvl w:val="0"/>
          <w:numId w:val="9"/>
        </w:numPr>
        <w:spacing w:line="360" w:lineRule="auto"/>
        <w:jc w:val="both"/>
      </w:pPr>
      <w:r w:rsidRPr="00AC645E">
        <w:t>Ensure that detainees are allowed to wear religious attire, are provided with halal food, and can perform religious practices.</w:t>
      </w:r>
    </w:p>
    <w:p w14:paraId="0A96703B" w14:textId="77777777" w:rsidR="00A324A5" w:rsidRPr="00AC645E" w:rsidRDefault="00A324A5" w:rsidP="009F00B3">
      <w:pPr>
        <w:pStyle w:val="af"/>
        <w:numPr>
          <w:ilvl w:val="0"/>
          <w:numId w:val="9"/>
        </w:numPr>
        <w:spacing w:line="360" w:lineRule="auto"/>
        <w:jc w:val="both"/>
      </w:pPr>
      <w:r w:rsidRPr="00AC645E">
        <w:t>Ensure the presence of female officers during interrogations or investigative procedures.</w:t>
      </w:r>
    </w:p>
    <w:p w14:paraId="485C439A" w14:textId="77777777" w:rsidR="00A324A5" w:rsidRPr="00AC645E" w:rsidRDefault="00A324A5" w:rsidP="009F00B3">
      <w:pPr>
        <w:pStyle w:val="af"/>
        <w:numPr>
          <w:ilvl w:val="0"/>
          <w:numId w:val="9"/>
        </w:numPr>
        <w:spacing w:line="360" w:lineRule="auto"/>
        <w:jc w:val="both"/>
      </w:pPr>
      <w:r w:rsidRPr="00AC645E">
        <w:t>Respect religious and cultural practices throughout all stages of investigation and detention procedures.</w:t>
      </w:r>
    </w:p>
    <w:p w14:paraId="09AA2DF8" w14:textId="2BA26133" w:rsidR="00481084" w:rsidRPr="000A324A" w:rsidRDefault="00A324A5" w:rsidP="00481084">
      <w:pPr>
        <w:pStyle w:val="af"/>
        <w:numPr>
          <w:ilvl w:val="0"/>
          <w:numId w:val="9"/>
        </w:numPr>
        <w:spacing w:line="360" w:lineRule="auto"/>
        <w:jc w:val="both"/>
      </w:pPr>
      <w:r w:rsidRPr="00AC645E">
        <w:t>Law enforcement personnel must comply with international human rights standards, including providing accurate information to suspects and detainees. Evidence obtained through deception must be inadmissible, and those responsible—including officials—must be held accountable.</w:t>
      </w:r>
    </w:p>
    <w:p w14:paraId="7E957FBE" w14:textId="77777777" w:rsidR="000A324A" w:rsidRPr="000A324A" w:rsidRDefault="000A324A" w:rsidP="000A324A">
      <w:pPr>
        <w:pStyle w:val="af"/>
        <w:spacing w:line="360" w:lineRule="auto"/>
        <w:ind w:left="720"/>
        <w:jc w:val="both"/>
        <w:rPr>
          <w:rFonts w:hint="cs"/>
        </w:rPr>
      </w:pPr>
    </w:p>
    <w:p w14:paraId="771B3117" w14:textId="77777777" w:rsidR="00AC645E" w:rsidRPr="00AC645E" w:rsidRDefault="00AC645E" w:rsidP="00481084">
      <w:pPr>
        <w:spacing w:before="100" w:beforeAutospacing="1" w:after="100" w:afterAutospacing="1" w:line="360" w:lineRule="auto"/>
        <w:outlineLvl w:val="1"/>
        <w:rPr>
          <w:rFonts w:ascii="Times New Roman" w:eastAsia="Times New Roman" w:hAnsi="Times New Roman" w:cs="Times New Roman"/>
          <w:b/>
          <w:bCs/>
          <w:kern w:val="0"/>
          <w:sz w:val="28"/>
          <w:szCs w:val="28"/>
          <w14:ligatures w14:val="none"/>
        </w:rPr>
      </w:pPr>
      <w:r w:rsidRPr="00AC645E">
        <w:rPr>
          <w:rFonts w:ascii="Times New Roman" w:eastAsia="Times New Roman" w:hAnsi="Times New Roman" w:cs="Times New Roman"/>
          <w:b/>
          <w:bCs/>
          <w:kern w:val="0"/>
          <w:sz w:val="28"/>
          <w:szCs w:val="28"/>
          <w14:ligatures w14:val="none"/>
        </w:rPr>
        <w:lastRenderedPageBreak/>
        <w:t>Appendix</w:t>
      </w:r>
    </w:p>
    <w:p w14:paraId="69372704" w14:textId="77777777" w:rsidR="00AC645E" w:rsidRPr="00AC645E" w:rsidRDefault="00AC645E" w:rsidP="00481084">
      <w:pPr>
        <w:spacing w:before="100" w:beforeAutospacing="1" w:after="100" w:afterAutospacing="1" w:line="360" w:lineRule="auto"/>
        <w:outlineLvl w:val="2"/>
        <w:rPr>
          <w:rFonts w:ascii="Times New Roman" w:eastAsia="Times New Roman" w:hAnsi="Times New Roman" w:cs="Times New Roman"/>
          <w:b/>
          <w:bCs/>
          <w:kern w:val="0"/>
          <w:szCs w:val="24"/>
          <w14:ligatures w14:val="none"/>
        </w:rPr>
      </w:pPr>
      <w:r w:rsidRPr="00AC645E">
        <w:rPr>
          <w:rFonts w:ascii="Times New Roman" w:eastAsia="Times New Roman" w:hAnsi="Times New Roman" w:cs="Times New Roman"/>
          <w:b/>
          <w:bCs/>
          <w:kern w:val="0"/>
          <w:szCs w:val="24"/>
          <w14:ligatures w14:val="none"/>
        </w:rPr>
        <w:t>Appendix A: Relevant Statistics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5"/>
        <w:gridCol w:w="3483"/>
        <w:gridCol w:w="1514"/>
        <w:gridCol w:w="1193"/>
        <w:gridCol w:w="1855"/>
      </w:tblGrid>
      <w:tr w:rsidR="00B04F82" w:rsidRPr="00AC645E" w14:paraId="7E4EBC13" w14:textId="77777777" w:rsidTr="00B04F82">
        <w:trPr>
          <w:tblHeader/>
          <w:tblCellSpacing w:w="15" w:type="dxa"/>
        </w:trPr>
        <w:tc>
          <w:tcPr>
            <w:tcW w:w="1270" w:type="dxa"/>
            <w:hideMark/>
          </w:tcPr>
          <w:p w14:paraId="03E0BD04" w14:textId="77777777" w:rsidR="00AC645E" w:rsidRPr="00AC645E" w:rsidRDefault="00AC645E" w:rsidP="000A324A">
            <w:pPr>
              <w:spacing w:after="0" w:line="276" w:lineRule="auto"/>
              <w:rPr>
                <w:rFonts w:ascii="Times New Roman" w:eastAsia="Times New Roman" w:hAnsi="Times New Roman" w:cs="Times New Roman"/>
                <w:b/>
                <w:bCs/>
                <w:kern w:val="0"/>
                <w:szCs w:val="24"/>
                <w14:ligatures w14:val="none"/>
              </w:rPr>
            </w:pPr>
            <w:r w:rsidRPr="00AC645E">
              <w:rPr>
                <w:rFonts w:ascii="Times New Roman" w:eastAsia="Times New Roman" w:hAnsi="Times New Roman" w:cs="Times New Roman"/>
                <w:b/>
                <w:bCs/>
                <w:kern w:val="0"/>
                <w:szCs w:val="24"/>
                <w14:ligatures w14:val="none"/>
              </w:rPr>
              <w:t>Category</w:t>
            </w:r>
          </w:p>
        </w:tc>
        <w:tc>
          <w:tcPr>
            <w:tcW w:w="3453" w:type="dxa"/>
            <w:hideMark/>
          </w:tcPr>
          <w:p w14:paraId="5FBFFFE5" w14:textId="77777777" w:rsidR="00AC645E" w:rsidRPr="00AC645E" w:rsidRDefault="00AC645E" w:rsidP="000A324A">
            <w:pPr>
              <w:spacing w:after="0" w:line="276" w:lineRule="auto"/>
              <w:rPr>
                <w:rFonts w:ascii="Times New Roman" w:eastAsia="Times New Roman" w:hAnsi="Times New Roman" w:cs="Times New Roman"/>
                <w:b/>
                <w:bCs/>
                <w:kern w:val="0"/>
                <w:szCs w:val="24"/>
                <w14:ligatures w14:val="none"/>
              </w:rPr>
            </w:pPr>
            <w:r w:rsidRPr="00AC645E">
              <w:rPr>
                <w:rFonts w:ascii="Times New Roman" w:eastAsia="Times New Roman" w:hAnsi="Times New Roman" w:cs="Times New Roman"/>
                <w:b/>
                <w:bCs/>
                <w:kern w:val="0"/>
                <w:szCs w:val="24"/>
                <w14:ligatures w14:val="none"/>
              </w:rPr>
              <w:t>Indicator</w:t>
            </w:r>
          </w:p>
        </w:tc>
        <w:tc>
          <w:tcPr>
            <w:tcW w:w="1472" w:type="dxa"/>
            <w:hideMark/>
          </w:tcPr>
          <w:p w14:paraId="63C8CBEE" w14:textId="77777777" w:rsidR="00AC645E" w:rsidRPr="00AC645E" w:rsidRDefault="00AC645E" w:rsidP="00B04F82">
            <w:pPr>
              <w:spacing w:after="0" w:line="276" w:lineRule="auto"/>
              <w:rPr>
                <w:rFonts w:ascii="Times New Roman" w:eastAsia="Times New Roman" w:hAnsi="Times New Roman" w:cs="Times New Roman"/>
                <w:b/>
                <w:bCs/>
                <w:kern w:val="0"/>
                <w:szCs w:val="24"/>
                <w14:ligatures w14:val="none"/>
              </w:rPr>
            </w:pPr>
            <w:r w:rsidRPr="00AC645E">
              <w:rPr>
                <w:rFonts w:ascii="Times New Roman" w:eastAsia="Times New Roman" w:hAnsi="Times New Roman" w:cs="Times New Roman"/>
                <w:b/>
                <w:bCs/>
                <w:kern w:val="0"/>
                <w:szCs w:val="24"/>
                <w14:ligatures w14:val="none"/>
              </w:rPr>
              <w:t>Data</w:t>
            </w:r>
          </w:p>
        </w:tc>
        <w:tc>
          <w:tcPr>
            <w:tcW w:w="1163" w:type="dxa"/>
            <w:hideMark/>
          </w:tcPr>
          <w:p w14:paraId="29445E33" w14:textId="77777777" w:rsidR="00AC645E" w:rsidRPr="00AC645E" w:rsidRDefault="00AC645E" w:rsidP="00B04F82">
            <w:pPr>
              <w:spacing w:after="0" w:line="276" w:lineRule="auto"/>
              <w:jc w:val="center"/>
              <w:rPr>
                <w:rFonts w:ascii="Times New Roman" w:eastAsia="Times New Roman" w:hAnsi="Times New Roman" w:cs="Times New Roman"/>
                <w:b/>
                <w:bCs/>
                <w:kern w:val="0"/>
                <w:szCs w:val="24"/>
                <w14:ligatures w14:val="none"/>
              </w:rPr>
            </w:pPr>
            <w:r w:rsidRPr="00AC645E">
              <w:rPr>
                <w:rFonts w:ascii="Times New Roman" w:eastAsia="Times New Roman" w:hAnsi="Times New Roman" w:cs="Times New Roman"/>
                <w:b/>
                <w:bCs/>
                <w:kern w:val="0"/>
                <w:szCs w:val="24"/>
                <w14:ligatures w14:val="none"/>
              </w:rPr>
              <w:t>Year</w:t>
            </w:r>
          </w:p>
        </w:tc>
        <w:tc>
          <w:tcPr>
            <w:tcW w:w="0" w:type="auto"/>
            <w:hideMark/>
          </w:tcPr>
          <w:p w14:paraId="3EDEA438" w14:textId="77777777" w:rsidR="00AC645E" w:rsidRPr="00AC645E" w:rsidRDefault="00AC645E" w:rsidP="00B04F82">
            <w:pPr>
              <w:spacing w:after="0" w:line="276" w:lineRule="auto"/>
              <w:rPr>
                <w:rFonts w:ascii="Times New Roman" w:eastAsia="Times New Roman" w:hAnsi="Times New Roman" w:cs="Times New Roman"/>
                <w:b/>
                <w:bCs/>
                <w:kern w:val="0"/>
                <w:szCs w:val="24"/>
                <w14:ligatures w14:val="none"/>
              </w:rPr>
            </w:pPr>
            <w:r w:rsidRPr="00AC645E">
              <w:rPr>
                <w:rFonts w:ascii="Times New Roman" w:eastAsia="Times New Roman" w:hAnsi="Times New Roman" w:cs="Times New Roman"/>
                <w:b/>
                <w:bCs/>
                <w:kern w:val="0"/>
                <w:szCs w:val="24"/>
                <w14:ligatures w14:val="none"/>
              </w:rPr>
              <w:t>Source</w:t>
            </w:r>
          </w:p>
        </w:tc>
      </w:tr>
      <w:tr w:rsidR="00B04F82" w:rsidRPr="00AC645E" w14:paraId="646E28A3" w14:textId="77777777" w:rsidTr="00B04F82">
        <w:trPr>
          <w:tblCellSpacing w:w="15" w:type="dxa"/>
        </w:trPr>
        <w:tc>
          <w:tcPr>
            <w:tcW w:w="1270" w:type="dxa"/>
            <w:hideMark/>
          </w:tcPr>
          <w:p w14:paraId="2D922CE6"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Conflict-related Violence</w:t>
            </w:r>
          </w:p>
        </w:tc>
        <w:tc>
          <w:tcPr>
            <w:tcW w:w="3453" w:type="dxa"/>
            <w:hideMark/>
          </w:tcPr>
          <w:p w14:paraId="5BD1411B"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Number of violent incidents</w:t>
            </w:r>
          </w:p>
        </w:tc>
        <w:tc>
          <w:tcPr>
            <w:tcW w:w="1472" w:type="dxa"/>
            <w:hideMark/>
          </w:tcPr>
          <w:p w14:paraId="05BB8294"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Over 26,000 incidents</w:t>
            </w:r>
          </w:p>
        </w:tc>
        <w:tc>
          <w:tcPr>
            <w:tcW w:w="1163" w:type="dxa"/>
            <w:hideMark/>
          </w:tcPr>
          <w:p w14:paraId="058D0C1C" w14:textId="77777777" w:rsidR="00AC645E" w:rsidRPr="00AC645E" w:rsidRDefault="00AC645E" w:rsidP="00B04F82">
            <w:pPr>
              <w:spacing w:after="0" w:line="276" w:lineRule="auto"/>
              <w:jc w:val="center"/>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2004–2023</w:t>
            </w:r>
          </w:p>
        </w:tc>
        <w:tc>
          <w:tcPr>
            <w:tcW w:w="0" w:type="auto"/>
            <w:hideMark/>
          </w:tcPr>
          <w:p w14:paraId="0F164553"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Deep South Watch (2024)</w:t>
            </w:r>
          </w:p>
        </w:tc>
      </w:tr>
      <w:tr w:rsidR="00B04F82" w:rsidRPr="00AC645E" w14:paraId="3F523375" w14:textId="77777777" w:rsidTr="00B04F82">
        <w:trPr>
          <w:tblCellSpacing w:w="15" w:type="dxa"/>
        </w:trPr>
        <w:tc>
          <w:tcPr>
            <w:tcW w:w="1270" w:type="dxa"/>
            <w:hideMark/>
          </w:tcPr>
          <w:p w14:paraId="7119EAD9"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p>
        </w:tc>
        <w:tc>
          <w:tcPr>
            <w:tcW w:w="3453" w:type="dxa"/>
            <w:hideMark/>
          </w:tcPr>
          <w:p w14:paraId="0A538DC8"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Number of deaths</w:t>
            </w:r>
          </w:p>
        </w:tc>
        <w:tc>
          <w:tcPr>
            <w:tcW w:w="1472" w:type="dxa"/>
            <w:hideMark/>
          </w:tcPr>
          <w:p w14:paraId="4272EA61"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Over 7,300 deaths</w:t>
            </w:r>
          </w:p>
        </w:tc>
        <w:tc>
          <w:tcPr>
            <w:tcW w:w="1163" w:type="dxa"/>
            <w:hideMark/>
          </w:tcPr>
          <w:p w14:paraId="4D9651F8" w14:textId="77777777" w:rsidR="00AC645E" w:rsidRPr="00AC645E" w:rsidRDefault="00AC645E" w:rsidP="00B04F82">
            <w:pPr>
              <w:spacing w:after="0" w:line="276" w:lineRule="auto"/>
              <w:jc w:val="center"/>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2004–2023</w:t>
            </w:r>
          </w:p>
        </w:tc>
        <w:tc>
          <w:tcPr>
            <w:tcW w:w="0" w:type="auto"/>
            <w:hideMark/>
          </w:tcPr>
          <w:p w14:paraId="1AD382EB"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Deep South Watch (2024)</w:t>
            </w:r>
          </w:p>
        </w:tc>
      </w:tr>
      <w:tr w:rsidR="00B04F82" w:rsidRPr="00AC645E" w14:paraId="589AB972" w14:textId="77777777" w:rsidTr="00B04F82">
        <w:trPr>
          <w:tblCellSpacing w:w="15" w:type="dxa"/>
        </w:trPr>
        <w:tc>
          <w:tcPr>
            <w:tcW w:w="1270" w:type="dxa"/>
            <w:hideMark/>
          </w:tcPr>
          <w:p w14:paraId="4F8CF149"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p>
        </w:tc>
        <w:tc>
          <w:tcPr>
            <w:tcW w:w="3453" w:type="dxa"/>
            <w:hideMark/>
          </w:tcPr>
          <w:p w14:paraId="6D1158EE"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Percentage of female fatalities</w:t>
            </w:r>
          </w:p>
        </w:tc>
        <w:tc>
          <w:tcPr>
            <w:tcW w:w="1472" w:type="dxa"/>
            <w:hideMark/>
          </w:tcPr>
          <w:p w14:paraId="4D8D9361"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Approximately 6–10%</w:t>
            </w:r>
          </w:p>
        </w:tc>
        <w:tc>
          <w:tcPr>
            <w:tcW w:w="1163" w:type="dxa"/>
            <w:hideMark/>
          </w:tcPr>
          <w:p w14:paraId="4B5BBFE3" w14:textId="77777777" w:rsidR="00AC645E" w:rsidRPr="00AC645E" w:rsidRDefault="00AC645E" w:rsidP="00B04F82">
            <w:pPr>
              <w:spacing w:after="0" w:line="276" w:lineRule="auto"/>
              <w:jc w:val="center"/>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2004–2023</w:t>
            </w:r>
          </w:p>
        </w:tc>
        <w:tc>
          <w:tcPr>
            <w:tcW w:w="0" w:type="auto"/>
            <w:hideMark/>
          </w:tcPr>
          <w:p w14:paraId="19DD4487"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Deep South Watch (2024)</w:t>
            </w:r>
          </w:p>
        </w:tc>
      </w:tr>
      <w:tr w:rsidR="00B04F82" w:rsidRPr="00AC645E" w14:paraId="00DFB201" w14:textId="77777777" w:rsidTr="00B04F82">
        <w:trPr>
          <w:tblCellSpacing w:w="15" w:type="dxa"/>
        </w:trPr>
        <w:tc>
          <w:tcPr>
            <w:tcW w:w="1270" w:type="dxa"/>
            <w:hideMark/>
          </w:tcPr>
          <w:p w14:paraId="42C9326A"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Mental Health</w:t>
            </w:r>
          </w:p>
        </w:tc>
        <w:tc>
          <w:tcPr>
            <w:tcW w:w="3453" w:type="dxa"/>
            <w:hideMark/>
          </w:tcPr>
          <w:p w14:paraId="3B9FEAD8"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Women experiencing stress or depression</w:t>
            </w:r>
          </w:p>
        </w:tc>
        <w:tc>
          <w:tcPr>
            <w:tcW w:w="1472" w:type="dxa"/>
            <w:hideMark/>
          </w:tcPr>
          <w:p w14:paraId="01012E40"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38%</w:t>
            </w:r>
          </w:p>
        </w:tc>
        <w:tc>
          <w:tcPr>
            <w:tcW w:w="1163" w:type="dxa"/>
            <w:hideMark/>
          </w:tcPr>
          <w:p w14:paraId="2557EF32" w14:textId="77777777" w:rsidR="00AC645E" w:rsidRPr="00AC645E" w:rsidRDefault="00AC645E" w:rsidP="00B04F82">
            <w:pPr>
              <w:spacing w:after="0" w:line="276" w:lineRule="auto"/>
              <w:jc w:val="center"/>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2022</w:t>
            </w:r>
          </w:p>
        </w:tc>
        <w:tc>
          <w:tcPr>
            <w:tcW w:w="0" w:type="auto"/>
            <w:hideMark/>
          </w:tcPr>
          <w:p w14:paraId="39800F82"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Peace Survey (2022)</w:t>
            </w:r>
          </w:p>
        </w:tc>
      </w:tr>
      <w:tr w:rsidR="00B04F82" w:rsidRPr="00AC645E" w14:paraId="0F49C1F2" w14:textId="77777777" w:rsidTr="00B04F82">
        <w:trPr>
          <w:tblCellSpacing w:w="15" w:type="dxa"/>
        </w:trPr>
        <w:tc>
          <w:tcPr>
            <w:tcW w:w="1270" w:type="dxa"/>
            <w:hideMark/>
          </w:tcPr>
          <w:p w14:paraId="20BC7BF9"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Education</w:t>
            </w:r>
          </w:p>
        </w:tc>
        <w:tc>
          <w:tcPr>
            <w:tcW w:w="3453" w:type="dxa"/>
            <w:hideMark/>
          </w:tcPr>
          <w:p w14:paraId="79ECCE5B"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Lower secondary school dropout rate among girls (Deep South)</w:t>
            </w:r>
          </w:p>
        </w:tc>
        <w:tc>
          <w:tcPr>
            <w:tcW w:w="1472" w:type="dxa"/>
            <w:hideMark/>
          </w:tcPr>
          <w:p w14:paraId="0CB568AB"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23%</w:t>
            </w:r>
          </w:p>
        </w:tc>
        <w:tc>
          <w:tcPr>
            <w:tcW w:w="1163" w:type="dxa"/>
            <w:hideMark/>
          </w:tcPr>
          <w:p w14:paraId="267D1DB2" w14:textId="77777777" w:rsidR="00AC645E" w:rsidRPr="00AC645E" w:rsidRDefault="00AC645E" w:rsidP="00B04F82">
            <w:pPr>
              <w:spacing w:after="0" w:line="276" w:lineRule="auto"/>
              <w:jc w:val="center"/>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2022</w:t>
            </w:r>
          </w:p>
        </w:tc>
        <w:tc>
          <w:tcPr>
            <w:tcW w:w="0" w:type="auto"/>
            <w:hideMark/>
          </w:tcPr>
          <w:p w14:paraId="28E90AA2"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Ministry of Education (2023)</w:t>
            </w:r>
          </w:p>
        </w:tc>
      </w:tr>
      <w:tr w:rsidR="00B04F82" w:rsidRPr="00AC645E" w14:paraId="7B5C59FC" w14:textId="77777777" w:rsidTr="00B04F82">
        <w:trPr>
          <w:tblCellSpacing w:w="15" w:type="dxa"/>
        </w:trPr>
        <w:tc>
          <w:tcPr>
            <w:tcW w:w="1270" w:type="dxa"/>
            <w:hideMark/>
          </w:tcPr>
          <w:p w14:paraId="1BA21345"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Employment</w:t>
            </w:r>
          </w:p>
        </w:tc>
        <w:tc>
          <w:tcPr>
            <w:tcW w:w="3453" w:type="dxa"/>
            <w:hideMark/>
          </w:tcPr>
          <w:p w14:paraId="33C9F3F1"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Female unemployment rate (Deep South)</w:t>
            </w:r>
          </w:p>
        </w:tc>
        <w:tc>
          <w:tcPr>
            <w:tcW w:w="1472" w:type="dxa"/>
            <w:hideMark/>
          </w:tcPr>
          <w:p w14:paraId="65A02F07"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1.5 times higher than national average</w:t>
            </w:r>
          </w:p>
        </w:tc>
        <w:tc>
          <w:tcPr>
            <w:tcW w:w="1163" w:type="dxa"/>
            <w:hideMark/>
          </w:tcPr>
          <w:p w14:paraId="4D390E83" w14:textId="77777777" w:rsidR="00AC645E" w:rsidRPr="00AC645E" w:rsidRDefault="00AC645E" w:rsidP="00B04F82">
            <w:pPr>
              <w:spacing w:after="0" w:line="276" w:lineRule="auto"/>
              <w:jc w:val="center"/>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2023</w:t>
            </w:r>
          </w:p>
        </w:tc>
        <w:tc>
          <w:tcPr>
            <w:tcW w:w="0" w:type="auto"/>
            <w:hideMark/>
          </w:tcPr>
          <w:p w14:paraId="20EE91CE"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National Statistical Office (2024)</w:t>
            </w:r>
          </w:p>
        </w:tc>
      </w:tr>
      <w:tr w:rsidR="00B04F82" w:rsidRPr="00AC645E" w14:paraId="627FF090" w14:textId="77777777" w:rsidTr="00B04F82">
        <w:trPr>
          <w:tblCellSpacing w:w="15" w:type="dxa"/>
        </w:trPr>
        <w:tc>
          <w:tcPr>
            <w:tcW w:w="1270" w:type="dxa"/>
            <w:hideMark/>
          </w:tcPr>
          <w:p w14:paraId="20F503B2"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p>
        </w:tc>
        <w:tc>
          <w:tcPr>
            <w:tcW w:w="3453" w:type="dxa"/>
            <w:hideMark/>
          </w:tcPr>
          <w:p w14:paraId="729B93E9"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Gender wage gap</w:t>
            </w:r>
          </w:p>
        </w:tc>
        <w:tc>
          <w:tcPr>
            <w:tcW w:w="1472" w:type="dxa"/>
            <w:hideMark/>
          </w:tcPr>
          <w:p w14:paraId="55864016"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Women earn 25% less than men</w:t>
            </w:r>
          </w:p>
        </w:tc>
        <w:tc>
          <w:tcPr>
            <w:tcW w:w="1163" w:type="dxa"/>
            <w:hideMark/>
          </w:tcPr>
          <w:p w14:paraId="1A55824E" w14:textId="77777777" w:rsidR="00AC645E" w:rsidRPr="00AC645E" w:rsidRDefault="00AC645E" w:rsidP="00B04F82">
            <w:pPr>
              <w:spacing w:after="0" w:line="276" w:lineRule="auto"/>
              <w:jc w:val="center"/>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2023</w:t>
            </w:r>
          </w:p>
        </w:tc>
        <w:tc>
          <w:tcPr>
            <w:tcW w:w="0" w:type="auto"/>
            <w:hideMark/>
          </w:tcPr>
          <w:p w14:paraId="5D74BCE8"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National Statistical Office (2024)</w:t>
            </w:r>
          </w:p>
        </w:tc>
      </w:tr>
      <w:tr w:rsidR="00B04F82" w:rsidRPr="00AC645E" w14:paraId="442A767D" w14:textId="77777777" w:rsidTr="00B04F82">
        <w:trPr>
          <w:tblCellSpacing w:w="15" w:type="dxa"/>
        </w:trPr>
        <w:tc>
          <w:tcPr>
            <w:tcW w:w="1270" w:type="dxa"/>
            <w:hideMark/>
          </w:tcPr>
          <w:p w14:paraId="613CADCF"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Political Participation</w:t>
            </w:r>
          </w:p>
        </w:tc>
        <w:tc>
          <w:tcPr>
            <w:tcW w:w="3453" w:type="dxa"/>
            <w:hideMark/>
          </w:tcPr>
          <w:p w14:paraId="6FE4D4CF"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Percentage of women serving as Subdistrict Administrative Organization (SAO) heads (Deep South)</w:t>
            </w:r>
          </w:p>
        </w:tc>
        <w:tc>
          <w:tcPr>
            <w:tcW w:w="1472" w:type="dxa"/>
            <w:hideMark/>
          </w:tcPr>
          <w:p w14:paraId="38C4F7A5"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5%</w:t>
            </w:r>
          </w:p>
        </w:tc>
        <w:tc>
          <w:tcPr>
            <w:tcW w:w="1163" w:type="dxa"/>
            <w:hideMark/>
          </w:tcPr>
          <w:p w14:paraId="775D44E3" w14:textId="77777777" w:rsidR="00AC645E" w:rsidRPr="00AC645E" w:rsidRDefault="00AC645E" w:rsidP="00B04F82">
            <w:pPr>
              <w:spacing w:after="0" w:line="276" w:lineRule="auto"/>
              <w:jc w:val="center"/>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2023</w:t>
            </w:r>
          </w:p>
        </w:tc>
        <w:tc>
          <w:tcPr>
            <w:tcW w:w="0" w:type="auto"/>
            <w:hideMark/>
          </w:tcPr>
          <w:p w14:paraId="5028B166"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Ministry of Interior (2024)</w:t>
            </w:r>
          </w:p>
        </w:tc>
      </w:tr>
      <w:tr w:rsidR="00B04F82" w:rsidRPr="00AC645E" w14:paraId="3BFD1334" w14:textId="77777777" w:rsidTr="00B04F82">
        <w:trPr>
          <w:tblCellSpacing w:w="15" w:type="dxa"/>
        </w:trPr>
        <w:tc>
          <w:tcPr>
            <w:tcW w:w="1270" w:type="dxa"/>
            <w:hideMark/>
          </w:tcPr>
          <w:p w14:paraId="2C106A7C"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Domestic Violence</w:t>
            </w:r>
          </w:p>
        </w:tc>
        <w:tc>
          <w:tcPr>
            <w:tcW w:w="3453" w:type="dxa"/>
            <w:hideMark/>
          </w:tcPr>
          <w:p w14:paraId="0CD1DF0E"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Women experiencing domestic violence</w:t>
            </w:r>
          </w:p>
        </w:tc>
        <w:tc>
          <w:tcPr>
            <w:tcW w:w="1472" w:type="dxa"/>
            <w:hideMark/>
          </w:tcPr>
          <w:p w14:paraId="6A66E4EA"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41%</w:t>
            </w:r>
          </w:p>
        </w:tc>
        <w:tc>
          <w:tcPr>
            <w:tcW w:w="1163" w:type="dxa"/>
            <w:hideMark/>
          </w:tcPr>
          <w:p w14:paraId="0868D421" w14:textId="77777777" w:rsidR="00AC645E" w:rsidRPr="00AC645E" w:rsidRDefault="00AC645E" w:rsidP="00B04F82">
            <w:pPr>
              <w:spacing w:after="0" w:line="276" w:lineRule="auto"/>
              <w:jc w:val="center"/>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2022</w:t>
            </w:r>
          </w:p>
        </w:tc>
        <w:tc>
          <w:tcPr>
            <w:tcW w:w="0" w:type="auto"/>
            <w:hideMark/>
          </w:tcPr>
          <w:p w14:paraId="389EB7C7"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Southern Women’s Rights Network (2022)</w:t>
            </w:r>
          </w:p>
        </w:tc>
      </w:tr>
      <w:tr w:rsidR="00B04F82" w:rsidRPr="00AC645E" w14:paraId="43BE21AF" w14:textId="77777777" w:rsidTr="00B04F82">
        <w:trPr>
          <w:tblCellSpacing w:w="15" w:type="dxa"/>
        </w:trPr>
        <w:tc>
          <w:tcPr>
            <w:tcW w:w="1270" w:type="dxa"/>
            <w:hideMark/>
          </w:tcPr>
          <w:p w14:paraId="76D6776C"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Participation in Peace Process</w:t>
            </w:r>
          </w:p>
        </w:tc>
        <w:tc>
          <w:tcPr>
            <w:tcW w:w="3453" w:type="dxa"/>
            <w:hideMark/>
          </w:tcPr>
          <w:p w14:paraId="1CB059A8" w14:textId="77777777" w:rsidR="00AC645E" w:rsidRPr="00AC645E" w:rsidRDefault="00AC645E" w:rsidP="000A324A">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Percentage of women participating in peace negotiation forums</w:t>
            </w:r>
          </w:p>
        </w:tc>
        <w:tc>
          <w:tcPr>
            <w:tcW w:w="1472" w:type="dxa"/>
            <w:hideMark/>
          </w:tcPr>
          <w:p w14:paraId="346C3967"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Less than 5%</w:t>
            </w:r>
          </w:p>
        </w:tc>
        <w:tc>
          <w:tcPr>
            <w:tcW w:w="1163" w:type="dxa"/>
            <w:hideMark/>
          </w:tcPr>
          <w:p w14:paraId="36E3072D" w14:textId="77777777" w:rsidR="00AC645E" w:rsidRPr="00AC645E" w:rsidRDefault="00AC645E" w:rsidP="00B04F82">
            <w:pPr>
              <w:spacing w:after="0" w:line="276" w:lineRule="auto"/>
              <w:jc w:val="center"/>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2022</w:t>
            </w:r>
          </w:p>
        </w:tc>
        <w:tc>
          <w:tcPr>
            <w:tcW w:w="0" w:type="auto"/>
            <w:hideMark/>
          </w:tcPr>
          <w:p w14:paraId="3E970C42"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International Crisis Group (2015)</w:t>
            </w:r>
          </w:p>
        </w:tc>
      </w:tr>
    </w:tbl>
    <w:p w14:paraId="30D8A5B8" w14:textId="77777777" w:rsidR="00481084" w:rsidRDefault="00481084" w:rsidP="00481084">
      <w:pPr>
        <w:spacing w:before="100" w:beforeAutospacing="1" w:after="100" w:afterAutospacing="1" w:line="360" w:lineRule="auto"/>
        <w:outlineLvl w:val="2"/>
        <w:rPr>
          <w:rFonts w:ascii="Times New Roman" w:eastAsia="Times New Roman" w:hAnsi="Times New Roman"/>
          <w:b/>
          <w:bCs/>
          <w:kern w:val="0"/>
          <w:szCs w:val="24"/>
          <w14:ligatures w14:val="none"/>
        </w:rPr>
      </w:pPr>
    </w:p>
    <w:p w14:paraId="752B4235" w14:textId="77777777" w:rsidR="000A324A" w:rsidRPr="000A324A" w:rsidRDefault="000A324A" w:rsidP="00481084">
      <w:pPr>
        <w:spacing w:before="100" w:beforeAutospacing="1" w:after="100" w:afterAutospacing="1" w:line="360" w:lineRule="auto"/>
        <w:outlineLvl w:val="2"/>
        <w:rPr>
          <w:rFonts w:ascii="Times New Roman" w:eastAsia="Times New Roman" w:hAnsi="Times New Roman" w:hint="cs"/>
          <w:b/>
          <w:bCs/>
          <w:kern w:val="0"/>
          <w:szCs w:val="24"/>
          <w14:ligatures w14:val="none"/>
        </w:rPr>
      </w:pPr>
    </w:p>
    <w:p w14:paraId="71F68D7D" w14:textId="60B23CF0" w:rsidR="00AC645E" w:rsidRPr="00AC645E" w:rsidRDefault="00AC645E" w:rsidP="00481084">
      <w:pPr>
        <w:spacing w:before="100" w:beforeAutospacing="1" w:after="100" w:afterAutospacing="1" w:line="360" w:lineRule="auto"/>
        <w:outlineLvl w:val="2"/>
        <w:rPr>
          <w:rFonts w:ascii="Times New Roman" w:eastAsia="Times New Roman" w:hAnsi="Times New Roman" w:cs="Times New Roman"/>
          <w:b/>
          <w:bCs/>
          <w:kern w:val="0"/>
          <w:szCs w:val="24"/>
          <w14:ligatures w14:val="none"/>
        </w:rPr>
      </w:pPr>
      <w:r w:rsidRPr="00AC645E">
        <w:rPr>
          <w:rFonts w:ascii="Times New Roman" w:eastAsia="Times New Roman" w:hAnsi="Times New Roman" w:cs="Times New Roman"/>
          <w:b/>
          <w:bCs/>
          <w:kern w:val="0"/>
          <w:szCs w:val="24"/>
          <w14:ligatures w14:val="none"/>
        </w:rPr>
        <w:lastRenderedPageBreak/>
        <w:t>Appendix B: Relevant Laws and International Instruments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70"/>
        <w:gridCol w:w="4500"/>
        <w:gridCol w:w="1890"/>
      </w:tblGrid>
      <w:tr w:rsidR="00B04F82" w:rsidRPr="00B04F82" w14:paraId="2454382C" w14:textId="77777777" w:rsidTr="00B04F82">
        <w:trPr>
          <w:tblHeader/>
          <w:tblCellSpacing w:w="15" w:type="dxa"/>
        </w:trPr>
        <w:tc>
          <w:tcPr>
            <w:tcW w:w="2925" w:type="dxa"/>
            <w:tcBorders>
              <w:bottom w:val="single" w:sz="4" w:space="0" w:color="auto"/>
            </w:tcBorders>
            <w:hideMark/>
          </w:tcPr>
          <w:p w14:paraId="1A9EEA20" w14:textId="77777777" w:rsidR="00AC645E" w:rsidRPr="00AC645E" w:rsidRDefault="00AC645E" w:rsidP="00B04F82">
            <w:pPr>
              <w:spacing w:after="0" w:line="276" w:lineRule="auto"/>
              <w:rPr>
                <w:rFonts w:ascii="Times New Roman" w:eastAsia="Times New Roman" w:hAnsi="Times New Roman" w:cs="Times New Roman"/>
                <w:b/>
                <w:bCs/>
                <w:kern w:val="0"/>
                <w:szCs w:val="24"/>
                <w14:ligatures w14:val="none"/>
              </w:rPr>
            </w:pPr>
            <w:r w:rsidRPr="00AC645E">
              <w:rPr>
                <w:rFonts w:ascii="Times New Roman" w:eastAsia="Times New Roman" w:hAnsi="Times New Roman" w:cs="Times New Roman"/>
                <w:b/>
                <w:bCs/>
                <w:kern w:val="0"/>
                <w:szCs w:val="24"/>
                <w14:ligatures w14:val="none"/>
              </w:rPr>
              <w:t>Law/Instrument</w:t>
            </w:r>
          </w:p>
        </w:tc>
        <w:tc>
          <w:tcPr>
            <w:tcW w:w="4470" w:type="dxa"/>
            <w:tcBorders>
              <w:bottom w:val="single" w:sz="4" w:space="0" w:color="auto"/>
            </w:tcBorders>
            <w:hideMark/>
          </w:tcPr>
          <w:p w14:paraId="5D888EE3" w14:textId="77777777" w:rsidR="00AC645E" w:rsidRPr="00AC645E" w:rsidRDefault="00AC645E" w:rsidP="00B04F82">
            <w:pPr>
              <w:spacing w:after="0" w:line="276" w:lineRule="auto"/>
              <w:rPr>
                <w:rFonts w:ascii="Times New Roman" w:eastAsia="Times New Roman" w:hAnsi="Times New Roman" w:cs="Times New Roman"/>
                <w:b/>
                <w:bCs/>
                <w:kern w:val="0"/>
                <w:szCs w:val="24"/>
                <w14:ligatures w14:val="none"/>
              </w:rPr>
            </w:pPr>
            <w:r w:rsidRPr="00AC645E">
              <w:rPr>
                <w:rFonts w:ascii="Times New Roman" w:eastAsia="Times New Roman" w:hAnsi="Times New Roman" w:cs="Times New Roman"/>
                <w:b/>
                <w:bCs/>
                <w:kern w:val="0"/>
                <w:szCs w:val="24"/>
                <w14:ligatures w14:val="none"/>
              </w:rPr>
              <w:t>Description</w:t>
            </w:r>
          </w:p>
        </w:tc>
        <w:tc>
          <w:tcPr>
            <w:tcW w:w="1845" w:type="dxa"/>
            <w:tcBorders>
              <w:bottom w:val="single" w:sz="4" w:space="0" w:color="auto"/>
            </w:tcBorders>
            <w:hideMark/>
          </w:tcPr>
          <w:p w14:paraId="5ADE7C52" w14:textId="77777777" w:rsidR="00AC645E" w:rsidRPr="00AC645E" w:rsidRDefault="00AC645E" w:rsidP="00B04F82">
            <w:pPr>
              <w:spacing w:after="0" w:line="276" w:lineRule="auto"/>
              <w:rPr>
                <w:rFonts w:ascii="Times New Roman" w:eastAsia="Times New Roman" w:hAnsi="Times New Roman" w:cs="Times New Roman"/>
                <w:b/>
                <w:bCs/>
                <w:kern w:val="0"/>
                <w:szCs w:val="24"/>
                <w14:ligatures w14:val="none"/>
              </w:rPr>
            </w:pPr>
            <w:r w:rsidRPr="00AC645E">
              <w:rPr>
                <w:rFonts w:ascii="Times New Roman" w:eastAsia="Times New Roman" w:hAnsi="Times New Roman" w:cs="Times New Roman"/>
                <w:b/>
                <w:bCs/>
                <w:kern w:val="0"/>
                <w:szCs w:val="24"/>
                <w14:ligatures w14:val="none"/>
              </w:rPr>
              <w:t>Notes</w:t>
            </w:r>
          </w:p>
        </w:tc>
      </w:tr>
      <w:tr w:rsidR="00AC645E" w:rsidRPr="00AC645E" w14:paraId="7878E034" w14:textId="77777777" w:rsidTr="00B04F82">
        <w:trPr>
          <w:tblCellSpacing w:w="15" w:type="dxa"/>
        </w:trPr>
        <w:tc>
          <w:tcPr>
            <w:tcW w:w="2925" w:type="dxa"/>
            <w:hideMark/>
          </w:tcPr>
          <w:p w14:paraId="4DFBB66B"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CEDAW (1979)</w:t>
            </w:r>
          </w:p>
        </w:tc>
        <w:tc>
          <w:tcPr>
            <w:tcW w:w="4470" w:type="dxa"/>
            <w:hideMark/>
          </w:tcPr>
          <w:p w14:paraId="4C91F6D2"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Convention on the Elimination of All Forms of Discrimination Against Women</w:t>
            </w:r>
          </w:p>
        </w:tc>
        <w:tc>
          <w:tcPr>
            <w:tcW w:w="1845" w:type="dxa"/>
            <w:hideMark/>
          </w:tcPr>
          <w:p w14:paraId="16B6A8DD"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Core legal obligation of State Parties</w:t>
            </w:r>
          </w:p>
        </w:tc>
      </w:tr>
      <w:tr w:rsidR="00AC645E" w:rsidRPr="00AC645E" w14:paraId="3683E5C8" w14:textId="77777777" w:rsidTr="00B04F82">
        <w:trPr>
          <w:tblCellSpacing w:w="15" w:type="dxa"/>
        </w:trPr>
        <w:tc>
          <w:tcPr>
            <w:tcW w:w="2925" w:type="dxa"/>
            <w:hideMark/>
          </w:tcPr>
          <w:p w14:paraId="503E1464" w14:textId="6F0599E1"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 xml:space="preserve">CEDAW General Recommendation No. </w:t>
            </w:r>
            <w:r w:rsidR="00B04F82">
              <w:rPr>
                <w:rFonts w:ascii="Times New Roman" w:eastAsia="Times New Roman" w:hAnsi="Times New Roman" w:cs="Times New Roman"/>
                <w:kern w:val="0"/>
                <w:szCs w:val="24"/>
                <w14:ligatures w14:val="none"/>
              </w:rPr>
              <w:t>35</w:t>
            </w:r>
            <w:r w:rsidRPr="00AC645E">
              <w:rPr>
                <w:rFonts w:ascii="Times New Roman" w:eastAsia="Times New Roman" w:hAnsi="Times New Roman" w:cs="Times New Roman"/>
                <w:kern w:val="0"/>
                <w:szCs w:val="24"/>
                <w14:ligatures w14:val="none"/>
              </w:rPr>
              <w:t xml:space="preserve"> (2017)</w:t>
            </w:r>
          </w:p>
        </w:tc>
        <w:tc>
          <w:tcPr>
            <w:tcW w:w="4470" w:type="dxa"/>
            <w:hideMark/>
          </w:tcPr>
          <w:p w14:paraId="78A11093"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Gender-based violence as a form of discrimination</w:t>
            </w:r>
          </w:p>
        </w:tc>
        <w:tc>
          <w:tcPr>
            <w:tcW w:w="1845" w:type="dxa"/>
            <w:hideMark/>
          </w:tcPr>
          <w:p w14:paraId="5605C5D8"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p>
        </w:tc>
      </w:tr>
      <w:tr w:rsidR="00AC645E" w:rsidRPr="00AC645E" w14:paraId="380D0149" w14:textId="77777777" w:rsidTr="00B04F82">
        <w:trPr>
          <w:tblCellSpacing w:w="15" w:type="dxa"/>
        </w:trPr>
        <w:tc>
          <w:tcPr>
            <w:tcW w:w="2925" w:type="dxa"/>
            <w:hideMark/>
          </w:tcPr>
          <w:p w14:paraId="7D12FC39"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CEDAW General Recommendation No. 28 (2010)</w:t>
            </w:r>
          </w:p>
        </w:tc>
        <w:tc>
          <w:tcPr>
            <w:tcW w:w="4470" w:type="dxa"/>
            <w:hideMark/>
          </w:tcPr>
          <w:p w14:paraId="5C631D5A"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Core obligations under Article 2</w:t>
            </w:r>
          </w:p>
        </w:tc>
        <w:tc>
          <w:tcPr>
            <w:tcW w:w="1845" w:type="dxa"/>
            <w:hideMark/>
          </w:tcPr>
          <w:p w14:paraId="6169EF44"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Emphasizes elimination of structural discrimination</w:t>
            </w:r>
          </w:p>
        </w:tc>
      </w:tr>
      <w:tr w:rsidR="00AC645E" w:rsidRPr="00AC645E" w14:paraId="68896530" w14:textId="77777777" w:rsidTr="00B04F82">
        <w:trPr>
          <w:tblCellSpacing w:w="15" w:type="dxa"/>
        </w:trPr>
        <w:tc>
          <w:tcPr>
            <w:tcW w:w="2925" w:type="dxa"/>
            <w:hideMark/>
          </w:tcPr>
          <w:p w14:paraId="65F7117A"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CEDAW General Recommendation No. 30 (2013)</w:t>
            </w:r>
          </w:p>
        </w:tc>
        <w:tc>
          <w:tcPr>
            <w:tcW w:w="4470" w:type="dxa"/>
            <w:hideMark/>
          </w:tcPr>
          <w:p w14:paraId="52666BDB"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Women in conflict prevention, conflict, and post-conflict situations</w:t>
            </w:r>
          </w:p>
        </w:tc>
        <w:tc>
          <w:tcPr>
            <w:tcW w:w="1845" w:type="dxa"/>
            <w:hideMark/>
          </w:tcPr>
          <w:p w14:paraId="3E449809"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Defines obligations in conflict contexts</w:t>
            </w:r>
          </w:p>
        </w:tc>
      </w:tr>
      <w:tr w:rsidR="00AC645E" w:rsidRPr="00AC645E" w14:paraId="48804E26" w14:textId="77777777" w:rsidTr="00B04F82">
        <w:trPr>
          <w:tblCellSpacing w:w="15" w:type="dxa"/>
        </w:trPr>
        <w:tc>
          <w:tcPr>
            <w:tcW w:w="2925" w:type="dxa"/>
            <w:hideMark/>
          </w:tcPr>
          <w:p w14:paraId="79FBCD0F"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CEDAW General Recommendation No. 33 (2015)</w:t>
            </w:r>
          </w:p>
        </w:tc>
        <w:tc>
          <w:tcPr>
            <w:tcW w:w="4470" w:type="dxa"/>
            <w:hideMark/>
          </w:tcPr>
          <w:p w14:paraId="4BF6A47F"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Women's access to justice</w:t>
            </w:r>
          </w:p>
        </w:tc>
        <w:tc>
          <w:tcPr>
            <w:tcW w:w="1845" w:type="dxa"/>
            <w:hideMark/>
          </w:tcPr>
          <w:p w14:paraId="50117347"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Right to equal access to remedies</w:t>
            </w:r>
          </w:p>
        </w:tc>
      </w:tr>
      <w:tr w:rsidR="00AC645E" w:rsidRPr="00AC645E" w14:paraId="4BB45CD1" w14:textId="77777777" w:rsidTr="00B04F82">
        <w:trPr>
          <w:tblCellSpacing w:w="15" w:type="dxa"/>
        </w:trPr>
        <w:tc>
          <w:tcPr>
            <w:tcW w:w="2925" w:type="dxa"/>
            <w:hideMark/>
          </w:tcPr>
          <w:p w14:paraId="7D42DC18"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UNSCR 1325 (2000)</w:t>
            </w:r>
          </w:p>
        </w:tc>
        <w:tc>
          <w:tcPr>
            <w:tcW w:w="4470" w:type="dxa"/>
            <w:hideMark/>
          </w:tcPr>
          <w:p w14:paraId="09029230"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UN Security Council Resolution on Women, Peace, and Security</w:t>
            </w:r>
          </w:p>
        </w:tc>
        <w:tc>
          <w:tcPr>
            <w:tcW w:w="1845" w:type="dxa"/>
            <w:hideMark/>
          </w:tcPr>
          <w:p w14:paraId="42AEEC84"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Emphasizes women's participation in peace processes</w:t>
            </w:r>
          </w:p>
        </w:tc>
      </w:tr>
      <w:tr w:rsidR="00AC645E" w:rsidRPr="00AC645E" w14:paraId="51069EA1" w14:textId="77777777" w:rsidTr="00B04F82">
        <w:trPr>
          <w:tblCellSpacing w:w="15" w:type="dxa"/>
        </w:trPr>
        <w:tc>
          <w:tcPr>
            <w:tcW w:w="2925" w:type="dxa"/>
            <w:hideMark/>
          </w:tcPr>
          <w:p w14:paraId="6159A819"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Constitution of the Kingdom of Thailand (2017)</w:t>
            </w:r>
          </w:p>
        </w:tc>
        <w:tc>
          <w:tcPr>
            <w:tcW w:w="4470" w:type="dxa"/>
            <w:hideMark/>
          </w:tcPr>
          <w:p w14:paraId="4792AFAF"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Section 27 guarantees equality and non-discrimination</w:t>
            </w:r>
          </w:p>
        </w:tc>
        <w:tc>
          <w:tcPr>
            <w:tcW w:w="1845" w:type="dxa"/>
            <w:hideMark/>
          </w:tcPr>
          <w:p w14:paraId="616A95ED"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Supreme law of the land</w:t>
            </w:r>
          </w:p>
        </w:tc>
      </w:tr>
      <w:tr w:rsidR="00AC645E" w:rsidRPr="00AC645E" w14:paraId="2D785DB9" w14:textId="77777777" w:rsidTr="00B04F82">
        <w:trPr>
          <w:tblCellSpacing w:w="15" w:type="dxa"/>
        </w:trPr>
        <w:tc>
          <w:tcPr>
            <w:tcW w:w="2925" w:type="dxa"/>
            <w:hideMark/>
          </w:tcPr>
          <w:p w14:paraId="06007829"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Gender Equality Act (2015)</w:t>
            </w:r>
          </w:p>
        </w:tc>
        <w:tc>
          <w:tcPr>
            <w:tcW w:w="4470" w:type="dxa"/>
            <w:hideMark/>
          </w:tcPr>
          <w:p w14:paraId="5B0E5F0F"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Prohibits unfair gender-based discrimination</w:t>
            </w:r>
          </w:p>
        </w:tc>
        <w:tc>
          <w:tcPr>
            <w:tcW w:w="1845" w:type="dxa"/>
            <w:hideMark/>
          </w:tcPr>
          <w:p w14:paraId="5161BC0F"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National mechanism for gender rights protection</w:t>
            </w:r>
          </w:p>
        </w:tc>
      </w:tr>
      <w:tr w:rsidR="00AC645E" w:rsidRPr="00AC645E" w14:paraId="512ACDEB" w14:textId="77777777" w:rsidTr="00B04F82">
        <w:trPr>
          <w:tblCellSpacing w:w="15" w:type="dxa"/>
        </w:trPr>
        <w:tc>
          <w:tcPr>
            <w:tcW w:w="2925" w:type="dxa"/>
            <w:hideMark/>
          </w:tcPr>
          <w:p w14:paraId="7DB0469D"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Emergency Decree (2005)</w:t>
            </w:r>
          </w:p>
        </w:tc>
        <w:tc>
          <w:tcPr>
            <w:tcW w:w="4470" w:type="dxa"/>
            <w:hideMark/>
          </w:tcPr>
          <w:p w14:paraId="6E91EF04"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Grants broad powers to security personnel in emergency situations</w:t>
            </w:r>
          </w:p>
        </w:tc>
        <w:tc>
          <w:tcPr>
            <w:tcW w:w="1845" w:type="dxa"/>
            <w:hideMark/>
          </w:tcPr>
          <w:p w14:paraId="6F8B6190"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Widely criticized for human rights violations</w:t>
            </w:r>
          </w:p>
        </w:tc>
      </w:tr>
      <w:tr w:rsidR="00B04F82" w:rsidRPr="00B04F82" w14:paraId="363F25B2" w14:textId="77777777" w:rsidTr="00B04F82">
        <w:trPr>
          <w:tblCellSpacing w:w="15" w:type="dxa"/>
        </w:trPr>
        <w:tc>
          <w:tcPr>
            <w:tcW w:w="2925" w:type="dxa"/>
            <w:tcBorders>
              <w:bottom w:val="single" w:sz="4" w:space="0" w:color="auto"/>
            </w:tcBorders>
            <w:hideMark/>
          </w:tcPr>
          <w:p w14:paraId="722A8CE8"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Internal Security Act (2008)</w:t>
            </w:r>
          </w:p>
        </w:tc>
        <w:tc>
          <w:tcPr>
            <w:tcW w:w="4470" w:type="dxa"/>
            <w:tcBorders>
              <w:bottom w:val="single" w:sz="4" w:space="0" w:color="auto"/>
            </w:tcBorders>
            <w:hideMark/>
          </w:tcPr>
          <w:p w14:paraId="656C86A2"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Regulates internal security operations</w:t>
            </w:r>
          </w:p>
        </w:tc>
        <w:tc>
          <w:tcPr>
            <w:tcW w:w="1845" w:type="dxa"/>
            <w:tcBorders>
              <w:bottom w:val="single" w:sz="4" w:space="0" w:color="auto"/>
            </w:tcBorders>
            <w:hideMark/>
          </w:tcPr>
          <w:p w14:paraId="0F75D37D" w14:textId="77777777" w:rsidR="00AC645E" w:rsidRPr="00AC645E" w:rsidRDefault="00AC645E" w:rsidP="00B04F82">
            <w:pPr>
              <w:spacing w:after="0" w:line="276" w:lineRule="auto"/>
              <w:rPr>
                <w:rFonts w:ascii="Times New Roman" w:eastAsia="Times New Roman" w:hAnsi="Times New Roman" w:cs="Times New Roman"/>
                <w:kern w:val="0"/>
                <w:szCs w:val="24"/>
                <w14:ligatures w14:val="none"/>
              </w:rPr>
            </w:pPr>
            <w:r w:rsidRPr="00AC645E">
              <w:rPr>
                <w:rFonts w:ascii="Times New Roman" w:eastAsia="Times New Roman" w:hAnsi="Times New Roman" w:cs="Times New Roman"/>
                <w:kern w:val="0"/>
                <w:szCs w:val="24"/>
                <w14:ligatures w14:val="none"/>
              </w:rPr>
              <w:t>Enforced in the Southern Border Provinces</w:t>
            </w:r>
          </w:p>
        </w:tc>
      </w:tr>
    </w:tbl>
    <w:p w14:paraId="597E820E" w14:textId="77777777" w:rsidR="00AC645E" w:rsidRPr="00E34940" w:rsidRDefault="00AC645E" w:rsidP="00481084">
      <w:pPr>
        <w:spacing w:before="100" w:beforeAutospacing="1" w:after="100" w:afterAutospacing="1" w:line="360" w:lineRule="auto"/>
        <w:rPr>
          <w:rFonts w:ascii="Times New Roman" w:eastAsia="Times New Roman" w:hAnsi="Times New Roman" w:cs="Times New Roman"/>
          <w:kern w:val="0"/>
          <w:szCs w:val="24"/>
          <w14:ligatures w14:val="none"/>
        </w:rPr>
      </w:pPr>
    </w:p>
    <w:p w14:paraId="678029A6" w14:textId="37F37D11" w:rsidR="00527655" w:rsidRPr="00087F23" w:rsidRDefault="00087F23" w:rsidP="00087F23">
      <w:pPr>
        <w:spacing w:line="360" w:lineRule="auto"/>
        <w:rPr>
          <w:rFonts w:ascii="Times New Roman" w:hAnsi="Times New Roman" w:cs="Times New Roman"/>
          <w:b/>
          <w:bCs/>
          <w:sz w:val="32"/>
          <w:szCs w:val="32"/>
        </w:rPr>
      </w:pPr>
      <w:r w:rsidRPr="00087F23">
        <w:rPr>
          <w:rFonts w:ascii="Times New Roman" w:hAnsi="Times New Roman" w:cs="Times New Roman"/>
          <w:b/>
          <w:bCs/>
          <w:sz w:val="32"/>
          <w:szCs w:val="36"/>
          <w:highlight w:val="yellow"/>
        </w:rPr>
        <w:lastRenderedPageBreak/>
        <w:t>Patani Malay women continue to face systemic discrimination, violence, and exclusion under Thailand’s national security laws.</w:t>
      </w:r>
      <w:r w:rsidRPr="00087F23">
        <w:rPr>
          <w:rFonts w:ascii="Times New Roman" w:hAnsi="Times New Roman" w:cs="Times New Roman"/>
          <w:b/>
          <w:bCs/>
          <w:sz w:val="32"/>
          <w:szCs w:val="36"/>
          <w:highlight w:val="yellow"/>
        </w:rPr>
        <w:br/>
        <w:t>The Thai government must uphold CEDAW obligations by ensuring justice, protection, and meaningful participation of women in peace processes.</w:t>
      </w:r>
      <w:r w:rsidRPr="00087F23">
        <w:rPr>
          <w:rFonts w:ascii="Times New Roman" w:hAnsi="Times New Roman" w:cs="Times New Roman"/>
          <w:b/>
          <w:bCs/>
          <w:sz w:val="32"/>
          <w:szCs w:val="36"/>
          <w:highlight w:val="yellow"/>
        </w:rPr>
        <w:br/>
        <w:t>No woman should be left behind — not even in conflict zones.</w:t>
      </w:r>
    </w:p>
    <w:sectPr w:rsidR="00527655" w:rsidRPr="00087F23">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F4301" w14:textId="77777777" w:rsidR="00620E55" w:rsidRDefault="00620E55" w:rsidP="00A324A5">
      <w:pPr>
        <w:spacing w:after="0" w:line="240" w:lineRule="auto"/>
      </w:pPr>
      <w:r>
        <w:separator/>
      </w:r>
    </w:p>
  </w:endnote>
  <w:endnote w:type="continuationSeparator" w:id="0">
    <w:p w14:paraId="72C0842D" w14:textId="77777777" w:rsidR="00620E55" w:rsidRDefault="00620E55" w:rsidP="00A32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40A5E" w14:textId="77E0F1B1" w:rsidR="00A324A5" w:rsidRDefault="0028795B" w:rsidP="0028795B">
    <w:pPr>
      <w:pStyle w:val="af4"/>
      <w:tabs>
        <w:tab w:val="clear" w:pos="4680"/>
        <w:tab w:val="clear" w:pos="9360"/>
        <w:tab w:val="left" w:pos="5622"/>
      </w:tabs>
    </w:pPr>
    <w:r>
      <w:rPr>
        <w:c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837396"/>
      <w:docPartObj>
        <w:docPartGallery w:val="Page Numbers (Bottom of Page)"/>
        <w:docPartUnique/>
      </w:docPartObj>
    </w:sdtPr>
    <w:sdtEndPr>
      <w:rPr>
        <w:noProof/>
      </w:rPr>
    </w:sdtEndPr>
    <w:sdtContent>
      <w:p w14:paraId="40D4D111" w14:textId="42CD14DF" w:rsidR="0028795B" w:rsidRDefault="0028795B">
        <w:pPr>
          <w:pStyle w:val="af4"/>
          <w:jc w:val="right"/>
        </w:pPr>
        <w:r>
          <w:fldChar w:fldCharType="begin"/>
        </w:r>
        <w:r>
          <w:instrText xml:space="preserve"> PAGE   \* MERGEFORMAT </w:instrText>
        </w:r>
        <w:r>
          <w:fldChar w:fldCharType="separate"/>
        </w:r>
        <w:r>
          <w:rPr>
            <w:noProof/>
          </w:rPr>
          <w:t>2</w:t>
        </w:r>
        <w:r>
          <w:rPr>
            <w:noProof/>
          </w:rPr>
          <w:fldChar w:fldCharType="end"/>
        </w:r>
      </w:p>
    </w:sdtContent>
  </w:sdt>
  <w:p w14:paraId="271985A8" w14:textId="08019C46" w:rsidR="0028795B" w:rsidRDefault="0028795B" w:rsidP="0028795B">
    <w:pPr>
      <w:pStyle w:val="af4"/>
      <w:tabs>
        <w:tab w:val="clear" w:pos="4680"/>
        <w:tab w:val="clear" w:pos="9360"/>
        <w:tab w:val="left" w:pos="562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E678F" w14:textId="77777777" w:rsidR="00620E55" w:rsidRDefault="00620E55" w:rsidP="00A324A5">
      <w:pPr>
        <w:spacing w:after="0" w:line="240" w:lineRule="auto"/>
      </w:pPr>
      <w:r>
        <w:separator/>
      </w:r>
    </w:p>
  </w:footnote>
  <w:footnote w:type="continuationSeparator" w:id="0">
    <w:p w14:paraId="207D83D8" w14:textId="77777777" w:rsidR="00620E55" w:rsidRDefault="00620E55" w:rsidP="00A324A5">
      <w:pPr>
        <w:spacing w:after="0" w:line="240" w:lineRule="auto"/>
      </w:pPr>
      <w:r>
        <w:continuationSeparator/>
      </w:r>
    </w:p>
  </w:footnote>
  <w:footnote w:id="1">
    <w:p w14:paraId="1759C988" w14:textId="0EE29B4A" w:rsidR="00965D73" w:rsidRDefault="00965D73">
      <w:pPr>
        <w:pStyle w:val="af6"/>
      </w:pPr>
      <w:r>
        <w:rPr>
          <w:rStyle w:val="af8"/>
        </w:rPr>
        <w:footnoteRef/>
      </w:r>
      <w:r>
        <w:t xml:space="preserve"> </w:t>
      </w:r>
      <w:r w:rsidRPr="00965D73">
        <w:rPr>
          <w:rFonts w:ascii="Times New Roman" w:hAnsi="Times New Roman" w:cs="Times New Roman"/>
        </w:rPr>
        <w:t xml:space="preserve">Peace Survey, </w:t>
      </w:r>
      <w:r w:rsidRPr="00965D73">
        <w:rPr>
          <w:rFonts w:ascii="Times New Roman" w:hAnsi="Times New Roman" w:cs="Times New Roman"/>
          <w:i/>
          <w:iCs/>
        </w:rPr>
        <w:t>Mental Health Impacts on Women in Conflict-Affected Areas</w:t>
      </w:r>
      <w:r w:rsidRPr="00965D73">
        <w:rPr>
          <w:rFonts w:ascii="Times New Roman" w:hAnsi="Times New Roman" w:cs="Times New Roman"/>
        </w:rPr>
        <w:t>, Center for Conflict Studies, 2022</w:t>
      </w:r>
    </w:p>
  </w:footnote>
  <w:footnote w:id="2">
    <w:p w14:paraId="35DE4014" w14:textId="131D677A" w:rsidR="000A324A" w:rsidRPr="000A324A" w:rsidRDefault="000A324A" w:rsidP="000A324A">
      <w:pPr>
        <w:pStyle w:val="af6"/>
        <w:rPr>
          <w:rFonts w:ascii="Times New Roman" w:hAnsi="Times New Roman" w:cs="Times New Roman"/>
        </w:rPr>
      </w:pPr>
      <w:r>
        <w:rPr>
          <w:rStyle w:val="af8"/>
        </w:rPr>
        <w:footnoteRef/>
      </w:r>
      <w:r>
        <w:t xml:space="preserve"> </w:t>
      </w:r>
      <w:r w:rsidRPr="000A324A">
        <w:rPr>
          <w:rFonts w:ascii="Times New Roman" w:hAnsi="Times New Roman" w:cs="Times New Roman"/>
        </w:rPr>
        <w:t>Ministry of Interior Thailand, Statistical Report on Local Administrative Organization Elections 2023, Bangkok, 2024.</w:t>
      </w:r>
    </w:p>
    <w:p w14:paraId="305FD1AD" w14:textId="2A4D0686" w:rsidR="000A324A" w:rsidRDefault="000A324A">
      <w:pPr>
        <w:pStyle w:val="af6"/>
      </w:pPr>
    </w:p>
  </w:footnote>
  <w:footnote w:id="3">
    <w:p w14:paraId="36DCD35F" w14:textId="4069475B" w:rsidR="000A324A" w:rsidRPr="000A324A" w:rsidRDefault="000A324A" w:rsidP="000A324A">
      <w:pPr>
        <w:pStyle w:val="af6"/>
        <w:rPr>
          <w:rFonts w:ascii="Times New Roman" w:hAnsi="Times New Roman" w:cs="Times New Roman"/>
        </w:rPr>
      </w:pPr>
      <w:r w:rsidRPr="000A324A">
        <w:rPr>
          <w:rStyle w:val="af8"/>
          <w:rFonts w:ascii="Times New Roman" w:hAnsi="Times New Roman" w:cs="Times New Roman"/>
        </w:rPr>
        <w:footnoteRef/>
      </w:r>
      <w:r w:rsidRPr="000A324A">
        <w:rPr>
          <w:rFonts w:ascii="Times New Roman" w:hAnsi="Times New Roman" w:cs="Times New Roman"/>
        </w:rPr>
        <w:t xml:space="preserve"> </w:t>
      </w:r>
      <w:r w:rsidRPr="000A324A">
        <w:rPr>
          <w:rFonts w:ascii="Times New Roman" w:hAnsi="Times New Roman" w:cs="Times New Roman"/>
        </w:rPr>
        <w:t>International Crisis Group, Southern Thailand’s Peace Dialogue: Giving Substance to Form, Asia Report No. 270, Kuala Lumpur/Bangkok/Brussels, 2015.</w:t>
      </w:r>
    </w:p>
    <w:p w14:paraId="799AEEF7" w14:textId="50A5BBB4" w:rsidR="000A324A" w:rsidRDefault="000A324A">
      <w:pPr>
        <w:pStyle w:val="af6"/>
      </w:pPr>
    </w:p>
  </w:footnote>
  <w:footnote w:id="4">
    <w:p w14:paraId="2936C5BF" w14:textId="0BC75701" w:rsidR="004D5DFB" w:rsidRDefault="004D5DFB">
      <w:pPr>
        <w:pStyle w:val="af6"/>
      </w:pPr>
      <w:r>
        <w:rPr>
          <w:rStyle w:val="af8"/>
        </w:rPr>
        <w:footnoteRef/>
      </w:r>
      <w:r>
        <w:t xml:space="preserve"> </w:t>
      </w:r>
      <w:r w:rsidRPr="004D5DFB">
        <w:rPr>
          <w:rFonts w:ascii="Times New Roman" w:hAnsi="Times New Roman" w:cs="Times New Roman"/>
        </w:rPr>
        <w:t xml:space="preserve">Muslim Attorney Centre Foundation (MAC), </w:t>
      </w:r>
      <w:r w:rsidRPr="004D5DFB">
        <w:rPr>
          <w:rFonts w:ascii="Times New Roman" w:hAnsi="Times New Roman" w:cs="Times New Roman"/>
          <w:i/>
          <w:iCs/>
        </w:rPr>
        <w:t>Human Rights Violations Report in the Southern Border Provinces, 2022,</w:t>
      </w:r>
      <w:r w:rsidRPr="004D5DFB">
        <w:rPr>
          <w:rFonts w:ascii="Times New Roman" w:hAnsi="Times New Roman" w:cs="Times New Roman"/>
        </w:rPr>
        <w:t xml:space="preserve"> Pattani, 2023.</w:t>
      </w:r>
    </w:p>
  </w:footnote>
  <w:footnote w:id="5">
    <w:p w14:paraId="5BD8E1EB" w14:textId="05391FF1" w:rsidR="000A324A" w:rsidRPr="000A324A" w:rsidRDefault="000A324A">
      <w:pPr>
        <w:pStyle w:val="af6"/>
        <w:rPr>
          <w:rFonts w:ascii="Times New Roman" w:hAnsi="Times New Roman" w:cs="Times New Roman"/>
        </w:rPr>
      </w:pPr>
      <w:r>
        <w:rPr>
          <w:rStyle w:val="af8"/>
        </w:rPr>
        <w:footnoteRef/>
      </w:r>
      <w:r>
        <w:t xml:space="preserve"> </w:t>
      </w:r>
      <w:r w:rsidRPr="000A324A">
        <w:rPr>
          <w:rStyle w:val="ae"/>
          <w:b w:val="0"/>
          <w:bCs w:val="0"/>
        </w:rPr>
        <w:t>Amnesty International Thailand</w:t>
      </w:r>
      <w:r>
        <w:rPr>
          <w:rStyle w:val="ae"/>
        </w:rPr>
        <w:t>,</w:t>
      </w:r>
      <w:r>
        <w:t xml:space="preserve"> </w:t>
      </w:r>
      <w:r>
        <w:rPr>
          <w:rStyle w:val="af1"/>
        </w:rPr>
        <w:t>“They Tried to Silence Us”: Violations Against Peaceful Protesters in Thailand,</w:t>
      </w:r>
      <w:r>
        <w:t xml:space="preserve"> Bangkok, 2022.</w:t>
      </w:r>
    </w:p>
  </w:footnote>
  <w:footnote w:id="6">
    <w:p w14:paraId="7B2F2FAB" w14:textId="705A2EAA" w:rsidR="000A324A" w:rsidRDefault="000A324A">
      <w:pPr>
        <w:pStyle w:val="af6"/>
      </w:pPr>
      <w:r w:rsidRPr="000A324A">
        <w:rPr>
          <w:rStyle w:val="af8"/>
        </w:rPr>
        <w:footnoteRef/>
      </w:r>
      <w:r w:rsidRPr="000A324A">
        <w:t xml:space="preserve"> </w:t>
      </w:r>
      <w:r w:rsidRPr="000A324A">
        <w:rPr>
          <w:rFonts w:ascii="Times New Roman" w:hAnsi="Times New Roman" w:cs="Times New Roman"/>
        </w:rPr>
        <w:t>Ministry of Education</w:t>
      </w:r>
      <w:r w:rsidRPr="000A324A">
        <w:rPr>
          <w:rFonts w:ascii="Times New Roman" w:hAnsi="Times New Roman" w:cs="Times New Roman"/>
          <w:b/>
          <w:bCs/>
        </w:rPr>
        <w:t>,</w:t>
      </w:r>
      <w:r w:rsidRPr="000A324A">
        <w:rPr>
          <w:rFonts w:ascii="Times New Roman" w:hAnsi="Times New Roman" w:cs="Times New Roman"/>
        </w:rPr>
        <w:t xml:space="preserve"> </w:t>
      </w:r>
      <w:r w:rsidRPr="000A324A">
        <w:rPr>
          <w:rFonts w:ascii="Times New Roman" w:hAnsi="Times New Roman" w:cs="Times New Roman"/>
          <w:i/>
          <w:iCs/>
        </w:rPr>
        <w:t>Statistical Report on Dropout Rates in the Southern Border Provinces,</w:t>
      </w:r>
      <w:r w:rsidRPr="000A324A">
        <w:rPr>
          <w:rFonts w:ascii="Times New Roman" w:hAnsi="Times New Roman" w:cs="Times New Roman"/>
        </w:rPr>
        <w:t xml:space="preserve"> Bangkok, 2023.</w:t>
      </w:r>
    </w:p>
  </w:footnote>
  <w:footnote w:id="7">
    <w:p w14:paraId="0029D8E4" w14:textId="5C6B5AE4" w:rsidR="000A324A" w:rsidRDefault="000A324A">
      <w:pPr>
        <w:pStyle w:val="af6"/>
        <w:rPr>
          <w:rFonts w:hint="cs"/>
          <w:cs/>
        </w:rPr>
      </w:pPr>
      <w:r w:rsidRPr="000A324A">
        <w:rPr>
          <w:rStyle w:val="af8"/>
        </w:rPr>
        <w:footnoteRef/>
      </w:r>
      <w:r w:rsidRPr="000A324A">
        <w:t xml:space="preserve"> </w:t>
      </w:r>
      <w:r w:rsidRPr="000A324A">
        <w:rPr>
          <w:rFonts w:ascii="Times New Roman" w:hAnsi="Times New Roman" w:cs="Times New Roman"/>
        </w:rPr>
        <w:t>National Statistical Office</w:t>
      </w:r>
      <w:r w:rsidRPr="000A324A">
        <w:rPr>
          <w:rFonts w:ascii="Times New Roman" w:hAnsi="Times New Roman" w:cs="Times New Roman"/>
          <w:b/>
          <w:bCs/>
        </w:rPr>
        <w:t>,</w:t>
      </w:r>
      <w:r w:rsidRPr="000A324A">
        <w:rPr>
          <w:rFonts w:ascii="Times New Roman" w:hAnsi="Times New Roman" w:cs="Times New Roman"/>
        </w:rPr>
        <w:t xml:space="preserve"> </w:t>
      </w:r>
      <w:proofErr w:type="spellStart"/>
      <w:r w:rsidRPr="000A324A">
        <w:rPr>
          <w:rFonts w:ascii="Times New Roman" w:hAnsi="Times New Roman" w:cs="Times New Roman"/>
          <w:i/>
          <w:iCs/>
        </w:rPr>
        <w:t>Labour</w:t>
      </w:r>
      <w:proofErr w:type="spellEnd"/>
      <w:r w:rsidRPr="000A324A">
        <w:rPr>
          <w:rFonts w:ascii="Times New Roman" w:hAnsi="Times New Roman" w:cs="Times New Roman"/>
          <w:i/>
          <w:iCs/>
        </w:rPr>
        <w:t xml:space="preserve"> Force Survey 2023,</w:t>
      </w:r>
      <w:r w:rsidRPr="000A324A">
        <w:rPr>
          <w:rFonts w:ascii="Times New Roman" w:hAnsi="Times New Roman" w:cs="Times New Roman"/>
        </w:rPr>
        <w:t xml:space="preserve"> Bangkok,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872BE"/>
    <w:multiLevelType w:val="multilevel"/>
    <w:tmpl w:val="78F27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503AA1"/>
    <w:multiLevelType w:val="multilevel"/>
    <w:tmpl w:val="C070F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BB3B04"/>
    <w:multiLevelType w:val="multilevel"/>
    <w:tmpl w:val="91F60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4F12D1"/>
    <w:multiLevelType w:val="multilevel"/>
    <w:tmpl w:val="3BE4E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FF5CCE"/>
    <w:multiLevelType w:val="multilevel"/>
    <w:tmpl w:val="1896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5955DF"/>
    <w:multiLevelType w:val="hybridMultilevel"/>
    <w:tmpl w:val="CECE6CF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8B37EB"/>
    <w:multiLevelType w:val="multilevel"/>
    <w:tmpl w:val="E32E08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A90986"/>
    <w:multiLevelType w:val="multilevel"/>
    <w:tmpl w:val="067C22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D7B3B7C"/>
    <w:multiLevelType w:val="multilevel"/>
    <w:tmpl w:val="74766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E97E77"/>
    <w:multiLevelType w:val="multilevel"/>
    <w:tmpl w:val="F8C65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1436000">
    <w:abstractNumId w:val="2"/>
  </w:num>
  <w:num w:numId="2" w16cid:durableId="1754857533">
    <w:abstractNumId w:val="7"/>
  </w:num>
  <w:num w:numId="3" w16cid:durableId="1502508603">
    <w:abstractNumId w:val="3"/>
  </w:num>
  <w:num w:numId="4" w16cid:durableId="122774329">
    <w:abstractNumId w:val="0"/>
  </w:num>
  <w:num w:numId="5" w16cid:durableId="1852572294">
    <w:abstractNumId w:val="6"/>
  </w:num>
  <w:num w:numId="6" w16cid:durableId="447895269">
    <w:abstractNumId w:val="8"/>
  </w:num>
  <w:num w:numId="7" w16cid:durableId="10960002">
    <w:abstractNumId w:val="4"/>
  </w:num>
  <w:num w:numId="8" w16cid:durableId="1693142648">
    <w:abstractNumId w:val="9"/>
  </w:num>
  <w:num w:numId="9" w16cid:durableId="979765322">
    <w:abstractNumId w:val="1"/>
  </w:num>
  <w:num w:numId="10" w16cid:durableId="8413112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381"/>
    <w:rsid w:val="00026603"/>
    <w:rsid w:val="00087F23"/>
    <w:rsid w:val="000A324A"/>
    <w:rsid w:val="00135C19"/>
    <w:rsid w:val="00201381"/>
    <w:rsid w:val="00246CCE"/>
    <w:rsid w:val="0028795B"/>
    <w:rsid w:val="00481084"/>
    <w:rsid w:val="004D5DFB"/>
    <w:rsid w:val="00527655"/>
    <w:rsid w:val="005952B9"/>
    <w:rsid w:val="005F01F7"/>
    <w:rsid w:val="00620E55"/>
    <w:rsid w:val="00955E7A"/>
    <w:rsid w:val="00965D73"/>
    <w:rsid w:val="009F00B3"/>
    <w:rsid w:val="00A324A5"/>
    <w:rsid w:val="00AC645E"/>
    <w:rsid w:val="00B04F82"/>
    <w:rsid w:val="00BB6BF4"/>
    <w:rsid w:val="00D1564A"/>
    <w:rsid w:val="00D20BAF"/>
    <w:rsid w:val="00E10DAB"/>
    <w:rsid w:val="00E3494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57D79"/>
  <w15:chartTrackingRefBased/>
  <w15:docId w15:val="{78C9C805-1A66-4D13-8646-DC0C8F62B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01381"/>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2">
    <w:name w:val="heading 2"/>
    <w:basedOn w:val="a"/>
    <w:next w:val="a"/>
    <w:link w:val="20"/>
    <w:uiPriority w:val="9"/>
    <w:unhideWhenUsed/>
    <w:qFormat/>
    <w:rsid w:val="00201381"/>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3">
    <w:name w:val="heading 3"/>
    <w:basedOn w:val="a"/>
    <w:next w:val="a"/>
    <w:link w:val="30"/>
    <w:uiPriority w:val="9"/>
    <w:unhideWhenUsed/>
    <w:qFormat/>
    <w:rsid w:val="00201381"/>
    <w:pPr>
      <w:keepNext/>
      <w:keepLines/>
      <w:spacing w:before="160" w:after="80"/>
      <w:outlineLvl w:val="2"/>
    </w:pPr>
    <w:rPr>
      <w:rFonts w:eastAsiaTheme="majorEastAsia" w:cstheme="majorBidi"/>
      <w:color w:val="2F5496" w:themeColor="accent1" w:themeShade="BF"/>
      <w:sz w:val="28"/>
      <w:szCs w:val="35"/>
    </w:rPr>
  </w:style>
  <w:style w:type="paragraph" w:styleId="4">
    <w:name w:val="heading 4"/>
    <w:basedOn w:val="a"/>
    <w:next w:val="a"/>
    <w:link w:val="40"/>
    <w:uiPriority w:val="9"/>
    <w:unhideWhenUsed/>
    <w:qFormat/>
    <w:rsid w:val="0020138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unhideWhenUsed/>
    <w:qFormat/>
    <w:rsid w:val="0020138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20138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0138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0138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0138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หัวเรื่อง 1 อักขระ"/>
    <w:basedOn w:val="a0"/>
    <w:link w:val="1"/>
    <w:uiPriority w:val="9"/>
    <w:rsid w:val="00201381"/>
    <w:rPr>
      <w:rFonts w:asciiTheme="majorHAnsi" w:eastAsiaTheme="majorEastAsia" w:hAnsiTheme="majorHAnsi" w:cstheme="majorBidi"/>
      <w:color w:val="2F5496" w:themeColor="accent1" w:themeShade="BF"/>
      <w:sz w:val="40"/>
      <w:szCs w:val="50"/>
    </w:rPr>
  </w:style>
  <w:style w:type="character" w:customStyle="1" w:styleId="20">
    <w:name w:val="หัวเรื่อง 2 อักขระ"/>
    <w:basedOn w:val="a0"/>
    <w:link w:val="2"/>
    <w:uiPriority w:val="9"/>
    <w:rsid w:val="00201381"/>
    <w:rPr>
      <w:rFonts w:asciiTheme="majorHAnsi" w:eastAsiaTheme="majorEastAsia" w:hAnsiTheme="majorHAnsi" w:cstheme="majorBidi"/>
      <w:color w:val="2F5496" w:themeColor="accent1" w:themeShade="BF"/>
      <w:sz w:val="32"/>
      <w:szCs w:val="40"/>
    </w:rPr>
  </w:style>
  <w:style w:type="character" w:customStyle="1" w:styleId="30">
    <w:name w:val="หัวเรื่อง 3 อักขระ"/>
    <w:basedOn w:val="a0"/>
    <w:link w:val="3"/>
    <w:uiPriority w:val="9"/>
    <w:rsid w:val="00201381"/>
    <w:rPr>
      <w:rFonts w:eastAsiaTheme="majorEastAsia" w:cstheme="majorBidi"/>
      <w:color w:val="2F5496" w:themeColor="accent1" w:themeShade="BF"/>
      <w:sz w:val="28"/>
      <w:szCs w:val="35"/>
    </w:rPr>
  </w:style>
  <w:style w:type="character" w:customStyle="1" w:styleId="40">
    <w:name w:val="หัวเรื่อง 4 อักขระ"/>
    <w:basedOn w:val="a0"/>
    <w:link w:val="4"/>
    <w:uiPriority w:val="9"/>
    <w:rsid w:val="00201381"/>
    <w:rPr>
      <w:rFonts w:eastAsiaTheme="majorEastAsia" w:cstheme="majorBidi"/>
      <w:i/>
      <w:iCs/>
      <w:color w:val="2F5496" w:themeColor="accent1" w:themeShade="BF"/>
    </w:rPr>
  </w:style>
  <w:style w:type="character" w:customStyle="1" w:styleId="50">
    <w:name w:val="หัวเรื่อง 5 อักขระ"/>
    <w:basedOn w:val="a0"/>
    <w:link w:val="5"/>
    <w:uiPriority w:val="9"/>
    <w:rsid w:val="00201381"/>
    <w:rPr>
      <w:rFonts w:eastAsiaTheme="majorEastAsia" w:cstheme="majorBidi"/>
      <w:color w:val="2F5496" w:themeColor="accent1" w:themeShade="BF"/>
    </w:rPr>
  </w:style>
  <w:style w:type="character" w:customStyle="1" w:styleId="60">
    <w:name w:val="หัวเรื่อง 6 อักขระ"/>
    <w:basedOn w:val="a0"/>
    <w:link w:val="6"/>
    <w:uiPriority w:val="9"/>
    <w:semiHidden/>
    <w:rsid w:val="00201381"/>
    <w:rPr>
      <w:rFonts w:eastAsiaTheme="majorEastAsia" w:cstheme="majorBidi"/>
      <w:i/>
      <w:iCs/>
      <w:color w:val="595959" w:themeColor="text1" w:themeTint="A6"/>
    </w:rPr>
  </w:style>
  <w:style w:type="character" w:customStyle="1" w:styleId="70">
    <w:name w:val="หัวเรื่อง 7 อักขระ"/>
    <w:basedOn w:val="a0"/>
    <w:link w:val="7"/>
    <w:uiPriority w:val="9"/>
    <w:semiHidden/>
    <w:rsid w:val="00201381"/>
    <w:rPr>
      <w:rFonts w:eastAsiaTheme="majorEastAsia" w:cstheme="majorBidi"/>
      <w:color w:val="595959" w:themeColor="text1" w:themeTint="A6"/>
    </w:rPr>
  </w:style>
  <w:style w:type="character" w:customStyle="1" w:styleId="80">
    <w:name w:val="หัวเรื่อง 8 อักขระ"/>
    <w:basedOn w:val="a0"/>
    <w:link w:val="8"/>
    <w:uiPriority w:val="9"/>
    <w:semiHidden/>
    <w:rsid w:val="00201381"/>
    <w:rPr>
      <w:rFonts w:eastAsiaTheme="majorEastAsia" w:cstheme="majorBidi"/>
      <w:i/>
      <w:iCs/>
      <w:color w:val="272727" w:themeColor="text1" w:themeTint="D8"/>
    </w:rPr>
  </w:style>
  <w:style w:type="character" w:customStyle="1" w:styleId="90">
    <w:name w:val="หัวเรื่อง 9 อักขระ"/>
    <w:basedOn w:val="a0"/>
    <w:link w:val="9"/>
    <w:uiPriority w:val="9"/>
    <w:semiHidden/>
    <w:rsid w:val="00201381"/>
    <w:rPr>
      <w:rFonts w:eastAsiaTheme="majorEastAsia" w:cstheme="majorBidi"/>
      <w:color w:val="272727" w:themeColor="text1" w:themeTint="D8"/>
    </w:rPr>
  </w:style>
  <w:style w:type="paragraph" w:styleId="a3">
    <w:name w:val="Title"/>
    <w:basedOn w:val="a"/>
    <w:next w:val="a"/>
    <w:link w:val="a4"/>
    <w:uiPriority w:val="10"/>
    <w:qFormat/>
    <w:rsid w:val="00201381"/>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a4">
    <w:name w:val="ชื่อเรื่อง อักขระ"/>
    <w:basedOn w:val="a0"/>
    <w:link w:val="a3"/>
    <w:uiPriority w:val="10"/>
    <w:rsid w:val="00201381"/>
    <w:rPr>
      <w:rFonts w:asciiTheme="majorHAnsi" w:eastAsiaTheme="majorEastAsia" w:hAnsiTheme="majorHAnsi" w:cstheme="majorBidi"/>
      <w:spacing w:val="-10"/>
      <w:kern w:val="28"/>
      <w:sz w:val="56"/>
      <w:szCs w:val="71"/>
    </w:rPr>
  </w:style>
  <w:style w:type="paragraph" w:styleId="a5">
    <w:name w:val="Subtitle"/>
    <w:basedOn w:val="a"/>
    <w:next w:val="a"/>
    <w:link w:val="a6"/>
    <w:uiPriority w:val="11"/>
    <w:qFormat/>
    <w:rsid w:val="00201381"/>
    <w:pPr>
      <w:numPr>
        <w:ilvl w:val="1"/>
      </w:numPr>
    </w:pPr>
    <w:rPr>
      <w:rFonts w:eastAsiaTheme="majorEastAsia" w:cstheme="majorBidi"/>
      <w:color w:val="595959" w:themeColor="text1" w:themeTint="A6"/>
      <w:spacing w:val="15"/>
      <w:sz w:val="28"/>
      <w:szCs w:val="35"/>
    </w:rPr>
  </w:style>
  <w:style w:type="character" w:customStyle="1" w:styleId="a6">
    <w:name w:val="ชื่อเรื่องรอง อักขระ"/>
    <w:basedOn w:val="a0"/>
    <w:link w:val="a5"/>
    <w:uiPriority w:val="11"/>
    <w:rsid w:val="00201381"/>
    <w:rPr>
      <w:rFonts w:eastAsiaTheme="majorEastAsia" w:cstheme="majorBidi"/>
      <w:color w:val="595959" w:themeColor="text1" w:themeTint="A6"/>
      <w:spacing w:val="15"/>
      <w:sz w:val="28"/>
      <w:szCs w:val="35"/>
    </w:rPr>
  </w:style>
  <w:style w:type="paragraph" w:styleId="a7">
    <w:name w:val="Quote"/>
    <w:basedOn w:val="a"/>
    <w:next w:val="a"/>
    <w:link w:val="a8"/>
    <w:uiPriority w:val="29"/>
    <w:qFormat/>
    <w:rsid w:val="00201381"/>
    <w:pPr>
      <w:spacing w:before="160"/>
      <w:jc w:val="center"/>
    </w:pPr>
    <w:rPr>
      <w:i/>
      <w:iCs/>
      <w:color w:val="404040" w:themeColor="text1" w:themeTint="BF"/>
    </w:rPr>
  </w:style>
  <w:style w:type="character" w:customStyle="1" w:styleId="a8">
    <w:name w:val="คำอ้างอิง อักขระ"/>
    <w:basedOn w:val="a0"/>
    <w:link w:val="a7"/>
    <w:uiPriority w:val="29"/>
    <w:rsid w:val="00201381"/>
    <w:rPr>
      <w:i/>
      <w:iCs/>
      <w:color w:val="404040" w:themeColor="text1" w:themeTint="BF"/>
    </w:rPr>
  </w:style>
  <w:style w:type="paragraph" w:styleId="a9">
    <w:name w:val="List Paragraph"/>
    <w:basedOn w:val="a"/>
    <w:uiPriority w:val="34"/>
    <w:qFormat/>
    <w:rsid w:val="00201381"/>
    <w:pPr>
      <w:ind w:left="720"/>
      <w:contextualSpacing/>
    </w:pPr>
  </w:style>
  <w:style w:type="character" w:styleId="aa">
    <w:name w:val="Intense Emphasis"/>
    <w:basedOn w:val="a0"/>
    <w:uiPriority w:val="21"/>
    <w:qFormat/>
    <w:rsid w:val="00201381"/>
    <w:rPr>
      <w:i/>
      <w:iCs/>
      <w:color w:val="2F5496" w:themeColor="accent1" w:themeShade="BF"/>
    </w:rPr>
  </w:style>
  <w:style w:type="paragraph" w:styleId="ab">
    <w:name w:val="Intense Quote"/>
    <w:basedOn w:val="a"/>
    <w:next w:val="a"/>
    <w:link w:val="ac"/>
    <w:uiPriority w:val="30"/>
    <w:qFormat/>
    <w:rsid w:val="002013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ทำให้คำอ้างอิงเป็นสีเข้มขึ้น อักขระ"/>
    <w:basedOn w:val="a0"/>
    <w:link w:val="ab"/>
    <w:uiPriority w:val="30"/>
    <w:rsid w:val="00201381"/>
    <w:rPr>
      <w:i/>
      <w:iCs/>
      <w:color w:val="2F5496" w:themeColor="accent1" w:themeShade="BF"/>
    </w:rPr>
  </w:style>
  <w:style w:type="character" w:styleId="ad">
    <w:name w:val="Intense Reference"/>
    <w:basedOn w:val="a0"/>
    <w:uiPriority w:val="32"/>
    <w:qFormat/>
    <w:rsid w:val="00201381"/>
    <w:rPr>
      <w:b/>
      <w:bCs/>
      <w:smallCaps/>
      <w:color w:val="2F5496" w:themeColor="accent1" w:themeShade="BF"/>
      <w:spacing w:val="5"/>
    </w:rPr>
  </w:style>
  <w:style w:type="character" w:styleId="ae">
    <w:name w:val="Strong"/>
    <w:basedOn w:val="a0"/>
    <w:uiPriority w:val="22"/>
    <w:qFormat/>
    <w:rsid w:val="00201381"/>
    <w:rPr>
      <w:b/>
      <w:bCs/>
    </w:rPr>
  </w:style>
  <w:style w:type="paragraph" w:styleId="af">
    <w:name w:val="Normal (Web)"/>
    <w:basedOn w:val="a"/>
    <w:uiPriority w:val="99"/>
    <w:unhideWhenUsed/>
    <w:rsid w:val="00135C19"/>
    <w:pPr>
      <w:spacing w:before="100" w:beforeAutospacing="1" w:after="100" w:afterAutospacing="1" w:line="240" w:lineRule="auto"/>
    </w:pPr>
    <w:rPr>
      <w:rFonts w:ascii="Times New Roman" w:eastAsia="Times New Roman" w:hAnsi="Times New Roman" w:cs="Times New Roman"/>
      <w:kern w:val="0"/>
      <w:szCs w:val="24"/>
      <w14:ligatures w14:val="none"/>
    </w:rPr>
  </w:style>
  <w:style w:type="table" w:styleId="af0">
    <w:name w:val="Table Grid"/>
    <w:basedOn w:val="a1"/>
    <w:uiPriority w:val="59"/>
    <w:rsid w:val="00135C19"/>
    <w:pPr>
      <w:spacing w:after="0" w:line="240" w:lineRule="auto"/>
    </w:pPr>
    <w:rPr>
      <w:rFonts w:eastAsiaTheme="minorEastAsia"/>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Emphasis"/>
    <w:basedOn w:val="a0"/>
    <w:uiPriority w:val="20"/>
    <w:qFormat/>
    <w:rsid w:val="00527655"/>
    <w:rPr>
      <w:i/>
      <w:iCs/>
    </w:rPr>
  </w:style>
  <w:style w:type="paragraph" w:styleId="af2">
    <w:name w:val="header"/>
    <w:basedOn w:val="a"/>
    <w:link w:val="af3"/>
    <w:uiPriority w:val="99"/>
    <w:unhideWhenUsed/>
    <w:rsid w:val="00A324A5"/>
    <w:pPr>
      <w:tabs>
        <w:tab w:val="center" w:pos="4680"/>
        <w:tab w:val="right" w:pos="9360"/>
      </w:tabs>
      <w:spacing w:after="0" w:line="240" w:lineRule="auto"/>
    </w:pPr>
  </w:style>
  <w:style w:type="character" w:customStyle="1" w:styleId="af3">
    <w:name w:val="หัวกระดาษ อักขระ"/>
    <w:basedOn w:val="a0"/>
    <w:link w:val="af2"/>
    <w:uiPriority w:val="99"/>
    <w:rsid w:val="00A324A5"/>
  </w:style>
  <w:style w:type="paragraph" w:styleId="af4">
    <w:name w:val="footer"/>
    <w:basedOn w:val="a"/>
    <w:link w:val="af5"/>
    <w:uiPriority w:val="99"/>
    <w:unhideWhenUsed/>
    <w:rsid w:val="00A324A5"/>
    <w:pPr>
      <w:tabs>
        <w:tab w:val="center" w:pos="4680"/>
        <w:tab w:val="right" w:pos="9360"/>
      </w:tabs>
      <w:spacing w:after="0" w:line="240" w:lineRule="auto"/>
    </w:pPr>
  </w:style>
  <w:style w:type="character" w:customStyle="1" w:styleId="af5">
    <w:name w:val="ท้ายกระดาษ อักขระ"/>
    <w:basedOn w:val="a0"/>
    <w:link w:val="af4"/>
    <w:uiPriority w:val="99"/>
    <w:rsid w:val="00A324A5"/>
  </w:style>
  <w:style w:type="paragraph" w:styleId="af6">
    <w:name w:val="footnote text"/>
    <w:basedOn w:val="a"/>
    <w:link w:val="af7"/>
    <w:uiPriority w:val="99"/>
    <w:semiHidden/>
    <w:unhideWhenUsed/>
    <w:rsid w:val="00481084"/>
    <w:pPr>
      <w:spacing w:after="0" w:line="240" w:lineRule="auto"/>
    </w:pPr>
    <w:rPr>
      <w:sz w:val="20"/>
      <w:szCs w:val="25"/>
    </w:rPr>
  </w:style>
  <w:style w:type="character" w:customStyle="1" w:styleId="af7">
    <w:name w:val="ข้อความเชิงอรรถ อักขระ"/>
    <w:basedOn w:val="a0"/>
    <w:link w:val="af6"/>
    <w:uiPriority w:val="99"/>
    <w:semiHidden/>
    <w:rsid w:val="00481084"/>
    <w:rPr>
      <w:sz w:val="20"/>
      <w:szCs w:val="25"/>
    </w:rPr>
  </w:style>
  <w:style w:type="character" w:styleId="af8">
    <w:name w:val="footnote reference"/>
    <w:basedOn w:val="a0"/>
    <w:uiPriority w:val="99"/>
    <w:semiHidden/>
    <w:unhideWhenUsed/>
    <w:rsid w:val="004810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0942">
      <w:bodyDiv w:val="1"/>
      <w:marLeft w:val="0"/>
      <w:marRight w:val="0"/>
      <w:marTop w:val="0"/>
      <w:marBottom w:val="0"/>
      <w:divBdr>
        <w:top w:val="none" w:sz="0" w:space="0" w:color="auto"/>
        <w:left w:val="none" w:sz="0" w:space="0" w:color="auto"/>
        <w:bottom w:val="none" w:sz="0" w:space="0" w:color="auto"/>
        <w:right w:val="none" w:sz="0" w:space="0" w:color="auto"/>
      </w:divBdr>
    </w:div>
    <w:div w:id="194081097">
      <w:bodyDiv w:val="1"/>
      <w:marLeft w:val="0"/>
      <w:marRight w:val="0"/>
      <w:marTop w:val="0"/>
      <w:marBottom w:val="0"/>
      <w:divBdr>
        <w:top w:val="none" w:sz="0" w:space="0" w:color="auto"/>
        <w:left w:val="none" w:sz="0" w:space="0" w:color="auto"/>
        <w:bottom w:val="none" w:sz="0" w:space="0" w:color="auto"/>
        <w:right w:val="none" w:sz="0" w:space="0" w:color="auto"/>
      </w:divBdr>
    </w:div>
    <w:div w:id="230849978">
      <w:bodyDiv w:val="1"/>
      <w:marLeft w:val="0"/>
      <w:marRight w:val="0"/>
      <w:marTop w:val="0"/>
      <w:marBottom w:val="0"/>
      <w:divBdr>
        <w:top w:val="none" w:sz="0" w:space="0" w:color="auto"/>
        <w:left w:val="none" w:sz="0" w:space="0" w:color="auto"/>
        <w:bottom w:val="none" w:sz="0" w:space="0" w:color="auto"/>
        <w:right w:val="none" w:sz="0" w:space="0" w:color="auto"/>
      </w:divBdr>
    </w:div>
    <w:div w:id="280963232">
      <w:bodyDiv w:val="1"/>
      <w:marLeft w:val="0"/>
      <w:marRight w:val="0"/>
      <w:marTop w:val="0"/>
      <w:marBottom w:val="0"/>
      <w:divBdr>
        <w:top w:val="none" w:sz="0" w:space="0" w:color="auto"/>
        <w:left w:val="none" w:sz="0" w:space="0" w:color="auto"/>
        <w:bottom w:val="none" w:sz="0" w:space="0" w:color="auto"/>
        <w:right w:val="none" w:sz="0" w:space="0" w:color="auto"/>
      </w:divBdr>
    </w:div>
    <w:div w:id="362025147">
      <w:bodyDiv w:val="1"/>
      <w:marLeft w:val="0"/>
      <w:marRight w:val="0"/>
      <w:marTop w:val="0"/>
      <w:marBottom w:val="0"/>
      <w:divBdr>
        <w:top w:val="none" w:sz="0" w:space="0" w:color="auto"/>
        <w:left w:val="none" w:sz="0" w:space="0" w:color="auto"/>
        <w:bottom w:val="none" w:sz="0" w:space="0" w:color="auto"/>
        <w:right w:val="none" w:sz="0" w:space="0" w:color="auto"/>
      </w:divBdr>
    </w:div>
    <w:div w:id="524713962">
      <w:bodyDiv w:val="1"/>
      <w:marLeft w:val="0"/>
      <w:marRight w:val="0"/>
      <w:marTop w:val="0"/>
      <w:marBottom w:val="0"/>
      <w:divBdr>
        <w:top w:val="none" w:sz="0" w:space="0" w:color="auto"/>
        <w:left w:val="none" w:sz="0" w:space="0" w:color="auto"/>
        <w:bottom w:val="none" w:sz="0" w:space="0" w:color="auto"/>
        <w:right w:val="none" w:sz="0" w:space="0" w:color="auto"/>
      </w:divBdr>
    </w:div>
    <w:div w:id="725488097">
      <w:bodyDiv w:val="1"/>
      <w:marLeft w:val="0"/>
      <w:marRight w:val="0"/>
      <w:marTop w:val="0"/>
      <w:marBottom w:val="0"/>
      <w:divBdr>
        <w:top w:val="none" w:sz="0" w:space="0" w:color="auto"/>
        <w:left w:val="none" w:sz="0" w:space="0" w:color="auto"/>
        <w:bottom w:val="none" w:sz="0" w:space="0" w:color="auto"/>
        <w:right w:val="none" w:sz="0" w:space="0" w:color="auto"/>
      </w:divBdr>
    </w:div>
    <w:div w:id="738863071">
      <w:bodyDiv w:val="1"/>
      <w:marLeft w:val="0"/>
      <w:marRight w:val="0"/>
      <w:marTop w:val="0"/>
      <w:marBottom w:val="0"/>
      <w:divBdr>
        <w:top w:val="none" w:sz="0" w:space="0" w:color="auto"/>
        <w:left w:val="none" w:sz="0" w:space="0" w:color="auto"/>
        <w:bottom w:val="none" w:sz="0" w:space="0" w:color="auto"/>
        <w:right w:val="none" w:sz="0" w:space="0" w:color="auto"/>
      </w:divBdr>
    </w:div>
    <w:div w:id="772867212">
      <w:bodyDiv w:val="1"/>
      <w:marLeft w:val="0"/>
      <w:marRight w:val="0"/>
      <w:marTop w:val="0"/>
      <w:marBottom w:val="0"/>
      <w:divBdr>
        <w:top w:val="none" w:sz="0" w:space="0" w:color="auto"/>
        <w:left w:val="none" w:sz="0" w:space="0" w:color="auto"/>
        <w:bottom w:val="none" w:sz="0" w:space="0" w:color="auto"/>
        <w:right w:val="none" w:sz="0" w:space="0" w:color="auto"/>
      </w:divBdr>
    </w:div>
    <w:div w:id="802579327">
      <w:bodyDiv w:val="1"/>
      <w:marLeft w:val="0"/>
      <w:marRight w:val="0"/>
      <w:marTop w:val="0"/>
      <w:marBottom w:val="0"/>
      <w:divBdr>
        <w:top w:val="none" w:sz="0" w:space="0" w:color="auto"/>
        <w:left w:val="none" w:sz="0" w:space="0" w:color="auto"/>
        <w:bottom w:val="none" w:sz="0" w:space="0" w:color="auto"/>
        <w:right w:val="none" w:sz="0" w:space="0" w:color="auto"/>
      </w:divBdr>
    </w:div>
    <w:div w:id="1037895264">
      <w:bodyDiv w:val="1"/>
      <w:marLeft w:val="0"/>
      <w:marRight w:val="0"/>
      <w:marTop w:val="0"/>
      <w:marBottom w:val="0"/>
      <w:divBdr>
        <w:top w:val="none" w:sz="0" w:space="0" w:color="auto"/>
        <w:left w:val="none" w:sz="0" w:space="0" w:color="auto"/>
        <w:bottom w:val="none" w:sz="0" w:space="0" w:color="auto"/>
        <w:right w:val="none" w:sz="0" w:space="0" w:color="auto"/>
      </w:divBdr>
    </w:div>
    <w:div w:id="1103036475">
      <w:bodyDiv w:val="1"/>
      <w:marLeft w:val="0"/>
      <w:marRight w:val="0"/>
      <w:marTop w:val="0"/>
      <w:marBottom w:val="0"/>
      <w:divBdr>
        <w:top w:val="none" w:sz="0" w:space="0" w:color="auto"/>
        <w:left w:val="none" w:sz="0" w:space="0" w:color="auto"/>
        <w:bottom w:val="none" w:sz="0" w:space="0" w:color="auto"/>
        <w:right w:val="none" w:sz="0" w:space="0" w:color="auto"/>
      </w:divBdr>
    </w:div>
    <w:div w:id="1106655424">
      <w:bodyDiv w:val="1"/>
      <w:marLeft w:val="0"/>
      <w:marRight w:val="0"/>
      <w:marTop w:val="0"/>
      <w:marBottom w:val="0"/>
      <w:divBdr>
        <w:top w:val="none" w:sz="0" w:space="0" w:color="auto"/>
        <w:left w:val="none" w:sz="0" w:space="0" w:color="auto"/>
        <w:bottom w:val="none" w:sz="0" w:space="0" w:color="auto"/>
        <w:right w:val="none" w:sz="0" w:space="0" w:color="auto"/>
      </w:divBdr>
    </w:div>
    <w:div w:id="1114594473">
      <w:bodyDiv w:val="1"/>
      <w:marLeft w:val="0"/>
      <w:marRight w:val="0"/>
      <w:marTop w:val="0"/>
      <w:marBottom w:val="0"/>
      <w:divBdr>
        <w:top w:val="none" w:sz="0" w:space="0" w:color="auto"/>
        <w:left w:val="none" w:sz="0" w:space="0" w:color="auto"/>
        <w:bottom w:val="none" w:sz="0" w:space="0" w:color="auto"/>
        <w:right w:val="none" w:sz="0" w:space="0" w:color="auto"/>
      </w:divBdr>
    </w:div>
    <w:div w:id="1257984380">
      <w:bodyDiv w:val="1"/>
      <w:marLeft w:val="0"/>
      <w:marRight w:val="0"/>
      <w:marTop w:val="0"/>
      <w:marBottom w:val="0"/>
      <w:divBdr>
        <w:top w:val="none" w:sz="0" w:space="0" w:color="auto"/>
        <w:left w:val="none" w:sz="0" w:space="0" w:color="auto"/>
        <w:bottom w:val="none" w:sz="0" w:space="0" w:color="auto"/>
        <w:right w:val="none" w:sz="0" w:space="0" w:color="auto"/>
      </w:divBdr>
    </w:div>
    <w:div w:id="1293093678">
      <w:bodyDiv w:val="1"/>
      <w:marLeft w:val="0"/>
      <w:marRight w:val="0"/>
      <w:marTop w:val="0"/>
      <w:marBottom w:val="0"/>
      <w:divBdr>
        <w:top w:val="none" w:sz="0" w:space="0" w:color="auto"/>
        <w:left w:val="none" w:sz="0" w:space="0" w:color="auto"/>
        <w:bottom w:val="none" w:sz="0" w:space="0" w:color="auto"/>
        <w:right w:val="none" w:sz="0" w:space="0" w:color="auto"/>
      </w:divBdr>
    </w:div>
    <w:div w:id="1372994662">
      <w:bodyDiv w:val="1"/>
      <w:marLeft w:val="0"/>
      <w:marRight w:val="0"/>
      <w:marTop w:val="0"/>
      <w:marBottom w:val="0"/>
      <w:divBdr>
        <w:top w:val="none" w:sz="0" w:space="0" w:color="auto"/>
        <w:left w:val="none" w:sz="0" w:space="0" w:color="auto"/>
        <w:bottom w:val="none" w:sz="0" w:space="0" w:color="auto"/>
        <w:right w:val="none" w:sz="0" w:space="0" w:color="auto"/>
      </w:divBdr>
    </w:div>
    <w:div w:id="1448700643">
      <w:bodyDiv w:val="1"/>
      <w:marLeft w:val="0"/>
      <w:marRight w:val="0"/>
      <w:marTop w:val="0"/>
      <w:marBottom w:val="0"/>
      <w:divBdr>
        <w:top w:val="none" w:sz="0" w:space="0" w:color="auto"/>
        <w:left w:val="none" w:sz="0" w:space="0" w:color="auto"/>
        <w:bottom w:val="none" w:sz="0" w:space="0" w:color="auto"/>
        <w:right w:val="none" w:sz="0" w:space="0" w:color="auto"/>
      </w:divBdr>
    </w:div>
    <w:div w:id="1551188137">
      <w:bodyDiv w:val="1"/>
      <w:marLeft w:val="0"/>
      <w:marRight w:val="0"/>
      <w:marTop w:val="0"/>
      <w:marBottom w:val="0"/>
      <w:divBdr>
        <w:top w:val="none" w:sz="0" w:space="0" w:color="auto"/>
        <w:left w:val="none" w:sz="0" w:space="0" w:color="auto"/>
        <w:bottom w:val="none" w:sz="0" w:space="0" w:color="auto"/>
        <w:right w:val="none" w:sz="0" w:space="0" w:color="auto"/>
      </w:divBdr>
    </w:div>
    <w:div w:id="1648626536">
      <w:bodyDiv w:val="1"/>
      <w:marLeft w:val="0"/>
      <w:marRight w:val="0"/>
      <w:marTop w:val="0"/>
      <w:marBottom w:val="0"/>
      <w:divBdr>
        <w:top w:val="none" w:sz="0" w:space="0" w:color="auto"/>
        <w:left w:val="none" w:sz="0" w:space="0" w:color="auto"/>
        <w:bottom w:val="none" w:sz="0" w:space="0" w:color="auto"/>
        <w:right w:val="none" w:sz="0" w:space="0" w:color="auto"/>
      </w:divBdr>
    </w:div>
    <w:div w:id="1739011729">
      <w:bodyDiv w:val="1"/>
      <w:marLeft w:val="0"/>
      <w:marRight w:val="0"/>
      <w:marTop w:val="0"/>
      <w:marBottom w:val="0"/>
      <w:divBdr>
        <w:top w:val="none" w:sz="0" w:space="0" w:color="auto"/>
        <w:left w:val="none" w:sz="0" w:space="0" w:color="auto"/>
        <w:bottom w:val="none" w:sz="0" w:space="0" w:color="auto"/>
        <w:right w:val="none" w:sz="0" w:space="0" w:color="auto"/>
      </w:divBdr>
    </w:div>
    <w:div w:id="1765684793">
      <w:bodyDiv w:val="1"/>
      <w:marLeft w:val="0"/>
      <w:marRight w:val="0"/>
      <w:marTop w:val="0"/>
      <w:marBottom w:val="0"/>
      <w:divBdr>
        <w:top w:val="none" w:sz="0" w:space="0" w:color="auto"/>
        <w:left w:val="none" w:sz="0" w:space="0" w:color="auto"/>
        <w:bottom w:val="none" w:sz="0" w:space="0" w:color="auto"/>
        <w:right w:val="none" w:sz="0" w:space="0" w:color="auto"/>
      </w:divBdr>
      <w:divsChild>
        <w:div w:id="2103717955">
          <w:marLeft w:val="0"/>
          <w:marRight w:val="0"/>
          <w:marTop w:val="0"/>
          <w:marBottom w:val="0"/>
          <w:divBdr>
            <w:top w:val="none" w:sz="0" w:space="0" w:color="auto"/>
            <w:left w:val="none" w:sz="0" w:space="0" w:color="auto"/>
            <w:bottom w:val="none" w:sz="0" w:space="0" w:color="auto"/>
            <w:right w:val="none" w:sz="0" w:space="0" w:color="auto"/>
          </w:divBdr>
          <w:divsChild>
            <w:div w:id="1770735874">
              <w:marLeft w:val="0"/>
              <w:marRight w:val="0"/>
              <w:marTop w:val="0"/>
              <w:marBottom w:val="0"/>
              <w:divBdr>
                <w:top w:val="none" w:sz="0" w:space="0" w:color="auto"/>
                <w:left w:val="none" w:sz="0" w:space="0" w:color="auto"/>
                <w:bottom w:val="none" w:sz="0" w:space="0" w:color="auto"/>
                <w:right w:val="none" w:sz="0" w:space="0" w:color="auto"/>
              </w:divBdr>
            </w:div>
          </w:divsChild>
        </w:div>
        <w:div w:id="1890453457">
          <w:marLeft w:val="0"/>
          <w:marRight w:val="0"/>
          <w:marTop w:val="0"/>
          <w:marBottom w:val="0"/>
          <w:divBdr>
            <w:top w:val="none" w:sz="0" w:space="0" w:color="auto"/>
            <w:left w:val="none" w:sz="0" w:space="0" w:color="auto"/>
            <w:bottom w:val="none" w:sz="0" w:space="0" w:color="auto"/>
            <w:right w:val="none" w:sz="0" w:space="0" w:color="auto"/>
          </w:divBdr>
          <w:divsChild>
            <w:div w:id="178352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353724">
      <w:bodyDiv w:val="1"/>
      <w:marLeft w:val="0"/>
      <w:marRight w:val="0"/>
      <w:marTop w:val="0"/>
      <w:marBottom w:val="0"/>
      <w:divBdr>
        <w:top w:val="none" w:sz="0" w:space="0" w:color="auto"/>
        <w:left w:val="none" w:sz="0" w:space="0" w:color="auto"/>
        <w:bottom w:val="none" w:sz="0" w:space="0" w:color="auto"/>
        <w:right w:val="none" w:sz="0" w:space="0" w:color="auto"/>
      </w:divBdr>
    </w:div>
    <w:div w:id="2000696159">
      <w:bodyDiv w:val="1"/>
      <w:marLeft w:val="0"/>
      <w:marRight w:val="0"/>
      <w:marTop w:val="0"/>
      <w:marBottom w:val="0"/>
      <w:divBdr>
        <w:top w:val="none" w:sz="0" w:space="0" w:color="auto"/>
        <w:left w:val="none" w:sz="0" w:space="0" w:color="auto"/>
        <w:bottom w:val="none" w:sz="0" w:space="0" w:color="auto"/>
        <w:right w:val="none" w:sz="0" w:space="0" w:color="auto"/>
      </w:divBdr>
    </w:div>
    <w:div w:id="2056735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BE6DB74DB2E44B90743EB4E776A5A2" ma:contentTypeVersion="18" ma:contentTypeDescription="Create a new document." ma:contentTypeScope="" ma:versionID="fd56b3a8f7421403ae05ddf1deff05bf">
  <xsd:schema xmlns:xsd="http://www.w3.org/2001/XMLSchema" xmlns:xs="http://www.w3.org/2001/XMLSchema" xmlns:p="http://schemas.microsoft.com/office/2006/metadata/properties" xmlns:ns2="e9d33b60-61e8-4987-8575-5bdee4ea96af" xmlns:ns3="a6f80bed-54e6-4f05-9650-32ac0a5b7f81" xmlns:ns4="985ec44e-1bab-4c0b-9df0-6ba128686fc9" targetNamespace="http://schemas.microsoft.com/office/2006/metadata/properties" ma:root="true" ma:fieldsID="3eb17f8872f82a45c493f205ded8344f" ns2:_="" ns3:_="" ns4:_="">
    <xsd:import namespace="e9d33b60-61e8-4987-8575-5bdee4ea96af"/>
    <xsd:import namespace="a6f80bed-54e6-4f05-9650-32ac0a5b7f81"/>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d33b60-61e8-4987-8575-5bdee4ea96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f80bed-54e6-4f05-9650-32ac0a5b7f8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c5993766-3e81-4b19-9bc7-3478452b32ca}" ma:internalName="TaxCatchAll" ma:showField="CatchAllData" ma:web="a6f80bed-54e6-4f05-9650-32ac0a5b7f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e9d33b60-61e8-4987-8575-5bdee4ea96a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172A07E-1C15-4A6F-8EBD-104D26329EC8}">
  <ds:schemaRefs>
    <ds:schemaRef ds:uri="http://schemas.openxmlformats.org/officeDocument/2006/bibliography"/>
  </ds:schemaRefs>
</ds:datastoreItem>
</file>

<file path=customXml/itemProps2.xml><?xml version="1.0" encoding="utf-8"?>
<ds:datastoreItem xmlns:ds="http://schemas.openxmlformats.org/officeDocument/2006/customXml" ds:itemID="{A0FF4196-2737-40CA-9515-27E56FD84732}"/>
</file>

<file path=customXml/itemProps3.xml><?xml version="1.0" encoding="utf-8"?>
<ds:datastoreItem xmlns:ds="http://schemas.openxmlformats.org/officeDocument/2006/customXml" ds:itemID="{0EC5E01A-60C3-4796-B48A-8CE88B502F00}"/>
</file>

<file path=customXml/itemProps4.xml><?xml version="1.0" encoding="utf-8"?>
<ds:datastoreItem xmlns:ds="http://schemas.openxmlformats.org/officeDocument/2006/customXml" ds:itemID="{3DA51F10-8742-4577-8BB2-05467A8B3A79}"/>
</file>

<file path=docProps/app.xml><?xml version="1.0" encoding="utf-8"?>
<Properties xmlns="http://schemas.openxmlformats.org/officeDocument/2006/extended-properties" xmlns:vt="http://schemas.openxmlformats.org/officeDocument/2006/docPropsVTypes">
  <Template>Normal</Template>
  <TotalTime>149</TotalTime>
  <Pages>17</Pages>
  <Words>4127</Words>
  <Characters>23524</Characters>
  <Application>Microsoft Office Word</Application>
  <DocSecurity>0</DocSecurity>
  <Lines>196</Lines>
  <Paragraphs>55</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27596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ดาราณี เจ๊ะเล๊าะ</dc:creator>
  <cp:keywords/>
  <dc:description/>
  <cp:lastModifiedBy>ดาราณี เจ๊ะเล๊าะ</cp:lastModifiedBy>
  <cp:revision>4</cp:revision>
  <dcterms:created xsi:type="dcterms:W3CDTF">2025-05-18T18:02:00Z</dcterms:created>
  <dcterms:modified xsi:type="dcterms:W3CDTF">2025-05-18T21:48:00Z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0x01010067BE6DB74DB2E44B90743EB4E776A5A2</vt:lpwstr>
  </property>
</Properties>
</file>