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056D" w:rsidRPr="0093056D" w:rsidRDefault="0093056D">
      <w:pPr>
        <w:rPr>
          <w:b/>
          <w:sz w:val="24"/>
        </w:rPr>
      </w:pPr>
      <w:r w:rsidRPr="0093056D">
        <w:rPr>
          <w:b/>
          <w:sz w:val="24"/>
        </w:rPr>
        <w:t>ANEXO 14</w:t>
      </w:r>
    </w:p>
    <w:p w:rsidR="0093056D" w:rsidRPr="0093056D" w:rsidRDefault="0093056D">
      <w:pPr>
        <w:rPr>
          <w:b/>
          <w:sz w:val="24"/>
        </w:rPr>
      </w:pPr>
      <w:r w:rsidRPr="0093056D">
        <w:rPr>
          <w:b/>
          <w:sz w:val="24"/>
        </w:rPr>
        <w:t>Título III Delitos Contra la Libertad e Integridad Sexual</w:t>
      </w:r>
    </w:p>
    <w:p w:rsidR="0093056D" w:rsidRPr="0093056D" w:rsidRDefault="0093056D">
      <w:pPr>
        <w:rPr>
          <w:b/>
          <w:sz w:val="24"/>
        </w:rPr>
      </w:pPr>
      <w:r w:rsidRPr="0093056D">
        <w:rPr>
          <w:b/>
          <w:sz w:val="24"/>
        </w:rPr>
        <w:t>Capítulo II Corrupción de Personas Menores de Edad, Explotación Sexual Comercial y otras Conductas</w:t>
      </w:r>
    </w:p>
    <w:p w:rsidR="0093056D" w:rsidRPr="0093056D" w:rsidRDefault="0093056D" w:rsidP="0093056D">
      <w:pPr>
        <w:spacing w:after="0"/>
        <w:rPr>
          <w:sz w:val="24"/>
        </w:rPr>
      </w:pPr>
      <w:r w:rsidRPr="0093056D">
        <w:rPr>
          <w:b/>
          <w:sz w:val="24"/>
        </w:rPr>
        <w:t>Artículo 190</w:t>
      </w:r>
      <w:r w:rsidRPr="0093056D">
        <w:rPr>
          <w:sz w:val="24"/>
        </w:rPr>
        <w:t>. Quien promueva, dirija, o</w:t>
      </w:r>
      <w:bookmarkStart w:id="0" w:name="_GoBack"/>
      <w:bookmarkEnd w:id="0"/>
      <w:r w:rsidRPr="0093056D">
        <w:rPr>
          <w:sz w:val="24"/>
        </w:rPr>
        <w:t xml:space="preserve">rganice, publicite, invite, facilite o gestione por cualquier medio de comunicación individual o de masas, turismo sexual local o internacional, que implique el reclutamiento de una persona mayor de catorce años y menor de dieciocho, para su explotación sexual, aunque esta no llegara a ejecutarse o consumarse, será sancionado con prisión de ocho a diez años. </w:t>
      </w:r>
    </w:p>
    <w:p w:rsidR="0093056D" w:rsidRPr="0093056D" w:rsidRDefault="0093056D" w:rsidP="0093056D">
      <w:pPr>
        <w:ind w:firstLine="708"/>
        <w:rPr>
          <w:sz w:val="24"/>
        </w:rPr>
      </w:pPr>
      <w:r w:rsidRPr="0093056D">
        <w:rPr>
          <w:sz w:val="24"/>
        </w:rPr>
        <w:t>La pena de prisión será aumentada hasta la mitad del máximo si la víctima es una persona con discapacidad o que no haya cumplido catorce años.</w:t>
      </w:r>
    </w:p>
    <w:p w:rsidR="0093056D" w:rsidRPr="0093056D" w:rsidRDefault="0093056D" w:rsidP="0093056D">
      <w:pPr>
        <w:rPr>
          <w:b/>
          <w:sz w:val="24"/>
        </w:rPr>
      </w:pPr>
    </w:p>
    <w:p w:rsidR="0093056D" w:rsidRPr="0093056D" w:rsidRDefault="0093056D">
      <w:pPr>
        <w:rPr>
          <w:sz w:val="24"/>
        </w:rPr>
      </w:pPr>
      <w:r w:rsidRPr="0093056D">
        <w:rPr>
          <w:b/>
          <w:sz w:val="24"/>
        </w:rPr>
        <w:t>Artículo 191</w:t>
      </w:r>
      <w:r w:rsidRPr="0093056D">
        <w:rPr>
          <w:sz w:val="24"/>
        </w:rPr>
        <w:t xml:space="preserve">. El propietario, arrendador o administrador de un establecimiento o lugar que lo destine a la realización de algunos de los delitos tipificados en este Capítulo será sancionado con prisión de diez a quince años. </w:t>
      </w:r>
    </w:p>
    <w:p w:rsidR="0093056D" w:rsidRPr="0093056D" w:rsidRDefault="0093056D">
      <w:pPr>
        <w:rPr>
          <w:sz w:val="24"/>
        </w:rPr>
      </w:pPr>
    </w:p>
    <w:p w:rsidR="0093056D" w:rsidRPr="0093056D" w:rsidRDefault="0093056D">
      <w:pPr>
        <w:rPr>
          <w:b/>
          <w:sz w:val="24"/>
        </w:rPr>
      </w:pPr>
      <w:r w:rsidRPr="0093056D">
        <w:rPr>
          <w:b/>
          <w:sz w:val="24"/>
        </w:rPr>
        <w:t>Capítulo III Disposición Común</w:t>
      </w:r>
    </w:p>
    <w:p w:rsidR="0093056D" w:rsidRPr="0093056D" w:rsidRDefault="0093056D">
      <w:pPr>
        <w:rPr>
          <w:sz w:val="24"/>
        </w:rPr>
      </w:pPr>
      <w:r w:rsidRPr="0093056D">
        <w:rPr>
          <w:b/>
          <w:sz w:val="24"/>
        </w:rPr>
        <w:t>Artículo 192</w:t>
      </w:r>
      <w:r w:rsidRPr="0093056D">
        <w:rPr>
          <w:sz w:val="24"/>
        </w:rPr>
        <w:t xml:space="preserve">. En los casos de los artículos 174 y 175, la pena de prisión se aumentará de un tercio a la mitad cuando la conducta sea resultado de un acto de violencia doméstica. </w:t>
      </w:r>
    </w:p>
    <w:p w:rsidR="00AC2D63" w:rsidRDefault="00AC2D63"/>
    <w:sectPr w:rsidR="00AC2D6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056D"/>
    <w:rsid w:val="0093056D"/>
    <w:rsid w:val="00AC2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CD0235A-2CC0-4DF6-8866-2FF0FA8F5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657f88d28f339ed93a05a5add6c5da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AE16DCD-2EE7-434D-89FD-1A8FF1253947}"/>
</file>

<file path=customXml/itemProps2.xml><?xml version="1.0" encoding="utf-8"?>
<ds:datastoreItem xmlns:ds="http://schemas.openxmlformats.org/officeDocument/2006/customXml" ds:itemID="{68CD4159-DCFD-4575-98F4-AB1F4698F82F}"/>
</file>

<file path=customXml/itemProps3.xml><?xml version="1.0" encoding="utf-8"?>
<ds:datastoreItem xmlns:ds="http://schemas.openxmlformats.org/officeDocument/2006/customXml" ds:itemID="{E2C8882C-E883-4E42-8293-8555BA9B067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176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Pichel</dc:creator>
  <cp:keywords/>
  <dc:description/>
  <cp:lastModifiedBy>Ricardo Pichel</cp:lastModifiedBy>
  <cp:revision>1</cp:revision>
  <dcterms:created xsi:type="dcterms:W3CDTF">2019-01-17T19:30:00Z</dcterms:created>
  <dcterms:modified xsi:type="dcterms:W3CDTF">2019-01-17T19:39:00Z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