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5F2ACF" w14:textId="069ED3A6" w:rsidR="00C316D8" w:rsidRPr="00C316D8" w:rsidRDefault="00C316D8" w:rsidP="00C316D8">
      <w:pPr>
        <w:pBdr>
          <w:top w:val="single" w:sz="18" w:space="1" w:color="auto"/>
          <w:left w:val="single" w:sz="18" w:space="4" w:color="auto"/>
          <w:bottom w:val="single" w:sz="18" w:space="1" w:color="auto"/>
          <w:right w:val="single" w:sz="18" w:space="4" w:color="auto"/>
          <w:between w:val="single" w:sz="18" w:space="1" w:color="auto"/>
          <w:bar w:val="single" w:sz="18" w:color="auto"/>
        </w:pBdr>
        <w:jc w:val="center"/>
        <w:rPr>
          <w:rFonts w:asciiTheme="majorBidi" w:hAnsiTheme="majorBidi" w:cstheme="majorBidi"/>
          <w:b/>
          <w:bCs/>
          <w:color w:val="2F5496" w:themeColor="accent5" w:themeShade="BF"/>
          <w:sz w:val="32"/>
          <w:szCs w:val="32"/>
        </w:rPr>
      </w:pPr>
      <w:r w:rsidRPr="00C316D8">
        <w:rPr>
          <w:rFonts w:asciiTheme="majorBidi" w:hAnsiTheme="majorBidi" w:cstheme="majorBidi"/>
          <w:b/>
          <w:bCs/>
          <w:color w:val="2F5496" w:themeColor="accent5" w:themeShade="BF"/>
          <w:sz w:val="32"/>
          <w:szCs w:val="32"/>
        </w:rPr>
        <w:t xml:space="preserve">Maat for Peace’ Report submitted to Committee on </w:t>
      </w:r>
      <w:r>
        <w:rPr>
          <w:rFonts w:asciiTheme="majorBidi" w:hAnsiTheme="majorBidi" w:cstheme="majorBidi"/>
          <w:b/>
          <w:bCs/>
          <w:color w:val="2F5496" w:themeColor="accent5" w:themeShade="BF"/>
          <w:sz w:val="32"/>
          <w:szCs w:val="32"/>
        </w:rPr>
        <w:t xml:space="preserve">The </w:t>
      </w:r>
      <w:r w:rsidRPr="00C316D8">
        <w:rPr>
          <w:rFonts w:asciiTheme="majorBidi" w:hAnsiTheme="majorBidi" w:cstheme="majorBidi"/>
          <w:b/>
          <w:bCs/>
          <w:color w:val="2F5496" w:themeColor="accent5" w:themeShade="BF"/>
          <w:sz w:val="32"/>
          <w:szCs w:val="32"/>
        </w:rPr>
        <w:t xml:space="preserve">Rights of </w:t>
      </w:r>
      <w:r>
        <w:rPr>
          <w:rFonts w:asciiTheme="majorBidi" w:hAnsiTheme="majorBidi" w:cstheme="majorBidi"/>
          <w:b/>
          <w:bCs/>
          <w:color w:val="2F5496" w:themeColor="accent5" w:themeShade="BF"/>
          <w:sz w:val="32"/>
          <w:szCs w:val="32"/>
        </w:rPr>
        <w:t xml:space="preserve">The </w:t>
      </w:r>
      <w:r w:rsidRPr="00C316D8">
        <w:rPr>
          <w:rFonts w:asciiTheme="majorBidi" w:hAnsiTheme="majorBidi" w:cstheme="majorBidi"/>
          <w:b/>
          <w:bCs/>
          <w:color w:val="2F5496" w:themeColor="accent5" w:themeShade="BF"/>
          <w:sz w:val="32"/>
          <w:szCs w:val="32"/>
        </w:rPr>
        <w:t xml:space="preserve">Child Regarding </w:t>
      </w:r>
      <w:r>
        <w:rPr>
          <w:rFonts w:asciiTheme="majorBidi" w:hAnsiTheme="majorBidi" w:cstheme="majorBidi"/>
          <w:b/>
          <w:bCs/>
          <w:color w:val="2F5496" w:themeColor="accent5" w:themeShade="BF"/>
          <w:sz w:val="32"/>
          <w:szCs w:val="32"/>
        </w:rPr>
        <w:t xml:space="preserve">The </w:t>
      </w:r>
      <w:r w:rsidRPr="00C316D8">
        <w:rPr>
          <w:rFonts w:asciiTheme="majorBidi" w:hAnsiTheme="majorBidi" w:cstheme="majorBidi"/>
          <w:b/>
          <w:bCs/>
          <w:color w:val="2F5496" w:themeColor="accent5" w:themeShade="BF"/>
          <w:sz w:val="32"/>
          <w:szCs w:val="32"/>
        </w:rPr>
        <w:t xml:space="preserve">State of </w:t>
      </w:r>
      <w:r w:rsidRPr="00C316D8">
        <w:rPr>
          <w:rFonts w:asciiTheme="majorBidi" w:hAnsiTheme="majorBidi" w:cstheme="majorBidi"/>
          <w:b/>
          <w:bCs/>
          <w:color w:val="FF0000"/>
          <w:sz w:val="32"/>
          <w:szCs w:val="32"/>
        </w:rPr>
        <w:t>Qatar</w:t>
      </w:r>
      <w:r w:rsidRPr="00C316D8">
        <w:rPr>
          <w:rFonts w:asciiTheme="majorBidi" w:hAnsiTheme="majorBidi" w:cstheme="majorBidi"/>
          <w:b/>
          <w:bCs/>
          <w:color w:val="2F5496" w:themeColor="accent5" w:themeShade="BF"/>
          <w:sz w:val="32"/>
          <w:szCs w:val="32"/>
        </w:rPr>
        <w:br/>
      </w:r>
      <w:r w:rsidRPr="00C316D8">
        <w:rPr>
          <w:rFonts w:asciiTheme="majorBidi" w:hAnsiTheme="majorBidi" w:cstheme="majorBidi"/>
          <w:b/>
          <w:bCs/>
          <w:sz w:val="24"/>
          <w:szCs w:val="24"/>
        </w:rPr>
        <w:t>October 2024</w:t>
      </w:r>
    </w:p>
    <w:p w14:paraId="09F9FBCD" w14:textId="77777777" w:rsidR="00C316D8" w:rsidRPr="00C316D8" w:rsidRDefault="00C316D8" w:rsidP="00C316D8">
      <w:pPr>
        <w:jc w:val="both"/>
        <w:rPr>
          <w:rFonts w:asciiTheme="majorBidi" w:hAnsiTheme="majorBidi" w:cstheme="majorBidi"/>
          <w:sz w:val="24"/>
          <w:szCs w:val="24"/>
        </w:rPr>
      </w:pPr>
      <w:r w:rsidRPr="00C316D8">
        <w:rPr>
          <w:rFonts w:asciiTheme="majorBidi" w:hAnsiTheme="majorBidi" w:cstheme="majorBidi"/>
          <w:b/>
          <w:bCs/>
          <w:sz w:val="24"/>
          <w:szCs w:val="24"/>
        </w:rPr>
        <w:t>Maat for Peace, Development, and Human Rights</w:t>
      </w:r>
      <w:r w:rsidRPr="00C316D8">
        <w:rPr>
          <w:rFonts w:asciiTheme="majorBidi" w:hAnsiTheme="majorBidi" w:cstheme="majorBidi"/>
          <w:sz w:val="24"/>
          <w:szCs w:val="24"/>
        </w:rPr>
        <w:t xml:space="preserve"> submits this report to the Committee on the Rights of the Child regarding the State of Qatar compliance with the Convention on the Rights of the Child. This report focuses on the extent of Qatar adherence to key articles of Convention and its commitment to implementing the Committee’s recommendations outlined in its concluding observations on the combined third and fourth periodic reports of the State party. The report specifically addresses Articles 1 (definition of a child), 2 (non-discrimination against children), 10 (communication with parents across borders), 12 (respecting children’s views), 23 (rights of children with disabilities), and 28 (access to education).</w:t>
      </w:r>
    </w:p>
    <w:p w14:paraId="563DAE94" w14:textId="77777777" w:rsidR="00C316D8" w:rsidRPr="00C316D8" w:rsidRDefault="00C316D8" w:rsidP="00C316D8">
      <w:pPr>
        <w:jc w:val="both"/>
        <w:rPr>
          <w:rFonts w:asciiTheme="majorBidi" w:hAnsiTheme="majorBidi" w:cstheme="majorBidi"/>
          <w:b/>
          <w:bCs/>
          <w:color w:val="ED0000"/>
          <w:sz w:val="28"/>
          <w:szCs w:val="28"/>
        </w:rPr>
      </w:pPr>
      <w:r w:rsidRPr="00C316D8">
        <w:rPr>
          <w:rFonts w:asciiTheme="majorBidi" w:hAnsiTheme="majorBidi" w:cstheme="majorBidi"/>
          <w:b/>
          <w:bCs/>
          <w:color w:val="ED0000"/>
          <w:sz w:val="28"/>
          <w:szCs w:val="28"/>
        </w:rPr>
        <w:t>Definition of a Child: Article 1</w:t>
      </w:r>
    </w:p>
    <w:p w14:paraId="175F4C12" w14:textId="77777777" w:rsidR="00C316D8" w:rsidRPr="00C316D8" w:rsidRDefault="00C316D8" w:rsidP="00C316D8">
      <w:pPr>
        <w:jc w:val="both"/>
        <w:rPr>
          <w:rFonts w:asciiTheme="majorBidi" w:hAnsiTheme="majorBidi" w:cstheme="majorBidi"/>
          <w:sz w:val="24"/>
          <w:szCs w:val="24"/>
        </w:rPr>
      </w:pPr>
      <w:r w:rsidRPr="00C316D8">
        <w:rPr>
          <w:rFonts w:asciiTheme="majorBidi" w:hAnsiTheme="majorBidi" w:cstheme="majorBidi"/>
          <w:sz w:val="24"/>
          <w:szCs w:val="24"/>
        </w:rPr>
        <w:t>Article 1 of the Convention on the Rights of the Child defines a child as “every human being below the age of eighteen years unless, under the law applicable to him, majority is attained earlier.”</w:t>
      </w:r>
      <w:r w:rsidRPr="00C316D8">
        <w:rPr>
          <w:rStyle w:val="FootnoteReference"/>
          <w:rFonts w:asciiTheme="majorBidi" w:hAnsiTheme="majorBidi" w:cstheme="majorBidi"/>
          <w:sz w:val="24"/>
          <w:szCs w:val="24"/>
        </w:rPr>
        <w:footnoteReference w:id="1"/>
      </w:r>
      <w:r w:rsidRPr="00C316D8">
        <w:rPr>
          <w:rFonts w:asciiTheme="majorBidi" w:hAnsiTheme="majorBidi" w:cstheme="majorBidi"/>
          <w:sz w:val="24"/>
          <w:szCs w:val="24"/>
        </w:rPr>
        <w:t xml:space="preserve"> Maat reviewed the legal framework according to the Constitution and Qatari laws related to children and found that the permanent Constitution of the State does not provide a definition of a child.</w:t>
      </w:r>
      <w:r w:rsidRPr="00C316D8">
        <w:rPr>
          <w:rStyle w:val="FootnoteReference"/>
          <w:rFonts w:asciiTheme="majorBidi" w:hAnsiTheme="majorBidi" w:cstheme="majorBidi"/>
          <w:sz w:val="24"/>
          <w:szCs w:val="24"/>
        </w:rPr>
        <w:footnoteReference w:id="2"/>
      </w:r>
      <w:r w:rsidRPr="00C316D8">
        <w:rPr>
          <w:rFonts w:asciiTheme="majorBidi" w:hAnsiTheme="majorBidi" w:cstheme="majorBidi"/>
          <w:sz w:val="24"/>
          <w:szCs w:val="24"/>
        </w:rPr>
        <w:t xml:space="preserve"> While various Qatari laws include definitions, they lack consistency and completeness. For instance, Anti-Human Trafficking Law No. 15 of 2011 defines a child in Article 1 as “any person who has not reached the age of eighteen years.”</w:t>
      </w:r>
      <w:r w:rsidRPr="00C316D8">
        <w:rPr>
          <w:rStyle w:val="FootnoteReference"/>
          <w:rFonts w:asciiTheme="majorBidi" w:hAnsiTheme="majorBidi" w:cstheme="majorBidi"/>
          <w:sz w:val="24"/>
          <w:szCs w:val="24"/>
        </w:rPr>
        <w:footnoteReference w:id="3"/>
      </w:r>
      <w:r w:rsidRPr="00C316D8">
        <w:rPr>
          <w:rFonts w:asciiTheme="majorBidi" w:hAnsiTheme="majorBidi" w:cstheme="majorBidi"/>
          <w:sz w:val="24"/>
          <w:szCs w:val="24"/>
        </w:rPr>
        <w:t xml:space="preserve"> Similarly, Family Law No. 22 of 2006 states in Article 189 that “full capacity is every person who has reached the age of majority upon reaching eighteen years and has not been placed under guardianship.”</w:t>
      </w:r>
      <w:r w:rsidRPr="00C316D8">
        <w:rPr>
          <w:rStyle w:val="FootnoteReference"/>
          <w:rFonts w:asciiTheme="majorBidi" w:hAnsiTheme="majorBidi" w:cstheme="majorBidi"/>
          <w:sz w:val="24"/>
          <w:szCs w:val="24"/>
        </w:rPr>
        <w:footnoteReference w:id="4"/>
      </w:r>
      <w:r w:rsidRPr="00C316D8">
        <w:rPr>
          <w:rFonts w:asciiTheme="majorBidi" w:hAnsiTheme="majorBidi" w:cstheme="majorBidi"/>
          <w:sz w:val="24"/>
          <w:szCs w:val="24"/>
        </w:rPr>
        <w:t xml:space="preserve"> Additionally, Guardianship of Minors Property Law No. 40 of 2004 defines a minor as someone who has not reached the age of majority, which is set at eighteen years.</w:t>
      </w:r>
      <w:r w:rsidRPr="00C316D8">
        <w:rPr>
          <w:rStyle w:val="FootnoteReference"/>
          <w:rFonts w:asciiTheme="majorBidi" w:hAnsiTheme="majorBidi" w:cstheme="majorBidi"/>
          <w:sz w:val="24"/>
          <w:szCs w:val="24"/>
        </w:rPr>
        <w:footnoteReference w:id="5"/>
      </w:r>
      <w:r w:rsidRPr="00C316D8">
        <w:rPr>
          <w:rFonts w:asciiTheme="majorBidi" w:hAnsiTheme="majorBidi" w:cstheme="majorBidi"/>
          <w:sz w:val="24"/>
          <w:szCs w:val="24"/>
        </w:rPr>
        <w:t xml:space="preserve"> Maat notes that these definitions do not provide a unified understanding of a child. Qatari laws allow marriage at a minimum age of eighteen for boys and sixteen for girls</w:t>
      </w:r>
      <w:r w:rsidRPr="00C316D8">
        <w:rPr>
          <w:rStyle w:val="FootnoteReference"/>
          <w:rFonts w:asciiTheme="majorBidi" w:hAnsiTheme="majorBidi" w:cstheme="majorBidi"/>
          <w:sz w:val="24"/>
          <w:szCs w:val="24"/>
        </w:rPr>
        <w:footnoteReference w:id="6"/>
      </w:r>
      <w:r w:rsidRPr="00C316D8">
        <w:rPr>
          <w:rFonts w:asciiTheme="majorBidi" w:hAnsiTheme="majorBidi" w:cstheme="majorBidi"/>
          <w:sz w:val="24"/>
          <w:szCs w:val="24"/>
        </w:rPr>
        <w:t xml:space="preserve"> while simultaneously criminalizing child marriage. This discrepancy indicates that the definitions of a child in Qatari laws do not apply uniformly to all children. Therefore, Maat urges Committee on the Rights of the Child to encourage the Qatari State to expedite the approval of the draft Child Law, which is still under discussion by the Legal and Legislative Affairs </w:t>
      </w:r>
      <w:r w:rsidRPr="00C316D8">
        <w:rPr>
          <w:rFonts w:asciiTheme="majorBidi" w:hAnsiTheme="majorBidi" w:cstheme="majorBidi"/>
          <w:sz w:val="24"/>
          <w:szCs w:val="24"/>
        </w:rPr>
        <w:lastRenderedPageBreak/>
        <w:t>Committee of the Shura Council.</w:t>
      </w:r>
      <w:r w:rsidRPr="00C316D8">
        <w:rPr>
          <w:rStyle w:val="FootnoteReference"/>
          <w:rFonts w:asciiTheme="majorBidi" w:hAnsiTheme="majorBidi" w:cstheme="majorBidi"/>
          <w:sz w:val="24"/>
          <w:szCs w:val="24"/>
        </w:rPr>
        <w:footnoteReference w:id="7"/>
      </w:r>
      <w:r w:rsidRPr="00C316D8">
        <w:rPr>
          <w:rFonts w:asciiTheme="majorBidi" w:hAnsiTheme="majorBidi" w:cstheme="majorBidi"/>
          <w:sz w:val="24"/>
          <w:szCs w:val="24"/>
        </w:rPr>
        <w:t xml:space="preserve"> This new law should include a unified definition of a child, aligning with Article 1 of the Convention on the Rights of the Child.</w:t>
      </w:r>
    </w:p>
    <w:p w14:paraId="3DF5FC05" w14:textId="77777777" w:rsidR="00C316D8" w:rsidRPr="00C316D8" w:rsidRDefault="00C316D8" w:rsidP="00C316D8">
      <w:pPr>
        <w:jc w:val="both"/>
        <w:rPr>
          <w:rFonts w:asciiTheme="majorBidi" w:hAnsiTheme="majorBidi" w:cstheme="majorBidi"/>
          <w:b/>
          <w:bCs/>
          <w:color w:val="ED0000"/>
          <w:sz w:val="28"/>
          <w:szCs w:val="28"/>
        </w:rPr>
      </w:pPr>
      <w:r w:rsidRPr="00C316D8">
        <w:rPr>
          <w:rFonts w:asciiTheme="majorBidi" w:hAnsiTheme="majorBidi" w:cstheme="majorBidi"/>
          <w:b/>
          <w:bCs/>
          <w:color w:val="ED0000"/>
          <w:sz w:val="28"/>
          <w:szCs w:val="28"/>
        </w:rPr>
        <w:t>Non-Discrimination: Article 2</w:t>
      </w:r>
    </w:p>
    <w:p w14:paraId="20D22F79" w14:textId="77777777" w:rsidR="00C316D8" w:rsidRPr="00C316D8" w:rsidRDefault="00C316D8" w:rsidP="000629AA">
      <w:pPr>
        <w:jc w:val="both"/>
        <w:rPr>
          <w:rFonts w:asciiTheme="majorBidi" w:hAnsiTheme="majorBidi" w:cstheme="majorBidi"/>
          <w:sz w:val="24"/>
          <w:szCs w:val="24"/>
        </w:rPr>
      </w:pPr>
      <w:r w:rsidRPr="00C316D8">
        <w:rPr>
          <w:rFonts w:asciiTheme="majorBidi" w:hAnsiTheme="majorBidi" w:cstheme="majorBidi"/>
          <w:sz w:val="24"/>
          <w:szCs w:val="24"/>
        </w:rPr>
        <w:t>Article 2 of the Convention on the Rights of the Child emphasizes the necessity of respecting all rights contained within the Convention for all children, without any form of discrimination. States Parties are required to take all appropriate measures to protect children from any forms of discrimination.</w:t>
      </w:r>
      <w:r w:rsidRPr="00C316D8">
        <w:rPr>
          <w:rStyle w:val="FootnoteReference"/>
          <w:rFonts w:asciiTheme="majorBidi" w:hAnsiTheme="majorBidi" w:cstheme="majorBidi"/>
          <w:sz w:val="24"/>
          <w:szCs w:val="24"/>
        </w:rPr>
        <w:footnoteReference w:id="8"/>
      </w:r>
      <w:r w:rsidRPr="00C316D8">
        <w:rPr>
          <w:rFonts w:asciiTheme="majorBidi" w:hAnsiTheme="majorBidi" w:cstheme="majorBidi"/>
          <w:sz w:val="24"/>
          <w:szCs w:val="24"/>
        </w:rPr>
        <w:t xml:space="preserve"> Despite this, Maat has noted that the State of Qatar has not fully complied with Article 2 of the Convention on the Rights of the Child. Concerning the acquisition of Qatari citizenship, Qatari women do not have the right to transfer citizenship to their children, unlike Qatari men, who can pass their nationality to their offspring. Consequently, the children of Qatari mothers cannot apply for citizenship unless they meet a stringent set of conditions, including having resided in Qatar for at least 25 consecutive years, possessing a legitimate source of income, maintaining a good reputation (with no convictions affecting their honor or integrity), and demonstrating proficiency in the Arabic language.</w:t>
      </w:r>
      <w:r w:rsidRPr="00C316D8">
        <w:rPr>
          <w:rStyle w:val="FootnoteReference"/>
          <w:rFonts w:asciiTheme="majorBidi" w:hAnsiTheme="majorBidi" w:cstheme="majorBidi"/>
          <w:sz w:val="24"/>
          <w:szCs w:val="24"/>
        </w:rPr>
        <w:footnoteReference w:id="9"/>
      </w:r>
    </w:p>
    <w:p w14:paraId="3A73FEC3" w14:textId="6E5D7307" w:rsidR="00C316D8" w:rsidRPr="00C316D8" w:rsidRDefault="00C316D8" w:rsidP="000629AA">
      <w:pPr>
        <w:jc w:val="both"/>
        <w:rPr>
          <w:rFonts w:asciiTheme="majorBidi" w:hAnsiTheme="majorBidi" w:cstheme="majorBidi"/>
          <w:sz w:val="24"/>
          <w:szCs w:val="24"/>
        </w:rPr>
      </w:pPr>
      <w:r w:rsidRPr="00C316D8">
        <w:rPr>
          <w:rFonts w:asciiTheme="majorBidi" w:hAnsiTheme="majorBidi" w:cstheme="majorBidi"/>
          <w:sz w:val="24"/>
          <w:szCs w:val="24"/>
        </w:rPr>
        <w:t>In Qatar, women are not recognized as guardians of their children and are often denied the authority to make independent decisions regarding their children’s documents, finances, travel, and, in some cases, their education and medical treatment, even if they are divorced and have been awarded custody by the court. In the event of the father's death, if the child does not have a male relative to act as a guardian, the state assumes this role instead of allowing the mother to fulfill it. Children in Qatar are also affected by discriminatory regulations against women regarding travel, leading to further discrimination against the children themselves. While Qatari family law allows a mother to travel with her child and permits her to appeal to a judge if the guardian prevents her from doing so, exit permit requirements complicate matters. In practice, a woman cannot travel abroad with her child unless the guardian accompanies her or grants an exit permit for the child, whereas men can travel with their children without needing the mother’s permission.</w:t>
      </w:r>
      <w:r w:rsidRPr="00C316D8">
        <w:rPr>
          <w:rStyle w:val="FootnoteReference"/>
          <w:rFonts w:asciiTheme="majorBidi" w:hAnsiTheme="majorBidi" w:cstheme="majorBidi"/>
          <w:sz w:val="24"/>
          <w:szCs w:val="24"/>
        </w:rPr>
        <w:footnoteReference w:id="10"/>
      </w:r>
    </w:p>
    <w:p w14:paraId="0F015576" w14:textId="77777777" w:rsidR="00C316D8" w:rsidRPr="00C316D8" w:rsidRDefault="00C316D8" w:rsidP="00C316D8">
      <w:pPr>
        <w:jc w:val="both"/>
        <w:rPr>
          <w:rFonts w:asciiTheme="majorBidi" w:hAnsiTheme="majorBidi" w:cstheme="majorBidi"/>
          <w:b/>
          <w:bCs/>
          <w:color w:val="ED0000"/>
          <w:sz w:val="28"/>
          <w:szCs w:val="28"/>
        </w:rPr>
      </w:pPr>
      <w:r w:rsidRPr="00C316D8">
        <w:rPr>
          <w:rFonts w:asciiTheme="majorBidi" w:hAnsiTheme="majorBidi" w:cstheme="majorBidi"/>
          <w:b/>
          <w:bCs/>
          <w:color w:val="ED0000"/>
          <w:sz w:val="28"/>
          <w:szCs w:val="28"/>
        </w:rPr>
        <w:t>Communication with Parents Across Borders: Article 10</w:t>
      </w:r>
    </w:p>
    <w:p w14:paraId="41384272" w14:textId="77777777" w:rsidR="00C316D8" w:rsidRPr="00C316D8" w:rsidRDefault="00C316D8" w:rsidP="000629AA">
      <w:pPr>
        <w:jc w:val="both"/>
        <w:rPr>
          <w:rFonts w:asciiTheme="majorBidi" w:hAnsiTheme="majorBidi" w:cstheme="majorBidi"/>
          <w:sz w:val="24"/>
          <w:szCs w:val="24"/>
        </w:rPr>
      </w:pPr>
      <w:r w:rsidRPr="00C316D8">
        <w:rPr>
          <w:rFonts w:asciiTheme="majorBidi" w:hAnsiTheme="majorBidi" w:cstheme="majorBidi"/>
          <w:sz w:val="24"/>
          <w:szCs w:val="24"/>
        </w:rPr>
        <w:t xml:space="preserve">Article 10 of the Convention on the Rights of the Child states that "States Parties shall consider applications by a child or his or her parents to enter or leave a State Party for the purpose of family reunification in a positive, humane, and expeditious manner. A child residing with his or her </w:t>
      </w:r>
      <w:r w:rsidRPr="00C316D8">
        <w:rPr>
          <w:rFonts w:asciiTheme="majorBidi" w:hAnsiTheme="majorBidi" w:cstheme="majorBidi"/>
          <w:sz w:val="24"/>
          <w:szCs w:val="24"/>
        </w:rPr>
        <w:lastRenderedPageBreak/>
        <w:t>parents in different States shall have the right to maintain, on a regular basis, personal relations and direct contacts with both parents."</w:t>
      </w:r>
      <w:r w:rsidRPr="00C316D8">
        <w:rPr>
          <w:rStyle w:val="FootnoteReference"/>
          <w:rFonts w:asciiTheme="majorBidi" w:hAnsiTheme="majorBidi" w:cstheme="majorBidi"/>
          <w:sz w:val="24"/>
          <w:szCs w:val="24"/>
        </w:rPr>
        <w:footnoteReference w:id="11"/>
      </w:r>
      <w:r w:rsidRPr="00C316D8">
        <w:rPr>
          <w:rFonts w:asciiTheme="majorBidi" w:hAnsiTheme="majorBidi" w:cstheme="majorBidi"/>
          <w:sz w:val="24"/>
          <w:szCs w:val="24"/>
        </w:rPr>
        <w:t xml:space="preserve"> Maat observes that Qatari laws violate these obligations. Although Qatari family law stipulates that, after divorce, a Muslim mother must have custody of her child until the age of 13 for boys and 15 for girls, and a non-Muslim mother maintains custody until the age of seven, children are required to reside in the same country as their guardian. Additionally, they can be removed from their mother’s custody if she remarries, making it practically challenging for them to maintain communication with her, especially if the father does not facilitate such contact. Furthermore, children are not allowed to travel without the guardian’s permission, as male guardians are responsible for obtaining Qatari identity cards and passports for children, including their renewal. This complicates travel arrangements for children wishing to visit their mother if she is abroad, particularly if the male guardian does not consent for any reason.</w:t>
      </w:r>
      <w:r w:rsidRPr="00C316D8">
        <w:rPr>
          <w:rStyle w:val="FootnoteReference"/>
          <w:rFonts w:asciiTheme="majorBidi" w:hAnsiTheme="majorBidi" w:cstheme="majorBidi"/>
          <w:sz w:val="24"/>
          <w:szCs w:val="24"/>
        </w:rPr>
        <w:footnoteReference w:id="12"/>
      </w:r>
    </w:p>
    <w:p w14:paraId="2659DA32" w14:textId="77777777" w:rsidR="00C316D8" w:rsidRPr="00C316D8" w:rsidRDefault="00C316D8" w:rsidP="00C316D8">
      <w:pPr>
        <w:jc w:val="both"/>
        <w:rPr>
          <w:rFonts w:asciiTheme="majorBidi" w:hAnsiTheme="majorBidi" w:cstheme="majorBidi"/>
          <w:color w:val="ED0000"/>
          <w:sz w:val="28"/>
          <w:szCs w:val="28"/>
        </w:rPr>
      </w:pPr>
      <w:r w:rsidRPr="00C316D8">
        <w:rPr>
          <w:rFonts w:asciiTheme="majorBidi" w:hAnsiTheme="majorBidi" w:cstheme="majorBidi"/>
          <w:b/>
          <w:bCs/>
          <w:color w:val="ED0000"/>
          <w:sz w:val="28"/>
          <w:szCs w:val="28"/>
        </w:rPr>
        <w:t>Respect for the Opinions of Children: Article 12</w:t>
      </w:r>
    </w:p>
    <w:p w14:paraId="60146E47" w14:textId="445B371E" w:rsidR="00C316D8" w:rsidRPr="00C316D8" w:rsidRDefault="00C316D8" w:rsidP="00C4521C">
      <w:pPr>
        <w:jc w:val="both"/>
        <w:rPr>
          <w:rFonts w:asciiTheme="majorBidi" w:hAnsiTheme="majorBidi" w:cstheme="majorBidi"/>
          <w:sz w:val="24"/>
          <w:szCs w:val="24"/>
        </w:rPr>
      </w:pPr>
      <w:r w:rsidRPr="00C316D8">
        <w:rPr>
          <w:rFonts w:asciiTheme="majorBidi" w:hAnsiTheme="majorBidi" w:cstheme="majorBidi"/>
          <w:sz w:val="24"/>
          <w:szCs w:val="24"/>
        </w:rPr>
        <w:t>Article 12 of the Convention guarantees every child capable of forming their own opinions the right to express those opinions freely on all matters affecting them. The child's opinions must be given due consideration in accordance with their age and maturity. This article also allows the child the opportunity to be heard in any judicial and administrative proceedings affecting them, either directly or through a representative or appropriate body.</w:t>
      </w:r>
      <w:r w:rsidRPr="00C316D8">
        <w:rPr>
          <w:rStyle w:val="FootnoteReference"/>
          <w:rFonts w:asciiTheme="majorBidi" w:hAnsiTheme="majorBidi" w:cstheme="majorBidi"/>
          <w:sz w:val="24"/>
          <w:szCs w:val="24"/>
        </w:rPr>
        <w:footnoteReference w:id="13"/>
      </w:r>
      <w:r w:rsidRPr="00C316D8">
        <w:rPr>
          <w:rFonts w:asciiTheme="majorBidi" w:hAnsiTheme="majorBidi" w:cstheme="majorBidi"/>
          <w:sz w:val="24"/>
          <w:szCs w:val="24"/>
        </w:rPr>
        <w:t xml:space="preserve"> Maat has documented several laws and provisions that enhance the consideration of the child's opinion and grant them the freedom to express their views and choices. Regarding child custody, Qatari Family Law stipulates that the competent court must hear the child’s opinion concerning their custodial arrangements. The Guardianship of Minors’ Property Law grants the child the right to express opinions regarding the management of their finances, allowing them to manage or trade some or all of their funds at the age of sixteen, with the judge’s approval and after consulting the General Authority for Minors’ Affairs. The minor is required to submit an annual account of their actions to this Authority. In terms of litigation, Qatari law does not prevent the court from hearing children’s opinions in civil or criminal disputes. The judge can request to hear the opinions of children for informational purposes, at their discretion.</w:t>
      </w:r>
      <w:r w:rsidRPr="00C316D8">
        <w:rPr>
          <w:rStyle w:val="FootnoteReference"/>
          <w:rFonts w:asciiTheme="majorBidi" w:hAnsiTheme="majorBidi" w:cstheme="majorBidi"/>
          <w:sz w:val="24"/>
          <w:szCs w:val="24"/>
        </w:rPr>
        <w:footnoteReference w:id="14"/>
      </w:r>
      <w:r w:rsidRPr="00C316D8">
        <w:rPr>
          <w:rFonts w:asciiTheme="majorBidi" w:hAnsiTheme="majorBidi" w:cstheme="majorBidi"/>
          <w:sz w:val="24"/>
          <w:szCs w:val="24"/>
        </w:rPr>
        <w:t xml:space="preserve"> Despite these provisions, Maat has not yet encountered any practical cases in which Qatari authorities have fully committed to Article 12 of the Convention, which focuses on respecting children’s opinions in matters concerning them. Therefore, Maat recommends that the Committee on the Rights of the Child urge Qatari authorities to include </w:t>
      </w:r>
      <w:r w:rsidRPr="00C316D8">
        <w:rPr>
          <w:rFonts w:asciiTheme="majorBidi" w:hAnsiTheme="majorBidi" w:cstheme="majorBidi"/>
          <w:sz w:val="24"/>
          <w:szCs w:val="24"/>
        </w:rPr>
        <w:lastRenderedPageBreak/>
        <w:t>practical models for implementing Article 12 in their reports, enabling civil society organizations to measure the extent of the Qatari government’s compliance with this article.</w:t>
      </w:r>
    </w:p>
    <w:p w14:paraId="0AD789E4" w14:textId="77777777" w:rsidR="00C316D8" w:rsidRPr="00C316D8" w:rsidRDefault="00C316D8" w:rsidP="00C316D8">
      <w:pPr>
        <w:jc w:val="both"/>
        <w:rPr>
          <w:rFonts w:asciiTheme="majorBidi" w:hAnsiTheme="majorBidi" w:cstheme="majorBidi"/>
          <w:color w:val="ED0000"/>
          <w:sz w:val="28"/>
          <w:szCs w:val="28"/>
        </w:rPr>
      </w:pPr>
      <w:r w:rsidRPr="00C316D8">
        <w:rPr>
          <w:rFonts w:asciiTheme="majorBidi" w:hAnsiTheme="majorBidi" w:cstheme="majorBidi"/>
          <w:b/>
          <w:bCs/>
          <w:color w:val="ED0000"/>
          <w:sz w:val="28"/>
          <w:szCs w:val="28"/>
        </w:rPr>
        <w:t>Rights of Children with Disabilities: Article 23</w:t>
      </w:r>
    </w:p>
    <w:p w14:paraId="09D1991E" w14:textId="77777777" w:rsidR="00C316D8" w:rsidRPr="00C316D8" w:rsidRDefault="00C316D8" w:rsidP="00C4521C">
      <w:pPr>
        <w:jc w:val="both"/>
        <w:rPr>
          <w:rFonts w:asciiTheme="majorBidi" w:hAnsiTheme="majorBidi" w:cstheme="majorBidi"/>
          <w:sz w:val="24"/>
          <w:szCs w:val="24"/>
        </w:rPr>
      </w:pPr>
      <w:r w:rsidRPr="00C316D8">
        <w:rPr>
          <w:rFonts w:asciiTheme="majorBidi" w:hAnsiTheme="majorBidi" w:cstheme="majorBidi"/>
          <w:sz w:val="24"/>
          <w:szCs w:val="24"/>
        </w:rPr>
        <w:t>According to Article 23 of the Convention on the Rights of the Child, the State Party "recognizes that a child with a mental or physical disability should enjoy a full and decent life, in conditions which ensure dignity, promote self-reliance, and facilitate their active participation in society."</w:t>
      </w:r>
      <w:r w:rsidRPr="00C316D8">
        <w:rPr>
          <w:rStyle w:val="FootnoteReference"/>
          <w:rFonts w:asciiTheme="majorBidi" w:hAnsiTheme="majorBidi" w:cstheme="majorBidi"/>
          <w:sz w:val="24"/>
          <w:szCs w:val="24"/>
        </w:rPr>
        <w:footnoteReference w:id="15"/>
      </w:r>
      <w:r w:rsidRPr="00C316D8">
        <w:rPr>
          <w:rFonts w:asciiTheme="majorBidi" w:hAnsiTheme="majorBidi" w:cstheme="majorBidi"/>
          <w:sz w:val="24"/>
          <w:szCs w:val="24"/>
        </w:rPr>
        <w:t xml:space="preserve"> Maat notes that some Qatari legislation guarantees the rights of persons with disabilities, including children. Notably, Law No. 2 of 2004 ensures the protection of the basic rights of persons with special needs, promoting their rehabilitation and empowerment within society. This law guarantees that persons with disabilities enjoy a range of rights, including access to education, rehabilitation, and medical, psychological, cultural, and social care, as well as relief services and other forms of assistance. It also provides for the acquisition of tools, devices, means of transportation, and equipment that facilitate learning, rehabilitation, movement, and mobility.</w:t>
      </w:r>
      <w:r w:rsidRPr="00C316D8">
        <w:rPr>
          <w:rStyle w:val="FootnoteReference"/>
          <w:rFonts w:asciiTheme="majorBidi" w:hAnsiTheme="majorBidi" w:cstheme="majorBidi"/>
          <w:sz w:val="24"/>
          <w:szCs w:val="24"/>
        </w:rPr>
        <w:footnoteReference w:id="16"/>
      </w:r>
      <w:r w:rsidRPr="00C316D8">
        <w:rPr>
          <w:rFonts w:asciiTheme="majorBidi" w:hAnsiTheme="majorBidi" w:cstheme="majorBidi"/>
          <w:sz w:val="24"/>
          <w:szCs w:val="24"/>
        </w:rPr>
        <w:t xml:space="preserve"> In practice, Maat has documented the Qatari government's expansion of the Empowerment Program, which aims to rehabilitate children with disabilities and provide them with opportunities for education, employment, and social integration. Qatari government is actively working to provide a comprehensive learning environment for persons with disabilities at various educational levels, with an annual target of up to 20% from 2023 to 2026.</w:t>
      </w:r>
      <w:r w:rsidRPr="00C316D8">
        <w:rPr>
          <w:rStyle w:val="FootnoteReference"/>
          <w:rFonts w:asciiTheme="majorBidi" w:hAnsiTheme="majorBidi" w:cstheme="majorBidi"/>
          <w:sz w:val="24"/>
          <w:szCs w:val="24"/>
        </w:rPr>
        <w:footnoteReference w:id="17"/>
      </w:r>
      <w:r w:rsidRPr="00C316D8">
        <w:rPr>
          <w:rFonts w:asciiTheme="majorBidi" w:hAnsiTheme="majorBidi" w:cstheme="majorBidi"/>
          <w:sz w:val="24"/>
          <w:szCs w:val="24"/>
        </w:rPr>
        <w:t xml:space="preserve"> Despite these national efforts to improve the conditions for children with disabilities, there is a significant lack of disaggregated data on this population, as well as an efficient disability diagnosis system necessary for formulating suitable program policies.</w:t>
      </w:r>
    </w:p>
    <w:p w14:paraId="48EBCA99" w14:textId="77777777" w:rsidR="00C316D8" w:rsidRPr="00C316D8" w:rsidRDefault="00C316D8" w:rsidP="00C316D8">
      <w:pPr>
        <w:jc w:val="both"/>
        <w:rPr>
          <w:rFonts w:asciiTheme="majorBidi" w:hAnsiTheme="majorBidi" w:cstheme="majorBidi"/>
          <w:b/>
          <w:bCs/>
          <w:color w:val="ED0000"/>
          <w:sz w:val="28"/>
          <w:szCs w:val="28"/>
        </w:rPr>
      </w:pPr>
      <w:r w:rsidRPr="00C316D8">
        <w:rPr>
          <w:rFonts w:asciiTheme="majorBidi" w:hAnsiTheme="majorBidi" w:cstheme="majorBidi"/>
          <w:b/>
          <w:bCs/>
          <w:color w:val="ED0000"/>
          <w:sz w:val="28"/>
          <w:szCs w:val="28"/>
        </w:rPr>
        <w:t>Access to Education: Article (28)</w:t>
      </w:r>
    </w:p>
    <w:p w14:paraId="18C819FD" w14:textId="77777777" w:rsidR="00C316D8" w:rsidRPr="00C316D8" w:rsidRDefault="00C316D8" w:rsidP="00C4521C">
      <w:pPr>
        <w:jc w:val="both"/>
        <w:rPr>
          <w:rFonts w:asciiTheme="majorBidi" w:hAnsiTheme="majorBidi" w:cstheme="majorBidi"/>
          <w:sz w:val="24"/>
          <w:szCs w:val="24"/>
        </w:rPr>
      </w:pPr>
      <w:r w:rsidRPr="00C316D8">
        <w:rPr>
          <w:rFonts w:asciiTheme="majorBidi" w:hAnsiTheme="majorBidi" w:cstheme="majorBidi"/>
          <w:sz w:val="24"/>
          <w:szCs w:val="24"/>
        </w:rPr>
        <w:t>Article (28) of Convention on the Rights of the Child guarantees every child's right to education. This includes making primary education compulsory and free for all, encouraging the development of various forms of secondary education, implementing measures to promote regular school attendance while reducing dropout rates, and fostering international cooperation to eliminate ignorance and illiteracy worldwide while facilitating access to scientific, technical knowledge, and modern educational methods.</w:t>
      </w:r>
      <w:r w:rsidRPr="00C316D8">
        <w:rPr>
          <w:rStyle w:val="FootnoteReference"/>
          <w:rFonts w:asciiTheme="majorBidi" w:hAnsiTheme="majorBidi" w:cstheme="majorBidi"/>
          <w:sz w:val="24"/>
          <w:szCs w:val="24"/>
        </w:rPr>
        <w:footnoteReference w:id="18"/>
      </w:r>
      <w:r w:rsidRPr="00C316D8">
        <w:rPr>
          <w:rFonts w:asciiTheme="majorBidi" w:hAnsiTheme="majorBidi" w:cstheme="majorBidi"/>
          <w:sz w:val="24"/>
          <w:szCs w:val="24"/>
        </w:rPr>
        <w:t xml:space="preserve"> Maat notes that Article (25) of the Qatari Constitution guarantees the right to education, stating that "Education is a fundamental pillar of the progress of society, </w:t>
      </w:r>
      <w:r w:rsidRPr="00C316D8">
        <w:rPr>
          <w:rFonts w:asciiTheme="majorBidi" w:hAnsiTheme="majorBidi" w:cstheme="majorBidi"/>
          <w:sz w:val="24"/>
          <w:szCs w:val="24"/>
        </w:rPr>
        <w:lastRenderedPageBreak/>
        <w:t>which the State guarantees and sponsors, seeking to spread and generalize it." This right is further enshrined in Article (49), which specifies that "Education is a right for every citizen, and the State seeks to achieve compulsory and free public education in accordance with the applicable laws and regulations."</w:t>
      </w:r>
      <w:r w:rsidRPr="00C316D8">
        <w:rPr>
          <w:rStyle w:val="FootnoteReference"/>
          <w:rFonts w:asciiTheme="majorBidi" w:hAnsiTheme="majorBidi" w:cstheme="majorBidi"/>
          <w:sz w:val="24"/>
          <w:szCs w:val="24"/>
        </w:rPr>
        <w:footnoteReference w:id="19"/>
      </w:r>
      <w:r w:rsidRPr="00C316D8">
        <w:rPr>
          <w:rFonts w:asciiTheme="majorBidi" w:hAnsiTheme="majorBidi" w:cstheme="majorBidi"/>
          <w:sz w:val="24"/>
          <w:szCs w:val="24"/>
        </w:rPr>
        <w:t xml:space="preserve"> In terms of practical implementation, Maat has documented Qatari efforts related to the right to education, most notably the launch of the Ministry of Education and Higher Education's Strategy 2024-2030 by the Qatari Council of Ministers, under the slogan "Igniting the Flame of Learning." This strategy aims to enhance the education sector in Qatar by providing high-quality education, ensuring equal opportunities, continuously developing teachers' skills, and improving the educational environment according to the latest pedagogical practices.</w:t>
      </w:r>
      <w:r w:rsidRPr="00C316D8">
        <w:rPr>
          <w:rStyle w:val="FootnoteReference"/>
          <w:rFonts w:asciiTheme="majorBidi" w:hAnsiTheme="majorBidi" w:cstheme="majorBidi"/>
          <w:sz w:val="24"/>
          <w:szCs w:val="24"/>
        </w:rPr>
        <w:footnoteReference w:id="20"/>
      </w:r>
      <w:r w:rsidRPr="00C316D8">
        <w:rPr>
          <w:rFonts w:asciiTheme="majorBidi" w:hAnsiTheme="majorBidi" w:cstheme="majorBidi"/>
          <w:sz w:val="24"/>
          <w:szCs w:val="24"/>
        </w:rPr>
        <w:t xml:space="preserve"> Additionally, Qatari government has decided to introduce an age-three level in government kindergartens for the academic year 2023-2024, supervised by the Early Education Department of the Ministry of Education and Higher Education. This decision emphasizes the importance of early education due to its positive impact on children's lives and their motivation to learn.</w:t>
      </w:r>
      <w:r w:rsidRPr="00C316D8">
        <w:rPr>
          <w:rStyle w:val="FootnoteReference"/>
          <w:rFonts w:asciiTheme="majorBidi" w:hAnsiTheme="majorBidi" w:cstheme="majorBidi"/>
          <w:sz w:val="24"/>
          <w:szCs w:val="24"/>
        </w:rPr>
        <w:footnoteReference w:id="21"/>
      </w:r>
      <w:r w:rsidRPr="00C316D8">
        <w:rPr>
          <w:rFonts w:asciiTheme="majorBidi" w:hAnsiTheme="majorBidi" w:cstheme="majorBidi"/>
          <w:sz w:val="24"/>
          <w:szCs w:val="24"/>
        </w:rPr>
        <w:t xml:space="preserve"> Maat has also documented Qatari efforts to deliver quality educational services to millions of children and youth globally through programs supported by the Qatar Development Fund in 65 countries, particularly in conflict-affected areas. Estimates indicate that the total support provided by the Qatar Development Fund to the education sector will reach nearly one billion dollars over the past decade.</w:t>
      </w:r>
      <w:r w:rsidRPr="00C316D8">
        <w:rPr>
          <w:rStyle w:val="FootnoteReference"/>
          <w:rFonts w:asciiTheme="majorBidi" w:hAnsiTheme="majorBidi" w:cstheme="majorBidi"/>
          <w:sz w:val="24"/>
          <w:szCs w:val="24"/>
        </w:rPr>
        <w:footnoteReference w:id="22"/>
      </w:r>
    </w:p>
    <w:p w14:paraId="4F99C08C" w14:textId="333CCB1A" w:rsidR="00C316D8" w:rsidRPr="00C316D8" w:rsidRDefault="00C316D8" w:rsidP="00C4521C">
      <w:pPr>
        <w:jc w:val="both"/>
        <w:rPr>
          <w:rFonts w:asciiTheme="majorBidi" w:hAnsiTheme="majorBidi" w:cstheme="majorBidi"/>
          <w:sz w:val="24"/>
          <w:szCs w:val="24"/>
        </w:rPr>
      </w:pPr>
      <w:r w:rsidRPr="00C316D8">
        <w:rPr>
          <w:rFonts w:asciiTheme="majorBidi" w:hAnsiTheme="majorBidi" w:cstheme="majorBidi"/>
          <w:sz w:val="24"/>
          <w:szCs w:val="24"/>
        </w:rPr>
        <w:t>Despite these efforts, Maat has serious concerns regarding some schools that require women to obtain the father’s documents for enrolling their children. Additionally, schools may demand the child’s passport or Qatari ID card for registration, which is often held by the father. Furthermore, the father can transfer his children to another school at any time without the mother’s consent, which hinders access to education for some children, particularly in the event of family disputes.</w:t>
      </w:r>
      <w:r w:rsidR="00E410DF">
        <w:rPr>
          <w:rFonts w:asciiTheme="majorBidi" w:hAnsiTheme="majorBidi" w:cstheme="majorBidi"/>
          <w:sz w:val="24"/>
          <w:szCs w:val="24"/>
        </w:rPr>
        <w:t xml:space="preserve"> </w:t>
      </w:r>
      <w:r w:rsidRPr="00C316D8">
        <w:rPr>
          <w:rFonts w:asciiTheme="majorBidi" w:hAnsiTheme="majorBidi" w:cstheme="majorBidi"/>
          <w:sz w:val="24"/>
          <w:szCs w:val="24"/>
        </w:rPr>
        <w:t>Qatari government’s decision in 1996 to strip families of the Al-Ghufran clan, a prominent branch of the Al-Murrah tribe, of their citizenship has left many members stateless, depriving them of basic human rights, including access to education.</w:t>
      </w:r>
      <w:r w:rsidRPr="00C316D8">
        <w:rPr>
          <w:rStyle w:val="FootnoteReference"/>
          <w:rFonts w:asciiTheme="majorBidi" w:hAnsiTheme="majorBidi" w:cstheme="majorBidi"/>
          <w:sz w:val="24"/>
          <w:szCs w:val="24"/>
        </w:rPr>
        <w:footnoteReference w:id="23"/>
      </w:r>
      <w:r w:rsidRPr="00C316D8">
        <w:rPr>
          <w:rFonts w:asciiTheme="majorBidi" w:hAnsiTheme="majorBidi" w:cstheme="majorBidi"/>
          <w:sz w:val="24"/>
          <w:szCs w:val="24"/>
        </w:rPr>
        <w:t xml:space="preserve"> Maat has documented significant challenges faced by children of migrant workers in accessing education, particularly the high costs associated </w:t>
      </w:r>
      <w:r w:rsidRPr="00C316D8">
        <w:rPr>
          <w:rFonts w:asciiTheme="majorBidi" w:hAnsiTheme="majorBidi" w:cstheme="majorBidi"/>
          <w:sz w:val="24"/>
          <w:szCs w:val="24"/>
        </w:rPr>
        <w:lastRenderedPageBreak/>
        <w:t>with attending schools designed to meet their needs. For many families, these school fees are prohibitive, making it difficult to send their children to school.</w:t>
      </w:r>
      <w:r w:rsidRPr="00C316D8">
        <w:rPr>
          <w:rStyle w:val="FootnoteReference"/>
          <w:rFonts w:asciiTheme="majorBidi" w:hAnsiTheme="majorBidi" w:cstheme="majorBidi"/>
          <w:sz w:val="24"/>
          <w:szCs w:val="24"/>
        </w:rPr>
        <w:footnoteReference w:id="24"/>
      </w:r>
    </w:p>
    <w:p w14:paraId="587C9931" w14:textId="77777777" w:rsidR="00C316D8" w:rsidRPr="00C316D8" w:rsidRDefault="00C316D8" w:rsidP="00C4521C">
      <w:pPr>
        <w:jc w:val="both"/>
        <w:rPr>
          <w:rFonts w:asciiTheme="majorBidi" w:hAnsiTheme="majorBidi" w:cstheme="majorBidi"/>
          <w:sz w:val="24"/>
          <w:szCs w:val="24"/>
        </w:rPr>
      </w:pPr>
      <w:r w:rsidRPr="00C316D8">
        <w:rPr>
          <w:rFonts w:asciiTheme="majorBidi" w:hAnsiTheme="majorBidi" w:cstheme="majorBidi"/>
          <w:sz w:val="24"/>
          <w:szCs w:val="24"/>
        </w:rPr>
        <w:t>Maat notes that while Qatar played a role in the adoption of resolution 74/275 by General Assembly in May 2020, which designated September 9 as the International Day to Protect Education from Attack, aiming to mobilize global advocacy for accountability regarding attacks on education,</w:t>
      </w:r>
      <w:r w:rsidRPr="00C316D8">
        <w:rPr>
          <w:rStyle w:val="FootnoteReference"/>
          <w:rFonts w:asciiTheme="majorBidi" w:hAnsiTheme="majorBidi" w:cstheme="majorBidi"/>
          <w:sz w:val="24"/>
          <w:szCs w:val="24"/>
        </w:rPr>
        <w:footnoteReference w:id="25"/>
      </w:r>
      <w:r w:rsidRPr="00C316D8">
        <w:rPr>
          <w:rFonts w:asciiTheme="majorBidi" w:hAnsiTheme="majorBidi" w:cstheme="majorBidi"/>
          <w:sz w:val="24"/>
          <w:szCs w:val="24"/>
        </w:rPr>
        <w:t xml:space="preserve"> it remains unclear whether there are any Qatari laws, policies, or training programs to protect schools from military use during armed conflict. The steps taken by the State of Qatar to implement the commitments outlined in the Safe Schools Declaration remain unspecified, putting the right to access education at risk, particularly in situations of armed conflict.</w:t>
      </w:r>
    </w:p>
    <w:p w14:paraId="3F0DE0F1" w14:textId="77777777" w:rsidR="00C316D8" w:rsidRPr="00C316D8" w:rsidRDefault="00C316D8" w:rsidP="00C316D8">
      <w:pPr>
        <w:jc w:val="both"/>
        <w:rPr>
          <w:rFonts w:asciiTheme="majorBidi" w:hAnsiTheme="majorBidi" w:cstheme="majorBidi"/>
          <w:b/>
          <w:bCs/>
          <w:color w:val="ED0000"/>
          <w:sz w:val="28"/>
          <w:szCs w:val="28"/>
        </w:rPr>
      </w:pPr>
      <w:r w:rsidRPr="00C316D8">
        <w:rPr>
          <w:rFonts w:asciiTheme="majorBidi" w:hAnsiTheme="majorBidi" w:cstheme="majorBidi"/>
          <w:b/>
          <w:bCs/>
          <w:color w:val="ED0000"/>
          <w:sz w:val="28"/>
          <w:szCs w:val="28"/>
        </w:rPr>
        <w:t>Recommendations</w:t>
      </w:r>
    </w:p>
    <w:p w14:paraId="127B45DC" w14:textId="77777777" w:rsidR="00C316D8" w:rsidRPr="00C316D8" w:rsidRDefault="00C316D8" w:rsidP="00C316D8">
      <w:pPr>
        <w:jc w:val="both"/>
        <w:rPr>
          <w:rFonts w:asciiTheme="majorBidi" w:hAnsiTheme="majorBidi" w:cstheme="majorBidi"/>
          <w:b/>
          <w:bCs/>
          <w:sz w:val="24"/>
          <w:szCs w:val="24"/>
        </w:rPr>
      </w:pPr>
      <w:r w:rsidRPr="00C316D8">
        <w:rPr>
          <w:rFonts w:asciiTheme="majorBidi" w:hAnsiTheme="majorBidi" w:cstheme="majorBidi"/>
          <w:b/>
          <w:bCs/>
          <w:sz w:val="24"/>
          <w:szCs w:val="24"/>
        </w:rPr>
        <w:t>Maat for Peace, Development and Human Rights recommends that Committee on the Rights of the Child:</w:t>
      </w:r>
    </w:p>
    <w:p w14:paraId="1E33C744" w14:textId="77777777" w:rsidR="00C316D8" w:rsidRPr="00C316D8" w:rsidRDefault="00C316D8" w:rsidP="00C316D8">
      <w:pPr>
        <w:pStyle w:val="ListParagraph"/>
        <w:numPr>
          <w:ilvl w:val="0"/>
          <w:numId w:val="40"/>
        </w:numPr>
        <w:spacing w:line="278" w:lineRule="auto"/>
        <w:jc w:val="both"/>
        <w:rPr>
          <w:rFonts w:asciiTheme="majorBidi" w:hAnsiTheme="majorBidi" w:cstheme="majorBidi"/>
          <w:sz w:val="24"/>
          <w:szCs w:val="24"/>
        </w:rPr>
      </w:pPr>
      <w:r w:rsidRPr="00C316D8">
        <w:rPr>
          <w:rFonts w:asciiTheme="majorBidi" w:hAnsiTheme="majorBidi" w:cstheme="majorBidi"/>
          <w:sz w:val="24"/>
          <w:szCs w:val="24"/>
        </w:rPr>
        <w:t>Urge State of Qatar to expedite the approval of the draft Child Law, ensuring it includes a unified definition of "child" applicable to both boys and girls.</w:t>
      </w:r>
    </w:p>
    <w:p w14:paraId="437033F9" w14:textId="77777777" w:rsidR="00C316D8" w:rsidRPr="00C316D8" w:rsidRDefault="00C316D8" w:rsidP="00C316D8">
      <w:pPr>
        <w:pStyle w:val="ListParagraph"/>
        <w:numPr>
          <w:ilvl w:val="0"/>
          <w:numId w:val="40"/>
        </w:numPr>
        <w:spacing w:line="278" w:lineRule="auto"/>
        <w:jc w:val="both"/>
        <w:rPr>
          <w:rFonts w:asciiTheme="majorBidi" w:hAnsiTheme="majorBidi" w:cstheme="majorBidi"/>
          <w:sz w:val="24"/>
          <w:szCs w:val="24"/>
        </w:rPr>
      </w:pPr>
      <w:r w:rsidRPr="00C316D8">
        <w:rPr>
          <w:rFonts w:asciiTheme="majorBidi" w:hAnsiTheme="majorBidi" w:cstheme="majorBidi"/>
          <w:sz w:val="24"/>
          <w:szCs w:val="24"/>
        </w:rPr>
        <w:t>Call on Qatari authorities to raise the minimum marriage age for girls to 18, aligning it with the minimum age for boys.</w:t>
      </w:r>
    </w:p>
    <w:p w14:paraId="4286C11B" w14:textId="77777777" w:rsidR="00C316D8" w:rsidRPr="00C316D8" w:rsidRDefault="00C316D8" w:rsidP="00C316D8">
      <w:pPr>
        <w:pStyle w:val="ListParagraph"/>
        <w:numPr>
          <w:ilvl w:val="0"/>
          <w:numId w:val="40"/>
        </w:numPr>
        <w:spacing w:line="278" w:lineRule="auto"/>
        <w:jc w:val="both"/>
        <w:rPr>
          <w:rFonts w:asciiTheme="majorBidi" w:hAnsiTheme="majorBidi" w:cstheme="majorBidi"/>
          <w:sz w:val="24"/>
          <w:szCs w:val="24"/>
        </w:rPr>
      </w:pPr>
      <w:r w:rsidRPr="00C316D8">
        <w:rPr>
          <w:rFonts w:asciiTheme="majorBidi" w:hAnsiTheme="majorBidi" w:cstheme="majorBidi"/>
          <w:sz w:val="24"/>
          <w:szCs w:val="24"/>
        </w:rPr>
        <w:t>Urge Qatari authorities to allow women to grant citizenship to their children on equal terms with men, in accordance with the principle of non-discrimination in nationality laws.</w:t>
      </w:r>
    </w:p>
    <w:p w14:paraId="46AB06FE" w14:textId="77777777" w:rsidR="00C316D8" w:rsidRPr="00C316D8" w:rsidRDefault="00C316D8" w:rsidP="00C316D8">
      <w:pPr>
        <w:pStyle w:val="ListParagraph"/>
        <w:numPr>
          <w:ilvl w:val="0"/>
          <w:numId w:val="40"/>
        </w:numPr>
        <w:spacing w:line="278" w:lineRule="auto"/>
        <w:jc w:val="both"/>
        <w:rPr>
          <w:rFonts w:asciiTheme="majorBidi" w:hAnsiTheme="majorBidi" w:cstheme="majorBidi"/>
          <w:sz w:val="24"/>
          <w:szCs w:val="24"/>
        </w:rPr>
      </w:pPr>
      <w:r w:rsidRPr="00C316D8">
        <w:rPr>
          <w:rFonts w:asciiTheme="majorBidi" w:hAnsiTheme="majorBidi" w:cstheme="majorBidi"/>
          <w:sz w:val="24"/>
          <w:szCs w:val="24"/>
        </w:rPr>
        <w:t>Enhance efforts to inform all children of their rights as guaranteed by the Convention, enabling them to express their opinions. Additionally, Qatari authorities should include practical models for implementing Article 12 of the Convention in their reports to the Committee to assess the government's compliance.</w:t>
      </w:r>
    </w:p>
    <w:p w14:paraId="2A38247A" w14:textId="77777777" w:rsidR="00C316D8" w:rsidRPr="00C316D8" w:rsidRDefault="00C316D8" w:rsidP="00C316D8">
      <w:pPr>
        <w:pStyle w:val="ListParagraph"/>
        <w:numPr>
          <w:ilvl w:val="0"/>
          <w:numId w:val="40"/>
        </w:numPr>
        <w:spacing w:line="278" w:lineRule="auto"/>
        <w:jc w:val="both"/>
        <w:rPr>
          <w:rFonts w:asciiTheme="majorBidi" w:hAnsiTheme="majorBidi" w:cstheme="majorBidi"/>
          <w:sz w:val="24"/>
          <w:szCs w:val="24"/>
        </w:rPr>
      </w:pPr>
      <w:r w:rsidRPr="00C316D8">
        <w:rPr>
          <w:rFonts w:asciiTheme="majorBidi" w:hAnsiTheme="majorBidi" w:cstheme="majorBidi"/>
          <w:sz w:val="24"/>
          <w:szCs w:val="24"/>
        </w:rPr>
        <w:t>Request that Qatari authorities provide disaggregated data on children with disabilities and establish an efficient disability diagnosis system to inform relevant policies and programs.</w:t>
      </w:r>
    </w:p>
    <w:p w14:paraId="46DC2CDE" w14:textId="77777777" w:rsidR="00C316D8" w:rsidRPr="00C316D8" w:rsidRDefault="00C316D8" w:rsidP="00C316D8">
      <w:pPr>
        <w:pStyle w:val="ListParagraph"/>
        <w:numPr>
          <w:ilvl w:val="0"/>
          <w:numId w:val="40"/>
        </w:numPr>
        <w:spacing w:line="278" w:lineRule="auto"/>
        <w:jc w:val="both"/>
        <w:rPr>
          <w:rFonts w:asciiTheme="majorBidi" w:hAnsiTheme="majorBidi" w:cstheme="majorBidi"/>
          <w:sz w:val="24"/>
          <w:szCs w:val="24"/>
        </w:rPr>
      </w:pPr>
      <w:r w:rsidRPr="00C316D8">
        <w:rPr>
          <w:rFonts w:asciiTheme="majorBidi" w:hAnsiTheme="majorBidi" w:cstheme="majorBidi"/>
          <w:sz w:val="24"/>
          <w:szCs w:val="24"/>
        </w:rPr>
        <w:t>Address the stateless status of members of the Al-Ghufran clan of the Al-Murrah tribe, providing a clear path to regain Qatari citizenship and access to education and healthcare.</w:t>
      </w:r>
    </w:p>
    <w:p w14:paraId="07B2249B" w14:textId="77777777" w:rsidR="00C316D8" w:rsidRPr="00C316D8" w:rsidRDefault="00C316D8" w:rsidP="00C316D8">
      <w:pPr>
        <w:pStyle w:val="ListParagraph"/>
        <w:numPr>
          <w:ilvl w:val="0"/>
          <w:numId w:val="40"/>
        </w:numPr>
        <w:spacing w:line="278" w:lineRule="auto"/>
        <w:jc w:val="both"/>
        <w:rPr>
          <w:rFonts w:asciiTheme="majorBidi" w:hAnsiTheme="majorBidi" w:cstheme="majorBidi"/>
          <w:sz w:val="24"/>
          <w:szCs w:val="24"/>
        </w:rPr>
      </w:pPr>
      <w:r w:rsidRPr="00C316D8">
        <w:rPr>
          <w:rFonts w:asciiTheme="majorBidi" w:hAnsiTheme="majorBidi" w:cstheme="majorBidi"/>
          <w:sz w:val="24"/>
          <w:szCs w:val="24"/>
        </w:rPr>
        <w:t>Ensure that all children, both Qatari and non-Qatari, have access to quality education without discrimination, including free primary and secondary education, and affordable higher education.</w:t>
      </w:r>
    </w:p>
    <w:p w14:paraId="58330D9F" w14:textId="77777777" w:rsidR="00C316D8" w:rsidRPr="00C316D8" w:rsidRDefault="00C316D8" w:rsidP="00C316D8">
      <w:pPr>
        <w:pStyle w:val="ListParagraph"/>
        <w:numPr>
          <w:ilvl w:val="0"/>
          <w:numId w:val="40"/>
        </w:numPr>
        <w:spacing w:line="278" w:lineRule="auto"/>
        <w:jc w:val="both"/>
        <w:rPr>
          <w:rFonts w:asciiTheme="majorBidi" w:hAnsiTheme="majorBidi" w:cstheme="majorBidi"/>
          <w:sz w:val="24"/>
          <w:szCs w:val="24"/>
        </w:rPr>
      </w:pPr>
      <w:r w:rsidRPr="00C316D8">
        <w:rPr>
          <w:rFonts w:asciiTheme="majorBidi" w:hAnsiTheme="majorBidi" w:cstheme="majorBidi"/>
          <w:sz w:val="24"/>
          <w:szCs w:val="24"/>
        </w:rPr>
        <w:lastRenderedPageBreak/>
        <w:t>Call on Qatari government to clarify any laws, policies, or training programs adopted to protect schools from military use during armed conflict.</w:t>
      </w:r>
    </w:p>
    <w:p w14:paraId="399E7942" w14:textId="77777777" w:rsidR="00C316D8" w:rsidRPr="00C316D8" w:rsidRDefault="00C316D8" w:rsidP="00C316D8">
      <w:pPr>
        <w:pStyle w:val="ListParagraph"/>
        <w:numPr>
          <w:ilvl w:val="0"/>
          <w:numId w:val="40"/>
        </w:numPr>
        <w:spacing w:line="278" w:lineRule="auto"/>
        <w:jc w:val="both"/>
        <w:rPr>
          <w:rFonts w:asciiTheme="majorBidi" w:hAnsiTheme="majorBidi" w:cstheme="majorBidi"/>
          <w:sz w:val="24"/>
          <w:szCs w:val="24"/>
        </w:rPr>
      </w:pPr>
      <w:r w:rsidRPr="00C316D8">
        <w:rPr>
          <w:rFonts w:asciiTheme="majorBidi" w:hAnsiTheme="majorBidi" w:cstheme="majorBidi"/>
          <w:sz w:val="24"/>
          <w:szCs w:val="24"/>
        </w:rPr>
        <w:t>Urge Qatari government to outline the steps taken to implement the commitments in the Safe Schools Declaration, thereby protecting the rights of children in all schools.</w:t>
      </w:r>
    </w:p>
    <w:p w14:paraId="0F9EB36B" w14:textId="77777777" w:rsidR="00C316D8" w:rsidRPr="00C316D8" w:rsidRDefault="00C316D8" w:rsidP="00C316D8">
      <w:pPr>
        <w:jc w:val="both"/>
        <w:rPr>
          <w:rFonts w:asciiTheme="majorBidi" w:hAnsiTheme="majorBidi" w:cstheme="majorBidi"/>
          <w:sz w:val="24"/>
          <w:szCs w:val="24"/>
        </w:rPr>
      </w:pPr>
    </w:p>
    <w:p w14:paraId="5655CC90" w14:textId="77777777" w:rsidR="00C316D8" w:rsidRPr="00C316D8" w:rsidRDefault="00C316D8" w:rsidP="00C316D8">
      <w:pPr>
        <w:jc w:val="both"/>
        <w:rPr>
          <w:rFonts w:asciiTheme="majorBidi" w:hAnsiTheme="majorBidi" w:cstheme="majorBidi"/>
          <w:sz w:val="24"/>
          <w:szCs w:val="24"/>
        </w:rPr>
      </w:pPr>
    </w:p>
    <w:p w14:paraId="6FC6308C" w14:textId="074C1D40" w:rsidR="006B1AFB" w:rsidRPr="00C316D8" w:rsidRDefault="006B1AFB" w:rsidP="00C316D8">
      <w:pPr>
        <w:jc w:val="both"/>
        <w:rPr>
          <w:rFonts w:asciiTheme="majorBidi" w:hAnsiTheme="majorBidi" w:cstheme="majorBidi"/>
          <w:sz w:val="28"/>
          <w:szCs w:val="28"/>
          <w:rtl/>
        </w:rPr>
      </w:pPr>
    </w:p>
    <w:sectPr w:rsidR="006B1AFB" w:rsidRPr="00C316D8"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55830D" w14:textId="77777777" w:rsidR="00E7132E" w:rsidRDefault="00E7132E" w:rsidP="004F6D5A">
      <w:pPr>
        <w:spacing w:after="0" w:line="240" w:lineRule="auto"/>
      </w:pPr>
      <w:r>
        <w:separator/>
      </w:r>
    </w:p>
  </w:endnote>
  <w:endnote w:type="continuationSeparator" w:id="0">
    <w:p w14:paraId="71CA6448" w14:textId="77777777" w:rsidR="00E7132E" w:rsidRDefault="00E7132E"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val="en-GB"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val="en-GB"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 xml:space="preserve">Sq,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val="en-GB"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val="en-GB"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val="en-GB"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val="en-GB"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val="en-GB"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6DFDEA" w14:textId="77777777" w:rsidR="00E7132E" w:rsidRDefault="00E7132E" w:rsidP="004F6D5A">
      <w:pPr>
        <w:spacing w:after="0" w:line="240" w:lineRule="auto"/>
      </w:pPr>
      <w:r>
        <w:separator/>
      </w:r>
    </w:p>
  </w:footnote>
  <w:footnote w:type="continuationSeparator" w:id="0">
    <w:p w14:paraId="58050912" w14:textId="77777777" w:rsidR="00E7132E" w:rsidRDefault="00E7132E" w:rsidP="004F6D5A">
      <w:pPr>
        <w:spacing w:after="0" w:line="240" w:lineRule="auto"/>
      </w:pPr>
      <w:r>
        <w:continuationSeparator/>
      </w:r>
    </w:p>
  </w:footnote>
  <w:footnote w:id="1">
    <w:p w14:paraId="34958F19" w14:textId="77777777" w:rsidR="00C316D8" w:rsidRPr="00E410DF" w:rsidRDefault="00C316D8" w:rsidP="00C316D8">
      <w:pPr>
        <w:pStyle w:val="FootnoteText"/>
        <w:rPr>
          <w:rFonts w:asciiTheme="majorBidi" w:hAnsiTheme="majorBidi" w:cstheme="majorBidi"/>
          <w:sz w:val="16"/>
          <w:szCs w:val="16"/>
        </w:rPr>
      </w:pPr>
      <w:r w:rsidRPr="00E410DF">
        <w:rPr>
          <w:rStyle w:val="FootnoteReference"/>
          <w:rFonts w:asciiTheme="majorBidi" w:hAnsiTheme="majorBidi" w:cstheme="majorBidi"/>
          <w:sz w:val="16"/>
          <w:szCs w:val="16"/>
        </w:rPr>
        <w:footnoteRef/>
      </w:r>
      <w:r w:rsidRPr="00E410DF">
        <w:rPr>
          <w:rFonts w:asciiTheme="majorBidi" w:hAnsiTheme="majorBidi" w:cstheme="majorBidi"/>
          <w:sz w:val="16"/>
          <w:szCs w:val="16"/>
        </w:rPr>
        <w:t xml:space="preserve"> Convention on the Rights of the Child text, Article 1, </w:t>
      </w:r>
      <w:hyperlink r:id="rId1" w:history="1">
        <w:r w:rsidRPr="00E410DF">
          <w:rPr>
            <w:rStyle w:val="Hyperlink"/>
            <w:rFonts w:asciiTheme="majorBidi" w:hAnsiTheme="majorBidi" w:cstheme="majorBidi"/>
            <w:sz w:val="16"/>
            <w:szCs w:val="16"/>
          </w:rPr>
          <w:t>https://tinyurl.com/t66u8czv</w:t>
        </w:r>
      </w:hyperlink>
    </w:p>
  </w:footnote>
  <w:footnote w:id="2">
    <w:p w14:paraId="689F834D" w14:textId="77777777" w:rsidR="00C316D8" w:rsidRPr="00E410DF" w:rsidRDefault="00C316D8" w:rsidP="00C316D8">
      <w:pPr>
        <w:pStyle w:val="FootnoteText"/>
        <w:rPr>
          <w:rFonts w:asciiTheme="majorBidi" w:hAnsiTheme="majorBidi" w:cstheme="majorBidi"/>
          <w:sz w:val="16"/>
          <w:szCs w:val="16"/>
        </w:rPr>
      </w:pPr>
      <w:r w:rsidRPr="00E410DF">
        <w:rPr>
          <w:rStyle w:val="FootnoteReference"/>
          <w:rFonts w:asciiTheme="majorBidi" w:hAnsiTheme="majorBidi" w:cstheme="majorBidi"/>
          <w:sz w:val="16"/>
          <w:szCs w:val="16"/>
        </w:rPr>
        <w:footnoteRef/>
      </w:r>
      <w:r w:rsidRPr="00E410DF">
        <w:rPr>
          <w:rFonts w:asciiTheme="majorBidi" w:hAnsiTheme="majorBidi" w:cstheme="majorBidi"/>
          <w:sz w:val="16"/>
          <w:szCs w:val="16"/>
        </w:rPr>
        <w:t xml:space="preserve"> To view the articles of the permanent Qatari constitution, see: </w:t>
      </w:r>
      <w:hyperlink r:id="rId2" w:history="1">
        <w:r w:rsidRPr="00E410DF">
          <w:rPr>
            <w:rStyle w:val="Hyperlink"/>
            <w:rFonts w:asciiTheme="majorBidi" w:hAnsiTheme="majorBidi" w:cstheme="majorBidi"/>
            <w:sz w:val="16"/>
            <w:szCs w:val="16"/>
          </w:rPr>
          <w:t>https://tinyurl.com/mw8ap8ka</w:t>
        </w:r>
      </w:hyperlink>
      <w:r w:rsidRPr="00E410DF">
        <w:rPr>
          <w:rFonts w:asciiTheme="majorBidi" w:hAnsiTheme="majorBidi" w:cstheme="majorBidi"/>
          <w:sz w:val="16"/>
          <w:szCs w:val="16"/>
        </w:rPr>
        <w:t xml:space="preserve"> </w:t>
      </w:r>
    </w:p>
  </w:footnote>
  <w:footnote w:id="3">
    <w:p w14:paraId="4A7D1D47" w14:textId="77777777" w:rsidR="00C316D8" w:rsidRPr="00E410DF" w:rsidRDefault="00C316D8" w:rsidP="00C316D8">
      <w:pPr>
        <w:pStyle w:val="FootnoteText"/>
        <w:rPr>
          <w:rFonts w:asciiTheme="majorBidi" w:hAnsiTheme="majorBidi" w:cstheme="majorBidi"/>
          <w:sz w:val="16"/>
          <w:szCs w:val="16"/>
        </w:rPr>
      </w:pPr>
      <w:r w:rsidRPr="00E410DF">
        <w:rPr>
          <w:rStyle w:val="FootnoteReference"/>
          <w:rFonts w:asciiTheme="majorBidi" w:hAnsiTheme="majorBidi" w:cstheme="majorBidi"/>
          <w:sz w:val="16"/>
          <w:szCs w:val="16"/>
        </w:rPr>
        <w:footnoteRef/>
      </w:r>
      <w:r w:rsidRPr="00E410DF">
        <w:rPr>
          <w:rFonts w:asciiTheme="majorBidi" w:hAnsiTheme="majorBidi" w:cstheme="majorBidi"/>
          <w:sz w:val="16"/>
          <w:szCs w:val="16"/>
        </w:rPr>
        <w:t xml:space="preserve"> Law No. (15) of 2011 regarding combating human trafficking, Article (1), </w:t>
      </w:r>
      <w:hyperlink r:id="rId3" w:history="1">
        <w:r w:rsidRPr="00E410DF">
          <w:rPr>
            <w:rStyle w:val="Hyperlink"/>
            <w:rFonts w:asciiTheme="majorBidi" w:hAnsiTheme="majorBidi" w:cstheme="majorBidi"/>
            <w:sz w:val="16"/>
            <w:szCs w:val="16"/>
          </w:rPr>
          <w:t>https://tinyurl.com/4yazbwsp</w:t>
        </w:r>
      </w:hyperlink>
      <w:r w:rsidRPr="00E410DF">
        <w:rPr>
          <w:rFonts w:asciiTheme="majorBidi" w:hAnsiTheme="majorBidi" w:cstheme="majorBidi"/>
          <w:sz w:val="16"/>
          <w:szCs w:val="16"/>
        </w:rPr>
        <w:t xml:space="preserve"> </w:t>
      </w:r>
    </w:p>
  </w:footnote>
  <w:footnote w:id="4">
    <w:p w14:paraId="3CD913BF" w14:textId="77777777" w:rsidR="00C316D8" w:rsidRPr="00E410DF" w:rsidRDefault="00C316D8" w:rsidP="00C316D8">
      <w:pPr>
        <w:pStyle w:val="FootnoteText"/>
        <w:rPr>
          <w:rFonts w:asciiTheme="majorBidi" w:hAnsiTheme="majorBidi" w:cstheme="majorBidi"/>
          <w:sz w:val="16"/>
          <w:szCs w:val="16"/>
        </w:rPr>
      </w:pPr>
      <w:r w:rsidRPr="00E410DF">
        <w:rPr>
          <w:rStyle w:val="FootnoteReference"/>
          <w:rFonts w:asciiTheme="majorBidi" w:hAnsiTheme="majorBidi" w:cstheme="majorBidi"/>
          <w:sz w:val="16"/>
          <w:szCs w:val="16"/>
        </w:rPr>
        <w:footnoteRef/>
      </w:r>
      <w:r w:rsidRPr="00E410DF">
        <w:rPr>
          <w:rFonts w:asciiTheme="majorBidi" w:hAnsiTheme="majorBidi" w:cstheme="majorBidi"/>
          <w:sz w:val="16"/>
          <w:szCs w:val="16"/>
        </w:rPr>
        <w:t xml:space="preserve"> Law No. (22) of 2006 promulgating the Family Law, Article 189, to view the rest of the articles: </w:t>
      </w:r>
      <w:hyperlink r:id="rId4" w:history="1">
        <w:r w:rsidRPr="00E410DF">
          <w:rPr>
            <w:rStyle w:val="Hyperlink"/>
            <w:rFonts w:asciiTheme="majorBidi" w:hAnsiTheme="majorBidi" w:cstheme="majorBidi"/>
            <w:sz w:val="16"/>
            <w:szCs w:val="16"/>
          </w:rPr>
          <w:t>https://tinyurl.com/3vdnbubs</w:t>
        </w:r>
      </w:hyperlink>
      <w:r w:rsidRPr="00E410DF">
        <w:rPr>
          <w:rFonts w:asciiTheme="majorBidi" w:hAnsiTheme="majorBidi" w:cstheme="majorBidi"/>
          <w:sz w:val="16"/>
          <w:szCs w:val="16"/>
        </w:rPr>
        <w:t xml:space="preserve"> </w:t>
      </w:r>
    </w:p>
  </w:footnote>
  <w:footnote w:id="5">
    <w:p w14:paraId="6ED74FE4" w14:textId="77777777" w:rsidR="00C316D8" w:rsidRPr="00E410DF" w:rsidRDefault="00C316D8" w:rsidP="00C316D8">
      <w:pPr>
        <w:pStyle w:val="FootnoteText"/>
        <w:rPr>
          <w:rFonts w:asciiTheme="majorBidi" w:hAnsiTheme="majorBidi" w:cstheme="majorBidi"/>
          <w:sz w:val="16"/>
          <w:szCs w:val="16"/>
        </w:rPr>
      </w:pPr>
      <w:r w:rsidRPr="00E410DF">
        <w:rPr>
          <w:rStyle w:val="FootnoteReference"/>
          <w:rFonts w:asciiTheme="majorBidi" w:hAnsiTheme="majorBidi" w:cstheme="majorBidi"/>
          <w:sz w:val="16"/>
          <w:szCs w:val="16"/>
        </w:rPr>
        <w:footnoteRef/>
      </w:r>
      <w:r w:rsidRPr="00E410DF">
        <w:rPr>
          <w:rFonts w:asciiTheme="majorBidi" w:hAnsiTheme="majorBidi" w:cstheme="majorBidi"/>
          <w:sz w:val="16"/>
          <w:szCs w:val="16"/>
        </w:rPr>
        <w:t xml:space="preserve"> Law No. (40) of 2004 regarding guardianship over the funds of minors, Article 1, to view the rest of the articles of the law: </w:t>
      </w:r>
      <w:hyperlink r:id="rId5" w:history="1">
        <w:r w:rsidRPr="00E410DF">
          <w:rPr>
            <w:rStyle w:val="Hyperlink"/>
            <w:rFonts w:asciiTheme="majorBidi" w:hAnsiTheme="majorBidi" w:cstheme="majorBidi"/>
            <w:sz w:val="16"/>
            <w:szCs w:val="16"/>
          </w:rPr>
          <w:t>https://tinyurl.com/2ajh37rm</w:t>
        </w:r>
      </w:hyperlink>
      <w:r w:rsidRPr="00E410DF">
        <w:rPr>
          <w:rFonts w:asciiTheme="majorBidi" w:hAnsiTheme="majorBidi" w:cstheme="majorBidi"/>
          <w:sz w:val="16"/>
          <w:szCs w:val="16"/>
        </w:rPr>
        <w:t xml:space="preserve"> </w:t>
      </w:r>
    </w:p>
  </w:footnote>
  <w:footnote w:id="6">
    <w:p w14:paraId="5520BEEF" w14:textId="77777777" w:rsidR="00C316D8" w:rsidRPr="00E410DF" w:rsidRDefault="00C316D8" w:rsidP="00C316D8">
      <w:pPr>
        <w:pStyle w:val="FootnoteText"/>
        <w:rPr>
          <w:rFonts w:asciiTheme="majorBidi" w:hAnsiTheme="majorBidi" w:cstheme="majorBidi"/>
          <w:sz w:val="16"/>
          <w:szCs w:val="16"/>
        </w:rPr>
      </w:pPr>
      <w:r w:rsidRPr="00E410DF">
        <w:rPr>
          <w:rStyle w:val="FootnoteReference"/>
          <w:rFonts w:asciiTheme="majorBidi" w:hAnsiTheme="majorBidi" w:cstheme="majorBidi"/>
          <w:sz w:val="16"/>
          <w:szCs w:val="16"/>
        </w:rPr>
        <w:footnoteRef/>
      </w:r>
      <w:r w:rsidRPr="00E410DF">
        <w:rPr>
          <w:rFonts w:asciiTheme="majorBidi" w:hAnsiTheme="majorBidi" w:cstheme="majorBidi"/>
          <w:sz w:val="16"/>
          <w:szCs w:val="16"/>
        </w:rPr>
        <w:t xml:space="preserve"> Law No. (22) of 2006 issuing Family Law, Article 17. To view the rest of the articles, see: </w:t>
      </w:r>
      <w:hyperlink r:id="rId6" w:history="1">
        <w:r w:rsidRPr="00E410DF">
          <w:rPr>
            <w:rStyle w:val="Hyperlink"/>
            <w:rFonts w:asciiTheme="majorBidi" w:hAnsiTheme="majorBidi" w:cstheme="majorBidi"/>
            <w:sz w:val="16"/>
            <w:szCs w:val="16"/>
          </w:rPr>
          <w:t>https://tinyurl.com/3vdnbubs</w:t>
        </w:r>
      </w:hyperlink>
      <w:r w:rsidRPr="00E410DF">
        <w:rPr>
          <w:rFonts w:asciiTheme="majorBidi" w:hAnsiTheme="majorBidi" w:cstheme="majorBidi"/>
          <w:sz w:val="16"/>
          <w:szCs w:val="16"/>
        </w:rPr>
        <w:t xml:space="preserve"> </w:t>
      </w:r>
    </w:p>
  </w:footnote>
  <w:footnote w:id="7">
    <w:p w14:paraId="6449C03F" w14:textId="77777777" w:rsidR="00C316D8" w:rsidRPr="00E410DF" w:rsidRDefault="00C316D8" w:rsidP="00C316D8">
      <w:pPr>
        <w:pStyle w:val="FootnoteText"/>
        <w:rPr>
          <w:rFonts w:asciiTheme="majorBidi" w:hAnsiTheme="majorBidi" w:cstheme="majorBidi"/>
          <w:sz w:val="16"/>
          <w:szCs w:val="16"/>
        </w:rPr>
      </w:pPr>
      <w:r w:rsidRPr="00E410DF">
        <w:rPr>
          <w:rStyle w:val="FootnoteReference"/>
          <w:rFonts w:asciiTheme="majorBidi" w:hAnsiTheme="majorBidi" w:cstheme="majorBidi"/>
          <w:sz w:val="16"/>
          <w:szCs w:val="16"/>
        </w:rPr>
        <w:footnoteRef/>
      </w:r>
      <w:r w:rsidRPr="00E410DF">
        <w:rPr>
          <w:rFonts w:asciiTheme="majorBidi" w:hAnsiTheme="majorBidi" w:cstheme="majorBidi"/>
          <w:sz w:val="16"/>
          <w:szCs w:val="16"/>
        </w:rPr>
        <w:t xml:space="preserve"> Shura Council continues to discuss the draft “Children’s Rights” Law, Shura Council of Qatar, June 23, 2024, </w:t>
      </w:r>
      <w:hyperlink r:id="rId7" w:history="1">
        <w:r w:rsidRPr="00E410DF">
          <w:rPr>
            <w:rStyle w:val="Hyperlink"/>
            <w:rFonts w:asciiTheme="majorBidi" w:hAnsiTheme="majorBidi" w:cstheme="majorBidi"/>
            <w:sz w:val="16"/>
            <w:szCs w:val="16"/>
          </w:rPr>
          <w:t>https://tinyurl.com/4knppvsn</w:t>
        </w:r>
      </w:hyperlink>
      <w:r w:rsidRPr="00E410DF">
        <w:rPr>
          <w:rFonts w:asciiTheme="majorBidi" w:hAnsiTheme="majorBidi" w:cstheme="majorBidi"/>
          <w:sz w:val="16"/>
          <w:szCs w:val="16"/>
        </w:rPr>
        <w:t xml:space="preserve"> </w:t>
      </w:r>
    </w:p>
  </w:footnote>
  <w:footnote w:id="8">
    <w:p w14:paraId="7C612087" w14:textId="77777777" w:rsidR="00C316D8" w:rsidRPr="00E410DF" w:rsidRDefault="00C316D8" w:rsidP="00C316D8">
      <w:pPr>
        <w:pStyle w:val="FootnoteText"/>
        <w:rPr>
          <w:rFonts w:asciiTheme="majorBidi" w:hAnsiTheme="majorBidi" w:cstheme="majorBidi"/>
          <w:sz w:val="16"/>
          <w:szCs w:val="16"/>
        </w:rPr>
      </w:pPr>
      <w:r w:rsidRPr="00E410DF">
        <w:rPr>
          <w:rStyle w:val="FootnoteReference"/>
          <w:rFonts w:asciiTheme="majorBidi" w:hAnsiTheme="majorBidi" w:cstheme="majorBidi"/>
          <w:sz w:val="16"/>
          <w:szCs w:val="16"/>
        </w:rPr>
        <w:footnoteRef/>
      </w:r>
      <w:r w:rsidRPr="00E410DF">
        <w:rPr>
          <w:rFonts w:asciiTheme="majorBidi" w:hAnsiTheme="majorBidi" w:cstheme="majorBidi"/>
          <w:sz w:val="16"/>
          <w:szCs w:val="16"/>
        </w:rPr>
        <w:t xml:space="preserve"> Ibid, Aricle2, </w:t>
      </w:r>
      <w:hyperlink r:id="rId8" w:history="1">
        <w:r w:rsidRPr="00E410DF">
          <w:rPr>
            <w:rStyle w:val="Hyperlink"/>
            <w:rFonts w:asciiTheme="majorBidi" w:hAnsiTheme="majorBidi" w:cstheme="majorBidi"/>
            <w:sz w:val="16"/>
            <w:szCs w:val="16"/>
          </w:rPr>
          <w:t>https://tinyurl.com/t66u8czv</w:t>
        </w:r>
      </w:hyperlink>
    </w:p>
  </w:footnote>
  <w:footnote w:id="9">
    <w:p w14:paraId="3529CD9C" w14:textId="608AE2CF" w:rsidR="00C316D8" w:rsidRPr="00E410DF" w:rsidRDefault="00C316D8" w:rsidP="00C316D8">
      <w:pPr>
        <w:pStyle w:val="FootnoteText"/>
        <w:rPr>
          <w:rFonts w:asciiTheme="majorBidi" w:hAnsiTheme="majorBidi" w:cstheme="majorBidi"/>
          <w:sz w:val="16"/>
          <w:szCs w:val="16"/>
        </w:rPr>
      </w:pPr>
      <w:r w:rsidRPr="00E410DF">
        <w:rPr>
          <w:rStyle w:val="FootnoteReference"/>
          <w:rFonts w:asciiTheme="majorBidi" w:hAnsiTheme="majorBidi" w:cstheme="majorBidi"/>
          <w:sz w:val="16"/>
          <w:szCs w:val="16"/>
        </w:rPr>
        <w:footnoteRef/>
      </w:r>
      <w:r w:rsidRPr="00E410DF">
        <w:rPr>
          <w:rFonts w:asciiTheme="majorBidi" w:hAnsiTheme="majorBidi" w:cstheme="majorBidi"/>
          <w:sz w:val="16"/>
          <w:szCs w:val="16"/>
        </w:rPr>
        <w:t xml:space="preserve"> Law no. 38 of 2005 on the acquisition of Qatari nationality, </w:t>
      </w:r>
      <w:r w:rsidR="00A71E5C">
        <w:rPr>
          <w:rFonts w:asciiTheme="majorBidi" w:hAnsiTheme="majorBidi" w:cstheme="majorBidi"/>
          <w:sz w:val="16"/>
          <w:szCs w:val="16"/>
        </w:rPr>
        <w:t>A</w:t>
      </w:r>
      <w:r w:rsidRPr="00E410DF">
        <w:rPr>
          <w:rFonts w:asciiTheme="majorBidi" w:hAnsiTheme="majorBidi" w:cstheme="majorBidi"/>
          <w:sz w:val="16"/>
          <w:szCs w:val="16"/>
        </w:rPr>
        <w:t>l</w:t>
      </w:r>
      <w:r w:rsidR="00A71E5C">
        <w:rPr>
          <w:rFonts w:asciiTheme="majorBidi" w:hAnsiTheme="majorBidi" w:cstheme="majorBidi"/>
          <w:sz w:val="16"/>
          <w:szCs w:val="16"/>
        </w:rPr>
        <w:t xml:space="preserve"> M</w:t>
      </w:r>
      <w:r w:rsidRPr="00E410DF">
        <w:rPr>
          <w:rFonts w:asciiTheme="majorBidi" w:hAnsiTheme="majorBidi" w:cstheme="majorBidi"/>
          <w:sz w:val="16"/>
          <w:szCs w:val="16"/>
        </w:rPr>
        <w:t xml:space="preserve">eezan, </w:t>
      </w:r>
      <w:hyperlink r:id="rId9" w:history="1">
        <w:r w:rsidRPr="00E410DF">
          <w:rPr>
            <w:rStyle w:val="Hyperlink"/>
            <w:rFonts w:asciiTheme="majorBidi" w:hAnsiTheme="majorBidi" w:cstheme="majorBidi"/>
            <w:sz w:val="16"/>
            <w:szCs w:val="16"/>
          </w:rPr>
          <w:t>https://www.almeezan.qa/LawPage.aspx?id=2591&amp;language=en</w:t>
        </w:r>
      </w:hyperlink>
    </w:p>
  </w:footnote>
  <w:footnote w:id="10">
    <w:p w14:paraId="6383CC1B" w14:textId="77777777" w:rsidR="00C316D8" w:rsidRPr="00E410DF" w:rsidRDefault="00C316D8" w:rsidP="00C316D8">
      <w:pPr>
        <w:pStyle w:val="FootnoteText"/>
        <w:rPr>
          <w:rFonts w:asciiTheme="majorBidi" w:hAnsiTheme="majorBidi" w:cstheme="majorBidi"/>
          <w:sz w:val="16"/>
          <w:szCs w:val="16"/>
        </w:rPr>
      </w:pPr>
      <w:r w:rsidRPr="00E410DF">
        <w:rPr>
          <w:rStyle w:val="FootnoteReference"/>
          <w:rFonts w:asciiTheme="majorBidi" w:hAnsiTheme="majorBidi" w:cstheme="majorBidi"/>
          <w:sz w:val="16"/>
          <w:szCs w:val="16"/>
        </w:rPr>
        <w:footnoteRef/>
      </w:r>
      <w:r w:rsidRPr="00E410DF">
        <w:rPr>
          <w:rFonts w:asciiTheme="majorBidi" w:hAnsiTheme="majorBidi" w:cstheme="majorBidi"/>
          <w:sz w:val="16"/>
          <w:szCs w:val="16"/>
        </w:rPr>
        <w:t xml:space="preserve"> Law No. (22) of 2006 promulgating the Family Law. To view the articles of the law, see: </w:t>
      </w:r>
      <w:hyperlink r:id="rId10" w:history="1">
        <w:r w:rsidRPr="00E410DF">
          <w:rPr>
            <w:rStyle w:val="Hyperlink"/>
            <w:rFonts w:asciiTheme="majorBidi" w:hAnsiTheme="majorBidi" w:cstheme="majorBidi"/>
            <w:sz w:val="16"/>
            <w:szCs w:val="16"/>
          </w:rPr>
          <w:t>https://tinyurl.com/3vdnbubs</w:t>
        </w:r>
      </w:hyperlink>
      <w:r w:rsidRPr="00E410DF">
        <w:rPr>
          <w:rFonts w:asciiTheme="majorBidi" w:hAnsiTheme="majorBidi" w:cstheme="majorBidi"/>
          <w:sz w:val="16"/>
          <w:szCs w:val="16"/>
        </w:rPr>
        <w:t xml:space="preserve"> </w:t>
      </w:r>
    </w:p>
  </w:footnote>
  <w:footnote w:id="11">
    <w:p w14:paraId="523A20D1" w14:textId="2A7285C3" w:rsidR="00C316D8" w:rsidRPr="00E410DF" w:rsidRDefault="00C316D8" w:rsidP="00C316D8">
      <w:pPr>
        <w:pStyle w:val="FootnoteText"/>
        <w:rPr>
          <w:rFonts w:asciiTheme="majorBidi" w:hAnsiTheme="majorBidi" w:cstheme="majorBidi"/>
          <w:sz w:val="16"/>
          <w:szCs w:val="16"/>
        </w:rPr>
      </w:pPr>
      <w:r w:rsidRPr="00E410DF">
        <w:rPr>
          <w:rStyle w:val="FootnoteReference"/>
          <w:rFonts w:asciiTheme="majorBidi" w:hAnsiTheme="majorBidi" w:cstheme="majorBidi"/>
          <w:sz w:val="16"/>
          <w:szCs w:val="16"/>
        </w:rPr>
        <w:footnoteRef/>
      </w:r>
      <w:r w:rsidRPr="00E410DF">
        <w:rPr>
          <w:rFonts w:asciiTheme="majorBidi" w:hAnsiTheme="majorBidi" w:cstheme="majorBidi"/>
          <w:sz w:val="16"/>
          <w:szCs w:val="16"/>
        </w:rPr>
        <w:t xml:space="preserve"> Ibid, </w:t>
      </w:r>
      <w:r w:rsidR="00C4521C" w:rsidRPr="00E410DF">
        <w:rPr>
          <w:rFonts w:asciiTheme="majorBidi" w:hAnsiTheme="majorBidi" w:cstheme="majorBidi"/>
          <w:sz w:val="16"/>
          <w:szCs w:val="16"/>
        </w:rPr>
        <w:t>Article</w:t>
      </w:r>
      <w:r w:rsidRPr="00E410DF">
        <w:rPr>
          <w:rFonts w:asciiTheme="majorBidi" w:hAnsiTheme="majorBidi" w:cstheme="majorBidi"/>
          <w:sz w:val="16"/>
          <w:szCs w:val="16"/>
          <w:rtl/>
        </w:rPr>
        <w:t>10</w:t>
      </w:r>
      <w:r w:rsidRPr="00E410DF">
        <w:rPr>
          <w:rFonts w:asciiTheme="majorBidi" w:hAnsiTheme="majorBidi" w:cstheme="majorBidi"/>
          <w:sz w:val="16"/>
          <w:szCs w:val="16"/>
        </w:rPr>
        <w:t xml:space="preserve">, </w:t>
      </w:r>
      <w:hyperlink r:id="rId11" w:history="1">
        <w:r w:rsidRPr="00E410DF">
          <w:rPr>
            <w:rStyle w:val="Hyperlink"/>
            <w:rFonts w:asciiTheme="majorBidi" w:hAnsiTheme="majorBidi" w:cstheme="majorBidi"/>
            <w:sz w:val="16"/>
            <w:szCs w:val="16"/>
          </w:rPr>
          <w:t>https://tinyurl.com/t66u8czv</w:t>
        </w:r>
      </w:hyperlink>
    </w:p>
  </w:footnote>
  <w:footnote w:id="12">
    <w:p w14:paraId="1B09D92E" w14:textId="77777777" w:rsidR="00C316D8" w:rsidRPr="00E410DF" w:rsidRDefault="00C316D8" w:rsidP="00C316D8">
      <w:pPr>
        <w:pStyle w:val="FootnoteText"/>
        <w:rPr>
          <w:rFonts w:asciiTheme="majorBidi" w:hAnsiTheme="majorBidi" w:cstheme="majorBidi"/>
          <w:sz w:val="16"/>
          <w:szCs w:val="16"/>
        </w:rPr>
      </w:pPr>
      <w:r w:rsidRPr="00E410DF">
        <w:rPr>
          <w:rStyle w:val="FootnoteReference"/>
          <w:rFonts w:asciiTheme="majorBidi" w:hAnsiTheme="majorBidi" w:cstheme="majorBidi"/>
          <w:sz w:val="16"/>
          <w:szCs w:val="16"/>
        </w:rPr>
        <w:footnoteRef/>
      </w:r>
      <w:r w:rsidRPr="00E410DF">
        <w:rPr>
          <w:rFonts w:asciiTheme="majorBidi" w:hAnsiTheme="majorBidi" w:cstheme="majorBidi"/>
          <w:sz w:val="16"/>
          <w:szCs w:val="16"/>
        </w:rPr>
        <w:t xml:space="preserve"> Qatari Family Law, Article 185, to view the rest of the articles: </w:t>
      </w:r>
      <w:hyperlink r:id="rId12" w:history="1">
        <w:r w:rsidRPr="00E410DF">
          <w:rPr>
            <w:rStyle w:val="Hyperlink"/>
            <w:rFonts w:asciiTheme="majorBidi" w:hAnsiTheme="majorBidi" w:cstheme="majorBidi"/>
            <w:sz w:val="16"/>
            <w:szCs w:val="16"/>
          </w:rPr>
          <w:t>https://tinyurl.com/3vdnbubs</w:t>
        </w:r>
      </w:hyperlink>
      <w:r w:rsidRPr="00E410DF">
        <w:rPr>
          <w:rFonts w:asciiTheme="majorBidi" w:hAnsiTheme="majorBidi" w:cstheme="majorBidi"/>
          <w:sz w:val="16"/>
          <w:szCs w:val="16"/>
        </w:rPr>
        <w:t xml:space="preserve"> </w:t>
      </w:r>
    </w:p>
  </w:footnote>
  <w:footnote w:id="13">
    <w:p w14:paraId="63DD78B9" w14:textId="068259B8" w:rsidR="00C316D8" w:rsidRPr="00E410DF" w:rsidRDefault="00C316D8" w:rsidP="00C316D8">
      <w:pPr>
        <w:pStyle w:val="FootnoteText"/>
        <w:rPr>
          <w:rFonts w:asciiTheme="majorBidi" w:hAnsiTheme="majorBidi" w:cstheme="majorBidi"/>
          <w:sz w:val="16"/>
          <w:szCs w:val="16"/>
        </w:rPr>
      </w:pPr>
      <w:r w:rsidRPr="00E410DF">
        <w:rPr>
          <w:rStyle w:val="FootnoteReference"/>
          <w:rFonts w:asciiTheme="majorBidi" w:hAnsiTheme="majorBidi" w:cstheme="majorBidi"/>
          <w:sz w:val="16"/>
          <w:szCs w:val="16"/>
        </w:rPr>
        <w:footnoteRef/>
      </w:r>
      <w:r w:rsidRPr="00E410DF">
        <w:rPr>
          <w:rFonts w:asciiTheme="majorBidi" w:hAnsiTheme="majorBidi" w:cstheme="majorBidi"/>
          <w:sz w:val="16"/>
          <w:szCs w:val="16"/>
        </w:rPr>
        <w:t xml:space="preserve"> </w:t>
      </w:r>
      <w:r w:rsidR="00C4521C" w:rsidRPr="00E410DF">
        <w:rPr>
          <w:rFonts w:asciiTheme="majorBidi" w:hAnsiTheme="majorBidi" w:cstheme="majorBidi"/>
          <w:sz w:val="16"/>
          <w:szCs w:val="16"/>
        </w:rPr>
        <w:t>I</w:t>
      </w:r>
      <w:r w:rsidRPr="00E410DF">
        <w:rPr>
          <w:rFonts w:asciiTheme="majorBidi" w:hAnsiTheme="majorBidi" w:cstheme="majorBidi"/>
          <w:sz w:val="16"/>
          <w:szCs w:val="16"/>
        </w:rPr>
        <w:t xml:space="preserve">bid, Aricle23, </w:t>
      </w:r>
      <w:hyperlink r:id="rId13" w:history="1">
        <w:r w:rsidRPr="00E410DF">
          <w:rPr>
            <w:rStyle w:val="Hyperlink"/>
            <w:rFonts w:asciiTheme="majorBidi" w:hAnsiTheme="majorBidi" w:cstheme="majorBidi"/>
            <w:sz w:val="16"/>
            <w:szCs w:val="16"/>
          </w:rPr>
          <w:t>https://tinyurl.com/t66u8czv</w:t>
        </w:r>
      </w:hyperlink>
    </w:p>
  </w:footnote>
  <w:footnote w:id="14">
    <w:p w14:paraId="426D4831" w14:textId="77777777" w:rsidR="00C316D8" w:rsidRPr="00E410DF" w:rsidRDefault="00C316D8" w:rsidP="00C316D8">
      <w:pPr>
        <w:pStyle w:val="FootnoteText"/>
        <w:rPr>
          <w:rFonts w:asciiTheme="majorBidi" w:hAnsiTheme="majorBidi" w:cstheme="majorBidi"/>
          <w:sz w:val="16"/>
          <w:szCs w:val="16"/>
        </w:rPr>
      </w:pPr>
      <w:r w:rsidRPr="00E410DF">
        <w:rPr>
          <w:rStyle w:val="FootnoteReference"/>
          <w:rFonts w:asciiTheme="majorBidi" w:hAnsiTheme="majorBidi" w:cstheme="majorBidi"/>
          <w:sz w:val="16"/>
          <w:szCs w:val="16"/>
        </w:rPr>
        <w:footnoteRef/>
      </w:r>
      <w:r w:rsidRPr="00E410DF">
        <w:rPr>
          <w:rFonts w:asciiTheme="majorBidi" w:hAnsiTheme="majorBidi" w:cstheme="majorBidi"/>
          <w:sz w:val="16"/>
          <w:szCs w:val="16"/>
        </w:rPr>
        <w:t xml:space="preserve"> Combined fifth and sixth periodic reports submitted by Qatar under article 44 of the Convention, due in 2024, CRC/C/QAT/5-6, </w:t>
      </w:r>
      <w:hyperlink r:id="rId14" w:history="1">
        <w:r w:rsidRPr="00E410DF">
          <w:rPr>
            <w:rStyle w:val="Hyperlink"/>
            <w:rFonts w:asciiTheme="majorBidi" w:hAnsiTheme="majorBidi" w:cstheme="majorBidi"/>
            <w:sz w:val="16"/>
            <w:szCs w:val="16"/>
          </w:rPr>
          <w:t>https://tinyurl.com/yny9efm4</w:t>
        </w:r>
      </w:hyperlink>
      <w:r w:rsidRPr="00E410DF">
        <w:rPr>
          <w:rFonts w:asciiTheme="majorBidi" w:hAnsiTheme="majorBidi" w:cstheme="majorBidi"/>
          <w:sz w:val="16"/>
          <w:szCs w:val="16"/>
        </w:rPr>
        <w:t xml:space="preserve"> </w:t>
      </w:r>
    </w:p>
  </w:footnote>
  <w:footnote w:id="15">
    <w:p w14:paraId="75776AB8" w14:textId="51B88D15" w:rsidR="00C316D8" w:rsidRPr="00E410DF" w:rsidRDefault="00C316D8" w:rsidP="00C316D8">
      <w:pPr>
        <w:pStyle w:val="FootnoteText"/>
        <w:rPr>
          <w:rFonts w:asciiTheme="majorBidi" w:hAnsiTheme="majorBidi" w:cstheme="majorBidi"/>
          <w:sz w:val="16"/>
          <w:szCs w:val="16"/>
        </w:rPr>
      </w:pPr>
      <w:r w:rsidRPr="00E410DF">
        <w:rPr>
          <w:rStyle w:val="FootnoteReference"/>
          <w:rFonts w:asciiTheme="majorBidi" w:hAnsiTheme="majorBidi" w:cstheme="majorBidi"/>
          <w:sz w:val="16"/>
          <w:szCs w:val="16"/>
        </w:rPr>
        <w:footnoteRef/>
      </w:r>
      <w:r w:rsidRPr="00E410DF">
        <w:rPr>
          <w:rFonts w:asciiTheme="majorBidi" w:hAnsiTheme="majorBidi" w:cstheme="majorBidi"/>
          <w:sz w:val="16"/>
          <w:szCs w:val="16"/>
        </w:rPr>
        <w:t xml:space="preserve"> </w:t>
      </w:r>
      <w:r w:rsidR="00C4521C" w:rsidRPr="00E410DF">
        <w:rPr>
          <w:rFonts w:asciiTheme="majorBidi" w:hAnsiTheme="majorBidi" w:cstheme="majorBidi"/>
          <w:sz w:val="16"/>
          <w:szCs w:val="16"/>
        </w:rPr>
        <w:t>I</w:t>
      </w:r>
      <w:r w:rsidRPr="00E410DF">
        <w:rPr>
          <w:rFonts w:asciiTheme="majorBidi" w:hAnsiTheme="majorBidi" w:cstheme="majorBidi"/>
          <w:sz w:val="16"/>
          <w:szCs w:val="16"/>
        </w:rPr>
        <w:t xml:space="preserve">bid, Aricle23, </w:t>
      </w:r>
      <w:hyperlink r:id="rId15" w:history="1">
        <w:r w:rsidRPr="00E410DF">
          <w:rPr>
            <w:rStyle w:val="Hyperlink"/>
            <w:rFonts w:asciiTheme="majorBidi" w:hAnsiTheme="majorBidi" w:cstheme="majorBidi"/>
            <w:sz w:val="16"/>
            <w:szCs w:val="16"/>
          </w:rPr>
          <w:t>https://tinyurl.com/t66u8czv</w:t>
        </w:r>
      </w:hyperlink>
    </w:p>
  </w:footnote>
  <w:footnote w:id="16">
    <w:p w14:paraId="01461CC5" w14:textId="77777777" w:rsidR="00C316D8" w:rsidRPr="00E410DF" w:rsidRDefault="00C316D8" w:rsidP="00C316D8">
      <w:pPr>
        <w:pStyle w:val="FootnoteText"/>
        <w:rPr>
          <w:rFonts w:asciiTheme="majorBidi" w:hAnsiTheme="majorBidi" w:cstheme="majorBidi"/>
          <w:sz w:val="16"/>
          <w:szCs w:val="16"/>
        </w:rPr>
      </w:pPr>
      <w:r w:rsidRPr="00E410DF">
        <w:rPr>
          <w:rStyle w:val="FootnoteReference"/>
          <w:rFonts w:asciiTheme="majorBidi" w:hAnsiTheme="majorBidi" w:cstheme="majorBidi"/>
          <w:sz w:val="16"/>
          <w:szCs w:val="16"/>
        </w:rPr>
        <w:footnoteRef/>
      </w:r>
      <w:r w:rsidRPr="00E410DF">
        <w:rPr>
          <w:rFonts w:asciiTheme="majorBidi" w:hAnsiTheme="majorBidi" w:cstheme="majorBidi"/>
          <w:sz w:val="16"/>
          <w:szCs w:val="16"/>
        </w:rPr>
        <w:t xml:space="preserve"> Law No. (2) of 2004 regarding people with special needs, Al-Mizan, </w:t>
      </w:r>
      <w:hyperlink r:id="rId16" w:history="1">
        <w:r w:rsidRPr="00E410DF">
          <w:rPr>
            <w:rStyle w:val="Hyperlink"/>
            <w:rFonts w:asciiTheme="majorBidi" w:hAnsiTheme="majorBidi" w:cstheme="majorBidi"/>
            <w:sz w:val="16"/>
            <w:szCs w:val="16"/>
          </w:rPr>
          <w:t>https://tinyurl.com/mr4cn4z4</w:t>
        </w:r>
      </w:hyperlink>
      <w:r w:rsidRPr="00E410DF">
        <w:rPr>
          <w:rFonts w:asciiTheme="majorBidi" w:hAnsiTheme="majorBidi" w:cstheme="majorBidi"/>
          <w:sz w:val="16"/>
          <w:szCs w:val="16"/>
        </w:rPr>
        <w:t xml:space="preserve"> </w:t>
      </w:r>
    </w:p>
  </w:footnote>
  <w:footnote w:id="17">
    <w:p w14:paraId="79CA51DB" w14:textId="77777777" w:rsidR="00C316D8" w:rsidRPr="00E410DF" w:rsidRDefault="00C316D8" w:rsidP="00C316D8">
      <w:pPr>
        <w:pStyle w:val="FootnoteText"/>
        <w:rPr>
          <w:rFonts w:asciiTheme="majorBidi" w:hAnsiTheme="majorBidi" w:cstheme="majorBidi"/>
          <w:sz w:val="16"/>
          <w:szCs w:val="16"/>
        </w:rPr>
      </w:pPr>
      <w:r w:rsidRPr="00E410DF">
        <w:rPr>
          <w:rStyle w:val="FootnoteReference"/>
          <w:rFonts w:asciiTheme="majorBidi" w:hAnsiTheme="majorBidi" w:cstheme="majorBidi"/>
          <w:sz w:val="16"/>
          <w:szCs w:val="16"/>
        </w:rPr>
        <w:footnoteRef/>
      </w:r>
      <w:r w:rsidRPr="00E410DF">
        <w:rPr>
          <w:rFonts w:asciiTheme="majorBidi" w:hAnsiTheme="majorBidi" w:cstheme="majorBidi"/>
          <w:sz w:val="16"/>
          <w:szCs w:val="16"/>
        </w:rPr>
        <w:t xml:space="preserve"> Combined fifth and sixth periodic reports submitted by Qatar under article 44 of the Convention, due in 2024, CRC/C/QAT/5-6, </w:t>
      </w:r>
      <w:hyperlink r:id="rId17" w:history="1">
        <w:r w:rsidRPr="00E410DF">
          <w:rPr>
            <w:rStyle w:val="Hyperlink"/>
            <w:rFonts w:asciiTheme="majorBidi" w:hAnsiTheme="majorBidi" w:cstheme="majorBidi"/>
            <w:sz w:val="16"/>
            <w:szCs w:val="16"/>
          </w:rPr>
          <w:t>https://tinyurl.com/yny9efm4</w:t>
        </w:r>
      </w:hyperlink>
      <w:r w:rsidRPr="00E410DF">
        <w:rPr>
          <w:rFonts w:asciiTheme="majorBidi" w:hAnsiTheme="majorBidi" w:cstheme="majorBidi"/>
          <w:sz w:val="16"/>
          <w:szCs w:val="16"/>
        </w:rPr>
        <w:t xml:space="preserve"> </w:t>
      </w:r>
    </w:p>
  </w:footnote>
  <w:footnote w:id="18">
    <w:p w14:paraId="61B349C6" w14:textId="30094309" w:rsidR="00C316D8" w:rsidRPr="00E410DF" w:rsidRDefault="00C316D8" w:rsidP="00C316D8">
      <w:pPr>
        <w:pStyle w:val="FootnoteText"/>
        <w:rPr>
          <w:rFonts w:asciiTheme="majorBidi" w:hAnsiTheme="majorBidi" w:cstheme="majorBidi"/>
          <w:sz w:val="16"/>
          <w:szCs w:val="16"/>
        </w:rPr>
      </w:pPr>
      <w:r w:rsidRPr="00E410DF">
        <w:rPr>
          <w:rStyle w:val="FootnoteReference"/>
          <w:rFonts w:asciiTheme="majorBidi" w:hAnsiTheme="majorBidi" w:cstheme="majorBidi"/>
          <w:sz w:val="16"/>
          <w:szCs w:val="16"/>
        </w:rPr>
        <w:footnoteRef/>
      </w:r>
      <w:r w:rsidRPr="00E410DF">
        <w:rPr>
          <w:rFonts w:asciiTheme="majorBidi" w:hAnsiTheme="majorBidi" w:cstheme="majorBidi"/>
          <w:sz w:val="16"/>
          <w:szCs w:val="16"/>
        </w:rPr>
        <w:t xml:space="preserve"> </w:t>
      </w:r>
      <w:r w:rsidR="00C4521C" w:rsidRPr="00E410DF">
        <w:rPr>
          <w:rFonts w:asciiTheme="majorBidi" w:hAnsiTheme="majorBidi" w:cstheme="majorBidi"/>
          <w:sz w:val="16"/>
          <w:szCs w:val="16"/>
        </w:rPr>
        <w:t>I</w:t>
      </w:r>
      <w:r w:rsidRPr="00E410DF">
        <w:rPr>
          <w:rFonts w:asciiTheme="majorBidi" w:hAnsiTheme="majorBidi" w:cstheme="majorBidi"/>
          <w:sz w:val="16"/>
          <w:szCs w:val="16"/>
        </w:rPr>
        <w:t xml:space="preserve">bid, Aricle28, </w:t>
      </w:r>
      <w:hyperlink r:id="rId18" w:history="1">
        <w:r w:rsidRPr="00E410DF">
          <w:rPr>
            <w:rStyle w:val="Hyperlink"/>
            <w:rFonts w:asciiTheme="majorBidi" w:hAnsiTheme="majorBidi" w:cstheme="majorBidi"/>
            <w:sz w:val="16"/>
            <w:szCs w:val="16"/>
          </w:rPr>
          <w:t>https://tinyurl.com/t66u8czv</w:t>
        </w:r>
      </w:hyperlink>
    </w:p>
  </w:footnote>
  <w:footnote w:id="19">
    <w:p w14:paraId="3622290A" w14:textId="77777777" w:rsidR="00C316D8" w:rsidRPr="00E410DF" w:rsidRDefault="00C316D8" w:rsidP="00C316D8">
      <w:pPr>
        <w:pStyle w:val="FootnoteText"/>
        <w:rPr>
          <w:rFonts w:asciiTheme="majorBidi" w:hAnsiTheme="majorBidi" w:cstheme="majorBidi"/>
          <w:sz w:val="16"/>
          <w:szCs w:val="16"/>
        </w:rPr>
      </w:pPr>
      <w:r w:rsidRPr="00E410DF">
        <w:rPr>
          <w:rStyle w:val="FootnoteReference"/>
          <w:rFonts w:asciiTheme="majorBidi" w:hAnsiTheme="majorBidi" w:cstheme="majorBidi"/>
          <w:sz w:val="16"/>
          <w:szCs w:val="16"/>
        </w:rPr>
        <w:footnoteRef/>
      </w:r>
      <w:r w:rsidRPr="00E410DF">
        <w:rPr>
          <w:rFonts w:asciiTheme="majorBidi" w:hAnsiTheme="majorBidi" w:cstheme="majorBidi"/>
          <w:sz w:val="16"/>
          <w:szCs w:val="16"/>
        </w:rPr>
        <w:t xml:space="preserve"> Permanent Constitution of the State of Qatar, Articles 25, 49, to view the rest of the articles: </w:t>
      </w:r>
      <w:hyperlink r:id="rId19" w:history="1">
        <w:r w:rsidRPr="00E410DF">
          <w:rPr>
            <w:rStyle w:val="Hyperlink"/>
            <w:rFonts w:asciiTheme="majorBidi" w:hAnsiTheme="majorBidi" w:cstheme="majorBidi"/>
            <w:sz w:val="16"/>
            <w:szCs w:val="16"/>
          </w:rPr>
          <w:t>https://tinyurl.com/mw8ap8ka</w:t>
        </w:r>
      </w:hyperlink>
      <w:r w:rsidRPr="00E410DF">
        <w:rPr>
          <w:rFonts w:asciiTheme="majorBidi" w:hAnsiTheme="majorBidi" w:cstheme="majorBidi"/>
          <w:sz w:val="16"/>
          <w:szCs w:val="16"/>
        </w:rPr>
        <w:t xml:space="preserve"> </w:t>
      </w:r>
    </w:p>
  </w:footnote>
  <w:footnote w:id="20">
    <w:p w14:paraId="578D44FD" w14:textId="77777777" w:rsidR="00C316D8" w:rsidRPr="00E410DF" w:rsidRDefault="00C316D8" w:rsidP="00C316D8">
      <w:pPr>
        <w:pStyle w:val="FootnoteText"/>
        <w:rPr>
          <w:rFonts w:asciiTheme="majorBidi" w:hAnsiTheme="majorBidi" w:cstheme="majorBidi"/>
          <w:sz w:val="16"/>
          <w:szCs w:val="16"/>
        </w:rPr>
      </w:pPr>
      <w:r w:rsidRPr="00E410DF">
        <w:rPr>
          <w:rStyle w:val="FootnoteReference"/>
          <w:rFonts w:asciiTheme="majorBidi" w:hAnsiTheme="majorBidi" w:cstheme="majorBidi"/>
          <w:sz w:val="16"/>
          <w:szCs w:val="16"/>
        </w:rPr>
        <w:footnoteRef/>
      </w:r>
      <w:r w:rsidRPr="00E410DF">
        <w:rPr>
          <w:rFonts w:asciiTheme="majorBidi" w:hAnsiTheme="majorBidi" w:cstheme="majorBidi"/>
          <w:sz w:val="16"/>
          <w:szCs w:val="16"/>
        </w:rPr>
        <w:t xml:space="preserve"> Prime Minister and Minister of Foreign Affairs launches the strategy of the Ministry of Education and Higher Education 2024-2030, Qatar News Agency, September 2, 2024, </w:t>
      </w:r>
      <w:hyperlink r:id="rId20" w:history="1">
        <w:r w:rsidRPr="00E410DF">
          <w:rPr>
            <w:rStyle w:val="Hyperlink"/>
            <w:rFonts w:asciiTheme="majorBidi" w:hAnsiTheme="majorBidi" w:cstheme="majorBidi"/>
            <w:sz w:val="16"/>
            <w:szCs w:val="16"/>
          </w:rPr>
          <w:t>https://tinyurl.com/2wvz54bc</w:t>
        </w:r>
      </w:hyperlink>
      <w:r w:rsidRPr="00E410DF">
        <w:rPr>
          <w:rFonts w:asciiTheme="majorBidi" w:hAnsiTheme="majorBidi" w:cstheme="majorBidi"/>
          <w:sz w:val="16"/>
          <w:szCs w:val="16"/>
        </w:rPr>
        <w:t xml:space="preserve"> </w:t>
      </w:r>
    </w:p>
  </w:footnote>
  <w:footnote w:id="21">
    <w:p w14:paraId="619C8E60" w14:textId="77777777" w:rsidR="00C316D8" w:rsidRPr="00E410DF" w:rsidRDefault="00C316D8" w:rsidP="00C316D8">
      <w:pPr>
        <w:pStyle w:val="FootnoteText"/>
        <w:rPr>
          <w:rFonts w:asciiTheme="majorBidi" w:hAnsiTheme="majorBidi" w:cstheme="majorBidi"/>
          <w:sz w:val="16"/>
          <w:szCs w:val="16"/>
        </w:rPr>
      </w:pPr>
      <w:r w:rsidRPr="00E410DF">
        <w:rPr>
          <w:rStyle w:val="FootnoteReference"/>
          <w:rFonts w:asciiTheme="majorBidi" w:hAnsiTheme="majorBidi" w:cstheme="majorBidi"/>
          <w:sz w:val="16"/>
          <w:szCs w:val="16"/>
        </w:rPr>
        <w:footnoteRef/>
      </w:r>
      <w:r w:rsidRPr="00E410DF">
        <w:rPr>
          <w:rFonts w:asciiTheme="majorBidi" w:hAnsiTheme="majorBidi" w:cstheme="majorBidi"/>
          <w:sz w:val="16"/>
          <w:szCs w:val="16"/>
        </w:rPr>
        <w:t xml:space="preserve"> Education: Adding a 3-year-old level to kindergarten, Al-</w:t>
      </w:r>
      <w:proofErr w:type="spellStart"/>
      <w:r w:rsidRPr="00E410DF">
        <w:rPr>
          <w:rFonts w:asciiTheme="majorBidi" w:hAnsiTheme="majorBidi" w:cstheme="majorBidi"/>
          <w:sz w:val="16"/>
          <w:szCs w:val="16"/>
        </w:rPr>
        <w:t>Sharq</w:t>
      </w:r>
      <w:proofErr w:type="spellEnd"/>
      <w:r w:rsidRPr="00E410DF">
        <w:rPr>
          <w:rFonts w:asciiTheme="majorBidi" w:hAnsiTheme="majorBidi" w:cstheme="majorBidi"/>
          <w:sz w:val="16"/>
          <w:szCs w:val="16"/>
        </w:rPr>
        <w:t xml:space="preserve">, May 1, 2023, </w:t>
      </w:r>
      <w:hyperlink r:id="rId21" w:history="1">
        <w:r w:rsidRPr="00E410DF">
          <w:rPr>
            <w:rStyle w:val="Hyperlink"/>
            <w:rFonts w:asciiTheme="majorBidi" w:hAnsiTheme="majorBidi" w:cstheme="majorBidi"/>
            <w:sz w:val="16"/>
            <w:szCs w:val="16"/>
          </w:rPr>
          <w:t>https://tinyurl.com/y3yu96tk</w:t>
        </w:r>
      </w:hyperlink>
      <w:r w:rsidRPr="00E410DF">
        <w:rPr>
          <w:rFonts w:asciiTheme="majorBidi" w:hAnsiTheme="majorBidi" w:cstheme="majorBidi"/>
          <w:sz w:val="16"/>
          <w:szCs w:val="16"/>
        </w:rPr>
        <w:t xml:space="preserve"> </w:t>
      </w:r>
    </w:p>
  </w:footnote>
  <w:footnote w:id="22">
    <w:p w14:paraId="4E0EEB5D" w14:textId="77777777" w:rsidR="00C316D8" w:rsidRPr="00E410DF" w:rsidRDefault="00C316D8" w:rsidP="00C316D8">
      <w:pPr>
        <w:pStyle w:val="FootnoteText"/>
        <w:rPr>
          <w:rFonts w:asciiTheme="majorBidi" w:hAnsiTheme="majorBidi" w:cstheme="majorBidi"/>
          <w:sz w:val="16"/>
          <w:szCs w:val="16"/>
        </w:rPr>
      </w:pPr>
      <w:r w:rsidRPr="00E410DF">
        <w:rPr>
          <w:rStyle w:val="FootnoteReference"/>
          <w:rFonts w:asciiTheme="majorBidi" w:hAnsiTheme="majorBidi" w:cstheme="majorBidi"/>
          <w:sz w:val="16"/>
          <w:szCs w:val="16"/>
        </w:rPr>
        <w:footnoteRef/>
      </w:r>
      <w:r w:rsidRPr="00E410DF">
        <w:rPr>
          <w:rFonts w:asciiTheme="majorBidi" w:hAnsiTheme="majorBidi" w:cstheme="majorBidi"/>
          <w:sz w:val="16"/>
          <w:szCs w:val="16"/>
        </w:rPr>
        <w:t xml:space="preserve"> State of Qatar confirms that it has achieved great achievements in the field of implementing the right to education, Media Center of the Qatari Ministry of Foreign Affairs, October 20, 2022, </w:t>
      </w:r>
      <w:hyperlink r:id="rId22" w:history="1">
        <w:r w:rsidRPr="00E410DF">
          <w:rPr>
            <w:rStyle w:val="Hyperlink"/>
            <w:rFonts w:asciiTheme="majorBidi" w:hAnsiTheme="majorBidi" w:cstheme="majorBidi"/>
            <w:sz w:val="16"/>
            <w:szCs w:val="16"/>
          </w:rPr>
          <w:t>https://tinyurl.com/msae42a4</w:t>
        </w:r>
      </w:hyperlink>
      <w:r w:rsidRPr="00E410DF">
        <w:rPr>
          <w:rFonts w:asciiTheme="majorBidi" w:hAnsiTheme="majorBidi" w:cstheme="majorBidi"/>
          <w:sz w:val="16"/>
          <w:szCs w:val="16"/>
        </w:rPr>
        <w:t xml:space="preserve"> </w:t>
      </w:r>
    </w:p>
  </w:footnote>
  <w:footnote w:id="23">
    <w:p w14:paraId="13102F97" w14:textId="77777777" w:rsidR="00C316D8" w:rsidRPr="00E410DF" w:rsidRDefault="00C316D8" w:rsidP="00C316D8">
      <w:pPr>
        <w:pStyle w:val="FootnoteText"/>
        <w:rPr>
          <w:rFonts w:asciiTheme="majorBidi" w:hAnsiTheme="majorBidi" w:cstheme="majorBidi"/>
          <w:sz w:val="16"/>
          <w:szCs w:val="16"/>
        </w:rPr>
      </w:pPr>
      <w:r w:rsidRPr="00E410DF">
        <w:rPr>
          <w:rStyle w:val="FootnoteReference"/>
          <w:rFonts w:asciiTheme="majorBidi" w:hAnsiTheme="majorBidi" w:cstheme="majorBidi"/>
          <w:sz w:val="16"/>
          <w:szCs w:val="16"/>
        </w:rPr>
        <w:footnoteRef/>
      </w:r>
      <w:r w:rsidRPr="00E410DF">
        <w:rPr>
          <w:rFonts w:asciiTheme="majorBidi" w:hAnsiTheme="majorBidi" w:cstheme="majorBidi"/>
          <w:sz w:val="16"/>
          <w:szCs w:val="16"/>
        </w:rPr>
        <w:t xml:space="preserve"> </w:t>
      </w:r>
      <w:bookmarkStart w:id="0" w:name="OLE_LINK3"/>
      <w:r w:rsidRPr="00E410DF">
        <w:rPr>
          <w:rFonts w:asciiTheme="majorBidi" w:hAnsiTheme="majorBidi" w:cstheme="majorBidi"/>
          <w:sz w:val="16"/>
          <w:szCs w:val="16"/>
        </w:rPr>
        <w:t>Bidoons in the Gulf and Iraq</w:t>
      </w:r>
      <w:bookmarkEnd w:id="0"/>
      <w:r w:rsidRPr="00E410DF">
        <w:rPr>
          <w:rFonts w:asciiTheme="majorBidi" w:hAnsiTheme="majorBidi" w:cstheme="majorBidi"/>
          <w:sz w:val="16"/>
          <w:szCs w:val="16"/>
        </w:rPr>
        <w:t xml:space="preserve">: The dilemma of living </w:t>
      </w:r>
      <w:proofErr w:type="spellStart"/>
      <w:r w:rsidRPr="00E410DF">
        <w:rPr>
          <w:rFonts w:asciiTheme="majorBidi" w:hAnsiTheme="majorBidi" w:cstheme="majorBidi"/>
          <w:sz w:val="16"/>
          <w:szCs w:val="16"/>
        </w:rPr>
        <w:t>statelessly</w:t>
      </w:r>
      <w:proofErr w:type="spellEnd"/>
      <w:r w:rsidRPr="00E410DF">
        <w:rPr>
          <w:rFonts w:asciiTheme="majorBidi" w:hAnsiTheme="majorBidi" w:cstheme="majorBidi"/>
          <w:sz w:val="16"/>
          <w:szCs w:val="16"/>
        </w:rPr>
        <w:t xml:space="preserve">, Raise Your Voice, August 5, 2024, </w:t>
      </w:r>
      <w:hyperlink r:id="rId23" w:history="1">
        <w:r w:rsidRPr="00E410DF">
          <w:rPr>
            <w:rStyle w:val="Hyperlink"/>
            <w:rFonts w:asciiTheme="majorBidi" w:hAnsiTheme="majorBidi" w:cstheme="majorBidi"/>
            <w:sz w:val="16"/>
            <w:szCs w:val="16"/>
          </w:rPr>
          <w:t>https://tinyurl.com/468mwhwd</w:t>
        </w:r>
      </w:hyperlink>
      <w:r w:rsidRPr="00E410DF">
        <w:rPr>
          <w:rFonts w:asciiTheme="majorBidi" w:hAnsiTheme="majorBidi" w:cstheme="majorBidi"/>
          <w:sz w:val="16"/>
          <w:szCs w:val="16"/>
        </w:rPr>
        <w:t xml:space="preserve">. </w:t>
      </w:r>
    </w:p>
  </w:footnote>
  <w:footnote w:id="24">
    <w:p w14:paraId="6EFE63E2" w14:textId="77777777" w:rsidR="00C316D8" w:rsidRPr="00E410DF" w:rsidRDefault="00C316D8" w:rsidP="00C316D8">
      <w:pPr>
        <w:pStyle w:val="FootnoteText"/>
        <w:rPr>
          <w:rFonts w:asciiTheme="majorBidi" w:hAnsiTheme="majorBidi" w:cstheme="majorBidi"/>
          <w:sz w:val="16"/>
          <w:szCs w:val="16"/>
        </w:rPr>
      </w:pPr>
      <w:r w:rsidRPr="00E410DF">
        <w:rPr>
          <w:rStyle w:val="FootnoteReference"/>
          <w:rFonts w:asciiTheme="majorBidi" w:hAnsiTheme="majorBidi" w:cstheme="majorBidi"/>
          <w:sz w:val="16"/>
          <w:szCs w:val="16"/>
        </w:rPr>
        <w:footnoteRef/>
      </w:r>
      <w:r w:rsidRPr="00E410DF">
        <w:rPr>
          <w:rFonts w:asciiTheme="majorBidi" w:hAnsiTheme="majorBidi" w:cstheme="majorBidi"/>
          <w:sz w:val="16"/>
          <w:szCs w:val="16"/>
        </w:rPr>
        <w:t xml:space="preserve"> Statement by the Special Rapporteur on the right to education, Ms. Koumba Boly Barry, following her official visit to Qatar, 8 - 16 December 2019, 16 December 2019, </w:t>
      </w:r>
      <w:hyperlink r:id="rId24" w:history="1">
        <w:r w:rsidRPr="00E410DF">
          <w:rPr>
            <w:rStyle w:val="Hyperlink"/>
            <w:rFonts w:asciiTheme="majorBidi" w:hAnsiTheme="majorBidi" w:cstheme="majorBidi"/>
            <w:sz w:val="16"/>
            <w:szCs w:val="16"/>
          </w:rPr>
          <w:t>https://tinyurl.com/58795vbb</w:t>
        </w:r>
      </w:hyperlink>
    </w:p>
  </w:footnote>
  <w:footnote w:id="25">
    <w:p w14:paraId="304ABF80" w14:textId="5B3E3B3F" w:rsidR="00C316D8" w:rsidRPr="00E410DF" w:rsidRDefault="00C316D8" w:rsidP="00C316D8">
      <w:pPr>
        <w:pStyle w:val="FootnoteText"/>
        <w:rPr>
          <w:rFonts w:asciiTheme="majorBidi" w:hAnsiTheme="majorBidi" w:cstheme="majorBidi"/>
          <w:sz w:val="16"/>
          <w:szCs w:val="16"/>
        </w:rPr>
      </w:pPr>
      <w:r w:rsidRPr="00E410DF">
        <w:rPr>
          <w:rStyle w:val="FootnoteReference"/>
          <w:rFonts w:asciiTheme="majorBidi" w:hAnsiTheme="majorBidi" w:cstheme="majorBidi"/>
          <w:sz w:val="16"/>
          <w:szCs w:val="16"/>
        </w:rPr>
        <w:footnoteRef/>
      </w:r>
      <w:r w:rsidRPr="00E410DF">
        <w:rPr>
          <w:rFonts w:asciiTheme="majorBidi" w:hAnsiTheme="majorBidi" w:cstheme="majorBidi"/>
          <w:sz w:val="16"/>
          <w:szCs w:val="16"/>
        </w:rPr>
        <w:t xml:space="preserve"> Led by Qatar and HH Sheikha Moza, United Nations passes resolution to establish International Day to Protect Education from Attack, </w:t>
      </w:r>
      <w:r w:rsidR="00A71E5C">
        <w:rPr>
          <w:rFonts w:asciiTheme="majorBidi" w:hAnsiTheme="majorBidi" w:cstheme="majorBidi"/>
          <w:sz w:val="16"/>
          <w:szCs w:val="16"/>
        </w:rPr>
        <w:t>M</w:t>
      </w:r>
      <w:r w:rsidRPr="00E410DF">
        <w:rPr>
          <w:rFonts w:asciiTheme="majorBidi" w:hAnsiTheme="majorBidi" w:cstheme="majorBidi"/>
          <w:sz w:val="16"/>
          <w:szCs w:val="16"/>
        </w:rPr>
        <w:t>oza</w:t>
      </w:r>
      <w:r w:rsidR="00A71E5C">
        <w:rPr>
          <w:rFonts w:asciiTheme="majorBidi" w:hAnsiTheme="majorBidi" w:cstheme="majorBidi"/>
          <w:sz w:val="16"/>
          <w:szCs w:val="16"/>
        </w:rPr>
        <w:t xml:space="preserve"> </w:t>
      </w:r>
      <w:proofErr w:type="spellStart"/>
      <w:r w:rsidR="00A71E5C">
        <w:rPr>
          <w:rFonts w:asciiTheme="majorBidi" w:hAnsiTheme="majorBidi" w:cstheme="majorBidi"/>
          <w:sz w:val="16"/>
          <w:szCs w:val="16"/>
        </w:rPr>
        <w:t>B</w:t>
      </w:r>
      <w:r w:rsidRPr="00E410DF">
        <w:rPr>
          <w:rFonts w:asciiTheme="majorBidi" w:hAnsiTheme="majorBidi" w:cstheme="majorBidi"/>
          <w:sz w:val="16"/>
          <w:szCs w:val="16"/>
        </w:rPr>
        <w:t>int</w:t>
      </w:r>
      <w:proofErr w:type="spellEnd"/>
      <w:r w:rsidR="00A71E5C">
        <w:rPr>
          <w:rFonts w:asciiTheme="majorBidi" w:hAnsiTheme="majorBidi" w:cstheme="majorBidi"/>
          <w:sz w:val="16"/>
          <w:szCs w:val="16"/>
        </w:rPr>
        <w:t xml:space="preserve"> N</w:t>
      </w:r>
      <w:r w:rsidRPr="00E410DF">
        <w:rPr>
          <w:rFonts w:asciiTheme="majorBidi" w:hAnsiTheme="majorBidi" w:cstheme="majorBidi"/>
          <w:sz w:val="16"/>
          <w:szCs w:val="16"/>
        </w:rPr>
        <w:t xml:space="preserve">asser, 29 May 2020, </w:t>
      </w:r>
      <w:hyperlink r:id="rId25" w:history="1">
        <w:r w:rsidRPr="00E410DF">
          <w:rPr>
            <w:rStyle w:val="Hyperlink"/>
            <w:rFonts w:asciiTheme="majorBidi" w:hAnsiTheme="majorBidi" w:cstheme="majorBidi"/>
            <w:sz w:val="16"/>
            <w:szCs w:val="16"/>
          </w:rPr>
          <w:t>https://tinyurl.com/wn4ncjhz</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CCF735" w14:textId="18E60A97" w:rsidR="0058685C" w:rsidRPr="0058685C" w:rsidRDefault="0058685C" w:rsidP="0058685C">
    <w:pPr>
      <w:pStyle w:val="Header"/>
    </w:pPr>
    <w:r>
      <w:rPr>
        <w:noProof/>
        <w:lang w:val="en-GB"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6153A1"/>
    <w:multiLevelType w:val="hybridMultilevel"/>
    <w:tmpl w:val="30F45282"/>
    <w:lvl w:ilvl="0" w:tplc="7EA4CA6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3FA11BD"/>
    <w:multiLevelType w:val="hybridMultilevel"/>
    <w:tmpl w:val="892CF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4C3C531E"/>
    <w:multiLevelType w:val="hybridMultilevel"/>
    <w:tmpl w:val="C290C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AFB628E"/>
    <w:multiLevelType w:val="hybridMultilevel"/>
    <w:tmpl w:val="7550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D142B4F"/>
    <w:multiLevelType w:val="hybridMultilevel"/>
    <w:tmpl w:val="7A56D4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17"/>
  </w:num>
  <w:num w:numId="2" w16cid:durableId="319427900">
    <w:abstractNumId w:val="5"/>
  </w:num>
  <w:num w:numId="3" w16cid:durableId="483819352">
    <w:abstractNumId w:val="1"/>
  </w:num>
  <w:num w:numId="4" w16cid:durableId="1550531087">
    <w:abstractNumId w:val="13"/>
  </w:num>
  <w:num w:numId="5" w16cid:durableId="365302262">
    <w:abstractNumId w:val="3"/>
  </w:num>
  <w:num w:numId="6" w16cid:durableId="1490904455">
    <w:abstractNumId w:val="29"/>
  </w:num>
  <w:num w:numId="7" w16cid:durableId="1975796718">
    <w:abstractNumId w:val="34"/>
  </w:num>
  <w:num w:numId="8" w16cid:durableId="168910388">
    <w:abstractNumId w:val="37"/>
  </w:num>
  <w:num w:numId="9" w16cid:durableId="864364265">
    <w:abstractNumId w:val="27"/>
  </w:num>
  <w:num w:numId="10" w16cid:durableId="1110662610">
    <w:abstractNumId w:val="30"/>
  </w:num>
  <w:num w:numId="11" w16cid:durableId="48504678">
    <w:abstractNumId w:val="22"/>
  </w:num>
  <w:num w:numId="12" w16cid:durableId="1057243330">
    <w:abstractNumId w:val="36"/>
  </w:num>
  <w:num w:numId="13" w16cid:durableId="113838224">
    <w:abstractNumId w:val="20"/>
  </w:num>
  <w:num w:numId="14" w16cid:durableId="1819300015">
    <w:abstractNumId w:val="8"/>
  </w:num>
  <w:num w:numId="15" w16cid:durableId="1354769003">
    <w:abstractNumId w:val="26"/>
  </w:num>
  <w:num w:numId="16" w16cid:durableId="765884069">
    <w:abstractNumId w:val="14"/>
  </w:num>
  <w:num w:numId="17" w16cid:durableId="1830708544">
    <w:abstractNumId w:val="0"/>
  </w:num>
  <w:num w:numId="18" w16cid:durableId="1195772453">
    <w:abstractNumId w:val="18"/>
  </w:num>
  <w:num w:numId="19" w16cid:durableId="116266373">
    <w:abstractNumId w:val="2"/>
  </w:num>
  <w:num w:numId="20" w16cid:durableId="1165899663">
    <w:abstractNumId w:val="10"/>
  </w:num>
  <w:num w:numId="21" w16cid:durableId="1921870603">
    <w:abstractNumId w:val="39"/>
  </w:num>
  <w:num w:numId="22" w16cid:durableId="1106846340">
    <w:abstractNumId w:val="12"/>
  </w:num>
  <w:num w:numId="23" w16cid:durableId="1120413215">
    <w:abstractNumId w:val="16"/>
  </w:num>
  <w:num w:numId="24" w16cid:durableId="884490536">
    <w:abstractNumId w:val="28"/>
  </w:num>
  <w:num w:numId="25" w16cid:durableId="1098991049">
    <w:abstractNumId w:val="32"/>
  </w:num>
  <w:num w:numId="26" w16cid:durableId="631596808">
    <w:abstractNumId w:val="9"/>
  </w:num>
  <w:num w:numId="27" w16cid:durableId="1306087360">
    <w:abstractNumId w:val="7"/>
  </w:num>
  <w:num w:numId="28" w16cid:durableId="909191109">
    <w:abstractNumId w:val="23"/>
  </w:num>
  <w:num w:numId="29" w16cid:durableId="556204899">
    <w:abstractNumId w:val="24"/>
  </w:num>
  <w:num w:numId="30" w16cid:durableId="1668284805">
    <w:abstractNumId w:val="15"/>
  </w:num>
  <w:num w:numId="31" w16cid:durableId="1777868951">
    <w:abstractNumId w:val="21"/>
  </w:num>
  <w:num w:numId="32" w16cid:durableId="1614898655">
    <w:abstractNumId w:val="6"/>
  </w:num>
  <w:num w:numId="33" w16cid:durableId="364449577">
    <w:abstractNumId w:val="11"/>
  </w:num>
  <w:num w:numId="34" w16cid:durableId="248081818">
    <w:abstractNumId w:val="35"/>
  </w:num>
  <w:num w:numId="35" w16cid:durableId="1742749116">
    <w:abstractNumId w:val="33"/>
  </w:num>
  <w:num w:numId="36" w16cid:durableId="1632056943">
    <w:abstractNumId w:val="25"/>
  </w:num>
  <w:num w:numId="37" w16cid:durableId="16198188">
    <w:abstractNumId w:val="31"/>
  </w:num>
  <w:num w:numId="38" w16cid:durableId="995642619">
    <w:abstractNumId w:val="19"/>
  </w:num>
  <w:num w:numId="39" w16cid:durableId="1951429902">
    <w:abstractNumId w:val="38"/>
  </w:num>
  <w:num w:numId="40" w16cid:durableId="1017279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4495D"/>
    <w:rsid w:val="0004619A"/>
    <w:rsid w:val="00046C49"/>
    <w:rsid w:val="000629AA"/>
    <w:rsid w:val="00086352"/>
    <w:rsid w:val="00093D9F"/>
    <w:rsid w:val="000A0E24"/>
    <w:rsid w:val="000B5D57"/>
    <w:rsid w:val="000B6F75"/>
    <w:rsid w:val="000C7C14"/>
    <w:rsid w:val="00101544"/>
    <w:rsid w:val="00114CCA"/>
    <w:rsid w:val="00125B08"/>
    <w:rsid w:val="00156C09"/>
    <w:rsid w:val="00196443"/>
    <w:rsid w:val="001A6E66"/>
    <w:rsid w:val="001D532C"/>
    <w:rsid w:val="001D6213"/>
    <w:rsid w:val="001F47FD"/>
    <w:rsid w:val="002257CD"/>
    <w:rsid w:val="002305C5"/>
    <w:rsid w:val="00284AAE"/>
    <w:rsid w:val="002876FE"/>
    <w:rsid w:val="002D0B34"/>
    <w:rsid w:val="002D5B01"/>
    <w:rsid w:val="002D65A3"/>
    <w:rsid w:val="003216C7"/>
    <w:rsid w:val="003319F3"/>
    <w:rsid w:val="003439F7"/>
    <w:rsid w:val="00360DAB"/>
    <w:rsid w:val="00372B51"/>
    <w:rsid w:val="0038184B"/>
    <w:rsid w:val="003A0EBE"/>
    <w:rsid w:val="003A1F96"/>
    <w:rsid w:val="003A60A9"/>
    <w:rsid w:val="003A745E"/>
    <w:rsid w:val="003B7C83"/>
    <w:rsid w:val="004055DB"/>
    <w:rsid w:val="004134D4"/>
    <w:rsid w:val="00414D42"/>
    <w:rsid w:val="00434DDB"/>
    <w:rsid w:val="00436AE3"/>
    <w:rsid w:val="004650D2"/>
    <w:rsid w:val="00477C56"/>
    <w:rsid w:val="00484A19"/>
    <w:rsid w:val="00490571"/>
    <w:rsid w:val="004F28E4"/>
    <w:rsid w:val="004F6D5A"/>
    <w:rsid w:val="004F6EC6"/>
    <w:rsid w:val="004F7950"/>
    <w:rsid w:val="005025C7"/>
    <w:rsid w:val="00505CB3"/>
    <w:rsid w:val="005132DF"/>
    <w:rsid w:val="0051677C"/>
    <w:rsid w:val="00531689"/>
    <w:rsid w:val="00531CED"/>
    <w:rsid w:val="005612DD"/>
    <w:rsid w:val="00566EF4"/>
    <w:rsid w:val="0058685C"/>
    <w:rsid w:val="005B3A8D"/>
    <w:rsid w:val="005C3446"/>
    <w:rsid w:val="005E2E96"/>
    <w:rsid w:val="006105E2"/>
    <w:rsid w:val="00640577"/>
    <w:rsid w:val="006412F6"/>
    <w:rsid w:val="00644334"/>
    <w:rsid w:val="00644785"/>
    <w:rsid w:val="00646A53"/>
    <w:rsid w:val="006807A3"/>
    <w:rsid w:val="00690C3F"/>
    <w:rsid w:val="00693967"/>
    <w:rsid w:val="006B1AFB"/>
    <w:rsid w:val="006F5D15"/>
    <w:rsid w:val="00713444"/>
    <w:rsid w:val="0074772B"/>
    <w:rsid w:val="0075015E"/>
    <w:rsid w:val="00755B2C"/>
    <w:rsid w:val="00786D2C"/>
    <w:rsid w:val="007A3C77"/>
    <w:rsid w:val="007B5697"/>
    <w:rsid w:val="007C2144"/>
    <w:rsid w:val="007C3E73"/>
    <w:rsid w:val="007E38ED"/>
    <w:rsid w:val="007E56C8"/>
    <w:rsid w:val="007F62CB"/>
    <w:rsid w:val="00823531"/>
    <w:rsid w:val="00823F46"/>
    <w:rsid w:val="00826C6D"/>
    <w:rsid w:val="00860C1C"/>
    <w:rsid w:val="00871BB0"/>
    <w:rsid w:val="00875304"/>
    <w:rsid w:val="008823E1"/>
    <w:rsid w:val="00884133"/>
    <w:rsid w:val="008A0867"/>
    <w:rsid w:val="008F2641"/>
    <w:rsid w:val="0091285A"/>
    <w:rsid w:val="009337BF"/>
    <w:rsid w:val="009412A9"/>
    <w:rsid w:val="009850AD"/>
    <w:rsid w:val="00990858"/>
    <w:rsid w:val="009B028E"/>
    <w:rsid w:val="009B3ECF"/>
    <w:rsid w:val="009C623E"/>
    <w:rsid w:val="009D1F8F"/>
    <w:rsid w:val="009E290C"/>
    <w:rsid w:val="00A3448D"/>
    <w:rsid w:val="00A37636"/>
    <w:rsid w:val="00A537CE"/>
    <w:rsid w:val="00A71E5C"/>
    <w:rsid w:val="00A81650"/>
    <w:rsid w:val="00A81860"/>
    <w:rsid w:val="00A83C1E"/>
    <w:rsid w:val="00AF7FD1"/>
    <w:rsid w:val="00B01D47"/>
    <w:rsid w:val="00B35D5B"/>
    <w:rsid w:val="00B50DC2"/>
    <w:rsid w:val="00B53978"/>
    <w:rsid w:val="00B66916"/>
    <w:rsid w:val="00B76BA7"/>
    <w:rsid w:val="00BA7411"/>
    <w:rsid w:val="00BB10FB"/>
    <w:rsid w:val="00BB2414"/>
    <w:rsid w:val="00BB2E0C"/>
    <w:rsid w:val="00BC2D2E"/>
    <w:rsid w:val="00BC41A1"/>
    <w:rsid w:val="00BE6F35"/>
    <w:rsid w:val="00C0706B"/>
    <w:rsid w:val="00C316D8"/>
    <w:rsid w:val="00C34E13"/>
    <w:rsid w:val="00C4521C"/>
    <w:rsid w:val="00C47923"/>
    <w:rsid w:val="00C86D0C"/>
    <w:rsid w:val="00CB49FE"/>
    <w:rsid w:val="00CC2F15"/>
    <w:rsid w:val="00CC606D"/>
    <w:rsid w:val="00CD3720"/>
    <w:rsid w:val="00CD5381"/>
    <w:rsid w:val="00D01C6A"/>
    <w:rsid w:val="00D11899"/>
    <w:rsid w:val="00D500E7"/>
    <w:rsid w:val="00D56CB6"/>
    <w:rsid w:val="00D57B63"/>
    <w:rsid w:val="00D674C8"/>
    <w:rsid w:val="00DB04A9"/>
    <w:rsid w:val="00DB5AB9"/>
    <w:rsid w:val="00DC35AC"/>
    <w:rsid w:val="00DE35AB"/>
    <w:rsid w:val="00DF3596"/>
    <w:rsid w:val="00E3117B"/>
    <w:rsid w:val="00E410DF"/>
    <w:rsid w:val="00E4520A"/>
    <w:rsid w:val="00E45A93"/>
    <w:rsid w:val="00E55456"/>
    <w:rsid w:val="00E7132E"/>
    <w:rsid w:val="00E820AA"/>
    <w:rsid w:val="00E94DD0"/>
    <w:rsid w:val="00E9641B"/>
    <w:rsid w:val="00EA2C34"/>
    <w:rsid w:val="00EA4670"/>
    <w:rsid w:val="00EB7424"/>
    <w:rsid w:val="00ED3ED2"/>
    <w:rsid w:val="00ED7702"/>
    <w:rsid w:val="00EF597D"/>
    <w:rsid w:val="00F533B4"/>
    <w:rsid w:val="00F56B3D"/>
    <w:rsid w:val="00F60E10"/>
    <w:rsid w:val="00F715CB"/>
    <w:rsid w:val="00F72F2C"/>
    <w:rsid w:val="00F8429A"/>
    <w:rsid w:val="00F871C7"/>
    <w:rsid w:val="00F94355"/>
    <w:rsid w:val="00FA13E3"/>
    <w:rsid w:val="00FA5CD7"/>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0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 w:type="table" w:styleId="GridTable5Dark-Accent1">
    <w:name w:val="Grid Table 5 Dark Accent 1"/>
    <w:basedOn w:val="TableNormal"/>
    <w:uiPriority w:val="50"/>
    <w:rsid w:val="00D500E7"/>
    <w:pPr>
      <w:spacing w:before="100" w:beforeAutospacing="1" w:after="0" w:afterAutospacing="1"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tinyurl.com/t66u8czv" TargetMode="External"/><Relationship Id="rId13" Type="http://schemas.openxmlformats.org/officeDocument/2006/relationships/hyperlink" Target="https://tinyurl.com/t66u8czv" TargetMode="External"/><Relationship Id="rId18" Type="http://schemas.openxmlformats.org/officeDocument/2006/relationships/hyperlink" Target="https://tinyurl.com/t66u8czv" TargetMode="External"/><Relationship Id="rId3" Type="http://schemas.openxmlformats.org/officeDocument/2006/relationships/hyperlink" Target="https://tinyurl.com/4yazbwsp" TargetMode="External"/><Relationship Id="rId21" Type="http://schemas.openxmlformats.org/officeDocument/2006/relationships/hyperlink" Target="https://tinyurl.com/y3yu96tk" TargetMode="External"/><Relationship Id="rId7" Type="http://schemas.openxmlformats.org/officeDocument/2006/relationships/hyperlink" Target="https://tinyurl.com/4knppvsn" TargetMode="External"/><Relationship Id="rId12" Type="http://schemas.openxmlformats.org/officeDocument/2006/relationships/hyperlink" Target="https://tinyurl.com/3vdnbubs" TargetMode="External"/><Relationship Id="rId17" Type="http://schemas.openxmlformats.org/officeDocument/2006/relationships/hyperlink" Target="https://tinyurl.com/yny9efm4" TargetMode="External"/><Relationship Id="rId25" Type="http://schemas.openxmlformats.org/officeDocument/2006/relationships/hyperlink" Target="https://tinyurl.com/wn4ncjhz" TargetMode="External"/><Relationship Id="rId2" Type="http://schemas.openxmlformats.org/officeDocument/2006/relationships/hyperlink" Target="https://tinyurl.com/mw8ap8ka" TargetMode="External"/><Relationship Id="rId16" Type="http://schemas.openxmlformats.org/officeDocument/2006/relationships/hyperlink" Target="https://tinyurl.com/mr4cn4z4" TargetMode="External"/><Relationship Id="rId20" Type="http://schemas.openxmlformats.org/officeDocument/2006/relationships/hyperlink" Target="https://tinyurl.com/2wvz54bc" TargetMode="External"/><Relationship Id="rId1" Type="http://schemas.openxmlformats.org/officeDocument/2006/relationships/hyperlink" Target="https://tinyurl.com/t66u8czv" TargetMode="External"/><Relationship Id="rId6" Type="http://schemas.openxmlformats.org/officeDocument/2006/relationships/hyperlink" Target="https://tinyurl.com/3vdnbubs" TargetMode="External"/><Relationship Id="rId11" Type="http://schemas.openxmlformats.org/officeDocument/2006/relationships/hyperlink" Target="https://tinyurl.com/t66u8czv" TargetMode="External"/><Relationship Id="rId24" Type="http://schemas.openxmlformats.org/officeDocument/2006/relationships/hyperlink" Target="https://tinyurl.com/58795vbb" TargetMode="External"/><Relationship Id="rId5" Type="http://schemas.openxmlformats.org/officeDocument/2006/relationships/hyperlink" Target="https://tinyurl.com/2ajh37rm" TargetMode="External"/><Relationship Id="rId15" Type="http://schemas.openxmlformats.org/officeDocument/2006/relationships/hyperlink" Target="https://tinyurl.com/t66u8czv" TargetMode="External"/><Relationship Id="rId23" Type="http://schemas.openxmlformats.org/officeDocument/2006/relationships/hyperlink" Target="https://tinyurl.com/468mwhwd" TargetMode="External"/><Relationship Id="rId10" Type="http://schemas.openxmlformats.org/officeDocument/2006/relationships/hyperlink" Target="https://tinyurl.com/3vdnbubs" TargetMode="External"/><Relationship Id="rId19" Type="http://schemas.openxmlformats.org/officeDocument/2006/relationships/hyperlink" Target="https://tinyurl.com/mw8ap8ka" TargetMode="External"/><Relationship Id="rId4" Type="http://schemas.openxmlformats.org/officeDocument/2006/relationships/hyperlink" Target="https://tinyurl.com/3vdnbubs" TargetMode="External"/><Relationship Id="rId9" Type="http://schemas.openxmlformats.org/officeDocument/2006/relationships/hyperlink" Target="https://www.almeezan.qa/LawPage.aspx?id=2591&amp;language=en" TargetMode="External"/><Relationship Id="rId14" Type="http://schemas.openxmlformats.org/officeDocument/2006/relationships/hyperlink" Target="https://tinyurl.com/yny9efm4" TargetMode="External"/><Relationship Id="rId22" Type="http://schemas.openxmlformats.org/officeDocument/2006/relationships/hyperlink" Target="https://tinyurl.com/msae42a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2330</Words>
  <Characters>13284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Mira Farash</cp:lastModifiedBy>
  <cp:revision>3</cp:revision>
  <dcterms:created xsi:type="dcterms:W3CDTF">2024-10-31T09:53:00Z</dcterms:created>
  <dcterms:modified xsi:type="dcterms:W3CDTF">2024-10-31T10:27:00Z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ies>
</file>