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Override2.xml" ContentType="application/vnd.openxmlformats-officedocument.themeOverrid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charts/style2.xml" ContentType="application/vnd.ms-office.chartstyle+xml"/>
  <Override PartName="/word/charts/colors1.xml" ContentType="application/vnd.ms-office.chartcolorstyle+xml"/>
  <Override PartName="/word/charts/colors2.xml" ContentType="application/vnd.ms-office.chartcolorstyle+xml"/>
  <Override PartName="/word/charts/style1.xml" ContentType="application/vnd.ms-office.chartsty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338" w:rsidRPr="008B7338" w:rsidRDefault="008B7338" w:rsidP="008B7338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lang w:val="es-DO" w:eastAsia="es-DO"/>
        </w:rPr>
      </w:pPr>
      <w:bookmarkStart w:id="0" w:name="_GoBack"/>
      <w:bookmarkEnd w:id="0"/>
      <w:r w:rsidRPr="00F85CDF">
        <w:rPr>
          <w:noProof/>
        </w:rPr>
        <w:drawing>
          <wp:anchor distT="0" distB="0" distL="114300" distR="114300" simplePos="0" relativeHeight="251659264" behindDoc="1" locked="0" layoutInCell="1" allowOverlap="1" wp14:anchorId="43DF72D4" wp14:editId="6E451A89">
            <wp:simplePos x="0" y="0"/>
            <wp:positionH relativeFrom="margin">
              <wp:align>center</wp:align>
            </wp:positionH>
            <wp:positionV relativeFrom="page">
              <wp:posOffset>-152400</wp:posOffset>
            </wp:positionV>
            <wp:extent cx="8312150" cy="1955800"/>
            <wp:effectExtent l="0" t="0" r="0" b="6350"/>
            <wp:wrapSquare wrapText="bothSides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7338">
        <w:rPr>
          <w:rFonts w:ascii="Times New Roman" w:hAnsi="Times New Roman" w:cs="Times New Roman"/>
          <w:lang w:val="es-DO" w:eastAsia="es-DO"/>
        </w:rPr>
        <w:t>Santo Domingo, D.N.</w:t>
      </w:r>
    </w:p>
    <w:p w:rsidR="008B7338" w:rsidRPr="008B7338" w:rsidRDefault="00431C77" w:rsidP="008B7338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lang w:val="es-DO" w:eastAsia="es-DO"/>
        </w:rPr>
      </w:pPr>
      <w:r>
        <w:rPr>
          <w:rFonts w:ascii="Times New Roman" w:hAnsi="Times New Roman" w:cs="Times New Roman"/>
          <w:lang w:val="es-DO" w:eastAsia="es-DO"/>
        </w:rPr>
        <w:t>16</w:t>
      </w:r>
      <w:r w:rsidR="008B7338" w:rsidRPr="008B7338">
        <w:rPr>
          <w:rFonts w:ascii="Times New Roman" w:hAnsi="Times New Roman" w:cs="Times New Roman"/>
          <w:lang w:val="es-DO" w:eastAsia="es-DO"/>
        </w:rPr>
        <w:t xml:space="preserve"> de junio de 2021</w:t>
      </w:r>
    </w:p>
    <w:p w:rsidR="008B7338" w:rsidRDefault="008B7338" w:rsidP="008B7338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lang w:val="es-DO" w:eastAsia="es-DO"/>
        </w:rPr>
      </w:pPr>
    </w:p>
    <w:p w:rsidR="002A54FC" w:rsidRPr="00B911FD" w:rsidRDefault="002A54FC" w:rsidP="008B7338">
      <w:pPr>
        <w:shd w:val="clear" w:color="auto" w:fill="FFF2CC" w:themeFill="accent4" w:themeFillTint="33"/>
        <w:spacing w:after="0" w:line="240" w:lineRule="auto"/>
        <w:jc w:val="center"/>
        <w:rPr>
          <w:rFonts w:ascii="Times New Roman" w:hAnsi="Times New Roman" w:cs="Times New Roman"/>
          <w:b/>
          <w:lang w:val="es-DO" w:eastAsia="es-DO"/>
        </w:rPr>
      </w:pPr>
      <w:r w:rsidRPr="00B911FD">
        <w:rPr>
          <w:rFonts w:ascii="Times New Roman" w:hAnsi="Times New Roman" w:cs="Times New Roman"/>
          <w:b/>
          <w:lang w:val="es-DO" w:eastAsia="es-DO"/>
        </w:rPr>
        <w:t>ANEXOS A LAS RESPUESTAS DEL PÁRRAFO 26</w:t>
      </w:r>
    </w:p>
    <w:p w:rsidR="008B7338" w:rsidRDefault="008B7338" w:rsidP="002A54FC">
      <w:pPr>
        <w:spacing w:after="0" w:line="240" w:lineRule="auto"/>
        <w:jc w:val="both"/>
        <w:rPr>
          <w:rFonts w:ascii="Times New Roman" w:hAnsi="Times New Roman" w:cs="Times New Roman"/>
          <w:lang w:val="es-DO" w:eastAsia="es-DO"/>
        </w:rPr>
      </w:pP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lang w:val="es-DO" w:eastAsia="es-DO"/>
        </w:rPr>
      </w:pPr>
      <w:r w:rsidRPr="00B911FD">
        <w:rPr>
          <w:rFonts w:ascii="Times New Roman" w:hAnsi="Times New Roman" w:cs="Times New Roman"/>
          <w:lang w:val="es-DO" w:eastAsia="es-DO"/>
        </w:rPr>
        <w:t>A continuación, se presentan los siguientes gráficos y tablas:</w:t>
      </w: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es-DO" w:eastAsia="es-DO"/>
        </w:rPr>
      </w:pP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es-DO" w:eastAsia="es-DO"/>
        </w:rPr>
      </w:pPr>
      <w:r w:rsidRPr="00B911FD">
        <w:rPr>
          <w:rFonts w:ascii="Times New Roman" w:hAnsi="Times New Roman" w:cs="Times New Roman"/>
          <w:b/>
          <w:bCs/>
          <w:lang w:val="es-DO" w:eastAsia="es-DO"/>
        </w:rPr>
        <w:t>Casos autorizados por año</w:t>
      </w: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es-DO"/>
        </w:rPr>
      </w:pPr>
      <w:r w:rsidRPr="00B911FD">
        <w:rPr>
          <w:rFonts w:ascii="Times New Roman" w:hAnsi="Times New Roman" w:cs="Times New Roman"/>
          <w:noProof/>
        </w:rPr>
        <w:drawing>
          <wp:inline distT="0" distB="0" distL="0" distR="0" wp14:anchorId="24066DC8" wp14:editId="25AE5AA3">
            <wp:extent cx="4874260" cy="2112645"/>
            <wp:effectExtent l="0" t="0" r="2540" b="1905"/>
            <wp:docPr id="2" name="Gráfico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es-DO"/>
        </w:rPr>
      </w:pP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es-DO"/>
        </w:rPr>
      </w:pPr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es-DO"/>
        </w:rPr>
      </w:pPr>
      <w:proofErr w:type="spellStart"/>
      <w:r w:rsidRPr="00B911FD">
        <w:rPr>
          <w:rFonts w:ascii="Times New Roman" w:hAnsi="Times New Roman" w:cs="Times New Roman"/>
          <w:b/>
          <w:bCs/>
          <w:lang w:eastAsia="es-DO"/>
        </w:rPr>
        <w:t>Casos</w:t>
      </w:r>
      <w:proofErr w:type="spellEnd"/>
      <w:r w:rsidRPr="00B911FD">
        <w:rPr>
          <w:rFonts w:ascii="Times New Roman" w:hAnsi="Times New Roman" w:cs="Times New Roman"/>
          <w:b/>
          <w:bCs/>
          <w:lang w:eastAsia="es-DO"/>
        </w:rPr>
        <w:t xml:space="preserve"> </w:t>
      </w:r>
      <w:proofErr w:type="spellStart"/>
      <w:r w:rsidRPr="00B911FD">
        <w:rPr>
          <w:rFonts w:ascii="Times New Roman" w:hAnsi="Times New Roman" w:cs="Times New Roman"/>
          <w:b/>
          <w:bCs/>
          <w:lang w:eastAsia="es-DO"/>
        </w:rPr>
        <w:t>transcritos</w:t>
      </w:r>
      <w:proofErr w:type="spellEnd"/>
      <w:r w:rsidRPr="00B911FD">
        <w:rPr>
          <w:rFonts w:ascii="Times New Roman" w:hAnsi="Times New Roman" w:cs="Times New Roman"/>
          <w:b/>
          <w:bCs/>
          <w:lang w:eastAsia="es-DO"/>
        </w:rPr>
        <w:t xml:space="preserve"> </w:t>
      </w:r>
      <w:proofErr w:type="spellStart"/>
      <w:r w:rsidRPr="00B911FD">
        <w:rPr>
          <w:rFonts w:ascii="Times New Roman" w:hAnsi="Times New Roman" w:cs="Times New Roman"/>
          <w:b/>
          <w:bCs/>
          <w:lang w:eastAsia="es-DO"/>
        </w:rPr>
        <w:t>por</w:t>
      </w:r>
      <w:proofErr w:type="spellEnd"/>
      <w:r w:rsidRPr="00B911FD">
        <w:rPr>
          <w:rFonts w:ascii="Times New Roman" w:hAnsi="Times New Roman" w:cs="Times New Roman"/>
          <w:b/>
          <w:bCs/>
          <w:lang w:eastAsia="es-DO"/>
        </w:rPr>
        <w:t xml:space="preserve"> </w:t>
      </w:r>
      <w:proofErr w:type="spellStart"/>
      <w:r w:rsidRPr="00B911FD">
        <w:rPr>
          <w:rFonts w:ascii="Times New Roman" w:hAnsi="Times New Roman" w:cs="Times New Roman"/>
          <w:b/>
          <w:bCs/>
          <w:lang w:eastAsia="es-DO"/>
        </w:rPr>
        <w:t>año</w:t>
      </w:r>
      <w:proofErr w:type="spellEnd"/>
    </w:p>
    <w:p w:rsidR="002A54FC" w:rsidRPr="00B911FD" w:rsidRDefault="002A54FC" w:rsidP="002A54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11FD">
        <w:rPr>
          <w:rFonts w:ascii="Times New Roman" w:hAnsi="Times New Roman" w:cs="Times New Roman"/>
          <w:noProof/>
        </w:rPr>
        <w:drawing>
          <wp:inline distT="0" distB="0" distL="0" distR="0" wp14:anchorId="2CD7F5E9" wp14:editId="7401A530">
            <wp:extent cx="4821555" cy="2412365"/>
            <wp:effectExtent l="0" t="0" r="17145" b="6985"/>
            <wp:docPr id="1" name="Gráfic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A54FC" w:rsidRPr="00B911FD" w:rsidRDefault="002A54FC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2A54FC" w:rsidRDefault="002A54FC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31C77" w:rsidRDefault="00431C77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31C77" w:rsidRDefault="00431C77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31C77" w:rsidRDefault="00431C77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147D51" w:rsidRDefault="00147D51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31C77" w:rsidRPr="00B911FD" w:rsidRDefault="00431C77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2A54FC" w:rsidRPr="00B911FD" w:rsidRDefault="002A54FC" w:rsidP="002A54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222222"/>
          <w:lang w:val="es-DO" w:eastAsia="es-DO"/>
        </w:rPr>
      </w:pPr>
      <w:r w:rsidRPr="00B911FD">
        <w:rPr>
          <w:rFonts w:ascii="Times New Roman" w:hAnsi="Times New Roman" w:cs="Times New Roman"/>
          <w:b/>
          <w:bCs/>
          <w:color w:val="222222"/>
          <w:lang w:val="es-DO" w:eastAsia="es-DO"/>
        </w:rPr>
        <w:lastRenderedPageBreak/>
        <w:t>Total de casos por nacionalidad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0"/>
        <w:gridCol w:w="2120"/>
      </w:tblGrid>
      <w:tr w:rsidR="002A54FC" w:rsidRPr="00B911FD" w:rsidTr="002E406A">
        <w:trPr>
          <w:trHeight w:val="134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2A54FC" w:rsidRPr="00B911FD" w:rsidRDefault="002A54FC" w:rsidP="002E40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FFFF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b/>
                <w:bCs/>
                <w:color w:val="FFFFFF"/>
                <w:lang w:val="es-DO" w:eastAsia="es-DO"/>
              </w:rPr>
              <w:t>Nacionalidad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2A54FC" w:rsidRPr="00B911FD" w:rsidRDefault="002A54FC" w:rsidP="002E40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FFFF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b/>
                <w:bCs/>
                <w:color w:val="FFFFFF"/>
                <w:lang w:val="es-DO" w:eastAsia="es-DO"/>
              </w:rPr>
              <w:t>Eventos</w:t>
            </w:r>
          </w:p>
        </w:tc>
      </w:tr>
      <w:tr w:rsidR="002A54FC" w:rsidRPr="00B911FD" w:rsidTr="002E406A">
        <w:trPr>
          <w:trHeight w:val="41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Haití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41,437</w:t>
            </w:r>
          </w:p>
        </w:tc>
      </w:tr>
      <w:tr w:rsidR="002A54FC" w:rsidRPr="00B911FD" w:rsidTr="002E406A">
        <w:trPr>
          <w:trHeight w:val="63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No Especificada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5,544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En Blanco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2,788</w:t>
            </w:r>
          </w:p>
        </w:tc>
      </w:tr>
      <w:tr w:rsidR="002A54FC" w:rsidRPr="00B911FD" w:rsidTr="002E406A">
        <w:trPr>
          <w:trHeight w:val="106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Estados Unidos de Norteamérica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2,247</w:t>
            </w:r>
          </w:p>
        </w:tc>
      </w:tr>
      <w:tr w:rsidR="002A54FC" w:rsidRPr="00B911FD" w:rsidTr="002E406A">
        <w:trPr>
          <w:trHeight w:val="7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España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1,678</w:t>
            </w:r>
          </w:p>
        </w:tc>
      </w:tr>
      <w:tr w:rsidR="002A54FC" w:rsidRPr="00B911FD" w:rsidTr="002E406A">
        <w:trPr>
          <w:trHeight w:val="70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China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1,174</w:t>
            </w:r>
          </w:p>
        </w:tc>
      </w:tr>
      <w:tr w:rsidR="002A54FC" w:rsidRPr="00B911FD" w:rsidTr="002E406A">
        <w:trPr>
          <w:trHeight w:val="61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Puerto Rico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616</w:t>
            </w:r>
          </w:p>
        </w:tc>
      </w:tr>
      <w:tr w:rsidR="002A54FC" w:rsidRPr="00B911FD" w:rsidTr="002E406A">
        <w:trPr>
          <w:trHeight w:val="54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Holanda, Países Bajos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528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Venezuela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447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Colombia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lang w:val="es-DO" w:eastAsia="es-DO"/>
              </w:rPr>
              <w:t>382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Japón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369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Francia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322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Italia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314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República Dominicana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280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Gran Bretaña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264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Alemania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256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Líbano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230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México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183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Canadá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160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Cuba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159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Argentina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140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Suiza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114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Chile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88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Corea del Norte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79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Siria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66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Guatemala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60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Brasil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57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Palestina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Perú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Costa Rica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Honduras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Australia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Nicaragua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Reino Unido, Gran Bretaña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Antigua, Islas Occidentales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38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Dominica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Panamá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Curazao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Uruguay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27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Bolivia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Israel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Taiwán, Formosa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Jamaica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Libia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Ecuador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Yugoslavia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17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Arabia Saudita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Portugal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lastRenderedPageBreak/>
              <w:t>Bulgaria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India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El Salvador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Pakistán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San Cristóbal y Nevis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Finlandia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Hungría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Noruega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Somalia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10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Aruba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Filipinas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Paraguay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9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Dinamarca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8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Rusia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8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Jordania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7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Rumanía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San Martín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Trinidad y Tobago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6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África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Angola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Antigua y Barbuda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Irlanda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Nigeria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Surinam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5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Austria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Bélgica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Estonia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Guyana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Irán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Islas Vírgenes Británicas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Namibia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Polonia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4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Checoslovaquia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Egipto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Irak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Islandia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Liberia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Vietnam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3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Argelia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Congo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Corea del Sur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Eslovenia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Ghana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Indonesia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Saint Thomas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Santa Lucía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Senegal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Tailandia, Siam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Ucrania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2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Albania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lastRenderedPageBreak/>
              <w:t>Anguilla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Armenia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Azerbaiyán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Bahamas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Belice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Cabo Verde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Camerún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Grecia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Letonia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Nueva Zelanda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República Checa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Rwanda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San Marino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Serbia y Montenegro, Yugoslavia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Suecia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57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Turcas y Caicos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  <w:tr w:rsidR="002A54FC" w:rsidRPr="00B911FD" w:rsidTr="002E406A">
        <w:trPr>
          <w:trHeight w:val="60"/>
        </w:trPr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Turquía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A54FC" w:rsidRPr="00B911FD" w:rsidRDefault="002A54FC" w:rsidP="002E406A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s-DO" w:eastAsia="es-DO"/>
              </w:rPr>
            </w:pPr>
            <w:r w:rsidRPr="00B911FD">
              <w:rPr>
                <w:rFonts w:ascii="Times New Roman" w:hAnsi="Times New Roman" w:cs="Times New Roman"/>
                <w:color w:val="000000"/>
                <w:lang w:val="es-DO" w:eastAsia="es-DO"/>
              </w:rPr>
              <w:t>1</w:t>
            </w:r>
          </w:p>
        </w:tc>
      </w:tr>
    </w:tbl>
    <w:p w:rsidR="00DA0533" w:rsidRPr="00B911FD" w:rsidRDefault="00DA0533">
      <w:pPr>
        <w:rPr>
          <w:rFonts w:ascii="Times New Roman" w:hAnsi="Times New Roman" w:cs="Times New Roman"/>
        </w:rPr>
      </w:pPr>
    </w:p>
    <w:p w:rsidR="002A54FC" w:rsidRPr="00B911FD" w:rsidRDefault="002A54FC" w:rsidP="00B911FD">
      <w:pPr>
        <w:shd w:val="clear" w:color="auto" w:fill="FFF2CC" w:themeFill="accent4" w:themeFillTint="33"/>
        <w:jc w:val="center"/>
        <w:rPr>
          <w:rFonts w:ascii="Times New Roman" w:hAnsi="Times New Roman" w:cs="Times New Roman"/>
          <w:b/>
          <w:lang w:val="es-SV"/>
        </w:rPr>
      </w:pPr>
      <w:r w:rsidRPr="00B911FD">
        <w:rPr>
          <w:rFonts w:ascii="Times New Roman" w:hAnsi="Times New Roman" w:cs="Times New Roman"/>
          <w:b/>
          <w:lang w:val="es-SV"/>
        </w:rPr>
        <w:t>ANEXOS A LAS RESPUESTAS DEL PÁRRAFO 10</w:t>
      </w:r>
    </w:p>
    <w:tbl>
      <w:tblPr>
        <w:tblW w:w="9169" w:type="dxa"/>
        <w:tblLook w:val="04A0" w:firstRow="1" w:lastRow="0" w:firstColumn="1" w:lastColumn="0" w:noHBand="0" w:noVBand="1"/>
      </w:tblPr>
      <w:tblGrid>
        <w:gridCol w:w="2203"/>
        <w:gridCol w:w="937"/>
        <w:gridCol w:w="10"/>
        <w:gridCol w:w="810"/>
        <w:gridCol w:w="137"/>
        <w:gridCol w:w="684"/>
        <w:gridCol w:w="264"/>
        <w:gridCol w:w="557"/>
        <w:gridCol w:w="390"/>
        <w:gridCol w:w="430"/>
        <w:gridCol w:w="517"/>
        <w:gridCol w:w="304"/>
        <w:gridCol w:w="1261"/>
        <w:gridCol w:w="909"/>
      </w:tblGrid>
      <w:tr w:rsidR="00B911FD" w:rsidRPr="00431C77" w:rsidTr="00B911FD">
        <w:trPr>
          <w:trHeight w:val="425"/>
        </w:trPr>
        <w:tc>
          <w:tcPr>
            <w:tcW w:w="9169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  <w:t>CANTIDAD DE CASOS REGISTRADOS POR DISCRIMINACIÓN 2016 - 2020</w:t>
            </w:r>
          </w:p>
        </w:tc>
      </w:tr>
      <w:tr w:rsidR="00B911FD" w:rsidRPr="00431C77" w:rsidTr="00B911FD">
        <w:trPr>
          <w:trHeight w:val="425"/>
        </w:trPr>
        <w:tc>
          <w:tcPr>
            <w:tcW w:w="9169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</w:pPr>
          </w:p>
        </w:tc>
      </w:tr>
      <w:tr w:rsidR="00B911FD" w:rsidRPr="00B911FD" w:rsidTr="00B911FD">
        <w:trPr>
          <w:trHeight w:val="340"/>
        </w:trPr>
        <w:tc>
          <w:tcPr>
            <w:tcW w:w="30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Delito</w:t>
            </w:r>
            <w:proofErr w:type="spellEnd"/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2016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general</w:t>
            </w:r>
          </w:p>
        </w:tc>
      </w:tr>
      <w:tr w:rsidR="00B911FD" w:rsidRPr="00B911FD" w:rsidTr="00B911FD">
        <w:trPr>
          <w:trHeight w:val="326"/>
        </w:trPr>
        <w:tc>
          <w:tcPr>
            <w:tcW w:w="305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Discriminación</w:t>
            </w:r>
            <w:proofErr w:type="spellEnd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agravada</w:t>
            </w:r>
            <w:proofErr w:type="spellEnd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 xml:space="preserve"> (336-I)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B911FD" w:rsidRPr="00B911FD" w:rsidTr="00B911FD">
        <w:trPr>
          <w:trHeight w:val="340"/>
        </w:trPr>
        <w:tc>
          <w:tcPr>
            <w:tcW w:w="30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Discriminación</w:t>
            </w:r>
            <w:proofErr w:type="spellEnd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 xml:space="preserve"> (336)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B911FD" w:rsidRPr="00B911FD" w:rsidTr="00B911FD">
        <w:trPr>
          <w:trHeight w:val="340"/>
        </w:trPr>
        <w:tc>
          <w:tcPr>
            <w:tcW w:w="30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general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79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1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</w:t>
            </w:r>
          </w:p>
        </w:tc>
      </w:tr>
      <w:tr w:rsidR="00B911FD" w:rsidRPr="00431C77" w:rsidTr="00B911FD">
        <w:trPr>
          <w:trHeight w:val="482"/>
        </w:trPr>
        <w:tc>
          <w:tcPr>
            <w:tcW w:w="91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  <w:t xml:space="preserve">Fuente: </w:t>
            </w:r>
            <w:r w:rsidRPr="00B911FD">
              <w:rPr>
                <w:rFonts w:ascii="Times New Roman" w:eastAsia="Times New Roman" w:hAnsi="Times New Roman" w:cs="Times New Roman"/>
                <w:color w:val="000000"/>
                <w:lang w:val="es-SV"/>
              </w:rPr>
              <w:t>Estos datos provienen de los sistemas de apoyo a los fiscales denominados "Justicia 2.0" y  "Justicia XXI".</w:t>
            </w:r>
          </w:p>
        </w:tc>
      </w:tr>
      <w:tr w:rsidR="00B911FD" w:rsidRPr="00431C77" w:rsidTr="00B911FD">
        <w:trPr>
          <w:trHeight w:val="624"/>
        </w:trPr>
        <w:tc>
          <w:tcPr>
            <w:tcW w:w="91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  <w:t>Nota:</w:t>
            </w:r>
            <w:r w:rsidRPr="00B911FD">
              <w:rPr>
                <w:rFonts w:ascii="Times New Roman" w:eastAsia="Times New Roman" w:hAnsi="Times New Roman" w:cs="Times New Roman"/>
                <w:color w:val="000000"/>
                <w:lang w:val="es-SV"/>
              </w:rPr>
              <w:t xml:space="preserve"> Se consideran casos relacionados a discriminación cuando se mencionen los artículos 336 o 336-1 del Código Penal Dominicano.</w:t>
            </w:r>
          </w:p>
        </w:tc>
      </w:tr>
      <w:tr w:rsidR="00B911FD" w:rsidRPr="00431C77" w:rsidTr="00B911FD">
        <w:trPr>
          <w:trHeight w:val="312"/>
        </w:trPr>
        <w:tc>
          <w:tcPr>
            <w:tcW w:w="91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</w:p>
        </w:tc>
      </w:tr>
      <w:tr w:rsidR="00B911FD" w:rsidRPr="00B911FD" w:rsidTr="00B911FD">
        <w:trPr>
          <w:trHeight w:val="312"/>
        </w:trPr>
        <w:tc>
          <w:tcPr>
            <w:tcW w:w="91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color w:val="000000"/>
                <w:lang w:val="es-SV"/>
              </w:rPr>
              <w:t>CANTIDAD DE VÍCTIMAS REGISTRADAS EN CASOS DE DISCRIMINACIÓN 2016 - 2020. DESAGREGADAS POR SEXO</w:t>
            </w:r>
          </w:p>
        </w:tc>
      </w:tr>
      <w:tr w:rsidR="00B911FD" w:rsidRPr="00B911FD" w:rsidTr="00B911FD">
        <w:trPr>
          <w:trHeight w:val="312"/>
        </w:trPr>
        <w:tc>
          <w:tcPr>
            <w:tcW w:w="91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</w:p>
        </w:tc>
      </w:tr>
      <w:tr w:rsidR="00B911FD" w:rsidRPr="00B911FD" w:rsidTr="00B911FD">
        <w:trPr>
          <w:gridAfter w:val="1"/>
          <w:wAfter w:w="909" w:type="dxa"/>
          <w:trHeight w:val="360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Sexo</w:t>
            </w:r>
            <w:proofErr w:type="spellEnd"/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2016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general</w:t>
            </w:r>
          </w:p>
        </w:tc>
      </w:tr>
      <w:tr w:rsidR="00B911FD" w:rsidRPr="00B911FD" w:rsidTr="00B911FD">
        <w:trPr>
          <w:gridAfter w:val="1"/>
          <w:wAfter w:w="909" w:type="dxa"/>
          <w:trHeight w:val="34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Masculino</w:t>
            </w:r>
            <w:proofErr w:type="spellEnd"/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B911FD" w:rsidRPr="00B911FD" w:rsidTr="00B911FD">
        <w:trPr>
          <w:gridAfter w:val="1"/>
          <w:wAfter w:w="909" w:type="dxa"/>
          <w:trHeight w:val="34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Femenino</w:t>
            </w:r>
            <w:proofErr w:type="spellEnd"/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B911FD" w:rsidRPr="00B911FD" w:rsidTr="00B911FD">
        <w:trPr>
          <w:gridAfter w:val="1"/>
          <w:wAfter w:w="909" w:type="dxa"/>
          <w:trHeight w:val="36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 xml:space="preserve">No </w:t>
            </w:r>
            <w:proofErr w:type="spellStart"/>
            <w:r w:rsidRPr="00B911FD">
              <w:rPr>
                <w:rFonts w:ascii="Times New Roman" w:eastAsia="Times New Roman" w:hAnsi="Times New Roman" w:cs="Times New Roman"/>
                <w:color w:val="000000"/>
              </w:rPr>
              <w:t>disponible</w:t>
            </w:r>
            <w:proofErr w:type="spellEnd"/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B911FD" w:rsidRPr="00B911FD" w:rsidTr="00B911FD">
        <w:trPr>
          <w:gridAfter w:val="1"/>
          <w:wAfter w:w="909" w:type="dxa"/>
          <w:trHeight w:val="360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general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DEBF7" w:fill="DDEBF7"/>
            <w:noWrap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</w:t>
            </w:r>
          </w:p>
        </w:tc>
      </w:tr>
      <w:tr w:rsidR="00B911FD" w:rsidRPr="00431C77" w:rsidTr="00B911FD">
        <w:trPr>
          <w:gridAfter w:val="1"/>
          <w:wAfter w:w="909" w:type="dxa"/>
          <w:trHeight w:val="615"/>
        </w:trPr>
        <w:tc>
          <w:tcPr>
            <w:tcW w:w="82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  <w:t xml:space="preserve">Fuente: </w:t>
            </w:r>
            <w:r w:rsidRPr="00B911FD">
              <w:rPr>
                <w:rFonts w:ascii="Times New Roman" w:eastAsia="Times New Roman" w:hAnsi="Times New Roman" w:cs="Times New Roman"/>
                <w:color w:val="000000"/>
                <w:lang w:val="es-SV"/>
              </w:rPr>
              <w:t>Estos datos provienen de los sistemas de apoyo a los fiscales denominados "Justicia 2.0" y  "Justicia XXI".</w:t>
            </w:r>
          </w:p>
        </w:tc>
      </w:tr>
      <w:tr w:rsidR="00B911FD" w:rsidRPr="00431C77" w:rsidTr="00B911FD">
        <w:trPr>
          <w:gridAfter w:val="1"/>
          <w:wAfter w:w="909" w:type="dxa"/>
          <w:trHeight w:val="660"/>
        </w:trPr>
        <w:tc>
          <w:tcPr>
            <w:tcW w:w="82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  <w:r w:rsidRPr="00B91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s-SV"/>
              </w:rPr>
              <w:t>Nota:</w:t>
            </w:r>
            <w:r w:rsidRPr="00B911FD">
              <w:rPr>
                <w:rFonts w:ascii="Times New Roman" w:eastAsia="Times New Roman" w:hAnsi="Times New Roman" w:cs="Times New Roman"/>
                <w:color w:val="000000"/>
                <w:lang w:val="es-SV"/>
              </w:rPr>
              <w:t xml:space="preserve"> Se consideran casos relacionados a discriminación cuando se mencionen los artículos 336 o 336-1 del Código Penal Dominicano.</w:t>
            </w:r>
          </w:p>
          <w:tbl>
            <w:tblPr>
              <w:tblW w:w="8287" w:type="dxa"/>
              <w:tblLook w:val="04A0" w:firstRow="1" w:lastRow="0" w:firstColumn="1" w:lastColumn="0" w:noHBand="0" w:noVBand="1"/>
            </w:tblPr>
            <w:tblGrid>
              <w:gridCol w:w="3463"/>
              <w:gridCol w:w="731"/>
              <w:gridCol w:w="731"/>
              <w:gridCol w:w="731"/>
              <w:gridCol w:w="731"/>
              <w:gridCol w:w="731"/>
              <w:gridCol w:w="1169"/>
            </w:tblGrid>
            <w:tr w:rsidR="00B911FD" w:rsidRPr="00431C77" w:rsidTr="00B911FD">
              <w:trPr>
                <w:trHeight w:val="450"/>
              </w:trPr>
              <w:tc>
                <w:tcPr>
                  <w:tcW w:w="8287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</w:pPr>
                </w:p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</w:pPr>
                </w:p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  <w:t>TIPOS DE ACTUACIONES REGISTRADAS EN CASOS DE DISCRIMINACIÓN 2016 - 2020</w:t>
                  </w:r>
                </w:p>
              </w:tc>
            </w:tr>
            <w:tr w:rsidR="00B911FD" w:rsidRPr="00431C77" w:rsidTr="00B911FD">
              <w:trPr>
                <w:trHeight w:val="450"/>
              </w:trPr>
              <w:tc>
                <w:tcPr>
                  <w:tcW w:w="8287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</w:pPr>
                </w:p>
              </w:tc>
            </w:tr>
            <w:tr w:rsidR="00B911FD" w:rsidRPr="00431C77" w:rsidTr="00B911FD">
              <w:trPr>
                <w:trHeight w:val="315"/>
              </w:trPr>
              <w:tc>
                <w:tcPr>
                  <w:tcW w:w="34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s-SV"/>
                    </w:rPr>
                  </w:pPr>
                </w:p>
              </w:tc>
            </w:tr>
            <w:tr w:rsidR="00B911FD" w:rsidRPr="00B911FD" w:rsidTr="00B911FD">
              <w:trPr>
                <w:trHeight w:val="360"/>
              </w:trPr>
              <w:tc>
                <w:tcPr>
                  <w:tcW w:w="34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proofErr w:type="spellStart"/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Tipo</w:t>
                  </w:r>
                  <w:proofErr w:type="spellEnd"/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actuación</w:t>
                  </w:r>
                  <w:proofErr w:type="spellEnd"/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2016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2017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2018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2019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16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Total general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SIN ACTUACIÓN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15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SEGUIMIENTO - CITACIÓN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12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ORDENES - LIBERTAD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ACTAS - ACTA DE COMPROMISO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ORDENES - PROTECCIÓN Y ALEJAMIENTO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  <w:t>DECISIONES - ARCHIVO DEFINITIVO M.P.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PROCESOS - MEDIDA COERCIÓN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RESOLUCION - PRISIÓN PREVENTIVA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</w:tr>
            <w:tr w:rsidR="00B911FD" w:rsidRPr="00B911FD" w:rsidTr="00B911FD">
              <w:trPr>
                <w:trHeight w:val="345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RESOLUCION - PRESENTACIÓN PERIÓDICA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</w:tr>
            <w:tr w:rsidR="00B911FD" w:rsidRPr="00B911FD" w:rsidTr="00B911FD">
              <w:trPr>
                <w:trHeight w:val="360"/>
              </w:trPr>
              <w:tc>
                <w:tcPr>
                  <w:tcW w:w="346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ORDENES - PRISIÓN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6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</w:tr>
            <w:tr w:rsidR="00B911FD" w:rsidRPr="00B911FD" w:rsidTr="00B911FD">
              <w:trPr>
                <w:trHeight w:val="360"/>
              </w:trPr>
              <w:tc>
                <w:tcPr>
                  <w:tcW w:w="34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Grand Total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73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116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42</w:t>
                  </w:r>
                </w:p>
              </w:tc>
            </w:tr>
            <w:tr w:rsidR="00B911FD" w:rsidRPr="00431C77" w:rsidTr="00B911FD">
              <w:trPr>
                <w:trHeight w:val="330"/>
              </w:trPr>
              <w:tc>
                <w:tcPr>
                  <w:tcW w:w="828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  <w:t xml:space="preserve">Fuente: </w:t>
                  </w: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  <w:t>Estos datos provienen de los sistemas de apoyo a los fiscales denominados "Justicia 2.0" y  "Justicia XXI".</w:t>
                  </w:r>
                </w:p>
              </w:tc>
            </w:tr>
            <w:tr w:rsidR="00B911FD" w:rsidRPr="00431C77" w:rsidTr="00B911FD">
              <w:trPr>
                <w:trHeight w:val="615"/>
              </w:trPr>
              <w:tc>
                <w:tcPr>
                  <w:tcW w:w="828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911FD" w:rsidRPr="00B911FD" w:rsidRDefault="00B911FD" w:rsidP="00B91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</w:pPr>
                  <w:r w:rsidRPr="00B911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es-SV"/>
                    </w:rPr>
                    <w:t>Nota:</w:t>
                  </w:r>
                  <w:r w:rsidRPr="00B911FD">
                    <w:rPr>
                      <w:rFonts w:ascii="Times New Roman" w:eastAsia="Times New Roman" w:hAnsi="Times New Roman" w:cs="Times New Roman"/>
                      <w:color w:val="000000"/>
                      <w:lang w:val="es-SV"/>
                    </w:rPr>
                    <w:t xml:space="preserve"> Se consideran casos relacionados a discriminación cuando se mencionen los artículos 336 o 336-1 del Código Penal Dominicano.</w:t>
                  </w:r>
                </w:p>
              </w:tc>
            </w:tr>
          </w:tbl>
          <w:p w:rsidR="00B911FD" w:rsidRPr="00B911FD" w:rsidRDefault="00B911FD" w:rsidP="00B9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s-SV"/>
              </w:rPr>
            </w:pPr>
          </w:p>
        </w:tc>
      </w:tr>
    </w:tbl>
    <w:p w:rsidR="00B911FD" w:rsidRPr="00B911FD" w:rsidRDefault="00B911FD">
      <w:pPr>
        <w:rPr>
          <w:rFonts w:ascii="Times New Roman" w:hAnsi="Times New Roman" w:cs="Times New Roman"/>
          <w:lang w:val="es-SV"/>
        </w:rPr>
      </w:pPr>
    </w:p>
    <w:sectPr w:rsidR="00B911FD" w:rsidRPr="00B911FD" w:rsidSect="00431C77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FC"/>
    <w:rsid w:val="00147D51"/>
    <w:rsid w:val="00213275"/>
    <w:rsid w:val="002A54FC"/>
    <w:rsid w:val="00431C77"/>
    <w:rsid w:val="008B7338"/>
    <w:rsid w:val="00B911FD"/>
    <w:rsid w:val="00DA0533"/>
    <w:rsid w:val="00E87992"/>
    <w:rsid w:val="00EA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4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54FC"/>
    <w:pPr>
      <w:spacing w:after="0" w:line="240" w:lineRule="auto"/>
    </w:pPr>
    <w:rPr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D5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4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54FC"/>
    <w:pPr>
      <w:spacing w:after="0" w:line="240" w:lineRule="auto"/>
    </w:pPr>
    <w:rPr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6" Type="http://schemas.openxmlformats.org/officeDocument/2006/relationships/chart" Target="charts/chart1.xml"/><Relationship Id="rId1" Type="http://schemas.openxmlformats.org/officeDocument/2006/relationships/styles" Target="styles.xml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4" Type="http://schemas.microsoft.com/office/2011/relationships/chartColorStyle" Target="colors1.xml"/><Relationship Id="rId1" Type="http://schemas.openxmlformats.org/officeDocument/2006/relationships/themeOverride" Target="../theme/themeOverride1.xml"/><Relationship Id="rId2" Type="http://schemas.openxmlformats.org/officeDocument/2006/relationships/oleObject" Target="file:///C:\Users\LEONISA_ROSARIO\Downloads\Solicitudes%20Recibidas%20por%20A&#241;o%20(2)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4" Type="http://schemas.microsoft.com/office/2011/relationships/chartColorStyle" Target="colors2.xml"/><Relationship Id="rId1" Type="http://schemas.openxmlformats.org/officeDocument/2006/relationships/themeOverride" Target="../theme/themeOverride2.xml"/><Relationship Id="rId2" Type="http://schemas.openxmlformats.org/officeDocument/2006/relationships/oleObject" Target="file:///C:\Users\LEONISA_ROSARIO\Downloads\Solicitudes%20Recibidas%20por%20A&#241;o%20(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Sheet1!$A$4</c:f>
              <c:strCache>
                <c:ptCount val="1"/>
                <c:pt idx="0">
                  <c:v>2014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Sheet1!$B$4</c:f>
              <c:numCache>
                <c:formatCode>General</c:formatCode>
                <c:ptCount val="1"/>
                <c:pt idx="0">
                  <c:v>1945.0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68-4DE4-89F8-1DA69D82BCD3}"/>
            </c:ext>
          </c:extLst>
        </c:ser>
        <c:ser>
          <c:idx val="1"/>
          <c:order val="1"/>
          <c:tx>
            <c:strRef>
              <c:f>Sheet1!$A$5</c:f>
              <c:strCache>
                <c:ptCount val="1"/>
                <c:pt idx="0">
                  <c:v>2015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Sheet1!$B$5</c:f>
              <c:numCache>
                <c:formatCode>General</c:formatCode>
                <c:ptCount val="1"/>
                <c:pt idx="0">
                  <c:v>21866.0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368-4DE4-89F8-1DA69D82BCD3}"/>
            </c:ext>
          </c:extLst>
        </c:ser>
        <c:ser>
          <c:idx val="2"/>
          <c:order val="2"/>
          <c:tx>
            <c:strRef>
              <c:f>Sheet1!$A$6</c:f>
              <c:strCache>
                <c:ptCount val="1"/>
                <c:pt idx="0">
                  <c:v>2016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Sheet1!$B$6</c:f>
              <c:numCache>
                <c:formatCode>General</c:formatCode>
                <c:ptCount val="1"/>
                <c:pt idx="0">
                  <c:v>867.0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368-4DE4-89F8-1DA69D82BCD3}"/>
            </c:ext>
          </c:extLst>
        </c:ser>
        <c:ser>
          <c:idx val="3"/>
          <c:order val="3"/>
          <c:tx>
            <c:strRef>
              <c:f>Sheet1!$A$7</c:f>
              <c:strCache>
                <c:ptCount val="1"/>
                <c:pt idx="0">
                  <c:v>2017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Sheet1!$B$7</c:f>
              <c:numCache>
                <c:formatCode>General</c:formatCode>
                <c:ptCount val="1"/>
                <c:pt idx="0">
                  <c:v>81.0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368-4DE4-89F8-1DA69D82BCD3}"/>
            </c:ext>
          </c:extLst>
        </c:ser>
        <c:ser>
          <c:idx val="4"/>
          <c:order val="4"/>
          <c:tx>
            <c:strRef>
              <c:f>Sheet1!$A$8</c:f>
              <c:strCache>
                <c:ptCount val="1"/>
                <c:pt idx="0">
                  <c:v>2018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Sheet1!$B$8</c:f>
              <c:numCache>
                <c:formatCode>General</c:formatCode>
                <c:ptCount val="1"/>
                <c:pt idx="0">
                  <c:v>60.0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368-4DE4-89F8-1DA69D82BCD3}"/>
            </c:ext>
          </c:extLst>
        </c:ser>
        <c:ser>
          <c:idx val="5"/>
          <c:order val="5"/>
          <c:tx>
            <c:strRef>
              <c:f>Sheet1!$A$9</c:f>
              <c:strCache>
                <c:ptCount val="1"/>
                <c:pt idx="0">
                  <c:v>2019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Sheet1!$B$9</c:f>
              <c:numCache>
                <c:formatCode>General</c:formatCode>
                <c:ptCount val="1"/>
                <c:pt idx="0">
                  <c:v>34.0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E368-4DE4-89F8-1DA69D82BCD3}"/>
            </c:ext>
          </c:extLst>
        </c:ser>
        <c:ser>
          <c:idx val="6"/>
          <c:order val="6"/>
          <c:tx>
            <c:strRef>
              <c:f>Sheet1!$A$10</c:f>
              <c:strCache>
                <c:ptCount val="1"/>
                <c:pt idx="0">
                  <c:v>2020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80000"/>
                    <a:lumOff val="20000"/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lumMod val="80000"/>
                    <a:lumOff val="20000"/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80000"/>
                    <a:lumOff val="2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Sheet1!$B$10</c:f>
              <c:numCache>
                <c:formatCode>General</c:formatCode>
                <c:ptCount val="1"/>
                <c:pt idx="0">
                  <c:v>7.0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E368-4DE4-89F8-1DA69D82BCD3}"/>
            </c:ext>
          </c:extLst>
        </c:ser>
        <c:ser>
          <c:idx val="7"/>
          <c:order val="7"/>
          <c:tx>
            <c:strRef>
              <c:f>Sheet1!$A$11</c:f>
              <c:strCache>
                <c:ptCount val="1"/>
                <c:pt idx="0">
                  <c:v>2021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80000"/>
                    <a:lumOff val="20000"/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lumMod val="80000"/>
                    <a:lumOff val="20000"/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80000"/>
                    <a:lumOff val="2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Sheet1!$B$11</c:f>
              <c:numCache>
                <c:formatCode>General</c:formatCode>
                <c:ptCount val="1"/>
                <c:pt idx="0">
                  <c:v>9.0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E368-4DE4-89F8-1DA69D82BCD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-2136063960"/>
        <c:axId val="-2140370952"/>
      </c:barChart>
      <c:catAx>
        <c:axId val="-2136063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40370952"/>
        <c:crosses val="autoZero"/>
        <c:auto val="1"/>
        <c:lblAlgn val="ctr"/>
        <c:lblOffset val="100"/>
        <c:noMultiLvlLbl val="0"/>
      </c:catAx>
      <c:valAx>
        <c:axId val="-2140370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36063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Sheet1!$A$4</c:f>
              <c:strCache>
                <c:ptCount val="1"/>
                <c:pt idx="0">
                  <c:v>2014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Sheet1!$B$4</c:f>
              <c:numCache>
                <c:formatCode>General</c:formatCode>
                <c:ptCount val="1"/>
                <c:pt idx="0">
                  <c:v>2147.0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F7-4269-930E-4FAD55CB5A01}"/>
            </c:ext>
          </c:extLst>
        </c:ser>
        <c:ser>
          <c:idx val="1"/>
          <c:order val="1"/>
          <c:tx>
            <c:strRef>
              <c:f>Sheet1!$A$5</c:f>
              <c:strCache>
                <c:ptCount val="1"/>
                <c:pt idx="0">
                  <c:v>2015</c:v>
                </c:pt>
              </c:strCache>
            </c:strRef>
          </c:tx>
          <c:spPr>
            <a:noFill/>
            <a:ln w="9525" cap="flat" cmpd="sng" algn="ctr">
              <a:solidFill>
                <a:schemeClr val="accent2"/>
              </a:solidFill>
              <a:miter lim="800000"/>
            </a:ln>
            <a:effectLst>
              <a:glow rad="63500">
                <a:schemeClr val="accent2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Sheet1!$B$5</c:f>
              <c:numCache>
                <c:formatCode>General</c:formatCode>
                <c:ptCount val="1"/>
                <c:pt idx="0">
                  <c:v>24549.0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AF7-4269-930E-4FAD55CB5A01}"/>
            </c:ext>
          </c:extLst>
        </c:ser>
        <c:ser>
          <c:idx val="2"/>
          <c:order val="2"/>
          <c:tx>
            <c:strRef>
              <c:f>Sheet1!$A$6</c:f>
              <c:strCache>
                <c:ptCount val="1"/>
                <c:pt idx="0">
                  <c:v>2016</c:v>
                </c:pt>
              </c:strCache>
            </c:strRef>
          </c:tx>
          <c:spPr>
            <a:noFill/>
            <a:ln w="9525" cap="flat" cmpd="sng" algn="ctr">
              <a:solidFill>
                <a:schemeClr val="accent3"/>
              </a:solidFill>
              <a:miter lim="800000"/>
            </a:ln>
            <a:effectLst>
              <a:glow rad="63500">
                <a:schemeClr val="accent3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Sheet1!$B$6</c:f>
              <c:numCache>
                <c:formatCode>General</c:formatCode>
                <c:ptCount val="1"/>
                <c:pt idx="0">
                  <c:v>1029.0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AF7-4269-930E-4FAD55CB5A01}"/>
            </c:ext>
          </c:extLst>
        </c:ser>
        <c:ser>
          <c:idx val="3"/>
          <c:order val="3"/>
          <c:tx>
            <c:strRef>
              <c:f>Sheet1!$A$7</c:f>
              <c:strCache>
                <c:ptCount val="1"/>
                <c:pt idx="0">
                  <c:v>2017</c:v>
                </c:pt>
              </c:strCache>
            </c:strRef>
          </c:tx>
          <c:spPr>
            <a:noFill/>
            <a:ln w="9525" cap="flat" cmpd="sng" algn="ctr">
              <a:solidFill>
                <a:schemeClr val="accent4"/>
              </a:solidFill>
              <a:miter lim="800000"/>
            </a:ln>
            <a:effectLst>
              <a:glow rad="63500">
                <a:schemeClr val="accent4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Sheet1!$B$7</c:f>
              <c:numCache>
                <c:formatCode>General</c:formatCode>
                <c:ptCount val="1"/>
                <c:pt idx="0">
                  <c:v>118.0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AF7-4269-930E-4FAD55CB5A01}"/>
            </c:ext>
          </c:extLst>
        </c:ser>
        <c:ser>
          <c:idx val="4"/>
          <c:order val="4"/>
          <c:tx>
            <c:strRef>
              <c:f>Sheet1!$A$8</c:f>
              <c:strCache>
                <c:ptCount val="1"/>
                <c:pt idx="0">
                  <c:v>2018</c:v>
                </c:pt>
              </c:strCache>
            </c:strRef>
          </c:tx>
          <c:spPr>
            <a:noFill/>
            <a:ln w="9525" cap="flat" cmpd="sng" algn="ctr">
              <a:solidFill>
                <a:schemeClr val="accent5"/>
              </a:solidFill>
              <a:miter lim="800000"/>
            </a:ln>
            <a:effectLst>
              <a:glow rad="63500">
                <a:schemeClr val="accent5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Sheet1!$B$8</c:f>
              <c:numCache>
                <c:formatCode>General</c:formatCode>
                <c:ptCount val="1"/>
                <c:pt idx="0">
                  <c:v>74.0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0AF7-4269-930E-4FAD55CB5A01}"/>
            </c:ext>
          </c:extLst>
        </c:ser>
        <c:ser>
          <c:idx val="5"/>
          <c:order val="5"/>
          <c:tx>
            <c:strRef>
              <c:f>Sheet1!$A$9</c:f>
              <c:strCache>
                <c:ptCount val="1"/>
                <c:pt idx="0">
                  <c:v>2019</c:v>
                </c:pt>
              </c:strCache>
            </c:strRef>
          </c:tx>
          <c:spPr>
            <a:noFill/>
            <a:ln w="9525" cap="flat" cmpd="sng" algn="ctr">
              <a:solidFill>
                <a:schemeClr val="accent6"/>
              </a:solidFill>
              <a:miter lim="800000"/>
            </a:ln>
            <a:effectLst>
              <a:glow rad="63500">
                <a:schemeClr val="accent6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Sheet1!$B$9</c:f>
              <c:numCache>
                <c:formatCode>General</c:formatCode>
                <c:ptCount val="1"/>
                <c:pt idx="0">
                  <c:v>44.0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0AF7-4269-930E-4FAD55CB5A01}"/>
            </c:ext>
          </c:extLst>
        </c:ser>
        <c:ser>
          <c:idx val="6"/>
          <c:order val="6"/>
          <c:tx>
            <c:strRef>
              <c:f>Sheet1!$A$10</c:f>
              <c:strCache>
                <c:ptCount val="1"/>
                <c:pt idx="0">
                  <c:v>2020</c:v>
                </c:pt>
              </c:strCache>
            </c:strRef>
          </c:tx>
          <c:spPr>
            <a:noFill/>
            <a:ln w="9525" cap="flat" cmpd="sng" algn="ctr">
              <a:solidFill>
                <a:schemeClr val="accent1">
                  <a:lumMod val="60000"/>
                </a:schemeClr>
              </a:solidFill>
              <a:miter lim="800000"/>
            </a:ln>
            <a:effectLst>
              <a:glow rad="63500">
                <a:schemeClr val="accent1">
                  <a:lumMod val="60000"/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Sheet1!$B$10</c:f>
              <c:numCache>
                <c:formatCode>General</c:formatCode>
                <c:ptCount val="1"/>
                <c:pt idx="0">
                  <c:v>13.0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0AF7-4269-930E-4FAD55CB5A01}"/>
            </c:ext>
          </c:extLst>
        </c:ser>
        <c:ser>
          <c:idx val="7"/>
          <c:order val="7"/>
          <c:tx>
            <c:strRef>
              <c:f>Sheet1!$A$11</c:f>
              <c:strCache>
                <c:ptCount val="1"/>
                <c:pt idx="0">
                  <c:v>2021</c:v>
                </c:pt>
              </c:strCache>
            </c:strRef>
          </c:tx>
          <c:spPr>
            <a:noFill/>
            <a:ln w="9525" cap="flat" cmpd="sng" algn="ctr">
              <a:solidFill>
                <a:schemeClr val="accent2">
                  <a:lumMod val="60000"/>
                </a:schemeClr>
              </a:solidFill>
              <a:miter lim="800000"/>
            </a:ln>
            <a:effectLst>
              <a:glow rad="63500">
                <a:schemeClr val="accent2">
                  <a:lumMod val="60000"/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</c:f>
              <c:strCache>
                <c:ptCount val="1"/>
                <c:pt idx="0">
                  <c:v>Eventos</c:v>
                </c:pt>
              </c:strCache>
            </c:strRef>
          </c:cat>
          <c:val>
            <c:numRef>
              <c:f>Sheet1!$B$11</c:f>
              <c:numCache>
                <c:formatCode>General</c:formatCode>
                <c:ptCount val="1"/>
                <c:pt idx="0">
                  <c:v>11.0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0AF7-4269-930E-4FAD55CB5A0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15"/>
        <c:overlap val="-40"/>
        <c:axId val="2140151016"/>
        <c:axId val="-2139663752"/>
      </c:barChart>
      <c:catAx>
        <c:axId val="21401510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39663752"/>
        <c:crosses val="autoZero"/>
        <c:auto val="1"/>
        <c:lblAlgn val="ctr"/>
        <c:lblOffset val="100"/>
        <c:noMultiLvlLbl val="0"/>
      </c:catAx>
      <c:valAx>
        <c:axId val="-2139663752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40151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3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</a:schemeClr>
            </a:gs>
            <a:gs pos="0">
              <a:schemeClr val="dk1">
                <a:lumMod val="65000"/>
                <a:lumOff val="3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DCF14B-CA84-41CB-A6F5-BE2E786B093E}"/>
</file>

<file path=customXml/itemProps2.xml><?xml version="1.0" encoding="utf-8"?>
<ds:datastoreItem xmlns:ds="http://schemas.openxmlformats.org/officeDocument/2006/customXml" ds:itemID="{7803DC5C-0F5F-4026-8865-85DB3CDA380F}"/>
</file>

<file path=customXml/itemProps3.xml><?xml version="1.0" encoding="utf-8"?>
<ds:datastoreItem xmlns:ds="http://schemas.openxmlformats.org/officeDocument/2006/customXml" ds:itemID="{8C1E6D6A-ED2E-40F7-8181-4408315DA2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552</Words>
  <Characters>3153</Characters>
  <Application>Microsoft Macintosh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Peralta Francisco</dc:creator>
  <cp:keywords/>
  <dc:description/>
  <cp:lastModifiedBy>Andy Rodriguez</cp:lastModifiedBy>
  <cp:revision>2</cp:revision>
  <cp:lastPrinted>2021-06-16T15:12:00Z</cp:lastPrinted>
  <dcterms:created xsi:type="dcterms:W3CDTF">2021-06-16T22:13:00Z</dcterms:created>
  <dcterms:modified xsi:type="dcterms:W3CDTF">2021-06-16T22:13:00Z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