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DC0BB" w14:textId="77777777" w:rsidR="00C20AE1" w:rsidRDefault="00C20AE1" w:rsidP="00C810C8">
      <w:pPr>
        <w:widowControl w:val="0"/>
        <w:pBdr>
          <w:top w:val="nil"/>
          <w:left w:val="nil"/>
          <w:bottom w:val="nil"/>
          <w:right w:val="nil"/>
          <w:between w:val="nil"/>
        </w:pBdr>
        <w:spacing w:before="499"/>
        <w:ind w:right="1536"/>
        <w:rPr>
          <w:rFonts w:ascii="Georgia" w:eastAsia="Georgia" w:hAnsi="Georgia" w:cs="Georgia"/>
          <w:color w:val="0C0C72"/>
          <w:sz w:val="44"/>
          <w:szCs w:val="44"/>
        </w:rPr>
      </w:pPr>
    </w:p>
    <w:p w14:paraId="00000001" w14:textId="21BCA7B9" w:rsidR="003E2F58" w:rsidRPr="00495440" w:rsidRDefault="005F3480">
      <w:pPr>
        <w:widowControl w:val="0"/>
        <w:pBdr>
          <w:top w:val="nil"/>
          <w:left w:val="nil"/>
          <w:bottom w:val="nil"/>
          <w:right w:val="nil"/>
          <w:between w:val="nil"/>
        </w:pBdr>
        <w:spacing w:before="499"/>
        <w:ind w:left="1540" w:right="1536"/>
        <w:jc w:val="center"/>
        <w:rPr>
          <w:rFonts w:ascii="Georgia" w:eastAsia="Georgia" w:hAnsi="Georgia" w:cs="Georgia"/>
          <w:color w:val="0C0C72"/>
          <w:sz w:val="44"/>
          <w:szCs w:val="44"/>
        </w:rPr>
      </w:pPr>
      <w:r w:rsidRPr="00495440">
        <w:rPr>
          <w:rFonts w:ascii="Georgia" w:eastAsia="Georgia" w:hAnsi="Georgia" w:cs="Georgia"/>
          <w:color w:val="0C0C72"/>
          <w:sz w:val="44"/>
          <w:szCs w:val="44"/>
        </w:rPr>
        <w:t>Alternative</w:t>
      </w:r>
      <w:r w:rsidR="00C810C8">
        <w:rPr>
          <w:rFonts w:ascii="Georgia" w:eastAsia="Georgia" w:hAnsi="Georgia" w:cs="Georgia"/>
          <w:color w:val="0C0C72"/>
          <w:sz w:val="44"/>
          <w:szCs w:val="44"/>
        </w:rPr>
        <w:t xml:space="preserve"> </w:t>
      </w:r>
      <w:r w:rsidR="00174E51" w:rsidRPr="00495440">
        <w:rPr>
          <w:rFonts w:ascii="Georgia" w:eastAsia="Georgia" w:hAnsi="Georgia" w:cs="Georgia"/>
          <w:color w:val="0C0C72"/>
          <w:sz w:val="44"/>
          <w:szCs w:val="44"/>
        </w:rPr>
        <w:t xml:space="preserve">Report </w:t>
      </w:r>
    </w:p>
    <w:p w14:paraId="00000002" w14:textId="77777777" w:rsidR="003E2F58" w:rsidRPr="00495440" w:rsidRDefault="00174E51">
      <w:pPr>
        <w:widowControl w:val="0"/>
        <w:pBdr>
          <w:top w:val="nil"/>
          <w:left w:val="nil"/>
          <w:bottom w:val="nil"/>
          <w:right w:val="nil"/>
          <w:between w:val="nil"/>
        </w:pBdr>
        <w:spacing w:before="360"/>
        <w:ind w:left="4262" w:right="4257"/>
        <w:rPr>
          <w:rFonts w:ascii="Georgia" w:eastAsia="Georgia" w:hAnsi="Georgia" w:cs="Georgia"/>
          <w:color w:val="0C0C72"/>
          <w:sz w:val="36"/>
          <w:szCs w:val="36"/>
        </w:rPr>
      </w:pPr>
      <w:r w:rsidRPr="00495440">
        <w:rPr>
          <w:rFonts w:ascii="Georgia" w:eastAsia="Georgia" w:hAnsi="Georgia" w:cs="Georgia"/>
          <w:color w:val="0C0C72"/>
          <w:sz w:val="36"/>
          <w:szCs w:val="36"/>
        </w:rPr>
        <w:t xml:space="preserve">on </w:t>
      </w:r>
    </w:p>
    <w:p w14:paraId="00000003" w14:textId="77777777" w:rsidR="003E2F58" w:rsidRPr="00495440" w:rsidRDefault="00174E51">
      <w:pPr>
        <w:widowControl w:val="0"/>
        <w:pBdr>
          <w:top w:val="nil"/>
          <w:left w:val="nil"/>
          <w:bottom w:val="nil"/>
          <w:right w:val="nil"/>
          <w:between w:val="nil"/>
        </w:pBdr>
        <w:spacing w:before="336"/>
        <w:ind w:left="955" w:right="955"/>
        <w:rPr>
          <w:rFonts w:ascii="Georgia" w:eastAsia="Georgia" w:hAnsi="Georgia" w:cs="Georgia"/>
          <w:color w:val="0C0C72"/>
          <w:sz w:val="44"/>
          <w:szCs w:val="44"/>
        </w:rPr>
      </w:pPr>
      <w:r w:rsidRPr="00495440">
        <w:rPr>
          <w:rFonts w:ascii="Georgia" w:eastAsia="Georgia" w:hAnsi="Georgia" w:cs="Georgia"/>
          <w:color w:val="0C0C72"/>
          <w:sz w:val="44"/>
          <w:szCs w:val="44"/>
        </w:rPr>
        <w:t>Racial Discrimination in Ireland</w:t>
      </w:r>
    </w:p>
    <w:p w14:paraId="00000004" w14:textId="77777777" w:rsidR="003E2F58" w:rsidRPr="00495440" w:rsidRDefault="00174E51">
      <w:pPr>
        <w:widowControl w:val="0"/>
        <w:pBdr>
          <w:top w:val="nil"/>
          <w:left w:val="nil"/>
          <w:bottom w:val="nil"/>
          <w:right w:val="nil"/>
          <w:between w:val="nil"/>
        </w:pBdr>
        <w:spacing w:before="739"/>
        <w:ind w:left="-48" w:right="-57"/>
        <w:jc w:val="center"/>
        <w:rPr>
          <w:rFonts w:ascii="Georgia" w:eastAsia="Georgia" w:hAnsi="Georgia" w:cs="Georgia"/>
          <w:color w:val="0C0C72"/>
        </w:rPr>
      </w:pPr>
      <w:r w:rsidRPr="00495440">
        <w:rPr>
          <w:rFonts w:ascii="Georgia" w:eastAsia="Georgia" w:hAnsi="Georgia" w:cs="Georgia"/>
          <w:color w:val="0C0C72"/>
        </w:rPr>
        <w:t xml:space="preserve">to the Committee on the Elimination of Racial Discrimination (CERD) for its Consideration of the Combined Fifth to Ninth Periodic Reports of Ireland (CERD/C/IRL/5-9), November 2019 </w:t>
      </w:r>
    </w:p>
    <w:p w14:paraId="00000005" w14:textId="290CCED3" w:rsidR="003E2F58" w:rsidRPr="00495440" w:rsidRDefault="00174E51">
      <w:pPr>
        <w:widowControl w:val="0"/>
        <w:pBdr>
          <w:top w:val="nil"/>
          <w:left w:val="nil"/>
          <w:bottom w:val="nil"/>
          <w:right w:val="nil"/>
          <w:between w:val="nil"/>
        </w:pBdr>
        <w:spacing w:before="739"/>
        <w:ind w:left="-48" w:right="-57"/>
        <w:jc w:val="center"/>
        <w:rPr>
          <w:rFonts w:ascii="Georgia" w:eastAsia="Georgia" w:hAnsi="Georgia" w:cs="Georgia"/>
          <w:color w:val="002060"/>
          <w:sz w:val="24"/>
          <w:szCs w:val="24"/>
        </w:rPr>
      </w:pPr>
      <w:r w:rsidRPr="00495440">
        <w:rPr>
          <w:rFonts w:ascii="Georgia" w:eastAsia="Georgia" w:hAnsi="Georgia" w:cs="Georgia"/>
          <w:color w:val="002060"/>
          <w:sz w:val="24"/>
          <w:szCs w:val="24"/>
        </w:rPr>
        <w:t xml:space="preserve">submitted by </w:t>
      </w:r>
      <w:r w:rsidR="00EE6B5F">
        <w:rPr>
          <w:rFonts w:ascii="Georgia" w:eastAsia="Georgia" w:hAnsi="Georgia" w:cs="Georgia"/>
          <w:color w:val="002060"/>
          <w:sz w:val="24"/>
          <w:szCs w:val="24"/>
        </w:rPr>
        <w:t xml:space="preserve">Dr </w:t>
      </w:r>
      <w:r w:rsidR="007C3D4B">
        <w:rPr>
          <w:rFonts w:ascii="Georgia" w:eastAsia="Georgia" w:hAnsi="Georgia" w:cs="Georgia"/>
          <w:color w:val="002060"/>
          <w:sz w:val="24"/>
          <w:szCs w:val="24"/>
        </w:rPr>
        <w:t>Liam Thornton, UCD School of Law (individual submission</w:t>
      </w:r>
      <w:r w:rsidR="00EE6B5F">
        <w:rPr>
          <w:rFonts w:ascii="Georgia" w:eastAsia="Georgia" w:hAnsi="Georgia" w:cs="Georgia"/>
          <w:color w:val="002060"/>
          <w:sz w:val="24"/>
          <w:szCs w:val="24"/>
        </w:rPr>
        <w:t>, personal capacity</w:t>
      </w:r>
      <w:r w:rsidR="007C3D4B">
        <w:rPr>
          <w:rFonts w:ascii="Georgia" w:eastAsia="Georgia" w:hAnsi="Georgia" w:cs="Georgia"/>
          <w:color w:val="002060"/>
          <w:sz w:val="24"/>
          <w:szCs w:val="24"/>
        </w:rPr>
        <w:t>)</w:t>
      </w:r>
      <w:r w:rsidRPr="00495440">
        <w:rPr>
          <w:rFonts w:ascii="Georgia" w:eastAsia="Georgia" w:hAnsi="Georgia" w:cs="Georgia"/>
          <w:color w:val="002060"/>
          <w:sz w:val="24"/>
          <w:szCs w:val="24"/>
        </w:rPr>
        <w:t xml:space="preserve">  </w:t>
      </w:r>
    </w:p>
    <w:p w14:paraId="58C33186" w14:textId="43B670F7" w:rsidR="004E529E" w:rsidRDefault="00174E51" w:rsidP="004E529E">
      <w:pPr>
        <w:widowControl w:val="0"/>
        <w:pBdr>
          <w:top w:val="nil"/>
          <w:left w:val="nil"/>
          <w:bottom w:val="nil"/>
          <w:right w:val="nil"/>
          <w:between w:val="nil"/>
        </w:pBdr>
        <w:spacing w:before="465"/>
        <w:ind w:right="146"/>
        <w:jc w:val="center"/>
        <w:rPr>
          <w:sz w:val="20"/>
          <w:szCs w:val="20"/>
        </w:rPr>
      </w:pPr>
      <w:r w:rsidRPr="00495440">
        <w:rPr>
          <w:color w:val="000000"/>
          <w:sz w:val="20"/>
          <w:szCs w:val="20"/>
        </w:rPr>
        <w:t xml:space="preserve">Contact:  </w:t>
      </w:r>
      <w:r w:rsidR="007C3D4B">
        <w:rPr>
          <w:color w:val="000000"/>
          <w:sz w:val="20"/>
          <w:szCs w:val="20"/>
        </w:rPr>
        <w:t xml:space="preserve">Dr Liam Thornton, </w:t>
      </w:r>
      <w:hyperlink r:id="rId8" w:history="1">
        <w:r w:rsidR="007C3D4B" w:rsidRPr="00037BA8">
          <w:rPr>
            <w:rStyle w:val="Hyperlink"/>
            <w:sz w:val="20"/>
            <w:szCs w:val="20"/>
          </w:rPr>
          <w:t>liam.thornton@ucd.ie</w:t>
        </w:r>
      </w:hyperlink>
      <w:r w:rsidR="007C3D4B">
        <w:rPr>
          <w:color w:val="000000"/>
          <w:sz w:val="20"/>
          <w:szCs w:val="20"/>
        </w:rPr>
        <w:t xml:space="preserve"> </w:t>
      </w:r>
    </w:p>
    <w:p w14:paraId="6E0D561B" w14:textId="71B4F9B9" w:rsidR="004E529E" w:rsidRDefault="004E529E" w:rsidP="00EC502F">
      <w:pPr>
        <w:widowControl w:val="0"/>
        <w:pBdr>
          <w:top w:val="nil"/>
          <w:left w:val="nil"/>
          <w:bottom w:val="nil"/>
          <w:right w:val="nil"/>
          <w:between w:val="nil"/>
        </w:pBdr>
        <w:spacing w:before="465"/>
        <w:ind w:right="146"/>
        <w:jc w:val="center"/>
        <w:rPr>
          <w:sz w:val="20"/>
          <w:szCs w:val="20"/>
        </w:rPr>
      </w:pPr>
    </w:p>
    <w:p w14:paraId="198AC774" w14:textId="5E894D30" w:rsidR="004E529E" w:rsidRDefault="004E529E" w:rsidP="00EC502F">
      <w:pPr>
        <w:widowControl w:val="0"/>
        <w:pBdr>
          <w:top w:val="nil"/>
          <w:left w:val="nil"/>
          <w:bottom w:val="nil"/>
          <w:right w:val="nil"/>
          <w:between w:val="nil"/>
        </w:pBdr>
        <w:spacing w:before="465"/>
        <w:ind w:right="146"/>
        <w:jc w:val="center"/>
        <w:rPr>
          <w:sz w:val="20"/>
          <w:szCs w:val="20"/>
        </w:rPr>
      </w:pPr>
    </w:p>
    <w:p w14:paraId="6BFF71CE" w14:textId="2351475A" w:rsidR="004E529E" w:rsidRPr="00495440" w:rsidRDefault="004E529E" w:rsidP="00EC502F">
      <w:pPr>
        <w:widowControl w:val="0"/>
        <w:pBdr>
          <w:top w:val="nil"/>
          <w:left w:val="nil"/>
          <w:bottom w:val="nil"/>
          <w:right w:val="nil"/>
          <w:between w:val="nil"/>
        </w:pBdr>
        <w:spacing w:before="465"/>
        <w:ind w:right="146"/>
        <w:jc w:val="center"/>
        <w:rPr>
          <w:color w:val="000000"/>
          <w:sz w:val="20"/>
          <w:szCs w:val="20"/>
        </w:rPr>
      </w:pPr>
    </w:p>
    <w:p w14:paraId="00000007" w14:textId="74B9394F" w:rsidR="003E2F58" w:rsidRPr="00495440" w:rsidRDefault="003E2F58">
      <w:pPr>
        <w:widowControl w:val="0"/>
        <w:pBdr>
          <w:top w:val="nil"/>
          <w:left w:val="nil"/>
          <w:bottom w:val="nil"/>
          <w:right w:val="nil"/>
          <w:between w:val="nil"/>
        </w:pBdr>
        <w:spacing w:before="139"/>
        <w:ind w:left="628" w:right="1713"/>
        <w:rPr>
          <w:sz w:val="20"/>
          <w:szCs w:val="20"/>
        </w:rPr>
      </w:pPr>
    </w:p>
    <w:p w14:paraId="00000008" w14:textId="619479E6" w:rsidR="003E2F58" w:rsidRPr="00495440" w:rsidRDefault="00174E51">
      <w:pPr>
        <w:widowControl w:val="0"/>
        <w:pBdr>
          <w:top w:val="nil"/>
          <w:left w:val="nil"/>
          <w:bottom w:val="nil"/>
          <w:right w:val="nil"/>
          <w:between w:val="nil"/>
        </w:pBdr>
        <w:ind w:left="-360" w:right="7982"/>
        <w:rPr>
          <w:b/>
        </w:rPr>
      </w:pPr>
      <w:bookmarkStart w:id="0" w:name="_GoBack"/>
      <w:bookmarkEnd w:id="0"/>
      <w:r w:rsidRPr="00495440">
        <w:rPr>
          <w:sz w:val="20"/>
          <w:szCs w:val="20"/>
        </w:rPr>
        <w:br w:type="page"/>
      </w:r>
    </w:p>
    <w:p w14:paraId="00000009" w14:textId="77777777" w:rsidR="003E2F58" w:rsidRPr="00495440" w:rsidRDefault="00174E51">
      <w:pPr>
        <w:widowControl w:val="0"/>
        <w:pBdr>
          <w:top w:val="nil"/>
          <w:left w:val="nil"/>
          <w:bottom w:val="nil"/>
          <w:right w:val="nil"/>
          <w:between w:val="nil"/>
        </w:pBdr>
        <w:ind w:left="-360" w:right="7982"/>
        <w:rPr>
          <w:b/>
          <w:color w:val="000000"/>
        </w:rPr>
      </w:pPr>
      <w:r w:rsidRPr="00495440">
        <w:rPr>
          <w:b/>
          <w:color w:val="000000"/>
        </w:rPr>
        <w:lastRenderedPageBreak/>
        <w:t xml:space="preserve">Introduction </w:t>
      </w:r>
    </w:p>
    <w:p w14:paraId="4DE20CE0" w14:textId="28EA18AF" w:rsidR="007C3D4B" w:rsidRDefault="007C3D4B">
      <w:pPr>
        <w:widowControl w:val="0"/>
        <w:pBdr>
          <w:top w:val="nil"/>
          <w:left w:val="nil"/>
          <w:bottom w:val="nil"/>
          <w:right w:val="nil"/>
          <w:between w:val="nil"/>
        </w:pBdr>
        <w:spacing w:before="451"/>
        <w:ind w:left="-360" w:right="-364"/>
        <w:jc w:val="both"/>
        <w:rPr>
          <w:sz w:val="20"/>
          <w:szCs w:val="20"/>
        </w:rPr>
      </w:pPr>
      <w:r>
        <w:rPr>
          <w:sz w:val="20"/>
          <w:szCs w:val="20"/>
        </w:rPr>
        <w:t xml:space="preserve">Liam Thornton is an assistant professor in law in UCD School of Law. One of Liam’s key research interests pertains to the system of ‘direct provision’ for persons seeking international protection in Ireland. </w:t>
      </w:r>
      <w:r w:rsidR="00012367">
        <w:rPr>
          <w:sz w:val="20"/>
          <w:szCs w:val="20"/>
        </w:rPr>
        <w:t xml:space="preserve">You can access Liam’s publications on the system of direct provision at </w:t>
      </w:r>
      <w:hyperlink r:id="rId9" w:history="1">
        <w:r w:rsidR="00012367" w:rsidRPr="005E77F9">
          <w:rPr>
            <w:rStyle w:val="Hyperlink"/>
            <w:sz w:val="20"/>
            <w:szCs w:val="20"/>
          </w:rPr>
          <w:t>www.liamthornton.ie</w:t>
        </w:r>
      </w:hyperlink>
      <w:r w:rsidR="00012367">
        <w:rPr>
          <w:sz w:val="20"/>
          <w:szCs w:val="20"/>
        </w:rPr>
        <w:t xml:space="preserve">. </w:t>
      </w:r>
    </w:p>
    <w:p w14:paraId="1A885295" w14:textId="77777777" w:rsidR="00463B4C" w:rsidRPr="00495440" w:rsidRDefault="00463B4C" w:rsidP="00C810C8">
      <w:pPr>
        <w:widowControl w:val="0"/>
        <w:pBdr>
          <w:top w:val="nil"/>
          <w:left w:val="nil"/>
          <w:bottom w:val="nil"/>
          <w:right w:val="nil"/>
          <w:between w:val="nil"/>
        </w:pBdr>
        <w:spacing w:before="451"/>
        <w:ind w:right="-364"/>
        <w:jc w:val="both"/>
        <w:rPr>
          <w:sz w:val="20"/>
          <w:szCs w:val="20"/>
        </w:rPr>
      </w:pPr>
    </w:p>
    <w:p w14:paraId="73D3BE7B" w14:textId="07ABADDD" w:rsidR="005F3480" w:rsidRDefault="00C810C8" w:rsidP="00C810C8">
      <w:pPr>
        <w:widowControl w:val="0"/>
        <w:pBdr>
          <w:top w:val="nil"/>
          <w:left w:val="nil"/>
          <w:bottom w:val="nil"/>
          <w:right w:val="nil"/>
          <w:between w:val="nil"/>
        </w:pBdr>
        <w:spacing w:before="451"/>
        <w:ind w:left="-360" w:right="-364"/>
        <w:jc w:val="both"/>
        <w:rPr>
          <w:b/>
          <w:sz w:val="20"/>
          <w:szCs w:val="20"/>
        </w:rPr>
      </w:pPr>
      <w:r w:rsidRPr="00C810C8">
        <w:rPr>
          <w:b/>
          <w:sz w:val="20"/>
          <w:szCs w:val="20"/>
        </w:rPr>
        <w:t>Key</w:t>
      </w:r>
      <w:r w:rsidR="002A4FA0" w:rsidRPr="00C810C8">
        <w:rPr>
          <w:b/>
          <w:sz w:val="20"/>
          <w:szCs w:val="20"/>
        </w:rPr>
        <w:t xml:space="preserve"> issues/recommendations</w:t>
      </w:r>
      <w:r w:rsidR="00463B4C" w:rsidRPr="00C810C8">
        <w:rPr>
          <w:b/>
          <w:sz w:val="20"/>
          <w:szCs w:val="20"/>
        </w:rPr>
        <w:t xml:space="preserve"> </w:t>
      </w:r>
    </w:p>
    <w:p w14:paraId="6039AE95" w14:textId="77777777" w:rsidR="009C4DA9" w:rsidRPr="00C810C8" w:rsidRDefault="009C4DA9" w:rsidP="00C810C8">
      <w:pPr>
        <w:widowControl w:val="0"/>
        <w:pBdr>
          <w:top w:val="nil"/>
          <w:left w:val="nil"/>
          <w:bottom w:val="nil"/>
          <w:right w:val="nil"/>
          <w:between w:val="nil"/>
        </w:pBdr>
        <w:spacing w:before="451"/>
        <w:ind w:left="-360" w:right="-364"/>
        <w:jc w:val="both"/>
        <w:rPr>
          <w:b/>
          <w:color w:val="000000"/>
          <w:sz w:val="20"/>
          <w:szCs w:val="20"/>
        </w:rPr>
      </w:pPr>
    </w:p>
    <w:p w14:paraId="0BA1A593" w14:textId="77777777" w:rsidR="009C4DA9" w:rsidRPr="009C4DA9" w:rsidRDefault="009C4DA9" w:rsidP="009C4DA9">
      <w:pPr>
        <w:numPr>
          <w:ilvl w:val="0"/>
          <w:numId w:val="2"/>
        </w:numPr>
        <w:rPr>
          <w:color w:val="000000"/>
          <w:sz w:val="20"/>
          <w:szCs w:val="20"/>
        </w:rPr>
      </w:pPr>
      <w:r w:rsidRPr="009C4DA9">
        <w:rPr>
          <w:color w:val="000000"/>
          <w:sz w:val="20"/>
          <w:szCs w:val="20"/>
        </w:rPr>
        <w:t xml:space="preserve">Alternate solutions to accommodating persons seeking asylum and ensure persons are not exposed to prolonged communal living, </w:t>
      </w:r>
      <w:proofErr w:type="gramStart"/>
      <w:r w:rsidRPr="009C4DA9">
        <w:rPr>
          <w:color w:val="000000"/>
          <w:sz w:val="20"/>
          <w:szCs w:val="20"/>
        </w:rPr>
        <w:t>so as to</w:t>
      </w:r>
      <w:proofErr w:type="gramEnd"/>
      <w:r w:rsidRPr="009C4DA9">
        <w:rPr>
          <w:color w:val="000000"/>
          <w:sz w:val="20"/>
          <w:szCs w:val="20"/>
        </w:rPr>
        <w:t xml:space="preserve"> ensure full respect, protection and fulfilment of rights to shelter, private and family life and human dignity.</w:t>
      </w:r>
    </w:p>
    <w:p w14:paraId="5359A31C" w14:textId="77777777" w:rsidR="009C4DA9" w:rsidRPr="009C4DA9" w:rsidRDefault="009C4DA9" w:rsidP="009C4DA9">
      <w:pPr>
        <w:numPr>
          <w:ilvl w:val="0"/>
          <w:numId w:val="2"/>
        </w:numPr>
        <w:rPr>
          <w:color w:val="000000"/>
          <w:sz w:val="20"/>
          <w:szCs w:val="20"/>
        </w:rPr>
      </w:pPr>
      <w:r w:rsidRPr="009C4DA9">
        <w:rPr>
          <w:color w:val="000000"/>
          <w:sz w:val="20"/>
          <w:szCs w:val="20"/>
        </w:rPr>
        <w:t>Emergency accommodation should be used for only the most limited of time periods, and rights of persons seeking asylum should be fully vindicated.</w:t>
      </w:r>
    </w:p>
    <w:p w14:paraId="30D3578B" w14:textId="77777777" w:rsidR="009C4DA9" w:rsidRPr="009C4DA9" w:rsidRDefault="009C4DA9" w:rsidP="009C4DA9">
      <w:pPr>
        <w:numPr>
          <w:ilvl w:val="0"/>
          <w:numId w:val="2"/>
        </w:numPr>
        <w:rPr>
          <w:color w:val="000000"/>
          <w:sz w:val="20"/>
          <w:szCs w:val="20"/>
        </w:rPr>
      </w:pPr>
      <w:r w:rsidRPr="009C4DA9">
        <w:rPr>
          <w:color w:val="000000"/>
          <w:sz w:val="20"/>
          <w:szCs w:val="20"/>
        </w:rPr>
        <w:t>Rates of social assistance payments to asylum seekers must be based on comparable rates of social assistant payments to persons who are habitually resident in Ireland. All child asylum seekers must be entitled to child benefit.</w:t>
      </w:r>
    </w:p>
    <w:p w14:paraId="36D23854" w14:textId="77777777" w:rsidR="009C4DA9" w:rsidRPr="009C4DA9" w:rsidRDefault="009C4DA9" w:rsidP="009C4DA9">
      <w:pPr>
        <w:numPr>
          <w:ilvl w:val="0"/>
          <w:numId w:val="2"/>
        </w:numPr>
        <w:rPr>
          <w:color w:val="000000"/>
          <w:sz w:val="20"/>
          <w:szCs w:val="20"/>
        </w:rPr>
      </w:pPr>
      <w:r w:rsidRPr="009C4DA9">
        <w:rPr>
          <w:color w:val="000000"/>
          <w:sz w:val="20"/>
          <w:szCs w:val="20"/>
        </w:rPr>
        <w:t xml:space="preserve">Asylum seekers should have a right to work after a period of no more than six months. Ireland should re-consider the prohibition on asylum seekers entering publicly funded employment. </w:t>
      </w:r>
    </w:p>
    <w:p w14:paraId="65C49BC1" w14:textId="36261927" w:rsidR="00346719" w:rsidRPr="00495440" w:rsidRDefault="005F5336" w:rsidP="00C810C8">
      <w:pPr>
        <w:rPr>
          <w:color w:val="000000"/>
          <w:sz w:val="20"/>
          <w:szCs w:val="20"/>
        </w:rPr>
      </w:pPr>
      <w:r w:rsidRPr="00495440">
        <w:rPr>
          <w:color w:val="000000"/>
          <w:sz w:val="20"/>
          <w:szCs w:val="20"/>
        </w:rPr>
        <w:br w:type="page"/>
      </w:r>
    </w:p>
    <w:sdt>
      <w:sdtPr>
        <w:rPr>
          <w:rFonts w:ascii="Arial" w:eastAsia="Arial" w:hAnsi="Arial" w:cs="Arial"/>
          <w:color w:val="auto"/>
          <w:sz w:val="28"/>
          <w:szCs w:val="28"/>
          <w:lang w:val="en-IE" w:eastAsia="en-IE"/>
        </w:rPr>
        <w:id w:val="-210492051"/>
        <w:docPartObj>
          <w:docPartGallery w:val="Table of Contents"/>
          <w:docPartUnique/>
        </w:docPartObj>
      </w:sdtPr>
      <w:sdtEndPr>
        <w:rPr>
          <w:b/>
          <w:bCs/>
          <w:noProof/>
          <w:sz w:val="20"/>
          <w:szCs w:val="20"/>
        </w:rPr>
      </w:sdtEndPr>
      <w:sdtContent>
        <w:p w14:paraId="081C3684" w14:textId="0F2AD85C" w:rsidR="00C441B1" w:rsidRPr="00495440" w:rsidRDefault="00C441B1" w:rsidP="00C810C8">
          <w:pPr>
            <w:pStyle w:val="TOCHeading"/>
            <w:jc w:val="center"/>
            <w:rPr>
              <w:sz w:val="28"/>
              <w:szCs w:val="28"/>
            </w:rPr>
          </w:pPr>
          <w:r w:rsidRPr="00495440">
            <w:rPr>
              <w:sz w:val="28"/>
              <w:szCs w:val="28"/>
            </w:rPr>
            <w:t>Table of Contents</w:t>
          </w:r>
        </w:p>
        <w:p w14:paraId="366B8452" w14:textId="1B149920" w:rsidR="00012367" w:rsidRDefault="00C441B1">
          <w:pPr>
            <w:pStyle w:val="TOC3"/>
            <w:tabs>
              <w:tab w:val="right" w:leader="dot" w:pos="9350"/>
            </w:tabs>
            <w:rPr>
              <w:rFonts w:asciiTheme="minorHAnsi" w:eastAsiaTheme="minorEastAsia" w:hAnsiTheme="minorHAnsi" w:cstheme="minorBidi"/>
              <w:noProof/>
            </w:rPr>
          </w:pPr>
          <w:r w:rsidRPr="00495440">
            <w:rPr>
              <w:sz w:val="20"/>
              <w:szCs w:val="20"/>
            </w:rPr>
            <w:fldChar w:fldCharType="begin"/>
          </w:r>
          <w:r w:rsidRPr="00495440">
            <w:rPr>
              <w:sz w:val="20"/>
              <w:szCs w:val="20"/>
            </w:rPr>
            <w:instrText xml:space="preserve"> TOC \o "1-3" \h \z \u </w:instrText>
          </w:r>
          <w:r w:rsidRPr="00495440">
            <w:rPr>
              <w:sz w:val="20"/>
              <w:szCs w:val="20"/>
            </w:rPr>
            <w:fldChar w:fldCharType="separate"/>
          </w:r>
          <w:hyperlink w:anchor="_Toc17202145" w:history="1">
            <w:r w:rsidR="00012367" w:rsidRPr="00CC7007">
              <w:rPr>
                <w:rStyle w:val="Hyperlink"/>
                <w:noProof/>
              </w:rPr>
              <w:t>Direct Provision for asylum seekers</w:t>
            </w:r>
            <w:r w:rsidR="00012367">
              <w:rPr>
                <w:noProof/>
                <w:webHidden/>
              </w:rPr>
              <w:tab/>
            </w:r>
            <w:r w:rsidR="00012367">
              <w:rPr>
                <w:noProof/>
                <w:webHidden/>
              </w:rPr>
              <w:fldChar w:fldCharType="begin"/>
            </w:r>
            <w:r w:rsidR="00012367">
              <w:rPr>
                <w:noProof/>
                <w:webHidden/>
              </w:rPr>
              <w:instrText xml:space="preserve"> PAGEREF _Toc17202145 \h </w:instrText>
            </w:r>
            <w:r w:rsidR="00012367">
              <w:rPr>
                <w:noProof/>
                <w:webHidden/>
              </w:rPr>
            </w:r>
            <w:r w:rsidR="00012367">
              <w:rPr>
                <w:noProof/>
                <w:webHidden/>
              </w:rPr>
              <w:fldChar w:fldCharType="separate"/>
            </w:r>
            <w:r w:rsidR="00012367">
              <w:rPr>
                <w:noProof/>
                <w:webHidden/>
              </w:rPr>
              <w:t>5</w:t>
            </w:r>
            <w:r w:rsidR="00012367">
              <w:rPr>
                <w:noProof/>
                <w:webHidden/>
              </w:rPr>
              <w:fldChar w:fldCharType="end"/>
            </w:r>
          </w:hyperlink>
        </w:p>
        <w:p w14:paraId="2FAFA348" w14:textId="4A97F4A3" w:rsidR="00346719" w:rsidRPr="00012367" w:rsidRDefault="00C441B1" w:rsidP="00012367">
          <w:pPr>
            <w:rPr>
              <w:sz w:val="20"/>
              <w:szCs w:val="20"/>
            </w:rPr>
          </w:pPr>
          <w:r w:rsidRPr="00495440">
            <w:rPr>
              <w:b/>
              <w:bCs/>
              <w:noProof/>
              <w:sz w:val="20"/>
              <w:szCs w:val="20"/>
            </w:rPr>
            <w:fldChar w:fldCharType="end"/>
          </w:r>
        </w:p>
      </w:sdtContent>
    </w:sdt>
    <w:p w14:paraId="2F30123E" w14:textId="77777777" w:rsidR="00495440" w:rsidRPr="00495440" w:rsidRDefault="00495440">
      <w:pPr>
        <w:rPr>
          <w:sz w:val="20"/>
          <w:szCs w:val="20"/>
        </w:rPr>
      </w:pPr>
      <w:r w:rsidRPr="00495440">
        <w:rPr>
          <w:sz w:val="20"/>
          <w:szCs w:val="20"/>
        </w:rPr>
        <w:br w:type="page"/>
      </w: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9350"/>
      </w:tblGrid>
      <w:tr w:rsidR="00346719" w:rsidRPr="00495440" w14:paraId="4C466136" w14:textId="77777777" w:rsidTr="00174E51">
        <w:tc>
          <w:tcPr>
            <w:tcW w:w="9350" w:type="dxa"/>
          </w:tcPr>
          <w:p w14:paraId="064F2432" w14:textId="2D6C4F6F" w:rsidR="00346719" w:rsidRPr="00495440" w:rsidRDefault="00346719" w:rsidP="00174E51">
            <w:pPr>
              <w:widowControl w:val="0"/>
              <w:ind w:left="22"/>
              <w:rPr>
                <w:color w:val="002060"/>
                <w:sz w:val="20"/>
                <w:szCs w:val="20"/>
              </w:rPr>
            </w:pPr>
            <w:r w:rsidRPr="00495440">
              <w:rPr>
                <w:color w:val="002060"/>
                <w:sz w:val="20"/>
                <w:szCs w:val="20"/>
              </w:rPr>
              <w:lastRenderedPageBreak/>
              <w:t>■ Issues and relevant recommendations in the previous cycle</w:t>
            </w:r>
          </w:p>
          <w:p w14:paraId="252C5454" w14:textId="657619C4" w:rsidR="00346719" w:rsidRPr="00495440" w:rsidRDefault="00346719" w:rsidP="00342914">
            <w:pPr>
              <w:pStyle w:val="Heading3"/>
              <w:outlineLvl w:val="2"/>
              <w:rPr>
                <w:sz w:val="22"/>
                <w:szCs w:val="22"/>
              </w:rPr>
            </w:pPr>
            <w:bookmarkStart w:id="1" w:name="_Toc17202145"/>
            <w:r w:rsidRPr="00495440">
              <w:rPr>
                <w:sz w:val="22"/>
                <w:szCs w:val="22"/>
              </w:rPr>
              <w:t>Direct Provision for asylum seekers</w:t>
            </w:r>
            <w:bookmarkEnd w:id="1"/>
          </w:p>
          <w:p w14:paraId="30ABDCE7" w14:textId="77777777" w:rsidR="00346719" w:rsidRPr="00495440" w:rsidRDefault="00346719" w:rsidP="00174E51">
            <w:pPr>
              <w:widowControl w:val="0"/>
              <w:ind w:left="22"/>
              <w:rPr>
                <w:color w:val="000000"/>
                <w:sz w:val="20"/>
                <w:szCs w:val="20"/>
              </w:rPr>
            </w:pPr>
            <w:r w:rsidRPr="00495440">
              <w:rPr>
                <w:color w:val="000000"/>
                <w:sz w:val="20"/>
                <w:szCs w:val="20"/>
              </w:rPr>
              <w:t>CERD/C/IRL/CO/3-4 paragraph 20</w:t>
            </w:r>
          </w:p>
        </w:tc>
      </w:tr>
      <w:tr w:rsidR="00346719" w:rsidRPr="00495440" w14:paraId="432309E9" w14:textId="77777777" w:rsidTr="00174E51">
        <w:tc>
          <w:tcPr>
            <w:tcW w:w="9350" w:type="dxa"/>
          </w:tcPr>
          <w:p w14:paraId="2FDF9542" w14:textId="77777777" w:rsidR="00346719" w:rsidRPr="00495440" w:rsidRDefault="00346719" w:rsidP="00174E51">
            <w:pPr>
              <w:widowControl w:val="0"/>
              <w:ind w:left="22"/>
              <w:rPr>
                <w:color w:val="002060"/>
                <w:sz w:val="20"/>
                <w:szCs w:val="20"/>
              </w:rPr>
            </w:pPr>
            <w:r w:rsidRPr="00495440">
              <w:rPr>
                <w:color w:val="002060"/>
                <w:sz w:val="20"/>
                <w:szCs w:val="20"/>
              </w:rPr>
              <w:t>■ Relevant paragraphs in the State party’s report</w:t>
            </w:r>
          </w:p>
          <w:p w14:paraId="216F131D" w14:textId="77777777" w:rsidR="002D48F7" w:rsidRPr="00495440" w:rsidRDefault="002D48F7" w:rsidP="00174E51">
            <w:pPr>
              <w:widowControl w:val="0"/>
              <w:ind w:left="22"/>
              <w:rPr>
                <w:color w:val="002060"/>
                <w:sz w:val="20"/>
                <w:szCs w:val="20"/>
              </w:rPr>
            </w:pPr>
          </w:p>
          <w:p w14:paraId="430C1F8C" w14:textId="26E97697" w:rsidR="002D48F7" w:rsidRPr="00495440" w:rsidRDefault="002D48F7" w:rsidP="00174E51">
            <w:pPr>
              <w:widowControl w:val="0"/>
              <w:ind w:left="22"/>
              <w:rPr>
                <w:color w:val="000000"/>
                <w:sz w:val="20"/>
                <w:szCs w:val="20"/>
              </w:rPr>
            </w:pPr>
            <w:r w:rsidRPr="00495440">
              <w:rPr>
                <w:sz w:val="20"/>
                <w:szCs w:val="20"/>
              </w:rPr>
              <w:t>CERD/C/IRL/5-9 paragraph 100-110</w:t>
            </w:r>
          </w:p>
        </w:tc>
      </w:tr>
      <w:tr w:rsidR="00346719" w:rsidRPr="00495440" w14:paraId="4F6A42EF" w14:textId="77777777" w:rsidTr="00174E51">
        <w:tc>
          <w:tcPr>
            <w:tcW w:w="9350" w:type="dxa"/>
          </w:tcPr>
          <w:p w14:paraId="3240177F" w14:textId="77777777" w:rsidR="00346719" w:rsidRPr="00495440" w:rsidRDefault="00346719" w:rsidP="00174E51">
            <w:pPr>
              <w:widowControl w:val="0"/>
              <w:ind w:left="22"/>
              <w:rPr>
                <w:color w:val="002060"/>
                <w:sz w:val="20"/>
                <w:szCs w:val="20"/>
              </w:rPr>
            </w:pPr>
            <w:r w:rsidRPr="00495440">
              <w:rPr>
                <w:color w:val="000000"/>
                <w:sz w:val="20"/>
                <w:szCs w:val="20"/>
              </w:rPr>
              <w:t xml:space="preserve">■ </w:t>
            </w:r>
            <w:r w:rsidRPr="00495440">
              <w:rPr>
                <w:color w:val="002060"/>
                <w:sz w:val="20"/>
                <w:szCs w:val="20"/>
              </w:rPr>
              <w:t>Implementation of the recommendations</w:t>
            </w:r>
          </w:p>
          <w:p w14:paraId="5FD23388" w14:textId="77777777" w:rsidR="00346719" w:rsidRPr="00495440" w:rsidRDefault="00346719" w:rsidP="00174E51">
            <w:pPr>
              <w:widowControl w:val="0"/>
              <w:ind w:left="22"/>
              <w:rPr>
                <w:color w:val="002060"/>
                <w:sz w:val="20"/>
                <w:szCs w:val="20"/>
              </w:rPr>
            </w:pPr>
          </w:p>
          <w:p w14:paraId="797273BA" w14:textId="77777777" w:rsidR="00346719" w:rsidRDefault="00346719" w:rsidP="00174E51">
            <w:pPr>
              <w:widowControl w:val="0"/>
              <w:ind w:left="22"/>
              <w:rPr>
                <w:color w:val="000000"/>
                <w:sz w:val="20"/>
                <w:szCs w:val="20"/>
              </w:rPr>
            </w:pPr>
            <w:r w:rsidRPr="00495440">
              <w:rPr>
                <w:color w:val="000000"/>
                <w:sz w:val="20"/>
                <w:szCs w:val="20"/>
              </w:rPr>
              <w:t>Has the State taken all necessary measures to improve the living conditions of asylum-seekers by providing them with adequate food, medical care and other social amenities including also a review of the direct provision system?</w:t>
            </w:r>
          </w:p>
          <w:p w14:paraId="313707CC" w14:textId="77777777" w:rsidR="007C3D4B" w:rsidRDefault="007C3D4B" w:rsidP="00174E51">
            <w:pPr>
              <w:widowControl w:val="0"/>
              <w:ind w:left="22"/>
              <w:rPr>
                <w:color w:val="000000"/>
                <w:sz w:val="20"/>
                <w:szCs w:val="20"/>
              </w:rPr>
            </w:pPr>
          </w:p>
          <w:p w14:paraId="62C8E0F0" w14:textId="16C27407" w:rsidR="007C3D4B" w:rsidRPr="00495440" w:rsidRDefault="007C3D4B" w:rsidP="00174E51">
            <w:pPr>
              <w:widowControl w:val="0"/>
              <w:ind w:left="22"/>
              <w:rPr>
                <w:color w:val="000000"/>
                <w:sz w:val="20"/>
                <w:szCs w:val="20"/>
              </w:rPr>
            </w:pPr>
            <w:r>
              <w:rPr>
                <w:color w:val="000000"/>
                <w:sz w:val="20"/>
                <w:szCs w:val="20"/>
              </w:rPr>
              <w:t xml:space="preserve">The extension of the remit of the </w:t>
            </w:r>
            <w:r w:rsidR="00EE6B5F">
              <w:rPr>
                <w:color w:val="000000"/>
                <w:sz w:val="20"/>
                <w:szCs w:val="20"/>
              </w:rPr>
              <w:t xml:space="preserve">Office of the </w:t>
            </w:r>
            <w:r>
              <w:rPr>
                <w:color w:val="000000"/>
                <w:sz w:val="20"/>
                <w:szCs w:val="20"/>
              </w:rPr>
              <w:t>Ombudsman</w:t>
            </w:r>
            <w:r w:rsidR="00012367">
              <w:rPr>
                <w:rStyle w:val="FootnoteReference"/>
                <w:color w:val="000000"/>
                <w:sz w:val="20"/>
                <w:szCs w:val="20"/>
              </w:rPr>
              <w:footnoteReference w:id="1"/>
            </w:r>
            <w:r>
              <w:rPr>
                <w:color w:val="000000"/>
                <w:sz w:val="20"/>
                <w:szCs w:val="20"/>
              </w:rPr>
              <w:t xml:space="preserve"> and</w:t>
            </w:r>
            <w:r w:rsidR="00EE6B5F">
              <w:rPr>
                <w:color w:val="000000"/>
                <w:sz w:val="20"/>
                <w:szCs w:val="20"/>
              </w:rPr>
              <w:t xml:space="preserve"> the</w:t>
            </w:r>
            <w:r>
              <w:rPr>
                <w:color w:val="000000"/>
                <w:sz w:val="20"/>
                <w:szCs w:val="20"/>
              </w:rPr>
              <w:t xml:space="preserve"> Ombudsman for Children</w:t>
            </w:r>
            <w:r w:rsidR="00012367">
              <w:rPr>
                <w:rStyle w:val="FootnoteReference"/>
                <w:color w:val="000000"/>
                <w:sz w:val="20"/>
                <w:szCs w:val="20"/>
              </w:rPr>
              <w:footnoteReference w:id="2"/>
            </w:r>
            <w:r>
              <w:rPr>
                <w:color w:val="000000"/>
                <w:sz w:val="20"/>
                <w:szCs w:val="20"/>
              </w:rPr>
              <w:t xml:space="preserve"> to enable asylum applicants to make a complaint</w:t>
            </w:r>
            <w:r w:rsidR="00EE6B5F">
              <w:rPr>
                <w:color w:val="000000"/>
                <w:sz w:val="20"/>
                <w:szCs w:val="20"/>
              </w:rPr>
              <w:t xml:space="preserve"> is </w:t>
            </w:r>
            <w:r w:rsidR="002F7FBD">
              <w:rPr>
                <w:color w:val="000000"/>
                <w:sz w:val="20"/>
                <w:szCs w:val="20"/>
              </w:rPr>
              <w:t>welcome</w:t>
            </w:r>
            <w:r w:rsidR="00EE6B5F">
              <w:rPr>
                <w:color w:val="000000"/>
                <w:sz w:val="20"/>
                <w:szCs w:val="20"/>
              </w:rPr>
              <w:t>. The McMahon Report,</w:t>
            </w:r>
            <w:r w:rsidR="00012367">
              <w:rPr>
                <w:rStyle w:val="FootnoteReference"/>
                <w:color w:val="000000"/>
                <w:sz w:val="20"/>
                <w:szCs w:val="20"/>
              </w:rPr>
              <w:footnoteReference w:id="3"/>
            </w:r>
            <w:r w:rsidR="00EE6B5F">
              <w:rPr>
                <w:color w:val="000000"/>
                <w:sz w:val="20"/>
                <w:szCs w:val="20"/>
              </w:rPr>
              <w:t xml:space="preserve"> which sought to make life in direct accommodation </w:t>
            </w:r>
            <w:r w:rsidR="002F7FBD">
              <w:rPr>
                <w:color w:val="000000"/>
                <w:sz w:val="20"/>
                <w:szCs w:val="20"/>
              </w:rPr>
              <w:t>more respectful of the rights of asylum applicants,</w:t>
            </w:r>
            <w:r w:rsidR="00EE6B5F">
              <w:rPr>
                <w:color w:val="000000"/>
                <w:sz w:val="20"/>
                <w:szCs w:val="20"/>
              </w:rPr>
              <w:t xml:space="preserve"> partly achieved some of its </w:t>
            </w:r>
            <w:r w:rsidR="002F7FBD">
              <w:rPr>
                <w:color w:val="000000"/>
                <w:sz w:val="20"/>
                <w:szCs w:val="20"/>
              </w:rPr>
              <w:t xml:space="preserve">limited </w:t>
            </w:r>
            <w:r w:rsidR="00EE6B5F">
              <w:rPr>
                <w:color w:val="000000"/>
                <w:sz w:val="20"/>
                <w:szCs w:val="20"/>
              </w:rPr>
              <w:t>aims</w:t>
            </w:r>
            <w:r w:rsidR="002F7FBD">
              <w:rPr>
                <w:color w:val="000000"/>
                <w:sz w:val="20"/>
                <w:szCs w:val="20"/>
              </w:rPr>
              <w:t xml:space="preserve">. </w:t>
            </w:r>
            <w:r w:rsidR="00012367">
              <w:rPr>
                <w:color w:val="000000"/>
                <w:sz w:val="20"/>
                <w:szCs w:val="20"/>
              </w:rPr>
              <w:t>The placement of the system of direct provision for asylum seekers on a legislative footing,</w:t>
            </w:r>
            <w:r w:rsidR="00012367">
              <w:rPr>
                <w:rStyle w:val="FootnoteReference"/>
                <w:color w:val="000000"/>
                <w:sz w:val="20"/>
                <w:szCs w:val="20"/>
              </w:rPr>
              <w:footnoteReference w:id="4"/>
            </w:r>
            <w:r w:rsidR="00012367">
              <w:rPr>
                <w:color w:val="000000"/>
                <w:sz w:val="20"/>
                <w:szCs w:val="20"/>
              </w:rPr>
              <w:t xml:space="preserve"> the increases in weekly payments</w:t>
            </w:r>
            <w:r w:rsidR="002F7FBD">
              <w:rPr>
                <w:color w:val="000000"/>
                <w:sz w:val="20"/>
                <w:szCs w:val="20"/>
              </w:rPr>
              <w:t xml:space="preserve"> to asylum seekers</w:t>
            </w:r>
            <w:r w:rsidR="00012367">
              <w:rPr>
                <w:color w:val="000000"/>
                <w:sz w:val="20"/>
                <w:szCs w:val="20"/>
              </w:rPr>
              <w:t>,</w:t>
            </w:r>
            <w:r w:rsidR="002F7FBD">
              <w:rPr>
                <w:rStyle w:val="FootnoteReference"/>
                <w:color w:val="000000"/>
                <w:sz w:val="20"/>
                <w:szCs w:val="20"/>
              </w:rPr>
              <w:footnoteReference w:id="5"/>
            </w:r>
            <w:r w:rsidR="00012367">
              <w:rPr>
                <w:color w:val="000000"/>
                <w:sz w:val="20"/>
                <w:szCs w:val="20"/>
              </w:rPr>
              <w:t xml:space="preserve"> and the adoption of national standards</w:t>
            </w:r>
            <w:r w:rsidR="002F7FBD">
              <w:rPr>
                <w:color w:val="000000"/>
                <w:sz w:val="20"/>
                <w:szCs w:val="20"/>
              </w:rPr>
              <w:t xml:space="preserve"> for accommodation centres</w:t>
            </w:r>
            <w:r w:rsidR="00012367">
              <w:rPr>
                <w:color w:val="000000"/>
                <w:sz w:val="20"/>
                <w:szCs w:val="20"/>
              </w:rPr>
              <w:t>,</w:t>
            </w:r>
            <w:r w:rsidR="002F7FBD">
              <w:rPr>
                <w:rStyle w:val="FootnoteReference"/>
                <w:color w:val="000000"/>
                <w:sz w:val="20"/>
                <w:szCs w:val="20"/>
              </w:rPr>
              <w:footnoteReference w:id="6"/>
            </w:r>
            <w:r w:rsidR="00012367">
              <w:rPr>
                <w:color w:val="000000"/>
                <w:sz w:val="20"/>
                <w:szCs w:val="20"/>
              </w:rPr>
              <w:t xml:space="preserve"> are also welcome developments since UN CERD’s last consideration of Ireland’s report. The introduction of a</w:t>
            </w:r>
            <w:r w:rsidR="002F7FBD">
              <w:rPr>
                <w:color w:val="000000"/>
                <w:sz w:val="20"/>
                <w:szCs w:val="20"/>
              </w:rPr>
              <w:t xml:space="preserve"> limited</w:t>
            </w:r>
            <w:r w:rsidR="00012367">
              <w:rPr>
                <w:color w:val="000000"/>
                <w:sz w:val="20"/>
                <w:szCs w:val="20"/>
              </w:rPr>
              <w:t xml:space="preserve"> right to work, after 9 months, for some asylum seekers, is </w:t>
            </w:r>
            <w:r w:rsidR="002F7FBD">
              <w:rPr>
                <w:color w:val="000000"/>
                <w:sz w:val="20"/>
                <w:szCs w:val="20"/>
              </w:rPr>
              <w:t>another additional measure contributing to protecting socio-economic rights</w:t>
            </w:r>
            <w:r w:rsidR="00012367">
              <w:rPr>
                <w:color w:val="000000"/>
                <w:sz w:val="20"/>
                <w:szCs w:val="20"/>
              </w:rPr>
              <w:t>.</w:t>
            </w:r>
            <w:r w:rsidR="002F7FBD">
              <w:rPr>
                <w:rStyle w:val="FootnoteReference"/>
                <w:color w:val="000000"/>
                <w:sz w:val="20"/>
                <w:szCs w:val="20"/>
              </w:rPr>
              <w:footnoteReference w:id="7"/>
            </w:r>
            <w:r w:rsidR="002F7FBD">
              <w:rPr>
                <w:color w:val="000000"/>
                <w:sz w:val="20"/>
                <w:szCs w:val="20"/>
              </w:rPr>
              <w:t xml:space="preserve"> </w:t>
            </w:r>
            <w:r w:rsidR="002F7FBD" w:rsidRPr="002F7FBD">
              <w:rPr>
                <w:color w:val="000000"/>
                <w:sz w:val="20"/>
                <w:szCs w:val="20"/>
              </w:rPr>
              <w:t>As of June 2019, 2,633 international protection applicants have been granted a right to work or right to enter self-employment.</w:t>
            </w:r>
            <w:r w:rsidR="002F7FBD" w:rsidRPr="002F7FBD">
              <w:rPr>
                <w:color w:val="000000"/>
                <w:sz w:val="20"/>
                <w:szCs w:val="20"/>
                <w:vertAlign w:val="superscript"/>
              </w:rPr>
              <w:footnoteReference w:id="8"/>
            </w:r>
            <w:r w:rsidR="002F7FBD" w:rsidRPr="002F7FBD">
              <w:rPr>
                <w:color w:val="000000"/>
                <w:sz w:val="20"/>
                <w:szCs w:val="20"/>
              </w:rPr>
              <w:t xml:space="preserve"> As of July 2019, 1,267 applicants have entered employment or are self-employed, including 896 persons who are in the direct provision system.</w:t>
            </w:r>
            <w:r w:rsidR="002F7FBD" w:rsidRPr="002F7FBD">
              <w:rPr>
                <w:color w:val="000000"/>
                <w:sz w:val="20"/>
                <w:szCs w:val="20"/>
                <w:vertAlign w:val="superscript"/>
              </w:rPr>
              <w:footnoteReference w:id="9"/>
            </w:r>
            <w:r w:rsidR="002F7FBD" w:rsidRPr="002F7FBD">
              <w:rPr>
                <w:color w:val="000000"/>
                <w:sz w:val="20"/>
                <w:szCs w:val="20"/>
              </w:rPr>
              <w:t xml:space="preserve"> An August 2019 commitment by the Government to review the system of direct provision, including establishing an interdepartmental committee exploring whether social and economic rights for asylum seekers be protected within the general Irish social welfare system is welcome.</w:t>
            </w:r>
            <w:r w:rsidR="002F7FBD" w:rsidRPr="002F7FBD">
              <w:rPr>
                <w:color w:val="000000"/>
                <w:sz w:val="20"/>
                <w:szCs w:val="20"/>
                <w:vertAlign w:val="superscript"/>
              </w:rPr>
              <w:footnoteReference w:id="10"/>
            </w:r>
            <w:r w:rsidR="002F7FBD" w:rsidRPr="002F7FBD">
              <w:rPr>
                <w:color w:val="000000"/>
                <w:sz w:val="20"/>
                <w:szCs w:val="20"/>
              </w:rPr>
              <w:t xml:space="preserve"> </w:t>
            </w:r>
            <w:r w:rsidR="002F7FBD">
              <w:rPr>
                <w:color w:val="000000"/>
                <w:sz w:val="20"/>
                <w:szCs w:val="20"/>
              </w:rPr>
              <w:t xml:space="preserve">The 2019 extension of rights for certain asylum applicants to enter University on a </w:t>
            </w:r>
            <w:r w:rsidR="002F7FBD" w:rsidRPr="002F7FBD">
              <w:rPr>
                <w:i/>
                <w:color w:val="000000"/>
                <w:sz w:val="20"/>
                <w:szCs w:val="20"/>
              </w:rPr>
              <w:t>free fees</w:t>
            </w:r>
            <w:r w:rsidR="002F7FBD">
              <w:rPr>
                <w:color w:val="000000"/>
                <w:sz w:val="20"/>
                <w:szCs w:val="20"/>
              </w:rPr>
              <w:t xml:space="preserve"> basis, coupled with entitlement to an educational grant, further respects and protects access to education.</w:t>
            </w:r>
            <w:r w:rsidR="002F7FBD">
              <w:rPr>
                <w:rStyle w:val="FootnoteReference"/>
                <w:color w:val="000000"/>
                <w:sz w:val="20"/>
                <w:szCs w:val="20"/>
              </w:rPr>
              <w:footnoteReference w:id="11"/>
            </w:r>
          </w:p>
        </w:tc>
      </w:tr>
      <w:tr w:rsidR="00346719" w:rsidRPr="00495440" w14:paraId="2A918933" w14:textId="77777777" w:rsidTr="00C20AE1">
        <w:trPr>
          <w:trHeight w:val="6762"/>
        </w:trPr>
        <w:tc>
          <w:tcPr>
            <w:tcW w:w="9350" w:type="dxa"/>
          </w:tcPr>
          <w:p w14:paraId="3A96AC4E" w14:textId="77777777" w:rsidR="00346719" w:rsidRPr="00495440" w:rsidRDefault="00346719" w:rsidP="00174E51">
            <w:pPr>
              <w:widowControl w:val="0"/>
              <w:pBdr>
                <w:top w:val="nil"/>
                <w:left w:val="nil"/>
                <w:bottom w:val="nil"/>
                <w:right w:val="nil"/>
                <w:between w:val="nil"/>
              </w:pBdr>
              <w:ind w:left="22" w:right="7823"/>
              <w:rPr>
                <w:color w:val="002060"/>
                <w:sz w:val="20"/>
                <w:szCs w:val="20"/>
              </w:rPr>
            </w:pPr>
            <w:r w:rsidRPr="00495440">
              <w:rPr>
                <w:color w:val="002060"/>
                <w:sz w:val="20"/>
                <w:szCs w:val="20"/>
              </w:rPr>
              <w:lastRenderedPageBreak/>
              <w:t xml:space="preserve">■ Problems </w:t>
            </w:r>
          </w:p>
          <w:p w14:paraId="1E00B131" w14:textId="77777777" w:rsidR="00346719" w:rsidRDefault="00346719" w:rsidP="00174E51">
            <w:pPr>
              <w:widowControl w:val="0"/>
              <w:ind w:left="22"/>
              <w:rPr>
                <w:color w:val="000000"/>
                <w:sz w:val="20"/>
                <w:szCs w:val="20"/>
              </w:rPr>
            </w:pPr>
          </w:p>
          <w:p w14:paraId="0FD978C6" w14:textId="77777777" w:rsidR="003B3444" w:rsidRDefault="003B3444" w:rsidP="003B3444">
            <w:pPr>
              <w:widowControl w:val="0"/>
              <w:ind w:left="22"/>
              <w:rPr>
                <w:color w:val="000000"/>
                <w:sz w:val="20"/>
                <w:szCs w:val="20"/>
              </w:rPr>
            </w:pPr>
          </w:p>
          <w:p w14:paraId="06F7D1C9" w14:textId="48BCABDD" w:rsidR="009137DC" w:rsidRDefault="009137DC" w:rsidP="003B3444">
            <w:pPr>
              <w:widowControl w:val="0"/>
              <w:ind w:left="22"/>
              <w:rPr>
                <w:color w:val="000000"/>
                <w:sz w:val="20"/>
                <w:szCs w:val="20"/>
              </w:rPr>
            </w:pPr>
            <w:r>
              <w:rPr>
                <w:color w:val="000000"/>
                <w:sz w:val="20"/>
                <w:szCs w:val="20"/>
              </w:rPr>
              <w:t xml:space="preserve">Acknowledging the significant improvements on rights and entitlements for persons seeking asylum in Ireland since UN CERD’s last review, significant concerns remain as regards Ireland’s compliance with </w:t>
            </w:r>
            <w:r w:rsidR="00314450">
              <w:rPr>
                <w:color w:val="000000"/>
                <w:sz w:val="20"/>
                <w:szCs w:val="20"/>
              </w:rPr>
              <w:t>various freely accepted obligations under CERD.</w:t>
            </w:r>
          </w:p>
          <w:p w14:paraId="0CF7CF9D" w14:textId="19E460A0" w:rsidR="009137DC" w:rsidRDefault="009137DC" w:rsidP="003B3444">
            <w:pPr>
              <w:widowControl w:val="0"/>
              <w:ind w:left="22"/>
              <w:rPr>
                <w:color w:val="000000"/>
                <w:sz w:val="20"/>
                <w:szCs w:val="20"/>
              </w:rPr>
            </w:pPr>
          </w:p>
          <w:p w14:paraId="3C636D0B" w14:textId="77777777" w:rsidR="001C5BE6" w:rsidRPr="001C5BE6" w:rsidRDefault="009137DC" w:rsidP="001C5BE6">
            <w:pPr>
              <w:pStyle w:val="ListParagraph"/>
              <w:widowControl w:val="0"/>
              <w:numPr>
                <w:ilvl w:val="0"/>
                <w:numId w:val="1"/>
              </w:numPr>
              <w:rPr>
                <w:b/>
                <w:color w:val="000000"/>
                <w:sz w:val="20"/>
                <w:szCs w:val="20"/>
              </w:rPr>
            </w:pPr>
            <w:r w:rsidRPr="009137DC">
              <w:rPr>
                <w:b/>
                <w:color w:val="000000"/>
                <w:sz w:val="20"/>
                <w:szCs w:val="20"/>
              </w:rPr>
              <w:t xml:space="preserve">Segregated </w:t>
            </w:r>
            <w:r>
              <w:rPr>
                <w:b/>
                <w:color w:val="000000"/>
                <w:sz w:val="20"/>
                <w:szCs w:val="20"/>
              </w:rPr>
              <w:t xml:space="preserve">and abnormal </w:t>
            </w:r>
            <w:r w:rsidRPr="009137DC">
              <w:rPr>
                <w:b/>
                <w:color w:val="000000"/>
                <w:sz w:val="20"/>
                <w:szCs w:val="20"/>
              </w:rPr>
              <w:t>accommodation provision for asylum seekers</w:t>
            </w:r>
            <w:r>
              <w:rPr>
                <w:b/>
                <w:color w:val="000000"/>
                <w:sz w:val="20"/>
                <w:szCs w:val="20"/>
              </w:rPr>
              <w:t xml:space="preserve"> </w:t>
            </w:r>
            <w:r w:rsidR="001C5BE6" w:rsidRPr="001C5BE6">
              <w:rPr>
                <w:b/>
                <w:color w:val="000000"/>
                <w:sz w:val="20"/>
                <w:szCs w:val="20"/>
              </w:rPr>
              <w:t>(Art. 3 &amp; Art. 5(e)(iii) CERD)</w:t>
            </w:r>
          </w:p>
          <w:p w14:paraId="06860193" w14:textId="34585937" w:rsidR="009137DC" w:rsidRPr="009137DC" w:rsidRDefault="009137DC" w:rsidP="009137DC">
            <w:pPr>
              <w:pStyle w:val="ListParagraph"/>
              <w:widowControl w:val="0"/>
              <w:ind w:left="742"/>
              <w:rPr>
                <w:color w:val="000000"/>
                <w:sz w:val="20"/>
                <w:szCs w:val="20"/>
              </w:rPr>
            </w:pPr>
          </w:p>
          <w:p w14:paraId="27CE109F" w14:textId="77777777" w:rsidR="001C5BE6" w:rsidRPr="001C5BE6" w:rsidRDefault="003B3444" w:rsidP="001C5BE6">
            <w:pPr>
              <w:widowControl w:val="0"/>
              <w:ind w:left="22"/>
              <w:jc w:val="both"/>
              <w:rPr>
                <w:color w:val="000000"/>
                <w:sz w:val="20"/>
                <w:szCs w:val="20"/>
              </w:rPr>
            </w:pPr>
            <w:r w:rsidRPr="003B3444">
              <w:rPr>
                <w:color w:val="000000"/>
                <w:sz w:val="20"/>
                <w:szCs w:val="20"/>
              </w:rPr>
              <w:t xml:space="preserve">As of </w:t>
            </w:r>
            <w:r w:rsidR="00314450">
              <w:rPr>
                <w:color w:val="000000"/>
                <w:sz w:val="20"/>
                <w:szCs w:val="20"/>
              </w:rPr>
              <w:t>July 2017</w:t>
            </w:r>
            <w:r w:rsidRPr="003B3444">
              <w:rPr>
                <w:color w:val="000000"/>
                <w:sz w:val="20"/>
                <w:szCs w:val="20"/>
              </w:rPr>
              <w:t>, there are 6,</w:t>
            </w:r>
            <w:r w:rsidR="00314450">
              <w:rPr>
                <w:color w:val="000000"/>
                <w:sz w:val="20"/>
                <w:szCs w:val="20"/>
              </w:rPr>
              <w:t>082</w:t>
            </w:r>
            <w:r w:rsidRPr="003B3444">
              <w:rPr>
                <w:color w:val="000000"/>
                <w:sz w:val="20"/>
                <w:szCs w:val="20"/>
              </w:rPr>
              <w:t xml:space="preserve"> </w:t>
            </w:r>
            <w:r w:rsidR="00314450">
              <w:rPr>
                <w:color w:val="000000"/>
                <w:sz w:val="20"/>
                <w:szCs w:val="20"/>
              </w:rPr>
              <w:t>asylum seekers in direct provision accommodation. Of these 700 persons have been granted protection or residence status.</w:t>
            </w:r>
            <w:r w:rsidR="00314450">
              <w:rPr>
                <w:rStyle w:val="FootnoteReference"/>
                <w:color w:val="000000"/>
                <w:sz w:val="20"/>
                <w:szCs w:val="20"/>
              </w:rPr>
              <w:footnoteReference w:id="12"/>
            </w:r>
            <w:r w:rsidRPr="003B3444">
              <w:rPr>
                <w:color w:val="000000"/>
                <w:sz w:val="20"/>
                <w:szCs w:val="20"/>
              </w:rPr>
              <w:t xml:space="preserve"> Despite the significant criticisms levelled at communal living, a substantive shift away from the institutionalised nature of shelter and accommodation for asylum applicants has never been </w:t>
            </w:r>
            <w:r w:rsidR="00314450">
              <w:rPr>
                <w:color w:val="000000"/>
                <w:sz w:val="20"/>
                <w:szCs w:val="20"/>
              </w:rPr>
              <w:t xml:space="preserve">fully </w:t>
            </w:r>
            <w:r w:rsidRPr="003B3444">
              <w:rPr>
                <w:color w:val="000000"/>
                <w:sz w:val="20"/>
                <w:szCs w:val="20"/>
              </w:rPr>
              <w:t>considered</w:t>
            </w:r>
            <w:r w:rsidR="00314450">
              <w:rPr>
                <w:color w:val="000000"/>
                <w:sz w:val="20"/>
                <w:szCs w:val="20"/>
              </w:rPr>
              <w:t xml:space="preserve"> by Ireland.</w:t>
            </w:r>
            <w:r w:rsidR="00314450">
              <w:rPr>
                <w:rStyle w:val="FootnoteReference"/>
                <w:color w:val="000000"/>
                <w:sz w:val="20"/>
                <w:szCs w:val="20"/>
              </w:rPr>
              <w:footnoteReference w:id="13"/>
            </w:r>
            <w:r w:rsidR="00314450">
              <w:rPr>
                <w:color w:val="000000"/>
                <w:sz w:val="20"/>
                <w:szCs w:val="20"/>
              </w:rPr>
              <w:t xml:space="preserve"> </w:t>
            </w:r>
            <w:r w:rsidR="002C662B">
              <w:rPr>
                <w:color w:val="000000"/>
                <w:sz w:val="20"/>
                <w:szCs w:val="20"/>
              </w:rPr>
              <w:t>The former Ombudsman and the Irish Human Rights and Equality Commission and, have emphasised the need for a very time-limited communal accommodation system</w:t>
            </w:r>
            <w:r w:rsidR="002C662B" w:rsidRPr="002C662B">
              <w:rPr>
                <w:color w:val="000000"/>
                <w:sz w:val="20"/>
                <w:szCs w:val="20"/>
              </w:rPr>
              <w:t>.</w:t>
            </w:r>
            <w:r w:rsidR="002C662B" w:rsidRPr="002C662B">
              <w:rPr>
                <w:color w:val="000000"/>
                <w:sz w:val="20"/>
                <w:szCs w:val="20"/>
                <w:vertAlign w:val="superscript"/>
              </w:rPr>
              <w:footnoteReference w:id="14"/>
            </w:r>
            <w:r w:rsidR="002C662B">
              <w:rPr>
                <w:color w:val="000000"/>
                <w:sz w:val="20"/>
                <w:szCs w:val="20"/>
              </w:rPr>
              <w:t xml:space="preserve"> T</w:t>
            </w:r>
            <w:r w:rsidR="002C662B" w:rsidRPr="002C662B">
              <w:rPr>
                <w:color w:val="000000"/>
                <w:sz w:val="20"/>
                <w:szCs w:val="20"/>
              </w:rPr>
              <w:t>he Special Rapporteur for Children</w:t>
            </w:r>
            <w:r w:rsidR="002C662B">
              <w:rPr>
                <w:color w:val="000000"/>
                <w:sz w:val="20"/>
                <w:szCs w:val="20"/>
              </w:rPr>
              <w:t xml:space="preserve"> has called for the abolition of direct provision given its significant impact on rights to private and family life.</w:t>
            </w:r>
            <w:r w:rsidR="002C662B">
              <w:rPr>
                <w:rStyle w:val="FootnoteReference"/>
                <w:color w:val="000000"/>
                <w:sz w:val="20"/>
                <w:szCs w:val="20"/>
              </w:rPr>
              <w:footnoteReference w:id="15"/>
            </w:r>
            <w:r w:rsidR="002C662B">
              <w:rPr>
                <w:color w:val="000000"/>
                <w:sz w:val="20"/>
                <w:szCs w:val="20"/>
              </w:rPr>
              <w:t xml:space="preserve"> The most intimate aspects of life, when to eat and what to eat, what to cook, who one should share their personal space with, are all grievously violated by the system of direct provision. Acknowledging, that about 1/3 of asylum applicants now have facilities to cook for themselves,</w:t>
            </w:r>
            <w:r w:rsidR="002C662B">
              <w:rPr>
                <w:rStyle w:val="FootnoteReference"/>
                <w:color w:val="000000"/>
                <w:sz w:val="20"/>
                <w:szCs w:val="20"/>
              </w:rPr>
              <w:footnoteReference w:id="16"/>
            </w:r>
            <w:r w:rsidR="002C662B">
              <w:rPr>
                <w:color w:val="000000"/>
                <w:sz w:val="20"/>
                <w:szCs w:val="20"/>
              </w:rPr>
              <w:t xml:space="preserve"> this does not address the fact that the thirty-nine accommodation centres are situated, in the main, away and apart from the population. That recently introduced standards may benefit asylum seekers in two years’ time, misses the significant point regarding how rights violating such standards have the potential to be, when a person is subjected to mass communal living for significant periods of time. As of 9</w:t>
            </w:r>
            <w:r w:rsidR="002C662B" w:rsidRPr="002C662B">
              <w:rPr>
                <w:color w:val="000000"/>
                <w:sz w:val="20"/>
                <w:szCs w:val="20"/>
                <w:vertAlign w:val="superscript"/>
              </w:rPr>
              <w:t>th</w:t>
            </w:r>
            <w:r w:rsidR="002C662B">
              <w:rPr>
                <w:color w:val="000000"/>
                <w:sz w:val="20"/>
                <w:szCs w:val="20"/>
              </w:rPr>
              <w:t xml:space="preserve"> July 2019, over 59% of persons have been in direct provision for 12 months or more, with over 23% of persons in direct provision for more than three years.</w:t>
            </w:r>
            <w:r w:rsidR="002C662B">
              <w:rPr>
                <w:rStyle w:val="FootnoteReference"/>
                <w:color w:val="000000"/>
                <w:sz w:val="20"/>
                <w:szCs w:val="20"/>
              </w:rPr>
              <w:footnoteReference w:id="17"/>
            </w:r>
            <w:r w:rsidR="002C662B">
              <w:rPr>
                <w:color w:val="000000"/>
                <w:sz w:val="20"/>
                <w:szCs w:val="20"/>
              </w:rPr>
              <w:t xml:space="preserve"> The </w:t>
            </w:r>
            <w:r w:rsidR="002C662B" w:rsidRPr="002C662B">
              <w:rPr>
                <w:color w:val="000000"/>
                <w:sz w:val="20"/>
                <w:szCs w:val="20"/>
              </w:rPr>
              <w:t>August 2019 commitment</w:t>
            </w:r>
            <w:r w:rsidR="002C662B">
              <w:rPr>
                <w:color w:val="000000"/>
                <w:sz w:val="20"/>
                <w:szCs w:val="20"/>
              </w:rPr>
              <w:t xml:space="preserve"> for an interdepartmental review,</w:t>
            </w:r>
            <w:r w:rsidR="002C662B" w:rsidRPr="002C662B">
              <w:rPr>
                <w:color w:val="000000"/>
                <w:sz w:val="20"/>
                <w:szCs w:val="20"/>
              </w:rPr>
              <w:t xml:space="preserve"> </w:t>
            </w:r>
            <w:r w:rsidR="002C662B">
              <w:rPr>
                <w:color w:val="000000"/>
                <w:sz w:val="20"/>
                <w:szCs w:val="20"/>
              </w:rPr>
              <w:t>should substantively examine alternatives to communal accommodation provision for persons seeking asylum</w:t>
            </w:r>
            <w:r w:rsidR="002C662B" w:rsidRPr="002C662B">
              <w:rPr>
                <w:color w:val="000000"/>
                <w:sz w:val="20"/>
                <w:szCs w:val="20"/>
              </w:rPr>
              <w:t xml:space="preserve">.  </w:t>
            </w:r>
            <w:r w:rsidR="001C5BE6" w:rsidRPr="001C5BE6">
              <w:rPr>
                <w:color w:val="000000"/>
                <w:sz w:val="20"/>
                <w:szCs w:val="20"/>
              </w:rPr>
              <w:t xml:space="preserve">In </w:t>
            </w:r>
            <w:r w:rsidR="001C5BE6" w:rsidRPr="001C5BE6">
              <w:rPr>
                <w:i/>
                <w:color w:val="000000"/>
                <w:sz w:val="20"/>
                <w:szCs w:val="20"/>
              </w:rPr>
              <w:t>X and X (no. 1)</w:t>
            </w:r>
            <w:r w:rsidR="001C5BE6" w:rsidRPr="001C5BE6">
              <w:rPr>
                <w:color w:val="000000"/>
                <w:sz w:val="20"/>
                <w:szCs w:val="20"/>
              </w:rPr>
              <w:t>,</w:t>
            </w:r>
            <w:r w:rsidR="001C5BE6" w:rsidRPr="001C5BE6">
              <w:rPr>
                <w:color w:val="000000"/>
                <w:sz w:val="20"/>
                <w:szCs w:val="20"/>
                <w:vertAlign w:val="superscript"/>
              </w:rPr>
              <w:footnoteReference w:id="18"/>
            </w:r>
            <w:r w:rsidR="001C5BE6" w:rsidRPr="001C5BE6">
              <w:rPr>
                <w:color w:val="000000"/>
                <w:sz w:val="20"/>
                <w:szCs w:val="20"/>
              </w:rPr>
              <w:t xml:space="preserve"> the failure of the Department of Justice to provide accommodation and other material reception conditions to persons seeking protection for a period of five weeks, was declared to a be a breach of Reg. 4 of the 2018 Regulations.</w:t>
            </w:r>
            <w:r w:rsidR="001C5BE6" w:rsidRPr="001C5BE6">
              <w:rPr>
                <w:color w:val="000000"/>
                <w:sz w:val="20"/>
                <w:szCs w:val="20"/>
                <w:vertAlign w:val="superscript"/>
              </w:rPr>
              <w:footnoteReference w:id="19"/>
            </w:r>
            <w:r w:rsidR="001C5BE6" w:rsidRPr="001C5BE6">
              <w:rPr>
                <w:color w:val="000000"/>
                <w:sz w:val="20"/>
                <w:szCs w:val="20"/>
              </w:rPr>
              <w:t xml:space="preserve"> Damages of €</w:t>
            </w:r>
            <w:proofErr w:type="gramStart"/>
            <w:r w:rsidR="001C5BE6" w:rsidRPr="001C5BE6">
              <w:rPr>
                <w:color w:val="000000"/>
                <w:sz w:val="20"/>
                <w:szCs w:val="20"/>
              </w:rPr>
              <w:t>1,500  or</w:t>
            </w:r>
            <w:proofErr w:type="gramEnd"/>
            <w:r w:rsidR="001C5BE6" w:rsidRPr="001C5BE6">
              <w:rPr>
                <w:color w:val="000000"/>
                <w:sz w:val="20"/>
                <w:szCs w:val="20"/>
              </w:rPr>
              <w:t xml:space="preserve"> €750 each were awarded for this breach.</w:t>
            </w:r>
            <w:r w:rsidR="001C5BE6" w:rsidRPr="001C5BE6">
              <w:rPr>
                <w:color w:val="000000"/>
                <w:sz w:val="20"/>
                <w:szCs w:val="20"/>
                <w:vertAlign w:val="superscript"/>
              </w:rPr>
              <w:footnoteReference w:id="20"/>
            </w:r>
          </w:p>
          <w:p w14:paraId="6F232138" w14:textId="4A5624ED" w:rsidR="003B3444" w:rsidRPr="003B3444" w:rsidRDefault="003B3444" w:rsidP="002C662B">
            <w:pPr>
              <w:widowControl w:val="0"/>
              <w:ind w:left="22"/>
              <w:jc w:val="both"/>
              <w:rPr>
                <w:color w:val="000000"/>
                <w:sz w:val="20"/>
                <w:szCs w:val="20"/>
              </w:rPr>
            </w:pPr>
          </w:p>
          <w:p w14:paraId="31BE4393" w14:textId="701053D2" w:rsidR="003B3444" w:rsidRDefault="003B3444" w:rsidP="003B3444">
            <w:pPr>
              <w:widowControl w:val="0"/>
              <w:ind w:left="22"/>
              <w:rPr>
                <w:color w:val="000000"/>
                <w:sz w:val="20"/>
                <w:szCs w:val="20"/>
              </w:rPr>
            </w:pPr>
          </w:p>
          <w:p w14:paraId="3D6C94A1" w14:textId="12548438" w:rsidR="009137DC" w:rsidRPr="009137DC" w:rsidRDefault="009137DC" w:rsidP="009137DC">
            <w:pPr>
              <w:pStyle w:val="ListParagraph"/>
              <w:widowControl w:val="0"/>
              <w:numPr>
                <w:ilvl w:val="0"/>
                <w:numId w:val="1"/>
              </w:numPr>
              <w:rPr>
                <w:b/>
                <w:color w:val="000000"/>
                <w:sz w:val="20"/>
                <w:szCs w:val="20"/>
              </w:rPr>
            </w:pPr>
            <w:r w:rsidRPr="009137DC">
              <w:rPr>
                <w:b/>
                <w:color w:val="000000"/>
                <w:sz w:val="20"/>
                <w:szCs w:val="20"/>
              </w:rPr>
              <w:t>the use of ‘emergency accommodation’ for asylum seekers</w:t>
            </w:r>
            <w:r>
              <w:rPr>
                <w:b/>
                <w:color w:val="000000"/>
                <w:sz w:val="20"/>
                <w:szCs w:val="20"/>
              </w:rPr>
              <w:t xml:space="preserve"> (</w:t>
            </w:r>
            <w:r w:rsidR="001C5BE6">
              <w:rPr>
                <w:b/>
                <w:color w:val="000000"/>
                <w:sz w:val="20"/>
                <w:szCs w:val="20"/>
              </w:rPr>
              <w:t xml:space="preserve">Art. 3 &amp; </w:t>
            </w:r>
            <w:r>
              <w:rPr>
                <w:b/>
                <w:color w:val="000000"/>
                <w:sz w:val="20"/>
                <w:szCs w:val="20"/>
              </w:rPr>
              <w:t>Art. 5</w:t>
            </w:r>
            <w:r w:rsidR="001C5BE6">
              <w:rPr>
                <w:b/>
                <w:color w:val="000000"/>
                <w:sz w:val="20"/>
                <w:szCs w:val="20"/>
              </w:rPr>
              <w:t>(e)(iii) CERD</w:t>
            </w:r>
            <w:r>
              <w:rPr>
                <w:b/>
                <w:color w:val="000000"/>
                <w:sz w:val="20"/>
                <w:szCs w:val="20"/>
              </w:rPr>
              <w:t>)</w:t>
            </w:r>
          </w:p>
          <w:p w14:paraId="6F8CD3A4" w14:textId="77777777" w:rsidR="009137DC" w:rsidRPr="009137DC" w:rsidRDefault="009137DC" w:rsidP="009137DC">
            <w:pPr>
              <w:pStyle w:val="ListParagraph"/>
              <w:widowControl w:val="0"/>
              <w:ind w:left="742"/>
              <w:rPr>
                <w:color w:val="000000"/>
                <w:sz w:val="20"/>
                <w:szCs w:val="20"/>
              </w:rPr>
            </w:pPr>
          </w:p>
          <w:p w14:paraId="72DE748A" w14:textId="1BBBE19F" w:rsidR="00314450" w:rsidRDefault="001C5BE6" w:rsidP="001C5BE6">
            <w:pPr>
              <w:widowControl w:val="0"/>
              <w:ind w:left="22"/>
              <w:jc w:val="both"/>
              <w:rPr>
                <w:color w:val="000000"/>
                <w:sz w:val="20"/>
                <w:szCs w:val="20"/>
              </w:rPr>
            </w:pPr>
            <w:r w:rsidRPr="001C5BE6">
              <w:rPr>
                <w:color w:val="000000"/>
                <w:sz w:val="20"/>
                <w:szCs w:val="20"/>
              </w:rPr>
              <w:t xml:space="preserve">The commencement of the 2018 Regulations coincided with the exhaustion of accommodation capacity </w:t>
            </w:r>
            <w:r w:rsidRPr="001C5BE6">
              <w:rPr>
                <w:color w:val="000000"/>
                <w:sz w:val="20"/>
                <w:szCs w:val="20"/>
              </w:rPr>
              <w:lastRenderedPageBreak/>
              <w:t>in direct provision centres. For the first time since the introduction of the system of direct provision for protection applicants, some had to be placed in hotels and guesthouses. The legal obligation upon the Minister for Justice and Equality, is that use of such emergency accommodation is to be for “as short as possible” and the emergency accommodation must meet the basic needs of the international protection applicant.</w:t>
            </w:r>
            <w:r w:rsidRPr="001C5BE6">
              <w:rPr>
                <w:color w:val="000000"/>
                <w:sz w:val="20"/>
                <w:szCs w:val="20"/>
                <w:vertAlign w:val="superscript"/>
              </w:rPr>
              <w:footnoteReference w:id="21"/>
            </w:r>
            <w:r>
              <w:rPr>
                <w:color w:val="000000"/>
                <w:sz w:val="20"/>
                <w:szCs w:val="20"/>
              </w:rPr>
              <w:t xml:space="preserve"> </w:t>
            </w:r>
            <w:r w:rsidR="00314450" w:rsidRPr="00314450">
              <w:rPr>
                <w:color w:val="000000"/>
                <w:sz w:val="20"/>
                <w:szCs w:val="20"/>
              </w:rPr>
              <w:t>Direct provision accommodation centres are now at maximum capacity and there are over 1,000 protection applicants who are in emergency accommodation, in hotels and guesthouses, outside of the formal direct provision system.</w:t>
            </w:r>
            <w:r w:rsidR="00314450" w:rsidRPr="00314450">
              <w:rPr>
                <w:color w:val="000000"/>
                <w:sz w:val="20"/>
                <w:szCs w:val="20"/>
                <w:vertAlign w:val="superscript"/>
              </w:rPr>
              <w:footnoteReference w:id="22"/>
            </w:r>
            <w:r>
              <w:rPr>
                <w:color w:val="000000"/>
                <w:sz w:val="20"/>
                <w:szCs w:val="20"/>
              </w:rPr>
              <w:t xml:space="preserve"> The slight increase in persons seeking asylum were predicted by the McMahon Report in 2014.</w:t>
            </w:r>
            <w:r>
              <w:rPr>
                <w:rStyle w:val="FootnoteReference"/>
                <w:color w:val="000000"/>
                <w:sz w:val="20"/>
                <w:szCs w:val="20"/>
              </w:rPr>
              <w:footnoteReference w:id="23"/>
            </w:r>
            <w:r>
              <w:rPr>
                <w:color w:val="000000"/>
                <w:sz w:val="20"/>
                <w:szCs w:val="20"/>
              </w:rPr>
              <w:t xml:space="preserve"> Reports from the Movement of Asylum Seekers in Ireland (MASI) have noted significant concerns with emergency accommodation, with persons not having access to laundry facilities, persons having very restricted eating times, emergency accommodation providers imposing curfews on grown men and women, along with reports of shouting at persons by proprietors of emergency accommodation.</w:t>
            </w:r>
            <w:r>
              <w:rPr>
                <w:rStyle w:val="FootnoteReference"/>
                <w:color w:val="000000"/>
                <w:sz w:val="20"/>
                <w:szCs w:val="20"/>
              </w:rPr>
              <w:footnoteReference w:id="24"/>
            </w:r>
            <w:r>
              <w:rPr>
                <w:color w:val="000000"/>
                <w:sz w:val="20"/>
                <w:szCs w:val="20"/>
              </w:rPr>
              <w:t xml:space="preserve"> </w:t>
            </w:r>
          </w:p>
          <w:p w14:paraId="23A3A598" w14:textId="77777777" w:rsidR="00314450" w:rsidRDefault="00314450" w:rsidP="003B3444">
            <w:pPr>
              <w:widowControl w:val="0"/>
              <w:ind w:left="22"/>
              <w:rPr>
                <w:color w:val="000000"/>
                <w:sz w:val="20"/>
                <w:szCs w:val="20"/>
              </w:rPr>
            </w:pPr>
          </w:p>
          <w:p w14:paraId="27C4EB67" w14:textId="77777777" w:rsidR="003B3444" w:rsidRPr="003B3444" w:rsidRDefault="003B3444" w:rsidP="003B3444">
            <w:pPr>
              <w:widowControl w:val="0"/>
              <w:ind w:left="22"/>
              <w:rPr>
                <w:color w:val="000000"/>
                <w:sz w:val="20"/>
                <w:szCs w:val="20"/>
              </w:rPr>
            </w:pPr>
          </w:p>
          <w:p w14:paraId="3334A797" w14:textId="0AFACE57" w:rsidR="003B3444" w:rsidRDefault="003B3444" w:rsidP="003B3444">
            <w:pPr>
              <w:widowControl w:val="0"/>
              <w:ind w:left="22"/>
              <w:rPr>
                <w:color w:val="000000"/>
                <w:sz w:val="20"/>
                <w:szCs w:val="20"/>
              </w:rPr>
            </w:pPr>
          </w:p>
          <w:p w14:paraId="52CA98A0" w14:textId="50F5E393" w:rsidR="009137DC" w:rsidRPr="009137DC" w:rsidRDefault="009137DC" w:rsidP="009137DC">
            <w:pPr>
              <w:pStyle w:val="ListParagraph"/>
              <w:widowControl w:val="0"/>
              <w:numPr>
                <w:ilvl w:val="0"/>
                <w:numId w:val="1"/>
              </w:numPr>
              <w:rPr>
                <w:b/>
                <w:color w:val="000000"/>
                <w:sz w:val="20"/>
                <w:szCs w:val="20"/>
              </w:rPr>
            </w:pPr>
            <w:r w:rsidRPr="009137DC">
              <w:rPr>
                <w:b/>
                <w:color w:val="000000"/>
                <w:sz w:val="20"/>
                <w:szCs w:val="20"/>
              </w:rPr>
              <w:t>the differential social assistance rates between asylum seekers and others in Ireland</w:t>
            </w:r>
            <w:r>
              <w:rPr>
                <w:b/>
                <w:color w:val="000000"/>
                <w:sz w:val="20"/>
                <w:szCs w:val="20"/>
              </w:rPr>
              <w:t xml:space="preserve"> (Art. </w:t>
            </w:r>
            <w:r w:rsidR="009C4DA9">
              <w:rPr>
                <w:b/>
                <w:color w:val="000000"/>
                <w:sz w:val="20"/>
                <w:szCs w:val="20"/>
              </w:rPr>
              <w:t>5(e)(iv) CERD</w:t>
            </w:r>
            <w:r>
              <w:rPr>
                <w:b/>
                <w:color w:val="000000"/>
                <w:sz w:val="20"/>
                <w:szCs w:val="20"/>
              </w:rPr>
              <w:t>)</w:t>
            </w:r>
          </w:p>
          <w:p w14:paraId="22CE9718" w14:textId="77777777" w:rsidR="009137DC" w:rsidRPr="009137DC" w:rsidRDefault="009137DC" w:rsidP="009137DC">
            <w:pPr>
              <w:pStyle w:val="ListParagraph"/>
              <w:widowControl w:val="0"/>
              <w:ind w:left="742"/>
              <w:rPr>
                <w:color w:val="000000"/>
                <w:sz w:val="20"/>
                <w:szCs w:val="20"/>
              </w:rPr>
            </w:pPr>
          </w:p>
          <w:p w14:paraId="0A47D4FC" w14:textId="778D3C9D" w:rsidR="003B3444" w:rsidRDefault="003B3444" w:rsidP="009C4DA9">
            <w:pPr>
              <w:widowControl w:val="0"/>
              <w:ind w:left="22"/>
              <w:jc w:val="both"/>
              <w:rPr>
                <w:color w:val="000000"/>
                <w:sz w:val="20"/>
                <w:szCs w:val="20"/>
              </w:rPr>
            </w:pPr>
            <w:r w:rsidRPr="003B3444">
              <w:rPr>
                <w:color w:val="000000"/>
                <w:sz w:val="20"/>
                <w:szCs w:val="20"/>
              </w:rPr>
              <w:t xml:space="preserve">Since March 2019, </w:t>
            </w:r>
            <w:r w:rsidR="00EE6B5F">
              <w:rPr>
                <w:color w:val="000000"/>
                <w:sz w:val="20"/>
                <w:szCs w:val="20"/>
              </w:rPr>
              <w:t xml:space="preserve">the </w:t>
            </w:r>
            <w:r w:rsidRPr="003B3444">
              <w:rPr>
                <w:color w:val="000000"/>
                <w:sz w:val="20"/>
                <w:szCs w:val="20"/>
              </w:rPr>
              <w:t>weekly payment</w:t>
            </w:r>
            <w:r w:rsidR="00EE6B5F">
              <w:rPr>
                <w:color w:val="000000"/>
                <w:sz w:val="20"/>
                <w:szCs w:val="20"/>
              </w:rPr>
              <w:t xml:space="preserve"> for asylum seekers has increased to</w:t>
            </w:r>
            <w:r w:rsidRPr="003B3444">
              <w:rPr>
                <w:color w:val="000000"/>
                <w:sz w:val="20"/>
                <w:szCs w:val="20"/>
              </w:rPr>
              <w:t xml:space="preserve"> €38.74 per week for adults, and €29.80 per week for each child </w:t>
            </w:r>
            <w:r w:rsidR="00EE6B5F">
              <w:rPr>
                <w:color w:val="000000"/>
                <w:sz w:val="20"/>
                <w:szCs w:val="20"/>
              </w:rPr>
              <w:t>to persons</w:t>
            </w:r>
            <w:r w:rsidRPr="003B3444">
              <w:rPr>
                <w:color w:val="000000"/>
                <w:sz w:val="20"/>
                <w:szCs w:val="20"/>
              </w:rPr>
              <w:t xml:space="preserve"> who reside in communal direct provision accommodation centres.</w:t>
            </w:r>
            <w:r w:rsidRPr="003B3444">
              <w:rPr>
                <w:color w:val="000000"/>
                <w:sz w:val="20"/>
                <w:szCs w:val="20"/>
                <w:vertAlign w:val="superscript"/>
              </w:rPr>
              <w:footnoteReference w:id="25"/>
            </w:r>
            <w:r w:rsidRPr="003B3444">
              <w:rPr>
                <w:color w:val="000000"/>
                <w:sz w:val="20"/>
                <w:szCs w:val="20"/>
              </w:rPr>
              <w:t xml:space="preserve"> Usually, two payments of €100 are provided every six months to protection seekers in direct provision accommodation, so as to enable purchase of clothing, through an ‘exceptional needs payment’.</w:t>
            </w:r>
            <w:r w:rsidRPr="003B3444">
              <w:rPr>
                <w:color w:val="000000"/>
                <w:sz w:val="20"/>
                <w:szCs w:val="20"/>
                <w:vertAlign w:val="superscript"/>
              </w:rPr>
              <w:footnoteReference w:id="26"/>
            </w:r>
            <w:r w:rsidRPr="003B3444">
              <w:rPr>
                <w:color w:val="000000"/>
                <w:sz w:val="20"/>
                <w:szCs w:val="20"/>
              </w:rPr>
              <w:t xml:space="preserve"> Persons seeking </w:t>
            </w:r>
            <w:r w:rsidR="001C5BE6">
              <w:rPr>
                <w:color w:val="000000"/>
                <w:sz w:val="20"/>
                <w:szCs w:val="20"/>
              </w:rPr>
              <w:t>asylum</w:t>
            </w:r>
            <w:r w:rsidRPr="003B3444">
              <w:rPr>
                <w:color w:val="000000"/>
                <w:sz w:val="20"/>
                <w:szCs w:val="20"/>
              </w:rPr>
              <w:t xml:space="preserve"> who do not reside in direct provision accommodation centres are not entitled to these payments. </w:t>
            </w:r>
            <w:r w:rsidR="001C5BE6">
              <w:rPr>
                <w:color w:val="000000"/>
                <w:sz w:val="20"/>
                <w:szCs w:val="20"/>
              </w:rPr>
              <w:t xml:space="preserve"> Asylum seekers </w:t>
            </w:r>
            <w:r w:rsidRPr="003B3444">
              <w:rPr>
                <w:color w:val="000000"/>
                <w:sz w:val="20"/>
                <w:szCs w:val="20"/>
              </w:rPr>
              <w:t>cannot qualify for any other social assistance payment in Ireland, due to the habitual residence requirement in Irish social welfare law.</w:t>
            </w:r>
            <w:r w:rsidRPr="003B3444">
              <w:rPr>
                <w:color w:val="000000"/>
                <w:sz w:val="20"/>
                <w:szCs w:val="20"/>
                <w:vertAlign w:val="superscript"/>
              </w:rPr>
              <w:footnoteReference w:id="27"/>
            </w:r>
            <w:r w:rsidRPr="003B3444">
              <w:rPr>
                <w:color w:val="000000"/>
                <w:sz w:val="20"/>
                <w:szCs w:val="20"/>
              </w:rPr>
              <w:t xml:space="preserve"> This worryingly includes asylum seekers being denied access </w:t>
            </w:r>
            <w:r w:rsidR="001C5BE6">
              <w:rPr>
                <w:color w:val="000000"/>
                <w:sz w:val="20"/>
                <w:szCs w:val="20"/>
              </w:rPr>
              <w:t>to</w:t>
            </w:r>
            <w:r w:rsidRPr="003B3444">
              <w:rPr>
                <w:color w:val="000000"/>
                <w:sz w:val="20"/>
                <w:szCs w:val="20"/>
              </w:rPr>
              <w:t xml:space="preserve"> child benefit, as this benefit is denied to persons, including asylum seekers, who are not habitually resident. </w:t>
            </w:r>
            <w:proofErr w:type="gramStart"/>
            <w:r w:rsidRPr="003B3444">
              <w:rPr>
                <w:color w:val="000000"/>
                <w:sz w:val="20"/>
                <w:szCs w:val="20"/>
              </w:rPr>
              <w:t>The rate of child benefit,</w:t>
            </w:r>
            <w:proofErr w:type="gramEnd"/>
            <w:r w:rsidRPr="003B3444">
              <w:rPr>
                <w:color w:val="000000"/>
                <w:sz w:val="20"/>
                <w:szCs w:val="20"/>
              </w:rPr>
              <w:t xml:space="preserve"> </w:t>
            </w:r>
            <w:r w:rsidR="001C5BE6">
              <w:rPr>
                <w:color w:val="000000"/>
                <w:sz w:val="20"/>
                <w:szCs w:val="20"/>
              </w:rPr>
              <w:t xml:space="preserve">is </w:t>
            </w:r>
            <w:r w:rsidRPr="003B3444">
              <w:rPr>
                <w:color w:val="000000"/>
                <w:sz w:val="20"/>
                <w:szCs w:val="20"/>
              </w:rPr>
              <w:t>generally €140 per child per month.</w:t>
            </w:r>
            <w:r w:rsidRPr="003B3444">
              <w:rPr>
                <w:color w:val="000000"/>
                <w:sz w:val="20"/>
                <w:szCs w:val="20"/>
                <w:vertAlign w:val="superscript"/>
              </w:rPr>
              <w:footnoteReference w:id="28"/>
            </w:r>
            <w:r w:rsidRPr="003B3444">
              <w:rPr>
                <w:color w:val="000000"/>
                <w:sz w:val="20"/>
                <w:szCs w:val="20"/>
              </w:rPr>
              <w:t xml:space="preserve"> The extent of prolonged exposure to rates of social assistance well-below minimum social assistance rates for others within Irish society is deeply concerning.</w:t>
            </w:r>
            <w:r w:rsidR="00EE6B5F">
              <w:rPr>
                <w:color w:val="000000"/>
                <w:sz w:val="20"/>
                <w:szCs w:val="20"/>
              </w:rPr>
              <w:t xml:space="preserve"> </w:t>
            </w:r>
            <w:r w:rsidR="00EE6B5F" w:rsidRPr="00EE6B5F">
              <w:rPr>
                <w:color w:val="000000"/>
                <w:sz w:val="20"/>
                <w:szCs w:val="20"/>
              </w:rPr>
              <w:t>Acknowledging that accommodation and food needs are delivered directly to persons seeking protection, the rate of social assistance have nevertheless been described as “paltry” by Mr. Justice Max Barret, judge of the Irish High Court.</w:t>
            </w:r>
            <w:r w:rsidR="00EE6B5F" w:rsidRPr="00EE6B5F">
              <w:rPr>
                <w:color w:val="000000"/>
                <w:sz w:val="20"/>
                <w:szCs w:val="20"/>
                <w:vertAlign w:val="superscript"/>
              </w:rPr>
              <w:footnoteReference w:id="29"/>
            </w:r>
            <w:r w:rsidR="00EE6B5F" w:rsidRPr="00EE6B5F">
              <w:rPr>
                <w:color w:val="000000"/>
                <w:sz w:val="20"/>
                <w:szCs w:val="20"/>
              </w:rPr>
              <w:t xml:space="preserve"> </w:t>
            </w:r>
          </w:p>
          <w:p w14:paraId="00FAB9C1" w14:textId="6A15DC97" w:rsidR="00EE6B5F" w:rsidRDefault="00EE6B5F" w:rsidP="003B3444">
            <w:pPr>
              <w:widowControl w:val="0"/>
              <w:ind w:left="22"/>
              <w:rPr>
                <w:color w:val="000000"/>
                <w:sz w:val="20"/>
                <w:szCs w:val="20"/>
              </w:rPr>
            </w:pPr>
          </w:p>
          <w:p w14:paraId="63BC705C" w14:textId="7A82345C" w:rsidR="009137DC" w:rsidRPr="009137DC" w:rsidRDefault="009137DC" w:rsidP="009137DC">
            <w:pPr>
              <w:pStyle w:val="ListParagraph"/>
              <w:widowControl w:val="0"/>
              <w:numPr>
                <w:ilvl w:val="0"/>
                <w:numId w:val="1"/>
              </w:numPr>
              <w:rPr>
                <w:b/>
                <w:color w:val="000000"/>
                <w:sz w:val="20"/>
                <w:szCs w:val="20"/>
              </w:rPr>
            </w:pPr>
            <w:r w:rsidRPr="009137DC">
              <w:rPr>
                <w:b/>
                <w:color w:val="000000"/>
                <w:sz w:val="20"/>
                <w:szCs w:val="20"/>
              </w:rPr>
              <w:t>the limitations on right to work for asylum seekers</w:t>
            </w:r>
            <w:r>
              <w:rPr>
                <w:b/>
                <w:color w:val="000000"/>
                <w:sz w:val="20"/>
                <w:szCs w:val="20"/>
              </w:rPr>
              <w:t xml:space="preserve"> (Art. Xx) </w:t>
            </w:r>
          </w:p>
          <w:p w14:paraId="60FE32EB" w14:textId="77777777" w:rsidR="009137DC" w:rsidRPr="009137DC" w:rsidRDefault="009137DC" w:rsidP="009137DC">
            <w:pPr>
              <w:pStyle w:val="ListParagraph"/>
              <w:widowControl w:val="0"/>
              <w:ind w:left="742"/>
              <w:rPr>
                <w:color w:val="000000"/>
                <w:sz w:val="20"/>
                <w:szCs w:val="20"/>
              </w:rPr>
            </w:pPr>
          </w:p>
          <w:p w14:paraId="5CDCF1B5" w14:textId="7F9AFA9C" w:rsidR="00EE6B5F" w:rsidRPr="00EE6B5F" w:rsidRDefault="00EE6B5F" w:rsidP="009C4DA9">
            <w:pPr>
              <w:widowControl w:val="0"/>
              <w:ind w:left="22"/>
              <w:jc w:val="both"/>
              <w:rPr>
                <w:color w:val="000000"/>
                <w:sz w:val="20"/>
                <w:szCs w:val="20"/>
              </w:rPr>
            </w:pPr>
            <w:r w:rsidRPr="00EE6B5F">
              <w:rPr>
                <w:color w:val="000000"/>
                <w:sz w:val="20"/>
                <w:szCs w:val="20"/>
              </w:rPr>
              <w:t>Persons subject to procedures for removal to another EU country under the “Dublin system” are denied any right to enter the labour market, regardless of the time that they have been in Ireland. Whether this is permitted under the EU Reception Directive (Recast) will be determined by the Court of Justice of the European Union in the coming months.</w:t>
            </w:r>
            <w:r w:rsidRPr="00EE6B5F">
              <w:rPr>
                <w:color w:val="000000"/>
                <w:sz w:val="20"/>
                <w:szCs w:val="20"/>
                <w:vertAlign w:val="superscript"/>
              </w:rPr>
              <w:footnoteReference w:id="30"/>
            </w:r>
            <w:r>
              <w:rPr>
                <w:color w:val="000000"/>
                <w:sz w:val="20"/>
                <w:szCs w:val="20"/>
              </w:rPr>
              <w:t xml:space="preserve"> </w:t>
            </w:r>
            <w:r w:rsidRPr="00EE6B5F">
              <w:rPr>
                <w:color w:val="000000"/>
                <w:sz w:val="20"/>
                <w:szCs w:val="20"/>
              </w:rPr>
              <w:t xml:space="preserve">CERD Committee has previously indicated that ensuring a </w:t>
            </w:r>
            <w:r w:rsidRPr="00EE6B5F">
              <w:rPr>
                <w:color w:val="000000"/>
                <w:sz w:val="20"/>
                <w:szCs w:val="20"/>
              </w:rPr>
              <w:lastRenderedPageBreak/>
              <w:t>right to work within six months for asylum seekers is necessary.</w:t>
            </w:r>
            <w:r w:rsidRPr="00EE6B5F">
              <w:rPr>
                <w:color w:val="000000"/>
                <w:sz w:val="20"/>
                <w:szCs w:val="20"/>
                <w:vertAlign w:val="superscript"/>
              </w:rPr>
              <w:footnoteReference w:id="31"/>
            </w:r>
            <w:r w:rsidRPr="00EE6B5F">
              <w:rPr>
                <w:color w:val="000000"/>
                <w:sz w:val="20"/>
                <w:szCs w:val="20"/>
              </w:rPr>
              <w:t xml:space="preserve"> The CERD Committee has expressed concerns relating to lack of proper access to employment opportunities for persons seeking asylum.</w:t>
            </w:r>
            <w:r w:rsidRPr="00EE6B5F">
              <w:rPr>
                <w:color w:val="000000"/>
                <w:sz w:val="20"/>
                <w:szCs w:val="20"/>
                <w:vertAlign w:val="superscript"/>
              </w:rPr>
              <w:footnoteReference w:id="32"/>
            </w:r>
            <w:r w:rsidRPr="00EE6B5F">
              <w:rPr>
                <w:color w:val="000000"/>
                <w:sz w:val="20"/>
                <w:szCs w:val="20"/>
              </w:rPr>
              <w:t xml:space="preserve"> </w:t>
            </w:r>
            <w:r w:rsidR="009C4DA9">
              <w:rPr>
                <w:color w:val="000000"/>
                <w:sz w:val="20"/>
                <w:szCs w:val="20"/>
              </w:rPr>
              <w:t>Asylum seekers in Ireland are prohibited from being able to apply for any public sector job opportunity, so asylum seekers may only be employed in the private sector.</w:t>
            </w:r>
          </w:p>
          <w:p w14:paraId="0D18B8DC" w14:textId="77777777" w:rsidR="00EE6B5F" w:rsidRPr="003B3444" w:rsidRDefault="00EE6B5F" w:rsidP="003B3444">
            <w:pPr>
              <w:widowControl w:val="0"/>
              <w:ind w:left="22"/>
              <w:rPr>
                <w:color w:val="000000"/>
                <w:sz w:val="20"/>
                <w:szCs w:val="20"/>
              </w:rPr>
            </w:pPr>
          </w:p>
          <w:p w14:paraId="415D123D" w14:textId="58A873EE" w:rsidR="003B3444" w:rsidRPr="00495440" w:rsidRDefault="003B3444" w:rsidP="00174E51">
            <w:pPr>
              <w:widowControl w:val="0"/>
              <w:ind w:left="22"/>
              <w:rPr>
                <w:color w:val="000000"/>
                <w:sz w:val="20"/>
                <w:szCs w:val="20"/>
              </w:rPr>
            </w:pPr>
          </w:p>
        </w:tc>
      </w:tr>
      <w:tr w:rsidR="00342914" w:rsidRPr="00495440" w14:paraId="77C2AF0A" w14:textId="77777777" w:rsidTr="00174E51">
        <w:tc>
          <w:tcPr>
            <w:tcW w:w="9350" w:type="dxa"/>
          </w:tcPr>
          <w:p w14:paraId="02C20F2B" w14:textId="00B396F6" w:rsidR="00342914" w:rsidRDefault="00342914" w:rsidP="00342914">
            <w:pPr>
              <w:widowControl w:val="0"/>
              <w:pBdr>
                <w:top w:val="nil"/>
                <w:left w:val="nil"/>
                <w:bottom w:val="nil"/>
                <w:right w:val="nil"/>
                <w:between w:val="nil"/>
              </w:pBdr>
              <w:ind w:left="22" w:right="139"/>
              <w:rPr>
                <w:color w:val="002060"/>
                <w:sz w:val="20"/>
                <w:szCs w:val="20"/>
              </w:rPr>
            </w:pPr>
            <w:r w:rsidRPr="00495440">
              <w:rPr>
                <w:color w:val="002060"/>
                <w:sz w:val="20"/>
                <w:szCs w:val="20"/>
              </w:rPr>
              <w:lastRenderedPageBreak/>
              <w:t xml:space="preserve">■ Recommendations </w:t>
            </w:r>
          </w:p>
          <w:p w14:paraId="04B3197D" w14:textId="65E573C7" w:rsidR="009C4DA9" w:rsidRDefault="009C4DA9" w:rsidP="00342914">
            <w:pPr>
              <w:widowControl w:val="0"/>
              <w:pBdr>
                <w:top w:val="nil"/>
                <w:left w:val="nil"/>
                <w:bottom w:val="nil"/>
                <w:right w:val="nil"/>
                <w:between w:val="nil"/>
              </w:pBdr>
              <w:ind w:left="22" w:right="139"/>
              <w:rPr>
                <w:color w:val="002060"/>
                <w:sz w:val="20"/>
                <w:szCs w:val="20"/>
              </w:rPr>
            </w:pPr>
          </w:p>
          <w:p w14:paraId="2E977471" w14:textId="6D1FB4C3" w:rsidR="009C4DA9" w:rsidRDefault="009C4DA9" w:rsidP="006D710F">
            <w:pPr>
              <w:pStyle w:val="ListParagraph"/>
              <w:widowControl w:val="0"/>
              <w:numPr>
                <w:ilvl w:val="0"/>
                <w:numId w:val="3"/>
              </w:numPr>
              <w:pBdr>
                <w:top w:val="nil"/>
                <w:left w:val="nil"/>
                <w:bottom w:val="nil"/>
                <w:right w:val="nil"/>
                <w:between w:val="nil"/>
              </w:pBdr>
              <w:ind w:right="139"/>
              <w:rPr>
                <w:color w:val="002060"/>
                <w:sz w:val="20"/>
                <w:szCs w:val="20"/>
              </w:rPr>
            </w:pPr>
            <w:r>
              <w:rPr>
                <w:color w:val="002060"/>
                <w:sz w:val="20"/>
                <w:szCs w:val="20"/>
              </w:rPr>
              <w:t xml:space="preserve">Alternate solutions to accommodating persons seeking asylum and ensure persons are not exposed to prolonged communal living, </w:t>
            </w:r>
            <w:proofErr w:type="gramStart"/>
            <w:r>
              <w:rPr>
                <w:color w:val="002060"/>
                <w:sz w:val="20"/>
                <w:szCs w:val="20"/>
              </w:rPr>
              <w:t>so as to</w:t>
            </w:r>
            <w:proofErr w:type="gramEnd"/>
            <w:r>
              <w:rPr>
                <w:color w:val="002060"/>
                <w:sz w:val="20"/>
                <w:szCs w:val="20"/>
              </w:rPr>
              <w:t xml:space="preserve"> ensure full respect, protection and fulfilment of rights to shelter, private and family life and human dignity.</w:t>
            </w:r>
          </w:p>
          <w:p w14:paraId="68673BAF" w14:textId="63A3B234" w:rsidR="009C4DA9" w:rsidRDefault="009C4DA9" w:rsidP="006D710F">
            <w:pPr>
              <w:pStyle w:val="ListParagraph"/>
              <w:widowControl w:val="0"/>
              <w:numPr>
                <w:ilvl w:val="0"/>
                <w:numId w:val="3"/>
              </w:numPr>
              <w:pBdr>
                <w:top w:val="nil"/>
                <w:left w:val="nil"/>
                <w:bottom w:val="nil"/>
                <w:right w:val="nil"/>
                <w:between w:val="nil"/>
              </w:pBdr>
              <w:ind w:right="139"/>
              <w:rPr>
                <w:color w:val="002060"/>
                <w:sz w:val="20"/>
                <w:szCs w:val="20"/>
              </w:rPr>
            </w:pPr>
            <w:r>
              <w:rPr>
                <w:color w:val="002060"/>
                <w:sz w:val="20"/>
                <w:szCs w:val="20"/>
              </w:rPr>
              <w:t>Emergency accommodation should be used for only the most limited of time periods, and rights of persons seeking asylum should be fully vindicated.</w:t>
            </w:r>
          </w:p>
          <w:p w14:paraId="34C83B7A" w14:textId="5127CD0E" w:rsidR="009C4DA9" w:rsidRDefault="009C4DA9" w:rsidP="006D710F">
            <w:pPr>
              <w:pStyle w:val="ListParagraph"/>
              <w:widowControl w:val="0"/>
              <w:numPr>
                <w:ilvl w:val="0"/>
                <w:numId w:val="3"/>
              </w:numPr>
              <w:pBdr>
                <w:top w:val="nil"/>
                <w:left w:val="nil"/>
                <w:bottom w:val="nil"/>
                <w:right w:val="nil"/>
                <w:between w:val="nil"/>
              </w:pBdr>
              <w:ind w:right="139"/>
              <w:rPr>
                <w:color w:val="002060"/>
                <w:sz w:val="20"/>
                <w:szCs w:val="20"/>
              </w:rPr>
            </w:pPr>
            <w:r>
              <w:rPr>
                <w:color w:val="002060"/>
                <w:sz w:val="20"/>
                <w:szCs w:val="20"/>
              </w:rPr>
              <w:t>Rates of social assistance payments to asylum seekers must be based on comparable rates of social assistant payments to persons who are habitually resident in Ireland. All child asylum seekers must be entitled to child benefit.</w:t>
            </w:r>
          </w:p>
          <w:p w14:paraId="5EC508B8" w14:textId="7C2F9913" w:rsidR="009C4DA9" w:rsidRPr="009C4DA9" w:rsidRDefault="009C4DA9" w:rsidP="006D710F">
            <w:pPr>
              <w:pStyle w:val="ListParagraph"/>
              <w:widowControl w:val="0"/>
              <w:numPr>
                <w:ilvl w:val="0"/>
                <w:numId w:val="3"/>
              </w:numPr>
              <w:pBdr>
                <w:top w:val="nil"/>
                <w:left w:val="nil"/>
                <w:bottom w:val="nil"/>
                <w:right w:val="nil"/>
                <w:between w:val="nil"/>
              </w:pBdr>
              <w:ind w:right="139"/>
              <w:rPr>
                <w:color w:val="002060"/>
                <w:sz w:val="20"/>
                <w:szCs w:val="20"/>
              </w:rPr>
            </w:pPr>
            <w:r>
              <w:rPr>
                <w:color w:val="002060"/>
                <w:sz w:val="20"/>
                <w:szCs w:val="20"/>
              </w:rPr>
              <w:t xml:space="preserve">Asylum seekers should have a right to work after a period of no more than six months. Ireland should re-consider the prohibition on asylum seekers entering publicly funded employment. </w:t>
            </w:r>
          </w:p>
          <w:p w14:paraId="2F9B66C7" w14:textId="77777777" w:rsidR="00342914" w:rsidRPr="00495440" w:rsidRDefault="00342914" w:rsidP="00174E51">
            <w:pPr>
              <w:widowControl w:val="0"/>
              <w:pBdr>
                <w:top w:val="nil"/>
                <w:left w:val="nil"/>
                <w:bottom w:val="nil"/>
                <w:right w:val="nil"/>
                <w:between w:val="nil"/>
              </w:pBdr>
              <w:ind w:left="22" w:right="7823"/>
              <w:rPr>
                <w:color w:val="002060"/>
                <w:sz w:val="20"/>
                <w:szCs w:val="20"/>
              </w:rPr>
            </w:pPr>
          </w:p>
        </w:tc>
      </w:tr>
    </w:tbl>
    <w:p w14:paraId="38C33085" w14:textId="4CB75724" w:rsidR="00174E51" w:rsidRPr="00495440" w:rsidRDefault="00174E51">
      <w:pPr>
        <w:widowControl w:val="0"/>
        <w:pBdr>
          <w:top w:val="nil"/>
          <w:left w:val="nil"/>
          <w:bottom w:val="nil"/>
          <w:right w:val="nil"/>
          <w:between w:val="nil"/>
        </w:pBdr>
        <w:rPr>
          <w:color w:val="000000"/>
          <w:sz w:val="20"/>
          <w:szCs w:val="20"/>
        </w:rPr>
      </w:pPr>
    </w:p>
    <w:p w14:paraId="3695FD7E" w14:textId="2823CBB1" w:rsidR="00463B4C" w:rsidRPr="009C4DA9" w:rsidRDefault="00463B4C" w:rsidP="00342914">
      <w:pPr>
        <w:rPr>
          <w:color w:val="000000"/>
          <w:sz w:val="20"/>
          <w:szCs w:val="20"/>
        </w:rPr>
      </w:pPr>
    </w:p>
    <w:sectPr w:rsidR="00463B4C" w:rsidRPr="009C4DA9" w:rsidSect="005F3480">
      <w:footerReference w:type="default" r:id="rId10"/>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2F239" w14:textId="77777777" w:rsidR="00917DD2" w:rsidRDefault="00917DD2" w:rsidP="004E529E">
      <w:pPr>
        <w:spacing w:line="240" w:lineRule="auto"/>
      </w:pPr>
      <w:r>
        <w:separator/>
      </w:r>
    </w:p>
  </w:endnote>
  <w:endnote w:type="continuationSeparator" w:id="0">
    <w:p w14:paraId="52243630" w14:textId="77777777" w:rsidR="00917DD2" w:rsidRDefault="00917DD2" w:rsidP="004E52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FE0ED" w14:textId="7EB7BD52" w:rsidR="001C5BE6" w:rsidRDefault="001C5BE6">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6D6962" w14:textId="77777777" w:rsidR="00917DD2" w:rsidRDefault="00917DD2" w:rsidP="004E529E">
      <w:pPr>
        <w:spacing w:line="240" w:lineRule="auto"/>
      </w:pPr>
      <w:r>
        <w:separator/>
      </w:r>
    </w:p>
  </w:footnote>
  <w:footnote w:type="continuationSeparator" w:id="0">
    <w:p w14:paraId="16B09B74" w14:textId="77777777" w:rsidR="00917DD2" w:rsidRDefault="00917DD2" w:rsidP="004E529E">
      <w:pPr>
        <w:spacing w:line="240" w:lineRule="auto"/>
      </w:pPr>
      <w:r>
        <w:continuationSeparator/>
      </w:r>
    </w:p>
  </w:footnote>
  <w:footnote w:id="1">
    <w:p w14:paraId="3C79BA03" w14:textId="0C5CF1C1"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Office of the Ombudsman, </w:t>
      </w:r>
      <w:hyperlink r:id="rId1" w:history="1">
        <w:r w:rsidRPr="009C4DA9">
          <w:rPr>
            <w:rStyle w:val="Hyperlink"/>
            <w:rFonts w:ascii="Arial" w:hAnsi="Arial" w:cs="Arial"/>
            <w:sz w:val="16"/>
            <w:szCs w:val="16"/>
          </w:rPr>
          <w:t>The Ombudsman and Direct Provision: The Story So Far</w:t>
        </w:r>
      </w:hyperlink>
      <w:r w:rsidRPr="009C4DA9">
        <w:rPr>
          <w:rFonts w:ascii="Arial" w:hAnsi="Arial" w:cs="Arial"/>
          <w:sz w:val="16"/>
          <w:szCs w:val="16"/>
        </w:rPr>
        <w:t xml:space="preserve"> (2018) and </w:t>
      </w:r>
      <w:hyperlink r:id="rId2" w:history="1">
        <w:r w:rsidRPr="009C4DA9">
          <w:rPr>
            <w:rStyle w:val="Hyperlink"/>
            <w:rFonts w:ascii="Arial" w:hAnsi="Arial" w:cs="Arial"/>
            <w:sz w:val="16"/>
            <w:szCs w:val="16"/>
          </w:rPr>
          <w:t>Update for 2018 (2019).</w:t>
        </w:r>
      </w:hyperlink>
    </w:p>
  </w:footnote>
  <w:footnote w:id="2">
    <w:p w14:paraId="7F6D3BAE" w14:textId="32F54B05"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Ombudsman for Children, </w:t>
      </w:r>
      <w:hyperlink r:id="rId3" w:history="1">
        <w:r w:rsidRPr="009C4DA9">
          <w:rPr>
            <w:rStyle w:val="Hyperlink"/>
            <w:rFonts w:ascii="Arial" w:hAnsi="Arial" w:cs="Arial"/>
            <w:sz w:val="16"/>
            <w:szCs w:val="16"/>
          </w:rPr>
          <w:t>Annual Report 2017</w:t>
        </w:r>
      </w:hyperlink>
      <w:r w:rsidRPr="009C4DA9">
        <w:rPr>
          <w:rFonts w:ascii="Arial" w:hAnsi="Arial" w:cs="Arial"/>
          <w:sz w:val="16"/>
          <w:szCs w:val="16"/>
        </w:rPr>
        <w:t xml:space="preserve"> (2018), pp. 38 to 45 and </w:t>
      </w:r>
      <w:hyperlink r:id="rId4" w:history="1">
        <w:r w:rsidRPr="009C4DA9">
          <w:rPr>
            <w:rStyle w:val="Hyperlink"/>
            <w:rFonts w:ascii="Arial" w:hAnsi="Arial" w:cs="Arial"/>
            <w:sz w:val="16"/>
            <w:szCs w:val="16"/>
          </w:rPr>
          <w:t>Annual Report 2018</w:t>
        </w:r>
      </w:hyperlink>
      <w:r w:rsidRPr="009C4DA9">
        <w:rPr>
          <w:rFonts w:ascii="Arial" w:hAnsi="Arial" w:cs="Arial"/>
          <w:sz w:val="16"/>
          <w:szCs w:val="16"/>
        </w:rPr>
        <w:t xml:space="preserve"> (2019), pp. 37-</w:t>
      </w:r>
    </w:p>
    <w:p w14:paraId="0AA53877" w14:textId="1C977C0C" w:rsidR="001C5BE6" w:rsidRPr="009C4DA9" w:rsidRDefault="001C5BE6" w:rsidP="002F7FBD">
      <w:pPr>
        <w:pStyle w:val="FootnoteText"/>
        <w:jc w:val="both"/>
        <w:rPr>
          <w:rFonts w:ascii="Arial" w:hAnsi="Arial" w:cs="Arial"/>
          <w:sz w:val="16"/>
          <w:szCs w:val="16"/>
        </w:rPr>
      </w:pPr>
      <w:r w:rsidRPr="009C4DA9">
        <w:rPr>
          <w:rFonts w:ascii="Arial" w:hAnsi="Arial" w:cs="Arial"/>
          <w:sz w:val="16"/>
          <w:szCs w:val="16"/>
        </w:rPr>
        <w:t>-38.</w:t>
      </w:r>
    </w:p>
  </w:footnote>
  <w:footnote w:id="3">
    <w:p w14:paraId="391EB9E6" w14:textId="2A82E412"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Working Group on the Protection Process on Improvements to the Protection Process, including Direct Provision and Supports to Asylum Seekers: Final Report (June 2015) (</w:t>
      </w:r>
      <w:hyperlink r:id="rId5" w:history="1">
        <w:r w:rsidRPr="009C4DA9">
          <w:rPr>
            <w:rStyle w:val="Hyperlink"/>
            <w:rFonts w:ascii="Arial" w:hAnsi="Arial" w:cs="Arial"/>
            <w:sz w:val="16"/>
            <w:szCs w:val="16"/>
          </w:rPr>
          <w:t>McMahon Report</w:t>
        </w:r>
      </w:hyperlink>
      <w:r w:rsidRPr="009C4DA9">
        <w:rPr>
          <w:rFonts w:ascii="Arial" w:hAnsi="Arial" w:cs="Arial"/>
          <w:sz w:val="16"/>
          <w:szCs w:val="16"/>
        </w:rPr>
        <w:t xml:space="preserve">). I have expressed a number of concerns surrounding the lack of wholly rights based recommendations on direct provision, see </w:t>
      </w:r>
      <w:hyperlink r:id="rId6" w:history="1">
        <w:r w:rsidRPr="009C4DA9">
          <w:rPr>
            <w:rStyle w:val="Hyperlink"/>
            <w:rFonts w:ascii="Arial" w:hAnsi="Arial" w:cs="Arial"/>
            <w:sz w:val="16"/>
            <w:szCs w:val="16"/>
          </w:rPr>
          <w:t>Thornton (2015)</w:t>
        </w:r>
      </w:hyperlink>
      <w:r w:rsidRPr="009C4DA9">
        <w:rPr>
          <w:rFonts w:ascii="Arial" w:hAnsi="Arial" w:cs="Arial"/>
          <w:sz w:val="16"/>
          <w:szCs w:val="16"/>
        </w:rPr>
        <w:t xml:space="preserve">. There are disagreements regarding the degree to which the McMahon Report recommendations have been implemented. The Department of Justice has argued that the vast majority of recommendations are implemented, see, </w:t>
      </w:r>
      <w:hyperlink r:id="rId7" w:history="1">
        <w:r w:rsidRPr="009C4DA9">
          <w:rPr>
            <w:rStyle w:val="Hyperlink"/>
            <w:rFonts w:ascii="Arial" w:hAnsi="Arial" w:cs="Arial"/>
            <w:sz w:val="16"/>
            <w:szCs w:val="16"/>
          </w:rPr>
          <w:t>Third and Final of Progress Report on Improvements to the Protection Process</w:t>
        </w:r>
      </w:hyperlink>
      <w:r w:rsidRPr="009C4DA9">
        <w:rPr>
          <w:rFonts w:ascii="Arial" w:hAnsi="Arial" w:cs="Arial"/>
          <w:sz w:val="16"/>
          <w:szCs w:val="16"/>
        </w:rPr>
        <w:t xml:space="preserve"> (2017) and compare with </w:t>
      </w:r>
      <w:proofErr w:type="spellStart"/>
      <w:r w:rsidRPr="009C4DA9">
        <w:rPr>
          <w:rFonts w:ascii="Arial" w:hAnsi="Arial" w:cs="Arial"/>
          <w:sz w:val="16"/>
          <w:szCs w:val="16"/>
        </w:rPr>
        <w:t>Nasc</w:t>
      </w:r>
      <w:proofErr w:type="spellEnd"/>
      <w:r w:rsidRPr="009C4DA9">
        <w:rPr>
          <w:rFonts w:ascii="Arial" w:hAnsi="Arial" w:cs="Arial"/>
          <w:sz w:val="16"/>
          <w:szCs w:val="16"/>
        </w:rPr>
        <w:t>, the Refugee &amp; Migrant Rights Centre, who have argued that implementation has been slow and in places piecemeal (</w:t>
      </w:r>
      <w:hyperlink r:id="rId8" w:history="1">
        <w:r w:rsidRPr="009C4DA9">
          <w:rPr>
            <w:rStyle w:val="Hyperlink"/>
            <w:rFonts w:ascii="Arial" w:hAnsi="Arial" w:cs="Arial"/>
            <w:sz w:val="16"/>
            <w:szCs w:val="16"/>
          </w:rPr>
          <w:t>Working Paper on the Progress of Implementation of the McMahon Report</w:t>
        </w:r>
      </w:hyperlink>
      <w:r w:rsidRPr="009C4DA9">
        <w:rPr>
          <w:rFonts w:ascii="Arial" w:hAnsi="Arial" w:cs="Arial"/>
          <w:sz w:val="16"/>
          <w:szCs w:val="16"/>
        </w:rPr>
        <w:t xml:space="preserve"> (2017)).</w:t>
      </w:r>
    </w:p>
  </w:footnote>
  <w:footnote w:id="4">
    <w:p w14:paraId="4E9B3BF1" w14:textId="36D4B272"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European Communities (Reception Conditions) Regulations 2018, </w:t>
      </w:r>
      <w:hyperlink r:id="rId9" w:history="1">
        <w:r w:rsidRPr="009C4DA9">
          <w:rPr>
            <w:rStyle w:val="Hyperlink"/>
            <w:rFonts w:ascii="Arial" w:hAnsi="Arial" w:cs="Arial"/>
            <w:sz w:val="16"/>
            <w:szCs w:val="16"/>
          </w:rPr>
          <w:t>SI 2018/230</w:t>
        </w:r>
      </w:hyperlink>
      <w:r w:rsidRPr="009C4DA9">
        <w:rPr>
          <w:rFonts w:ascii="Arial" w:hAnsi="Arial" w:cs="Arial"/>
          <w:sz w:val="16"/>
          <w:szCs w:val="16"/>
        </w:rPr>
        <w:t>.</w:t>
      </w:r>
    </w:p>
  </w:footnote>
  <w:footnote w:id="5">
    <w:p w14:paraId="384D322C" w14:textId="2537A966"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The current rates are currently €38.80 per adult per week, and €29.80 per child, per week, see further: See further: Liam Thornton, ‘</w:t>
      </w:r>
      <w:hyperlink r:id="rId10" w:history="1">
        <w:r w:rsidRPr="009C4DA9">
          <w:rPr>
            <w:rStyle w:val="Hyperlink"/>
            <w:rFonts w:ascii="Arial" w:hAnsi="Arial" w:cs="Arial"/>
            <w:sz w:val="16"/>
            <w:szCs w:val="16"/>
          </w:rPr>
          <w:t>Understanding the Increases in Direct Provision Allowance</w:t>
        </w:r>
      </w:hyperlink>
      <w:r w:rsidRPr="009C4DA9">
        <w:rPr>
          <w:rFonts w:ascii="Arial" w:hAnsi="Arial" w:cs="Arial"/>
          <w:sz w:val="16"/>
          <w:szCs w:val="16"/>
        </w:rPr>
        <w:t>’ (17 July 2017), and, ‘</w:t>
      </w:r>
      <w:hyperlink r:id="rId11" w:history="1">
        <w:r w:rsidRPr="009C4DA9">
          <w:rPr>
            <w:rStyle w:val="Hyperlink"/>
            <w:rFonts w:ascii="Arial" w:hAnsi="Arial" w:cs="Arial"/>
            <w:sz w:val="16"/>
            <w:szCs w:val="16"/>
          </w:rPr>
          <w:t>Enhancing the Rights of Asylum Seekers in Budget 2019’</w:t>
        </w:r>
      </w:hyperlink>
      <w:r w:rsidRPr="009C4DA9">
        <w:rPr>
          <w:rFonts w:ascii="Arial" w:hAnsi="Arial" w:cs="Arial"/>
          <w:sz w:val="16"/>
          <w:szCs w:val="16"/>
        </w:rPr>
        <w:t xml:space="preserve"> (10 October 2018). </w:t>
      </w:r>
    </w:p>
  </w:footnote>
  <w:footnote w:id="6">
    <w:p w14:paraId="6B0D2BB8" w14:textId="3B3BF2E6"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Department of Justice and Equality, </w:t>
      </w:r>
      <w:hyperlink r:id="rId12" w:history="1">
        <w:r w:rsidRPr="009C4DA9">
          <w:rPr>
            <w:rStyle w:val="Hyperlink"/>
            <w:rFonts w:ascii="Arial" w:hAnsi="Arial" w:cs="Arial"/>
            <w:i/>
            <w:sz w:val="16"/>
            <w:szCs w:val="16"/>
          </w:rPr>
          <w:t>National Standards for accommodation offered to people in the protection process</w:t>
        </w:r>
      </w:hyperlink>
      <w:r w:rsidRPr="009C4DA9">
        <w:rPr>
          <w:rFonts w:ascii="Arial" w:hAnsi="Arial" w:cs="Arial"/>
          <w:i/>
          <w:sz w:val="16"/>
          <w:szCs w:val="16"/>
        </w:rPr>
        <w:t xml:space="preserve"> </w:t>
      </w:r>
      <w:r w:rsidRPr="009C4DA9">
        <w:rPr>
          <w:rFonts w:ascii="Arial" w:hAnsi="Arial" w:cs="Arial"/>
          <w:sz w:val="16"/>
          <w:szCs w:val="16"/>
        </w:rPr>
        <w:t>(August 2019).</w:t>
      </w:r>
    </w:p>
  </w:footnote>
  <w:footnote w:id="7">
    <w:p w14:paraId="62DEFB96" w14:textId="3E61AC75"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See, Reg. 11 and Reg. 12 of </w:t>
      </w:r>
      <w:hyperlink r:id="rId13" w:history="1">
        <w:r w:rsidRPr="009C4DA9">
          <w:rPr>
            <w:rStyle w:val="Hyperlink"/>
            <w:rFonts w:ascii="Arial" w:hAnsi="Arial" w:cs="Arial"/>
            <w:sz w:val="16"/>
            <w:szCs w:val="16"/>
          </w:rPr>
          <w:t>SI 2018/230</w:t>
        </w:r>
      </w:hyperlink>
      <w:r w:rsidRPr="009C4DA9">
        <w:rPr>
          <w:rFonts w:ascii="Arial" w:hAnsi="Arial" w:cs="Arial"/>
          <w:sz w:val="16"/>
          <w:szCs w:val="16"/>
        </w:rPr>
        <w:t>.</w:t>
      </w:r>
    </w:p>
  </w:footnote>
  <w:footnote w:id="8">
    <w:p w14:paraId="41393334" w14:textId="449EA9FE" w:rsidR="001C5BE6" w:rsidRPr="009C4DA9" w:rsidRDefault="001C5BE6" w:rsidP="002F7FBD">
      <w:pPr>
        <w:pStyle w:val="FootnoteText"/>
        <w:contextualSpacing/>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t>
      </w:r>
      <w:hyperlink r:id="rId14" w:history="1">
        <w:r w:rsidRPr="009C4DA9">
          <w:rPr>
            <w:rStyle w:val="Hyperlink"/>
            <w:rFonts w:ascii="Arial" w:hAnsi="Arial" w:cs="Arial"/>
            <w:sz w:val="16"/>
            <w:szCs w:val="16"/>
          </w:rPr>
          <w:t>Statement of Deputy Secretary General of the Department of Justice</w:t>
        </w:r>
      </w:hyperlink>
      <w:r w:rsidRPr="009C4DA9">
        <w:rPr>
          <w:rFonts w:ascii="Arial" w:hAnsi="Arial" w:cs="Arial"/>
          <w:sz w:val="16"/>
          <w:szCs w:val="16"/>
        </w:rPr>
        <w:t xml:space="preserve">, </w:t>
      </w:r>
      <w:proofErr w:type="spellStart"/>
      <w:r w:rsidRPr="009C4DA9">
        <w:rPr>
          <w:rFonts w:ascii="Arial" w:hAnsi="Arial" w:cs="Arial"/>
          <w:sz w:val="16"/>
          <w:szCs w:val="16"/>
        </w:rPr>
        <w:t>Oonagh</w:t>
      </w:r>
      <w:proofErr w:type="spellEnd"/>
      <w:r w:rsidRPr="009C4DA9">
        <w:rPr>
          <w:rFonts w:ascii="Arial" w:hAnsi="Arial" w:cs="Arial"/>
          <w:sz w:val="16"/>
          <w:szCs w:val="16"/>
        </w:rPr>
        <w:t xml:space="preserve"> Buckley, to the Joint Oireachtas Committee on Justice and Equality, 19 June 2019. </w:t>
      </w:r>
    </w:p>
  </w:footnote>
  <w:footnote w:id="9">
    <w:p w14:paraId="4A6E2B81"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t>
      </w:r>
      <w:hyperlink r:id="rId15" w:history="1">
        <w:r w:rsidRPr="009C4DA9">
          <w:rPr>
            <w:rStyle w:val="Hyperlink"/>
            <w:rFonts w:ascii="Arial" w:hAnsi="Arial" w:cs="Arial"/>
            <w:sz w:val="16"/>
            <w:szCs w:val="16"/>
          </w:rPr>
          <w:t>Parliamentary Question No. 364</w:t>
        </w:r>
      </w:hyperlink>
      <w:r w:rsidRPr="009C4DA9">
        <w:rPr>
          <w:rFonts w:ascii="Arial" w:hAnsi="Arial" w:cs="Arial"/>
          <w:sz w:val="16"/>
          <w:szCs w:val="16"/>
        </w:rPr>
        <w:t>, Response of Minister Charlie Flanagan, 11 July 2019.</w:t>
      </w:r>
    </w:p>
  </w:footnote>
  <w:footnote w:id="10">
    <w:p w14:paraId="41F1996A"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Government of Ireland, </w:t>
      </w:r>
      <w:hyperlink r:id="rId16" w:history="1">
        <w:r w:rsidRPr="009C4DA9">
          <w:rPr>
            <w:rStyle w:val="Hyperlink"/>
            <w:rFonts w:ascii="Arial" w:hAnsi="Arial" w:cs="Arial"/>
            <w:sz w:val="16"/>
            <w:szCs w:val="16"/>
          </w:rPr>
          <w:t>Spending Review 2019: Direct Provision</w:t>
        </w:r>
      </w:hyperlink>
      <w:r w:rsidRPr="009C4DA9">
        <w:rPr>
          <w:rFonts w:ascii="Arial" w:hAnsi="Arial" w:cs="Arial"/>
          <w:sz w:val="16"/>
          <w:szCs w:val="16"/>
        </w:rPr>
        <w:t xml:space="preserve"> (August 2019), pp. 53-55.</w:t>
      </w:r>
    </w:p>
  </w:footnote>
  <w:footnote w:id="11">
    <w:p w14:paraId="3CE9F7A7" w14:textId="30EA8965" w:rsidR="001C5BE6" w:rsidRPr="009C4DA9" w:rsidRDefault="001C5BE6">
      <w:pPr>
        <w:pStyle w:val="FootnoteText"/>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Department of Education, </w:t>
      </w:r>
      <w:hyperlink r:id="rId17" w:history="1">
        <w:r w:rsidRPr="009C4DA9">
          <w:rPr>
            <w:rStyle w:val="Hyperlink"/>
            <w:rFonts w:ascii="Arial" w:hAnsi="Arial" w:cs="Arial"/>
            <w:sz w:val="16"/>
            <w:szCs w:val="16"/>
          </w:rPr>
          <w:t>Pilot Support Scheme: 2019</w:t>
        </w:r>
      </w:hyperlink>
      <w:r w:rsidRPr="009C4DA9">
        <w:rPr>
          <w:rFonts w:ascii="Arial" w:hAnsi="Arial" w:cs="Arial"/>
          <w:sz w:val="16"/>
          <w:szCs w:val="16"/>
        </w:rPr>
        <w:t xml:space="preserve">. This followed the introduction by several Irish universities offering persons in the asylum system supported access to higher education, see: </w:t>
      </w:r>
      <w:hyperlink r:id="rId18" w:history="1">
        <w:r w:rsidRPr="009C4DA9">
          <w:rPr>
            <w:rStyle w:val="Hyperlink"/>
            <w:rFonts w:ascii="Arial" w:hAnsi="Arial" w:cs="Arial"/>
            <w:sz w:val="16"/>
            <w:szCs w:val="16"/>
          </w:rPr>
          <w:t>https://ireland.cityofsanctuary.org/</w:t>
        </w:r>
      </w:hyperlink>
      <w:r w:rsidRPr="009C4DA9">
        <w:rPr>
          <w:rFonts w:ascii="Arial" w:hAnsi="Arial" w:cs="Arial"/>
          <w:sz w:val="16"/>
          <w:szCs w:val="16"/>
        </w:rPr>
        <w:t xml:space="preserve">. </w:t>
      </w:r>
    </w:p>
  </w:footnote>
  <w:footnote w:id="12">
    <w:p w14:paraId="79A115DE" w14:textId="051DAAC7" w:rsidR="001C5BE6" w:rsidRPr="009C4DA9" w:rsidRDefault="001C5BE6">
      <w:pPr>
        <w:pStyle w:val="FootnoteText"/>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Minister for Justice and Equality, Charlie Flanagan, </w:t>
      </w:r>
      <w:hyperlink r:id="rId19" w:history="1">
        <w:proofErr w:type="spellStart"/>
        <w:r w:rsidRPr="009C4DA9">
          <w:rPr>
            <w:rStyle w:val="Hyperlink"/>
            <w:rFonts w:ascii="Arial" w:hAnsi="Arial" w:cs="Arial"/>
            <w:sz w:val="16"/>
            <w:szCs w:val="16"/>
          </w:rPr>
          <w:t>Dáil</w:t>
        </w:r>
        <w:proofErr w:type="spellEnd"/>
        <w:r w:rsidRPr="009C4DA9">
          <w:rPr>
            <w:rStyle w:val="Hyperlink"/>
            <w:rFonts w:ascii="Arial" w:hAnsi="Arial" w:cs="Arial"/>
            <w:sz w:val="16"/>
            <w:szCs w:val="16"/>
          </w:rPr>
          <w:t xml:space="preserve"> Debates</w:t>
        </w:r>
      </w:hyperlink>
      <w:r w:rsidRPr="009C4DA9">
        <w:rPr>
          <w:rFonts w:ascii="Arial" w:hAnsi="Arial" w:cs="Arial"/>
          <w:sz w:val="16"/>
          <w:szCs w:val="16"/>
        </w:rPr>
        <w:t xml:space="preserve">, 11 July 2019. It should be noted that the body responsible for managing the system of direct provision, the Reception and Integration Agency, failed to produce duration of stay statistics between </w:t>
      </w:r>
      <w:hyperlink r:id="rId20" w:history="1">
        <w:r w:rsidRPr="009C4DA9">
          <w:rPr>
            <w:rStyle w:val="Hyperlink"/>
            <w:rFonts w:ascii="Arial" w:hAnsi="Arial" w:cs="Arial"/>
            <w:sz w:val="16"/>
            <w:szCs w:val="16"/>
          </w:rPr>
          <w:t>December 2017 and September 2018</w:t>
        </w:r>
      </w:hyperlink>
      <w:r w:rsidRPr="009C4DA9">
        <w:rPr>
          <w:rFonts w:ascii="Arial" w:hAnsi="Arial" w:cs="Arial"/>
          <w:sz w:val="16"/>
          <w:szCs w:val="16"/>
        </w:rPr>
        <w:t xml:space="preserve">. The last ‘official statistics’, other than through Parliamentary questions, of persons in direct provision, date from November 2018. </w:t>
      </w:r>
    </w:p>
  </w:footnote>
  <w:footnote w:id="13">
    <w:p w14:paraId="318D59AD" w14:textId="0E7E8379" w:rsidR="001C5BE6" w:rsidRPr="009C4DA9" w:rsidRDefault="001C5BE6">
      <w:pPr>
        <w:pStyle w:val="FootnoteText"/>
        <w:rPr>
          <w:rFonts w:ascii="Arial" w:hAnsi="Arial" w:cs="Arial"/>
          <w:i/>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For a range of significant reports on the damage to physical and mental health due to prolonged stays within direct provision accommodation, see inter alia: Free Legal Advice Centres (FLAC), </w:t>
      </w:r>
      <w:hyperlink r:id="rId21" w:history="1">
        <w:r w:rsidRPr="009C4DA9">
          <w:rPr>
            <w:rStyle w:val="Hyperlink"/>
            <w:rFonts w:ascii="Arial" w:hAnsi="Arial" w:cs="Arial"/>
            <w:i/>
            <w:sz w:val="16"/>
            <w:szCs w:val="16"/>
          </w:rPr>
          <w:t>Direct Discrimination? An Analysis of the Scheme of Direct Provision in Ireland</w:t>
        </w:r>
      </w:hyperlink>
      <w:r w:rsidRPr="009C4DA9">
        <w:rPr>
          <w:rFonts w:ascii="Arial" w:hAnsi="Arial" w:cs="Arial"/>
          <w:i/>
          <w:sz w:val="16"/>
          <w:szCs w:val="16"/>
        </w:rPr>
        <w:t xml:space="preserve"> </w:t>
      </w:r>
      <w:r w:rsidRPr="009C4DA9">
        <w:rPr>
          <w:rFonts w:ascii="Arial" w:hAnsi="Arial" w:cs="Arial"/>
          <w:sz w:val="16"/>
          <w:szCs w:val="16"/>
        </w:rPr>
        <w:t xml:space="preserve">(2003) and FLAC, </w:t>
      </w:r>
      <w:hyperlink r:id="rId22" w:history="1">
        <w:r w:rsidRPr="009C4DA9">
          <w:rPr>
            <w:rStyle w:val="Hyperlink"/>
            <w:rFonts w:ascii="Arial" w:hAnsi="Arial" w:cs="Arial"/>
            <w:i/>
            <w:sz w:val="16"/>
            <w:szCs w:val="16"/>
          </w:rPr>
          <w:t>One Size Doesn't Fit All - A Legal Analysis of Direct Provision, 10 years On</w:t>
        </w:r>
        <w:r w:rsidRPr="009C4DA9">
          <w:rPr>
            <w:rStyle w:val="Hyperlink"/>
            <w:rFonts w:ascii="Arial" w:hAnsi="Arial" w:cs="Arial"/>
            <w:sz w:val="16"/>
            <w:szCs w:val="16"/>
          </w:rPr>
          <w:t xml:space="preserve"> (</w:t>
        </w:r>
      </w:hyperlink>
      <w:r w:rsidRPr="009C4DA9">
        <w:rPr>
          <w:rFonts w:ascii="Arial" w:hAnsi="Arial" w:cs="Arial"/>
          <w:sz w:val="16"/>
          <w:szCs w:val="16"/>
        </w:rPr>
        <w:t xml:space="preserve">2009). Irish Refugee Council (IRC), </w:t>
      </w:r>
      <w:hyperlink r:id="rId23" w:history="1">
        <w:r w:rsidRPr="009C4DA9">
          <w:rPr>
            <w:rStyle w:val="Hyperlink"/>
            <w:rFonts w:ascii="Arial" w:hAnsi="Arial" w:cs="Arial"/>
            <w:i/>
            <w:sz w:val="16"/>
            <w:szCs w:val="16"/>
          </w:rPr>
          <w:t>State Sanctioned Child Poverty and Exclusion</w:t>
        </w:r>
      </w:hyperlink>
      <w:r w:rsidRPr="009C4DA9">
        <w:rPr>
          <w:rFonts w:ascii="Arial" w:hAnsi="Arial" w:cs="Arial"/>
          <w:i/>
          <w:sz w:val="16"/>
          <w:szCs w:val="16"/>
        </w:rPr>
        <w:t xml:space="preserve"> </w:t>
      </w:r>
      <w:r w:rsidRPr="009C4DA9">
        <w:rPr>
          <w:rFonts w:ascii="Arial" w:hAnsi="Arial" w:cs="Arial"/>
          <w:sz w:val="16"/>
          <w:szCs w:val="16"/>
        </w:rPr>
        <w:t xml:space="preserve">(2012); NASC, the Refugee &amp; Migrant Rights Centre, </w:t>
      </w:r>
      <w:hyperlink r:id="rId24" w:history="1">
        <w:r w:rsidRPr="009C4DA9">
          <w:rPr>
            <w:rStyle w:val="Hyperlink"/>
            <w:rFonts w:ascii="Arial" w:hAnsi="Arial" w:cs="Arial"/>
            <w:i/>
            <w:sz w:val="16"/>
            <w:szCs w:val="16"/>
          </w:rPr>
          <w:t>What’s Food Got to Do with It: Experiences of Asylum Seekers in Direct Provision</w:t>
        </w:r>
      </w:hyperlink>
      <w:r w:rsidRPr="009C4DA9">
        <w:rPr>
          <w:rFonts w:ascii="Arial" w:hAnsi="Arial" w:cs="Arial"/>
          <w:i/>
          <w:sz w:val="16"/>
          <w:szCs w:val="16"/>
        </w:rPr>
        <w:t xml:space="preserve"> </w:t>
      </w:r>
      <w:r w:rsidRPr="009C4DA9">
        <w:rPr>
          <w:rFonts w:ascii="Arial" w:hAnsi="Arial" w:cs="Arial"/>
          <w:sz w:val="16"/>
          <w:szCs w:val="16"/>
        </w:rPr>
        <w:t>(2014).</w:t>
      </w:r>
      <w:r w:rsidRPr="009C4DA9">
        <w:rPr>
          <w:rFonts w:ascii="Arial" w:hAnsi="Arial" w:cs="Arial"/>
          <w:i/>
          <w:sz w:val="16"/>
          <w:szCs w:val="16"/>
        </w:rPr>
        <w:t xml:space="preserve"> </w:t>
      </w:r>
      <w:r w:rsidRPr="009C4DA9">
        <w:rPr>
          <w:rFonts w:ascii="Arial" w:hAnsi="Arial" w:cs="Arial"/>
          <w:sz w:val="16"/>
          <w:szCs w:val="16"/>
        </w:rPr>
        <w:t xml:space="preserve">See also, </w:t>
      </w:r>
      <w:hyperlink r:id="rId25" w:history="1">
        <w:r w:rsidRPr="009C4DA9">
          <w:rPr>
            <w:rStyle w:val="Hyperlink"/>
            <w:rFonts w:ascii="Arial" w:hAnsi="Arial" w:cs="Arial"/>
            <w:sz w:val="16"/>
            <w:szCs w:val="16"/>
          </w:rPr>
          <w:t>Statement by the Movement of Asylum Seekers in Ireland and testimony of Mr. Christopher Sibanda</w:t>
        </w:r>
      </w:hyperlink>
      <w:r w:rsidRPr="009C4DA9">
        <w:rPr>
          <w:rFonts w:ascii="Arial" w:hAnsi="Arial" w:cs="Arial"/>
          <w:sz w:val="16"/>
          <w:szCs w:val="16"/>
        </w:rPr>
        <w:t>, Joint Oireachtas Committee on Justice and Equality, 29 May 2019.</w:t>
      </w:r>
    </w:p>
  </w:footnote>
  <w:footnote w:id="14">
    <w:p w14:paraId="08825544" w14:textId="423A9775" w:rsidR="001C5BE6" w:rsidRPr="009C4DA9" w:rsidRDefault="001C5BE6" w:rsidP="002C662B">
      <w:pPr>
        <w:pStyle w:val="FootnoteText"/>
        <w:contextualSpacing/>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Emily O’Reilly, “Asylum Seekers in our Republic: Why Have we Gone Wrong?” 102 </w:t>
      </w:r>
      <w:r w:rsidRPr="009C4DA9">
        <w:rPr>
          <w:rFonts w:ascii="Arial" w:hAnsi="Arial" w:cs="Arial"/>
          <w:i/>
          <w:sz w:val="16"/>
          <w:szCs w:val="16"/>
        </w:rPr>
        <w:t>Studies</w:t>
      </w:r>
      <w:r w:rsidRPr="009C4DA9">
        <w:rPr>
          <w:rFonts w:ascii="Arial" w:hAnsi="Arial" w:cs="Arial"/>
          <w:sz w:val="16"/>
          <w:szCs w:val="16"/>
        </w:rPr>
        <w:t xml:space="preserve">, Summer 2013 (former Ombudsman, now European Ombudsman); See also, Irish Human Rights and Equality Commission, </w:t>
      </w:r>
      <w:hyperlink r:id="rId26" w:history="1">
        <w:r w:rsidRPr="009C4DA9">
          <w:rPr>
            <w:rStyle w:val="Hyperlink"/>
            <w:rFonts w:ascii="Arial" w:hAnsi="Arial" w:cs="Arial"/>
            <w:i/>
            <w:sz w:val="16"/>
            <w:szCs w:val="16"/>
          </w:rPr>
          <w:t>Policy Statement on Direct Provision</w:t>
        </w:r>
      </w:hyperlink>
      <w:r w:rsidRPr="009C4DA9">
        <w:rPr>
          <w:rFonts w:ascii="Arial" w:hAnsi="Arial" w:cs="Arial"/>
          <w:sz w:val="16"/>
          <w:szCs w:val="16"/>
        </w:rPr>
        <w:t xml:space="preserve"> (Dublin, 2014).</w:t>
      </w:r>
    </w:p>
  </w:footnote>
  <w:footnote w:id="15">
    <w:p w14:paraId="5EC9F4DE" w14:textId="23B948E3" w:rsidR="001C5BE6" w:rsidRPr="009C4DA9" w:rsidRDefault="001C5BE6">
      <w:pPr>
        <w:pStyle w:val="FootnoteText"/>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Geoffrey Shannon, </w:t>
      </w:r>
      <w:hyperlink r:id="rId27" w:history="1">
        <w:r w:rsidRPr="009C4DA9">
          <w:rPr>
            <w:rStyle w:val="Hyperlink"/>
            <w:rFonts w:ascii="Arial" w:hAnsi="Arial" w:cs="Arial"/>
            <w:i/>
            <w:sz w:val="16"/>
            <w:szCs w:val="16"/>
          </w:rPr>
          <w:t>Fifth Report of the Special Rapporteur for Children</w:t>
        </w:r>
      </w:hyperlink>
      <w:r w:rsidRPr="009C4DA9">
        <w:rPr>
          <w:rFonts w:ascii="Arial" w:hAnsi="Arial" w:cs="Arial"/>
          <w:sz w:val="16"/>
          <w:szCs w:val="16"/>
        </w:rPr>
        <w:t xml:space="preserve">, (Dublin: 2011), pp. 31-33 and p. 42 and Geoffrey Shannon, </w:t>
      </w:r>
      <w:hyperlink r:id="rId28" w:history="1">
        <w:r w:rsidRPr="009C4DA9">
          <w:rPr>
            <w:rStyle w:val="Hyperlink"/>
            <w:rFonts w:ascii="Arial" w:hAnsi="Arial" w:cs="Arial"/>
            <w:i/>
            <w:sz w:val="16"/>
            <w:szCs w:val="16"/>
          </w:rPr>
          <w:t>Eleventh Report of the Special Rapporteur for Children</w:t>
        </w:r>
      </w:hyperlink>
      <w:r w:rsidRPr="009C4DA9">
        <w:rPr>
          <w:rFonts w:ascii="Arial" w:hAnsi="Arial" w:cs="Arial"/>
          <w:sz w:val="16"/>
          <w:szCs w:val="16"/>
        </w:rPr>
        <w:t>, (Dublin: 2018), pp. 35-36 and pp. 45 to 47.</w:t>
      </w:r>
    </w:p>
  </w:footnote>
  <w:footnote w:id="16">
    <w:p w14:paraId="61478B23" w14:textId="68936762" w:rsidR="001C5BE6" w:rsidRPr="009C4DA9" w:rsidRDefault="001C5BE6">
      <w:pPr>
        <w:pStyle w:val="FootnoteText"/>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Minister for State, David Stanton noting that as of April 2019, “over 2,200 applicants across eight centres were availing of the independent living model. In addition, almost 1,400 other applicants have access to other self-catering facilities with food provided by the contractor or the applicant themselves.” See, , </w:t>
      </w:r>
      <w:hyperlink r:id="rId29" w:history="1">
        <w:r w:rsidRPr="009C4DA9">
          <w:rPr>
            <w:rStyle w:val="Hyperlink"/>
            <w:rFonts w:ascii="Arial" w:hAnsi="Arial" w:cs="Arial"/>
            <w:sz w:val="16"/>
            <w:szCs w:val="16"/>
          </w:rPr>
          <w:t>Parliamentary Question 255</w:t>
        </w:r>
      </w:hyperlink>
      <w:r w:rsidRPr="009C4DA9">
        <w:rPr>
          <w:rFonts w:ascii="Arial" w:hAnsi="Arial" w:cs="Arial"/>
          <w:sz w:val="16"/>
          <w:szCs w:val="16"/>
        </w:rPr>
        <w:t xml:space="preserve"> (10 July 2019).</w:t>
      </w:r>
    </w:p>
  </w:footnote>
  <w:footnote w:id="17">
    <w:p w14:paraId="491AFF9F" w14:textId="6A9C93CE" w:rsidR="001C5BE6" w:rsidRPr="009C4DA9" w:rsidRDefault="001C5BE6">
      <w:pPr>
        <w:pStyle w:val="FootnoteText"/>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Minister of State, David Stanton, </w:t>
      </w:r>
      <w:hyperlink r:id="rId30" w:history="1">
        <w:r w:rsidRPr="009C4DA9">
          <w:rPr>
            <w:rStyle w:val="Hyperlink"/>
            <w:rFonts w:ascii="Arial" w:hAnsi="Arial" w:cs="Arial"/>
            <w:sz w:val="16"/>
            <w:szCs w:val="16"/>
          </w:rPr>
          <w:t>Parliamentary Question 255</w:t>
        </w:r>
      </w:hyperlink>
      <w:r w:rsidRPr="009C4DA9">
        <w:rPr>
          <w:rFonts w:ascii="Arial" w:hAnsi="Arial" w:cs="Arial"/>
          <w:sz w:val="16"/>
          <w:szCs w:val="16"/>
        </w:rPr>
        <w:t xml:space="preserve"> (10 July 2019). </w:t>
      </w:r>
    </w:p>
  </w:footnote>
  <w:footnote w:id="18">
    <w:p w14:paraId="27605BA9" w14:textId="77777777" w:rsidR="001C5BE6" w:rsidRPr="009C4DA9" w:rsidRDefault="001C5BE6" w:rsidP="001C5BE6">
      <w:pPr>
        <w:pStyle w:val="FootnoteText"/>
        <w:contextualSpacing/>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t>
      </w:r>
      <w:r w:rsidRPr="009C4DA9">
        <w:rPr>
          <w:rFonts w:ascii="Arial" w:hAnsi="Arial" w:cs="Arial"/>
          <w:i/>
          <w:sz w:val="16"/>
          <w:szCs w:val="16"/>
        </w:rPr>
        <w:t>X and X (no 1) v Minister for Justice and Equality</w:t>
      </w:r>
      <w:r w:rsidRPr="009C4DA9">
        <w:rPr>
          <w:rFonts w:ascii="Arial" w:hAnsi="Arial" w:cs="Arial"/>
          <w:sz w:val="16"/>
          <w:szCs w:val="16"/>
        </w:rPr>
        <w:t xml:space="preserve"> [2019] IEHC 133. </w:t>
      </w:r>
    </w:p>
  </w:footnote>
  <w:footnote w:id="19">
    <w:p w14:paraId="36A92934" w14:textId="77777777" w:rsidR="001C5BE6" w:rsidRPr="009C4DA9" w:rsidRDefault="001C5BE6" w:rsidP="001C5BE6">
      <w:pPr>
        <w:pStyle w:val="FootnoteText"/>
        <w:contextualSpacing/>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t>
      </w:r>
      <w:r w:rsidRPr="009C4DA9">
        <w:rPr>
          <w:rFonts w:ascii="Arial" w:hAnsi="Arial" w:cs="Arial"/>
          <w:i/>
          <w:sz w:val="16"/>
          <w:szCs w:val="16"/>
        </w:rPr>
        <w:t>X and X (no. 1</w:t>
      </w:r>
      <w:proofErr w:type="gramStart"/>
      <w:r w:rsidRPr="009C4DA9">
        <w:rPr>
          <w:rFonts w:ascii="Arial" w:hAnsi="Arial" w:cs="Arial"/>
          <w:i/>
          <w:sz w:val="16"/>
          <w:szCs w:val="16"/>
        </w:rPr>
        <w:t>)  v</w:t>
      </w:r>
      <w:proofErr w:type="gramEnd"/>
      <w:r w:rsidRPr="009C4DA9">
        <w:rPr>
          <w:rFonts w:ascii="Arial" w:hAnsi="Arial" w:cs="Arial"/>
          <w:i/>
          <w:sz w:val="16"/>
          <w:szCs w:val="16"/>
        </w:rPr>
        <w:t xml:space="preserve"> Minister for Justice and Equality</w:t>
      </w:r>
      <w:r w:rsidRPr="009C4DA9">
        <w:rPr>
          <w:rFonts w:ascii="Arial" w:hAnsi="Arial" w:cs="Arial"/>
          <w:sz w:val="16"/>
          <w:szCs w:val="16"/>
        </w:rPr>
        <w:t xml:space="preserve"> [2019] IEHC 133, para. 14.</w:t>
      </w:r>
    </w:p>
  </w:footnote>
  <w:footnote w:id="20">
    <w:p w14:paraId="129E7C52" w14:textId="77777777" w:rsidR="001C5BE6" w:rsidRPr="009C4DA9" w:rsidRDefault="001C5BE6" w:rsidP="001C5BE6">
      <w:pPr>
        <w:pStyle w:val="FootnoteText"/>
        <w:contextualSpacing/>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t>
      </w:r>
      <w:hyperlink r:id="rId31" w:history="1">
        <w:r w:rsidRPr="009C4DA9">
          <w:rPr>
            <w:rStyle w:val="Hyperlink"/>
            <w:rFonts w:ascii="Arial" w:hAnsi="Arial" w:cs="Arial"/>
            <w:i/>
            <w:sz w:val="16"/>
            <w:szCs w:val="16"/>
          </w:rPr>
          <w:t>X and X (no. 2) v Minister for Justice and others</w:t>
        </w:r>
      </w:hyperlink>
      <w:r w:rsidRPr="009C4DA9">
        <w:rPr>
          <w:rFonts w:ascii="Arial" w:hAnsi="Arial" w:cs="Arial"/>
          <w:sz w:val="16"/>
          <w:szCs w:val="16"/>
        </w:rPr>
        <w:t xml:space="preserve"> [2019] IEHC 226 (03 April 2019), para. 3.</w:t>
      </w:r>
    </w:p>
  </w:footnote>
  <w:footnote w:id="21">
    <w:p w14:paraId="62993B4C" w14:textId="77777777" w:rsidR="001C5BE6" w:rsidRPr="009C4DA9" w:rsidRDefault="001C5BE6" w:rsidP="001C5BE6">
      <w:pPr>
        <w:pStyle w:val="FootnoteText"/>
        <w:contextualSpacing/>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Reg. 4(6) of the 2018 Regulations. </w:t>
      </w:r>
    </w:p>
  </w:footnote>
  <w:footnote w:id="22">
    <w:p w14:paraId="7BFC468A" w14:textId="6877E86E" w:rsidR="001C5BE6" w:rsidRPr="009C4DA9" w:rsidRDefault="001C5BE6" w:rsidP="00314450">
      <w:pPr>
        <w:pStyle w:val="FootnoteText"/>
        <w:contextualSpacing/>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t>
      </w:r>
      <w:hyperlink r:id="rId32" w:history="1">
        <w:r w:rsidRPr="009C4DA9">
          <w:rPr>
            <w:rStyle w:val="Hyperlink"/>
            <w:rFonts w:ascii="Arial" w:hAnsi="Arial" w:cs="Arial"/>
            <w:sz w:val="16"/>
            <w:szCs w:val="16"/>
          </w:rPr>
          <w:t>Statement of Deputy Secretary General of the Department of Justice</w:t>
        </w:r>
      </w:hyperlink>
      <w:r w:rsidRPr="009C4DA9">
        <w:rPr>
          <w:rFonts w:ascii="Arial" w:hAnsi="Arial" w:cs="Arial"/>
          <w:sz w:val="16"/>
          <w:szCs w:val="16"/>
        </w:rPr>
        <w:t xml:space="preserve">, </w:t>
      </w:r>
      <w:proofErr w:type="spellStart"/>
      <w:r w:rsidRPr="009C4DA9">
        <w:rPr>
          <w:rFonts w:ascii="Arial" w:hAnsi="Arial" w:cs="Arial"/>
          <w:sz w:val="16"/>
          <w:szCs w:val="16"/>
        </w:rPr>
        <w:t>Oonagh</w:t>
      </w:r>
      <w:proofErr w:type="spellEnd"/>
      <w:r w:rsidRPr="009C4DA9">
        <w:rPr>
          <w:rFonts w:ascii="Arial" w:hAnsi="Arial" w:cs="Arial"/>
          <w:sz w:val="16"/>
          <w:szCs w:val="16"/>
        </w:rPr>
        <w:t xml:space="preserve"> Buckley, to the Joint Oireachtas Committee on Justice and Equality, (19 June 2019). </w:t>
      </w:r>
    </w:p>
  </w:footnote>
  <w:footnote w:id="23">
    <w:p w14:paraId="30970684" w14:textId="71A7AE40" w:rsidR="001C5BE6" w:rsidRPr="009C4DA9" w:rsidRDefault="001C5BE6">
      <w:pPr>
        <w:pStyle w:val="FootnoteText"/>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t>
      </w:r>
      <w:hyperlink r:id="rId33" w:history="1">
        <w:r w:rsidRPr="009C4DA9">
          <w:rPr>
            <w:rStyle w:val="Hyperlink"/>
            <w:rFonts w:ascii="Arial" w:hAnsi="Arial" w:cs="Arial"/>
            <w:sz w:val="16"/>
            <w:szCs w:val="16"/>
          </w:rPr>
          <w:t>McMahon Report</w:t>
        </w:r>
      </w:hyperlink>
      <w:r w:rsidRPr="009C4DA9">
        <w:rPr>
          <w:rFonts w:ascii="Arial" w:hAnsi="Arial" w:cs="Arial"/>
          <w:sz w:val="16"/>
          <w:szCs w:val="16"/>
        </w:rPr>
        <w:t xml:space="preserve">, paras 6.14 to 6.15. </w:t>
      </w:r>
    </w:p>
  </w:footnote>
  <w:footnote w:id="24">
    <w:p w14:paraId="757CCE94" w14:textId="489505AE" w:rsidR="001C5BE6" w:rsidRPr="009C4DA9" w:rsidRDefault="001C5BE6">
      <w:pPr>
        <w:pStyle w:val="FootnoteText"/>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See: </w:t>
      </w:r>
      <w:proofErr w:type="spellStart"/>
      <w:r w:rsidRPr="009C4DA9">
        <w:rPr>
          <w:rFonts w:ascii="Arial" w:hAnsi="Arial" w:cs="Arial"/>
          <w:sz w:val="16"/>
          <w:szCs w:val="16"/>
        </w:rPr>
        <w:t>Cónal</w:t>
      </w:r>
      <w:proofErr w:type="spellEnd"/>
      <w:r w:rsidRPr="009C4DA9">
        <w:rPr>
          <w:rFonts w:ascii="Arial" w:hAnsi="Arial" w:cs="Arial"/>
          <w:sz w:val="16"/>
          <w:szCs w:val="16"/>
        </w:rPr>
        <w:t xml:space="preserve"> Thomas, </w:t>
      </w:r>
      <w:hyperlink r:id="rId34" w:history="1">
        <w:r w:rsidRPr="009C4DA9">
          <w:rPr>
            <w:rStyle w:val="Hyperlink"/>
            <w:rFonts w:ascii="Arial" w:hAnsi="Arial" w:cs="Arial"/>
            <w:sz w:val="16"/>
            <w:szCs w:val="16"/>
          </w:rPr>
          <w:t>Asylum seekers forced to wash clothes in sinks at Dublin hotel</w:t>
        </w:r>
      </w:hyperlink>
      <w:r w:rsidRPr="009C4DA9">
        <w:rPr>
          <w:rFonts w:ascii="Arial" w:hAnsi="Arial" w:cs="Arial"/>
          <w:sz w:val="16"/>
          <w:szCs w:val="16"/>
        </w:rPr>
        <w:t xml:space="preserve">, TheJournal.ie, Monday 19 August 2019, along with evidence collected and shared by MASI on social media platforms, dining times and curfews </w:t>
      </w:r>
      <w:hyperlink r:id="rId35" w:history="1">
        <w:r w:rsidRPr="009C4DA9">
          <w:rPr>
            <w:rStyle w:val="Hyperlink"/>
            <w:rFonts w:ascii="Arial" w:hAnsi="Arial" w:cs="Arial"/>
            <w:sz w:val="16"/>
            <w:szCs w:val="16"/>
          </w:rPr>
          <w:t>here</w:t>
        </w:r>
      </w:hyperlink>
      <w:r w:rsidRPr="009C4DA9">
        <w:rPr>
          <w:rFonts w:ascii="Arial" w:hAnsi="Arial" w:cs="Arial"/>
          <w:sz w:val="16"/>
          <w:szCs w:val="16"/>
        </w:rPr>
        <w:t xml:space="preserve"> (16 Aug. 2019), shouting at residents of emergency accommodation </w:t>
      </w:r>
      <w:hyperlink r:id="rId36" w:history="1">
        <w:r w:rsidRPr="009C4DA9">
          <w:rPr>
            <w:rStyle w:val="Hyperlink"/>
            <w:rFonts w:ascii="Arial" w:hAnsi="Arial" w:cs="Arial"/>
            <w:sz w:val="16"/>
            <w:szCs w:val="16"/>
          </w:rPr>
          <w:t>here</w:t>
        </w:r>
      </w:hyperlink>
      <w:r w:rsidRPr="009C4DA9">
        <w:rPr>
          <w:rFonts w:ascii="Arial" w:hAnsi="Arial" w:cs="Arial"/>
          <w:sz w:val="16"/>
          <w:szCs w:val="16"/>
        </w:rPr>
        <w:t xml:space="preserve"> (17 Aug. 2019)</w:t>
      </w:r>
    </w:p>
  </w:footnote>
  <w:footnote w:id="25">
    <w:p w14:paraId="32EB4FD7"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The legal basis for the payment is now Reg 2(1) of the 2018 Regulations. The payment for asylum seekers was initially introduced in April 2000 at a rate of €19.10 per adult, and €9.60 per child. The payment for children was raised to €15.60 in January 2017. In August 2017, the payment was raised for adults and children to a rate of €21.60 (the first increase for adult asylum applicants in 17 years). For further information on increases, see Liam Thornton, </w:t>
      </w:r>
      <w:hyperlink r:id="rId37" w:history="1">
        <w:r w:rsidRPr="009C4DA9">
          <w:rPr>
            <w:rStyle w:val="Hyperlink"/>
            <w:rFonts w:ascii="Arial" w:hAnsi="Arial" w:cs="Arial"/>
            <w:sz w:val="16"/>
            <w:szCs w:val="16"/>
          </w:rPr>
          <w:t>Understanding the Increases in Direct Provision Allowance</w:t>
        </w:r>
      </w:hyperlink>
      <w:r w:rsidRPr="009C4DA9">
        <w:rPr>
          <w:rFonts w:ascii="Arial" w:hAnsi="Arial" w:cs="Arial"/>
          <w:sz w:val="16"/>
          <w:szCs w:val="16"/>
        </w:rPr>
        <w:t xml:space="preserve">, July 17 2017 and Liam Thornton, </w:t>
      </w:r>
      <w:hyperlink r:id="rId38" w:history="1">
        <w:r w:rsidRPr="009C4DA9">
          <w:rPr>
            <w:rStyle w:val="Hyperlink"/>
            <w:rFonts w:ascii="Arial" w:hAnsi="Arial" w:cs="Arial"/>
            <w:sz w:val="16"/>
            <w:szCs w:val="16"/>
          </w:rPr>
          <w:t>Enhancing the Rights of Asylum Seekers in Budget 2019</w:t>
        </w:r>
      </w:hyperlink>
      <w:r w:rsidRPr="009C4DA9">
        <w:rPr>
          <w:rFonts w:ascii="Arial" w:hAnsi="Arial" w:cs="Arial"/>
          <w:sz w:val="16"/>
          <w:szCs w:val="16"/>
        </w:rPr>
        <w:t>, 10 October 2018.</w:t>
      </w:r>
    </w:p>
  </w:footnote>
  <w:footnote w:id="26">
    <w:p w14:paraId="0862B956"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Reg. 2(1) of the 2018 Regulations and s.201 of the Social Welfare (Consolidation) Act 2005 (</w:t>
      </w:r>
      <w:hyperlink r:id="rId39" w:history="1">
        <w:r w:rsidRPr="009C4DA9">
          <w:rPr>
            <w:rStyle w:val="Hyperlink"/>
            <w:rFonts w:ascii="Arial" w:hAnsi="Arial" w:cs="Arial"/>
            <w:sz w:val="16"/>
            <w:szCs w:val="16"/>
          </w:rPr>
          <w:t>as amended</w:t>
        </w:r>
      </w:hyperlink>
      <w:r w:rsidRPr="009C4DA9">
        <w:rPr>
          <w:rFonts w:ascii="Arial" w:hAnsi="Arial" w:cs="Arial"/>
          <w:sz w:val="16"/>
          <w:szCs w:val="16"/>
        </w:rPr>
        <w:t>).</w:t>
      </w:r>
    </w:p>
  </w:footnote>
  <w:footnote w:id="27">
    <w:p w14:paraId="4E6CBDA1"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Section 246 of the Social Welfare (Consolidation) Act 2005 (</w:t>
      </w:r>
      <w:hyperlink r:id="rId40" w:history="1">
        <w:r w:rsidRPr="009C4DA9">
          <w:rPr>
            <w:rStyle w:val="Hyperlink"/>
            <w:rFonts w:ascii="Arial" w:hAnsi="Arial" w:cs="Arial"/>
            <w:sz w:val="16"/>
            <w:szCs w:val="16"/>
          </w:rPr>
          <w:t>as amended</w:t>
        </w:r>
      </w:hyperlink>
      <w:r w:rsidRPr="009C4DA9">
        <w:rPr>
          <w:rFonts w:ascii="Arial" w:hAnsi="Arial" w:cs="Arial"/>
          <w:sz w:val="16"/>
          <w:szCs w:val="16"/>
        </w:rPr>
        <w:t>).</w:t>
      </w:r>
    </w:p>
  </w:footnote>
  <w:footnote w:id="28">
    <w:p w14:paraId="563994E6" w14:textId="7917E9D4"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Special rates are paid in respect of multiple births, see s.221(2) of the </w:t>
      </w:r>
      <w:hyperlink r:id="rId41" w:history="1">
        <w:r w:rsidRPr="009C4DA9">
          <w:rPr>
            <w:rStyle w:val="Hyperlink"/>
            <w:rFonts w:ascii="Arial" w:hAnsi="Arial" w:cs="Arial"/>
            <w:sz w:val="16"/>
            <w:szCs w:val="16"/>
          </w:rPr>
          <w:t>Social Welfare (Consolidation) Act 2005</w:t>
        </w:r>
      </w:hyperlink>
      <w:r w:rsidRPr="009C4DA9">
        <w:rPr>
          <w:rFonts w:ascii="Arial" w:hAnsi="Arial" w:cs="Arial"/>
          <w:sz w:val="16"/>
          <w:szCs w:val="16"/>
        </w:rPr>
        <w:t xml:space="preserve"> (as amended). </w:t>
      </w:r>
    </w:p>
  </w:footnote>
  <w:footnote w:id="29">
    <w:p w14:paraId="21C8DA42"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w:t>
      </w:r>
      <w:hyperlink r:id="rId42" w:history="1">
        <w:r w:rsidRPr="009C4DA9">
          <w:rPr>
            <w:rStyle w:val="Hyperlink"/>
            <w:rFonts w:ascii="Arial" w:hAnsi="Arial" w:cs="Arial"/>
            <w:i/>
            <w:sz w:val="16"/>
            <w:szCs w:val="16"/>
          </w:rPr>
          <w:t>X and X (no. 2) v Minister for Justice and others</w:t>
        </w:r>
      </w:hyperlink>
      <w:r w:rsidRPr="009C4DA9">
        <w:rPr>
          <w:rFonts w:ascii="Arial" w:hAnsi="Arial" w:cs="Arial"/>
          <w:sz w:val="16"/>
          <w:szCs w:val="16"/>
        </w:rPr>
        <w:t xml:space="preserve"> [2019] IEHC 226 (03 April 2019), para. 3.</w:t>
      </w:r>
    </w:p>
  </w:footnote>
  <w:footnote w:id="30">
    <w:p w14:paraId="5D91A43C"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Case C-322/19, </w:t>
      </w:r>
      <w:hyperlink r:id="rId43" w:history="1">
        <w:r w:rsidRPr="009C4DA9">
          <w:rPr>
            <w:rStyle w:val="Hyperlink"/>
            <w:rFonts w:ascii="Arial" w:hAnsi="Arial" w:cs="Arial"/>
            <w:i/>
            <w:sz w:val="16"/>
            <w:szCs w:val="16"/>
          </w:rPr>
          <w:t>K.S. &amp; M.H.K. v IPAT and Others</w:t>
        </w:r>
      </w:hyperlink>
      <w:r w:rsidRPr="009C4DA9">
        <w:rPr>
          <w:rFonts w:ascii="Arial" w:hAnsi="Arial" w:cs="Arial"/>
          <w:sz w:val="16"/>
          <w:szCs w:val="16"/>
        </w:rPr>
        <w:t xml:space="preserve"> (preliminary reference, decision pending). A subsequent preliminary reference on the same issues has also been communicated to the Court of Justice, see Decision of IPAT concerning the interpretation of Reg 2 and Reg. 11 of the 2018 Regulations, 1894919-ATLM-19, 03 April 2019, Cindy Carrol (Tribunal Member) (country of appellant not identified (on file with author). </w:t>
      </w:r>
    </w:p>
  </w:footnote>
  <w:footnote w:id="31">
    <w:p w14:paraId="37567B5F"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Concluding Observations, CERD, Luxembourg, UN Doc. </w:t>
      </w:r>
      <w:hyperlink r:id="rId44" w:history="1">
        <w:r w:rsidRPr="009C4DA9">
          <w:rPr>
            <w:rStyle w:val="Hyperlink"/>
            <w:rFonts w:ascii="Arial" w:hAnsi="Arial" w:cs="Arial"/>
            <w:sz w:val="16"/>
            <w:szCs w:val="16"/>
          </w:rPr>
          <w:t>CERD/C/LUX/CO/14-17</w:t>
        </w:r>
      </w:hyperlink>
      <w:r w:rsidRPr="009C4DA9">
        <w:rPr>
          <w:rFonts w:ascii="Arial" w:hAnsi="Arial" w:cs="Arial"/>
          <w:sz w:val="16"/>
          <w:szCs w:val="16"/>
        </w:rPr>
        <w:t xml:space="preserve"> (2014), para. 13.</w:t>
      </w:r>
    </w:p>
  </w:footnote>
  <w:footnote w:id="32">
    <w:p w14:paraId="0BC7C2BB" w14:textId="77777777" w:rsidR="001C5BE6" w:rsidRPr="009C4DA9" w:rsidRDefault="001C5BE6" w:rsidP="002F7FBD">
      <w:pPr>
        <w:pStyle w:val="FootnoteText"/>
        <w:jc w:val="both"/>
        <w:rPr>
          <w:rFonts w:ascii="Arial" w:hAnsi="Arial" w:cs="Arial"/>
          <w:sz w:val="16"/>
          <w:szCs w:val="16"/>
        </w:rPr>
      </w:pPr>
      <w:r w:rsidRPr="009C4DA9">
        <w:rPr>
          <w:rStyle w:val="FootnoteReference"/>
          <w:rFonts w:ascii="Arial" w:hAnsi="Arial" w:cs="Arial"/>
          <w:sz w:val="16"/>
          <w:szCs w:val="16"/>
        </w:rPr>
        <w:footnoteRef/>
      </w:r>
      <w:r w:rsidRPr="009C4DA9">
        <w:rPr>
          <w:rFonts w:ascii="Arial" w:hAnsi="Arial" w:cs="Arial"/>
          <w:sz w:val="16"/>
          <w:szCs w:val="16"/>
        </w:rPr>
        <w:t xml:space="preserve"> Concluding Observations, CERD, Cyprus, UN Doc. </w:t>
      </w:r>
      <w:hyperlink r:id="rId45" w:history="1">
        <w:r w:rsidRPr="009C4DA9">
          <w:rPr>
            <w:rStyle w:val="Hyperlink"/>
            <w:rFonts w:ascii="Arial" w:hAnsi="Arial" w:cs="Arial"/>
            <w:sz w:val="16"/>
            <w:szCs w:val="16"/>
          </w:rPr>
          <w:t>CERD/C/CYP/CO/23-24</w:t>
        </w:r>
      </w:hyperlink>
      <w:r w:rsidRPr="009C4DA9">
        <w:rPr>
          <w:rFonts w:ascii="Arial" w:hAnsi="Arial" w:cs="Arial"/>
          <w:sz w:val="16"/>
          <w:szCs w:val="16"/>
        </w:rPr>
        <w:t xml:space="preserve"> (2017), para. 21 and Concluding Observations, CERD, Moldova, UN Doc. </w:t>
      </w:r>
      <w:hyperlink r:id="rId46" w:history="1">
        <w:r w:rsidRPr="009C4DA9">
          <w:rPr>
            <w:rStyle w:val="Hyperlink"/>
            <w:rFonts w:ascii="Arial" w:hAnsi="Arial" w:cs="Arial"/>
            <w:sz w:val="16"/>
            <w:szCs w:val="16"/>
          </w:rPr>
          <w:t>CERD/C/MDA/CO/10-11</w:t>
        </w:r>
      </w:hyperlink>
      <w:r w:rsidRPr="009C4DA9">
        <w:rPr>
          <w:rFonts w:ascii="Arial" w:hAnsi="Arial" w:cs="Arial"/>
          <w:sz w:val="16"/>
          <w:szCs w:val="16"/>
        </w:rPr>
        <w:t xml:space="preserve"> (2017), para. 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C573B"/>
    <w:multiLevelType w:val="hybridMultilevel"/>
    <w:tmpl w:val="24BA6C4C"/>
    <w:lvl w:ilvl="0" w:tplc="C7FC85E4">
      <w:start w:val="1"/>
      <w:numFmt w:val="decimal"/>
      <w:lvlText w:val="(%1)"/>
      <w:lvlJc w:val="left"/>
      <w:pPr>
        <w:ind w:left="382" w:hanging="360"/>
      </w:pPr>
      <w:rPr>
        <w:rFonts w:hint="default"/>
      </w:rPr>
    </w:lvl>
    <w:lvl w:ilvl="1" w:tplc="18090019" w:tentative="1">
      <w:start w:val="1"/>
      <w:numFmt w:val="lowerLetter"/>
      <w:lvlText w:val="%2."/>
      <w:lvlJc w:val="left"/>
      <w:pPr>
        <w:ind w:left="1102" w:hanging="360"/>
      </w:pPr>
    </w:lvl>
    <w:lvl w:ilvl="2" w:tplc="1809001B" w:tentative="1">
      <w:start w:val="1"/>
      <w:numFmt w:val="lowerRoman"/>
      <w:lvlText w:val="%3."/>
      <w:lvlJc w:val="right"/>
      <w:pPr>
        <w:ind w:left="1822" w:hanging="180"/>
      </w:pPr>
    </w:lvl>
    <w:lvl w:ilvl="3" w:tplc="1809000F" w:tentative="1">
      <w:start w:val="1"/>
      <w:numFmt w:val="decimal"/>
      <w:lvlText w:val="%4."/>
      <w:lvlJc w:val="left"/>
      <w:pPr>
        <w:ind w:left="2542" w:hanging="360"/>
      </w:pPr>
    </w:lvl>
    <w:lvl w:ilvl="4" w:tplc="18090019" w:tentative="1">
      <w:start w:val="1"/>
      <w:numFmt w:val="lowerLetter"/>
      <w:lvlText w:val="%5."/>
      <w:lvlJc w:val="left"/>
      <w:pPr>
        <w:ind w:left="3262" w:hanging="360"/>
      </w:pPr>
    </w:lvl>
    <w:lvl w:ilvl="5" w:tplc="1809001B" w:tentative="1">
      <w:start w:val="1"/>
      <w:numFmt w:val="lowerRoman"/>
      <w:lvlText w:val="%6."/>
      <w:lvlJc w:val="right"/>
      <w:pPr>
        <w:ind w:left="3982" w:hanging="180"/>
      </w:pPr>
    </w:lvl>
    <w:lvl w:ilvl="6" w:tplc="1809000F" w:tentative="1">
      <w:start w:val="1"/>
      <w:numFmt w:val="decimal"/>
      <w:lvlText w:val="%7."/>
      <w:lvlJc w:val="left"/>
      <w:pPr>
        <w:ind w:left="4702" w:hanging="360"/>
      </w:pPr>
    </w:lvl>
    <w:lvl w:ilvl="7" w:tplc="18090019" w:tentative="1">
      <w:start w:val="1"/>
      <w:numFmt w:val="lowerLetter"/>
      <w:lvlText w:val="%8."/>
      <w:lvlJc w:val="left"/>
      <w:pPr>
        <w:ind w:left="5422" w:hanging="360"/>
      </w:pPr>
    </w:lvl>
    <w:lvl w:ilvl="8" w:tplc="1809001B" w:tentative="1">
      <w:start w:val="1"/>
      <w:numFmt w:val="lowerRoman"/>
      <w:lvlText w:val="%9."/>
      <w:lvlJc w:val="right"/>
      <w:pPr>
        <w:ind w:left="6142" w:hanging="180"/>
      </w:pPr>
    </w:lvl>
  </w:abstractNum>
  <w:abstractNum w:abstractNumId="1" w15:restartNumberingAfterBreak="0">
    <w:nsid w:val="6D0F3924"/>
    <w:multiLevelType w:val="hybridMultilevel"/>
    <w:tmpl w:val="C2049CBA"/>
    <w:lvl w:ilvl="0" w:tplc="2F24CFBA">
      <w:start w:val="1"/>
      <w:numFmt w:val="lowerRoman"/>
      <w:lvlText w:val="(%1)"/>
      <w:lvlJc w:val="left"/>
      <w:pPr>
        <w:ind w:left="742" w:hanging="720"/>
      </w:pPr>
      <w:rPr>
        <w:rFonts w:hint="default"/>
      </w:rPr>
    </w:lvl>
    <w:lvl w:ilvl="1" w:tplc="18090019" w:tentative="1">
      <w:start w:val="1"/>
      <w:numFmt w:val="lowerLetter"/>
      <w:lvlText w:val="%2."/>
      <w:lvlJc w:val="left"/>
      <w:pPr>
        <w:ind w:left="1102" w:hanging="360"/>
      </w:pPr>
    </w:lvl>
    <w:lvl w:ilvl="2" w:tplc="1809001B" w:tentative="1">
      <w:start w:val="1"/>
      <w:numFmt w:val="lowerRoman"/>
      <w:lvlText w:val="%3."/>
      <w:lvlJc w:val="right"/>
      <w:pPr>
        <w:ind w:left="1822" w:hanging="180"/>
      </w:pPr>
    </w:lvl>
    <w:lvl w:ilvl="3" w:tplc="1809000F" w:tentative="1">
      <w:start w:val="1"/>
      <w:numFmt w:val="decimal"/>
      <w:lvlText w:val="%4."/>
      <w:lvlJc w:val="left"/>
      <w:pPr>
        <w:ind w:left="2542" w:hanging="360"/>
      </w:pPr>
    </w:lvl>
    <w:lvl w:ilvl="4" w:tplc="18090019" w:tentative="1">
      <w:start w:val="1"/>
      <w:numFmt w:val="lowerLetter"/>
      <w:lvlText w:val="%5."/>
      <w:lvlJc w:val="left"/>
      <w:pPr>
        <w:ind w:left="3262" w:hanging="360"/>
      </w:pPr>
    </w:lvl>
    <w:lvl w:ilvl="5" w:tplc="1809001B" w:tentative="1">
      <w:start w:val="1"/>
      <w:numFmt w:val="lowerRoman"/>
      <w:lvlText w:val="%6."/>
      <w:lvlJc w:val="right"/>
      <w:pPr>
        <w:ind w:left="3982" w:hanging="180"/>
      </w:pPr>
    </w:lvl>
    <w:lvl w:ilvl="6" w:tplc="1809000F" w:tentative="1">
      <w:start w:val="1"/>
      <w:numFmt w:val="decimal"/>
      <w:lvlText w:val="%7."/>
      <w:lvlJc w:val="left"/>
      <w:pPr>
        <w:ind w:left="4702" w:hanging="360"/>
      </w:pPr>
    </w:lvl>
    <w:lvl w:ilvl="7" w:tplc="18090019" w:tentative="1">
      <w:start w:val="1"/>
      <w:numFmt w:val="lowerLetter"/>
      <w:lvlText w:val="%8."/>
      <w:lvlJc w:val="left"/>
      <w:pPr>
        <w:ind w:left="5422" w:hanging="360"/>
      </w:pPr>
    </w:lvl>
    <w:lvl w:ilvl="8" w:tplc="1809001B" w:tentative="1">
      <w:start w:val="1"/>
      <w:numFmt w:val="lowerRoman"/>
      <w:lvlText w:val="%9."/>
      <w:lvlJc w:val="right"/>
      <w:pPr>
        <w:ind w:left="6142" w:hanging="180"/>
      </w:pPr>
    </w:lvl>
  </w:abstractNum>
  <w:abstractNum w:abstractNumId="2" w15:restartNumberingAfterBreak="0">
    <w:nsid w:val="71EB0279"/>
    <w:multiLevelType w:val="hybridMultilevel"/>
    <w:tmpl w:val="24BA6C4C"/>
    <w:lvl w:ilvl="0" w:tplc="C7FC85E4">
      <w:start w:val="1"/>
      <w:numFmt w:val="decimal"/>
      <w:lvlText w:val="(%1)"/>
      <w:lvlJc w:val="left"/>
      <w:pPr>
        <w:ind w:left="382" w:hanging="360"/>
      </w:pPr>
      <w:rPr>
        <w:rFonts w:hint="default"/>
      </w:rPr>
    </w:lvl>
    <w:lvl w:ilvl="1" w:tplc="18090019" w:tentative="1">
      <w:start w:val="1"/>
      <w:numFmt w:val="lowerLetter"/>
      <w:lvlText w:val="%2."/>
      <w:lvlJc w:val="left"/>
      <w:pPr>
        <w:ind w:left="1102" w:hanging="360"/>
      </w:pPr>
    </w:lvl>
    <w:lvl w:ilvl="2" w:tplc="1809001B" w:tentative="1">
      <w:start w:val="1"/>
      <w:numFmt w:val="lowerRoman"/>
      <w:lvlText w:val="%3."/>
      <w:lvlJc w:val="right"/>
      <w:pPr>
        <w:ind w:left="1822" w:hanging="180"/>
      </w:pPr>
    </w:lvl>
    <w:lvl w:ilvl="3" w:tplc="1809000F" w:tentative="1">
      <w:start w:val="1"/>
      <w:numFmt w:val="decimal"/>
      <w:lvlText w:val="%4."/>
      <w:lvlJc w:val="left"/>
      <w:pPr>
        <w:ind w:left="2542" w:hanging="360"/>
      </w:pPr>
    </w:lvl>
    <w:lvl w:ilvl="4" w:tplc="18090019" w:tentative="1">
      <w:start w:val="1"/>
      <w:numFmt w:val="lowerLetter"/>
      <w:lvlText w:val="%5."/>
      <w:lvlJc w:val="left"/>
      <w:pPr>
        <w:ind w:left="3262" w:hanging="360"/>
      </w:pPr>
    </w:lvl>
    <w:lvl w:ilvl="5" w:tplc="1809001B" w:tentative="1">
      <w:start w:val="1"/>
      <w:numFmt w:val="lowerRoman"/>
      <w:lvlText w:val="%6."/>
      <w:lvlJc w:val="right"/>
      <w:pPr>
        <w:ind w:left="3982" w:hanging="180"/>
      </w:pPr>
    </w:lvl>
    <w:lvl w:ilvl="6" w:tplc="1809000F" w:tentative="1">
      <w:start w:val="1"/>
      <w:numFmt w:val="decimal"/>
      <w:lvlText w:val="%7."/>
      <w:lvlJc w:val="left"/>
      <w:pPr>
        <w:ind w:left="4702" w:hanging="360"/>
      </w:pPr>
    </w:lvl>
    <w:lvl w:ilvl="7" w:tplc="18090019" w:tentative="1">
      <w:start w:val="1"/>
      <w:numFmt w:val="lowerLetter"/>
      <w:lvlText w:val="%8."/>
      <w:lvlJc w:val="left"/>
      <w:pPr>
        <w:ind w:left="5422" w:hanging="360"/>
      </w:pPr>
    </w:lvl>
    <w:lvl w:ilvl="8" w:tplc="1809001B" w:tentative="1">
      <w:start w:val="1"/>
      <w:numFmt w:val="lowerRoman"/>
      <w:lvlText w:val="%9."/>
      <w:lvlJc w:val="right"/>
      <w:pPr>
        <w:ind w:left="6142"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F58"/>
    <w:rsid w:val="00012367"/>
    <w:rsid w:val="00174E51"/>
    <w:rsid w:val="0018247C"/>
    <w:rsid w:val="001C5BE6"/>
    <w:rsid w:val="00276946"/>
    <w:rsid w:val="002A4FA0"/>
    <w:rsid w:val="002C45B8"/>
    <w:rsid w:val="002C662B"/>
    <w:rsid w:val="002D48F7"/>
    <w:rsid w:val="002F7FBD"/>
    <w:rsid w:val="00314450"/>
    <w:rsid w:val="003304C5"/>
    <w:rsid w:val="00342914"/>
    <w:rsid w:val="00346719"/>
    <w:rsid w:val="00371E48"/>
    <w:rsid w:val="00391C43"/>
    <w:rsid w:val="003B3444"/>
    <w:rsid w:val="003E2F58"/>
    <w:rsid w:val="00463B4C"/>
    <w:rsid w:val="00495440"/>
    <w:rsid w:val="004B1A2F"/>
    <w:rsid w:val="004E084E"/>
    <w:rsid w:val="004E529E"/>
    <w:rsid w:val="00502024"/>
    <w:rsid w:val="005F3480"/>
    <w:rsid w:val="005F5336"/>
    <w:rsid w:val="006D710F"/>
    <w:rsid w:val="007C3D4B"/>
    <w:rsid w:val="009137DC"/>
    <w:rsid w:val="00917DD2"/>
    <w:rsid w:val="00943F2D"/>
    <w:rsid w:val="0099638F"/>
    <w:rsid w:val="009C4DA9"/>
    <w:rsid w:val="00A15455"/>
    <w:rsid w:val="00A33E32"/>
    <w:rsid w:val="00A85095"/>
    <w:rsid w:val="00C20AE1"/>
    <w:rsid w:val="00C441B1"/>
    <w:rsid w:val="00C810C8"/>
    <w:rsid w:val="00CC0F8A"/>
    <w:rsid w:val="00D06D1B"/>
    <w:rsid w:val="00D836E3"/>
    <w:rsid w:val="00E10508"/>
    <w:rsid w:val="00EC502F"/>
    <w:rsid w:val="00EE6B5F"/>
    <w:rsid w:val="00FA055B"/>
    <w:rsid w:val="00FB5F4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E6C0D9"/>
  <w15:docId w15:val="{A6E009E7-E35F-4657-B558-494E317B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E" w:eastAsia="en-IE"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Heading3"/>
    <w:next w:val="Normal"/>
    <w:uiPriority w:val="9"/>
    <w:qFormat/>
    <w:rsid w:val="00342914"/>
    <w:pPr>
      <w:outlineLvl w:val="0"/>
    </w:pPr>
  </w:style>
  <w:style w:type="paragraph" w:styleId="Heading2">
    <w:name w:val="heading 2"/>
    <w:basedOn w:val="Normal"/>
    <w:next w:val="Normal"/>
    <w:uiPriority w:val="9"/>
    <w:unhideWhenUsed/>
    <w:qFormat/>
    <w:rsid w:val="00342914"/>
    <w:pPr>
      <w:keepNext/>
      <w:keepLines/>
      <w:spacing w:before="240" w:after="40" w:line="240" w:lineRule="auto"/>
      <w:outlineLvl w:val="1"/>
    </w:pPr>
    <w:rPr>
      <w:b/>
      <w:sz w:val="24"/>
      <w:szCs w:val="24"/>
    </w:rPr>
  </w:style>
  <w:style w:type="paragraph" w:styleId="Heading3">
    <w:name w:val="heading 3"/>
    <w:basedOn w:val="Heading2"/>
    <w:next w:val="Normal"/>
    <w:uiPriority w:val="9"/>
    <w:unhideWhenUsed/>
    <w:qFormat/>
    <w:rsid w:val="00342914"/>
    <w:pPr>
      <w:outlineLvl w:val="2"/>
    </w:p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5F348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5336"/>
    <w:pPr>
      <w:spacing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5F5336"/>
    <w:pPr>
      <w:spacing w:after="100"/>
      <w:ind w:left="220"/>
    </w:pPr>
  </w:style>
  <w:style w:type="character" w:styleId="Hyperlink">
    <w:name w:val="Hyperlink"/>
    <w:basedOn w:val="DefaultParagraphFont"/>
    <w:uiPriority w:val="99"/>
    <w:unhideWhenUsed/>
    <w:rsid w:val="005F5336"/>
    <w:rPr>
      <w:color w:val="0000FF" w:themeColor="hyperlink"/>
      <w:u w:val="single"/>
    </w:rPr>
  </w:style>
  <w:style w:type="paragraph" w:customStyle="1" w:styleId="SingleTxtG">
    <w:name w:val="_ Single Txt_G"/>
    <w:basedOn w:val="Normal"/>
    <w:rsid w:val="00FA055B"/>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paragraph" w:styleId="TOC1">
    <w:name w:val="toc 1"/>
    <w:basedOn w:val="Normal"/>
    <w:next w:val="Normal"/>
    <w:autoRedefine/>
    <w:uiPriority w:val="39"/>
    <w:unhideWhenUsed/>
    <w:rsid w:val="00342914"/>
    <w:pPr>
      <w:spacing w:after="100"/>
    </w:pPr>
  </w:style>
  <w:style w:type="paragraph" w:styleId="TOC3">
    <w:name w:val="toc 3"/>
    <w:basedOn w:val="Normal"/>
    <w:next w:val="Normal"/>
    <w:autoRedefine/>
    <w:uiPriority w:val="39"/>
    <w:unhideWhenUsed/>
    <w:rsid w:val="00342914"/>
    <w:pPr>
      <w:spacing w:after="100"/>
      <w:ind w:left="440"/>
    </w:pPr>
  </w:style>
  <w:style w:type="character" w:styleId="UnresolvedMention">
    <w:name w:val="Unresolved Mention"/>
    <w:basedOn w:val="DefaultParagraphFont"/>
    <w:uiPriority w:val="99"/>
    <w:semiHidden/>
    <w:unhideWhenUsed/>
    <w:rsid w:val="00C20AE1"/>
    <w:rPr>
      <w:color w:val="605E5C"/>
      <w:shd w:val="clear" w:color="auto" w:fill="E1DFDD"/>
    </w:rPr>
  </w:style>
  <w:style w:type="paragraph" w:styleId="Header">
    <w:name w:val="header"/>
    <w:basedOn w:val="Normal"/>
    <w:link w:val="HeaderChar"/>
    <w:uiPriority w:val="99"/>
    <w:unhideWhenUsed/>
    <w:rsid w:val="004E529E"/>
    <w:pPr>
      <w:tabs>
        <w:tab w:val="center" w:pos="4513"/>
        <w:tab w:val="right" w:pos="9026"/>
      </w:tabs>
      <w:spacing w:line="240" w:lineRule="auto"/>
    </w:pPr>
  </w:style>
  <w:style w:type="character" w:customStyle="1" w:styleId="HeaderChar">
    <w:name w:val="Header Char"/>
    <w:basedOn w:val="DefaultParagraphFont"/>
    <w:link w:val="Header"/>
    <w:uiPriority w:val="99"/>
    <w:rsid w:val="004E529E"/>
  </w:style>
  <w:style w:type="paragraph" w:styleId="Footer">
    <w:name w:val="footer"/>
    <w:basedOn w:val="Normal"/>
    <w:link w:val="FooterChar"/>
    <w:uiPriority w:val="99"/>
    <w:unhideWhenUsed/>
    <w:rsid w:val="004E529E"/>
    <w:pPr>
      <w:tabs>
        <w:tab w:val="center" w:pos="4513"/>
        <w:tab w:val="right" w:pos="9026"/>
      </w:tabs>
      <w:spacing w:line="240" w:lineRule="auto"/>
    </w:pPr>
  </w:style>
  <w:style w:type="character" w:customStyle="1" w:styleId="FooterChar">
    <w:name w:val="Footer Char"/>
    <w:basedOn w:val="DefaultParagraphFont"/>
    <w:link w:val="Footer"/>
    <w:uiPriority w:val="99"/>
    <w:rsid w:val="004E529E"/>
  </w:style>
  <w:style w:type="paragraph" w:styleId="FootnoteText">
    <w:name w:val="footnote text"/>
    <w:basedOn w:val="Normal"/>
    <w:link w:val="FootnoteTextChar"/>
    <w:uiPriority w:val="99"/>
    <w:unhideWhenUsed/>
    <w:rsid w:val="003B3444"/>
    <w:pPr>
      <w:spacing w:line="240" w:lineRule="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3B3444"/>
    <w:rPr>
      <w:rFonts w:asciiTheme="minorHAnsi" w:eastAsiaTheme="minorHAnsi" w:hAnsiTheme="minorHAnsi" w:cstheme="minorBidi"/>
      <w:sz w:val="20"/>
      <w:szCs w:val="20"/>
      <w:lang w:eastAsia="en-US"/>
    </w:rPr>
  </w:style>
  <w:style w:type="character" w:styleId="FootnoteReference">
    <w:name w:val="footnote reference"/>
    <w:basedOn w:val="DefaultParagraphFont"/>
    <w:uiPriority w:val="99"/>
    <w:unhideWhenUsed/>
    <w:rsid w:val="003B3444"/>
    <w:rPr>
      <w:vertAlign w:val="superscript"/>
    </w:rPr>
  </w:style>
  <w:style w:type="paragraph" w:styleId="BalloonText">
    <w:name w:val="Balloon Text"/>
    <w:basedOn w:val="Normal"/>
    <w:link w:val="BalloonTextChar"/>
    <w:uiPriority w:val="99"/>
    <w:semiHidden/>
    <w:unhideWhenUsed/>
    <w:rsid w:val="0001236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367"/>
    <w:rPr>
      <w:rFonts w:ascii="Segoe UI" w:hAnsi="Segoe UI" w:cs="Segoe UI"/>
      <w:sz w:val="18"/>
      <w:szCs w:val="18"/>
    </w:rPr>
  </w:style>
  <w:style w:type="paragraph" w:styleId="ListParagraph">
    <w:name w:val="List Paragraph"/>
    <w:basedOn w:val="Normal"/>
    <w:uiPriority w:val="34"/>
    <w:qFormat/>
    <w:rsid w:val="009137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3640">
      <w:bodyDiv w:val="1"/>
      <w:marLeft w:val="0"/>
      <w:marRight w:val="0"/>
      <w:marTop w:val="0"/>
      <w:marBottom w:val="0"/>
      <w:divBdr>
        <w:top w:val="none" w:sz="0" w:space="0" w:color="auto"/>
        <w:left w:val="none" w:sz="0" w:space="0" w:color="auto"/>
        <w:bottom w:val="none" w:sz="0" w:space="0" w:color="auto"/>
        <w:right w:val="none" w:sz="0" w:space="0" w:color="auto"/>
      </w:divBdr>
    </w:div>
    <w:div w:id="223835467">
      <w:bodyDiv w:val="1"/>
      <w:marLeft w:val="0"/>
      <w:marRight w:val="0"/>
      <w:marTop w:val="0"/>
      <w:marBottom w:val="0"/>
      <w:divBdr>
        <w:top w:val="none" w:sz="0" w:space="0" w:color="auto"/>
        <w:left w:val="none" w:sz="0" w:space="0" w:color="auto"/>
        <w:bottom w:val="none" w:sz="0" w:space="0" w:color="auto"/>
        <w:right w:val="none" w:sz="0" w:space="0" w:color="auto"/>
      </w:divBdr>
    </w:div>
    <w:div w:id="325861904">
      <w:bodyDiv w:val="1"/>
      <w:marLeft w:val="0"/>
      <w:marRight w:val="0"/>
      <w:marTop w:val="0"/>
      <w:marBottom w:val="0"/>
      <w:divBdr>
        <w:top w:val="none" w:sz="0" w:space="0" w:color="auto"/>
        <w:left w:val="none" w:sz="0" w:space="0" w:color="auto"/>
        <w:bottom w:val="none" w:sz="0" w:space="0" w:color="auto"/>
        <w:right w:val="none" w:sz="0" w:space="0" w:color="auto"/>
      </w:divBdr>
    </w:div>
    <w:div w:id="436368392">
      <w:bodyDiv w:val="1"/>
      <w:marLeft w:val="0"/>
      <w:marRight w:val="0"/>
      <w:marTop w:val="0"/>
      <w:marBottom w:val="0"/>
      <w:divBdr>
        <w:top w:val="none" w:sz="0" w:space="0" w:color="auto"/>
        <w:left w:val="none" w:sz="0" w:space="0" w:color="auto"/>
        <w:bottom w:val="none" w:sz="0" w:space="0" w:color="auto"/>
        <w:right w:val="none" w:sz="0" w:space="0" w:color="auto"/>
      </w:divBdr>
    </w:div>
    <w:div w:id="446893420">
      <w:bodyDiv w:val="1"/>
      <w:marLeft w:val="0"/>
      <w:marRight w:val="0"/>
      <w:marTop w:val="0"/>
      <w:marBottom w:val="0"/>
      <w:divBdr>
        <w:top w:val="none" w:sz="0" w:space="0" w:color="auto"/>
        <w:left w:val="none" w:sz="0" w:space="0" w:color="auto"/>
        <w:bottom w:val="none" w:sz="0" w:space="0" w:color="auto"/>
        <w:right w:val="none" w:sz="0" w:space="0" w:color="auto"/>
      </w:divBdr>
    </w:div>
    <w:div w:id="826365021">
      <w:bodyDiv w:val="1"/>
      <w:marLeft w:val="0"/>
      <w:marRight w:val="0"/>
      <w:marTop w:val="0"/>
      <w:marBottom w:val="0"/>
      <w:divBdr>
        <w:top w:val="none" w:sz="0" w:space="0" w:color="auto"/>
        <w:left w:val="none" w:sz="0" w:space="0" w:color="auto"/>
        <w:bottom w:val="none" w:sz="0" w:space="0" w:color="auto"/>
        <w:right w:val="none" w:sz="0" w:space="0" w:color="auto"/>
      </w:divBdr>
    </w:div>
    <w:div w:id="1168979401">
      <w:bodyDiv w:val="1"/>
      <w:marLeft w:val="0"/>
      <w:marRight w:val="0"/>
      <w:marTop w:val="0"/>
      <w:marBottom w:val="0"/>
      <w:divBdr>
        <w:top w:val="none" w:sz="0" w:space="0" w:color="auto"/>
        <w:left w:val="none" w:sz="0" w:space="0" w:color="auto"/>
        <w:bottom w:val="none" w:sz="0" w:space="0" w:color="auto"/>
        <w:right w:val="none" w:sz="0" w:space="0" w:color="auto"/>
      </w:divBdr>
    </w:div>
    <w:div w:id="1184707360">
      <w:bodyDiv w:val="1"/>
      <w:marLeft w:val="0"/>
      <w:marRight w:val="0"/>
      <w:marTop w:val="0"/>
      <w:marBottom w:val="0"/>
      <w:divBdr>
        <w:top w:val="none" w:sz="0" w:space="0" w:color="auto"/>
        <w:left w:val="none" w:sz="0" w:space="0" w:color="auto"/>
        <w:bottom w:val="none" w:sz="0" w:space="0" w:color="auto"/>
        <w:right w:val="none" w:sz="0" w:space="0" w:color="auto"/>
      </w:divBdr>
    </w:div>
    <w:div w:id="1190221647">
      <w:bodyDiv w:val="1"/>
      <w:marLeft w:val="0"/>
      <w:marRight w:val="0"/>
      <w:marTop w:val="0"/>
      <w:marBottom w:val="0"/>
      <w:divBdr>
        <w:top w:val="none" w:sz="0" w:space="0" w:color="auto"/>
        <w:left w:val="none" w:sz="0" w:space="0" w:color="auto"/>
        <w:bottom w:val="none" w:sz="0" w:space="0" w:color="auto"/>
        <w:right w:val="none" w:sz="0" w:space="0" w:color="auto"/>
      </w:divBdr>
    </w:div>
    <w:div w:id="1210654934">
      <w:bodyDiv w:val="1"/>
      <w:marLeft w:val="0"/>
      <w:marRight w:val="0"/>
      <w:marTop w:val="0"/>
      <w:marBottom w:val="0"/>
      <w:divBdr>
        <w:top w:val="none" w:sz="0" w:space="0" w:color="auto"/>
        <w:left w:val="none" w:sz="0" w:space="0" w:color="auto"/>
        <w:bottom w:val="none" w:sz="0" w:space="0" w:color="auto"/>
        <w:right w:val="none" w:sz="0" w:space="0" w:color="auto"/>
      </w:divBdr>
    </w:div>
    <w:div w:id="1350914822">
      <w:bodyDiv w:val="1"/>
      <w:marLeft w:val="0"/>
      <w:marRight w:val="0"/>
      <w:marTop w:val="0"/>
      <w:marBottom w:val="0"/>
      <w:divBdr>
        <w:top w:val="none" w:sz="0" w:space="0" w:color="auto"/>
        <w:left w:val="none" w:sz="0" w:space="0" w:color="auto"/>
        <w:bottom w:val="none" w:sz="0" w:space="0" w:color="auto"/>
        <w:right w:val="none" w:sz="0" w:space="0" w:color="auto"/>
      </w:divBdr>
    </w:div>
    <w:div w:id="1525752864">
      <w:bodyDiv w:val="1"/>
      <w:marLeft w:val="0"/>
      <w:marRight w:val="0"/>
      <w:marTop w:val="0"/>
      <w:marBottom w:val="0"/>
      <w:divBdr>
        <w:top w:val="none" w:sz="0" w:space="0" w:color="auto"/>
        <w:left w:val="none" w:sz="0" w:space="0" w:color="auto"/>
        <w:bottom w:val="none" w:sz="0" w:space="0" w:color="auto"/>
        <w:right w:val="none" w:sz="0" w:space="0" w:color="auto"/>
      </w:divBdr>
    </w:div>
    <w:div w:id="1528366631">
      <w:bodyDiv w:val="1"/>
      <w:marLeft w:val="0"/>
      <w:marRight w:val="0"/>
      <w:marTop w:val="0"/>
      <w:marBottom w:val="0"/>
      <w:divBdr>
        <w:top w:val="none" w:sz="0" w:space="0" w:color="auto"/>
        <w:left w:val="none" w:sz="0" w:space="0" w:color="auto"/>
        <w:bottom w:val="none" w:sz="0" w:space="0" w:color="auto"/>
        <w:right w:val="none" w:sz="0" w:space="0" w:color="auto"/>
      </w:divBdr>
    </w:div>
    <w:div w:id="1560440630">
      <w:bodyDiv w:val="1"/>
      <w:marLeft w:val="0"/>
      <w:marRight w:val="0"/>
      <w:marTop w:val="0"/>
      <w:marBottom w:val="0"/>
      <w:divBdr>
        <w:top w:val="none" w:sz="0" w:space="0" w:color="auto"/>
        <w:left w:val="none" w:sz="0" w:space="0" w:color="auto"/>
        <w:bottom w:val="none" w:sz="0" w:space="0" w:color="auto"/>
        <w:right w:val="none" w:sz="0" w:space="0" w:color="auto"/>
      </w:divBdr>
    </w:div>
    <w:div w:id="1711801828">
      <w:bodyDiv w:val="1"/>
      <w:marLeft w:val="0"/>
      <w:marRight w:val="0"/>
      <w:marTop w:val="0"/>
      <w:marBottom w:val="0"/>
      <w:divBdr>
        <w:top w:val="none" w:sz="0" w:space="0" w:color="auto"/>
        <w:left w:val="none" w:sz="0" w:space="0" w:color="auto"/>
        <w:bottom w:val="none" w:sz="0" w:space="0" w:color="auto"/>
        <w:right w:val="none" w:sz="0" w:space="0" w:color="auto"/>
      </w:divBdr>
    </w:div>
    <w:div w:id="1792893241">
      <w:bodyDiv w:val="1"/>
      <w:marLeft w:val="0"/>
      <w:marRight w:val="0"/>
      <w:marTop w:val="0"/>
      <w:marBottom w:val="0"/>
      <w:divBdr>
        <w:top w:val="none" w:sz="0" w:space="0" w:color="auto"/>
        <w:left w:val="none" w:sz="0" w:space="0" w:color="auto"/>
        <w:bottom w:val="none" w:sz="0" w:space="0" w:color="auto"/>
        <w:right w:val="none" w:sz="0" w:space="0" w:color="auto"/>
      </w:divBdr>
    </w:div>
    <w:div w:id="1795980921">
      <w:bodyDiv w:val="1"/>
      <w:marLeft w:val="0"/>
      <w:marRight w:val="0"/>
      <w:marTop w:val="0"/>
      <w:marBottom w:val="0"/>
      <w:divBdr>
        <w:top w:val="none" w:sz="0" w:space="0" w:color="auto"/>
        <w:left w:val="none" w:sz="0" w:space="0" w:color="auto"/>
        <w:bottom w:val="none" w:sz="0" w:space="0" w:color="auto"/>
        <w:right w:val="none" w:sz="0" w:space="0" w:color="auto"/>
      </w:divBdr>
    </w:div>
    <w:div w:id="1888839221">
      <w:bodyDiv w:val="1"/>
      <w:marLeft w:val="0"/>
      <w:marRight w:val="0"/>
      <w:marTop w:val="0"/>
      <w:marBottom w:val="0"/>
      <w:divBdr>
        <w:top w:val="none" w:sz="0" w:space="0" w:color="auto"/>
        <w:left w:val="none" w:sz="0" w:space="0" w:color="auto"/>
        <w:bottom w:val="none" w:sz="0" w:space="0" w:color="auto"/>
        <w:right w:val="none" w:sz="0" w:space="0" w:color="auto"/>
      </w:divBdr>
    </w:div>
    <w:div w:id="1934120500">
      <w:bodyDiv w:val="1"/>
      <w:marLeft w:val="0"/>
      <w:marRight w:val="0"/>
      <w:marTop w:val="0"/>
      <w:marBottom w:val="0"/>
      <w:divBdr>
        <w:top w:val="none" w:sz="0" w:space="0" w:color="auto"/>
        <w:left w:val="none" w:sz="0" w:space="0" w:color="auto"/>
        <w:bottom w:val="none" w:sz="0" w:space="0" w:color="auto"/>
        <w:right w:val="none" w:sz="0" w:space="0" w:color="auto"/>
      </w:divBdr>
    </w:div>
    <w:div w:id="1994678880">
      <w:bodyDiv w:val="1"/>
      <w:marLeft w:val="0"/>
      <w:marRight w:val="0"/>
      <w:marTop w:val="0"/>
      <w:marBottom w:val="0"/>
      <w:divBdr>
        <w:top w:val="none" w:sz="0" w:space="0" w:color="auto"/>
        <w:left w:val="none" w:sz="0" w:space="0" w:color="auto"/>
        <w:bottom w:val="none" w:sz="0" w:space="0" w:color="auto"/>
        <w:right w:val="none" w:sz="0" w:space="0" w:color="auto"/>
      </w:divBdr>
    </w:div>
    <w:div w:id="2127770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am.thornton@ucd.ie"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amthornton.ie"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nascireland.org/sites/default/files/Nasc-Working-Group-Report-Dec-2017.pdf" TargetMode="External"/><Relationship Id="rId13" Type="http://schemas.openxmlformats.org/officeDocument/2006/relationships/hyperlink" Target="http://www.irishstatutebook.ie/eli/2018/si/230/made/en/pdf" TargetMode="External"/><Relationship Id="rId18" Type="http://schemas.openxmlformats.org/officeDocument/2006/relationships/hyperlink" Target="https://ireland.cityofsanctuary.org/" TargetMode="External"/><Relationship Id="rId26" Type="http://schemas.openxmlformats.org/officeDocument/2006/relationships/hyperlink" Target="https://www.ihrec.ie/app/uploads/download/pdf/ihrec_policy_statement_on_direct_provision_10dec14.pdf" TargetMode="External"/><Relationship Id="rId39" Type="http://schemas.openxmlformats.org/officeDocument/2006/relationships/hyperlink" Target="https://www.welfare.ie/en/downloads/RunningConsolidation-of2005Act.pdf" TargetMode="External"/><Relationship Id="rId3" Type="http://schemas.openxmlformats.org/officeDocument/2006/relationships/hyperlink" Target="https://www.oco.ie/Annual_17_English.pdf" TargetMode="External"/><Relationship Id="rId21" Type="http://schemas.openxmlformats.org/officeDocument/2006/relationships/hyperlink" Target="http://emn.ie/files/p_20130114024934directdiscrimination.pdf" TargetMode="External"/><Relationship Id="rId34" Type="http://schemas.openxmlformats.org/officeDocument/2006/relationships/hyperlink" Target="https://www.thejournal.ie/asylum-seekers-hotel-laundry-4764880-Aug2019/" TargetMode="External"/><Relationship Id="rId42" Type="http://schemas.openxmlformats.org/officeDocument/2006/relationships/hyperlink" Target="http://courts.ie/Judgments.nsf/768d83be24938e1180256ef30048ca51/f68609b8bd57b2bf802583e5003df3ef?OpenDocument" TargetMode="External"/><Relationship Id="rId7" Type="http://schemas.openxmlformats.org/officeDocument/2006/relationships/hyperlink" Target="http://www.justice.ie/en/JELR/3rd_WG_Progress_Report_-_July_2017.pdf/Files/3rd_WG_Progress_Report_-_July_2017.pdf" TargetMode="External"/><Relationship Id="rId12" Type="http://schemas.openxmlformats.org/officeDocument/2006/relationships/hyperlink" Target="http://www.justice.ie/en/JELR/Final_Standards.docx/Files/Final_Standards.docx" TargetMode="External"/><Relationship Id="rId17" Type="http://schemas.openxmlformats.org/officeDocument/2006/relationships/hyperlink" Target="https://www.education.ie/en/Learners/Services/Pilot-Support-Scheme/Higher-Education-Pilot-Support-Scheme.pdf" TargetMode="External"/><Relationship Id="rId25" Type="http://schemas.openxmlformats.org/officeDocument/2006/relationships/hyperlink" Target="https://data.oireachtas.ie/ie/oireachtas/debateRecord/joint_committee_on_justice_and_equality/2019-05-29/debate/mul@/main.pdf" TargetMode="External"/><Relationship Id="rId33" Type="http://schemas.openxmlformats.org/officeDocument/2006/relationships/hyperlink" Target="http://www.justice.ie/en/JELR/Report%20to%20Government%20on%20Improvements%20to%20the%20Protection%20Process,%20including%20Direct%20Provision%20and%20Supports%20to%20Asylum%20Seekers.pdf/Files/Report%20to%20Government%20on%20Improvements%20to%20the%20Protection%20Process,%20including%20Direct%20Provision%20and%20Supports%20to%20Asylum%20Seekers.pdf" TargetMode="External"/><Relationship Id="rId38" Type="http://schemas.openxmlformats.org/officeDocument/2006/relationships/hyperlink" Target="https://liamthornton.ie/2018/10/10/enhancing-the-rights-of-asylum-seekers-in-budget-2019/" TargetMode="External"/><Relationship Id="rId46" Type="http://schemas.openxmlformats.org/officeDocument/2006/relationships/hyperlink" Target="http://tbinternet.ohchr.org/Treaties/CERD/Shared%20Documents/MDA/INT_CERD_COC_MDA_27476_E.pdf" TargetMode="External"/><Relationship Id="rId2" Type="http://schemas.openxmlformats.org/officeDocument/2006/relationships/hyperlink" Target="https://www.ombudsman.ie/downloads/Direct-Provision-2018.pdf" TargetMode="External"/><Relationship Id="rId16" Type="http://schemas.openxmlformats.org/officeDocument/2006/relationships/hyperlink" Target="http://www.justice.ie/en/JELR/Spending_Review.pdf/Files/Spending_Review.pdf" TargetMode="External"/><Relationship Id="rId20" Type="http://schemas.openxmlformats.org/officeDocument/2006/relationships/hyperlink" Target="http://www.ria.gov.ie/en/RIA/Pages/Statistics" TargetMode="External"/><Relationship Id="rId29" Type="http://schemas.openxmlformats.org/officeDocument/2006/relationships/hyperlink" Target="https://www.oireachtas.ie/en/debates/question/2019-07-10/225/" TargetMode="External"/><Relationship Id="rId41" Type="http://schemas.openxmlformats.org/officeDocument/2006/relationships/hyperlink" Target="https://www.welfare.ie/en/downloads/RunningConsolidation-of2005Act.pdf" TargetMode="External"/><Relationship Id="rId1" Type="http://schemas.openxmlformats.org/officeDocument/2006/relationships/hyperlink" Target="https://www.ombudsman.ie/publications/reports/the-ombudsman-and-direct/Direct-Provision-Commentary.pdf" TargetMode="External"/><Relationship Id="rId6" Type="http://schemas.openxmlformats.org/officeDocument/2006/relationships/hyperlink" Target="https://papers.ssrn.com/sol3/papers.cfm?abstract_id=2685268" TargetMode="External"/><Relationship Id="rId11" Type="http://schemas.openxmlformats.org/officeDocument/2006/relationships/hyperlink" Target="https://liamthornton.ie/2018/10/10/enhancing-the-rights-of-asylum-seekers-in-budget-2019/" TargetMode="External"/><Relationship Id="rId24" Type="http://schemas.openxmlformats.org/officeDocument/2006/relationships/hyperlink" Target="https://nascireland.org/sites/default/files/WhatsFoodFINAL.pdf" TargetMode="External"/><Relationship Id="rId32" Type="http://schemas.openxmlformats.org/officeDocument/2006/relationships/hyperlink" Target="https://data.oireachtas.ie/ie/oireachtas/committee/dail/32/joint_committee_on_justice_and_equality/submissions/2019/2019-06-19_opening-statement-oonagh-buckley-deputy-secretary-general-department-of-justice-and-equality_en.pdf" TargetMode="External"/><Relationship Id="rId37" Type="http://schemas.openxmlformats.org/officeDocument/2006/relationships/hyperlink" Target="https://liamthornton.ie/2017/07/17/understanding-the-increases-in-direct-provision-allowance-for-asylum-seekers/" TargetMode="External"/><Relationship Id="rId40" Type="http://schemas.openxmlformats.org/officeDocument/2006/relationships/hyperlink" Target="https://www.welfare.ie/en/downloads/RunningConsolidation-of2005Act.pdf" TargetMode="External"/><Relationship Id="rId45" Type="http://schemas.openxmlformats.org/officeDocument/2006/relationships/hyperlink" Target="http://tbinternet.ohchr.org/Treaties/CERD/Shared%20Documents/CYP/INT_CERD_COC_CYP_27472_E.pdf" TargetMode="External"/><Relationship Id="rId5" Type="http://schemas.openxmlformats.org/officeDocument/2006/relationships/hyperlink" Target="http://www.justice.ie/en/JELR/Report%20to%20Government%20on%20Improvements%20to%20the%20Protection%20Process,%20including%20Direct%20Provision%20and%20Supports%20to%20Asylum%20Seekers.pdf/Files/Report%20to%20Government%20on%20Improvements%20to%20the%20Protection%20Process,%20including%20Direct%20Provision%20and%20Supports%20to%20Asylum%20Seekers.pdf" TargetMode="External"/><Relationship Id="rId15" Type="http://schemas.openxmlformats.org/officeDocument/2006/relationships/hyperlink" Target="https://www.oireachtas.ie/en/debates/question/2019-07-11/364/" TargetMode="External"/><Relationship Id="rId23" Type="http://schemas.openxmlformats.org/officeDocument/2006/relationships/hyperlink" Target="https://www.irishrefugeecouncil.ie/wp-content/uploads/2012/09/State-sanctioned-child-poverty-and-exclusion.pdf" TargetMode="External"/><Relationship Id="rId28" Type="http://schemas.openxmlformats.org/officeDocument/2006/relationships/hyperlink" Target="https://www.dcya.gov.ie/documents/child_welfare_protection/2018121811ReportSpecRappChildProtect.pdf" TargetMode="External"/><Relationship Id="rId36" Type="http://schemas.openxmlformats.org/officeDocument/2006/relationships/hyperlink" Target="https://twitter.com/masi_asylum/status/1162810271091609600" TargetMode="External"/><Relationship Id="rId10" Type="http://schemas.openxmlformats.org/officeDocument/2006/relationships/hyperlink" Target="https://liamthornton.ie/2017/07/17/understanding-the-increases-in-direct-provision-allowance-for-asylum-seekers/" TargetMode="External"/><Relationship Id="rId19" Type="http://schemas.openxmlformats.org/officeDocument/2006/relationships/hyperlink" Target="https://www.oireachtas.ie/en/debates/debate/dail/2019-07-11/39/" TargetMode="External"/><Relationship Id="rId31" Type="http://schemas.openxmlformats.org/officeDocument/2006/relationships/hyperlink" Target="http://courts.ie/Judgments.nsf/768d83be24938e1180256ef30048ca51/f68609b8bd57b2bf802583e5003df3ef?OpenDocument" TargetMode="External"/><Relationship Id="rId44" Type="http://schemas.openxmlformats.org/officeDocument/2006/relationships/hyperlink" Target="http://docstore.ohchr.org/SelfServices/FilesHandler.ashx?enc=6QkG1d%2fPPRiCAqhKb7yhsiRxZSMsfNX9nm41Kg%2bXkh6m%2bOm%2boGWGRe7pRGFETs2i1snV1eW4I925AMWryNN0HkOr0jbq88M27k87KYBJRfj8dJXqp5YZkHCg%2f7rpOID4G3ZCTMFeFREpVLJbhA27ig%3d%3d" TargetMode="External"/><Relationship Id="rId4" Type="http://schemas.openxmlformats.org/officeDocument/2006/relationships/hyperlink" Target="https://www.oco.ie/app/uploads/2019/05/14893_OCO_Annual-Report-2018_Web.pdf" TargetMode="External"/><Relationship Id="rId9" Type="http://schemas.openxmlformats.org/officeDocument/2006/relationships/hyperlink" Target="http://www.irishstatutebook.ie/eli/2018/si/230/made/en/pdf" TargetMode="External"/><Relationship Id="rId14" Type="http://schemas.openxmlformats.org/officeDocument/2006/relationships/hyperlink" Target="https://data.oireachtas.ie/ie/oireachtas/committee/dail/32/joint_committee_on_justice_and_equality/submissions/2019/2019-06-19_opening-statement-oonagh-buckley-deputy-secretary-general-department-of-justice-and-equality_en.pdf" TargetMode="External"/><Relationship Id="rId22" Type="http://schemas.openxmlformats.org/officeDocument/2006/relationships/hyperlink" Target="https://www.flac.ie/download/pdf/one_size_doesnt_fit_all_full_report_final.pdf?issuusl=ignore" TargetMode="External"/><Relationship Id="rId27" Type="http://schemas.openxmlformats.org/officeDocument/2006/relationships/hyperlink" Target="https://www.dcya.gov.ie/documents/publications/5RapporteurRepChildProtection.pdf" TargetMode="External"/><Relationship Id="rId30" Type="http://schemas.openxmlformats.org/officeDocument/2006/relationships/hyperlink" Target="https://www.oireachtas.ie/en/debates/question/2019-07-10/225/" TargetMode="External"/><Relationship Id="rId35" Type="http://schemas.openxmlformats.org/officeDocument/2006/relationships/hyperlink" Target="https://twitter.com/masi_asylum/status/1162328677675388928" TargetMode="External"/><Relationship Id="rId43" Type="http://schemas.openxmlformats.org/officeDocument/2006/relationships/hyperlink" Target="https://eur-lex.europa.eu/legal-content/EN/TXT/PDF/?uri=CELEX:62019CN0322&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853F0A-B6FA-4B2F-AFBC-2F9271F50D9A}">
  <ds:schemaRefs>
    <ds:schemaRef ds:uri="http://schemas.openxmlformats.org/officeDocument/2006/bibliography"/>
  </ds:schemaRefs>
</ds:datastoreItem>
</file>

<file path=customXml/itemProps2.xml><?xml version="1.0" encoding="utf-8"?>
<ds:datastoreItem xmlns:ds="http://schemas.openxmlformats.org/officeDocument/2006/customXml" ds:itemID="{D07F60B3-01E4-417D-9395-67CCDA0F9F02}"/>
</file>

<file path=customXml/itemProps3.xml><?xml version="1.0" encoding="utf-8"?>
<ds:datastoreItem xmlns:ds="http://schemas.openxmlformats.org/officeDocument/2006/customXml" ds:itemID="{6BEA90B0-895C-4BA8-8E1B-264F18C8ABEF}"/>
</file>

<file path=customXml/itemProps4.xml><?xml version="1.0" encoding="utf-8"?>
<ds:datastoreItem xmlns:ds="http://schemas.openxmlformats.org/officeDocument/2006/customXml" ds:itemID="{B0AE4BC8-1F6A-4FDA-8A16-AA7C44087679}"/>
</file>

<file path=docProps/app.xml><?xml version="1.0" encoding="utf-8"?>
<Properties xmlns="http://schemas.openxmlformats.org/officeDocument/2006/extended-properties" xmlns:vt="http://schemas.openxmlformats.org/officeDocument/2006/docPropsVTypes">
  <Template>Normal</Template>
  <TotalTime>135</TotalTime>
  <Pages>7</Pages>
  <Words>1582</Words>
  <Characters>9022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lthornt</dc:creator>
  <cp:lastModifiedBy>Liam Thornton</cp:lastModifiedBy>
  <cp:revision>6</cp:revision>
  <cp:lastPrinted>2019-08-20T13:01:00Z</cp:lastPrinted>
  <dcterms:created xsi:type="dcterms:W3CDTF">2019-08-19T14:23:00Z</dcterms:created>
  <dcterms:modified xsi:type="dcterms:W3CDTF">2019-08-20T15:22:00Z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