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BDE" w:rsidRDefault="00B12BDE" w:rsidP="0063698B">
      <w:pPr>
        <w:rPr>
          <w:sz w:val="28"/>
          <w:szCs w:val="28"/>
        </w:rPr>
      </w:pPr>
      <w:bookmarkStart w:id="0" w:name="_GoBack"/>
      <w:bookmarkEnd w:id="0"/>
      <w:r w:rsidRPr="003D36DE">
        <w:rPr>
          <w:rFonts w:ascii="Arial Rounded MT Bold" w:hAnsi="Arial Rounded MT Bold" w:cstheme="majorBidi"/>
          <w:color w:val="4F81BD" w:themeColor="accent1"/>
          <w:sz w:val="28"/>
          <w:szCs w:val="28"/>
        </w:rPr>
        <w:t>Contribution de l’Association Mauritanienne d’Aide aux Nécessiteux (ONG AMANE) à l’élaboration de la liste des questions à adresser à l’</w:t>
      </w:r>
      <w:r w:rsidR="0063698B" w:rsidRPr="003D36DE">
        <w:rPr>
          <w:rFonts w:ascii="Arial Rounded MT Bold" w:hAnsi="Arial Rounded MT Bold" w:cstheme="majorBidi"/>
          <w:color w:val="4F81BD" w:themeColor="accent1"/>
          <w:sz w:val="28"/>
          <w:szCs w:val="28"/>
        </w:rPr>
        <w:t xml:space="preserve">Etat Mauritanien en vue de l’adoption </w:t>
      </w:r>
      <w:r w:rsidRPr="003D36DE">
        <w:rPr>
          <w:rFonts w:ascii="Arial Rounded MT Bold" w:hAnsi="Arial Rounded MT Bold" w:cstheme="majorBidi"/>
          <w:color w:val="4F81BD" w:themeColor="accent1"/>
          <w:sz w:val="28"/>
          <w:szCs w:val="28"/>
        </w:rPr>
        <w:t>de son rapport combiné initial et périodique durant</w:t>
      </w:r>
      <w:r w:rsidR="0063698B" w:rsidRPr="003D36DE">
        <w:rPr>
          <w:rFonts w:ascii="Arial Rounded MT Bold" w:hAnsi="Arial Rounded MT Bold" w:cstheme="majorBidi"/>
          <w:color w:val="4F81BD" w:themeColor="accent1"/>
          <w:sz w:val="28"/>
          <w:szCs w:val="28"/>
        </w:rPr>
        <w:t xml:space="preserve"> </w:t>
      </w:r>
      <w:r w:rsidRPr="003D36DE">
        <w:rPr>
          <w:rFonts w:ascii="Arial Rounded MT Bold" w:hAnsi="Arial Rounded MT Bold" w:cstheme="majorBidi"/>
          <w:color w:val="4F81BD" w:themeColor="accent1"/>
          <w:sz w:val="28"/>
          <w:szCs w:val="28"/>
        </w:rPr>
        <w:t>la 107 ème session du Comité des Droits de l’Homme en Mars 2013</w:t>
      </w:r>
      <w:r>
        <w:rPr>
          <w:sz w:val="28"/>
          <w:szCs w:val="28"/>
        </w:rPr>
        <w:t> :</w:t>
      </w:r>
    </w:p>
    <w:p w:rsidR="0063698B" w:rsidRPr="008A0040" w:rsidRDefault="00B12BDE" w:rsidP="008A0040">
      <w:pPr>
        <w:rPr>
          <w:b/>
          <w:bCs/>
          <w:sz w:val="28"/>
          <w:szCs w:val="28"/>
        </w:rPr>
      </w:pPr>
      <w:r>
        <w:rPr>
          <w:sz w:val="28"/>
          <w:szCs w:val="28"/>
        </w:rPr>
        <w:t xml:space="preserve">                                                                                  </w:t>
      </w:r>
      <w:r w:rsidRPr="00B12BDE">
        <w:rPr>
          <w:b/>
          <w:bCs/>
          <w:sz w:val="28"/>
          <w:szCs w:val="28"/>
        </w:rPr>
        <w:t>Décembre 2012</w:t>
      </w:r>
    </w:p>
    <w:p w:rsidR="00020011" w:rsidRDefault="005F058D" w:rsidP="00B12BDE">
      <w:pPr>
        <w:rPr>
          <w:b/>
          <w:bCs/>
          <w:sz w:val="28"/>
          <w:szCs w:val="28"/>
        </w:rPr>
      </w:pPr>
      <w:r w:rsidRPr="005F058D">
        <w:rPr>
          <w:b/>
          <w:bCs/>
          <w:sz w:val="28"/>
          <w:szCs w:val="28"/>
        </w:rPr>
        <w:t>Réponses question1</w:t>
      </w:r>
      <w:r>
        <w:rPr>
          <w:b/>
          <w:bCs/>
          <w:sz w:val="28"/>
          <w:szCs w:val="28"/>
        </w:rPr>
        <w:t> :</w:t>
      </w:r>
      <w:r w:rsidR="008A0040">
        <w:rPr>
          <w:b/>
          <w:bCs/>
          <w:sz w:val="28"/>
          <w:szCs w:val="28"/>
        </w:rPr>
        <w:t xml:space="preserve"> Cadre constitutionnel et juridique de l’application du Pacte (art. 2)</w:t>
      </w:r>
    </w:p>
    <w:p w:rsidR="005F058D" w:rsidRPr="00136C6B" w:rsidRDefault="005F058D" w:rsidP="005F058D">
      <w:pPr>
        <w:rPr>
          <w:rFonts w:ascii="Arial" w:hAnsi="Arial" w:cs="Arial"/>
          <w:sz w:val="20"/>
          <w:szCs w:val="20"/>
        </w:rPr>
      </w:pPr>
      <w:r w:rsidRPr="00136C6B">
        <w:rPr>
          <w:rFonts w:ascii="Arial" w:hAnsi="Arial" w:cs="Arial"/>
          <w:sz w:val="20"/>
          <w:szCs w:val="20"/>
        </w:rPr>
        <w:t>La constitution de 1991, ses les textes subséquents ainsi que l’Ordonnance (loi organique) n° 92-04 du 18 février 1992 relative au Conseil constitutionnel constituent les fondements juridiques du Conseil constitutionnel en Mauritanie.</w:t>
      </w:r>
    </w:p>
    <w:p w:rsidR="005F058D" w:rsidRPr="00136C6B" w:rsidRDefault="005F058D" w:rsidP="0013043B">
      <w:pPr>
        <w:autoSpaceDE w:val="0"/>
        <w:autoSpaceDN w:val="0"/>
        <w:adjustRightInd w:val="0"/>
        <w:spacing w:after="0" w:line="240" w:lineRule="auto"/>
        <w:rPr>
          <w:rFonts w:ascii="Arial" w:hAnsi="Arial" w:cs="Arial"/>
          <w:sz w:val="20"/>
          <w:szCs w:val="20"/>
        </w:rPr>
      </w:pPr>
      <w:r w:rsidRPr="00136C6B">
        <w:rPr>
          <w:rFonts w:ascii="Arial" w:hAnsi="Arial" w:cs="Arial"/>
          <w:b/>
          <w:bCs/>
          <w:i/>
          <w:iCs/>
          <w:sz w:val="20"/>
          <w:szCs w:val="20"/>
          <w:u w:val="single"/>
        </w:rPr>
        <w:t>En matière de contrôle des actes</w:t>
      </w:r>
      <w:r w:rsidRPr="00136C6B">
        <w:rPr>
          <w:rFonts w:ascii="Arial" w:hAnsi="Arial" w:cs="Arial"/>
          <w:i/>
          <w:iCs/>
          <w:sz w:val="20"/>
          <w:szCs w:val="20"/>
        </w:rPr>
        <w:t xml:space="preserve">, le </w:t>
      </w:r>
      <w:r w:rsidRPr="00136C6B">
        <w:rPr>
          <w:rFonts w:ascii="Arial" w:hAnsi="Arial" w:cs="Arial"/>
          <w:sz w:val="20"/>
          <w:szCs w:val="20"/>
        </w:rPr>
        <w:t xml:space="preserve">Conseil constitutionnel exerce un contrôle </w:t>
      </w:r>
      <w:r w:rsidRPr="00136C6B">
        <w:rPr>
          <w:rFonts w:ascii="Arial" w:hAnsi="Arial" w:cs="Arial"/>
          <w:i/>
          <w:iCs/>
          <w:sz w:val="20"/>
          <w:szCs w:val="20"/>
        </w:rPr>
        <w:t xml:space="preserve">a posteriori </w:t>
      </w:r>
      <w:r w:rsidRPr="00136C6B">
        <w:rPr>
          <w:rFonts w:ascii="Arial" w:hAnsi="Arial" w:cs="Arial"/>
          <w:sz w:val="20"/>
          <w:szCs w:val="20"/>
        </w:rPr>
        <w:t xml:space="preserve">de nature abstraite portant sur la constitutionnalité des actes fondamentaux (lois organiques, lois ordinaires, règlements des Assemblées parlementaires, engagements internationaux). Par conséquent, les instruments juridiques internationaux </w:t>
      </w:r>
      <w:r w:rsidR="0013043B" w:rsidRPr="00136C6B">
        <w:rPr>
          <w:rFonts w:ascii="Arial" w:hAnsi="Arial" w:cs="Arial"/>
          <w:sz w:val="20"/>
          <w:szCs w:val="20"/>
        </w:rPr>
        <w:t>pour les</w:t>
      </w:r>
      <w:r w:rsidRPr="00136C6B">
        <w:rPr>
          <w:rFonts w:ascii="Arial" w:hAnsi="Arial" w:cs="Arial"/>
          <w:sz w:val="20"/>
          <w:szCs w:val="20"/>
        </w:rPr>
        <w:t>quels la Mauritanie</w:t>
      </w:r>
      <w:r w:rsidR="0013043B" w:rsidRPr="00136C6B">
        <w:rPr>
          <w:rFonts w:ascii="Arial" w:hAnsi="Arial" w:cs="Arial"/>
          <w:sz w:val="20"/>
          <w:szCs w:val="20"/>
        </w:rPr>
        <w:t xml:space="preserve"> a pris des engagements n’échappent pas au contrôle du Conseil constitutionnel.</w:t>
      </w:r>
    </w:p>
    <w:p w:rsidR="005F058D" w:rsidRPr="00136C6B" w:rsidRDefault="005F058D" w:rsidP="005F058D">
      <w:pPr>
        <w:rPr>
          <w:b/>
          <w:bCs/>
          <w:u w:val="single"/>
        </w:rPr>
      </w:pPr>
    </w:p>
    <w:p w:rsidR="0013043B" w:rsidRPr="009D7CD6" w:rsidRDefault="0013043B" w:rsidP="005F058D">
      <w:pPr>
        <w:rPr>
          <w:sz w:val="24"/>
          <w:szCs w:val="24"/>
        </w:rPr>
      </w:pPr>
      <w:r w:rsidRPr="009D7CD6">
        <w:rPr>
          <w:sz w:val="24"/>
          <w:szCs w:val="24"/>
          <w:u w:val="single"/>
        </w:rPr>
        <w:t>L</w:t>
      </w:r>
      <w:r w:rsidRPr="009D7CD6">
        <w:rPr>
          <w:b/>
          <w:bCs/>
          <w:i/>
          <w:iCs/>
          <w:sz w:val="24"/>
          <w:szCs w:val="24"/>
          <w:u w:val="single"/>
        </w:rPr>
        <w:t>a constitution de 1991 a effectivement été amendée en 2006</w:t>
      </w:r>
      <w:r w:rsidRPr="009D7CD6">
        <w:rPr>
          <w:sz w:val="24"/>
          <w:szCs w:val="24"/>
        </w:rPr>
        <w:t xml:space="preserve"> par une loi constitutionnelle (Loi n°2006-014) portant rétablissement de la constitution du 20 juillet 1991 comme constitution de l’Etat et modifiant certaines de ses dispositions. </w:t>
      </w:r>
    </w:p>
    <w:p w:rsidR="003F0AE2" w:rsidRDefault="003F0AE2" w:rsidP="003F0AE2">
      <w:pPr>
        <w:rPr>
          <w:sz w:val="24"/>
          <w:szCs w:val="24"/>
        </w:rPr>
      </w:pPr>
      <w:r w:rsidRPr="009D7CD6">
        <w:rPr>
          <w:b/>
          <w:bCs/>
          <w:i/>
          <w:iCs/>
          <w:sz w:val="24"/>
          <w:szCs w:val="24"/>
          <w:u w:val="single"/>
        </w:rPr>
        <w:t>Une Haute cour de justice</w:t>
      </w:r>
      <w:r w:rsidRPr="009D7CD6">
        <w:rPr>
          <w:sz w:val="24"/>
          <w:szCs w:val="24"/>
        </w:rPr>
        <w:t xml:space="preserve"> a effectivement été créée en 2007 et est chargée de juger le président de la République en cas de haute trahison. </w:t>
      </w:r>
    </w:p>
    <w:p w:rsidR="003577F7" w:rsidRPr="003577F7" w:rsidRDefault="003577F7" w:rsidP="003577F7">
      <w:r w:rsidRPr="003577F7">
        <w:t>L’élaboration du rapport initial de la Mauritanie sur la mise en œuvre du pacte international relatif aux droits civils et politiques.</w:t>
      </w:r>
    </w:p>
    <w:p w:rsidR="003577F7" w:rsidRPr="003577F7" w:rsidRDefault="003577F7" w:rsidP="003577F7">
      <w:r w:rsidRPr="003577F7">
        <w:t xml:space="preserve">La réforme du droit a été centrée sur les actions suivantes : (1) l’actualisation des textes juridiques et des études thématiques ; (2) la préparation de l’ordonnance portant protection pénale de l’enfant pour y introduire les dispositions relatives à l’enfant- témoin et l’enfant victime et l’adoption de l’ensemble de ses textes d’application ; (3) l’élaboration d’un code de l’enfant ; et (4) l’élaboration d’une base de données juridiques. Dans le cadre de l’actualisation des textes juridiques, des actions importantes ont été engagées : (1) une étude d’évaluation des 10 ans de la mise en </w:t>
      </w:r>
      <w:proofErr w:type="spellStart"/>
      <w:r w:rsidRPr="003577F7">
        <w:t>oeuvre</w:t>
      </w:r>
      <w:proofErr w:type="spellEnd"/>
      <w:r w:rsidRPr="003577F7">
        <w:t xml:space="preserve"> du Code du statut personnel (CSP), ainsi que l’assistance juridique apportée aux personnes victimes de violations</w:t>
      </w:r>
    </w:p>
    <w:p w:rsidR="00136C6B" w:rsidRPr="003577F7" w:rsidRDefault="00136C6B" w:rsidP="003F0AE2"/>
    <w:p w:rsidR="007E3D86" w:rsidRPr="009D7CD6" w:rsidRDefault="00020011" w:rsidP="00C96D93">
      <w:pPr>
        <w:rPr>
          <w:b/>
          <w:bCs/>
          <w:sz w:val="24"/>
          <w:szCs w:val="24"/>
        </w:rPr>
      </w:pPr>
      <w:r w:rsidRPr="009D7CD6">
        <w:rPr>
          <w:b/>
          <w:bCs/>
          <w:sz w:val="24"/>
          <w:szCs w:val="24"/>
        </w:rPr>
        <w:t>Question 2 : Egalité entre homme et femme et principe de non discrimination (art. 3 et 26)</w:t>
      </w:r>
      <w:r w:rsidR="007B5743" w:rsidRPr="009D7CD6">
        <w:rPr>
          <w:b/>
          <w:bCs/>
          <w:sz w:val="24"/>
          <w:szCs w:val="24"/>
        </w:rPr>
        <w:t xml:space="preserve"> </w:t>
      </w:r>
      <w:r w:rsidR="007E3D86" w:rsidRPr="009D7CD6">
        <w:rPr>
          <w:b/>
          <w:bCs/>
          <w:sz w:val="24"/>
          <w:szCs w:val="24"/>
        </w:rPr>
        <w:t xml:space="preserve"> </w:t>
      </w:r>
    </w:p>
    <w:p w:rsidR="000D6E88" w:rsidRDefault="008A389C" w:rsidP="000D6E88">
      <w:pPr>
        <w:rPr>
          <w:sz w:val="24"/>
          <w:szCs w:val="24"/>
        </w:rPr>
      </w:pPr>
      <w:r w:rsidRPr="009D7CD6">
        <w:rPr>
          <w:sz w:val="24"/>
          <w:szCs w:val="24"/>
        </w:rPr>
        <w:t>Officiellement et c</w:t>
      </w:r>
      <w:r w:rsidR="007F2146" w:rsidRPr="009D7CD6">
        <w:rPr>
          <w:sz w:val="24"/>
          <w:szCs w:val="24"/>
        </w:rPr>
        <w:t xml:space="preserve">onformément à la constitution </w:t>
      </w:r>
      <w:r w:rsidR="00CD4C67" w:rsidRPr="009D7CD6">
        <w:rPr>
          <w:sz w:val="24"/>
          <w:szCs w:val="24"/>
        </w:rPr>
        <w:t>(</w:t>
      </w:r>
      <w:r w:rsidR="007F2146" w:rsidRPr="009D7CD6">
        <w:rPr>
          <w:sz w:val="24"/>
          <w:szCs w:val="24"/>
        </w:rPr>
        <w:t>art. 1</w:t>
      </w:r>
      <w:r w:rsidR="007F2146" w:rsidRPr="009D7CD6">
        <w:rPr>
          <w:sz w:val="24"/>
          <w:szCs w:val="24"/>
          <w:vertAlign w:val="superscript"/>
        </w:rPr>
        <w:t>er</w:t>
      </w:r>
      <w:r w:rsidR="00CD4C67" w:rsidRPr="009D7CD6">
        <w:rPr>
          <w:sz w:val="24"/>
          <w:szCs w:val="24"/>
        </w:rPr>
        <w:t>)</w:t>
      </w:r>
      <w:r w:rsidRPr="009D7CD6">
        <w:rPr>
          <w:sz w:val="24"/>
          <w:szCs w:val="24"/>
        </w:rPr>
        <w:t>, à l’article 3</w:t>
      </w:r>
      <w:r w:rsidR="00CD4C67" w:rsidRPr="009D7CD6">
        <w:rPr>
          <w:sz w:val="24"/>
          <w:szCs w:val="24"/>
        </w:rPr>
        <w:t xml:space="preserve"> </w:t>
      </w:r>
      <w:r w:rsidRPr="009D7CD6">
        <w:rPr>
          <w:sz w:val="24"/>
          <w:szCs w:val="24"/>
        </w:rPr>
        <w:t xml:space="preserve">et 26 du PIDCP, </w:t>
      </w:r>
      <w:r w:rsidR="007F2146" w:rsidRPr="009D7CD6">
        <w:rPr>
          <w:sz w:val="24"/>
          <w:szCs w:val="24"/>
        </w:rPr>
        <w:t xml:space="preserve">aux lois et règlements </w:t>
      </w:r>
      <w:r w:rsidR="00020011" w:rsidRPr="009D7CD6">
        <w:rPr>
          <w:sz w:val="24"/>
          <w:szCs w:val="24"/>
        </w:rPr>
        <w:t>e</w:t>
      </w:r>
      <w:r w:rsidR="007F2146" w:rsidRPr="009D7CD6">
        <w:rPr>
          <w:sz w:val="24"/>
          <w:szCs w:val="24"/>
        </w:rPr>
        <w:t xml:space="preserve">n vigueur, la loi s’applique à tous ; </w:t>
      </w:r>
      <w:r w:rsidR="00020011" w:rsidRPr="009D7CD6">
        <w:rPr>
          <w:sz w:val="24"/>
          <w:szCs w:val="24"/>
        </w:rPr>
        <w:t xml:space="preserve">sans discrimination fondée sur la race, </w:t>
      </w:r>
      <w:r w:rsidR="00105E10" w:rsidRPr="009D7CD6">
        <w:rPr>
          <w:sz w:val="24"/>
          <w:szCs w:val="24"/>
        </w:rPr>
        <w:t xml:space="preserve">le </w:t>
      </w:r>
      <w:r w:rsidR="00020011" w:rsidRPr="009D7CD6">
        <w:rPr>
          <w:sz w:val="24"/>
          <w:szCs w:val="24"/>
        </w:rPr>
        <w:t xml:space="preserve">sexe ou </w:t>
      </w:r>
      <w:r w:rsidR="00105E10" w:rsidRPr="009D7CD6">
        <w:rPr>
          <w:sz w:val="24"/>
          <w:szCs w:val="24"/>
        </w:rPr>
        <w:t xml:space="preserve">la </w:t>
      </w:r>
      <w:r w:rsidR="00020011" w:rsidRPr="009D7CD6">
        <w:rPr>
          <w:sz w:val="24"/>
          <w:szCs w:val="24"/>
        </w:rPr>
        <w:t xml:space="preserve">condition sociale. </w:t>
      </w:r>
      <w:r w:rsidR="00457602" w:rsidRPr="009D7CD6">
        <w:rPr>
          <w:sz w:val="24"/>
          <w:szCs w:val="24"/>
        </w:rPr>
        <w:t>L</w:t>
      </w:r>
      <w:r w:rsidR="002F3FD2" w:rsidRPr="009D7CD6">
        <w:rPr>
          <w:sz w:val="24"/>
          <w:szCs w:val="24"/>
        </w:rPr>
        <w:t xml:space="preserve">a participation politique, économique, culturelle et sociale </w:t>
      </w:r>
      <w:r w:rsidR="000D6E88">
        <w:rPr>
          <w:sz w:val="24"/>
          <w:szCs w:val="24"/>
        </w:rPr>
        <w:t xml:space="preserve">des femmes </w:t>
      </w:r>
      <w:r w:rsidR="002F3FD2" w:rsidRPr="009D7CD6">
        <w:rPr>
          <w:sz w:val="24"/>
          <w:szCs w:val="24"/>
        </w:rPr>
        <w:t>est effective. L</w:t>
      </w:r>
      <w:r w:rsidR="00457602" w:rsidRPr="009D7CD6">
        <w:rPr>
          <w:sz w:val="24"/>
          <w:szCs w:val="24"/>
        </w:rPr>
        <w:t xml:space="preserve">’adoption en 2006 d’une loi organique en faveur de </w:t>
      </w:r>
      <w:r w:rsidR="000D6E88">
        <w:rPr>
          <w:sz w:val="24"/>
          <w:szCs w:val="24"/>
        </w:rPr>
        <w:t xml:space="preserve">la </w:t>
      </w:r>
      <w:r w:rsidR="00457602" w:rsidRPr="009D7CD6">
        <w:rPr>
          <w:sz w:val="24"/>
          <w:szCs w:val="24"/>
        </w:rPr>
        <w:t xml:space="preserve">participation politique et dans les sphères de décisions </w:t>
      </w:r>
      <w:r w:rsidR="002F3FD2" w:rsidRPr="009D7CD6">
        <w:rPr>
          <w:sz w:val="24"/>
          <w:szCs w:val="24"/>
        </w:rPr>
        <w:t xml:space="preserve">avec un quota de 20 </w:t>
      </w:r>
      <w:r w:rsidR="00457602" w:rsidRPr="000D6E88">
        <w:rPr>
          <w:sz w:val="24"/>
          <w:szCs w:val="24"/>
        </w:rPr>
        <w:t xml:space="preserve">pour cent </w:t>
      </w:r>
      <w:r w:rsidR="00105E10" w:rsidRPr="000D6E88">
        <w:rPr>
          <w:sz w:val="24"/>
          <w:szCs w:val="24"/>
        </w:rPr>
        <w:t>sur chaque liste électorale traduisait une volonté apparente </w:t>
      </w:r>
      <w:r w:rsidR="000D6E88">
        <w:rPr>
          <w:sz w:val="24"/>
          <w:szCs w:val="24"/>
        </w:rPr>
        <w:t>des autorités</w:t>
      </w:r>
      <w:r w:rsidR="00105E10" w:rsidRPr="000D6E88">
        <w:rPr>
          <w:sz w:val="24"/>
          <w:szCs w:val="24"/>
        </w:rPr>
        <w:t>; r</w:t>
      </w:r>
      <w:r w:rsidR="00457602" w:rsidRPr="000D6E88">
        <w:rPr>
          <w:sz w:val="24"/>
          <w:szCs w:val="24"/>
        </w:rPr>
        <w:t>ésultat 18 pour cent des députés en 2010 contre 4 pour cent en 2003, 3</w:t>
      </w:r>
      <w:r w:rsidR="000D6E88">
        <w:rPr>
          <w:sz w:val="24"/>
          <w:szCs w:val="24"/>
        </w:rPr>
        <w:t>3</w:t>
      </w:r>
      <w:r w:rsidR="00457602" w:rsidRPr="000D6E88">
        <w:rPr>
          <w:sz w:val="24"/>
          <w:szCs w:val="24"/>
        </w:rPr>
        <w:t xml:space="preserve"> pour cent de conseillères municipales.</w:t>
      </w:r>
    </w:p>
    <w:p w:rsidR="00457602" w:rsidRPr="009D7CD6" w:rsidRDefault="000D6E88" w:rsidP="000D6E88">
      <w:pPr>
        <w:rPr>
          <w:sz w:val="24"/>
          <w:szCs w:val="24"/>
        </w:rPr>
      </w:pPr>
      <w:r>
        <w:rPr>
          <w:sz w:val="24"/>
          <w:szCs w:val="24"/>
        </w:rPr>
        <w:t xml:space="preserve">Néanmoins, pour répondre aux OMD et particulièrement l’OMD 3, </w:t>
      </w:r>
      <w:r w:rsidR="00105E10" w:rsidRPr="000D6E88">
        <w:rPr>
          <w:sz w:val="24"/>
          <w:szCs w:val="24"/>
        </w:rPr>
        <w:t xml:space="preserve"> les femmes veulent plus de représentativité aux postes de mandats électifs</w:t>
      </w:r>
      <w:r>
        <w:rPr>
          <w:sz w:val="24"/>
          <w:szCs w:val="24"/>
        </w:rPr>
        <w:t> :</w:t>
      </w:r>
      <w:r w:rsidR="00105E10" w:rsidRPr="000D6E88">
        <w:rPr>
          <w:sz w:val="24"/>
          <w:szCs w:val="24"/>
        </w:rPr>
        <w:t xml:space="preserve"> 33 </w:t>
      </w:r>
      <w:r>
        <w:rPr>
          <w:sz w:val="24"/>
          <w:szCs w:val="24"/>
        </w:rPr>
        <w:t xml:space="preserve">au niveau des deux chambres et 50 </w:t>
      </w:r>
      <w:r w:rsidR="00105E10" w:rsidRPr="000D6E88">
        <w:rPr>
          <w:sz w:val="24"/>
          <w:szCs w:val="24"/>
        </w:rPr>
        <w:t xml:space="preserve">pour cent </w:t>
      </w:r>
      <w:r>
        <w:rPr>
          <w:sz w:val="24"/>
          <w:szCs w:val="24"/>
        </w:rPr>
        <w:t xml:space="preserve">au niveau des Conseils Municipaux  et ce </w:t>
      </w:r>
      <w:r w:rsidR="00105E10" w:rsidRPr="000D6E88">
        <w:rPr>
          <w:sz w:val="24"/>
          <w:szCs w:val="24"/>
        </w:rPr>
        <w:t>en prévision des prochaines</w:t>
      </w:r>
      <w:r w:rsidR="00105E10" w:rsidRPr="009D7CD6">
        <w:rPr>
          <w:sz w:val="24"/>
          <w:szCs w:val="24"/>
        </w:rPr>
        <w:t xml:space="preserve"> élections ; plus de représentativité dans les postes de directions et techniques dans l’</w:t>
      </w:r>
      <w:r w:rsidR="006C2DD3" w:rsidRPr="009D7CD6">
        <w:rPr>
          <w:sz w:val="24"/>
          <w:szCs w:val="24"/>
        </w:rPr>
        <w:t>administration territoriale</w:t>
      </w:r>
      <w:r w:rsidR="00A20336" w:rsidRPr="009D7CD6">
        <w:rPr>
          <w:sz w:val="24"/>
          <w:szCs w:val="24"/>
        </w:rPr>
        <w:t xml:space="preserve">, dans la diplomatie et la magistrature </w:t>
      </w:r>
      <w:proofErr w:type="gramStart"/>
      <w:r w:rsidR="00A20336" w:rsidRPr="009D7CD6">
        <w:rPr>
          <w:sz w:val="24"/>
          <w:szCs w:val="24"/>
        </w:rPr>
        <w:t>(</w:t>
      </w:r>
      <w:r>
        <w:rPr>
          <w:sz w:val="24"/>
          <w:szCs w:val="24"/>
        </w:rPr>
        <w:t xml:space="preserve"> cette</w:t>
      </w:r>
      <w:proofErr w:type="gramEnd"/>
      <w:r>
        <w:rPr>
          <w:sz w:val="24"/>
          <w:szCs w:val="24"/>
        </w:rPr>
        <w:t xml:space="preserve"> dernière </w:t>
      </w:r>
      <w:r w:rsidR="00A20336" w:rsidRPr="009D7CD6">
        <w:rPr>
          <w:sz w:val="24"/>
          <w:szCs w:val="24"/>
        </w:rPr>
        <w:t>en bonne voie).</w:t>
      </w:r>
    </w:p>
    <w:p w:rsidR="00B11E0C" w:rsidRDefault="000D6E88" w:rsidP="00C96D93">
      <w:pPr>
        <w:rPr>
          <w:sz w:val="24"/>
          <w:szCs w:val="24"/>
        </w:rPr>
      </w:pPr>
      <w:r>
        <w:rPr>
          <w:sz w:val="24"/>
          <w:szCs w:val="24"/>
        </w:rPr>
        <w:t>Aussi en</w:t>
      </w:r>
      <w:r w:rsidR="00A20336" w:rsidRPr="009D7CD6">
        <w:rPr>
          <w:sz w:val="24"/>
          <w:szCs w:val="24"/>
        </w:rPr>
        <w:t xml:space="preserve"> matière de discrimination, l</w:t>
      </w:r>
      <w:r w:rsidR="002F3FD2" w:rsidRPr="009D7CD6">
        <w:rPr>
          <w:sz w:val="24"/>
          <w:szCs w:val="24"/>
        </w:rPr>
        <w:t xml:space="preserve">’égalité affirmée par des textes ne traduit pas l’égalité réelle des traitements ; </w:t>
      </w:r>
      <w:r w:rsidR="00CD4C67" w:rsidRPr="009D7CD6">
        <w:rPr>
          <w:sz w:val="24"/>
          <w:szCs w:val="24"/>
        </w:rPr>
        <w:t>en grande partie analphabète</w:t>
      </w:r>
      <w:r w:rsidR="007B5743" w:rsidRPr="009D7CD6">
        <w:rPr>
          <w:sz w:val="24"/>
          <w:szCs w:val="24"/>
        </w:rPr>
        <w:t>s,</w:t>
      </w:r>
      <w:r w:rsidR="00CD4C67" w:rsidRPr="009D7CD6">
        <w:rPr>
          <w:sz w:val="24"/>
          <w:szCs w:val="24"/>
        </w:rPr>
        <w:t xml:space="preserve"> </w:t>
      </w:r>
      <w:r w:rsidR="00130954" w:rsidRPr="009D7CD6">
        <w:rPr>
          <w:sz w:val="24"/>
          <w:szCs w:val="24"/>
        </w:rPr>
        <w:t xml:space="preserve">les femmes </w:t>
      </w:r>
      <w:r w:rsidR="007B5743" w:rsidRPr="009D7CD6">
        <w:rPr>
          <w:sz w:val="24"/>
          <w:szCs w:val="24"/>
        </w:rPr>
        <w:t>ne réclament pas leurs droits fondamentaux, elles les ignorent</w:t>
      </w:r>
      <w:r w:rsidR="008A389C" w:rsidRPr="009D7CD6">
        <w:rPr>
          <w:sz w:val="24"/>
          <w:szCs w:val="24"/>
        </w:rPr>
        <w:t>, elles</w:t>
      </w:r>
      <w:r w:rsidR="00130954" w:rsidRPr="009D7CD6">
        <w:rPr>
          <w:sz w:val="24"/>
          <w:szCs w:val="24"/>
        </w:rPr>
        <w:t xml:space="preserve"> </w:t>
      </w:r>
      <w:r w:rsidR="008A389C" w:rsidRPr="009D7CD6">
        <w:rPr>
          <w:sz w:val="24"/>
          <w:szCs w:val="24"/>
        </w:rPr>
        <w:t xml:space="preserve">subissent impuissantes </w:t>
      </w:r>
      <w:r w:rsidR="007B5743" w:rsidRPr="009D7CD6">
        <w:rPr>
          <w:sz w:val="24"/>
          <w:szCs w:val="24"/>
        </w:rPr>
        <w:t xml:space="preserve">et frustrées </w:t>
      </w:r>
      <w:r w:rsidR="008A389C" w:rsidRPr="009D7CD6">
        <w:rPr>
          <w:sz w:val="24"/>
          <w:szCs w:val="24"/>
        </w:rPr>
        <w:t>les violations</w:t>
      </w:r>
      <w:r w:rsidR="00130954" w:rsidRPr="009D7CD6">
        <w:rPr>
          <w:sz w:val="24"/>
          <w:szCs w:val="24"/>
        </w:rPr>
        <w:t>, notamment les femmes répud</w:t>
      </w:r>
      <w:r w:rsidR="007B5743" w:rsidRPr="009D7CD6">
        <w:rPr>
          <w:sz w:val="24"/>
          <w:szCs w:val="24"/>
        </w:rPr>
        <w:t>iées chefs de familles et sans emploi</w:t>
      </w:r>
      <w:r w:rsidR="00130954" w:rsidRPr="009D7CD6">
        <w:rPr>
          <w:sz w:val="24"/>
          <w:szCs w:val="24"/>
        </w:rPr>
        <w:t>.</w:t>
      </w:r>
    </w:p>
    <w:p w:rsidR="000D6E88" w:rsidRPr="009D7CD6" w:rsidRDefault="000D6E88" w:rsidP="000D6E88">
      <w:pPr>
        <w:rPr>
          <w:sz w:val="24"/>
          <w:szCs w:val="24"/>
        </w:rPr>
      </w:pPr>
      <w:r w:rsidRPr="009D7CD6">
        <w:rPr>
          <w:sz w:val="24"/>
          <w:szCs w:val="24"/>
        </w:rPr>
        <w:t>L’application de l’art.395 du code du travail relatif de l’égalité d’accès à l’emploi et l’opposition à toute discrimination, distinction, exclusion ou préférence fondées sur la race, l’ascendance, la religion, l’opinion politique ou l’origine sociale ; conformément aux dispositions du PIDCP.</w:t>
      </w:r>
    </w:p>
    <w:p w:rsidR="00E85320" w:rsidRPr="009D7CD6" w:rsidRDefault="00130954" w:rsidP="00C96D93">
      <w:pPr>
        <w:rPr>
          <w:sz w:val="24"/>
          <w:szCs w:val="24"/>
        </w:rPr>
      </w:pPr>
      <w:r w:rsidRPr="009D7CD6">
        <w:rPr>
          <w:sz w:val="24"/>
          <w:szCs w:val="24"/>
        </w:rPr>
        <w:t>L’absence de</w:t>
      </w:r>
      <w:r w:rsidR="00CD4C67" w:rsidRPr="009D7CD6">
        <w:rPr>
          <w:sz w:val="24"/>
          <w:szCs w:val="24"/>
        </w:rPr>
        <w:t xml:space="preserve"> volonté des décideurs politiques</w:t>
      </w:r>
      <w:r w:rsidRPr="009D7CD6">
        <w:rPr>
          <w:sz w:val="24"/>
          <w:szCs w:val="24"/>
        </w:rPr>
        <w:t xml:space="preserve"> de vulgariser les </w:t>
      </w:r>
      <w:r w:rsidR="00A20336" w:rsidRPr="009D7CD6">
        <w:rPr>
          <w:sz w:val="24"/>
          <w:szCs w:val="24"/>
        </w:rPr>
        <w:t>droits fait que les femmes et filles sont toujours discriminés à travers des pratiques d’un autre temps comme les mutilations génitales féminines MGF dont les fillettes sont victimes ainsi que les mariage précoces.</w:t>
      </w:r>
      <w:r w:rsidR="000D6E88">
        <w:rPr>
          <w:sz w:val="24"/>
          <w:szCs w:val="24"/>
        </w:rPr>
        <w:t xml:space="preserve"> </w:t>
      </w:r>
    </w:p>
    <w:p w:rsidR="00E85320" w:rsidRPr="009D7CD6" w:rsidRDefault="00E85320" w:rsidP="00130954">
      <w:pPr>
        <w:rPr>
          <w:sz w:val="24"/>
          <w:szCs w:val="24"/>
        </w:rPr>
      </w:pPr>
      <w:r w:rsidRPr="009D7CD6">
        <w:rPr>
          <w:sz w:val="24"/>
          <w:szCs w:val="24"/>
        </w:rPr>
        <w:t>Concernant toutes ces questions précédemment soulevées, il convient de souligner les freins ci-après :</w:t>
      </w:r>
    </w:p>
    <w:p w:rsidR="00E85320" w:rsidRPr="009D7CD6" w:rsidRDefault="00E85320" w:rsidP="00130954">
      <w:pPr>
        <w:rPr>
          <w:sz w:val="24"/>
          <w:szCs w:val="24"/>
        </w:rPr>
      </w:pPr>
      <w:r w:rsidRPr="009D7CD6">
        <w:rPr>
          <w:sz w:val="24"/>
          <w:szCs w:val="24"/>
        </w:rPr>
        <w:t>1) le manque de volonté politique claire</w:t>
      </w:r>
    </w:p>
    <w:p w:rsidR="00E85320" w:rsidRPr="009D7CD6" w:rsidRDefault="00E85320" w:rsidP="00130954">
      <w:pPr>
        <w:rPr>
          <w:sz w:val="24"/>
          <w:szCs w:val="24"/>
        </w:rPr>
      </w:pPr>
      <w:r w:rsidRPr="009D7CD6">
        <w:rPr>
          <w:sz w:val="24"/>
          <w:szCs w:val="24"/>
        </w:rPr>
        <w:t>2) les réserves formulées par l’Etat mauritanien en raison des impératifs liés à la religion</w:t>
      </w:r>
      <w:r w:rsidR="000D6E88">
        <w:rPr>
          <w:sz w:val="24"/>
          <w:szCs w:val="24"/>
        </w:rPr>
        <w:t xml:space="preserve"> notamment sur la CEDAW</w:t>
      </w:r>
      <w:r w:rsidR="00083C65">
        <w:rPr>
          <w:sz w:val="24"/>
          <w:szCs w:val="24"/>
        </w:rPr>
        <w:t>, le deuxième protocole du Pacte International Relatif aux Droits Civils et Politiques (OP2-PIDCP).</w:t>
      </w:r>
    </w:p>
    <w:p w:rsidR="00E85320" w:rsidRPr="009D7CD6" w:rsidRDefault="00E85320" w:rsidP="00130954">
      <w:pPr>
        <w:rPr>
          <w:sz w:val="24"/>
          <w:szCs w:val="24"/>
        </w:rPr>
      </w:pPr>
      <w:r w:rsidRPr="009D7CD6">
        <w:rPr>
          <w:sz w:val="24"/>
          <w:szCs w:val="24"/>
        </w:rPr>
        <w:t>3) l’absence d’un lobby fort issu de la société civile mauritanienne</w:t>
      </w:r>
    </w:p>
    <w:p w:rsidR="00E85320" w:rsidRPr="009D7CD6" w:rsidRDefault="00E85320" w:rsidP="00130954">
      <w:pPr>
        <w:rPr>
          <w:sz w:val="24"/>
          <w:szCs w:val="24"/>
        </w:rPr>
      </w:pPr>
      <w:r w:rsidRPr="009D7CD6">
        <w:rPr>
          <w:sz w:val="24"/>
          <w:szCs w:val="24"/>
        </w:rPr>
        <w:t xml:space="preserve">4) l’ineffectivité des lois et règlements nonobstant les engagements pris par l’Etat mauritanien. </w:t>
      </w:r>
    </w:p>
    <w:p w:rsidR="00136C6B" w:rsidRDefault="00136C6B" w:rsidP="00B12BDE">
      <w:pPr>
        <w:rPr>
          <w:b/>
          <w:bCs/>
          <w:sz w:val="24"/>
          <w:szCs w:val="24"/>
        </w:rPr>
      </w:pPr>
    </w:p>
    <w:p w:rsidR="00B12BDE" w:rsidRPr="009D7CD6" w:rsidRDefault="008A0040" w:rsidP="00B12BDE">
      <w:pPr>
        <w:rPr>
          <w:b/>
          <w:bCs/>
          <w:sz w:val="24"/>
          <w:szCs w:val="24"/>
        </w:rPr>
      </w:pPr>
      <w:r w:rsidRPr="009D7CD6">
        <w:rPr>
          <w:b/>
          <w:bCs/>
          <w:sz w:val="24"/>
          <w:szCs w:val="24"/>
        </w:rPr>
        <w:t>Question 4</w:t>
      </w:r>
      <w:r w:rsidR="00B11E0C" w:rsidRPr="009D7CD6">
        <w:rPr>
          <w:b/>
          <w:bCs/>
          <w:sz w:val="24"/>
          <w:szCs w:val="24"/>
        </w:rPr>
        <w:t> : Droit à la vie (art.6)</w:t>
      </w:r>
    </w:p>
    <w:p w:rsidR="00B11E0C" w:rsidRPr="009D7CD6" w:rsidRDefault="00B11E0C" w:rsidP="00E85320">
      <w:pPr>
        <w:rPr>
          <w:sz w:val="24"/>
          <w:szCs w:val="24"/>
        </w:rPr>
      </w:pPr>
      <w:r w:rsidRPr="009D7CD6">
        <w:rPr>
          <w:sz w:val="24"/>
          <w:szCs w:val="24"/>
        </w:rPr>
        <w:t xml:space="preserve">Bien que </w:t>
      </w:r>
      <w:r w:rsidR="00A51EE6" w:rsidRPr="009D7CD6">
        <w:rPr>
          <w:sz w:val="24"/>
          <w:szCs w:val="24"/>
        </w:rPr>
        <w:t xml:space="preserve">la peine de mort ne fût </w:t>
      </w:r>
      <w:r w:rsidR="007C7515" w:rsidRPr="009D7CD6">
        <w:rPr>
          <w:sz w:val="24"/>
          <w:szCs w:val="24"/>
        </w:rPr>
        <w:t>appliquée depuis 1987,</w:t>
      </w:r>
      <w:r w:rsidR="00A51EE6" w:rsidRPr="009D7CD6">
        <w:rPr>
          <w:sz w:val="24"/>
          <w:szCs w:val="24"/>
        </w:rPr>
        <w:t xml:space="preserve"> </w:t>
      </w:r>
      <w:r w:rsidR="007C7515" w:rsidRPr="009D7CD6">
        <w:rPr>
          <w:sz w:val="24"/>
          <w:szCs w:val="24"/>
        </w:rPr>
        <w:t>que l’ordonnance 83-162 du</w:t>
      </w:r>
      <w:r w:rsidR="00A51EE6" w:rsidRPr="009D7CD6">
        <w:rPr>
          <w:sz w:val="24"/>
          <w:szCs w:val="24"/>
        </w:rPr>
        <w:t xml:space="preserve"> 9 juillet 1983 instituant le c</w:t>
      </w:r>
      <w:r w:rsidR="007C7515" w:rsidRPr="009D7CD6">
        <w:rPr>
          <w:sz w:val="24"/>
          <w:szCs w:val="24"/>
        </w:rPr>
        <w:t>ode pénal «crimes et délits</w:t>
      </w:r>
      <w:r w:rsidR="00A51EE6" w:rsidRPr="009D7CD6">
        <w:rPr>
          <w:sz w:val="24"/>
          <w:szCs w:val="24"/>
        </w:rPr>
        <w:t xml:space="preserve"> contre les particuliers</w:t>
      </w:r>
      <w:r w:rsidR="007C7515" w:rsidRPr="009D7CD6">
        <w:rPr>
          <w:sz w:val="24"/>
          <w:szCs w:val="24"/>
        </w:rPr>
        <w:t>»</w:t>
      </w:r>
      <w:r w:rsidR="00A51EE6" w:rsidRPr="009D7CD6">
        <w:rPr>
          <w:sz w:val="24"/>
          <w:szCs w:val="24"/>
        </w:rPr>
        <w:t xml:space="preserve"> ne sanctionne par la peine de mort que les meurtriers ; l</w:t>
      </w:r>
      <w:r w:rsidRPr="009D7CD6">
        <w:rPr>
          <w:sz w:val="24"/>
          <w:szCs w:val="24"/>
        </w:rPr>
        <w:t>’Etat Mauritanien dans ses effort</w:t>
      </w:r>
      <w:r w:rsidR="00A51EE6" w:rsidRPr="009D7CD6">
        <w:rPr>
          <w:sz w:val="24"/>
          <w:szCs w:val="24"/>
        </w:rPr>
        <w:t xml:space="preserve">s pour devenir </w:t>
      </w:r>
      <w:r w:rsidR="007C7515" w:rsidRPr="009D7CD6">
        <w:rPr>
          <w:sz w:val="24"/>
          <w:szCs w:val="24"/>
        </w:rPr>
        <w:t>un Etat de droit,</w:t>
      </w:r>
      <w:r w:rsidR="00A51EE6" w:rsidRPr="009D7CD6">
        <w:rPr>
          <w:sz w:val="24"/>
          <w:szCs w:val="24"/>
        </w:rPr>
        <w:t xml:space="preserve"> doit ratifier</w:t>
      </w:r>
      <w:r w:rsidR="00E85320" w:rsidRPr="009D7CD6">
        <w:rPr>
          <w:sz w:val="24"/>
          <w:szCs w:val="24"/>
        </w:rPr>
        <w:t xml:space="preserve"> le 2</w:t>
      </w:r>
      <w:r w:rsidR="00E85320" w:rsidRPr="009D7CD6">
        <w:rPr>
          <w:sz w:val="24"/>
          <w:szCs w:val="24"/>
          <w:vertAlign w:val="superscript"/>
        </w:rPr>
        <w:t>ième</w:t>
      </w:r>
      <w:r w:rsidR="00E85320" w:rsidRPr="009D7CD6">
        <w:rPr>
          <w:sz w:val="24"/>
          <w:szCs w:val="24"/>
        </w:rPr>
        <w:t xml:space="preserve"> </w:t>
      </w:r>
      <w:r w:rsidR="007C7515" w:rsidRPr="009D7CD6">
        <w:rPr>
          <w:sz w:val="24"/>
          <w:szCs w:val="24"/>
        </w:rPr>
        <w:t>protocole additif au PIDCP relatif à l’abolition de la peine de mort.</w:t>
      </w:r>
      <w:r w:rsidRPr="009D7CD6">
        <w:rPr>
          <w:sz w:val="24"/>
          <w:szCs w:val="24"/>
        </w:rPr>
        <w:t xml:space="preserve"> </w:t>
      </w:r>
    </w:p>
    <w:p w:rsidR="00E85320" w:rsidRDefault="00E85320" w:rsidP="00E85320">
      <w:pPr>
        <w:rPr>
          <w:sz w:val="24"/>
          <w:szCs w:val="24"/>
        </w:rPr>
      </w:pPr>
      <w:r w:rsidRPr="009D7CD6">
        <w:rPr>
          <w:b/>
          <w:bCs/>
          <w:i/>
          <w:iCs/>
          <w:sz w:val="24"/>
          <w:szCs w:val="24"/>
          <w:u w:val="single"/>
        </w:rPr>
        <w:t>Concernant la peine de mort</w:t>
      </w:r>
      <w:r w:rsidRPr="009D7CD6">
        <w:rPr>
          <w:sz w:val="24"/>
          <w:szCs w:val="24"/>
        </w:rPr>
        <w:t>, on a l’impression qu’il y a un moratoire en ce que la peine de mort est prononcée sans être appliquée par la justice.</w:t>
      </w:r>
    </w:p>
    <w:p w:rsidR="00136C6B" w:rsidRPr="009D7CD6" w:rsidRDefault="00136C6B" w:rsidP="00E85320">
      <w:pPr>
        <w:rPr>
          <w:sz w:val="24"/>
          <w:szCs w:val="24"/>
        </w:rPr>
      </w:pPr>
    </w:p>
    <w:p w:rsidR="00DB79A6" w:rsidRPr="009D7CD6" w:rsidRDefault="008A0040" w:rsidP="00DB79A6">
      <w:pPr>
        <w:rPr>
          <w:b/>
          <w:bCs/>
          <w:sz w:val="24"/>
          <w:szCs w:val="24"/>
        </w:rPr>
      </w:pPr>
      <w:r w:rsidRPr="009D7CD6">
        <w:rPr>
          <w:b/>
          <w:bCs/>
          <w:sz w:val="24"/>
          <w:szCs w:val="24"/>
        </w:rPr>
        <w:t>Question 5</w:t>
      </w:r>
      <w:r w:rsidR="007C7515" w:rsidRPr="009D7CD6">
        <w:rPr>
          <w:b/>
          <w:bCs/>
          <w:sz w:val="24"/>
          <w:szCs w:val="24"/>
        </w:rPr>
        <w:t> :</w:t>
      </w:r>
      <w:r w:rsidR="00A51EE6" w:rsidRPr="009D7CD6">
        <w:rPr>
          <w:b/>
          <w:bCs/>
          <w:sz w:val="24"/>
          <w:szCs w:val="24"/>
        </w:rPr>
        <w:t xml:space="preserve"> Prohibition contre la torture et autres peines ou traitements cruels inhumains et dégradants</w:t>
      </w:r>
      <w:r w:rsidR="00CF35FC" w:rsidRPr="009D7CD6">
        <w:rPr>
          <w:b/>
          <w:bCs/>
          <w:sz w:val="24"/>
          <w:szCs w:val="24"/>
        </w:rPr>
        <w:t xml:space="preserve"> (art.7)</w:t>
      </w:r>
    </w:p>
    <w:p w:rsidR="00CF35FC" w:rsidRDefault="00CF35FC" w:rsidP="0065219E">
      <w:pPr>
        <w:rPr>
          <w:sz w:val="24"/>
          <w:szCs w:val="24"/>
        </w:rPr>
      </w:pPr>
      <w:r w:rsidRPr="009D7CD6">
        <w:rPr>
          <w:sz w:val="24"/>
          <w:szCs w:val="24"/>
        </w:rPr>
        <w:t>La Mauritanie a réalisé des progrès depuis sa ratification de la CAT, notamment la ratification de</w:t>
      </w:r>
      <w:r w:rsidR="00DB79A6">
        <w:rPr>
          <w:sz w:val="24"/>
          <w:szCs w:val="24"/>
        </w:rPr>
        <w:t xml:space="preserve"> l’</w:t>
      </w:r>
      <w:r w:rsidRPr="009D7CD6">
        <w:rPr>
          <w:sz w:val="24"/>
          <w:szCs w:val="24"/>
        </w:rPr>
        <w:t>OPCAT le 3 octobre 2012 et l’engagement à cette occasion d’ouvri</w:t>
      </w:r>
      <w:r w:rsidR="00E25136" w:rsidRPr="009D7CD6">
        <w:rPr>
          <w:sz w:val="24"/>
          <w:szCs w:val="24"/>
        </w:rPr>
        <w:t>r les portes de tous les c</w:t>
      </w:r>
      <w:r w:rsidRPr="009D7CD6">
        <w:rPr>
          <w:sz w:val="24"/>
          <w:szCs w:val="24"/>
        </w:rPr>
        <w:t>e</w:t>
      </w:r>
      <w:r w:rsidR="00E25136" w:rsidRPr="009D7CD6">
        <w:rPr>
          <w:sz w:val="24"/>
          <w:szCs w:val="24"/>
        </w:rPr>
        <w:t>ntre de détention ou tout autre lieu de privation de liberté, aux</w:t>
      </w:r>
      <w:r w:rsidRPr="009D7CD6">
        <w:rPr>
          <w:sz w:val="24"/>
          <w:szCs w:val="24"/>
        </w:rPr>
        <w:t xml:space="preserve"> experts  du Sous Comité des Nations Unies pour la Prévention de la Torture </w:t>
      </w:r>
      <w:r w:rsidR="00A0052F" w:rsidRPr="009D7CD6">
        <w:rPr>
          <w:sz w:val="24"/>
          <w:szCs w:val="24"/>
        </w:rPr>
        <w:t>(</w:t>
      </w:r>
      <w:r w:rsidRPr="009D7CD6">
        <w:rPr>
          <w:sz w:val="24"/>
          <w:szCs w:val="24"/>
        </w:rPr>
        <w:t>SPT</w:t>
      </w:r>
      <w:r w:rsidR="00A0052F" w:rsidRPr="009D7CD6">
        <w:rPr>
          <w:sz w:val="24"/>
          <w:szCs w:val="24"/>
        </w:rPr>
        <w:t>)</w:t>
      </w:r>
      <w:r w:rsidR="00E25136" w:rsidRPr="009D7CD6">
        <w:rPr>
          <w:sz w:val="24"/>
          <w:szCs w:val="24"/>
        </w:rPr>
        <w:t>, à la CNDH, et ce à tout moment. Aussi, son engagement à mettre en place ou designer un Mécanisme  National de Prévention (MNP)</w:t>
      </w:r>
      <w:r w:rsidR="0065219E" w:rsidRPr="009D7CD6">
        <w:rPr>
          <w:sz w:val="24"/>
          <w:szCs w:val="24"/>
        </w:rPr>
        <w:t xml:space="preserve"> en une année</w:t>
      </w:r>
      <w:r w:rsidR="00E25136" w:rsidRPr="009D7CD6">
        <w:rPr>
          <w:sz w:val="24"/>
          <w:szCs w:val="24"/>
        </w:rPr>
        <w:t>.</w:t>
      </w:r>
    </w:p>
    <w:p w:rsidR="00DB79A6" w:rsidRPr="009D7CD6" w:rsidRDefault="00DB79A6" w:rsidP="00DB79A6">
      <w:pPr>
        <w:rPr>
          <w:sz w:val="24"/>
          <w:szCs w:val="24"/>
        </w:rPr>
      </w:pPr>
      <w:r>
        <w:rPr>
          <w:sz w:val="24"/>
          <w:szCs w:val="24"/>
        </w:rPr>
        <w:t>Le 1</w:t>
      </w:r>
      <w:r w:rsidRPr="00DB79A6">
        <w:rPr>
          <w:sz w:val="24"/>
          <w:szCs w:val="24"/>
          <w:vertAlign w:val="superscript"/>
        </w:rPr>
        <w:t>er</w:t>
      </w:r>
      <w:r>
        <w:rPr>
          <w:sz w:val="24"/>
          <w:szCs w:val="24"/>
        </w:rPr>
        <w:t xml:space="preserve"> octobre 2012</w:t>
      </w:r>
      <w:r w:rsidR="00516E6E">
        <w:rPr>
          <w:sz w:val="24"/>
          <w:szCs w:val="24"/>
        </w:rPr>
        <w:t xml:space="preserve"> à</w:t>
      </w:r>
      <w:r>
        <w:rPr>
          <w:sz w:val="24"/>
          <w:szCs w:val="24"/>
        </w:rPr>
        <w:t xml:space="preserve"> </w:t>
      </w:r>
      <w:r w:rsidR="00516E6E">
        <w:rPr>
          <w:sz w:val="24"/>
          <w:szCs w:val="24"/>
        </w:rPr>
        <w:t xml:space="preserve">la prison de Dar </w:t>
      </w:r>
      <w:proofErr w:type="spellStart"/>
      <w:r w:rsidR="00516E6E">
        <w:rPr>
          <w:sz w:val="24"/>
          <w:szCs w:val="24"/>
        </w:rPr>
        <w:t>Naim</w:t>
      </w:r>
      <w:proofErr w:type="spellEnd"/>
      <w:r w:rsidR="00516E6E">
        <w:rPr>
          <w:sz w:val="24"/>
          <w:szCs w:val="24"/>
        </w:rPr>
        <w:t xml:space="preserve">, </w:t>
      </w:r>
      <w:r>
        <w:rPr>
          <w:sz w:val="24"/>
          <w:szCs w:val="24"/>
        </w:rPr>
        <w:t>un jeune homme de 27 ans est décédé sous la torture de neuf (9) agents de la Garde Nationale, deux autre</w:t>
      </w:r>
      <w:r w:rsidR="00516E6E">
        <w:rPr>
          <w:sz w:val="24"/>
          <w:szCs w:val="24"/>
        </w:rPr>
        <w:t>s sont rescapés. Aujourd’hui, les neuf agents sont en prison à attendre leur jugement, et ils ont indemnisés leurs victimes.</w:t>
      </w:r>
    </w:p>
    <w:p w:rsidR="008D788E" w:rsidRPr="009D7CD6" w:rsidRDefault="00E25136" w:rsidP="0065219E">
      <w:pPr>
        <w:rPr>
          <w:sz w:val="24"/>
          <w:szCs w:val="24"/>
        </w:rPr>
      </w:pPr>
      <w:r w:rsidRPr="009D7CD6">
        <w:rPr>
          <w:sz w:val="24"/>
          <w:szCs w:val="24"/>
        </w:rPr>
        <w:t>En tant que membre fondateur de l’unique réseau mauritanien de lutte contre la tort</w:t>
      </w:r>
      <w:r w:rsidR="0065219E" w:rsidRPr="009D7CD6">
        <w:rPr>
          <w:sz w:val="24"/>
          <w:szCs w:val="24"/>
        </w:rPr>
        <w:t>ure</w:t>
      </w:r>
      <w:r w:rsidR="00DB79A6">
        <w:rPr>
          <w:sz w:val="24"/>
          <w:szCs w:val="24"/>
        </w:rPr>
        <w:t xml:space="preserve"> (Ensemble Contre la Torture en Mauritanie</w:t>
      </w:r>
      <w:r w:rsidR="0065219E" w:rsidRPr="009D7CD6">
        <w:rPr>
          <w:sz w:val="24"/>
          <w:szCs w:val="24"/>
        </w:rPr>
        <w:t>, nous souhaitons que</w:t>
      </w:r>
      <w:r w:rsidR="008D788E" w:rsidRPr="009D7CD6">
        <w:rPr>
          <w:sz w:val="24"/>
          <w:szCs w:val="24"/>
        </w:rPr>
        <w:t> :</w:t>
      </w:r>
    </w:p>
    <w:p w:rsidR="006052C1" w:rsidRPr="009D7CD6" w:rsidRDefault="008D788E" w:rsidP="006052C1">
      <w:pPr>
        <w:rPr>
          <w:sz w:val="24"/>
          <w:szCs w:val="24"/>
        </w:rPr>
      </w:pPr>
      <w:r w:rsidRPr="009D7CD6">
        <w:rPr>
          <w:sz w:val="24"/>
          <w:szCs w:val="24"/>
        </w:rPr>
        <w:t xml:space="preserve">La Mauritanie définisse le concept de « torture » dans sa juridiction et qu’elle dispose de législation qui incrimine d’une manière spécifique les actes de torture </w:t>
      </w:r>
      <w:r w:rsidR="0065219E" w:rsidRPr="009D7CD6">
        <w:rPr>
          <w:sz w:val="24"/>
          <w:szCs w:val="24"/>
        </w:rPr>
        <w:t xml:space="preserve"> </w:t>
      </w:r>
      <w:r w:rsidR="006052C1" w:rsidRPr="009D7CD6">
        <w:rPr>
          <w:sz w:val="24"/>
          <w:szCs w:val="24"/>
        </w:rPr>
        <w:t>qui sont</w:t>
      </w:r>
      <w:r w:rsidRPr="009D7CD6">
        <w:rPr>
          <w:sz w:val="24"/>
          <w:szCs w:val="24"/>
        </w:rPr>
        <w:t xml:space="preserve"> poursuivi sur la base de crimes ou délits prévu</w:t>
      </w:r>
      <w:r w:rsidR="006052C1" w:rsidRPr="009D7CD6">
        <w:rPr>
          <w:sz w:val="24"/>
          <w:szCs w:val="24"/>
        </w:rPr>
        <w:t>s</w:t>
      </w:r>
      <w:r w:rsidRPr="009D7CD6">
        <w:rPr>
          <w:sz w:val="24"/>
          <w:szCs w:val="24"/>
        </w:rPr>
        <w:t xml:space="preserve"> dans le code pénal</w:t>
      </w:r>
      <w:r w:rsidR="006052C1" w:rsidRPr="009D7CD6">
        <w:rPr>
          <w:sz w:val="24"/>
          <w:szCs w:val="24"/>
        </w:rPr>
        <w:t> ;  tel que coups et blessures volontaires prévu par l’art. 285 de l’ordonnance 83-0162 du 9 juillet 1983 portant institution d’un code pénal.</w:t>
      </w:r>
    </w:p>
    <w:p w:rsidR="0065219E" w:rsidRDefault="006052C1" w:rsidP="008D788E">
      <w:pPr>
        <w:rPr>
          <w:sz w:val="24"/>
          <w:szCs w:val="24"/>
        </w:rPr>
      </w:pPr>
      <w:r w:rsidRPr="009D7CD6">
        <w:rPr>
          <w:sz w:val="24"/>
          <w:szCs w:val="24"/>
        </w:rPr>
        <w:t>L</w:t>
      </w:r>
      <w:r w:rsidR="0065219E" w:rsidRPr="009D7CD6">
        <w:rPr>
          <w:sz w:val="24"/>
          <w:szCs w:val="24"/>
        </w:rPr>
        <w:t>e MNP soit opérationnel dans le délai prévu, qu’il soit transparent et indépendant pour une meilleure surveillance des conditions de vie dans le milieu carcéral en vue de prévenir les violations des droits de l’homme.</w:t>
      </w:r>
    </w:p>
    <w:p w:rsidR="00136C6B" w:rsidRPr="009D7CD6" w:rsidRDefault="00136C6B" w:rsidP="008D788E">
      <w:pPr>
        <w:rPr>
          <w:sz w:val="24"/>
          <w:szCs w:val="24"/>
        </w:rPr>
      </w:pPr>
    </w:p>
    <w:p w:rsidR="009D7CD6" w:rsidRPr="009D7CD6" w:rsidRDefault="008A0040" w:rsidP="00917A3D">
      <w:pPr>
        <w:rPr>
          <w:sz w:val="24"/>
          <w:szCs w:val="24"/>
        </w:rPr>
      </w:pPr>
      <w:r w:rsidRPr="009D7CD6">
        <w:rPr>
          <w:b/>
          <w:bCs/>
          <w:sz w:val="24"/>
          <w:szCs w:val="24"/>
        </w:rPr>
        <w:t>Question 7</w:t>
      </w:r>
      <w:r w:rsidR="0065219E" w:rsidRPr="009D7CD6">
        <w:rPr>
          <w:b/>
          <w:bCs/>
          <w:sz w:val="24"/>
          <w:szCs w:val="24"/>
        </w:rPr>
        <w:t> :</w:t>
      </w:r>
      <w:r w:rsidRPr="009D7CD6">
        <w:rPr>
          <w:b/>
          <w:bCs/>
          <w:sz w:val="24"/>
          <w:szCs w:val="24"/>
        </w:rPr>
        <w:t xml:space="preserve"> Liberté et sécurité des personnes (art. 9)</w:t>
      </w:r>
      <w:r w:rsidR="00917A3D" w:rsidRPr="009D7CD6">
        <w:rPr>
          <w:b/>
          <w:bCs/>
          <w:sz w:val="24"/>
          <w:szCs w:val="24"/>
        </w:rPr>
        <w:t xml:space="preserve"> </w:t>
      </w:r>
    </w:p>
    <w:p w:rsidR="00AA5A9F" w:rsidRDefault="009D7CD6" w:rsidP="00364436">
      <w:pPr>
        <w:pStyle w:val="Corpsde"/>
        <w:shd w:val="clear" w:color="auto" w:fill="FFFFFF"/>
      </w:pPr>
      <w:r w:rsidRPr="009D7CD6">
        <w:t>De l’art.</w:t>
      </w:r>
      <w:r w:rsidR="00917A3D" w:rsidRPr="009D7CD6">
        <w:t xml:space="preserve">1 à </w:t>
      </w:r>
      <w:r w:rsidRPr="009D7CD6">
        <w:t>l’art.</w:t>
      </w:r>
      <w:r w:rsidR="00917A3D" w:rsidRPr="009D7CD6">
        <w:t xml:space="preserve">22 </w:t>
      </w:r>
      <w:r w:rsidRPr="009D7CD6">
        <w:t>sur les 103 articles de la Constitution il s’</w:t>
      </w:r>
      <w:r w:rsidR="005D7A20">
        <w:t>agit des libertés publiques. D</w:t>
      </w:r>
      <w:r w:rsidR="009C3C6F">
        <w:t>e nouveaux articles dans le code pénal permettent d’améli</w:t>
      </w:r>
      <w:r w:rsidR="005D7A20">
        <w:t>orer les libertés notamment</w:t>
      </w:r>
      <w:r w:rsidR="00AA5A9F">
        <w:t> :</w:t>
      </w:r>
    </w:p>
    <w:p w:rsidR="00AA5A9F" w:rsidRDefault="005D7A20" w:rsidP="00364436">
      <w:pPr>
        <w:pStyle w:val="Corpsde"/>
        <w:numPr>
          <w:ilvl w:val="0"/>
          <w:numId w:val="1"/>
        </w:numPr>
        <w:shd w:val="clear" w:color="auto" w:fill="FFFFFF"/>
      </w:pPr>
      <w:r>
        <w:t>la dépénalisation des dé</w:t>
      </w:r>
      <w:r w:rsidR="009C3C6F">
        <w:t xml:space="preserve">lits de </w:t>
      </w:r>
      <w:r>
        <w:t xml:space="preserve">la </w:t>
      </w:r>
      <w:r w:rsidR="009C3C6F">
        <w:t>pr</w:t>
      </w:r>
      <w:r w:rsidR="00AA5A9F">
        <w:t xml:space="preserve">esse et l’ouverture de l’espace des médias </w:t>
      </w:r>
    </w:p>
    <w:p w:rsidR="00AA5A9F" w:rsidRPr="00AA5A9F" w:rsidRDefault="00AA5A9F" w:rsidP="00364436">
      <w:pPr>
        <w:pStyle w:val="Corpsde"/>
        <w:numPr>
          <w:ilvl w:val="0"/>
          <w:numId w:val="1"/>
        </w:numPr>
        <w:shd w:val="clear" w:color="auto" w:fill="FFFFFF"/>
      </w:pPr>
      <w:r>
        <w:rPr>
          <w:szCs w:val="20"/>
        </w:rPr>
        <w:t>e) Mise en place de l</w:t>
      </w:r>
      <w:r>
        <w:t xml:space="preserve">’observatoire de lutte contre la corruption,  </w:t>
      </w:r>
      <w:r w:rsidRPr="009D7CD6">
        <w:t xml:space="preserve"> </w:t>
      </w:r>
    </w:p>
    <w:p w:rsidR="009C3C6F" w:rsidRDefault="00364436" w:rsidP="00364436">
      <w:pPr>
        <w:pStyle w:val="Default"/>
        <w:spacing w:after="148"/>
        <w:rPr>
          <w:szCs w:val="20"/>
        </w:rPr>
      </w:pPr>
      <w:r>
        <w:rPr>
          <w:rFonts w:asciiTheme="minorHAnsi" w:eastAsiaTheme="minorHAnsi" w:hAnsiTheme="minorHAnsi" w:cstheme="minorBidi"/>
          <w:color w:val="auto"/>
        </w:rPr>
        <w:t xml:space="preserve">      c)</w:t>
      </w:r>
      <w:r w:rsidR="009C3C6F">
        <w:rPr>
          <w:szCs w:val="20"/>
        </w:rPr>
        <w:t xml:space="preserve"> La présomption d’innocence.</w:t>
      </w:r>
    </w:p>
    <w:p w:rsidR="009C3C6F" w:rsidRDefault="00364436" w:rsidP="00364436">
      <w:pPr>
        <w:pStyle w:val="Default"/>
        <w:rPr>
          <w:szCs w:val="20"/>
        </w:rPr>
      </w:pPr>
      <w:r>
        <w:rPr>
          <w:szCs w:val="20"/>
        </w:rPr>
        <w:t xml:space="preserve">      d)</w:t>
      </w:r>
      <w:r w:rsidR="009C3C6F">
        <w:rPr>
          <w:szCs w:val="20"/>
        </w:rPr>
        <w:t xml:space="preserve"> Le respect des droits de la défense </w:t>
      </w:r>
    </w:p>
    <w:p w:rsidR="00AA5A9F" w:rsidRDefault="00364436" w:rsidP="00364436">
      <w:pPr>
        <w:pStyle w:val="Corpsde"/>
        <w:shd w:val="clear" w:color="auto" w:fill="FFFFFF"/>
        <w:rPr>
          <w:szCs w:val="20"/>
        </w:rPr>
      </w:pPr>
      <w:r>
        <w:rPr>
          <w:szCs w:val="20"/>
        </w:rPr>
        <w:t xml:space="preserve">     </w:t>
      </w:r>
      <w:r w:rsidR="005D7A20">
        <w:rPr>
          <w:szCs w:val="20"/>
        </w:rPr>
        <w:t xml:space="preserve"> </w:t>
      </w:r>
      <w:r>
        <w:rPr>
          <w:szCs w:val="20"/>
        </w:rPr>
        <w:t xml:space="preserve">e) </w:t>
      </w:r>
      <w:r w:rsidR="005D7A20">
        <w:rPr>
          <w:szCs w:val="20"/>
        </w:rPr>
        <w:t xml:space="preserve">La possibilité pour le prévenu </w:t>
      </w:r>
      <w:r w:rsidR="009C3C6F">
        <w:rPr>
          <w:szCs w:val="20"/>
        </w:rPr>
        <w:t xml:space="preserve"> d</w:t>
      </w:r>
      <w:r w:rsidR="00AA5A9F">
        <w:rPr>
          <w:szCs w:val="20"/>
        </w:rPr>
        <w:t>e se faire assister par</w:t>
      </w:r>
      <w:r w:rsidR="005D7A20">
        <w:rPr>
          <w:szCs w:val="20"/>
        </w:rPr>
        <w:t xml:space="preserve"> un</w:t>
      </w:r>
      <w:r w:rsidR="009C3C6F">
        <w:rPr>
          <w:szCs w:val="20"/>
        </w:rPr>
        <w:t xml:space="preserve"> avocat dès l</w:t>
      </w:r>
      <w:r w:rsidR="005D7A20">
        <w:rPr>
          <w:szCs w:val="20"/>
        </w:rPr>
        <w:t xml:space="preserve">e premier pas, c’est </w:t>
      </w:r>
      <w:r w:rsidR="00AA5A9F">
        <w:rPr>
          <w:szCs w:val="20"/>
        </w:rPr>
        <w:t xml:space="preserve">à </w:t>
      </w:r>
      <w:r w:rsidR="005D7A20">
        <w:rPr>
          <w:szCs w:val="20"/>
        </w:rPr>
        <w:t>dire le tribunal de la police</w:t>
      </w:r>
      <w:r w:rsidR="00AA5A9F">
        <w:rPr>
          <w:szCs w:val="20"/>
        </w:rPr>
        <w:t>,</w:t>
      </w:r>
      <w:r w:rsidR="009C3C6F">
        <w:rPr>
          <w:szCs w:val="20"/>
        </w:rPr>
        <w:t xml:space="preserve"> et le droit de p</w:t>
      </w:r>
      <w:r w:rsidR="00AA5A9F">
        <w:rPr>
          <w:szCs w:val="20"/>
        </w:rPr>
        <w:t xml:space="preserve">rendre contact </w:t>
      </w:r>
      <w:r>
        <w:rPr>
          <w:szCs w:val="20"/>
        </w:rPr>
        <w:t xml:space="preserve">   </w:t>
      </w:r>
      <w:r w:rsidR="00AA5A9F">
        <w:rPr>
          <w:szCs w:val="20"/>
        </w:rPr>
        <w:t>avec sa famille, s</w:t>
      </w:r>
      <w:r w:rsidR="009C3C6F">
        <w:rPr>
          <w:szCs w:val="20"/>
        </w:rPr>
        <w:t>auf s’il y a atteinte à l’ordre public.</w:t>
      </w:r>
    </w:p>
    <w:p w:rsidR="00364436" w:rsidRDefault="003D36DE" w:rsidP="00364436">
      <w:pPr>
        <w:pStyle w:val="Corpsde"/>
        <w:shd w:val="clear" w:color="auto" w:fill="FFFFFF"/>
      </w:pPr>
      <w:r>
        <w:rPr>
          <w:szCs w:val="20"/>
        </w:rPr>
        <w:t xml:space="preserve">       </w:t>
      </w:r>
      <w:r w:rsidR="00917A3D" w:rsidRPr="009D7CD6">
        <w:t>Toutefois, Nous sommes préoccupés par</w:t>
      </w:r>
      <w:r w:rsidR="00364436">
        <w:t xml:space="preserve"> limites et insuffisances en matière de liberté et de sécurité en Mauritanie notamment :  </w:t>
      </w:r>
    </w:p>
    <w:p w:rsidR="00917A3D" w:rsidRDefault="00364436" w:rsidP="000D6E88">
      <w:pPr>
        <w:pStyle w:val="Corpsde"/>
        <w:numPr>
          <w:ilvl w:val="0"/>
          <w:numId w:val="2"/>
        </w:numPr>
        <w:shd w:val="clear" w:color="auto" w:fill="FFFFFF"/>
      </w:pPr>
      <w:r>
        <w:t>L</w:t>
      </w:r>
      <w:r w:rsidR="00917A3D" w:rsidRPr="009D7CD6">
        <w:t xml:space="preserve">’absence d’une réelle volonté du gouvernement, de vulgariser les droits fondamentaux au sein d’une population en grande partie analphabète et ne peut donc réclamer des droits qu’elle ignore : </w:t>
      </w:r>
    </w:p>
    <w:p w:rsidR="00364436" w:rsidRPr="00364436" w:rsidRDefault="00364436" w:rsidP="000D6E88">
      <w:pPr>
        <w:pStyle w:val="Corpsde"/>
        <w:numPr>
          <w:ilvl w:val="0"/>
          <w:numId w:val="2"/>
        </w:numPr>
        <w:shd w:val="clear" w:color="auto" w:fill="FFFFFF"/>
        <w:rPr>
          <w:rFonts w:ascii="Calibri" w:hAnsi="Calibri"/>
          <w:sz w:val="32"/>
        </w:rPr>
      </w:pPr>
      <w:r>
        <w:t>La nouvelle loi sur le terrorisme qui</w:t>
      </w:r>
      <w:r w:rsidRPr="009D7CD6">
        <w:t xml:space="preserve"> dit que les terroristes ne sont pas accessible</w:t>
      </w:r>
      <w:r>
        <w:t>s</w:t>
      </w:r>
      <w:r w:rsidRPr="009D7CD6">
        <w:t xml:space="preserve"> après leur première comparution</w:t>
      </w:r>
      <w:r>
        <w:t xml:space="preserve">. Sachant que celle-ci </w:t>
      </w:r>
      <w:r w:rsidRPr="009D7CD6">
        <w:t xml:space="preserve">peut </w:t>
      </w:r>
      <w:r>
        <w:t>aller de 45 jours à deux</w:t>
      </w:r>
      <w:r w:rsidRPr="009D7CD6">
        <w:t xml:space="preserve"> ans</w:t>
      </w:r>
      <w:r>
        <w:t>.</w:t>
      </w:r>
      <w:r w:rsidRPr="009D7CD6">
        <w:t xml:space="preserve">  </w:t>
      </w:r>
    </w:p>
    <w:p w:rsidR="00C74A7D" w:rsidRDefault="00917A3D" w:rsidP="000D6E88">
      <w:pPr>
        <w:pStyle w:val="Corpsde"/>
        <w:numPr>
          <w:ilvl w:val="0"/>
          <w:numId w:val="2"/>
        </w:numPr>
        <w:shd w:val="clear" w:color="auto" w:fill="FFFFFF"/>
        <w:rPr>
          <w:rFonts w:ascii="Calibri" w:hAnsi="Calibri"/>
        </w:rPr>
      </w:pPr>
      <w:r w:rsidRPr="009D7CD6">
        <w:t>Les peines sur les esclavag</w:t>
      </w:r>
      <w:r w:rsidR="00C74A7D">
        <w:t>istes sont légères</w:t>
      </w:r>
      <w:r w:rsidRPr="009D7CD6">
        <w:t xml:space="preserve"> par rapport à la gravité de la violation (100  à 300.000 UM</w:t>
      </w:r>
      <w:r w:rsidR="00C74A7D">
        <w:t xml:space="preserve">, </w:t>
      </w:r>
      <w:r w:rsidRPr="009D7CD6">
        <w:t xml:space="preserve">l’équivalent de quelques centaines d’Euros en plus de 6 mois de prison. </w:t>
      </w:r>
      <w:r w:rsidR="009C3C6F">
        <w:t xml:space="preserve">Des avancées cependant sur </w:t>
      </w:r>
      <w:r w:rsidR="00C74A7D">
        <w:rPr>
          <w:rFonts w:ascii="Calibri" w:hAnsi="Calibri"/>
        </w:rPr>
        <w:t xml:space="preserve">Prendre les mesures juridiques nécessaires à l’éradication de toutes les formes de l’esclavage. Alourdir les peines incriminant l’esclavage. </w:t>
      </w:r>
    </w:p>
    <w:p w:rsidR="00C74A7D" w:rsidRPr="00083C65" w:rsidRDefault="00C74A7D" w:rsidP="00083C65">
      <w:pPr>
        <w:pStyle w:val="Corpsde"/>
        <w:numPr>
          <w:ilvl w:val="0"/>
          <w:numId w:val="2"/>
        </w:numPr>
        <w:shd w:val="clear" w:color="auto" w:fill="FFFFFF"/>
        <w:rPr>
          <w:rFonts w:ascii="Calibri" w:hAnsi="Calibri"/>
        </w:rPr>
      </w:pPr>
      <w:r>
        <w:rPr>
          <w:rFonts w:ascii="Calibri" w:hAnsi="Calibri"/>
        </w:rPr>
        <w:t xml:space="preserve">Prison de Sebkha (Nouakchott) Les trente (30) femmes dont une adolescente de 16 ans, privées de leur liberté sont détenues dans une maison louée non conforme aux normes des maisons d’arrêt internationales. Elles sont surveillées par des hommes de la Garde Nationale, jamais sensibilisés ni formés sur la surveillance des prisons particulièrement celles de femmes (source l’ONG AMANE)   </w:t>
      </w:r>
    </w:p>
    <w:p w:rsidR="00083C65" w:rsidRDefault="00083C65" w:rsidP="00083C65">
      <w:pPr>
        <w:pStyle w:val="Corpsde"/>
        <w:shd w:val="clear" w:color="auto" w:fill="FFFFFF"/>
        <w:rPr>
          <w:rFonts w:ascii="Calibri" w:hAnsi="Calibri"/>
          <w:bCs/>
        </w:rPr>
      </w:pPr>
      <w:r>
        <w:rPr>
          <w:rFonts w:ascii="Calibri" w:hAnsi="Calibri"/>
          <w:bCs/>
        </w:rPr>
        <w:t xml:space="preserve"> Nous soulignons l’urgence de ;</w:t>
      </w:r>
    </w:p>
    <w:p w:rsidR="00463EB7" w:rsidRDefault="00002B6D" w:rsidP="00002B6D">
      <w:pPr>
        <w:pStyle w:val="Corpsde"/>
        <w:numPr>
          <w:ilvl w:val="0"/>
          <w:numId w:val="3"/>
        </w:numPr>
        <w:shd w:val="clear" w:color="auto" w:fill="FFFFFF"/>
        <w:rPr>
          <w:rFonts w:ascii="Calibri" w:hAnsi="Calibri"/>
          <w:bCs/>
        </w:rPr>
      </w:pPr>
      <w:r>
        <w:rPr>
          <w:rFonts w:ascii="Calibri" w:hAnsi="Calibri"/>
          <w:bCs/>
        </w:rPr>
        <w:t>Prendre les mesures juridiques nécessaires à l’éradication de l’esclavage</w:t>
      </w:r>
      <w:r w:rsidR="00136C6B">
        <w:rPr>
          <w:rFonts w:ascii="Calibri" w:hAnsi="Calibri"/>
          <w:bCs/>
        </w:rPr>
        <w:t xml:space="preserve">, </w:t>
      </w:r>
    </w:p>
    <w:p w:rsidR="00463EB7" w:rsidRDefault="00463EB7" w:rsidP="00463EB7">
      <w:pPr>
        <w:pStyle w:val="Corpsde"/>
        <w:numPr>
          <w:ilvl w:val="0"/>
          <w:numId w:val="3"/>
        </w:numPr>
        <w:shd w:val="clear" w:color="auto" w:fill="FFFFFF"/>
        <w:rPr>
          <w:rFonts w:ascii="Calibri" w:hAnsi="Calibri"/>
          <w:bCs/>
        </w:rPr>
      </w:pPr>
      <w:r>
        <w:rPr>
          <w:rFonts w:ascii="Calibri" w:hAnsi="Calibri"/>
          <w:bCs/>
        </w:rPr>
        <w:t xml:space="preserve">Prendre des peines alternatives aux peines prévues par le code pénal pour alourdir les peines </w:t>
      </w:r>
      <w:r w:rsidR="00136C6B">
        <w:rPr>
          <w:rFonts w:ascii="Calibri" w:hAnsi="Calibri"/>
          <w:bCs/>
        </w:rPr>
        <w:t>incriminant</w:t>
      </w:r>
      <w:r w:rsidR="00002B6D">
        <w:rPr>
          <w:rFonts w:ascii="Calibri" w:hAnsi="Calibri"/>
          <w:bCs/>
        </w:rPr>
        <w:t xml:space="preserve"> </w:t>
      </w:r>
      <w:r>
        <w:rPr>
          <w:rFonts w:ascii="Calibri" w:hAnsi="Calibri"/>
          <w:bCs/>
        </w:rPr>
        <w:t>l’esclavage e</w:t>
      </w:r>
    </w:p>
    <w:p w:rsidR="00C74A7D" w:rsidRDefault="00002B6D" w:rsidP="00463EB7">
      <w:pPr>
        <w:pStyle w:val="Corpsde"/>
        <w:numPr>
          <w:ilvl w:val="0"/>
          <w:numId w:val="3"/>
        </w:numPr>
        <w:shd w:val="clear" w:color="auto" w:fill="FFFFFF"/>
        <w:rPr>
          <w:rFonts w:ascii="Calibri" w:hAnsi="Calibri"/>
          <w:bCs/>
        </w:rPr>
      </w:pPr>
      <w:r>
        <w:rPr>
          <w:rFonts w:ascii="Calibri" w:hAnsi="Calibri"/>
          <w:bCs/>
        </w:rPr>
        <w:t xml:space="preserve"> mener des campagnes de vu</w:t>
      </w:r>
      <w:r w:rsidR="00C74A7D">
        <w:rPr>
          <w:rFonts w:ascii="Calibri" w:hAnsi="Calibri"/>
          <w:bCs/>
        </w:rPr>
        <w:t>lgarisation de la loi interdisant l’esclavage à travers des campagnes de sensibilisations et mobilisations sociales soutenues dans les zones rurales et urbaines</w:t>
      </w:r>
      <w:r w:rsidR="00083C65">
        <w:rPr>
          <w:rFonts w:ascii="Calibri" w:hAnsi="Calibri"/>
          <w:bCs/>
        </w:rPr>
        <w:t xml:space="preserve"> notamment par les </w:t>
      </w:r>
      <w:proofErr w:type="spellStart"/>
      <w:r w:rsidR="00083C65">
        <w:rPr>
          <w:rFonts w:ascii="Calibri" w:hAnsi="Calibri"/>
          <w:bCs/>
        </w:rPr>
        <w:t>ONGs</w:t>
      </w:r>
      <w:proofErr w:type="spellEnd"/>
      <w:r w:rsidR="00083C65">
        <w:rPr>
          <w:rFonts w:ascii="Calibri" w:hAnsi="Calibri"/>
          <w:bCs/>
        </w:rPr>
        <w:t xml:space="preserve"> </w:t>
      </w:r>
      <w:r>
        <w:rPr>
          <w:rFonts w:ascii="Calibri" w:hAnsi="Calibri"/>
          <w:bCs/>
        </w:rPr>
        <w:t xml:space="preserve">qui sillonnent le pays </w:t>
      </w:r>
      <w:r w:rsidR="00083C65">
        <w:rPr>
          <w:rFonts w:ascii="Calibri" w:hAnsi="Calibri"/>
          <w:bCs/>
        </w:rPr>
        <w:t>ainsi que les nouvelles radios régionales</w:t>
      </w:r>
      <w:r w:rsidR="00C74A7D">
        <w:rPr>
          <w:rFonts w:ascii="Calibri" w:hAnsi="Calibri"/>
          <w:bCs/>
        </w:rPr>
        <w:t>.</w:t>
      </w:r>
    </w:p>
    <w:p w:rsidR="00083C65" w:rsidRDefault="00083C65" w:rsidP="00083C65">
      <w:pPr>
        <w:pStyle w:val="Corpsde"/>
        <w:numPr>
          <w:ilvl w:val="0"/>
          <w:numId w:val="3"/>
        </w:numPr>
        <w:shd w:val="clear" w:color="auto" w:fill="FFFFFF"/>
        <w:rPr>
          <w:rFonts w:ascii="Calibri" w:hAnsi="Calibri"/>
          <w:bCs/>
        </w:rPr>
      </w:pPr>
      <w:r>
        <w:rPr>
          <w:rFonts w:ascii="Calibri" w:hAnsi="Calibri"/>
          <w:bCs/>
        </w:rPr>
        <w:t xml:space="preserve">Introduire la Justice </w:t>
      </w:r>
      <w:r w:rsidR="00002B6D">
        <w:rPr>
          <w:rFonts w:ascii="Calibri" w:hAnsi="Calibri"/>
          <w:bCs/>
        </w:rPr>
        <w:t>« </w:t>
      </w:r>
      <w:r>
        <w:rPr>
          <w:rFonts w:ascii="Calibri" w:hAnsi="Calibri"/>
          <w:bCs/>
        </w:rPr>
        <w:t>Transitionnelle</w:t>
      </w:r>
      <w:r w:rsidR="00002B6D">
        <w:rPr>
          <w:rFonts w:ascii="Calibri" w:hAnsi="Calibri"/>
          <w:bCs/>
        </w:rPr>
        <w:t> »</w:t>
      </w:r>
      <w:r>
        <w:rPr>
          <w:rFonts w:ascii="Calibri" w:hAnsi="Calibri"/>
          <w:bCs/>
        </w:rPr>
        <w:t xml:space="preserve"> </w:t>
      </w:r>
      <w:r w:rsidR="00002B6D">
        <w:rPr>
          <w:rFonts w:ascii="Calibri" w:hAnsi="Calibri"/>
          <w:bCs/>
        </w:rPr>
        <w:t>qui a fait ses preuves dans une trentaine de pays à travers le monde </w:t>
      </w:r>
      <w:r>
        <w:rPr>
          <w:rFonts w:ascii="Calibri" w:hAnsi="Calibri"/>
          <w:bCs/>
        </w:rPr>
        <w:t>pour régler définitivement le problème du Passif Hum</w:t>
      </w:r>
      <w:r w:rsidR="00002B6D">
        <w:rPr>
          <w:rFonts w:ascii="Calibri" w:hAnsi="Calibri"/>
          <w:bCs/>
        </w:rPr>
        <w:t>anitaire et retrouver la Réconci</w:t>
      </w:r>
      <w:r>
        <w:rPr>
          <w:rFonts w:ascii="Calibri" w:hAnsi="Calibri"/>
          <w:bCs/>
        </w:rPr>
        <w:t xml:space="preserve">liation </w:t>
      </w:r>
      <w:r w:rsidR="00002B6D">
        <w:rPr>
          <w:rFonts w:ascii="Calibri" w:hAnsi="Calibri"/>
          <w:bCs/>
        </w:rPr>
        <w:t>Nationale.</w:t>
      </w:r>
    </w:p>
    <w:p w:rsidR="00002B6D" w:rsidRDefault="00002B6D" w:rsidP="00083C65">
      <w:pPr>
        <w:pStyle w:val="Corpsde"/>
        <w:numPr>
          <w:ilvl w:val="0"/>
          <w:numId w:val="3"/>
        </w:numPr>
        <w:shd w:val="clear" w:color="auto" w:fill="FFFFFF"/>
        <w:rPr>
          <w:rFonts w:ascii="Calibri" w:hAnsi="Calibri"/>
          <w:bCs/>
        </w:rPr>
      </w:pPr>
      <w:r>
        <w:rPr>
          <w:rFonts w:ascii="Calibri" w:hAnsi="Calibri"/>
          <w:bCs/>
        </w:rPr>
        <w:t xml:space="preserve">Promouvoir le dialogue et </w:t>
      </w:r>
      <w:proofErr w:type="gramStart"/>
      <w:r>
        <w:rPr>
          <w:rFonts w:ascii="Calibri" w:hAnsi="Calibri"/>
          <w:bCs/>
        </w:rPr>
        <w:t>la</w:t>
      </w:r>
      <w:proofErr w:type="gramEnd"/>
      <w:r>
        <w:rPr>
          <w:rFonts w:ascii="Calibri" w:hAnsi="Calibri"/>
          <w:bCs/>
        </w:rPr>
        <w:t xml:space="preserve"> non violence.</w:t>
      </w:r>
    </w:p>
    <w:p w:rsidR="00136C6B" w:rsidRDefault="00136C6B" w:rsidP="00083C65">
      <w:pPr>
        <w:pStyle w:val="Corpsde"/>
        <w:numPr>
          <w:ilvl w:val="0"/>
          <w:numId w:val="3"/>
        </w:numPr>
        <w:shd w:val="clear" w:color="auto" w:fill="FFFFFF"/>
        <w:rPr>
          <w:rFonts w:ascii="Calibri" w:hAnsi="Calibri"/>
          <w:bCs/>
        </w:rPr>
      </w:pPr>
      <w:r>
        <w:rPr>
          <w:rFonts w:ascii="Calibri" w:hAnsi="Calibri"/>
          <w:bCs/>
        </w:rPr>
        <w:t>Améliorer les conditions de vie en milieu carcéral.</w:t>
      </w:r>
    </w:p>
    <w:p w:rsidR="00083C65" w:rsidRDefault="00083C65" w:rsidP="00083C65">
      <w:pPr>
        <w:pStyle w:val="Corpsde"/>
        <w:shd w:val="clear" w:color="auto" w:fill="FFFFFF"/>
        <w:rPr>
          <w:rFonts w:ascii="Calibri" w:hAnsi="Calibri"/>
          <w:bCs/>
        </w:rPr>
      </w:pPr>
    </w:p>
    <w:p w:rsidR="008A0040" w:rsidRPr="009D7CD6" w:rsidRDefault="008A0040" w:rsidP="0065219E">
      <w:pPr>
        <w:rPr>
          <w:b/>
          <w:bCs/>
          <w:sz w:val="24"/>
          <w:szCs w:val="24"/>
        </w:rPr>
      </w:pPr>
    </w:p>
    <w:p w:rsidR="00E25136" w:rsidRPr="009D7CD6" w:rsidRDefault="0065219E" w:rsidP="0065219E">
      <w:pPr>
        <w:rPr>
          <w:sz w:val="24"/>
          <w:szCs w:val="24"/>
        </w:rPr>
      </w:pPr>
      <w:r w:rsidRPr="009D7CD6">
        <w:rPr>
          <w:sz w:val="24"/>
          <w:szCs w:val="24"/>
        </w:rPr>
        <w:t xml:space="preserve"> </w:t>
      </w:r>
    </w:p>
    <w:p w:rsidR="0065219E" w:rsidRPr="009D7CD6" w:rsidRDefault="0065219E" w:rsidP="00E25136">
      <w:pPr>
        <w:rPr>
          <w:sz w:val="24"/>
          <w:szCs w:val="24"/>
        </w:rPr>
      </w:pPr>
    </w:p>
    <w:sectPr w:rsidR="0065219E" w:rsidRPr="009D7CD6" w:rsidSect="00EF1F6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066" w:rsidRDefault="003A1066" w:rsidP="00867B30">
      <w:pPr>
        <w:spacing w:after="0" w:line="240" w:lineRule="auto"/>
      </w:pPr>
      <w:r>
        <w:separator/>
      </w:r>
    </w:p>
  </w:endnote>
  <w:endnote w:type="continuationSeparator" w:id="0">
    <w:p w:rsidR="003A1066" w:rsidRDefault="003A1066" w:rsidP="00867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179"/>
      <w:gridCol w:w="929"/>
      <w:gridCol w:w="4180"/>
    </w:tblGrid>
    <w:tr w:rsidR="00867B30">
      <w:trPr>
        <w:trHeight w:val="151"/>
      </w:trPr>
      <w:tc>
        <w:tcPr>
          <w:tcW w:w="2250" w:type="pct"/>
          <w:tcBorders>
            <w:bottom w:val="single" w:sz="4" w:space="0" w:color="4F81BD" w:themeColor="accent1"/>
          </w:tcBorders>
        </w:tcPr>
        <w:p w:rsidR="00867B30" w:rsidRDefault="00867B30">
          <w:pPr>
            <w:pStyle w:val="Header"/>
            <w:rPr>
              <w:rFonts w:asciiTheme="majorHAnsi" w:eastAsiaTheme="majorEastAsia" w:hAnsiTheme="majorHAnsi" w:cstheme="majorBidi"/>
              <w:b/>
              <w:bCs/>
            </w:rPr>
          </w:pPr>
        </w:p>
      </w:tc>
      <w:tc>
        <w:tcPr>
          <w:tcW w:w="500" w:type="pct"/>
          <w:vMerge w:val="restart"/>
          <w:noWrap/>
          <w:vAlign w:val="center"/>
        </w:tcPr>
        <w:p w:rsidR="00867B30" w:rsidRDefault="00867B30">
          <w:pPr>
            <w:pStyle w:val="NoSpacing"/>
            <w:rPr>
              <w:rFonts w:asciiTheme="majorHAnsi" w:hAnsiTheme="majorHAnsi"/>
            </w:rPr>
          </w:pPr>
          <w:r>
            <w:rPr>
              <w:rFonts w:asciiTheme="majorHAnsi" w:hAnsiTheme="majorHAnsi"/>
              <w:b/>
            </w:rPr>
            <w:t xml:space="preserve">Page </w:t>
          </w:r>
          <w:r w:rsidR="001C5135">
            <w:fldChar w:fldCharType="begin"/>
          </w:r>
          <w:r w:rsidR="001C5135">
            <w:instrText xml:space="preserve"> PAGE  \* MERGEFORMAT </w:instrText>
          </w:r>
          <w:r w:rsidR="001C5135">
            <w:fldChar w:fldCharType="separate"/>
          </w:r>
          <w:r w:rsidRPr="00867B30">
            <w:rPr>
              <w:rFonts w:asciiTheme="majorHAnsi" w:hAnsiTheme="majorHAnsi"/>
              <w:b/>
              <w:noProof/>
            </w:rPr>
            <w:t>1</w:t>
          </w:r>
          <w:r w:rsidR="001C5135">
            <w:rPr>
              <w:rFonts w:asciiTheme="majorHAnsi" w:hAnsiTheme="majorHAnsi"/>
              <w:b/>
              <w:noProof/>
            </w:rPr>
            <w:fldChar w:fldCharType="end"/>
          </w:r>
        </w:p>
      </w:tc>
      <w:tc>
        <w:tcPr>
          <w:tcW w:w="2250" w:type="pct"/>
          <w:tcBorders>
            <w:bottom w:val="single" w:sz="4" w:space="0" w:color="4F81BD" w:themeColor="accent1"/>
          </w:tcBorders>
        </w:tcPr>
        <w:p w:rsidR="00867B30" w:rsidRDefault="00867B30">
          <w:pPr>
            <w:pStyle w:val="Header"/>
            <w:rPr>
              <w:rFonts w:asciiTheme="majorHAnsi" w:eastAsiaTheme="majorEastAsia" w:hAnsiTheme="majorHAnsi" w:cstheme="majorBidi"/>
              <w:b/>
              <w:bCs/>
            </w:rPr>
          </w:pPr>
        </w:p>
      </w:tc>
    </w:tr>
    <w:tr w:rsidR="00867B30">
      <w:trPr>
        <w:trHeight w:val="150"/>
      </w:trPr>
      <w:tc>
        <w:tcPr>
          <w:tcW w:w="2250" w:type="pct"/>
          <w:tcBorders>
            <w:top w:val="single" w:sz="4" w:space="0" w:color="4F81BD" w:themeColor="accent1"/>
          </w:tcBorders>
        </w:tcPr>
        <w:p w:rsidR="00867B30" w:rsidRDefault="00867B30">
          <w:pPr>
            <w:pStyle w:val="Header"/>
            <w:rPr>
              <w:rFonts w:asciiTheme="majorHAnsi" w:eastAsiaTheme="majorEastAsia" w:hAnsiTheme="majorHAnsi" w:cstheme="majorBidi"/>
              <w:b/>
              <w:bCs/>
            </w:rPr>
          </w:pPr>
        </w:p>
      </w:tc>
      <w:tc>
        <w:tcPr>
          <w:tcW w:w="500" w:type="pct"/>
          <w:vMerge/>
        </w:tcPr>
        <w:p w:rsidR="00867B30" w:rsidRDefault="00867B30">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867B30" w:rsidRDefault="00867B30">
          <w:pPr>
            <w:pStyle w:val="Header"/>
            <w:rPr>
              <w:rFonts w:asciiTheme="majorHAnsi" w:eastAsiaTheme="majorEastAsia" w:hAnsiTheme="majorHAnsi" w:cstheme="majorBidi"/>
              <w:b/>
              <w:bCs/>
            </w:rPr>
          </w:pPr>
        </w:p>
      </w:tc>
    </w:tr>
  </w:tbl>
  <w:p w:rsidR="00867B30" w:rsidRDefault="00867B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066" w:rsidRDefault="003A1066" w:rsidP="00867B30">
      <w:pPr>
        <w:spacing w:after="0" w:line="240" w:lineRule="auto"/>
      </w:pPr>
      <w:r>
        <w:separator/>
      </w:r>
    </w:p>
  </w:footnote>
  <w:footnote w:type="continuationSeparator" w:id="0">
    <w:p w:rsidR="003A1066" w:rsidRDefault="003A1066" w:rsidP="00867B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67548"/>
    <w:multiLevelType w:val="hybridMultilevel"/>
    <w:tmpl w:val="B75A6BD2"/>
    <w:lvl w:ilvl="0" w:tplc="6310BA12">
      <w:start w:val="5"/>
      <w:numFmt w:val="bullet"/>
      <w:lvlText w:val="-"/>
      <w:lvlJc w:val="left"/>
      <w:pPr>
        <w:ind w:left="720" w:hanging="360"/>
      </w:pPr>
      <w:rPr>
        <w:rFonts w:ascii="Times New Roman" w:eastAsia="Calibri" w:hAnsi="Times New Roman" w:cs="Times New Roman" w:hint="default"/>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C7F11A2"/>
    <w:multiLevelType w:val="hybridMultilevel"/>
    <w:tmpl w:val="B1E8A68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57F059BA"/>
    <w:multiLevelType w:val="hybridMultilevel"/>
    <w:tmpl w:val="62EA184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BDE"/>
    <w:rsid w:val="00002B6D"/>
    <w:rsid w:val="0001771C"/>
    <w:rsid w:val="00020011"/>
    <w:rsid w:val="000236AD"/>
    <w:rsid w:val="0007097A"/>
    <w:rsid w:val="00077D64"/>
    <w:rsid w:val="00083C65"/>
    <w:rsid w:val="000A4701"/>
    <w:rsid w:val="000D6E88"/>
    <w:rsid w:val="00105E10"/>
    <w:rsid w:val="0013043B"/>
    <w:rsid w:val="00130954"/>
    <w:rsid w:val="00136C6B"/>
    <w:rsid w:val="001466DA"/>
    <w:rsid w:val="001C351A"/>
    <w:rsid w:val="001C5135"/>
    <w:rsid w:val="002F3FD2"/>
    <w:rsid w:val="002F6595"/>
    <w:rsid w:val="00323E6B"/>
    <w:rsid w:val="003577F7"/>
    <w:rsid w:val="00364436"/>
    <w:rsid w:val="003A1066"/>
    <w:rsid w:val="003D2BD5"/>
    <w:rsid w:val="003D36DE"/>
    <w:rsid w:val="003F0AE2"/>
    <w:rsid w:val="0040413A"/>
    <w:rsid w:val="00457602"/>
    <w:rsid w:val="00463EB7"/>
    <w:rsid w:val="00516E6E"/>
    <w:rsid w:val="00554123"/>
    <w:rsid w:val="005D7A20"/>
    <w:rsid w:val="005F058D"/>
    <w:rsid w:val="006052C1"/>
    <w:rsid w:val="0063698B"/>
    <w:rsid w:val="0065219E"/>
    <w:rsid w:val="006C2DD3"/>
    <w:rsid w:val="007B5743"/>
    <w:rsid w:val="007C7515"/>
    <w:rsid w:val="007E3D86"/>
    <w:rsid w:val="007F2146"/>
    <w:rsid w:val="00867B30"/>
    <w:rsid w:val="008A0040"/>
    <w:rsid w:val="008A389C"/>
    <w:rsid w:val="008D788E"/>
    <w:rsid w:val="008F2B54"/>
    <w:rsid w:val="00914BE5"/>
    <w:rsid w:val="00917A3D"/>
    <w:rsid w:val="009A2A21"/>
    <w:rsid w:val="009C3C6F"/>
    <w:rsid w:val="009D7CD6"/>
    <w:rsid w:val="00A0052F"/>
    <w:rsid w:val="00A20336"/>
    <w:rsid w:val="00A51EE6"/>
    <w:rsid w:val="00AA5A9F"/>
    <w:rsid w:val="00B11E0C"/>
    <w:rsid w:val="00B12BDE"/>
    <w:rsid w:val="00B75B5A"/>
    <w:rsid w:val="00C74A7D"/>
    <w:rsid w:val="00C96D93"/>
    <w:rsid w:val="00CD4C67"/>
    <w:rsid w:val="00CE3E15"/>
    <w:rsid w:val="00CF35FC"/>
    <w:rsid w:val="00D87119"/>
    <w:rsid w:val="00DB79A6"/>
    <w:rsid w:val="00E25136"/>
    <w:rsid w:val="00E85320"/>
    <w:rsid w:val="00EC249C"/>
    <w:rsid w:val="00EF1F6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7B30"/>
    <w:pPr>
      <w:tabs>
        <w:tab w:val="center" w:pos="4536"/>
        <w:tab w:val="right" w:pos="9072"/>
      </w:tabs>
      <w:spacing w:after="0" w:line="240" w:lineRule="auto"/>
    </w:pPr>
  </w:style>
  <w:style w:type="character" w:customStyle="1" w:styleId="HeaderChar">
    <w:name w:val="Header Char"/>
    <w:basedOn w:val="DefaultParagraphFont"/>
    <w:link w:val="Header"/>
    <w:uiPriority w:val="99"/>
    <w:rsid w:val="00867B30"/>
  </w:style>
  <w:style w:type="paragraph" w:styleId="Footer">
    <w:name w:val="footer"/>
    <w:basedOn w:val="Normal"/>
    <w:link w:val="FooterChar"/>
    <w:uiPriority w:val="99"/>
    <w:unhideWhenUsed/>
    <w:rsid w:val="00867B30"/>
    <w:pPr>
      <w:tabs>
        <w:tab w:val="center" w:pos="4536"/>
        <w:tab w:val="right" w:pos="9072"/>
      </w:tabs>
      <w:spacing w:after="0" w:line="240" w:lineRule="auto"/>
    </w:pPr>
  </w:style>
  <w:style w:type="character" w:customStyle="1" w:styleId="FooterChar">
    <w:name w:val="Footer Char"/>
    <w:basedOn w:val="DefaultParagraphFont"/>
    <w:link w:val="Footer"/>
    <w:uiPriority w:val="99"/>
    <w:rsid w:val="00867B30"/>
  </w:style>
  <w:style w:type="paragraph" w:styleId="NoSpacing">
    <w:name w:val="No Spacing"/>
    <w:link w:val="NoSpacingChar"/>
    <w:uiPriority w:val="1"/>
    <w:qFormat/>
    <w:rsid w:val="00867B30"/>
    <w:pPr>
      <w:spacing w:after="0" w:line="240" w:lineRule="auto"/>
    </w:pPr>
  </w:style>
  <w:style w:type="character" w:customStyle="1" w:styleId="NoSpacingChar">
    <w:name w:val="No Spacing Char"/>
    <w:basedOn w:val="DefaultParagraphFont"/>
    <w:link w:val="NoSpacing"/>
    <w:uiPriority w:val="1"/>
    <w:rsid w:val="00867B30"/>
    <w:rPr>
      <w:rFonts w:eastAsiaTheme="minorEastAsia"/>
    </w:rPr>
  </w:style>
  <w:style w:type="paragraph" w:customStyle="1" w:styleId="Corpsde">
    <w:name w:val="Corps de"/>
    <w:basedOn w:val="Normal"/>
    <w:uiPriority w:val="99"/>
    <w:rsid w:val="00917A3D"/>
    <w:pPr>
      <w:widowControl w:val="0"/>
      <w:suppressAutoHyphens/>
      <w:spacing w:after="120" w:line="240" w:lineRule="auto"/>
    </w:pPr>
    <w:rPr>
      <w:rFonts w:ascii="Times New Roman" w:eastAsia="Calibri" w:hAnsi="Times New Roman" w:cs="Times New Roman"/>
      <w:kern w:val="2"/>
      <w:sz w:val="24"/>
      <w:szCs w:val="24"/>
    </w:rPr>
  </w:style>
  <w:style w:type="paragraph" w:customStyle="1" w:styleId="Default">
    <w:name w:val="Default"/>
    <w:rsid w:val="009C3C6F"/>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7B30"/>
    <w:pPr>
      <w:tabs>
        <w:tab w:val="center" w:pos="4536"/>
        <w:tab w:val="right" w:pos="9072"/>
      </w:tabs>
      <w:spacing w:after="0" w:line="240" w:lineRule="auto"/>
    </w:pPr>
  </w:style>
  <w:style w:type="character" w:customStyle="1" w:styleId="HeaderChar">
    <w:name w:val="Header Char"/>
    <w:basedOn w:val="DefaultParagraphFont"/>
    <w:link w:val="Header"/>
    <w:uiPriority w:val="99"/>
    <w:rsid w:val="00867B30"/>
  </w:style>
  <w:style w:type="paragraph" w:styleId="Footer">
    <w:name w:val="footer"/>
    <w:basedOn w:val="Normal"/>
    <w:link w:val="FooterChar"/>
    <w:uiPriority w:val="99"/>
    <w:unhideWhenUsed/>
    <w:rsid w:val="00867B30"/>
    <w:pPr>
      <w:tabs>
        <w:tab w:val="center" w:pos="4536"/>
        <w:tab w:val="right" w:pos="9072"/>
      </w:tabs>
      <w:spacing w:after="0" w:line="240" w:lineRule="auto"/>
    </w:pPr>
  </w:style>
  <w:style w:type="character" w:customStyle="1" w:styleId="FooterChar">
    <w:name w:val="Footer Char"/>
    <w:basedOn w:val="DefaultParagraphFont"/>
    <w:link w:val="Footer"/>
    <w:uiPriority w:val="99"/>
    <w:rsid w:val="00867B30"/>
  </w:style>
  <w:style w:type="paragraph" w:styleId="NoSpacing">
    <w:name w:val="No Spacing"/>
    <w:link w:val="NoSpacingChar"/>
    <w:uiPriority w:val="1"/>
    <w:qFormat/>
    <w:rsid w:val="00867B30"/>
    <w:pPr>
      <w:spacing w:after="0" w:line="240" w:lineRule="auto"/>
    </w:pPr>
  </w:style>
  <w:style w:type="character" w:customStyle="1" w:styleId="NoSpacingChar">
    <w:name w:val="No Spacing Char"/>
    <w:basedOn w:val="DefaultParagraphFont"/>
    <w:link w:val="NoSpacing"/>
    <w:uiPriority w:val="1"/>
    <w:rsid w:val="00867B30"/>
    <w:rPr>
      <w:rFonts w:eastAsiaTheme="minorEastAsia"/>
    </w:rPr>
  </w:style>
  <w:style w:type="paragraph" w:customStyle="1" w:styleId="Corpsde">
    <w:name w:val="Corps de"/>
    <w:basedOn w:val="Normal"/>
    <w:uiPriority w:val="99"/>
    <w:rsid w:val="00917A3D"/>
    <w:pPr>
      <w:widowControl w:val="0"/>
      <w:suppressAutoHyphens/>
      <w:spacing w:after="120" w:line="240" w:lineRule="auto"/>
    </w:pPr>
    <w:rPr>
      <w:rFonts w:ascii="Times New Roman" w:eastAsia="Calibri" w:hAnsi="Times New Roman" w:cs="Times New Roman"/>
      <w:kern w:val="2"/>
      <w:sz w:val="24"/>
      <w:szCs w:val="24"/>
    </w:rPr>
  </w:style>
  <w:style w:type="paragraph" w:customStyle="1" w:styleId="Default">
    <w:name w:val="Default"/>
    <w:rsid w:val="009C3C6F"/>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FD8D28-5323-45FB-9E47-9F5F4C7B10BF}"/>
</file>

<file path=customXml/itemProps2.xml><?xml version="1.0" encoding="utf-8"?>
<ds:datastoreItem xmlns:ds="http://schemas.openxmlformats.org/officeDocument/2006/customXml" ds:itemID="{67549398-8884-44D0-8E39-BD43F78C3577}"/>
</file>

<file path=customXml/itemProps3.xml><?xml version="1.0" encoding="utf-8"?>
<ds:datastoreItem xmlns:ds="http://schemas.openxmlformats.org/officeDocument/2006/customXml" ds:itemID="{68034EEF-8EBD-461D-919D-32372BC91AEA}"/>
</file>

<file path=docProps/app.xml><?xml version="1.0" encoding="utf-8"?>
<Properties xmlns="http://schemas.openxmlformats.org/officeDocument/2006/extended-properties" xmlns:vt="http://schemas.openxmlformats.org/officeDocument/2006/docPropsVTypes">
  <Template>Normal</Template>
  <TotalTime>0</TotalTime>
  <Pages>2</Pages>
  <Words>1488</Words>
  <Characters>8487</Characters>
  <Application>Microsoft Office Word</Application>
  <DocSecurity>4</DocSecurity>
  <Lines>70</Lines>
  <Paragraphs>19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9956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SEKTOU</dc:creator>
  <cp:lastModifiedBy>Denis D'aniello</cp:lastModifiedBy>
  <cp:revision>2</cp:revision>
  <dcterms:created xsi:type="dcterms:W3CDTF">2013-07-22T08:05:00Z</dcterms:created>
  <dcterms:modified xsi:type="dcterms:W3CDTF">2013-07-22T08:05:00Z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