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43BC9B" w14:textId="128270E8" w:rsidR="00685117" w:rsidRDefault="00041CEB" w:rsidP="00652C78">
      <w:pPr>
        <w:spacing w:before="0" w:after="240"/>
        <w:jc w:val="both"/>
      </w:pPr>
      <w:r>
        <w:rPr>
          <w:noProof/>
          <w:lang w:bidi="es-ES"/>
        </w:rPr>
        <w:drawing>
          <wp:anchor distT="0" distB="0" distL="114300" distR="114300" simplePos="0" relativeHeight="251658239" behindDoc="1" locked="1" layoutInCell="1" allowOverlap="1" wp14:anchorId="6BD21F26" wp14:editId="758FE06D">
            <wp:simplePos x="0" y="0"/>
            <wp:positionH relativeFrom="column">
              <wp:posOffset>768985</wp:posOffset>
            </wp:positionH>
            <wp:positionV relativeFrom="paragraph">
              <wp:posOffset>3673475</wp:posOffset>
            </wp:positionV>
            <wp:extent cx="6327775" cy="5551170"/>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
                    <pic:cNvPicPr>
                      <a:picLocks noChangeAspect="1"/>
                    </pic:cNvPicPr>
                  </pic:nvPicPr>
                  <pic:blipFill>
                    <a:blip r:embed="rId11"/>
                    <a:srcRect t="6135" b="6135"/>
                    <a:stretch>
                      <a:fillRect/>
                    </a:stretch>
                  </pic:blipFill>
                  <pic:spPr bwMode="auto">
                    <a:xfrm>
                      <a:off x="0" y="0"/>
                      <a:ext cx="6327775" cy="5551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bidi="es-ES"/>
        </w:rPr>
        <mc:AlternateContent>
          <mc:Choice Requires="wpg">
            <w:drawing>
              <wp:anchor distT="0" distB="0" distL="114300" distR="114300" simplePos="0" relativeHeight="251662336" behindDoc="1" locked="1" layoutInCell="1" allowOverlap="1" wp14:anchorId="4CC8BD06" wp14:editId="250850AE">
                <wp:simplePos x="0" y="0"/>
                <wp:positionH relativeFrom="column">
                  <wp:posOffset>-152400</wp:posOffset>
                </wp:positionH>
                <wp:positionV relativeFrom="paragraph">
                  <wp:posOffset>37465</wp:posOffset>
                </wp:positionV>
                <wp:extent cx="7461250" cy="9992995"/>
                <wp:effectExtent l="0" t="0" r="19050" b="1905"/>
                <wp:wrapNone/>
                <wp:docPr id="4" name="Grupo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461250" cy="9992995"/>
                          <a:chOff x="0" y="0"/>
                          <a:chExt cx="7459980" cy="10005951"/>
                        </a:xfrm>
                      </wpg:grpSpPr>
                      <wps:wsp>
                        <wps:cNvPr id="1" name="Rectángulo 1"/>
                        <wps:cNvSpPr/>
                        <wps:spPr>
                          <a:xfrm>
                            <a:off x="0" y="0"/>
                            <a:ext cx="4707952" cy="10005951"/>
                          </a:xfrm>
                          <a:prstGeom prst="rect">
                            <a:avLst/>
                          </a:prstGeom>
                          <a:solidFill>
                            <a:schemeClr val="tx2">
                              <a:lumMod val="20000"/>
                              <a:lumOff val="80000"/>
                              <a:alpha val="3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Conector recto 2">
                          <a:extLst>
                            <a:ext uri="{C183D7F6-B498-43B3-948B-1728B52AA6E4}">
                              <adec:decorative xmlns:adec="http://schemas.microsoft.com/office/drawing/2017/decorative" val="1"/>
                            </a:ext>
                          </a:extLst>
                        </wps:cNvPr>
                        <wps:cNvCnPr/>
                        <wps:spPr>
                          <a:xfrm>
                            <a:off x="1059180" y="9384030"/>
                            <a:ext cx="6400800" cy="0"/>
                          </a:xfrm>
                          <a:prstGeom prst="line">
                            <a:avLst/>
                          </a:prstGeom>
                          <a:ln w="3810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A46FEC2" id="Grupo 4" o:spid="_x0000_s1026" alt="&quot;&quot;" style="position:absolute;margin-left:-12pt;margin-top:2.95pt;width:587.5pt;height:786.85pt;z-index:-251654144;mso-width-relative:margin;mso-height-relative:margin" coordsize="74599,1000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">
                <v:rect id="Rectángulo 1" o:spid="_x0000_s1027" style="position:absolute;width:47079;height:10005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" fillcolor="#d5dce4 [671]" stroked="f" strokeweight="2pt">
                  <v:fill opacity="19789f"/>
                </v:rect>
                <v:line id="Conector recto 2" o:spid="_x0000_s1028" alt="&quot;&quot;" style="position:absolute;visibility:visible;mso-wrap-style:square" from="10591,93840" to="74599,938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" strokecolor="#8496b0 [1951]" strokeweight="3pt"/>
                <w10:anchorlock/>
              </v:group>
            </w:pict>
          </mc:Fallback>
        </mc:AlternateContent>
      </w:r>
    </w:p>
    <w:tbl>
      <w:tblPr>
        <w:tblW w:w="0" w:type="auto"/>
        <w:tblLayout w:type="fixed"/>
        <w:tblLook w:val="0600" w:firstRow="0" w:lastRow="0" w:firstColumn="0" w:lastColumn="0" w:noHBand="1" w:noVBand="1"/>
      </w:tblPr>
      <w:tblGrid>
        <w:gridCol w:w="10458"/>
      </w:tblGrid>
      <w:tr w:rsidR="00E47672" w14:paraId="1763903E" w14:textId="77777777" w:rsidTr="00953E90">
        <w:trPr>
          <w:trHeight w:val="726"/>
        </w:trPr>
        <w:tc>
          <w:tcPr>
            <w:tcW w:w="10458" w:type="dxa"/>
          </w:tcPr>
          <w:p w14:paraId="3E888BAF" w14:textId="02C30301" w:rsidR="00E47672" w:rsidRPr="00E47672" w:rsidRDefault="00000000" w:rsidP="0000672B">
            <w:pPr>
              <w:pStyle w:val="Ttulo"/>
              <w:spacing w:line="276" w:lineRule="auto"/>
            </w:pPr>
            <w:sdt>
              <w:sdtPr>
                <w:id w:val="720020519"/>
                <w:placeholder>
                  <w:docPart w:val="8240670D0CF04CEEAAA193D182A89177"/>
                </w:placeholder>
                <w15:appearance w15:val="hidden"/>
              </w:sdtPr>
              <w:sdtEndPr>
                <w:rPr>
                  <w:rStyle w:val="TtuloCar"/>
                  <w:b w:val="0"/>
                  <w:caps w:val="0"/>
                </w:rPr>
              </w:sdtEndPr>
              <w:sdtContent>
                <w:r w:rsidR="00EA6855" w:rsidRPr="00286F6A">
                  <w:rPr>
                    <w:rFonts w:asciiTheme="minorHAnsi" w:hAnsiTheme="minorHAnsi"/>
                    <w:b w:val="0"/>
                    <w:bCs/>
                    <w:caps w:val="0"/>
                    <w:sz w:val="44"/>
                    <w:szCs w:val="44"/>
                  </w:rPr>
                  <w:t>Evaluación de</w:t>
                </w:r>
                <w:r w:rsidR="0000672B" w:rsidRPr="00286F6A">
                  <w:rPr>
                    <w:rFonts w:asciiTheme="minorHAnsi" w:hAnsiTheme="minorHAnsi"/>
                    <w:b w:val="0"/>
                    <w:bCs/>
                    <w:caps w:val="0"/>
                    <w:sz w:val="44"/>
                    <w:szCs w:val="44"/>
                  </w:rPr>
                  <w:t xml:space="preserve"> </w:t>
                </w:r>
                <w:r w:rsidR="00EA6855" w:rsidRPr="00286F6A">
                  <w:rPr>
                    <w:rFonts w:asciiTheme="minorHAnsi" w:hAnsiTheme="minorHAnsi"/>
                    <w:b w:val="0"/>
                    <w:bCs/>
                    <w:caps w:val="0"/>
                    <w:sz w:val="44"/>
                    <w:szCs w:val="44"/>
                  </w:rPr>
                  <w:t>l</w:t>
                </w:r>
                <w:r w:rsidR="0000672B" w:rsidRPr="00286F6A">
                  <w:rPr>
                    <w:rFonts w:asciiTheme="minorHAnsi" w:hAnsiTheme="minorHAnsi"/>
                    <w:b w:val="0"/>
                    <w:bCs/>
                    <w:caps w:val="0"/>
                    <w:sz w:val="44"/>
                    <w:szCs w:val="44"/>
                  </w:rPr>
                  <w:t>a</w:t>
                </w:r>
                <w:r w:rsidR="00EA6855" w:rsidRPr="00286F6A">
                  <w:rPr>
                    <w:rFonts w:asciiTheme="minorHAnsi" w:hAnsiTheme="minorHAnsi"/>
                    <w:b w:val="0"/>
                    <w:bCs/>
                    <w:caps w:val="0"/>
                    <w:sz w:val="44"/>
                    <w:szCs w:val="44"/>
                  </w:rPr>
                  <w:t xml:space="preserve"> CDN </w:t>
                </w:r>
                <w:r w:rsidR="0000672B" w:rsidRPr="00286F6A">
                  <w:rPr>
                    <w:rFonts w:asciiTheme="minorHAnsi" w:hAnsiTheme="minorHAnsi"/>
                    <w:b w:val="0"/>
                    <w:bCs/>
                    <w:caps w:val="0"/>
                    <w:sz w:val="44"/>
                    <w:szCs w:val="44"/>
                  </w:rPr>
                  <w:t>en</w:t>
                </w:r>
                <w:r w:rsidR="00EA6855" w:rsidRPr="00286F6A">
                  <w:rPr>
                    <w:rFonts w:asciiTheme="minorHAnsi" w:hAnsiTheme="minorHAnsi"/>
                    <w:b w:val="0"/>
                    <w:bCs/>
                    <w:caps w:val="0"/>
                    <w:sz w:val="44"/>
                    <w:szCs w:val="44"/>
                  </w:rPr>
                  <w:t xml:space="preserve"> España</w:t>
                </w:r>
                <w:r w:rsidR="00286F6A" w:rsidRPr="00286F6A">
                  <w:rPr>
                    <w:rFonts w:asciiTheme="minorHAnsi" w:hAnsiTheme="minorHAnsi"/>
                    <w:b w:val="0"/>
                    <w:bCs/>
                    <w:caps w:val="0"/>
                    <w:sz w:val="44"/>
                    <w:szCs w:val="44"/>
                  </w:rPr>
                  <w:t>. L</w:t>
                </w:r>
                <w:r w:rsidR="00EA6855" w:rsidRPr="00286F6A">
                  <w:rPr>
                    <w:rFonts w:asciiTheme="minorHAnsi" w:hAnsiTheme="minorHAnsi"/>
                    <w:b w:val="0"/>
                    <w:bCs/>
                    <w:caps w:val="0"/>
                    <w:sz w:val="44"/>
                    <w:szCs w:val="44"/>
                  </w:rPr>
                  <w:t xml:space="preserve">os derechos de los niños, niñas y adolescentes </w:t>
                </w:r>
                <w:r w:rsidR="00286F6A" w:rsidRPr="00286F6A">
                  <w:rPr>
                    <w:rFonts w:asciiTheme="minorHAnsi" w:hAnsiTheme="minorHAnsi"/>
                    <w:caps w:val="0"/>
                    <w:sz w:val="44"/>
                    <w:szCs w:val="44"/>
                  </w:rPr>
                  <w:t>afectados</w:t>
                </w:r>
                <w:r w:rsidR="00EA6855" w:rsidRPr="00286F6A">
                  <w:rPr>
                    <w:rFonts w:asciiTheme="minorHAnsi" w:hAnsiTheme="minorHAnsi"/>
                    <w:caps w:val="0"/>
                    <w:sz w:val="44"/>
                    <w:szCs w:val="44"/>
                  </w:rPr>
                  <w:t xml:space="preserve"> por medidas administrativas </w:t>
                </w:r>
                <w:r w:rsidR="00286F6A" w:rsidRPr="00286F6A">
                  <w:rPr>
                    <w:rFonts w:asciiTheme="minorHAnsi" w:hAnsiTheme="minorHAnsi"/>
                    <w:caps w:val="0"/>
                    <w:sz w:val="44"/>
                    <w:szCs w:val="44"/>
                  </w:rPr>
                  <w:t>y</w:t>
                </w:r>
                <w:r w:rsidR="00EA6855" w:rsidRPr="00286F6A">
                  <w:rPr>
                    <w:rFonts w:asciiTheme="minorHAnsi" w:hAnsiTheme="minorHAnsi"/>
                    <w:caps w:val="0"/>
                    <w:sz w:val="44"/>
                    <w:szCs w:val="44"/>
                  </w:rPr>
                  <w:t xml:space="preserve"> judiciales</w:t>
                </w:r>
                <w:r w:rsidR="00286F6A" w:rsidRPr="00286F6A">
                  <w:rPr>
                    <w:rFonts w:asciiTheme="minorHAnsi" w:hAnsiTheme="minorHAnsi"/>
                    <w:b w:val="0"/>
                    <w:bCs/>
                    <w:caps w:val="0"/>
                    <w:sz w:val="44"/>
                    <w:szCs w:val="44"/>
                  </w:rPr>
                  <w:t xml:space="preserve">. Especial atención a los </w:t>
                </w:r>
                <w:r w:rsidR="00286F6A" w:rsidRPr="00286F6A">
                  <w:rPr>
                    <w:rFonts w:asciiTheme="minorHAnsi" w:hAnsiTheme="minorHAnsi"/>
                    <w:caps w:val="0"/>
                    <w:sz w:val="44"/>
                    <w:szCs w:val="44"/>
                  </w:rPr>
                  <w:t>procesos de Familia</w:t>
                </w:r>
                <w:r w:rsidR="00286F6A" w:rsidRPr="00286F6A">
                  <w:rPr>
                    <w:rFonts w:asciiTheme="minorHAnsi" w:hAnsiTheme="minorHAnsi"/>
                    <w:b w:val="0"/>
                    <w:bCs/>
                    <w:caps w:val="0"/>
                    <w:sz w:val="44"/>
                    <w:szCs w:val="44"/>
                  </w:rPr>
                  <w:t>.</w:t>
                </w:r>
              </w:sdtContent>
            </w:sdt>
          </w:p>
        </w:tc>
      </w:tr>
      <w:tr w:rsidR="00E47672" w14:paraId="36336279" w14:textId="77777777" w:rsidTr="00953E90">
        <w:trPr>
          <w:trHeight w:val="726"/>
        </w:trPr>
        <w:tc>
          <w:tcPr>
            <w:tcW w:w="10458" w:type="dxa"/>
          </w:tcPr>
          <w:sdt>
            <w:sdtPr>
              <w:id w:val="-1640336837"/>
              <w:placeholder>
                <w:docPart w:val="E9BC694992D747718D44FC256A16E1DF"/>
              </w:placeholder>
              <w15:appearance w15:val="hidden"/>
            </w:sdtPr>
            <w:sdtContent>
              <w:p w14:paraId="12238573" w14:textId="354289BD" w:rsidR="006064C1" w:rsidRPr="00286F6A" w:rsidRDefault="0000672B" w:rsidP="006064C1">
                <w:pPr>
                  <w:pStyle w:val="Subttulo"/>
                  <w:rPr>
                    <w:sz w:val="28"/>
                    <w:szCs w:val="28"/>
                  </w:rPr>
                </w:pPr>
                <w:r w:rsidRPr="00286F6A">
                  <w:rPr>
                    <w:sz w:val="28"/>
                    <w:szCs w:val="28"/>
                  </w:rPr>
                  <w:t>informe alternativo de</w:t>
                </w:r>
                <w:r w:rsidR="00964CEF" w:rsidRPr="00286F6A">
                  <w:rPr>
                    <w:sz w:val="28"/>
                    <w:szCs w:val="28"/>
                  </w:rPr>
                  <w:t xml:space="preserve"> LA ASOCIACIÓN ESPAÑOLA DE ABOGADOS DE FAMILIA (AEAFA).</w:t>
                </w:r>
                <w:r w:rsidR="00054514" w:rsidRPr="00286F6A">
                  <w:rPr>
                    <w:sz w:val="28"/>
                    <w:szCs w:val="28"/>
                  </w:rPr>
                  <w:t xml:space="preserve"> </w:t>
                </w:r>
                <w:r w:rsidR="006064C1">
                  <w:rPr>
                    <w:sz w:val="28"/>
                    <w:szCs w:val="28"/>
                  </w:rPr>
                  <w:t>JULIO 2024.</w:t>
                </w:r>
              </w:p>
              <w:p w14:paraId="539FD822" w14:textId="2F577A3E" w:rsidR="00E47672" w:rsidRPr="0000672B" w:rsidRDefault="0000672B" w:rsidP="0000672B">
                <w:pPr>
                  <w:pStyle w:val="Subttulo"/>
                  <w:jc w:val="both"/>
                  <w:rPr>
                    <w:sz w:val="24"/>
                    <w:szCs w:val="24"/>
                  </w:rPr>
                </w:pPr>
                <w:r>
                  <w:rPr>
                    <w:caps w:val="0"/>
                    <w:sz w:val="24"/>
                    <w:szCs w:val="24"/>
                  </w:rPr>
                  <w:t xml:space="preserve">La AEAFA es una </w:t>
                </w:r>
                <w:r w:rsidR="00DE3716" w:rsidRPr="00DE3716">
                  <w:rPr>
                    <w:caps w:val="0"/>
                    <w:sz w:val="24"/>
                    <w:szCs w:val="24"/>
                  </w:rPr>
                  <w:t xml:space="preserve">entidad con número 118925 en el registro de </w:t>
                </w:r>
                <w:r>
                  <w:rPr>
                    <w:caps w:val="0"/>
                    <w:sz w:val="24"/>
                    <w:szCs w:val="24"/>
                  </w:rPr>
                  <w:t>asociaciones del M</w:t>
                </w:r>
                <w:r w:rsidR="00DE3716" w:rsidRPr="00DE3716">
                  <w:rPr>
                    <w:caps w:val="0"/>
                    <w:sz w:val="24"/>
                    <w:szCs w:val="24"/>
                  </w:rPr>
                  <w:t>inisterio del interior</w:t>
                </w:r>
                <w:r>
                  <w:rPr>
                    <w:caps w:val="0"/>
                    <w:sz w:val="24"/>
                    <w:szCs w:val="24"/>
                  </w:rPr>
                  <w:t>.</w:t>
                </w:r>
                <w:r w:rsidR="00DE3716" w:rsidRPr="00DE3716">
                  <w:rPr>
                    <w:caps w:val="0"/>
                    <w:sz w:val="24"/>
                    <w:szCs w:val="24"/>
                  </w:rPr>
                  <w:t xml:space="preserve"> </w:t>
                </w:r>
                <w:r>
                  <w:rPr>
                    <w:caps w:val="0"/>
                    <w:sz w:val="24"/>
                    <w:szCs w:val="24"/>
                  </w:rPr>
                  <w:t>Nuestra</w:t>
                </w:r>
                <w:r w:rsidR="00DE3716" w:rsidRPr="00DE3716">
                  <w:rPr>
                    <w:caps w:val="0"/>
                    <w:sz w:val="24"/>
                    <w:szCs w:val="24"/>
                  </w:rPr>
                  <w:t xml:space="preserve"> entidad </w:t>
                </w:r>
                <w:r>
                  <w:rPr>
                    <w:caps w:val="0"/>
                    <w:sz w:val="24"/>
                    <w:szCs w:val="24"/>
                  </w:rPr>
                  <w:t xml:space="preserve">está </w:t>
                </w:r>
                <w:r w:rsidR="00DE3716" w:rsidRPr="00DE3716">
                  <w:rPr>
                    <w:caps w:val="0"/>
                    <w:sz w:val="24"/>
                    <w:szCs w:val="24"/>
                  </w:rPr>
                  <w:t xml:space="preserve">integrada por más de 2.700 </w:t>
                </w:r>
                <w:proofErr w:type="gramStart"/>
                <w:r w:rsidR="00DE3716" w:rsidRPr="00DE3716">
                  <w:rPr>
                    <w:caps w:val="0"/>
                    <w:sz w:val="24"/>
                    <w:szCs w:val="24"/>
                  </w:rPr>
                  <w:t>abogados</w:t>
                </w:r>
                <w:r>
                  <w:rPr>
                    <w:caps w:val="0"/>
                    <w:sz w:val="24"/>
                    <w:szCs w:val="24"/>
                  </w:rPr>
                  <w:t xml:space="preserve"> y abogadas</w:t>
                </w:r>
                <w:proofErr w:type="gramEnd"/>
                <w:r w:rsidR="00DE3716" w:rsidRPr="00DE3716">
                  <w:rPr>
                    <w:caps w:val="0"/>
                    <w:sz w:val="24"/>
                    <w:szCs w:val="24"/>
                  </w:rPr>
                  <w:t xml:space="preserve"> especializados en </w:t>
                </w:r>
                <w:r>
                  <w:rPr>
                    <w:caps w:val="0"/>
                    <w:sz w:val="24"/>
                    <w:szCs w:val="24"/>
                  </w:rPr>
                  <w:t>D</w:t>
                </w:r>
                <w:r w:rsidR="00DE3716" w:rsidRPr="00DE3716">
                  <w:rPr>
                    <w:caps w:val="0"/>
                    <w:sz w:val="24"/>
                    <w:szCs w:val="24"/>
                  </w:rPr>
                  <w:t xml:space="preserve">erecho de </w:t>
                </w:r>
                <w:r>
                  <w:rPr>
                    <w:caps w:val="0"/>
                    <w:sz w:val="24"/>
                    <w:szCs w:val="24"/>
                  </w:rPr>
                  <w:t>F</w:t>
                </w:r>
                <w:r w:rsidR="00DE3716" w:rsidRPr="00DE3716">
                  <w:rPr>
                    <w:caps w:val="0"/>
                    <w:sz w:val="24"/>
                    <w:szCs w:val="24"/>
                  </w:rPr>
                  <w:t xml:space="preserve">amilia, </w:t>
                </w:r>
                <w:r>
                  <w:rPr>
                    <w:caps w:val="0"/>
                    <w:sz w:val="24"/>
                    <w:szCs w:val="24"/>
                  </w:rPr>
                  <w:t>M</w:t>
                </w:r>
                <w:r w:rsidR="00DE3716" w:rsidRPr="00DE3716">
                  <w:rPr>
                    <w:caps w:val="0"/>
                    <w:sz w:val="24"/>
                    <w:szCs w:val="24"/>
                  </w:rPr>
                  <w:t xml:space="preserve">enores y </w:t>
                </w:r>
                <w:r>
                  <w:rPr>
                    <w:caps w:val="0"/>
                    <w:sz w:val="24"/>
                    <w:szCs w:val="24"/>
                  </w:rPr>
                  <w:t>D</w:t>
                </w:r>
                <w:r w:rsidR="00DE3716" w:rsidRPr="00DE3716">
                  <w:rPr>
                    <w:caps w:val="0"/>
                    <w:sz w:val="24"/>
                    <w:szCs w:val="24"/>
                  </w:rPr>
                  <w:t>iscapacidad.</w:t>
                </w:r>
              </w:p>
            </w:sdtContent>
          </w:sdt>
        </w:tc>
      </w:tr>
      <w:tr w:rsidR="00E47672" w14:paraId="61185735" w14:textId="77777777" w:rsidTr="00953E90">
        <w:trPr>
          <w:trHeight w:val="8091"/>
        </w:trPr>
        <w:tc>
          <w:tcPr>
            <w:tcW w:w="10458" w:type="dxa"/>
          </w:tcPr>
          <w:p w14:paraId="3556E191" w14:textId="705C8B13" w:rsidR="00E47672" w:rsidRPr="00206B7B" w:rsidRDefault="00E47672" w:rsidP="00652C78">
            <w:pPr>
              <w:pStyle w:val="Informacindecontacto"/>
              <w:jc w:val="both"/>
            </w:pPr>
          </w:p>
        </w:tc>
      </w:tr>
    </w:tbl>
    <w:p w14:paraId="205B0DE7" w14:textId="7E0A1D1D" w:rsidR="003422FF" w:rsidRPr="00557691" w:rsidRDefault="003422FF" w:rsidP="00652C78">
      <w:pPr>
        <w:jc w:val="both"/>
        <w:rPr>
          <w:lang w:val="en-US"/>
        </w:rPr>
      </w:pPr>
    </w:p>
    <w:p w14:paraId="35C54D3B" w14:textId="77777777" w:rsidR="0074501E" w:rsidRPr="00557691" w:rsidRDefault="0074501E" w:rsidP="00652C78">
      <w:pPr>
        <w:pStyle w:val="Ttulo1"/>
        <w:jc w:val="both"/>
        <w:rPr>
          <w:lang w:val="en-US"/>
        </w:rPr>
        <w:sectPr w:rsidR="0074501E" w:rsidRPr="00557691" w:rsidSect="00953E90">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720" w:footer="720" w:gutter="0"/>
          <w:pgNumType w:start="0"/>
          <w:cols w:space="720"/>
          <w:titlePg/>
          <w:docGrid w:linePitch="360"/>
        </w:sectPr>
      </w:pPr>
    </w:p>
    <w:p w14:paraId="0CAC584A" w14:textId="3E4D6C81" w:rsidR="00286F6A" w:rsidRDefault="00286F6A" w:rsidP="00652C78">
      <w:pPr>
        <w:pStyle w:val="Ttulo1"/>
      </w:pPr>
      <w:r>
        <w:lastRenderedPageBreak/>
        <w:t>ÍNDICE</w:t>
      </w:r>
    </w:p>
    <w:p w14:paraId="63327892" w14:textId="6DA59C12" w:rsidR="00286F6A" w:rsidRDefault="00286F6A" w:rsidP="00BF6587">
      <w:pPr>
        <w:ind w:left="720"/>
      </w:pPr>
      <w:r>
        <w:t>I – ESPAÑA FRENTE A LA CONVENCIÓN SOBRE LOS DERECHOS DEL NIÑO</w:t>
      </w:r>
      <w:r w:rsidR="00BF6587">
        <w:t>. ANTECEDENTES.</w:t>
      </w:r>
    </w:p>
    <w:p w14:paraId="6A59EA1D" w14:textId="7E695DED" w:rsidR="00286F6A" w:rsidRDefault="00286F6A" w:rsidP="00BF6587">
      <w:pPr>
        <w:ind w:left="720"/>
      </w:pPr>
      <w:r>
        <w:t xml:space="preserve">II </w:t>
      </w:r>
      <w:r w:rsidR="00BF6587">
        <w:t>–</w:t>
      </w:r>
      <w:r>
        <w:t xml:space="preserve"> </w:t>
      </w:r>
      <w:r w:rsidR="00BF6587">
        <w:t>ESPAÑA Y SUS COMPROMISOS ANTE LA PRÓXIMA EVALUACIÓN.</w:t>
      </w:r>
    </w:p>
    <w:p w14:paraId="430EA00D" w14:textId="0B4EA865" w:rsidR="00BF6587" w:rsidRDefault="00BF6587" w:rsidP="00BF6587">
      <w:pPr>
        <w:ind w:left="720"/>
      </w:pPr>
      <w:r>
        <w:t>III – LA RESPUESTA DE ESPAÑA.</w:t>
      </w:r>
    </w:p>
    <w:p w14:paraId="36EF49B6" w14:textId="0A1385FF" w:rsidR="006064C1" w:rsidRDefault="006064C1" w:rsidP="00BF6587">
      <w:pPr>
        <w:ind w:left="720"/>
      </w:pPr>
      <w:r w:rsidRPr="006064C1">
        <w:t>IV</w:t>
      </w:r>
      <w:r>
        <w:t xml:space="preserve"> </w:t>
      </w:r>
      <w:r>
        <w:t>–</w:t>
      </w:r>
      <w:r>
        <w:t xml:space="preserve"> </w:t>
      </w:r>
      <w:r w:rsidRPr="006064C1">
        <w:t>PROBLEMAS PENDIENTES DE RESOLUCIÓN EN ESPAÑA SOBRE LOS DERECHOS DE LOS NIÑOS, NIÑAS Y ADOLESCENTES AFECTADOS POR MEDIDAS ADMINISTRATIVAS Y JUDICIALES. ESPECIAL ATENCIÓN A LOS PROCESOS DE FAMILIA.</w:t>
      </w:r>
    </w:p>
    <w:p w14:paraId="17F6230A" w14:textId="77777777" w:rsidR="006064C1" w:rsidRPr="00286F6A" w:rsidRDefault="006064C1" w:rsidP="00BF6587">
      <w:pPr>
        <w:ind w:left="720"/>
      </w:pPr>
    </w:p>
    <w:p w14:paraId="60312A50" w14:textId="1E94D379" w:rsidR="001638F6" w:rsidRPr="00FE1397" w:rsidRDefault="00585BBB" w:rsidP="00652C78">
      <w:pPr>
        <w:pStyle w:val="Ttulo1"/>
      </w:pPr>
      <w:r>
        <w:t xml:space="preserve">I - </w:t>
      </w:r>
      <w:r w:rsidR="0000672B">
        <w:t xml:space="preserve">españa </w:t>
      </w:r>
      <w:r w:rsidR="00BA5A9B">
        <w:t>frente a</w:t>
      </w:r>
      <w:r w:rsidR="0000672B">
        <w:t xml:space="preserve"> la convención sobre los derechos del niño</w:t>
      </w:r>
      <w:r w:rsidR="00BF6587">
        <w:t xml:space="preserve">. </w:t>
      </w:r>
      <w:r w:rsidR="00BF6587" w:rsidRPr="00BF6587">
        <w:rPr>
          <w:color w:val="009AC7"/>
        </w:rPr>
        <w:t>ANTECEDENTES.</w:t>
      </w:r>
    </w:p>
    <w:p w14:paraId="110C252D" w14:textId="71D8DFB6" w:rsidR="0000672B" w:rsidRDefault="0000672B" w:rsidP="0000672B">
      <w:pPr>
        <w:jc w:val="both"/>
      </w:pPr>
      <w:r>
        <w:t xml:space="preserve">El Estado español se comprometió en 1990, a través de la firma y ratificación de la Convención sobre los Derechos del Niño, a garantizar los derechos de la infancia en nuestro país. </w:t>
      </w:r>
    </w:p>
    <w:p w14:paraId="0FCCD409" w14:textId="54C09842" w:rsidR="00263E2C" w:rsidRDefault="0000672B" w:rsidP="0000672B">
      <w:pPr>
        <w:jc w:val="both"/>
      </w:pPr>
      <w:r>
        <w:t xml:space="preserve">Cada cuatro años, a los países firmantes les toca hacer repaso y rendir cuentas ante el Comité de Derechos del Niño de las Naciones Unidas (CDN), sobre los avances y acciones desarrolladas e impulsadas para seguir demostrando su compromiso con los derechos de </w:t>
      </w:r>
      <w:proofErr w:type="gramStart"/>
      <w:r>
        <w:t>los niños y las niñas</w:t>
      </w:r>
      <w:proofErr w:type="gramEnd"/>
      <w:r>
        <w:t>.</w:t>
      </w:r>
      <w:r>
        <w:t xml:space="preserve"> </w:t>
      </w:r>
    </w:p>
    <w:p w14:paraId="01977F40" w14:textId="4A09EF0C" w:rsidR="0000672B" w:rsidRDefault="0000672B" w:rsidP="0000672B">
      <w:pPr>
        <w:jc w:val="both"/>
      </w:pPr>
      <w:r>
        <w:t>En</w:t>
      </w:r>
      <w:r w:rsidRPr="0000672B">
        <w:t xml:space="preserve"> 2018 el Comité de los Derechos del Niño</w:t>
      </w:r>
      <w:r>
        <w:t xml:space="preserve"> </w:t>
      </w:r>
      <w:r w:rsidRPr="0000672B">
        <w:t>publicó las Observaciones finales sobre los informes periódicos quinto y sexto combinados de España.</w:t>
      </w:r>
    </w:p>
    <w:p w14:paraId="3FEF05E2" w14:textId="77777777" w:rsidR="00263E2C" w:rsidRPr="00286F6A" w:rsidRDefault="00263E2C" w:rsidP="00652C78">
      <w:pPr>
        <w:pStyle w:val="Ttulo2"/>
        <w:jc w:val="both"/>
        <w:rPr>
          <w:b/>
          <w:bCs/>
        </w:rPr>
      </w:pPr>
      <w:r w:rsidRPr="00286F6A">
        <w:rPr>
          <w:b/>
          <w:bCs/>
        </w:rPr>
        <w:t>C. Principios generales (arts. 2, 3, 6 y 12)</w:t>
      </w:r>
    </w:p>
    <w:p w14:paraId="4FC173CF" w14:textId="77777777" w:rsidR="00263E2C" w:rsidRPr="00263E2C" w:rsidRDefault="00263E2C" w:rsidP="00652C78">
      <w:pPr>
        <w:pStyle w:val="Ttulo2"/>
        <w:jc w:val="both"/>
      </w:pPr>
      <w:r w:rsidRPr="00263E2C">
        <w:t>No discriminación</w:t>
      </w:r>
    </w:p>
    <w:p w14:paraId="3E2159EE" w14:textId="407C8032" w:rsidR="00263E2C" w:rsidRPr="00263E2C" w:rsidRDefault="00263E2C" w:rsidP="00BA5A9B">
      <w:pPr>
        <w:jc w:val="both"/>
      </w:pPr>
      <w:r>
        <w:t>15. El Comité insta al Estado parte a reforzar las medidas para prevenir y combatir la discriminación contra los niños en todos los sectores de la sociedad y a asegurar la plena aplicación de las leyes en vigor pertinentes que prohíben la discriminación. También recomienda que el Estado parte intensifique las campañas de educación pública para combatir la estigmatización y la discriminación, particularmente contra niños de minorías étnicas, incluidos los niños romaníes, los niños de origen extranjero, los niños solicitantes de asilo y refugiados y los niños con discapacidad.</w:t>
      </w:r>
    </w:p>
    <w:p w14:paraId="2083D721" w14:textId="77777777" w:rsidR="00263E2C" w:rsidRPr="00263E2C" w:rsidRDefault="00263E2C" w:rsidP="00652C78">
      <w:pPr>
        <w:pStyle w:val="Ttulo2"/>
        <w:jc w:val="both"/>
      </w:pPr>
      <w:r w:rsidRPr="00263E2C">
        <w:t xml:space="preserve">Interés superior del niño </w:t>
      </w:r>
    </w:p>
    <w:p w14:paraId="7CE0D464" w14:textId="77777777" w:rsidR="00263E2C" w:rsidRDefault="00263E2C" w:rsidP="00652C78">
      <w:pPr>
        <w:jc w:val="both"/>
      </w:pPr>
      <w:r>
        <w:t>16. Al tiempo que celebra la inclusión del principio del interés superior del niño en la Ley Orgánica núm. 8/2015 y la Ley núm. 26/2015, el Comité expresa su preocupación por la aplicación desigual de ese derecho en las comunidades autónomas. Con referencia a su observación general núm. 14 (2013) sobre el derecho del niño a que su interés superior sea una consideración primordial, el Comité recomienda que el Estado parte:</w:t>
      </w:r>
    </w:p>
    <w:p w14:paraId="58410480" w14:textId="77777777" w:rsidR="00263E2C" w:rsidRDefault="00263E2C" w:rsidP="00652C78">
      <w:pPr>
        <w:ind w:left="720"/>
        <w:jc w:val="both"/>
      </w:pPr>
      <w:r>
        <w:t xml:space="preserve">a) Intensifique sus esfuerzos para asegurar que el derecho del niño a que su interés superior sea una consideración primordial esté incorporado de manera apropiada y sea interpretado y aplicado de manera consistente en todas las actuaciones y decisiones legislativas, administrativas y judiciales y en todas las políticas, los programas y los proyectos pertinentes que tengan un efecto en los niños; </w:t>
      </w:r>
    </w:p>
    <w:p w14:paraId="51568C39" w14:textId="77777777" w:rsidR="00263E2C" w:rsidRDefault="00263E2C" w:rsidP="00652C78">
      <w:pPr>
        <w:ind w:left="720"/>
        <w:jc w:val="both"/>
      </w:pPr>
      <w:r>
        <w:t>b) Formule procedimientos y criterios uniformes para brindar a todas las personas competentes en posiciones de autoridad la orientación necesaria para determinar el interés superior del niño en todos los ámbitos y para otorgar la debida consideración primordial a ese principio;</w:t>
      </w:r>
    </w:p>
    <w:p w14:paraId="004E4BDD" w14:textId="77777777" w:rsidR="00263E2C" w:rsidRDefault="00263E2C" w:rsidP="00652C78">
      <w:pPr>
        <w:ind w:left="720"/>
        <w:jc w:val="both"/>
      </w:pPr>
      <w:r>
        <w:lastRenderedPageBreak/>
        <w:t>c) Imparta a los profesionales que trabajan con los niños y para ellos formación sobre la manera de determinar el interés superior del niño.</w:t>
      </w:r>
    </w:p>
    <w:p w14:paraId="56C11900" w14:textId="77777777" w:rsidR="00263E2C" w:rsidRDefault="00263E2C" w:rsidP="00652C78">
      <w:pPr>
        <w:pStyle w:val="Ttulo2"/>
        <w:jc w:val="both"/>
      </w:pPr>
      <w:r>
        <w:t>Respeto por las opiniones del niño</w:t>
      </w:r>
    </w:p>
    <w:p w14:paraId="48E90C49" w14:textId="77777777" w:rsidR="00263E2C" w:rsidRDefault="00263E2C" w:rsidP="00652C78">
      <w:pPr>
        <w:jc w:val="both"/>
      </w:pPr>
      <w:r>
        <w:t>17. Con referencia a su observación general núm. 12 (2009) sobre el derecho del niño a ser escuchado, el Comité reitera sus observaciones finales anteriores (véase CRC/C/ESP/CO/3-4, párr. 30) y recomienda al Estado parte que intensifique su labor para promover el debido respeto por las opiniones del niño, a cualquier edad, en la familia, en la escuela, en la sociedad en general y en todos los procedimientos administrativos y judiciales que le conciernan. El Comité recomienda en particular que el Estado parte:</w:t>
      </w:r>
    </w:p>
    <w:p w14:paraId="2F893B57" w14:textId="77777777" w:rsidR="00263E2C" w:rsidRDefault="00263E2C" w:rsidP="00652C78">
      <w:pPr>
        <w:ind w:left="720"/>
        <w:jc w:val="both"/>
      </w:pPr>
      <w:r>
        <w:t xml:space="preserve">a) Armonice las leyes pertinentes, en particular el Código Civil y el Código de Procedimiento Civil, con la Convención, a fin de asegurar el respeto, en la práctica, del derecho de los niños menores de 12 años a ser escuchados; </w:t>
      </w:r>
    </w:p>
    <w:p w14:paraId="3EB644E2" w14:textId="77777777" w:rsidR="00263E2C" w:rsidRDefault="00263E2C" w:rsidP="00652C78">
      <w:pPr>
        <w:ind w:left="720"/>
        <w:jc w:val="both"/>
      </w:pPr>
      <w:r>
        <w:t>b) Promueva los conocimientos de los profesionales de distintos ámbitos que trabajan con los niños y para ellos, incluidos los jueces y fiscales de familia, e imparta programas de formación acerca de los derechos del niño y de la aplicación del derecho del niño a ser escuchado, entendido como un derecho y no como una obligación;</w:t>
      </w:r>
    </w:p>
    <w:p w14:paraId="731E942B" w14:textId="05F73BE9" w:rsidR="00263E2C" w:rsidRDefault="00263E2C" w:rsidP="00652C78">
      <w:pPr>
        <w:ind w:left="720"/>
        <w:jc w:val="both"/>
      </w:pPr>
      <w:r>
        <w:t>c) Asegure la aplicación efectiva y sistemática del derecho del niño a expresar sus opiniones en las actuaciones judiciales o administrativas pertinentes; E. Violencia contra los niños (arts. 19, 24 (párr. 3), 28 (párr. 2), 34, 37 a) y 39).</w:t>
      </w:r>
    </w:p>
    <w:p w14:paraId="7727331F" w14:textId="77777777" w:rsidR="00263E2C" w:rsidRDefault="00263E2C" w:rsidP="00652C78">
      <w:pPr>
        <w:pStyle w:val="Ttulo2"/>
        <w:jc w:val="both"/>
      </w:pPr>
      <w:r>
        <w:t>Castigos corporales</w:t>
      </w:r>
    </w:p>
    <w:p w14:paraId="35E1360E" w14:textId="702FC819" w:rsidR="00263E2C" w:rsidRDefault="00263E2C" w:rsidP="00652C78">
      <w:pPr>
        <w:jc w:val="both"/>
      </w:pPr>
      <w:r>
        <w:t>22. El Comité lamenta la falta de progresos en la aprobación de una ley general sobre la violencia contra los niños. Con referencia a su observación general núm. 13 (2011) sobre el derecho del niño a no ser objeto de ninguna forma de violencia, el Comité recomienda que el Estado:</w:t>
      </w:r>
    </w:p>
    <w:p w14:paraId="1BE3926D" w14:textId="3364C515" w:rsidR="00263E2C" w:rsidRDefault="00263E2C" w:rsidP="00652C78">
      <w:pPr>
        <w:jc w:val="both"/>
      </w:pPr>
      <w:r>
        <w:t>a) Agilice la aprobación de leyes que garanticen la protección integral de los niños contra la violencia y aseguren su aplicación a todos los niveles</w:t>
      </w:r>
      <w:r w:rsidR="00BF6587">
        <w:t xml:space="preserve"> [</w:t>
      </w:r>
      <w:r>
        <w:t>…</w:t>
      </w:r>
      <w:r w:rsidR="00BF6587">
        <w:t>].</w:t>
      </w:r>
    </w:p>
    <w:p w14:paraId="04752330" w14:textId="77777777" w:rsidR="00263E2C" w:rsidRDefault="00263E2C" w:rsidP="00652C78">
      <w:pPr>
        <w:jc w:val="both"/>
      </w:pPr>
    </w:p>
    <w:p w14:paraId="1CD395C6" w14:textId="77777777" w:rsidR="00263E2C" w:rsidRDefault="00263E2C" w:rsidP="00652C78">
      <w:pPr>
        <w:pStyle w:val="Ttulo2"/>
        <w:jc w:val="both"/>
      </w:pPr>
      <w:r>
        <w:t>Niños privados de un entorno familiar</w:t>
      </w:r>
    </w:p>
    <w:p w14:paraId="7C257C48" w14:textId="77777777" w:rsidR="00263E2C" w:rsidRDefault="00263E2C" w:rsidP="00652C78">
      <w:pPr>
        <w:jc w:val="both"/>
      </w:pPr>
      <w:r>
        <w:t>27. El Comité está seriamente preocupado por:</w:t>
      </w:r>
    </w:p>
    <w:p w14:paraId="451DCE91" w14:textId="77777777" w:rsidR="00263E2C" w:rsidRDefault="00263E2C" w:rsidP="00652C78">
      <w:pPr>
        <w:ind w:left="720"/>
        <w:jc w:val="both"/>
      </w:pPr>
      <w:r>
        <w:t xml:space="preserve">a) </w:t>
      </w:r>
      <w:r w:rsidRPr="00BF6587">
        <w:rPr>
          <w:b/>
          <w:bCs/>
        </w:rPr>
        <w:t xml:space="preserve">El elevado número de niños atendidos en centros de acogida </w:t>
      </w:r>
      <w:r>
        <w:t>y el hecho de que, en la práctica, este tipo de atención es la opción principal utilizada como medida inicial;</w:t>
      </w:r>
    </w:p>
    <w:p w14:paraId="238A669F" w14:textId="77777777" w:rsidR="00263E2C" w:rsidRDefault="00263E2C" w:rsidP="00652C78">
      <w:pPr>
        <w:ind w:left="720"/>
        <w:jc w:val="both"/>
      </w:pPr>
      <w:r>
        <w:t>b</w:t>
      </w:r>
      <w:r w:rsidRPr="00BF6587">
        <w:rPr>
          <w:b/>
          <w:bCs/>
        </w:rPr>
        <w:t>) La insuficiencia de recursos</w:t>
      </w:r>
      <w:r>
        <w:t xml:space="preserve">, que tiene como consecuencia demoras en la asunción de la tutela por el Estado y las deficiencias de las instalaciones y el hacinamiento en algunos centros de acogida; </w:t>
      </w:r>
    </w:p>
    <w:p w14:paraId="0F8FA25A" w14:textId="77777777" w:rsidR="00263E2C" w:rsidRDefault="00263E2C" w:rsidP="00652C78">
      <w:pPr>
        <w:ind w:left="720"/>
        <w:jc w:val="both"/>
      </w:pPr>
      <w:r>
        <w:t xml:space="preserve">c) </w:t>
      </w:r>
      <w:r w:rsidRPr="00BF6587">
        <w:rPr>
          <w:b/>
          <w:bCs/>
        </w:rPr>
        <w:t>Los casos de malos tratos y de trato degradante de niños atendidos en centros de acogida</w:t>
      </w:r>
      <w:r>
        <w:t>, incluso denuncias de reclusión en condiciones de aislamiento, diagnósticos médicos erróneos y tratamiento médico incorrecto, además de la falta de sistemas de vigilancia y denuncia centrados en los niños y de mecanismos de queja a disposición de estos;</w:t>
      </w:r>
    </w:p>
    <w:p w14:paraId="14542034" w14:textId="77777777" w:rsidR="00263E2C" w:rsidRDefault="00263E2C" w:rsidP="00652C78">
      <w:pPr>
        <w:ind w:left="720"/>
        <w:jc w:val="both"/>
      </w:pPr>
      <w:r>
        <w:t xml:space="preserve">d) </w:t>
      </w:r>
      <w:r w:rsidRPr="00BF6587">
        <w:rPr>
          <w:b/>
          <w:bCs/>
        </w:rPr>
        <w:t>El apoyo insuficiente a los niños en su transición de la infancia a la edad adulta</w:t>
      </w:r>
      <w:r>
        <w:t>.</w:t>
      </w:r>
    </w:p>
    <w:p w14:paraId="0A861B33" w14:textId="77777777" w:rsidR="00BF6587" w:rsidRDefault="00BF6587" w:rsidP="00652C78">
      <w:pPr>
        <w:ind w:left="720"/>
        <w:jc w:val="both"/>
      </w:pPr>
    </w:p>
    <w:p w14:paraId="7A6425A2" w14:textId="55CE3158" w:rsidR="00263E2C" w:rsidRDefault="00263E2C" w:rsidP="00652C78">
      <w:pPr>
        <w:jc w:val="both"/>
      </w:pPr>
      <w:r>
        <w:t>28. Recordando las Directrices sobre las Modalidades Alternativas de Cuidado de los Niños y las recomendaciones anteriores del Comité (véase CRC/C/ESP/CO/3-4, párr. 42)</w:t>
      </w:r>
      <w:r w:rsidR="00BF6587">
        <w:t>,</w:t>
      </w:r>
      <w:r>
        <w:t xml:space="preserve"> el Comité recomienda que el Estado parte aumente los </w:t>
      </w:r>
      <w:r>
        <w:lastRenderedPageBreak/>
        <w:t>recursos para actividades encaminadas a prevenir la separación de los niños de sus familias y asegurar una disponibilidad suficiente de apoyo y asistencia, incluidas las subvenciones y el apoyo profesional, particularmente a las familias con niños en situaciones desfavorecidas o de marginación. También recomienda que el Estado parte:</w:t>
      </w:r>
    </w:p>
    <w:p w14:paraId="6F04A146" w14:textId="77777777" w:rsidR="00263E2C" w:rsidRDefault="00263E2C" w:rsidP="00652C78">
      <w:pPr>
        <w:ind w:left="720"/>
        <w:jc w:val="both"/>
      </w:pPr>
      <w:r>
        <w:t>a)</w:t>
      </w:r>
      <w:r w:rsidRPr="00BF6587">
        <w:rPr>
          <w:b/>
          <w:bCs/>
        </w:rPr>
        <w:t xml:space="preserve"> Acelere el proceso de desinstitucionalización</w:t>
      </w:r>
      <w:r>
        <w:t>, a fin de asegurar que la atención en centros de acogida se utilice como último recurso, y vele por que todos los centros de acogida restantes cumplan por lo menos unas normas de calidad mínimas;</w:t>
      </w:r>
    </w:p>
    <w:p w14:paraId="1FABEA26" w14:textId="77777777" w:rsidR="00263E2C" w:rsidRDefault="00263E2C" w:rsidP="00652C78">
      <w:pPr>
        <w:ind w:left="720"/>
        <w:jc w:val="both"/>
      </w:pPr>
      <w:r>
        <w:t xml:space="preserve">b) Vele por que en todos los casos </w:t>
      </w:r>
      <w:r w:rsidRPr="00BF6587">
        <w:rPr>
          <w:b/>
          <w:bCs/>
        </w:rPr>
        <w:t xml:space="preserve">sea un juez quien adopte o revise las decisiones </w:t>
      </w:r>
      <w:r>
        <w:t>sobre la separación de un niño de su familia, y ello solo después de evaluar a fondo el interés superior del niño en cada caso particular;</w:t>
      </w:r>
    </w:p>
    <w:p w14:paraId="2142870D" w14:textId="77777777" w:rsidR="00263E2C" w:rsidRDefault="00263E2C" w:rsidP="00652C78">
      <w:pPr>
        <w:jc w:val="both"/>
      </w:pPr>
    </w:p>
    <w:p w14:paraId="1043CFFF" w14:textId="77777777" w:rsidR="00263E2C" w:rsidRDefault="00263E2C" w:rsidP="00652C78">
      <w:pPr>
        <w:jc w:val="both"/>
      </w:pPr>
      <w:r>
        <w:t xml:space="preserve">Con posterioridad a dichos informes, </w:t>
      </w:r>
      <w:r w:rsidRPr="00263E2C">
        <w:rPr>
          <w:b/>
          <w:bCs/>
        </w:rPr>
        <w:t>en 2021, se promulgó la Ley Orgánica de Protección Integral de la Infancia y Adolescencia frente a la Violencia, en adelante, la LOPIVI.</w:t>
      </w:r>
    </w:p>
    <w:p w14:paraId="148F2E0D" w14:textId="77777777" w:rsidR="00263E2C" w:rsidRPr="00263E2C" w:rsidRDefault="00263E2C" w:rsidP="00652C78">
      <w:pPr>
        <w:jc w:val="both"/>
        <w:rPr>
          <w:b/>
          <w:bCs/>
        </w:rPr>
      </w:pPr>
      <w:r>
        <w:t xml:space="preserve">La LOPIVI (8/2021 de 4 de junio de 2021), </w:t>
      </w:r>
      <w:r w:rsidRPr="00263E2C">
        <w:rPr>
          <w:b/>
          <w:bCs/>
        </w:rPr>
        <w:t xml:space="preserve">en la disposición final vigésima contempla un mandato al Gobierno para la elaboración de dos proyectos de ley con el fin de establecer la especialización de la jurisdicción penal y civil, así como del Ministerio Fiscal. </w:t>
      </w:r>
    </w:p>
    <w:p w14:paraId="53E655FA" w14:textId="77777777" w:rsidR="00263E2C" w:rsidRDefault="00263E2C" w:rsidP="00652C78">
      <w:pPr>
        <w:jc w:val="both"/>
      </w:pPr>
      <w:r>
        <w:t>Igualmente, se establece que las administraciones competentes regularán en idéntico plazo la composición y funcionamiento de los Equipos Técnicos que presten asistencia especializada a los órganos judiciales especializados en infancia y adolescencia para la consecución de la mejora en la respuesta judicial, desde un enfoque multidisciplinar, y la protección igualitaria, adecuada y uniforme de los derechos de la infancia y de las personas con discapacidad.</w:t>
      </w:r>
    </w:p>
    <w:p w14:paraId="467D4CEF" w14:textId="77777777" w:rsidR="00263E2C" w:rsidRPr="00263E2C" w:rsidRDefault="00263E2C" w:rsidP="00652C78">
      <w:pPr>
        <w:jc w:val="both"/>
        <w:rPr>
          <w:b/>
          <w:bCs/>
        </w:rPr>
      </w:pPr>
      <w:r w:rsidRPr="00263E2C">
        <w:rPr>
          <w:b/>
          <w:bCs/>
        </w:rPr>
        <w:t xml:space="preserve">Disposición final vigésima. Especialización de los órganos judiciales, de la fiscalía y de los equipos técnicos que presten asistencia especializada a los Juzgados y Tribunales. </w:t>
      </w:r>
    </w:p>
    <w:p w14:paraId="4FFD42FE" w14:textId="77777777" w:rsidR="00263E2C" w:rsidRDefault="00263E2C" w:rsidP="00652C78">
      <w:pPr>
        <w:jc w:val="both"/>
      </w:pPr>
      <w:r>
        <w:t>1. En el plazo de un año a contar desde la entrada en vigor de esta ley, el Gobierno remitirá a las Cortes Generales los siguientes proyectos de ley:</w:t>
      </w:r>
    </w:p>
    <w:p w14:paraId="41FFDFC4" w14:textId="77777777" w:rsidR="00263E2C" w:rsidRDefault="00263E2C" w:rsidP="00652C78">
      <w:pPr>
        <w:ind w:left="720"/>
        <w:jc w:val="both"/>
      </w:pPr>
      <w:r>
        <w:t xml:space="preserve">a) Un proyecto de modificación de la Ley Orgánica 6/1985, de 1 de julio, del Poder Judicial, dirigido a establecer, a través de los cauces previstos en la citada norma, </w:t>
      </w:r>
      <w:r w:rsidRPr="00BF6587">
        <w:rPr>
          <w:b/>
          <w:bCs/>
        </w:rPr>
        <w:t>la especialización tanto de los órganos judiciales como de sus titulares, para la instrucción y enjuiciamiento de las causas penales por delitos cometidos contra personas menores de edad</w:t>
      </w:r>
      <w:r>
        <w:t xml:space="preserve">. Tal especialización se realizará en orden a los principios y medidas establecidos en la presente ley. Con este propósito se planteará la inclusión de Juzgados de Violencia contra la Infancia y la Adolescencia, así como la especialización de los Juzgados de lo Penal y las Audiencias Provinciales. También serán objeto de adaptación, en el mismo sentido, las pruebas selectivas que permitan acceder a la titularidad de los órganos especializados, sin perjuicio de lo dispuesto en el artículo 312.4 de la citada Ley Orgánica 6/1985, de 1 de julio. Del mismo modo, el mencionado proyecto de ley orgánica dispondrá las modificaciones necesarias para garantizar la especialización dentro del orden jurisdiccional civil en Infancia, Familia y Capacidad. </w:t>
      </w:r>
    </w:p>
    <w:p w14:paraId="103845B6" w14:textId="77777777" w:rsidR="00263E2C" w:rsidRDefault="00263E2C" w:rsidP="00652C78">
      <w:pPr>
        <w:ind w:left="720"/>
        <w:jc w:val="both"/>
      </w:pPr>
      <w:r>
        <w:t xml:space="preserve">b) Un proyecto de ley de modificación de la Ley 50/1981, de 30 de diciembre, reguladora del Estatuto Orgánico del Ministerio Fiscal, a los efectos </w:t>
      </w:r>
      <w:r w:rsidRPr="00BF6587">
        <w:rPr>
          <w:b/>
          <w:bCs/>
        </w:rPr>
        <w:t>de establecer la especialización de fiscales en el ámbito de la violencia sobre la infancia y la adolescencia, conforme a su régimen estatutario</w:t>
      </w:r>
      <w:r>
        <w:t xml:space="preserve">. </w:t>
      </w:r>
    </w:p>
    <w:p w14:paraId="59D712FC" w14:textId="77777777" w:rsidR="00263E2C" w:rsidRDefault="00263E2C" w:rsidP="00652C78">
      <w:pPr>
        <w:ind w:left="720"/>
        <w:jc w:val="both"/>
      </w:pPr>
      <w:r>
        <w:t xml:space="preserve">2. Las administraciones competentes regularán en idéntico plazo la composición y </w:t>
      </w:r>
      <w:r w:rsidRPr="00BF6587">
        <w:rPr>
          <w:b/>
          <w:bCs/>
        </w:rPr>
        <w:t>funcionamiento de los equipos técnicos que presten asistencia especializada a los órganos judiciales especializados en infancia y adolescencia</w:t>
      </w:r>
      <w:r>
        <w:t xml:space="preserve">, y la forma de acceso a los mismos de acuerdo con los criterios de especialización y formación recogidos en esta ley. </w:t>
      </w:r>
    </w:p>
    <w:p w14:paraId="2B002C68" w14:textId="77777777" w:rsidR="00263E2C" w:rsidRPr="00263E2C" w:rsidRDefault="00263E2C" w:rsidP="00652C78">
      <w:pPr>
        <w:ind w:left="720"/>
        <w:jc w:val="both"/>
        <w:rPr>
          <w:b/>
          <w:bCs/>
        </w:rPr>
      </w:pPr>
      <w:r w:rsidRPr="00263E2C">
        <w:rPr>
          <w:b/>
          <w:bCs/>
        </w:rPr>
        <w:t xml:space="preserve">Disposición final vigésima primera. Desarrollo normativo y ejecución de la ley. </w:t>
      </w:r>
    </w:p>
    <w:p w14:paraId="40B469F9" w14:textId="7E4A0F95" w:rsidR="00263E2C" w:rsidRDefault="00263E2C" w:rsidP="00652C78">
      <w:pPr>
        <w:ind w:left="720"/>
        <w:jc w:val="both"/>
      </w:pPr>
      <w:r>
        <w:lastRenderedPageBreak/>
        <w:t xml:space="preserve">Se autoriza al Consejo de </w:t>
      </w:r>
      <w:r w:rsidR="00652C78">
        <w:t>ministros</w:t>
      </w:r>
      <w:r>
        <w:t xml:space="preserve"> y a los titulares de los Ministerios de Derechos Sociales y Agenda 2030, Justicia e Interior, en el ámbito de sus competencias, para dictar cuantas disposiciones reglamentarias sean necesarias para el desarrollo de esta ley, así como para acordar las medidas necesarias para garantizar su efectiva ejecución e implantación.</w:t>
      </w:r>
    </w:p>
    <w:p w14:paraId="7FE47102" w14:textId="77777777" w:rsidR="00BA5A9B" w:rsidRDefault="00BA5A9B" w:rsidP="00652C78">
      <w:pPr>
        <w:jc w:val="both"/>
      </w:pPr>
    </w:p>
    <w:p w14:paraId="4B476ED8" w14:textId="7CA8DE04" w:rsidR="00BA5A9B" w:rsidRDefault="00585BBB" w:rsidP="00BA5A9B">
      <w:pPr>
        <w:pStyle w:val="Ttulo1"/>
        <w:jc w:val="both"/>
      </w:pPr>
      <w:r>
        <w:t xml:space="preserve">II - </w:t>
      </w:r>
      <w:r w:rsidR="00BA5A9B">
        <w:t xml:space="preserve">españa y sus </w:t>
      </w:r>
      <w:r w:rsidR="00BA5A9B" w:rsidRPr="006064C1">
        <w:rPr>
          <w:color w:val="009AC7"/>
        </w:rPr>
        <w:t>compromisos</w:t>
      </w:r>
      <w:r w:rsidR="001966B3" w:rsidRPr="006064C1">
        <w:rPr>
          <w:color w:val="009AC7"/>
        </w:rPr>
        <w:t xml:space="preserve"> </w:t>
      </w:r>
      <w:r w:rsidR="00BF6587">
        <w:t>ANTE</w:t>
      </w:r>
      <w:r w:rsidR="001966B3">
        <w:t xml:space="preserve"> la próxima evaluación</w:t>
      </w:r>
      <w:r>
        <w:t>.</w:t>
      </w:r>
    </w:p>
    <w:p w14:paraId="64524747" w14:textId="79D0688A" w:rsidR="00263E2C" w:rsidRDefault="00263E2C" w:rsidP="00652C78">
      <w:pPr>
        <w:jc w:val="both"/>
      </w:pPr>
      <w:r>
        <w:t xml:space="preserve">La próxima evaluación a España (7º informe) será publicada en el mes de mayo de 2025, y para ello, el Comité de los Derechos del Niño, publicó el 22 de marzo de 2023, la </w:t>
      </w:r>
      <w:r w:rsidR="000D602F">
        <w:t>l</w:t>
      </w:r>
      <w:r>
        <w:t>ista de cuestiones previas que se solicitaba al Estado que presentase por escrito.</w:t>
      </w:r>
    </w:p>
    <w:p w14:paraId="4385561F" w14:textId="77777777" w:rsidR="00263E2C" w:rsidRDefault="00263E2C" w:rsidP="00652C78">
      <w:pPr>
        <w:jc w:val="both"/>
      </w:pPr>
      <w:r>
        <w:t>Entre este listado, se encontraban estas cuestiones sobre las que España tenía que informar al CDN:</w:t>
      </w:r>
    </w:p>
    <w:p w14:paraId="6D45A93E" w14:textId="4C6F4082" w:rsidR="00263E2C" w:rsidRPr="00BA5A9B" w:rsidRDefault="00263E2C" w:rsidP="00652C78">
      <w:pPr>
        <w:pStyle w:val="Ttulo1"/>
        <w:jc w:val="both"/>
        <w:rPr>
          <w:sz w:val="24"/>
          <w:szCs w:val="24"/>
        </w:rPr>
      </w:pPr>
      <w:r w:rsidRPr="00BA5A9B">
        <w:rPr>
          <w:sz w:val="24"/>
          <w:szCs w:val="24"/>
        </w:rPr>
        <w:t>B. Principios generales (arts. 2, 3, 6 y 12)</w:t>
      </w:r>
    </w:p>
    <w:p w14:paraId="247AA264" w14:textId="2855446B" w:rsidR="00263E2C" w:rsidRDefault="00263E2C" w:rsidP="00652C78">
      <w:pPr>
        <w:pStyle w:val="Ttulo2"/>
        <w:jc w:val="both"/>
      </w:pPr>
      <w:r>
        <w:t>No discriminación</w:t>
      </w:r>
    </w:p>
    <w:p w14:paraId="0FB49B57" w14:textId="278CC448" w:rsidR="00263E2C" w:rsidRDefault="00263E2C" w:rsidP="00652C78">
      <w:pPr>
        <w:jc w:val="both"/>
      </w:pPr>
      <w:r>
        <w:t>13. Tengan a bien proporcionar información sobre las medidas que se han adoptado para:</w:t>
      </w:r>
    </w:p>
    <w:p w14:paraId="1EB8173F" w14:textId="156777AD" w:rsidR="00263E2C" w:rsidRDefault="00263E2C" w:rsidP="00652C78">
      <w:pPr>
        <w:jc w:val="both"/>
      </w:pPr>
      <w:r>
        <w:tab/>
        <w:t xml:space="preserve">a) </w:t>
      </w:r>
      <w:r w:rsidRPr="00652C78">
        <w:rPr>
          <w:b/>
          <w:bCs/>
        </w:rPr>
        <w:t>Prohibir la discriminación contra los niños por cualquier motivo y en cualquier ámbito de la vida, incluida la discriminación múltiple e interseccional;</w:t>
      </w:r>
    </w:p>
    <w:p w14:paraId="1760A009" w14:textId="2EBC4808" w:rsidR="00263E2C" w:rsidRDefault="00263E2C" w:rsidP="00652C78">
      <w:pPr>
        <w:jc w:val="both"/>
      </w:pPr>
      <w:r>
        <w:tab/>
        <w:t xml:space="preserve">b) </w:t>
      </w:r>
      <w:r w:rsidRPr="00652C78">
        <w:rPr>
          <w:b/>
          <w:bCs/>
        </w:rPr>
        <w:t>Velar por que los niños en situación de vulnerabilidad</w:t>
      </w:r>
      <w:r>
        <w:t xml:space="preserve">, incluidos los niños de familias económicamente desfavorecidas, los niños pertenecientes a grupos lingüísticos y étnicos minoritarios, como los niños romaníes, los niños en situación de migración, los niños con discapacidad y los niños víctimas de violencia y de trata, </w:t>
      </w:r>
      <w:r w:rsidRPr="00652C78">
        <w:rPr>
          <w:b/>
          <w:bCs/>
        </w:rPr>
        <w:t>tengan acceso a servicios esenciales</w:t>
      </w:r>
      <w:r>
        <w:t>, vivienda, educación, guarderías, atención de la salud, actividades de esparcimiento y apoyo estatal;</w:t>
      </w:r>
    </w:p>
    <w:p w14:paraId="70E82C11" w14:textId="6E36AA02" w:rsidR="00263E2C" w:rsidRDefault="00263E2C" w:rsidP="00652C78">
      <w:pPr>
        <w:jc w:val="both"/>
      </w:pPr>
      <w:r>
        <w:tab/>
        <w:t>c) Aplicar la Estrategia Nacional para la Igualdad, la Inclusión, y la Participación del Pueblo Gitano en España (2021-2030);</w:t>
      </w:r>
    </w:p>
    <w:p w14:paraId="15EF8E3A" w14:textId="1F39BA8F" w:rsidR="00263E2C" w:rsidRDefault="00263E2C" w:rsidP="00652C78">
      <w:pPr>
        <w:jc w:val="both"/>
      </w:pPr>
      <w:r>
        <w:tab/>
        <w:t>d) Proporcionar recursos efectivos a los niños víctimas de discriminación y a las organizaciones que los representan.</w:t>
      </w:r>
    </w:p>
    <w:p w14:paraId="222FF8E6" w14:textId="73FF20E0" w:rsidR="00263E2C" w:rsidRDefault="00263E2C" w:rsidP="00652C78">
      <w:pPr>
        <w:pStyle w:val="Ttulo2"/>
        <w:jc w:val="both"/>
      </w:pPr>
      <w:r>
        <w:t>Interés superior del niño</w:t>
      </w:r>
    </w:p>
    <w:p w14:paraId="256C6161" w14:textId="2E64DBE7" w:rsidR="00263E2C" w:rsidRDefault="00263E2C" w:rsidP="00652C78">
      <w:pPr>
        <w:jc w:val="both"/>
      </w:pPr>
      <w:r>
        <w:t xml:space="preserve">14. </w:t>
      </w:r>
      <w:r w:rsidRPr="00652C78">
        <w:rPr>
          <w:b/>
          <w:bCs/>
        </w:rPr>
        <w:t>Tengan a bien proporcionar información sobre la elaboración o realización, y difusión entre todos los profesionales pertinentes que trabajan con y para los niños, de</w:t>
      </w:r>
      <w:r>
        <w:t>:</w:t>
      </w:r>
    </w:p>
    <w:p w14:paraId="49E08733" w14:textId="4B8FD913" w:rsidR="00263E2C" w:rsidRDefault="00263E2C" w:rsidP="00652C78">
      <w:pPr>
        <w:jc w:val="both"/>
      </w:pPr>
      <w:r>
        <w:tab/>
        <w:t>a) Políticas, procedimientos, criterios y orientaciones para determinar y hacer valer de manera sistemática el interés superior del niño como consideración primordial en los programas y en los procedimientos y decisiones administrativos y judiciales relativos a los niños, en particular en lo que respecta a las decisiones acerca de la tutela, los casos de niños víctimas de violencia y los niños en situación de migración;</w:t>
      </w:r>
    </w:p>
    <w:p w14:paraId="45AF9BE0" w14:textId="344C803A" w:rsidR="00263E2C" w:rsidRDefault="00263E2C" w:rsidP="00652C78">
      <w:pPr>
        <w:jc w:val="both"/>
      </w:pPr>
      <w:r>
        <w:tab/>
        <w:t>b) Una evaluación de los efectos de la toma en consideración del interés superior del niño en las leyes, políticas, programas y decisiones de nivel nacional, regional y local.</w:t>
      </w:r>
    </w:p>
    <w:p w14:paraId="7CFBACE0" w14:textId="0D943060" w:rsidR="00263E2C" w:rsidRPr="00BA5A9B" w:rsidRDefault="00BA5A9B" w:rsidP="00652C78">
      <w:pPr>
        <w:jc w:val="both"/>
        <w:rPr>
          <w:color w:val="006683" w:themeColor="accent1"/>
        </w:rPr>
      </w:pPr>
      <w:r w:rsidRPr="00BA5A9B">
        <w:rPr>
          <w:color w:val="006683" w:themeColor="accent1"/>
        </w:rPr>
        <w:t>RESPETO POR LAS OPINIONES DEL NIÑO</w:t>
      </w:r>
    </w:p>
    <w:p w14:paraId="5E23F8AC" w14:textId="1DF78A60" w:rsidR="00263E2C" w:rsidRDefault="00263E2C" w:rsidP="00652C78">
      <w:pPr>
        <w:jc w:val="both"/>
      </w:pPr>
      <w:r>
        <w:t>15. Tengan a bien proporcionar información sobre las medidas que se han adoptado para:</w:t>
      </w:r>
    </w:p>
    <w:p w14:paraId="2507BC85" w14:textId="1B8E21EA" w:rsidR="00263E2C" w:rsidRDefault="00263E2C" w:rsidP="00652C78">
      <w:pPr>
        <w:jc w:val="both"/>
      </w:pPr>
      <w:r>
        <w:lastRenderedPageBreak/>
        <w:tab/>
        <w:t>a</w:t>
      </w:r>
      <w:r w:rsidRPr="00BF6587">
        <w:rPr>
          <w:b/>
          <w:bCs/>
        </w:rPr>
        <w:t>) Eliminar los criterios de edad en lo referente al derecho a ser escuchado, y velar por que se reconozca mediante leyes efectivas el derecho de todos los niños a ser escuchados en todos los entornos, sea cual sea su edad y de acuerdo con su nivel de madurez</w:t>
      </w:r>
      <w:r w:rsidR="00BF6587">
        <w:t>.</w:t>
      </w:r>
    </w:p>
    <w:p w14:paraId="34D81295" w14:textId="43415B50" w:rsidR="00263E2C" w:rsidRDefault="00263E2C" w:rsidP="00652C78">
      <w:pPr>
        <w:jc w:val="both"/>
      </w:pPr>
      <w:r>
        <w:tab/>
        <w:t>b) Impartir a los profesionales que trabajan con y para los niños formación sobre el derecho del niño a ser escuchado</w:t>
      </w:r>
      <w:r w:rsidR="00BF6587">
        <w:t>.</w:t>
      </w:r>
    </w:p>
    <w:p w14:paraId="604DB6EB" w14:textId="16814034" w:rsidR="00263E2C" w:rsidRDefault="00263E2C" w:rsidP="00652C78">
      <w:pPr>
        <w:jc w:val="both"/>
      </w:pPr>
      <w:r>
        <w:tab/>
        <w:t>c) Alentar, promover y apoyar la participación de los niños, en particular de los niños en situación de vulnerabilidad, incluidos los niños con discapacidad, los niños en situación de migración y los niños pertenecientes a grupos lingüísticos y étnicos minoritarios, en la familia, la comunidad y la escuela, previendo su participación también en los procedimientos administrativos y judiciales y en lo relativo a las cuestiones ambientales, así como en la aplicación y la evaluación de la estrategia sobre los derechos del niño, e indiquen en qué medida se tienen en cuenta sus opiniones</w:t>
      </w:r>
      <w:r w:rsidR="00BF6587">
        <w:t>.</w:t>
      </w:r>
    </w:p>
    <w:p w14:paraId="206F3894" w14:textId="57D021B8" w:rsidR="00263E2C" w:rsidRDefault="00263E2C" w:rsidP="00652C78">
      <w:pPr>
        <w:jc w:val="both"/>
      </w:pPr>
      <w:r>
        <w:tab/>
        <w:t xml:space="preserve">d) Garantizar </w:t>
      </w:r>
      <w:r w:rsidRPr="00BF6587">
        <w:rPr>
          <w:b/>
          <w:bCs/>
        </w:rPr>
        <w:t>que se proporcione a los niños información oportuna, pertinente y adaptada a ellos sobre las normativas y planes que afectan a sus vidas</w:t>
      </w:r>
      <w:r w:rsidR="00BF6587">
        <w:t>.</w:t>
      </w:r>
    </w:p>
    <w:p w14:paraId="65DA4C1F" w14:textId="1ED9E8E0" w:rsidR="00263E2C" w:rsidRDefault="00263E2C" w:rsidP="00652C78">
      <w:pPr>
        <w:jc w:val="both"/>
      </w:pPr>
      <w:r>
        <w:tab/>
        <w:t>e) Contar con la participación del Consejo Estatal de Participación de la Infancia y de la Adolescencia en los procesos legales, de políticas y de planificación desarrollados hasta la fecha, así como en los procesos futuros.</w:t>
      </w:r>
    </w:p>
    <w:p w14:paraId="02A7309C" w14:textId="77777777" w:rsidR="00263E2C" w:rsidRPr="00652C78" w:rsidRDefault="00263E2C" w:rsidP="00652C78">
      <w:pPr>
        <w:pStyle w:val="Ttulo2"/>
        <w:jc w:val="both"/>
      </w:pPr>
      <w:r w:rsidRPr="00652C78">
        <w:t>Violencia contra los niños (arts. 19, 24 (párr. 3), 28 (párr. 2), 34, 37 a) y 39)</w:t>
      </w:r>
    </w:p>
    <w:p w14:paraId="63008100" w14:textId="7A1381CE" w:rsidR="00263E2C" w:rsidRPr="00652C78" w:rsidRDefault="00263E2C" w:rsidP="00652C78">
      <w:pPr>
        <w:jc w:val="both"/>
        <w:rPr>
          <w:b/>
          <w:bCs/>
        </w:rPr>
      </w:pPr>
      <w:r w:rsidRPr="00652C78">
        <w:rPr>
          <w:b/>
          <w:bCs/>
        </w:rPr>
        <w:t>Derecho del niño a no ser objeto de ninguna forma de violencia</w:t>
      </w:r>
      <w:r w:rsidR="00652C78">
        <w:rPr>
          <w:b/>
          <w:bCs/>
        </w:rPr>
        <w:t>.</w:t>
      </w:r>
    </w:p>
    <w:p w14:paraId="2561BCEA" w14:textId="4089E1C7" w:rsidR="00263E2C" w:rsidRDefault="00263E2C" w:rsidP="00652C78">
      <w:pPr>
        <w:jc w:val="both"/>
      </w:pPr>
      <w:r>
        <w:t>17. Tengan a bien proporcionar información sobre:</w:t>
      </w:r>
    </w:p>
    <w:p w14:paraId="3199144E" w14:textId="34B61873" w:rsidR="00263E2C" w:rsidRPr="00BF6587" w:rsidRDefault="00263E2C" w:rsidP="00652C78">
      <w:pPr>
        <w:jc w:val="both"/>
        <w:rPr>
          <w:b/>
          <w:bCs/>
        </w:rPr>
      </w:pPr>
      <w:r>
        <w:tab/>
        <w:t xml:space="preserve">a) </w:t>
      </w:r>
      <w:r w:rsidRPr="00BF6587">
        <w:rPr>
          <w:b/>
          <w:bCs/>
        </w:rPr>
        <w:t>Las medidas que se hayan previsto para revisar y mejorar el sistema de protección de la infancia y para reforzar la coordinación entre las administraciones públicas a raíz de la aprobación de la Ley Orgánica 8/2021, de protección integral a la infancia y la adolescencia frente a la violencia</w:t>
      </w:r>
      <w:r w:rsidR="00BF6587" w:rsidRPr="00BF6587">
        <w:rPr>
          <w:b/>
          <w:bCs/>
        </w:rPr>
        <w:t>.</w:t>
      </w:r>
    </w:p>
    <w:p w14:paraId="58ACD01F" w14:textId="2828A954" w:rsidR="00263E2C" w:rsidRPr="00BF6587" w:rsidRDefault="00263E2C" w:rsidP="00652C78">
      <w:pPr>
        <w:jc w:val="both"/>
        <w:rPr>
          <w:b/>
          <w:bCs/>
        </w:rPr>
      </w:pPr>
      <w:r>
        <w:tab/>
        <w:t xml:space="preserve">b) </w:t>
      </w:r>
      <w:r w:rsidRPr="00BF6587">
        <w:rPr>
          <w:b/>
          <w:bCs/>
        </w:rPr>
        <w:t>Las medidas adoptadas para aplicar de forma efectiva la Ley Orgánica 8/2021, en particular en lo que se refiere a los niños de hasta 3 años escolarizados en centros de educación infantil y a la respuesta ante el aumento del número de niños que sufren malos tratos en el hogar familiar</w:t>
      </w:r>
      <w:r w:rsidR="00BF6587">
        <w:rPr>
          <w:b/>
          <w:bCs/>
        </w:rPr>
        <w:t>.</w:t>
      </w:r>
    </w:p>
    <w:p w14:paraId="78B922A7" w14:textId="5C2E66CD" w:rsidR="00263E2C" w:rsidRDefault="00263E2C" w:rsidP="00652C78">
      <w:pPr>
        <w:jc w:val="both"/>
      </w:pPr>
      <w:r>
        <w:tab/>
        <w:t>c) La coordinación de infraestructuras, la prestación de servicios y los recursos humanos y económicos previstos a nivel autonómico y local para prevenir, derivar y atender las situaciones de malos tratos y violencia contra los niños</w:t>
      </w:r>
      <w:r w:rsidR="00BF6587">
        <w:t>.</w:t>
      </w:r>
    </w:p>
    <w:p w14:paraId="7173685C" w14:textId="2E4C239D" w:rsidR="00263E2C" w:rsidRPr="00BF6587" w:rsidRDefault="00263E2C" w:rsidP="00652C78">
      <w:pPr>
        <w:jc w:val="both"/>
        <w:rPr>
          <w:b/>
          <w:bCs/>
        </w:rPr>
      </w:pPr>
      <w:r>
        <w:tab/>
        <w:t xml:space="preserve">d) </w:t>
      </w:r>
      <w:r w:rsidRPr="00BF6587">
        <w:rPr>
          <w:b/>
          <w:bCs/>
        </w:rPr>
        <w:t>El papel del Gobierno central, las comunidades autónomas y las autoridades locales en lo relativo a la prevención, la sensibilización pública y la capacitación de los profesionales</w:t>
      </w:r>
      <w:r w:rsidR="00BF6587" w:rsidRPr="00BF6587">
        <w:rPr>
          <w:b/>
          <w:bCs/>
        </w:rPr>
        <w:t>.</w:t>
      </w:r>
    </w:p>
    <w:p w14:paraId="73778FD3" w14:textId="4A479905" w:rsidR="00263E2C" w:rsidRPr="00BF6587" w:rsidRDefault="00263E2C" w:rsidP="00652C78">
      <w:pPr>
        <w:jc w:val="both"/>
        <w:rPr>
          <w:b/>
          <w:bCs/>
        </w:rPr>
      </w:pPr>
      <w:r>
        <w:tab/>
        <w:t xml:space="preserve">e) </w:t>
      </w:r>
      <w:r w:rsidRPr="00BF6587">
        <w:rPr>
          <w:b/>
          <w:bCs/>
        </w:rPr>
        <w:t>Los procedimientos de detección, denuncia, investigación, protección y enjuiciamiento existentes para los casos de violencia doméstica, incluida la violencia física y sexual, así como los servicios terapéuticos a los que pueden acceder los niños que son víctimas y testigos de este tipo de violencia</w:t>
      </w:r>
      <w:r w:rsidR="00BF6587">
        <w:rPr>
          <w:b/>
          <w:bCs/>
        </w:rPr>
        <w:t>.</w:t>
      </w:r>
    </w:p>
    <w:p w14:paraId="4CD57BFA" w14:textId="08D3CE9B" w:rsidR="00263E2C" w:rsidRDefault="00263E2C" w:rsidP="00652C78">
      <w:pPr>
        <w:jc w:val="both"/>
      </w:pPr>
      <w:r>
        <w:tab/>
        <w:t xml:space="preserve">f) </w:t>
      </w:r>
      <w:r w:rsidRPr="00BF6587">
        <w:rPr>
          <w:b/>
          <w:bCs/>
        </w:rPr>
        <w:t xml:space="preserve">Los cauces interinstitucionales disponibles para que los niños víctimas de malos tratos y descuido puedan obtener justicia, incluidos los procedimientos judiciales adaptados a los niños en lo relativo a la realización de los interrogatorios, la evitación de la </w:t>
      </w:r>
      <w:proofErr w:type="spellStart"/>
      <w:r w:rsidRPr="00BF6587">
        <w:rPr>
          <w:b/>
          <w:bCs/>
        </w:rPr>
        <w:t>retraumatización</w:t>
      </w:r>
      <w:proofErr w:type="spellEnd"/>
      <w:r w:rsidRPr="00BF6587">
        <w:rPr>
          <w:b/>
          <w:bCs/>
        </w:rPr>
        <w:t xml:space="preserve"> y la preservación de los testimonios como prueba en las actuaciones judiciales</w:t>
      </w:r>
      <w:r w:rsidR="00BF6587" w:rsidRPr="00BF6587">
        <w:rPr>
          <w:b/>
          <w:bCs/>
        </w:rPr>
        <w:t>.</w:t>
      </w:r>
    </w:p>
    <w:p w14:paraId="3501F612" w14:textId="4B2C1B5B" w:rsidR="00263E2C" w:rsidRDefault="00263E2C" w:rsidP="00652C78">
      <w:pPr>
        <w:jc w:val="both"/>
      </w:pPr>
      <w:r>
        <w:tab/>
        <w:t xml:space="preserve">g) </w:t>
      </w:r>
      <w:r w:rsidRPr="00BF6587">
        <w:rPr>
          <w:b/>
          <w:bCs/>
        </w:rPr>
        <w:t>El estado de la implantación de los juzgados y fiscalías especializados y las garantías para evitar la revictimización de los niños de entre 14 y 18 años en los tribunales, así como las medidas que se han adoptado para que la toma de declaración a los niños se realice en instalaciones adaptadas a ellos y tenga lugar, inmediatamente seguida del contrainterrogatorio, durante la fase previa al juicio</w:t>
      </w:r>
      <w:r w:rsidR="00BF6587">
        <w:rPr>
          <w:b/>
          <w:bCs/>
        </w:rPr>
        <w:t>.</w:t>
      </w:r>
    </w:p>
    <w:p w14:paraId="2749D89F" w14:textId="01944F77" w:rsidR="00263E2C" w:rsidRDefault="00263E2C" w:rsidP="00652C78">
      <w:pPr>
        <w:jc w:val="both"/>
      </w:pPr>
      <w:r>
        <w:lastRenderedPageBreak/>
        <w:tab/>
        <w:t>h) La respuesta del Estado parte ante las denuncias formuladas, en particular por la Relatora Especial sobre la violencia contra las mujeres y las niñas, sus causas y consecuencias, a propósito de los niños que han sido testigos de violencia, la han experimentado o han vivido con ella y cuyo régimen de custodia o de visitas se mantiene sin que se realice una evaluación exhaustiva del interés superior del niño y sin que se escuche al niño, en especial en el contexto de la violencia de género.</w:t>
      </w:r>
    </w:p>
    <w:p w14:paraId="57081B8F" w14:textId="77777777" w:rsidR="00263E2C" w:rsidRDefault="00263E2C" w:rsidP="00652C78">
      <w:pPr>
        <w:pStyle w:val="Ttulo2"/>
        <w:jc w:val="both"/>
      </w:pPr>
      <w:r>
        <w:t xml:space="preserve">Entorno familiar y modalidades alternativas de cuidado (arts. 5, 9 a 11, 18 (párrs. 1 </w:t>
      </w:r>
      <w:proofErr w:type="gramStart"/>
      <w:r>
        <w:t>y</w:t>
      </w:r>
      <w:proofErr w:type="gramEnd"/>
      <w:r>
        <w:t xml:space="preserve"> 2), 20, 21, 25 y 27 (párr. 4))</w:t>
      </w:r>
    </w:p>
    <w:p w14:paraId="6D1627F2" w14:textId="2AE97848" w:rsidR="00263E2C" w:rsidRPr="00652C78" w:rsidRDefault="00263E2C" w:rsidP="00652C78">
      <w:pPr>
        <w:jc w:val="both"/>
        <w:rPr>
          <w:b/>
          <w:bCs/>
        </w:rPr>
      </w:pPr>
      <w:r w:rsidRPr="00652C78">
        <w:rPr>
          <w:b/>
          <w:bCs/>
        </w:rPr>
        <w:t>Entorno familiar</w:t>
      </w:r>
    </w:p>
    <w:p w14:paraId="06075771" w14:textId="0920C710" w:rsidR="00263E2C" w:rsidRDefault="00263E2C" w:rsidP="00652C78">
      <w:pPr>
        <w:jc w:val="both"/>
      </w:pPr>
      <w:r>
        <w:t>21. Tengan a bien proporcionar información sobre los progresos realizados con respecto a:</w:t>
      </w:r>
    </w:p>
    <w:p w14:paraId="62B24C83" w14:textId="1C64CCA0" w:rsidR="00263E2C" w:rsidRPr="00BF6587" w:rsidRDefault="00263E2C" w:rsidP="00652C78">
      <w:pPr>
        <w:jc w:val="both"/>
      </w:pPr>
      <w:r>
        <w:tab/>
        <w:t xml:space="preserve">a) </w:t>
      </w:r>
      <w:r w:rsidRPr="00BF6587">
        <w:t>Los servicios de mediación para los casos de divorcio y de conflicto entre los progenitores en relación con el régimen de custodia y de visitas, y las medidas para hacer cumplir las órdenes de pago de una pensión por alimentos</w:t>
      </w:r>
      <w:r w:rsidR="00BF6587" w:rsidRPr="00BF6587">
        <w:t>.</w:t>
      </w:r>
    </w:p>
    <w:p w14:paraId="59E1D199" w14:textId="77777777" w:rsidR="00263E2C" w:rsidRPr="00BF6587" w:rsidRDefault="00263E2C" w:rsidP="00652C78">
      <w:pPr>
        <w:jc w:val="both"/>
      </w:pPr>
      <w:r w:rsidRPr="00BF6587">
        <w:tab/>
        <w:t>b) Las medidas destinadas a garantizar el acceso a una licencia parental remunerada adecuada, ofrecer servicios de orientación para familias y promover el reparto equitativo de las responsabilidades familiares, así como a apoyar a los progenitores en el cuidado de los niños de corta edad.</w:t>
      </w:r>
    </w:p>
    <w:p w14:paraId="1CEF4101" w14:textId="71AB762F" w:rsidR="00263E2C" w:rsidRPr="00652C78" w:rsidRDefault="00263E2C" w:rsidP="00652C78">
      <w:pPr>
        <w:jc w:val="both"/>
        <w:rPr>
          <w:b/>
          <w:bCs/>
        </w:rPr>
      </w:pPr>
      <w:r w:rsidRPr="00652C78">
        <w:rPr>
          <w:b/>
          <w:bCs/>
        </w:rPr>
        <w:t>Niños privados de un entorno familiar</w:t>
      </w:r>
    </w:p>
    <w:p w14:paraId="219D8FDE" w14:textId="2FC1CA44" w:rsidR="00263E2C" w:rsidRDefault="00263E2C" w:rsidP="00652C78">
      <w:pPr>
        <w:jc w:val="both"/>
      </w:pPr>
      <w:r>
        <w:t>22. Sírvanse describir las medidas adoptadas para:</w:t>
      </w:r>
    </w:p>
    <w:p w14:paraId="34A4FC95" w14:textId="5693C032" w:rsidR="00263E2C" w:rsidRDefault="00263E2C" w:rsidP="00652C78">
      <w:pPr>
        <w:jc w:val="both"/>
      </w:pPr>
      <w:r>
        <w:tab/>
        <w:t xml:space="preserve">a) </w:t>
      </w:r>
      <w:r w:rsidRPr="00BF6587">
        <w:rPr>
          <w:b/>
          <w:bCs/>
        </w:rPr>
        <w:t xml:space="preserve">Formular estrategias y políticas y poner en marcha mecanismos, por </w:t>
      </w:r>
      <w:proofErr w:type="gramStart"/>
      <w:r w:rsidRPr="00BF6587">
        <w:rPr>
          <w:b/>
          <w:bCs/>
        </w:rPr>
        <w:t>ejemplo</w:t>
      </w:r>
      <w:proofErr w:type="gramEnd"/>
      <w:r w:rsidRPr="00BF6587">
        <w:rPr>
          <w:b/>
          <w:bCs/>
        </w:rPr>
        <w:t xml:space="preserve"> de asignación presupuestaria y apoyo técnico, para invertir la tendencia de aumento constante del número de niños acogidos en modalidades alternativas de cuidado, en particular en residencias, aumentar la inversión en programas de prevención y fomentar el acogimiento familiar</w:t>
      </w:r>
      <w:r w:rsidR="00BF6587">
        <w:rPr>
          <w:b/>
          <w:bCs/>
        </w:rPr>
        <w:t>.</w:t>
      </w:r>
    </w:p>
    <w:p w14:paraId="387ABE2A" w14:textId="49983E1D" w:rsidR="00263E2C" w:rsidRDefault="00263E2C" w:rsidP="00652C78">
      <w:pPr>
        <w:jc w:val="both"/>
      </w:pPr>
      <w:r>
        <w:tab/>
        <w:t xml:space="preserve">b) </w:t>
      </w:r>
      <w:r w:rsidRPr="00BF6587">
        <w:rPr>
          <w:b/>
          <w:bCs/>
        </w:rPr>
        <w:t>Eliminar gradualmente la institucionalización de los niños, prestando especial atención a los menores de 3 años, los niños víctimas de violencia y los niños con discapacidad, y especifiquen los recursos humanos, técnicos y financieros asignados a este fin</w:t>
      </w:r>
      <w:r w:rsidR="00BF6587" w:rsidRPr="00BF6587">
        <w:rPr>
          <w:b/>
          <w:bCs/>
        </w:rPr>
        <w:t>.</w:t>
      </w:r>
    </w:p>
    <w:p w14:paraId="57DE2986" w14:textId="711769E3" w:rsidR="00263E2C" w:rsidRDefault="00263E2C" w:rsidP="00652C78">
      <w:pPr>
        <w:jc w:val="both"/>
      </w:pPr>
      <w:r>
        <w:tab/>
        <w:t>c)</w:t>
      </w:r>
      <w:r w:rsidR="00652C78">
        <w:t xml:space="preserve"> </w:t>
      </w:r>
      <w:r w:rsidRPr="00BF6587">
        <w:rPr>
          <w:b/>
          <w:bCs/>
        </w:rPr>
        <w:t>Proporcionar apoyo y orientación adecuados a las familias, a fin de evitar su separación, en especial a las familias que viven en la pobreza y a las familias de niños con discapacidad, y difundir información sobre las ayudas disponibles</w:t>
      </w:r>
      <w:r w:rsidR="00BF6587" w:rsidRPr="00BF6587">
        <w:rPr>
          <w:b/>
          <w:bCs/>
        </w:rPr>
        <w:t>.</w:t>
      </w:r>
    </w:p>
    <w:p w14:paraId="00EBD279" w14:textId="5C1ECBE4" w:rsidR="00263E2C" w:rsidRDefault="00263E2C" w:rsidP="00652C78">
      <w:pPr>
        <w:jc w:val="both"/>
      </w:pPr>
      <w:r>
        <w:tab/>
        <w:t>d)</w:t>
      </w:r>
      <w:r w:rsidR="00652C78">
        <w:t xml:space="preserve"> </w:t>
      </w:r>
      <w:r>
        <w:t>Reforzar el sistema de acogimiento familiar, también para los niños con discapacidad</w:t>
      </w:r>
      <w:r w:rsidR="00BF6587">
        <w:t>.</w:t>
      </w:r>
    </w:p>
    <w:p w14:paraId="71F628CC" w14:textId="7C189AB1" w:rsidR="00263E2C" w:rsidRDefault="00263E2C" w:rsidP="00652C78">
      <w:pPr>
        <w:jc w:val="both"/>
      </w:pPr>
      <w:r>
        <w:tab/>
        <w:t>e)</w:t>
      </w:r>
      <w:r w:rsidR="00652C78">
        <w:t xml:space="preserve"> </w:t>
      </w:r>
      <w:r>
        <w:t>Reforzar la calidad de la atención, en particular mediante la educación, el respeto de la vida privada, la participación de los niños en la adopción de decisiones y la supervisión externa de todos los centros de acogimiento residencial, también en el caso de los menores no acompañados</w:t>
      </w:r>
      <w:r w:rsidR="00BF6587">
        <w:t>.</w:t>
      </w:r>
    </w:p>
    <w:p w14:paraId="0B8806D6" w14:textId="56FDCC0A" w:rsidR="00263E2C" w:rsidRDefault="00263E2C" w:rsidP="00652C78">
      <w:pPr>
        <w:jc w:val="both"/>
      </w:pPr>
      <w:r>
        <w:tab/>
        <w:t>f)</w:t>
      </w:r>
      <w:r w:rsidR="00652C78">
        <w:t xml:space="preserve"> </w:t>
      </w:r>
      <w:r>
        <w:t>Prohibir medidas como el aislamiento y la utilización de dispositivos mecánicos de sujeción e inmovilización en los centros de primera acogida, los establecimientos residenciales, los centros especializados en trastornos de la conducta y los centros de detención juvenil</w:t>
      </w:r>
      <w:r w:rsidR="00BF6587">
        <w:t>.</w:t>
      </w:r>
    </w:p>
    <w:p w14:paraId="7C7AEDD2" w14:textId="75072B1D" w:rsidR="00263E2C" w:rsidRDefault="00263E2C" w:rsidP="00652C78">
      <w:pPr>
        <w:jc w:val="both"/>
      </w:pPr>
      <w:r>
        <w:tab/>
        <w:t>g)</w:t>
      </w:r>
      <w:r w:rsidR="00652C78">
        <w:t xml:space="preserve"> </w:t>
      </w:r>
      <w:r>
        <w:t>Prestar apoyo a los niños que abandonan los regímenes de acogida, a fin de que puedan reintegrarse en la familia y la sociedad</w:t>
      </w:r>
      <w:r w:rsidR="00BF6587">
        <w:t>.</w:t>
      </w:r>
    </w:p>
    <w:p w14:paraId="13028655" w14:textId="210046BE" w:rsidR="00263E2C" w:rsidRDefault="00263E2C" w:rsidP="00652C78">
      <w:pPr>
        <w:jc w:val="both"/>
      </w:pPr>
      <w:r>
        <w:tab/>
        <w:t>h)</w:t>
      </w:r>
      <w:r w:rsidR="00652C78">
        <w:t xml:space="preserve"> </w:t>
      </w:r>
      <w:r>
        <w:t>Establecer medidas para prevenir los casos de violencia infligida por, entre otros, los trabajadores del sistema de protección, detectar esos casos y proteger a los niños contra dicha violencia.</w:t>
      </w:r>
    </w:p>
    <w:p w14:paraId="2DBBC9E2" w14:textId="05321A2F" w:rsidR="001966B3" w:rsidRPr="00FE1397" w:rsidRDefault="001966B3" w:rsidP="001966B3">
      <w:pPr>
        <w:pStyle w:val="Ttulo1"/>
      </w:pPr>
      <w:r>
        <w:lastRenderedPageBreak/>
        <w:t xml:space="preserve">III – la </w:t>
      </w:r>
      <w:r w:rsidRPr="006064C1">
        <w:rPr>
          <w:color w:val="009AC7"/>
        </w:rPr>
        <w:t xml:space="preserve">respuesta </w:t>
      </w:r>
      <w:r>
        <w:t>de españa</w:t>
      </w:r>
    </w:p>
    <w:p w14:paraId="7C492D17" w14:textId="6D5C6857" w:rsidR="00263E2C" w:rsidRDefault="00263E2C" w:rsidP="00652C78">
      <w:pPr>
        <w:jc w:val="both"/>
      </w:pPr>
      <w:r>
        <w:t xml:space="preserve">Según lo </w:t>
      </w:r>
      <w:r w:rsidR="00652C78">
        <w:t>peticionado</w:t>
      </w:r>
      <w:r>
        <w:t>, el Estado español ha envido el informe el pasado 12 de marzo de 2024, que ha sido publicado el pasado 23 de abril de 2024.</w:t>
      </w:r>
    </w:p>
    <w:p w14:paraId="1E53D4DA" w14:textId="77777777" w:rsidR="00263E2C" w:rsidRDefault="00263E2C" w:rsidP="00652C78">
      <w:pPr>
        <w:jc w:val="both"/>
      </w:pPr>
      <w:r>
        <w:t>En lo que respecta a lo anteriormente indicado en la lista de cuestiones preliminares, ésta es la respuesta que ha ofrecido el Estado evaluado:</w:t>
      </w:r>
    </w:p>
    <w:p w14:paraId="11196EAA" w14:textId="4DE5B8E9" w:rsidR="00263E2C" w:rsidRPr="00BA5A9B" w:rsidRDefault="00BA5A9B" w:rsidP="00652C78">
      <w:pPr>
        <w:jc w:val="both"/>
        <w:rPr>
          <w:color w:val="006683" w:themeColor="accent1"/>
        </w:rPr>
      </w:pPr>
      <w:r w:rsidRPr="00BA5A9B">
        <w:rPr>
          <w:color w:val="006683" w:themeColor="accent1"/>
        </w:rPr>
        <w:t>INTERÉS SUPERIOR DEL NIÑO (ISN)</w:t>
      </w:r>
    </w:p>
    <w:p w14:paraId="17B71D78" w14:textId="00F037CE" w:rsidR="00263E2C" w:rsidRDefault="00263E2C" w:rsidP="00652C78">
      <w:pPr>
        <w:jc w:val="both"/>
      </w:pPr>
      <w:r>
        <w:t>86.</w:t>
      </w:r>
      <w:r w:rsidR="00BA5A9B">
        <w:t xml:space="preserve"> </w:t>
      </w:r>
      <w:r>
        <w:t>La planificación en materia de políticas públicas de infancia y adolescencia confiere al Interés Superior del Niño (ISN) un lugar preferente, cada uno de los principios rectores de la EEDIA emanan de la CDN, siendo uno de ellos el interés superior de las personas menores de edad. Obliga a que, en todas las medidas adoptadas por instituciones públicas o privadas de bienestar social, tribunales, autoridades administrativas u órganos legislativos que tengan un efecto en los NNA, el interés superior del menor tendrá una consideración primordial ante cualquier otro interés o consideración.</w:t>
      </w:r>
    </w:p>
    <w:p w14:paraId="66F2306D" w14:textId="04746917" w:rsidR="00263E2C" w:rsidRDefault="00263E2C" w:rsidP="00652C78">
      <w:pPr>
        <w:jc w:val="both"/>
      </w:pPr>
      <w:r>
        <w:t>87.</w:t>
      </w:r>
      <w:r w:rsidR="00BA5A9B">
        <w:t xml:space="preserve"> </w:t>
      </w:r>
      <w:r>
        <w:t xml:space="preserve">La Ley Orgánica 8/2015, de 22 de julio, de modificación del sistema de protección a la infancia y la adolescencia, recogió el ISN como eje transversal de la reforma en materia de protección a la infancia y a la adolescencia, reforzando su carácter de principio fundamental en su triple vertiente: como derecho sustantivo, como principio general interpretativo y como norma de procedimiento, siguiendo los criterios de la Observación General n.º 14 del Comité. También la legislación autonómica aprobada a partir de 2015 (Comunidad Valenciana, Castilla La Mancha y Navarra, como ejemplo de CCAA), contempla ampliamente este principio, aunque es la ley estatal la que lo regula con mayor profundidad y detalle. </w:t>
      </w:r>
    </w:p>
    <w:p w14:paraId="7438A966" w14:textId="792C91C2" w:rsidR="00263E2C" w:rsidRDefault="00263E2C" w:rsidP="00652C78">
      <w:pPr>
        <w:jc w:val="both"/>
      </w:pPr>
      <w:r>
        <w:t>88.</w:t>
      </w:r>
      <w:r w:rsidR="00BA5A9B">
        <w:t xml:space="preserve">  </w:t>
      </w:r>
      <w:r>
        <w:t>Entre otras mejoras, la Disposición final segunda de la LOPIVI modifica el artículo 92 del Código Civil para reforzar el ISN en los procesos de separación, nulidad y divorcio, así como para asegurar que existan las cautelas necesarias para el cumplimiento de los regímenes de guarda y custodia.</w:t>
      </w:r>
    </w:p>
    <w:p w14:paraId="3CC7AC29" w14:textId="6E4DC423" w:rsidR="00263E2C" w:rsidRDefault="00263E2C" w:rsidP="00652C78">
      <w:pPr>
        <w:jc w:val="both"/>
      </w:pPr>
      <w:r>
        <w:t>89.</w:t>
      </w:r>
      <w:r w:rsidR="00BA5A9B">
        <w:t xml:space="preserve"> </w:t>
      </w:r>
      <w:r>
        <w:t>Se ha trabajado en un nuevo modelo de organización de la Administración de Justicia cuya reforma se incluyó en el Proyecto de Ley Orgánica de eficiencia organizativa del servicio público de Justicia, por la que se modifica la Ley Orgánica 6/1985, de 1 de julio, del Poder Judicial, para la implantación de los Tribunales de Instancia en cada partido judicial y las Oficinas de Justicia en los municipios. Está previsto retomar próximamente la tramitación parlamentaria de este proyecto normativo.</w:t>
      </w:r>
    </w:p>
    <w:p w14:paraId="53246F58" w14:textId="64FE679B" w:rsidR="00263E2C" w:rsidRDefault="00263E2C" w:rsidP="00652C78">
      <w:pPr>
        <w:jc w:val="both"/>
      </w:pPr>
      <w:r>
        <w:t>90.</w:t>
      </w:r>
      <w:r w:rsidR="00BA5A9B">
        <w:t xml:space="preserve"> </w:t>
      </w:r>
      <w:r>
        <w:t>En relación con las políticas para determinar y hacer valer el ISN en los programas, procedimientos y decisiones administrativas, la LOPIVI dispone, en su artículo 29.1, que “las Administraciones públicas deberán prestar especial atención a la protección del ISN de los NNA que conviven en entornos familiares marcados por la violencia de género”. Su artículo 43.4, por otro lado, incluye un mandato a los poderes públicos, que “garantizarán a los NNA víctimas de delitos violentos y, en todo caso, de delitos de naturaleza sexual, de trata o de violencia de género una atención integral para su recuperación a través de servicios especializados”.</w:t>
      </w:r>
    </w:p>
    <w:p w14:paraId="37D063A1" w14:textId="495441F3" w:rsidR="00263E2C" w:rsidRDefault="00263E2C" w:rsidP="00652C78">
      <w:pPr>
        <w:jc w:val="both"/>
      </w:pPr>
      <w:r>
        <w:t>91.</w:t>
      </w:r>
      <w:r w:rsidR="00BA5A9B">
        <w:t xml:space="preserve"> </w:t>
      </w:r>
      <w:r>
        <w:t xml:space="preserve">En lo que respecta a NNA en situación de migración, en el marco del protocolo de actuación ante la violencia contra las mujeres en el sistema de protección internacional y temporal, en 2022 se puso en marcha un grupo de trabajo compuesto por representantes de entidades y centros del sistema de acogida con la finalidad de ofrecer recursos y pautas básicos para profesionales en materia de intervención con infancia. Se elaboró un documento basado en las directrices de la CDN donde se recogían medidas preventivas para garantizar la protección de la infancia. </w:t>
      </w:r>
    </w:p>
    <w:p w14:paraId="508AD71A" w14:textId="5D44C3D6" w:rsidR="00263E2C" w:rsidRPr="00BA5A9B" w:rsidRDefault="00BA5A9B" w:rsidP="00652C78">
      <w:pPr>
        <w:jc w:val="both"/>
        <w:rPr>
          <w:color w:val="006683" w:themeColor="accent1"/>
        </w:rPr>
      </w:pPr>
      <w:r w:rsidRPr="00BA5A9B">
        <w:rPr>
          <w:color w:val="006683" w:themeColor="accent1"/>
        </w:rPr>
        <w:t>RESPETO POR LAS OPINIONES DEL NIÑO</w:t>
      </w:r>
    </w:p>
    <w:p w14:paraId="796AE273" w14:textId="0EB9EA67" w:rsidR="00263E2C" w:rsidRDefault="00263E2C" w:rsidP="00652C78">
      <w:pPr>
        <w:jc w:val="both"/>
      </w:pPr>
      <w:r>
        <w:t>92.</w:t>
      </w:r>
      <w:r w:rsidR="00585BBB">
        <w:t xml:space="preserve"> </w:t>
      </w:r>
      <w:r>
        <w:t>Los procedimientos judiciales o administrativos, las comparecencias o audiencias del menor se realizan de forma adecuada a su situación y desarrollo evolutivo, con la asistencia, si fuera necesario, de profesionales cualificados o expertos. Se garantiza que el menor, cuando tenga suficiente madurez, según lo valorado por personal especializado, pueda ejercitar este derecho por sí mismo o a través de la persona que designe para que le represente.</w:t>
      </w:r>
    </w:p>
    <w:p w14:paraId="147E4619" w14:textId="078A89C0" w:rsidR="00263E2C" w:rsidRDefault="00263E2C" w:rsidP="00652C78">
      <w:pPr>
        <w:jc w:val="both"/>
      </w:pPr>
      <w:r>
        <w:lastRenderedPageBreak/>
        <w:t>93.</w:t>
      </w:r>
      <w:r w:rsidR="00585BBB">
        <w:t xml:space="preserve"> </w:t>
      </w:r>
      <w:r>
        <w:t xml:space="preserve">La LOPIVI ha modificado la Ley Orgánica 6/1985, de 1 de julio, del Poder Judicial para garantizar una justicia especializada en infancia y adolescencia que incluirá en todas las pruebas selectivas para el ingreso y la promoción en las carreras judicial y fiscal, el estudio de la tutela judicial de los derechos de la infancia y la adolescencia, su protección y la aplicación del principio del ISN y de su derecho a ser </w:t>
      </w:r>
      <w:proofErr w:type="gramStart"/>
      <w:r>
        <w:t>escuchada.(</w:t>
      </w:r>
      <w:proofErr w:type="gramEnd"/>
      <w:r>
        <w:t>…)</w:t>
      </w:r>
    </w:p>
    <w:p w14:paraId="4B53EB59" w14:textId="77777777" w:rsidR="00263E2C" w:rsidRDefault="00263E2C" w:rsidP="00652C78">
      <w:pPr>
        <w:jc w:val="both"/>
      </w:pPr>
      <w:r>
        <w:t>Entorno familiar y modalidades alternativas de cuidado (arts. 5, 9 a 11, 18 (</w:t>
      </w:r>
      <w:proofErr w:type="spellStart"/>
      <w:r>
        <w:t>párrs</w:t>
      </w:r>
      <w:proofErr w:type="spellEnd"/>
      <w:r>
        <w:t>. 1 y 2), 20, 21, 25 y 27 (párr. 4) de la Convención)</w:t>
      </w:r>
    </w:p>
    <w:p w14:paraId="6D788CFF" w14:textId="2D861C0F" w:rsidR="00263E2C" w:rsidRPr="00585BBB" w:rsidRDefault="00585BBB" w:rsidP="00652C78">
      <w:pPr>
        <w:jc w:val="both"/>
        <w:rPr>
          <w:color w:val="006683" w:themeColor="accent1"/>
        </w:rPr>
      </w:pPr>
      <w:r w:rsidRPr="00585BBB">
        <w:rPr>
          <w:color w:val="006683" w:themeColor="accent1"/>
        </w:rPr>
        <w:t>ENTORNO FAMILIAR</w:t>
      </w:r>
    </w:p>
    <w:p w14:paraId="44C60068" w14:textId="518721F6" w:rsidR="00263E2C" w:rsidRDefault="00263E2C" w:rsidP="00652C78">
      <w:pPr>
        <w:jc w:val="both"/>
      </w:pPr>
      <w:r>
        <w:t>154.</w:t>
      </w:r>
      <w:r w:rsidR="00585BBB">
        <w:t xml:space="preserve"> </w:t>
      </w:r>
      <w:r>
        <w:t xml:space="preserve">El artículo 28 de la LOPIVI promueve distintas medidas de protección que la Administración pública debe impulsar respecto a los servicios de mediación en los casos de ruptura familiar. Tales medidas engloban servicios de apoyo a las familias, puntos de encuentro familiar u otros recursos especializados de titularidad pública que permitan una adecuada atención y protección a la infancia y la adolescencia. Además, los juzgados cuentan con gabinetes psicosociales y asistencias técnicas de los Institutos de Medicina Legal y Ciencias Forenses en las Secciones de Infancia, Familia y Capacidad, con el objetivo de velar por el bienestar de los menores e intervenir en los procesos de mediación. </w:t>
      </w:r>
    </w:p>
    <w:p w14:paraId="7B0A73AA" w14:textId="429908DE" w:rsidR="00263E2C" w:rsidRDefault="00263E2C" w:rsidP="00652C78">
      <w:pPr>
        <w:jc w:val="both"/>
      </w:pPr>
      <w:r>
        <w:t>155.</w:t>
      </w:r>
      <w:r w:rsidR="00585BBB">
        <w:t xml:space="preserve"> </w:t>
      </w:r>
      <w:r>
        <w:t>Por otra parte, la EEVIA tiene como objetivo el desarrollo de programas específicos de formación, apoyo y mediación a las familias en situación de crisis, divorcio o conflicto. Por parte del MDSA se lleva a cabo el Programa de protección a la familia y atención a la pobreza infantil, dotado con 65 millones de euros: 35 para que las CCAA financien proyectos dirigidos a paliar y mejorar la situación de vulnerabilidad social de las familias y 25 destinados a servicios sociales generales para trabajar con las familias. También el MDSA y la FEMP desarrollan el Programa de parentalidad positiva.</w:t>
      </w:r>
    </w:p>
    <w:p w14:paraId="5B043173" w14:textId="0E167599" w:rsidR="00263E2C" w:rsidRDefault="00263E2C" w:rsidP="00652C78">
      <w:pPr>
        <w:jc w:val="both"/>
      </w:pPr>
      <w:r>
        <w:t>156.</w:t>
      </w:r>
      <w:r w:rsidR="00585BBB">
        <w:t xml:space="preserve"> </w:t>
      </w:r>
      <w:r>
        <w:t>Asimismo, es competencia de las CCAA implementar este tipo de programas, como ya lo hacen Comunidades como Madrid, que cuenta con un Servicio de Mediación Familiar en todos sus centros de Apoyo a las familias (CAF), Aragón con el “Programa de Orientación y Mediación Familiar”, o Castilla la Mancha con el Programa “Caminar en familia” para la reunificación familiar. Respecto al impago de las pensiones de alimentos, la ley determina que se trata de una forma de violencia contra la infancia y la adolescencia. Además, el artículo 227 del Código Penal constituye como delito de abandono familiar el incumplimiento de dicho pago. En cuanto al reparto equitativo de las responsabilidades familiares, este último año, se implementó el Real Decreto-ley 5/2023 que apoya a los progenitores en el cuidado de los NNA implementando un nuevo permiso parental para el cuidado de hijo o menor acogido por tiempo superior a un año, y permitiendo la conciliación de la vida familiar y la vida profesional. Además, se han aprobado 3 nuevos permisos de conciliación que cumplen con la directiva (UE) 2019/1158 relativa a la conciliación de la vida familiar y la vida profesional de progenitores y cuidadores: https://www.boe.es/buscar/doc.php?id=BOE-A-2023-15135.</w:t>
      </w:r>
    </w:p>
    <w:p w14:paraId="442A35DB" w14:textId="31B45D65" w:rsidR="006064C1" w:rsidRDefault="00263E2C" w:rsidP="00652C78">
      <w:pPr>
        <w:jc w:val="both"/>
      </w:pPr>
      <w:r>
        <w:t>157.</w:t>
      </w:r>
      <w:r w:rsidR="00585BBB">
        <w:t xml:space="preserve"> </w:t>
      </w:r>
      <w:r>
        <w:t>Desde el Ministerio de Igualdad se ha creado el “Plan Corresponsables”, una iniciativa que tiene por objeto iniciar el camino hacia la garantía del cuidado como un derecho en España. El Plan está orientado a favorecer la conciliación de las familias desde un enfoque de igualdad de género. Para ello, se han puesto en marcha unas bolsas de cuidado profesional con diferentes perfiles profesionales que atiendan en domicilio por horas y dirigido al cuidado de menores de hasta 16 años. También, se ha creado la aplicación de móviles “</w:t>
      </w:r>
      <w:proofErr w:type="spellStart"/>
      <w:r>
        <w:t>MeToca</w:t>
      </w:r>
      <w:proofErr w:type="spellEnd"/>
      <w:r>
        <w:t xml:space="preserve">” para repartir de forma corresponsable las tareas domésticas y de cuidados. </w:t>
      </w:r>
    </w:p>
    <w:p w14:paraId="799C4AC5" w14:textId="77777777" w:rsidR="006064C1" w:rsidRPr="001966B3" w:rsidRDefault="006064C1" w:rsidP="00652C78">
      <w:pPr>
        <w:jc w:val="both"/>
      </w:pPr>
    </w:p>
    <w:p w14:paraId="7C0DAFC7" w14:textId="406AC56B" w:rsidR="00585BBB" w:rsidRPr="006064C1" w:rsidRDefault="001966B3" w:rsidP="006064C1">
      <w:pPr>
        <w:pStyle w:val="Ttulo1"/>
        <w:rPr>
          <w:sz w:val="40"/>
          <w:szCs w:val="40"/>
        </w:rPr>
      </w:pPr>
      <w:r w:rsidRPr="006064C1">
        <w:rPr>
          <w:sz w:val="40"/>
          <w:szCs w:val="40"/>
        </w:rPr>
        <w:lastRenderedPageBreak/>
        <w:t xml:space="preserve">IV </w:t>
      </w:r>
      <w:r w:rsidR="00BF6587" w:rsidRPr="006064C1">
        <w:rPr>
          <w:sz w:val="40"/>
          <w:szCs w:val="40"/>
        </w:rPr>
        <w:t xml:space="preserve">- </w:t>
      </w:r>
      <w:r w:rsidRPr="006064C1">
        <w:rPr>
          <w:color w:val="009AC7"/>
          <w:sz w:val="40"/>
          <w:szCs w:val="40"/>
        </w:rPr>
        <w:t xml:space="preserve">PROBLEMAS </w:t>
      </w:r>
      <w:r w:rsidRPr="006064C1">
        <w:rPr>
          <w:sz w:val="40"/>
          <w:szCs w:val="40"/>
        </w:rPr>
        <w:t xml:space="preserve">PENDIENTES </w:t>
      </w:r>
      <w:r w:rsidR="006064C1">
        <w:rPr>
          <w:sz w:val="40"/>
          <w:szCs w:val="40"/>
        </w:rPr>
        <w:t xml:space="preserve">DE RESOLUCIÓN EN ESPAÑA SOBRE </w:t>
      </w:r>
      <w:r w:rsidR="006064C1" w:rsidRPr="006064C1">
        <w:rPr>
          <w:sz w:val="40"/>
          <w:szCs w:val="40"/>
        </w:rPr>
        <w:t xml:space="preserve">Los derechos de los niños, niñas y adolescentes afectados por medidas administrativas y </w:t>
      </w:r>
      <w:r w:rsidR="006064C1" w:rsidRPr="006064C1">
        <w:rPr>
          <w:color w:val="009AC7"/>
          <w:sz w:val="40"/>
          <w:szCs w:val="40"/>
        </w:rPr>
        <w:t>judiciales</w:t>
      </w:r>
      <w:r w:rsidR="006064C1" w:rsidRPr="006064C1">
        <w:rPr>
          <w:sz w:val="40"/>
          <w:szCs w:val="40"/>
        </w:rPr>
        <w:t xml:space="preserve">. Especial atención a los procesos de </w:t>
      </w:r>
      <w:r w:rsidR="006064C1" w:rsidRPr="006064C1">
        <w:rPr>
          <w:color w:val="009AC7"/>
          <w:sz w:val="40"/>
          <w:szCs w:val="40"/>
        </w:rPr>
        <w:t>Familia</w:t>
      </w:r>
      <w:r w:rsidR="006064C1" w:rsidRPr="006064C1">
        <w:rPr>
          <w:sz w:val="40"/>
          <w:szCs w:val="40"/>
        </w:rPr>
        <w:t>.</w:t>
      </w:r>
    </w:p>
    <w:p w14:paraId="73681695" w14:textId="061397CE" w:rsidR="00263E2C" w:rsidRDefault="00263E2C" w:rsidP="00652C78">
      <w:pPr>
        <w:jc w:val="both"/>
      </w:pPr>
      <w:r>
        <w:t xml:space="preserve">Analizado todo lo anterior se puede concluir que el Estado Español </w:t>
      </w:r>
      <w:r w:rsidRPr="00BC1F9F">
        <w:rPr>
          <w:b/>
          <w:bCs/>
        </w:rPr>
        <w:t xml:space="preserve">no ofrece una </w:t>
      </w:r>
      <w:r w:rsidR="00BC1F9F">
        <w:rPr>
          <w:b/>
          <w:bCs/>
        </w:rPr>
        <w:t>solución</w:t>
      </w:r>
      <w:r w:rsidRPr="00BC1F9F">
        <w:rPr>
          <w:b/>
          <w:bCs/>
        </w:rPr>
        <w:t xml:space="preserve"> clara y directa a las cuestiones concretas planteadas por el CDN, sino una respuesta global</w:t>
      </w:r>
      <w:r>
        <w:t>.</w:t>
      </w:r>
    </w:p>
    <w:p w14:paraId="7B3750D4" w14:textId="77777777" w:rsidR="00263E2C" w:rsidRDefault="00263E2C" w:rsidP="00652C78">
      <w:pPr>
        <w:jc w:val="both"/>
      </w:pPr>
      <w:r>
        <w:t>Responder de forma genérica a cuestiones tan relevantes trae como consecuencia que el CDN no tenga una visión concreta acerca del respeto y defensa que el Estado Español realiza en pro de los derechos de los niños, niñas y adolescentes.</w:t>
      </w:r>
    </w:p>
    <w:p w14:paraId="1424DB37" w14:textId="77777777" w:rsidR="00263E2C" w:rsidRDefault="00263E2C" w:rsidP="00652C78">
      <w:pPr>
        <w:jc w:val="both"/>
      </w:pPr>
      <w:r>
        <w:t>En el presente informe se pretende dar información y recorrido a las cuestiones analizadas desde los anteriores informes (5º y 6º), tomando en consideración las cuestiones planteadas al Estado y la respuesta que éste ha dado.</w:t>
      </w:r>
    </w:p>
    <w:p w14:paraId="7AF644F7" w14:textId="77777777" w:rsidR="00263E2C" w:rsidRDefault="00263E2C" w:rsidP="00652C78">
      <w:pPr>
        <w:jc w:val="both"/>
      </w:pPr>
    </w:p>
    <w:p w14:paraId="54C09FCE" w14:textId="1B3CB7C9" w:rsidR="00263E2C" w:rsidRPr="001966B3" w:rsidRDefault="00263E2C" w:rsidP="00652C78">
      <w:pPr>
        <w:jc w:val="both"/>
        <w:rPr>
          <w:b/>
          <w:bCs/>
          <w:color w:val="006683" w:themeColor="accent1"/>
          <w:sz w:val="28"/>
          <w:szCs w:val="28"/>
        </w:rPr>
      </w:pPr>
      <w:r w:rsidRPr="001966B3">
        <w:rPr>
          <w:b/>
          <w:bCs/>
          <w:color w:val="006683" w:themeColor="accent1"/>
          <w:sz w:val="28"/>
          <w:szCs w:val="28"/>
        </w:rPr>
        <w:t>AUSENCIA DE COORDINACIÓN INTERINSTITUCIONAL Y/O CAUCE PARA LA INTERVENCIÓN JUDICIAL</w:t>
      </w:r>
    </w:p>
    <w:p w14:paraId="7CBF8736" w14:textId="77777777" w:rsidR="00263E2C" w:rsidRDefault="00263E2C" w:rsidP="00652C78">
      <w:pPr>
        <w:jc w:val="both"/>
      </w:pPr>
      <w:r>
        <w:t xml:space="preserve">El art. 19 de la CDN establece la obligación de los estados miembros de establecer procedimientos eficaces para proporcionar la asistencia necesaria al niño y a quienes cuidan de él, para la identificación, notificación, remisión a una institución, investigación, tratamiento y observación ulterior de los casos antes descritos de malos tratos al niño y, según corresponda, la intervención judicial, estableciendo los cauces interinstitucionales para que los niños de malos tratos y descuido puedan obtener justicia. </w:t>
      </w:r>
    </w:p>
    <w:p w14:paraId="5AB3199A" w14:textId="75F8A3C3" w:rsidR="00263E2C" w:rsidRDefault="00263E2C" w:rsidP="00652C78">
      <w:pPr>
        <w:jc w:val="both"/>
      </w:pPr>
      <w:r>
        <w:t>El legislador español ha incorporado las oportunas modificaciones legislativas, al objeto de instaurar un sistema de protección integral a la infancia y a la adolescencia frente a la violencia [LOPIVI,8/2021, de 4 de junio] con avances tan importantes, entre otros, como:</w:t>
      </w:r>
    </w:p>
    <w:p w14:paraId="23EA13DF" w14:textId="5EAF74FC" w:rsidR="00263E2C" w:rsidRDefault="00263E2C" w:rsidP="001966B3">
      <w:pPr>
        <w:pStyle w:val="Prrafodelista"/>
        <w:numPr>
          <w:ilvl w:val="0"/>
          <w:numId w:val="21"/>
        </w:numPr>
        <w:jc w:val="both"/>
      </w:pPr>
      <w:r w:rsidRPr="00BC1F9F">
        <w:rPr>
          <w:u w:val="single"/>
        </w:rPr>
        <w:t>Acomoda la definición del concepto de violencia sobre la infancia y la adolescencia</w:t>
      </w:r>
      <w:r>
        <w:t>, así como el buen trato siguiendo las indicaciones de la CDN (Art. 1).</w:t>
      </w:r>
    </w:p>
    <w:p w14:paraId="66090D34" w14:textId="1A0B0AB0" w:rsidR="00263E2C" w:rsidRDefault="00263E2C" w:rsidP="001966B3">
      <w:pPr>
        <w:pStyle w:val="Prrafodelista"/>
        <w:numPr>
          <w:ilvl w:val="0"/>
          <w:numId w:val="21"/>
        </w:numPr>
        <w:jc w:val="both"/>
      </w:pPr>
      <w:r>
        <w:t xml:space="preserve">Establece un </w:t>
      </w:r>
      <w:r w:rsidRPr="00BC1F9F">
        <w:rPr>
          <w:u w:val="single"/>
        </w:rPr>
        <w:t>deber de comunicación cualificado</w:t>
      </w:r>
      <w:r>
        <w:t xml:space="preserve"> (Art. 16) a determinados sectores y profesionales, que teniendo encomendada la asistencia, el cuidado, la enseñanza o la protección de niños, niñas o adolescentes y, en el ejercicio de </w:t>
      </w:r>
      <w:proofErr w:type="gramStart"/>
      <w:r>
        <w:t>las mismas</w:t>
      </w:r>
      <w:proofErr w:type="gramEnd"/>
      <w:r>
        <w:t>, hayan tenido conocimiento de una situación de violencia ejercida sobre los mismos. Deberán comunicarlo de forma inmediata a los servicios sociales competentes. Además, cuando de dicha violencia pudiera resultar que la salud o la seguridad del niño, niña o adolescente se encontrase amenazada, deberán comunicarlo de forma inmediata a las Fuerzas y Cuerpos de Seguridad y/o al Ministerio Fiscal.</w:t>
      </w:r>
    </w:p>
    <w:p w14:paraId="044C70C4" w14:textId="70AAD12A" w:rsidR="00263E2C" w:rsidRDefault="00263E2C" w:rsidP="001966B3">
      <w:pPr>
        <w:pStyle w:val="Prrafodelista"/>
        <w:numPr>
          <w:ilvl w:val="0"/>
          <w:numId w:val="21"/>
        </w:numPr>
        <w:jc w:val="both"/>
      </w:pPr>
      <w:r>
        <w:t xml:space="preserve">El personal funcionario que desarrolle su actividad profesional en los servicios sociales, en el ejercicio de sus funciones relativas a la protección de los niños, niñas y adolescentes, tendrá la condición de </w:t>
      </w:r>
      <w:r w:rsidRPr="00BC1F9F">
        <w:rPr>
          <w:u w:val="single"/>
        </w:rPr>
        <w:t>agente de la autoridad</w:t>
      </w:r>
      <w:r>
        <w:t xml:space="preserve"> (Art. 41).</w:t>
      </w:r>
    </w:p>
    <w:p w14:paraId="038EBFC3" w14:textId="64271B16" w:rsidR="00263E2C" w:rsidRDefault="00263E2C" w:rsidP="001966B3">
      <w:pPr>
        <w:pStyle w:val="Prrafodelista"/>
        <w:numPr>
          <w:ilvl w:val="0"/>
          <w:numId w:val="21"/>
        </w:numPr>
        <w:jc w:val="both"/>
      </w:pPr>
      <w:r w:rsidRPr="00BC1F9F">
        <w:rPr>
          <w:u w:val="single"/>
        </w:rPr>
        <w:t>Modifica el derecho sustantivo y procesal penal y también, en el ámbito civil, de los procedimientos de familia</w:t>
      </w:r>
      <w:r>
        <w:t xml:space="preserve"> (art. 158 </w:t>
      </w:r>
      <w:proofErr w:type="gramStart"/>
      <w:r>
        <w:t>CC</w:t>
      </w:r>
      <w:proofErr w:type="gramEnd"/>
      <w:r>
        <w:t xml:space="preserve"> por ejemplo) para la protección del menor.</w:t>
      </w:r>
    </w:p>
    <w:p w14:paraId="165F43EE" w14:textId="77777777" w:rsidR="00263E2C" w:rsidRDefault="00263E2C" w:rsidP="00652C78">
      <w:pPr>
        <w:jc w:val="both"/>
      </w:pPr>
    </w:p>
    <w:p w14:paraId="5FBDBBC1" w14:textId="77777777" w:rsidR="00263E2C" w:rsidRDefault="00263E2C" w:rsidP="00652C78">
      <w:pPr>
        <w:jc w:val="both"/>
      </w:pPr>
      <w:r>
        <w:lastRenderedPageBreak/>
        <w:t xml:space="preserve">Ahora bien, se observa una </w:t>
      </w:r>
      <w:r w:rsidRPr="00BC1F9F">
        <w:rPr>
          <w:b/>
          <w:bCs/>
        </w:rPr>
        <w:t>importante carenci</w:t>
      </w:r>
      <w:r>
        <w:t xml:space="preserve">a que debemos poner de manifiesto, a fin de poder lograr los objetivos perseguidos por la reforma que el legislador español ha llevado a cabo. La meritada reforma legislativa debe ir acompañada de procedimientos y /o protocolos de actuación para los Servicios Sociales, así como de circulares por parte de la </w:t>
      </w:r>
      <w:proofErr w:type="gramStart"/>
      <w:r>
        <w:t>Fiscalía General</w:t>
      </w:r>
      <w:proofErr w:type="gramEnd"/>
      <w:r>
        <w:t xml:space="preserve"> del Estado (necesidad de implementar pautas que contribuyan a garantizar la unidad de criterio, para actuar de manera uniforme por los fiscales).</w:t>
      </w:r>
    </w:p>
    <w:p w14:paraId="0CD8C118" w14:textId="77777777" w:rsidR="00263E2C" w:rsidRDefault="00263E2C" w:rsidP="00652C78">
      <w:pPr>
        <w:jc w:val="both"/>
      </w:pPr>
      <w:r>
        <w:t>Esta necesidad se acusa en dos ámbitos, dentro del trabajo que vienen realizando los Servicios sociales con niños y adolescentes por la conflictiva derivada de la ruptura:</w:t>
      </w:r>
    </w:p>
    <w:p w14:paraId="0487D394" w14:textId="568E13F1" w:rsidR="001966B3" w:rsidRPr="001966B3" w:rsidRDefault="00263E2C" w:rsidP="001966B3">
      <w:pPr>
        <w:pStyle w:val="Prrafodelista"/>
        <w:numPr>
          <w:ilvl w:val="0"/>
          <w:numId w:val="23"/>
        </w:numPr>
        <w:jc w:val="both"/>
        <w:rPr>
          <w:b/>
          <w:bCs/>
        </w:rPr>
      </w:pPr>
      <w:r>
        <w:t xml:space="preserve">En las ocasiones en los que detectan una posible situación de maltrato, susceptible de reproche penal, la responsabilidad de la denuncia </w:t>
      </w:r>
      <w:proofErr w:type="gramStart"/>
      <w:r>
        <w:t>y</w:t>
      </w:r>
      <w:proofErr w:type="gramEnd"/>
      <w:r>
        <w:t xml:space="preserve"> por ende, de la intervención judicial, recae en el otro progenitor. Sin embargo, la credibilidad de éste por la propia ruptura, así como una situación de falta de medios personales y/o materiales puede hacer que no se denuncie. En esos casos, los servicios sociales remiten informe a la Fiscalía de </w:t>
      </w:r>
      <w:r w:rsidR="00BC1F9F">
        <w:t>menores,</w:t>
      </w:r>
      <w:r>
        <w:t xml:space="preserve"> pero se observa que no hay un criterio uniforme sobre la actuación. Esto es, no se remite testimonio al Juzgado de Guardia para la oportuna incoación del correspondiente procedimiento penal. </w:t>
      </w:r>
      <w:r w:rsidRPr="001966B3">
        <w:rPr>
          <w:b/>
          <w:bCs/>
        </w:rPr>
        <w:t xml:space="preserve">Debiera adoptarse en una circular un criterio uniforme por parte de Fiscalía y/o en su defecto, establecer protocolos de actuación para el personal de los servicios sociales, a fin de ser ellos mismos los que remitan directamente su informe a la autoridad judicial para la apertura de las oportunas actuaciones penales. </w:t>
      </w:r>
    </w:p>
    <w:p w14:paraId="66658643" w14:textId="77777777" w:rsidR="001966B3" w:rsidRDefault="001966B3" w:rsidP="001966B3">
      <w:pPr>
        <w:jc w:val="both"/>
      </w:pPr>
    </w:p>
    <w:p w14:paraId="3CA11C9E" w14:textId="5104B07F" w:rsidR="001966B3" w:rsidRDefault="00263E2C" w:rsidP="001966B3">
      <w:pPr>
        <w:pStyle w:val="Prrafodelista"/>
        <w:numPr>
          <w:ilvl w:val="0"/>
          <w:numId w:val="23"/>
        </w:numPr>
        <w:jc w:val="both"/>
      </w:pPr>
      <w:r>
        <w:t xml:space="preserve">Por otro lado, hay supuestos en los que no estamos ante una situación de violencia con reproche </w:t>
      </w:r>
      <w:r w:rsidR="00BC1F9F">
        <w:t>penal,</w:t>
      </w:r>
      <w:r>
        <w:t xml:space="preserve"> pero si ante la nueva concepción legal de la violencia y falta de buen trato. </w:t>
      </w:r>
      <w:r w:rsidRPr="00BC1F9F">
        <w:rPr>
          <w:b/>
          <w:bCs/>
        </w:rPr>
        <w:t>Se acusa también falta de procedimiento de actuación claro y cauce interinstitucional, para que los profesionales de los Servicios Sociales puedan solicitar la intervención judicial para la adopción de medidas ex art. 158 del CC y/o sea el Ministerio Fiscal quien lo solicite.</w:t>
      </w:r>
      <w:r>
        <w:t xml:space="preserve"> En situaciones de ruptura, hay progenitores que no son capaces de preservar a los menores del conflicto y esto trae consigo, resonancia emocional y graves perjuicios en el desarrollo </w:t>
      </w:r>
      <w:proofErr w:type="gramStart"/>
      <w:r>
        <w:t>evolutivo  de</w:t>
      </w:r>
      <w:proofErr w:type="gramEnd"/>
      <w:r>
        <w:t xml:space="preserve"> los menores.</w:t>
      </w:r>
    </w:p>
    <w:p w14:paraId="0BD3B125" w14:textId="77777777" w:rsidR="001966B3" w:rsidRDefault="001966B3" w:rsidP="001966B3">
      <w:pPr>
        <w:pStyle w:val="Prrafodelista"/>
      </w:pPr>
    </w:p>
    <w:p w14:paraId="713DB426" w14:textId="77777777" w:rsidR="001966B3" w:rsidRDefault="00263E2C" w:rsidP="001966B3">
      <w:pPr>
        <w:pStyle w:val="Prrafodelista"/>
        <w:jc w:val="both"/>
      </w:pPr>
      <w:r>
        <w:t>Desde un punto de vista psicológico, la crianza compartida va más allá de un mero reparto de los tiempos de estancia de los menores. Un ejercicio corresponsable tiene que ver con una actitud de colaboración, una lectura compartida de los progenitores de las necesidades psicológica y emocionales que requieren los hijos en común y sobre la mejor manera de darles una cobertura de tal manera que los menores puedan verse vinculados con ambos cuidadores.</w:t>
      </w:r>
    </w:p>
    <w:p w14:paraId="765B8D5B" w14:textId="77777777" w:rsidR="001966B3" w:rsidRDefault="001966B3" w:rsidP="001966B3">
      <w:pPr>
        <w:pStyle w:val="Prrafodelista"/>
        <w:jc w:val="both"/>
      </w:pPr>
    </w:p>
    <w:p w14:paraId="6994630D" w14:textId="77777777" w:rsidR="001966B3" w:rsidRDefault="00263E2C" w:rsidP="001966B3">
      <w:pPr>
        <w:pStyle w:val="Prrafodelista"/>
        <w:jc w:val="both"/>
      </w:pPr>
      <w:r>
        <w:t>Requiere que los padres separados muestren una predisposición para la negociación respetuosa que permita una aproximación a los hijos exenta de conflictos sobreañadidos. Como todas las relaciones, precisa de una definición, negociación y acuerdos constantes que se adapten a las necesidades que los menores vayan requiriendo en el transcurso de su desarrollo. Requiere además que, para evitar daños a los niños, el conflicto esté contenido y que los progenitores reconozcan al otro como una figura importante para los menores y lo reconozcan como alguien competente para los cuidados.</w:t>
      </w:r>
    </w:p>
    <w:p w14:paraId="74B056F6" w14:textId="77777777" w:rsidR="001966B3" w:rsidRDefault="001966B3" w:rsidP="001966B3">
      <w:pPr>
        <w:pStyle w:val="Prrafodelista"/>
        <w:jc w:val="both"/>
      </w:pPr>
    </w:p>
    <w:p w14:paraId="24E33BBD" w14:textId="77777777" w:rsidR="00286F6A" w:rsidRDefault="00263E2C" w:rsidP="001966B3">
      <w:pPr>
        <w:pStyle w:val="Prrafodelista"/>
        <w:jc w:val="both"/>
      </w:pPr>
      <w:r>
        <w:t xml:space="preserve">El legislador ha introducido normativamente el concepto de coparentalidad positiva y además, en su art. 28 (LOPIVI), obliga a las administraciones públicas a prestar especial atención a la protección del interés superior de los niños, niñas y adolescentes en los casos de ruptura familiar, adoptando, en el ámbito de sus competencias, medidas especialmente dirigidas a las familias en esta situación con hijos y/o hijas menores de edad, a fin de garantizar que la ruptura de los progenitores no implique consecuencias perjudiciales para el bienestar y el pleno desarrollo de los mismos. </w:t>
      </w:r>
    </w:p>
    <w:p w14:paraId="15CDBE59" w14:textId="77777777" w:rsidR="00BC1F9F" w:rsidRDefault="00BC1F9F" w:rsidP="001966B3">
      <w:pPr>
        <w:pStyle w:val="Prrafodelista"/>
        <w:jc w:val="both"/>
      </w:pPr>
    </w:p>
    <w:p w14:paraId="51EBE250" w14:textId="7C5D0F28" w:rsidR="00286F6A" w:rsidRDefault="00286F6A" w:rsidP="00286F6A">
      <w:pPr>
        <w:pStyle w:val="Prrafodelista"/>
        <w:jc w:val="both"/>
      </w:pPr>
      <w:r>
        <w:lastRenderedPageBreak/>
        <w:t>Este precepto en la legislación española enroca con</w:t>
      </w:r>
      <w:r>
        <w:t xml:space="preserve"> </w:t>
      </w:r>
      <w:r>
        <w:t>la obligación establecida en el párrafo primero del Art. 19 de la</w:t>
      </w:r>
      <w:r>
        <w:t xml:space="preserve"> </w:t>
      </w:r>
      <w:r>
        <w:t>CDN para que los estados parte, adopten todas las medidas</w:t>
      </w:r>
      <w:r>
        <w:t xml:space="preserve"> </w:t>
      </w:r>
      <w:r>
        <w:t>legislativas, administrativas, sociales y</w:t>
      </w:r>
      <w:r>
        <w:t xml:space="preserve"> </w:t>
      </w:r>
      <w:r>
        <w:t>educativas apropiadas para</w:t>
      </w:r>
      <w:r>
        <w:t xml:space="preserve"> </w:t>
      </w:r>
      <w:r>
        <w:t>proteger al niño.</w:t>
      </w:r>
    </w:p>
    <w:p w14:paraId="1565B9C8" w14:textId="77777777" w:rsidR="00BC1F9F" w:rsidRDefault="00BC1F9F" w:rsidP="00286F6A">
      <w:pPr>
        <w:pStyle w:val="Prrafodelista"/>
        <w:jc w:val="both"/>
      </w:pPr>
    </w:p>
    <w:p w14:paraId="23851D9E" w14:textId="3C779069" w:rsidR="001966B3" w:rsidRDefault="00263E2C" w:rsidP="001966B3">
      <w:pPr>
        <w:pStyle w:val="Prrafodelista"/>
        <w:jc w:val="both"/>
      </w:pPr>
      <w:r>
        <w:t xml:space="preserve">Ahora bien, para lograr este objetivo y en aras al interés superior del menor, se acusa una falta de protocolo de actuación para adoptar las medidas necesarias a través de la oportuna intervención judicial, a fin de obligar a los progenitores a someterse a la necesaria terapia psicológica, modificar régimen de visitas, etc. </w:t>
      </w:r>
    </w:p>
    <w:p w14:paraId="2E241EEC" w14:textId="77777777" w:rsidR="001966B3" w:rsidRDefault="001966B3" w:rsidP="001966B3">
      <w:pPr>
        <w:pStyle w:val="Prrafodelista"/>
        <w:jc w:val="both"/>
      </w:pPr>
    </w:p>
    <w:p w14:paraId="5F66E689" w14:textId="44CE01B4" w:rsidR="00263E2C" w:rsidRDefault="00263E2C" w:rsidP="001966B3">
      <w:pPr>
        <w:pStyle w:val="Prrafodelista"/>
        <w:jc w:val="both"/>
      </w:pPr>
      <w:r>
        <w:t>En definitiva, España ha legislado y contamos con una norma integral que ha avanzado en la protección jurídica al menor frente a la violencia pero no será eficaz y conseguirá los objetivos que persigue el espíritu de la ley si no contamos con protocolos de actuación claros para los profesionales de los Servicios Sociales  y criterios uniformes y prestablecidos por parte del Ministerio Fiscal que tiene encomendada  la función de promover la acción de la Justicia y la defensa de la legalidad, así como de los derechos de los menores, velando por el interés de éstos.</w:t>
      </w:r>
    </w:p>
    <w:p w14:paraId="245FF99B" w14:textId="77777777" w:rsidR="001966B3" w:rsidRDefault="001966B3" w:rsidP="001966B3">
      <w:pPr>
        <w:jc w:val="both"/>
        <w:rPr>
          <w:b/>
          <w:bCs/>
          <w:color w:val="006683" w:themeColor="accent1"/>
          <w:sz w:val="28"/>
          <w:szCs w:val="28"/>
        </w:rPr>
      </w:pPr>
    </w:p>
    <w:p w14:paraId="22A0B3DC" w14:textId="561837CA" w:rsidR="001966B3" w:rsidRPr="001966B3" w:rsidRDefault="001966B3" w:rsidP="001966B3">
      <w:pPr>
        <w:jc w:val="both"/>
        <w:rPr>
          <w:b/>
          <w:bCs/>
          <w:color w:val="006683" w:themeColor="accent1"/>
          <w:sz w:val="28"/>
          <w:szCs w:val="28"/>
        </w:rPr>
      </w:pPr>
      <w:r>
        <w:rPr>
          <w:b/>
          <w:bCs/>
          <w:color w:val="006683" w:themeColor="accent1"/>
          <w:sz w:val="28"/>
          <w:szCs w:val="28"/>
        </w:rPr>
        <w:t>OPINIÓN DEL NIÑO</w:t>
      </w:r>
    </w:p>
    <w:p w14:paraId="656DF7E4" w14:textId="77777777" w:rsidR="00263E2C" w:rsidRDefault="00263E2C" w:rsidP="00652C78">
      <w:pPr>
        <w:jc w:val="both"/>
      </w:pPr>
      <w:r>
        <w:t xml:space="preserve">Desde el CDN se solicita al Estado (Párrafo 15ª) que informe acerca de la eliminación de toda normativa interna los criterios de edad en lo referente a ser escuchados/as. </w:t>
      </w:r>
    </w:p>
    <w:p w14:paraId="46CBDEFD" w14:textId="77777777" w:rsidR="00263E2C" w:rsidRDefault="00263E2C" w:rsidP="00652C78">
      <w:pPr>
        <w:jc w:val="both"/>
      </w:pPr>
      <w:r>
        <w:t>Del informe del Estado solo se desprende un supuesto cumplimiento, basado en la madurez del NNA, sin embargo, la normativa actual mantiene la franja de edad de los 12 años:</w:t>
      </w:r>
    </w:p>
    <w:p w14:paraId="16365EBD" w14:textId="77777777" w:rsidR="00263E2C" w:rsidRDefault="00263E2C" w:rsidP="00652C78">
      <w:pPr>
        <w:jc w:val="both"/>
      </w:pPr>
      <w:r>
        <w:t>En los procesos de familia, artículos 156 y 159 del CC; artículos 770 y 777 de la LEC. En los procesos de adopción: artículos 117 y 178 CC, 781 de la LEC; y en los procedimientos de protección (tutela administrativa en asunción de las funciones tutelares de los NNA): artículos 161, 172, 173, 176bis y 223 del CC.</w:t>
      </w:r>
    </w:p>
    <w:p w14:paraId="3EDD2F6F" w14:textId="77777777" w:rsidR="00263E2C" w:rsidRDefault="00263E2C" w:rsidP="00652C78">
      <w:pPr>
        <w:jc w:val="both"/>
      </w:pPr>
      <w:r>
        <w:t>Y resulta curioso, pues los NNA sujetos a tutela administrativa, son parte legitimada para interponer acciones legales en oposición a la medida administrativa, como regula el artículo 780 LEC y 200 CC…</w:t>
      </w:r>
    </w:p>
    <w:p w14:paraId="467186B2" w14:textId="77777777" w:rsidR="00263E2C" w:rsidRPr="00BC1F9F" w:rsidRDefault="00263E2C" w:rsidP="00652C78">
      <w:pPr>
        <w:jc w:val="both"/>
        <w:rPr>
          <w:b/>
          <w:bCs/>
        </w:rPr>
      </w:pPr>
      <w:r w:rsidRPr="00BC1F9F">
        <w:rPr>
          <w:b/>
          <w:bCs/>
        </w:rPr>
        <w:t>El único procedimiento en el que no existe una franja de edad (recomendada), sino que se estará a la madurez del NNA es en el procedimiento relativo a sustracción o retención internacional (CH 1980), del 778 LEC.</w:t>
      </w:r>
    </w:p>
    <w:p w14:paraId="0C493E8C" w14:textId="77777777" w:rsidR="00263E2C" w:rsidRDefault="00263E2C" w:rsidP="00652C78">
      <w:pPr>
        <w:jc w:val="both"/>
      </w:pPr>
      <w:r w:rsidRPr="00BC1F9F">
        <w:rPr>
          <w:b/>
          <w:bCs/>
          <w:color w:val="006683" w:themeColor="accent1"/>
        </w:rPr>
        <w:t xml:space="preserve">Existe una necesidad de regular el derecho de escucha al NNA </w:t>
      </w:r>
      <w:r>
        <w:t xml:space="preserve">en los procesos de familia, en los que, además de eliminarse la franja de edad (porque, lamentablemente, la práctica judicial es que solo se escucha a los NNA a partir de los 12 años, y excepcionalmente, a los menores de esa edad), se regulen los parámetros de esa escucha. </w:t>
      </w:r>
    </w:p>
    <w:p w14:paraId="71205E90" w14:textId="0B5FFF58" w:rsidR="001966B3" w:rsidRDefault="00BC1F9F" w:rsidP="00652C78">
      <w:pPr>
        <w:jc w:val="both"/>
      </w:pPr>
      <w:r>
        <w:t>Estos parámetros deberían fijarse de la siguiente manera, según coinciden todos los operadores jurídicos</w:t>
      </w:r>
      <w:r w:rsidR="00263E2C">
        <w:t>:</w:t>
      </w:r>
    </w:p>
    <w:p w14:paraId="712C7081" w14:textId="6309C750" w:rsidR="00263E2C" w:rsidRDefault="001966B3" w:rsidP="001966B3">
      <w:pPr>
        <w:pStyle w:val="Prrafodelista"/>
        <w:numPr>
          <w:ilvl w:val="0"/>
          <w:numId w:val="24"/>
        </w:numPr>
        <w:jc w:val="both"/>
      </w:pPr>
      <w:r w:rsidRPr="00BC1F9F">
        <w:rPr>
          <w:b/>
          <w:bCs/>
        </w:rPr>
        <w:t xml:space="preserve">Que </w:t>
      </w:r>
      <w:r w:rsidR="00BC1F9F" w:rsidRPr="00BC1F9F">
        <w:rPr>
          <w:b/>
          <w:bCs/>
        </w:rPr>
        <w:t>la</w:t>
      </w:r>
      <w:r w:rsidR="00263E2C" w:rsidRPr="00BC1F9F">
        <w:rPr>
          <w:b/>
          <w:bCs/>
        </w:rPr>
        <w:t xml:space="preserve"> escucha no se produzca en el mismo día y hora que la audiencia del divorcio o de medidas</w:t>
      </w:r>
      <w:r w:rsidR="00263E2C">
        <w:t xml:space="preserve">. En la práctica, los NNA son llamados a exploración judicial el mismo día y hora de la audiencia, lo cual provoca en la infancia y adolescencia un estrés innecesario además de incrementarse el riesgo de conflicto de lealtades. </w:t>
      </w:r>
    </w:p>
    <w:p w14:paraId="50E5055D" w14:textId="08B77FCB" w:rsidR="00263E2C" w:rsidRDefault="00263E2C" w:rsidP="001966B3">
      <w:pPr>
        <w:pStyle w:val="Prrafodelista"/>
        <w:numPr>
          <w:ilvl w:val="0"/>
          <w:numId w:val="24"/>
        </w:numPr>
        <w:jc w:val="both"/>
      </w:pPr>
      <w:r w:rsidRPr="00BC1F9F">
        <w:rPr>
          <w:b/>
          <w:bCs/>
        </w:rPr>
        <w:t>Que la escucha garantice que la opinión está siendo libremente emitida</w:t>
      </w:r>
      <w:r>
        <w:t xml:space="preserve"> y su voluntad correctamente formada, no mediatizada o interferida por la conducta o influencia de alguno de los padres; </w:t>
      </w:r>
    </w:p>
    <w:p w14:paraId="7D0BAE67" w14:textId="02AE3BC8" w:rsidR="00263E2C" w:rsidRDefault="00263E2C" w:rsidP="001966B3">
      <w:pPr>
        <w:pStyle w:val="Prrafodelista"/>
        <w:numPr>
          <w:ilvl w:val="0"/>
          <w:numId w:val="24"/>
        </w:numPr>
        <w:jc w:val="both"/>
      </w:pPr>
      <w:r w:rsidRPr="00BC1F9F">
        <w:rPr>
          <w:b/>
          <w:bCs/>
        </w:rPr>
        <w:t>La opinión del niño será atendible</w:t>
      </w:r>
      <w:r>
        <w:t>, siempre que sus razones no estén inspiradas en criterios de comodidad a corto plazo.</w:t>
      </w:r>
    </w:p>
    <w:p w14:paraId="442E9BA8" w14:textId="71382180" w:rsidR="00263E2C" w:rsidRDefault="00263E2C" w:rsidP="001966B3">
      <w:pPr>
        <w:pStyle w:val="Prrafodelista"/>
        <w:numPr>
          <w:ilvl w:val="0"/>
          <w:numId w:val="24"/>
        </w:numPr>
        <w:jc w:val="both"/>
      </w:pPr>
      <w:r>
        <w:t xml:space="preserve">La Sentencia debe incluir un apartado dedicado al NNA </w:t>
      </w:r>
      <w:r w:rsidRPr="00BC1F9F">
        <w:rPr>
          <w:b/>
          <w:bCs/>
        </w:rPr>
        <w:t>en lenguaje adaptado a su madurez</w:t>
      </w:r>
      <w:r>
        <w:t xml:space="preserve"> para entender la decisión judicial. (Tomar como ejemplo Sentencia JPI 19 Barcelona (15/04/2024) RES:172/2024 REC:315/2022 </w:t>
      </w:r>
      <w:proofErr w:type="spellStart"/>
      <w:r>
        <w:t>Ecli</w:t>
      </w:r>
      <w:proofErr w:type="spellEnd"/>
      <w:r>
        <w:t xml:space="preserve">: </w:t>
      </w:r>
      <w:proofErr w:type="gramStart"/>
      <w:r>
        <w:t>ES:JPI</w:t>
      </w:r>
      <w:proofErr w:type="gramEnd"/>
      <w:r>
        <w:t>:2024:31).</w:t>
      </w:r>
    </w:p>
    <w:p w14:paraId="4B1647A2" w14:textId="77777777" w:rsidR="00263E2C" w:rsidRDefault="00263E2C" w:rsidP="00652C78">
      <w:pPr>
        <w:jc w:val="both"/>
      </w:pPr>
    </w:p>
    <w:p w14:paraId="4C8CE577" w14:textId="5E7AF2A0" w:rsidR="001966B3" w:rsidRPr="001966B3" w:rsidRDefault="001966B3" w:rsidP="001966B3">
      <w:pPr>
        <w:jc w:val="both"/>
        <w:rPr>
          <w:b/>
          <w:bCs/>
          <w:color w:val="006683" w:themeColor="accent1"/>
          <w:sz w:val="28"/>
          <w:szCs w:val="28"/>
        </w:rPr>
      </w:pPr>
      <w:r>
        <w:rPr>
          <w:b/>
          <w:bCs/>
          <w:color w:val="006683" w:themeColor="accent1"/>
          <w:sz w:val="28"/>
          <w:szCs w:val="28"/>
        </w:rPr>
        <w:t>ACCCESO A LA JUSTICIA. PRINCIPIO GENERAL DE NO DISCRIMINACIÓN</w:t>
      </w:r>
    </w:p>
    <w:p w14:paraId="5BE204BC" w14:textId="77777777" w:rsidR="00263E2C" w:rsidRDefault="00263E2C" w:rsidP="00652C78">
      <w:pPr>
        <w:jc w:val="both"/>
      </w:pPr>
      <w:r>
        <w:t>El artículo 24 de la Constitución Española establece:</w:t>
      </w:r>
    </w:p>
    <w:p w14:paraId="08DC9A6F" w14:textId="77777777" w:rsidR="00263E2C" w:rsidRDefault="00263E2C" w:rsidP="00652C78">
      <w:pPr>
        <w:jc w:val="both"/>
      </w:pPr>
      <w:r>
        <w:t>1. Todas las personas tienen derecho a obtener la tutela efectiva de los jueces y tribunales en el ejercicio de sus derechos e intereses legítimos, sin que, en ningún caso, pueda producirse indefensión.</w:t>
      </w:r>
    </w:p>
    <w:p w14:paraId="121D4AA6" w14:textId="77777777" w:rsidR="00263E2C" w:rsidRDefault="00263E2C" w:rsidP="00652C78">
      <w:pPr>
        <w:jc w:val="both"/>
      </w:pPr>
      <w:r>
        <w:t>2. Asimismo, todos tienen derecho al Juez ordinario predeterminado por la ley, a la defensa y a la asistencia de letrado, a ser informados de la acusación formulada contra ellos, a un proceso público sin dilaciones indebidas y con todas las garantías, a utilizar los medios de prueba pertinentes para su defensa, a no declarar contra sí mismos, a no confesarse culpables y a la presunción de inocencia.</w:t>
      </w:r>
    </w:p>
    <w:p w14:paraId="08C5903C" w14:textId="77777777" w:rsidR="00263E2C" w:rsidRDefault="00263E2C" w:rsidP="00652C78">
      <w:pPr>
        <w:jc w:val="both"/>
      </w:pPr>
      <w:r>
        <w:t>La ley regulará los casos en que, por razón de parentesco o de secreto profesional, no se estará obligado a declarar sobre hechos presuntamente delictivos.</w:t>
      </w:r>
    </w:p>
    <w:p w14:paraId="1E3AFDAE" w14:textId="77777777" w:rsidR="00263E2C" w:rsidRDefault="00263E2C" w:rsidP="00652C78">
      <w:pPr>
        <w:jc w:val="both"/>
        <w:rPr>
          <w:b/>
          <w:bCs/>
        </w:rPr>
      </w:pPr>
      <w:r w:rsidRPr="001966B3">
        <w:rPr>
          <w:b/>
          <w:bCs/>
        </w:rPr>
        <w:t>En España se está vulnerando el principio general de no discriminación, en lo relativo al acceso a la justicia: tutela judicial efectiva y derecho a defensa letrada; aplicada a las personas menores de edad en la adopción de medidas que afectan a su esfera personal como son la separación de su familia por medida administrativa (asunción de funciones tutelares) y aquellos NNA cuyos progenitores disputan las medidas paternofiliales en procesos judiciales (patria potestad, guarda y custodia, divorcio y/o separación).</w:t>
      </w:r>
    </w:p>
    <w:p w14:paraId="5DC9ED63" w14:textId="77777777" w:rsidR="0083598B" w:rsidRPr="001966B3" w:rsidRDefault="0083598B" w:rsidP="00652C78">
      <w:pPr>
        <w:jc w:val="both"/>
        <w:rPr>
          <w:b/>
          <w:bCs/>
        </w:rPr>
      </w:pPr>
    </w:p>
    <w:p w14:paraId="634D8A2B" w14:textId="5E3CA23D" w:rsidR="001966B3" w:rsidRPr="001966B3" w:rsidRDefault="0083598B" w:rsidP="001966B3">
      <w:pPr>
        <w:jc w:val="both"/>
        <w:rPr>
          <w:b/>
          <w:bCs/>
          <w:color w:val="006683" w:themeColor="accent1"/>
          <w:sz w:val="28"/>
          <w:szCs w:val="28"/>
        </w:rPr>
      </w:pPr>
      <w:r>
        <w:rPr>
          <w:b/>
          <w:bCs/>
          <w:color w:val="006683" w:themeColor="accent1"/>
          <w:sz w:val="28"/>
          <w:szCs w:val="28"/>
        </w:rPr>
        <w:t xml:space="preserve">NIÑOS NIÑAS Y ADOLESCENTES PRIVADOS DE UN ENTORNO FAMILIAR. </w:t>
      </w:r>
      <w:r w:rsidR="00BC1F9F" w:rsidRPr="00BC1F9F">
        <w:rPr>
          <w:b/>
          <w:bCs/>
          <w:color w:val="1BCCFF" w:themeColor="accent1" w:themeTint="99"/>
          <w:sz w:val="28"/>
          <w:szCs w:val="28"/>
        </w:rPr>
        <w:t xml:space="preserve">PRIVADOS DE </w:t>
      </w:r>
      <w:r w:rsidRPr="00BC1F9F">
        <w:rPr>
          <w:b/>
          <w:bCs/>
          <w:color w:val="1BCCFF" w:themeColor="accent1" w:themeTint="99"/>
          <w:sz w:val="28"/>
          <w:szCs w:val="28"/>
        </w:rPr>
        <w:t>DEFENSA LETRADA.</w:t>
      </w:r>
    </w:p>
    <w:p w14:paraId="3CB5E83C" w14:textId="77777777" w:rsidR="00263E2C" w:rsidRDefault="00263E2C" w:rsidP="00652C78">
      <w:pPr>
        <w:jc w:val="both"/>
      </w:pPr>
      <w:r>
        <w:t xml:space="preserve">Como se ha indicado anteriormente, los NNA declarados en desamparo, cuentan con legitimación activa para oponerse judicialmente a la medida administrativa. </w:t>
      </w:r>
    </w:p>
    <w:p w14:paraId="299B2123" w14:textId="77777777" w:rsidR="00263E2C" w:rsidRDefault="00263E2C" w:rsidP="00652C78">
      <w:pPr>
        <w:jc w:val="both"/>
      </w:pPr>
      <w:r>
        <w:t>Según el artículo 21 bis de la LO 1/1996, de 15 de enero, de Protección Jurídica del Menor (LOPJM), todos los niños, niñas y adolescentes declarados en desamparo tienen derecho a asistencia jurídica gratuita. Sin embargo, la Ley 1/1996 de 10 de enero, de Justicia gratuita no incluye a este colectivo en los beneficiarios de la asistencia letrada gratuita.</w:t>
      </w:r>
    </w:p>
    <w:p w14:paraId="3F52FF4D" w14:textId="5991B851" w:rsidR="00263E2C" w:rsidRPr="00BC1F9F" w:rsidRDefault="00263E2C" w:rsidP="00652C78">
      <w:pPr>
        <w:jc w:val="both"/>
        <w:rPr>
          <w:b/>
          <w:bCs/>
        </w:rPr>
      </w:pPr>
      <w:r w:rsidRPr="00BC1F9F">
        <w:rPr>
          <w:b/>
          <w:bCs/>
        </w:rPr>
        <w:t xml:space="preserve">El resultado es que los </w:t>
      </w:r>
      <w:r w:rsidR="00BC1F9F" w:rsidRPr="00BC1F9F">
        <w:rPr>
          <w:b/>
          <w:bCs/>
        </w:rPr>
        <w:t>n</w:t>
      </w:r>
      <w:r w:rsidRPr="00BC1F9F">
        <w:rPr>
          <w:b/>
          <w:bCs/>
        </w:rPr>
        <w:t>iños, niñas y adolescentes que no están conformes con la medida administrativa y cuya medida afecta a su esfera personal, y son los protagonistas que mejor pueden exponer y plantear las cuestiones relativas a la medida, no están siendo atendidos por defensa letrada.</w:t>
      </w:r>
    </w:p>
    <w:p w14:paraId="6E1900AA" w14:textId="77777777" w:rsidR="00263E2C" w:rsidRPr="00BC1F9F" w:rsidRDefault="00263E2C" w:rsidP="00652C78">
      <w:pPr>
        <w:jc w:val="both"/>
        <w:rPr>
          <w:b/>
          <w:bCs/>
        </w:rPr>
      </w:pPr>
      <w:r>
        <w:t xml:space="preserve">Actualmente los NNA que cuentan con defensa letrada atribuida de oficio (justicia gratuita) son aquellos que tienen conflicto con la Ley o las víctimas de delitos. </w:t>
      </w:r>
      <w:r w:rsidRPr="00BC1F9F">
        <w:rPr>
          <w:b/>
          <w:bCs/>
        </w:rPr>
        <w:t>Además de ser una incongruencia, la normativa actual discrimina a los niños que además son parte legitimada para interponer acciones legales (780 LEC y 200 CC).</w:t>
      </w:r>
    </w:p>
    <w:p w14:paraId="5CB17BF3" w14:textId="77777777" w:rsidR="001966B3" w:rsidRDefault="001966B3" w:rsidP="00652C78">
      <w:pPr>
        <w:jc w:val="both"/>
      </w:pPr>
    </w:p>
    <w:p w14:paraId="1FED0088" w14:textId="2BE40AFF" w:rsidR="001966B3" w:rsidRPr="001966B3" w:rsidRDefault="001966B3" w:rsidP="001966B3">
      <w:pPr>
        <w:jc w:val="both"/>
        <w:rPr>
          <w:b/>
          <w:bCs/>
          <w:color w:val="006683" w:themeColor="accent1"/>
          <w:sz w:val="28"/>
          <w:szCs w:val="28"/>
        </w:rPr>
      </w:pPr>
      <w:r>
        <w:rPr>
          <w:b/>
          <w:bCs/>
          <w:color w:val="006683" w:themeColor="accent1"/>
          <w:sz w:val="28"/>
          <w:szCs w:val="28"/>
        </w:rPr>
        <w:t>TUTELA JUDICIAL EFECTIVA</w:t>
      </w:r>
    </w:p>
    <w:p w14:paraId="14248B28" w14:textId="104C5DA7" w:rsidR="00263E2C" w:rsidRDefault="00263E2C" w:rsidP="00652C78">
      <w:pPr>
        <w:jc w:val="both"/>
      </w:pPr>
      <w:r>
        <w:t>En las Observación 28 b) del informe 5º y 6º de 2018 se recomendaba al Estado Español que fuera el juez quien adoptara la medida que supusiera la separación del niño de su familia, tras evaluar el interés superior del niño en cada caso particular y a fondo.</w:t>
      </w:r>
    </w:p>
    <w:p w14:paraId="58FB2D09" w14:textId="77777777" w:rsidR="00263E2C" w:rsidRDefault="00263E2C" w:rsidP="00652C78">
      <w:pPr>
        <w:jc w:val="both"/>
      </w:pPr>
      <w:r>
        <w:t xml:space="preserve">A la vista del sistema de protección, delegado en 1981 a la competencia exclusiva administrativa, el Estado no ha atendido esta recomendación, a pesar de haber tenido la oportunidad de una reforma legislativa a propósito de la </w:t>
      </w:r>
      <w:r>
        <w:lastRenderedPageBreak/>
        <w:t>promulgación legislativa integral de protección de la infancia y la adolescencia frente a la violencia (Ley Orgánica 8/2021, de 4 de junio).</w:t>
      </w:r>
    </w:p>
    <w:p w14:paraId="36FB9241" w14:textId="77777777" w:rsidR="00263E2C" w:rsidRDefault="00263E2C" w:rsidP="00652C78">
      <w:pPr>
        <w:jc w:val="both"/>
      </w:pPr>
      <w:r>
        <w:t>El CDN muestra auténtica preocupación por el nivel de NNA atendidos por el sistema de protección.</w:t>
      </w:r>
    </w:p>
    <w:p w14:paraId="6C26953D" w14:textId="77777777" w:rsidR="00263E2C" w:rsidRDefault="00263E2C" w:rsidP="00652C78">
      <w:pPr>
        <w:jc w:val="both"/>
      </w:pPr>
      <w:r>
        <w:t xml:space="preserve">Según el Boletín </w:t>
      </w:r>
      <w:proofErr w:type="spellStart"/>
      <w:r>
        <w:t>nº</w:t>
      </w:r>
      <w:proofErr w:type="spellEnd"/>
      <w:r>
        <w:t xml:space="preserve"> 25 publicado por el Ministerio de Derechos sociales y agenda 2030; en 2022, fueron 51.203 los NNA atendidos por el sistema de protección, de los cuales, 30.657 eran tutelas “ex lege”, de los cuales, a su vez, 17.061 eran acogimientos residenciales (siendo el 19% centros de titularidad pública).</w:t>
      </w:r>
    </w:p>
    <w:p w14:paraId="1F3825E5" w14:textId="77777777" w:rsidR="00263E2C" w:rsidRDefault="00263E2C" w:rsidP="00652C78">
      <w:pPr>
        <w:jc w:val="both"/>
      </w:pPr>
      <w:r>
        <w:t>Según el citado Boletín, de los NNA tutelados en acogimiento residencial, 557 eran menores de 3 años. Una cifra relevante en sentido negativo, teniendo en cuenta la obligación de que no haya ningún NNA menor de 3 años en centros residenciales. Mayores de 4 y menores de 6, 529; entre 7 y 10 años son 1.799; entre 11 y 14 4.243 y entre 15 y 17 la cifra es desorbitada: 9.933.</w:t>
      </w:r>
    </w:p>
    <w:p w14:paraId="481288D9" w14:textId="77777777" w:rsidR="00263E2C" w:rsidRDefault="00263E2C" w:rsidP="00652C78">
      <w:pPr>
        <w:jc w:val="both"/>
      </w:pPr>
      <w:r>
        <w:t>Con estas cifras, y el trabajo (ausente por los resultados arrojados) que realiza la Administración (sin control) relativo al retorno del NNA a su familia de origen (en la medida que sea posible), el retorno es inviable.</w:t>
      </w:r>
    </w:p>
    <w:p w14:paraId="0A18D1B0" w14:textId="77777777" w:rsidR="00263E2C" w:rsidRDefault="00263E2C" w:rsidP="00652C78">
      <w:pPr>
        <w:jc w:val="both"/>
      </w:pPr>
      <w:r>
        <w:t>Las exigencias de la Administración a la familia, en cooperación con las medidas aplicadas, basadas en argumentos totalmente arbitrarios, y con origen en la misma persona que ha recomendado la separación del NNA de su familia, hacen que el equipo que tiene que trabajar en el retorno esté intoxicado, y que la familia pierda la confianza en los técnicos.</w:t>
      </w:r>
    </w:p>
    <w:p w14:paraId="75311324" w14:textId="77777777" w:rsidR="00263E2C" w:rsidRDefault="00263E2C" w:rsidP="00652C78">
      <w:pPr>
        <w:jc w:val="both"/>
      </w:pPr>
      <w:r>
        <w:t>Según los datos del Consejo General del Poder Judicial, en 2022, de las más de 10.000 nuevas tutelas administrativas decretadas, se opusieron menos de 1.800.</w:t>
      </w:r>
    </w:p>
    <w:p w14:paraId="76B853D8" w14:textId="572F4FEF" w:rsidR="00263E2C" w:rsidRDefault="00263E2C" w:rsidP="00652C78">
      <w:pPr>
        <w:jc w:val="both"/>
      </w:pPr>
      <w:r>
        <w:t xml:space="preserve">La ausencia de justicia gratuita para las familias en la fase previa a la declaración de </w:t>
      </w:r>
      <w:r w:rsidR="00BC1F9F">
        <w:t>desamparo</w:t>
      </w:r>
      <w:r>
        <w:t xml:space="preserve"> sería más que útil en prevención. Esta prevención desplegaría sus efectos a la hora de velar por que la Administración no se excede en sus límites (debido a una legislación ambigua en lo que respecta a la delimitación de los factores de riesgo y desprotección), pero a la vez conoce sus deberes de responsabilidad parental y las consecuencias (explicadas por su propia defensa letrada) de no cumplir con ellas.</w:t>
      </w:r>
    </w:p>
    <w:p w14:paraId="18758AC5" w14:textId="77777777" w:rsidR="00263E2C" w:rsidRDefault="00263E2C" w:rsidP="00652C78">
      <w:pPr>
        <w:jc w:val="both"/>
      </w:pPr>
      <w:r>
        <w:t>Depositar la responsabilidad al juez de la toma de decisión de la separación de un NNA de su familia es una garantía de derecho. Un derecho fundamental a obtener una tutela judicial efectiva.</w:t>
      </w:r>
    </w:p>
    <w:p w14:paraId="7059606F" w14:textId="77777777" w:rsidR="00263E2C" w:rsidRDefault="00263E2C" w:rsidP="00652C78">
      <w:pPr>
        <w:jc w:val="both"/>
      </w:pPr>
      <w:r>
        <w:t>Por último, resulta necesario modificar la LEC en su artículo 525 LEC que establece que las resoluciones judiciales en materia de oposición a la medida administrativa (780LEC) no son ejecutables provisionalmente. Esto es incoherente además de desajustado, cuando la resolución administrativa sí que es ejecutiva y aplicable desde el momento en el que es dictada (sin revisión judicial previa).</w:t>
      </w:r>
    </w:p>
    <w:p w14:paraId="5594255B" w14:textId="77777777" w:rsidR="001966B3" w:rsidRDefault="001966B3" w:rsidP="00652C78">
      <w:pPr>
        <w:jc w:val="both"/>
      </w:pPr>
    </w:p>
    <w:p w14:paraId="037D6A46" w14:textId="54DC09E3" w:rsidR="001966B3" w:rsidRPr="001966B3" w:rsidRDefault="001966B3" w:rsidP="001966B3">
      <w:pPr>
        <w:jc w:val="both"/>
        <w:rPr>
          <w:b/>
          <w:bCs/>
          <w:color w:val="006683" w:themeColor="accent1"/>
          <w:sz w:val="28"/>
          <w:szCs w:val="28"/>
        </w:rPr>
      </w:pPr>
      <w:r>
        <w:rPr>
          <w:b/>
          <w:bCs/>
          <w:color w:val="006683" w:themeColor="accent1"/>
          <w:sz w:val="28"/>
          <w:szCs w:val="28"/>
        </w:rPr>
        <w:t>INTERÉS SUPERIOR DEL NIÑO</w:t>
      </w:r>
    </w:p>
    <w:p w14:paraId="2C36EFA4" w14:textId="2F6A08E0" w:rsidR="00263E2C" w:rsidRDefault="00263E2C" w:rsidP="00652C78">
      <w:pPr>
        <w:jc w:val="both"/>
      </w:pPr>
      <w:r>
        <w:t xml:space="preserve">Para el CDN la toma en consideración del interés superior del Niño es un elemento esencial en los procedimientos administrativos y judiciales. Para garantizar que se ha respetado el derecho del niño a que su interés superior se evalúe y constituya una consideración primordial, cualquier decisión […] debe estar motivada, justificada y explicada. En la motivación se debe señalar explícitamente todas las circunstancias de hecho referentes al niño, los elementos que se han considerado pertinentes para la evaluación de su interés superior, el contenido de los elementos en ese caso en concreto y la manera en que se han ponderado para determinar el interés superior del niño. Si la decisión difiere de la opinión del niño, se deberá exponer con claridad la razón por la que se ha tomado y en base a qué se ha considerado que el interés superior del mismo no coincide con su opinión o con el deseo manifestado, </w:t>
      </w:r>
    </w:p>
    <w:p w14:paraId="5294296A" w14:textId="77777777" w:rsidR="00263E2C" w:rsidRDefault="00263E2C" w:rsidP="00652C78">
      <w:pPr>
        <w:jc w:val="both"/>
      </w:pPr>
      <w:r>
        <w:t xml:space="preserve">A la luz de la Convención no basta con el deber de motivación de las sentencias exigido en nuestra Constitución, ni con los principios de congruencia y exhaustividad en el contenido de las resoluciones judiciales, dicha motivación ha </w:t>
      </w:r>
      <w:r>
        <w:lastRenderedPageBreak/>
        <w:t>de ser mayor y más específica incluyendo el facilitar explicaciones al niño de manera adecuada. Es necesario garantizar que el menor tenga acceso directo a las resoluciones que le incumben, además de establecer los mecanismos para que dichas resoluciones o decisiones sean examinadas o revisadas, bien por sí mismo bien por medio de su representante jurídico.</w:t>
      </w:r>
    </w:p>
    <w:p w14:paraId="1905A240" w14:textId="77777777" w:rsidR="00263E2C" w:rsidRDefault="00263E2C" w:rsidP="00652C78">
      <w:pPr>
        <w:jc w:val="both"/>
      </w:pPr>
      <w:r>
        <w:t xml:space="preserve">En esa toma en consideración del interés superior del Niño, resulta esencial el derecho del menor a ser escuchado. Tanto el Tribunal Supremo como el Tribunal Constitucional han declarado de manera reiterada, (el Tribunal Constitucional en reciente sentencia 53/2024, de 8 de abril, y el Supremo en la de 27 de Mayo de 2024), el derecho del menor a ser oído y escuchado, el cual, forma parte del estatuto jurídico indisponible de los menores de edad, como norma de orden público, de inexcusable observancia para todos los poderes públicos [...], que forma parte del contenido de su derecho a la tutela judicial efectiva, y del derecho a la tutela judicial efectiva y a la defensa de las partes reconocido en el artículo 24 1 y 2 de la Constitución.  </w:t>
      </w:r>
    </w:p>
    <w:p w14:paraId="082E2375" w14:textId="7326017C" w:rsidR="00263E2C" w:rsidRDefault="00BC1F9F" w:rsidP="00652C78">
      <w:pPr>
        <w:jc w:val="both"/>
      </w:pPr>
      <w:r>
        <w:t>La</w:t>
      </w:r>
      <w:r w:rsidR="00263E2C">
        <w:t xml:space="preserve"> audiencia del menor tiene por objeto indagar sobre el interés de este, para su debida y mejor protección.  </w:t>
      </w:r>
      <w:r w:rsidR="00263E2C" w:rsidRPr="00BC1F9F">
        <w:rPr>
          <w:b/>
          <w:bCs/>
        </w:rPr>
        <w:t xml:space="preserve">Resulta necesario implementar una regulación de este derecho del menor en los procesos tanto judiciales, (entre ellos en los procesos de familia), como administrativos, de forma que se garantice de manera efectiva la audiencia del menor en todo caso sin estar sometido la franja de edad, regulando además los parámetros de esa escucha y cómo valorar el resultado de </w:t>
      </w:r>
      <w:r w:rsidRPr="00BC1F9F">
        <w:rPr>
          <w:b/>
          <w:bCs/>
        </w:rPr>
        <w:t>esta</w:t>
      </w:r>
      <w:r w:rsidR="00263E2C" w:rsidRPr="00BC1F9F">
        <w:rPr>
          <w:b/>
          <w:bCs/>
        </w:rPr>
        <w:t xml:space="preserve"> para que la decisión venga determinada efectivamente por el interés superior del menor. </w:t>
      </w:r>
    </w:p>
    <w:p w14:paraId="6D12E770" w14:textId="77777777" w:rsidR="00263E2C" w:rsidRDefault="00263E2C" w:rsidP="00652C78">
      <w:pPr>
        <w:jc w:val="both"/>
      </w:pPr>
      <w:r>
        <w:t>También resulta de difícil aplicación el principio del interés superior del menor, en materia de protección (declaración del desamparo), resulta cuando menos difícil la aplicación del criterio, cuando las situaciones de desamparo y riesgo (artículos 17 y 18 de la LOPJM) carecen de concreción.</w:t>
      </w:r>
    </w:p>
    <w:p w14:paraId="0945ACC6" w14:textId="77777777" w:rsidR="00263E2C" w:rsidRDefault="00263E2C" w:rsidP="00652C78">
      <w:pPr>
        <w:jc w:val="both"/>
      </w:pPr>
      <w:r>
        <w:t xml:space="preserve">Esta falta de concreción deriva en una actuación administrativa (pues no hay control judicial previo) basada en presunciones y datos </w:t>
      </w:r>
      <w:proofErr w:type="spellStart"/>
      <w:r>
        <w:t>probalísticos</w:t>
      </w:r>
      <w:proofErr w:type="spellEnd"/>
      <w:r>
        <w:t xml:space="preserve">, lejos de la objetividad que debería aplicarse. </w:t>
      </w:r>
    </w:p>
    <w:p w14:paraId="5101EFC9" w14:textId="77777777" w:rsidR="00263E2C" w:rsidRDefault="00263E2C" w:rsidP="00652C78">
      <w:pPr>
        <w:jc w:val="both"/>
      </w:pPr>
    </w:p>
    <w:p w14:paraId="34AE1BCB" w14:textId="4C80F389" w:rsidR="00263E2C" w:rsidRPr="0083598B" w:rsidRDefault="0083598B" w:rsidP="0083598B">
      <w:pPr>
        <w:jc w:val="both"/>
        <w:rPr>
          <w:b/>
          <w:bCs/>
        </w:rPr>
      </w:pPr>
      <w:r w:rsidRPr="0083598B">
        <w:rPr>
          <w:b/>
          <w:bCs/>
          <w:color w:val="006683" w:themeColor="accent1"/>
          <w:sz w:val="28"/>
          <w:szCs w:val="28"/>
        </w:rPr>
        <w:t xml:space="preserve">NIÑOS, NIÑAS Y ADOLESCENTES EN PROCESOS DE FAMILIA. </w:t>
      </w:r>
      <w:r w:rsidR="00BC1F9F">
        <w:rPr>
          <w:b/>
          <w:bCs/>
          <w:color w:val="006683" w:themeColor="accent1"/>
          <w:sz w:val="28"/>
          <w:szCs w:val="28"/>
        </w:rPr>
        <w:t xml:space="preserve"> IMPLEMENTAR UNA </w:t>
      </w:r>
      <w:r w:rsidRPr="0083598B">
        <w:rPr>
          <w:b/>
          <w:bCs/>
          <w:color w:val="006683" w:themeColor="accent1"/>
          <w:sz w:val="28"/>
          <w:szCs w:val="28"/>
        </w:rPr>
        <w:t>DEFENSA LETRA</w:t>
      </w:r>
      <w:r w:rsidRPr="0083598B">
        <w:rPr>
          <w:b/>
          <w:bCs/>
          <w:color w:val="006683" w:themeColor="accent1"/>
          <w:sz w:val="28"/>
          <w:szCs w:val="28"/>
        </w:rPr>
        <w:t>DA</w:t>
      </w:r>
      <w:r w:rsidR="00BC1F9F">
        <w:rPr>
          <w:b/>
          <w:bCs/>
          <w:color w:val="006683" w:themeColor="accent1"/>
          <w:sz w:val="28"/>
          <w:szCs w:val="28"/>
        </w:rPr>
        <w:t xml:space="preserve"> PARA ELLOS.</w:t>
      </w:r>
    </w:p>
    <w:p w14:paraId="166CFBC9" w14:textId="77777777" w:rsidR="00263E2C" w:rsidRDefault="00263E2C" w:rsidP="00652C78">
      <w:pPr>
        <w:jc w:val="both"/>
      </w:pPr>
      <w:r>
        <w:t xml:space="preserve">Las medidas adoptadas judicialmente en materia de familia afectan directamente a los NNA. La exploración del NNA por el Juez y el Ministerio Fiscal, y la intervención de éste, por presentar interés público estas medidas, no son garantías suficientes para aquellos casos en los que existe alta litigiosidad entre los progenitores. </w:t>
      </w:r>
    </w:p>
    <w:p w14:paraId="6E041AF8" w14:textId="08F84E7D" w:rsidR="00263E2C" w:rsidRDefault="00263E2C" w:rsidP="00652C78">
      <w:pPr>
        <w:jc w:val="both"/>
      </w:pPr>
      <w:r>
        <w:t>La alta litigiosidad en procesos de familia con hijos/as menores de edad, conlleva en una elevada proporción de casos en los que los hijos sufren conflictos de lealtades (que acarrean</w:t>
      </w:r>
      <w:r w:rsidR="00BC1F9F">
        <w:t xml:space="preserve">, </w:t>
      </w:r>
      <w:r>
        <w:t>con detección tardía de sus efectos</w:t>
      </w:r>
      <w:r w:rsidR="00BC1F9F">
        <w:t>,</w:t>
      </w:r>
      <w:r>
        <w:t xml:space="preserve"> depresión infantil o adolescente, </w:t>
      </w:r>
      <w:r w:rsidR="00BC1F9F">
        <w:t>trastornos psicológicos, entre otros</w:t>
      </w:r>
      <w:r>
        <w:t>).</w:t>
      </w:r>
    </w:p>
    <w:p w14:paraId="3A5A1F6A" w14:textId="77777777" w:rsidR="00263E2C" w:rsidRPr="00BC1F9F" w:rsidRDefault="00263E2C" w:rsidP="00652C78">
      <w:pPr>
        <w:jc w:val="both"/>
        <w:rPr>
          <w:b/>
          <w:bCs/>
        </w:rPr>
      </w:pPr>
      <w:r w:rsidRPr="00BC1F9F">
        <w:rPr>
          <w:b/>
          <w:bCs/>
        </w:rPr>
        <w:t>En estos supuestos es esencial que los NNA cuenten con defensa letrada, a través de la cual pueda defender su legítimo interés.</w:t>
      </w:r>
    </w:p>
    <w:p w14:paraId="2E740006" w14:textId="77777777" w:rsidR="00263E2C" w:rsidRDefault="00263E2C" w:rsidP="00652C78">
      <w:pPr>
        <w:jc w:val="both"/>
      </w:pPr>
    </w:p>
    <w:p w14:paraId="37E818EE" w14:textId="3141505A" w:rsidR="0083598B" w:rsidRPr="0083598B" w:rsidRDefault="0096680A" w:rsidP="0083598B">
      <w:pPr>
        <w:jc w:val="both"/>
        <w:rPr>
          <w:b/>
          <w:bCs/>
        </w:rPr>
      </w:pPr>
      <w:r>
        <w:rPr>
          <w:b/>
          <w:bCs/>
          <w:color w:val="006683" w:themeColor="accent1"/>
          <w:sz w:val="28"/>
          <w:szCs w:val="28"/>
        </w:rPr>
        <w:t>CARENCIA DE JUZGADOS ESPECIALIZADOS</w:t>
      </w:r>
    </w:p>
    <w:p w14:paraId="134D77C6" w14:textId="77777777" w:rsidR="00263E2C" w:rsidRDefault="00263E2C" w:rsidP="00652C78">
      <w:pPr>
        <w:jc w:val="both"/>
      </w:pPr>
      <w:r>
        <w:t>Como se ha expuesto anteriormente, la disposición final vigésima de la LOPIVI establecía el compromiso de 1 año para la creación de los Juzgados de Violencia contra la infancia y adolescencia, así como se prometía garantizar la especialización dentro del orden jurisdiccional civil en Infancia familia y capacidad.</w:t>
      </w:r>
    </w:p>
    <w:p w14:paraId="640C27AD" w14:textId="2DB1E28C" w:rsidR="00263E2C" w:rsidRDefault="00263E2C" w:rsidP="00652C78">
      <w:pPr>
        <w:jc w:val="both"/>
      </w:pPr>
      <w:r>
        <w:t>Han transcurrido 3 años desde la promulgación de la LOPIVI, y no solo no se han creado los tribunales de violencia ni se ha garantizado la especialización en infancia, familia y capacidad; sino que el proyecto de Ley de eficiencia mencionado en el párrafo 93 del informe Estatal de marzo de 2024, no incluye ninguna de estas dos medidas.</w:t>
      </w:r>
    </w:p>
    <w:p w14:paraId="415B108F" w14:textId="56273DB1" w:rsidR="00263E2C" w:rsidRDefault="00263E2C" w:rsidP="00652C78">
      <w:pPr>
        <w:jc w:val="both"/>
      </w:pPr>
      <w:r>
        <w:lastRenderedPageBreak/>
        <w:t xml:space="preserve">Actualmente, para conocer de los procesos de familia en los que la mayoría de las veces están involucrados los derechos de los NNA, coexisten juzgados de primera instancia generalistas y especializados, estos últimos denominados Juzgados de Familia. </w:t>
      </w:r>
    </w:p>
    <w:p w14:paraId="5D970953" w14:textId="77777777" w:rsidR="00263E2C" w:rsidRDefault="00263E2C" w:rsidP="00652C78">
      <w:pPr>
        <w:jc w:val="both"/>
      </w:pPr>
      <w:r>
        <w:t xml:space="preserve">En relación con el Derecho relativo a la Infancia, Familia y Capacidad, nuestro actual sistema de Justicia no garantiza ni cumple el principio de igualdad del ciudadano ante la Ley. Esto es así porque es el lugar de residencia lo que determina que el justiciable tenga derecho o no a que su asunto de familia sea resuelto y tramitado en un Juzgado Especializado. </w:t>
      </w:r>
    </w:p>
    <w:p w14:paraId="064DAB05" w14:textId="77777777" w:rsidR="00263E2C" w:rsidRDefault="00263E2C" w:rsidP="00652C78">
      <w:pPr>
        <w:jc w:val="both"/>
      </w:pPr>
      <w:r>
        <w:t xml:space="preserve">Con el actual sistema de organización de la Justicia, más del 53% de los españoles están adscritos a partidos judiciales donde no existen juzgados especializados en Familia. Se genera así una evidente discriminación en favor de los grandes núcleos de población. Al final, el lugar de residencia o empadronamiento del ciudadano es lo que determina el acceso a una justicia de primera o segunda división para resolver cuestiones tan delicadas como el divorcio, la custodia de los hijos, la herencia o la protección de personas con discapacidad. </w:t>
      </w:r>
    </w:p>
    <w:p w14:paraId="6CA68793" w14:textId="77777777" w:rsidR="00263E2C" w:rsidRDefault="00263E2C" w:rsidP="00652C78">
      <w:pPr>
        <w:jc w:val="both"/>
      </w:pPr>
      <w:r>
        <w:t>Esta situación genera un agravio territorial comparativo, respuestas jurisdiccionales dispares, impotencia, inseguridad jurídica y dilación en la tramitación de los procesos.</w:t>
      </w:r>
    </w:p>
    <w:p w14:paraId="4BAC0B69" w14:textId="77777777" w:rsidR="00263E2C" w:rsidRDefault="00263E2C" w:rsidP="00652C78">
      <w:pPr>
        <w:jc w:val="both"/>
      </w:pPr>
      <w:r>
        <w:t>En un ámbito tan vinculado con los menores el juzgador requerirá además de una formación en ámbitos no específicamente jurídicos, disponer de equipos técnicos de apoyo. En órganos generalistas resulta más difícil disponer de espacios adecuados y de protocolos de actuación para facilitar que el menor pueda sentirse cómodo. La extensión de los órganos judiciales especializados en este ámbito aseguraría un tratamiento más adecuado y ágil en el conjunto del territorio.</w:t>
      </w:r>
    </w:p>
    <w:p w14:paraId="223EA279" w14:textId="77777777" w:rsidR="00263E2C" w:rsidRPr="00BC1F9F" w:rsidRDefault="00263E2C" w:rsidP="00652C78">
      <w:pPr>
        <w:jc w:val="both"/>
        <w:rPr>
          <w:b/>
          <w:bCs/>
        </w:rPr>
      </w:pPr>
      <w:r w:rsidRPr="00BC1F9F">
        <w:rPr>
          <w:b/>
          <w:bCs/>
        </w:rPr>
        <w:t xml:space="preserve">Se ha de promover la generalización de juzgados de primera instancia como juzgados de familia especializados. </w:t>
      </w:r>
    </w:p>
    <w:p w14:paraId="57EBC1F0" w14:textId="3A769667" w:rsidR="00263E2C" w:rsidRDefault="00263E2C" w:rsidP="00652C78">
      <w:pPr>
        <w:jc w:val="both"/>
      </w:pPr>
      <w:r>
        <w:t xml:space="preserve">La perenne reclamación llevada a cabo por la Asociación Española de Abogados de Familia incorporada en la Vigésima de la Ley Orgánica 8/2021, de 4 de junio, de protección integral a la infancia y la adolescencia frente a la violencia, en la que se insta a que mediante Ley Orgánica lleven a cabo “las modificaciones necesarias para garantizar la especialización dentro del orden jurisdiccional civil en Infancia, Familia y Capacidad”, no se está cumpliendo por el Gobierno español. </w:t>
      </w:r>
    </w:p>
    <w:p w14:paraId="53276905" w14:textId="04B104CA" w:rsidR="00263E2C" w:rsidRDefault="00263E2C" w:rsidP="00652C78">
      <w:pPr>
        <w:jc w:val="both"/>
      </w:pPr>
      <w:r>
        <w:t xml:space="preserve">El contenido actual de Proyecto de Ley de eficiencia organizativa del servicio público de justicia en su artículo </w:t>
      </w:r>
      <w:r w:rsidR="00286F6A">
        <w:t>25, contempla</w:t>
      </w:r>
      <w:r>
        <w:t xml:space="preserve"> una sección de Familia en los tribunales de instancia SOLO “cuando se estime conveniente, en función de la carga de trabajo”. </w:t>
      </w:r>
    </w:p>
    <w:p w14:paraId="29F4C2DA" w14:textId="77777777" w:rsidR="00263E2C" w:rsidRDefault="00263E2C" w:rsidP="00652C78">
      <w:pPr>
        <w:jc w:val="both"/>
      </w:pPr>
      <w:r>
        <w:t>La aplicación de la LO 8/2021 exige un alto nivel de especialización de todos los operadores jurídicos que intervienen con niños, niñas y adolescentes.</w:t>
      </w:r>
    </w:p>
    <w:p w14:paraId="2DE3FD76" w14:textId="52C1F8CB" w:rsidR="00263E2C" w:rsidRPr="00BC1F9F" w:rsidRDefault="00263E2C" w:rsidP="00652C78">
      <w:pPr>
        <w:jc w:val="both"/>
        <w:rPr>
          <w:b/>
          <w:bCs/>
        </w:rPr>
      </w:pPr>
      <w:r w:rsidRPr="00BC1F9F">
        <w:rPr>
          <w:b/>
          <w:bCs/>
        </w:rPr>
        <w:t xml:space="preserve">Se está incumpliendo </w:t>
      </w:r>
      <w:r w:rsidR="00286F6A" w:rsidRPr="00BC1F9F">
        <w:rPr>
          <w:b/>
          <w:bCs/>
        </w:rPr>
        <w:t>el Pacto</w:t>
      </w:r>
      <w:r w:rsidRPr="00BC1F9F">
        <w:rPr>
          <w:b/>
          <w:bCs/>
        </w:rPr>
        <w:t xml:space="preserve"> de Estado contra la </w:t>
      </w:r>
      <w:r w:rsidR="00286F6A" w:rsidRPr="00BC1F9F">
        <w:rPr>
          <w:b/>
          <w:bCs/>
        </w:rPr>
        <w:t>Violencia que</w:t>
      </w:r>
      <w:r w:rsidRPr="00BC1F9F">
        <w:rPr>
          <w:b/>
          <w:bCs/>
        </w:rPr>
        <w:t xml:space="preserve"> insta a una formación especializada más amplia en dichas materias.</w:t>
      </w:r>
    </w:p>
    <w:p w14:paraId="1E7F70A9" w14:textId="77777777" w:rsidR="00263E2C" w:rsidRDefault="00263E2C" w:rsidP="00652C78">
      <w:pPr>
        <w:jc w:val="both"/>
      </w:pPr>
      <w:r>
        <w:t xml:space="preserve">La especialización reduce la duración de los procedimientos e incrementa la cantidad, la calidad y el acierto de las decisiones adoptadas. </w:t>
      </w:r>
    </w:p>
    <w:p w14:paraId="1A11C03D" w14:textId="77777777" w:rsidR="00263E2C" w:rsidRPr="00BC1F9F" w:rsidRDefault="00263E2C" w:rsidP="00652C78">
      <w:pPr>
        <w:jc w:val="both"/>
        <w:rPr>
          <w:b/>
          <w:bCs/>
        </w:rPr>
      </w:pPr>
      <w:r w:rsidRPr="00BC1F9F">
        <w:rPr>
          <w:b/>
          <w:bCs/>
        </w:rPr>
        <w:t>Una respuesta rápida y especializada es esencial en la prevención de la violencia y en el bienestar emocional de los menores.</w:t>
      </w:r>
    </w:p>
    <w:p w14:paraId="3608AA85" w14:textId="77777777" w:rsidR="00263E2C" w:rsidRDefault="00263E2C" w:rsidP="00652C78">
      <w:pPr>
        <w:jc w:val="both"/>
      </w:pPr>
      <w:r>
        <w:t>Estas materias, junto con la relativa a la capacidad de las personas, se rigen por principios especiales, distintos a los de la generalidad de la jurisdicción Civil.</w:t>
      </w:r>
    </w:p>
    <w:p w14:paraId="0582794D" w14:textId="76727257" w:rsidR="00263E2C" w:rsidRDefault="00286F6A" w:rsidP="00652C78">
      <w:pPr>
        <w:jc w:val="both"/>
      </w:pPr>
      <w:r>
        <w:t>Es necesario</w:t>
      </w:r>
      <w:r w:rsidR="00263E2C">
        <w:t xml:space="preserve"> aumentar sustancialmente la dotación de medios económicos y humanos a la administración de justicia, para poder tener un servicio público de la calidad que merecen todos los ciudadanos independientemente de su lugar de residencia. </w:t>
      </w:r>
    </w:p>
    <w:p w14:paraId="4E70EFBB" w14:textId="669341C7" w:rsidR="001638F6" w:rsidRPr="007021DE" w:rsidRDefault="001638F6" w:rsidP="00652C78">
      <w:pPr>
        <w:jc w:val="both"/>
      </w:pPr>
    </w:p>
    <w:sectPr w:rsidR="001638F6" w:rsidRPr="007021DE" w:rsidSect="006064C1">
      <w:pgSz w:w="11906" w:h="16838" w:code="9"/>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50FBD" w14:textId="77777777" w:rsidR="00306E99" w:rsidRDefault="00306E99">
      <w:pPr>
        <w:spacing w:before="0" w:after="0" w:line="240" w:lineRule="auto"/>
      </w:pPr>
      <w:r>
        <w:separator/>
      </w:r>
    </w:p>
  </w:endnote>
  <w:endnote w:type="continuationSeparator" w:id="0">
    <w:p w14:paraId="24416D30" w14:textId="77777777" w:rsidR="00306E99" w:rsidRDefault="00306E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panose1 w:val="020B0604020202020204"/>
    <w:charset w:val="00"/>
    <w:family w:val="roman"/>
    <w:notTrueType/>
    <w:pitch w:val="default"/>
  </w:font>
  <w:font w:name="Times New Roman (Body CS)">
    <w:altName w:val="Times New Roman"/>
    <w:panose1 w:val="020B0604020202020204"/>
    <w:charset w:val="00"/>
    <w:family w:val="roman"/>
    <w:notTrueType/>
    <w:pitch w:val="default"/>
  </w:font>
  <w:font w:name="Tahoma">
    <w:panose1 w:val="020B0604030504040204"/>
    <w:charset w:val="00"/>
    <w:family w:val="swiss"/>
    <w:notTrueType/>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AC77E" w14:textId="77777777" w:rsidR="00F56665" w:rsidRDefault="00F566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A9254" w14:textId="77777777" w:rsidR="001638F6" w:rsidRDefault="00844483">
    <w:pPr>
      <w:pStyle w:val="Piedepgina"/>
    </w:pPr>
    <w:r>
      <w:rPr>
        <w:lang w:bidi="es-ES"/>
      </w:rPr>
      <w:t xml:space="preserve">PÁGINA </w:t>
    </w:r>
    <w:r>
      <w:rPr>
        <w:lang w:bidi="es-ES"/>
      </w:rPr>
      <w:fldChar w:fldCharType="begin"/>
    </w:r>
    <w:r>
      <w:rPr>
        <w:lang w:bidi="es-ES"/>
      </w:rPr>
      <w:instrText xml:space="preserve"> PAGE  \* Arabic  \* MERGEFORMAT </w:instrText>
    </w:r>
    <w:r>
      <w:rPr>
        <w:lang w:bidi="es-ES"/>
      </w:rPr>
      <w:fldChar w:fldCharType="separate"/>
    </w:r>
    <w:r w:rsidR="00934F1C">
      <w:rPr>
        <w:noProof/>
        <w:lang w:bidi="es-ES"/>
      </w:rPr>
      <w:t>1</w:t>
    </w:r>
    <w:r>
      <w:rPr>
        <w:lang w:bidi="es-E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8D15E" w14:textId="77777777" w:rsidR="00F56665" w:rsidRDefault="00F566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C472A" w14:textId="77777777" w:rsidR="00306E99" w:rsidRDefault="00306E99">
      <w:pPr>
        <w:spacing w:before="0" w:after="0" w:line="240" w:lineRule="auto"/>
      </w:pPr>
      <w:r>
        <w:separator/>
      </w:r>
    </w:p>
  </w:footnote>
  <w:footnote w:type="continuationSeparator" w:id="0">
    <w:p w14:paraId="7688AF2A" w14:textId="77777777" w:rsidR="00306E99" w:rsidRDefault="00306E9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8307A" w14:textId="77777777" w:rsidR="00F56665" w:rsidRDefault="00F566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2815A" w14:textId="77777777" w:rsidR="006064C1" w:rsidRDefault="006064C1" w:rsidP="006064C1">
    <w:pPr>
      <w:pStyle w:val="Encabezado"/>
      <w:rPr>
        <w:rFonts w:ascii="Arial" w:hAnsi="Arial" w:cs="Arial"/>
        <w:color w:val="474747"/>
        <w:sz w:val="20"/>
        <w:szCs w:val="20"/>
        <w:shd w:val="clear" w:color="auto" w:fill="FFFFFF"/>
      </w:rPr>
    </w:pPr>
    <w:r>
      <w:rPr>
        <w:noProof/>
        <w:lang w:bidi="es-ES"/>
      </w:rPr>
      <w:drawing>
        <wp:anchor distT="0" distB="0" distL="114300" distR="114300" simplePos="0" relativeHeight="251661312" behindDoc="0" locked="0" layoutInCell="1" allowOverlap="1" wp14:anchorId="0DF9089B" wp14:editId="25CBCA8C">
          <wp:simplePos x="0" y="0"/>
          <wp:positionH relativeFrom="column">
            <wp:posOffset>5265866</wp:posOffset>
          </wp:positionH>
          <wp:positionV relativeFrom="paragraph">
            <wp:posOffset>-357432</wp:posOffset>
          </wp:positionV>
          <wp:extent cx="1655999" cy="420624"/>
          <wp:effectExtent l="0" t="0" r="0" b="0"/>
          <wp:wrapNone/>
          <wp:docPr id="644659987"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002022" name="Imagen 3" descr="Imagen que contiene Texto&#10;&#10;Descripción generada automáticamente"/>
                  <pic:cNvPicPr/>
                </pic:nvPicPr>
                <pic:blipFill>
                  <a:blip r:embed="rId1"/>
                  <a:stretch>
                    <a:fillRect/>
                  </a:stretch>
                </pic:blipFill>
                <pic:spPr>
                  <a:xfrm>
                    <a:off x="0" y="0"/>
                    <a:ext cx="1655999" cy="420624"/>
                  </a:xfrm>
                  <a:prstGeom prst="rect">
                    <a:avLst/>
                  </a:prstGeom>
                </pic:spPr>
              </pic:pic>
            </a:graphicData>
          </a:graphic>
          <wp14:sizeRelH relativeFrom="page">
            <wp14:pctWidth>0</wp14:pctWidth>
          </wp14:sizeRelH>
          <wp14:sizeRelV relativeFrom="page">
            <wp14:pctHeight>0</wp14:pctHeight>
          </wp14:sizeRelV>
        </wp:anchor>
      </w:drawing>
    </w:r>
    <w:r w:rsidRPr="00557691">
      <w:rPr>
        <w:sz w:val="20"/>
        <w:szCs w:val="20"/>
      </w:rPr>
      <w:t xml:space="preserve">AEAFA. C/ Alcántara, 6 Bajos. 28006. Madrid. </w:t>
    </w:r>
    <w:hyperlink r:id="rId2" w:history="1">
      <w:r w:rsidRPr="00557691">
        <w:rPr>
          <w:rStyle w:val="Hipervnculo"/>
          <w:color w:val="767171" w:themeColor="background2" w:themeShade="80"/>
          <w:sz w:val="20"/>
          <w:szCs w:val="20"/>
        </w:rPr>
        <w:t>aeafa@aeafa.es</w:t>
      </w:r>
    </w:hyperlink>
    <w:r w:rsidRPr="00557691">
      <w:rPr>
        <w:sz w:val="20"/>
        <w:szCs w:val="20"/>
      </w:rPr>
      <w:t xml:space="preserve"> </w:t>
    </w:r>
    <w:r w:rsidRPr="00557691">
      <w:rPr>
        <w:rFonts w:ascii="Arial" w:hAnsi="Arial" w:cs="Arial"/>
        <w:color w:val="474747"/>
        <w:sz w:val="20"/>
        <w:szCs w:val="20"/>
        <w:shd w:val="clear" w:color="auto" w:fill="FFFFFF"/>
      </w:rPr>
      <w:t>| (+34) 915410562</w:t>
    </w:r>
  </w:p>
  <w:p w14:paraId="5D12B61F" w14:textId="77777777" w:rsidR="00F56665" w:rsidRDefault="00F56665" w:rsidP="006064C1">
    <w:pPr>
      <w:pStyle w:val="Encabezado"/>
      <w:rPr>
        <w:rFonts w:ascii="Arial" w:hAnsi="Arial" w:cs="Arial"/>
        <w:color w:val="474747"/>
        <w:sz w:val="20"/>
        <w:szCs w:val="20"/>
        <w:shd w:val="clear" w:color="auto" w:fill="FFFFFF"/>
      </w:rPr>
    </w:pPr>
  </w:p>
  <w:p w14:paraId="65447A49" w14:textId="77777777" w:rsidR="006064C1" w:rsidRDefault="006064C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785BF" w14:textId="19025985" w:rsidR="00557691" w:rsidRDefault="006064C1">
    <w:pPr>
      <w:pStyle w:val="Encabezado"/>
      <w:rPr>
        <w:rFonts w:ascii="Arial" w:hAnsi="Arial" w:cs="Arial"/>
        <w:color w:val="474747"/>
        <w:sz w:val="20"/>
        <w:szCs w:val="20"/>
        <w:shd w:val="clear" w:color="auto" w:fill="FFFFFF"/>
      </w:rPr>
    </w:pPr>
    <w:r>
      <w:rPr>
        <w:noProof/>
        <w:lang w:bidi="es-ES"/>
      </w:rPr>
      <w:drawing>
        <wp:anchor distT="0" distB="0" distL="114300" distR="114300" simplePos="0" relativeHeight="251659264" behindDoc="0" locked="0" layoutInCell="1" allowOverlap="1" wp14:anchorId="60EF5404" wp14:editId="4E3E344B">
          <wp:simplePos x="0" y="0"/>
          <wp:positionH relativeFrom="column">
            <wp:posOffset>5265866</wp:posOffset>
          </wp:positionH>
          <wp:positionV relativeFrom="paragraph">
            <wp:posOffset>-357432</wp:posOffset>
          </wp:positionV>
          <wp:extent cx="1655999" cy="420624"/>
          <wp:effectExtent l="0" t="0" r="0" b="0"/>
          <wp:wrapNone/>
          <wp:docPr id="1189592379"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002022" name="Imagen 3" descr="Imagen que contiene Texto&#10;&#10;Descripción generada automáticamente"/>
                  <pic:cNvPicPr/>
                </pic:nvPicPr>
                <pic:blipFill>
                  <a:blip r:embed="rId1"/>
                  <a:stretch>
                    <a:fillRect/>
                  </a:stretch>
                </pic:blipFill>
                <pic:spPr>
                  <a:xfrm>
                    <a:off x="0" y="0"/>
                    <a:ext cx="1655999" cy="420624"/>
                  </a:xfrm>
                  <a:prstGeom prst="rect">
                    <a:avLst/>
                  </a:prstGeom>
                </pic:spPr>
              </pic:pic>
            </a:graphicData>
          </a:graphic>
          <wp14:sizeRelH relativeFrom="page">
            <wp14:pctWidth>0</wp14:pctWidth>
          </wp14:sizeRelH>
          <wp14:sizeRelV relativeFrom="page">
            <wp14:pctHeight>0</wp14:pctHeight>
          </wp14:sizeRelV>
        </wp:anchor>
      </w:drawing>
    </w:r>
    <w:r w:rsidR="00557691" w:rsidRPr="00557691">
      <w:rPr>
        <w:sz w:val="20"/>
        <w:szCs w:val="20"/>
      </w:rPr>
      <w:t xml:space="preserve">AEAFA. C/ Alcántara, 6 Bajos. 28006. Madrid. </w:t>
    </w:r>
    <w:hyperlink r:id="rId2" w:history="1">
      <w:r w:rsidR="00557691" w:rsidRPr="00557691">
        <w:rPr>
          <w:rStyle w:val="Hipervnculo"/>
          <w:color w:val="767171" w:themeColor="background2" w:themeShade="80"/>
          <w:sz w:val="20"/>
          <w:szCs w:val="20"/>
        </w:rPr>
        <w:t>aeafa@aeafa.es</w:t>
      </w:r>
    </w:hyperlink>
    <w:r w:rsidR="00557691" w:rsidRPr="00557691">
      <w:rPr>
        <w:sz w:val="20"/>
        <w:szCs w:val="20"/>
      </w:rPr>
      <w:t xml:space="preserve"> </w:t>
    </w:r>
    <w:r w:rsidR="00557691" w:rsidRPr="00557691">
      <w:rPr>
        <w:rFonts w:ascii="Arial" w:hAnsi="Arial" w:cs="Arial"/>
        <w:color w:val="474747"/>
        <w:sz w:val="20"/>
        <w:szCs w:val="20"/>
        <w:shd w:val="clear" w:color="auto" w:fill="FFFFFF"/>
      </w:rPr>
      <w:t>|</w:t>
    </w:r>
    <w:r w:rsidR="00557691" w:rsidRPr="00557691">
      <w:rPr>
        <w:rFonts w:ascii="Arial" w:hAnsi="Arial" w:cs="Arial"/>
        <w:color w:val="474747"/>
        <w:sz w:val="20"/>
        <w:szCs w:val="20"/>
        <w:shd w:val="clear" w:color="auto" w:fill="FFFFFF"/>
      </w:rPr>
      <w:t xml:space="preserve"> </w:t>
    </w:r>
    <w:r w:rsidR="00557691" w:rsidRPr="00557691">
      <w:rPr>
        <w:rFonts w:ascii="Arial" w:hAnsi="Arial" w:cs="Arial"/>
        <w:color w:val="474747"/>
        <w:sz w:val="20"/>
        <w:szCs w:val="20"/>
        <w:shd w:val="clear" w:color="auto" w:fill="FFFFFF"/>
      </w:rPr>
      <w:t>(+34) 915410562</w:t>
    </w:r>
  </w:p>
  <w:p w14:paraId="7DC0E51D" w14:textId="77777777" w:rsidR="006064C1" w:rsidRDefault="006064C1">
    <w:pPr>
      <w:pStyle w:val="Encabezado"/>
      <w:rPr>
        <w:rFonts w:ascii="Arial" w:hAnsi="Arial" w:cs="Arial"/>
        <w:color w:val="474747"/>
        <w:sz w:val="20"/>
        <w:szCs w:val="20"/>
        <w:shd w:val="clear" w:color="auto" w:fill="FFFFFF"/>
      </w:rPr>
    </w:pPr>
  </w:p>
  <w:p w14:paraId="05191D41" w14:textId="77777777" w:rsidR="006064C1" w:rsidRPr="00557691" w:rsidRDefault="006064C1">
    <w:pPr>
      <w:pStyle w:val="Encabezado"/>
      <w:rPr>
        <w:sz w:val="20"/>
        <w:szCs w:val="20"/>
      </w:rPr>
    </w:pPr>
  </w:p>
  <w:p w14:paraId="20F9FD0B" w14:textId="06AF9561" w:rsidR="00652C78" w:rsidRDefault="00652C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aconvietas"/>
      <w:lvlText w:val="−"/>
      <w:lvlJc w:val="left"/>
      <w:pPr>
        <w:ind w:left="720" w:hanging="360"/>
      </w:pPr>
      <w:rPr>
        <w:rFonts w:ascii="Century Gothic" w:hAnsi="Century Gothic" w:hint="default"/>
        <w:color w:val="0D0D0D" w:themeColor="text1" w:themeTint="F2"/>
      </w:rPr>
    </w:lvl>
  </w:abstractNum>
  <w:abstractNum w:abstractNumId="10" w15:restartNumberingAfterBreak="0">
    <w:nsid w:val="007B26A6"/>
    <w:multiLevelType w:val="hybridMultilevel"/>
    <w:tmpl w:val="F542A75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FF56800"/>
    <w:multiLevelType w:val="hybridMultilevel"/>
    <w:tmpl w:val="2436A43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17C50C01"/>
    <w:multiLevelType w:val="hybridMultilevel"/>
    <w:tmpl w:val="606450F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BDB470D"/>
    <w:multiLevelType w:val="hybridMultilevel"/>
    <w:tmpl w:val="1D1E64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F5B63"/>
    <w:multiLevelType w:val="multilevel"/>
    <w:tmpl w:val="1CD6B866"/>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2A3440CC"/>
    <w:multiLevelType w:val="multilevel"/>
    <w:tmpl w:val="B5CE5722"/>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5BC2713"/>
    <w:multiLevelType w:val="multilevel"/>
    <w:tmpl w:val="0409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BE0360C"/>
    <w:multiLevelType w:val="multilevel"/>
    <w:tmpl w:val="2E969558"/>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9965203">
    <w:abstractNumId w:val="9"/>
  </w:num>
  <w:num w:numId="2" w16cid:durableId="510533911">
    <w:abstractNumId w:val="9"/>
  </w:num>
  <w:num w:numId="3" w16cid:durableId="785395056">
    <w:abstractNumId w:val="8"/>
  </w:num>
  <w:num w:numId="4" w16cid:durableId="1832746042">
    <w:abstractNumId w:val="8"/>
  </w:num>
  <w:num w:numId="5" w16cid:durableId="508302324">
    <w:abstractNumId w:val="9"/>
  </w:num>
  <w:num w:numId="6" w16cid:durableId="301154232">
    <w:abstractNumId w:val="8"/>
  </w:num>
  <w:num w:numId="7" w16cid:durableId="1506551803">
    <w:abstractNumId w:val="15"/>
  </w:num>
  <w:num w:numId="8" w16cid:durableId="717054128">
    <w:abstractNumId w:val="11"/>
  </w:num>
  <w:num w:numId="9" w16cid:durableId="1741052282">
    <w:abstractNumId w:val="17"/>
  </w:num>
  <w:num w:numId="10" w16cid:durableId="1845826718">
    <w:abstractNumId w:val="16"/>
  </w:num>
  <w:num w:numId="11" w16cid:durableId="1788770832">
    <w:abstractNumId w:val="19"/>
  </w:num>
  <w:num w:numId="12" w16cid:durableId="1313831670">
    <w:abstractNumId w:val="18"/>
  </w:num>
  <w:num w:numId="13" w16cid:durableId="1675956796">
    <w:abstractNumId w:val="7"/>
  </w:num>
  <w:num w:numId="14" w16cid:durableId="1779447711">
    <w:abstractNumId w:val="6"/>
  </w:num>
  <w:num w:numId="15" w16cid:durableId="1873610024">
    <w:abstractNumId w:val="5"/>
  </w:num>
  <w:num w:numId="16" w16cid:durableId="406924531">
    <w:abstractNumId w:val="4"/>
  </w:num>
  <w:num w:numId="17" w16cid:durableId="1047266492">
    <w:abstractNumId w:val="3"/>
  </w:num>
  <w:num w:numId="18" w16cid:durableId="343023545">
    <w:abstractNumId w:val="2"/>
  </w:num>
  <w:num w:numId="19" w16cid:durableId="1601521884">
    <w:abstractNumId w:val="1"/>
  </w:num>
  <w:num w:numId="20" w16cid:durableId="593437850">
    <w:abstractNumId w:val="0"/>
  </w:num>
  <w:num w:numId="21" w16cid:durableId="852572240">
    <w:abstractNumId w:val="12"/>
  </w:num>
  <w:num w:numId="22" w16cid:durableId="1819607127">
    <w:abstractNumId w:val="13"/>
  </w:num>
  <w:num w:numId="23" w16cid:durableId="94522666">
    <w:abstractNumId w:val="10"/>
  </w:num>
  <w:num w:numId="24" w16cid:durableId="15282507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removePersonalInformation/>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44"/>
    <w:rsid w:val="0000672B"/>
    <w:rsid w:val="00041CEB"/>
    <w:rsid w:val="00054514"/>
    <w:rsid w:val="000748AA"/>
    <w:rsid w:val="000D602F"/>
    <w:rsid w:val="00101A18"/>
    <w:rsid w:val="001638F6"/>
    <w:rsid w:val="00165E85"/>
    <w:rsid w:val="001966B3"/>
    <w:rsid w:val="001A2000"/>
    <w:rsid w:val="001C6C9F"/>
    <w:rsid w:val="00206B7B"/>
    <w:rsid w:val="00263E2C"/>
    <w:rsid w:val="00286F6A"/>
    <w:rsid w:val="002C3095"/>
    <w:rsid w:val="00306E99"/>
    <w:rsid w:val="003209D6"/>
    <w:rsid w:val="00334A73"/>
    <w:rsid w:val="003422FF"/>
    <w:rsid w:val="00346A63"/>
    <w:rsid w:val="0036493C"/>
    <w:rsid w:val="003F5990"/>
    <w:rsid w:val="00473884"/>
    <w:rsid w:val="004815C6"/>
    <w:rsid w:val="004952C4"/>
    <w:rsid w:val="004F26D7"/>
    <w:rsid w:val="005019BD"/>
    <w:rsid w:val="00557691"/>
    <w:rsid w:val="00585BBB"/>
    <w:rsid w:val="005A1C5A"/>
    <w:rsid w:val="005F71A2"/>
    <w:rsid w:val="00600A2F"/>
    <w:rsid w:val="006064C1"/>
    <w:rsid w:val="006234E0"/>
    <w:rsid w:val="00651DB3"/>
    <w:rsid w:val="00652C78"/>
    <w:rsid w:val="00685117"/>
    <w:rsid w:val="00690EFD"/>
    <w:rsid w:val="006C7BF2"/>
    <w:rsid w:val="007021DE"/>
    <w:rsid w:val="00731CAE"/>
    <w:rsid w:val="00732607"/>
    <w:rsid w:val="0074501E"/>
    <w:rsid w:val="007B0D15"/>
    <w:rsid w:val="00800E57"/>
    <w:rsid w:val="0083598B"/>
    <w:rsid w:val="00844483"/>
    <w:rsid w:val="00862A7D"/>
    <w:rsid w:val="00934F1C"/>
    <w:rsid w:val="00953E90"/>
    <w:rsid w:val="00964CEF"/>
    <w:rsid w:val="0096680A"/>
    <w:rsid w:val="009A1E44"/>
    <w:rsid w:val="009D2231"/>
    <w:rsid w:val="00A122DB"/>
    <w:rsid w:val="00A16604"/>
    <w:rsid w:val="00A94F7E"/>
    <w:rsid w:val="00AB239D"/>
    <w:rsid w:val="00AD165F"/>
    <w:rsid w:val="00B47B7A"/>
    <w:rsid w:val="00B646B8"/>
    <w:rsid w:val="00BA5A9B"/>
    <w:rsid w:val="00BC0797"/>
    <w:rsid w:val="00BC1F9F"/>
    <w:rsid w:val="00BE0D30"/>
    <w:rsid w:val="00BF6587"/>
    <w:rsid w:val="00C80BD4"/>
    <w:rsid w:val="00CF3A42"/>
    <w:rsid w:val="00D4109A"/>
    <w:rsid w:val="00D5413C"/>
    <w:rsid w:val="00DC07A3"/>
    <w:rsid w:val="00DE3716"/>
    <w:rsid w:val="00E11B8A"/>
    <w:rsid w:val="00E47672"/>
    <w:rsid w:val="00EA6855"/>
    <w:rsid w:val="00EB55F3"/>
    <w:rsid w:val="00ED643B"/>
    <w:rsid w:val="00F56615"/>
    <w:rsid w:val="00F56665"/>
    <w:rsid w:val="00F677F9"/>
    <w:rsid w:val="00F80529"/>
    <w:rsid w:val="00FD1504"/>
    <w:rsid w:val="00FE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8609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44546A" w:themeColor="text2"/>
        <w:sz w:val="22"/>
        <w:szCs w:val="22"/>
        <w:lang w:val="es-E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98B"/>
    <w:rPr>
      <w:color w:val="767171" w:themeColor="background2" w:themeShade="80"/>
    </w:rPr>
  </w:style>
  <w:style w:type="paragraph" w:styleId="Ttulo1">
    <w:name w:val="heading 1"/>
    <w:basedOn w:val="Normal"/>
    <w:next w:val="Normal"/>
    <w:link w:val="Ttulo1Car"/>
    <w:uiPriority w:val="4"/>
    <w:qFormat/>
    <w:rsid w:val="00101A18"/>
    <w:pPr>
      <w:keepNext/>
      <w:keepLines/>
      <w:spacing w:before="600" w:after="60"/>
      <w:outlineLvl w:val="0"/>
    </w:pPr>
    <w:rPr>
      <w:rFonts w:eastAsiaTheme="majorEastAsia" w:cs="Times New Roman (Headings CS)"/>
      <w:b/>
      <w:caps/>
      <w:color w:val="44546A" w:themeColor="text2"/>
      <w:sz w:val="30"/>
      <w:szCs w:val="30"/>
    </w:rPr>
  </w:style>
  <w:style w:type="paragraph" w:styleId="Ttulo2">
    <w:name w:val="heading 2"/>
    <w:basedOn w:val="Normal"/>
    <w:next w:val="Normal"/>
    <w:link w:val="Ttulo2Car"/>
    <w:uiPriority w:val="4"/>
    <w:rsid w:val="00A122DB"/>
    <w:pPr>
      <w:keepNext/>
      <w:keepLines/>
      <w:spacing w:before="240" w:after="0"/>
      <w:outlineLvl w:val="1"/>
    </w:pPr>
    <w:rPr>
      <w:rFonts w:asciiTheme="majorHAnsi" w:eastAsiaTheme="majorEastAsia" w:hAnsiTheme="majorHAnsi" w:cstheme="majorBidi"/>
      <w:caps/>
      <w:color w:val="006683" w:themeColor="accent1"/>
    </w:rPr>
  </w:style>
  <w:style w:type="paragraph" w:styleId="Ttulo3">
    <w:name w:val="heading 3"/>
    <w:basedOn w:val="Normal"/>
    <w:next w:val="Normal"/>
    <w:link w:val="Ttulo3Car"/>
    <w:uiPriority w:val="4"/>
    <w:semiHidden/>
    <w:unhideWhenUsed/>
    <w:rsid w:val="00A122DB"/>
    <w:pPr>
      <w:keepNext/>
      <w:keepLines/>
      <w:spacing w:before="200" w:after="0"/>
      <w:outlineLvl w:val="2"/>
    </w:pPr>
    <w:rPr>
      <w:rFonts w:asciiTheme="majorHAnsi" w:eastAsiaTheme="majorEastAsia" w:hAnsiTheme="majorHAnsi" w:cstheme="majorBidi"/>
      <w:color w:val="006683" w:themeColor="accent1"/>
    </w:rPr>
  </w:style>
  <w:style w:type="paragraph" w:styleId="Ttulo5">
    <w:name w:val="heading 5"/>
    <w:basedOn w:val="Normal"/>
    <w:next w:val="Normal"/>
    <w:link w:val="Ttulo5Car"/>
    <w:uiPriority w:val="4"/>
    <w:semiHidden/>
    <w:unhideWhenUsed/>
    <w:qFormat/>
    <w:rsid w:val="00A122DB"/>
    <w:pPr>
      <w:keepNext/>
      <w:keepLines/>
      <w:spacing w:before="200" w:after="0"/>
      <w:outlineLvl w:val="4"/>
    </w:pPr>
    <w:rPr>
      <w:rFonts w:asciiTheme="majorHAnsi" w:eastAsiaTheme="majorEastAsia" w:hAnsiTheme="majorHAnsi" w:cstheme="majorBidi"/>
      <w:color w:val="003241" w:themeColor="accent1" w:themeShade="80"/>
    </w:rPr>
  </w:style>
  <w:style w:type="paragraph" w:styleId="Ttulo6">
    <w:name w:val="heading 6"/>
    <w:basedOn w:val="Normal"/>
    <w:next w:val="Normal"/>
    <w:link w:val="Ttulo6Car"/>
    <w:uiPriority w:val="4"/>
    <w:semiHidden/>
    <w:unhideWhenUsed/>
    <w:qFormat/>
    <w:rsid w:val="00A122DB"/>
    <w:pPr>
      <w:keepNext/>
      <w:keepLines/>
      <w:spacing w:before="200" w:after="0"/>
      <w:outlineLvl w:val="5"/>
    </w:pPr>
    <w:rPr>
      <w:rFonts w:asciiTheme="majorHAnsi" w:eastAsiaTheme="majorEastAsia" w:hAnsiTheme="majorHAnsi" w:cstheme="majorBidi"/>
      <w:i/>
      <w:iCs/>
      <w:color w:val="003241" w:themeColor="accent1" w:themeShade="7F"/>
    </w:rPr>
  </w:style>
  <w:style w:type="paragraph" w:styleId="Ttulo8">
    <w:name w:val="heading 8"/>
    <w:basedOn w:val="Normal"/>
    <w:next w:val="Normal"/>
    <w:link w:val="Ttulo8C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Ttulo9">
    <w:name w:val="heading 9"/>
    <w:basedOn w:val="Normal"/>
    <w:next w:val="Normal"/>
    <w:link w:val="Ttulo9C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Sombreadoclaro">
    <w:name w:val="Light Shading"/>
    <w:basedOn w:val="Tabla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Informacindecontacto">
    <w:name w:val="Información de contacto"/>
    <w:basedOn w:val="Normal"/>
    <w:uiPriority w:val="4"/>
    <w:qFormat/>
    <w:rsid w:val="00E47672"/>
    <w:pPr>
      <w:spacing w:before="360" w:after="0"/>
      <w:ind w:left="1332"/>
      <w:contextualSpacing/>
    </w:pPr>
    <w:rPr>
      <w:rFonts w:cs="Times New Roman (Body CS)"/>
      <w:bCs/>
      <w:caps/>
      <w:color w:val="FFFFFF" w:themeColor="background1"/>
      <w:sz w:val="32"/>
    </w:rPr>
  </w:style>
  <w:style w:type="character" w:customStyle="1" w:styleId="Ttulo1Car">
    <w:name w:val="Título 1 Car"/>
    <w:basedOn w:val="Fuentedeprrafopredeter"/>
    <w:link w:val="Ttulo1"/>
    <w:uiPriority w:val="4"/>
    <w:rsid w:val="00101A18"/>
    <w:rPr>
      <w:rFonts w:ascii="Gill Sans MT" w:eastAsiaTheme="majorEastAsia" w:hAnsi="Gill Sans MT" w:cs="Times New Roman (Headings CS)"/>
      <w:b/>
      <w:caps/>
      <w:sz w:val="30"/>
      <w:szCs w:val="30"/>
    </w:rPr>
  </w:style>
  <w:style w:type="character" w:customStyle="1" w:styleId="Ttulo2Car">
    <w:name w:val="Título 2 Car"/>
    <w:basedOn w:val="Fuentedeprrafopredeter"/>
    <w:link w:val="Ttulo2"/>
    <w:uiPriority w:val="4"/>
    <w:rsid w:val="00E47672"/>
    <w:rPr>
      <w:rFonts w:asciiTheme="majorHAnsi" w:eastAsiaTheme="majorEastAsia" w:hAnsiTheme="majorHAnsi" w:cstheme="majorBidi"/>
      <w:caps/>
      <w:color w:val="006683" w:themeColor="accent1"/>
    </w:rPr>
  </w:style>
  <w:style w:type="character" w:customStyle="1" w:styleId="Ttulo3Car">
    <w:name w:val="Título 3 Car"/>
    <w:basedOn w:val="Fuentedeprrafopredeter"/>
    <w:link w:val="Ttulo3"/>
    <w:uiPriority w:val="4"/>
    <w:semiHidden/>
    <w:rsid w:val="00690EFD"/>
    <w:rPr>
      <w:rFonts w:asciiTheme="majorHAnsi" w:eastAsiaTheme="majorEastAsia" w:hAnsiTheme="majorHAnsi" w:cstheme="majorBidi"/>
      <w:color w:val="006683" w:themeColor="accent1"/>
      <w:sz w:val="22"/>
      <w:szCs w:val="22"/>
    </w:rPr>
  </w:style>
  <w:style w:type="character" w:customStyle="1" w:styleId="Ttulo5Car">
    <w:name w:val="Título 5 Car"/>
    <w:basedOn w:val="Fuentedeprrafopredeter"/>
    <w:link w:val="Ttulo5"/>
    <w:uiPriority w:val="4"/>
    <w:semiHidden/>
    <w:rsid w:val="00690EFD"/>
    <w:rPr>
      <w:rFonts w:asciiTheme="majorHAnsi" w:eastAsiaTheme="majorEastAsia" w:hAnsiTheme="majorHAnsi" w:cstheme="majorBidi"/>
      <w:color w:val="003241" w:themeColor="accent1" w:themeShade="80"/>
    </w:rPr>
  </w:style>
  <w:style w:type="character" w:customStyle="1" w:styleId="Ttulo6Car">
    <w:name w:val="Título 6 Car"/>
    <w:basedOn w:val="Fuentedeprrafopredeter"/>
    <w:link w:val="Ttulo6"/>
    <w:uiPriority w:val="4"/>
    <w:semiHidden/>
    <w:rsid w:val="00690EFD"/>
    <w:rPr>
      <w:rFonts w:asciiTheme="majorHAnsi" w:eastAsiaTheme="majorEastAsia" w:hAnsiTheme="majorHAnsi" w:cstheme="majorBidi"/>
      <w:i/>
      <w:iCs/>
      <w:color w:val="003241" w:themeColor="accent1" w:themeShade="7F"/>
    </w:rPr>
  </w:style>
  <w:style w:type="paragraph" w:styleId="Listaconvietas">
    <w:name w:val="List Bullet"/>
    <w:basedOn w:val="Normal"/>
    <w:uiPriority w:val="7"/>
    <w:rsid w:val="00101A18"/>
    <w:pPr>
      <w:numPr>
        <w:numId w:val="5"/>
      </w:numPr>
    </w:pPr>
  </w:style>
  <w:style w:type="paragraph" w:styleId="Listaconnmeros">
    <w:name w:val="List Number"/>
    <w:basedOn w:val="Normal"/>
    <w:uiPriority w:val="5"/>
    <w:unhideWhenUsed/>
    <w:pPr>
      <w:numPr>
        <w:numId w:val="6"/>
      </w:numPr>
      <w:contextualSpacing/>
    </w:pPr>
  </w:style>
  <w:style w:type="paragraph" w:styleId="Ttulo">
    <w:name w:val="Title"/>
    <w:basedOn w:val="Normal"/>
    <w:link w:val="TtuloCar"/>
    <w:uiPriority w:val="2"/>
    <w:unhideWhenUsed/>
    <w:rsid w:val="00E47672"/>
    <w:pPr>
      <w:adjustRightInd w:val="0"/>
      <w:spacing w:before="0" w:after="40" w:line="1200" w:lineRule="exact"/>
      <w:ind w:left="630"/>
      <w:contextualSpacing/>
    </w:pPr>
    <w:rPr>
      <w:rFonts w:asciiTheme="majorHAnsi" w:eastAsiaTheme="majorEastAsia" w:hAnsiTheme="majorHAnsi" w:cs="Times New Roman (Headings CS)"/>
      <w:b/>
      <w:caps/>
      <w:color w:val="44546A" w:themeColor="text2"/>
      <w:spacing w:val="30"/>
      <w:kern w:val="28"/>
      <w:sz w:val="110"/>
      <w:szCs w:val="60"/>
    </w:rPr>
  </w:style>
  <w:style w:type="character" w:customStyle="1" w:styleId="TtuloCar">
    <w:name w:val="Título Car"/>
    <w:basedOn w:val="Fuentedeprrafopredeter"/>
    <w:link w:val="Ttulo"/>
    <w:uiPriority w:val="2"/>
    <w:rsid w:val="00E47672"/>
    <w:rPr>
      <w:rFonts w:asciiTheme="majorHAnsi" w:eastAsiaTheme="majorEastAsia" w:hAnsiTheme="majorHAnsi" w:cs="Times New Roman (Headings CS)"/>
      <w:b/>
      <w:caps/>
      <w:spacing w:val="30"/>
      <w:kern w:val="28"/>
      <w:sz w:val="110"/>
      <w:szCs w:val="60"/>
    </w:rPr>
  </w:style>
  <w:style w:type="paragraph" w:styleId="Subttulo">
    <w:name w:val="Subtitle"/>
    <w:basedOn w:val="Normal"/>
    <w:link w:val="SubttuloCar"/>
    <w:uiPriority w:val="3"/>
    <w:unhideWhenUsed/>
    <w:qFormat/>
    <w:rsid w:val="00E47672"/>
    <w:pPr>
      <w:numPr>
        <w:ilvl w:val="1"/>
      </w:numPr>
      <w:spacing w:before="300" w:after="40"/>
      <w:ind w:left="630"/>
      <w:contextualSpacing/>
    </w:pPr>
    <w:rPr>
      <w:rFonts w:eastAsiaTheme="majorEastAsia" w:cstheme="majorBidi"/>
      <w:caps/>
      <w:color w:val="006683" w:themeColor="accent1"/>
      <w:sz w:val="36"/>
      <w:szCs w:val="26"/>
    </w:rPr>
  </w:style>
  <w:style w:type="character" w:customStyle="1" w:styleId="SubttuloCar">
    <w:name w:val="Subtítulo Car"/>
    <w:basedOn w:val="Fuentedeprrafopredeter"/>
    <w:link w:val="Subttulo"/>
    <w:uiPriority w:val="3"/>
    <w:rsid w:val="00E47672"/>
    <w:rPr>
      <w:rFonts w:eastAsiaTheme="majorEastAsia" w:cstheme="majorBidi"/>
      <w:caps/>
      <w:color w:val="006683" w:themeColor="accent1"/>
      <w:sz w:val="36"/>
      <w:szCs w:val="26"/>
    </w:rPr>
  </w:style>
  <w:style w:type="paragraph" w:customStyle="1" w:styleId="Foto">
    <w:name w:val="Foto"/>
    <w:basedOn w:val="Normal"/>
    <w:uiPriority w:val="1"/>
    <w:semiHidden/>
    <w:rsid w:val="00D5413C"/>
    <w:pPr>
      <w:spacing w:before="2400" w:after="400"/>
      <w:jc w:val="center"/>
    </w:pPr>
  </w:style>
  <w:style w:type="paragraph" w:styleId="Descripcin">
    <w:name w:val="caption"/>
    <w:basedOn w:val="Normal"/>
    <w:next w:val="Normal"/>
    <w:uiPriority w:val="2"/>
    <w:semiHidden/>
    <w:unhideWhenUsed/>
    <w:qFormat/>
    <w:rsid w:val="00A122DB"/>
    <w:pPr>
      <w:spacing w:before="0" w:line="240" w:lineRule="auto"/>
    </w:pPr>
    <w:rPr>
      <w:i/>
      <w:iCs/>
      <w:szCs w:val="18"/>
    </w:rPr>
  </w:style>
  <w:style w:type="character" w:customStyle="1" w:styleId="Ttulo9Car">
    <w:name w:val="Título 9 Car"/>
    <w:basedOn w:val="Fuentedeprrafopredeter"/>
    <w:link w:val="Ttulo9"/>
    <w:uiPriority w:val="4"/>
    <w:semiHidden/>
    <w:rsid w:val="00A122DB"/>
    <w:rPr>
      <w:rFonts w:asciiTheme="majorHAnsi" w:eastAsiaTheme="majorEastAsia" w:hAnsiTheme="majorHAnsi" w:cstheme="majorBidi"/>
      <w:i/>
      <w:iCs/>
      <w:color w:val="272727" w:themeColor="text1" w:themeTint="D8"/>
      <w:szCs w:val="21"/>
    </w:rPr>
  </w:style>
  <w:style w:type="character" w:customStyle="1" w:styleId="Ttulo8Car">
    <w:name w:val="Título 8 Car"/>
    <w:basedOn w:val="Fuentedeprrafopredeter"/>
    <w:link w:val="Ttulo8"/>
    <w:uiPriority w:val="4"/>
    <w:semiHidden/>
    <w:rsid w:val="00A122DB"/>
    <w:rPr>
      <w:rFonts w:asciiTheme="majorHAnsi" w:eastAsiaTheme="majorEastAsia" w:hAnsiTheme="majorHAnsi" w:cstheme="majorBidi"/>
      <w:color w:val="272727" w:themeColor="text1" w:themeTint="D8"/>
      <w:szCs w:val="21"/>
    </w:rPr>
  </w:style>
  <w:style w:type="paragraph" w:styleId="TtuloTDC">
    <w:name w:val="TOC Heading"/>
    <w:basedOn w:val="Ttulo1"/>
    <w:next w:val="Normal"/>
    <w:uiPriority w:val="39"/>
    <w:semiHidden/>
    <w:unhideWhenUsed/>
    <w:qFormat/>
    <w:pPr>
      <w:spacing w:before="0"/>
      <w:outlineLvl w:val="9"/>
    </w:pPr>
  </w:style>
  <w:style w:type="paragraph" w:styleId="Piedepgina">
    <w:name w:val="footer"/>
    <w:basedOn w:val="Normal"/>
    <w:link w:val="PiedepginaCar"/>
    <w:uiPriority w:val="99"/>
    <w:semiHidden/>
    <w:rsid w:val="003422FF"/>
    <w:pPr>
      <w:spacing w:before="0" w:after="0" w:line="240" w:lineRule="auto"/>
      <w:jc w:val="right"/>
    </w:pPr>
    <w:rPr>
      <w:szCs w:val="16"/>
    </w:rPr>
  </w:style>
  <w:style w:type="character" w:customStyle="1" w:styleId="PiedepginaCar">
    <w:name w:val="Pie de página Car"/>
    <w:basedOn w:val="Fuentedeprrafopredeter"/>
    <w:link w:val="Piedepgina"/>
    <w:uiPriority w:val="99"/>
    <w:semiHidden/>
    <w:rsid w:val="00E47672"/>
    <w:rPr>
      <w:color w:val="767171" w:themeColor="background2" w:themeShade="80"/>
      <w:szCs w:val="16"/>
    </w:rPr>
  </w:style>
  <w:style w:type="paragraph" w:styleId="TDC3">
    <w:name w:val="toc 3"/>
    <w:basedOn w:val="Normal"/>
    <w:next w:val="Normal"/>
    <w:autoRedefine/>
    <w:uiPriority w:val="39"/>
    <w:semiHidden/>
    <w:unhideWhenUsed/>
    <w:pPr>
      <w:spacing w:after="100"/>
      <w:ind w:left="400"/>
    </w:pPr>
    <w:rPr>
      <w:i/>
      <w:iCs/>
    </w:rPr>
  </w:style>
  <w:style w:type="paragraph" w:styleId="TDC1">
    <w:name w:val="toc 1"/>
    <w:basedOn w:val="Normal"/>
    <w:next w:val="Normal"/>
    <w:autoRedefine/>
    <w:uiPriority w:val="39"/>
    <w:semiHidden/>
    <w:unhideWhenUsed/>
    <w:pPr>
      <w:spacing w:after="100"/>
    </w:pPr>
  </w:style>
  <w:style w:type="paragraph" w:styleId="TDC2">
    <w:name w:val="toc 2"/>
    <w:basedOn w:val="Normal"/>
    <w:next w:val="Normal"/>
    <w:autoRedefine/>
    <w:uiPriority w:val="39"/>
    <w:semiHidden/>
    <w:unhideWhenUsed/>
    <w:pPr>
      <w:spacing w:after="100"/>
      <w:ind w:left="200"/>
    </w:pPr>
  </w:style>
  <w:style w:type="paragraph" w:styleId="Textodeglobo">
    <w:name w:val="Balloon Text"/>
    <w:basedOn w:val="Normal"/>
    <w:link w:val="TextodegloboCar"/>
    <w:uiPriority w:val="99"/>
    <w:semiHidden/>
    <w:unhideWhenUsed/>
    <w:rsid w:val="00A122DB"/>
    <w:pPr>
      <w:spacing w:after="0" w:line="240" w:lineRule="auto"/>
    </w:pPr>
    <w:rPr>
      <w:rFonts w:ascii="Tahoma" w:hAnsi="Tahoma" w:cs="Tahoma"/>
      <w:szCs w:val="16"/>
    </w:rPr>
  </w:style>
  <w:style w:type="character" w:customStyle="1" w:styleId="TextodegloboCar">
    <w:name w:val="Texto de globo Car"/>
    <w:basedOn w:val="Fuentedeprrafopredeter"/>
    <w:link w:val="Textodeglobo"/>
    <w:uiPriority w:val="99"/>
    <w:semiHidden/>
    <w:rsid w:val="00A122DB"/>
    <w:rPr>
      <w:rFonts w:ascii="Tahoma" w:hAnsi="Tahoma" w:cs="Tahoma"/>
      <w:szCs w:val="16"/>
    </w:rPr>
  </w:style>
  <w:style w:type="paragraph" w:styleId="Bibliografa">
    <w:name w:val="Bibliography"/>
    <w:basedOn w:val="Normal"/>
    <w:next w:val="Normal"/>
    <w:uiPriority w:val="39"/>
    <w:semiHidden/>
    <w:unhideWhenUsed/>
  </w:style>
  <w:style w:type="paragraph" w:styleId="Textoindependiente3">
    <w:name w:val="Body Text 3"/>
    <w:basedOn w:val="Normal"/>
    <w:link w:val="Textoindependiente3Car"/>
    <w:uiPriority w:val="99"/>
    <w:semiHidden/>
    <w:unhideWhenUsed/>
    <w:rsid w:val="00A122DB"/>
    <w:pPr>
      <w:spacing w:after="120"/>
    </w:pPr>
    <w:rPr>
      <w:szCs w:val="16"/>
    </w:rPr>
  </w:style>
  <w:style w:type="table" w:customStyle="1" w:styleId="Tabladeinforme">
    <w:name w:val="Tabla de informe"/>
    <w:basedOn w:val="Tablanormal"/>
    <w:uiPriority w:val="99"/>
    <w:rsid w:val="00651DB3"/>
    <w:pPr>
      <w:spacing w:before="60" w:after="60" w:line="240" w:lineRule="auto"/>
      <w:jc w:val="center"/>
    </w:pPr>
    <w:tblPr>
      <w:tblStyleRowBandSize w:val="1"/>
      <w:tblStyleColBandSize w:val="1"/>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Pr/>
      <w:tcPr>
        <w:tcBorders>
          <w:top w:val="nil"/>
          <w:left w:val="nil"/>
          <w:bottom w:val="nil"/>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tcPr>
    </w:tblStylePr>
    <w:tblStylePr w:type="band2Vert">
      <w:tblPr/>
      <w:tcPr>
        <w:tcBorders>
          <w:top w:val="nil"/>
          <w:left w:val="nil"/>
          <w:bottom w:val="nil"/>
          <w:right w:val="nil"/>
          <w:insideH w:val="nil"/>
          <w:insideV w:val="nil"/>
          <w:tl2br w:val="nil"/>
          <w:tr2bl w:val="nil"/>
        </w:tcBorders>
      </w:tcPr>
    </w:tblStylePr>
  </w:style>
  <w:style w:type="table" w:styleId="Tablaconcuadrcula">
    <w:name w:val="Table Grid"/>
    <w:basedOn w:val="Tabla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semiHidden/>
    <w:rsid w:val="001A2000"/>
    <w:pPr>
      <w:spacing w:before="0" w:after="0" w:line="240" w:lineRule="auto"/>
    </w:pPr>
  </w:style>
  <w:style w:type="character" w:customStyle="1" w:styleId="EncabezadoCar">
    <w:name w:val="Encabezado Car"/>
    <w:basedOn w:val="Fuentedeprrafopredeter"/>
    <w:link w:val="Encabezado"/>
    <w:uiPriority w:val="99"/>
    <w:semiHidden/>
    <w:rsid w:val="00E47672"/>
    <w:rPr>
      <w:color w:val="767171" w:themeColor="background2" w:themeShade="80"/>
    </w:rPr>
  </w:style>
  <w:style w:type="character" w:customStyle="1" w:styleId="Textoindependiente3Car">
    <w:name w:val="Texto independiente 3 Car"/>
    <w:basedOn w:val="Fuentedeprrafopredeter"/>
    <w:link w:val="Textoindependiente3"/>
    <w:uiPriority w:val="99"/>
    <w:semiHidden/>
    <w:rsid w:val="00A122DB"/>
    <w:rPr>
      <w:szCs w:val="16"/>
    </w:rPr>
  </w:style>
  <w:style w:type="character" w:styleId="Refdecomentario">
    <w:name w:val="annotation reference"/>
    <w:basedOn w:val="Fuentedeprrafopredeter"/>
    <w:uiPriority w:val="99"/>
    <w:semiHidden/>
    <w:unhideWhenUsed/>
    <w:rsid w:val="00A122DB"/>
    <w:rPr>
      <w:sz w:val="22"/>
      <w:szCs w:val="16"/>
    </w:rPr>
  </w:style>
  <w:style w:type="paragraph" w:styleId="Sangra3detindependiente">
    <w:name w:val="Body Text Indent 3"/>
    <w:basedOn w:val="Normal"/>
    <w:link w:val="Sangra3detindependienteCar"/>
    <w:uiPriority w:val="99"/>
    <w:semiHidden/>
    <w:unhideWhenUsed/>
    <w:rsid w:val="00A122DB"/>
    <w:pPr>
      <w:spacing w:after="120"/>
      <w:ind w:left="360"/>
    </w:pPr>
    <w:rPr>
      <w:szCs w:val="16"/>
    </w:rPr>
  </w:style>
  <w:style w:type="character" w:customStyle="1" w:styleId="Sangra3detindependienteCar">
    <w:name w:val="Sangría 3 de t. independiente Car"/>
    <w:basedOn w:val="Fuentedeprrafopredeter"/>
    <w:link w:val="Sangra3detindependiente"/>
    <w:uiPriority w:val="99"/>
    <w:semiHidden/>
    <w:rsid w:val="00A122DB"/>
    <w:rPr>
      <w:szCs w:val="16"/>
    </w:rPr>
  </w:style>
  <w:style w:type="paragraph" w:styleId="Textocomentario">
    <w:name w:val="annotation text"/>
    <w:basedOn w:val="Normal"/>
    <w:link w:val="TextocomentarioCar"/>
    <w:uiPriority w:val="99"/>
    <w:semiHidden/>
    <w:unhideWhenUsed/>
    <w:rsid w:val="00A122DB"/>
    <w:pPr>
      <w:spacing w:line="240" w:lineRule="auto"/>
    </w:pPr>
    <w:rPr>
      <w:szCs w:val="20"/>
    </w:rPr>
  </w:style>
  <w:style w:type="character" w:customStyle="1" w:styleId="TextocomentarioCar">
    <w:name w:val="Texto comentario Car"/>
    <w:basedOn w:val="Fuentedeprrafopredeter"/>
    <w:link w:val="Textocomentario"/>
    <w:uiPriority w:val="99"/>
    <w:semiHidden/>
    <w:rsid w:val="00A122DB"/>
    <w:rPr>
      <w:szCs w:val="20"/>
    </w:rPr>
  </w:style>
  <w:style w:type="paragraph" w:styleId="Asuntodelcomentario">
    <w:name w:val="annotation subject"/>
    <w:basedOn w:val="Textocomentario"/>
    <w:next w:val="Textocomentario"/>
    <w:link w:val="AsuntodelcomentarioCar"/>
    <w:uiPriority w:val="99"/>
    <w:semiHidden/>
    <w:unhideWhenUsed/>
    <w:rsid w:val="00A122DB"/>
    <w:rPr>
      <w:b/>
      <w:bCs/>
    </w:rPr>
  </w:style>
  <w:style w:type="character" w:customStyle="1" w:styleId="AsuntodelcomentarioCar">
    <w:name w:val="Asunto del comentario Car"/>
    <w:basedOn w:val="TextocomentarioCar"/>
    <w:link w:val="Asuntodelcomentario"/>
    <w:uiPriority w:val="99"/>
    <w:semiHidden/>
    <w:rsid w:val="00A122DB"/>
    <w:rPr>
      <w:b/>
      <w:bCs/>
      <w:szCs w:val="20"/>
    </w:rPr>
  </w:style>
  <w:style w:type="paragraph" w:styleId="Mapadeldocumento">
    <w:name w:val="Document Map"/>
    <w:basedOn w:val="Normal"/>
    <w:link w:val="MapadeldocumentoCar"/>
    <w:uiPriority w:val="99"/>
    <w:semiHidden/>
    <w:unhideWhenUsed/>
    <w:rsid w:val="00A122DB"/>
    <w:pPr>
      <w:spacing w:before="0" w:after="0" w:line="240" w:lineRule="auto"/>
    </w:pPr>
    <w:rPr>
      <w:rFonts w:ascii="Segoe UI" w:hAnsi="Segoe UI" w:cs="Segoe UI"/>
      <w:szCs w:val="16"/>
    </w:rPr>
  </w:style>
  <w:style w:type="character" w:customStyle="1" w:styleId="MapadeldocumentoCar">
    <w:name w:val="Mapa del documento Car"/>
    <w:basedOn w:val="Fuentedeprrafopredeter"/>
    <w:link w:val="Mapadeldocumento"/>
    <w:uiPriority w:val="99"/>
    <w:semiHidden/>
    <w:rsid w:val="00A122DB"/>
    <w:rPr>
      <w:rFonts w:ascii="Segoe UI" w:hAnsi="Segoe UI" w:cs="Segoe UI"/>
      <w:szCs w:val="16"/>
    </w:rPr>
  </w:style>
  <w:style w:type="paragraph" w:styleId="Textonotaalfinal">
    <w:name w:val="endnote text"/>
    <w:basedOn w:val="Normal"/>
    <w:link w:val="TextonotaalfinalCar"/>
    <w:uiPriority w:val="99"/>
    <w:semiHidden/>
    <w:unhideWhenUsed/>
    <w:rsid w:val="00A122DB"/>
    <w:pPr>
      <w:spacing w:before="0" w:after="0" w:line="240" w:lineRule="auto"/>
    </w:pPr>
    <w:rPr>
      <w:szCs w:val="20"/>
    </w:rPr>
  </w:style>
  <w:style w:type="character" w:customStyle="1" w:styleId="TextonotaalfinalCar">
    <w:name w:val="Texto nota al final Car"/>
    <w:basedOn w:val="Fuentedeprrafopredeter"/>
    <w:link w:val="Textonotaalfinal"/>
    <w:uiPriority w:val="99"/>
    <w:semiHidden/>
    <w:rsid w:val="00A122DB"/>
    <w:rPr>
      <w:szCs w:val="20"/>
    </w:rPr>
  </w:style>
  <w:style w:type="paragraph" w:styleId="Remitedesobre">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Textonotapie">
    <w:name w:val="footnote text"/>
    <w:basedOn w:val="Normal"/>
    <w:link w:val="TextonotapieCar"/>
    <w:uiPriority w:val="99"/>
    <w:semiHidden/>
    <w:unhideWhenUsed/>
    <w:rsid w:val="00A122DB"/>
    <w:pPr>
      <w:spacing w:before="0" w:after="0" w:line="240" w:lineRule="auto"/>
    </w:pPr>
    <w:rPr>
      <w:szCs w:val="20"/>
    </w:rPr>
  </w:style>
  <w:style w:type="character" w:customStyle="1" w:styleId="TextonotapieCar">
    <w:name w:val="Texto nota pie Car"/>
    <w:basedOn w:val="Fuentedeprrafopredeter"/>
    <w:link w:val="Textonotapie"/>
    <w:uiPriority w:val="99"/>
    <w:semiHidden/>
    <w:rsid w:val="00A122DB"/>
    <w:rPr>
      <w:szCs w:val="20"/>
    </w:rPr>
  </w:style>
  <w:style w:type="character" w:styleId="CdigoHTML">
    <w:name w:val="HTML Code"/>
    <w:basedOn w:val="Fuentedeprrafopredeter"/>
    <w:uiPriority w:val="99"/>
    <w:semiHidden/>
    <w:unhideWhenUsed/>
    <w:rsid w:val="00A122DB"/>
    <w:rPr>
      <w:rFonts w:ascii="Consolas" w:hAnsi="Consolas"/>
      <w:sz w:val="22"/>
      <w:szCs w:val="20"/>
    </w:rPr>
  </w:style>
  <w:style w:type="paragraph" w:styleId="HTMLconformatoprevio">
    <w:name w:val="HTML Preformatted"/>
    <w:basedOn w:val="Normal"/>
    <w:link w:val="HTMLconformatoprevioCar"/>
    <w:uiPriority w:val="99"/>
    <w:semiHidden/>
    <w:unhideWhenUsed/>
    <w:rsid w:val="00A122DB"/>
    <w:pPr>
      <w:spacing w:before="0" w:after="0" w:line="240" w:lineRule="auto"/>
    </w:pPr>
    <w:rPr>
      <w:rFonts w:ascii="Consolas" w:hAnsi="Consolas"/>
      <w:szCs w:val="20"/>
    </w:rPr>
  </w:style>
  <w:style w:type="character" w:customStyle="1" w:styleId="HTMLconformatoprevioCar">
    <w:name w:val="HTML con formato previo Car"/>
    <w:basedOn w:val="Fuentedeprrafopredeter"/>
    <w:link w:val="HTMLconformatoprevio"/>
    <w:uiPriority w:val="99"/>
    <w:semiHidden/>
    <w:rsid w:val="00A122DB"/>
    <w:rPr>
      <w:rFonts w:ascii="Consolas" w:hAnsi="Consolas"/>
      <w:szCs w:val="20"/>
    </w:rPr>
  </w:style>
  <w:style w:type="character" w:styleId="TecladoHTML">
    <w:name w:val="HTML Keyboard"/>
    <w:basedOn w:val="Fuentedeprrafopredeter"/>
    <w:uiPriority w:val="99"/>
    <w:semiHidden/>
    <w:unhideWhenUsed/>
    <w:rsid w:val="00A122DB"/>
    <w:rPr>
      <w:rFonts w:ascii="Consolas" w:hAnsi="Consolas"/>
      <w:sz w:val="22"/>
      <w:szCs w:val="20"/>
    </w:rPr>
  </w:style>
  <w:style w:type="character" w:styleId="MquinadeescribirHTML">
    <w:name w:val="HTML Typewriter"/>
    <w:basedOn w:val="Fuentedeprrafopredeter"/>
    <w:uiPriority w:val="99"/>
    <w:semiHidden/>
    <w:unhideWhenUsed/>
    <w:rsid w:val="00A122DB"/>
    <w:rPr>
      <w:rFonts w:ascii="Consolas" w:hAnsi="Consolas"/>
      <w:sz w:val="22"/>
      <w:szCs w:val="20"/>
    </w:rPr>
  </w:style>
  <w:style w:type="paragraph" w:styleId="Textomacro">
    <w:name w:val="macro"/>
    <w:link w:val="TextomacroC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TextomacroCar">
    <w:name w:val="Texto macro Car"/>
    <w:basedOn w:val="Fuentedeprrafopredeter"/>
    <w:link w:val="Textomacro"/>
    <w:uiPriority w:val="99"/>
    <w:semiHidden/>
    <w:rsid w:val="00A122DB"/>
    <w:rPr>
      <w:rFonts w:ascii="Consolas" w:hAnsi="Consolas"/>
      <w:szCs w:val="20"/>
    </w:rPr>
  </w:style>
  <w:style w:type="paragraph" w:styleId="Textosinformato">
    <w:name w:val="Plain Text"/>
    <w:basedOn w:val="Normal"/>
    <w:link w:val="TextosinformatoCar"/>
    <w:uiPriority w:val="99"/>
    <w:semiHidden/>
    <w:unhideWhenUsed/>
    <w:rsid w:val="00A122DB"/>
    <w:pPr>
      <w:spacing w:before="0" w:after="0" w:line="240" w:lineRule="auto"/>
    </w:pPr>
    <w:rPr>
      <w:rFonts w:ascii="Consolas" w:hAnsi="Consolas"/>
      <w:szCs w:val="21"/>
    </w:rPr>
  </w:style>
  <w:style w:type="character" w:customStyle="1" w:styleId="TextosinformatoCar">
    <w:name w:val="Texto sin formato Car"/>
    <w:basedOn w:val="Fuentedeprrafopredeter"/>
    <w:link w:val="Textosinformato"/>
    <w:uiPriority w:val="99"/>
    <w:semiHidden/>
    <w:rsid w:val="00A122DB"/>
    <w:rPr>
      <w:rFonts w:ascii="Consolas" w:hAnsi="Consolas"/>
      <w:szCs w:val="21"/>
    </w:rPr>
  </w:style>
  <w:style w:type="character" w:styleId="Textodelmarcadordeposicin">
    <w:name w:val="Placeholder Text"/>
    <w:basedOn w:val="Fuentedeprrafopredeter"/>
    <w:uiPriority w:val="99"/>
    <w:semiHidden/>
    <w:rsid w:val="00A122DB"/>
    <w:rPr>
      <w:color w:val="595959" w:themeColor="text1" w:themeTint="A6"/>
    </w:rPr>
  </w:style>
  <w:style w:type="paragraph" w:customStyle="1" w:styleId="Estilo1">
    <w:name w:val="Estilo 1"/>
    <w:basedOn w:val="Ttulo"/>
    <w:semiHidden/>
    <w:qFormat/>
    <w:rsid w:val="00101A18"/>
    <w:pPr>
      <w:framePr w:hSpace="187" w:wrap="around" w:vAnchor="page" w:hAnchor="page" w:x="1337" w:y="1043"/>
    </w:pPr>
    <w:rPr>
      <w:bCs/>
      <w:szCs w:val="110"/>
    </w:rPr>
  </w:style>
  <w:style w:type="paragraph" w:customStyle="1" w:styleId="Estilo2">
    <w:name w:val="Estilo2"/>
    <w:basedOn w:val="Subttulo"/>
    <w:semiHidden/>
    <w:qFormat/>
    <w:rsid w:val="00101A18"/>
    <w:pPr>
      <w:framePr w:hSpace="187" w:wrap="around" w:vAnchor="page" w:hAnchor="page" w:x="1337" w:y="1043"/>
      <w:spacing w:line="240" w:lineRule="auto"/>
    </w:pPr>
    <w:rPr>
      <w:rFonts w:ascii="Gill Sans MT" w:hAnsi="Gill Sans MT"/>
    </w:rPr>
  </w:style>
  <w:style w:type="character" w:styleId="Hipervnculo">
    <w:name w:val="Hyperlink"/>
    <w:basedOn w:val="Fuentedeprrafopredeter"/>
    <w:uiPriority w:val="99"/>
    <w:unhideWhenUsed/>
    <w:rsid w:val="00557691"/>
    <w:rPr>
      <w:color w:val="0563C1" w:themeColor="hyperlink"/>
      <w:u w:val="single"/>
    </w:rPr>
  </w:style>
  <w:style w:type="character" w:styleId="Mencinsinresolver">
    <w:name w:val="Unresolved Mention"/>
    <w:basedOn w:val="Fuentedeprrafopredeter"/>
    <w:uiPriority w:val="99"/>
    <w:semiHidden/>
    <w:unhideWhenUsed/>
    <w:rsid w:val="00557691"/>
    <w:rPr>
      <w:color w:val="605E5C"/>
      <w:shd w:val="clear" w:color="auto" w:fill="E1DFDD"/>
    </w:rPr>
  </w:style>
  <w:style w:type="paragraph" w:styleId="Prrafodelista">
    <w:name w:val="List Paragraph"/>
    <w:basedOn w:val="Normal"/>
    <w:uiPriority w:val="34"/>
    <w:semiHidden/>
    <w:qFormat/>
    <w:rsid w:val="00196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hyperlink" Target="mailto:aeafa@aeafa.es"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hyperlink" Target="mailto:aeafa@aeafa.es" TargetMode="External"/><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240670D0CF04CEEAAA193D182A89177"/>
        <w:category>
          <w:name w:val="General"/>
          <w:gallery w:val="placeholder"/>
        </w:category>
        <w:types>
          <w:type w:val="bbPlcHdr"/>
        </w:types>
        <w:behaviors>
          <w:behavior w:val="content"/>
        </w:behaviors>
        <w:guid w:val="{3A886F20-4E9C-4D05-8190-EE75E50AAC65}"/>
      </w:docPartPr>
      <w:docPartBody>
        <w:p w:rsidR="008C14F5" w:rsidRDefault="00B41C63" w:rsidP="00B41C63">
          <w:pPr>
            <w:pStyle w:val="8240670D0CF04CEEAAA193D182A89177"/>
          </w:pPr>
          <w:r w:rsidRPr="00E47672">
            <w:rPr>
              <w:rStyle w:val="TtuloCar"/>
              <w:lang w:bidi="es-ES"/>
            </w:rPr>
            <w:t xml:space="preserve">EL </w:t>
          </w:r>
          <w:r w:rsidRPr="00E47672">
            <w:rPr>
              <w:rStyle w:val="TtuloCar"/>
              <w:lang w:bidi="es-ES"/>
            </w:rPr>
            <w:br/>
            <w:t xml:space="preserve">PODER </w:t>
          </w:r>
          <w:r w:rsidRPr="00E47672">
            <w:rPr>
              <w:rStyle w:val="TtuloCar"/>
              <w:lang w:bidi="es-ES"/>
            </w:rPr>
            <w:br/>
            <w:t>JUDICIAL</w:t>
          </w:r>
        </w:p>
      </w:docPartBody>
    </w:docPart>
    <w:docPart>
      <w:docPartPr>
        <w:name w:val="E9BC694992D747718D44FC256A16E1DF"/>
        <w:category>
          <w:name w:val="General"/>
          <w:gallery w:val="placeholder"/>
        </w:category>
        <w:types>
          <w:type w:val="bbPlcHdr"/>
        </w:types>
        <w:behaviors>
          <w:behavior w:val="content"/>
        </w:behaviors>
        <w:guid w:val="{43239C12-48D1-4C1E-899C-B771F64922B1}"/>
      </w:docPartPr>
      <w:docPartBody>
        <w:p w:rsidR="008C14F5" w:rsidRDefault="00B41C63" w:rsidP="00B41C63">
          <w:pPr>
            <w:pStyle w:val="E9BC694992D747718D44FC256A16E1DF1"/>
          </w:pPr>
          <w:r w:rsidRPr="00E47672">
            <w:rPr>
              <w:lang w:bidi="es-ES"/>
            </w:rPr>
            <w:t>Función y estructura de los tribunales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panose1 w:val="020B0604020202020204"/>
    <w:charset w:val="00"/>
    <w:family w:val="roman"/>
    <w:notTrueType/>
    <w:pitch w:val="default"/>
  </w:font>
  <w:font w:name="Times New Roman (Body CS)">
    <w:altName w:val="Times New Roman"/>
    <w:panose1 w:val="020B0604020202020204"/>
    <w:charset w:val="00"/>
    <w:family w:val="roman"/>
    <w:notTrueType/>
    <w:pitch w:val="default"/>
  </w:font>
  <w:font w:name="Tahoma">
    <w:panose1 w:val="020B0604030504040204"/>
    <w:charset w:val="00"/>
    <w:family w:val="swiss"/>
    <w:notTrueType/>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5781F0C"/>
    <w:lvl w:ilvl="0">
      <w:start w:val="1"/>
      <w:numFmt w:val="bullet"/>
      <w:pStyle w:val="Listaconvietas"/>
      <w:lvlText w:val="−"/>
      <w:lvlJc w:val="left"/>
      <w:pPr>
        <w:ind w:left="720" w:hanging="360"/>
      </w:pPr>
      <w:rPr>
        <w:rFonts w:ascii="Century Gothic" w:hAnsi="Century Gothic" w:hint="default"/>
        <w:color w:val="0D0D0D" w:themeColor="text1" w:themeTint="F2"/>
      </w:rPr>
    </w:lvl>
  </w:abstractNum>
  <w:abstractNum w:abstractNumId="1" w15:restartNumberingAfterBreak="0">
    <w:nsid w:val="11C14188"/>
    <w:multiLevelType w:val="multilevel"/>
    <w:tmpl w:val="8160D5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86196304">
    <w:abstractNumId w:val="0"/>
  </w:num>
  <w:num w:numId="2" w16cid:durableId="178853555">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BF"/>
    <w:rsid w:val="00016FEF"/>
    <w:rsid w:val="001565BF"/>
    <w:rsid w:val="003403B6"/>
    <w:rsid w:val="0036493C"/>
    <w:rsid w:val="006234E0"/>
    <w:rsid w:val="008C14F5"/>
    <w:rsid w:val="008D35B0"/>
    <w:rsid w:val="009675FB"/>
    <w:rsid w:val="00A64DF5"/>
    <w:rsid w:val="00A96203"/>
    <w:rsid w:val="00AE443C"/>
    <w:rsid w:val="00B41C63"/>
    <w:rsid w:val="00C36704"/>
    <w:rsid w:val="00D91915"/>
    <w:rsid w:val="00F47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4"/>
    <w:qFormat/>
    <w:rsid w:val="00B41C63"/>
    <w:pPr>
      <w:keepNext/>
      <w:keepLines/>
      <w:spacing w:before="600" w:after="60" w:line="264" w:lineRule="auto"/>
      <w:outlineLvl w:val="0"/>
    </w:pPr>
    <w:rPr>
      <w:rFonts w:eastAsiaTheme="majorEastAsia" w:cs="Times New Roman (Headings CS)"/>
      <w:b/>
      <w:caps/>
      <w:color w:val="0E2841" w:themeColor="text2"/>
      <w:sz w:val="30"/>
      <w:szCs w:val="30"/>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
    <w:name w:val="List Bullet"/>
    <w:basedOn w:val="Normal"/>
    <w:uiPriority w:val="7"/>
    <w:rsid w:val="00B41C63"/>
    <w:pPr>
      <w:numPr>
        <w:numId w:val="1"/>
      </w:numPr>
      <w:spacing w:before="120" w:after="200" w:line="264" w:lineRule="auto"/>
    </w:pPr>
    <w:rPr>
      <w:color w:val="747474" w:themeColor="background2" w:themeShade="80"/>
      <w:sz w:val="22"/>
      <w:szCs w:val="22"/>
      <w:lang w:eastAsia="ja-JP"/>
    </w:rPr>
  </w:style>
  <w:style w:type="character" w:styleId="Textodelmarcadordeposicin">
    <w:name w:val="Placeholder Text"/>
    <w:basedOn w:val="Fuentedeprrafopredeter"/>
    <w:uiPriority w:val="99"/>
    <w:semiHidden/>
    <w:rsid w:val="00B41C63"/>
    <w:rPr>
      <w:color w:val="595959" w:themeColor="text1" w:themeTint="A6"/>
    </w:rPr>
  </w:style>
  <w:style w:type="paragraph" w:styleId="Ttulo">
    <w:name w:val="Title"/>
    <w:basedOn w:val="Normal"/>
    <w:link w:val="TtuloCar"/>
    <w:uiPriority w:val="2"/>
    <w:unhideWhenUsed/>
    <w:rsid w:val="00B41C63"/>
    <w:pPr>
      <w:adjustRightInd w:val="0"/>
      <w:spacing w:after="40" w:line="1200" w:lineRule="exact"/>
      <w:ind w:left="630"/>
      <w:contextualSpacing/>
    </w:pPr>
    <w:rPr>
      <w:rFonts w:asciiTheme="majorHAnsi" w:eastAsiaTheme="majorEastAsia" w:hAnsiTheme="majorHAnsi" w:cs="Times New Roman (Headings CS)"/>
      <w:b/>
      <w:caps/>
      <w:color w:val="0E2841" w:themeColor="text2"/>
      <w:spacing w:val="30"/>
      <w:kern w:val="28"/>
      <w:sz w:val="110"/>
      <w:szCs w:val="60"/>
      <w:lang w:eastAsia="ja-JP"/>
    </w:rPr>
  </w:style>
  <w:style w:type="character" w:customStyle="1" w:styleId="TtuloCar">
    <w:name w:val="Título Car"/>
    <w:basedOn w:val="Fuentedeprrafopredeter"/>
    <w:link w:val="Ttulo"/>
    <w:uiPriority w:val="2"/>
    <w:rsid w:val="00B41C63"/>
    <w:rPr>
      <w:rFonts w:asciiTheme="majorHAnsi" w:eastAsiaTheme="majorEastAsia" w:hAnsiTheme="majorHAnsi" w:cs="Times New Roman (Headings CS)"/>
      <w:b/>
      <w:caps/>
      <w:color w:val="0E2841" w:themeColor="text2"/>
      <w:spacing w:val="30"/>
      <w:kern w:val="28"/>
      <w:sz w:val="110"/>
      <w:szCs w:val="60"/>
      <w:lang w:eastAsia="ja-JP"/>
    </w:rPr>
  </w:style>
  <w:style w:type="table" w:styleId="Sombreadoclaro">
    <w:name w:val="Light Shading"/>
    <w:basedOn w:val="Tablanormal"/>
    <w:uiPriority w:val="60"/>
    <w:rsid w:val="00B41C63"/>
    <w:pPr>
      <w:spacing w:before="40" w:after="40"/>
    </w:pPr>
    <w:rPr>
      <w:rFonts w:asciiTheme="majorHAnsi" w:eastAsiaTheme="majorEastAsia" w:hAnsiTheme="majorHAnsi" w:cstheme="majorBidi"/>
      <w:color w:val="000000" w:themeColor="text1"/>
      <w:sz w:val="22"/>
      <w:szCs w:val="22"/>
      <w:lang w:eastAsia="ja-JP"/>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Ttulo1Car">
    <w:name w:val="Título 1 Car"/>
    <w:basedOn w:val="Fuentedeprrafopredeter"/>
    <w:link w:val="Ttulo1"/>
    <w:uiPriority w:val="4"/>
    <w:rsid w:val="00B41C63"/>
    <w:rPr>
      <w:rFonts w:eastAsiaTheme="majorEastAsia" w:cs="Times New Roman (Headings CS)"/>
      <w:b/>
      <w:caps/>
      <w:color w:val="0E2841" w:themeColor="text2"/>
      <w:sz w:val="30"/>
      <w:szCs w:val="30"/>
      <w:lang w:eastAsia="ja-JP"/>
    </w:rPr>
  </w:style>
  <w:style w:type="paragraph" w:customStyle="1" w:styleId="8240670D0CF04CEEAAA193D182A89177">
    <w:name w:val="8240670D0CF04CEEAAA193D182A89177"/>
    <w:rsid w:val="00B41C63"/>
    <w:pPr>
      <w:adjustRightInd w:val="0"/>
      <w:spacing w:after="40" w:line="1200" w:lineRule="exact"/>
      <w:ind w:left="630"/>
      <w:contextualSpacing/>
    </w:pPr>
    <w:rPr>
      <w:rFonts w:asciiTheme="majorHAnsi" w:eastAsiaTheme="majorEastAsia" w:hAnsiTheme="majorHAnsi" w:cs="Times New Roman (Headings CS)"/>
      <w:b/>
      <w:caps/>
      <w:color w:val="0E2841" w:themeColor="text2"/>
      <w:spacing w:val="30"/>
      <w:kern w:val="28"/>
      <w:sz w:val="110"/>
      <w:szCs w:val="60"/>
      <w:lang w:eastAsia="ja-JP"/>
    </w:rPr>
  </w:style>
  <w:style w:type="paragraph" w:customStyle="1" w:styleId="E9BC694992D747718D44FC256A16E1DF1">
    <w:name w:val="E9BC694992D747718D44FC256A16E1DF1"/>
    <w:rsid w:val="00B41C63"/>
    <w:pPr>
      <w:numPr>
        <w:ilvl w:val="1"/>
      </w:numPr>
      <w:spacing w:before="300" w:after="40" w:line="264" w:lineRule="auto"/>
      <w:ind w:left="630"/>
      <w:contextualSpacing/>
    </w:pPr>
    <w:rPr>
      <w:rFonts w:eastAsiaTheme="majorEastAsia" w:cstheme="majorBidi"/>
      <w:caps/>
      <w:color w:val="156082" w:themeColor="accent1"/>
      <w:sz w:val="36"/>
      <w:szCs w:val="26"/>
      <w:lang w:eastAsia="ja-JP"/>
    </w:rPr>
  </w:style>
  <w:style w:type="paragraph" w:customStyle="1" w:styleId="881B8FBED53D4907A6479FD1AA6E730F">
    <w:name w:val="881B8FBED53D4907A6479FD1AA6E730F"/>
    <w:rsid w:val="00B41C63"/>
    <w:pPr>
      <w:spacing w:before="360" w:line="264" w:lineRule="auto"/>
      <w:ind w:left="1332"/>
      <w:contextualSpacing/>
    </w:pPr>
    <w:rPr>
      <w:rFonts w:cs="Times New Roman (Body CS)"/>
      <w:bCs/>
      <w:caps/>
      <w:color w:val="FFFFFF" w:themeColor="background1"/>
      <w:sz w:val="32"/>
      <w:szCs w:val="22"/>
      <w:lang w:eastAsia="ja-JP"/>
    </w:rPr>
  </w:style>
  <w:style w:type="paragraph" w:customStyle="1" w:styleId="605B101ECE544F3FA7FCC815EC696BC0">
    <w:name w:val="605B101ECE544F3FA7FCC815EC696BC0"/>
    <w:rsid w:val="00B41C63"/>
    <w:pPr>
      <w:spacing w:before="360" w:line="264" w:lineRule="auto"/>
      <w:ind w:left="1332"/>
      <w:contextualSpacing/>
    </w:pPr>
    <w:rPr>
      <w:rFonts w:cs="Times New Roman (Body CS)"/>
      <w:bCs/>
      <w:caps/>
      <w:color w:val="FFFFFF" w:themeColor="background1"/>
      <w:sz w:val="32"/>
      <w:szCs w:val="22"/>
      <w:lang w:eastAsia="ja-JP"/>
    </w:rPr>
  </w:style>
  <w:style w:type="paragraph" w:customStyle="1" w:styleId="6F6407404D1B4813ACAA42AA8E70717C">
    <w:name w:val="6F6407404D1B4813ACAA42AA8E70717C"/>
    <w:rsid w:val="00B41C63"/>
    <w:pPr>
      <w:spacing w:before="360" w:line="264" w:lineRule="auto"/>
      <w:ind w:left="1332"/>
      <w:contextualSpacing/>
    </w:pPr>
    <w:rPr>
      <w:rFonts w:cs="Times New Roman (Body CS)"/>
      <w:bCs/>
      <w:caps/>
      <w:color w:val="FFFFFF" w:themeColor="background1"/>
      <w:sz w:val="32"/>
      <w:szCs w:val="22"/>
      <w:lang w:eastAsia="ja-JP"/>
    </w:rPr>
  </w:style>
  <w:style w:type="paragraph" w:customStyle="1" w:styleId="94E09C42B2C44943AA1492635A292095">
    <w:name w:val="94E09C42B2C44943AA1492635A292095"/>
    <w:rsid w:val="00B41C63"/>
    <w:pPr>
      <w:keepNext/>
      <w:keepLines/>
      <w:spacing w:before="600" w:after="60" w:line="264" w:lineRule="auto"/>
      <w:outlineLvl w:val="0"/>
    </w:pPr>
    <w:rPr>
      <w:rFonts w:eastAsiaTheme="majorEastAsia" w:cs="Times New Roman (Headings CS)"/>
      <w:b/>
      <w:caps/>
      <w:color w:val="0E2841" w:themeColor="text2"/>
      <w:sz w:val="30"/>
      <w:szCs w:val="30"/>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Student Report">
  <a:themeElements>
    <a:clrScheme name="Student Report">
      <a:dk1>
        <a:srgbClr val="000000"/>
      </a:dk1>
      <a:lt1>
        <a:srgbClr val="FFFFFF"/>
      </a:lt1>
      <a:dk2>
        <a:srgbClr val="44546A"/>
      </a:dk2>
      <a:lt2>
        <a:srgbClr val="E7E6E6"/>
      </a:lt2>
      <a:accent1>
        <a:srgbClr val="006683"/>
      </a:accent1>
      <a:accent2>
        <a:srgbClr val="FF4425"/>
      </a:accent2>
      <a:accent3>
        <a:srgbClr val="F48700"/>
      </a:accent3>
      <a:accent4>
        <a:srgbClr val="F8B90A"/>
      </a:accent4>
      <a:accent5>
        <a:srgbClr val="E6A480"/>
      </a:accent5>
      <a:accent6>
        <a:srgbClr val="00253B"/>
      </a:accent6>
      <a:hlink>
        <a:srgbClr val="0563C1"/>
      </a:hlink>
      <a:folHlink>
        <a:srgbClr val="954F72"/>
      </a:folHlink>
    </a:clrScheme>
    <a:fontScheme name="Custom 93">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24A3C5-2130-4FE4-98A7-C4706FE95226}">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2.xml><?xml version="1.0" encoding="utf-8"?>
<ds:datastoreItem xmlns:ds="http://schemas.openxmlformats.org/officeDocument/2006/customXml" ds:itemID="{F35B2DF4-75B4-48EB-84C5-AD1E3FA0632F}">
  <ds:schemaRefs>
    <ds:schemaRef ds:uri="http://schemas.openxmlformats.org/officeDocument/2006/bibliography"/>
  </ds:schemaRefs>
</ds:datastoreItem>
</file>

<file path=customXml/itemProps3.xml><?xml version="1.0" encoding="utf-8"?>
<ds:datastoreItem xmlns:ds="http://schemas.openxmlformats.org/officeDocument/2006/customXml" ds:itemID="{578C4A7D-43E0-47C4-BCBC-2772E9707865}">
  <ds:schemaRefs>
    <ds:schemaRef ds:uri="http://schemas.microsoft.com/sharepoint/v3/contenttype/forms"/>
  </ds:schemaRefs>
</ds:datastoreItem>
</file>

<file path=customXml/itemProps4.xml><?xml version="1.0" encoding="utf-8"?>
<ds:datastoreItem xmlns:ds="http://schemas.openxmlformats.org/officeDocument/2006/customXml" ds:itemID="{95AA157D-D01B-4796-A3F8-487FA4689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Normal.dotm</Template>
  <TotalTime>0</TotalTime>
  <Pages>17</Pages>
  <Words>8087</Words>
  <Characters>44484</Characters>
  <Application>Microsoft Office Word</Application>
  <DocSecurity>0</DocSecurity>
  <Lines>370</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2024-07-30T11:56:00Z</dcterms:created>
  <dcterms:modified xsi:type="dcterms:W3CDTF">2024-07-30T11:57:00Z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