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01A" w:rsidRPr="00574608" w:rsidRDefault="002B001A" w:rsidP="00574608">
      <w:pPr>
        <w:spacing w:after="0" w:line="240" w:lineRule="auto"/>
        <w:rPr>
          <w:rFonts w:ascii="Garamond" w:hAnsi="Garamond"/>
          <w:sz w:val="24"/>
          <w:szCs w:val="24"/>
        </w:rPr>
      </w:pPr>
    </w:p>
    <w:p w:rsidR="002B001A" w:rsidRPr="00574608" w:rsidRDefault="002B001A" w:rsidP="00574608">
      <w:pPr>
        <w:spacing w:after="0" w:line="240" w:lineRule="auto"/>
        <w:rPr>
          <w:rFonts w:ascii="Garamond" w:hAnsi="Garamond"/>
          <w:sz w:val="24"/>
          <w:szCs w:val="24"/>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9pt;margin-top:2.25pt;width:194.7pt;height:129.6pt;z-index:-251658240" wrapcoords="-83 0 -83 21475 21600 21475 21600 0 -83 0" o:allowoverlap="f">
            <v:imagedata r:id="rId7" o:title=""/>
            <w10:wrap type="tight"/>
          </v:shape>
        </w:pict>
      </w: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r>
        <w:rPr>
          <w:noProof/>
          <w:lang w:val="en-US"/>
        </w:rPr>
        <w:pict>
          <v:shape id="_x0000_s1027" type="#_x0000_t75" style="position:absolute;margin-left:12.8pt;margin-top:5.55pt;width:224.15pt;height:126.45pt;z-index:251659264">
            <v:imagedata r:id="rId8" o:title=""/>
            <w10:wrap type="square"/>
          </v:shape>
        </w:pict>
      </w: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r w:rsidRPr="00574608">
        <w:rPr>
          <w:rFonts w:ascii="Garamond" w:hAnsi="Garamond" w:cs="CenturyGothic-Bold"/>
          <w:b/>
          <w:bCs/>
          <w:color w:val="000000"/>
          <w:sz w:val="24"/>
          <w:szCs w:val="24"/>
          <w:lang w:val="en-US"/>
        </w:rPr>
        <w:t>RAPPORT PARALLÈLE AU COMITÉ DES NATIONS UNIES DES DROITS DE L'HOMME</w:t>
      </w: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smartTag w:uri="urn:schemas-microsoft-com:office:smarttags" w:element="country-region">
        <w:smartTag w:uri="urn:schemas-microsoft-com:office:smarttags" w:element="place">
          <w:r w:rsidRPr="00574608">
            <w:rPr>
              <w:rFonts w:ascii="Garamond" w:hAnsi="Garamond" w:cs="CenturyGothic-Bold"/>
              <w:b/>
              <w:bCs/>
              <w:color w:val="000000"/>
              <w:sz w:val="24"/>
              <w:szCs w:val="24"/>
              <w:lang w:val="en-US"/>
            </w:rPr>
            <w:t>Burundi</w:t>
          </w:r>
        </w:smartTag>
      </w:smartTag>
      <w:r w:rsidRPr="00574608">
        <w:rPr>
          <w:rFonts w:ascii="Garamond" w:hAnsi="Garamond" w:cs="CenturyGothic-Bold"/>
          <w:b/>
          <w:bCs/>
          <w:color w:val="000000"/>
          <w:sz w:val="24"/>
          <w:szCs w:val="24"/>
          <w:lang w:val="en-US"/>
        </w:rPr>
        <w:t>, 112e Session (7 Oct 2014 à 31 Oct 2014)</w:t>
      </w: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r w:rsidRPr="00574608">
        <w:rPr>
          <w:rFonts w:ascii="Garamond" w:hAnsi="Garamond" w:cs="CenturyGothic-Bold"/>
          <w:b/>
          <w:bCs/>
          <w:color w:val="000000"/>
          <w:sz w:val="24"/>
          <w:szCs w:val="24"/>
          <w:lang w:val="en-US"/>
        </w:rPr>
        <w:t>________________________________________________________________________</w:t>
      </w: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r w:rsidRPr="00574608">
        <w:rPr>
          <w:rStyle w:val="hps"/>
          <w:rFonts w:ascii="Garamond" w:hAnsi="Garamond"/>
          <w:b/>
          <w:sz w:val="24"/>
          <w:szCs w:val="24"/>
        </w:rPr>
        <w:t>Soumis</w:t>
      </w:r>
      <w:r w:rsidRPr="00574608">
        <w:rPr>
          <w:rStyle w:val="shorttext"/>
          <w:rFonts w:ascii="Garamond" w:hAnsi="Garamond"/>
          <w:b/>
          <w:sz w:val="24"/>
          <w:szCs w:val="24"/>
        </w:rPr>
        <w:t xml:space="preserve"> </w:t>
      </w:r>
      <w:r w:rsidRPr="00574608">
        <w:rPr>
          <w:rStyle w:val="hps"/>
          <w:rFonts w:ascii="Garamond" w:hAnsi="Garamond"/>
          <w:b/>
          <w:sz w:val="24"/>
          <w:szCs w:val="24"/>
        </w:rPr>
        <w:t>par</w:t>
      </w:r>
      <w:r w:rsidRPr="00574608">
        <w:rPr>
          <w:rStyle w:val="shorttext"/>
          <w:rFonts w:ascii="Garamond" w:hAnsi="Garamond"/>
          <w:b/>
          <w:sz w:val="24"/>
          <w:szCs w:val="24"/>
        </w:rPr>
        <w:t>:</w:t>
      </w: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r w:rsidRPr="00574608">
        <w:rPr>
          <w:rFonts w:ascii="Garamond" w:hAnsi="Garamond" w:cs="CenturyGothic-Bold"/>
          <w:b/>
          <w:bCs/>
          <w:color w:val="000000"/>
          <w:sz w:val="24"/>
          <w:szCs w:val="24"/>
          <w:lang w:val="en-US"/>
        </w:rPr>
        <w:t xml:space="preserve">ActionAid </w:t>
      </w:r>
      <w:smartTag w:uri="urn:schemas-microsoft-com:office:smarttags" w:element="place">
        <w:r w:rsidRPr="00574608">
          <w:rPr>
            <w:rFonts w:ascii="Garamond" w:hAnsi="Garamond" w:cs="CenturyGothic-Bold"/>
            <w:b/>
            <w:bCs/>
            <w:color w:val="000000"/>
            <w:sz w:val="24"/>
            <w:szCs w:val="24"/>
            <w:lang w:val="en-US"/>
          </w:rPr>
          <w:t>Burundi</w:t>
        </w:r>
      </w:smartTag>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jc w:val="center"/>
        <w:rPr>
          <w:rFonts w:ascii="Garamond" w:hAnsi="Garamond" w:cs="CenturyGothic-Bold"/>
          <w:b/>
          <w:bCs/>
          <w:i/>
          <w:iCs/>
          <w:color w:val="000000"/>
          <w:sz w:val="24"/>
          <w:szCs w:val="24"/>
          <w:lang w:val="en-US"/>
        </w:rPr>
      </w:pPr>
      <w:r w:rsidRPr="00574608">
        <w:rPr>
          <w:rFonts w:ascii="Garamond" w:hAnsi="Garamond" w:cs="CenturyGothic-Bold"/>
          <w:b/>
          <w:bCs/>
          <w:i/>
          <w:iCs/>
          <w:color w:val="000000"/>
          <w:sz w:val="24"/>
          <w:szCs w:val="24"/>
          <w:lang w:val="en-US"/>
        </w:rPr>
        <w:t>et</w:t>
      </w: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p>
    <w:p w:rsidR="002B001A" w:rsidRPr="00574608" w:rsidRDefault="002B001A" w:rsidP="00574608">
      <w:pPr>
        <w:autoSpaceDE w:val="0"/>
        <w:autoSpaceDN w:val="0"/>
        <w:adjustRightInd w:val="0"/>
        <w:spacing w:after="0" w:line="240" w:lineRule="auto"/>
        <w:jc w:val="center"/>
        <w:rPr>
          <w:rFonts w:ascii="Garamond" w:hAnsi="Garamond" w:cs="CenturyGothic-Bold"/>
          <w:b/>
          <w:bCs/>
          <w:i/>
          <w:iCs/>
          <w:color w:val="000000"/>
          <w:sz w:val="24"/>
          <w:szCs w:val="24"/>
          <w:lang w:val="en-US"/>
        </w:rPr>
      </w:pPr>
      <w:r w:rsidRPr="00574608">
        <w:rPr>
          <w:rFonts w:ascii="Garamond" w:hAnsi="Garamond" w:cs="CenturyGothic-Bold"/>
          <w:b/>
          <w:bCs/>
          <w:color w:val="000000"/>
          <w:sz w:val="24"/>
          <w:szCs w:val="24"/>
          <w:lang w:val="en-US"/>
        </w:rPr>
        <w:t>L'Initiative mondiale pour les droits économiques, sociaux et culturels (GI-ESCR)</w:t>
      </w:r>
    </w:p>
    <w:p w:rsidR="002B001A" w:rsidRPr="00574608" w:rsidRDefault="002B001A" w:rsidP="00574608">
      <w:pPr>
        <w:autoSpaceDE w:val="0"/>
        <w:autoSpaceDN w:val="0"/>
        <w:adjustRightInd w:val="0"/>
        <w:spacing w:after="0" w:line="240" w:lineRule="auto"/>
        <w:jc w:val="center"/>
        <w:rPr>
          <w:rFonts w:ascii="Garamond" w:hAnsi="Garamond" w:cs="CenturyGothic-Bold"/>
          <w:b/>
          <w:bCs/>
          <w:color w:val="000000"/>
          <w:sz w:val="24"/>
          <w:szCs w:val="24"/>
          <w:lang w:val="en-US"/>
        </w:rPr>
      </w:pPr>
    </w:p>
    <w:p w:rsidR="002B001A" w:rsidRPr="00574608" w:rsidRDefault="002B001A" w:rsidP="00574608">
      <w:pPr>
        <w:tabs>
          <w:tab w:val="left" w:pos="0"/>
        </w:tabs>
        <w:spacing w:after="0" w:line="240" w:lineRule="auto"/>
        <w:rPr>
          <w:rFonts w:ascii="Garamond" w:hAnsi="Garamond"/>
          <w:b/>
          <w:sz w:val="24"/>
          <w:szCs w:val="24"/>
        </w:rPr>
      </w:pPr>
    </w:p>
    <w:p w:rsidR="002B001A" w:rsidRDefault="002B001A" w:rsidP="00574608">
      <w:pPr>
        <w:pStyle w:val="Heading1"/>
        <w:numPr>
          <w:ilvl w:val="0"/>
          <w:numId w:val="0"/>
        </w:numPr>
        <w:spacing w:before="0" w:after="0" w:line="240" w:lineRule="auto"/>
        <w:rPr>
          <w:rFonts w:ascii="Garamond" w:hAnsi="Garamond"/>
          <w:sz w:val="24"/>
          <w:szCs w:val="24"/>
        </w:rPr>
      </w:pPr>
      <w:bookmarkStart w:id="0" w:name="_Toc385356812"/>
      <w:bookmarkStart w:id="1" w:name="_Toc386566483"/>
      <w:bookmarkStart w:id="2" w:name="_Toc386567105"/>
    </w:p>
    <w:p w:rsidR="002B001A" w:rsidRDefault="002B001A" w:rsidP="00574608">
      <w:pPr>
        <w:pStyle w:val="Heading1"/>
        <w:numPr>
          <w:ilvl w:val="0"/>
          <w:numId w:val="0"/>
        </w:numPr>
        <w:spacing w:before="0" w:after="0" w:line="240" w:lineRule="auto"/>
        <w:rPr>
          <w:rFonts w:ascii="Garamond" w:hAnsi="Garamond"/>
          <w:sz w:val="24"/>
          <w:szCs w:val="24"/>
        </w:rPr>
      </w:pPr>
    </w:p>
    <w:p w:rsidR="002B001A" w:rsidRDefault="002B001A" w:rsidP="00574608">
      <w:pPr>
        <w:pStyle w:val="Heading1"/>
        <w:numPr>
          <w:ilvl w:val="0"/>
          <w:numId w:val="0"/>
        </w:numPr>
        <w:spacing w:before="0" w:after="0" w:line="240" w:lineRule="auto"/>
        <w:rPr>
          <w:rFonts w:ascii="Garamond" w:hAnsi="Garamond"/>
          <w:sz w:val="24"/>
          <w:szCs w:val="24"/>
        </w:rPr>
      </w:pPr>
    </w:p>
    <w:p w:rsidR="002B001A" w:rsidRDefault="002B001A" w:rsidP="00473D58"/>
    <w:p w:rsidR="002B001A" w:rsidRDefault="002B001A" w:rsidP="00473D58"/>
    <w:p w:rsidR="002B001A" w:rsidRPr="00473D58" w:rsidRDefault="002B001A" w:rsidP="00473D58"/>
    <w:p w:rsidR="002B001A" w:rsidRDefault="002B001A" w:rsidP="00574608">
      <w:pPr>
        <w:pStyle w:val="Heading1"/>
        <w:numPr>
          <w:ilvl w:val="0"/>
          <w:numId w:val="0"/>
        </w:numPr>
        <w:spacing w:before="0" w:after="0" w:line="240" w:lineRule="auto"/>
        <w:rPr>
          <w:rFonts w:ascii="Garamond" w:hAnsi="Garamond"/>
          <w:sz w:val="24"/>
          <w:szCs w:val="24"/>
        </w:rPr>
      </w:pPr>
    </w:p>
    <w:p w:rsidR="002B001A" w:rsidRDefault="002B001A" w:rsidP="00574608">
      <w:pPr>
        <w:pStyle w:val="Heading1"/>
        <w:numPr>
          <w:ilvl w:val="0"/>
          <w:numId w:val="0"/>
        </w:numPr>
        <w:spacing w:before="0" w:after="0" w:line="240" w:lineRule="auto"/>
        <w:rPr>
          <w:rFonts w:ascii="Garamond" w:hAnsi="Garamond"/>
          <w:sz w:val="24"/>
          <w:szCs w:val="24"/>
        </w:rPr>
      </w:pPr>
    </w:p>
    <w:p w:rsidR="002B001A" w:rsidRPr="00574608" w:rsidRDefault="002B001A" w:rsidP="00473D58">
      <w:pPr>
        <w:pStyle w:val="Heading1"/>
        <w:numPr>
          <w:ilvl w:val="0"/>
          <w:numId w:val="0"/>
        </w:numPr>
        <w:spacing w:before="0" w:after="0" w:line="240" w:lineRule="auto"/>
        <w:jc w:val="center"/>
        <w:rPr>
          <w:rFonts w:ascii="Garamond" w:hAnsi="Garamond"/>
          <w:sz w:val="24"/>
          <w:szCs w:val="24"/>
        </w:rPr>
      </w:pPr>
      <w:r w:rsidRPr="00473D58">
        <w:rPr>
          <w:rFonts w:ascii="Garamond" w:hAnsi="Garamond"/>
          <w:sz w:val="20"/>
          <w:szCs w:val="20"/>
        </w:rPr>
        <w:t>12 Septembre 2014</w:t>
      </w:r>
      <w:r w:rsidRPr="00574608">
        <w:rPr>
          <w:rFonts w:ascii="Garamond" w:hAnsi="Garamond"/>
          <w:sz w:val="24"/>
          <w:szCs w:val="24"/>
        </w:rPr>
        <w:br w:type="page"/>
        <w:t>LA FEMME BURUNDAISE FACE A LA PROPRIETE</w:t>
      </w:r>
      <w:bookmarkEnd w:id="0"/>
      <w:bookmarkEnd w:id="1"/>
      <w:bookmarkEnd w:id="2"/>
    </w:p>
    <w:p w:rsidR="002B001A" w:rsidRPr="00574608" w:rsidRDefault="002B001A" w:rsidP="00574608">
      <w:pPr>
        <w:pStyle w:val="Heading1"/>
        <w:numPr>
          <w:ilvl w:val="0"/>
          <w:numId w:val="0"/>
        </w:numPr>
        <w:spacing w:before="0" w:after="0" w:line="240" w:lineRule="auto"/>
        <w:rPr>
          <w:rFonts w:ascii="Garamond" w:hAnsi="Garamond"/>
          <w:b w:val="0"/>
          <w:sz w:val="24"/>
          <w:szCs w:val="24"/>
        </w:rPr>
      </w:pPr>
      <w:bookmarkStart w:id="3" w:name="_Toc386566484"/>
      <w:bookmarkStart w:id="4" w:name="_Toc386567106"/>
      <w:r w:rsidRPr="00574608">
        <w:rPr>
          <w:rFonts w:ascii="Garamond" w:hAnsi="Garamond"/>
          <w:b w:val="0"/>
          <w:sz w:val="24"/>
          <w:szCs w:val="24"/>
        </w:rPr>
        <w:t>Ce rapport traite de la situation des droits des femmes à la terre et à la propriété au Burundi, selon le cas aux articles 2, 3 et 26 de la Convention.  L’évaluation de l’effectivité du droit de propriété repose le niveau d’accès et le degré de contrôle que l’on a sur le bien sur lequel porte ce droit, d’où l’intérêt de définir les deux notions.</w:t>
      </w:r>
      <w:bookmarkEnd w:id="3"/>
      <w:bookmarkEnd w:id="4"/>
      <w:r w:rsidRPr="00574608">
        <w:rPr>
          <w:rFonts w:ascii="Garamond" w:hAnsi="Garamond"/>
          <w:b w:val="0"/>
          <w:sz w:val="24"/>
          <w:szCs w:val="24"/>
        </w:rPr>
        <w:t xml:space="preserve"> </w:t>
      </w:r>
    </w:p>
    <w:p w:rsidR="002B001A" w:rsidRPr="00574608" w:rsidRDefault="002B001A" w:rsidP="00574608">
      <w:pPr>
        <w:pStyle w:val="Heading2"/>
        <w:numPr>
          <w:ilvl w:val="0"/>
          <w:numId w:val="0"/>
        </w:numPr>
        <w:spacing w:before="0" w:after="0" w:line="240" w:lineRule="auto"/>
        <w:rPr>
          <w:rFonts w:ascii="Garamond" w:hAnsi="Garamond"/>
          <w:sz w:val="24"/>
          <w:szCs w:val="24"/>
        </w:rPr>
      </w:pPr>
      <w:bookmarkStart w:id="5" w:name="_Toc385356813"/>
      <w:bookmarkStart w:id="6" w:name="_Toc386566485"/>
      <w:bookmarkStart w:id="7" w:name="_Toc386567107"/>
    </w:p>
    <w:p w:rsidR="002B001A" w:rsidRPr="00574608" w:rsidRDefault="002B001A" w:rsidP="00574608">
      <w:pPr>
        <w:pStyle w:val="Heading2"/>
        <w:numPr>
          <w:ilvl w:val="0"/>
          <w:numId w:val="0"/>
        </w:numPr>
        <w:spacing w:before="0" w:after="0" w:line="240" w:lineRule="auto"/>
        <w:rPr>
          <w:rFonts w:ascii="Garamond" w:hAnsi="Garamond"/>
          <w:sz w:val="24"/>
          <w:szCs w:val="24"/>
          <w:u w:val="single"/>
        </w:rPr>
      </w:pPr>
      <w:r w:rsidRPr="00574608">
        <w:rPr>
          <w:rFonts w:ascii="Garamond" w:hAnsi="Garamond"/>
          <w:sz w:val="24"/>
          <w:szCs w:val="24"/>
          <w:u w:val="single"/>
        </w:rPr>
        <w:t>1. Notions</w:t>
      </w:r>
      <w:bookmarkEnd w:id="5"/>
      <w:bookmarkEnd w:id="6"/>
      <w:bookmarkEnd w:id="7"/>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bookmarkStart w:id="8" w:name="_Toc385356814"/>
      <w:bookmarkStart w:id="9" w:name="_Toc386566486"/>
      <w:bookmarkStart w:id="10" w:name="_Toc386567108"/>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r w:rsidRPr="00574608">
        <w:rPr>
          <w:rFonts w:ascii="Garamond" w:hAnsi="Garamond" w:cs="Times New Roman"/>
          <w:sz w:val="24"/>
          <w:szCs w:val="24"/>
        </w:rPr>
        <w:t>1.1 Accès et contrôle</w:t>
      </w:r>
      <w:bookmarkEnd w:id="8"/>
      <w:bookmarkEnd w:id="9"/>
      <w:bookmarkEnd w:id="10"/>
      <w:r w:rsidRPr="00574608">
        <w:rPr>
          <w:rFonts w:ascii="Garamond" w:hAnsi="Garamond" w:cs="Times New Roman"/>
          <w:sz w:val="24"/>
          <w:szCs w:val="24"/>
        </w:rPr>
        <w:t xml:space="preserve"> </w:t>
      </w:r>
    </w:p>
    <w:p w:rsidR="002B001A" w:rsidRPr="00574608" w:rsidRDefault="002B001A" w:rsidP="00574608">
      <w:pPr>
        <w:spacing w:after="0" w:line="240" w:lineRule="auto"/>
        <w:rPr>
          <w:rFonts w:ascii="Garamond" w:hAnsi="Garamond"/>
          <w:sz w:val="24"/>
          <w:szCs w:val="24"/>
        </w:rPr>
      </w:pPr>
      <w:r w:rsidRPr="00574608">
        <w:rPr>
          <w:rFonts w:ascii="Garamond" w:hAnsi="Garamond"/>
          <w:b/>
          <w:sz w:val="24"/>
          <w:szCs w:val="24"/>
          <w:lang w:eastAsia="fr-FR"/>
        </w:rPr>
        <w:t>Par accès</w:t>
      </w:r>
      <w:r w:rsidRPr="00574608">
        <w:rPr>
          <w:rFonts w:ascii="Garamond" w:hAnsi="Garamond"/>
          <w:sz w:val="24"/>
          <w:szCs w:val="24"/>
          <w:lang w:eastAsia="fr-FR"/>
        </w:rPr>
        <w:t xml:space="preserve">, on entend la possibilité, l’autorisation qu’a une personne </w:t>
      </w:r>
      <w:r w:rsidRPr="00574608">
        <w:rPr>
          <w:rFonts w:ascii="Garamond" w:hAnsi="Garamond"/>
          <w:sz w:val="24"/>
          <w:szCs w:val="24"/>
        </w:rPr>
        <w:t xml:space="preserve">d’utiliser les ressources ou un bénéfice, sans pouvoir décider de l’usage. Par exemple de manière générale, la femme a le droit ou l’autorisation de cultiver la terre familial, d’habiter la maison familial, etc. </w:t>
      </w:r>
    </w:p>
    <w:p w:rsidR="002B001A" w:rsidRPr="00574608" w:rsidRDefault="002B001A" w:rsidP="00574608">
      <w:pPr>
        <w:spacing w:after="0" w:line="240" w:lineRule="auto"/>
        <w:rPr>
          <w:rFonts w:ascii="Garamond" w:hAnsi="Garamond"/>
          <w:sz w:val="24"/>
          <w:szCs w:val="24"/>
        </w:rPr>
      </w:pPr>
    </w:p>
    <w:p w:rsidR="002B001A" w:rsidRPr="00574608" w:rsidRDefault="002B001A" w:rsidP="00574608">
      <w:pPr>
        <w:spacing w:after="0" w:line="240" w:lineRule="auto"/>
        <w:rPr>
          <w:rFonts w:ascii="Garamond" w:hAnsi="Garamond"/>
          <w:sz w:val="24"/>
          <w:szCs w:val="24"/>
        </w:rPr>
      </w:pPr>
      <w:r w:rsidRPr="00574608">
        <w:rPr>
          <w:rFonts w:ascii="Garamond" w:hAnsi="Garamond"/>
          <w:b/>
          <w:sz w:val="24"/>
          <w:szCs w:val="24"/>
        </w:rPr>
        <w:t>Contrôle</w:t>
      </w:r>
      <w:r w:rsidRPr="00574608">
        <w:rPr>
          <w:rFonts w:ascii="Garamond" w:hAnsi="Garamond"/>
          <w:sz w:val="24"/>
          <w:szCs w:val="24"/>
        </w:rPr>
        <w:t xml:space="preserve"> : le contrôle est en fait un deuxième niveau et qui est le plus important. Il s’agit d’un droit de décider de l’usage d’une ressource ou d’un bénéfice, c’est la main mise, le pourvoir de décider notamment de l’aliénation de son bien, de la libre affectation ou gestion des récoltes issues de la terre, etc. </w:t>
      </w:r>
    </w:p>
    <w:p w:rsidR="002B001A" w:rsidRPr="00574608" w:rsidRDefault="002B001A" w:rsidP="00574608">
      <w:pPr>
        <w:spacing w:after="0" w:line="240" w:lineRule="auto"/>
        <w:rPr>
          <w:rFonts w:ascii="Garamond" w:hAnsi="Garamond"/>
          <w:sz w:val="24"/>
          <w:szCs w:val="24"/>
        </w:rPr>
      </w:pPr>
    </w:p>
    <w:p w:rsidR="002B001A" w:rsidRPr="00574608" w:rsidRDefault="002B001A" w:rsidP="00574608">
      <w:pPr>
        <w:spacing w:after="0" w:line="240" w:lineRule="auto"/>
        <w:rPr>
          <w:rFonts w:ascii="Garamond" w:hAnsi="Garamond"/>
          <w:sz w:val="24"/>
          <w:szCs w:val="24"/>
        </w:rPr>
      </w:pPr>
      <w:r w:rsidRPr="00574608">
        <w:rPr>
          <w:rFonts w:ascii="Garamond" w:hAnsi="Garamond"/>
          <w:sz w:val="24"/>
          <w:szCs w:val="24"/>
        </w:rPr>
        <w:t>L’accès à la propriété par la femme burundaise fait préalablement sous-entendre les modes d’acquisition à la propriété : Il s’agit essentiellement de la voie successorale et des conventions comme la donation ou l’achat.</w:t>
      </w:r>
    </w:p>
    <w:p w:rsidR="002B001A" w:rsidRPr="00574608" w:rsidRDefault="002B001A" w:rsidP="00574608">
      <w:pPr>
        <w:pStyle w:val="Heading2"/>
        <w:numPr>
          <w:ilvl w:val="0"/>
          <w:numId w:val="0"/>
        </w:numPr>
        <w:spacing w:before="0" w:after="0" w:line="240" w:lineRule="auto"/>
        <w:rPr>
          <w:rFonts w:ascii="Garamond" w:hAnsi="Garamond"/>
          <w:sz w:val="24"/>
          <w:szCs w:val="24"/>
        </w:rPr>
      </w:pPr>
      <w:bookmarkStart w:id="11" w:name="_Toc385356815"/>
      <w:bookmarkStart w:id="12" w:name="_Toc386566487"/>
      <w:bookmarkStart w:id="13" w:name="_Toc386567109"/>
    </w:p>
    <w:p w:rsidR="002B001A" w:rsidRPr="00574608" w:rsidRDefault="002B001A" w:rsidP="00574608">
      <w:pPr>
        <w:pStyle w:val="Heading2"/>
        <w:numPr>
          <w:ilvl w:val="0"/>
          <w:numId w:val="0"/>
        </w:numPr>
        <w:spacing w:before="0" w:after="0" w:line="240" w:lineRule="auto"/>
        <w:rPr>
          <w:rFonts w:ascii="Garamond" w:hAnsi="Garamond"/>
          <w:sz w:val="24"/>
          <w:szCs w:val="24"/>
          <w:u w:val="single"/>
        </w:rPr>
      </w:pPr>
      <w:r w:rsidRPr="00574608">
        <w:rPr>
          <w:rFonts w:ascii="Garamond" w:hAnsi="Garamond"/>
          <w:sz w:val="24"/>
          <w:szCs w:val="24"/>
          <w:u w:val="single"/>
        </w:rPr>
        <w:t>2. Mode d’acquisition de la propriété</w:t>
      </w:r>
      <w:bookmarkEnd w:id="11"/>
      <w:bookmarkEnd w:id="12"/>
      <w:bookmarkEnd w:id="13"/>
    </w:p>
    <w:p w:rsidR="002B001A" w:rsidRPr="00574608" w:rsidRDefault="002B001A" w:rsidP="00574608">
      <w:pPr>
        <w:spacing w:after="0" w:line="240" w:lineRule="auto"/>
        <w:rPr>
          <w:rFonts w:ascii="Garamond" w:hAnsi="Garamond"/>
          <w:sz w:val="24"/>
          <w:szCs w:val="24"/>
        </w:rPr>
      </w:pPr>
    </w:p>
    <w:p w:rsidR="002B001A" w:rsidRPr="00574608" w:rsidRDefault="002B001A" w:rsidP="00574608">
      <w:pPr>
        <w:spacing w:after="0" w:line="240" w:lineRule="auto"/>
        <w:rPr>
          <w:rFonts w:ascii="Garamond" w:hAnsi="Garamond"/>
          <w:sz w:val="24"/>
          <w:szCs w:val="24"/>
        </w:rPr>
      </w:pPr>
      <w:r w:rsidRPr="00574608">
        <w:rPr>
          <w:rFonts w:ascii="Garamond" w:hAnsi="Garamond"/>
          <w:sz w:val="24"/>
          <w:szCs w:val="24"/>
        </w:rPr>
        <w:t>Nous reviendrons successivement sur la coutume et la donation.</w:t>
      </w:r>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bookmarkStart w:id="14" w:name="_Toc385356816"/>
      <w:bookmarkStart w:id="15" w:name="_Toc386566488"/>
      <w:bookmarkStart w:id="16" w:name="_Toc386567110"/>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r w:rsidRPr="00574608">
        <w:rPr>
          <w:rFonts w:ascii="Garamond" w:hAnsi="Garamond" w:cs="Times New Roman"/>
          <w:sz w:val="24"/>
          <w:szCs w:val="24"/>
        </w:rPr>
        <w:t>2.1 Acquisition d’une propriété par voie successorale : un mode discriminatoire à l’égard de la femme</w:t>
      </w:r>
      <w:bookmarkEnd w:id="14"/>
      <w:bookmarkEnd w:id="15"/>
      <w:bookmarkEnd w:id="16"/>
    </w:p>
    <w:p w:rsidR="002B001A" w:rsidRPr="00574608" w:rsidRDefault="002B001A" w:rsidP="00574608">
      <w:pPr>
        <w:spacing w:after="0" w:line="240" w:lineRule="auto"/>
        <w:rPr>
          <w:rFonts w:ascii="Garamond" w:hAnsi="Garamond"/>
          <w:sz w:val="24"/>
          <w:szCs w:val="24"/>
        </w:rPr>
      </w:pPr>
      <w:r w:rsidRPr="00574608">
        <w:rPr>
          <w:rFonts w:ascii="Garamond" w:hAnsi="Garamond"/>
          <w:bCs/>
          <w:sz w:val="24"/>
          <w:szCs w:val="24"/>
        </w:rPr>
        <w:t>La coutume burundaise organise des modes d’accès à la propriété foncière.</w:t>
      </w:r>
      <w:r w:rsidRPr="00574608">
        <w:rPr>
          <w:rStyle w:val="FootnoteReference"/>
          <w:rFonts w:ascii="Garamond" w:hAnsi="Garamond"/>
          <w:bCs/>
          <w:sz w:val="24"/>
          <w:szCs w:val="24"/>
        </w:rPr>
        <w:footnoteReference w:id="1"/>
      </w:r>
      <w:r w:rsidRPr="00574608">
        <w:rPr>
          <w:rFonts w:ascii="Garamond" w:hAnsi="Garamond"/>
          <w:bCs/>
          <w:sz w:val="24"/>
          <w:szCs w:val="24"/>
        </w:rPr>
        <w:t xml:space="preserve"> Le plus usuel porte sur les successions. En effet, la plupart des propriétés foncières sont acquises par voie successorale. </w:t>
      </w:r>
      <w:r w:rsidRPr="00574608">
        <w:rPr>
          <w:rFonts w:ascii="Garamond" w:hAnsi="Garamond"/>
          <w:sz w:val="24"/>
          <w:szCs w:val="24"/>
        </w:rPr>
        <w:t xml:space="preserve">Il existe deux types de successions: la succession testamentaire et la succession </w:t>
      </w:r>
      <w:r w:rsidRPr="00574608">
        <w:rPr>
          <w:rFonts w:ascii="Garamond" w:hAnsi="Garamond"/>
          <w:i/>
          <w:sz w:val="24"/>
          <w:szCs w:val="24"/>
        </w:rPr>
        <w:t>ab intestat</w:t>
      </w:r>
      <w:r w:rsidRPr="00574608">
        <w:rPr>
          <w:rFonts w:ascii="Garamond" w:hAnsi="Garamond"/>
          <w:sz w:val="24"/>
          <w:szCs w:val="24"/>
        </w:rPr>
        <w:t>.</w:t>
      </w:r>
    </w:p>
    <w:p w:rsidR="002B001A" w:rsidRPr="00574608" w:rsidRDefault="002B001A" w:rsidP="00574608">
      <w:pPr>
        <w:spacing w:after="0" w:line="240" w:lineRule="auto"/>
        <w:ind w:left="360"/>
        <w:rPr>
          <w:rFonts w:ascii="Garamond" w:hAnsi="Garamond"/>
          <w:b/>
          <w:bCs/>
          <w:sz w:val="24"/>
          <w:szCs w:val="24"/>
        </w:rPr>
      </w:pPr>
    </w:p>
    <w:p w:rsidR="002B001A" w:rsidRPr="00574608" w:rsidRDefault="002B001A" w:rsidP="00574608">
      <w:pPr>
        <w:spacing w:after="0" w:line="240" w:lineRule="auto"/>
        <w:rPr>
          <w:rFonts w:ascii="Garamond" w:hAnsi="Garamond"/>
          <w:sz w:val="24"/>
          <w:szCs w:val="24"/>
        </w:rPr>
      </w:pPr>
      <w:r w:rsidRPr="00574608">
        <w:rPr>
          <w:rFonts w:ascii="Garamond" w:hAnsi="Garamond"/>
          <w:sz w:val="24"/>
          <w:szCs w:val="24"/>
        </w:rPr>
        <w:t xml:space="preserve">On parle de succession </w:t>
      </w:r>
      <w:r w:rsidRPr="00574608">
        <w:rPr>
          <w:rFonts w:ascii="Garamond" w:hAnsi="Garamond"/>
          <w:i/>
          <w:sz w:val="24"/>
          <w:szCs w:val="24"/>
        </w:rPr>
        <w:t>ab intestat</w:t>
      </w:r>
      <w:r w:rsidRPr="00574608">
        <w:rPr>
          <w:rFonts w:ascii="Garamond" w:hAnsi="Garamond"/>
          <w:sz w:val="24"/>
          <w:szCs w:val="24"/>
        </w:rPr>
        <w:t xml:space="preserve"> quand le défunt meurt sans exprimer sa volonté sur la façon dont ses héritiers se partageront son patrimoine après sa mort. En droit coutumier, la succession </w:t>
      </w:r>
      <w:r w:rsidRPr="00574608">
        <w:rPr>
          <w:rFonts w:ascii="Garamond" w:hAnsi="Garamond"/>
          <w:i/>
          <w:sz w:val="24"/>
          <w:szCs w:val="24"/>
        </w:rPr>
        <w:t>ab intestat</w:t>
      </w:r>
      <w:r w:rsidRPr="00574608">
        <w:rPr>
          <w:rFonts w:ascii="Garamond" w:hAnsi="Garamond"/>
          <w:sz w:val="24"/>
          <w:szCs w:val="24"/>
        </w:rPr>
        <w:t xml:space="preserve"> est dévolue aux membres de sa famille les plus proches. Ce sont généralement les membres mâles de la lignée paternelle car le système burundais est patrilinéaire. La coutume admet deux catégories d’héritiers. Les héritiers peuvent être légitimes</w:t>
      </w:r>
      <w:r w:rsidRPr="00574608">
        <w:rPr>
          <w:rStyle w:val="FootnoteReference"/>
          <w:rFonts w:ascii="Garamond" w:hAnsi="Garamond"/>
          <w:sz w:val="24"/>
          <w:szCs w:val="24"/>
        </w:rPr>
        <w:footnoteReference w:id="2"/>
      </w:r>
      <w:r w:rsidRPr="00574608">
        <w:rPr>
          <w:rFonts w:ascii="Garamond" w:hAnsi="Garamond"/>
          <w:sz w:val="24"/>
          <w:szCs w:val="24"/>
        </w:rPr>
        <w:t xml:space="preserve"> ou irréguliers.</w:t>
      </w:r>
      <w:r w:rsidRPr="00574608">
        <w:rPr>
          <w:rStyle w:val="FootnoteReference"/>
          <w:rFonts w:ascii="Garamond" w:hAnsi="Garamond"/>
          <w:sz w:val="24"/>
          <w:szCs w:val="24"/>
        </w:rPr>
        <w:footnoteReference w:id="3"/>
      </w:r>
      <w:r w:rsidRPr="00574608">
        <w:rPr>
          <w:rFonts w:ascii="Garamond" w:hAnsi="Garamond"/>
          <w:sz w:val="24"/>
          <w:szCs w:val="24"/>
        </w:rPr>
        <w:t xml:space="preserve"> En définitive, la femme burundaise était et reste quasi exclue à l’accès au droit de propriété par voie successorale ne fût-ce en ce considérant son degré d’héritier. </w:t>
      </w:r>
    </w:p>
    <w:p w:rsidR="002B001A" w:rsidRPr="00574608" w:rsidRDefault="002B001A" w:rsidP="00574608">
      <w:pPr>
        <w:spacing w:after="0" w:line="240" w:lineRule="auto"/>
        <w:rPr>
          <w:rFonts w:ascii="Garamond" w:hAnsi="Garamond"/>
          <w:sz w:val="24"/>
          <w:szCs w:val="24"/>
        </w:rPr>
      </w:pPr>
    </w:p>
    <w:p w:rsidR="002B001A" w:rsidRPr="00574608" w:rsidRDefault="002B001A" w:rsidP="00574608">
      <w:pPr>
        <w:spacing w:after="0" w:line="240" w:lineRule="auto"/>
        <w:rPr>
          <w:rFonts w:ascii="Garamond" w:hAnsi="Garamond"/>
          <w:sz w:val="24"/>
          <w:szCs w:val="24"/>
        </w:rPr>
      </w:pPr>
      <w:r w:rsidRPr="00574608">
        <w:rPr>
          <w:rFonts w:ascii="Garamond" w:hAnsi="Garamond"/>
          <w:sz w:val="24"/>
          <w:szCs w:val="24"/>
        </w:rPr>
        <w:t>Alternativement, la femme peut avoir une propriété foncière à la suite d’un testament où un bien déterminé lui est donné. Ce mode est malheureusement rare. En effet, s</w:t>
      </w:r>
      <w:r w:rsidRPr="00574608">
        <w:rPr>
          <w:rFonts w:ascii="Garamond" w:hAnsi="Garamond"/>
          <w:bCs/>
          <w:sz w:val="24"/>
          <w:szCs w:val="24"/>
        </w:rPr>
        <w:t>elon une</w:t>
      </w:r>
      <w:r w:rsidRPr="00574608">
        <w:rPr>
          <w:rFonts w:ascii="Garamond" w:hAnsi="Garamond"/>
          <w:b/>
          <w:bCs/>
          <w:sz w:val="24"/>
          <w:szCs w:val="24"/>
        </w:rPr>
        <w:t xml:space="preserve"> </w:t>
      </w:r>
      <w:r w:rsidRPr="00574608">
        <w:rPr>
          <w:rFonts w:ascii="Garamond" w:hAnsi="Garamond"/>
          <w:sz w:val="24"/>
          <w:szCs w:val="24"/>
        </w:rPr>
        <w:t>étude très récente, sur 100 certificats fonciers enregistrés aux noms des femmes, aucune n’avait une origine testamentaire.</w:t>
      </w:r>
      <w:r w:rsidRPr="00574608">
        <w:rPr>
          <w:rStyle w:val="FootnoteReference"/>
          <w:rFonts w:ascii="Garamond" w:hAnsi="Garamond"/>
          <w:sz w:val="24"/>
          <w:szCs w:val="24"/>
        </w:rPr>
        <w:footnoteReference w:id="4"/>
      </w:r>
      <w:r w:rsidRPr="00574608">
        <w:rPr>
          <w:rFonts w:ascii="Garamond" w:hAnsi="Garamond"/>
          <w:sz w:val="24"/>
          <w:szCs w:val="24"/>
        </w:rPr>
        <w:t xml:space="preserve"> </w:t>
      </w:r>
    </w:p>
    <w:p w:rsidR="002B001A" w:rsidRPr="00574608" w:rsidRDefault="002B001A" w:rsidP="00574608">
      <w:pPr>
        <w:spacing w:after="0" w:line="240" w:lineRule="auto"/>
        <w:rPr>
          <w:rFonts w:ascii="Garamond" w:hAnsi="Garamond"/>
          <w:sz w:val="24"/>
          <w:szCs w:val="24"/>
        </w:rPr>
      </w:pPr>
    </w:p>
    <w:p w:rsidR="002B001A" w:rsidRPr="00574608" w:rsidRDefault="002B001A" w:rsidP="00574608">
      <w:pPr>
        <w:pStyle w:val="NoSpacing"/>
        <w:rPr>
          <w:rFonts w:ascii="Garamond" w:hAnsi="Garamond"/>
          <w:b/>
          <w:sz w:val="24"/>
          <w:szCs w:val="24"/>
        </w:rPr>
      </w:pPr>
      <w:r w:rsidRPr="00574608">
        <w:rPr>
          <w:rFonts w:ascii="Garamond" w:hAnsi="Garamond"/>
          <w:b/>
          <w:sz w:val="24"/>
          <w:szCs w:val="24"/>
        </w:rPr>
        <w:t xml:space="preserve">2.2 La donation : un mode rare </w:t>
      </w:r>
    </w:p>
    <w:p w:rsidR="002B001A" w:rsidRPr="00574608" w:rsidRDefault="002B001A" w:rsidP="00574608">
      <w:pPr>
        <w:spacing w:after="0" w:line="240" w:lineRule="auto"/>
        <w:rPr>
          <w:rFonts w:ascii="Garamond" w:hAnsi="Garamond"/>
          <w:sz w:val="24"/>
          <w:szCs w:val="24"/>
        </w:rPr>
      </w:pPr>
      <w:r w:rsidRPr="00574608">
        <w:rPr>
          <w:rFonts w:ascii="Garamond" w:hAnsi="Garamond"/>
          <w:sz w:val="24"/>
          <w:szCs w:val="24"/>
        </w:rPr>
        <w:t>Enfin, la femme burundaise pouvait obtenir la propriété par donation. En voici une illustration : Femme NZ.L a saisi le TGI Rutana réclamant la propriété foncière que son père lui avait donnée et l’usufruit sur le reste de la propriété familiale. Le juge lui a donné gain de cause.</w:t>
      </w:r>
      <w:r w:rsidRPr="00574608">
        <w:rPr>
          <w:rStyle w:val="FootnoteReference"/>
          <w:rFonts w:ascii="Garamond" w:hAnsi="Garamond"/>
          <w:sz w:val="24"/>
          <w:szCs w:val="24"/>
        </w:rPr>
        <w:footnoteReference w:id="5"/>
      </w:r>
    </w:p>
    <w:p w:rsidR="002B001A" w:rsidRPr="00574608" w:rsidRDefault="002B001A" w:rsidP="00574608">
      <w:pPr>
        <w:spacing w:after="0" w:line="240" w:lineRule="auto"/>
        <w:rPr>
          <w:rFonts w:ascii="Garamond" w:hAnsi="Garamond"/>
          <w:sz w:val="24"/>
          <w:szCs w:val="24"/>
        </w:rPr>
      </w:pPr>
    </w:p>
    <w:p w:rsidR="002B001A" w:rsidRPr="00574608" w:rsidRDefault="002B001A" w:rsidP="00574608">
      <w:pPr>
        <w:pStyle w:val="NoSpacing"/>
        <w:rPr>
          <w:rFonts w:ascii="Garamond" w:hAnsi="Garamond"/>
          <w:sz w:val="24"/>
          <w:szCs w:val="24"/>
        </w:rPr>
      </w:pPr>
      <w:r w:rsidRPr="00574608">
        <w:rPr>
          <w:rFonts w:ascii="Garamond" w:hAnsi="Garamond"/>
          <w:sz w:val="24"/>
          <w:szCs w:val="24"/>
        </w:rPr>
        <w:t xml:space="preserve">En somme, on retient que le mode coutumier sur les successions exclue quasiment la femme burundaise de la succession en générale et de l’accès à la terre en particulier. Les quelques cas de testament et de donations restent largement insignifiants. La coutume, à travers les juges devrait évoluer dans un sens d’égalité entre l’homme et la femme, tel que cela est consacré par plusieurs principes du droit national et par divers instruments juridiques internationaux ratifiés par le </w:t>
      </w:r>
      <w:smartTag w:uri="urn:schemas-microsoft-com:office:smarttags" w:element="place">
        <w:r w:rsidRPr="00574608">
          <w:rPr>
            <w:rFonts w:ascii="Garamond" w:hAnsi="Garamond"/>
            <w:sz w:val="24"/>
            <w:szCs w:val="24"/>
          </w:rPr>
          <w:t>Burundi</w:t>
        </w:r>
      </w:smartTag>
      <w:r w:rsidRPr="00574608">
        <w:rPr>
          <w:rFonts w:ascii="Garamond" w:hAnsi="Garamond"/>
          <w:sz w:val="24"/>
          <w:szCs w:val="24"/>
        </w:rPr>
        <w:t xml:space="preserve">. </w:t>
      </w:r>
    </w:p>
    <w:p w:rsidR="002B001A" w:rsidRPr="00574608" w:rsidRDefault="002B001A" w:rsidP="00574608">
      <w:pPr>
        <w:pStyle w:val="NoSpacing"/>
        <w:rPr>
          <w:rFonts w:ascii="Garamond" w:hAnsi="Garamond"/>
          <w:sz w:val="24"/>
          <w:szCs w:val="24"/>
        </w:rPr>
      </w:pPr>
    </w:p>
    <w:p w:rsidR="002B001A" w:rsidRPr="00574608" w:rsidRDefault="002B001A" w:rsidP="00574608">
      <w:pPr>
        <w:pStyle w:val="NoSpacing"/>
        <w:rPr>
          <w:rFonts w:ascii="Garamond" w:hAnsi="Garamond"/>
          <w:sz w:val="24"/>
          <w:szCs w:val="24"/>
        </w:rPr>
      </w:pPr>
      <w:r w:rsidRPr="00574608">
        <w:rPr>
          <w:rFonts w:ascii="Garamond" w:hAnsi="Garamond"/>
          <w:sz w:val="24"/>
          <w:szCs w:val="24"/>
        </w:rPr>
        <w:t>Au-delà des théories, quelle est la situation réelle de la femme burundaise face à la propriété en générale et à la propriété foncière en particulier? Telle sera la question qui sera traitée dans les lignes qui suivent.</w:t>
      </w:r>
    </w:p>
    <w:p w:rsidR="002B001A" w:rsidRPr="00574608" w:rsidRDefault="002B001A" w:rsidP="00574608">
      <w:pPr>
        <w:pStyle w:val="NoSpacing"/>
        <w:rPr>
          <w:rFonts w:ascii="Garamond" w:hAnsi="Garamond"/>
          <w:sz w:val="24"/>
          <w:szCs w:val="24"/>
        </w:rPr>
      </w:pPr>
    </w:p>
    <w:p w:rsidR="002B001A" w:rsidRPr="00574608" w:rsidRDefault="002B001A" w:rsidP="00574608">
      <w:pPr>
        <w:pStyle w:val="Heading2"/>
        <w:numPr>
          <w:ilvl w:val="0"/>
          <w:numId w:val="0"/>
        </w:numPr>
        <w:spacing w:before="0" w:after="0" w:line="240" w:lineRule="auto"/>
        <w:rPr>
          <w:rFonts w:ascii="Garamond" w:hAnsi="Garamond"/>
          <w:sz w:val="24"/>
          <w:szCs w:val="24"/>
          <w:u w:val="single"/>
        </w:rPr>
      </w:pPr>
      <w:bookmarkStart w:id="17" w:name="_Toc385356818"/>
      <w:bookmarkStart w:id="18" w:name="_Toc386566489"/>
      <w:bookmarkStart w:id="19" w:name="_Toc386567111"/>
      <w:r w:rsidRPr="00574608">
        <w:rPr>
          <w:rFonts w:ascii="Garamond" w:hAnsi="Garamond"/>
          <w:sz w:val="24"/>
          <w:szCs w:val="24"/>
          <w:u w:val="single"/>
        </w:rPr>
        <w:t>3. Situation réelle de la femme face à la propriété</w:t>
      </w:r>
      <w:bookmarkEnd w:id="17"/>
      <w:bookmarkEnd w:id="18"/>
      <w:bookmarkEnd w:id="19"/>
      <w:r w:rsidRPr="00574608">
        <w:rPr>
          <w:rFonts w:ascii="Garamond" w:hAnsi="Garamond"/>
          <w:sz w:val="24"/>
          <w:szCs w:val="24"/>
          <w:u w:val="single"/>
        </w:rPr>
        <w:t xml:space="preserve"> </w:t>
      </w:r>
    </w:p>
    <w:p w:rsidR="002B001A" w:rsidRPr="00574608" w:rsidRDefault="002B001A" w:rsidP="00574608">
      <w:pPr>
        <w:spacing w:after="0" w:line="240" w:lineRule="auto"/>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L’objet de la présente section est de montrer la situation réelle de la femme burundaise face au droit de propriété. Pour ce faire, on s’interroge sur l’étendue et les limites de droits de la femme dans la jouissance et l’exercice de son droit de propriété à travers les différents statuts matrimoniaux. Les éléments de son contenu sont le fruit des opinions et informations exprimées par divers acteurs sur terrain.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b/>
          <w:sz w:val="24"/>
          <w:szCs w:val="24"/>
        </w:rPr>
      </w:pPr>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bookmarkStart w:id="20" w:name="_Toc385356819"/>
      <w:bookmarkStart w:id="21" w:name="_Toc386566490"/>
      <w:bookmarkStart w:id="22" w:name="_Toc386567112"/>
      <w:r w:rsidRPr="00574608">
        <w:rPr>
          <w:rFonts w:ascii="Garamond" w:hAnsi="Garamond" w:cs="Times New Roman"/>
          <w:sz w:val="24"/>
          <w:szCs w:val="24"/>
        </w:rPr>
        <w:t>3.1 Les biens des femmes</w:t>
      </w:r>
      <w:bookmarkEnd w:id="20"/>
      <w:bookmarkEnd w:id="21"/>
      <w:bookmarkEnd w:id="22"/>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Toutes les personnes interrogées affirment que les femmes possèdent des biens comme les chèvres, vaches, porcs, poules, pigions, canards, moulins, taxi, etc. qu’elles ont acquis elles-mêmes ou conjointement avec leurs maris. Ils sont confondus avec les biens du ménage qu’ils soient ou non acquis par la femme.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S’agissant de l’origine de ces biens, les personnes interrogées affirment que les femmes peuvent hériter des biens généralement de petite valeur, des fois des vaches mais pas au même pied d’égalité que leurs frères. Les habits de leur mamans leurs reviennent ainsi que les ustensiles cuisines de leurs parents.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Tous les participants aux focus group ont répondu à la question de savoir si les femmes ont réellement des biens et quel le niveau de contrôle qu’elles ont sur ces biens. L’étendue de ce droit dépend du  statut matrimonial de la femme.</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br w:type="page"/>
      </w:r>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bookmarkStart w:id="23" w:name="_Toc385356820"/>
      <w:r w:rsidRPr="00574608">
        <w:rPr>
          <w:rFonts w:ascii="Garamond" w:hAnsi="Garamond"/>
          <w:sz w:val="24"/>
          <w:szCs w:val="24"/>
        </w:rPr>
        <w:t>3.1.1 La femme mariée</w:t>
      </w:r>
      <w:bookmarkEnd w:id="23"/>
      <w:r w:rsidRPr="00574608">
        <w:rPr>
          <w:rFonts w:ascii="Garamond" w:hAnsi="Garamond"/>
          <w:sz w:val="24"/>
          <w:szCs w:val="24"/>
        </w:rPr>
        <w:t xml:space="preserve">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Pr>
          <w:noProof/>
          <w:lang w:val="en-US"/>
        </w:rPr>
        <w:pict>
          <v:shape id="Image 2" o:spid="_x0000_s1028" type="#_x0000_t75" style="position:absolute;margin-left:-.15pt;margin-top:6.1pt;width:130pt;height:137.75pt;z-index:-251660288;visibility:visible" wrapcoords="-125 0 -125 21483 21600 21483 21600 0 -125 0">
            <v:imagedata r:id="rId9" o:title=""/>
            <w10:wrap type="tight"/>
          </v:shape>
        </w:pict>
      </w:r>
      <w:r w:rsidRPr="00574608">
        <w:rPr>
          <w:rFonts w:ascii="Garamond" w:hAnsi="Garamond"/>
          <w:sz w:val="24"/>
          <w:szCs w:val="24"/>
        </w:rPr>
        <w:t>(</w:t>
      </w:r>
      <w:r w:rsidRPr="00574608">
        <w:rPr>
          <w:rFonts w:ascii="Garamond" w:hAnsi="Garamond"/>
          <w:i/>
          <w:sz w:val="24"/>
          <w:szCs w:val="24"/>
        </w:rPr>
        <w:t>Femme mariée en commune Gihanga lors d’un FG</w:t>
      </w:r>
      <w:r w:rsidRPr="00574608">
        <w:rPr>
          <w:rFonts w:ascii="Garamond" w:hAnsi="Garamond"/>
          <w:sz w:val="24"/>
          <w:szCs w:val="24"/>
        </w:rPr>
        <w:t>)</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Tous les enquêtés des focus group ont répondu aux questions de savoir si les femmes mariées ont biens et si elles peuvent en disposer librement. La femme mariée n’a pas de biens. Tous les biens sont le patrimoine de son mari qui décide de leur affectation sans nécessairement avoir le consentement de sa femme.  S’agissant des récoltes, la femme ne peut en disposer que sur autorisation de son mari. Dans certains cas, même les femmes fonctionnaires n’ont pas droit sur leurs salaires qui sont soit perçus par leurs maris ou qui doivent justifier de leur utilisation. En vue de priver la femme de toute propriété, certains maris vendent ou cèdent gratuitement les biens acquis par leurs épouses à leur insu ou encore refuse à la femme d’avoir des biens dans l’enclos familial. D’autres plus malins, les convainquent de vendre ces biens et d’acheter un autre bien considéré comme un bien familial. En somme la femme mariée reste dans une situation d’extrême précarité, n’étant propriétaire d’aucun bien de la famille. Une telle situation est contraire à l’esprit du CPF notamment en son article 126. Toutefois, la femme mariée jouit d’un droit d’usufruit dit igiseke.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4"/>
        </w:numPr>
        <w:tabs>
          <w:tab w:val="left" w:pos="0"/>
        </w:tabs>
        <w:spacing w:after="0" w:line="240" w:lineRule="auto"/>
        <w:ind w:right="0"/>
        <w:jc w:val="left"/>
        <w:rPr>
          <w:rFonts w:ascii="Garamond" w:hAnsi="Garamond"/>
          <w:b/>
          <w:sz w:val="24"/>
          <w:szCs w:val="24"/>
        </w:rPr>
      </w:pPr>
      <w:r w:rsidRPr="00574608">
        <w:rPr>
          <w:rFonts w:ascii="Garamond" w:hAnsi="Garamond"/>
          <w:b/>
          <w:sz w:val="24"/>
          <w:szCs w:val="24"/>
        </w:rPr>
        <w:t xml:space="preserve">L’igiseke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Toutes les personnes interrogées convergent sur le fait que les femmes mariées bénéficient généralement d’un fonds de terre en usufruit. Quand les frères le leur refusent, elles saisissent les tribunaux. La détermination de la parcelle matérialisant ce droit est l’une des entraves majeures à la jouissance de ce droit. Encore que certaines en réclame la propriété et non l’usufruit.</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En définitive, on conclue que le patrimoine familial composé des biens que les époux ont acquis conjointement ou séparément est la propriété exclusive du  mari. La femme n’est qu’un gestionnaire, qui n’a aucun droit de contrôle et qui peut être dessaisie de la gestion d’un moment à l’autre. Toute décision d’affectation appartient au mari. L’analyse des réponses données montre que la raison profonde est cette volonté parfois voilée, de maintenir la femme en état de soumission. Or, cette compréhension doublée d’une pratique est tout à fait contraire à l’esprit du CPF et du PIDCP qui prescrivent que les époux ont les mêmes droits vis-à-vis du patrimoine familial.</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bookmarkStart w:id="24" w:name="_Toc385356821"/>
      <w:r w:rsidRPr="00574608">
        <w:rPr>
          <w:rFonts w:ascii="Garamond" w:hAnsi="Garamond"/>
          <w:sz w:val="24"/>
          <w:szCs w:val="24"/>
        </w:rPr>
        <w:t>3.1.2 La veuve</w:t>
      </w:r>
      <w:bookmarkEnd w:id="24"/>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La veuve est généralement considérée comme une gestionnaire par la belle famille et ses enfants majeurs qui peuvent leur infliger des violences. Mais la situation diffère selon qu’elle a mis au monde d’autres enfants ou pas ou encore que ces biens aient été acquis pendant le mariage ou après le décès de son mari.</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15"/>
        </w:numPr>
        <w:tabs>
          <w:tab w:val="left" w:pos="0"/>
        </w:tabs>
        <w:spacing w:after="0" w:line="240" w:lineRule="auto"/>
        <w:ind w:right="0"/>
        <w:jc w:val="left"/>
        <w:rPr>
          <w:rFonts w:ascii="Garamond" w:hAnsi="Garamond"/>
          <w:b/>
          <w:sz w:val="24"/>
          <w:szCs w:val="24"/>
        </w:rPr>
      </w:pPr>
      <w:r w:rsidRPr="00574608">
        <w:rPr>
          <w:rFonts w:ascii="Garamond" w:hAnsi="Garamond"/>
          <w:b/>
          <w:sz w:val="24"/>
          <w:szCs w:val="24"/>
        </w:rPr>
        <w:t>Biens acquis pendant le mariage</w:t>
      </w:r>
    </w:p>
    <w:p w:rsidR="002B001A" w:rsidRPr="00574608" w:rsidRDefault="002B001A" w:rsidP="00574608">
      <w:pPr>
        <w:pStyle w:val="FootnoteText"/>
        <w:rPr>
          <w:rFonts w:ascii="Garamond" w:hAnsi="Garamond"/>
          <w:sz w:val="24"/>
          <w:szCs w:val="24"/>
        </w:rPr>
      </w:pPr>
      <w:r w:rsidRPr="00574608">
        <w:rPr>
          <w:rFonts w:ascii="Garamond" w:hAnsi="Garamond"/>
          <w:sz w:val="24"/>
          <w:szCs w:val="24"/>
        </w:rPr>
        <w:t>Ces biens sont considérés comme appartenant à la famille et que la veuve n’est qu’un gestionnaire placé sous l’ordre de la belle famille. Un participant au focus group à Musongati résume tout l’enjeu : « </w:t>
      </w:r>
      <w:r w:rsidRPr="00574608">
        <w:rPr>
          <w:rFonts w:ascii="Garamond" w:hAnsi="Garamond"/>
          <w:i/>
          <w:sz w:val="24"/>
          <w:szCs w:val="24"/>
        </w:rPr>
        <w:t>umupfakazi kiretse iyo yemeye kuguma muri uwo muryango mu kurongorwa muri uwo muryango canke bagatera intobo, sinon nta mahoro ashobora kugira mu vyo umugabo yasize</w:t>
      </w:r>
      <w:r w:rsidRPr="00574608">
        <w:rPr>
          <w:rFonts w:ascii="Garamond" w:hAnsi="Garamond"/>
          <w:sz w:val="24"/>
          <w:szCs w:val="24"/>
        </w:rPr>
        <w:t xml:space="preserve">» Au fait, le conflit nait souvent du refus de la veuve d’être entretenue en concubinage par son beau frère ou le beau père, par la pratique dit  « gucura ». Par ailleurs ce soit disant conseil de famille n’en est pas un car il est uniquement composé des membres de sa belle famille (beau père, belle mère beau frère et belle sœur) en l’absence des membres de la famille de la femme concernée (art. 369 CPF°;  Chez les Batwa, en cas de mort du mari, la femme retourne automatiquement chez son père. Du vivant des parents, elle réintègre le toit paternel. Dans le cas contraire, elle doit se débrouiller ailleurs (focus group à Bugenyuzi). </w:t>
      </w:r>
    </w:p>
    <w:p w:rsidR="002B001A" w:rsidRPr="00574608" w:rsidRDefault="002B001A" w:rsidP="00574608">
      <w:pPr>
        <w:pStyle w:val="FootnoteTex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Dans la plupart de cas lorsque la veuve n’a pas d’enfant, elle est généralement chassée par la belle famille qui considère qu’elle est la seule héritière. Si la femme met au monde, des enfants naturels, elle est généralement chassée au motif qu’elle génère des conflits entre enfants de différents lits. Dans la plupart des cas, le conseil de famille intervient.</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37"/>
        </w:numPr>
        <w:tabs>
          <w:tab w:val="left" w:pos="0"/>
        </w:tabs>
        <w:spacing w:after="0" w:line="240" w:lineRule="auto"/>
        <w:ind w:right="0"/>
        <w:jc w:val="left"/>
        <w:rPr>
          <w:rFonts w:ascii="Garamond" w:hAnsi="Garamond"/>
          <w:b/>
          <w:sz w:val="24"/>
          <w:szCs w:val="24"/>
        </w:rPr>
      </w:pPr>
      <w:r w:rsidRPr="00574608">
        <w:rPr>
          <w:rFonts w:ascii="Garamond" w:hAnsi="Garamond"/>
          <w:b/>
          <w:sz w:val="24"/>
          <w:szCs w:val="24"/>
        </w:rPr>
        <w:t xml:space="preserve">Le conseil de famille : organe de protection de la veuve mais marqué par des irrégularités </w:t>
      </w:r>
    </w:p>
    <w:p w:rsidR="002B001A" w:rsidRPr="00574608" w:rsidRDefault="002B001A" w:rsidP="00574608">
      <w:pPr>
        <w:autoSpaceDE w:val="0"/>
        <w:autoSpaceDN w:val="0"/>
        <w:adjustRightInd w:val="0"/>
        <w:spacing w:after="0" w:line="240" w:lineRule="auto"/>
        <w:rPr>
          <w:rFonts w:ascii="Garamond" w:hAnsi="Garamond"/>
          <w:sz w:val="24"/>
          <w:szCs w:val="24"/>
          <w:lang w:eastAsia="fr-FR"/>
        </w:rPr>
      </w:pPr>
      <w:r w:rsidRPr="00574608">
        <w:rPr>
          <w:rFonts w:ascii="Garamond" w:hAnsi="Garamond"/>
          <w:sz w:val="24"/>
          <w:szCs w:val="24"/>
        </w:rPr>
        <w:t xml:space="preserve">Le CPF définit le conseil de famille comme </w:t>
      </w:r>
      <w:r w:rsidRPr="00574608">
        <w:rPr>
          <w:rFonts w:ascii="Garamond" w:hAnsi="Garamond"/>
          <w:sz w:val="24"/>
          <w:szCs w:val="24"/>
          <w:lang w:eastAsia="fr-FR"/>
        </w:rPr>
        <w:t>« </w:t>
      </w:r>
      <w:r w:rsidRPr="00574608">
        <w:rPr>
          <w:rFonts w:ascii="Garamond" w:hAnsi="Garamond"/>
          <w:i/>
          <w:sz w:val="24"/>
          <w:szCs w:val="24"/>
          <w:lang w:eastAsia="fr-FR"/>
        </w:rPr>
        <w:t>une institution créée au sein de la famille pour veiller à la sauvegarde des intérêts de chacun de ses membres dans les cas prévus par la loi</w:t>
      </w:r>
      <w:r w:rsidRPr="00574608">
        <w:rPr>
          <w:rFonts w:ascii="Garamond" w:hAnsi="Garamond"/>
          <w:sz w:val="24"/>
          <w:szCs w:val="24"/>
          <w:lang w:eastAsia="fr-FR"/>
        </w:rPr>
        <w:t xml:space="preserve"> » (art.367). Mais sa composition et son ingérence dans la gestion des biens de la veuve constitue une violation fréquente des droits de la veuve. </w:t>
      </w:r>
    </w:p>
    <w:p w:rsidR="002B001A" w:rsidRPr="00574608" w:rsidRDefault="002B001A" w:rsidP="00574608">
      <w:pPr>
        <w:autoSpaceDE w:val="0"/>
        <w:autoSpaceDN w:val="0"/>
        <w:adjustRightInd w:val="0"/>
        <w:spacing w:after="0" w:line="240" w:lineRule="auto"/>
        <w:rPr>
          <w:rFonts w:ascii="Garamond" w:hAnsi="Garamond"/>
          <w:sz w:val="24"/>
          <w:szCs w:val="24"/>
          <w:lang w:eastAsia="fr-FR"/>
        </w:rPr>
      </w:pPr>
    </w:p>
    <w:p w:rsidR="002B001A" w:rsidRPr="00574608" w:rsidRDefault="002B001A" w:rsidP="00574608">
      <w:pPr>
        <w:numPr>
          <w:ilvl w:val="0"/>
          <w:numId w:val="35"/>
        </w:numPr>
        <w:autoSpaceDE w:val="0"/>
        <w:autoSpaceDN w:val="0"/>
        <w:adjustRightInd w:val="0"/>
        <w:spacing w:after="0" w:line="240" w:lineRule="auto"/>
        <w:rPr>
          <w:rFonts w:ascii="Garamond" w:hAnsi="Garamond"/>
          <w:b/>
          <w:sz w:val="24"/>
          <w:szCs w:val="24"/>
          <w:lang w:eastAsia="fr-FR"/>
        </w:rPr>
      </w:pPr>
      <w:r w:rsidRPr="00574608">
        <w:rPr>
          <w:rFonts w:ascii="Garamond" w:hAnsi="Garamond"/>
          <w:b/>
          <w:sz w:val="24"/>
          <w:szCs w:val="24"/>
          <w:lang w:eastAsia="fr-FR"/>
        </w:rPr>
        <w:t>Biens acquis après le décès de son mari </w:t>
      </w:r>
    </w:p>
    <w:p w:rsidR="002B001A" w:rsidRPr="00574608" w:rsidRDefault="002B001A" w:rsidP="00574608">
      <w:pPr>
        <w:autoSpaceDE w:val="0"/>
        <w:autoSpaceDN w:val="0"/>
        <w:adjustRightInd w:val="0"/>
        <w:spacing w:after="0" w:line="240" w:lineRule="auto"/>
        <w:rPr>
          <w:rFonts w:ascii="Garamond" w:hAnsi="Garamond"/>
          <w:sz w:val="24"/>
          <w:szCs w:val="24"/>
          <w:lang w:eastAsia="fr-FR"/>
        </w:rPr>
      </w:pPr>
      <w:r w:rsidRPr="00574608">
        <w:rPr>
          <w:rFonts w:ascii="Garamond" w:hAnsi="Garamond"/>
          <w:sz w:val="24"/>
          <w:szCs w:val="24"/>
          <w:lang w:eastAsia="fr-FR"/>
        </w:rPr>
        <w:t>Ces biens sont aussi considérés comme des biens de la famille car, estime t-on, les revenus utilisés pour leur ’acquisition ont été tirés des ressources de la famille (focus à Ruhororo).</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b/>
          <w:sz w:val="24"/>
          <w:szCs w:val="24"/>
        </w:rPr>
      </w:pPr>
      <w:r w:rsidRPr="00574608">
        <w:rPr>
          <w:rFonts w:ascii="Garamond" w:hAnsi="Garamond"/>
          <w:sz w:val="24"/>
          <w:szCs w:val="24"/>
        </w:rPr>
        <w:t xml:space="preserve">En commune Butaganzwa, une veuve s’est acheté une parcelle. Par la suite, les fils de son mari l’ont vendue à son insu arguant que l’argent ayant servi à l’achat de la parcelle provenait des ressources laissées par leur père. (Focus group de la population à Butaganzwa).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b/>
          <w:sz w:val="24"/>
          <w:szCs w:val="24"/>
        </w:rPr>
      </w:pPr>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bookmarkStart w:id="25" w:name="_Toc385356822"/>
      <w:r w:rsidRPr="00574608">
        <w:rPr>
          <w:rFonts w:ascii="Garamond" w:hAnsi="Garamond"/>
          <w:sz w:val="24"/>
          <w:szCs w:val="24"/>
        </w:rPr>
        <w:t>3.1.3 Femmes divorcée, fille non mariée et les mères célibataires</w:t>
      </w:r>
      <w:bookmarkEnd w:id="25"/>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Toutes ces femmes ont le trait commun de rester sous le toit paternel. Et dans la plupart des cas, elles ont des enfants naturels et sont malmenées par leurs frères. Du vivant de leurs parents, elles sont considérées comme des enfants et vivent avec leurs parents. Mais à la mort de ceux-ci commencent les difficultés. La naissance ou non des enfants naturels détermine le mode de traitement par d’autres membres de la famille. Mais des disparités de traitement se font observer en fonction des biens concernés. Généralement, elles sont maltraitées par la famille paternelle jusqu’à être chassées quand elles mettent au mode des enfants naturels non reconnus.</w:t>
      </w:r>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bookmarkStart w:id="26" w:name="_Toc385356823"/>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r w:rsidRPr="00574608">
        <w:rPr>
          <w:rFonts w:ascii="Garamond" w:hAnsi="Garamond"/>
          <w:sz w:val="24"/>
          <w:szCs w:val="24"/>
        </w:rPr>
        <w:t>3.1.4 Filles orphelines et fille issue de famille sans garçon</w:t>
      </w:r>
      <w:bookmarkEnd w:id="26"/>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S’agissant des orphelins et filles sans frères, les biens de leurs parents leur reviennent théoriquement. Mais dans les faits, ils sont des fois dissipés par la famille élargie, sous le canal d’une fausse tutelle durant laquelle le tuteur dissipe  tous les biens de l’enfant arguant qu’ils ont servi à l’éducation des orphelins (focus à Mabanda et Muruta). Pour les filles, l’enjeu est que les membres de la famille nourrissent un espoir qu’un jour ils peuvent entrer en possession de ces biens et font tout pour y arriver : trouble/violences, opposition aux ventes ou au mariage, saisine de la justice, etc.</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En commune Butaganzwa, par exemple, des orphelines se sont vues refuser le droit de vendre une chèvre pour faire soigner une d’elle. Les oncles avançaient qu’elles se livrent à la dilapidation des biens de la famille (focus group de la population à Butaganzwa).</w:t>
      </w:r>
    </w:p>
    <w:p w:rsidR="002B001A" w:rsidRPr="00574608" w:rsidRDefault="002B001A" w:rsidP="00574608">
      <w:pPr>
        <w:pStyle w:val="ListParagraph"/>
        <w:spacing w:after="0" w:line="240" w:lineRule="auto"/>
        <w:ind w:left="0"/>
        <w:rPr>
          <w:rFonts w:ascii="Garamond" w:hAnsi="Garamond"/>
          <w:sz w:val="24"/>
          <w:szCs w:val="24"/>
          <w:lang w:val="fr-CH"/>
        </w:rPr>
      </w:pPr>
    </w:p>
    <w:p w:rsidR="002B001A" w:rsidRPr="00574608" w:rsidRDefault="002B001A" w:rsidP="00574608">
      <w:pPr>
        <w:pStyle w:val="ListParagraph"/>
        <w:spacing w:after="0" w:line="240" w:lineRule="auto"/>
        <w:ind w:left="0"/>
        <w:rPr>
          <w:rFonts w:ascii="Garamond" w:hAnsi="Garamond"/>
          <w:sz w:val="24"/>
          <w:szCs w:val="24"/>
        </w:rPr>
      </w:pPr>
      <w:r w:rsidRPr="00574608">
        <w:rPr>
          <w:rFonts w:ascii="Garamond" w:hAnsi="Garamond"/>
          <w:sz w:val="24"/>
          <w:szCs w:val="24"/>
          <w:lang w:val="fr-CH"/>
        </w:rPr>
        <w:t xml:space="preserve">En commune Bugendana, </w:t>
      </w:r>
      <w:r w:rsidRPr="00574608">
        <w:rPr>
          <w:rFonts w:ascii="Garamond" w:hAnsi="Garamond"/>
          <w:sz w:val="24"/>
          <w:szCs w:val="24"/>
        </w:rPr>
        <w:t xml:space="preserve"> N. porte plainte contre son cousin R. indiquant que celui-ci veut la chasser de la propriété paternelle, sous prétexte que les femmes ne peuvent pas hériter chez leur père.  R. estime qu’il doit hériter de la terre (de son oncle) qu’occupe sa cousine N., en sa qualité d’homme. En fait, les pères de N. et R. qui étaient frères, avaient, avant leur décès, partagé entre eux la propriété laissée par leur père, grand-père de N. et R. R a agrandi chez son oncle, père de N., et c’est sur ce fondement qu’il revendique la propriété de son oncle en sa qualité d’homme. Le Tribunal a débouté R. et a donné gain de cause à N. à qui le jugement a reconnu pleine propriété sur le lopin de terre laissé par son père</w:t>
      </w:r>
      <w:r w:rsidRPr="00574608">
        <w:rPr>
          <w:rStyle w:val="FootnoteReference"/>
          <w:rFonts w:ascii="Garamond" w:hAnsi="Garamond"/>
          <w:sz w:val="24"/>
          <w:szCs w:val="24"/>
        </w:rPr>
        <w:footnoteReference w:id="6"/>
      </w:r>
      <w:r w:rsidRPr="00574608">
        <w:rPr>
          <w:rFonts w:ascii="Garamond" w:hAnsi="Garamond"/>
          <w:sz w:val="24"/>
          <w:szCs w:val="24"/>
        </w:rPr>
        <w:t>. En commune Buhiga, une fille a porté plainte contre son oncle pour avoir vendu sa parcelle et s’est acheté une autre pour le dissimuler.</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bookmarkStart w:id="27" w:name="_Toc385356824"/>
      <w:r w:rsidRPr="00574608">
        <w:rPr>
          <w:rFonts w:ascii="Garamond" w:hAnsi="Garamond"/>
          <w:sz w:val="24"/>
          <w:szCs w:val="24"/>
        </w:rPr>
        <w:t>3.1.5 Femmes vivant en union de fait</w:t>
      </w:r>
      <w:bookmarkEnd w:id="27"/>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Pour les femmes vivant en union de fait, les participants aux focus group affirment qu’elles ne méritent aucune attention et que la femme n’a aucun droit même sur les biens qu’elle a elle-même acquis aux prix de sa sueur ; soit elle est chassée et n’emporte rien, soit son mari vend ses biens ou  la convainc de le faire elle-même afin de la mettre en situation de précarité.  Les enfants issus de telles unions sont aussi en danger.</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Face à cette situation de personnes vivant en union de fait, certaines personnes enquêtées proposent que le CPF soit modifié dans le sens de fixer une période au delà de laquelle un homme et une femme vivant avec une femme en union de fait soient considérés comme légalement mariées. Une telle recommandation rejoint celle formulée par les élus locaux de la province de Kirundo lors d’une formation sur la prise en compte de la perspective genre dans le travail des élus locaux</w:t>
      </w:r>
      <w:r w:rsidRPr="00574608">
        <w:rPr>
          <w:rStyle w:val="FootnoteReference"/>
          <w:rFonts w:ascii="Garamond" w:hAnsi="Garamond"/>
          <w:sz w:val="24"/>
          <w:szCs w:val="24"/>
        </w:rPr>
        <w:footnoteReference w:id="7"/>
      </w:r>
      <w:r w:rsidRPr="00574608">
        <w:rPr>
          <w:rFonts w:ascii="Garamond" w:hAnsi="Garamond"/>
          <w:sz w:val="24"/>
          <w:szCs w:val="24"/>
        </w:rPr>
        <w:t xml:space="preserve">. Mais qu’entre temps, les tribunaux devraient tenir compte de l’apport de la femme dans le ménage. </w:t>
      </w:r>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bookmarkStart w:id="28" w:name="_Toc385356825"/>
      <w:bookmarkStart w:id="29" w:name="_Toc386566491"/>
      <w:bookmarkStart w:id="30" w:name="_Toc386567113"/>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r w:rsidRPr="00574608">
        <w:rPr>
          <w:rFonts w:ascii="Garamond" w:hAnsi="Garamond" w:cs="Times New Roman"/>
          <w:sz w:val="24"/>
          <w:szCs w:val="24"/>
        </w:rPr>
        <w:t>3.2 Violences liées à la gestion des biens</w:t>
      </w:r>
      <w:bookmarkEnd w:id="28"/>
      <w:bookmarkEnd w:id="29"/>
      <w:bookmarkEnd w:id="30"/>
      <w:r w:rsidRPr="00574608">
        <w:rPr>
          <w:rFonts w:ascii="Garamond" w:hAnsi="Garamond" w:cs="Times New Roman"/>
          <w:sz w:val="24"/>
          <w:szCs w:val="24"/>
        </w:rPr>
        <w:t xml:space="preserve">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Avant d’identifier les violences proprement dites, il nous parait nécessaire de connaitre qui sont les principaux auteurs des violences. </w:t>
      </w:r>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bookmarkStart w:id="31" w:name="_Toc385356826"/>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r w:rsidRPr="00574608">
        <w:rPr>
          <w:rFonts w:ascii="Garamond" w:hAnsi="Garamond"/>
          <w:sz w:val="24"/>
          <w:szCs w:val="24"/>
        </w:rPr>
        <w:t>3.2.1 Principaux auteurs des violences</w:t>
      </w:r>
      <w:bookmarkEnd w:id="31"/>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Ce sont les membres de la famille et surtout les époux. Cet état de chose corrobore avec les constats  du CAFOB dans deux rapports sur la situation des droits de la femme, où il est conclu que « </w:t>
      </w:r>
      <w:r w:rsidRPr="00574608">
        <w:rPr>
          <w:rFonts w:ascii="Garamond" w:hAnsi="Garamond"/>
          <w:i/>
          <w:sz w:val="24"/>
          <w:szCs w:val="24"/>
          <w:lang w:val="fr-FR"/>
        </w:rPr>
        <w:t>le foyer conjugal  reste un lieu de violences domestiques qui sont des fois entretenues par certains membres de la famille élargie</w:t>
      </w:r>
      <w:r w:rsidRPr="00574608">
        <w:rPr>
          <w:rStyle w:val="FootnoteReference"/>
          <w:rFonts w:ascii="Garamond" w:hAnsi="Garamond"/>
          <w:sz w:val="24"/>
          <w:szCs w:val="24"/>
        </w:rPr>
        <w:footnoteReference w:id="8"/>
      </w:r>
      <w:r w:rsidRPr="00574608">
        <w:rPr>
          <w:rFonts w:ascii="Garamond" w:hAnsi="Garamond"/>
          <w:sz w:val="24"/>
          <w:szCs w:val="24"/>
          <w:lang w:val="fr-FR"/>
        </w:rPr>
        <w:t> »</w:t>
      </w:r>
      <w:r w:rsidRPr="00574608">
        <w:rPr>
          <w:rFonts w:ascii="Garamond" w:hAnsi="Garamond"/>
          <w:sz w:val="24"/>
          <w:szCs w:val="24"/>
        </w:rPr>
        <w:t>. Mais les agresseurs changent légèrement en fonction du statut matrimonial de la femme.</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Par exemple en commune Gihanga, une veuve s’est vue refuser par ses beaux frères, de récupérer ses 5 vaches arguant qu’elle s’était mariée ailleurs. En commune Bugenyuzi, une fille unique a été chassée par ses oncles en vue de récupérer le fonds dont elle était héritière (focus de la population à Bugenyuzi).</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En commune Mabanda, un frère a refusé à sa sœur jumelle de récupérer ses vaches (il y avait eu partage équitable après la mort de leurs parents et la sœur avait par après acheté ses propres vaches) arguant qu’il les avait gardées et que par conséquent ils devaient se les partages en deux parts égales. Finalement la femme a cédé!</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En commune Mabanda (colline Samvura), une veuve s’est unie avec un autre homme. Ses enfants l’ont chassé au motif qu’elle vivait avec un homme dans sur la propriété foncière de leur papa. Elle  est allée s’installer ailleurs.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En somme ceux qui troublent les droits de propriété des femmes sont les membres de sa famille à savoir son époux, ses propres enfants, ses frères et les beaux parents ou beaux frères. Tous estiment que la femme n’est qu’un gestionnaire des biens de la famille dont la propriété revient en fait aux successibles mâles. Cette appréhension justifie certaines violences.</w:t>
      </w:r>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bookmarkStart w:id="32" w:name="_Toc385356827"/>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r>
        <w:rPr>
          <w:rFonts w:ascii="Garamond" w:hAnsi="Garamond"/>
          <w:sz w:val="24"/>
          <w:szCs w:val="24"/>
        </w:rPr>
        <w:br w:type="page"/>
      </w:r>
      <w:r w:rsidRPr="00574608">
        <w:rPr>
          <w:rFonts w:ascii="Garamond" w:hAnsi="Garamond"/>
          <w:sz w:val="24"/>
          <w:szCs w:val="24"/>
        </w:rPr>
        <w:t>3.2.2 Violences</w:t>
      </w:r>
      <w:bookmarkEnd w:id="32"/>
      <w:r w:rsidRPr="00574608">
        <w:rPr>
          <w:rFonts w:ascii="Garamond" w:hAnsi="Garamond"/>
          <w:sz w:val="24"/>
          <w:szCs w:val="24"/>
        </w:rPr>
        <w:t xml:space="preserve">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Dans la plupart des cas, les hommes se considèrent comme seuls propriétaires de tout le patrimoine familial jusqu’à imposer le mode de gestion des revenus acquis à prix de sueur par sa femme. Des fois, ces prétentions sont exercées à l’aide des violences. Celles-ci peuvent être physiques, psychologiques ou économiques. En voici quelques illustrations : En commune Bugenyuzi, un homme a cassé l’œil de sa femme pour avoir vendu une parcelle qu’elle avait reçue de ses parents pour subvenir aux besoins de la famille. </w:t>
      </w:r>
    </w:p>
    <w:p w:rsidR="002B001A"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En commune Buhiga, un homme a octroyé à sa concubine une partie de la parcelle que sa femme avait acquise avant le mariage. En commune Mabanda un homme a violenté sa femme à propos d’une chèvre qu’elle avait achetée, arguant l’argent du prix d’achat a été tiré des ressources familiales (focus group à Mabanda).</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b/>
          <w:sz w:val="24"/>
          <w:szCs w:val="24"/>
        </w:rPr>
      </w:pPr>
      <w:r>
        <w:rPr>
          <w:noProof/>
          <w:lang w:val="en-US"/>
        </w:rPr>
        <w:pict>
          <v:shape id="Image 7" o:spid="_x0000_s1029" type="#_x0000_t75" style="position:absolute;margin-left:0;margin-top:180pt;width:96.15pt;height:119.85pt;z-index:251657216;visibility:visible;mso-position-horizontal-relative:margin;mso-position-vertical-relative:margin">
            <v:imagedata r:id="rId10" o:title=""/>
            <w10:wrap type="square" anchorx="margin" anchory="margin"/>
          </v:shape>
        </w:pict>
      </w:r>
      <w:r w:rsidRPr="00574608">
        <w:rPr>
          <w:rFonts w:ascii="Garamond" w:hAnsi="Garamond"/>
          <w:sz w:val="24"/>
          <w:szCs w:val="24"/>
        </w:rPr>
        <w:t>En somme, au-delà des égoïsmes individuels des hommes, il y a une volonté bien arrêtée de plonger la femme dans la précarité afin de la maintenir en soumission. Il convient ensuite de se demander si en cas de violences les femmes victimes font recours et surtout l’appréciation des uns et des autres par rapport aux décisions prises par divers acteurs.</w:t>
      </w:r>
      <w:r>
        <w:rPr>
          <w:rFonts w:ascii="Garamond" w:hAnsi="Garamond"/>
          <w:sz w:val="24"/>
          <w:szCs w:val="24"/>
        </w:rPr>
        <w:t xml:space="preserve"> </w:t>
      </w:r>
      <w:r w:rsidRPr="00574608">
        <w:rPr>
          <w:rFonts w:ascii="Garamond" w:hAnsi="Garamond"/>
          <w:i/>
          <w:sz w:val="24"/>
          <w:szCs w:val="24"/>
        </w:rPr>
        <w:t>(Photo d’une élue collinaire en commune Gihanga lors d’un FG)</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bookmarkStart w:id="33" w:name="_Toc385356828"/>
      <w:bookmarkStart w:id="34" w:name="_Toc386566492"/>
      <w:bookmarkStart w:id="35" w:name="_Toc386567114"/>
      <w:r w:rsidRPr="00574608">
        <w:rPr>
          <w:rFonts w:ascii="Garamond" w:hAnsi="Garamond" w:cs="Times New Roman"/>
          <w:sz w:val="24"/>
          <w:szCs w:val="24"/>
        </w:rPr>
        <w:t>3.3 Voies de recours</w:t>
      </w:r>
      <w:bookmarkEnd w:id="33"/>
      <w:bookmarkEnd w:id="34"/>
      <w:bookmarkEnd w:id="35"/>
      <w:r w:rsidRPr="00574608">
        <w:rPr>
          <w:rFonts w:ascii="Garamond" w:hAnsi="Garamond" w:cs="Times New Roman"/>
          <w:sz w:val="24"/>
          <w:szCs w:val="24"/>
        </w:rPr>
        <w:t xml:space="preserve">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Après avoir identifié les différentes violences liées à la gestion des biens familiaux ou acquis par les femmes elles-mêmes, il convient de savoir  les modes de recours qu’exercent les victimes. Les développements qui suivent portent ainsi sur les modes de recours ainsi que sur l’appréciation des divers acteurs par rapport aux décisions prises. </w:t>
      </w:r>
      <w:bookmarkStart w:id="36" w:name="_Toc385356829"/>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b/>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b/>
          <w:sz w:val="24"/>
          <w:szCs w:val="24"/>
        </w:rPr>
        <w:t>3.3.1 Organes de recours et appréciation des décisions prises</w:t>
      </w:r>
    </w:p>
    <w:bookmarkEnd w:id="36"/>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Il s’agit notamment des élus collinaires, Abashingantahe, les OSC, l’administrateur communal, le conseil de famille, OPJ. Selon les personnes enquêtées, chaque organe a ses défauts et de manière générale les OSC sont préférables pour des raisons de discrétion et de gratuité, les autres sont accusés de corruption et de partialité.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Les  solutions données par les différentes autorités de recours sont jugées peu satisfaisantes ; la plupart des personnes interrogées surtout les femmes dénoncent une certaine impartialité : « </w:t>
      </w:r>
      <w:r w:rsidRPr="00574608">
        <w:rPr>
          <w:rFonts w:ascii="Garamond" w:hAnsi="Garamond"/>
          <w:i/>
          <w:sz w:val="24"/>
          <w:szCs w:val="24"/>
        </w:rPr>
        <w:t>ntibatunganirizwa neza kuko iyo bitwaye mu muryango canke muri sentare, kenshi bahengamira ku bahungu canke ku bagabo, abagore kenshi bararenganywa</w:t>
      </w:r>
      <w:r w:rsidRPr="00574608">
        <w:rPr>
          <w:rStyle w:val="FootnoteReference"/>
          <w:rFonts w:ascii="Garamond" w:hAnsi="Garamond"/>
          <w:sz w:val="24"/>
          <w:szCs w:val="24"/>
        </w:rPr>
        <w:footnoteReference w:id="9"/>
      </w:r>
      <w:r w:rsidRPr="00574608">
        <w:rPr>
          <w:rFonts w:ascii="Garamond" w:hAnsi="Garamond"/>
          <w:sz w:val="24"/>
          <w:szCs w:val="24"/>
        </w:rPr>
        <w:t>» ;  des élus et Bashingantahe qui exigent cruches de bière pour rendre justice (abashingantahe ni ibinywamazi, ni ukuvuga bakunda inzoga) ; certaines décisions des élus locaux et des Bashingantahe sont injustes, non pas par mauvaise foi, mais par ignorance de la loi. Ils demandent que les élus locaux et les magistrats puissent bénéficier des formations sur les droits des personnes et de la famille. Même si les prestations des OSC sont jugées satisfaisantes, ceux-ci manquent de moyens tant financiers qu’en renforcement des capacités notamment en DPF. Les tribunaux devraient avoir plus de moyens pour la mise en exécution des jugements rendus.</w:t>
      </w:r>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bookmarkStart w:id="37" w:name="_Toc385356830"/>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r w:rsidRPr="00574608">
        <w:rPr>
          <w:rFonts w:ascii="Garamond" w:hAnsi="Garamond"/>
          <w:sz w:val="24"/>
          <w:szCs w:val="24"/>
        </w:rPr>
        <w:t>3.3.2 Contraintes majeures dans les voies de recours</w:t>
      </w:r>
      <w:bookmarkEnd w:id="37"/>
      <w:r w:rsidRPr="00574608">
        <w:rPr>
          <w:rFonts w:ascii="Garamond" w:hAnsi="Garamond"/>
          <w:sz w:val="24"/>
          <w:szCs w:val="24"/>
        </w:rPr>
        <w:t xml:space="preserve"> </w:t>
      </w:r>
    </w:p>
    <w:p w:rsidR="002B001A" w:rsidRPr="00574608" w:rsidRDefault="002B001A" w:rsidP="00574608">
      <w:pPr>
        <w:autoSpaceDE w:val="0"/>
        <w:autoSpaceDN w:val="0"/>
        <w:adjustRightInd w:val="0"/>
        <w:spacing w:after="0" w:line="240" w:lineRule="auto"/>
        <w:rPr>
          <w:rFonts w:ascii="Garamond" w:hAnsi="Garamond"/>
          <w:sz w:val="24"/>
          <w:szCs w:val="24"/>
          <w:lang w:eastAsia="fr-FR"/>
        </w:rPr>
      </w:pPr>
      <w:r w:rsidRPr="00574608">
        <w:rPr>
          <w:rFonts w:ascii="Garamond" w:hAnsi="Garamond"/>
          <w:b/>
          <w:sz w:val="24"/>
          <w:szCs w:val="24"/>
        </w:rPr>
        <w:t>Les femmes lésées ignorent la loi</w:t>
      </w:r>
      <w:r w:rsidRPr="00574608">
        <w:rPr>
          <w:rFonts w:ascii="Garamond" w:hAnsi="Garamond"/>
          <w:sz w:val="24"/>
          <w:szCs w:val="24"/>
        </w:rPr>
        <w:t>. Il s’agit dune contrainte majeure surtout au niveau de la justice. Non seulement qu’elles ignorent les règles de procédure, mais aussi elles ne connaissent pas les règles juridiques de fond. En voici quelques illustrations :</w:t>
      </w:r>
      <w:r w:rsidRPr="00574608">
        <w:rPr>
          <w:rFonts w:ascii="Garamond" w:hAnsi="Garamond"/>
          <w:sz w:val="24"/>
          <w:szCs w:val="24"/>
          <w:lang w:eastAsia="fr-FR"/>
        </w:rPr>
        <w:t xml:space="preserve"> dans une affaire  RCF 172 rendue par le Tribunal de Résidence de BWIZA, l’épouse demanderesse saisit le juge du  divorce pour violences physiques alléguant aussi que son mari a vendu à son insu une parcelle familiale. Même si elle demande le partage des biens, elle n’a jamais eu le réflexe de demander l’annulation de la vente de la parcelle familiale sur base de l’article 126 du CPF. </w:t>
      </w:r>
    </w:p>
    <w:p w:rsidR="002B001A" w:rsidRPr="00574608" w:rsidRDefault="002B001A" w:rsidP="00574608">
      <w:pPr>
        <w:autoSpaceDE w:val="0"/>
        <w:autoSpaceDN w:val="0"/>
        <w:adjustRightInd w:val="0"/>
        <w:spacing w:after="0" w:line="240" w:lineRule="auto"/>
        <w:rPr>
          <w:rFonts w:ascii="Garamond" w:hAnsi="Garamond"/>
          <w:sz w:val="24"/>
          <w:szCs w:val="24"/>
          <w:lang w:eastAsia="fr-FR"/>
        </w:rPr>
      </w:pPr>
    </w:p>
    <w:p w:rsidR="002B001A" w:rsidRPr="00574608" w:rsidRDefault="002B001A" w:rsidP="00574608">
      <w:pPr>
        <w:autoSpaceDE w:val="0"/>
        <w:autoSpaceDN w:val="0"/>
        <w:adjustRightInd w:val="0"/>
        <w:spacing w:after="0" w:line="240" w:lineRule="auto"/>
        <w:rPr>
          <w:rFonts w:ascii="Garamond" w:hAnsi="Garamond"/>
          <w:sz w:val="24"/>
          <w:szCs w:val="24"/>
          <w:lang w:eastAsia="fr-FR"/>
        </w:rPr>
      </w:pPr>
      <w:r w:rsidRPr="00574608">
        <w:rPr>
          <w:rFonts w:ascii="Garamond" w:hAnsi="Garamond"/>
          <w:sz w:val="24"/>
          <w:szCs w:val="24"/>
          <w:lang w:eastAsia="fr-FR"/>
        </w:rPr>
        <w:t>Dans le même sens, mais dans une autre affaire,  madame H. A porte plainte contre son mari MP.G  réclamant la pension alimentaire pour leur enfant ; ce qui lui a été accordé: «HA umugabo wiwe amukotere  ubwatsi bwo kurima kugira arimire umwana bavyaranye</w:t>
      </w:r>
      <w:r w:rsidRPr="00574608">
        <w:rPr>
          <w:rStyle w:val="FootnoteReference"/>
          <w:rFonts w:ascii="Garamond" w:hAnsi="Garamond"/>
          <w:sz w:val="24"/>
          <w:szCs w:val="24"/>
          <w:lang w:eastAsia="fr-FR"/>
        </w:rPr>
        <w:footnoteReference w:id="10"/>
      </w:r>
      <w:r w:rsidRPr="00574608">
        <w:rPr>
          <w:rFonts w:ascii="Garamond" w:hAnsi="Garamond"/>
          <w:sz w:val="24"/>
          <w:szCs w:val="24"/>
          <w:lang w:eastAsia="fr-FR"/>
        </w:rPr>
        <w:t xml:space="preserve">».  Curieusement, la femme ne réclame nulle part sa propre pension alimentaire alors qu’elle était  manifestement dans le besoin.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lang w:val="fr-FR"/>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b/>
          <w:sz w:val="24"/>
          <w:szCs w:val="24"/>
        </w:rPr>
        <w:t>Difficultés/inefficacité  d’exécution</w:t>
      </w:r>
      <w:r w:rsidRPr="00574608">
        <w:rPr>
          <w:rFonts w:ascii="Garamond" w:hAnsi="Garamond"/>
          <w:sz w:val="24"/>
          <w:szCs w:val="24"/>
        </w:rPr>
        <w:t> : en cas de pension alimentaire d’une partie de la maison par exemple, la femme reste exposée à de graves violences de la part de son mari, voir de la belle famille. Par exemple en commune Bugenyuzi, le tribunal avait octroyé à la plaignante deux chambres de la maison. Elle n’a pas osé occuper ces chambres à la suite de menace d’être tuée par son ex époux. A Buhiga, pour un cas similaire le tribunal a octroyé à la femme une seule chambre sans salon. Elle se demande comment vivre dans une seule chambre et comment y accéder sans passer par le salon.</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b/>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b/>
          <w:sz w:val="24"/>
          <w:szCs w:val="24"/>
        </w:rPr>
        <w:t>Manque de sensibilité au genre par les acteurs locaux</w:t>
      </w:r>
      <w:r w:rsidRPr="00574608">
        <w:rPr>
          <w:rFonts w:ascii="Garamond" w:hAnsi="Garamond"/>
          <w:sz w:val="24"/>
          <w:szCs w:val="24"/>
        </w:rPr>
        <w:t> : de manière générale, on se rend compte que la plupart des acteurs locaux s’inspirent de la coutume dans la gestion des conflits successoraux ou liés à la gestion du ménage. Même les juges ne sont pas à l’abri de cette sensibilité.</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b/>
          <w:sz w:val="24"/>
          <w:szCs w:val="24"/>
        </w:rPr>
      </w:pPr>
    </w:p>
    <w:p w:rsidR="002B001A" w:rsidRPr="00574608" w:rsidRDefault="002B001A" w:rsidP="00574608">
      <w:pPr>
        <w:pStyle w:val="Heading4"/>
        <w:numPr>
          <w:ilvl w:val="0"/>
          <w:numId w:val="0"/>
        </w:numPr>
        <w:spacing w:before="0" w:after="0" w:line="240" w:lineRule="auto"/>
        <w:jc w:val="left"/>
        <w:rPr>
          <w:rFonts w:ascii="Garamond" w:hAnsi="Garamond"/>
          <w:sz w:val="24"/>
          <w:szCs w:val="24"/>
        </w:rPr>
      </w:pPr>
      <w:bookmarkStart w:id="38" w:name="_Toc385356831"/>
      <w:r w:rsidRPr="00574608">
        <w:rPr>
          <w:rFonts w:ascii="Garamond" w:hAnsi="Garamond"/>
          <w:sz w:val="24"/>
          <w:szCs w:val="24"/>
        </w:rPr>
        <w:t>3.3.3 Est-on satisfait des jugements rendus en matière de successions ou de gestion des biens?</w:t>
      </w:r>
      <w:bookmarkEnd w:id="38"/>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Pour les uns, ce n’est pas du tout satisfaisant puisque les juges se fondent sur la coutume alors que celle-ci est discriminatoire à l’égard de la fille. Toutefois, les magistrats et avocats  interrogés nuancent en disant que dans le milieu urbain le juge est plus sensible au genre qu’en milieu rural. De même, la plupart des magistrats interrogés se disent satisfaits de la position de plus en plus constante des juridictions qui offrent à la femme divorcée ou non marié une propriété foncière et non un usufruit. Il s’agit à notre sens, d’une pratique à généraliser pour consolider les droits des femmes. Dans le même sens, nous saluons déjà certains magistrats qui s’inspirent du droit écrit en matière de succession impliquant les femmes. En voici une illustration. Dame MI.R a porté plainte contre son frère HA.O demandant que la propriété familiale laissée par leurs parents leur soit partagé en deux parts égales le tribunal lui a donné raison»</w:t>
      </w:r>
      <w:r w:rsidRPr="00574608">
        <w:rPr>
          <w:rStyle w:val="FootnoteReference"/>
          <w:rFonts w:ascii="Garamond" w:hAnsi="Garamond"/>
          <w:sz w:val="24"/>
          <w:szCs w:val="24"/>
        </w:rPr>
        <w:t xml:space="preserve"> </w:t>
      </w:r>
      <w:r w:rsidRPr="00574608">
        <w:rPr>
          <w:rStyle w:val="FootnoteReference"/>
          <w:rFonts w:ascii="Garamond" w:hAnsi="Garamond"/>
          <w:sz w:val="24"/>
          <w:szCs w:val="24"/>
        </w:rPr>
        <w:footnoteReference w:id="11"/>
      </w:r>
      <w:r w:rsidRPr="00574608">
        <w:rPr>
          <w:rFonts w:ascii="Garamond" w:hAnsi="Garamond"/>
          <w:sz w:val="24"/>
          <w:szCs w:val="24"/>
        </w:rPr>
        <w:t>. En guise de solution, la plupart des enquêtées proposent l’adoption d’une loi sur les successions. Qu’en pensent les personnes enquêtées?</w:t>
      </w:r>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bookmarkStart w:id="39" w:name="_Toc385356832"/>
      <w:bookmarkStart w:id="40" w:name="_Toc386566493"/>
      <w:bookmarkStart w:id="41" w:name="_Toc386567115"/>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r w:rsidRPr="00574608">
        <w:rPr>
          <w:rFonts w:ascii="Garamond" w:hAnsi="Garamond" w:cs="Times New Roman"/>
          <w:sz w:val="24"/>
          <w:szCs w:val="24"/>
        </w:rPr>
        <w:t>3.4 De la nécessité d’adopter une loi sur les successions</w:t>
      </w:r>
      <w:bookmarkEnd w:id="39"/>
      <w:bookmarkEnd w:id="40"/>
      <w:bookmarkEnd w:id="41"/>
      <w:r w:rsidRPr="00574608">
        <w:rPr>
          <w:rFonts w:ascii="Garamond" w:hAnsi="Garamond" w:cs="Times New Roman"/>
          <w:sz w:val="24"/>
          <w:szCs w:val="24"/>
        </w:rPr>
        <w:t>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Parmi les principales entraves de la femme burundaise par rapport à la propriété foncière, la plupart de personnes enquêtées, de même d’ailleurs que le rapport du Burundi sur la mise en œuvre du PIDCP propose l’adoption d’une loi sur les successions, les régimes matrimoniaux et les libéralités. Ainsi nous avons recueilli les avis des uns et des autres par rapport à la nécessité d’une telle loi.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L’analyse des réponses données montre que la question de la succession de la femme burundaise est controversée. Pour les hommes, une loi sur les successions porterait plus de mal que de biens; alors que les femmes y une voient le salut ;  mais des positions mitigées sont aussi observées. Ceux qui soutiennent son adoption se fondent sur de nombreuses situations dans lesquelles vivent les femmes divorcées, les mères célibataires, les veuves, etc.et et soutiennent que son adoption limiterait les conflits.</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Par exemple en commune Rutana une mère célibataire a été chassée par ses frères et vit dans la rue alors que ses frères exploitent et vivent du fonds de leur parent : none kubona nk’umukobwa yavyariye iwabo aca yangazwa akaja guca ingero mu gahinga, iyo aba yotoranye ntubona ko yoguma iwabo aho kwangara (ADDF Rutana).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Un chef de colline à Buhiga partage un cas d’une tentative de suicide expliquant qu’il s’agit de l’une des conséquences malheureuses de l’absence de la loi sur les successions d’une : Hari umukobwa yavyariye iwabo aca agomba kumusigira nyina baca baramufata. Yaciye yita mu biyayuramutwe kugeza aho agerageza kwiyahura. Iyo aba yari afise amatungo yiwe ntiyari kugomba kwiyahura.</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Par contre, la plupart des hommes estiment que les femmes ne devaient pas avoir des terres propres, car telle est la coutume ancestrale la plus ancienne ; qu’en somme une telle loi viendrait augmenter les conflits entre neveux et oncles de familles différentes et que le rôle identitaire du fonds de terre aurait disparu. A ceux qui pensent qu’une loi viendrait plutôt amplifier les conflits, une participante rétorque que l’adoption d’une loi sur les successions viendrait rendre justice aux femmes à l’instar d’un parent qui partage équitablement ses biens entre ses enfants. Elle conclue que les conflits sont plutôt écartés : « jewe data yapfuye yaratugaburiye itongo abahungu n’abakobwa, dukomeza umubano mwiza data yadusigiye, dusangira akabisi n’agahiye » (focus group de la population à Butaganzwa). Le conflit a été complètement résolu. Cette conception est confirmée dans une autre recherche où 17 parents formés par ACORD ont partagé équitablement tous leurs biens à leurs enfants, garçons et filles. Ils  témoignent qu’il n’y a aucun conflit entre les enfants et les parents</w:t>
      </w:r>
      <w:r w:rsidRPr="00574608">
        <w:rPr>
          <w:rStyle w:val="FootnoteReference"/>
          <w:rFonts w:ascii="Garamond" w:hAnsi="Garamond"/>
          <w:sz w:val="24"/>
          <w:szCs w:val="24"/>
        </w:rPr>
        <w:footnoteReference w:id="12"/>
      </w:r>
      <w:r w:rsidRPr="00574608">
        <w:rPr>
          <w:rFonts w:ascii="Garamond" w:hAnsi="Garamond"/>
          <w:sz w:val="24"/>
          <w:szCs w:val="24"/>
        </w:rPr>
        <w:t> ; les problèmes de successions se posent dans le monde rural car « </w:t>
      </w:r>
      <w:r w:rsidRPr="00574608">
        <w:rPr>
          <w:rFonts w:ascii="Garamond" w:hAnsi="Garamond"/>
          <w:i/>
          <w:sz w:val="24"/>
          <w:szCs w:val="24"/>
        </w:rPr>
        <w:t>les intellectuels partages leurs biens équitablement à leurs enfants</w:t>
      </w:r>
      <w:r w:rsidRPr="00574608">
        <w:rPr>
          <w:rFonts w:ascii="Garamond" w:hAnsi="Garamond"/>
          <w:sz w:val="24"/>
          <w:szCs w:val="24"/>
        </w:rPr>
        <w:t> ».</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En réalité les conflits naissent plutôt d’un traitement inéquitable entre enfants. Une large sensibilisation est entre temps nécessaire pour expliquer aux parents le bien fondé de partager équitablement les biens à tous leurs enfants.</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Mais en définitive, la position des hommes se justifie par un esprit de maintenir la femme en état de domination comme le dit clairement les hommes lors des focus group à Bugenyuzi : umugore iyo mubana atatoranye, mubana neza. Autrement dit, elle est prête à supporter toutes les violences et injustices que peut lui infliger son époux. Sinon comment expliquer qu’un homme soit satisfait que sa femme n’a rien alors tel serait un ajout à sa propre famille ! Et d’autre de dire, niyo abagore batorana bazoca baganza abagabo babo, kandi haduke n’amatati, abagore batanguye gutorana bica bizana kutubahana mu rugo (focus group à Butaganzwa).</w:t>
      </w: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p>
    <w:p w:rsidR="002B001A" w:rsidRPr="00574608" w:rsidRDefault="002B001A" w:rsidP="00574608">
      <w:pPr>
        <w:pStyle w:val="Bullet1G"/>
        <w:numPr>
          <w:ilvl w:val="0"/>
          <w:numId w:val="0"/>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De nombreuses conséquences de l’absence de cette loi ont été exprimées : </w:t>
      </w:r>
    </w:p>
    <w:p w:rsidR="002B001A" w:rsidRPr="00574608" w:rsidRDefault="002B001A" w:rsidP="00574608">
      <w:pPr>
        <w:pStyle w:val="Bullet1G"/>
        <w:numPr>
          <w:ilvl w:val="0"/>
          <w:numId w:val="17"/>
        </w:numPr>
        <w:tabs>
          <w:tab w:val="left" w:pos="0"/>
        </w:tabs>
        <w:spacing w:after="0" w:line="240" w:lineRule="auto"/>
        <w:ind w:right="0"/>
        <w:jc w:val="left"/>
        <w:rPr>
          <w:rFonts w:ascii="Garamond" w:hAnsi="Garamond"/>
          <w:sz w:val="24"/>
          <w:szCs w:val="24"/>
        </w:rPr>
      </w:pPr>
      <w:r w:rsidRPr="00574608">
        <w:rPr>
          <w:rFonts w:ascii="Garamond" w:hAnsi="Garamond"/>
          <w:sz w:val="24"/>
          <w:szCs w:val="24"/>
        </w:rPr>
        <w:t>Manque d’autonomisation de la femme qui dépend éternellement de son mari ou de la famille</w:t>
      </w:r>
    </w:p>
    <w:p w:rsidR="002B001A" w:rsidRPr="00574608" w:rsidRDefault="002B001A" w:rsidP="00574608">
      <w:pPr>
        <w:pStyle w:val="Bullet1G"/>
        <w:numPr>
          <w:ilvl w:val="0"/>
          <w:numId w:val="17"/>
        </w:numPr>
        <w:tabs>
          <w:tab w:val="left" w:pos="0"/>
        </w:tabs>
        <w:spacing w:after="0" w:line="240" w:lineRule="auto"/>
        <w:ind w:right="0"/>
        <w:jc w:val="left"/>
        <w:rPr>
          <w:rFonts w:ascii="Garamond" w:hAnsi="Garamond"/>
          <w:sz w:val="24"/>
          <w:szCs w:val="24"/>
        </w:rPr>
      </w:pPr>
      <w:r w:rsidRPr="00574608">
        <w:rPr>
          <w:rFonts w:ascii="Garamond" w:hAnsi="Garamond"/>
          <w:sz w:val="24"/>
          <w:szCs w:val="24"/>
        </w:rPr>
        <w:t>Continuation des violences contre les femmes: répudiations, expulsion lésions corporelles, etc.</w:t>
      </w:r>
    </w:p>
    <w:p w:rsidR="002B001A" w:rsidRPr="00574608" w:rsidRDefault="002B001A" w:rsidP="00574608">
      <w:pPr>
        <w:pStyle w:val="Bullet1G"/>
        <w:numPr>
          <w:ilvl w:val="0"/>
          <w:numId w:val="17"/>
        </w:numPr>
        <w:tabs>
          <w:tab w:val="left" w:pos="0"/>
        </w:tabs>
        <w:spacing w:after="0" w:line="240" w:lineRule="auto"/>
        <w:ind w:right="0"/>
        <w:jc w:val="left"/>
        <w:rPr>
          <w:rFonts w:ascii="Garamond" w:hAnsi="Garamond"/>
          <w:sz w:val="24"/>
          <w:szCs w:val="24"/>
        </w:rPr>
      </w:pPr>
      <w:r w:rsidRPr="00574608">
        <w:rPr>
          <w:rFonts w:ascii="Garamond" w:hAnsi="Garamond"/>
          <w:sz w:val="24"/>
          <w:szCs w:val="24"/>
        </w:rPr>
        <w:t>Traitement inégalitaire entre l’homme et la femme dans l’entourage</w:t>
      </w:r>
    </w:p>
    <w:p w:rsidR="002B001A" w:rsidRPr="00574608" w:rsidRDefault="002B001A" w:rsidP="00574608">
      <w:pPr>
        <w:pStyle w:val="Bullet1G"/>
        <w:numPr>
          <w:ilvl w:val="0"/>
          <w:numId w:val="17"/>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Les femmes restent marginalisées et se sentent toujours inférieures aux hommes et ne participent pas assez au développement du pays ; </w:t>
      </w:r>
    </w:p>
    <w:p w:rsidR="002B001A" w:rsidRPr="00574608" w:rsidRDefault="002B001A" w:rsidP="00574608">
      <w:pPr>
        <w:pStyle w:val="Bullet1G"/>
        <w:numPr>
          <w:ilvl w:val="0"/>
          <w:numId w:val="17"/>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Traitement subjectives et inégalitaires des droits des femmes et des hommes par les juridictions ; </w:t>
      </w:r>
    </w:p>
    <w:p w:rsidR="002B001A" w:rsidRPr="00574608" w:rsidRDefault="002B001A" w:rsidP="00574608">
      <w:pPr>
        <w:pStyle w:val="Bullet1G"/>
        <w:numPr>
          <w:ilvl w:val="0"/>
          <w:numId w:val="17"/>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Les enfants naturels non reconnus sont voués à la délinquance ; </w:t>
      </w:r>
    </w:p>
    <w:p w:rsidR="002B001A" w:rsidRPr="00574608" w:rsidRDefault="002B001A" w:rsidP="00574608">
      <w:pPr>
        <w:pStyle w:val="Bullet1G"/>
        <w:numPr>
          <w:ilvl w:val="0"/>
          <w:numId w:val="17"/>
        </w:numPr>
        <w:tabs>
          <w:tab w:val="left" w:pos="0"/>
        </w:tabs>
        <w:spacing w:after="0" w:line="240" w:lineRule="auto"/>
        <w:ind w:right="0"/>
        <w:jc w:val="left"/>
        <w:rPr>
          <w:rFonts w:ascii="Garamond" w:hAnsi="Garamond"/>
          <w:sz w:val="24"/>
          <w:szCs w:val="24"/>
        </w:rPr>
      </w:pPr>
      <w:r w:rsidRPr="00574608">
        <w:rPr>
          <w:rFonts w:ascii="Garamond" w:hAnsi="Garamond"/>
          <w:sz w:val="24"/>
          <w:szCs w:val="24"/>
        </w:rPr>
        <w:t xml:space="preserve">Le Burundi garde une image négative dans le concert des nations en tant que pays où une partie de la population vit dans une forte discrimination ; </w:t>
      </w:r>
    </w:p>
    <w:p w:rsidR="002B001A" w:rsidRPr="00574608" w:rsidRDefault="002B001A" w:rsidP="00574608">
      <w:pPr>
        <w:pStyle w:val="Bullet1G"/>
        <w:numPr>
          <w:ilvl w:val="0"/>
          <w:numId w:val="17"/>
        </w:numPr>
        <w:tabs>
          <w:tab w:val="left" w:pos="0"/>
        </w:tabs>
        <w:spacing w:after="0" w:line="240" w:lineRule="auto"/>
        <w:ind w:right="0"/>
        <w:jc w:val="left"/>
        <w:rPr>
          <w:rFonts w:ascii="Garamond" w:hAnsi="Garamond"/>
          <w:sz w:val="24"/>
          <w:szCs w:val="24"/>
        </w:rPr>
      </w:pPr>
      <w:r w:rsidRPr="00574608">
        <w:rPr>
          <w:rFonts w:ascii="Garamond" w:hAnsi="Garamond"/>
          <w:sz w:val="24"/>
          <w:szCs w:val="24"/>
        </w:rPr>
        <w:t>Multiplication et amplification des conflits.</w:t>
      </w:r>
    </w:p>
    <w:p w:rsidR="002B001A" w:rsidRPr="00574608" w:rsidRDefault="002B001A" w:rsidP="00574608">
      <w:pPr>
        <w:pStyle w:val="Bullet1G"/>
        <w:numPr>
          <w:ilvl w:val="0"/>
          <w:numId w:val="0"/>
        </w:numPr>
        <w:tabs>
          <w:tab w:val="left" w:pos="0"/>
        </w:tabs>
        <w:spacing w:after="0" w:line="240" w:lineRule="auto"/>
        <w:ind w:left="502" w:right="0"/>
        <w:jc w:val="left"/>
        <w:rPr>
          <w:rFonts w:ascii="Garamond" w:hAnsi="Garamond"/>
          <w:sz w:val="24"/>
          <w:szCs w:val="24"/>
        </w:rPr>
      </w:pPr>
    </w:p>
    <w:p w:rsidR="002B001A" w:rsidRPr="00574608" w:rsidRDefault="002B001A" w:rsidP="00574608">
      <w:pPr>
        <w:pStyle w:val="Heading1"/>
        <w:numPr>
          <w:ilvl w:val="0"/>
          <w:numId w:val="0"/>
        </w:numPr>
        <w:spacing w:before="0" w:after="0" w:line="240" w:lineRule="auto"/>
        <w:rPr>
          <w:rFonts w:ascii="Garamond" w:hAnsi="Garamond"/>
          <w:sz w:val="24"/>
          <w:szCs w:val="24"/>
        </w:rPr>
      </w:pPr>
      <w:bookmarkStart w:id="42" w:name="_Toc385356833"/>
      <w:bookmarkStart w:id="43" w:name="_Toc386566494"/>
      <w:bookmarkStart w:id="44" w:name="_Toc386567116"/>
      <w:r w:rsidRPr="00574608">
        <w:rPr>
          <w:rFonts w:ascii="Garamond" w:hAnsi="Garamond"/>
          <w:sz w:val="24"/>
          <w:szCs w:val="24"/>
        </w:rPr>
        <w:t>DE L’ENREGISTREMENT DES DROITS FONCIERS DE LA FEMME</w:t>
      </w:r>
      <w:bookmarkEnd w:id="42"/>
      <w:bookmarkEnd w:id="43"/>
      <w:bookmarkEnd w:id="44"/>
    </w:p>
    <w:p w:rsidR="002B001A" w:rsidRDefault="002B001A" w:rsidP="00574608">
      <w:pPr>
        <w:spacing w:after="0" w:line="240" w:lineRule="auto"/>
        <w:rPr>
          <w:rFonts w:ascii="Garamond" w:hAnsi="Garamond"/>
          <w:sz w:val="24"/>
          <w:szCs w:val="24"/>
        </w:rPr>
      </w:pPr>
      <w:r w:rsidRPr="00574608">
        <w:rPr>
          <w:rFonts w:ascii="Garamond" w:hAnsi="Garamond"/>
          <w:sz w:val="24"/>
          <w:szCs w:val="24"/>
        </w:rPr>
        <w:t>Dans le présent chapitre, on vérifiera si les quelques rares droits fonciers dont les femmes sont propriétaires sont effectivement protégés à travers les services fonciers communaux au même titre que les hommes. La femme a  difficultés spécifiques durant toute la procédure de certification, depuis la demande jusqu’à l’obtention du certificat d’enregistrement et diffèrent en fonction de son statut matrimonial.</w:t>
      </w:r>
    </w:p>
    <w:p w:rsidR="002B001A" w:rsidRPr="00574608" w:rsidRDefault="002B001A" w:rsidP="00574608">
      <w:pPr>
        <w:spacing w:after="0" w:line="240" w:lineRule="auto"/>
        <w:rPr>
          <w:rFonts w:ascii="Garamond" w:hAnsi="Garamond"/>
          <w:sz w:val="24"/>
          <w:szCs w:val="24"/>
        </w:rPr>
      </w:pPr>
    </w:p>
    <w:p w:rsidR="002B001A" w:rsidRPr="00574608" w:rsidRDefault="002B001A" w:rsidP="00574608">
      <w:pPr>
        <w:spacing w:after="0" w:line="240" w:lineRule="auto"/>
        <w:jc w:val="center"/>
        <w:rPr>
          <w:rFonts w:ascii="Garamond" w:hAnsi="Garamond"/>
          <w:sz w:val="24"/>
          <w:szCs w:val="24"/>
        </w:rPr>
      </w:pPr>
      <w:r w:rsidRPr="00246B8D">
        <w:rPr>
          <w:rFonts w:ascii="Garamond" w:hAnsi="Garamond"/>
          <w:noProof/>
          <w:sz w:val="24"/>
          <w:szCs w:val="24"/>
          <w:lang w:val="en-US"/>
        </w:rPr>
        <w:pict>
          <v:shape id="Image 2" o:spid="_x0000_i1025" type="#_x0000_t75" style="width:321pt;height:186.75pt;visibility:visible">
            <v:imagedata r:id="rId11" o:title=""/>
          </v:shape>
        </w:pict>
      </w:r>
    </w:p>
    <w:p w:rsidR="002B001A" w:rsidRPr="00574608" w:rsidRDefault="002B001A" w:rsidP="00574608">
      <w:pPr>
        <w:pStyle w:val="Heading2"/>
        <w:numPr>
          <w:ilvl w:val="0"/>
          <w:numId w:val="0"/>
        </w:numPr>
        <w:spacing w:before="0" w:after="0" w:line="240" w:lineRule="auto"/>
        <w:jc w:val="center"/>
        <w:rPr>
          <w:rFonts w:ascii="Garamond" w:hAnsi="Garamond"/>
          <w:b w:val="0"/>
          <w:sz w:val="24"/>
          <w:szCs w:val="24"/>
        </w:rPr>
      </w:pPr>
      <w:bookmarkStart w:id="45" w:name="_Toc385356834"/>
      <w:bookmarkStart w:id="46" w:name="_Toc386566495"/>
      <w:bookmarkStart w:id="47" w:name="_Toc386567117"/>
      <w:r w:rsidRPr="00574608">
        <w:rPr>
          <w:rFonts w:ascii="Garamond" w:hAnsi="Garamond"/>
          <w:b w:val="0"/>
          <w:sz w:val="24"/>
          <w:szCs w:val="24"/>
        </w:rPr>
        <w:t>(Participants au  focus group devant le SFC de la commune Ngozi)</w:t>
      </w:r>
    </w:p>
    <w:p w:rsidR="002B001A" w:rsidRPr="00574608" w:rsidRDefault="002B001A" w:rsidP="00574608">
      <w:pPr>
        <w:pStyle w:val="Heading2"/>
        <w:numPr>
          <w:ilvl w:val="0"/>
          <w:numId w:val="0"/>
        </w:numPr>
        <w:spacing w:before="0" w:after="0" w:line="240" w:lineRule="auto"/>
        <w:jc w:val="center"/>
        <w:rPr>
          <w:rFonts w:ascii="Garamond" w:hAnsi="Garamond"/>
          <w:sz w:val="24"/>
          <w:szCs w:val="24"/>
        </w:rPr>
      </w:pPr>
    </w:p>
    <w:p w:rsidR="002B001A" w:rsidRPr="00574608" w:rsidRDefault="002B001A" w:rsidP="00574608">
      <w:pPr>
        <w:pStyle w:val="Heading2"/>
        <w:numPr>
          <w:ilvl w:val="0"/>
          <w:numId w:val="0"/>
        </w:numPr>
        <w:spacing w:before="0" w:after="0" w:line="240" w:lineRule="auto"/>
        <w:rPr>
          <w:rFonts w:ascii="Garamond" w:hAnsi="Garamond"/>
          <w:sz w:val="24"/>
          <w:szCs w:val="24"/>
          <w:u w:val="single"/>
        </w:rPr>
      </w:pPr>
      <w:r w:rsidRPr="00574608">
        <w:rPr>
          <w:rFonts w:ascii="Garamond" w:hAnsi="Garamond"/>
          <w:sz w:val="24"/>
          <w:szCs w:val="24"/>
          <w:u w:val="single"/>
        </w:rPr>
        <w:t>4. De la demande d’enregistrement</w:t>
      </w:r>
      <w:bookmarkEnd w:id="45"/>
      <w:bookmarkEnd w:id="46"/>
      <w:bookmarkEnd w:id="47"/>
    </w:p>
    <w:p w:rsidR="002B001A" w:rsidRPr="00574608" w:rsidRDefault="002B001A" w:rsidP="00574608">
      <w:pPr>
        <w:spacing w:after="0" w:line="240" w:lineRule="auto"/>
        <w:rPr>
          <w:rFonts w:ascii="Garamond" w:hAnsi="Garamond"/>
          <w:sz w:val="24"/>
          <w:szCs w:val="24"/>
        </w:rPr>
      </w:pPr>
    </w:p>
    <w:p w:rsidR="002B001A" w:rsidRPr="00574608" w:rsidRDefault="002B001A" w:rsidP="00574608">
      <w:pPr>
        <w:spacing w:after="0" w:line="240" w:lineRule="auto"/>
        <w:rPr>
          <w:rFonts w:ascii="Garamond" w:hAnsi="Garamond"/>
          <w:sz w:val="24"/>
          <w:szCs w:val="24"/>
        </w:rPr>
      </w:pPr>
      <w:r w:rsidRPr="00574608">
        <w:rPr>
          <w:rFonts w:ascii="Garamond" w:hAnsi="Garamond"/>
          <w:sz w:val="24"/>
          <w:szCs w:val="24"/>
        </w:rPr>
        <w:t xml:space="preserve">Au niveau de la demande, on remarque que les femmes sont moins nombreuses par rapport aux hommes. Cela se comprend dans la mesure, comme déjà démontré, le doit coutumier exclue la femme d’être propriétaire d’un droit foncier. </w:t>
      </w:r>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bookmarkStart w:id="48" w:name="_Toc382567378"/>
      <w:bookmarkStart w:id="49" w:name="_Toc385356835"/>
      <w:bookmarkStart w:id="50" w:name="_Toc386566496"/>
      <w:bookmarkStart w:id="51" w:name="_Toc386567118"/>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r w:rsidRPr="00574608">
        <w:rPr>
          <w:rFonts w:ascii="Garamond" w:hAnsi="Garamond" w:cs="Times New Roman"/>
          <w:sz w:val="24"/>
          <w:szCs w:val="24"/>
        </w:rPr>
        <w:t>4.1 Demande formulée par la femme mariée</w:t>
      </w:r>
      <w:bookmarkEnd w:id="48"/>
      <w:bookmarkEnd w:id="49"/>
      <w:bookmarkEnd w:id="50"/>
      <w:bookmarkEnd w:id="51"/>
    </w:p>
    <w:p w:rsidR="002B001A" w:rsidRPr="00574608" w:rsidRDefault="002B001A" w:rsidP="00574608">
      <w:pPr>
        <w:pStyle w:val="ListParagraph"/>
        <w:spacing w:after="0" w:line="240" w:lineRule="auto"/>
        <w:ind w:left="0"/>
        <w:rPr>
          <w:rFonts w:ascii="Garamond" w:hAnsi="Garamond"/>
          <w:sz w:val="24"/>
          <w:szCs w:val="24"/>
          <w:lang w:val="fr-BE"/>
        </w:rPr>
      </w:pPr>
      <w:r w:rsidRPr="00574608">
        <w:rPr>
          <w:rFonts w:ascii="Garamond" w:hAnsi="Garamond"/>
          <w:sz w:val="24"/>
          <w:szCs w:val="24"/>
          <w:lang w:val="fr-BE"/>
        </w:rPr>
        <w:t xml:space="preserve">L’analyse porte sur un double aspect. D’une part, la demande d’enregistrement du fonds familial (itongo ry’umuryango ou itongo ry’umuheto) et d’autre part d’un fonds que la femme a acquise elle-même à la titre onéreux ou à titre gratuit. </w:t>
      </w:r>
    </w:p>
    <w:p w:rsidR="002B001A" w:rsidRPr="00574608" w:rsidRDefault="002B001A" w:rsidP="00574608">
      <w:pPr>
        <w:pStyle w:val="ListParagraph"/>
        <w:spacing w:after="0" w:line="240" w:lineRule="auto"/>
        <w:ind w:left="0"/>
        <w:rPr>
          <w:rFonts w:ascii="Garamond" w:hAnsi="Garamond"/>
          <w:sz w:val="24"/>
          <w:szCs w:val="24"/>
          <w:lang w:val="fr-BE"/>
        </w:rPr>
      </w:pPr>
    </w:p>
    <w:p w:rsidR="002B001A" w:rsidRPr="00574608" w:rsidRDefault="002B001A" w:rsidP="00574608">
      <w:pPr>
        <w:pStyle w:val="ListParagraph"/>
        <w:spacing w:after="0" w:line="240" w:lineRule="auto"/>
        <w:ind w:left="0"/>
        <w:rPr>
          <w:rFonts w:ascii="Garamond" w:hAnsi="Garamond"/>
          <w:sz w:val="24"/>
          <w:szCs w:val="24"/>
          <w:lang w:val="fr-BE"/>
        </w:rPr>
      </w:pPr>
      <w:r w:rsidRPr="00574608">
        <w:rPr>
          <w:rFonts w:ascii="Garamond" w:hAnsi="Garamond"/>
          <w:sz w:val="24"/>
          <w:szCs w:val="24"/>
          <w:lang w:val="fr-BE"/>
        </w:rPr>
        <w:t>Dans le premier cas, on considère qu’il s’agit d’un fonds familial et que l’enregistrement doit se faire au nom du mari ou de la succession. Mais comme déjà montré, les hommes se considèrent comme seuls propriétaires, la femme n’étant qu’un simple gestionnaire. Cette compréhension des choses est contraire à l’article 126 CPF dont malheureusement les juges n’ont pas la même lecture</w:t>
      </w:r>
      <w:r w:rsidRPr="00574608">
        <w:rPr>
          <w:rStyle w:val="FootnoteReference"/>
          <w:rFonts w:ascii="Garamond" w:hAnsi="Garamond"/>
          <w:sz w:val="24"/>
          <w:szCs w:val="24"/>
          <w:lang w:val="fr-BE"/>
        </w:rPr>
        <w:footnoteReference w:id="13"/>
      </w:r>
      <w:r w:rsidRPr="00574608">
        <w:rPr>
          <w:rFonts w:ascii="Garamond" w:hAnsi="Garamond"/>
          <w:sz w:val="24"/>
          <w:szCs w:val="24"/>
          <w:lang w:val="fr-BE"/>
        </w:rPr>
        <w:t>.</w:t>
      </w:r>
    </w:p>
    <w:p w:rsidR="002B001A" w:rsidRPr="00574608" w:rsidRDefault="002B001A" w:rsidP="00574608">
      <w:pPr>
        <w:pStyle w:val="ListParagraph"/>
        <w:spacing w:after="0" w:line="240" w:lineRule="auto"/>
        <w:ind w:left="0"/>
        <w:rPr>
          <w:rFonts w:ascii="Garamond" w:hAnsi="Garamond"/>
          <w:sz w:val="24"/>
          <w:szCs w:val="24"/>
          <w:lang w:val="fr-BE"/>
        </w:rPr>
      </w:pPr>
      <w:r w:rsidRPr="00574608">
        <w:rPr>
          <w:rFonts w:ascii="Garamond" w:hAnsi="Garamond"/>
          <w:sz w:val="24"/>
          <w:szCs w:val="24"/>
          <w:lang w:val="fr-BE"/>
        </w:rPr>
        <w:t>En commune Ngozi, une vieille maman vivait avec ses 4 petits enfants naturels. Elle a été obligée de faire enregistrer sa parcelle sous le nom de ces petits enfants alors que leurs mamans étaient encore en vie.</w:t>
      </w:r>
      <w:r w:rsidRPr="00574608">
        <w:rPr>
          <w:rStyle w:val="FootnoteReference"/>
          <w:rFonts w:ascii="Garamond" w:hAnsi="Garamond"/>
          <w:sz w:val="24"/>
          <w:szCs w:val="24"/>
          <w:lang w:val="fr-BE"/>
        </w:rPr>
        <w:footnoteReference w:id="14"/>
      </w:r>
      <w:r w:rsidRPr="00574608">
        <w:rPr>
          <w:rFonts w:ascii="Garamond" w:hAnsi="Garamond"/>
          <w:sz w:val="24"/>
          <w:szCs w:val="24"/>
          <w:lang w:val="fr-BE"/>
        </w:rPr>
        <w:t xml:space="preserve"> </w:t>
      </w:r>
    </w:p>
    <w:p w:rsidR="002B001A" w:rsidRPr="00574608" w:rsidRDefault="002B001A" w:rsidP="00574608">
      <w:pPr>
        <w:pStyle w:val="ListParagraph"/>
        <w:spacing w:after="0" w:line="240" w:lineRule="auto"/>
        <w:ind w:left="0"/>
        <w:rPr>
          <w:rFonts w:ascii="Garamond" w:hAnsi="Garamond"/>
          <w:sz w:val="24"/>
          <w:szCs w:val="24"/>
          <w:lang w:val="fr-BE"/>
        </w:rPr>
      </w:pPr>
    </w:p>
    <w:p w:rsidR="002B001A" w:rsidRPr="00574608" w:rsidRDefault="002B001A" w:rsidP="00574608">
      <w:pPr>
        <w:pStyle w:val="ListParagraph"/>
        <w:spacing w:after="0" w:line="240" w:lineRule="auto"/>
        <w:ind w:left="0"/>
        <w:rPr>
          <w:rFonts w:ascii="Garamond" w:hAnsi="Garamond"/>
          <w:sz w:val="24"/>
          <w:szCs w:val="24"/>
          <w:lang w:eastAsia="fr-FR"/>
        </w:rPr>
      </w:pPr>
      <w:r w:rsidRPr="00574608">
        <w:rPr>
          <w:rFonts w:ascii="Garamond" w:hAnsi="Garamond"/>
          <w:sz w:val="24"/>
          <w:szCs w:val="24"/>
          <w:lang w:val="fr-BE"/>
        </w:rPr>
        <w:t xml:space="preserve">S’agissant des biens acquis par la femme elle-même, </w:t>
      </w:r>
      <w:r w:rsidRPr="00574608">
        <w:rPr>
          <w:rFonts w:ascii="Garamond" w:hAnsi="Garamond"/>
          <w:sz w:val="24"/>
          <w:szCs w:val="24"/>
        </w:rPr>
        <w:t>les hommes estiment que même dans ce cas la femme a acquis cette propriété grâce aux revenus retirés du patrimoine familial qui est la propriété du mari, que partant l’enregistrement doit se faire au nom du mari, chef de famille. L’affaire ci après montre plutôt que la femme doit être protégée même contre ses enfants :</w:t>
      </w:r>
      <w:r w:rsidRPr="00574608">
        <w:rPr>
          <w:rFonts w:ascii="Garamond" w:hAnsi="Garamond"/>
          <w:sz w:val="24"/>
          <w:szCs w:val="24"/>
          <w:lang w:eastAsia="fr-FR"/>
        </w:rPr>
        <w:t xml:space="preserve"> dame B.G a porté plainte contre son fils NT.E  contestant le fait que ce dernier s’était approprié de tous les fonds de terre de la famille.  En voici le dispositif : </w:t>
      </w:r>
    </w:p>
    <w:p w:rsidR="002B001A" w:rsidRPr="00574608" w:rsidRDefault="002B001A" w:rsidP="00574608">
      <w:pPr>
        <w:pStyle w:val="ListParagraph"/>
        <w:spacing w:after="0" w:line="240" w:lineRule="auto"/>
        <w:ind w:left="0"/>
        <w:rPr>
          <w:rFonts w:ascii="Garamond" w:hAnsi="Garamond"/>
          <w:sz w:val="24"/>
          <w:szCs w:val="24"/>
          <w:lang w:eastAsia="fr-FR"/>
        </w:rPr>
      </w:pPr>
    </w:p>
    <w:p w:rsidR="002B001A" w:rsidRPr="00574608" w:rsidRDefault="002B001A" w:rsidP="00574608">
      <w:pPr>
        <w:numPr>
          <w:ilvl w:val="0"/>
          <w:numId w:val="2"/>
        </w:numPr>
        <w:autoSpaceDE w:val="0"/>
        <w:autoSpaceDN w:val="0"/>
        <w:adjustRightInd w:val="0"/>
        <w:spacing w:after="0" w:line="240" w:lineRule="auto"/>
        <w:rPr>
          <w:rFonts w:ascii="Garamond" w:hAnsi="Garamond"/>
          <w:sz w:val="24"/>
          <w:szCs w:val="24"/>
          <w:lang w:eastAsia="fr-FR"/>
        </w:rPr>
      </w:pPr>
      <w:r w:rsidRPr="00574608">
        <w:rPr>
          <w:rFonts w:ascii="Garamond" w:hAnsi="Garamond"/>
          <w:sz w:val="24"/>
          <w:szCs w:val="24"/>
          <w:lang w:eastAsia="fr-FR"/>
        </w:rPr>
        <w:t xml:space="preserve">Sentare irubahirije B.G kw’itongo  riri ku Kayange yagabiwe na se; </w:t>
      </w:r>
    </w:p>
    <w:p w:rsidR="002B001A" w:rsidRPr="00574608" w:rsidRDefault="002B001A" w:rsidP="00574608">
      <w:pPr>
        <w:numPr>
          <w:ilvl w:val="0"/>
          <w:numId w:val="2"/>
        </w:numPr>
        <w:autoSpaceDE w:val="0"/>
        <w:autoSpaceDN w:val="0"/>
        <w:adjustRightInd w:val="0"/>
        <w:spacing w:after="0" w:line="240" w:lineRule="auto"/>
        <w:rPr>
          <w:rFonts w:ascii="Garamond" w:hAnsi="Garamond"/>
          <w:sz w:val="24"/>
          <w:szCs w:val="24"/>
          <w:lang w:eastAsia="fr-FR"/>
        </w:rPr>
      </w:pPr>
      <w:r w:rsidRPr="00574608">
        <w:rPr>
          <w:rFonts w:ascii="Garamond" w:hAnsi="Garamond"/>
          <w:sz w:val="24"/>
          <w:szCs w:val="24"/>
          <w:lang w:eastAsia="fr-FR"/>
        </w:rPr>
        <w:t xml:space="preserve">Itongo B. G yiguriye atari kumwe n’umugabo wiwe sentare itegetse ko rigaburirwa abana biwe uko ari bane; </w:t>
      </w:r>
    </w:p>
    <w:p w:rsidR="002B001A" w:rsidRPr="00574608" w:rsidRDefault="002B001A" w:rsidP="00574608">
      <w:pPr>
        <w:numPr>
          <w:ilvl w:val="0"/>
          <w:numId w:val="2"/>
        </w:numPr>
        <w:autoSpaceDE w:val="0"/>
        <w:autoSpaceDN w:val="0"/>
        <w:adjustRightInd w:val="0"/>
        <w:spacing w:after="0" w:line="240" w:lineRule="auto"/>
        <w:rPr>
          <w:rFonts w:ascii="Garamond" w:hAnsi="Garamond"/>
          <w:sz w:val="24"/>
          <w:szCs w:val="24"/>
          <w:lang w:eastAsia="fr-FR"/>
        </w:rPr>
      </w:pPr>
      <w:r w:rsidRPr="00574608">
        <w:rPr>
          <w:rFonts w:ascii="Garamond" w:hAnsi="Garamond"/>
          <w:sz w:val="24"/>
          <w:szCs w:val="24"/>
          <w:lang w:eastAsia="fr-FR"/>
        </w:rPr>
        <w:t>Amatongo 2  B.G  yaronderanye n’umugabo wiwe, sentare itegetse ko yoteranywa akagaburwa mu bice 3 bingana [bigaburirwa nyina n’abahungu biwe 2].</w:t>
      </w:r>
      <w:r w:rsidRPr="00574608">
        <w:rPr>
          <w:rStyle w:val="FootnoteReference"/>
          <w:rFonts w:ascii="Garamond" w:hAnsi="Garamond"/>
          <w:sz w:val="24"/>
          <w:szCs w:val="24"/>
          <w:lang w:eastAsia="fr-FR"/>
        </w:rPr>
        <w:footnoteReference w:id="15"/>
      </w:r>
      <w:r w:rsidRPr="00574608">
        <w:rPr>
          <w:rFonts w:ascii="Garamond" w:hAnsi="Garamond"/>
          <w:sz w:val="24"/>
          <w:szCs w:val="24"/>
          <w:lang w:eastAsia="fr-FR"/>
        </w:rPr>
        <w:t xml:space="preserve"> </w:t>
      </w:r>
    </w:p>
    <w:p w:rsidR="002B001A" w:rsidRPr="00574608" w:rsidRDefault="002B001A" w:rsidP="00574608">
      <w:pPr>
        <w:autoSpaceDE w:val="0"/>
        <w:autoSpaceDN w:val="0"/>
        <w:adjustRightInd w:val="0"/>
        <w:spacing w:after="0" w:line="240" w:lineRule="auto"/>
        <w:ind w:left="720"/>
        <w:rPr>
          <w:rFonts w:ascii="Garamond" w:hAnsi="Garamond"/>
          <w:sz w:val="24"/>
          <w:szCs w:val="24"/>
          <w:lang w:eastAsia="fr-FR"/>
        </w:rPr>
      </w:pPr>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bookmarkStart w:id="52" w:name="_Toc382567381"/>
      <w:bookmarkStart w:id="53" w:name="_Toc385356836"/>
      <w:bookmarkStart w:id="54" w:name="_Toc386566497"/>
      <w:bookmarkStart w:id="55" w:name="_Toc386567119"/>
      <w:r w:rsidRPr="00574608">
        <w:rPr>
          <w:rFonts w:ascii="Garamond" w:hAnsi="Garamond" w:cs="Times New Roman"/>
          <w:sz w:val="24"/>
          <w:szCs w:val="24"/>
        </w:rPr>
        <w:t>4.1.2 Demande formulée par une veuve</w:t>
      </w:r>
      <w:bookmarkEnd w:id="52"/>
      <w:bookmarkEnd w:id="53"/>
      <w:bookmarkEnd w:id="54"/>
      <w:bookmarkEnd w:id="55"/>
    </w:p>
    <w:p w:rsidR="002B001A" w:rsidRPr="00574608" w:rsidRDefault="002B001A" w:rsidP="00574608">
      <w:pPr>
        <w:autoSpaceDE w:val="0"/>
        <w:autoSpaceDN w:val="0"/>
        <w:adjustRightInd w:val="0"/>
        <w:spacing w:after="0" w:line="240" w:lineRule="auto"/>
        <w:rPr>
          <w:rFonts w:ascii="Garamond" w:hAnsi="Garamond"/>
          <w:sz w:val="24"/>
          <w:szCs w:val="24"/>
          <w:lang w:eastAsia="fr-FR"/>
        </w:rPr>
      </w:pPr>
      <w:r w:rsidRPr="00574608">
        <w:rPr>
          <w:rFonts w:ascii="Garamond" w:hAnsi="Garamond"/>
          <w:sz w:val="24"/>
          <w:szCs w:val="24"/>
          <w:lang w:eastAsia="fr-FR"/>
        </w:rPr>
        <w:t>Selon l’article 122 CPF, la femme remplace l’homme en l’absence de celui-ci. Autrement dit, tout ce qui est de la gestion des biens du ménage revient à la veuve en cas de décès du mari. La situation diffère selon l’origine des biens. Les fonds d’origine familiale devraient être enregistrés sous le nom de la succession et le reste au nom de la veuve. Cette deuxième option est de nature à protéger la veuve elle-même, les enfants naturels de la femme et limiterait les conflits entre enfants des lits différents.</w:t>
      </w:r>
    </w:p>
    <w:p w:rsidR="002B001A" w:rsidRPr="00574608" w:rsidRDefault="002B001A" w:rsidP="00574608">
      <w:pPr>
        <w:autoSpaceDE w:val="0"/>
        <w:autoSpaceDN w:val="0"/>
        <w:adjustRightInd w:val="0"/>
        <w:spacing w:after="0" w:line="240" w:lineRule="auto"/>
        <w:rPr>
          <w:rFonts w:ascii="Garamond" w:hAnsi="Garamond"/>
          <w:sz w:val="24"/>
          <w:szCs w:val="24"/>
          <w:lang w:eastAsia="fr-FR"/>
        </w:rPr>
      </w:pPr>
    </w:p>
    <w:p w:rsidR="002B001A" w:rsidRPr="00574608" w:rsidRDefault="002B001A" w:rsidP="00574608">
      <w:pPr>
        <w:autoSpaceDE w:val="0"/>
        <w:autoSpaceDN w:val="0"/>
        <w:adjustRightInd w:val="0"/>
        <w:spacing w:after="0" w:line="240" w:lineRule="auto"/>
        <w:rPr>
          <w:rFonts w:ascii="Garamond" w:hAnsi="Garamond"/>
          <w:i/>
          <w:sz w:val="24"/>
          <w:szCs w:val="24"/>
          <w:lang w:eastAsia="fr-FR"/>
        </w:rPr>
      </w:pPr>
      <w:r w:rsidRPr="00574608">
        <w:rPr>
          <w:rFonts w:ascii="Garamond" w:hAnsi="Garamond"/>
          <w:sz w:val="24"/>
          <w:szCs w:val="24"/>
          <w:lang w:eastAsia="fr-FR"/>
        </w:rPr>
        <w:t xml:space="preserve">Pour ce qui est de la propriété acquise par la femme après le décès de on mari, le refus de l’enregistrement au nom de la femme nous semble non justifié. Car, la famille n’aurait qu’un droit de regard par le bais du conseil de famille en vue de la protection des intérêts des enfants, y compris les enfants naturels non reconnus </w:t>
      </w:r>
      <w:r w:rsidRPr="00574608">
        <w:rPr>
          <w:rFonts w:ascii="Garamond" w:hAnsi="Garamond"/>
          <w:i/>
          <w:sz w:val="24"/>
          <w:szCs w:val="24"/>
          <w:lang w:eastAsia="fr-FR"/>
        </w:rPr>
        <w:t>« L’enfant naturel dont la filiation paternelle n’est pas établie est assimilé à l’enfant légitime, mais vis-à-vis de sa mère si la maternité n’est pas contestée» (art.243 CPF.</w:t>
      </w:r>
    </w:p>
    <w:p w:rsidR="002B001A" w:rsidRPr="00574608" w:rsidRDefault="002B001A" w:rsidP="00574608">
      <w:pPr>
        <w:autoSpaceDE w:val="0"/>
        <w:autoSpaceDN w:val="0"/>
        <w:adjustRightInd w:val="0"/>
        <w:spacing w:after="0" w:line="240" w:lineRule="auto"/>
        <w:rPr>
          <w:rFonts w:ascii="Garamond" w:hAnsi="Garamond"/>
          <w:sz w:val="24"/>
          <w:szCs w:val="24"/>
          <w:lang w:eastAsia="fr-FR"/>
        </w:rPr>
      </w:pPr>
    </w:p>
    <w:p w:rsidR="002B001A" w:rsidRPr="00574608" w:rsidRDefault="002B001A" w:rsidP="00574608">
      <w:pPr>
        <w:spacing w:after="0" w:line="240" w:lineRule="auto"/>
        <w:rPr>
          <w:rFonts w:ascii="Garamond" w:hAnsi="Garamond"/>
          <w:sz w:val="24"/>
          <w:szCs w:val="24"/>
        </w:rPr>
      </w:pPr>
      <w:r w:rsidRPr="00574608">
        <w:rPr>
          <w:rFonts w:ascii="Garamond" w:hAnsi="Garamond"/>
          <w:sz w:val="24"/>
          <w:szCs w:val="24"/>
        </w:rPr>
        <w:t xml:space="preserve">En commune Gashikanwa, une femme s’est vue refuser par le service foncier communal de faire enregistrer sa terre alors qu’elle avait les papiers attestant sa vente. Le SFC estimait qu’elle devait la faire enregistrer sous le nom de son mari décédé ou de ses enfants. Cette position du SFC est contraire à la loi. En effet, le code foncier autorise tout titulaire d’un droit foncier à le faire enregistrer (art.380). </w:t>
      </w:r>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bookmarkStart w:id="56" w:name="_Toc382567382"/>
      <w:bookmarkStart w:id="57" w:name="_Toc385356837"/>
      <w:bookmarkStart w:id="58" w:name="_Toc386566498"/>
      <w:bookmarkStart w:id="59" w:name="_Toc386567120"/>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r w:rsidRPr="00574608">
        <w:rPr>
          <w:rFonts w:ascii="Garamond" w:hAnsi="Garamond" w:cs="Times New Roman"/>
          <w:sz w:val="24"/>
          <w:szCs w:val="24"/>
        </w:rPr>
        <w:t>4.1.3 Demande faite par la femme divorcée non mariée</w:t>
      </w:r>
      <w:bookmarkEnd w:id="56"/>
      <w:bookmarkEnd w:id="57"/>
      <w:bookmarkEnd w:id="58"/>
      <w:bookmarkEnd w:id="59"/>
    </w:p>
    <w:p w:rsidR="002B001A" w:rsidRPr="00574608" w:rsidRDefault="002B001A" w:rsidP="00574608">
      <w:pPr>
        <w:pStyle w:val="Default"/>
        <w:rPr>
          <w:rFonts w:ascii="Garamond" w:hAnsi="Garamond"/>
          <w:color w:val="auto"/>
        </w:rPr>
      </w:pPr>
      <w:r w:rsidRPr="00574608">
        <w:rPr>
          <w:rFonts w:ascii="Garamond" w:hAnsi="Garamond"/>
          <w:color w:val="auto"/>
        </w:rPr>
        <w:t>Dans la société burundais, la fille divorcée</w:t>
      </w:r>
      <w:r w:rsidRPr="00574608">
        <w:rPr>
          <w:rStyle w:val="FootnoteReference"/>
          <w:rFonts w:ascii="Garamond" w:hAnsi="Garamond"/>
          <w:color w:val="auto"/>
        </w:rPr>
        <w:footnoteReference w:id="16"/>
      </w:r>
      <w:r w:rsidRPr="00574608">
        <w:rPr>
          <w:rFonts w:ascii="Garamond" w:hAnsi="Garamond"/>
          <w:color w:val="auto"/>
        </w:rPr>
        <w:t xml:space="preserve"> ou non mariée jouit d’un statut tout particulier en ce qui de l’accès à la propriété foncière. Tout dépend en réalité de la volonté de sa famille paternelle. Dans certains cas, elle reçoit une partie du fonds en guise d’usufruit ou rarement en propriété propre. Or, la plupart des personnes interrogées estiment que seul le droit de propriété peut faire objet d’enregistrement. Quand leurs frères ne leur tendent pas la main,</w:t>
      </w:r>
      <w:bookmarkStart w:id="60" w:name="_Toc382567384"/>
      <w:r w:rsidRPr="00574608">
        <w:rPr>
          <w:rFonts w:ascii="Garamond" w:hAnsi="Garamond"/>
          <w:color w:val="auto"/>
        </w:rPr>
        <w:t xml:space="preserve"> elles se confient à la justice. Dans la plupart des cas, les membres de la famille paternelle s’opposent à l’enregistrement.</w:t>
      </w:r>
    </w:p>
    <w:p w:rsidR="002B001A" w:rsidRPr="00574608" w:rsidRDefault="002B001A" w:rsidP="00574608">
      <w:pPr>
        <w:pStyle w:val="Default"/>
        <w:rPr>
          <w:rFonts w:ascii="Garamond" w:hAnsi="Garamond"/>
          <w:color w:val="auto"/>
        </w:rPr>
      </w:pPr>
    </w:p>
    <w:p w:rsidR="002B001A" w:rsidRPr="00574608" w:rsidRDefault="002B001A" w:rsidP="00574608">
      <w:pPr>
        <w:pStyle w:val="Heading3"/>
        <w:numPr>
          <w:ilvl w:val="0"/>
          <w:numId w:val="0"/>
        </w:numPr>
        <w:spacing w:before="0" w:after="0" w:line="240" w:lineRule="auto"/>
        <w:jc w:val="left"/>
        <w:rPr>
          <w:rFonts w:ascii="Garamond" w:hAnsi="Garamond" w:cs="Times New Roman"/>
          <w:sz w:val="24"/>
          <w:szCs w:val="24"/>
        </w:rPr>
      </w:pPr>
      <w:bookmarkStart w:id="61" w:name="_Toc385356838"/>
      <w:bookmarkStart w:id="62" w:name="_Toc386566499"/>
      <w:bookmarkStart w:id="63" w:name="_Toc386567121"/>
      <w:r w:rsidRPr="00574608">
        <w:rPr>
          <w:rFonts w:ascii="Garamond" w:hAnsi="Garamond" w:cs="Times New Roman"/>
          <w:sz w:val="24"/>
          <w:szCs w:val="24"/>
        </w:rPr>
        <w:t>4.1.4 Demande formulée par une femme vivant en union de fait</w:t>
      </w:r>
      <w:bookmarkEnd w:id="60"/>
      <w:bookmarkEnd w:id="61"/>
      <w:bookmarkEnd w:id="62"/>
      <w:bookmarkEnd w:id="63"/>
      <w:r w:rsidRPr="00574608">
        <w:rPr>
          <w:rFonts w:ascii="Garamond" w:hAnsi="Garamond" w:cs="Times New Roman"/>
          <w:sz w:val="24"/>
          <w:szCs w:val="24"/>
        </w:rPr>
        <w:t xml:space="preserve"> </w:t>
      </w:r>
    </w:p>
    <w:p w:rsidR="002B001A" w:rsidRPr="00574608" w:rsidRDefault="002B001A" w:rsidP="00574608">
      <w:pPr>
        <w:pStyle w:val="Heading3"/>
        <w:numPr>
          <w:ilvl w:val="0"/>
          <w:numId w:val="0"/>
        </w:numPr>
        <w:spacing w:before="0" w:after="0" w:line="240" w:lineRule="auto"/>
        <w:jc w:val="left"/>
        <w:rPr>
          <w:rFonts w:ascii="Garamond" w:hAnsi="Garamond" w:cs="Times New Roman"/>
          <w:b w:val="0"/>
          <w:sz w:val="24"/>
          <w:szCs w:val="24"/>
        </w:rPr>
      </w:pPr>
      <w:bookmarkStart w:id="64" w:name="_Toc386566500"/>
      <w:bookmarkStart w:id="65" w:name="_Toc386567122"/>
      <w:r w:rsidRPr="00574608">
        <w:rPr>
          <w:rFonts w:ascii="Garamond" w:hAnsi="Garamond" w:cs="Times New Roman"/>
          <w:b w:val="0"/>
          <w:sz w:val="24"/>
          <w:szCs w:val="24"/>
        </w:rPr>
        <w:t>Les personnes interrogées ne la considèrent pas comme un sujet de droit en ce qui de la propriété. Tout revient à son mari qui seul, a le droit de faire enregistrer la parcelle en son nom. Certains hommes préfèrent que les parcelles  propres de la femme soient vendues pour s’acheter d’autres qui seront enregistrées sous le nom du mari. Par exemple, H.A est une femme de la commune Mishiha et vivait en union de fait avec un homme de qui elle a eu des enfants. A l’aide des manouvres dolosives, celui-ci a vendu la propriété que H.A avait obtenue de son père avant de la chasser. Dans le cas d’espèce par exemple, dire que HA n’aurait aucun droit sur la propriété de son partenaire nous parait injuste.</w:t>
      </w:r>
      <w:bookmarkEnd w:id="64"/>
      <w:bookmarkEnd w:id="65"/>
      <w:r w:rsidRPr="00574608">
        <w:rPr>
          <w:rFonts w:ascii="Garamond" w:hAnsi="Garamond" w:cs="Times New Roman"/>
          <w:b w:val="0"/>
          <w:sz w:val="24"/>
          <w:szCs w:val="24"/>
        </w:rPr>
        <w:t xml:space="preserve"> </w:t>
      </w:r>
    </w:p>
    <w:p w:rsidR="002B001A" w:rsidRPr="00574608" w:rsidRDefault="002B001A" w:rsidP="00574608">
      <w:pPr>
        <w:pStyle w:val="Default"/>
        <w:rPr>
          <w:rFonts w:ascii="Garamond" w:hAnsi="Garamond"/>
          <w:color w:val="auto"/>
        </w:rPr>
      </w:pPr>
    </w:p>
    <w:p w:rsidR="002B001A" w:rsidRPr="00574608" w:rsidRDefault="002B001A" w:rsidP="00574608">
      <w:pPr>
        <w:pStyle w:val="Default"/>
        <w:rPr>
          <w:rFonts w:ascii="Garamond" w:hAnsi="Garamond"/>
          <w:color w:val="auto"/>
        </w:rPr>
      </w:pPr>
      <w:r w:rsidRPr="00574608">
        <w:rPr>
          <w:rFonts w:ascii="Garamond" w:hAnsi="Garamond"/>
          <w:color w:val="auto"/>
        </w:rPr>
        <w:t>En somme, on remarque que la femme burundaise est sujette à plusieurs discriminations quant à l’accès à l’enregistrement de la propriété foncière. Pour les catégories particulières de femme, elles souffrent d’importantes discriminations qui font que leurs terres ne peuvent pas faire objet de certification, ce qui revient en définitive à leur refuser le droit à la propriété. Cette appréhension devrait changer pour permettre à la femme de jouir des ses droits à l’instar de son frère, placé dans les mêmes conditions. Comme déjà expliqué, les barrières principales à la demande sont : la culture, la méconnaissance de la loi par les agents des SFC et par les femmes, ainsi que d’autres dysfonctionnements des SFC.</w:t>
      </w:r>
    </w:p>
    <w:p w:rsidR="002B001A" w:rsidRPr="00574608" w:rsidRDefault="002B001A" w:rsidP="00574608">
      <w:pPr>
        <w:pStyle w:val="Default"/>
        <w:rPr>
          <w:rFonts w:ascii="Garamond" w:hAnsi="Garamond"/>
          <w:color w:val="auto"/>
        </w:rPr>
      </w:pPr>
    </w:p>
    <w:p w:rsidR="002B001A" w:rsidRPr="00574608" w:rsidRDefault="002B001A" w:rsidP="00574608">
      <w:pPr>
        <w:pStyle w:val="Default"/>
        <w:rPr>
          <w:rFonts w:ascii="Garamond" w:hAnsi="Garamond"/>
          <w:color w:val="auto"/>
        </w:rPr>
      </w:pPr>
      <w:r w:rsidRPr="00574608">
        <w:rPr>
          <w:rFonts w:ascii="Garamond" w:hAnsi="Garamond"/>
          <w:color w:val="auto"/>
        </w:rPr>
        <w:t>Qu’en est-il pour les femmes qui parviennent à introduire leur demande ? Les lignes qui suivent en disent davantage.</w:t>
      </w:r>
    </w:p>
    <w:p w:rsidR="002B001A" w:rsidRPr="00574608" w:rsidRDefault="002B001A" w:rsidP="00574608">
      <w:pPr>
        <w:pStyle w:val="Default"/>
        <w:rPr>
          <w:rFonts w:ascii="Garamond" w:hAnsi="Garamond"/>
          <w:color w:val="auto"/>
        </w:rPr>
      </w:pPr>
    </w:p>
    <w:p w:rsidR="002B001A" w:rsidRPr="00574608" w:rsidRDefault="002B001A" w:rsidP="00574608">
      <w:pPr>
        <w:pStyle w:val="Heading2"/>
        <w:numPr>
          <w:ilvl w:val="0"/>
          <w:numId w:val="0"/>
        </w:numPr>
        <w:spacing w:before="0" w:after="0" w:line="240" w:lineRule="auto"/>
        <w:rPr>
          <w:rFonts w:ascii="Garamond" w:hAnsi="Garamond"/>
          <w:i w:val="0"/>
          <w:sz w:val="24"/>
          <w:szCs w:val="24"/>
          <w:lang w:val="fr-BE"/>
        </w:rPr>
      </w:pPr>
      <w:bookmarkStart w:id="66" w:name="_Toc382567386"/>
      <w:bookmarkStart w:id="67" w:name="_Toc385356839"/>
      <w:bookmarkStart w:id="68" w:name="_Toc386566501"/>
      <w:bookmarkStart w:id="69" w:name="_Toc386567123"/>
      <w:r w:rsidRPr="00574608">
        <w:rPr>
          <w:rFonts w:ascii="Garamond" w:hAnsi="Garamond"/>
          <w:i w:val="0"/>
          <w:sz w:val="24"/>
          <w:szCs w:val="24"/>
        </w:rPr>
        <w:t xml:space="preserve">4.2 </w:t>
      </w:r>
      <w:r w:rsidRPr="00574608">
        <w:rPr>
          <w:rFonts w:ascii="Garamond" w:hAnsi="Garamond"/>
          <w:i w:val="0"/>
          <w:sz w:val="24"/>
          <w:szCs w:val="24"/>
          <w:lang w:val="fr-BE"/>
        </w:rPr>
        <w:t>Instruction de la demande</w:t>
      </w:r>
      <w:bookmarkEnd w:id="66"/>
      <w:bookmarkEnd w:id="67"/>
      <w:bookmarkEnd w:id="68"/>
      <w:bookmarkEnd w:id="69"/>
    </w:p>
    <w:p w:rsidR="002B001A" w:rsidRPr="00574608" w:rsidRDefault="002B001A" w:rsidP="00574608">
      <w:pPr>
        <w:pStyle w:val="ListParagraph"/>
        <w:spacing w:after="0" w:line="240" w:lineRule="auto"/>
        <w:ind w:left="0"/>
        <w:rPr>
          <w:rFonts w:ascii="Garamond" w:hAnsi="Garamond"/>
          <w:sz w:val="24"/>
          <w:szCs w:val="24"/>
          <w:lang w:val="fr-BE"/>
        </w:rPr>
      </w:pPr>
      <w:r w:rsidRPr="00574608">
        <w:rPr>
          <w:rFonts w:ascii="Garamond" w:hAnsi="Garamond"/>
          <w:sz w:val="24"/>
          <w:szCs w:val="24"/>
          <w:lang w:val="fr-BE"/>
        </w:rPr>
        <w:t>La demande fait ensuite l’objet d’une instruction interne dans le but de vérifier la situation de l’immeuble qui en est l’objet, ses limites et sa consistance. On vérifie, en outre, si cet immeuble ne fait pas déjà l’objet d’un titre foncier, et s’il ne relève pas de la domanialité publique ou privée. La question qui fera objet d’analyse est celle de savoir si le SFC peut refuser d’enregistrer une terre d’une femme en l’absence de toute opposition et pour les catégories de terres normalement sujettes d’enregistrement. La réponse est affirmative. En voici quelques illustrations.</w:t>
      </w:r>
    </w:p>
    <w:p w:rsidR="002B001A" w:rsidRPr="00574608" w:rsidRDefault="002B001A" w:rsidP="00574608">
      <w:pPr>
        <w:pStyle w:val="ListParagraph"/>
        <w:spacing w:after="0" w:line="240" w:lineRule="auto"/>
        <w:ind w:left="0"/>
        <w:rPr>
          <w:rFonts w:ascii="Garamond" w:hAnsi="Garamond"/>
          <w:sz w:val="24"/>
          <w:szCs w:val="24"/>
          <w:lang w:val="fr-BE"/>
        </w:rPr>
      </w:pPr>
    </w:p>
    <w:p w:rsidR="002B001A" w:rsidRPr="00574608" w:rsidRDefault="002B001A" w:rsidP="00574608">
      <w:pPr>
        <w:pStyle w:val="FootnoteText"/>
        <w:rPr>
          <w:rFonts w:ascii="Garamond" w:hAnsi="Garamond"/>
          <w:sz w:val="24"/>
          <w:szCs w:val="24"/>
        </w:rPr>
      </w:pPr>
      <w:r w:rsidRPr="00574608">
        <w:rPr>
          <w:rFonts w:ascii="Garamond" w:hAnsi="Garamond"/>
          <w:sz w:val="24"/>
          <w:szCs w:val="24"/>
        </w:rPr>
        <w:t>Une femme de commune  Gashikanwa à qui  le SFC avait refusé d’enregistrer la parcelle formule son souhait : « </w:t>
      </w:r>
      <w:r w:rsidRPr="00574608">
        <w:rPr>
          <w:rFonts w:ascii="Garamond" w:hAnsi="Garamond"/>
          <w:i/>
          <w:sz w:val="24"/>
          <w:szCs w:val="24"/>
        </w:rPr>
        <w:t>il est temps que lorsque la femme achète quelque chose [une parcelle] bénéficie d’une liberté afin qu’elle jouisse de ses droits. Autre chose c’est de nous aider à ce que lorsque la femme s’achète quelque chose, qu’elle  ne soit pas confondue avec la propriété de toute la famille. Pour ce faire, il serait mieux de rédiger une petite lettre reconnaissant que telle propriété acquise par la femme avant le mariage lui appartient</w:t>
      </w:r>
      <w:r w:rsidRPr="00574608">
        <w:rPr>
          <w:rFonts w:ascii="Garamond" w:hAnsi="Garamond"/>
          <w:sz w:val="24"/>
          <w:szCs w:val="24"/>
        </w:rPr>
        <w:t> ». (Traduction libre)</w:t>
      </w:r>
    </w:p>
    <w:p w:rsidR="002B001A" w:rsidRPr="00574608" w:rsidRDefault="002B001A" w:rsidP="00574608">
      <w:pPr>
        <w:pStyle w:val="FootnoteText"/>
        <w:rPr>
          <w:rFonts w:ascii="Garamond" w:hAnsi="Garamond"/>
          <w:sz w:val="24"/>
          <w:szCs w:val="24"/>
        </w:rPr>
      </w:pPr>
    </w:p>
    <w:p w:rsidR="002B001A" w:rsidRPr="00574608" w:rsidRDefault="002B001A" w:rsidP="00574608">
      <w:pPr>
        <w:pStyle w:val="ListParagraph"/>
        <w:spacing w:after="0" w:line="240" w:lineRule="auto"/>
        <w:ind w:left="0"/>
        <w:rPr>
          <w:rFonts w:ascii="Garamond" w:hAnsi="Garamond"/>
          <w:sz w:val="24"/>
          <w:szCs w:val="24"/>
          <w:lang w:val="fr-BE"/>
        </w:rPr>
      </w:pPr>
      <w:r w:rsidRPr="00574608">
        <w:rPr>
          <w:rFonts w:ascii="Garamond" w:hAnsi="Garamond"/>
          <w:sz w:val="24"/>
          <w:szCs w:val="24"/>
          <w:lang w:val="fr-BE"/>
        </w:rPr>
        <w:t>En commune Gashikanwa le SFC a refusé d’enregistrer une propriété acquise par la veuve  (itongo ry’umuheto) au nom de la femme et a décidé que la certification sera faite au nom de l’époux décédé</w:t>
      </w:r>
      <w:r w:rsidRPr="00574608">
        <w:rPr>
          <w:rStyle w:val="FootnoteReference"/>
          <w:rFonts w:ascii="Garamond" w:hAnsi="Garamond"/>
          <w:sz w:val="24"/>
          <w:szCs w:val="24"/>
          <w:lang w:val="fr-BE"/>
        </w:rPr>
        <w:t>.</w:t>
      </w:r>
      <w:r w:rsidRPr="00574608">
        <w:rPr>
          <w:rFonts w:ascii="Garamond" w:hAnsi="Garamond"/>
          <w:sz w:val="24"/>
          <w:szCs w:val="24"/>
        </w:rPr>
        <w:t xml:space="preserve"> </w:t>
      </w:r>
      <w:r w:rsidRPr="00574608">
        <w:rPr>
          <w:rFonts w:ascii="Garamond" w:hAnsi="Garamond"/>
          <w:sz w:val="24"/>
          <w:szCs w:val="24"/>
          <w:lang w:val="fr-BE"/>
        </w:rPr>
        <w:t xml:space="preserve"> Voici son récit : « </w:t>
      </w:r>
      <w:r w:rsidRPr="00574608">
        <w:rPr>
          <w:rFonts w:ascii="Garamond" w:hAnsi="Garamond"/>
          <w:i/>
          <w:sz w:val="24"/>
          <w:szCs w:val="24"/>
        </w:rPr>
        <w:t>kubera ndi umupfakazi mba nshaka kwandikisha aga parcelle muri ntunganyamatongo bagaca bavuga ngo oya noryandikisha ku mugabo wanje ; urumva rero ko mba mpohotewe, naraguze aga parcelle sindakandikishe</w:t>
      </w:r>
      <w:r w:rsidRPr="00574608">
        <w:rPr>
          <w:rFonts w:ascii="Garamond" w:hAnsi="Garamond"/>
          <w:sz w:val="24"/>
          <w:szCs w:val="24"/>
        </w:rPr>
        <w:t xml:space="preserve"> » (puisque je suis une veuve et que je veux faire enregistrer ma parcelle et le service foncier s’oppose en ce que ce soit sur mon nom mais sur celui de mon mari. Il s’agit d’une violation de mes droits puisqu’on me refuse de faire enregistrer une parcelle que j’ai achetée). </w:t>
      </w:r>
      <w:r w:rsidRPr="00574608">
        <w:rPr>
          <w:rFonts w:ascii="Garamond" w:hAnsi="Garamond"/>
          <w:sz w:val="24"/>
          <w:szCs w:val="24"/>
          <w:lang w:val="fr-BE"/>
        </w:rPr>
        <w:t xml:space="preserve">La victime avait des contrats de vente attestant qu’elle est propriétaire. </w:t>
      </w:r>
    </w:p>
    <w:p w:rsidR="002B001A" w:rsidRPr="00574608" w:rsidRDefault="002B001A" w:rsidP="00574608">
      <w:pPr>
        <w:pStyle w:val="ListParagraph"/>
        <w:spacing w:after="0" w:line="240" w:lineRule="auto"/>
        <w:ind w:left="0"/>
        <w:rPr>
          <w:rFonts w:ascii="Garamond" w:hAnsi="Garamond"/>
          <w:sz w:val="24"/>
          <w:szCs w:val="24"/>
          <w:lang w:val="fr-BE"/>
        </w:rPr>
      </w:pPr>
    </w:p>
    <w:p w:rsidR="002B001A" w:rsidRPr="00574608" w:rsidRDefault="002B001A" w:rsidP="00574608">
      <w:pPr>
        <w:pStyle w:val="ListParagraph"/>
        <w:spacing w:after="0" w:line="240" w:lineRule="auto"/>
        <w:ind w:left="0"/>
        <w:rPr>
          <w:rFonts w:ascii="Garamond" w:hAnsi="Garamond"/>
          <w:sz w:val="24"/>
          <w:szCs w:val="24"/>
          <w:lang w:val="fr-BE"/>
        </w:rPr>
      </w:pPr>
      <w:r w:rsidRPr="00574608">
        <w:rPr>
          <w:rFonts w:ascii="Garamond" w:hAnsi="Garamond"/>
          <w:sz w:val="24"/>
          <w:szCs w:val="24"/>
          <w:lang w:val="fr-BE"/>
        </w:rPr>
        <w:t xml:space="preserve">A notre sens, les SFC devraient particulièrement se limiter sur le prescrit de la loi et se limiter à son contenu afin de ne pas tomber dans des considérations subjectives, notamment en projetant sur les aspects de la gestion future d’une succession. </w:t>
      </w:r>
    </w:p>
    <w:p w:rsidR="002B001A" w:rsidRPr="00574608" w:rsidRDefault="002B001A" w:rsidP="00574608">
      <w:pPr>
        <w:pStyle w:val="Heading2"/>
        <w:numPr>
          <w:ilvl w:val="0"/>
          <w:numId w:val="0"/>
        </w:numPr>
        <w:spacing w:before="0" w:after="0" w:line="240" w:lineRule="auto"/>
        <w:rPr>
          <w:rFonts w:ascii="Garamond" w:hAnsi="Garamond"/>
          <w:sz w:val="24"/>
          <w:szCs w:val="24"/>
          <w:lang w:val="fr-BE"/>
        </w:rPr>
      </w:pPr>
      <w:bookmarkStart w:id="70" w:name="_Toc382567388"/>
      <w:bookmarkStart w:id="71" w:name="_Toc385356840"/>
      <w:bookmarkStart w:id="72" w:name="_Toc386566502"/>
      <w:bookmarkStart w:id="73" w:name="_Toc386567124"/>
    </w:p>
    <w:p w:rsidR="002B001A" w:rsidRPr="00574608" w:rsidRDefault="002B001A" w:rsidP="00574608">
      <w:pPr>
        <w:pStyle w:val="Heading2"/>
        <w:numPr>
          <w:ilvl w:val="0"/>
          <w:numId w:val="0"/>
        </w:numPr>
        <w:spacing w:before="0" w:after="0" w:line="240" w:lineRule="auto"/>
        <w:rPr>
          <w:rFonts w:ascii="Garamond" w:hAnsi="Garamond"/>
          <w:i w:val="0"/>
          <w:sz w:val="24"/>
          <w:szCs w:val="24"/>
          <w:lang w:val="fr-BE"/>
        </w:rPr>
      </w:pPr>
      <w:r w:rsidRPr="00574608">
        <w:rPr>
          <w:rFonts w:ascii="Garamond" w:hAnsi="Garamond"/>
          <w:i w:val="0"/>
          <w:sz w:val="24"/>
          <w:szCs w:val="24"/>
          <w:lang w:val="fr-BE"/>
        </w:rPr>
        <w:t>4.3 De la reconnaissance collinaire</w:t>
      </w:r>
      <w:bookmarkEnd w:id="70"/>
      <w:bookmarkEnd w:id="71"/>
      <w:bookmarkEnd w:id="72"/>
      <w:bookmarkEnd w:id="73"/>
    </w:p>
    <w:p w:rsidR="002B001A" w:rsidRPr="00574608" w:rsidRDefault="002B001A" w:rsidP="00574608">
      <w:pPr>
        <w:pStyle w:val="ListParagraph"/>
        <w:spacing w:after="0" w:line="240" w:lineRule="auto"/>
        <w:ind w:left="0"/>
        <w:rPr>
          <w:rFonts w:ascii="Garamond" w:hAnsi="Garamond"/>
          <w:b/>
          <w:sz w:val="24"/>
          <w:szCs w:val="24"/>
          <w:lang w:val="fr-BE"/>
        </w:rPr>
      </w:pPr>
      <w:r w:rsidRPr="00574608">
        <w:rPr>
          <w:rFonts w:ascii="Garamond" w:hAnsi="Garamond"/>
          <w:sz w:val="24"/>
          <w:szCs w:val="24"/>
          <w:lang w:val="fr-BE"/>
        </w:rPr>
        <w:t xml:space="preserve">La séance de reconnaissance collinaire est publique et contradictoire. Elle se déroule sur la parcelle dont la certification est demandée, en présence du demandeur, des membres de sa famille, de ses voisins, des témoins et opposants éventuels. Elle est présidée par le représentant de l’administration communale, en même temps président de la commission de reconnaissance collinaire. Le travail de celle-ci consiste à évaluer le bien-fondé des droits fonciers objet de la demande de certificat, et faciliter le règlement des oppositions s’il y en a. Mais des femmes peuvent subir des injustices.  </w:t>
      </w:r>
    </w:p>
    <w:p w:rsidR="002B001A" w:rsidRPr="00574608" w:rsidRDefault="002B001A" w:rsidP="00574608">
      <w:pPr>
        <w:pStyle w:val="ListParagraph"/>
        <w:spacing w:after="0" w:line="240" w:lineRule="auto"/>
        <w:ind w:left="0"/>
        <w:rPr>
          <w:rFonts w:ascii="Garamond" w:hAnsi="Garamond"/>
          <w:sz w:val="24"/>
          <w:szCs w:val="24"/>
          <w:lang w:val="fr-BE"/>
        </w:rPr>
      </w:pPr>
    </w:p>
    <w:p w:rsidR="002B001A" w:rsidRPr="00574608" w:rsidRDefault="002B001A" w:rsidP="00574608">
      <w:pPr>
        <w:pStyle w:val="ListParagraph"/>
        <w:spacing w:after="0" w:line="240" w:lineRule="auto"/>
        <w:ind w:left="0"/>
        <w:rPr>
          <w:rFonts w:ascii="Garamond" w:hAnsi="Garamond"/>
          <w:sz w:val="24"/>
          <w:szCs w:val="24"/>
          <w:lang w:val="fr-BE"/>
        </w:rPr>
      </w:pPr>
      <w:r w:rsidRPr="00574608">
        <w:rPr>
          <w:rFonts w:ascii="Garamond" w:hAnsi="Garamond"/>
          <w:sz w:val="24"/>
          <w:szCs w:val="24"/>
          <w:lang w:val="fr-BE"/>
        </w:rPr>
        <w:t xml:space="preserve">Les informations concordantes montrent un malaise énorme dont souffre la femme. En effet, la femme n’est pas assez représentée au niveau des agents de services fonciers, parmi les membres des CRC et de façon accrue au niveau de présidence des CRC. Par conséquent, en l’absence de texte portant fonctionnement des SFC et des CRC, qu’il n’y a pas de quorum de réunion ou de majorité de décision), les hommes imposent leur volonté qui devient en définitive la position du SFC ou de la CRC. Or, comme on l’a déjà démontré, la plupart de ces acteurs s’inspirent plus de la coutume que de la loi ou des principes d’équité contenus dans plusieurs textes juridiques. </w:t>
      </w:r>
    </w:p>
    <w:p w:rsidR="002B001A" w:rsidRPr="00574608" w:rsidRDefault="002B001A" w:rsidP="00574608">
      <w:pPr>
        <w:pStyle w:val="ListParagraph"/>
        <w:spacing w:after="0" w:line="240" w:lineRule="auto"/>
        <w:ind w:left="0"/>
        <w:rPr>
          <w:rFonts w:ascii="Garamond" w:hAnsi="Garamond"/>
          <w:sz w:val="24"/>
          <w:szCs w:val="24"/>
          <w:lang w:val="fr-BE"/>
        </w:rPr>
      </w:pPr>
    </w:p>
    <w:p w:rsidR="002B001A" w:rsidRPr="00574608" w:rsidRDefault="002B001A" w:rsidP="00574608">
      <w:pPr>
        <w:pStyle w:val="Heading2"/>
        <w:numPr>
          <w:ilvl w:val="0"/>
          <w:numId w:val="0"/>
        </w:numPr>
        <w:spacing w:before="0" w:after="0" w:line="240" w:lineRule="auto"/>
        <w:rPr>
          <w:rFonts w:ascii="Garamond" w:hAnsi="Garamond"/>
          <w:i w:val="0"/>
          <w:sz w:val="24"/>
          <w:szCs w:val="24"/>
          <w:lang w:val="fr-BE"/>
        </w:rPr>
      </w:pPr>
      <w:bookmarkStart w:id="74" w:name="_Toc385356841"/>
      <w:bookmarkStart w:id="75" w:name="_Toc386566503"/>
      <w:bookmarkStart w:id="76" w:name="_Toc386567125"/>
      <w:r w:rsidRPr="00574608">
        <w:rPr>
          <w:rFonts w:ascii="Garamond" w:hAnsi="Garamond"/>
          <w:i w:val="0"/>
          <w:sz w:val="24"/>
          <w:szCs w:val="24"/>
          <w:lang w:val="fr-BE"/>
        </w:rPr>
        <w:t>4.4 Opposition</w:t>
      </w:r>
      <w:bookmarkEnd w:id="74"/>
      <w:bookmarkEnd w:id="75"/>
      <w:bookmarkEnd w:id="76"/>
      <w:r w:rsidRPr="00574608">
        <w:rPr>
          <w:rFonts w:ascii="Garamond" w:hAnsi="Garamond"/>
          <w:i w:val="0"/>
          <w:sz w:val="24"/>
          <w:szCs w:val="24"/>
          <w:lang w:val="fr-BE"/>
        </w:rPr>
        <w:t xml:space="preserve"> </w:t>
      </w:r>
    </w:p>
    <w:p w:rsidR="002B001A" w:rsidRPr="00574608" w:rsidRDefault="002B001A" w:rsidP="00574608">
      <w:pPr>
        <w:pStyle w:val="ListParagraph"/>
        <w:spacing w:after="0" w:line="240" w:lineRule="auto"/>
        <w:ind w:left="0"/>
        <w:rPr>
          <w:rFonts w:ascii="Garamond" w:hAnsi="Garamond"/>
          <w:sz w:val="24"/>
          <w:szCs w:val="24"/>
          <w:lang w:val="fr-BE"/>
        </w:rPr>
      </w:pPr>
      <w:r w:rsidRPr="00574608">
        <w:rPr>
          <w:rFonts w:ascii="Garamond" w:hAnsi="Garamond"/>
          <w:sz w:val="24"/>
          <w:szCs w:val="24"/>
          <w:lang w:val="fr-BE"/>
        </w:rPr>
        <w:t xml:space="preserve">De façon unanime, les personnes interrogées affirment que les frères  font souvent  opposition à l’enregistrement par leurs sœurs même lorsqu’il s’agit d’un héritage régulier et prouvé. Les oppositions peuvent provenir en outre des voisins soit de leur initiative ou sur incitations des membres des CRC. Le malaise proviendra du fait que la femme peut subir une injustice sur influence des chefs de collines qui peuvent être des présidents des CRC comme cela se fait en communes Nyabitsinda et Itaba. L’équilibre genre devrait être observé dans toutes instances de certification foncière et tenir compte des intérêts de la femme. </w:t>
      </w:r>
    </w:p>
    <w:p w:rsidR="002B001A" w:rsidRPr="00574608" w:rsidRDefault="002B001A" w:rsidP="00574608">
      <w:pPr>
        <w:pStyle w:val="ListParagraph"/>
        <w:spacing w:after="0" w:line="240" w:lineRule="auto"/>
        <w:ind w:left="0"/>
        <w:rPr>
          <w:rFonts w:ascii="Garamond" w:hAnsi="Garamond"/>
          <w:sz w:val="24"/>
          <w:szCs w:val="24"/>
          <w:lang w:val="fr-BE"/>
        </w:rPr>
      </w:pPr>
    </w:p>
    <w:p w:rsidR="002B001A" w:rsidRPr="00574608" w:rsidRDefault="002B001A" w:rsidP="00574608">
      <w:pPr>
        <w:pStyle w:val="Heading2"/>
        <w:numPr>
          <w:ilvl w:val="0"/>
          <w:numId w:val="0"/>
        </w:numPr>
        <w:spacing w:before="0" w:after="0" w:line="240" w:lineRule="auto"/>
        <w:rPr>
          <w:rFonts w:ascii="Garamond" w:hAnsi="Garamond"/>
          <w:i w:val="0"/>
          <w:sz w:val="24"/>
          <w:szCs w:val="24"/>
          <w:lang w:val="fr-BE"/>
        </w:rPr>
      </w:pPr>
      <w:bookmarkStart w:id="77" w:name="_Toc382567390"/>
      <w:bookmarkStart w:id="78" w:name="_Toc385356842"/>
      <w:bookmarkStart w:id="79" w:name="_Toc386566504"/>
      <w:bookmarkStart w:id="80" w:name="_Toc386567126"/>
      <w:r w:rsidRPr="00574608">
        <w:rPr>
          <w:rFonts w:ascii="Garamond" w:hAnsi="Garamond"/>
          <w:i w:val="0"/>
          <w:sz w:val="24"/>
          <w:szCs w:val="24"/>
          <w:lang w:val="fr-BE"/>
        </w:rPr>
        <w:t>4.5 Établissement et retrait du certificat foncier</w:t>
      </w:r>
      <w:bookmarkEnd w:id="77"/>
      <w:bookmarkEnd w:id="78"/>
      <w:bookmarkEnd w:id="79"/>
      <w:bookmarkEnd w:id="80"/>
    </w:p>
    <w:p w:rsidR="002B001A" w:rsidRPr="00574608" w:rsidRDefault="002B001A" w:rsidP="00574608">
      <w:pPr>
        <w:pStyle w:val="Default"/>
        <w:rPr>
          <w:rFonts w:ascii="Garamond" w:hAnsi="Garamond"/>
          <w:color w:val="auto"/>
          <w:lang w:val="fr-BE"/>
        </w:rPr>
      </w:pPr>
      <w:r w:rsidRPr="00574608">
        <w:rPr>
          <w:rFonts w:ascii="Garamond" w:hAnsi="Garamond"/>
          <w:color w:val="auto"/>
          <w:lang w:val="fr-BE"/>
        </w:rPr>
        <w:t>Faute d’opposition persistante, le service foncier communal établit le certificat foncier en 2 exemplaires après en avoir inscrit les données caractéristiques au registre foncier communal</w:t>
      </w:r>
      <w:r w:rsidRPr="00574608">
        <w:rPr>
          <w:rStyle w:val="FootnoteReference"/>
          <w:rFonts w:ascii="Garamond" w:hAnsi="Garamond"/>
          <w:color w:val="auto"/>
          <w:lang w:val="fr-BE"/>
        </w:rPr>
        <w:footnoteReference w:id="17"/>
      </w:r>
      <w:r w:rsidRPr="00574608">
        <w:rPr>
          <w:rFonts w:ascii="Garamond" w:hAnsi="Garamond"/>
          <w:color w:val="auto"/>
          <w:lang w:val="fr-BE"/>
        </w:rPr>
        <w:t>. Ce certificat est daté, signé par l’administrateur communal et visé par un tampon sec</w:t>
      </w:r>
      <w:r w:rsidRPr="00574608">
        <w:rPr>
          <w:rStyle w:val="FootnoteReference"/>
          <w:rFonts w:ascii="Garamond" w:hAnsi="Garamond"/>
          <w:color w:val="auto"/>
          <w:lang w:val="fr-BE"/>
        </w:rPr>
        <w:footnoteReference w:id="18"/>
      </w:r>
      <w:r w:rsidRPr="00574608">
        <w:rPr>
          <w:rFonts w:ascii="Garamond" w:hAnsi="Garamond"/>
          <w:color w:val="auto"/>
          <w:lang w:val="fr-BE"/>
        </w:rPr>
        <w:t xml:space="preserve">. La parcelle ainsi certifiée est reportée sur le plan foncier communal. Un des deux certificats est alors remis au demandeur au vu d’une quittance de paiement des frais y afférents, tandis que l’autre est classé.  </w:t>
      </w:r>
    </w:p>
    <w:p w:rsidR="002B001A" w:rsidRPr="00574608" w:rsidRDefault="002B001A" w:rsidP="00574608">
      <w:pPr>
        <w:pStyle w:val="Default"/>
        <w:rPr>
          <w:rFonts w:ascii="Garamond" w:hAnsi="Garamond"/>
          <w:color w:val="auto"/>
          <w:lang w:val="fr-BE"/>
        </w:rPr>
      </w:pPr>
    </w:p>
    <w:p w:rsidR="002B001A" w:rsidRPr="00574608" w:rsidRDefault="002B001A" w:rsidP="00574608">
      <w:pPr>
        <w:pStyle w:val="Default"/>
        <w:rPr>
          <w:rFonts w:ascii="Garamond" w:hAnsi="Garamond"/>
          <w:color w:val="auto"/>
          <w:lang w:val="fr-BE"/>
        </w:rPr>
      </w:pPr>
      <w:r w:rsidRPr="00574608">
        <w:rPr>
          <w:rFonts w:ascii="Garamond" w:hAnsi="Garamond"/>
          <w:color w:val="auto"/>
          <w:lang w:val="fr-BE"/>
        </w:rPr>
        <w:t>Les frais sont fixés par une décision communale de chaque commune. La mention est faite sur le formulaire de demande. Selon les informations recueillies il y a plusieurs cas de femmes surtout les veuves et les vieilles qui n’arrivent pas à payer les prix du certificat. Les OSC œuvrant dans ce domaine pourraient les appuyer dans ce sens ou faire un plaidoyer dans le sens de faire baisser le coût du certificat foncier.</w:t>
      </w:r>
    </w:p>
    <w:p w:rsidR="002B001A" w:rsidRPr="00574608" w:rsidRDefault="002B001A" w:rsidP="00574608">
      <w:pPr>
        <w:pStyle w:val="Default"/>
        <w:rPr>
          <w:rFonts w:ascii="Garamond" w:hAnsi="Garamond"/>
          <w:color w:val="auto"/>
          <w:lang w:val="fr-BE"/>
        </w:rPr>
      </w:pPr>
    </w:p>
    <w:p w:rsidR="002B001A" w:rsidRPr="00574608" w:rsidRDefault="002B001A" w:rsidP="00574608">
      <w:pPr>
        <w:pStyle w:val="Heading2"/>
        <w:numPr>
          <w:ilvl w:val="0"/>
          <w:numId w:val="0"/>
        </w:numPr>
        <w:spacing w:before="0" w:after="0" w:line="240" w:lineRule="auto"/>
        <w:rPr>
          <w:rFonts w:ascii="Garamond" w:hAnsi="Garamond"/>
          <w:i w:val="0"/>
          <w:sz w:val="24"/>
          <w:szCs w:val="24"/>
        </w:rPr>
      </w:pPr>
      <w:bookmarkStart w:id="81" w:name="_Toc376083334"/>
      <w:bookmarkStart w:id="82" w:name="_Toc382567391"/>
      <w:bookmarkStart w:id="83" w:name="_Toc385356843"/>
      <w:bookmarkStart w:id="84" w:name="_Toc386566505"/>
      <w:bookmarkStart w:id="85" w:name="_Toc386567127"/>
      <w:r w:rsidRPr="00574608">
        <w:rPr>
          <w:rFonts w:ascii="Garamond" w:hAnsi="Garamond"/>
          <w:i w:val="0"/>
          <w:sz w:val="24"/>
          <w:szCs w:val="24"/>
        </w:rPr>
        <w:t>4.6 Du régime juridique des certificats fonciers</w:t>
      </w:r>
      <w:bookmarkEnd w:id="81"/>
      <w:bookmarkEnd w:id="82"/>
      <w:bookmarkEnd w:id="83"/>
      <w:bookmarkEnd w:id="84"/>
      <w:bookmarkEnd w:id="85"/>
      <w:r w:rsidRPr="00574608">
        <w:rPr>
          <w:rFonts w:ascii="Garamond" w:hAnsi="Garamond"/>
          <w:i w:val="0"/>
          <w:sz w:val="24"/>
          <w:szCs w:val="24"/>
        </w:rPr>
        <w:t xml:space="preserve"> </w:t>
      </w:r>
    </w:p>
    <w:p w:rsidR="002B001A" w:rsidRPr="00574608" w:rsidRDefault="002B001A" w:rsidP="00574608">
      <w:pPr>
        <w:autoSpaceDE w:val="0"/>
        <w:autoSpaceDN w:val="0"/>
        <w:adjustRightInd w:val="0"/>
        <w:spacing w:after="0" w:line="240" w:lineRule="auto"/>
        <w:rPr>
          <w:rFonts w:ascii="Garamond" w:hAnsi="Garamond"/>
          <w:sz w:val="24"/>
          <w:szCs w:val="24"/>
          <w:lang w:eastAsia="fr-FR"/>
        </w:rPr>
      </w:pPr>
      <w:r w:rsidRPr="00574608">
        <w:rPr>
          <w:rFonts w:ascii="Garamond" w:hAnsi="Garamond"/>
          <w:sz w:val="24"/>
          <w:szCs w:val="24"/>
          <w:lang w:eastAsia="fr-FR"/>
        </w:rPr>
        <w:t>Le code foncier précise que</w:t>
      </w:r>
      <w:r w:rsidRPr="00574608">
        <w:rPr>
          <w:rFonts w:ascii="Garamond" w:hAnsi="Garamond"/>
          <w:b/>
          <w:sz w:val="24"/>
          <w:szCs w:val="24"/>
          <w:lang w:eastAsia="fr-FR"/>
        </w:rPr>
        <w:t xml:space="preserve"> « </w:t>
      </w:r>
      <w:r w:rsidRPr="00574608">
        <w:rPr>
          <w:rFonts w:ascii="Garamond" w:hAnsi="Garamond"/>
          <w:i/>
          <w:sz w:val="24"/>
          <w:szCs w:val="24"/>
          <w:lang w:eastAsia="fr-FR"/>
        </w:rPr>
        <w:t>la propriété foncière non titrée, constatée</w:t>
      </w:r>
      <w:r w:rsidRPr="00574608">
        <w:rPr>
          <w:rFonts w:ascii="Garamond" w:hAnsi="Garamond"/>
          <w:b/>
          <w:i/>
          <w:sz w:val="24"/>
          <w:szCs w:val="24"/>
          <w:lang w:eastAsia="fr-FR"/>
        </w:rPr>
        <w:t xml:space="preserve"> </w:t>
      </w:r>
      <w:r w:rsidRPr="00574608">
        <w:rPr>
          <w:rFonts w:ascii="Garamond" w:hAnsi="Garamond"/>
          <w:i/>
          <w:sz w:val="24"/>
          <w:szCs w:val="24"/>
          <w:lang w:eastAsia="fr-FR"/>
        </w:rPr>
        <w:t>par un certificat foncier communal, permet  à son  détenteur d’exercer tous les actes juridiques portant sur des droits réels et leurs démembrements reconnus par les lois en vigueur, notamment la cession à titre onéreux ou gratuit, la transmission successorale, le bail, l’emphytéose, la constitution d’hypothèque</w:t>
      </w:r>
      <w:r w:rsidRPr="00574608">
        <w:rPr>
          <w:rFonts w:ascii="Garamond" w:hAnsi="Garamond"/>
          <w:sz w:val="24"/>
          <w:szCs w:val="24"/>
          <w:lang w:eastAsia="fr-FR"/>
        </w:rPr>
        <w:t xml:space="preserve"> » (art.408) ; l’article 409 CF place la certificat foncier au rang d’un titre authentique dont la mise en cause ne peut être faite que par les juridictions compétentes. </w:t>
      </w:r>
    </w:p>
    <w:p w:rsidR="002B001A" w:rsidRPr="00574608" w:rsidRDefault="002B001A" w:rsidP="00574608">
      <w:pPr>
        <w:autoSpaceDE w:val="0"/>
        <w:autoSpaceDN w:val="0"/>
        <w:adjustRightInd w:val="0"/>
        <w:spacing w:after="0" w:line="240" w:lineRule="auto"/>
        <w:rPr>
          <w:rFonts w:ascii="Garamond" w:hAnsi="Garamond"/>
          <w:sz w:val="24"/>
          <w:szCs w:val="24"/>
          <w:lang w:eastAsia="fr-FR"/>
        </w:rPr>
      </w:pPr>
    </w:p>
    <w:p w:rsidR="002B001A" w:rsidRPr="00574608" w:rsidRDefault="002B001A" w:rsidP="00574608">
      <w:pPr>
        <w:pStyle w:val="Default"/>
        <w:rPr>
          <w:rFonts w:ascii="Garamond" w:hAnsi="Garamond"/>
          <w:color w:val="auto"/>
        </w:rPr>
      </w:pPr>
      <w:r w:rsidRPr="00574608">
        <w:rPr>
          <w:rFonts w:ascii="Garamond" w:hAnsi="Garamond"/>
          <w:color w:val="auto"/>
        </w:rPr>
        <w:t xml:space="preserve">Mais, certaines femmes détentrices de certificats fonciers subissent des troubles de la part de leurs voisins notamment par des déplacements ou suppression des bornes. De même, elles souffrent de difficultés d’accès au crédit auprès des institutions de micro finance. Une large sensibilisation des institutions de micros finances est nécessaire. </w:t>
      </w:r>
    </w:p>
    <w:p w:rsidR="002B001A" w:rsidRPr="00574608" w:rsidRDefault="002B001A" w:rsidP="00574608">
      <w:pPr>
        <w:pStyle w:val="Default"/>
        <w:rPr>
          <w:rFonts w:ascii="Garamond" w:hAnsi="Garamond"/>
          <w:color w:val="auto"/>
          <w:lang w:val="fr-BE"/>
        </w:rPr>
      </w:pPr>
      <w:bookmarkStart w:id="86" w:name="_Toc376083333"/>
    </w:p>
    <w:p w:rsidR="002B001A" w:rsidRPr="00574608" w:rsidRDefault="002B001A" w:rsidP="00574608">
      <w:pPr>
        <w:pStyle w:val="Default"/>
        <w:rPr>
          <w:rFonts w:ascii="Garamond" w:hAnsi="Garamond"/>
          <w:color w:val="auto"/>
          <w:lang w:val="fr-BE"/>
        </w:rPr>
      </w:pPr>
      <w:r w:rsidRPr="00574608">
        <w:rPr>
          <w:rFonts w:ascii="Garamond" w:hAnsi="Garamond"/>
          <w:color w:val="auto"/>
          <w:lang w:val="fr-BE"/>
        </w:rPr>
        <w:t xml:space="preserve">En somme, on remarque que durant les principales  phases de la certification foncière, la femme rencontre des obstacles dont la plupart découlant de la culture burundaise qui considère que la femme n’a pas les mêmes droits que son frère, ou encore son mari. En réalité cette situation est  rétrograde, car contraire à la constitution de la République du Burundi et autres lois internes, contraire aux différents instruments juridiques internationaux ratifiées par le Burundi parmi lesquels  le PIDCP.  </w:t>
      </w:r>
    </w:p>
    <w:p w:rsidR="002B001A" w:rsidRPr="00574608" w:rsidRDefault="002B001A" w:rsidP="00574608">
      <w:pPr>
        <w:pStyle w:val="Default"/>
        <w:rPr>
          <w:rFonts w:ascii="Garamond" w:hAnsi="Garamond"/>
          <w:color w:val="auto"/>
          <w:lang w:val="fr-BE"/>
        </w:rPr>
      </w:pPr>
    </w:p>
    <w:p w:rsidR="002B001A" w:rsidRPr="00574608" w:rsidRDefault="002B001A" w:rsidP="00574608">
      <w:pPr>
        <w:pStyle w:val="Default"/>
        <w:rPr>
          <w:rFonts w:ascii="Garamond" w:hAnsi="Garamond"/>
          <w:color w:val="auto"/>
          <w:lang w:val="fr-BE"/>
        </w:rPr>
      </w:pPr>
      <w:r w:rsidRPr="00574608">
        <w:rPr>
          <w:rFonts w:ascii="Garamond" w:hAnsi="Garamond"/>
          <w:color w:val="auto"/>
          <w:lang w:val="fr-BE"/>
        </w:rPr>
        <w:t>Au terme de cette réflexion,</w:t>
      </w:r>
      <w:bookmarkEnd w:id="86"/>
      <w:r w:rsidRPr="00574608">
        <w:rPr>
          <w:rFonts w:ascii="Garamond" w:hAnsi="Garamond"/>
          <w:color w:val="auto"/>
          <w:lang w:val="fr-BE"/>
        </w:rPr>
        <w:t xml:space="preserve"> on constate q</w:t>
      </w:r>
      <w:r w:rsidRPr="00574608">
        <w:rPr>
          <w:rFonts w:ascii="Garamond" w:hAnsi="Garamond"/>
        </w:rPr>
        <w:t xml:space="preserve">ue la femme burundaise n’est pas généralement considérée comme un sujet de droit pouvant être propriétaire des biens  et surtout la terre, quel que soit son statut matrimonial. Il a été constaté que les biens de la femme  mariée, fussent-ils lui acquis au prix de sa sueur (comme le salaire),  sont confondus avec la propriété familiale dont le mari du mari reste le véritable propriétaire.  La veuve n’a pas de biens propres différents de ceux de la famille. Même les biens acquis après le décès du mari sont confondus avec patrimoine du défunt pour l’hypothétique raison que les revenus ayant servi à son acquisition auraient été tirés des ressources familiales. La mère célibataire ou la divorcée n’a qu’un droit d’usufruit. Dans les rares cas où elles jouissent d’un droit de propriété, elles subissent régulièrement des violences de la part des membres de la famille y compris les frères et les oncles. Il a été montré en outre que la femme vivant en union n’est pas considérée comme sujet de droit au regard du patrimoine commun. En cas de séparation, elle rentre les mains bredouilles, peu importe son apport dans le foyer. Bref le droit de la femme à la propriété et la terre consacré par le PIDCP n’est pas du tout protégé. </w:t>
      </w:r>
    </w:p>
    <w:p w:rsidR="002B001A" w:rsidRPr="00574608" w:rsidRDefault="002B001A" w:rsidP="00574608">
      <w:pPr>
        <w:spacing w:after="0" w:line="240" w:lineRule="auto"/>
        <w:rPr>
          <w:rFonts w:ascii="Garamond" w:hAnsi="Garamond"/>
          <w:b/>
          <w:sz w:val="24"/>
          <w:szCs w:val="24"/>
        </w:rPr>
      </w:pPr>
    </w:p>
    <w:p w:rsidR="002B001A" w:rsidRPr="00574608" w:rsidRDefault="002B001A" w:rsidP="00574608">
      <w:pPr>
        <w:spacing w:after="0" w:line="240" w:lineRule="auto"/>
        <w:rPr>
          <w:rFonts w:ascii="Garamond" w:hAnsi="Garamond"/>
          <w:b/>
          <w:i/>
          <w:sz w:val="24"/>
          <w:szCs w:val="24"/>
          <w:u w:val="single"/>
        </w:rPr>
      </w:pPr>
      <w:r w:rsidRPr="00574608">
        <w:rPr>
          <w:rFonts w:ascii="Garamond" w:hAnsi="Garamond"/>
          <w:b/>
          <w:i/>
          <w:sz w:val="24"/>
          <w:szCs w:val="24"/>
          <w:u w:val="single"/>
        </w:rPr>
        <w:t>5. Recommandations</w:t>
      </w:r>
    </w:p>
    <w:p w:rsidR="002B001A" w:rsidRPr="00574608" w:rsidRDefault="002B001A" w:rsidP="00574608">
      <w:pPr>
        <w:spacing w:after="0" w:line="240" w:lineRule="auto"/>
        <w:rPr>
          <w:rFonts w:ascii="Garamond" w:hAnsi="Garamond"/>
          <w:b/>
          <w:sz w:val="24"/>
          <w:szCs w:val="24"/>
        </w:rPr>
      </w:pPr>
    </w:p>
    <w:p w:rsidR="002B001A" w:rsidRPr="00574608" w:rsidRDefault="002B001A" w:rsidP="00574608">
      <w:pPr>
        <w:spacing w:after="0" w:line="240" w:lineRule="auto"/>
        <w:rPr>
          <w:rFonts w:ascii="Garamond" w:hAnsi="Garamond"/>
          <w:b/>
          <w:sz w:val="24"/>
          <w:szCs w:val="24"/>
        </w:rPr>
      </w:pPr>
      <w:r w:rsidRPr="00574608">
        <w:rPr>
          <w:rFonts w:ascii="Garamond" w:hAnsi="Garamond"/>
          <w:b/>
          <w:sz w:val="24"/>
          <w:szCs w:val="24"/>
        </w:rPr>
        <w:t>Au comité des droits de l’homme des Nations Unies:</w:t>
      </w:r>
    </w:p>
    <w:p w:rsidR="002B001A" w:rsidRPr="00574608" w:rsidRDefault="002B001A" w:rsidP="00574608">
      <w:pPr>
        <w:spacing w:after="0" w:line="240" w:lineRule="auto"/>
        <w:rPr>
          <w:rFonts w:ascii="Garamond" w:hAnsi="Garamond"/>
          <w:b/>
          <w:sz w:val="24"/>
          <w:szCs w:val="24"/>
        </w:rPr>
      </w:pPr>
    </w:p>
    <w:p w:rsidR="002B001A" w:rsidRPr="00574608" w:rsidRDefault="002B001A" w:rsidP="00574608">
      <w:pPr>
        <w:numPr>
          <w:ilvl w:val="0"/>
          <w:numId w:val="20"/>
        </w:numPr>
        <w:spacing w:after="0" w:line="240" w:lineRule="auto"/>
        <w:rPr>
          <w:rFonts w:ascii="Garamond" w:hAnsi="Garamond"/>
          <w:sz w:val="24"/>
          <w:szCs w:val="24"/>
        </w:rPr>
      </w:pPr>
      <w:r w:rsidRPr="00574608">
        <w:rPr>
          <w:rFonts w:ascii="Garamond" w:hAnsi="Garamond"/>
          <w:sz w:val="24"/>
          <w:szCs w:val="24"/>
        </w:rPr>
        <w:t>Persuader le gouvernement du Burundi sur la nécessité d’adopter une loi sur les successions afin de protéger le droit de la femme à la propriété et la terre consacré par le PIDCP et de parier à des aspects discriminatoires de la coutume burundaise en défaveur de la femme.</w:t>
      </w:r>
    </w:p>
    <w:p w:rsidR="002B001A" w:rsidRPr="00574608" w:rsidRDefault="002B001A" w:rsidP="00574608">
      <w:pPr>
        <w:numPr>
          <w:ilvl w:val="0"/>
          <w:numId w:val="20"/>
        </w:numPr>
        <w:spacing w:after="0" w:line="240" w:lineRule="auto"/>
        <w:rPr>
          <w:rFonts w:ascii="Garamond" w:hAnsi="Garamond"/>
          <w:sz w:val="24"/>
          <w:szCs w:val="24"/>
        </w:rPr>
      </w:pPr>
      <w:r w:rsidRPr="00574608">
        <w:rPr>
          <w:rFonts w:ascii="Garamond" w:hAnsi="Garamond"/>
          <w:sz w:val="24"/>
          <w:szCs w:val="24"/>
        </w:rPr>
        <w:t xml:space="preserve">Exiger aux Etats de mettre en place  des garanties de sécurisation foncière des droits de la femme à travers la procédure d’enregistrement des propretés foncières des femmes. Les résultats montrent que dans toutes les phases de l’enregistrement foncier, la femme souffre d’importantes discriminations qui doivent être corrigées. </w:t>
      </w:r>
    </w:p>
    <w:p w:rsidR="002B001A" w:rsidRPr="00574608" w:rsidRDefault="002B001A" w:rsidP="00574608">
      <w:pPr>
        <w:numPr>
          <w:ilvl w:val="0"/>
          <w:numId w:val="20"/>
        </w:numPr>
        <w:spacing w:after="0" w:line="240" w:lineRule="auto"/>
        <w:rPr>
          <w:rFonts w:ascii="Garamond" w:hAnsi="Garamond"/>
          <w:sz w:val="24"/>
          <w:szCs w:val="24"/>
        </w:rPr>
      </w:pPr>
      <w:r w:rsidRPr="00574608">
        <w:rPr>
          <w:rFonts w:ascii="Garamond" w:hAnsi="Garamond"/>
          <w:sz w:val="24"/>
          <w:szCs w:val="24"/>
        </w:rPr>
        <w:t xml:space="preserve"> Exiger </w:t>
      </w:r>
      <w:r w:rsidRPr="00574608">
        <w:rPr>
          <w:rFonts w:ascii="Garamond" w:hAnsi="Garamond"/>
          <w:bCs/>
          <w:sz w:val="24"/>
          <w:szCs w:val="24"/>
          <w:lang w:val="fr-BE"/>
        </w:rPr>
        <w:t>que les rapports de mise en œuvre  soumis par les  Etats abordent de manière expresse le thème sur l’accès de la femme à la propriété et à la terre</w:t>
      </w:r>
      <w:r w:rsidRPr="00574608">
        <w:rPr>
          <w:rFonts w:ascii="Garamond" w:hAnsi="Garamond"/>
          <w:sz w:val="24"/>
          <w:szCs w:val="24"/>
        </w:rPr>
        <w:t xml:space="preserve"> donnent des précisions sur la situation réelle de la femme face à ce droit lors de la présentation des rapport de mise œuvre du PIDCP. </w:t>
      </w:r>
    </w:p>
    <w:p w:rsidR="002B001A" w:rsidRPr="00574608" w:rsidRDefault="002B001A" w:rsidP="00574608">
      <w:pPr>
        <w:numPr>
          <w:ilvl w:val="0"/>
          <w:numId w:val="20"/>
        </w:numPr>
        <w:spacing w:after="0" w:line="240" w:lineRule="auto"/>
        <w:rPr>
          <w:rFonts w:ascii="Garamond" w:hAnsi="Garamond"/>
          <w:sz w:val="24"/>
          <w:szCs w:val="24"/>
        </w:rPr>
      </w:pPr>
      <w:r w:rsidRPr="00574608">
        <w:rPr>
          <w:rFonts w:ascii="Garamond" w:hAnsi="Garamond"/>
          <w:sz w:val="24"/>
          <w:szCs w:val="24"/>
        </w:rPr>
        <w:t xml:space="preserve">Formuler des observations et recommandations concrètes sur cette thématique devant être prises en compte dans le prochain rapport du Burundi sur la mise en œuvre du PIDCP.  </w:t>
      </w:r>
    </w:p>
    <w:p w:rsidR="002B001A" w:rsidRPr="00574608" w:rsidRDefault="002B001A" w:rsidP="00574608">
      <w:pPr>
        <w:spacing w:after="0" w:line="240" w:lineRule="auto"/>
        <w:rPr>
          <w:rFonts w:ascii="Garamond" w:hAnsi="Garamond"/>
          <w:sz w:val="24"/>
          <w:szCs w:val="24"/>
        </w:rPr>
      </w:pPr>
    </w:p>
    <w:p w:rsidR="002B001A" w:rsidRPr="00574608" w:rsidRDefault="002B001A" w:rsidP="00574608">
      <w:pPr>
        <w:spacing w:after="0" w:line="240" w:lineRule="auto"/>
        <w:rPr>
          <w:rFonts w:ascii="Garamond" w:hAnsi="Garamond"/>
          <w:sz w:val="24"/>
          <w:szCs w:val="24"/>
        </w:rPr>
      </w:pPr>
    </w:p>
    <w:p w:rsidR="002B001A" w:rsidRPr="00574608" w:rsidRDefault="002B001A" w:rsidP="00574608">
      <w:pPr>
        <w:spacing w:after="0" w:line="240" w:lineRule="auto"/>
        <w:rPr>
          <w:rFonts w:ascii="Garamond" w:hAnsi="Garamond"/>
          <w:sz w:val="24"/>
          <w:szCs w:val="24"/>
        </w:rPr>
      </w:pPr>
    </w:p>
    <w:p w:rsidR="002B001A" w:rsidRPr="00574608" w:rsidRDefault="002B001A" w:rsidP="00574608">
      <w:pPr>
        <w:spacing w:after="0" w:line="240" w:lineRule="auto"/>
        <w:rPr>
          <w:rFonts w:ascii="Garamond" w:hAnsi="Garamond"/>
          <w:b/>
          <w:sz w:val="24"/>
          <w:szCs w:val="24"/>
        </w:rPr>
      </w:pPr>
    </w:p>
    <w:sectPr w:rsidR="002B001A" w:rsidRPr="00574608" w:rsidSect="00574608">
      <w:footerReference w:type="even" r:id="rId12"/>
      <w:footerReference w:type="default" r:id="rId13"/>
      <w:pgSz w:w="11906" w:h="16838" w:code="9"/>
      <w:pgMar w:top="1411" w:right="1138" w:bottom="1411" w:left="1138" w:header="706" w:footer="706" w:gutter="0"/>
      <w:pgNumType w:start="0" w:chapStyle="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01A" w:rsidRDefault="002B001A" w:rsidP="00146253">
      <w:pPr>
        <w:spacing w:after="0" w:line="240" w:lineRule="auto"/>
      </w:pPr>
      <w:r>
        <w:separator/>
      </w:r>
    </w:p>
  </w:endnote>
  <w:endnote w:type="continuationSeparator" w:id="0">
    <w:p w:rsidR="002B001A" w:rsidRDefault="002B001A" w:rsidP="001462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Gothic-Bold">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01A" w:rsidRDefault="002B001A" w:rsidP="00E83AF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B001A" w:rsidRDefault="002B001A" w:rsidP="00487C5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01A" w:rsidRPr="005A770E" w:rsidRDefault="002B001A" w:rsidP="00E83AF9">
    <w:pPr>
      <w:pStyle w:val="Footer"/>
      <w:framePr w:wrap="around" w:vAnchor="text" w:hAnchor="margin" w:xAlign="right" w:y="1"/>
      <w:rPr>
        <w:rStyle w:val="PageNumber"/>
        <w:rFonts w:ascii="Garamond" w:hAnsi="Garamond"/>
        <w:sz w:val="20"/>
        <w:szCs w:val="20"/>
      </w:rPr>
    </w:pPr>
    <w:r w:rsidRPr="005A770E">
      <w:rPr>
        <w:rStyle w:val="PageNumber"/>
        <w:rFonts w:ascii="Garamond" w:hAnsi="Garamond"/>
        <w:sz w:val="20"/>
        <w:szCs w:val="20"/>
      </w:rPr>
      <w:fldChar w:fldCharType="begin"/>
    </w:r>
    <w:r w:rsidRPr="005A770E">
      <w:rPr>
        <w:rStyle w:val="PageNumber"/>
        <w:rFonts w:ascii="Garamond" w:hAnsi="Garamond"/>
        <w:sz w:val="20"/>
        <w:szCs w:val="20"/>
      </w:rPr>
      <w:instrText xml:space="preserve">PAGE  </w:instrText>
    </w:r>
    <w:r w:rsidRPr="005A770E">
      <w:rPr>
        <w:rStyle w:val="PageNumber"/>
        <w:rFonts w:ascii="Garamond" w:hAnsi="Garamond"/>
        <w:sz w:val="20"/>
        <w:szCs w:val="20"/>
      </w:rPr>
      <w:fldChar w:fldCharType="separate"/>
    </w:r>
    <w:r>
      <w:rPr>
        <w:rStyle w:val="PageNumber"/>
        <w:rFonts w:ascii="Garamond" w:hAnsi="Garamond"/>
        <w:noProof/>
        <w:sz w:val="20"/>
        <w:szCs w:val="20"/>
      </w:rPr>
      <w:t>1</w:t>
    </w:r>
    <w:r w:rsidRPr="005A770E">
      <w:rPr>
        <w:rStyle w:val="PageNumber"/>
        <w:rFonts w:ascii="Garamond" w:hAnsi="Garamond"/>
        <w:sz w:val="20"/>
        <w:szCs w:val="20"/>
      </w:rPr>
      <w:fldChar w:fldCharType="end"/>
    </w:r>
  </w:p>
  <w:p w:rsidR="002B001A" w:rsidRDefault="002B001A" w:rsidP="00487C5F">
    <w:pPr>
      <w:pStyle w:val="Footer"/>
      <w:ind w:right="360"/>
      <w:jc w:val="center"/>
    </w:pPr>
  </w:p>
  <w:p w:rsidR="002B001A" w:rsidRDefault="002B00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01A" w:rsidRDefault="002B001A" w:rsidP="00146253">
      <w:pPr>
        <w:spacing w:after="0" w:line="240" w:lineRule="auto"/>
      </w:pPr>
      <w:r>
        <w:separator/>
      </w:r>
    </w:p>
  </w:footnote>
  <w:footnote w:type="continuationSeparator" w:id="0">
    <w:p w:rsidR="002B001A" w:rsidRDefault="002B001A" w:rsidP="00146253">
      <w:pPr>
        <w:spacing w:after="0" w:line="240" w:lineRule="auto"/>
      </w:pPr>
      <w:r>
        <w:continuationSeparator/>
      </w:r>
    </w:p>
  </w:footnote>
  <w:footnote w:id="1">
    <w:p w:rsidR="002B001A" w:rsidRDefault="002B001A" w:rsidP="005A770E">
      <w:pPr>
        <w:pStyle w:val="FootnoteText"/>
        <w:jc w:val="both"/>
      </w:pPr>
      <w:r w:rsidRPr="005A770E">
        <w:rPr>
          <w:rStyle w:val="FootnoteReference"/>
          <w:rFonts w:ascii="Garamond" w:hAnsi="Garamond"/>
        </w:rPr>
        <w:footnoteRef/>
      </w:r>
      <w:r w:rsidRPr="005A770E">
        <w:rPr>
          <w:rFonts w:ascii="Garamond" w:hAnsi="Garamond"/>
        </w:rPr>
        <w:t xml:space="preserve"> Les modes d’acquisition de la succession au Burundi concernent presque uniquement sut les propriétés foncières, d’autres biens pouvant être disposé librement par le propriétaire.  En effet, seule la propriété foncière est considérée comme familiale et susceptible d’être transmise de génération en génération notamment en raison de son rôle identitaire.</w:t>
      </w:r>
    </w:p>
  </w:footnote>
  <w:footnote w:id="2">
    <w:p w:rsidR="002B001A" w:rsidRDefault="002B001A" w:rsidP="005A770E">
      <w:pPr>
        <w:spacing w:after="0" w:line="240" w:lineRule="auto"/>
        <w:jc w:val="both"/>
      </w:pPr>
      <w:r w:rsidRPr="005A770E">
        <w:rPr>
          <w:rStyle w:val="FootnoteReference"/>
          <w:rFonts w:ascii="Garamond" w:hAnsi="Garamond"/>
          <w:sz w:val="20"/>
          <w:szCs w:val="20"/>
        </w:rPr>
        <w:footnoteRef/>
      </w:r>
      <w:r w:rsidRPr="005A770E">
        <w:rPr>
          <w:rFonts w:ascii="Garamond" w:hAnsi="Garamond"/>
          <w:sz w:val="20"/>
          <w:szCs w:val="20"/>
        </w:rPr>
        <w:t xml:space="preserve"> 1</w:t>
      </w:r>
      <w:r w:rsidRPr="005A770E">
        <w:rPr>
          <w:rFonts w:ascii="Garamond" w:hAnsi="Garamond"/>
          <w:sz w:val="20"/>
          <w:szCs w:val="20"/>
          <w:vertAlign w:val="superscript"/>
        </w:rPr>
        <w:t>er</w:t>
      </w:r>
      <w:r w:rsidRPr="005A770E">
        <w:rPr>
          <w:rFonts w:ascii="Garamond" w:hAnsi="Garamond"/>
          <w:sz w:val="20"/>
          <w:szCs w:val="20"/>
        </w:rPr>
        <w:t xml:space="preserve"> ordre: les enfants légitimes et leurs descendants de sexe masculin : L’attribution de la succession se fait par tête lorsque les héritiers du défunt sont issus d’un mariage monogamique. ; 2</w:t>
      </w:r>
      <w:r w:rsidRPr="005A770E">
        <w:rPr>
          <w:rFonts w:ascii="Garamond" w:hAnsi="Garamond"/>
          <w:sz w:val="20"/>
          <w:szCs w:val="20"/>
          <w:vertAlign w:val="superscript"/>
        </w:rPr>
        <w:t>ième</w:t>
      </w:r>
      <w:r w:rsidRPr="005A770E">
        <w:rPr>
          <w:rFonts w:ascii="Garamond" w:hAnsi="Garamond"/>
          <w:sz w:val="20"/>
          <w:szCs w:val="20"/>
        </w:rPr>
        <w:t xml:space="preserve"> ordre : le père et la mère du défunt ; 3</w:t>
      </w:r>
      <w:r w:rsidRPr="005A770E">
        <w:rPr>
          <w:rFonts w:ascii="Garamond" w:hAnsi="Garamond"/>
          <w:sz w:val="20"/>
          <w:szCs w:val="20"/>
          <w:vertAlign w:val="superscript"/>
        </w:rPr>
        <w:t>ième</w:t>
      </w:r>
      <w:r w:rsidRPr="005A770E">
        <w:rPr>
          <w:rFonts w:ascii="Garamond" w:hAnsi="Garamond"/>
          <w:sz w:val="20"/>
          <w:szCs w:val="20"/>
        </w:rPr>
        <w:t xml:space="preserve"> ordre: les frères du défunt et leurs descendants mâles : 4</w:t>
      </w:r>
      <w:r w:rsidRPr="005A770E">
        <w:rPr>
          <w:rFonts w:ascii="Garamond" w:hAnsi="Garamond"/>
          <w:sz w:val="20"/>
          <w:szCs w:val="20"/>
          <w:vertAlign w:val="superscript"/>
        </w:rPr>
        <w:t>ième</w:t>
      </w:r>
      <w:r w:rsidRPr="005A770E">
        <w:rPr>
          <w:rFonts w:ascii="Garamond" w:hAnsi="Garamond"/>
          <w:sz w:val="20"/>
          <w:szCs w:val="20"/>
        </w:rPr>
        <w:t xml:space="preserve"> ordre : les oncles paternels du défunt et leurs descendants mâles ;5</w:t>
      </w:r>
      <w:r w:rsidRPr="005A770E">
        <w:rPr>
          <w:rFonts w:ascii="Garamond" w:hAnsi="Garamond"/>
          <w:sz w:val="20"/>
          <w:szCs w:val="20"/>
          <w:vertAlign w:val="superscript"/>
        </w:rPr>
        <w:t>ième</w:t>
      </w:r>
      <w:r w:rsidRPr="005A770E">
        <w:rPr>
          <w:rFonts w:ascii="Garamond" w:hAnsi="Garamond"/>
          <w:sz w:val="20"/>
          <w:szCs w:val="20"/>
        </w:rPr>
        <w:t xml:space="preserve"> ordre : une fille, une sœur, une tante paternelle, une cousine, une nièce paternelle du défunt ou tout autre parent de la ligne paternelle du défunt. Il faut noter que comme il s’agit de plusieurs catégories, l’une n’est appelée à la succession qu’à défaut de l’autre.</w:t>
      </w:r>
    </w:p>
  </w:footnote>
  <w:footnote w:id="3">
    <w:p w:rsidR="002B001A" w:rsidRDefault="002B001A" w:rsidP="005A770E">
      <w:pPr>
        <w:pStyle w:val="FootnoteText"/>
      </w:pPr>
      <w:r w:rsidRPr="005A770E">
        <w:rPr>
          <w:rStyle w:val="FootnoteReference"/>
          <w:rFonts w:ascii="Garamond" w:hAnsi="Garamond"/>
        </w:rPr>
        <w:footnoteRef/>
      </w:r>
      <w:r w:rsidRPr="005A770E">
        <w:rPr>
          <w:rFonts w:ascii="Garamond" w:hAnsi="Garamond"/>
        </w:rPr>
        <w:t xml:space="preserve"> Le conjoint survivant, la fille du défunt, les enfants naturels ou adoptifs, les tantes et sœurs du défunt, les enfants dits Nkurinkobwa.</w:t>
      </w:r>
    </w:p>
  </w:footnote>
  <w:footnote w:id="4">
    <w:p w:rsidR="002B001A" w:rsidRDefault="002B001A" w:rsidP="005A770E">
      <w:pPr>
        <w:pStyle w:val="FootnoteText"/>
      </w:pPr>
      <w:r w:rsidRPr="005A770E">
        <w:rPr>
          <w:rStyle w:val="FootnoteReference"/>
          <w:rFonts w:ascii="Garamond" w:hAnsi="Garamond"/>
        </w:rPr>
        <w:footnoteRef/>
      </w:r>
      <w:r w:rsidRPr="005A770E">
        <w:rPr>
          <w:rFonts w:ascii="Garamond" w:hAnsi="Garamond"/>
        </w:rPr>
        <w:t xml:space="preserve"> Global Right</w:t>
      </w:r>
      <w:r>
        <w:rPr>
          <w:rFonts w:ascii="Garamond" w:hAnsi="Garamond"/>
        </w:rPr>
        <w:t>s</w:t>
      </w:r>
      <w:r w:rsidRPr="005A770E">
        <w:rPr>
          <w:rFonts w:ascii="Garamond" w:hAnsi="Garamond"/>
        </w:rPr>
        <w:t>, Service foncier communal : avancées, défis et incertitudes, Bujumbura, novembre 2013, P.12 (rapport provisoire)</w:t>
      </w:r>
      <w:r>
        <w:rPr>
          <w:rFonts w:ascii="Garamond" w:hAnsi="Garamond"/>
        </w:rPr>
        <w:t>.</w:t>
      </w:r>
    </w:p>
  </w:footnote>
  <w:footnote w:id="5">
    <w:p w:rsidR="002B001A" w:rsidRDefault="002B001A" w:rsidP="005A770E">
      <w:pPr>
        <w:pStyle w:val="FootnoteText"/>
        <w:jc w:val="both"/>
      </w:pPr>
      <w:r w:rsidRPr="005A770E">
        <w:rPr>
          <w:rStyle w:val="FootnoteReference"/>
          <w:rFonts w:ascii="Garamond" w:hAnsi="Garamond"/>
        </w:rPr>
        <w:footnoteRef/>
      </w:r>
      <w:r w:rsidRPr="005A770E">
        <w:rPr>
          <w:rFonts w:ascii="Garamond" w:hAnsi="Garamond"/>
        </w:rPr>
        <w:t xml:space="preserve"> Tribunal de grande Instance de Rutana, RCA 2545/2012/Rut</w:t>
      </w:r>
      <w:r>
        <w:rPr>
          <w:rFonts w:ascii="Garamond" w:hAnsi="Garamond"/>
        </w:rPr>
        <w:t>.</w:t>
      </w:r>
    </w:p>
  </w:footnote>
  <w:footnote w:id="6">
    <w:p w:rsidR="002B001A" w:rsidRDefault="002B001A" w:rsidP="005A770E">
      <w:pPr>
        <w:pStyle w:val="ListParagraph"/>
        <w:spacing w:after="0" w:line="240" w:lineRule="auto"/>
        <w:ind w:left="0"/>
        <w:jc w:val="both"/>
      </w:pPr>
      <w:r w:rsidRPr="005A770E">
        <w:rPr>
          <w:rStyle w:val="FootnoteReference"/>
          <w:rFonts w:ascii="Garamond" w:hAnsi="Garamond"/>
          <w:sz w:val="20"/>
          <w:szCs w:val="20"/>
        </w:rPr>
        <w:footnoteRef/>
      </w:r>
      <w:r w:rsidRPr="005A770E">
        <w:rPr>
          <w:rFonts w:ascii="Garamond" w:hAnsi="Garamond"/>
          <w:sz w:val="20"/>
          <w:szCs w:val="20"/>
        </w:rPr>
        <w:t xml:space="preserve"> Tribunal de Résidence de Bugendana, R.C.99/88 du 19/05/1988</w:t>
      </w:r>
      <w:r>
        <w:rPr>
          <w:rFonts w:ascii="Garamond" w:hAnsi="Garamond"/>
          <w:sz w:val="20"/>
          <w:szCs w:val="20"/>
        </w:rPr>
        <w:t>.</w:t>
      </w:r>
    </w:p>
  </w:footnote>
  <w:footnote w:id="7">
    <w:p w:rsidR="002B001A" w:rsidRDefault="002B001A" w:rsidP="005A770E">
      <w:pPr>
        <w:pStyle w:val="FootnoteText"/>
        <w:jc w:val="both"/>
      </w:pPr>
      <w:r w:rsidRPr="005A770E">
        <w:rPr>
          <w:rStyle w:val="FootnoteReference"/>
          <w:rFonts w:ascii="Garamond" w:hAnsi="Garamond"/>
        </w:rPr>
        <w:footnoteRef/>
      </w:r>
      <w:r w:rsidRPr="005A770E">
        <w:rPr>
          <w:rFonts w:ascii="Garamond" w:hAnsi="Garamond"/>
        </w:rPr>
        <w:t xml:space="preserve"> NDAYIZIGA Basilissa et ARAKAZA Albert, Rapport de formation sur l’intégration de la perspective genre dans le travail des élus locaux, Bujumbura,  juillet 2013, P.47</w:t>
      </w:r>
      <w:r>
        <w:rPr>
          <w:rFonts w:ascii="Garamond" w:hAnsi="Garamond"/>
        </w:rPr>
        <w:t>.</w:t>
      </w:r>
    </w:p>
  </w:footnote>
  <w:footnote w:id="8">
    <w:p w:rsidR="002B001A" w:rsidRDefault="002B001A" w:rsidP="005A770E">
      <w:pPr>
        <w:pStyle w:val="FootnoteText"/>
        <w:jc w:val="both"/>
      </w:pPr>
      <w:r w:rsidRPr="005A770E">
        <w:rPr>
          <w:rStyle w:val="FootnoteReference"/>
          <w:rFonts w:ascii="Garamond" w:hAnsi="Garamond"/>
        </w:rPr>
        <w:footnoteRef/>
      </w:r>
      <w:r w:rsidRPr="005A770E">
        <w:rPr>
          <w:rFonts w:ascii="Garamond" w:hAnsi="Garamond"/>
        </w:rPr>
        <w:t xml:space="preserve"> ARAKAZA Albert,  (sous la supervision du CAFOB), Rapport consolidé sur la situation des droits humains de la femme, (Janvier à septembre 2013),  Bujumbura, novembre 2013, P.22</w:t>
      </w:r>
      <w:r>
        <w:rPr>
          <w:rFonts w:ascii="Garamond" w:hAnsi="Garamond"/>
        </w:rPr>
        <w:t>.</w:t>
      </w:r>
    </w:p>
  </w:footnote>
  <w:footnote w:id="9">
    <w:p w:rsidR="002B001A" w:rsidRDefault="002B001A" w:rsidP="005A770E">
      <w:pPr>
        <w:pStyle w:val="FootnoteText"/>
        <w:jc w:val="both"/>
      </w:pPr>
      <w:r w:rsidRPr="005A770E">
        <w:rPr>
          <w:rStyle w:val="FootnoteReference"/>
          <w:rFonts w:ascii="Garamond" w:hAnsi="Garamond"/>
        </w:rPr>
        <w:footnoteRef/>
      </w:r>
      <w:r w:rsidRPr="005A770E">
        <w:rPr>
          <w:rFonts w:ascii="Garamond" w:hAnsi="Garamond"/>
        </w:rPr>
        <w:t xml:space="preserve"> Focus group de la population à Gihanga</w:t>
      </w:r>
      <w:r>
        <w:rPr>
          <w:rFonts w:ascii="Garamond" w:hAnsi="Garamond"/>
        </w:rPr>
        <w:t>.</w:t>
      </w:r>
      <w:r w:rsidRPr="005A770E">
        <w:rPr>
          <w:rFonts w:ascii="Garamond" w:hAnsi="Garamond"/>
        </w:rPr>
        <w:t xml:space="preserve"> </w:t>
      </w:r>
    </w:p>
  </w:footnote>
  <w:footnote w:id="10">
    <w:p w:rsidR="002B001A" w:rsidRDefault="002B001A" w:rsidP="005A770E">
      <w:pPr>
        <w:pStyle w:val="FootnoteText"/>
      </w:pPr>
      <w:r w:rsidRPr="005A770E">
        <w:rPr>
          <w:rStyle w:val="FootnoteReference"/>
          <w:rFonts w:ascii="Garamond" w:hAnsi="Garamond"/>
        </w:rPr>
        <w:footnoteRef/>
      </w:r>
      <w:r w:rsidRPr="005A770E">
        <w:rPr>
          <w:rFonts w:ascii="Garamond" w:hAnsi="Garamond"/>
        </w:rPr>
        <w:t xml:space="preserve"> RCF 77/2012 rendu par le Tribunal de Résidence de BUBANZA</w:t>
      </w:r>
      <w:r>
        <w:rPr>
          <w:rFonts w:ascii="Garamond" w:hAnsi="Garamond"/>
        </w:rPr>
        <w:t>.</w:t>
      </w:r>
    </w:p>
  </w:footnote>
  <w:footnote w:id="11">
    <w:p w:rsidR="002B001A" w:rsidRDefault="002B001A" w:rsidP="005A770E">
      <w:pPr>
        <w:pStyle w:val="FootnoteText"/>
        <w:jc w:val="both"/>
      </w:pPr>
      <w:r w:rsidRPr="005A770E">
        <w:rPr>
          <w:rStyle w:val="FootnoteReference"/>
          <w:rFonts w:ascii="Garamond" w:hAnsi="Garamond"/>
        </w:rPr>
        <w:footnoteRef/>
      </w:r>
      <w:r w:rsidRPr="005A770E">
        <w:rPr>
          <w:rFonts w:ascii="Garamond" w:hAnsi="Garamond"/>
        </w:rPr>
        <w:t xml:space="preserve"> Tribunal de Résidence de Muruta, RC 1946/2013</w:t>
      </w:r>
      <w:r>
        <w:rPr>
          <w:rFonts w:ascii="Garamond" w:hAnsi="Garamond"/>
        </w:rPr>
        <w:t>.</w:t>
      </w:r>
    </w:p>
  </w:footnote>
  <w:footnote w:id="12">
    <w:p w:rsidR="002B001A" w:rsidRDefault="002B001A" w:rsidP="005A770E">
      <w:pPr>
        <w:pStyle w:val="FootnoteText"/>
        <w:jc w:val="both"/>
      </w:pPr>
      <w:r w:rsidRPr="005A770E">
        <w:rPr>
          <w:rStyle w:val="FootnoteReference"/>
          <w:rFonts w:ascii="Garamond" w:hAnsi="Garamond"/>
        </w:rPr>
        <w:footnoteRef/>
      </w:r>
      <w:r w:rsidRPr="005A770E">
        <w:rPr>
          <w:rFonts w:ascii="Garamond" w:hAnsi="Garamond"/>
        </w:rPr>
        <w:t xml:space="preserve"> ACORD, Partager et grandir, </w:t>
      </w:r>
      <w:r w:rsidRPr="005A770E">
        <w:rPr>
          <w:rFonts w:ascii="Garamond" w:hAnsi="Garamond"/>
          <w:i/>
        </w:rPr>
        <w:t>Bonnes pratiques en matière de succession</w:t>
      </w:r>
      <w:r w:rsidRPr="005A770E">
        <w:rPr>
          <w:rFonts w:ascii="Garamond" w:hAnsi="Garamond"/>
        </w:rPr>
        <w:t>, Bujumbura, novembre 2012</w:t>
      </w:r>
      <w:r>
        <w:rPr>
          <w:rFonts w:ascii="Garamond" w:hAnsi="Garamond"/>
        </w:rPr>
        <w:t>.</w:t>
      </w:r>
    </w:p>
  </w:footnote>
  <w:footnote w:id="13">
    <w:p w:rsidR="002B001A" w:rsidRDefault="002B001A" w:rsidP="005A770E">
      <w:pPr>
        <w:spacing w:after="0" w:line="240" w:lineRule="auto"/>
        <w:jc w:val="both"/>
      </w:pPr>
      <w:r w:rsidRPr="005A770E">
        <w:rPr>
          <w:rStyle w:val="FootnoteReference"/>
          <w:rFonts w:ascii="Garamond" w:hAnsi="Garamond"/>
          <w:sz w:val="20"/>
          <w:szCs w:val="20"/>
        </w:rPr>
        <w:footnoteRef/>
      </w:r>
      <w:r w:rsidRPr="005A770E">
        <w:rPr>
          <w:rFonts w:ascii="Garamond" w:hAnsi="Garamond"/>
          <w:sz w:val="20"/>
          <w:szCs w:val="20"/>
        </w:rPr>
        <w:t xml:space="preserve"> Dans l’affaire RCF 2913/2012 rendue par le Tribunal de Résidence de GIHANGA, dame NZ.C a porté plainte contre son mari demandant l’annulation de la vente d’une de leurs maisons sise à GIHANGA alléguant qu’elle n’a pas donné son consentement; les époux vivaient à Bujumbura et il s’agissait de la  2</w:t>
      </w:r>
      <w:r w:rsidRPr="005A770E">
        <w:rPr>
          <w:rFonts w:ascii="Garamond" w:hAnsi="Garamond"/>
          <w:sz w:val="20"/>
          <w:szCs w:val="20"/>
          <w:vertAlign w:val="superscript"/>
        </w:rPr>
        <w:t>ème</w:t>
      </w:r>
      <w:r w:rsidRPr="005A770E">
        <w:rPr>
          <w:rFonts w:ascii="Garamond" w:hAnsi="Garamond"/>
          <w:sz w:val="20"/>
          <w:szCs w:val="20"/>
        </w:rPr>
        <w:t xml:space="preserve"> maison où ils logeaient en cas de descente pour détente à GIHANGA.  Le juge lui a donné raison en ordonnant l’annulation  de la vente. </w:t>
      </w:r>
      <w:r w:rsidRPr="005A770E">
        <w:rPr>
          <w:rFonts w:ascii="Garamond" w:hAnsi="Garamond"/>
          <w:sz w:val="20"/>
          <w:szCs w:val="24"/>
        </w:rPr>
        <w:t xml:space="preserve">Par contre, dans le dossier similaire RC 14705 rendu par le TGI Mairie, le juge a validé la vente arguant que la parcelle vendue n’est pas concernée par le régime des interdictions prévues à l’article 126 CPF. </w:t>
      </w:r>
    </w:p>
  </w:footnote>
  <w:footnote w:id="14">
    <w:p w:rsidR="002B001A" w:rsidRDefault="002B001A" w:rsidP="005A770E">
      <w:pPr>
        <w:pStyle w:val="FootnoteText"/>
        <w:jc w:val="both"/>
      </w:pPr>
      <w:r w:rsidRPr="005A770E">
        <w:rPr>
          <w:rStyle w:val="FootnoteReference"/>
          <w:rFonts w:ascii="Garamond" w:hAnsi="Garamond"/>
        </w:rPr>
        <w:footnoteRef/>
      </w:r>
      <w:r w:rsidRPr="005A770E">
        <w:rPr>
          <w:rFonts w:ascii="Garamond" w:hAnsi="Garamond"/>
        </w:rPr>
        <w:t xml:space="preserve"> Focus en commune Ngozi</w:t>
      </w:r>
      <w:r>
        <w:rPr>
          <w:rFonts w:ascii="Garamond" w:hAnsi="Garamond"/>
        </w:rPr>
        <w:t>.</w:t>
      </w:r>
    </w:p>
  </w:footnote>
  <w:footnote w:id="15">
    <w:p w:rsidR="002B001A" w:rsidRDefault="002B001A" w:rsidP="005A770E">
      <w:pPr>
        <w:pStyle w:val="FootnoteText"/>
      </w:pPr>
      <w:r w:rsidRPr="005A770E">
        <w:rPr>
          <w:rStyle w:val="FootnoteReference"/>
          <w:rFonts w:ascii="Garamond" w:hAnsi="Garamond"/>
        </w:rPr>
        <w:footnoteRef/>
      </w:r>
      <w:r w:rsidRPr="005A770E">
        <w:rPr>
          <w:rFonts w:ascii="Garamond" w:hAnsi="Garamond"/>
        </w:rPr>
        <w:t xml:space="preserve"> </w:t>
      </w:r>
      <w:r w:rsidRPr="005A770E">
        <w:rPr>
          <w:rFonts w:ascii="Garamond" w:hAnsi="Garamond"/>
          <w:lang w:eastAsia="fr-FR"/>
        </w:rPr>
        <w:t>Tribunal de Ré</w:t>
      </w:r>
      <w:r>
        <w:rPr>
          <w:rFonts w:ascii="Garamond" w:hAnsi="Garamond"/>
          <w:lang w:eastAsia="fr-FR"/>
        </w:rPr>
        <w:t>sidence de RUGAZI, RC 0313/2010.</w:t>
      </w:r>
    </w:p>
  </w:footnote>
  <w:footnote w:id="16">
    <w:p w:rsidR="002B001A" w:rsidRDefault="002B001A" w:rsidP="005A770E">
      <w:pPr>
        <w:pStyle w:val="FootnoteText"/>
        <w:jc w:val="both"/>
      </w:pPr>
      <w:r w:rsidRPr="005A770E">
        <w:rPr>
          <w:rStyle w:val="FootnoteReference"/>
          <w:rFonts w:ascii="Garamond" w:hAnsi="Garamond"/>
        </w:rPr>
        <w:footnoteRef/>
      </w:r>
      <w:r w:rsidRPr="005A770E">
        <w:rPr>
          <w:rFonts w:ascii="Garamond" w:hAnsi="Garamond"/>
        </w:rPr>
        <w:t xml:space="preserve"> Le mot divorce s’entend dans le sens de répudiation, de séparation comme  dans son sens juridique strict.</w:t>
      </w:r>
    </w:p>
  </w:footnote>
  <w:footnote w:id="17">
    <w:p w:rsidR="002B001A" w:rsidRDefault="002B001A" w:rsidP="005A770E">
      <w:pPr>
        <w:pStyle w:val="FootnoteText"/>
        <w:jc w:val="both"/>
      </w:pPr>
      <w:r w:rsidRPr="005A770E">
        <w:rPr>
          <w:rStyle w:val="FootnoteReference"/>
          <w:rFonts w:ascii="Garamond" w:hAnsi="Garamond"/>
        </w:rPr>
        <w:footnoteRef/>
      </w:r>
      <w:r w:rsidRPr="005A770E">
        <w:rPr>
          <w:rFonts w:ascii="Garamond" w:hAnsi="Garamond"/>
        </w:rPr>
        <w:t xml:space="preserve"> </w:t>
      </w:r>
      <w:r w:rsidRPr="005A770E">
        <w:rPr>
          <w:rFonts w:ascii="Garamond" w:hAnsi="Garamond"/>
          <w:lang w:val="fr-BE"/>
        </w:rPr>
        <w:t xml:space="preserve">Les données dont il est question sont précisées à l’article 403, al.2 du code foncier. </w:t>
      </w:r>
    </w:p>
  </w:footnote>
  <w:footnote w:id="18">
    <w:p w:rsidR="002B001A" w:rsidRDefault="002B001A" w:rsidP="005A770E">
      <w:pPr>
        <w:pStyle w:val="FootnoteText"/>
        <w:jc w:val="both"/>
      </w:pPr>
      <w:r w:rsidRPr="005A770E">
        <w:rPr>
          <w:rStyle w:val="FootnoteReference"/>
          <w:rFonts w:ascii="Garamond" w:hAnsi="Garamond"/>
        </w:rPr>
        <w:footnoteRef/>
      </w:r>
      <w:r w:rsidRPr="005A770E">
        <w:rPr>
          <w:rFonts w:ascii="Garamond" w:hAnsi="Garamond"/>
        </w:rPr>
        <w:t xml:space="preserve"> </w:t>
      </w:r>
      <w:r w:rsidRPr="005A770E">
        <w:rPr>
          <w:rFonts w:ascii="Garamond" w:hAnsi="Garamond"/>
          <w:lang w:val="fr-BE"/>
        </w:rPr>
        <w:t>Article 403, al.3.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216DA"/>
    <w:multiLevelType w:val="hybridMultilevel"/>
    <w:tmpl w:val="C7D4A5CA"/>
    <w:lvl w:ilvl="0" w:tplc="040C0009">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
    <w:nsid w:val="017D498E"/>
    <w:multiLevelType w:val="hybridMultilevel"/>
    <w:tmpl w:val="CD12DFD8"/>
    <w:lvl w:ilvl="0" w:tplc="2668B7A0">
      <w:start w:val="1"/>
      <w:numFmt w:val="decimal"/>
      <w:lvlText w:val="%1."/>
      <w:lvlJc w:val="righ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
    <w:nsid w:val="07865DFE"/>
    <w:multiLevelType w:val="hybridMultilevel"/>
    <w:tmpl w:val="457AA78C"/>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
    <w:nsid w:val="0A614B0F"/>
    <w:multiLevelType w:val="hybridMultilevel"/>
    <w:tmpl w:val="28A25D7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B5B521C"/>
    <w:multiLevelType w:val="hybridMultilevel"/>
    <w:tmpl w:val="6E88F4B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
    <w:nsid w:val="0DD71AE8"/>
    <w:multiLevelType w:val="hybridMultilevel"/>
    <w:tmpl w:val="F788E012"/>
    <w:lvl w:ilvl="0" w:tplc="2668B7A0">
      <w:start w:val="1"/>
      <w:numFmt w:val="decimal"/>
      <w:lvlText w:val="%1."/>
      <w:lvlJc w:val="right"/>
      <w:pPr>
        <w:ind w:left="502" w:hanging="360"/>
      </w:pPr>
      <w:rPr>
        <w:rFonts w:cs="Times New Roman" w:hint="default"/>
      </w:rPr>
    </w:lvl>
    <w:lvl w:ilvl="1" w:tplc="040C0003" w:tentative="1">
      <w:start w:val="1"/>
      <w:numFmt w:val="bullet"/>
      <w:lvlText w:val="o"/>
      <w:lvlJc w:val="left"/>
      <w:pPr>
        <w:ind w:left="1222" w:hanging="360"/>
      </w:pPr>
      <w:rPr>
        <w:rFonts w:ascii="Courier New" w:hAnsi="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6">
    <w:nsid w:val="0F1837BB"/>
    <w:multiLevelType w:val="hybridMultilevel"/>
    <w:tmpl w:val="7DD85E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00B38CD"/>
    <w:multiLevelType w:val="hybridMultilevel"/>
    <w:tmpl w:val="BD329F48"/>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8">
    <w:nsid w:val="10BA648C"/>
    <w:multiLevelType w:val="hybridMultilevel"/>
    <w:tmpl w:val="512C7D38"/>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9">
    <w:nsid w:val="112E3D06"/>
    <w:multiLevelType w:val="hybridMultilevel"/>
    <w:tmpl w:val="B79686D6"/>
    <w:lvl w:ilvl="0" w:tplc="2668B7A0">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0">
    <w:nsid w:val="12ED5151"/>
    <w:multiLevelType w:val="hybridMultilevel"/>
    <w:tmpl w:val="DA380ED6"/>
    <w:lvl w:ilvl="0" w:tplc="040C000F">
      <w:start w:val="1"/>
      <w:numFmt w:val="decimal"/>
      <w:lvlText w:val="%1."/>
      <w:lvlJc w:val="left"/>
      <w:pPr>
        <w:ind w:left="1428" w:hanging="360"/>
      </w:pPr>
      <w:rPr>
        <w:rFonts w:cs="Times New Roman" w:hint="default"/>
      </w:rPr>
    </w:lvl>
    <w:lvl w:ilvl="1" w:tplc="040C0019" w:tentative="1">
      <w:start w:val="1"/>
      <w:numFmt w:val="lowerLetter"/>
      <w:lvlText w:val="%2."/>
      <w:lvlJc w:val="left"/>
      <w:pPr>
        <w:ind w:left="2148" w:hanging="360"/>
      </w:pPr>
      <w:rPr>
        <w:rFonts w:cs="Times New Roman"/>
      </w:rPr>
    </w:lvl>
    <w:lvl w:ilvl="2" w:tplc="040C001B" w:tentative="1">
      <w:start w:val="1"/>
      <w:numFmt w:val="lowerRoman"/>
      <w:lvlText w:val="%3."/>
      <w:lvlJc w:val="right"/>
      <w:pPr>
        <w:ind w:left="2868" w:hanging="180"/>
      </w:pPr>
      <w:rPr>
        <w:rFonts w:cs="Times New Roman"/>
      </w:rPr>
    </w:lvl>
    <w:lvl w:ilvl="3" w:tplc="040C000F" w:tentative="1">
      <w:start w:val="1"/>
      <w:numFmt w:val="decimal"/>
      <w:lvlText w:val="%4."/>
      <w:lvlJc w:val="left"/>
      <w:pPr>
        <w:ind w:left="3588" w:hanging="360"/>
      </w:pPr>
      <w:rPr>
        <w:rFonts w:cs="Times New Roman"/>
      </w:rPr>
    </w:lvl>
    <w:lvl w:ilvl="4" w:tplc="040C0019" w:tentative="1">
      <w:start w:val="1"/>
      <w:numFmt w:val="lowerLetter"/>
      <w:lvlText w:val="%5."/>
      <w:lvlJc w:val="left"/>
      <w:pPr>
        <w:ind w:left="4308" w:hanging="360"/>
      </w:pPr>
      <w:rPr>
        <w:rFonts w:cs="Times New Roman"/>
      </w:rPr>
    </w:lvl>
    <w:lvl w:ilvl="5" w:tplc="040C001B" w:tentative="1">
      <w:start w:val="1"/>
      <w:numFmt w:val="lowerRoman"/>
      <w:lvlText w:val="%6."/>
      <w:lvlJc w:val="right"/>
      <w:pPr>
        <w:ind w:left="5028" w:hanging="180"/>
      </w:pPr>
      <w:rPr>
        <w:rFonts w:cs="Times New Roman"/>
      </w:rPr>
    </w:lvl>
    <w:lvl w:ilvl="6" w:tplc="040C000F" w:tentative="1">
      <w:start w:val="1"/>
      <w:numFmt w:val="decimal"/>
      <w:lvlText w:val="%7."/>
      <w:lvlJc w:val="left"/>
      <w:pPr>
        <w:ind w:left="5748" w:hanging="360"/>
      </w:pPr>
      <w:rPr>
        <w:rFonts w:cs="Times New Roman"/>
      </w:rPr>
    </w:lvl>
    <w:lvl w:ilvl="7" w:tplc="040C0019" w:tentative="1">
      <w:start w:val="1"/>
      <w:numFmt w:val="lowerLetter"/>
      <w:lvlText w:val="%8."/>
      <w:lvlJc w:val="left"/>
      <w:pPr>
        <w:ind w:left="6468" w:hanging="360"/>
      </w:pPr>
      <w:rPr>
        <w:rFonts w:cs="Times New Roman"/>
      </w:rPr>
    </w:lvl>
    <w:lvl w:ilvl="8" w:tplc="040C001B" w:tentative="1">
      <w:start w:val="1"/>
      <w:numFmt w:val="lowerRoman"/>
      <w:lvlText w:val="%9."/>
      <w:lvlJc w:val="right"/>
      <w:pPr>
        <w:ind w:left="7188" w:hanging="180"/>
      </w:pPr>
      <w:rPr>
        <w:rFonts w:cs="Times New Roman"/>
      </w:rPr>
    </w:lvl>
  </w:abstractNum>
  <w:abstractNum w:abstractNumId="11">
    <w:nsid w:val="131C5B69"/>
    <w:multiLevelType w:val="hybridMultilevel"/>
    <w:tmpl w:val="2270A4E6"/>
    <w:lvl w:ilvl="0" w:tplc="040C000F">
      <w:start w:val="1"/>
      <w:numFmt w:val="decimal"/>
      <w:lvlText w:val="%1."/>
      <w:lvlJc w:val="left"/>
      <w:pPr>
        <w:ind w:left="720" w:hanging="360"/>
      </w:pPr>
      <w:rPr>
        <w:rFonts w:cs="Times New Roman"/>
      </w:rPr>
    </w:lvl>
    <w:lvl w:ilvl="1" w:tplc="040C0019">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2">
    <w:nsid w:val="14BC1B4A"/>
    <w:multiLevelType w:val="multilevel"/>
    <w:tmpl w:val="040C0027"/>
    <w:lvl w:ilvl="0">
      <w:start w:val="1"/>
      <w:numFmt w:val="upperRoman"/>
      <w:pStyle w:val="Heading1"/>
      <w:lvlText w:val="%1."/>
      <w:lvlJc w:val="left"/>
      <w:rPr>
        <w:rFonts w:cs="Times New Roman"/>
      </w:rPr>
    </w:lvl>
    <w:lvl w:ilvl="1">
      <w:start w:val="1"/>
      <w:numFmt w:val="upperLetter"/>
      <w:pStyle w:val="Heading2"/>
      <w:lvlText w:val="%2."/>
      <w:lvlJc w:val="left"/>
      <w:pPr>
        <w:ind w:left="720"/>
      </w:pPr>
      <w:rPr>
        <w:rFonts w:cs="Times New Roman"/>
      </w:rPr>
    </w:lvl>
    <w:lvl w:ilvl="2">
      <w:start w:val="1"/>
      <w:numFmt w:val="decimal"/>
      <w:pStyle w:val="Heading3"/>
      <w:lvlText w:val="%3."/>
      <w:lvlJc w:val="left"/>
      <w:pPr>
        <w:ind w:left="1440"/>
      </w:pPr>
      <w:rPr>
        <w:rFonts w:cs="Times New Roman"/>
      </w:rPr>
    </w:lvl>
    <w:lvl w:ilvl="3">
      <w:start w:val="1"/>
      <w:numFmt w:val="lowerLetter"/>
      <w:pStyle w:val="Heading4"/>
      <w:lvlText w:val="%4)"/>
      <w:lvlJc w:val="left"/>
      <w:pPr>
        <w:ind w:left="710"/>
      </w:pPr>
      <w:rPr>
        <w:rFonts w:cs="Times New Roman"/>
      </w:rPr>
    </w:lvl>
    <w:lvl w:ilvl="4">
      <w:start w:val="1"/>
      <w:numFmt w:val="decimal"/>
      <w:pStyle w:val="Heading5"/>
      <w:lvlText w:val="(%5)"/>
      <w:lvlJc w:val="left"/>
      <w:pPr>
        <w:ind w:left="2411"/>
      </w:pPr>
      <w:rPr>
        <w:rFonts w:cs="Times New Roman"/>
      </w:rPr>
    </w:lvl>
    <w:lvl w:ilvl="5">
      <w:start w:val="1"/>
      <w:numFmt w:val="lowerLetter"/>
      <w:pStyle w:val="Heading6"/>
      <w:lvlText w:val="(%6)"/>
      <w:lvlJc w:val="left"/>
      <w:pPr>
        <w:ind w:left="3600"/>
      </w:pPr>
      <w:rPr>
        <w:rFonts w:cs="Times New Roman"/>
      </w:rPr>
    </w:lvl>
    <w:lvl w:ilvl="6">
      <w:start w:val="1"/>
      <w:numFmt w:val="lowerRoman"/>
      <w:pStyle w:val="Heading7"/>
      <w:lvlText w:val="(%7)"/>
      <w:lvlJc w:val="left"/>
      <w:pPr>
        <w:ind w:left="4320"/>
      </w:pPr>
      <w:rPr>
        <w:rFonts w:cs="Times New Roman"/>
      </w:rPr>
    </w:lvl>
    <w:lvl w:ilvl="7">
      <w:start w:val="1"/>
      <w:numFmt w:val="lowerLetter"/>
      <w:pStyle w:val="Heading8"/>
      <w:lvlText w:val="(%8)"/>
      <w:lvlJc w:val="left"/>
      <w:pPr>
        <w:ind w:left="5040"/>
      </w:pPr>
      <w:rPr>
        <w:rFonts w:cs="Times New Roman"/>
      </w:rPr>
    </w:lvl>
    <w:lvl w:ilvl="8">
      <w:start w:val="1"/>
      <w:numFmt w:val="lowerRoman"/>
      <w:pStyle w:val="Heading9"/>
      <w:lvlText w:val="(%9)"/>
      <w:lvlJc w:val="left"/>
      <w:pPr>
        <w:ind w:left="5760"/>
      </w:pPr>
      <w:rPr>
        <w:rFonts w:cs="Times New Roman"/>
      </w:rPr>
    </w:lvl>
  </w:abstractNum>
  <w:abstractNum w:abstractNumId="13">
    <w:nsid w:val="155F08CA"/>
    <w:multiLevelType w:val="hybridMultilevel"/>
    <w:tmpl w:val="C8C6D292"/>
    <w:lvl w:ilvl="0" w:tplc="040C0009">
      <w:start w:val="1"/>
      <w:numFmt w:val="bullet"/>
      <w:lvlText w:val=""/>
      <w:lvlJc w:val="left"/>
      <w:pPr>
        <w:ind w:left="1259" w:hanging="360"/>
      </w:pPr>
      <w:rPr>
        <w:rFonts w:ascii="Wingdings" w:hAnsi="Wingdings" w:hint="default"/>
      </w:rPr>
    </w:lvl>
    <w:lvl w:ilvl="1" w:tplc="040C0003" w:tentative="1">
      <w:start w:val="1"/>
      <w:numFmt w:val="bullet"/>
      <w:lvlText w:val="o"/>
      <w:lvlJc w:val="left"/>
      <w:pPr>
        <w:ind w:left="1979" w:hanging="360"/>
      </w:pPr>
      <w:rPr>
        <w:rFonts w:ascii="Courier New" w:hAnsi="Courier New" w:hint="default"/>
      </w:rPr>
    </w:lvl>
    <w:lvl w:ilvl="2" w:tplc="040C0005" w:tentative="1">
      <w:start w:val="1"/>
      <w:numFmt w:val="bullet"/>
      <w:lvlText w:val=""/>
      <w:lvlJc w:val="left"/>
      <w:pPr>
        <w:ind w:left="2699" w:hanging="360"/>
      </w:pPr>
      <w:rPr>
        <w:rFonts w:ascii="Wingdings" w:hAnsi="Wingdings" w:hint="default"/>
      </w:rPr>
    </w:lvl>
    <w:lvl w:ilvl="3" w:tplc="040C0001" w:tentative="1">
      <w:start w:val="1"/>
      <w:numFmt w:val="bullet"/>
      <w:lvlText w:val=""/>
      <w:lvlJc w:val="left"/>
      <w:pPr>
        <w:ind w:left="3419" w:hanging="360"/>
      </w:pPr>
      <w:rPr>
        <w:rFonts w:ascii="Symbol" w:hAnsi="Symbol" w:hint="default"/>
      </w:rPr>
    </w:lvl>
    <w:lvl w:ilvl="4" w:tplc="040C0003" w:tentative="1">
      <w:start w:val="1"/>
      <w:numFmt w:val="bullet"/>
      <w:lvlText w:val="o"/>
      <w:lvlJc w:val="left"/>
      <w:pPr>
        <w:ind w:left="4139" w:hanging="360"/>
      </w:pPr>
      <w:rPr>
        <w:rFonts w:ascii="Courier New" w:hAnsi="Courier New" w:hint="default"/>
      </w:rPr>
    </w:lvl>
    <w:lvl w:ilvl="5" w:tplc="040C0005" w:tentative="1">
      <w:start w:val="1"/>
      <w:numFmt w:val="bullet"/>
      <w:lvlText w:val=""/>
      <w:lvlJc w:val="left"/>
      <w:pPr>
        <w:ind w:left="4859" w:hanging="360"/>
      </w:pPr>
      <w:rPr>
        <w:rFonts w:ascii="Wingdings" w:hAnsi="Wingdings" w:hint="default"/>
      </w:rPr>
    </w:lvl>
    <w:lvl w:ilvl="6" w:tplc="040C0001" w:tentative="1">
      <w:start w:val="1"/>
      <w:numFmt w:val="bullet"/>
      <w:lvlText w:val=""/>
      <w:lvlJc w:val="left"/>
      <w:pPr>
        <w:ind w:left="5579" w:hanging="360"/>
      </w:pPr>
      <w:rPr>
        <w:rFonts w:ascii="Symbol" w:hAnsi="Symbol" w:hint="default"/>
      </w:rPr>
    </w:lvl>
    <w:lvl w:ilvl="7" w:tplc="040C0003" w:tentative="1">
      <w:start w:val="1"/>
      <w:numFmt w:val="bullet"/>
      <w:lvlText w:val="o"/>
      <w:lvlJc w:val="left"/>
      <w:pPr>
        <w:ind w:left="6299" w:hanging="360"/>
      </w:pPr>
      <w:rPr>
        <w:rFonts w:ascii="Courier New" w:hAnsi="Courier New" w:hint="default"/>
      </w:rPr>
    </w:lvl>
    <w:lvl w:ilvl="8" w:tplc="040C0005" w:tentative="1">
      <w:start w:val="1"/>
      <w:numFmt w:val="bullet"/>
      <w:lvlText w:val=""/>
      <w:lvlJc w:val="left"/>
      <w:pPr>
        <w:ind w:left="7019" w:hanging="360"/>
      </w:pPr>
      <w:rPr>
        <w:rFonts w:ascii="Wingdings" w:hAnsi="Wingdings" w:hint="default"/>
      </w:rPr>
    </w:lvl>
  </w:abstractNum>
  <w:abstractNum w:abstractNumId="14">
    <w:nsid w:val="15A50646"/>
    <w:multiLevelType w:val="hybridMultilevel"/>
    <w:tmpl w:val="97AC3B30"/>
    <w:lvl w:ilvl="0" w:tplc="2668B7A0">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5">
    <w:nsid w:val="16E57632"/>
    <w:multiLevelType w:val="hybridMultilevel"/>
    <w:tmpl w:val="5F2440F6"/>
    <w:lvl w:ilvl="0" w:tplc="85F2F8BE">
      <w:start w:val="1"/>
      <w:numFmt w:val="bullet"/>
      <w:pStyle w:val="gutwaralistbullet"/>
      <w:lvlText w:val=""/>
      <w:lvlJc w:val="left"/>
      <w:pPr>
        <w:tabs>
          <w:tab w:val="num" w:pos="360"/>
        </w:tabs>
        <w:ind w:left="360" w:hanging="360"/>
      </w:pPr>
      <w:rPr>
        <w:rFonts w:ascii="Symbol" w:hAnsi="Symbol" w:hint="default"/>
        <w:sz w:val="24"/>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16">
    <w:nsid w:val="23A5181D"/>
    <w:multiLevelType w:val="hybridMultilevel"/>
    <w:tmpl w:val="2E30370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61D70A7"/>
    <w:multiLevelType w:val="hybridMultilevel"/>
    <w:tmpl w:val="2BF85756"/>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8">
    <w:nsid w:val="2C4C173F"/>
    <w:multiLevelType w:val="hybridMultilevel"/>
    <w:tmpl w:val="0BFE7F6C"/>
    <w:lvl w:ilvl="0" w:tplc="040C000F">
      <w:start w:val="1"/>
      <w:numFmt w:val="decimal"/>
      <w:lvlText w:val="%1."/>
      <w:lvlJc w:val="left"/>
      <w:pPr>
        <w:ind w:left="720" w:hanging="360"/>
      </w:pPr>
      <w:rPr>
        <w:rFonts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1A245A4"/>
    <w:multiLevelType w:val="hybridMultilevel"/>
    <w:tmpl w:val="D9982D60"/>
    <w:lvl w:ilvl="0" w:tplc="2668B7A0">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0">
    <w:nsid w:val="42B4484E"/>
    <w:multiLevelType w:val="hybridMultilevel"/>
    <w:tmpl w:val="543E5F5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4577D10"/>
    <w:multiLevelType w:val="hybridMultilevel"/>
    <w:tmpl w:val="39EEE524"/>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2">
    <w:nsid w:val="46A1614B"/>
    <w:multiLevelType w:val="hybridMultilevel"/>
    <w:tmpl w:val="8402C142"/>
    <w:lvl w:ilvl="0" w:tplc="040C0009">
      <w:start w:val="1"/>
      <w:numFmt w:val="bullet"/>
      <w:lvlText w:val=""/>
      <w:lvlJc w:val="left"/>
      <w:pPr>
        <w:ind w:left="1259" w:hanging="360"/>
      </w:pPr>
      <w:rPr>
        <w:rFonts w:ascii="Wingdings" w:hAnsi="Wingdings" w:hint="default"/>
      </w:rPr>
    </w:lvl>
    <w:lvl w:ilvl="1" w:tplc="040C0003" w:tentative="1">
      <w:start w:val="1"/>
      <w:numFmt w:val="bullet"/>
      <w:lvlText w:val="o"/>
      <w:lvlJc w:val="left"/>
      <w:pPr>
        <w:ind w:left="1979" w:hanging="360"/>
      </w:pPr>
      <w:rPr>
        <w:rFonts w:ascii="Courier New" w:hAnsi="Courier New" w:hint="default"/>
      </w:rPr>
    </w:lvl>
    <w:lvl w:ilvl="2" w:tplc="040C0005" w:tentative="1">
      <w:start w:val="1"/>
      <w:numFmt w:val="bullet"/>
      <w:lvlText w:val=""/>
      <w:lvlJc w:val="left"/>
      <w:pPr>
        <w:ind w:left="2699" w:hanging="360"/>
      </w:pPr>
      <w:rPr>
        <w:rFonts w:ascii="Wingdings" w:hAnsi="Wingdings" w:hint="default"/>
      </w:rPr>
    </w:lvl>
    <w:lvl w:ilvl="3" w:tplc="040C0001" w:tentative="1">
      <w:start w:val="1"/>
      <w:numFmt w:val="bullet"/>
      <w:lvlText w:val=""/>
      <w:lvlJc w:val="left"/>
      <w:pPr>
        <w:ind w:left="3419" w:hanging="360"/>
      </w:pPr>
      <w:rPr>
        <w:rFonts w:ascii="Symbol" w:hAnsi="Symbol" w:hint="default"/>
      </w:rPr>
    </w:lvl>
    <w:lvl w:ilvl="4" w:tplc="040C0003" w:tentative="1">
      <w:start w:val="1"/>
      <w:numFmt w:val="bullet"/>
      <w:lvlText w:val="o"/>
      <w:lvlJc w:val="left"/>
      <w:pPr>
        <w:ind w:left="4139" w:hanging="360"/>
      </w:pPr>
      <w:rPr>
        <w:rFonts w:ascii="Courier New" w:hAnsi="Courier New" w:hint="default"/>
      </w:rPr>
    </w:lvl>
    <w:lvl w:ilvl="5" w:tplc="040C0005" w:tentative="1">
      <w:start w:val="1"/>
      <w:numFmt w:val="bullet"/>
      <w:lvlText w:val=""/>
      <w:lvlJc w:val="left"/>
      <w:pPr>
        <w:ind w:left="4859" w:hanging="360"/>
      </w:pPr>
      <w:rPr>
        <w:rFonts w:ascii="Wingdings" w:hAnsi="Wingdings" w:hint="default"/>
      </w:rPr>
    </w:lvl>
    <w:lvl w:ilvl="6" w:tplc="040C0001" w:tentative="1">
      <w:start w:val="1"/>
      <w:numFmt w:val="bullet"/>
      <w:lvlText w:val=""/>
      <w:lvlJc w:val="left"/>
      <w:pPr>
        <w:ind w:left="5579" w:hanging="360"/>
      </w:pPr>
      <w:rPr>
        <w:rFonts w:ascii="Symbol" w:hAnsi="Symbol" w:hint="default"/>
      </w:rPr>
    </w:lvl>
    <w:lvl w:ilvl="7" w:tplc="040C0003" w:tentative="1">
      <w:start w:val="1"/>
      <w:numFmt w:val="bullet"/>
      <w:lvlText w:val="o"/>
      <w:lvlJc w:val="left"/>
      <w:pPr>
        <w:ind w:left="6299" w:hanging="360"/>
      </w:pPr>
      <w:rPr>
        <w:rFonts w:ascii="Courier New" w:hAnsi="Courier New" w:hint="default"/>
      </w:rPr>
    </w:lvl>
    <w:lvl w:ilvl="8" w:tplc="040C0005" w:tentative="1">
      <w:start w:val="1"/>
      <w:numFmt w:val="bullet"/>
      <w:lvlText w:val=""/>
      <w:lvlJc w:val="left"/>
      <w:pPr>
        <w:ind w:left="7019" w:hanging="360"/>
      </w:pPr>
      <w:rPr>
        <w:rFonts w:ascii="Wingdings" w:hAnsi="Wingdings" w:hint="default"/>
      </w:rPr>
    </w:lvl>
  </w:abstractNum>
  <w:abstractNum w:abstractNumId="23">
    <w:nsid w:val="4A5D13E3"/>
    <w:multiLevelType w:val="hybridMultilevel"/>
    <w:tmpl w:val="5C24452A"/>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4">
    <w:nsid w:val="4F633F63"/>
    <w:multiLevelType w:val="hybridMultilevel"/>
    <w:tmpl w:val="2C201892"/>
    <w:lvl w:ilvl="0" w:tplc="E1CC12B0">
      <w:start w:val="1"/>
      <w:numFmt w:val="upperLetter"/>
      <w:lvlText w:val="%1."/>
      <w:lvlJc w:val="left"/>
      <w:pPr>
        <w:tabs>
          <w:tab w:val="num" w:pos="720"/>
        </w:tabs>
        <w:ind w:left="720" w:hanging="360"/>
      </w:pPr>
      <w:rPr>
        <w:rFonts w:cs="Times New Roman" w:hint="default"/>
      </w:rPr>
    </w:lvl>
    <w:lvl w:ilvl="1" w:tplc="D9BA529A">
      <w:start w:val="3"/>
      <w:numFmt w:val="bullet"/>
      <w:lvlText w:val="-"/>
      <w:lvlJc w:val="left"/>
      <w:pPr>
        <w:tabs>
          <w:tab w:val="num" w:pos="1440"/>
        </w:tabs>
        <w:ind w:left="1440" w:hanging="360"/>
      </w:pPr>
      <w:rPr>
        <w:rFonts w:ascii="Tahoma" w:eastAsia="Times New Roman" w:hAnsi="Tahoma" w:hint="default"/>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25">
    <w:nsid w:val="569722D7"/>
    <w:multiLevelType w:val="hybridMultilevel"/>
    <w:tmpl w:val="7C0C703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9696AE0"/>
    <w:multiLevelType w:val="hybridMultilevel"/>
    <w:tmpl w:val="1C44E11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2231949"/>
    <w:multiLevelType w:val="hybridMultilevel"/>
    <w:tmpl w:val="50CCFAC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3DC348C"/>
    <w:multiLevelType w:val="hybridMultilevel"/>
    <w:tmpl w:val="45982D08"/>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29">
    <w:nsid w:val="68AD07B2"/>
    <w:multiLevelType w:val="hybridMultilevel"/>
    <w:tmpl w:val="B58EABAA"/>
    <w:lvl w:ilvl="0" w:tplc="3B64B33E">
      <w:start w:val="1"/>
      <w:numFmt w:val="bullet"/>
      <w:pStyle w:val="Bullet1G"/>
      <w:lvlText w:val="•"/>
      <w:lvlJc w:val="left"/>
      <w:pPr>
        <w:tabs>
          <w:tab w:val="num" w:pos="1701"/>
        </w:tabs>
        <w:ind w:left="1701" w:hanging="170"/>
      </w:pPr>
      <w:rPr>
        <w:rFonts w:ascii="Times New Roman" w:hAnsi="Times New Roman" w:hint="default"/>
      </w:rPr>
    </w:lvl>
    <w:lvl w:ilvl="1" w:tplc="BC3843E2">
      <w:numFmt w:val="bullet"/>
      <w:lvlText w:val="-"/>
      <w:lvlJc w:val="left"/>
      <w:pPr>
        <w:ind w:left="3351" w:hanging="570"/>
      </w:pPr>
      <w:rPr>
        <w:rFonts w:ascii="Times New Roman" w:eastAsia="Times New Roman" w:hAnsi="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nsid w:val="71FC2B09"/>
    <w:multiLevelType w:val="hybridMultilevel"/>
    <w:tmpl w:val="EFF4F7A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574285D"/>
    <w:multiLevelType w:val="hybridMultilevel"/>
    <w:tmpl w:val="4BDA4944"/>
    <w:lvl w:ilvl="0" w:tplc="040C0019">
      <w:start w:val="1"/>
      <w:numFmt w:val="lowerLetter"/>
      <w:lvlText w:val="%1."/>
      <w:lvlJc w:val="left"/>
      <w:pPr>
        <w:ind w:left="2136" w:hanging="360"/>
      </w:pPr>
      <w:rPr>
        <w:rFonts w:cs="Times New Roman" w:hint="default"/>
      </w:rPr>
    </w:lvl>
    <w:lvl w:ilvl="1" w:tplc="040C0003" w:tentative="1">
      <w:start w:val="1"/>
      <w:numFmt w:val="bullet"/>
      <w:lvlText w:val="o"/>
      <w:lvlJc w:val="left"/>
      <w:pPr>
        <w:ind w:left="2856" w:hanging="360"/>
      </w:pPr>
      <w:rPr>
        <w:rFonts w:ascii="Courier New" w:hAnsi="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2">
    <w:nsid w:val="762C5811"/>
    <w:multiLevelType w:val="hybridMultilevel"/>
    <w:tmpl w:val="7B48F8F6"/>
    <w:lvl w:ilvl="0" w:tplc="040C0017">
      <w:start w:val="1"/>
      <w:numFmt w:val="lowerLetter"/>
      <w:lvlText w:val="%1)"/>
      <w:lvlJc w:val="left"/>
      <w:pPr>
        <w:ind w:left="2345" w:hanging="360"/>
      </w:pPr>
      <w:rPr>
        <w:rFonts w:cs="Times New Roman"/>
      </w:rPr>
    </w:lvl>
    <w:lvl w:ilvl="1" w:tplc="040C0019" w:tentative="1">
      <w:start w:val="1"/>
      <w:numFmt w:val="lowerLetter"/>
      <w:lvlText w:val="%2."/>
      <w:lvlJc w:val="left"/>
      <w:pPr>
        <w:ind w:left="3065" w:hanging="360"/>
      </w:pPr>
      <w:rPr>
        <w:rFonts w:cs="Times New Roman"/>
      </w:rPr>
    </w:lvl>
    <w:lvl w:ilvl="2" w:tplc="040C001B" w:tentative="1">
      <w:start w:val="1"/>
      <w:numFmt w:val="lowerRoman"/>
      <w:lvlText w:val="%3."/>
      <w:lvlJc w:val="right"/>
      <w:pPr>
        <w:ind w:left="3785" w:hanging="180"/>
      </w:pPr>
      <w:rPr>
        <w:rFonts w:cs="Times New Roman"/>
      </w:rPr>
    </w:lvl>
    <w:lvl w:ilvl="3" w:tplc="040C000F" w:tentative="1">
      <w:start w:val="1"/>
      <w:numFmt w:val="decimal"/>
      <w:lvlText w:val="%4."/>
      <w:lvlJc w:val="left"/>
      <w:pPr>
        <w:ind w:left="4505" w:hanging="360"/>
      </w:pPr>
      <w:rPr>
        <w:rFonts w:cs="Times New Roman"/>
      </w:rPr>
    </w:lvl>
    <w:lvl w:ilvl="4" w:tplc="040C0019" w:tentative="1">
      <w:start w:val="1"/>
      <w:numFmt w:val="lowerLetter"/>
      <w:lvlText w:val="%5."/>
      <w:lvlJc w:val="left"/>
      <w:pPr>
        <w:ind w:left="5225" w:hanging="360"/>
      </w:pPr>
      <w:rPr>
        <w:rFonts w:cs="Times New Roman"/>
      </w:rPr>
    </w:lvl>
    <w:lvl w:ilvl="5" w:tplc="040C001B" w:tentative="1">
      <w:start w:val="1"/>
      <w:numFmt w:val="lowerRoman"/>
      <w:lvlText w:val="%6."/>
      <w:lvlJc w:val="right"/>
      <w:pPr>
        <w:ind w:left="5945" w:hanging="180"/>
      </w:pPr>
      <w:rPr>
        <w:rFonts w:cs="Times New Roman"/>
      </w:rPr>
    </w:lvl>
    <w:lvl w:ilvl="6" w:tplc="040C000F" w:tentative="1">
      <w:start w:val="1"/>
      <w:numFmt w:val="decimal"/>
      <w:lvlText w:val="%7."/>
      <w:lvlJc w:val="left"/>
      <w:pPr>
        <w:ind w:left="6665" w:hanging="360"/>
      </w:pPr>
      <w:rPr>
        <w:rFonts w:cs="Times New Roman"/>
      </w:rPr>
    </w:lvl>
    <w:lvl w:ilvl="7" w:tplc="040C0019" w:tentative="1">
      <w:start w:val="1"/>
      <w:numFmt w:val="lowerLetter"/>
      <w:lvlText w:val="%8."/>
      <w:lvlJc w:val="left"/>
      <w:pPr>
        <w:ind w:left="7385" w:hanging="360"/>
      </w:pPr>
      <w:rPr>
        <w:rFonts w:cs="Times New Roman"/>
      </w:rPr>
    </w:lvl>
    <w:lvl w:ilvl="8" w:tplc="040C001B" w:tentative="1">
      <w:start w:val="1"/>
      <w:numFmt w:val="lowerRoman"/>
      <w:lvlText w:val="%9."/>
      <w:lvlJc w:val="right"/>
      <w:pPr>
        <w:ind w:left="8105" w:hanging="180"/>
      </w:pPr>
      <w:rPr>
        <w:rFonts w:cs="Times New Roman"/>
      </w:rPr>
    </w:lvl>
  </w:abstractNum>
  <w:abstractNum w:abstractNumId="33">
    <w:nsid w:val="7743147B"/>
    <w:multiLevelType w:val="multilevel"/>
    <w:tmpl w:val="EFF4F7A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nsid w:val="78715AF3"/>
    <w:multiLevelType w:val="hybridMultilevel"/>
    <w:tmpl w:val="F7620518"/>
    <w:lvl w:ilvl="0" w:tplc="040C0017">
      <w:start w:val="1"/>
      <w:numFmt w:val="lowerLetter"/>
      <w:lvlText w:val="%1)"/>
      <w:lvlJc w:val="left"/>
      <w:pPr>
        <w:ind w:left="2160" w:hanging="360"/>
      </w:pPr>
      <w:rPr>
        <w:rFonts w:cs="Times New Roman"/>
      </w:rPr>
    </w:lvl>
    <w:lvl w:ilvl="1" w:tplc="040C0019" w:tentative="1">
      <w:start w:val="1"/>
      <w:numFmt w:val="lowerLetter"/>
      <w:lvlText w:val="%2."/>
      <w:lvlJc w:val="left"/>
      <w:pPr>
        <w:ind w:left="2880" w:hanging="360"/>
      </w:pPr>
      <w:rPr>
        <w:rFonts w:cs="Times New Roman"/>
      </w:rPr>
    </w:lvl>
    <w:lvl w:ilvl="2" w:tplc="040C001B" w:tentative="1">
      <w:start w:val="1"/>
      <w:numFmt w:val="lowerRoman"/>
      <w:lvlText w:val="%3."/>
      <w:lvlJc w:val="right"/>
      <w:pPr>
        <w:ind w:left="3600" w:hanging="180"/>
      </w:pPr>
      <w:rPr>
        <w:rFonts w:cs="Times New Roman"/>
      </w:rPr>
    </w:lvl>
    <w:lvl w:ilvl="3" w:tplc="040C000F" w:tentative="1">
      <w:start w:val="1"/>
      <w:numFmt w:val="decimal"/>
      <w:lvlText w:val="%4."/>
      <w:lvlJc w:val="left"/>
      <w:pPr>
        <w:ind w:left="4320" w:hanging="360"/>
      </w:pPr>
      <w:rPr>
        <w:rFonts w:cs="Times New Roman"/>
      </w:rPr>
    </w:lvl>
    <w:lvl w:ilvl="4" w:tplc="040C0019" w:tentative="1">
      <w:start w:val="1"/>
      <w:numFmt w:val="lowerLetter"/>
      <w:lvlText w:val="%5."/>
      <w:lvlJc w:val="left"/>
      <w:pPr>
        <w:ind w:left="5040" w:hanging="360"/>
      </w:pPr>
      <w:rPr>
        <w:rFonts w:cs="Times New Roman"/>
      </w:rPr>
    </w:lvl>
    <w:lvl w:ilvl="5" w:tplc="040C001B" w:tentative="1">
      <w:start w:val="1"/>
      <w:numFmt w:val="lowerRoman"/>
      <w:lvlText w:val="%6."/>
      <w:lvlJc w:val="right"/>
      <w:pPr>
        <w:ind w:left="5760" w:hanging="180"/>
      </w:pPr>
      <w:rPr>
        <w:rFonts w:cs="Times New Roman"/>
      </w:rPr>
    </w:lvl>
    <w:lvl w:ilvl="6" w:tplc="040C000F" w:tentative="1">
      <w:start w:val="1"/>
      <w:numFmt w:val="decimal"/>
      <w:lvlText w:val="%7."/>
      <w:lvlJc w:val="left"/>
      <w:pPr>
        <w:ind w:left="6480" w:hanging="360"/>
      </w:pPr>
      <w:rPr>
        <w:rFonts w:cs="Times New Roman"/>
      </w:rPr>
    </w:lvl>
    <w:lvl w:ilvl="7" w:tplc="040C0019" w:tentative="1">
      <w:start w:val="1"/>
      <w:numFmt w:val="lowerLetter"/>
      <w:lvlText w:val="%8."/>
      <w:lvlJc w:val="left"/>
      <w:pPr>
        <w:ind w:left="7200" w:hanging="360"/>
      </w:pPr>
      <w:rPr>
        <w:rFonts w:cs="Times New Roman"/>
      </w:rPr>
    </w:lvl>
    <w:lvl w:ilvl="8" w:tplc="040C001B" w:tentative="1">
      <w:start w:val="1"/>
      <w:numFmt w:val="lowerRoman"/>
      <w:lvlText w:val="%9."/>
      <w:lvlJc w:val="right"/>
      <w:pPr>
        <w:ind w:left="7920" w:hanging="180"/>
      </w:pPr>
      <w:rPr>
        <w:rFonts w:cs="Times New Roman"/>
      </w:rPr>
    </w:lvl>
  </w:abstractNum>
  <w:abstractNum w:abstractNumId="35">
    <w:nsid w:val="7A9153A7"/>
    <w:multiLevelType w:val="hybridMultilevel"/>
    <w:tmpl w:val="C546B7F0"/>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6">
    <w:nsid w:val="7F8E4688"/>
    <w:multiLevelType w:val="multilevel"/>
    <w:tmpl w:val="C7D4A5CA"/>
    <w:lvl w:ilvl="0">
      <w:start w:val="1"/>
      <w:numFmt w:val="bullet"/>
      <w:lvlText w:val=""/>
      <w:lvlJc w:val="left"/>
      <w:pPr>
        <w:ind w:left="644" w:hanging="360"/>
      </w:pPr>
      <w:rPr>
        <w:rFonts w:ascii="Wingdings" w:hAnsi="Wingdings" w:hint="default"/>
      </w:rPr>
    </w:lvl>
    <w:lvl w:ilvl="1">
      <w:start w:val="1"/>
      <w:numFmt w:val="bullet"/>
      <w:lvlText w:val="o"/>
      <w:lvlJc w:val="left"/>
      <w:pPr>
        <w:ind w:left="1364" w:hanging="360"/>
      </w:pPr>
      <w:rPr>
        <w:rFonts w:ascii="Courier New" w:hAnsi="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hint="default"/>
      </w:rPr>
    </w:lvl>
    <w:lvl w:ilvl="8">
      <w:start w:val="1"/>
      <w:numFmt w:val="bullet"/>
      <w:lvlText w:val=""/>
      <w:lvlJc w:val="left"/>
      <w:pPr>
        <w:ind w:left="6404" w:hanging="360"/>
      </w:pPr>
      <w:rPr>
        <w:rFonts w:ascii="Wingdings" w:hAnsi="Wingdings" w:hint="default"/>
      </w:rPr>
    </w:lvl>
  </w:abstractNum>
  <w:num w:numId="1">
    <w:abstractNumId w:val="29"/>
  </w:num>
  <w:num w:numId="2">
    <w:abstractNumId w:val="21"/>
  </w:num>
  <w:num w:numId="3">
    <w:abstractNumId w:val="24"/>
  </w:num>
  <w:num w:numId="4">
    <w:abstractNumId w:val="20"/>
  </w:num>
  <w:num w:numId="5">
    <w:abstractNumId w:val="16"/>
  </w:num>
  <w:num w:numId="6">
    <w:abstractNumId w:val="6"/>
  </w:num>
  <w:num w:numId="7">
    <w:abstractNumId w:val="26"/>
  </w:num>
  <w:num w:numId="8">
    <w:abstractNumId w:val="12"/>
  </w:num>
  <w:num w:numId="9">
    <w:abstractNumId w:val="3"/>
  </w:num>
  <w:num w:numId="10">
    <w:abstractNumId w:val="7"/>
  </w:num>
  <w:num w:numId="11">
    <w:abstractNumId w:val="15"/>
  </w:num>
  <w:num w:numId="12">
    <w:abstractNumId w:val="8"/>
  </w:num>
  <w:num w:numId="13">
    <w:abstractNumId w:val="27"/>
  </w:num>
  <w:num w:numId="14">
    <w:abstractNumId w:val="34"/>
  </w:num>
  <w:num w:numId="15">
    <w:abstractNumId w:val="30"/>
  </w:num>
  <w:num w:numId="16">
    <w:abstractNumId w:val="32"/>
  </w:num>
  <w:num w:numId="17">
    <w:abstractNumId w:val="5"/>
  </w:num>
  <w:num w:numId="18">
    <w:abstractNumId w:val="18"/>
  </w:num>
  <w:num w:numId="19">
    <w:abstractNumId w:val="35"/>
  </w:num>
  <w:num w:numId="20">
    <w:abstractNumId w:val="23"/>
  </w:num>
  <w:num w:numId="21">
    <w:abstractNumId w:val="19"/>
  </w:num>
  <w:num w:numId="22">
    <w:abstractNumId w:val="9"/>
  </w:num>
  <w:num w:numId="23">
    <w:abstractNumId w:val="17"/>
  </w:num>
  <w:num w:numId="24">
    <w:abstractNumId w:val="2"/>
  </w:num>
  <w:num w:numId="25">
    <w:abstractNumId w:val="11"/>
  </w:num>
  <w:num w:numId="26">
    <w:abstractNumId w:val="28"/>
  </w:num>
  <w:num w:numId="27">
    <w:abstractNumId w:val="1"/>
  </w:num>
  <w:num w:numId="28">
    <w:abstractNumId w:val="31"/>
  </w:num>
  <w:num w:numId="29">
    <w:abstractNumId w:val="10"/>
  </w:num>
  <w:num w:numId="30">
    <w:abstractNumId w:val="22"/>
  </w:num>
  <w:num w:numId="31">
    <w:abstractNumId w:val="13"/>
  </w:num>
  <w:num w:numId="32">
    <w:abstractNumId w:val="0"/>
  </w:num>
  <w:num w:numId="33">
    <w:abstractNumId w:val="14"/>
  </w:num>
  <w:num w:numId="34">
    <w:abstractNumId w:val="33"/>
  </w:num>
  <w:num w:numId="35">
    <w:abstractNumId w:val="25"/>
  </w:num>
  <w:num w:numId="36">
    <w:abstractNumId w:val="36"/>
  </w:num>
  <w:num w:numId="37">
    <w:abstractNumId w:val="4"/>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B55E5"/>
    <w:rsid w:val="00006EB3"/>
    <w:rsid w:val="0001063D"/>
    <w:rsid w:val="000124DF"/>
    <w:rsid w:val="00013588"/>
    <w:rsid w:val="00016418"/>
    <w:rsid w:val="00016963"/>
    <w:rsid w:val="000169FE"/>
    <w:rsid w:val="00025C49"/>
    <w:rsid w:val="000277A7"/>
    <w:rsid w:val="00032B5C"/>
    <w:rsid w:val="00044191"/>
    <w:rsid w:val="00046FEE"/>
    <w:rsid w:val="00052D14"/>
    <w:rsid w:val="00055DE3"/>
    <w:rsid w:val="00056BB2"/>
    <w:rsid w:val="00056C27"/>
    <w:rsid w:val="000579DF"/>
    <w:rsid w:val="00061230"/>
    <w:rsid w:val="0006233C"/>
    <w:rsid w:val="00066040"/>
    <w:rsid w:val="00071256"/>
    <w:rsid w:val="00074B6C"/>
    <w:rsid w:val="00083EAF"/>
    <w:rsid w:val="0008677E"/>
    <w:rsid w:val="00092E0C"/>
    <w:rsid w:val="00094BDE"/>
    <w:rsid w:val="00096FB7"/>
    <w:rsid w:val="000A1895"/>
    <w:rsid w:val="000A4502"/>
    <w:rsid w:val="000A4725"/>
    <w:rsid w:val="000A5A4A"/>
    <w:rsid w:val="000B46AC"/>
    <w:rsid w:val="000B4B37"/>
    <w:rsid w:val="000B5610"/>
    <w:rsid w:val="000D1D04"/>
    <w:rsid w:val="000D35F7"/>
    <w:rsid w:val="000E73D2"/>
    <w:rsid w:val="000F26B7"/>
    <w:rsid w:val="00101907"/>
    <w:rsid w:val="001133C3"/>
    <w:rsid w:val="001166EA"/>
    <w:rsid w:val="00120427"/>
    <w:rsid w:val="00121188"/>
    <w:rsid w:val="00122882"/>
    <w:rsid w:val="001240A0"/>
    <w:rsid w:val="0012430A"/>
    <w:rsid w:val="00125F46"/>
    <w:rsid w:val="00130FE3"/>
    <w:rsid w:val="001378E2"/>
    <w:rsid w:val="001432C2"/>
    <w:rsid w:val="00146253"/>
    <w:rsid w:val="0014640F"/>
    <w:rsid w:val="0014672A"/>
    <w:rsid w:val="00163A69"/>
    <w:rsid w:val="00166A65"/>
    <w:rsid w:val="00167F2F"/>
    <w:rsid w:val="00172C6D"/>
    <w:rsid w:val="001757A6"/>
    <w:rsid w:val="00180F3D"/>
    <w:rsid w:val="00187ACA"/>
    <w:rsid w:val="001A5126"/>
    <w:rsid w:val="001B4922"/>
    <w:rsid w:val="001C1C5E"/>
    <w:rsid w:val="001D5106"/>
    <w:rsid w:val="001D7F20"/>
    <w:rsid w:val="001E2932"/>
    <w:rsid w:val="001E5FF5"/>
    <w:rsid w:val="001E7771"/>
    <w:rsid w:val="001E7A1B"/>
    <w:rsid w:val="001F04D2"/>
    <w:rsid w:val="001F0C5B"/>
    <w:rsid w:val="001F18C8"/>
    <w:rsid w:val="001F30A0"/>
    <w:rsid w:val="001F58D2"/>
    <w:rsid w:val="001F5E14"/>
    <w:rsid w:val="001F5F59"/>
    <w:rsid w:val="002004E4"/>
    <w:rsid w:val="00200837"/>
    <w:rsid w:val="00201C07"/>
    <w:rsid w:val="00214749"/>
    <w:rsid w:val="002177D1"/>
    <w:rsid w:val="00234C4F"/>
    <w:rsid w:val="0023665A"/>
    <w:rsid w:val="00241623"/>
    <w:rsid w:val="00246013"/>
    <w:rsid w:val="00246B8D"/>
    <w:rsid w:val="002511D0"/>
    <w:rsid w:val="00251307"/>
    <w:rsid w:val="002552D7"/>
    <w:rsid w:val="00260193"/>
    <w:rsid w:val="00263856"/>
    <w:rsid w:val="00265C70"/>
    <w:rsid w:val="00275D98"/>
    <w:rsid w:val="00280EBC"/>
    <w:rsid w:val="00281D48"/>
    <w:rsid w:val="00282CAA"/>
    <w:rsid w:val="00284124"/>
    <w:rsid w:val="00284C34"/>
    <w:rsid w:val="00286AD4"/>
    <w:rsid w:val="00290576"/>
    <w:rsid w:val="00291C2D"/>
    <w:rsid w:val="00292F73"/>
    <w:rsid w:val="00294620"/>
    <w:rsid w:val="0029616A"/>
    <w:rsid w:val="00297AD4"/>
    <w:rsid w:val="002A60A2"/>
    <w:rsid w:val="002A6759"/>
    <w:rsid w:val="002B001A"/>
    <w:rsid w:val="002B44B2"/>
    <w:rsid w:val="002B4B10"/>
    <w:rsid w:val="002D6728"/>
    <w:rsid w:val="002E186E"/>
    <w:rsid w:val="002E1F7F"/>
    <w:rsid w:val="002E4B4E"/>
    <w:rsid w:val="002F0DDC"/>
    <w:rsid w:val="002F6EB9"/>
    <w:rsid w:val="003029A0"/>
    <w:rsid w:val="00303D64"/>
    <w:rsid w:val="00304059"/>
    <w:rsid w:val="00313180"/>
    <w:rsid w:val="00320047"/>
    <w:rsid w:val="00321BD4"/>
    <w:rsid w:val="00325F2A"/>
    <w:rsid w:val="00332CA7"/>
    <w:rsid w:val="00336C8C"/>
    <w:rsid w:val="00337FDD"/>
    <w:rsid w:val="00341741"/>
    <w:rsid w:val="003455AF"/>
    <w:rsid w:val="00350B75"/>
    <w:rsid w:val="00351E81"/>
    <w:rsid w:val="003575CC"/>
    <w:rsid w:val="00360DF3"/>
    <w:rsid w:val="00363450"/>
    <w:rsid w:val="00364C5D"/>
    <w:rsid w:val="003712FC"/>
    <w:rsid w:val="00381D13"/>
    <w:rsid w:val="003825BE"/>
    <w:rsid w:val="00391FFC"/>
    <w:rsid w:val="00392450"/>
    <w:rsid w:val="003927E8"/>
    <w:rsid w:val="003A144F"/>
    <w:rsid w:val="003A1C21"/>
    <w:rsid w:val="003A1DDC"/>
    <w:rsid w:val="003A33EB"/>
    <w:rsid w:val="003A5F81"/>
    <w:rsid w:val="003A6D5D"/>
    <w:rsid w:val="003B2329"/>
    <w:rsid w:val="003B50A2"/>
    <w:rsid w:val="003B5629"/>
    <w:rsid w:val="003C410A"/>
    <w:rsid w:val="003C4D69"/>
    <w:rsid w:val="003C742D"/>
    <w:rsid w:val="003D072D"/>
    <w:rsid w:val="003D0A99"/>
    <w:rsid w:val="003D1E05"/>
    <w:rsid w:val="003D340A"/>
    <w:rsid w:val="003D4E2F"/>
    <w:rsid w:val="003E1599"/>
    <w:rsid w:val="003F5CFB"/>
    <w:rsid w:val="00411678"/>
    <w:rsid w:val="0041273C"/>
    <w:rsid w:val="00413346"/>
    <w:rsid w:val="00416567"/>
    <w:rsid w:val="00422476"/>
    <w:rsid w:val="00425B99"/>
    <w:rsid w:val="004322E1"/>
    <w:rsid w:val="00432F0D"/>
    <w:rsid w:val="00434112"/>
    <w:rsid w:val="004406F9"/>
    <w:rsid w:val="00440983"/>
    <w:rsid w:val="004442A8"/>
    <w:rsid w:val="004554BF"/>
    <w:rsid w:val="00455907"/>
    <w:rsid w:val="00464B89"/>
    <w:rsid w:val="00464F70"/>
    <w:rsid w:val="00473D58"/>
    <w:rsid w:val="00480B92"/>
    <w:rsid w:val="0048353E"/>
    <w:rsid w:val="00484BD8"/>
    <w:rsid w:val="00484FC7"/>
    <w:rsid w:val="00485A93"/>
    <w:rsid w:val="00487C5F"/>
    <w:rsid w:val="00490CFB"/>
    <w:rsid w:val="0049508D"/>
    <w:rsid w:val="004A1D3C"/>
    <w:rsid w:val="004A3ABE"/>
    <w:rsid w:val="004A605E"/>
    <w:rsid w:val="004A6E63"/>
    <w:rsid w:val="004B2A1F"/>
    <w:rsid w:val="004C339E"/>
    <w:rsid w:val="004C4468"/>
    <w:rsid w:val="004D21DD"/>
    <w:rsid w:val="004D7199"/>
    <w:rsid w:val="004E061A"/>
    <w:rsid w:val="004E22B0"/>
    <w:rsid w:val="004E2F0A"/>
    <w:rsid w:val="004E3F9C"/>
    <w:rsid w:val="004E4079"/>
    <w:rsid w:val="004E687D"/>
    <w:rsid w:val="004F69B1"/>
    <w:rsid w:val="00507FCF"/>
    <w:rsid w:val="00513E61"/>
    <w:rsid w:val="005141C7"/>
    <w:rsid w:val="005246DF"/>
    <w:rsid w:val="005248CD"/>
    <w:rsid w:val="0053130D"/>
    <w:rsid w:val="0053316E"/>
    <w:rsid w:val="00536CC2"/>
    <w:rsid w:val="00542330"/>
    <w:rsid w:val="005436C9"/>
    <w:rsid w:val="00552175"/>
    <w:rsid w:val="00560247"/>
    <w:rsid w:val="00560AF9"/>
    <w:rsid w:val="005737D4"/>
    <w:rsid w:val="00574608"/>
    <w:rsid w:val="005803BF"/>
    <w:rsid w:val="005811A9"/>
    <w:rsid w:val="00593551"/>
    <w:rsid w:val="00593583"/>
    <w:rsid w:val="00594A67"/>
    <w:rsid w:val="005A34AA"/>
    <w:rsid w:val="005A3D2B"/>
    <w:rsid w:val="005A6D01"/>
    <w:rsid w:val="005A770E"/>
    <w:rsid w:val="005C0FC2"/>
    <w:rsid w:val="005C7B1E"/>
    <w:rsid w:val="005D5BF3"/>
    <w:rsid w:val="005E311D"/>
    <w:rsid w:val="005E5F7F"/>
    <w:rsid w:val="005F1022"/>
    <w:rsid w:val="005F58E3"/>
    <w:rsid w:val="00600178"/>
    <w:rsid w:val="006024A6"/>
    <w:rsid w:val="00603C73"/>
    <w:rsid w:val="00605D84"/>
    <w:rsid w:val="006076CA"/>
    <w:rsid w:val="006119C1"/>
    <w:rsid w:val="00614C4E"/>
    <w:rsid w:val="0061534A"/>
    <w:rsid w:val="00625402"/>
    <w:rsid w:val="00630F3E"/>
    <w:rsid w:val="0064665D"/>
    <w:rsid w:val="006613BA"/>
    <w:rsid w:val="00672AA5"/>
    <w:rsid w:val="00674E5D"/>
    <w:rsid w:val="006760BD"/>
    <w:rsid w:val="0068088D"/>
    <w:rsid w:val="00680C81"/>
    <w:rsid w:val="0068226E"/>
    <w:rsid w:val="00682EEE"/>
    <w:rsid w:val="006874A5"/>
    <w:rsid w:val="006A0C3C"/>
    <w:rsid w:val="006B65F1"/>
    <w:rsid w:val="006B6AD9"/>
    <w:rsid w:val="006C1786"/>
    <w:rsid w:val="006C25F7"/>
    <w:rsid w:val="006C4AAC"/>
    <w:rsid w:val="006C78CF"/>
    <w:rsid w:val="006D29FB"/>
    <w:rsid w:val="006D3791"/>
    <w:rsid w:val="006D41F8"/>
    <w:rsid w:val="006D68E0"/>
    <w:rsid w:val="006D76B0"/>
    <w:rsid w:val="006E0855"/>
    <w:rsid w:val="006E1180"/>
    <w:rsid w:val="006E37DB"/>
    <w:rsid w:val="006E448E"/>
    <w:rsid w:val="006E681A"/>
    <w:rsid w:val="006E731C"/>
    <w:rsid w:val="006E7DC0"/>
    <w:rsid w:val="006F26FE"/>
    <w:rsid w:val="006F6388"/>
    <w:rsid w:val="006F6C72"/>
    <w:rsid w:val="007015A9"/>
    <w:rsid w:val="007031AB"/>
    <w:rsid w:val="00705122"/>
    <w:rsid w:val="007118D3"/>
    <w:rsid w:val="00711D8C"/>
    <w:rsid w:val="0072221B"/>
    <w:rsid w:val="0073080D"/>
    <w:rsid w:val="00730BA6"/>
    <w:rsid w:val="00734D0C"/>
    <w:rsid w:val="00740767"/>
    <w:rsid w:val="00745D20"/>
    <w:rsid w:val="00756B2F"/>
    <w:rsid w:val="007576FC"/>
    <w:rsid w:val="0076094A"/>
    <w:rsid w:val="007611FE"/>
    <w:rsid w:val="00764B2F"/>
    <w:rsid w:val="0076781E"/>
    <w:rsid w:val="00767E2C"/>
    <w:rsid w:val="00770F05"/>
    <w:rsid w:val="00771C83"/>
    <w:rsid w:val="00772935"/>
    <w:rsid w:val="00780698"/>
    <w:rsid w:val="00781641"/>
    <w:rsid w:val="0079038E"/>
    <w:rsid w:val="007927D4"/>
    <w:rsid w:val="00792AF1"/>
    <w:rsid w:val="00793900"/>
    <w:rsid w:val="00793B2C"/>
    <w:rsid w:val="007942CE"/>
    <w:rsid w:val="00794CFF"/>
    <w:rsid w:val="00795016"/>
    <w:rsid w:val="007A3AD7"/>
    <w:rsid w:val="007A42AF"/>
    <w:rsid w:val="007A6B87"/>
    <w:rsid w:val="007B10A4"/>
    <w:rsid w:val="007B3934"/>
    <w:rsid w:val="007B60AD"/>
    <w:rsid w:val="007B6787"/>
    <w:rsid w:val="007C0A1F"/>
    <w:rsid w:val="007D100F"/>
    <w:rsid w:val="007D344E"/>
    <w:rsid w:val="007D3B08"/>
    <w:rsid w:val="007D4BE1"/>
    <w:rsid w:val="007F36E7"/>
    <w:rsid w:val="007F4C2D"/>
    <w:rsid w:val="008043CF"/>
    <w:rsid w:val="00805E2C"/>
    <w:rsid w:val="00805E51"/>
    <w:rsid w:val="00810620"/>
    <w:rsid w:val="00811EE4"/>
    <w:rsid w:val="00825FB2"/>
    <w:rsid w:val="00826167"/>
    <w:rsid w:val="00847B16"/>
    <w:rsid w:val="00852BC2"/>
    <w:rsid w:val="0085438F"/>
    <w:rsid w:val="00860A57"/>
    <w:rsid w:val="008620B2"/>
    <w:rsid w:val="00862861"/>
    <w:rsid w:val="008650E5"/>
    <w:rsid w:val="008706D0"/>
    <w:rsid w:val="00880696"/>
    <w:rsid w:val="00882625"/>
    <w:rsid w:val="0088440A"/>
    <w:rsid w:val="008847FC"/>
    <w:rsid w:val="00887D86"/>
    <w:rsid w:val="00891E27"/>
    <w:rsid w:val="008967CB"/>
    <w:rsid w:val="008A04F6"/>
    <w:rsid w:val="008A24B4"/>
    <w:rsid w:val="008A5CFB"/>
    <w:rsid w:val="008B2E4C"/>
    <w:rsid w:val="008B4142"/>
    <w:rsid w:val="008B5215"/>
    <w:rsid w:val="008B650B"/>
    <w:rsid w:val="008B6B06"/>
    <w:rsid w:val="008C1E9F"/>
    <w:rsid w:val="008C7DF6"/>
    <w:rsid w:val="008D2B36"/>
    <w:rsid w:val="008D381D"/>
    <w:rsid w:val="008F1E05"/>
    <w:rsid w:val="008F3C21"/>
    <w:rsid w:val="008F43C7"/>
    <w:rsid w:val="008F687D"/>
    <w:rsid w:val="0090463F"/>
    <w:rsid w:val="009057D3"/>
    <w:rsid w:val="00907029"/>
    <w:rsid w:val="00907980"/>
    <w:rsid w:val="00910457"/>
    <w:rsid w:val="00915357"/>
    <w:rsid w:val="00915E63"/>
    <w:rsid w:val="00917582"/>
    <w:rsid w:val="00920AA0"/>
    <w:rsid w:val="00923C6B"/>
    <w:rsid w:val="00924695"/>
    <w:rsid w:val="0092712C"/>
    <w:rsid w:val="009400A4"/>
    <w:rsid w:val="00947347"/>
    <w:rsid w:val="0095067D"/>
    <w:rsid w:val="00950919"/>
    <w:rsid w:val="00952EBE"/>
    <w:rsid w:val="00953B29"/>
    <w:rsid w:val="00955BE5"/>
    <w:rsid w:val="0096157F"/>
    <w:rsid w:val="00963A4C"/>
    <w:rsid w:val="00964994"/>
    <w:rsid w:val="0096656C"/>
    <w:rsid w:val="00967971"/>
    <w:rsid w:val="00970454"/>
    <w:rsid w:val="0097331C"/>
    <w:rsid w:val="0097404F"/>
    <w:rsid w:val="00976B61"/>
    <w:rsid w:val="00977444"/>
    <w:rsid w:val="009865D7"/>
    <w:rsid w:val="00986EA3"/>
    <w:rsid w:val="009900BB"/>
    <w:rsid w:val="009938A7"/>
    <w:rsid w:val="009957B4"/>
    <w:rsid w:val="00997CFF"/>
    <w:rsid w:val="009A1F2C"/>
    <w:rsid w:val="009B4D14"/>
    <w:rsid w:val="009C0E0B"/>
    <w:rsid w:val="009C22D6"/>
    <w:rsid w:val="009C2ACD"/>
    <w:rsid w:val="009C48F3"/>
    <w:rsid w:val="009C6C0A"/>
    <w:rsid w:val="009D1B57"/>
    <w:rsid w:val="009D2F3C"/>
    <w:rsid w:val="009D5E00"/>
    <w:rsid w:val="009E4310"/>
    <w:rsid w:val="009E55F4"/>
    <w:rsid w:val="009F6BBB"/>
    <w:rsid w:val="009F7B14"/>
    <w:rsid w:val="00A01951"/>
    <w:rsid w:val="00A02096"/>
    <w:rsid w:val="00A0456E"/>
    <w:rsid w:val="00A106A8"/>
    <w:rsid w:val="00A11BFA"/>
    <w:rsid w:val="00A2563D"/>
    <w:rsid w:val="00A27DE6"/>
    <w:rsid w:val="00A43770"/>
    <w:rsid w:val="00A43E0B"/>
    <w:rsid w:val="00A44A53"/>
    <w:rsid w:val="00A500E5"/>
    <w:rsid w:val="00A55141"/>
    <w:rsid w:val="00A55C47"/>
    <w:rsid w:val="00A642AD"/>
    <w:rsid w:val="00A67A29"/>
    <w:rsid w:val="00A72D94"/>
    <w:rsid w:val="00A73F09"/>
    <w:rsid w:val="00A83F56"/>
    <w:rsid w:val="00A94CB2"/>
    <w:rsid w:val="00A966C3"/>
    <w:rsid w:val="00AA1F23"/>
    <w:rsid w:val="00AA2E80"/>
    <w:rsid w:val="00AB0F21"/>
    <w:rsid w:val="00AB14F6"/>
    <w:rsid w:val="00AB2DEE"/>
    <w:rsid w:val="00AC07B3"/>
    <w:rsid w:val="00AC5BE6"/>
    <w:rsid w:val="00AF04DB"/>
    <w:rsid w:val="00AF32E7"/>
    <w:rsid w:val="00AF7AA8"/>
    <w:rsid w:val="00B006B1"/>
    <w:rsid w:val="00B01338"/>
    <w:rsid w:val="00B04E44"/>
    <w:rsid w:val="00B07362"/>
    <w:rsid w:val="00B07E1B"/>
    <w:rsid w:val="00B1617B"/>
    <w:rsid w:val="00B22FB3"/>
    <w:rsid w:val="00B24806"/>
    <w:rsid w:val="00B24D3A"/>
    <w:rsid w:val="00B26A64"/>
    <w:rsid w:val="00B32ED5"/>
    <w:rsid w:val="00B353BD"/>
    <w:rsid w:val="00B3761D"/>
    <w:rsid w:val="00B377CC"/>
    <w:rsid w:val="00B424EB"/>
    <w:rsid w:val="00B47926"/>
    <w:rsid w:val="00B51A15"/>
    <w:rsid w:val="00B526C1"/>
    <w:rsid w:val="00B52A4D"/>
    <w:rsid w:val="00B5306C"/>
    <w:rsid w:val="00B560DE"/>
    <w:rsid w:val="00B62492"/>
    <w:rsid w:val="00B6679A"/>
    <w:rsid w:val="00B668F6"/>
    <w:rsid w:val="00B67432"/>
    <w:rsid w:val="00B75993"/>
    <w:rsid w:val="00B7767F"/>
    <w:rsid w:val="00B82FA1"/>
    <w:rsid w:val="00B83566"/>
    <w:rsid w:val="00B8508C"/>
    <w:rsid w:val="00B87774"/>
    <w:rsid w:val="00B95304"/>
    <w:rsid w:val="00BA08B4"/>
    <w:rsid w:val="00BA174B"/>
    <w:rsid w:val="00BB2DAE"/>
    <w:rsid w:val="00BB55E5"/>
    <w:rsid w:val="00BC48CB"/>
    <w:rsid w:val="00BC7E75"/>
    <w:rsid w:val="00BD4FC7"/>
    <w:rsid w:val="00BD5526"/>
    <w:rsid w:val="00BD607B"/>
    <w:rsid w:val="00BD6B94"/>
    <w:rsid w:val="00BD6F9D"/>
    <w:rsid w:val="00BE454F"/>
    <w:rsid w:val="00BE5769"/>
    <w:rsid w:val="00BE6E5D"/>
    <w:rsid w:val="00BE74B8"/>
    <w:rsid w:val="00BF16A7"/>
    <w:rsid w:val="00BF284A"/>
    <w:rsid w:val="00BF3532"/>
    <w:rsid w:val="00BF4C57"/>
    <w:rsid w:val="00BF4C74"/>
    <w:rsid w:val="00C0039F"/>
    <w:rsid w:val="00C01CC5"/>
    <w:rsid w:val="00C05415"/>
    <w:rsid w:val="00C055C9"/>
    <w:rsid w:val="00C07503"/>
    <w:rsid w:val="00C10A7D"/>
    <w:rsid w:val="00C10F41"/>
    <w:rsid w:val="00C11FC7"/>
    <w:rsid w:val="00C14F07"/>
    <w:rsid w:val="00C22282"/>
    <w:rsid w:val="00C225A5"/>
    <w:rsid w:val="00C22AE5"/>
    <w:rsid w:val="00C25304"/>
    <w:rsid w:val="00C26843"/>
    <w:rsid w:val="00C2755B"/>
    <w:rsid w:val="00C30315"/>
    <w:rsid w:val="00C3330D"/>
    <w:rsid w:val="00C34685"/>
    <w:rsid w:val="00C4752B"/>
    <w:rsid w:val="00C532B0"/>
    <w:rsid w:val="00C57225"/>
    <w:rsid w:val="00C57B52"/>
    <w:rsid w:val="00C6594E"/>
    <w:rsid w:val="00C67A70"/>
    <w:rsid w:val="00C722CD"/>
    <w:rsid w:val="00C912AD"/>
    <w:rsid w:val="00C93B83"/>
    <w:rsid w:val="00C93C60"/>
    <w:rsid w:val="00CA62A4"/>
    <w:rsid w:val="00CB1BA7"/>
    <w:rsid w:val="00CB2E6D"/>
    <w:rsid w:val="00CB651C"/>
    <w:rsid w:val="00CB678D"/>
    <w:rsid w:val="00CC1F8A"/>
    <w:rsid w:val="00CC7BF8"/>
    <w:rsid w:val="00CD2DBB"/>
    <w:rsid w:val="00CD34F9"/>
    <w:rsid w:val="00CD394C"/>
    <w:rsid w:val="00CD3B0C"/>
    <w:rsid w:val="00CE18B2"/>
    <w:rsid w:val="00CE1BAA"/>
    <w:rsid w:val="00CE667C"/>
    <w:rsid w:val="00CF0ACD"/>
    <w:rsid w:val="00CF3091"/>
    <w:rsid w:val="00CF659D"/>
    <w:rsid w:val="00D02AAE"/>
    <w:rsid w:val="00D05240"/>
    <w:rsid w:val="00D0733D"/>
    <w:rsid w:val="00D076A3"/>
    <w:rsid w:val="00D16F0F"/>
    <w:rsid w:val="00D212D2"/>
    <w:rsid w:val="00D30839"/>
    <w:rsid w:val="00D30BBA"/>
    <w:rsid w:val="00D32E57"/>
    <w:rsid w:val="00D45BA7"/>
    <w:rsid w:val="00D51D3D"/>
    <w:rsid w:val="00D5264D"/>
    <w:rsid w:val="00D54AF5"/>
    <w:rsid w:val="00D631CC"/>
    <w:rsid w:val="00D704FD"/>
    <w:rsid w:val="00D72DFC"/>
    <w:rsid w:val="00D842B9"/>
    <w:rsid w:val="00D8582A"/>
    <w:rsid w:val="00D85901"/>
    <w:rsid w:val="00D86725"/>
    <w:rsid w:val="00D867AA"/>
    <w:rsid w:val="00D879C0"/>
    <w:rsid w:val="00D91153"/>
    <w:rsid w:val="00D91D76"/>
    <w:rsid w:val="00DB2686"/>
    <w:rsid w:val="00DB2E97"/>
    <w:rsid w:val="00DB5EE0"/>
    <w:rsid w:val="00DC106C"/>
    <w:rsid w:val="00DC79AA"/>
    <w:rsid w:val="00DD3A5C"/>
    <w:rsid w:val="00DD40CD"/>
    <w:rsid w:val="00DE0645"/>
    <w:rsid w:val="00DE0797"/>
    <w:rsid w:val="00DE2036"/>
    <w:rsid w:val="00DF02CF"/>
    <w:rsid w:val="00DF22DE"/>
    <w:rsid w:val="00E056DA"/>
    <w:rsid w:val="00E07880"/>
    <w:rsid w:val="00E222B2"/>
    <w:rsid w:val="00E3313D"/>
    <w:rsid w:val="00E3683F"/>
    <w:rsid w:val="00E40232"/>
    <w:rsid w:val="00E4422F"/>
    <w:rsid w:val="00E44B0C"/>
    <w:rsid w:val="00E460F9"/>
    <w:rsid w:val="00E5198B"/>
    <w:rsid w:val="00E51CC0"/>
    <w:rsid w:val="00E54C7B"/>
    <w:rsid w:val="00E55418"/>
    <w:rsid w:val="00E57A47"/>
    <w:rsid w:val="00E6013C"/>
    <w:rsid w:val="00E6174B"/>
    <w:rsid w:val="00E623C5"/>
    <w:rsid w:val="00E62C39"/>
    <w:rsid w:val="00E62D45"/>
    <w:rsid w:val="00E66618"/>
    <w:rsid w:val="00E71F76"/>
    <w:rsid w:val="00E73265"/>
    <w:rsid w:val="00E744DA"/>
    <w:rsid w:val="00E80950"/>
    <w:rsid w:val="00E81C21"/>
    <w:rsid w:val="00E83AF9"/>
    <w:rsid w:val="00E86412"/>
    <w:rsid w:val="00E866D9"/>
    <w:rsid w:val="00E90888"/>
    <w:rsid w:val="00E90C5C"/>
    <w:rsid w:val="00E9223A"/>
    <w:rsid w:val="00EA2BB3"/>
    <w:rsid w:val="00EA32AB"/>
    <w:rsid w:val="00EA7BE0"/>
    <w:rsid w:val="00EB0A07"/>
    <w:rsid w:val="00EB3346"/>
    <w:rsid w:val="00EB54E5"/>
    <w:rsid w:val="00EB613E"/>
    <w:rsid w:val="00EC205A"/>
    <w:rsid w:val="00EC5EBF"/>
    <w:rsid w:val="00EC6B4F"/>
    <w:rsid w:val="00EC6E5A"/>
    <w:rsid w:val="00ED2CCF"/>
    <w:rsid w:val="00ED4610"/>
    <w:rsid w:val="00ED5349"/>
    <w:rsid w:val="00EE1F90"/>
    <w:rsid w:val="00EF001F"/>
    <w:rsid w:val="00EF1D9E"/>
    <w:rsid w:val="00EF3DD2"/>
    <w:rsid w:val="00EF53F4"/>
    <w:rsid w:val="00EF57FE"/>
    <w:rsid w:val="00EF6DD5"/>
    <w:rsid w:val="00EF6E49"/>
    <w:rsid w:val="00EF7DF0"/>
    <w:rsid w:val="00EF7F0E"/>
    <w:rsid w:val="00F05F16"/>
    <w:rsid w:val="00F14BEE"/>
    <w:rsid w:val="00F15ECC"/>
    <w:rsid w:val="00F1636D"/>
    <w:rsid w:val="00F27474"/>
    <w:rsid w:val="00F27BCD"/>
    <w:rsid w:val="00F27D39"/>
    <w:rsid w:val="00F31935"/>
    <w:rsid w:val="00F436B8"/>
    <w:rsid w:val="00F44D49"/>
    <w:rsid w:val="00F461D2"/>
    <w:rsid w:val="00F512E7"/>
    <w:rsid w:val="00F51849"/>
    <w:rsid w:val="00F52BFF"/>
    <w:rsid w:val="00F570D5"/>
    <w:rsid w:val="00F6783D"/>
    <w:rsid w:val="00F76134"/>
    <w:rsid w:val="00F76C73"/>
    <w:rsid w:val="00F81BD6"/>
    <w:rsid w:val="00F835B6"/>
    <w:rsid w:val="00F84E19"/>
    <w:rsid w:val="00F9453B"/>
    <w:rsid w:val="00FA22AA"/>
    <w:rsid w:val="00FA580A"/>
    <w:rsid w:val="00FA5B46"/>
    <w:rsid w:val="00FB0DE4"/>
    <w:rsid w:val="00FB2D74"/>
    <w:rsid w:val="00FC0C2B"/>
    <w:rsid w:val="00FD035F"/>
    <w:rsid w:val="00FD3F29"/>
    <w:rsid w:val="00FD4E19"/>
    <w:rsid w:val="00FE1F6E"/>
    <w:rsid w:val="00FE4467"/>
    <w:rsid w:val="00FE7DCF"/>
    <w:rsid w:val="00FF1B63"/>
    <w:rsid w:val="00FF43CE"/>
    <w:rsid w:val="00FF49E2"/>
    <w:rsid w:val="00FF5A3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EF57FE"/>
    <w:pPr>
      <w:spacing w:after="200" w:line="276" w:lineRule="auto"/>
    </w:pPr>
    <w:rPr>
      <w:lang w:val="fr-FR"/>
    </w:rPr>
  </w:style>
  <w:style w:type="paragraph" w:styleId="Heading1">
    <w:name w:val="heading 1"/>
    <w:basedOn w:val="Normal"/>
    <w:next w:val="Normal"/>
    <w:link w:val="Heading1Char"/>
    <w:uiPriority w:val="99"/>
    <w:qFormat/>
    <w:rsid w:val="00DB2E97"/>
    <w:pPr>
      <w:keepNext/>
      <w:numPr>
        <w:numId w:val="8"/>
      </w:numPr>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9"/>
    <w:qFormat/>
    <w:rsid w:val="00DB2E97"/>
    <w:pPr>
      <w:keepNext/>
      <w:numPr>
        <w:ilvl w:val="1"/>
        <w:numId w:val="8"/>
      </w:numPr>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9"/>
    <w:qFormat/>
    <w:rsid w:val="00C22282"/>
    <w:pPr>
      <w:keepNext/>
      <w:numPr>
        <w:ilvl w:val="2"/>
        <w:numId w:val="8"/>
      </w:numPr>
      <w:spacing w:before="240" w:after="60" w:line="288" w:lineRule="auto"/>
      <w:jc w:val="both"/>
      <w:outlineLvl w:val="2"/>
    </w:pPr>
    <w:rPr>
      <w:rFonts w:ascii="Arial" w:eastAsia="Times New Roman" w:hAnsi="Arial" w:cs="Arial"/>
      <w:b/>
      <w:bCs/>
      <w:sz w:val="26"/>
      <w:szCs w:val="26"/>
      <w:lang w:eastAsia="fr-FR"/>
    </w:rPr>
  </w:style>
  <w:style w:type="paragraph" w:styleId="Heading4">
    <w:name w:val="heading 4"/>
    <w:basedOn w:val="Normal"/>
    <w:next w:val="Normal"/>
    <w:link w:val="Heading4Char"/>
    <w:uiPriority w:val="99"/>
    <w:qFormat/>
    <w:rsid w:val="00C22282"/>
    <w:pPr>
      <w:keepNext/>
      <w:numPr>
        <w:ilvl w:val="3"/>
        <w:numId w:val="8"/>
      </w:numPr>
      <w:spacing w:before="240" w:after="60" w:line="288" w:lineRule="auto"/>
      <w:jc w:val="both"/>
      <w:outlineLvl w:val="3"/>
    </w:pPr>
    <w:rPr>
      <w:rFonts w:ascii="Times New Roman" w:eastAsia="Times New Roman" w:hAnsi="Times New Roman"/>
      <w:b/>
      <w:bCs/>
      <w:sz w:val="28"/>
      <w:szCs w:val="28"/>
      <w:lang w:eastAsia="fr-FR"/>
    </w:rPr>
  </w:style>
  <w:style w:type="paragraph" w:styleId="Heading5">
    <w:name w:val="heading 5"/>
    <w:basedOn w:val="Normal"/>
    <w:next w:val="Normal"/>
    <w:link w:val="Heading5Char"/>
    <w:uiPriority w:val="99"/>
    <w:qFormat/>
    <w:rsid w:val="00DB2E97"/>
    <w:pPr>
      <w:numPr>
        <w:ilvl w:val="4"/>
        <w:numId w:val="8"/>
      </w:num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9"/>
    <w:qFormat/>
    <w:rsid w:val="00DB2E97"/>
    <w:pPr>
      <w:numPr>
        <w:ilvl w:val="5"/>
        <w:numId w:val="8"/>
      </w:numPr>
      <w:spacing w:before="240" w:after="60"/>
      <w:outlineLvl w:val="5"/>
    </w:pPr>
    <w:rPr>
      <w:rFonts w:eastAsia="Times New Roman"/>
      <w:b/>
      <w:bCs/>
    </w:rPr>
  </w:style>
  <w:style w:type="paragraph" w:styleId="Heading7">
    <w:name w:val="heading 7"/>
    <w:basedOn w:val="Normal"/>
    <w:next w:val="Normal"/>
    <w:link w:val="Heading7Char"/>
    <w:uiPriority w:val="99"/>
    <w:qFormat/>
    <w:rsid w:val="00DB2E97"/>
    <w:pPr>
      <w:numPr>
        <w:ilvl w:val="6"/>
        <w:numId w:val="8"/>
      </w:numPr>
      <w:spacing w:before="240" w:after="60"/>
      <w:outlineLvl w:val="6"/>
    </w:pPr>
    <w:rPr>
      <w:rFonts w:eastAsia="Times New Roman"/>
      <w:sz w:val="24"/>
      <w:szCs w:val="24"/>
    </w:rPr>
  </w:style>
  <w:style w:type="paragraph" w:styleId="Heading8">
    <w:name w:val="heading 8"/>
    <w:basedOn w:val="Normal"/>
    <w:next w:val="Normal"/>
    <w:link w:val="Heading8Char"/>
    <w:uiPriority w:val="99"/>
    <w:qFormat/>
    <w:rsid w:val="00DB2E97"/>
    <w:pPr>
      <w:numPr>
        <w:ilvl w:val="7"/>
        <w:numId w:val="8"/>
      </w:numPr>
      <w:spacing w:before="240" w:after="60"/>
      <w:outlineLvl w:val="7"/>
    </w:pPr>
    <w:rPr>
      <w:rFonts w:eastAsia="Times New Roman"/>
      <w:i/>
      <w:iCs/>
      <w:sz w:val="24"/>
      <w:szCs w:val="24"/>
    </w:rPr>
  </w:style>
  <w:style w:type="paragraph" w:styleId="Heading9">
    <w:name w:val="heading 9"/>
    <w:basedOn w:val="Normal"/>
    <w:next w:val="Normal"/>
    <w:link w:val="Heading9Char"/>
    <w:uiPriority w:val="99"/>
    <w:qFormat/>
    <w:rsid w:val="00DB2E97"/>
    <w:pPr>
      <w:numPr>
        <w:ilvl w:val="8"/>
        <w:numId w:val="8"/>
      </w:numPr>
      <w:spacing w:before="240" w:after="60"/>
      <w:outlineLvl w:val="8"/>
    </w:pPr>
    <w:rPr>
      <w:rFonts w:ascii="Cambria" w:eastAsia="Times New Roman" w:hAnsi="Cambri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B2E97"/>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locked/>
    <w:rsid w:val="00DB2E97"/>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locked/>
    <w:rsid w:val="00C22282"/>
    <w:rPr>
      <w:rFonts w:ascii="Arial" w:hAnsi="Arial" w:cs="Arial"/>
      <w:b/>
      <w:bCs/>
      <w:sz w:val="26"/>
      <w:szCs w:val="26"/>
    </w:rPr>
  </w:style>
  <w:style w:type="character" w:customStyle="1" w:styleId="Heading4Char">
    <w:name w:val="Heading 4 Char"/>
    <w:basedOn w:val="DefaultParagraphFont"/>
    <w:link w:val="Heading4"/>
    <w:uiPriority w:val="99"/>
    <w:locked/>
    <w:rsid w:val="00C22282"/>
    <w:rPr>
      <w:rFonts w:ascii="Times New Roman" w:hAnsi="Times New Roman" w:cs="Times New Roman"/>
      <w:b/>
      <w:bCs/>
      <w:sz w:val="28"/>
      <w:szCs w:val="28"/>
    </w:rPr>
  </w:style>
  <w:style w:type="character" w:customStyle="1" w:styleId="Heading5Char">
    <w:name w:val="Heading 5 Char"/>
    <w:basedOn w:val="DefaultParagraphFont"/>
    <w:link w:val="Heading5"/>
    <w:uiPriority w:val="99"/>
    <w:semiHidden/>
    <w:locked/>
    <w:rsid w:val="00DB2E97"/>
    <w:rPr>
      <w:rFonts w:eastAsia="Times New Roman" w:cs="Times New Roman"/>
      <w:b/>
      <w:bCs/>
      <w:i/>
      <w:iCs/>
      <w:sz w:val="26"/>
      <w:szCs w:val="26"/>
      <w:lang w:eastAsia="en-US"/>
    </w:rPr>
  </w:style>
  <w:style w:type="character" w:customStyle="1" w:styleId="Heading6Char">
    <w:name w:val="Heading 6 Char"/>
    <w:basedOn w:val="DefaultParagraphFont"/>
    <w:link w:val="Heading6"/>
    <w:uiPriority w:val="99"/>
    <w:semiHidden/>
    <w:locked/>
    <w:rsid w:val="00DB2E97"/>
    <w:rPr>
      <w:rFonts w:eastAsia="Times New Roman" w:cs="Times New Roman"/>
      <w:b/>
      <w:bCs/>
      <w:sz w:val="22"/>
      <w:szCs w:val="22"/>
      <w:lang w:eastAsia="en-US"/>
    </w:rPr>
  </w:style>
  <w:style w:type="character" w:customStyle="1" w:styleId="Heading7Char">
    <w:name w:val="Heading 7 Char"/>
    <w:basedOn w:val="DefaultParagraphFont"/>
    <w:link w:val="Heading7"/>
    <w:uiPriority w:val="99"/>
    <w:semiHidden/>
    <w:locked/>
    <w:rsid w:val="00DB2E97"/>
    <w:rPr>
      <w:rFonts w:eastAsia="Times New Roman" w:cs="Times New Roman"/>
      <w:sz w:val="24"/>
      <w:szCs w:val="24"/>
      <w:lang w:eastAsia="en-US"/>
    </w:rPr>
  </w:style>
  <w:style w:type="character" w:customStyle="1" w:styleId="Heading8Char">
    <w:name w:val="Heading 8 Char"/>
    <w:basedOn w:val="DefaultParagraphFont"/>
    <w:link w:val="Heading8"/>
    <w:uiPriority w:val="99"/>
    <w:semiHidden/>
    <w:locked/>
    <w:rsid w:val="00DB2E97"/>
    <w:rPr>
      <w:rFonts w:eastAsia="Times New Roman" w:cs="Times New Roman"/>
      <w:i/>
      <w:iCs/>
      <w:sz w:val="24"/>
      <w:szCs w:val="24"/>
      <w:lang w:eastAsia="en-US"/>
    </w:rPr>
  </w:style>
  <w:style w:type="character" w:customStyle="1" w:styleId="Heading9Char">
    <w:name w:val="Heading 9 Char"/>
    <w:basedOn w:val="DefaultParagraphFont"/>
    <w:link w:val="Heading9"/>
    <w:uiPriority w:val="99"/>
    <w:semiHidden/>
    <w:locked/>
    <w:rsid w:val="00DB2E97"/>
    <w:rPr>
      <w:rFonts w:ascii="Cambria" w:hAnsi="Cambria" w:cs="Times New Roman"/>
      <w:sz w:val="22"/>
      <w:szCs w:val="22"/>
      <w:lang w:eastAsia="en-US"/>
    </w:rPr>
  </w:style>
  <w:style w:type="paragraph" w:styleId="FootnoteText">
    <w:name w:val="footnote text"/>
    <w:aliases w:val="Footnote,12pt,Car"/>
    <w:basedOn w:val="Normal"/>
    <w:link w:val="FootnoteTextChar"/>
    <w:uiPriority w:val="99"/>
    <w:rsid w:val="00146253"/>
    <w:pPr>
      <w:spacing w:after="0" w:line="240" w:lineRule="auto"/>
    </w:pPr>
    <w:rPr>
      <w:sz w:val="20"/>
      <w:szCs w:val="20"/>
    </w:rPr>
  </w:style>
  <w:style w:type="character" w:customStyle="1" w:styleId="FootnoteTextChar">
    <w:name w:val="Footnote Text Char"/>
    <w:aliases w:val="Footnote Char,12pt Char,Car Char"/>
    <w:basedOn w:val="DefaultParagraphFont"/>
    <w:link w:val="FootnoteText"/>
    <w:uiPriority w:val="99"/>
    <w:locked/>
    <w:rsid w:val="00146253"/>
    <w:rPr>
      <w:rFonts w:cs="Times New Roman"/>
      <w:sz w:val="20"/>
      <w:szCs w:val="20"/>
    </w:rPr>
  </w:style>
  <w:style w:type="character" w:styleId="FootnoteReference">
    <w:name w:val="footnote reference"/>
    <w:basedOn w:val="DefaultParagraphFont"/>
    <w:uiPriority w:val="99"/>
    <w:rsid w:val="00146253"/>
    <w:rPr>
      <w:rFonts w:cs="Times New Roman"/>
      <w:vertAlign w:val="superscript"/>
    </w:rPr>
  </w:style>
  <w:style w:type="paragraph" w:styleId="NoSpacing">
    <w:name w:val="No Spacing"/>
    <w:link w:val="NoSpacingChar"/>
    <w:uiPriority w:val="99"/>
    <w:qFormat/>
    <w:rsid w:val="006E681A"/>
  </w:style>
  <w:style w:type="paragraph" w:customStyle="1" w:styleId="Bullet1G">
    <w:name w:val="_Bullet 1_G"/>
    <w:basedOn w:val="Normal"/>
    <w:uiPriority w:val="99"/>
    <w:rsid w:val="00952EBE"/>
    <w:pPr>
      <w:numPr>
        <w:numId w:val="1"/>
      </w:numPr>
      <w:suppressAutoHyphens/>
      <w:spacing w:after="120" w:line="240" w:lineRule="atLeast"/>
      <w:ind w:right="1134"/>
      <w:jc w:val="both"/>
    </w:pPr>
    <w:rPr>
      <w:rFonts w:ascii="Times New Roman" w:eastAsia="Times New Roman" w:hAnsi="Times New Roman"/>
      <w:sz w:val="20"/>
      <w:szCs w:val="20"/>
      <w:lang w:val="fr-CH"/>
    </w:rPr>
  </w:style>
  <w:style w:type="paragraph" w:styleId="ListParagraph">
    <w:name w:val="List Paragraph"/>
    <w:basedOn w:val="Normal"/>
    <w:uiPriority w:val="99"/>
    <w:qFormat/>
    <w:rsid w:val="00C22282"/>
    <w:pPr>
      <w:ind w:left="720"/>
      <w:contextualSpacing/>
    </w:pPr>
  </w:style>
  <w:style w:type="paragraph" w:styleId="List2">
    <w:name w:val="List 2"/>
    <w:basedOn w:val="Normal"/>
    <w:uiPriority w:val="99"/>
    <w:semiHidden/>
    <w:rsid w:val="00C22282"/>
    <w:pPr>
      <w:spacing w:after="0" w:line="240" w:lineRule="auto"/>
      <w:ind w:left="566" w:hanging="283"/>
    </w:pPr>
    <w:rPr>
      <w:rFonts w:ascii="Times New Roman" w:eastAsia="Times New Roman" w:hAnsi="Times New Roman"/>
      <w:sz w:val="24"/>
      <w:szCs w:val="24"/>
      <w:lang w:eastAsia="fr-FR"/>
    </w:rPr>
  </w:style>
  <w:style w:type="paragraph" w:styleId="Header">
    <w:name w:val="header"/>
    <w:basedOn w:val="Normal"/>
    <w:link w:val="HeaderChar"/>
    <w:uiPriority w:val="99"/>
    <w:semiHidden/>
    <w:rsid w:val="00B7767F"/>
    <w:pPr>
      <w:tabs>
        <w:tab w:val="center" w:pos="4536"/>
        <w:tab w:val="right" w:pos="9072"/>
      </w:tabs>
    </w:pPr>
  </w:style>
  <w:style w:type="character" w:customStyle="1" w:styleId="HeaderChar">
    <w:name w:val="Header Char"/>
    <w:basedOn w:val="DefaultParagraphFont"/>
    <w:link w:val="Header"/>
    <w:uiPriority w:val="99"/>
    <w:semiHidden/>
    <w:locked/>
    <w:rsid w:val="00B7767F"/>
    <w:rPr>
      <w:rFonts w:cs="Times New Roman"/>
      <w:sz w:val="22"/>
      <w:szCs w:val="22"/>
      <w:lang w:eastAsia="en-US"/>
    </w:rPr>
  </w:style>
  <w:style w:type="paragraph" w:styleId="Footer">
    <w:name w:val="footer"/>
    <w:basedOn w:val="Normal"/>
    <w:link w:val="FooterChar"/>
    <w:uiPriority w:val="99"/>
    <w:rsid w:val="00B7767F"/>
    <w:pPr>
      <w:tabs>
        <w:tab w:val="center" w:pos="4536"/>
        <w:tab w:val="right" w:pos="9072"/>
      </w:tabs>
    </w:pPr>
  </w:style>
  <w:style w:type="character" w:customStyle="1" w:styleId="FooterChar">
    <w:name w:val="Footer Char"/>
    <w:basedOn w:val="DefaultParagraphFont"/>
    <w:link w:val="Footer"/>
    <w:uiPriority w:val="99"/>
    <w:locked/>
    <w:rsid w:val="00B7767F"/>
    <w:rPr>
      <w:rFonts w:cs="Times New Roman"/>
      <w:sz w:val="22"/>
      <w:szCs w:val="22"/>
      <w:lang w:eastAsia="en-US"/>
    </w:rPr>
  </w:style>
  <w:style w:type="paragraph" w:styleId="BalloonText">
    <w:name w:val="Balloon Text"/>
    <w:basedOn w:val="Normal"/>
    <w:link w:val="BalloonTextChar"/>
    <w:uiPriority w:val="99"/>
    <w:semiHidden/>
    <w:rsid w:val="00B073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7362"/>
    <w:rPr>
      <w:rFonts w:ascii="Tahoma" w:hAnsi="Tahoma" w:cs="Tahoma"/>
      <w:sz w:val="16"/>
      <w:szCs w:val="16"/>
      <w:lang w:eastAsia="en-US"/>
    </w:rPr>
  </w:style>
  <w:style w:type="character" w:styleId="Hyperlink">
    <w:name w:val="Hyperlink"/>
    <w:basedOn w:val="DefaultParagraphFont"/>
    <w:uiPriority w:val="99"/>
    <w:rsid w:val="005141C7"/>
    <w:rPr>
      <w:rFonts w:cs="Times New Roman"/>
      <w:color w:val="0000FF"/>
      <w:u w:val="single"/>
    </w:rPr>
  </w:style>
  <w:style w:type="paragraph" w:customStyle="1" w:styleId="gutwaralistbullet">
    <w:name w:val="gutwara list bullet"/>
    <w:basedOn w:val="Normal"/>
    <w:uiPriority w:val="99"/>
    <w:rsid w:val="00B95304"/>
    <w:pPr>
      <w:numPr>
        <w:numId w:val="11"/>
      </w:numPr>
      <w:spacing w:after="0" w:line="240" w:lineRule="auto"/>
      <w:ind w:left="714" w:hanging="357"/>
    </w:pPr>
    <w:rPr>
      <w:rFonts w:ascii="Arial" w:hAnsi="Arial" w:cs="Arial"/>
      <w:lang w:eastAsia="fr-FR"/>
    </w:rPr>
  </w:style>
  <w:style w:type="character" w:styleId="CommentReference">
    <w:name w:val="annotation reference"/>
    <w:basedOn w:val="DefaultParagraphFont"/>
    <w:uiPriority w:val="99"/>
    <w:semiHidden/>
    <w:rsid w:val="003712FC"/>
    <w:rPr>
      <w:rFonts w:cs="Times New Roman"/>
      <w:sz w:val="16"/>
    </w:rPr>
  </w:style>
  <w:style w:type="paragraph" w:styleId="CommentText">
    <w:name w:val="annotation text"/>
    <w:basedOn w:val="Normal"/>
    <w:link w:val="CommentTextChar"/>
    <w:uiPriority w:val="99"/>
    <w:rsid w:val="003712FC"/>
    <w:pPr>
      <w:spacing w:line="240" w:lineRule="auto"/>
    </w:pPr>
    <w:rPr>
      <w:rFonts w:eastAsia="Times New Roman"/>
      <w:sz w:val="20"/>
      <w:szCs w:val="20"/>
      <w:lang w:val="fr-BE" w:eastAsia="fr-BE"/>
    </w:rPr>
  </w:style>
  <w:style w:type="character" w:customStyle="1" w:styleId="CommentTextChar">
    <w:name w:val="Comment Text Char"/>
    <w:basedOn w:val="DefaultParagraphFont"/>
    <w:link w:val="CommentText"/>
    <w:uiPriority w:val="99"/>
    <w:locked/>
    <w:rsid w:val="003712FC"/>
    <w:rPr>
      <w:rFonts w:eastAsia="Times New Roman" w:cs="Times New Roman"/>
      <w:lang w:val="fr-BE" w:eastAsia="fr-BE"/>
    </w:rPr>
  </w:style>
  <w:style w:type="character" w:customStyle="1" w:styleId="NoSpacingChar">
    <w:name w:val="No Spacing Char"/>
    <w:link w:val="NoSpacing"/>
    <w:uiPriority w:val="99"/>
    <w:locked/>
    <w:rsid w:val="003712FC"/>
    <w:rPr>
      <w:sz w:val="22"/>
      <w:lang w:eastAsia="en-US"/>
    </w:rPr>
  </w:style>
  <w:style w:type="paragraph" w:customStyle="1" w:styleId="Default">
    <w:name w:val="Default"/>
    <w:uiPriority w:val="99"/>
    <w:rsid w:val="00EA2BB3"/>
    <w:pPr>
      <w:autoSpaceDE w:val="0"/>
      <w:autoSpaceDN w:val="0"/>
      <w:adjustRightInd w:val="0"/>
    </w:pPr>
    <w:rPr>
      <w:rFonts w:ascii="Times New Roman" w:hAnsi="Times New Roman"/>
      <w:color w:val="000000"/>
      <w:sz w:val="24"/>
      <w:szCs w:val="24"/>
      <w:lang w:val="fr-FR"/>
    </w:rPr>
  </w:style>
  <w:style w:type="paragraph" w:styleId="TOC1">
    <w:name w:val="toc 1"/>
    <w:basedOn w:val="Normal"/>
    <w:next w:val="Normal"/>
    <w:autoRedefine/>
    <w:uiPriority w:val="99"/>
    <w:rsid w:val="007927D4"/>
    <w:pPr>
      <w:tabs>
        <w:tab w:val="right" w:leader="hyphen" w:pos="9060"/>
      </w:tabs>
    </w:pPr>
    <w:rPr>
      <w:noProof/>
    </w:rPr>
  </w:style>
  <w:style w:type="paragraph" w:styleId="TOC2">
    <w:name w:val="toc 2"/>
    <w:basedOn w:val="Normal"/>
    <w:next w:val="Normal"/>
    <w:autoRedefine/>
    <w:uiPriority w:val="99"/>
    <w:rsid w:val="0053130D"/>
    <w:pPr>
      <w:ind w:left="220"/>
    </w:pPr>
  </w:style>
  <w:style w:type="paragraph" w:styleId="TOC3">
    <w:name w:val="toc 3"/>
    <w:basedOn w:val="Normal"/>
    <w:next w:val="Normal"/>
    <w:autoRedefine/>
    <w:uiPriority w:val="99"/>
    <w:rsid w:val="0053130D"/>
    <w:pPr>
      <w:ind w:left="440"/>
    </w:pPr>
  </w:style>
  <w:style w:type="paragraph" w:styleId="TOC4">
    <w:name w:val="toc 4"/>
    <w:basedOn w:val="Normal"/>
    <w:next w:val="Normal"/>
    <w:autoRedefine/>
    <w:uiPriority w:val="99"/>
    <w:rsid w:val="0053130D"/>
    <w:pPr>
      <w:ind w:left="660"/>
    </w:pPr>
  </w:style>
  <w:style w:type="paragraph" w:styleId="TOCHeading">
    <w:name w:val="TOC Heading"/>
    <w:basedOn w:val="Heading1"/>
    <w:next w:val="Normal"/>
    <w:uiPriority w:val="99"/>
    <w:qFormat/>
    <w:rsid w:val="007015A9"/>
    <w:pPr>
      <w:keepLines/>
      <w:numPr>
        <w:numId w:val="0"/>
      </w:numPr>
      <w:spacing w:before="480" w:after="0"/>
      <w:outlineLvl w:val="9"/>
    </w:pPr>
    <w:rPr>
      <w:color w:val="365F91"/>
      <w:kern w:val="0"/>
      <w:sz w:val="28"/>
      <w:szCs w:val="28"/>
    </w:rPr>
  </w:style>
  <w:style w:type="paragraph" w:styleId="EndnoteText">
    <w:name w:val="endnote text"/>
    <w:basedOn w:val="Normal"/>
    <w:link w:val="EndnoteTextChar"/>
    <w:uiPriority w:val="99"/>
    <w:semiHidden/>
    <w:rsid w:val="008D381D"/>
    <w:rPr>
      <w:sz w:val="20"/>
      <w:szCs w:val="20"/>
    </w:rPr>
  </w:style>
  <w:style w:type="character" w:customStyle="1" w:styleId="EndnoteTextChar">
    <w:name w:val="Endnote Text Char"/>
    <w:basedOn w:val="DefaultParagraphFont"/>
    <w:link w:val="EndnoteText"/>
    <w:uiPriority w:val="99"/>
    <w:semiHidden/>
    <w:locked/>
    <w:rsid w:val="008D381D"/>
    <w:rPr>
      <w:rFonts w:cs="Times New Roman"/>
      <w:lang w:eastAsia="en-US"/>
    </w:rPr>
  </w:style>
  <w:style w:type="character" w:styleId="EndnoteReference">
    <w:name w:val="endnote reference"/>
    <w:basedOn w:val="DefaultParagraphFont"/>
    <w:uiPriority w:val="99"/>
    <w:semiHidden/>
    <w:rsid w:val="008D381D"/>
    <w:rPr>
      <w:rFonts w:cs="Times New Roman"/>
      <w:vertAlign w:val="superscript"/>
    </w:rPr>
  </w:style>
  <w:style w:type="character" w:customStyle="1" w:styleId="sessionsubtitle">
    <w:name w:val="sessionsubtitle"/>
    <w:basedOn w:val="DefaultParagraphFont"/>
    <w:uiPriority w:val="99"/>
    <w:rsid w:val="00125F46"/>
    <w:rPr>
      <w:rFonts w:cs="Times New Roman"/>
    </w:rPr>
  </w:style>
  <w:style w:type="character" w:customStyle="1" w:styleId="shorttext">
    <w:name w:val="short_text"/>
    <w:basedOn w:val="DefaultParagraphFont"/>
    <w:uiPriority w:val="99"/>
    <w:rsid w:val="00125F46"/>
    <w:rPr>
      <w:rFonts w:cs="Times New Roman"/>
    </w:rPr>
  </w:style>
  <w:style w:type="character" w:customStyle="1" w:styleId="hps">
    <w:name w:val="hps"/>
    <w:basedOn w:val="DefaultParagraphFont"/>
    <w:uiPriority w:val="99"/>
    <w:rsid w:val="00125F46"/>
    <w:rPr>
      <w:rFonts w:cs="Times New Roman"/>
    </w:rPr>
  </w:style>
  <w:style w:type="character" w:styleId="PageNumber">
    <w:name w:val="page number"/>
    <w:basedOn w:val="DefaultParagraphFont"/>
    <w:uiPriority w:val="99"/>
    <w:rsid w:val="00487C5F"/>
    <w:rPr>
      <w:rFonts w:cs="Times New Roman"/>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F91BF3-AC6D-497B-9362-6291C8EAED6B}"/>
</file>

<file path=customXml/itemProps2.xml><?xml version="1.0" encoding="utf-8"?>
<ds:datastoreItem xmlns:ds="http://schemas.openxmlformats.org/officeDocument/2006/customXml" ds:itemID="{766F93B8-F670-4978-87B3-B1F1751D4AA9}"/>
</file>

<file path=customXml/itemProps3.xml><?xml version="1.0" encoding="utf-8"?>
<ds:datastoreItem xmlns:ds="http://schemas.openxmlformats.org/officeDocument/2006/customXml" ds:itemID="{54C35F08-4624-4DF1-9651-F4D9FFE7CB24}"/>
</file>

<file path=docProps/app.xml><?xml version="1.0" encoding="utf-8"?>
<Properties xmlns="http://schemas.openxmlformats.org/officeDocument/2006/extended-properties" xmlns:vt="http://schemas.openxmlformats.org/officeDocument/2006/docPropsVTypes">
  <Template>Normal_Wordconv.dotm</Template>
  <TotalTime>28</TotalTime>
  <Pages>14</Pages>
  <Words>6258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Arakaza albert</dc:creator>
  <cp:keywords/>
  <dc:description/>
  <cp:lastModifiedBy>Bret</cp:lastModifiedBy>
  <cp:revision>9</cp:revision>
  <cp:lastPrinted>2014-05-02T16:12:00Z</cp:lastPrinted>
  <dcterms:created xsi:type="dcterms:W3CDTF">2014-09-10T17:44:00Z</dcterms:created>
  <dcterms:modified xsi:type="dcterms:W3CDTF">2014-09-12T12:30:00Z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