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C7DA2" w14:textId="63849E69" w:rsidR="00443CD6" w:rsidRDefault="00D4126C" w:rsidP="00D4126C">
      <w:r>
        <w:rPr>
          <w:noProof/>
        </w:rPr>
        <w:drawing>
          <wp:anchor distT="114300" distB="114300" distL="114300" distR="114300" simplePos="0" relativeHeight="251659264" behindDoc="0" locked="0" layoutInCell="1" hidden="0" allowOverlap="1" wp14:anchorId="2BEE2F47" wp14:editId="7AE31DCB">
            <wp:simplePos x="0" y="0"/>
            <wp:positionH relativeFrom="column">
              <wp:posOffset>789305</wp:posOffset>
            </wp:positionH>
            <wp:positionV relativeFrom="paragraph">
              <wp:posOffset>55880</wp:posOffset>
            </wp:positionV>
            <wp:extent cx="652145" cy="915035"/>
            <wp:effectExtent l="0" t="0" r="0" b="0"/>
            <wp:wrapSquare wrapText="bothSides" distT="114300" distB="114300" distL="114300" distR="114300"/>
            <wp:docPr id="19336918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52145" cy="915035"/>
                    </a:xfrm>
                    <a:prstGeom prst="rect">
                      <a:avLst/>
                    </a:prstGeom>
                    <a:ln/>
                  </pic:spPr>
                </pic:pic>
              </a:graphicData>
            </a:graphic>
            <wp14:sizeRelH relativeFrom="margin">
              <wp14:pctWidth>0</wp14:pctWidth>
            </wp14:sizeRelH>
            <wp14:sizeRelV relativeFrom="margin">
              <wp14:pctHeight>0</wp14:pctHeight>
            </wp14:sizeRelV>
          </wp:anchor>
        </w:drawing>
      </w:r>
      <w:r>
        <w:rPr>
          <w:rFonts w:eastAsia="Cambria"/>
          <w:noProof/>
          <w:color w:val="000000"/>
        </w:rPr>
        <w:drawing>
          <wp:inline distT="0" distB="0" distL="0" distR="0" wp14:anchorId="5F58494B" wp14:editId="1C46B9ED">
            <wp:extent cx="2150733" cy="80914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50733" cy="809141"/>
                    </a:xfrm>
                    <a:prstGeom prst="rect">
                      <a:avLst/>
                    </a:prstGeom>
                    <a:ln/>
                  </pic:spPr>
                </pic:pic>
              </a:graphicData>
            </a:graphic>
          </wp:inline>
        </w:drawing>
      </w:r>
      <w:r w:rsidR="0055051C" w:rsidRPr="0055051C">
        <w:rPr>
          <w:noProof/>
        </w:rPr>
        <w:drawing>
          <wp:inline distT="0" distB="0" distL="0" distR="0" wp14:anchorId="64E01166" wp14:editId="4F68E00A">
            <wp:extent cx="1557908" cy="865505"/>
            <wp:effectExtent l="0" t="0" r="0" b="0"/>
            <wp:docPr id="346142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4232" name=""/>
                    <pic:cNvPicPr/>
                  </pic:nvPicPr>
                  <pic:blipFill>
                    <a:blip r:embed="rId10"/>
                    <a:stretch>
                      <a:fillRect/>
                    </a:stretch>
                  </pic:blipFill>
                  <pic:spPr>
                    <a:xfrm>
                      <a:off x="0" y="0"/>
                      <a:ext cx="1575425" cy="875237"/>
                    </a:xfrm>
                    <a:prstGeom prst="rect">
                      <a:avLst/>
                    </a:prstGeom>
                  </pic:spPr>
                </pic:pic>
              </a:graphicData>
            </a:graphic>
          </wp:inline>
        </w:drawing>
      </w:r>
    </w:p>
    <w:p w14:paraId="31AB3102" w14:textId="78246EAF" w:rsidR="0055051C" w:rsidRDefault="0055051C">
      <w:pPr>
        <w:spacing w:after="0" w:line="240" w:lineRule="auto"/>
        <w:jc w:val="center"/>
        <w:rPr>
          <w:rFonts w:ascii="Book Antiqua" w:eastAsia="Book Antiqua" w:hAnsi="Book Antiqua" w:cs="Book Antiqua"/>
          <w:b/>
        </w:rPr>
      </w:pPr>
    </w:p>
    <w:p w14:paraId="51DC4D9A" w14:textId="77777777" w:rsidR="0055051C" w:rsidRDefault="0055051C">
      <w:pPr>
        <w:spacing w:after="0" w:line="240" w:lineRule="auto"/>
        <w:jc w:val="center"/>
        <w:rPr>
          <w:rFonts w:ascii="Book Antiqua" w:eastAsia="Book Antiqua" w:hAnsi="Book Antiqua" w:cs="Book Antiqua"/>
          <w:b/>
        </w:rPr>
      </w:pPr>
    </w:p>
    <w:p w14:paraId="193070A2" w14:textId="77777777" w:rsidR="0055051C" w:rsidRDefault="0055051C">
      <w:pPr>
        <w:spacing w:after="0" w:line="240" w:lineRule="auto"/>
        <w:jc w:val="center"/>
        <w:rPr>
          <w:rFonts w:ascii="Book Antiqua" w:eastAsia="Book Antiqua" w:hAnsi="Book Antiqua" w:cs="Book Antiqua"/>
          <w:b/>
        </w:rPr>
      </w:pPr>
      <w:r w:rsidRPr="0055051C">
        <w:rPr>
          <w:rFonts w:ascii="Book Antiqua" w:eastAsia="Book Antiqua" w:hAnsi="Book Antiqua" w:cs="Book Antiqua"/>
          <w:bCs/>
          <w:sz w:val="24"/>
          <w:szCs w:val="24"/>
        </w:rPr>
        <w:t>Informe Sombra</w:t>
      </w:r>
      <w:r>
        <w:rPr>
          <w:rFonts w:ascii="Book Antiqua" w:eastAsia="Book Antiqua" w:hAnsi="Book Antiqua" w:cs="Book Antiqua"/>
          <w:b/>
        </w:rPr>
        <w:t xml:space="preserve"> </w:t>
      </w:r>
    </w:p>
    <w:p w14:paraId="10D1ADDE" w14:textId="77777777" w:rsidR="0055051C" w:rsidRDefault="0055051C">
      <w:pPr>
        <w:spacing w:after="0" w:line="240" w:lineRule="auto"/>
        <w:jc w:val="center"/>
        <w:rPr>
          <w:rFonts w:ascii="Book Antiqua" w:eastAsia="Book Antiqua" w:hAnsi="Book Antiqua" w:cs="Book Antiqua"/>
          <w:b/>
        </w:rPr>
      </w:pPr>
    </w:p>
    <w:p w14:paraId="2F9CB467" w14:textId="04826384" w:rsidR="00443CD6" w:rsidRDefault="00000000">
      <w:pPr>
        <w:spacing w:after="0" w:line="240" w:lineRule="auto"/>
        <w:jc w:val="center"/>
        <w:rPr>
          <w:rFonts w:ascii="Book Antiqua" w:eastAsia="Book Antiqua" w:hAnsi="Book Antiqua" w:cs="Book Antiqua"/>
          <w:sz w:val="28"/>
          <w:szCs w:val="28"/>
        </w:rPr>
      </w:pPr>
      <w:r>
        <w:rPr>
          <w:rFonts w:ascii="Book Antiqua" w:eastAsia="Book Antiqua" w:hAnsi="Book Antiqua" w:cs="Book Antiqua"/>
          <w:sz w:val="28"/>
          <w:szCs w:val="28"/>
        </w:rPr>
        <w:t>"Violencia contra las mujeres en y a través de los medios de comunicación y el ecosistema digital; violaciones a la libertad de expresión y el acceso a la información en México"</w:t>
      </w:r>
    </w:p>
    <w:p w14:paraId="29C19355" w14:textId="77777777" w:rsidR="00443CD6" w:rsidRDefault="00443CD6">
      <w:pPr>
        <w:spacing w:line="240" w:lineRule="auto"/>
        <w:jc w:val="center"/>
        <w:rPr>
          <w:rFonts w:ascii="Book Antiqua" w:eastAsia="Book Antiqua" w:hAnsi="Book Antiqua" w:cs="Book Antiqua"/>
          <w:b/>
        </w:rPr>
      </w:pPr>
    </w:p>
    <w:p w14:paraId="023DFB66" w14:textId="77777777" w:rsidR="00443CD6" w:rsidRDefault="00000000">
      <w:pPr>
        <w:spacing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 xml:space="preserve">Décimo Informe Periódico de México ante el Comité CEDAW </w:t>
      </w:r>
    </w:p>
    <w:p w14:paraId="1EE23187" w14:textId="0612E518" w:rsidR="00443CD6" w:rsidRDefault="003660EF">
      <w:pPr>
        <w:spacing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Mayo, 2025</w:t>
      </w:r>
    </w:p>
    <w:p w14:paraId="6692C7BB" w14:textId="77777777" w:rsidR="00443CD6" w:rsidRDefault="00443CD6">
      <w:pPr>
        <w:spacing w:after="0" w:line="240" w:lineRule="auto"/>
        <w:jc w:val="center"/>
        <w:rPr>
          <w:rFonts w:ascii="Book Antiqua" w:eastAsia="Book Antiqua" w:hAnsi="Book Antiqua" w:cs="Book Antiqua"/>
          <w:b/>
        </w:rPr>
      </w:pPr>
    </w:p>
    <w:p w14:paraId="280550EA" w14:textId="77777777" w:rsidR="00443CD6" w:rsidRDefault="00000000">
      <w:pPr>
        <w:spacing w:after="0" w:line="240" w:lineRule="auto"/>
        <w:jc w:val="center"/>
        <w:rPr>
          <w:rFonts w:ascii="Book Antiqua" w:eastAsia="Book Antiqua" w:hAnsi="Book Antiqua" w:cs="Book Antiqua"/>
          <w:b/>
        </w:rPr>
      </w:pPr>
      <w:r>
        <w:rPr>
          <w:rFonts w:ascii="Book Antiqua" w:eastAsia="Book Antiqua" w:hAnsi="Book Antiqua" w:cs="Book Antiqua"/>
          <w:b/>
        </w:rPr>
        <w:t>Se autoriza la publicación del presente documento al Comité CEDAW</w:t>
      </w:r>
    </w:p>
    <w:p w14:paraId="649AAB84" w14:textId="77777777" w:rsidR="0055051C" w:rsidRDefault="0055051C">
      <w:pPr>
        <w:pBdr>
          <w:top w:val="nil"/>
          <w:left w:val="nil"/>
          <w:bottom w:val="nil"/>
          <w:right w:val="nil"/>
          <w:between w:val="nil"/>
        </w:pBdr>
        <w:spacing w:line="240" w:lineRule="auto"/>
        <w:jc w:val="center"/>
        <w:rPr>
          <w:rFonts w:ascii="Book Antiqua" w:eastAsia="Book Antiqua" w:hAnsi="Book Antiqua" w:cs="Book Antiqua"/>
          <w:color w:val="000000"/>
        </w:rPr>
      </w:pPr>
    </w:p>
    <w:p w14:paraId="6EFDDDC6" w14:textId="5707E2F5" w:rsidR="00443CD6" w:rsidRDefault="00000000">
      <w:pPr>
        <w:pBdr>
          <w:top w:val="nil"/>
          <w:left w:val="nil"/>
          <w:bottom w:val="nil"/>
          <w:right w:val="nil"/>
          <w:between w:val="nil"/>
        </w:pBdr>
        <w:spacing w:line="240" w:lineRule="auto"/>
        <w:jc w:val="center"/>
        <w:rPr>
          <w:rFonts w:ascii="Book Antiqua" w:eastAsia="Book Antiqua" w:hAnsi="Book Antiqua" w:cs="Book Antiqua"/>
          <w:color w:val="000000"/>
        </w:rPr>
      </w:pPr>
      <w:r>
        <w:rPr>
          <w:rFonts w:ascii="Book Antiqua" w:eastAsia="Book Antiqua" w:hAnsi="Book Antiqua" w:cs="Book Antiqua"/>
          <w:color w:val="000000"/>
        </w:rPr>
        <w:t>INFORME</w:t>
      </w:r>
      <w:r>
        <w:rPr>
          <w:rFonts w:ascii="Book Antiqua" w:eastAsia="Book Antiqua" w:hAnsi="Book Antiqua" w:cs="Book Antiqua"/>
          <w:color w:val="000000"/>
          <w:vertAlign w:val="superscript"/>
        </w:rPr>
        <w:footnoteReference w:id="1"/>
      </w:r>
    </w:p>
    <w:p w14:paraId="1C31DAAF" w14:textId="77777777" w:rsidR="00443CD6" w:rsidRDefault="00000000">
      <w:pPr>
        <w:spacing w:after="0" w:line="240" w:lineRule="auto"/>
        <w:jc w:val="both"/>
        <w:rPr>
          <w:rFonts w:ascii="Book Antiqua" w:eastAsia="Book Antiqua" w:hAnsi="Book Antiqua" w:cs="Book Antiqua"/>
          <w:sz w:val="28"/>
          <w:szCs w:val="28"/>
        </w:rPr>
      </w:pPr>
      <w:r>
        <w:rPr>
          <w:rFonts w:ascii="Book Antiqua" w:eastAsia="Book Antiqua" w:hAnsi="Book Antiqua" w:cs="Book Antiqua"/>
        </w:rPr>
        <w:t>Este documento incluye el informe y recomendaciones al Estado Mexicano, sobre los siguientes temas relacionados con: Violencia Mediática, Violencia Digital, Violencia contra Mujeres Periodistas y Libertad de Expresión, Violencia en la Inteligencia Artificial, Derecho a la Información, Violencia Política Digital y Perspectiva de Género en las currículas de las escuelas de Periodismo y Comunicación.</w:t>
      </w:r>
    </w:p>
    <w:p w14:paraId="772A93B9" w14:textId="77777777" w:rsidR="0055051C" w:rsidRDefault="0055051C">
      <w:pPr>
        <w:pBdr>
          <w:top w:val="nil"/>
          <w:left w:val="nil"/>
          <w:bottom w:val="nil"/>
          <w:right w:val="nil"/>
          <w:between w:val="nil"/>
        </w:pBdr>
        <w:spacing w:line="240" w:lineRule="auto"/>
        <w:jc w:val="both"/>
        <w:rPr>
          <w:rFonts w:ascii="Book Antiqua" w:eastAsia="Book Antiqua" w:hAnsi="Book Antiqua" w:cs="Book Antiqua"/>
          <w:color w:val="000000"/>
        </w:rPr>
      </w:pPr>
    </w:p>
    <w:p w14:paraId="3F9F38D3" w14:textId="37D1655E" w:rsidR="00443CD6"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Este informe ha sido coordinado por Aimée Vega Montiel, investigadora del CEIICH de la UNAM y presidenta de la Global Alliance on Media and Gender (GAMAG)</w:t>
      </w:r>
      <w:r>
        <w:rPr>
          <w:rFonts w:ascii="Book Antiqua" w:eastAsia="Book Antiqua" w:hAnsi="Book Antiqua" w:cs="Book Antiqua"/>
          <w:color w:val="000000"/>
          <w:vertAlign w:val="superscript"/>
        </w:rPr>
        <w:footnoteReference w:id="2"/>
      </w:r>
      <w:r>
        <w:rPr>
          <w:rFonts w:ascii="Book Antiqua" w:eastAsia="Book Antiqua" w:hAnsi="Book Antiqua" w:cs="Book Antiqua"/>
          <w:color w:val="000000"/>
        </w:rPr>
        <w:t xml:space="preserve">. Autoras: Adina Barrera, Adriana Lecona, Aimée Vega Montiel, Daniela Esquivel, Carolina Pacheco y Mónica Amilpas, de la UNAM y el Laboratorio Feminista de Derechos Digitales, y Lucía Lagunes, de CIMAC. </w:t>
      </w:r>
    </w:p>
    <w:p w14:paraId="5A53DAE8" w14:textId="77777777" w:rsidR="00443CD6" w:rsidRDefault="00443CD6">
      <w:pPr>
        <w:pBdr>
          <w:top w:val="nil"/>
          <w:left w:val="nil"/>
          <w:bottom w:val="nil"/>
          <w:right w:val="nil"/>
          <w:between w:val="nil"/>
        </w:pBdr>
        <w:spacing w:line="240" w:lineRule="auto"/>
        <w:jc w:val="both"/>
        <w:rPr>
          <w:rFonts w:ascii="Book Antiqua" w:eastAsia="Book Antiqua" w:hAnsi="Book Antiqua" w:cs="Book Antiqua"/>
          <w:color w:val="000000"/>
        </w:rPr>
      </w:pPr>
    </w:p>
    <w:p w14:paraId="5E01D178" w14:textId="77777777" w:rsidR="00443CD6" w:rsidRDefault="00443CD6">
      <w:pPr>
        <w:pBdr>
          <w:top w:val="nil"/>
          <w:left w:val="nil"/>
          <w:bottom w:val="nil"/>
          <w:right w:val="nil"/>
          <w:between w:val="nil"/>
        </w:pBdr>
        <w:spacing w:line="240" w:lineRule="auto"/>
        <w:jc w:val="both"/>
        <w:rPr>
          <w:rFonts w:ascii="Book Antiqua" w:eastAsia="Book Antiqua" w:hAnsi="Book Antiqua" w:cs="Book Antiqua"/>
          <w:color w:val="000000"/>
        </w:rPr>
      </w:pPr>
    </w:p>
    <w:p w14:paraId="6717F847" w14:textId="77777777" w:rsidR="00443CD6" w:rsidRDefault="00443CD6">
      <w:pPr>
        <w:pBdr>
          <w:top w:val="nil"/>
          <w:left w:val="nil"/>
          <w:bottom w:val="nil"/>
          <w:right w:val="nil"/>
          <w:between w:val="nil"/>
        </w:pBdr>
        <w:spacing w:line="240" w:lineRule="auto"/>
        <w:jc w:val="both"/>
        <w:rPr>
          <w:rFonts w:ascii="Book Antiqua" w:eastAsia="Book Antiqua" w:hAnsi="Book Antiqua" w:cs="Book Antiqua"/>
        </w:rPr>
      </w:pPr>
    </w:p>
    <w:p w14:paraId="2E3B85F3" w14:textId="77777777" w:rsidR="0055051C" w:rsidRDefault="0055051C">
      <w:pPr>
        <w:pBdr>
          <w:top w:val="nil"/>
          <w:left w:val="nil"/>
          <w:bottom w:val="nil"/>
          <w:right w:val="nil"/>
          <w:between w:val="nil"/>
        </w:pBdr>
        <w:spacing w:line="240" w:lineRule="auto"/>
        <w:jc w:val="both"/>
        <w:rPr>
          <w:rFonts w:ascii="Book Antiqua" w:eastAsia="Book Antiqua" w:hAnsi="Book Antiqua" w:cs="Book Antiqua"/>
        </w:rPr>
      </w:pPr>
    </w:p>
    <w:p w14:paraId="1D9CBC73" w14:textId="77777777" w:rsidR="00443CD6" w:rsidRDefault="00000000">
      <w:pPr>
        <w:widowControl w:val="0"/>
        <w:spacing w:line="24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lastRenderedPageBreak/>
        <w:t>Violencia Mediática</w:t>
      </w:r>
    </w:p>
    <w:p w14:paraId="20F63689" w14:textId="77777777" w:rsidR="00443CD6" w:rsidRDefault="00000000">
      <w:pPr>
        <w:widowControl w:val="0"/>
        <w:spacing w:line="240" w:lineRule="auto"/>
        <w:jc w:val="both"/>
        <w:rPr>
          <w:rFonts w:ascii="Book Antiqua" w:eastAsia="Book Antiqua" w:hAnsi="Book Antiqua" w:cs="Book Antiqua"/>
        </w:rPr>
      </w:pPr>
      <w:r>
        <w:rPr>
          <w:rFonts w:ascii="Book Antiqua" w:eastAsia="Book Antiqua" w:hAnsi="Book Antiqua" w:cs="Book Antiqua"/>
        </w:rPr>
        <w:t>Informe</w:t>
      </w:r>
    </w:p>
    <w:p w14:paraId="2096E66F" w14:textId="77777777" w:rsidR="00443CD6" w:rsidRDefault="00000000">
      <w:pPr>
        <w:widowControl w:val="0"/>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La representación de las mujeres en los medios de comunicación, continúa estando basada en estereotipos sexistas que promueven la violencia contra las mujeres, naturalizándola, sin problematizarla ni representarla como un atentado a sus derechos humanos</w:t>
      </w:r>
      <w:r>
        <w:rPr>
          <w:rFonts w:ascii="Book Antiqua" w:eastAsia="Book Antiqua" w:hAnsi="Book Antiqua" w:cs="Book Antiqua"/>
          <w:color w:val="000000"/>
          <w:vertAlign w:val="superscript"/>
        </w:rPr>
        <w:footnoteReference w:id="3"/>
      </w:r>
      <w:r>
        <w:rPr>
          <w:rFonts w:ascii="Book Antiqua" w:eastAsia="Book Antiqua" w:hAnsi="Book Antiqua" w:cs="Book Antiqua"/>
          <w:color w:val="000000"/>
        </w:rPr>
        <w:t>.</w:t>
      </w:r>
    </w:p>
    <w:p w14:paraId="581300CC" w14:textId="77777777" w:rsidR="00443CD6" w:rsidRDefault="00000000">
      <w:pPr>
        <w:widowControl w:val="0"/>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Aunque ha habido una mayor cobertura de la VCM en las noticias, no ha habido una mejora en su representación</w:t>
      </w:r>
      <w:r>
        <w:rPr>
          <w:rFonts w:ascii="Book Antiqua" w:eastAsia="Book Antiqua" w:hAnsi="Book Antiqua" w:cs="Book Antiqua"/>
          <w:color w:val="000000"/>
          <w:vertAlign w:val="superscript"/>
        </w:rPr>
        <w:footnoteReference w:id="4"/>
      </w:r>
      <w:r>
        <w:rPr>
          <w:rFonts w:ascii="Book Antiqua" w:eastAsia="Book Antiqua" w:hAnsi="Book Antiqua" w:cs="Book Antiqua"/>
          <w:color w:val="000000"/>
        </w:rPr>
        <w:t xml:space="preserve">. </w:t>
      </w:r>
    </w:p>
    <w:p w14:paraId="6C126F18" w14:textId="77777777" w:rsidR="00443CD6" w:rsidRDefault="00000000">
      <w:pPr>
        <w:widowControl w:val="0"/>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rPr>
        <w:t>CIMAC destaca que 22% de las noticias en México posiciona a las mujeres como el centro de la información, pero sólo 8% cuestiona los estereotipos de género, dichas noticias en su mayoría son escritas por mujeres periodistas</w:t>
      </w:r>
      <w:r>
        <w:rPr>
          <w:rFonts w:ascii="Book Antiqua" w:eastAsia="Book Antiqua" w:hAnsi="Book Antiqua" w:cs="Book Antiqua"/>
          <w:color w:val="000000"/>
        </w:rPr>
        <w:t>.</w:t>
      </w:r>
      <w:r>
        <w:rPr>
          <w:rFonts w:ascii="Book Antiqua" w:eastAsia="Book Antiqua" w:hAnsi="Book Antiqua" w:cs="Book Antiqua"/>
          <w:color w:val="000000"/>
          <w:vertAlign w:val="superscript"/>
        </w:rPr>
        <w:footnoteReference w:id="5"/>
      </w:r>
    </w:p>
    <w:p w14:paraId="1A3CD585" w14:textId="6C48D944" w:rsidR="00443CD6" w:rsidRDefault="00000000">
      <w:pPr>
        <w:widowControl w:val="0"/>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¿Por qué razón los medios continúan presentando contenido que promueve la VCM? Porque producir estas representaciones sexistas parece ser un buen negocio. Por ejemplo, el feminicidio en febrero de 2020 de I. E., una joven cuyo asesinato fue reportado junto con imágenes gráficas en dos medios de comunicación sensacionalistas (La Prensa y Pásala), tanto en formato impreso como digital, atrajo a cientos de miles de lectores (Piccato, 2020).</w:t>
      </w:r>
    </w:p>
    <w:p w14:paraId="2AD81514" w14:textId="77777777" w:rsidR="00443CD6" w:rsidRDefault="00000000">
      <w:pPr>
        <w:widowControl w:val="0"/>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¿Y cómo han respondido los medios a las quejas públicas? En su mayoría, han sido impunes. A menudo justifican sus representaciones argumentando que están ejerciendo su libertad de expresión. En unos pocos casos, han ofrecido disculpas públicas y anunciado cambios 'positivos' en la forma en que representan a las víctimas. Sin embargo, las normas de autorregulación de los medios no se llevan a la práctica.</w:t>
      </w:r>
    </w:p>
    <w:p w14:paraId="3EAD57DD" w14:textId="7B27FFE0" w:rsidR="00443CD6" w:rsidRDefault="00000000">
      <w:pPr>
        <w:widowControl w:val="0"/>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Con el objetivo de facilitar a medios de comunicación y plataformas digitales herramientas para eliminar la VCM en los contenidos y en su estructura, en 2019 GAMAG, UNAM y UNESCO impulsaron el </w:t>
      </w:r>
      <w:r w:rsidR="005179EE">
        <w:rPr>
          <w:rFonts w:ascii="Book Antiqua" w:eastAsia="Book Antiqua" w:hAnsi="Book Antiqua" w:cs="Book Antiqua"/>
          <w:color w:val="000000"/>
        </w:rPr>
        <w:t>“</w:t>
      </w:r>
      <w:r>
        <w:rPr>
          <w:rFonts w:ascii="Book Antiqua" w:eastAsia="Book Antiqua" w:hAnsi="Book Antiqua" w:cs="Book Antiqua"/>
          <w:color w:val="000000"/>
        </w:rPr>
        <w:t>Pacto para la Eliminación de la VCM en y a través de los medios y plataformas digitales</w:t>
      </w:r>
      <w:r w:rsidR="005179EE">
        <w:rPr>
          <w:rFonts w:ascii="Book Antiqua" w:eastAsia="Book Antiqua" w:hAnsi="Book Antiqua" w:cs="Book Antiqua"/>
          <w:color w:val="000000"/>
        </w:rPr>
        <w:t>”</w:t>
      </w:r>
      <w:r>
        <w:rPr>
          <w:rFonts w:ascii="Book Antiqua" w:eastAsia="Book Antiqua" w:hAnsi="Book Antiqua" w:cs="Book Antiqua"/>
          <w:color w:val="000000"/>
        </w:rPr>
        <w:t xml:space="preserve">, que fue </w:t>
      </w:r>
      <w:r w:rsidR="005179EE">
        <w:rPr>
          <w:rFonts w:ascii="Book Antiqua" w:eastAsia="Book Antiqua" w:hAnsi="Book Antiqua" w:cs="Book Antiqua"/>
          <w:color w:val="000000"/>
        </w:rPr>
        <w:t>firmado</w:t>
      </w:r>
      <w:r>
        <w:rPr>
          <w:rFonts w:ascii="Book Antiqua" w:eastAsia="Book Antiqua" w:hAnsi="Book Antiqua" w:cs="Book Antiqua"/>
          <w:color w:val="000000"/>
        </w:rPr>
        <w:t xml:space="preserve"> por más de 100 medios públicos y privados. El Pacto incluye medidas que pueden adoptar a nivel de los contenidos y de las políticas internas para impulsar el acceso de mujeres profesionales. Facebook </w:t>
      </w:r>
      <w:r w:rsidR="005179EE">
        <w:rPr>
          <w:rFonts w:ascii="Book Antiqua" w:eastAsia="Book Antiqua" w:hAnsi="Book Antiqua" w:cs="Book Antiqua"/>
          <w:color w:val="000000"/>
        </w:rPr>
        <w:t xml:space="preserve"> (hoy META) </w:t>
      </w:r>
      <w:r>
        <w:rPr>
          <w:rFonts w:ascii="Book Antiqua" w:eastAsia="Book Antiqua" w:hAnsi="Book Antiqua" w:cs="Book Antiqua"/>
          <w:color w:val="000000"/>
        </w:rPr>
        <w:t>respondió favorablemente, apoyando en la atención de víctimas de violencia digital. Algunos medios de comunicación, como El Sol de México, mostraron interés en las acciones pero la pandemia obstaculizó su avance</w:t>
      </w:r>
      <w:r>
        <w:rPr>
          <w:rFonts w:ascii="Book Antiqua" w:eastAsia="Book Antiqua" w:hAnsi="Book Antiqua" w:cs="Book Antiqua"/>
          <w:color w:val="000000"/>
          <w:vertAlign w:val="superscript"/>
        </w:rPr>
        <w:footnoteReference w:id="6"/>
      </w:r>
      <w:r>
        <w:rPr>
          <w:rFonts w:ascii="Book Antiqua" w:eastAsia="Book Antiqua" w:hAnsi="Book Antiqua" w:cs="Book Antiqua"/>
          <w:color w:val="000000"/>
        </w:rPr>
        <w:t xml:space="preserve">. Nuestra </w:t>
      </w:r>
      <w:r>
        <w:rPr>
          <w:rFonts w:ascii="Book Antiqua" w:eastAsia="Book Antiqua" w:hAnsi="Book Antiqua" w:cs="Book Antiqua"/>
          <w:color w:val="000000"/>
        </w:rPr>
        <w:lastRenderedPageBreak/>
        <w:t>conclusión al respecto, es que junto a medidas de auto-regulación, también son necesarias medidas de regulación, y esas le corresponden al Estado Mexicano.</w:t>
      </w:r>
    </w:p>
    <w:p w14:paraId="1B108A96" w14:textId="735B22B4" w:rsidR="00443CD6" w:rsidRDefault="00000000">
      <w:pPr>
        <w:widowControl w:val="0"/>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En 2021, académicas feministas impulsamos en el Poder Legislativo la reforma a la Ley General de Acceso de las Mujeres a una Vida Libre de Violencia y se aprobó la incorporación de la Violencia Mediática como Modalidad</w:t>
      </w:r>
      <w:r w:rsidR="005179EE">
        <w:rPr>
          <w:rFonts w:ascii="Book Antiqua" w:eastAsia="Book Antiqua" w:hAnsi="Book Antiqua" w:cs="Book Antiqua"/>
          <w:color w:val="000000"/>
        </w:rPr>
        <w:t xml:space="preserve"> de violencia contra las mujeres</w:t>
      </w:r>
      <w:r>
        <w:rPr>
          <w:rFonts w:ascii="Book Antiqua" w:eastAsia="Book Antiqua" w:hAnsi="Book Antiqua" w:cs="Book Antiqua"/>
          <w:color w:val="000000"/>
        </w:rPr>
        <w:t xml:space="preserve"> (Artículo 20). </w:t>
      </w:r>
    </w:p>
    <w:p w14:paraId="64A1530A" w14:textId="77777777" w:rsidR="00443CD6" w:rsidRDefault="00000000">
      <w:pPr>
        <w:widowControl w:val="0"/>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En este periodo, el Gobierno Federal no ha cumplido con las Observaciones Finales del CoCEDAW del 9º Informe Periódico. No obstante la Secretaría de Gobernación firmó en 2016 el Convenio por la Igualdad de Género y el Combate a la Violencia contra las Mujeres en los Medios de Comunicación, sobre el que el CoCEDAW recomendó su aplicación plena, el Gobierno Federal incumplió en su tarea de garantizar la imposición de sanciones adecuadas y el recurso a facultades coactivas para erradicar los estereotipos sexistas. También incumplió en el desarrollo de una estrategia de formación para profesionales de los medios de comunicación y en alentar una cobertura informativa que tenga en cuenta la condición de las mujeres, sobre todo en las campañas electorales.</w:t>
      </w:r>
    </w:p>
    <w:p w14:paraId="1BFB8977" w14:textId="77777777" w:rsidR="00443CD6" w:rsidRDefault="00000000">
      <w:pPr>
        <w:widowControl w:val="0"/>
        <w:numPr>
          <w:ilvl w:val="0"/>
          <w:numId w:val="1"/>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Por su parte, el Poder Judicial se encuentra rebasado en la atención, investigación y sanción a las denuncias por esta modalidad de violencia contra las mujeres.</w:t>
      </w:r>
    </w:p>
    <w:p w14:paraId="1BD5641D" w14:textId="77777777" w:rsidR="00443CD6" w:rsidRDefault="00000000">
      <w:pPr>
        <w:widowControl w:val="0"/>
        <w:spacing w:line="240" w:lineRule="auto"/>
        <w:jc w:val="both"/>
        <w:rPr>
          <w:rFonts w:ascii="Book Antiqua" w:eastAsia="Book Antiqua" w:hAnsi="Book Antiqua" w:cs="Book Antiqua"/>
        </w:rPr>
      </w:pPr>
      <w:r>
        <w:rPr>
          <w:rFonts w:ascii="Book Antiqua" w:eastAsia="Book Antiqua" w:hAnsi="Book Antiqua" w:cs="Book Antiqua"/>
        </w:rPr>
        <w:t>Recomendaciones al Estado Mexicano</w:t>
      </w:r>
    </w:p>
    <w:p w14:paraId="646E63C1" w14:textId="77777777" w:rsidR="00443CD6" w:rsidRDefault="00000000">
      <w:pPr>
        <w:widowControl w:val="0"/>
        <w:numPr>
          <w:ilvl w:val="0"/>
          <w:numId w:val="4"/>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Regulación. El Estado mexicano debe regular los contenidos y la estructura de los medios de comunicación y las corporaciones del ecosistema digital. Ha sido demostrado que la auto-regulación por sí sola no es suficiente para que las corporaciones mediáticas y digitales garanticen una vida libre de violencia para las mujeres en el contenido que producen, se necesitan con urgencia marcos de co-regulación.</w:t>
      </w:r>
    </w:p>
    <w:p w14:paraId="79F5DE4B" w14:textId="77777777" w:rsidR="00443CD6" w:rsidRDefault="00000000">
      <w:pPr>
        <w:widowControl w:val="0"/>
        <w:numPr>
          <w:ilvl w:val="0"/>
          <w:numId w:val="4"/>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 xml:space="preserve">Política pública. El Estado mexicano debe adoptar un enfoque holístico para la prevención, atención, sanción, reparación del daño y eliminación de la violencia mediática. </w:t>
      </w:r>
    </w:p>
    <w:p w14:paraId="685DD4C3" w14:textId="77777777" w:rsidR="00443CD6" w:rsidRDefault="00000000">
      <w:pPr>
        <w:widowControl w:val="0"/>
        <w:numPr>
          <w:ilvl w:val="0"/>
          <w:numId w:val="4"/>
        </w:numPr>
        <w:pBdr>
          <w:top w:val="nil"/>
          <w:left w:val="nil"/>
          <w:bottom w:val="nil"/>
          <w:right w:val="nil"/>
          <w:between w:val="nil"/>
        </w:pBdr>
        <w:spacing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El Estado mexicano debe proporcionar los recursos tecnológicos, humanos y financieros necesarios para garantizar a las mujeres una vida libre de violencia en los medios y el ecosistema digital. Es necesario promover programas de alfabetización mediática e informacional con un enfoque de género en las escuelas, comenzando en la infancia. Debe garantizar recursos financieros para la investigación académica que permita comprender las dimensiones de la violencia mediática contra las mujeres y a partir de ello desarrollar políticas que sirvan a las mujeres.</w:t>
      </w:r>
    </w:p>
    <w:p w14:paraId="72B81DDF" w14:textId="77777777" w:rsidR="00443CD6" w:rsidRDefault="00443CD6">
      <w:pPr>
        <w:widowControl w:val="0"/>
        <w:spacing w:line="240" w:lineRule="auto"/>
        <w:jc w:val="both"/>
        <w:rPr>
          <w:rFonts w:ascii="Book Antiqua" w:eastAsia="Book Antiqua" w:hAnsi="Book Antiqua" w:cs="Book Antiqua"/>
        </w:rPr>
      </w:pPr>
    </w:p>
    <w:p w14:paraId="0150B963" w14:textId="77777777" w:rsidR="00B83677" w:rsidRDefault="00B83677">
      <w:pPr>
        <w:widowControl w:val="0"/>
        <w:spacing w:line="240" w:lineRule="auto"/>
        <w:jc w:val="both"/>
        <w:rPr>
          <w:rFonts w:ascii="Book Antiqua" w:eastAsia="Book Antiqua" w:hAnsi="Book Antiqua" w:cs="Book Antiqua"/>
        </w:rPr>
      </w:pPr>
    </w:p>
    <w:p w14:paraId="3087DC74" w14:textId="77777777" w:rsidR="00B83677" w:rsidRDefault="00B83677">
      <w:pPr>
        <w:widowControl w:val="0"/>
        <w:spacing w:line="240" w:lineRule="auto"/>
        <w:jc w:val="both"/>
        <w:rPr>
          <w:rFonts w:ascii="Book Antiqua" w:eastAsia="Book Antiqua" w:hAnsi="Book Antiqua" w:cs="Book Antiqua"/>
        </w:rPr>
      </w:pPr>
    </w:p>
    <w:p w14:paraId="7A34D5E3" w14:textId="77777777" w:rsidR="00B83677" w:rsidRDefault="00B83677">
      <w:pPr>
        <w:widowControl w:val="0"/>
        <w:spacing w:line="240" w:lineRule="auto"/>
        <w:jc w:val="both"/>
        <w:rPr>
          <w:rFonts w:ascii="Book Antiqua" w:eastAsia="Book Antiqua" w:hAnsi="Book Antiqua" w:cs="Book Antiqua"/>
        </w:rPr>
      </w:pPr>
    </w:p>
    <w:p w14:paraId="55EDFE86" w14:textId="77777777" w:rsidR="00B83677" w:rsidRDefault="00B83677">
      <w:pPr>
        <w:widowControl w:val="0"/>
        <w:spacing w:line="240" w:lineRule="auto"/>
        <w:jc w:val="both"/>
        <w:rPr>
          <w:rFonts w:ascii="Book Antiqua" w:eastAsia="Book Antiqua" w:hAnsi="Book Antiqua" w:cs="Book Antiqua"/>
        </w:rPr>
      </w:pPr>
    </w:p>
    <w:p w14:paraId="0A5A26A3" w14:textId="77777777" w:rsidR="00B83677" w:rsidRDefault="00B83677">
      <w:pPr>
        <w:widowControl w:val="0"/>
        <w:spacing w:line="240" w:lineRule="auto"/>
        <w:jc w:val="both"/>
        <w:rPr>
          <w:rFonts w:ascii="Book Antiqua" w:eastAsia="Book Antiqua" w:hAnsi="Book Antiqua" w:cs="Book Antiqua"/>
        </w:rPr>
      </w:pPr>
    </w:p>
    <w:p w14:paraId="7D568724" w14:textId="51ADDF06" w:rsidR="00443CD6" w:rsidRPr="004C4F0A" w:rsidRDefault="00000000" w:rsidP="004C4F0A">
      <w:pPr>
        <w:pBdr>
          <w:top w:val="nil"/>
          <w:left w:val="nil"/>
          <w:bottom w:val="nil"/>
          <w:right w:val="nil"/>
          <w:between w:val="nil"/>
        </w:pBdr>
        <w:spacing w:after="0" w:line="240" w:lineRule="auto"/>
        <w:jc w:val="center"/>
        <w:rPr>
          <w:rFonts w:ascii="Book Antiqua" w:eastAsia="Book Antiqua" w:hAnsi="Book Antiqua" w:cs="Book Antiqua"/>
          <w:b/>
          <w:color w:val="000000"/>
          <w:sz w:val="28"/>
          <w:szCs w:val="28"/>
        </w:rPr>
      </w:pPr>
      <w:r>
        <w:rPr>
          <w:rFonts w:ascii="Book Antiqua" w:eastAsia="Book Antiqua" w:hAnsi="Book Antiqua" w:cs="Book Antiqua"/>
          <w:b/>
          <w:color w:val="000000"/>
          <w:sz w:val="28"/>
          <w:szCs w:val="28"/>
        </w:rPr>
        <w:lastRenderedPageBreak/>
        <w:t>Violencia Digital</w:t>
      </w:r>
    </w:p>
    <w:p w14:paraId="7B8B7034" w14:textId="77777777" w:rsidR="00443CD6" w:rsidRDefault="00000000">
      <w:pPr>
        <w:jc w:val="both"/>
        <w:rPr>
          <w:rFonts w:ascii="Book Antiqua" w:eastAsia="Book Antiqua" w:hAnsi="Book Antiqua" w:cs="Book Antiqua"/>
        </w:rPr>
      </w:pPr>
      <w:r>
        <w:rPr>
          <w:rFonts w:ascii="Book Antiqua" w:eastAsia="Book Antiqua" w:hAnsi="Book Antiqua" w:cs="Book Antiqua"/>
        </w:rPr>
        <w:t>Informe</w:t>
      </w:r>
    </w:p>
    <w:p w14:paraId="2F5C6C1C" w14:textId="55ED8E42" w:rsidR="00443CD6" w:rsidRDefault="00000000">
      <w:pPr>
        <w:numPr>
          <w:ilvl w:val="0"/>
          <w:numId w:val="7"/>
        </w:numPr>
        <w:pBdr>
          <w:top w:val="nil"/>
          <w:left w:val="nil"/>
          <w:bottom w:val="nil"/>
          <w:right w:val="nil"/>
          <w:between w:val="nil"/>
        </w:pBdr>
        <w:spacing w:after="0"/>
        <w:jc w:val="both"/>
        <w:rPr>
          <w:rFonts w:ascii="Book Antiqua" w:eastAsia="Book Antiqua" w:hAnsi="Book Antiqua" w:cs="Book Antiqua"/>
          <w:color w:val="000000"/>
        </w:rPr>
      </w:pPr>
      <w:r>
        <w:rPr>
          <w:rFonts w:ascii="Book Antiqua" w:eastAsia="Book Antiqua" w:hAnsi="Book Antiqua" w:cs="Book Antiqua"/>
          <w:color w:val="000000"/>
        </w:rPr>
        <w:t xml:space="preserve">La transición hacia lo digital ha sido permeada por la ausencia del acceso a recursos e infraestructura para fomentar, de manera equitativa, la participación de las mujeres en estos ámbitos. La pandemia por COVID-19 agudizó estos aspectos, como lo fue, 1) exacerbar la brecha digital de género y afectar a las mujeres que no tenían acceso a dispositivos y conectividad adecuados, lo que las dejó en desventaja en términos de acceso a la educación en línea, el trabajo remoto (especialmente a aquellas mujeres en economía informal) y los servicios de salud; 2) a partir del cierre de escuelas y oficinas, devino el aumento de la carga de trabajo no remunerado y tareas de cuidado, lo que redujo la disposición de tiempo y energía para participar en sus actividades laborales formales o educativas (INEGI, 2021); 3) en el contexto de pérdida de trabajos formales e informales, se detonó la búsqueda de ingresos por medio de la comercialización de contenido sexual en plataformas como </w:t>
      </w:r>
      <w:r>
        <w:rPr>
          <w:rFonts w:ascii="Book Antiqua" w:eastAsia="Book Antiqua" w:hAnsi="Book Antiqua" w:cs="Book Antiqua"/>
          <w:i/>
          <w:color w:val="000000"/>
        </w:rPr>
        <w:t xml:space="preserve">OnlyFans </w:t>
      </w:r>
      <w:r>
        <w:rPr>
          <w:rFonts w:ascii="Book Antiqua" w:eastAsia="Book Antiqua" w:hAnsi="Book Antiqua" w:cs="Book Antiqua"/>
          <w:color w:val="000000"/>
        </w:rPr>
        <w:t xml:space="preserve">(Merino, 2020), lo que a largo plazo ha generado contextos de vulnerabilidad y exposición para las mujeres en diferentes ámbitos de sus vidas; y 4) el aumento de discursos de odio, violaciones a la privacidad, el </w:t>
      </w:r>
      <w:r>
        <w:rPr>
          <w:rFonts w:ascii="Book Antiqua" w:eastAsia="Book Antiqua" w:hAnsi="Book Antiqua" w:cs="Book Antiqua"/>
          <w:i/>
          <w:color w:val="000000"/>
        </w:rPr>
        <w:t>hackeo</w:t>
      </w:r>
      <w:r>
        <w:rPr>
          <w:rFonts w:ascii="Book Antiqua" w:eastAsia="Book Antiqua" w:hAnsi="Book Antiqua" w:cs="Book Antiqua"/>
          <w:color w:val="000000"/>
        </w:rPr>
        <w:t xml:space="preserve"> y acoso en línea</w:t>
      </w:r>
      <w:r w:rsidR="000E4938">
        <w:rPr>
          <w:rFonts w:ascii="Book Antiqua" w:eastAsia="Book Antiqua" w:hAnsi="Book Antiqua" w:cs="Book Antiqua"/>
          <w:color w:val="000000"/>
        </w:rPr>
        <w:t xml:space="preserve"> contra las mujeres</w:t>
      </w:r>
      <w:r>
        <w:rPr>
          <w:rFonts w:ascii="Book Antiqua" w:eastAsia="Book Antiqua" w:hAnsi="Book Antiqua" w:cs="Book Antiqua"/>
          <w:color w:val="000000"/>
        </w:rPr>
        <w:t>, dado el contexto donde el acceso a redes y espacios sociodigitales, se volvieron centrales para continuar con la vinculación al entorno social (Luchadoras, 2021).</w:t>
      </w:r>
    </w:p>
    <w:p w14:paraId="02717A5F" w14:textId="77777777" w:rsidR="004C4F0A" w:rsidRDefault="00000000" w:rsidP="004C4F0A">
      <w:pPr>
        <w:numPr>
          <w:ilvl w:val="0"/>
          <w:numId w:val="1"/>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En 2021, el Poder Legislativo aprobó la reforma al Código Penal y a la </w:t>
      </w:r>
      <w:r w:rsidR="000E4938">
        <w:rPr>
          <w:rFonts w:ascii="Book Antiqua" w:eastAsia="Book Antiqua" w:hAnsi="Book Antiqua" w:cs="Book Antiqua"/>
          <w:color w:val="000000"/>
        </w:rPr>
        <w:t>Ley General de Acceso de las Mujeres a una Vida Libre de Violencia (LGAMVLV)</w:t>
      </w:r>
      <w:r>
        <w:rPr>
          <w:rFonts w:ascii="Book Antiqua" w:eastAsia="Book Antiqua" w:hAnsi="Book Antiqua" w:cs="Book Antiqua"/>
          <w:color w:val="000000"/>
        </w:rPr>
        <w:t xml:space="preserve"> que adiciona la Modalidad de la Violencia Digital. Sin embargo, </w:t>
      </w:r>
      <w:r w:rsidR="000E4938">
        <w:rPr>
          <w:rFonts w:ascii="Book Antiqua" w:eastAsia="Book Antiqua" w:hAnsi="Book Antiqua" w:cs="Book Antiqua"/>
          <w:color w:val="000000"/>
        </w:rPr>
        <w:t>el Poder Legislativo</w:t>
      </w:r>
      <w:r>
        <w:rPr>
          <w:rFonts w:ascii="Book Antiqua" w:eastAsia="Book Antiqua" w:hAnsi="Book Antiqua" w:cs="Book Antiqua"/>
          <w:color w:val="000000"/>
        </w:rPr>
        <w:t xml:space="preserve"> no atendió el llamado de múltiples sectores </w:t>
      </w:r>
      <w:r w:rsidR="000E4938">
        <w:rPr>
          <w:rFonts w:ascii="Book Antiqua" w:eastAsia="Book Antiqua" w:hAnsi="Book Antiqua" w:cs="Book Antiqua"/>
          <w:color w:val="000000"/>
        </w:rPr>
        <w:t xml:space="preserve">de la sociedad (organizaciones, abogadas, defensoras, académicas) </w:t>
      </w:r>
      <w:r>
        <w:rPr>
          <w:rFonts w:ascii="Book Antiqua" w:eastAsia="Book Antiqua" w:hAnsi="Book Antiqua" w:cs="Book Antiqua"/>
          <w:color w:val="000000"/>
        </w:rPr>
        <w:t>de darle a la definición de violencia digital una perspectiva holística, por lo que solamente fue introducido un tipo de violencia digital (“la circulación de imágenes íntimas sexuales sin consentimiento”), de las más de 20 que existen</w:t>
      </w:r>
      <w:r>
        <w:rPr>
          <w:rFonts w:ascii="Book Antiqua" w:eastAsia="Book Antiqua" w:hAnsi="Book Antiqua" w:cs="Book Antiqua"/>
          <w:color w:val="000000"/>
          <w:vertAlign w:val="superscript"/>
        </w:rPr>
        <w:footnoteReference w:id="7"/>
      </w:r>
      <w:r>
        <w:rPr>
          <w:rFonts w:ascii="Book Antiqua" w:eastAsia="Book Antiqua" w:hAnsi="Book Antiqua" w:cs="Book Antiqua"/>
          <w:color w:val="000000"/>
        </w:rPr>
        <w:t xml:space="preserve">. La definición aprobada representa riesgos para las víctimas -coloca la carga de la prueba en ellas, crea el doble tipo penal pues dicha conducta ya había sido tipificada por la Ley contra la Trata -que contempla 15 años de pena a los agresores-, reduciendo las penas a máximo 6 años. Tiene además un enfoque punitivo, pues ofrece como única alternativa de denuncia la penal. Debido a que el sistema de procuración de justicia en México no tiene una formación profunda en </w:t>
      </w:r>
      <w:r w:rsidR="000E4938">
        <w:rPr>
          <w:rFonts w:ascii="Book Antiqua" w:eastAsia="Book Antiqua" w:hAnsi="Book Antiqua" w:cs="Book Antiqua"/>
          <w:color w:val="000000"/>
        </w:rPr>
        <w:t>perspectiva de género, derechos humanos,</w:t>
      </w:r>
      <w:r>
        <w:rPr>
          <w:rFonts w:ascii="Book Antiqua" w:eastAsia="Book Antiqua" w:hAnsi="Book Antiqua" w:cs="Book Antiqua"/>
          <w:color w:val="000000"/>
        </w:rPr>
        <w:t xml:space="preserve"> ni en violencia digital</w:t>
      </w:r>
      <w:r w:rsidR="000E4938">
        <w:rPr>
          <w:rFonts w:ascii="Book Antiqua" w:eastAsia="Book Antiqua" w:hAnsi="Book Antiqua" w:cs="Book Antiqua"/>
          <w:color w:val="000000"/>
        </w:rPr>
        <w:t>,</w:t>
      </w:r>
      <w:r>
        <w:rPr>
          <w:rFonts w:ascii="Book Antiqua" w:eastAsia="Book Antiqua" w:hAnsi="Book Antiqua" w:cs="Book Antiqua"/>
          <w:color w:val="000000"/>
        </w:rPr>
        <w:t xml:space="preserve"> y la policía cibernética no cuenta con la infraestructura y los recursos necesarios para operar de manera eficaz, los niveles de impunidad son preocupantes (de acuerdo con la </w:t>
      </w:r>
      <w:r w:rsidR="000E4938">
        <w:rPr>
          <w:rFonts w:ascii="Book Antiqua" w:eastAsia="Book Antiqua" w:hAnsi="Book Antiqua" w:cs="Book Antiqua"/>
          <w:color w:val="000000"/>
        </w:rPr>
        <w:t>organización de la sociedad civil</w:t>
      </w:r>
      <w:r>
        <w:rPr>
          <w:rFonts w:ascii="Book Antiqua" w:eastAsia="Book Antiqua" w:hAnsi="Book Antiqua" w:cs="Book Antiqua"/>
          <w:color w:val="000000"/>
        </w:rPr>
        <w:t xml:space="preserve"> Luchadoras, más del 80% de las carpetas de investigación no han sido judicializadas). Finalmente, </w:t>
      </w:r>
      <w:r w:rsidR="000E4938">
        <w:rPr>
          <w:rFonts w:ascii="Book Antiqua" w:eastAsia="Book Antiqua" w:hAnsi="Book Antiqua" w:cs="Book Antiqua"/>
          <w:color w:val="000000"/>
        </w:rPr>
        <w:t>no promueve una</w:t>
      </w:r>
      <w:r>
        <w:rPr>
          <w:rFonts w:ascii="Book Antiqua" w:eastAsia="Book Antiqua" w:hAnsi="Book Antiqua" w:cs="Book Antiqua"/>
          <w:color w:val="000000"/>
        </w:rPr>
        <w:t xml:space="preserve"> política pública que podría involucrar a instituciones educativas, </w:t>
      </w:r>
      <w:r w:rsidR="000E4938">
        <w:rPr>
          <w:rFonts w:ascii="Book Antiqua" w:eastAsia="Book Antiqua" w:hAnsi="Book Antiqua" w:cs="Book Antiqua"/>
          <w:color w:val="000000"/>
        </w:rPr>
        <w:t>la Secretaría de la Mujer y la Secretaría de Gobernación</w:t>
      </w:r>
      <w:r>
        <w:rPr>
          <w:rFonts w:ascii="Book Antiqua" w:eastAsia="Book Antiqua" w:hAnsi="Book Antiqua" w:cs="Book Antiqua"/>
          <w:color w:val="000000"/>
        </w:rPr>
        <w:t xml:space="preserve">, entre otras, y de las dimensiones para su eliminación – prevención, atención, sanción y reparación integral del daño-. </w:t>
      </w:r>
    </w:p>
    <w:p w14:paraId="715B4574" w14:textId="5051CCB3" w:rsidR="004C4F0A" w:rsidRPr="004C4F0A" w:rsidRDefault="004C4F0A" w:rsidP="004C4F0A">
      <w:pPr>
        <w:numPr>
          <w:ilvl w:val="0"/>
          <w:numId w:val="1"/>
        </w:numPr>
        <w:pBdr>
          <w:top w:val="nil"/>
          <w:left w:val="nil"/>
          <w:bottom w:val="nil"/>
          <w:right w:val="nil"/>
          <w:between w:val="nil"/>
        </w:pBdr>
        <w:spacing w:line="240" w:lineRule="auto"/>
        <w:jc w:val="both"/>
        <w:rPr>
          <w:rFonts w:ascii="Book Antiqua" w:eastAsia="Book Antiqua" w:hAnsi="Book Antiqua" w:cs="Book Antiqua"/>
          <w:color w:val="000000"/>
        </w:rPr>
      </w:pPr>
      <w:r w:rsidRPr="004C4F0A">
        <w:rPr>
          <w:rFonts w:ascii="Book Antiqua" w:eastAsia="Book Antiqua" w:hAnsi="Book Antiqua" w:cs="Book Antiqua"/>
          <w:color w:val="000000"/>
        </w:rPr>
        <w:lastRenderedPageBreak/>
        <w:t>Violencia contra las mujeres a través de la plataforma ONLY FANS.</w:t>
      </w:r>
      <w:r w:rsidRPr="004C4F0A">
        <w:rPr>
          <w:rFonts w:ascii="Book Antiqua" w:hAnsi="Book Antiqua"/>
        </w:rPr>
        <w:t xml:space="preserve"> La Fiscalía cuenta con denuncias de mujeres que han sido víctimas de trata a través de OnlyFans. En México, la desaparición y el feminicidio de niñas ha aumentado entre aquellas que tienen una cuenta en OnlyFans: en solo nueve meses en 2022, se reportaron 78 mujeres, o "modelos", como las llama la plataforma, como desaparecidas o asesinadas en el país (Criminólogas Feministas, 2022).</w:t>
      </w:r>
      <w:r w:rsidRPr="004C4F0A">
        <w:rPr>
          <w:rFonts w:ascii="Book Antiqua" w:eastAsia="Book Antiqua" w:hAnsi="Book Antiqua" w:cs="Book Antiqua"/>
          <w:color w:val="000000"/>
        </w:rPr>
        <w:t xml:space="preserve"> </w:t>
      </w:r>
      <w:r w:rsidRPr="004C4F0A">
        <w:rPr>
          <w:rFonts w:ascii="Book Antiqua" w:hAnsi="Book Antiqua"/>
        </w:rPr>
        <w:t xml:space="preserve">De acuerdo con un informe de la Coordinación de Inteligencia de la Ciudad de México realizado por la Secretaría de Seguridad Ciudadana (SSC) y la Fiscalía General de Justicia (FGJ), organizaciones criminales en la Ciudad de México, hoy controlan la industria de la prostitución. Estos grupos operan también a través de cuentas de Twitter, Facebook, Tinder, Telegram y Only Fans, donde “promocionan” a víctimas para prostituirlas (periódico El Universal, 17 de octubre de 2022, ver: </w:t>
      </w:r>
      <w:hyperlink r:id="rId11" w:history="1">
        <w:r w:rsidRPr="004C4F0A">
          <w:rPr>
            <w:rStyle w:val="Hipervnculo"/>
            <w:rFonts w:ascii="Book Antiqua" w:hAnsi="Book Antiqua"/>
          </w:rPr>
          <w:t>https://www.eluniversal.com.mx/metropoli/la-union-tepito-y-cartel-de-tlahuac-detras-de-la-trata/</w:t>
        </w:r>
      </w:hyperlink>
      <w:r w:rsidRPr="004C4F0A">
        <w:rPr>
          <w:rFonts w:ascii="Book Antiqua" w:hAnsi="Book Antiqua"/>
        </w:rPr>
        <w:t>).</w:t>
      </w:r>
      <w:r w:rsidRPr="004C4F0A">
        <w:rPr>
          <w:rFonts w:ascii="Book Antiqua" w:eastAsia="Book Antiqua" w:hAnsi="Book Antiqua" w:cs="Book Antiqua"/>
          <w:color w:val="000000"/>
        </w:rPr>
        <w:t xml:space="preserve"> </w:t>
      </w:r>
      <w:r w:rsidRPr="004C4F0A">
        <w:rPr>
          <w:rFonts w:ascii="Book Antiqua" w:hAnsi="Book Antiqua"/>
        </w:rPr>
        <w:t>En enero de 2023, el PAN presentó un "punto de acuerdo" para que se le "exhorte" a la Secretaría de Seguridad y Protección Ciudadana a que tome medidas para la prevención y combate de delitos relacionados con plataformas digitales con contenido para adultos. La iniciativa identifica como otro de los problemas relacionados con el contenido de OnlyFans la facilidad con que el contenido se distribuye de forma ilegal fuera de la misma plataforma, con revendedores que tienen grupos en WhatsApp y Telegram. La iniciativa también hace un "exhorto" a la Fiscalía General de la República para que haga "debidas investigaciones" y las persecuciones de delitos relacionados las plataformas como OnlyFans.</w:t>
      </w:r>
    </w:p>
    <w:p w14:paraId="743A1074" w14:textId="77777777" w:rsidR="00443CD6" w:rsidRDefault="00000000">
      <w:pPr>
        <w:widowControl w:val="0"/>
        <w:spacing w:line="240" w:lineRule="auto"/>
        <w:jc w:val="both"/>
        <w:rPr>
          <w:rFonts w:ascii="Book Antiqua" w:eastAsia="Book Antiqua" w:hAnsi="Book Antiqua" w:cs="Book Antiqua"/>
        </w:rPr>
      </w:pPr>
      <w:r>
        <w:rPr>
          <w:rFonts w:ascii="Book Antiqua" w:eastAsia="Book Antiqua" w:hAnsi="Book Antiqua" w:cs="Book Antiqua"/>
        </w:rPr>
        <w:t>Recomendaciones al Estado Mexicano</w:t>
      </w:r>
    </w:p>
    <w:p w14:paraId="72962467" w14:textId="77777777" w:rsidR="00443CD6" w:rsidRDefault="00000000">
      <w:pPr>
        <w:widowControl w:val="0"/>
        <w:numPr>
          <w:ilvl w:val="0"/>
          <w:numId w:val="4"/>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Regulación. El Estado mexicano debe regular los contenidos y la estructura de las corporaciones (</w:t>
      </w:r>
      <w:r>
        <w:rPr>
          <w:rFonts w:ascii="Book Antiqua" w:eastAsia="Book Antiqua" w:hAnsi="Book Antiqua" w:cs="Book Antiqua"/>
        </w:rPr>
        <w:t>incluidas las plataformas digitales)</w:t>
      </w:r>
      <w:r>
        <w:rPr>
          <w:rFonts w:ascii="Book Antiqua" w:eastAsia="Book Antiqua" w:hAnsi="Book Antiqua" w:cs="Book Antiqua"/>
          <w:color w:val="000000"/>
        </w:rPr>
        <w:t xml:space="preserve"> del ecosistema digital. </w:t>
      </w:r>
    </w:p>
    <w:p w14:paraId="04FF83C6" w14:textId="77777777" w:rsidR="00443CD6" w:rsidRDefault="00000000">
      <w:pPr>
        <w:widowControl w:val="0"/>
        <w:numPr>
          <w:ilvl w:val="0"/>
          <w:numId w:val="4"/>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 xml:space="preserve">Política pública. El Estado mexicano debe adoptar un enfoque holístico para la prevención, atención, sanción, reparación del daño y eliminación de la violencia digital. </w:t>
      </w:r>
    </w:p>
    <w:p w14:paraId="596EFC40" w14:textId="77777777" w:rsidR="00443CD6" w:rsidRDefault="00000000">
      <w:pPr>
        <w:widowControl w:val="0"/>
        <w:numPr>
          <w:ilvl w:val="0"/>
          <w:numId w:val="4"/>
        </w:numPr>
        <w:pBdr>
          <w:top w:val="nil"/>
          <w:left w:val="nil"/>
          <w:bottom w:val="nil"/>
          <w:right w:val="nil"/>
          <w:between w:val="nil"/>
        </w:pBdr>
        <w:spacing w:after="0" w:line="240" w:lineRule="auto"/>
        <w:ind w:left="360"/>
        <w:jc w:val="both"/>
        <w:rPr>
          <w:rFonts w:ascii="Book Antiqua" w:eastAsia="Book Antiqua" w:hAnsi="Book Antiqua" w:cs="Book Antiqua"/>
        </w:rPr>
      </w:pPr>
      <w:r>
        <w:rPr>
          <w:rFonts w:ascii="Book Antiqua" w:eastAsia="Book Antiqua" w:hAnsi="Book Antiqua" w:cs="Book Antiqua"/>
        </w:rPr>
        <w:t>El Estado debe realizar políticas que intervengan todos los espacios en los que se ejerce la violencia digital, para que esta sea interpretada como un continuum de violencia social y digital.</w:t>
      </w:r>
    </w:p>
    <w:p w14:paraId="11CFFB5E" w14:textId="35CA7403" w:rsidR="00443CD6" w:rsidRDefault="00000000">
      <w:pPr>
        <w:widowControl w:val="0"/>
        <w:numPr>
          <w:ilvl w:val="0"/>
          <w:numId w:val="4"/>
        </w:numPr>
        <w:pBdr>
          <w:top w:val="nil"/>
          <w:left w:val="nil"/>
          <w:bottom w:val="nil"/>
          <w:right w:val="nil"/>
          <w:between w:val="nil"/>
        </w:pBdr>
        <w:spacing w:after="0" w:line="240" w:lineRule="auto"/>
        <w:ind w:left="360"/>
        <w:jc w:val="both"/>
        <w:rPr>
          <w:rFonts w:ascii="Book Antiqua" w:eastAsia="Book Antiqua" w:hAnsi="Book Antiqua" w:cs="Book Antiqua"/>
        </w:rPr>
      </w:pPr>
      <w:r>
        <w:rPr>
          <w:rFonts w:ascii="Book Antiqua" w:eastAsia="Book Antiqua" w:hAnsi="Book Antiqua" w:cs="Book Antiqua"/>
        </w:rPr>
        <w:t xml:space="preserve">La regulación sobre la violencia digital de carácter sexual, debe evitar juzgarse sobre el </w:t>
      </w:r>
      <w:r w:rsidR="00AD2548">
        <w:rPr>
          <w:rFonts w:ascii="Book Antiqua" w:eastAsia="Book Antiqua" w:hAnsi="Book Antiqua" w:cs="Book Antiqua"/>
        </w:rPr>
        <w:t>‘</w:t>
      </w:r>
      <w:r>
        <w:rPr>
          <w:rFonts w:ascii="Book Antiqua" w:eastAsia="Book Antiqua" w:hAnsi="Book Antiqua" w:cs="Book Antiqua"/>
        </w:rPr>
        <w:t>consentimiento</w:t>
      </w:r>
      <w:r w:rsidR="00AD2548">
        <w:rPr>
          <w:rFonts w:ascii="Book Antiqua" w:eastAsia="Book Antiqua" w:hAnsi="Book Antiqua" w:cs="Book Antiqua"/>
        </w:rPr>
        <w:t>’</w:t>
      </w:r>
      <w:r>
        <w:rPr>
          <w:rFonts w:ascii="Book Antiqua" w:eastAsia="Book Antiqua" w:hAnsi="Book Antiqua" w:cs="Book Antiqua"/>
        </w:rPr>
        <w:t xml:space="preserve"> de las mujeres víctimas, para evitar la revictimización, la doble carga de la prueba y reconocer a los agresores y los delitos que constituyen los actos que cometen.</w:t>
      </w:r>
    </w:p>
    <w:p w14:paraId="72EB1000" w14:textId="77777777" w:rsidR="00443CD6" w:rsidRDefault="00000000">
      <w:pPr>
        <w:widowControl w:val="0"/>
        <w:numPr>
          <w:ilvl w:val="0"/>
          <w:numId w:val="4"/>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El Estado mexicano debe proporcionar los recursos tecnológicos, humanos y financieros necesarios para garantizar a las mujeres una vida libre de violencia en el ecosistema digital. Es necesario promover programas de alfabetización cr</w:t>
      </w:r>
      <w:r>
        <w:rPr>
          <w:rFonts w:ascii="Book Antiqua" w:eastAsia="Book Antiqua" w:hAnsi="Book Antiqua" w:cs="Book Antiqua"/>
        </w:rPr>
        <w:t>ítica</w:t>
      </w:r>
      <w:r>
        <w:rPr>
          <w:rFonts w:ascii="Book Antiqua" w:eastAsia="Book Antiqua" w:hAnsi="Book Antiqua" w:cs="Book Antiqua"/>
          <w:color w:val="000000"/>
        </w:rPr>
        <w:t xml:space="preserve"> digital con un enfoque de género en las escuelas, comenzando en la infancia. Debe garantizar recursos financieros para la investigación académica que permita comprender las dimensiones de la violencia digital. Debe garantizar los recursos humanos, financieros y de capacitación para el óptimo funcionamiento del sistema de procuración de justicia.</w:t>
      </w:r>
    </w:p>
    <w:p w14:paraId="3ED1BB73" w14:textId="77777777" w:rsidR="00443CD6" w:rsidRDefault="00000000">
      <w:pPr>
        <w:widowControl w:val="0"/>
        <w:numPr>
          <w:ilvl w:val="0"/>
          <w:numId w:val="4"/>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Las corporaciones digitales deben comprometerse a crear protocolos de seguridad efectivos para la protección de mujeres y niñas en Internet y, junto con las autoridades locales, mejorar los mecanismos para el acceso a la justicia de las víctimas.</w:t>
      </w:r>
    </w:p>
    <w:p w14:paraId="69FB8736" w14:textId="35DBC1A3" w:rsidR="004C4F0A" w:rsidRPr="00C213F7" w:rsidRDefault="00000000" w:rsidP="00C213F7">
      <w:pPr>
        <w:widowControl w:val="0"/>
        <w:numPr>
          <w:ilvl w:val="0"/>
          <w:numId w:val="4"/>
        </w:numPr>
        <w:pBdr>
          <w:top w:val="nil"/>
          <w:left w:val="nil"/>
          <w:bottom w:val="nil"/>
          <w:right w:val="nil"/>
          <w:between w:val="nil"/>
        </w:pBdr>
        <w:spacing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El Poder Legislativo debe llevar a cabo una reforma al Código Penal y a la LGAMVLV, a fin de darle a la definición de Violencia Digital un enfoque integral que reconozca por lo menos los tipos más frecuentes de VD, que dé alternativas de acceso a la justicia no solo penales, sino civiles y administrativas y que siente las bases para una política pública integral para eliminar la VD.</w:t>
      </w:r>
    </w:p>
    <w:p w14:paraId="2F73CC59" w14:textId="77777777" w:rsidR="00443CD6" w:rsidRDefault="00000000">
      <w:pPr>
        <w:pBdr>
          <w:top w:val="nil"/>
          <w:left w:val="nil"/>
          <w:bottom w:val="nil"/>
          <w:right w:val="nil"/>
          <w:between w:val="nil"/>
        </w:pBdr>
        <w:spacing w:after="0" w:line="240" w:lineRule="auto"/>
        <w:jc w:val="center"/>
        <w:rPr>
          <w:rFonts w:ascii="Book Antiqua" w:eastAsia="Book Antiqua" w:hAnsi="Book Antiqua" w:cs="Book Antiqua"/>
          <w:b/>
          <w:color w:val="000000"/>
          <w:sz w:val="28"/>
          <w:szCs w:val="28"/>
        </w:rPr>
      </w:pPr>
      <w:r>
        <w:rPr>
          <w:rFonts w:ascii="Book Antiqua" w:eastAsia="Book Antiqua" w:hAnsi="Book Antiqua" w:cs="Book Antiqua"/>
          <w:b/>
          <w:color w:val="000000"/>
          <w:sz w:val="28"/>
          <w:szCs w:val="28"/>
        </w:rPr>
        <w:lastRenderedPageBreak/>
        <w:t>Violencia contra Mujeres Periodistas y Libertad de Expresión</w:t>
      </w:r>
    </w:p>
    <w:p w14:paraId="08732ECE"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45D7385A"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6C99B247"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5F5948F9" w14:textId="77777777" w:rsidR="00443CD6" w:rsidRDefault="00000000">
      <w:pPr>
        <w:numPr>
          <w:ilvl w:val="0"/>
          <w:numId w:val="2"/>
        </w:numPr>
        <w:spacing w:after="0"/>
        <w:jc w:val="both"/>
        <w:rPr>
          <w:rFonts w:ascii="Book Antiqua" w:eastAsia="Book Antiqua" w:hAnsi="Book Antiqua" w:cs="Book Antiqua"/>
        </w:rPr>
      </w:pPr>
      <w:r>
        <w:rPr>
          <w:rFonts w:ascii="Book Antiqua" w:eastAsia="Book Antiqua" w:hAnsi="Book Antiqua" w:cs="Book Antiqua"/>
        </w:rPr>
        <w:t>De acuerdo con datos de CIMAC, entre el 1 de enero de 2012 y el 15 de abril de 2025, se han documentado 1896 casos de agresiones, ataques y amenazas a mujeres periodistas, incluyendo 14 feminicidios.</w:t>
      </w:r>
      <w:r>
        <w:rPr>
          <w:rFonts w:ascii="Book Antiqua" w:eastAsia="Book Antiqua" w:hAnsi="Book Antiqua" w:cs="Book Antiqua"/>
          <w:vertAlign w:val="superscript"/>
        </w:rPr>
        <w:footnoteReference w:id="8"/>
      </w:r>
    </w:p>
    <w:p w14:paraId="7F5169F8" w14:textId="77777777" w:rsidR="00443CD6" w:rsidRDefault="00000000">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Según GAMAG (2021)</w:t>
      </w:r>
      <w:r>
        <w:rPr>
          <w:rFonts w:ascii="Book Antiqua" w:eastAsia="Book Antiqua" w:hAnsi="Book Antiqua" w:cs="Book Antiqua"/>
          <w:color w:val="000000"/>
          <w:vertAlign w:val="superscript"/>
        </w:rPr>
        <w:footnoteReference w:id="9"/>
      </w:r>
      <w:r>
        <w:rPr>
          <w:rFonts w:ascii="Book Antiqua" w:eastAsia="Book Antiqua" w:hAnsi="Book Antiqua" w:cs="Book Antiqua"/>
          <w:color w:val="000000"/>
        </w:rPr>
        <w:t>, los principales tipos de VCM periodistas incluyen la psicológica, física, sexual, económica, patrimonial y feminicida. Se registró un incremento de violencia institucional y digital</w:t>
      </w:r>
      <w:r>
        <w:rPr>
          <w:rFonts w:ascii="Book Antiqua" w:eastAsia="Book Antiqua" w:hAnsi="Book Antiqua" w:cs="Book Antiqua"/>
          <w:color w:val="000000"/>
          <w:vertAlign w:val="superscript"/>
        </w:rPr>
        <w:footnoteReference w:id="10"/>
      </w:r>
      <w:r>
        <w:rPr>
          <w:rFonts w:ascii="Book Antiqua" w:eastAsia="Book Antiqua" w:hAnsi="Book Antiqua" w:cs="Book Antiqua"/>
          <w:color w:val="000000"/>
        </w:rPr>
        <w:t xml:space="preserve">. La mayoría de las víctimas no recibieron ningún tipo de medidas de seguridad para realizar su trabajo, por parte de los medios para los que trabajan. </w:t>
      </w:r>
    </w:p>
    <w:p w14:paraId="715B5669" w14:textId="77777777" w:rsidR="00443CD6" w:rsidRDefault="00000000">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Se cumplen 1</w:t>
      </w:r>
      <w:r>
        <w:rPr>
          <w:rFonts w:ascii="Book Antiqua" w:eastAsia="Book Antiqua" w:hAnsi="Book Antiqua" w:cs="Book Antiqua"/>
        </w:rPr>
        <w:t>3</w:t>
      </w:r>
      <w:r>
        <w:rPr>
          <w:rFonts w:ascii="Book Antiqua" w:eastAsia="Book Antiqua" w:hAnsi="Book Antiqua" w:cs="Book Antiqua"/>
          <w:color w:val="000000"/>
        </w:rPr>
        <w:t xml:space="preserve"> años desde que se emitió la Ley para la Protección de Personas Defensoras de Derechos Humanos y Periodistas (LPPDHyP), el marco normativo que funda el Mecanismo de Protección, que tiene como objetivo garantizar la vida, la integridad y la seguridad de periodistas y personas defensoras de derechos humanos que se encuentren en una situación de riesgo por ejercer su labor. </w:t>
      </w:r>
    </w:p>
    <w:p w14:paraId="580EFC25" w14:textId="6F6F49DC" w:rsidR="00443CD6" w:rsidRDefault="00000000">
      <w:pPr>
        <w:numPr>
          <w:ilvl w:val="0"/>
          <w:numId w:val="2"/>
        </w:numPr>
        <w:spacing w:after="0"/>
        <w:jc w:val="both"/>
        <w:rPr>
          <w:rFonts w:ascii="Book Antiqua" w:eastAsia="Book Antiqua" w:hAnsi="Book Antiqua" w:cs="Book Antiqua"/>
        </w:rPr>
      </w:pPr>
      <w:r>
        <w:rPr>
          <w:rFonts w:ascii="Book Antiqua" w:eastAsia="Book Antiqua" w:hAnsi="Book Antiqua" w:cs="Book Antiqua"/>
        </w:rPr>
        <w:t>De acuerdo con el Informe Estadístico Mensual del Mecanismo de Protección para Personas Defensoras de Derechos Humanos y Periodistas “al 31 de marzo de 2025, se protege a 2,011 personas, de las cuales: 690 son periodistas (490 hombres y 200 mujeres) y 1,321 son personas defensoras de derechos humanos (597 hombres y 724 mujeres)</w:t>
      </w:r>
      <w:r w:rsidR="00AD2548">
        <w:rPr>
          <w:rFonts w:ascii="Book Antiqua" w:eastAsia="Book Antiqua" w:hAnsi="Book Antiqua" w:cs="Book Antiqua"/>
        </w:rPr>
        <w:t>”</w:t>
      </w:r>
      <w:r>
        <w:rPr>
          <w:rFonts w:ascii="Book Antiqua" w:eastAsia="Book Antiqua" w:hAnsi="Book Antiqua" w:cs="Book Antiqua"/>
          <w:vertAlign w:val="superscript"/>
        </w:rPr>
        <w:footnoteReference w:id="11"/>
      </w:r>
      <w:r>
        <w:rPr>
          <w:rFonts w:ascii="Book Antiqua" w:eastAsia="Book Antiqua" w:hAnsi="Book Antiqua" w:cs="Book Antiqua"/>
        </w:rPr>
        <w:t xml:space="preserve">. </w:t>
      </w:r>
    </w:p>
    <w:p w14:paraId="51EBF6F9" w14:textId="77777777" w:rsidR="00443CD6" w:rsidRDefault="00000000">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rPr>
        <w:t>Entre 2012 y 2025, 288 mujeres periodistas fueron incorporadas al Mecanismo de Protección para Personas Defensoras de Derechos Humanos y Periodistas (MPPDDHP) de la Secretaría de Gobernación. El 30,5% de expedientes concluyó, dejando 88 casos dados por concluidos.</w:t>
      </w:r>
      <w:r>
        <w:rPr>
          <w:rFonts w:ascii="Book Antiqua" w:eastAsia="Book Antiqua" w:hAnsi="Book Antiqua" w:cs="Book Antiqua"/>
          <w:vertAlign w:val="superscript"/>
        </w:rPr>
        <w:footnoteReference w:id="12"/>
      </w:r>
    </w:p>
    <w:p w14:paraId="646E9EFF" w14:textId="6B0B0FAE" w:rsidR="00443CD6" w:rsidRDefault="00000000">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En el informe “Mujeres Periodistas y Libertad de Expresión”</w:t>
      </w:r>
      <w:r w:rsidR="00AD2548">
        <w:rPr>
          <w:rFonts w:ascii="Book Antiqua" w:eastAsia="Book Antiqua" w:hAnsi="Book Antiqua" w:cs="Book Antiqua"/>
          <w:color w:val="000000"/>
        </w:rPr>
        <w:t>,</w:t>
      </w:r>
      <w:r>
        <w:rPr>
          <w:rFonts w:ascii="Book Antiqua" w:eastAsia="Book Antiqua" w:hAnsi="Book Antiqua" w:cs="Book Antiqua"/>
          <w:color w:val="000000"/>
        </w:rPr>
        <w:t xml:space="preserve"> la CIDH recomienda a los Estados “integrar la perspectiva de género en todas las iniciativas dirigidas a crear y mantener un entorno seguro y propicio para el periodismo libre e independiente. En particular, garantizar que las políticas y programas estatales dirigidos a prevenir, proteger y procurar justicia en casos de crímenes contra periodistas atiendan </w:t>
      </w:r>
      <w:r>
        <w:rPr>
          <w:rFonts w:ascii="Book Antiqua" w:eastAsia="Book Antiqua" w:hAnsi="Book Antiqua" w:cs="Book Antiqua"/>
          <w:color w:val="000000"/>
        </w:rPr>
        <w:lastRenderedPageBreak/>
        <w:t>adecuadamente los riesgos adicionales o específicos que enfrentan las mujeres periodistas por razones de género”</w:t>
      </w:r>
      <w:r>
        <w:rPr>
          <w:rFonts w:ascii="Book Antiqua" w:eastAsia="Book Antiqua" w:hAnsi="Book Antiqua" w:cs="Book Antiqua"/>
          <w:color w:val="000000"/>
          <w:vertAlign w:val="superscript"/>
        </w:rPr>
        <w:footnoteReference w:id="13"/>
      </w:r>
      <w:r>
        <w:rPr>
          <w:rFonts w:ascii="Book Antiqua" w:eastAsia="Book Antiqua" w:hAnsi="Book Antiqua" w:cs="Book Antiqua"/>
          <w:color w:val="000000"/>
        </w:rPr>
        <w:t xml:space="preserve">. </w:t>
      </w:r>
    </w:p>
    <w:p w14:paraId="3F47288E"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rPr>
      </w:pPr>
    </w:p>
    <w:p w14:paraId="27EB9C64" w14:textId="47A0A060"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Recomendaciones</w:t>
      </w:r>
      <w:r w:rsidR="0055051C">
        <w:rPr>
          <w:rFonts w:ascii="Book Antiqua" w:eastAsia="Book Antiqua" w:hAnsi="Book Antiqua" w:cs="Book Antiqua"/>
          <w:color w:val="000000"/>
        </w:rPr>
        <w:t xml:space="preserve"> al Estado Mexicano</w:t>
      </w:r>
    </w:p>
    <w:p w14:paraId="14DB62C6"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3F69137B" w14:textId="77777777" w:rsidR="00443CD6" w:rsidRDefault="00000000">
      <w:pPr>
        <w:numPr>
          <w:ilvl w:val="0"/>
          <w:numId w:val="3"/>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Articular el marco legal nacional e internacional en materia de derechos de mujeres periodistas, dentro de una lógica de seguridad.</w:t>
      </w:r>
    </w:p>
    <w:p w14:paraId="3D1D2F73" w14:textId="77777777" w:rsidR="00443CD6" w:rsidRDefault="00000000">
      <w:pPr>
        <w:numPr>
          <w:ilvl w:val="0"/>
          <w:numId w:val="3"/>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Transversalizar efectivamente con perspectiva de género el Mecanismo de Protección. </w:t>
      </w:r>
    </w:p>
    <w:p w14:paraId="23B2197C" w14:textId="77777777" w:rsidR="00443CD6" w:rsidRDefault="00000000">
      <w:pPr>
        <w:numPr>
          <w:ilvl w:val="0"/>
          <w:numId w:val="3"/>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Producir diagnósticos sobre violencia contra mujeres periodistas con un enfoque holístico.</w:t>
      </w:r>
    </w:p>
    <w:p w14:paraId="45058904" w14:textId="77777777" w:rsidR="00443CD6" w:rsidRDefault="00443CD6" w:rsidP="0055051C">
      <w:pPr>
        <w:rPr>
          <w:rFonts w:ascii="Book Antiqua" w:eastAsia="Book Antiqua" w:hAnsi="Book Antiqua" w:cs="Book Antiqua"/>
          <w:b/>
        </w:rPr>
      </w:pPr>
    </w:p>
    <w:p w14:paraId="64C89A73" w14:textId="77777777" w:rsidR="00B83677" w:rsidRDefault="00B83677" w:rsidP="0055051C">
      <w:pPr>
        <w:rPr>
          <w:rFonts w:ascii="Book Antiqua" w:eastAsia="Book Antiqua" w:hAnsi="Book Antiqua" w:cs="Book Antiqua"/>
          <w:b/>
        </w:rPr>
      </w:pPr>
    </w:p>
    <w:p w14:paraId="0D858886" w14:textId="77777777" w:rsidR="00B83677" w:rsidRDefault="00B83677" w:rsidP="0055051C">
      <w:pPr>
        <w:rPr>
          <w:rFonts w:ascii="Book Antiqua" w:eastAsia="Book Antiqua" w:hAnsi="Book Antiqua" w:cs="Book Antiqua"/>
          <w:b/>
        </w:rPr>
      </w:pPr>
    </w:p>
    <w:p w14:paraId="7D3653DB" w14:textId="77777777" w:rsidR="00B83677" w:rsidRDefault="00B83677" w:rsidP="0055051C">
      <w:pPr>
        <w:rPr>
          <w:rFonts w:ascii="Book Antiqua" w:eastAsia="Book Antiqua" w:hAnsi="Book Antiqua" w:cs="Book Antiqua"/>
          <w:b/>
        </w:rPr>
      </w:pPr>
    </w:p>
    <w:p w14:paraId="2194CDA3" w14:textId="77777777" w:rsidR="00B83677" w:rsidRDefault="00B83677" w:rsidP="0055051C">
      <w:pPr>
        <w:rPr>
          <w:rFonts w:ascii="Book Antiqua" w:eastAsia="Book Antiqua" w:hAnsi="Book Antiqua" w:cs="Book Antiqua"/>
          <w:b/>
        </w:rPr>
      </w:pPr>
    </w:p>
    <w:p w14:paraId="2AFB9A26" w14:textId="77777777" w:rsidR="00B83677" w:rsidRDefault="00B83677" w:rsidP="0055051C">
      <w:pPr>
        <w:rPr>
          <w:rFonts w:ascii="Book Antiqua" w:eastAsia="Book Antiqua" w:hAnsi="Book Antiqua" w:cs="Book Antiqua"/>
          <w:b/>
        </w:rPr>
      </w:pPr>
    </w:p>
    <w:p w14:paraId="1671A3BF" w14:textId="77777777" w:rsidR="00B83677" w:rsidRDefault="00B83677" w:rsidP="0055051C">
      <w:pPr>
        <w:rPr>
          <w:rFonts w:ascii="Book Antiqua" w:eastAsia="Book Antiqua" w:hAnsi="Book Antiqua" w:cs="Book Antiqua"/>
          <w:b/>
        </w:rPr>
      </w:pPr>
    </w:p>
    <w:p w14:paraId="401FF019" w14:textId="77777777" w:rsidR="00B83677" w:rsidRDefault="00B83677" w:rsidP="0055051C">
      <w:pPr>
        <w:rPr>
          <w:rFonts w:ascii="Book Antiqua" w:eastAsia="Book Antiqua" w:hAnsi="Book Antiqua" w:cs="Book Antiqua"/>
          <w:b/>
        </w:rPr>
      </w:pPr>
    </w:p>
    <w:p w14:paraId="662FDEB4" w14:textId="77777777" w:rsidR="00B83677" w:rsidRDefault="00B83677" w:rsidP="0055051C">
      <w:pPr>
        <w:rPr>
          <w:rFonts w:ascii="Book Antiqua" w:eastAsia="Book Antiqua" w:hAnsi="Book Antiqua" w:cs="Book Antiqua"/>
          <w:b/>
        </w:rPr>
      </w:pPr>
    </w:p>
    <w:p w14:paraId="190F5EF1" w14:textId="77777777" w:rsidR="00B83677" w:rsidRDefault="00B83677" w:rsidP="0055051C">
      <w:pPr>
        <w:rPr>
          <w:rFonts w:ascii="Book Antiqua" w:eastAsia="Book Antiqua" w:hAnsi="Book Antiqua" w:cs="Book Antiqua"/>
          <w:b/>
        </w:rPr>
      </w:pPr>
    </w:p>
    <w:p w14:paraId="62D9329E" w14:textId="77777777" w:rsidR="00B83677" w:rsidRDefault="00B83677" w:rsidP="0055051C">
      <w:pPr>
        <w:rPr>
          <w:rFonts w:ascii="Book Antiqua" w:eastAsia="Book Antiqua" w:hAnsi="Book Antiqua" w:cs="Book Antiqua"/>
          <w:b/>
        </w:rPr>
      </w:pPr>
    </w:p>
    <w:p w14:paraId="2AC860F3" w14:textId="77777777" w:rsidR="00B83677" w:rsidRDefault="00B83677" w:rsidP="0055051C">
      <w:pPr>
        <w:rPr>
          <w:rFonts w:ascii="Book Antiqua" w:eastAsia="Book Antiqua" w:hAnsi="Book Antiqua" w:cs="Book Antiqua"/>
          <w:b/>
        </w:rPr>
      </w:pPr>
    </w:p>
    <w:p w14:paraId="715C6EEA" w14:textId="77777777" w:rsidR="00B83677" w:rsidRDefault="00B83677" w:rsidP="0055051C">
      <w:pPr>
        <w:rPr>
          <w:rFonts w:ascii="Book Antiqua" w:eastAsia="Book Antiqua" w:hAnsi="Book Antiqua" w:cs="Book Antiqua"/>
          <w:b/>
        </w:rPr>
      </w:pPr>
    </w:p>
    <w:p w14:paraId="6C72500A" w14:textId="77777777" w:rsidR="00B83677" w:rsidRDefault="00B83677" w:rsidP="0055051C">
      <w:pPr>
        <w:rPr>
          <w:rFonts w:ascii="Book Antiqua" w:eastAsia="Book Antiqua" w:hAnsi="Book Antiqua" w:cs="Book Antiqua"/>
          <w:b/>
        </w:rPr>
      </w:pPr>
    </w:p>
    <w:p w14:paraId="4C45053B" w14:textId="77777777" w:rsidR="00B83677" w:rsidRDefault="00B83677" w:rsidP="0055051C">
      <w:pPr>
        <w:rPr>
          <w:rFonts w:ascii="Book Antiqua" w:eastAsia="Book Antiqua" w:hAnsi="Book Antiqua" w:cs="Book Antiqua"/>
          <w:b/>
        </w:rPr>
      </w:pPr>
    </w:p>
    <w:p w14:paraId="3D797995" w14:textId="77777777" w:rsidR="00B83677" w:rsidRDefault="00B83677" w:rsidP="0055051C">
      <w:pPr>
        <w:rPr>
          <w:rFonts w:ascii="Book Antiqua" w:eastAsia="Book Antiqua" w:hAnsi="Book Antiqua" w:cs="Book Antiqua"/>
          <w:b/>
        </w:rPr>
      </w:pPr>
    </w:p>
    <w:p w14:paraId="3D6585EC" w14:textId="77777777" w:rsidR="00B83677" w:rsidRDefault="00B83677" w:rsidP="0055051C">
      <w:pPr>
        <w:rPr>
          <w:rFonts w:ascii="Book Antiqua" w:eastAsia="Book Antiqua" w:hAnsi="Book Antiqua" w:cs="Book Antiqua"/>
          <w:b/>
        </w:rPr>
      </w:pPr>
    </w:p>
    <w:p w14:paraId="00662DBC" w14:textId="77777777" w:rsidR="00443CD6" w:rsidRDefault="00000000">
      <w:pPr>
        <w:jc w:val="center"/>
        <w:rPr>
          <w:rFonts w:ascii="Book Antiqua" w:eastAsia="Book Antiqua" w:hAnsi="Book Antiqua" w:cs="Book Antiqua"/>
          <w:b/>
          <w:sz w:val="28"/>
          <w:szCs w:val="28"/>
        </w:rPr>
      </w:pPr>
      <w:r>
        <w:rPr>
          <w:rFonts w:ascii="Book Antiqua" w:eastAsia="Book Antiqua" w:hAnsi="Book Antiqua" w:cs="Book Antiqua"/>
          <w:b/>
          <w:sz w:val="28"/>
          <w:szCs w:val="28"/>
        </w:rPr>
        <w:lastRenderedPageBreak/>
        <w:t>Violencia contra las mujeres en la Inteligencia Artificial (IA)</w:t>
      </w:r>
    </w:p>
    <w:p w14:paraId="6AF53027" w14:textId="77777777" w:rsidR="00443CD6" w:rsidRDefault="00000000">
      <w:pPr>
        <w:jc w:val="both"/>
        <w:rPr>
          <w:rFonts w:ascii="Book Antiqua" w:eastAsia="Book Antiqua" w:hAnsi="Book Antiqua" w:cs="Book Antiqua"/>
        </w:rPr>
      </w:pPr>
      <w:r>
        <w:rPr>
          <w:rFonts w:ascii="Book Antiqua" w:eastAsia="Book Antiqua" w:hAnsi="Book Antiqua" w:cs="Book Antiqua"/>
        </w:rPr>
        <w:t>Informe</w:t>
      </w:r>
    </w:p>
    <w:p w14:paraId="5B454479" w14:textId="77777777" w:rsidR="00443CD6" w:rsidRDefault="00000000">
      <w:pPr>
        <w:numPr>
          <w:ilvl w:val="0"/>
          <w:numId w:val="6"/>
        </w:numPr>
        <w:pBdr>
          <w:top w:val="nil"/>
          <w:left w:val="nil"/>
          <w:bottom w:val="nil"/>
          <w:right w:val="nil"/>
          <w:between w:val="nil"/>
        </w:pBdr>
        <w:spacing w:after="0"/>
        <w:jc w:val="both"/>
        <w:rPr>
          <w:rFonts w:ascii="Book Antiqua" w:eastAsia="Book Antiqua" w:hAnsi="Book Antiqua" w:cs="Book Antiqua"/>
          <w:color w:val="000000"/>
        </w:rPr>
      </w:pPr>
      <w:r>
        <w:rPr>
          <w:rFonts w:ascii="Book Antiqua" w:eastAsia="Book Antiqua" w:hAnsi="Book Antiqua" w:cs="Book Antiqua"/>
          <w:color w:val="000000"/>
        </w:rPr>
        <w:t xml:space="preserve">Dado el rápido avance tecnológico, adaptabilidad y aprendizaje de la IA, en México los usuarios han fomentado prácticas que demeritan y crean un entorno inseguro para las mujeres en la web. Algunos casos son: 1) </w:t>
      </w:r>
      <w:r>
        <w:rPr>
          <w:rFonts w:ascii="Book Antiqua" w:eastAsia="Book Antiqua" w:hAnsi="Book Antiqua" w:cs="Book Antiqua"/>
          <w:i/>
          <w:color w:val="000000"/>
        </w:rPr>
        <w:t>Deepfake</w:t>
      </w:r>
      <w:r>
        <w:rPr>
          <w:rFonts w:ascii="Book Antiqua" w:eastAsia="Book Antiqua" w:hAnsi="Book Antiqua" w:cs="Book Antiqua"/>
          <w:color w:val="000000"/>
        </w:rPr>
        <w:t xml:space="preserve"> pornográfico; 2) la generación de perfiles falsos creados por medio de IA, que fomentan el acoso en línea, con la intención de difamar o amenazar a mujeres; 3) la ineficacia de la IA para identificar, detectar y moderar discursos de odio o acoso sexual contra mujeres en plataformas en línea; 4) seguimiento y reconocimiento facial, lo que podría tener implicaciones para la privacidad de las mujeres si se utiliza para rastrearlas o identificarlas; y 5) en cuestiones de privacidad y seguridad, es preocupante la recopilación de datos personales sensibles y biométricos que puede poner en riesgo la privacidad de las mujeres (Vega Montiel, et. al, 2023).</w:t>
      </w:r>
    </w:p>
    <w:p w14:paraId="0B60CB60" w14:textId="77777777" w:rsidR="00443CD6" w:rsidRDefault="00000000">
      <w:pPr>
        <w:numPr>
          <w:ilvl w:val="0"/>
          <w:numId w:val="6"/>
        </w:numPr>
        <w:pBdr>
          <w:top w:val="nil"/>
          <w:left w:val="nil"/>
          <w:bottom w:val="nil"/>
          <w:right w:val="nil"/>
          <w:between w:val="nil"/>
        </w:pBdr>
        <w:spacing w:after="0"/>
        <w:jc w:val="both"/>
        <w:rPr>
          <w:rFonts w:ascii="Book Antiqua" w:eastAsia="Book Antiqua" w:hAnsi="Book Antiqua" w:cs="Book Antiqua"/>
          <w:color w:val="000000"/>
        </w:rPr>
      </w:pPr>
      <w:r>
        <w:rPr>
          <w:rFonts w:ascii="Book Antiqua" w:eastAsia="Book Antiqua" w:hAnsi="Book Antiqua" w:cs="Book Antiqua"/>
          <w:color w:val="000000"/>
        </w:rPr>
        <w:t xml:space="preserve">A pesar de que México ha continuado con la tendencia internacional para atender a la regulación digital y de algunas características de la IA (E.E.U.U., 2022; Comisión Europea 2023), el avance en esta materia aún es relativo. De acuerdo con la Asociación de Internet MX, de los 88.6 millones de internautas en México en 2021, 22.1% usuarios fueron </w:t>
      </w:r>
      <w:r>
        <w:rPr>
          <w:rFonts w:ascii="Book Antiqua" w:eastAsia="Book Antiqua" w:hAnsi="Book Antiqua" w:cs="Book Antiqua"/>
        </w:rPr>
        <w:t>víctimas</w:t>
      </w:r>
      <w:r>
        <w:rPr>
          <w:rFonts w:ascii="Book Antiqua" w:eastAsia="Book Antiqua" w:hAnsi="Book Antiqua" w:cs="Book Antiqua"/>
          <w:color w:val="000000"/>
        </w:rPr>
        <w:t xml:space="preserve"> de algún tipo de vulneración cibernética (AIMX, 2022), mientras que </w:t>
      </w:r>
      <w:r>
        <w:rPr>
          <w:rFonts w:ascii="Book Antiqua" w:eastAsia="Book Antiqua" w:hAnsi="Book Antiqua" w:cs="Book Antiqua"/>
          <w:i/>
          <w:color w:val="000000"/>
        </w:rPr>
        <w:t>FortiGuard Labs</w:t>
      </w:r>
      <w:r>
        <w:rPr>
          <w:rFonts w:ascii="Book Antiqua" w:eastAsia="Book Antiqua" w:hAnsi="Book Antiqua" w:cs="Book Antiqua"/>
          <w:color w:val="000000"/>
        </w:rPr>
        <w:t>, reportó que México fue el país más atacado de la región Latinoamericana, con 85 mil millones de intentos de ciberataques (Fortinet, 2022).</w:t>
      </w:r>
    </w:p>
    <w:p w14:paraId="1B66C731" w14:textId="77777777" w:rsidR="00443CD6" w:rsidRDefault="00000000">
      <w:pPr>
        <w:numPr>
          <w:ilvl w:val="0"/>
          <w:numId w:val="6"/>
        </w:numPr>
        <w:pBdr>
          <w:top w:val="nil"/>
          <w:left w:val="nil"/>
          <w:bottom w:val="nil"/>
          <w:right w:val="nil"/>
          <w:between w:val="nil"/>
        </w:pBdr>
        <w:spacing w:after="0"/>
        <w:jc w:val="both"/>
        <w:rPr>
          <w:rFonts w:ascii="Book Antiqua" w:eastAsia="Book Antiqua" w:hAnsi="Book Antiqua" w:cs="Book Antiqua"/>
        </w:rPr>
      </w:pPr>
      <w:r>
        <w:rPr>
          <w:rFonts w:ascii="Book Antiqua" w:eastAsia="Book Antiqua" w:hAnsi="Book Antiqua" w:cs="Book Antiqua"/>
        </w:rPr>
        <w:t xml:space="preserve">En cuanto a la elaboración y difusión de pornografía generada por Inteligencia Artificial, compañías como Security Hero reportan que el 99% de este contenido afecta directamente a mujeres (Security Hero, 2023). Casos recientes, revelan que la producción de este tipo de pornografía generada por IA, además de ser ampliamente comercializada, carece de un marco legal para brindar a las víctimas atención y justicia. </w:t>
      </w:r>
      <w:r>
        <w:rPr>
          <w:rFonts w:ascii="Arial" w:eastAsia="Arial" w:hAnsi="Arial" w:cs="Arial"/>
          <w:sz w:val="20"/>
          <w:szCs w:val="20"/>
        </w:rPr>
        <w:t xml:space="preserve"> </w:t>
      </w:r>
    </w:p>
    <w:p w14:paraId="50F467CF" w14:textId="261B5F3E" w:rsidR="00443CD6" w:rsidRDefault="00000000">
      <w:pPr>
        <w:numPr>
          <w:ilvl w:val="0"/>
          <w:numId w:val="6"/>
        </w:numPr>
        <w:pBdr>
          <w:top w:val="nil"/>
          <w:left w:val="nil"/>
          <w:bottom w:val="nil"/>
          <w:right w:val="nil"/>
          <w:between w:val="nil"/>
        </w:pBdr>
        <w:jc w:val="both"/>
        <w:rPr>
          <w:rFonts w:ascii="Book Antiqua" w:eastAsia="Book Antiqua" w:hAnsi="Book Antiqua" w:cs="Book Antiqua"/>
          <w:color w:val="000000"/>
        </w:rPr>
      </w:pPr>
      <w:r>
        <w:rPr>
          <w:rFonts w:ascii="Book Antiqua" w:eastAsia="Book Antiqua" w:hAnsi="Book Antiqua" w:cs="Book Antiqua"/>
          <w:color w:val="000000"/>
        </w:rPr>
        <w:t>La legislación vigente en este rubro incluye tres instrumentos</w:t>
      </w:r>
      <w:r>
        <w:rPr>
          <w:rFonts w:ascii="Book Antiqua" w:eastAsia="Book Antiqua" w:hAnsi="Book Antiqua" w:cs="Book Antiqua"/>
          <w:color w:val="000000"/>
          <w:vertAlign w:val="superscript"/>
        </w:rPr>
        <w:footnoteReference w:id="14"/>
      </w:r>
      <w:r>
        <w:rPr>
          <w:rFonts w:ascii="Book Antiqua" w:eastAsia="Book Antiqua" w:hAnsi="Book Antiqua" w:cs="Book Antiqua"/>
          <w:color w:val="000000"/>
        </w:rPr>
        <w:t xml:space="preserve">. Sin embargo, en materia de violencia digital contra las mujeres, la modificación al Código Penal y a la </w:t>
      </w:r>
      <w:r>
        <w:rPr>
          <w:rFonts w:ascii="Book Antiqua" w:eastAsia="Book Antiqua" w:hAnsi="Book Antiqua" w:cs="Book Antiqua"/>
          <w:i/>
          <w:color w:val="000000"/>
        </w:rPr>
        <w:t>Ley General de Acceso de las Mujeres a una Vida Libre de Violencia</w:t>
      </w:r>
      <w:r>
        <w:rPr>
          <w:rFonts w:ascii="Book Antiqua" w:eastAsia="Book Antiqua" w:hAnsi="Book Antiqua" w:cs="Book Antiqua"/>
          <w:color w:val="000000"/>
        </w:rPr>
        <w:t>, no define</w:t>
      </w:r>
      <w:r w:rsidR="00FD4507">
        <w:rPr>
          <w:rFonts w:ascii="Book Antiqua" w:eastAsia="Book Antiqua" w:hAnsi="Book Antiqua" w:cs="Book Antiqua"/>
          <w:color w:val="000000"/>
        </w:rPr>
        <w:t>n</w:t>
      </w:r>
      <w:r>
        <w:rPr>
          <w:rFonts w:ascii="Book Antiqua" w:eastAsia="Book Antiqua" w:hAnsi="Book Antiqua" w:cs="Book Antiqua"/>
          <w:color w:val="000000"/>
        </w:rPr>
        <w:t xml:space="preserve"> ni tipifican temáticas relevantes que podrían dar paso a la atención a tipos de violencia que se están generando a partir del uso de la IA, las cuales incluyen desde la vigilancia y el acceso no autorizado a cuentas en línea, hasta el uso de la imagen, biométricos y datos sensibles que pongan en peligro a las mujeres.</w:t>
      </w:r>
    </w:p>
    <w:p w14:paraId="5EC6AA00" w14:textId="77777777" w:rsidR="00FD4507" w:rsidRDefault="00FD4507">
      <w:pPr>
        <w:jc w:val="both"/>
        <w:rPr>
          <w:rFonts w:ascii="Book Antiqua" w:eastAsia="Book Antiqua" w:hAnsi="Book Antiqua" w:cs="Book Antiqua"/>
        </w:rPr>
      </w:pPr>
    </w:p>
    <w:p w14:paraId="4B3F5534" w14:textId="6BA2C75A" w:rsidR="00443CD6" w:rsidRDefault="00000000">
      <w:pPr>
        <w:jc w:val="both"/>
        <w:rPr>
          <w:rFonts w:ascii="Book Antiqua" w:eastAsia="Book Antiqua" w:hAnsi="Book Antiqua" w:cs="Book Antiqua"/>
        </w:rPr>
      </w:pPr>
      <w:r>
        <w:rPr>
          <w:rFonts w:ascii="Book Antiqua" w:eastAsia="Book Antiqua" w:hAnsi="Book Antiqua" w:cs="Book Antiqua"/>
        </w:rPr>
        <w:lastRenderedPageBreak/>
        <w:t>Recomendaciones</w:t>
      </w:r>
      <w:r w:rsidR="0055051C">
        <w:rPr>
          <w:rFonts w:ascii="Book Antiqua" w:eastAsia="Book Antiqua" w:hAnsi="Book Antiqua" w:cs="Book Antiqua"/>
        </w:rPr>
        <w:t xml:space="preserve"> al Estado Mexicano</w:t>
      </w:r>
    </w:p>
    <w:p w14:paraId="57B48009" w14:textId="77777777" w:rsidR="00443CD6" w:rsidRDefault="00000000">
      <w:pPr>
        <w:numPr>
          <w:ilvl w:val="0"/>
          <w:numId w:val="5"/>
        </w:numPr>
        <w:pBdr>
          <w:top w:val="nil"/>
          <w:left w:val="nil"/>
          <w:bottom w:val="nil"/>
          <w:right w:val="nil"/>
          <w:between w:val="nil"/>
        </w:pBdr>
        <w:spacing w:after="0" w:line="259" w:lineRule="auto"/>
        <w:jc w:val="both"/>
        <w:rPr>
          <w:rFonts w:ascii="Book Antiqua" w:eastAsia="Book Antiqua" w:hAnsi="Book Antiqua" w:cs="Book Antiqua"/>
          <w:color w:val="000000"/>
        </w:rPr>
      </w:pPr>
      <w:r>
        <w:rPr>
          <w:rFonts w:ascii="Book Antiqua" w:eastAsia="Book Antiqua" w:hAnsi="Book Antiqua" w:cs="Book Antiqua"/>
          <w:color w:val="000000"/>
        </w:rPr>
        <w:t>Adopción de medidas legislativas que permitan enmarcar las acciones de los particulares que ofrecen servicios de Inteligencia Artificial, de manera que prioricen el cuidado de los datos de los y las usuarias.</w:t>
      </w:r>
    </w:p>
    <w:p w14:paraId="42A0B26F" w14:textId="77777777" w:rsidR="00443CD6" w:rsidRDefault="00000000">
      <w:pPr>
        <w:numPr>
          <w:ilvl w:val="0"/>
          <w:numId w:val="5"/>
        </w:numPr>
        <w:pBdr>
          <w:top w:val="nil"/>
          <w:left w:val="nil"/>
          <w:bottom w:val="nil"/>
          <w:right w:val="nil"/>
          <w:between w:val="nil"/>
        </w:pBdr>
        <w:spacing w:after="0" w:line="259" w:lineRule="auto"/>
        <w:jc w:val="both"/>
        <w:rPr>
          <w:rFonts w:ascii="Book Antiqua" w:eastAsia="Book Antiqua" w:hAnsi="Book Antiqua" w:cs="Book Antiqua"/>
          <w:color w:val="000000"/>
        </w:rPr>
      </w:pPr>
      <w:r>
        <w:rPr>
          <w:rFonts w:ascii="Book Antiqua" w:eastAsia="Book Antiqua" w:hAnsi="Book Antiqua" w:cs="Book Antiqua"/>
          <w:color w:val="000000"/>
        </w:rPr>
        <w:t xml:space="preserve">Fomentar la evaluación de las herramientas de Inteligencia Artificial, enfatizado la protección de datos y la transparencia para la rendición de cuentas a la ciudadanía. </w:t>
      </w:r>
    </w:p>
    <w:p w14:paraId="29EA2C02" w14:textId="5FA81A40" w:rsidR="00443CD6" w:rsidRDefault="00000000">
      <w:pPr>
        <w:numPr>
          <w:ilvl w:val="0"/>
          <w:numId w:val="5"/>
        </w:numPr>
        <w:pBdr>
          <w:top w:val="nil"/>
          <w:left w:val="nil"/>
          <w:bottom w:val="nil"/>
          <w:right w:val="nil"/>
          <w:between w:val="nil"/>
        </w:pBdr>
        <w:spacing w:after="160" w:line="259" w:lineRule="auto"/>
        <w:jc w:val="both"/>
        <w:rPr>
          <w:rFonts w:ascii="Book Antiqua" w:eastAsia="Book Antiqua" w:hAnsi="Book Antiqua" w:cs="Book Antiqua"/>
          <w:color w:val="000000"/>
        </w:rPr>
      </w:pPr>
      <w:r>
        <w:rPr>
          <w:rFonts w:ascii="Book Antiqua" w:eastAsia="Book Antiqua" w:hAnsi="Book Antiqua" w:cs="Book Antiqua"/>
          <w:color w:val="000000"/>
        </w:rPr>
        <w:t xml:space="preserve">Mejora de la ciberseguridad y protección de datos con la finalidad de velar por el derecho a la privacidad de la ciudadanía, dada la creciente amenaza de ciberataques y vulneraciones de la privacidad, </w:t>
      </w:r>
      <w:r w:rsidR="00FD4507">
        <w:rPr>
          <w:rFonts w:ascii="Book Antiqua" w:eastAsia="Book Antiqua" w:hAnsi="Book Antiqua" w:cs="Book Antiqua"/>
          <w:color w:val="000000"/>
        </w:rPr>
        <w:t>instar</w:t>
      </w:r>
      <w:r>
        <w:rPr>
          <w:rFonts w:ascii="Book Antiqua" w:eastAsia="Book Antiqua" w:hAnsi="Book Antiqua" w:cs="Book Antiqua"/>
          <w:color w:val="000000"/>
        </w:rPr>
        <w:t xml:space="preserve"> al Estado a fortalecer las medidas de ciberseguridad y a garantizar el cumplimiento de las leyes existentes.</w:t>
      </w:r>
    </w:p>
    <w:p w14:paraId="17A720D8"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663997D9"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2BB4DA34"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7C032BD9"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037DA275"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4BE68A1C"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38BD2857"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57CD945E"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17B2509C"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4289F3BA"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6759B638"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4961E879"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0A8B552B"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581A0538"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382F37F3"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4F09A491"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24563EB6"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5D04BCEC"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7433F7F2"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2B939D8C"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50938F61"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6C595575"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6D544215"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1EE8A606"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5615FD6B"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52FFC525"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25859FA6"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4DAA31E2"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18C512E0"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380533C6"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27986471"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1100B87C"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42ADB0D4"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7D5D2DCA"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31DF4DCA"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55302F47"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77AC1289" w14:textId="77777777" w:rsidR="00FD4507" w:rsidRDefault="00FD4507">
      <w:pPr>
        <w:pBdr>
          <w:top w:val="nil"/>
          <w:left w:val="nil"/>
          <w:bottom w:val="nil"/>
          <w:right w:val="nil"/>
          <w:between w:val="nil"/>
        </w:pBdr>
        <w:spacing w:after="0" w:line="240" w:lineRule="auto"/>
        <w:jc w:val="both"/>
        <w:rPr>
          <w:rFonts w:ascii="Book Antiqua" w:eastAsia="Book Antiqua" w:hAnsi="Book Antiqua" w:cs="Book Antiqua"/>
          <w:color w:val="000000"/>
        </w:rPr>
      </w:pPr>
    </w:p>
    <w:p w14:paraId="01A3C954" w14:textId="77777777" w:rsidR="00443CD6" w:rsidRDefault="00000000">
      <w:pPr>
        <w:pBdr>
          <w:top w:val="nil"/>
          <w:left w:val="nil"/>
          <w:bottom w:val="nil"/>
          <w:right w:val="nil"/>
          <w:between w:val="nil"/>
        </w:pBdr>
        <w:spacing w:after="0" w:line="240" w:lineRule="auto"/>
        <w:jc w:val="center"/>
        <w:rPr>
          <w:rFonts w:ascii="Book Antiqua" w:eastAsia="Book Antiqua" w:hAnsi="Book Antiqua" w:cs="Book Antiqua"/>
          <w:b/>
          <w:color w:val="000000"/>
          <w:sz w:val="28"/>
          <w:szCs w:val="28"/>
        </w:rPr>
      </w:pPr>
      <w:r>
        <w:rPr>
          <w:rFonts w:ascii="Book Antiqua" w:eastAsia="Book Antiqua" w:hAnsi="Book Antiqua" w:cs="Book Antiqua"/>
          <w:b/>
          <w:color w:val="000000"/>
          <w:sz w:val="28"/>
          <w:szCs w:val="28"/>
        </w:rPr>
        <w:lastRenderedPageBreak/>
        <w:t>Derecho a la Información</w:t>
      </w:r>
    </w:p>
    <w:p w14:paraId="036F3A3E"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5D19FBC5"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48DC9016"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50907C93" w14:textId="6BDA34D0" w:rsidR="00443CD6" w:rsidRDefault="0004758A">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E derecho a la información pública gubernamental en México, registra un retroceso muy grave en su garantía, ya que el Gobierno Federal eliminó al Instituto Nacional de Acceso a la Información (INAI), que era el encargado de garantizar este derecho, con el argumento de que no cumplía con el objetivo de combatir la corrupción. </w:t>
      </w:r>
    </w:p>
    <w:p w14:paraId="5207F269" w14:textId="6C875503"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Las leyes de Acceso</w:t>
      </w:r>
      <w:r w:rsidR="0004758A">
        <w:rPr>
          <w:rFonts w:ascii="Book Antiqua" w:eastAsia="Book Antiqua" w:hAnsi="Book Antiqua" w:cs="Book Antiqua"/>
          <w:color w:val="000000"/>
        </w:rPr>
        <w:t xml:space="preserve"> de las mujeres</w:t>
      </w:r>
      <w:r>
        <w:rPr>
          <w:rFonts w:ascii="Book Antiqua" w:eastAsia="Book Antiqua" w:hAnsi="Book Antiqua" w:cs="Book Antiqua"/>
          <w:color w:val="000000"/>
        </w:rPr>
        <w:t xml:space="preserve"> a una vida libre de violencia, Igualdad, No Discriminación y Contra la Trata</w:t>
      </w:r>
      <w:r w:rsidR="0004758A">
        <w:rPr>
          <w:rFonts w:ascii="Book Antiqua" w:eastAsia="Book Antiqua" w:hAnsi="Book Antiqua" w:cs="Book Antiqua"/>
          <w:color w:val="000000"/>
        </w:rPr>
        <w:t>,</w:t>
      </w:r>
      <w:r>
        <w:rPr>
          <w:rFonts w:ascii="Book Antiqua" w:eastAsia="Book Antiqua" w:hAnsi="Book Antiqua" w:cs="Book Antiqua"/>
          <w:color w:val="000000"/>
        </w:rPr>
        <w:t xml:space="preserve"> establecen que se debe generar información con perspectiva de género sobre la situación de las mujeres y las niñas</w:t>
      </w:r>
      <w:r w:rsidR="0004758A">
        <w:rPr>
          <w:rFonts w:ascii="Book Antiqua" w:eastAsia="Book Antiqua" w:hAnsi="Book Antiqua" w:cs="Book Antiqua"/>
          <w:color w:val="000000"/>
        </w:rPr>
        <w:t xml:space="preserve"> en México</w:t>
      </w:r>
      <w:r>
        <w:rPr>
          <w:rFonts w:ascii="Book Antiqua" w:eastAsia="Book Antiqua" w:hAnsi="Book Antiqua" w:cs="Book Antiqua"/>
          <w:color w:val="000000"/>
          <w:vertAlign w:val="superscript"/>
        </w:rPr>
        <w:footnoteReference w:id="15"/>
      </w:r>
      <w:r>
        <w:rPr>
          <w:rFonts w:ascii="Book Antiqua" w:eastAsia="Book Antiqua" w:hAnsi="Book Antiqua" w:cs="Book Antiqua"/>
          <w:color w:val="000000"/>
        </w:rPr>
        <w:t xml:space="preserve">. De 2019 a la fecha ha habido un retroceso en el cumplimiento de las obligaciones del Gobierno Federal. Por ejemplo, en 2019 anunció el recorte presupuestal al INEGI, por lo que dejaron de realizarse la Encuesta Nacional de Acceso a la Información Pública y Protección de Datos Personales, </w:t>
      </w:r>
      <w:r w:rsidR="0004758A">
        <w:rPr>
          <w:rFonts w:ascii="Book Antiqua" w:eastAsia="Book Antiqua" w:hAnsi="Book Antiqua" w:cs="Book Antiqua"/>
          <w:color w:val="000000"/>
        </w:rPr>
        <w:t xml:space="preserve">se vieron afectadas la </w:t>
      </w:r>
      <w:r>
        <w:rPr>
          <w:rFonts w:ascii="Book Antiqua" w:eastAsia="Book Antiqua" w:hAnsi="Book Antiqua" w:cs="Book Antiqua"/>
          <w:color w:val="000000"/>
        </w:rPr>
        <w:t>Encuesta Nacional de las Dinámicas de Relación en los Hogares y Encuesta Nacional de Trabajo Infantil</w:t>
      </w:r>
      <w:r>
        <w:rPr>
          <w:rFonts w:ascii="Book Antiqua" w:eastAsia="Book Antiqua" w:hAnsi="Book Antiqua" w:cs="Book Antiqua"/>
          <w:color w:val="000000"/>
          <w:vertAlign w:val="superscript"/>
        </w:rPr>
        <w:footnoteReference w:id="16"/>
      </w:r>
      <w:r>
        <w:rPr>
          <w:rFonts w:ascii="Book Antiqua" w:eastAsia="Book Antiqua" w:hAnsi="Book Antiqua" w:cs="Book Antiqua"/>
          <w:color w:val="000000"/>
        </w:rPr>
        <w:t>.</w:t>
      </w:r>
    </w:p>
    <w:p w14:paraId="15EB8C46" w14:textId="75D60562"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lastRenderedPageBreak/>
        <w:t>Organismos autónomos como la Comisión Nacional de Derechos Humanos (CNDH)</w:t>
      </w:r>
      <w:r w:rsidR="005319AD">
        <w:rPr>
          <w:rFonts w:ascii="Book Antiqua" w:eastAsia="Book Antiqua" w:hAnsi="Book Antiqua" w:cs="Book Antiqua"/>
          <w:color w:val="000000"/>
        </w:rPr>
        <w:t>,</w:t>
      </w:r>
      <w:r>
        <w:rPr>
          <w:rFonts w:ascii="Book Antiqua" w:eastAsia="Book Antiqua" w:hAnsi="Book Antiqua" w:cs="Book Antiqua"/>
          <w:color w:val="000000"/>
        </w:rPr>
        <w:t xml:space="preserve"> han incurrido en incumplimiento de sus obligaciones en esta materia. La Comisión es encargada del seguimiento, evaluación y monitoreo de la política nacional en materia de igualdad entre mujeres y hombres, por lo que debe generar un sistema de información. Al respecto, en 2020 creó el Atlas de </w:t>
      </w:r>
      <w:r w:rsidR="005319AD">
        <w:rPr>
          <w:rFonts w:ascii="Book Antiqua" w:eastAsia="Book Antiqua" w:hAnsi="Book Antiqua" w:cs="Book Antiqua"/>
          <w:color w:val="000000"/>
        </w:rPr>
        <w:t>I</w:t>
      </w:r>
      <w:r>
        <w:rPr>
          <w:rFonts w:ascii="Book Antiqua" w:eastAsia="Book Antiqua" w:hAnsi="Book Antiqua" w:cs="Book Antiqua"/>
          <w:color w:val="000000"/>
        </w:rPr>
        <w:t xml:space="preserve">gualdad y </w:t>
      </w:r>
      <w:r w:rsidR="005319AD">
        <w:rPr>
          <w:rFonts w:ascii="Book Antiqua" w:eastAsia="Book Antiqua" w:hAnsi="Book Antiqua" w:cs="Book Antiqua"/>
          <w:color w:val="000000"/>
        </w:rPr>
        <w:t>D</w:t>
      </w:r>
      <w:r>
        <w:rPr>
          <w:rFonts w:ascii="Book Antiqua" w:eastAsia="Book Antiqua" w:hAnsi="Book Antiqua" w:cs="Book Antiqua"/>
          <w:color w:val="000000"/>
        </w:rPr>
        <w:t xml:space="preserve">erechos </w:t>
      </w:r>
      <w:r w:rsidR="005319AD">
        <w:rPr>
          <w:rFonts w:ascii="Book Antiqua" w:eastAsia="Book Antiqua" w:hAnsi="Book Antiqua" w:cs="Book Antiqua"/>
          <w:color w:val="000000"/>
        </w:rPr>
        <w:t>H</w:t>
      </w:r>
      <w:r>
        <w:rPr>
          <w:rFonts w:ascii="Book Antiqua" w:eastAsia="Book Antiqua" w:hAnsi="Book Antiqua" w:cs="Book Antiqua"/>
          <w:color w:val="000000"/>
        </w:rPr>
        <w:t>umanos, pero no ha sido actualizado y no evalúa la política de igualdad.</w:t>
      </w:r>
    </w:p>
    <w:p w14:paraId="08712303" w14:textId="77777777"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Se ha obstaculizado el acceso a las sentencias en materia de discriminación y violencia contra las mujeres, sobretodo a nivel local, contraviniendo una de las recomendaciones del CoCEDAW, referente a la publicación de todas las decisiones de los tribunales.</w:t>
      </w:r>
    </w:p>
    <w:p w14:paraId="7758EBCD"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41D04D26" w14:textId="77777777" w:rsidR="0055051C" w:rsidRDefault="0055051C">
      <w:pPr>
        <w:pBdr>
          <w:top w:val="nil"/>
          <w:left w:val="nil"/>
          <w:bottom w:val="nil"/>
          <w:right w:val="nil"/>
          <w:between w:val="nil"/>
        </w:pBdr>
        <w:spacing w:after="0" w:line="240" w:lineRule="auto"/>
        <w:jc w:val="both"/>
        <w:rPr>
          <w:rFonts w:ascii="Book Antiqua" w:eastAsia="Book Antiqua" w:hAnsi="Book Antiqua" w:cs="Book Antiqua"/>
          <w:color w:val="000000"/>
        </w:rPr>
      </w:pPr>
    </w:p>
    <w:p w14:paraId="22A027F3" w14:textId="0AD5A965"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Recomendaciones</w:t>
      </w:r>
      <w:r w:rsidR="0055051C">
        <w:rPr>
          <w:rFonts w:ascii="Book Antiqua" w:eastAsia="Book Antiqua" w:hAnsi="Book Antiqua" w:cs="Book Antiqua"/>
          <w:color w:val="000000"/>
        </w:rPr>
        <w:t xml:space="preserve"> al Estado Mexicano</w:t>
      </w:r>
    </w:p>
    <w:p w14:paraId="75295DF4"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4F06612F"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Articular todo el marco legal sobre producción, archivo, clasificación, acceso, difusión y usos sociales de la información pública, para que se garantice  el derecho a la información como un derecho humano integral.</w:t>
      </w:r>
    </w:p>
    <w:p w14:paraId="42CB388B"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Las instituciones deben cumplir con el mandato de las obligaciones de transparencia con perspectiva de género, discapacidad y multiculturalidad. Deben desarrollar indicadores para valorar su cumplimiento.</w:t>
      </w:r>
    </w:p>
    <w:p w14:paraId="0944F8A0"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Designar presupuesto etiquetado para la elaboración periódica de campañas, estudios, diagnósticos y estadísticas sobre la situación de las mujeres en diferentes ámbitos (educativo, salud, empleo, participación política), incluyendo la violencia contra las mujeres y la trata de personas.</w:t>
      </w:r>
    </w:p>
    <w:p w14:paraId="3602DA95" w14:textId="1240FA0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Los bancos de datos sobre violencia contra las mujeres deben </w:t>
      </w:r>
      <w:r w:rsidR="005319AD">
        <w:rPr>
          <w:rFonts w:ascii="Book Antiqua" w:eastAsia="Book Antiqua" w:hAnsi="Book Antiqua" w:cs="Book Antiqua"/>
          <w:color w:val="000000"/>
        </w:rPr>
        <w:t>contar con</w:t>
      </w:r>
      <w:r>
        <w:rPr>
          <w:rFonts w:ascii="Book Antiqua" w:eastAsia="Book Antiqua" w:hAnsi="Book Antiqua" w:cs="Book Antiqua"/>
          <w:color w:val="000000"/>
        </w:rPr>
        <w:t xml:space="preserve"> su versión pública, así como todas las bases de datos públicas que contengan información desglosada por sexo, y deben estar contenidas en los sitios de transparencia. </w:t>
      </w:r>
    </w:p>
    <w:p w14:paraId="26885268"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La CNDH debe generar un sistema de información sobre la situación de la igualdad entre hombres y mujeres y el efecto de las políticas públicas.</w:t>
      </w:r>
    </w:p>
    <w:p w14:paraId="56CE362C"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Cumplir con todas las obligación sobre derecho a la información que mandata la Ley General de Trata.</w:t>
      </w:r>
    </w:p>
    <w:p w14:paraId="40012062"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El Poder Legislativo debe reformar la Ley General de Acceso a la Información para explicitar la obligación del Poder Judicial de publicar la versión pública de todas las sentencias, con énfasis en aquellas en materia de derechos humanos de las mujeres.</w:t>
      </w:r>
    </w:p>
    <w:p w14:paraId="064426BF"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Las instituciones públicas, a todos los niveles, deben cumplir todas las obligaciones de derecho a la información que deriven de los marcos legales nacionales que reconocen y protegen los derechos humanos de las mujeres.</w:t>
      </w:r>
    </w:p>
    <w:p w14:paraId="7F8F2A60"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Los órganos garantes del derecho a la información deben cumplir con sus obligaciones</w:t>
      </w:r>
      <w:r>
        <w:rPr>
          <w:rFonts w:ascii="Book Antiqua" w:eastAsia="Book Antiqua" w:hAnsi="Book Antiqua" w:cs="Book Antiqua"/>
          <w:color w:val="000000"/>
          <w:vertAlign w:val="superscript"/>
        </w:rPr>
        <w:footnoteReference w:id="17"/>
      </w:r>
      <w:r>
        <w:rPr>
          <w:rFonts w:ascii="Book Antiqua" w:eastAsia="Book Antiqua" w:hAnsi="Book Antiqua" w:cs="Book Antiqua"/>
          <w:color w:val="000000"/>
        </w:rPr>
        <w:t>.</w:t>
      </w:r>
    </w:p>
    <w:p w14:paraId="32599F89"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lastRenderedPageBreak/>
        <w:t>Promover espacios de participación ciudadana que tengan el objetivo de generar información pública útil sobre los derechos humanos de las mujeres.</w:t>
      </w:r>
    </w:p>
    <w:p w14:paraId="334A0B95" w14:textId="77777777" w:rsidR="00443CD6" w:rsidRDefault="00000000">
      <w:pPr>
        <w:numPr>
          <w:ilvl w:val="0"/>
          <w:numId w:val="9"/>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Legislar sobre la información de interés público que está en posesión de empresas privadas, que les obligue a generar y dar acceso a información con perspectiva de género.</w:t>
      </w:r>
    </w:p>
    <w:p w14:paraId="3AAB318A"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411A5A2E" w14:textId="77777777" w:rsidR="0055051C" w:rsidRDefault="0055051C">
      <w:pPr>
        <w:pBdr>
          <w:top w:val="nil"/>
          <w:left w:val="nil"/>
          <w:bottom w:val="nil"/>
          <w:right w:val="nil"/>
          <w:between w:val="nil"/>
        </w:pBdr>
        <w:spacing w:after="0" w:line="240" w:lineRule="auto"/>
        <w:jc w:val="both"/>
        <w:rPr>
          <w:rFonts w:ascii="Book Antiqua" w:eastAsia="Book Antiqua" w:hAnsi="Book Antiqua" w:cs="Book Antiqua"/>
          <w:color w:val="000000"/>
        </w:rPr>
      </w:pPr>
    </w:p>
    <w:p w14:paraId="6CD22E76"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702B8C4E"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45B2EAC0"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0CFE10B2"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05AB6999"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1A0667D8"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0E83664"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6C5770E"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8EBA03B"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2D70FDDB"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1DBA3D0C"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72F4E43A"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51A0A538"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63E69BC6"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1EB9BCAA"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273CD938"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8ECBB6A"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357FE6A"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7DCD4781"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0FD2F49D"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112C1C6D"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470C960"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67D6706B"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26AA7D01"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5A06E0A8"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0106FAE9"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0731AEB3"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7A4EE633"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606A9024"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76D73557"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0CAEFD59"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91F2CA4"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57D2F31"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6CACDA06"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13D8D1AA"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3B44C949" w14:textId="77777777" w:rsidR="005319AD" w:rsidRDefault="005319AD">
      <w:pPr>
        <w:pBdr>
          <w:top w:val="nil"/>
          <w:left w:val="nil"/>
          <w:bottom w:val="nil"/>
          <w:right w:val="nil"/>
          <w:between w:val="nil"/>
        </w:pBdr>
        <w:spacing w:after="0" w:line="240" w:lineRule="auto"/>
        <w:jc w:val="both"/>
        <w:rPr>
          <w:rFonts w:ascii="Book Antiqua" w:eastAsia="Book Antiqua" w:hAnsi="Book Antiqua" w:cs="Book Antiqua"/>
          <w:color w:val="000000"/>
        </w:rPr>
      </w:pPr>
    </w:p>
    <w:p w14:paraId="54984FE0" w14:textId="77777777" w:rsidR="00443CD6" w:rsidRDefault="00000000">
      <w:pPr>
        <w:pBdr>
          <w:top w:val="nil"/>
          <w:left w:val="nil"/>
          <w:bottom w:val="nil"/>
          <w:right w:val="nil"/>
          <w:between w:val="nil"/>
        </w:pBdr>
        <w:spacing w:after="0" w:line="240" w:lineRule="auto"/>
        <w:jc w:val="center"/>
        <w:rPr>
          <w:rFonts w:ascii="Book Antiqua" w:eastAsia="Book Antiqua" w:hAnsi="Book Antiqua" w:cs="Book Antiqua"/>
          <w:b/>
          <w:color w:val="000000"/>
          <w:sz w:val="28"/>
          <w:szCs w:val="28"/>
        </w:rPr>
      </w:pPr>
      <w:r>
        <w:rPr>
          <w:rFonts w:ascii="Book Antiqua" w:eastAsia="Book Antiqua" w:hAnsi="Book Antiqua" w:cs="Book Antiqua"/>
          <w:b/>
          <w:color w:val="000000"/>
          <w:sz w:val="28"/>
          <w:szCs w:val="28"/>
        </w:rPr>
        <w:lastRenderedPageBreak/>
        <w:t>Violencia Política Digital</w:t>
      </w:r>
    </w:p>
    <w:p w14:paraId="723D2EEC"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303DF8D0"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547F1EC0"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2BCB87C3" w14:textId="77777777" w:rsidR="00443CD6"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El conjunto de reformas legales publicadas el 13 de abril de 2020 en materia de violencia política contra las mujeres en razón de género, describe 22 conductas, entre las que NO se encuentra expresamente la violencia política digital, creando un vacío jurídico para la protección de sus derechos políticos y electorales.</w:t>
      </w:r>
    </w:p>
    <w:p w14:paraId="3A241FC7" w14:textId="77777777" w:rsidR="00443CD6"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rPr>
      </w:pPr>
      <w:r>
        <w:rPr>
          <w:rFonts w:ascii="Book Antiqua" w:eastAsia="Book Antiqua" w:hAnsi="Book Antiqua" w:cs="Book Antiqua"/>
        </w:rPr>
        <w:t>Con base en el Informe de la Secretaría Ejecutiva del INE en Materia de violencia política contra las mujeres, entre el 14 de abril de 2020 y el 13 de noviembre de 2023 se recibieron en el INE 319 quejas y denuncias en materia de violencia política contra las mujeres, de las cuales 106 corresponden a ataques en redes sociales</w:t>
      </w:r>
      <w:r>
        <w:rPr>
          <w:rFonts w:ascii="Book Antiqua" w:eastAsia="Book Antiqua" w:hAnsi="Book Antiqua" w:cs="Book Antiqua"/>
          <w:vertAlign w:val="superscript"/>
        </w:rPr>
        <w:footnoteReference w:id="18"/>
      </w:r>
      <w:r>
        <w:rPr>
          <w:rFonts w:ascii="Book Antiqua" w:eastAsia="Book Antiqua" w:hAnsi="Book Antiqua" w:cs="Book Antiqua"/>
        </w:rPr>
        <w:t xml:space="preserve">. De las 75 medidas cautelares solicitadas, 55 han requerido el retiro, suspensión y eliminación de publicaciones, fotografías, videos, imágenes o comentarios realizados en redes sociales, medios de comunicación y plataformas digitales. </w:t>
      </w:r>
    </w:p>
    <w:p w14:paraId="16E3EA44" w14:textId="3AE5C1C8" w:rsidR="00443CD6"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De acuerdo con el </w:t>
      </w:r>
      <w:r>
        <w:rPr>
          <w:rFonts w:ascii="Book Antiqua" w:eastAsia="Book Antiqua" w:hAnsi="Book Antiqua" w:cs="Book Antiqua"/>
          <w:i/>
          <w:color w:val="000000"/>
        </w:rPr>
        <w:t>Manu</w:t>
      </w:r>
      <w:r>
        <w:rPr>
          <w:rFonts w:ascii="Book Antiqua" w:eastAsia="Book Antiqua" w:hAnsi="Book Antiqua" w:cs="Book Antiqua"/>
          <w:i/>
        </w:rPr>
        <w:t>a</w:t>
      </w:r>
      <w:r>
        <w:rPr>
          <w:rFonts w:ascii="Book Antiqua" w:eastAsia="Book Antiqua" w:hAnsi="Book Antiqua" w:cs="Book Antiqua"/>
          <w:i/>
          <w:color w:val="000000"/>
        </w:rPr>
        <w:t xml:space="preserve">l sobre violencia política contra las mujeres en la esfera digital y </w:t>
      </w:r>
      <w:r>
        <w:rPr>
          <w:rFonts w:ascii="Book Antiqua" w:eastAsia="Book Antiqua" w:hAnsi="Book Antiqua" w:cs="Book Antiqua"/>
          <w:i/>
        </w:rPr>
        <w:t>mediática</w:t>
      </w:r>
      <w:r>
        <w:rPr>
          <w:rFonts w:ascii="Book Antiqua" w:eastAsia="Book Antiqua" w:hAnsi="Book Antiqua" w:cs="Book Antiqua"/>
          <w:i/>
          <w:color w:val="000000"/>
        </w:rPr>
        <w:t xml:space="preserve"> </w:t>
      </w:r>
      <w:r>
        <w:rPr>
          <w:rFonts w:ascii="Book Antiqua" w:eastAsia="Book Antiqua" w:hAnsi="Book Antiqua" w:cs="Book Antiqua"/>
          <w:color w:val="000000"/>
        </w:rPr>
        <w:t>del Instituto N</w:t>
      </w:r>
      <w:r>
        <w:rPr>
          <w:rFonts w:ascii="Book Antiqua" w:eastAsia="Book Antiqua" w:hAnsi="Book Antiqua" w:cs="Book Antiqua"/>
        </w:rPr>
        <w:t>acional Electoral (2024)</w:t>
      </w:r>
      <w:r>
        <w:rPr>
          <w:rFonts w:ascii="Book Antiqua" w:eastAsia="Book Antiqua" w:hAnsi="Book Antiqua" w:cs="Book Antiqua"/>
          <w:vertAlign w:val="superscript"/>
        </w:rPr>
        <w:footnoteReference w:id="19"/>
      </w:r>
      <w:r>
        <w:rPr>
          <w:rFonts w:ascii="Book Antiqua" w:eastAsia="Book Antiqua" w:hAnsi="Book Antiqua" w:cs="Book Antiqua"/>
        </w:rPr>
        <w:t>, entre el año 2020 y noviembre de 2023  existen 358 registros de personas sancionadas por violencia política contra las mujeres, de los cuales 126 han sido sancionados por cometer violencia</w:t>
      </w:r>
      <w:r w:rsidR="00A02462">
        <w:rPr>
          <w:rFonts w:ascii="Book Antiqua" w:eastAsia="Book Antiqua" w:hAnsi="Book Antiqua" w:cs="Book Antiqua"/>
        </w:rPr>
        <w:t xml:space="preserve"> política</w:t>
      </w:r>
      <w:r>
        <w:rPr>
          <w:rFonts w:ascii="Book Antiqua" w:eastAsia="Book Antiqua" w:hAnsi="Book Antiqua" w:cs="Book Antiqua"/>
        </w:rPr>
        <w:t xml:space="preserve"> digital o mediática, siendo </w:t>
      </w:r>
      <w:r w:rsidR="00A02462">
        <w:rPr>
          <w:rFonts w:ascii="Book Antiqua" w:eastAsia="Book Antiqua" w:hAnsi="Book Antiqua" w:cs="Book Antiqua"/>
        </w:rPr>
        <w:t>F</w:t>
      </w:r>
      <w:r>
        <w:rPr>
          <w:rFonts w:ascii="Book Antiqua" w:eastAsia="Book Antiqua" w:hAnsi="Book Antiqua" w:cs="Book Antiqua"/>
        </w:rPr>
        <w:t xml:space="preserve">acebook la plataforma más utilizada y los mayores infractores son personas usuarias de redes sociales y medios digitales, lo que refleja un crecimiento exponencial de estas agresiones. </w:t>
      </w:r>
    </w:p>
    <w:p w14:paraId="409EE56E" w14:textId="6254A65C" w:rsidR="00443CD6"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rPr>
      </w:pPr>
      <w:r>
        <w:rPr>
          <w:rFonts w:ascii="Book Antiqua" w:eastAsia="Book Antiqua" w:hAnsi="Book Antiqua" w:cs="Book Antiqua"/>
        </w:rPr>
        <w:t>Sin embargo</w:t>
      </w:r>
      <w:r w:rsidR="004B2F2F">
        <w:rPr>
          <w:rFonts w:ascii="Book Antiqua" w:eastAsia="Book Antiqua" w:hAnsi="Book Antiqua" w:cs="Book Antiqua"/>
        </w:rPr>
        <w:t>,</w:t>
      </w:r>
      <w:r>
        <w:rPr>
          <w:rFonts w:ascii="Book Antiqua" w:eastAsia="Book Antiqua" w:hAnsi="Book Antiqua" w:cs="Book Antiqua"/>
        </w:rPr>
        <w:t xml:space="preserve"> en octubre de 2023 el Tribunal Electoral determinó que los partidos políticos no están obligados a consultar el Registro Nacional de Personas sancionadas por violencia política contra las mujeres para postular candidatos a cargos de elección, establece que la inelegibilidad debe derivarse de sentencias firmes y análisis judiciales, no solo de la inscripción en el registro, lo que dificulta la sanción efectiva de los agresores y la garantía de no repetición en un país con severa crisis de impunidad judicial</w:t>
      </w:r>
      <w:r>
        <w:rPr>
          <w:rFonts w:ascii="Book Antiqua" w:eastAsia="Book Antiqua" w:hAnsi="Book Antiqua" w:cs="Book Antiqua"/>
          <w:vertAlign w:val="superscript"/>
        </w:rPr>
        <w:footnoteReference w:id="20"/>
      </w:r>
      <w:r>
        <w:rPr>
          <w:rFonts w:ascii="Book Antiqua" w:eastAsia="Book Antiqua" w:hAnsi="Book Antiqua" w:cs="Book Antiqua"/>
        </w:rPr>
        <w:t>.</w:t>
      </w:r>
    </w:p>
    <w:p w14:paraId="2AD485AD" w14:textId="77777777" w:rsidR="00443CD6"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rPr>
      </w:pPr>
      <w:r>
        <w:rPr>
          <w:rFonts w:ascii="Book Antiqua" w:eastAsia="Book Antiqua" w:hAnsi="Book Antiqua" w:cs="Book Antiqua"/>
        </w:rPr>
        <w:t>El mismo manual afirma que los agresores se amparan en la libertad de expresión para realizar comentarios que degradan a las mujeres que ejercen la política o bien se esconden bajo el anonimato de una cuenta falsa creada para transgredir los derechos políticos o callar las voces de las mujeres en política, constituyendo un obstáculo a la investigación y sanción de la conducta.</w:t>
      </w:r>
    </w:p>
    <w:p w14:paraId="36191A16" w14:textId="508CBC19" w:rsidR="00443CD6"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El INE en conjunto con M</w:t>
      </w:r>
      <w:r>
        <w:rPr>
          <w:rFonts w:ascii="Book Antiqua" w:eastAsia="Book Antiqua" w:hAnsi="Book Antiqua" w:cs="Book Antiqua"/>
        </w:rPr>
        <w:t>eta Platforms (Facebook, Whatsapp e Instagram)</w:t>
      </w:r>
      <w:r>
        <w:rPr>
          <w:rFonts w:ascii="Book Antiqua" w:eastAsia="Book Antiqua" w:hAnsi="Book Antiqua" w:cs="Book Antiqua"/>
          <w:color w:val="000000"/>
        </w:rPr>
        <w:t>,</w:t>
      </w:r>
      <w:r w:rsidR="004B2F2F">
        <w:rPr>
          <w:rFonts w:ascii="Book Antiqua" w:eastAsia="Book Antiqua" w:hAnsi="Book Antiqua" w:cs="Book Antiqua"/>
          <w:color w:val="000000"/>
        </w:rPr>
        <w:t xml:space="preserve"> junto con</w:t>
      </w:r>
      <w:r>
        <w:rPr>
          <w:rFonts w:ascii="Book Antiqua" w:eastAsia="Book Antiqua" w:hAnsi="Book Antiqua" w:cs="Book Antiqua"/>
          <w:color w:val="000000"/>
        </w:rPr>
        <w:t xml:space="preserve"> ONU </w:t>
      </w:r>
      <w:r>
        <w:rPr>
          <w:rFonts w:ascii="Book Antiqua" w:eastAsia="Book Antiqua" w:hAnsi="Book Antiqua" w:cs="Book Antiqua"/>
        </w:rPr>
        <w:t>Mujere</w:t>
      </w:r>
      <w:r>
        <w:rPr>
          <w:rFonts w:ascii="Book Antiqua" w:eastAsia="Book Antiqua" w:hAnsi="Book Antiqua" w:cs="Book Antiqua"/>
          <w:color w:val="000000"/>
        </w:rPr>
        <w:t>s</w:t>
      </w:r>
      <w:r w:rsidR="004B2F2F">
        <w:rPr>
          <w:rFonts w:ascii="Book Antiqua" w:eastAsia="Book Antiqua" w:hAnsi="Book Antiqua" w:cs="Book Antiqua"/>
          <w:color w:val="000000"/>
        </w:rPr>
        <w:t>,</w:t>
      </w:r>
      <w:r>
        <w:rPr>
          <w:rFonts w:ascii="Book Antiqua" w:eastAsia="Book Antiqua" w:hAnsi="Book Antiqua" w:cs="Book Antiqua"/>
          <w:color w:val="000000"/>
        </w:rPr>
        <w:t xml:space="preserve"> publicaron dos guías de seguridad digital para mujeres políticas. </w:t>
      </w:r>
    </w:p>
    <w:p w14:paraId="7C0A8878"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53CD5878"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18FE1788"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3F8BF86D"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3B225290"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4137FE83" w14:textId="77777777" w:rsidR="0055051C" w:rsidRDefault="0055051C">
      <w:pPr>
        <w:pBdr>
          <w:top w:val="nil"/>
          <w:left w:val="nil"/>
          <w:bottom w:val="nil"/>
          <w:right w:val="nil"/>
          <w:between w:val="nil"/>
        </w:pBdr>
        <w:spacing w:after="0" w:line="240" w:lineRule="auto"/>
        <w:jc w:val="both"/>
        <w:rPr>
          <w:rFonts w:ascii="Book Antiqua" w:eastAsia="Book Antiqua" w:hAnsi="Book Antiqua" w:cs="Book Antiqua"/>
          <w:color w:val="000000"/>
        </w:rPr>
      </w:pPr>
    </w:p>
    <w:p w14:paraId="52B18CC6" w14:textId="77777777" w:rsidR="0055051C" w:rsidRDefault="0055051C">
      <w:pPr>
        <w:pBdr>
          <w:top w:val="nil"/>
          <w:left w:val="nil"/>
          <w:bottom w:val="nil"/>
          <w:right w:val="nil"/>
          <w:between w:val="nil"/>
        </w:pBdr>
        <w:spacing w:after="0" w:line="240" w:lineRule="auto"/>
        <w:jc w:val="both"/>
        <w:rPr>
          <w:rFonts w:ascii="Book Antiqua" w:eastAsia="Book Antiqua" w:hAnsi="Book Antiqua" w:cs="Book Antiqua"/>
          <w:color w:val="000000"/>
        </w:rPr>
      </w:pPr>
    </w:p>
    <w:p w14:paraId="2EC6389A" w14:textId="4BEDBEB3"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lastRenderedPageBreak/>
        <w:t xml:space="preserve">Recomendaciones </w:t>
      </w:r>
      <w:r w:rsidR="0055051C">
        <w:rPr>
          <w:rFonts w:ascii="Book Antiqua" w:eastAsia="Book Antiqua" w:hAnsi="Book Antiqua" w:cs="Book Antiqua"/>
          <w:color w:val="000000"/>
        </w:rPr>
        <w:t>al Estado Mexicano</w:t>
      </w:r>
    </w:p>
    <w:p w14:paraId="74FD48E1"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05764111" w14:textId="77777777" w:rsidR="00443CD6" w:rsidRDefault="00000000">
      <w:pPr>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Incorporar a la normativa del Estado en materia de protección de los derechos políticos de las mujeres, la violencia política digital.</w:t>
      </w:r>
    </w:p>
    <w:p w14:paraId="24AAE9D7" w14:textId="77777777" w:rsidR="00443CD6" w:rsidRDefault="00000000">
      <w:pPr>
        <w:numPr>
          <w:ilvl w:val="0"/>
          <w:numId w:val="11"/>
        </w:numPr>
        <w:pBdr>
          <w:top w:val="nil"/>
          <w:left w:val="nil"/>
          <w:bottom w:val="nil"/>
          <w:right w:val="nil"/>
          <w:between w:val="nil"/>
        </w:pBdr>
        <w:spacing w:after="0" w:line="240" w:lineRule="auto"/>
        <w:jc w:val="both"/>
        <w:rPr>
          <w:rFonts w:ascii="Book Antiqua" w:eastAsia="Book Antiqua" w:hAnsi="Book Antiqua" w:cs="Book Antiqua"/>
        </w:rPr>
      </w:pPr>
      <w:r>
        <w:rPr>
          <w:rFonts w:ascii="Book Antiqua" w:eastAsia="Book Antiqua" w:hAnsi="Book Antiqua" w:cs="Book Antiqua"/>
        </w:rPr>
        <w:t>Incluir una interpretación de la violencia política contra las mujeres, en el marco de los alcances y límites del derecho a la información, para explicitar las categorías que se encuentran en la norma pero se desconocen sus alcances y límites, entre ellas:  diatriba, calumnia, injuria, difamación,  denigración, degradación y descalificación. Estas deben ampliarse para que cualquier mujer víctima de violencia, por cualquier modalidad, pueda emplearlas.</w:t>
      </w:r>
    </w:p>
    <w:p w14:paraId="4BD9AD94" w14:textId="14560BBB" w:rsidR="00443CD6" w:rsidRDefault="00000000">
      <w:pPr>
        <w:numPr>
          <w:ilvl w:val="0"/>
          <w:numId w:val="11"/>
        </w:numPr>
        <w:pBdr>
          <w:top w:val="nil"/>
          <w:left w:val="nil"/>
          <w:bottom w:val="nil"/>
          <w:right w:val="nil"/>
          <w:between w:val="nil"/>
        </w:pBdr>
        <w:spacing w:after="0" w:line="240" w:lineRule="auto"/>
        <w:jc w:val="both"/>
        <w:rPr>
          <w:rFonts w:ascii="Book Antiqua" w:eastAsia="Book Antiqua" w:hAnsi="Book Antiqua" w:cs="Book Antiqua"/>
        </w:rPr>
      </w:pPr>
      <w:r>
        <w:rPr>
          <w:rFonts w:ascii="Book Antiqua" w:eastAsia="Book Antiqua" w:hAnsi="Book Antiqua" w:cs="Book Antiqua"/>
        </w:rPr>
        <w:t>Incluir la vía civil para garantizar la protección de los datos personales, así como los derechos patrimoniales: el derecho a la intimidad, la privacidad, el honor</w:t>
      </w:r>
      <w:r w:rsidR="004B2F2F">
        <w:rPr>
          <w:rFonts w:ascii="Book Antiqua" w:eastAsia="Book Antiqua" w:hAnsi="Book Antiqua" w:cs="Book Antiqua"/>
        </w:rPr>
        <w:t xml:space="preserve"> y</w:t>
      </w:r>
      <w:r>
        <w:rPr>
          <w:rFonts w:ascii="Book Antiqua" w:eastAsia="Book Antiqua" w:hAnsi="Book Antiqua" w:cs="Book Antiqua"/>
        </w:rPr>
        <w:t xml:space="preserve"> la propia imagen.</w:t>
      </w:r>
    </w:p>
    <w:p w14:paraId="78E4E3C0"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0EF40B3D"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506369BF"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7B3322CA"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3F9E0C23"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36844BE5"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6A07241E"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6A27819B"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1982F5A3"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7CBB2D99"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7DCF07C3"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1536DB78"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11F29311"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0CA7761F"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1FA9BC20"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7E1EFF05"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2472F990"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5856D41C"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1AAE7527"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3DA7F30D"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55883310"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75DA43C0"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5485D8FE"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60BB25A1"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2DDF5BF0"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084F35E3"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739F9E80"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3AC2FBE3"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47AAC6D9"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4C2C3963"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0A97D4CE"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0954AA14"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706F613E"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213F887A"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33E25829"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3E9B4833" w14:textId="77777777" w:rsidR="004B2F2F" w:rsidRDefault="004B2F2F">
      <w:pPr>
        <w:pBdr>
          <w:top w:val="nil"/>
          <w:left w:val="nil"/>
          <w:bottom w:val="nil"/>
          <w:right w:val="nil"/>
          <w:between w:val="nil"/>
        </w:pBdr>
        <w:spacing w:after="0" w:line="240" w:lineRule="auto"/>
        <w:jc w:val="both"/>
        <w:rPr>
          <w:rFonts w:ascii="Book Antiqua" w:eastAsia="Book Antiqua" w:hAnsi="Book Antiqua" w:cs="Book Antiqua"/>
          <w:color w:val="000000"/>
        </w:rPr>
      </w:pPr>
    </w:p>
    <w:p w14:paraId="0002268E"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6D8DB4FA" w14:textId="77777777" w:rsidR="00443CD6" w:rsidRDefault="00000000">
      <w:pPr>
        <w:pBdr>
          <w:top w:val="nil"/>
          <w:left w:val="nil"/>
          <w:bottom w:val="nil"/>
          <w:right w:val="nil"/>
          <w:between w:val="nil"/>
        </w:pBdr>
        <w:spacing w:after="0" w:line="240" w:lineRule="auto"/>
        <w:jc w:val="center"/>
        <w:rPr>
          <w:rFonts w:ascii="Book Antiqua" w:eastAsia="Book Antiqua" w:hAnsi="Book Antiqua" w:cs="Book Antiqua"/>
          <w:b/>
          <w:color w:val="000000"/>
          <w:sz w:val="28"/>
          <w:szCs w:val="28"/>
        </w:rPr>
      </w:pPr>
      <w:r>
        <w:rPr>
          <w:rFonts w:ascii="Book Antiqua" w:eastAsia="Book Antiqua" w:hAnsi="Book Antiqua" w:cs="Book Antiqua"/>
          <w:b/>
          <w:color w:val="000000"/>
          <w:sz w:val="28"/>
          <w:szCs w:val="28"/>
        </w:rPr>
        <w:t xml:space="preserve">La Perspectiva de Género (PG) en las currículas y programas de escuelas y facultades de Comunicación de las universidades </w:t>
      </w:r>
    </w:p>
    <w:p w14:paraId="7064DF24"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68D16DAC"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45695A97"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75C53D67" w14:textId="77777777" w:rsidR="00443CD6" w:rsidRDefault="00000000">
      <w:pPr>
        <w:numPr>
          <w:ilvl w:val="0"/>
          <w:numId w:val="11"/>
        </w:numPr>
        <w:spacing w:after="0" w:line="240" w:lineRule="auto"/>
        <w:jc w:val="both"/>
        <w:rPr>
          <w:rFonts w:ascii="Book Antiqua" w:eastAsia="Book Antiqua" w:hAnsi="Book Antiqua" w:cs="Book Antiqua"/>
        </w:rPr>
      </w:pPr>
      <w:r>
        <w:rPr>
          <w:rFonts w:ascii="Book Antiqua" w:eastAsia="Book Antiqua" w:hAnsi="Book Antiqua" w:cs="Book Antiqua"/>
        </w:rPr>
        <w:t xml:space="preserve">Matrícula femenina en Comunicación: Según datos de la Asociación Nacional de Universidades e Instituciones de Educación Superior (ANUIES), las mujeres representan aproximadamente el 54% del estudiantado en las carreras de Comunicación en las universidades mexicanas. </w:t>
      </w:r>
    </w:p>
    <w:p w14:paraId="2AD17D7F" w14:textId="3C72B540" w:rsidR="00443CD6" w:rsidRDefault="00000000">
      <w:pPr>
        <w:numPr>
          <w:ilvl w:val="0"/>
          <w:numId w:val="11"/>
        </w:numPr>
        <w:spacing w:after="0" w:line="240" w:lineRule="auto"/>
        <w:jc w:val="both"/>
        <w:rPr>
          <w:rFonts w:ascii="Book Antiqua" w:eastAsia="Book Antiqua" w:hAnsi="Book Antiqua" w:cs="Book Antiqua"/>
        </w:rPr>
      </w:pPr>
      <w:r>
        <w:rPr>
          <w:rFonts w:ascii="Book Antiqua" w:eastAsia="Book Antiqua" w:hAnsi="Book Antiqua" w:cs="Book Antiqua"/>
        </w:rPr>
        <w:t>Brecha en el mercado laboral: A pesar de su mayoría en las aulas, las mujeres enfrentan una sobrerrepresentación masculina en puestos de decisión y liderazgo en el ámbito laboral de la comunicación, especialmente en medios tradicionales y empresas del sector. El porcentaje de mujeres en puestos jerárquicos en medios mexicanos disminuyó del 11% en 2022 al 5% en 2023 (REUTERS)</w:t>
      </w:r>
      <w:r w:rsidR="004634BC">
        <w:rPr>
          <w:rFonts w:ascii="Book Antiqua" w:eastAsia="Book Antiqua" w:hAnsi="Book Antiqua" w:cs="Book Antiqua"/>
        </w:rPr>
        <w:t>.</w:t>
      </w:r>
    </w:p>
    <w:p w14:paraId="41C84C53" w14:textId="77777777" w:rsidR="00443CD6" w:rsidRDefault="00000000">
      <w:pPr>
        <w:numPr>
          <w:ilvl w:val="0"/>
          <w:numId w:val="11"/>
        </w:numPr>
        <w:spacing w:after="0" w:line="240" w:lineRule="auto"/>
        <w:jc w:val="both"/>
        <w:rPr>
          <w:rFonts w:ascii="Book Antiqua" w:eastAsia="Book Antiqua" w:hAnsi="Book Antiqua" w:cs="Book Antiqua"/>
        </w:rPr>
      </w:pPr>
      <w:r>
        <w:rPr>
          <w:rFonts w:ascii="Book Antiqua" w:eastAsia="Book Antiqua" w:hAnsi="Book Antiqua" w:cs="Book Antiqua"/>
        </w:rPr>
        <w:t>Falta de políticas públicas vinculantes: Aunque la normativa nacional e internacional, incluido el Programa Sectorial de Educación 2020–2024 y los compromisos derivados de la CEDAW, establece la incorporación de la PG en los planes de estudio, no existe una política pública nacional vinculante que garantice su implementación en todas las universidades del país.</w:t>
      </w:r>
    </w:p>
    <w:p w14:paraId="3C24E82A" w14:textId="38C725E4" w:rsidR="00443CD6" w:rsidRDefault="00000000">
      <w:pPr>
        <w:numPr>
          <w:ilvl w:val="0"/>
          <w:numId w:val="11"/>
        </w:numPr>
        <w:spacing w:after="0" w:line="240" w:lineRule="auto"/>
        <w:jc w:val="both"/>
        <w:rPr>
          <w:rFonts w:ascii="Book Antiqua" w:eastAsia="Book Antiqua" w:hAnsi="Book Antiqua" w:cs="Book Antiqua"/>
        </w:rPr>
      </w:pPr>
      <w:r>
        <w:rPr>
          <w:rFonts w:ascii="Book Antiqua" w:eastAsia="Book Antiqua" w:hAnsi="Book Antiqua" w:cs="Book Antiqua"/>
        </w:rPr>
        <w:t>Propuesta de la Red UNESCO UNITWIN</w:t>
      </w:r>
      <w:r w:rsidR="004634BC">
        <w:rPr>
          <w:rFonts w:ascii="Book Antiqua" w:eastAsia="Book Antiqua" w:hAnsi="Book Antiqua" w:cs="Book Antiqua"/>
        </w:rPr>
        <w:t xml:space="preserve"> en Género, Medios y TIC</w:t>
      </w:r>
      <w:r>
        <w:rPr>
          <w:rFonts w:ascii="Book Antiqua" w:eastAsia="Book Antiqua" w:hAnsi="Book Antiqua" w:cs="Book Antiqua"/>
        </w:rPr>
        <w:t>: En 2019, la Red UNESCO UNITWIN en Género, Medios y TIC, co-coordinada por la UNAM, la Universidad de Padua y la RMIT University, propuso un modelo para transversalizar la PG en los programas de estudio de Periodismo y Comunicación. Sin embargo, su adopción ha sido desigual y depende en gran medida de iniciativas individuales o institucionales aisladas.</w:t>
      </w:r>
    </w:p>
    <w:p w14:paraId="6EEB6F31"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5915A622" w14:textId="77777777" w:rsidR="00443CD6" w:rsidRDefault="00443CD6">
      <w:pPr>
        <w:pBdr>
          <w:top w:val="nil"/>
          <w:left w:val="nil"/>
          <w:bottom w:val="nil"/>
          <w:right w:val="nil"/>
          <w:between w:val="nil"/>
        </w:pBdr>
        <w:spacing w:after="0" w:line="240" w:lineRule="auto"/>
        <w:ind w:left="360"/>
        <w:jc w:val="both"/>
        <w:rPr>
          <w:rFonts w:ascii="Book Antiqua" w:eastAsia="Book Antiqua" w:hAnsi="Book Antiqua" w:cs="Book Antiqua"/>
        </w:rPr>
      </w:pPr>
    </w:p>
    <w:p w14:paraId="2E933F98" w14:textId="6F99DB69"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Recomendaciones</w:t>
      </w:r>
      <w:r w:rsidR="0055051C">
        <w:rPr>
          <w:rFonts w:ascii="Book Antiqua" w:eastAsia="Book Antiqua" w:hAnsi="Book Antiqua" w:cs="Book Antiqua"/>
          <w:color w:val="000000"/>
        </w:rPr>
        <w:t xml:space="preserve"> al Estado Mexicano</w:t>
      </w:r>
    </w:p>
    <w:p w14:paraId="61FB6A81"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0531D13A" w14:textId="77777777" w:rsidR="00443CD6" w:rsidRDefault="00000000">
      <w:pPr>
        <w:numPr>
          <w:ilvl w:val="0"/>
          <w:numId w:val="12"/>
        </w:numPr>
        <w:spacing w:after="0" w:line="240" w:lineRule="auto"/>
        <w:jc w:val="both"/>
        <w:rPr>
          <w:rFonts w:ascii="Book Antiqua" w:eastAsia="Book Antiqua" w:hAnsi="Book Antiqua" w:cs="Book Antiqua"/>
        </w:rPr>
      </w:pPr>
      <w:r>
        <w:rPr>
          <w:rFonts w:ascii="Book Antiqua" w:eastAsia="Book Antiqua" w:hAnsi="Book Antiqua" w:cs="Book Antiqua"/>
        </w:rPr>
        <w:t>Implementar una política nacional obligatoria: Diseñar e implementar una política nacional que incorpore la perspectiva de género en los planes y programas de estudio de Periodismo, Comunicación y áreas STEM, con lineamientos claros y mecanismos de seguimiento.</w:t>
      </w:r>
    </w:p>
    <w:p w14:paraId="633442EF" w14:textId="77777777" w:rsidR="00443CD6" w:rsidRDefault="00000000">
      <w:pPr>
        <w:numPr>
          <w:ilvl w:val="0"/>
          <w:numId w:val="12"/>
        </w:numPr>
        <w:spacing w:after="0" w:line="240" w:lineRule="auto"/>
        <w:jc w:val="both"/>
        <w:rPr>
          <w:rFonts w:ascii="Book Antiqua" w:eastAsia="Book Antiqua" w:hAnsi="Book Antiqua" w:cs="Book Antiqua"/>
        </w:rPr>
      </w:pPr>
      <w:r>
        <w:rPr>
          <w:rFonts w:ascii="Book Antiqua" w:eastAsia="Book Antiqua" w:hAnsi="Book Antiqua" w:cs="Book Antiqua"/>
        </w:rPr>
        <w:t>Formación obligatoria en PG: Establecer la formación en PG como un requisito obligatorio y permanente para el personal académico y administrativo de las universidades públicas y privadas.</w:t>
      </w:r>
    </w:p>
    <w:p w14:paraId="66F8B2BF" w14:textId="77777777" w:rsidR="00443CD6" w:rsidRDefault="00000000">
      <w:pPr>
        <w:numPr>
          <w:ilvl w:val="0"/>
          <w:numId w:val="12"/>
        </w:numPr>
        <w:spacing w:after="0" w:line="240" w:lineRule="auto"/>
        <w:jc w:val="both"/>
        <w:rPr>
          <w:rFonts w:ascii="Book Antiqua" w:eastAsia="Book Antiqua" w:hAnsi="Book Antiqua" w:cs="Book Antiqua"/>
        </w:rPr>
      </w:pPr>
      <w:r>
        <w:rPr>
          <w:rFonts w:ascii="Book Antiqua" w:eastAsia="Book Antiqua" w:hAnsi="Book Antiqua" w:cs="Book Antiqua"/>
        </w:rPr>
        <w:t>Producción y publicación de datos desglosados: Garantizar la producción y publicación de datos desglosados por sexo, tanto en matrícula como en egreso, inserción laboral y acceso a cargos directivos en áreas de Comunicación y STEM.</w:t>
      </w:r>
    </w:p>
    <w:p w14:paraId="6DEE471D"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rPr>
      </w:pPr>
    </w:p>
    <w:p w14:paraId="692B1BCB" w14:textId="77777777" w:rsidR="00443CD6" w:rsidRDefault="00443CD6">
      <w:pPr>
        <w:pBdr>
          <w:top w:val="nil"/>
          <w:left w:val="nil"/>
          <w:bottom w:val="nil"/>
          <w:right w:val="nil"/>
          <w:between w:val="nil"/>
        </w:pBdr>
        <w:spacing w:after="0" w:line="240" w:lineRule="auto"/>
        <w:jc w:val="both"/>
        <w:rPr>
          <w:rFonts w:ascii="Book Antiqua" w:eastAsia="Book Antiqua" w:hAnsi="Book Antiqua" w:cs="Book Antiqua"/>
          <w:color w:val="000000"/>
        </w:rPr>
      </w:pPr>
    </w:p>
    <w:p w14:paraId="35D6291E" w14:textId="77777777" w:rsidR="00443CD6" w:rsidRDefault="00443CD6">
      <w:pPr>
        <w:spacing w:line="240" w:lineRule="auto"/>
        <w:jc w:val="both"/>
        <w:rPr>
          <w:rFonts w:ascii="Book Antiqua" w:eastAsia="Book Antiqua" w:hAnsi="Book Antiqua" w:cs="Book Antiqua"/>
        </w:rPr>
      </w:pPr>
    </w:p>
    <w:p w14:paraId="32EEF3AB" w14:textId="77777777" w:rsidR="007238BD" w:rsidRDefault="007238BD">
      <w:pPr>
        <w:spacing w:line="240" w:lineRule="auto"/>
        <w:jc w:val="both"/>
        <w:rPr>
          <w:rFonts w:ascii="Book Antiqua" w:eastAsia="Book Antiqua" w:hAnsi="Book Antiqua" w:cs="Book Antiqua"/>
        </w:rPr>
      </w:pPr>
    </w:p>
    <w:p w14:paraId="5E56FAE1" w14:textId="77777777" w:rsidR="007238BD" w:rsidRDefault="007238BD">
      <w:pPr>
        <w:spacing w:line="240" w:lineRule="auto"/>
        <w:jc w:val="both"/>
        <w:rPr>
          <w:rFonts w:ascii="Book Antiqua" w:eastAsia="Book Antiqua" w:hAnsi="Book Antiqua" w:cs="Book Antiqua"/>
        </w:rPr>
      </w:pPr>
    </w:p>
    <w:p w14:paraId="35C2FBAB" w14:textId="77777777" w:rsidR="007238BD" w:rsidRDefault="007238BD">
      <w:pPr>
        <w:spacing w:line="240" w:lineRule="auto"/>
        <w:jc w:val="both"/>
        <w:rPr>
          <w:rFonts w:ascii="Book Antiqua" w:eastAsia="Book Antiqua" w:hAnsi="Book Antiqua" w:cs="Book Antiqua"/>
        </w:rPr>
      </w:pPr>
    </w:p>
    <w:p w14:paraId="559B61AC" w14:textId="77777777" w:rsidR="007238BD" w:rsidRPr="00F52957" w:rsidRDefault="007238BD" w:rsidP="007238BD">
      <w:pPr>
        <w:pBdr>
          <w:top w:val="nil"/>
          <w:left w:val="nil"/>
          <w:bottom w:val="nil"/>
          <w:right w:val="nil"/>
          <w:between w:val="nil"/>
        </w:pBdr>
        <w:spacing w:after="0" w:line="240" w:lineRule="auto"/>
        <w:ind w:left="720"/>
        <w:jc w:val="center"/>
        <w:rPr>
          <w:rFonts w:ascii="Book Antiqua" w:eastAsia="Book Antiqua" w:hAnsi="Book Antiqua" w:cs="Book Antiqua"/>
          <w:b/>
          <w:bCs/>
          <w:color w:val="000000"/>
        </w:rPr>
      </w:pPr>
      <w:bookmarkStart w:id="0" w:name="OLE_LINK3"/>
      <w:r w:rsidRPr="00F52957">
        <w:rPr>
          <w:rFonts w:ascii="Book Antiqua" w:eastAsia="Book Antiqua" w:hAnsi="Book Antiqua" w:cs="Book Antiqua"/>
          <w:b/>
          <w:bCs/>
          <w:color w:val="000000"/>
        </w:rPr>
        <w:lastRenderedPageBreak/>
        <w:t>Caso paradigmático: Feminicidio de V. M.</w:t>
      </w:r>
    </w:p>
    <w:p w14:paraId="44FED7A1" w14:textId="77777777" w:rsidR="007238BD" w:rsidRPr="00EB2EEE" w:rsidRDefault="007238BD" w:rsidP="007238BD">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7FA314A6" w14:textId="77777777" w:rsidR="007238BD" w:rsidRPr="00EB2EEE" w:rsidRDefault="007238BD" w:rsidP="007238BD">
      <w:pPr>
        <w:pBdr>
          <w:top w:val="nil"/>
          <w:left w:val="nil"/>
          <w:bottom w:val="nil"/>
          <w:right w:val="nil"/>
          <w:between w:val="nil"/>
        </w:pBdr>
        <w:spacing w:after="0" w:line="240" w:lineRule="auto"/>
        <w:jc w:val="both"/>
        <w:rPr>
          <w:rFonts w:ascii="Book Antiqua" w:eastAsia="Book Antiqua" w:hAnsi="Book Antiqua" w:cs="Book Antiqua"/>
          <w:color w:val="000000"/>
        </w:rPr>
      </w:pPr>
      <w:r w:rsidRPr="00EB2EEE">
        <w:rPr>
          <w:rFonts w:ascii="Book Antiqua" w:eastAsia="Book Antiqua" w:hAnsi="Book Antiqua" w:cs="Book Antiqua"/>
          <w:color w:val="000000"/>
        </w:rPr>
        <w:t>Informe</w:t>
      </w:r>
    </w:p>
    <w:p w14:paraId="2E5C2A5A" w14:textId="77777777" w:rsidR="007238BD" w:rsidRPr="00EB2EEE" w:rsidRDefault="007238BD" w:rsidP="007238BD">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20D196E3" w14:textId="77777777" w:rsidR="007238BD" w:rsidRPr="00EB2EEE" w:rsidRDefault="007238BD" w:rsidP="007238BD">
      <w:pPr>
        <w:pBdr>
          <w:top w:val="nil"/>
          <w:left w:val="nil"/>
          <w:bottom w:val="nil"/>
          <w:right w:val="nil"/>
          <w:between w:val="nil"/>
        </w:pBdr>
        <w:spacing w:after="0" w:line="240" w:lineRule="auto"/>
        <w:jc w:val="both"/>
        <w:rPr>
          <w:rFonts w:ascii="Book Antiqua" w:eastAsia="Book Antiqua" w:hAnsi="Book Antiqua" w:cs="Book Antiqua"/>
          <w:color w:val="000000"/>
        </w:rPr>
      </w:pPr>
      <w:r w:rsidRPr="00EB2EEE">
        <w:rPr>
          <w:rFonts w:ascii="Book Antiqua" w:eastAsia="Book Antiqua" w:hAnsi="Book Antiqua" w:cs="Book Antiqua"/>
          <w:color w:val="000000"/>
        </w:rPr>
        <w:t>El 13 de mayo de 2025, V. M., una mujer joven de 23 años, fue víctima de feminicidio mientras hacía una transmisión en vivo a través de su cuenta en la plataforma Tik Tok.</w:t>
      </w:r>
    </w:p>
    <w:p w14:paraId="2396544A" w14:textId="77777777" w:rsidR="007238BD" w:rsidRPr="00EB2EEE" w:rsidRDefault="007238BD" w:rsidP="007238BD">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592C5BD8" w14:textId="77777777" w:rsidR="007238BD" w:rsidRPr="00EB2EEE" w:rsidRDefault="007238BD" w:rsidP="007238BD">
      <w:pPr>
        <w:pBdr>
          <w:top w:val="nil"/>
          <w:left w:val="nil"/>
          <w:bottom w:val="nil"/>
          <w:right w:val="nil"/>
          <w:between w:val="nil"/>
        </w:pBdr>
        <w:spacing w:after="0" w:line="240" w:lineRule="auto"/>
        <w:jc w:val="both"/>
        <w:rPr>
          <w:rFonts w:ascii="Book Antiqua" w:eastAsia="Book Antiqua" w:hAnsi="Book Antiqua" w:cs="Book Antiqua"/>
          <w:color w:val="000000"/>
        </w:rPr>
      </w:pPr>
      <w:r w:rsidRPr="00EB2EEE">
        <w:rPr>
          <w:rFonts w:ascii="Book Antiqua" w:eastAsia="Book Antiqua" w:hAnsi="Book Antiqua" w:cs="Book Antiqua"/>
          <w:color w:val="000000"/>
        </w:rPr>
        <w:t>Su caso es paradigmático, pues evidencia cómo se articulan distintas dimensiones de la violencia contra las mujeres en un contexto generalizado de violencia e impunidad en México:</w:t>
      </w:r>
    </w:p>
    <w:p w14:paraId="15CC59D1" w14:textId="77777777" w:rsidR="007238BD" w:rsidRPr="00EB2EEE" w:rsidRDefault="007238BD" w:rsidP="007238BD">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5B9E736D" w14:textId="77777777" w:rsidR="007238BD" w:rsidRPr="00EB2EEE" w:rsidRDefault="007238BD" w:rsidP="007238BD">
      <w:pPr>
        <w:pStyle w:val="Prrafodelista"/>
        <w:numPr>
          <w:ilvl w:val="0"/>
          <w:numId w:val="13"/>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Omisión</w:t>
      </w:r>
      <w:r w:rsidRPr="00EB2EEE">
        <w:rPr>
          <w:rFonts w:ascii="Book Antiqua" w:eastAsia="Book Antiqua" w:hAnsi="Book Antiqua" w:cs="Book Antiqua"/>
          <w:color w:val="000000"/>
        </w:rPr>
        <w:t xml:space="preserve"> de las autoridades. Las fiscalías incurren en revictimización, no garantizando las condiciones establecidas en la ley (Ley General de Acceso</w:t>
      </w:r>
      <w:r>
        <w:rPr>
          <w:rFonts w:ascii="Book Antiqua" w:eastAsia="Book Antiqua" w:hAnsi="Book Antiqua" w:cs="Book Antiqua"/>
          <w:color w:val="000000"/>
        </w:rPr>
        <w:t>, procesamientos penales y protocolos de feminicidio</w:t>
      </w:r>
      <w:r w:rsidRPr="00EB2EEE">
        <w:rPr>
          <w:rFonts w:ascii="Book Antiqua" w:eastAsia="Book Antiqua" w:hAnsi="Book Antiqua" w:cs="Book Antiqua"/>
          <w:color w:val="000000"/>
        </w:rPr>
        <w:t>) para investigar estos casos, sin fomentar la violencia</w:t>
      </w:r>
      <w:r>
        <w:rPr>
          <w:rFonts w:ascii="Book Antiqua" w:eastAsia="Book Antiqua" w:hAnsi="Book Antiqua" w:cs="Book Antiqua"/>
          <w:color w:val="000000"/>
        </w:rPr>
        <w:t xml:space="preserve"> contra la violencia contra las mujeres, incluida la violencia</w:t>
      </w:r>
      <w:r w:rsidRPr="00EB2EEE">
        <w:rPr>
          <w:rFonts w:ascii="Book Antiqua" w:eastAsia="Book Antiqua" w:hAnsi="Book Antiqua" w:cs="Book Antiqua"/>
          <w:color w:val="000000"/>
        </w:rPr>
        <w:t xml:space="preserve"> mediática.</w:t>
      </w:r>
    </w:p>
    <w:p w14:paraId="68BF07E5" w14:textId="77777777" w:rsidR="007238BD" w:rsidRPr="00EB2EEE" w:rsidRDefault="007238BD" w:rsidP="007238BD">
      <w:pPr>
        <w:pStyle w:val="Prrafodelista"/>
        <w:numPr>
          <w:ilvl w:val="0"/>
          <w:numId w:val="13"/>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sidRPr="00EB2EEE">
        <w:rPr>
          <w:rFonts w:ascii="Book Antiqua" w:eastAsia="Book Antiqua" w:hAnsi="Book Antiqua" w:cs="Book Antiqua"/>
          <w:color w:val="000000"/>
        </w:rPr>
        <w:t>Violencia digital. Plataformas digitales como Tik Tok, Facebook, X, Instagram y otras, lucran con la violencia feminicida</w:t>
      </w:r>
      <w:r>
        <w:rPr>
          <w:rFonts w:ascii="Book Antiqua" w:eastAsia="Book Antiqua" w:hAnsi="Book Antiqua" w:cs="Book Antiqua"/>
          <w:color w:val="000000"/>
        </w:rPr>
        <w:t>,</w:t>
      </w:r>
      <w:r w:rsidRPr="00EB2EEE">
        <w:rPr>
          <w:rFonts w:ascii="Book Antiqua" w:eastAsia="Book Antiqua" w:hAnsi="Book Antiqua" w:cs="Book Antiqua"/>
          <w:color w:val="000000"/>
        </w:rPr>
        <w:t xml:space="preserve"> pues permiten la difusión de los feminicidios en tiempo real y su revictimización en redes sociales.</w:t>
      </w:r>
    </w:p>
    <w:p w14:paraId="039EBA3B" w14:textId="77777777" w:rsidR="007238BD" w:rsidRPr="00EB2EEE" w:rsidRDefault="007238BD" w:rsidP="007238BD">
      <w:pPr>
        <w:pStyle w:val="Prrafodelista"/>
        <w:numPr>
          <w:ilvl w:val="0"/>
          <w:numId w:val="13"/>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sidRPr="00EB2EEE">
        <w:rPr>
          <w:rFonts w:ascii="Book Antiqua" w:eastAsia="Book Antiqua" w:hAnsi="Book Antiqua" w:cs="Book Antiqua"/>
          <w:color w:val="000000"/>
        </w:rPr>
        <w:t xml:space="preserve">Violencia mediática. Los medios de comunicación también lucran con la violencia feminicida, pues promueven la difusión amplia de </w:t>
      </w:r>
      <w:r>
        <w:rPr>
          <w:rFonts w:ascii="Book Antiqua" w:eastAsia="Book Antiqua" w:hAnsi="Book Antiqua" w:cs="Book Antiqua"/>
          <w:color w:val="000000"/>
        </w:rPr>
        <w:t>estos casos, con base en la reproducción de estereotipos sexistas, la cosificación e hipersexualización de las mujeres</w:t>
      </w:r>
      <w:r w:rsidRPr="00EB2EEE">
        <w:rPr>
          <w:rFonts w:ascii="Book Antiqua" w:eastAsia="Book Antiqua" w:hAnsi="Book Antiqua" w:cs="Book Antiqua"/>
          <w:color w:val="000000"/>
        </w:rPr>
        <w:t>.</w:t>
      </w:r>
    </w:p>
    <w:p w14:paraId="7B5B1B55" w14:textId="77777777" w:rsidR="007238BD" w:rsidRDefault="007238BD" w:rsidP="007238BD">
      <w:pPr>
        <w:pStyle w:val="Prrafodelista"/>
        <w:numPr>
          <w:ilvl w:val="0"/>
          <w:numId w:val="13"/>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Naturalización de la violencia contra las mujeres, a través del mecanismo sociocultural por parte de particulares, instituciones, autoridades, medios de comunicación y opinión pública, de responsabilizar a las mujeres de la violencia de la que son víctimas.</w:t>
      </w:r>
    </w:p>
    <w:p w14:paraId="71348B08" w14:textId="77777777" w:rsidR="007238BD" w:rsidRPr="003F0E6E" w:rsidRDefault="007238BD" w:rsidP="007238BD">
      <w:pPr>
        <w:pStyle w:val="Prrafodelista"/>
        <w:numPr>
          <w:ilvl w:val="0"/>
          <w:numId w:val="13"/>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Pr>
          <w:rFonts w:ascii="Book Antiqua" w:eastAsia="Book Antiqua" w:hAnsi="Book Antiqua" w:cs="Book Antiqua"/>
          <w:color w:val="000000"/>
        </w:rPr>
        <w:t xml:space="preserve">Cultura de la hipersexualización y cosificación de las mujeres </w:t>
      </w:r>
      <w:r w:rsidRPr="003F0E6E">
        <w:rPr>
          <w:rFonts w:ascii="Book Antiqua" w:eastAsia="Book Antiqua" w:hAnsi="Book Antiqua" w:cs="Book Antiqua"/>
          <w:color w:val="000000"/>
        </w:rPr>
        <w:t>que, desde la infancia, son expuestas a un contexto de violencia simbólica dominado por estereotipos sexistas</w:t>
      </w:r>
      <w:r>
        <w:rPr>
          <w:rFonts w:ascii="Book Antiqua" w:eastAsia="Book Antiqua" w:hAnsi="Book Antiqua" w:cs="Book Antiqua"/>
          <w:color w:val="000000"/>
        </w:rPr>
        <w:t>.</w:t>
      </w:r>
    </w:p>
    <w:p w14:paraId="07C69531" w14:textId="77777777" w:rsidR="007238BD" w:rsidRPr="00EB2EEE" w:rsidRDefault="007238BD" w:rsidP="007238BD">
      <w:pPr>
        <w:pStyle w:val="Prrafodelista"/>
        <w:numPr>
          <w:ilvl w:val="0"/>
          <w:numId w:val="13"/>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sidRPr="00EB2EEE">
        <w:rPr>
          <w:rFonts w:ascii="Book Antiqua" w:eastAsia="Book Antiqua" w:hAnsi="Book Antiqua" w:cs="Book Antiqua"/>
          <w:color w:val="000000"/>
        </w:rPr>
        <w:t>La violencia estructural contra las mujeres articula la omisión de las autoridades, las plataformas digitales, los medios de comunicación que agrava</w:t>
      </w:r>
      <w:r>
        <w:rPr>
          <w:rFonts w:ascii="Book Antiqua" w:eastAsia="Book Antiqua" w:hAnsi="Book Antiqua" w:cs="Book Antiqua"/>
          <w:color w:val="000000"/>
        </w:rPr>
        <w:t>n</w:t>
      </w:r>
      <w:r w:rsidRPr="00EB2EEE">
        <w:rPr>
          <w:rFonts w:ascii="Book Antiqua" w:eastAsia="Book Antiqua" w:hAnsi="Book Antiqua" w:cs="Book Antiqua"/>
          <w:color w:val="000000"/>
        </w:rPr>
        <w:t xml:space="preserve"> la exposición pública, la vulneración de la vida privada, la estigmatización de las mujeres en</w:t>
      </w:r>
      <w:r>
        <w:rPr>
          <w:rFonts w:ascii="Book Antiqua" w:eastAsia="Book Antiqua" w:hAnsi="Book Antiqua" w:cs="Book Antiqua"/>
          <w:color w:val="000000"/>
        </w:rPr>
        <w:t xml:space="preserve"> un</w:t>
      </w:r>
      <w:r w:rsidRPr="00EB2EEE">
        <w:rPr>
          <w:rFonts w:ascii="Book Antiqua" w:eastAsia="Book Antiqua" w:hAnsi="Book Antiqua" w:cs="Book Antiqua"/>
          <w:color w:val="000000"/>
        </w:rPr>
        <w:t xml:space="preserve"> contexto de violencia feminicida y crimen organizado.</w:t>
      </w:r>
    </w:p>
    <w:p w14:paraId="68561FD6" w14:textId="77777777" w:rsidR="007238BD" w:rsidRPr="00EB2EEE" w:rsidRDefault="007238BD" w:rsidP="007238BD">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4B1046EF" w14:textId="77777777" w:rsidR="007238BD" w:rsidRPr="00EB2EEE" w:rsidRDefault="007238BD" w:rsidP="007238BD">
      <w:pPr>
        <w:pBdr>
          <w:top w:val="nil"/>
          <w:left w:val="nil"/>
          <w:bottom w:val="nil"/>
          <w:right w:val="nil"/>
          <w:between w:val="nil"/>
        </w:pBdr>
        <w:spacing w:after="0" w:line="240" w:lineRule="auto"/>
        <w:jc w:val="both"/>
        <w:rPr>
          <w:rFonts w:ascii="Book Antiqua" w:eastAsia="Book Antiqua" w:hAnsi="Book Antiqua" w:cs="Book Antiqua"/>
          <w:color w:val="000000"/>
        </w:rPr>
      </w:pPr>
      <w:r w:rsidRPr="00EB2EEE">
        <w:rPr>
          <w:rFonts w:ascii="Book Antiqua" w:eastAsia="Book Antiqua" w:hAnsi="Book Antiqua" w:cs="Book Antiqua"/>
          <w:color w:val="000000"/>
        </w:rPr>
        <w:t>Recomendaciones al Estado Mexicano</w:t>
      </w:r>
    </w:p>
    <w:p w14:paraId="4A7E11C5" w14:textId="77777777" w:rsidR="007238BD" w:rsidRPr="00EB2EEE" w:rsidRDefault="007238BD" w:rsidP="007238BD">
      <w:pPr>
        <w:pBdr>
          <w:top w:val="nil"/>
          <w:left w:val="nil"/>
          <w:bottom w:val="nil"/>
          <w:right w:val="nil"/>
          <w:between w:val="nil"/>
        </w:pBdr>
        <w:spacing w:after="0" w:line="240" w:lineRule="auto"/>
        <w:jc w:val="both"/>
        <w:rPr>
          <w:rFonts w:ascii="Book Antiqua" w:eastAsia="Book Antiqua" w:hAnsi="Book Antiqua" w:cs="Book Antiqua"/>
          <w:color w:val="000000"/>
        </w:rPr>
      </w:pPr>
    </w:p>
    <w:p w14:paraId="617C8F53" w14:textId="77777777" w:rsidR="007238BD" w:rsidRPr="00F073B8" w:rsidRDefault="007238BD" w:rsidP="007238BD">
      <w:pPr>
        <w:pStyle w:val="Prrafodelista"/>
        <w:numPr>
          <w:ilvl w:val="0"/>
          <w:numId w:val="15"/>
        </w:numPr>
        <w:pBdr>
          <w:top w:val="nil"/>
          <w:left w:val="nil"/>
          <w:bottom w:val="nil"/>
          <w:right w:val="nil"/>
          <w:between w:val="nil"/>
        </w:pBdr>
        <w:spacing w:after="0" w:line="240" w:lineRule="auto"/>
        <w:jc w:val="both"/>
        <w:rPr>
          <w:rFonts w:ascii="Book Antiqua" w:eastAsia="Book Antiqua" w:hAnsi="Book Antiqua" w:cs="Book Antiqua"/>
          <w:color w:val="000000"/>
        </w:rPr>
      </w:pPr>
      <w:r w:rsidRPr="00F073B8">
        <w:rPr>
          <w:rFonts w:ascii="Book Antiqua" w:eastAsia="Book Antiqua" w:hAnsi="Book Antiqua" w:cs="Book Antiqua"/>
          <w:color w:val="000000"/>
        </w:rPr>
        <w:t>Dar cumplimiento a la normatividad sobre violencia mediática (Ley General de Acceso).</w:t>
      </w:r>
    </w:p>
    <w:p w14:paraId="02935E6A" w14:textId="77777777" w:rsidR="007238BD" w:rsidRDefault="007238BD" w:rsidP="007238BD">
      <w:pPr>
        <w:pBdr>
          <w:top w:val="nil"/>
          <w:left w:val="nil"/>
          <w:bottom w:val="nil"/>
          <w:right w:val="nil"/>
          <w:between w:val="nil"/>
        </w:pBdr>
        <w:spacing w:after="0" w:line="240" w:lineRule="auto"/>
        <w:ind w:left="360" w:hanging="360"/>
        <w:jc w:val="both"/>
        <w:rPr>
          <w:rFonts w:ascii="Book Antiqua" w:eastAsia="Book Antiqua" w:hAnsi="Book Antiqua" w:cs="Book Antiqua"/>
          <w:color w:val="000000"/>
        </w:rPr>
      </w:pPr>
      <w:r w:rsidRPr="00EB2EEE">
        <w:rPr>
          <w:rFonts w:ascii="Book Antiqua" w:eastAsia="Book Antiqua" w:hAnsi="Book Antiqua" w:cs="Book Antiqua"/>
          <w:color w:val="000000"/>
        </w:rPr>
        <w:t>●</w:t>
      </w:r>
      <w:r w:rsidRPr="00EB2EEE">
        <w:rPr>
          <w:rFonts w:ascii="Book Antiqua" w:eastAsia="Book Antiqua" w:hAnsi="Book Antiqua" w:cs="Book Antiqua"/>
          <w:color w:val="000000"/>
        </w:rPr>
        <w:tab/>
        <w:t>Realizar una revisión normativa a detalle para impedir que las plataformas digitales lucren con la violencia contra las mujeres y en particular con la violencia feminicida.</w:t>
      </w:r>
    </w:p>
    <w:p w14:paraId="6A99B443" w14:textId="77777777" w:rsidR="007238BD" w:rsidRPr="00EB2EEE" w:rsidRDefault="007238BD" w:rsidP="007238BD">
      <w:pPr>
        <w:pStyle w:val="Prrafodelista"/>
        <w:numPr>
          <w:ilvl w:val="0"/>
          <w:numId w:val="14"/>
        </w:numPr>
        <w:pBdr>
          <w:top w:val="nil"/>
          <w:left w:val="nil"/>
          <w:bottom w:val="nil"/>
          <w:right w:val="nil"/>
          <w:between w:val="nil"/>
        </w:pBdr>
        <w:spacing w:after="0" w:line="240" w:lineRule="auto"/>
        <w:ind w:left="360"/>
        <w:jc w:val="both"/>
        <w:rPr>
          <w:rFonts w:ascii="Book Antiqua" w:eastAsia="Book Antiqua" w:hAnsi="Book Antiqua" w:cs="Book Antiqua"/>
          <w:color w:val="000000"/>
        </w:rPr>
      </w:pPr>
      <w:r w:rsidRPr="00EB2EEE">
        <w:rPr>
          <w:rFonts w:ascii="Book Antiqua" w:eastAsia="Book Antiqua" w:hAnsi="Book Antiqua" w:cs="Book Antiqua"/>
          <w:color w:val="000000"/>
        </w:rPr>
        <w:t>Realizar desde los tres poderes un diagnóstico y debate profundo entre todas las partes involucradas y opiniones en torno a las obligaciones del Estado contra la cosificación e hipersexualización de las mujeres</w:t>
      </w:r>
      <w:r>
        <w:rPr>
          <w:rFonts w:ascii="Book Antiqua" w:eastAsia="Book Antiqua" w:hAnsi="Book Antiqua" w:cs="Book Antiqua"/>
          <w:color w:val="000000"/>
        </w:rPr>
        <w:t xml:space="preserve"> que son sometidas a estereotipos sexistas</w:t>
      </w:r>
      <w:r w:rsidRPr="00EB2EEE">
        <w:rPr>
          <w:rFonts w:ascii="Book Antiqua" w:eastAsia="Book Antiqua" w:hAnsi="Book Antiqua" w:cs="Book Antiqua"/>
          <w:color w:val="000000"/>
        </w:rPr>
        <w:t xml:space="preserve"> desde la infancia, </w:t>
      </w:r>
      <w:r>
        <w:rPr>
          <w:rFonts w:ascii="Book Antiqua" w:eastAsia="Book Antiqua" w:hAnsi="Book Antiqua" w:cs="Book Antiqua"/>
          <w:color w:val="000000"/>
        </w:rPr>
        <w:t xml:space="preserve">su relación directa con el contexto de violencia, </w:t>
      </w:r>
      <w:r w:rsidRPr="00EB2EEE">
        <w:rPr>
          <w:rFonts w:ascii="Book Antiqua" w:eastAsia="Book Antiqua" w:hAnsi="Book Antiqua" w:cs="Book Antiqua"/>
          <w:color w:val="000000"/>
        </w:rPr>
        <w:t xml:space="preserve">y la manera de dar </w:t>
      </w:r>
      <w:r>
        <w:rPr>
          <w:rFonts w:ascii="Book Antiqua" w:eastAsia="Book Antiqua" w:hAnsi="Book Antiqua" w:cs="Book Antiqua"/>
          <w:color w:val="000000"/>
        </w:rPr>
        <w:t xml:space="preserve">seguimiento y </w:t>
      </w:r>
      <w:r w:rsidRPr="00EB2EEE">
        <w:rPr>
          <w:rFonts w:ascii="Book Antiqua" w:eastAsia="Book Antiqua" w:hAnsi="Book Antiqua" w:cs="Book Antiqua"/>
          <w:color w:val="000000"/>
        </w:rPr>
        <w:t>cumplimiento a ello.</w:t>
      </w:r>
      <w:bookmarkEnd w:id="0"/>
    </w:p>
    <w:p w14:paraId="1B1AA777" w14:textId="77777777" w:rsidR="007238BD" w:rsidRDefault="007238BD">
      <w:pPr>
        <w:spacing w:line="240" w:lineRule="auto"/>
        <w:jc w:val="both"/>
        <w:rPr>
          <w:rFonts w:ascii="Book Antiqua" w:eastAsia="Book Antiqua" w:hAnsi="Book Antiqua" w:cs="Book Antiqua"/>
        </w:rPr>
      </w:pPr>
    </w:p>
    <w:p w14:paraId="0F47EEA8" w14:textId="77777777" w:rsidR="007238BD" w:rsidRDefault="007238BD">
      <w:pPr>
        <w:spacing w:line="240" w:lineRule="auto"/>
        <w:jc w:val="both"/>
        <w:rPr>
          <w:rFonts w:ascii="Book Antiqua" w:eastAsia="Book Antiqua" w:hAnsi="Book Antiqua" w:cs="Book Antiqua"/>
        </w:rPr>
      </w:pPr>
    </w:p>
    <w:sectPr w:rsidR="007238BD">
      <w:headerReference w:type="default" r:id="rId12"/>
      <w:footerReference w:type="even" r:id="rId13"/>
      <w:footerReference w:type="default" r:id="rId14"/>
      <w:pgSz w:w="12240" w:h="15840"/>
      <w:pgMar w:top="1192"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D1163" w14:textId="77777777" w:rsidR="009C42BF" w:rsidRDefault="009C42BF">
      <w:pPr>
        <w:spacing w:after="0" w:line="240" w:lineRule="auto"/>
      </w:pPr>
      <w:r>
        <w:separator/>
      </w:r>
    </w:p>
  </w:endnote>
  <w:endnote w:type="continuationSeparator" w:id="0">
    <w:p w14:paraId="556E4897" w14:textId="77777777" w:rsidR="009C42BF" w:rsidRDefault="009C4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50F5654A-42B3-574B-A15D-0B85CDB1F6DF}"/>
  </w:font>
  <w:font w:name="Courier New">
    <w:panose1 w:val="02070309020205020404"/>
    <w:charset w:val="00"/>
    <w:family w:val="modern"/>
    <w:pitch w:val="fixed"/>
    <w:sig w:usb0="E0002AFF" w:usb1="C0007843" w:usb2="00000009" w:usb3="00000000" w:csb0="000001FF" w:csb1="00000000"/>
    <w:embedRegular r:id="rId2" w:fontKey="{8120CC04-0E36-8944-B933-4F5E9DBAB469}"/>
  </w:font>
  <w:font w:name="Symbol">
    <w:panose1 w:val="05050102010706020507"/>
    <w:charset w:val="02"/>
    <w:family w:val="decorative"/>
    <w:pitch w:val="variable"/>
    <w:sig w:usb0="00000000" w:usb1="10000000" w:usb2="00000000" w:usb3="00000000" w:csb0="80000000" w:csb1="00000000"/>
    <w:embedRegular r:id="rId3" w:fontKey="{E2654C6F-7085-7E49-BDB7-30726F1AC595}"/>
  </w:font>
  <w:font w:name="Times New Roman">
    <w:panose1 w:val="02020603050405020304"/>
    <w:charset w:val="00"/>
    <w:family w:val="roman"/>
    <w:pitch w:val="variable"/>
    <w:sig w:usb0="E0002EFF" w:usb1="C000785B" w:usb2="00000009" w:usb3="00000000" w:csb0="000001FF" w:csb1="00000000"/>
    <w:embedRegular r:id="rId4" w:fontKey="{3E37ADDC-9775-B243-95B3-ED180437BE97}"/>
  </w:font>
  <w:font w:name="Wingdings">
    <w:panose1 w:val="05000000000000000000"/>
    <w:charset w:val="4D"/>
    <w:family w:val="decorative"/>
    <w:pitch w:val="variable"/>
    <w:sig w:usb0="00000003" w:usb1="00000000" w:usb2="00000000" w:usb3="00000000" w:csb0="80000001" w:csb1="00000000"/>
    <w:embedRegular r:id="rId5" w:fontKey="{F1078882-2A48-FF4F-AF2F-40743D3DEBEE}"/>
  </w:font>
  <w:font w:name="Cambria">
    <w:panose1 w:val="02040503050406030204"/>
    <w:charset w:val="00"/>
    <w:family w:val="roman"/>
    <w:pitch w:val="variable"/>
    <w:sig w:usb0="E00002FF" w:usb1="400004FF" w:usb2="00000000" w:usb3="00000000" w:csb0="0000019F" w:csb1="00000000"/>
    <w:embedRegular r:id="rId6" w:fontKey="{81C7D58C-39EC-3B46-A142-2D83314DF781}"/>
    <w:embedBold r:id="rId7" w:fontKey="{F41537D7-89C0-FC4B-B95E-7BEFF651EBA0}"/>
  </w:font>
  <w:font w:name="Economica">
    <w:altName w:val="Cambria"/>
    <w:panose1 w:val="020B0604020202020204"/>
    <w:charset w:val="00"/>
    <w:family w:val="auto"/>
    <w:pitch w:val="default"/>
    <w:embedRegular r:id="rId8" w:fontKey="{DBE5BC1C-A462-1C4B-8742-58F21EFD1BB3}"/>
  </w:font>
  <w:font w:name="Arial">
    <w:panose1 w:val="020B0604020202020204"/>
    <w:charset w:val="00"/>
    <w:family w:val="swiss"/>
    <w:pitch w:val="variable"/>
    <w:sig w:usb0="E0002AFF" w:usb1="C0007843" w:usb2="00000009" w:usb3="00000000" w:csb0="000001FF" w:csb1="00000000"/>
    <w:embedRegular r:id="rId9" w:fontKey="{F7B562A1-DB63-C245-B8E6-ECB29681C77F}"/>
  </w:font>
  <w:font w:name="Calibri">
    <w:panose1 w:val="020F0502020204030204"/>
    <w:charset w:val="00"/>
    <w:family w:val="swiss"/>
    <w:pitch w:val="variable"/>
    <w:sig w:usb0="E0002AFF" w:usb1="C000247B" w:usb2="00000009" w:usb3="00000000" w:csb0="000001FF" w:csb1="00000000"/>
    <w:embedRegular r:id="rId10" w:fontKey="{F5EB942A-0CA3-0B45-8EF3-99DF1492E705}"/>
  </w:font>
  <w:font w:name="Mangal">
    <w:panose1 w:val="02040503050203030202"/>
    <w:charset w:val="01"/>
    <w:family w:val="roman"/>
    <w:pitch w:val="variable"/>
    <w:sig w:usb0="0000A003" w:usb1="00000000" w:usb2="00000000" w:usb3="00000000" w:csb0="00000001" w:csb1="00000000"/>
    <w:embedRegular r:id="rId11" w:fontKey="{E241D729-D64A-FE46-9444-38C808275E48}"/>
  </w:font>
  <w:font w:name="Courier">
    <w:panose1 w:val="00000000000000000000"/>
    <w:charset w:val="00"/>
    <w:family w:val="modern"/>
    <w:pitch w:val="fixed"/>
    <w:sig w:usb0="E0002AFF" w:usb1="C0007843" w:usb2="00000009" w:usb3="00000000" w:csb0="000001FF" w:csb1="00000000"/>
    <w:embedRegular r:id="rId12" w:fontKey="{7981BAF9-56C6-6445-8E50-F54BF2D7086A}"/>
  </w:font>
  <w:font w:name="Lucida Grande">
    <w:panose1 w:val="020B0600040502020204"/>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embedRegular r:id="rId14" w:fontKey="{EE1F1CF4-EEEC-CF45-A9B4-F1DADA210CCA}"/>
    <w:embedItalic r:id="rId15" w:fontKey="{CB06CD82-BB37-9649-8E99-1167E6A1DBE3}"/>
  </w:font>
  <w:font w:name="Book Antiqua">
    <w:panose1 w:val="02040602050305030304"/>
    <w:charset w:val="00"/>
    <w:family w:val="roman"/>
    <w:pitch w:val="variable"/>
    <w:sig w:usb0="00000287" w:usb1="00000000" w:usb2="00000000" w:usb3="00000000" w:csb0="0000009F" w:csb1="00000000"/>
    <w:embedRegular r:id="rId16" w:fontKey="{536B416C-9954-CF4D-BDDB-B7AF32AC2AC1}"/>
    <w:embedBold r:id="rId17" w:fontKey="{BE181060-7D22-E64F-B2CE-60000F6A432F}"/>
    <w:embedItalic r:id="rId18" w:fontKey="{E684EB9C-7996-674C-BCAA-C8CB6A4FE6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936139252"/>
      <w:docPartObj>
        <w:docPartGallery w:val="Page Numbers (Bottom of Page)"/>
        <w:docPartUnique/>
      </w:docPartObj>
    </w:sdtPr>
    <w:sdtContent>
      <w:p w14:paraId="7FC49489" w14:textId="500ED54E" w:rsidR="00D4126C" w:rsidRDefault="00D4126C" w:rsidP="00304AC7">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435FF2" w14:textId="77777777" w:rsidR="00D4126C" w:rsidRDefault="00D4126C" w:rsidP="00D4126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364451964"/>
      <w:docPartObj>
        <w:docPartGallery w:val="Page Numbers (Bottom of Page)"/>
        <w:docPartUnique/>
      </w:docPartObj>
    </w:sdtPr>
    <w:sdtContent>
      <w:p w14:paraId="499814AE" w14:textId="55BA5303" w:rsidR="00D4126C" w:rsidRDefault="00D4126C" w:rsidP="00304AC7">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sdtContent>
  </w:sdt>
  <w:p w14:paraId="61530949" w14:textId="77777777" w:rsidR="00D4126C" w:rsidRDefault="00D4126C" w:rsidP="00D4126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22449" w14:textId="77777777" w:rsidR="009C42BF" w:rsidRDefault="009C42BF">
      <w:pPr>
        <w:spacing w:after="0" w:line="240" w:lineRule="auto"/>
      </w:pPr>
      <w:r>
        <w:separator/>
      </w:r>
    </w:p>
  </w:footnote>
  <w:footnote w:type="continuationSeparator" w:id="0">
    <w:p w14:paraId="26A3982C" w14:textId="77777777" w:rsidR="009C42BF" w:rsidRDefault="009C42BF">
      <w:pPr>
        <w:spacing w:after="0" w:line="240" w:lineRule="auto"/>
      </w:pPr>
      <w:r>
        <w:continuationSeparator/>
      </w:r>
    </w:p>
  </w:footnote>
  <w:footnote w:id="1">
    <w:p w14:paraId="5A046A6E" w14:textId="77777777" w:rsidR="00443CD6" w:rsidRDefault="00000000">
      <w:pPr>
        <w:pBdr>
          <w:top w:val="nil"/>
          <w:left w:val="nil"/>
          <w:bottom w:val="nil"/>
          <w:right w:val="nil"/>
          <w:between w:val="nil"/>
        </w:pBdr>
        <w:spacing w:after="0" w:line="240" w:lineRule="auto"/>
        <w:rPr>
          <w:rFonts w:eastAsia="Cambria"/>
          <w:color w:val="000000"/>
          <w:sz w:val="20"/>
          <w:szCs w:val="20"/>
        </w:rPr>
      </w:pPr>
      <w:r>
        <w:rPr>
          <w:vertAlign w:val="superscript"/>
        </w:rPr>
        <w:footnoteRef/>
      </w:r>
      <w:r>
        <w:rPr>
          <w:rFonts w:eastAsia="Cambria"/>
          <w:color w:val="000000"/>
          <w:sz w:val="20"/>
          <w:szCs w:val="20"/>
        </w:rPr>
        <w:t xml:space="preserve"> Contacto: aimeevegamx@yahoo.com.mx</w:t>
      </w:r>
    </w:p>
  </w:footnote>
  <w:footnote w:id="2">
    <w:p w14:paraId="7673E1B0" w14:textId="77777777" w:rsidR="00443CD6" w:rsidRDefault="00000000">
      <w:pPr>
        <w:pBdr>
          <w:top w:val="nil"/>
          <w:left w:val="nil"/>
          <w:bottom w:val="nil"/>
          <w:right w:val="nil"/>
          <w:between w:val="nil"/>
        </w:pBdr>
        <w:spacing w:after="0" w:line="240" w:lineRule="auto"/>
        <w:jc w:val="both"/>
        <w:rPr>
          <w:rFonts w:eastAsia="Cambria"/>
          <w:color w:val="000000"/>
          <w:sz w:val="20"/>
          <w:szCs w:val="20"/>
        </w:rPr>
      </w:pPr>
      <w:r>
        <w:rPr>
          <w:vertAlign w:val="superscript"/>
        </w:rPr>
        <w:footnoteRef/>
      </w:r>
      <w:r>
        <w:rPr>
          <w:rFonts w:eastAsia="Cambria"/>
          <w:color w:val="000000"/>
          <w:sz w:val="20"/>
          <w:szCs w:val="20"/>
        </w:rPr>
        <w:t xml:space="preserve"> </w:t>
      </w:r>
      <w:r>
        <w:rPr>
          <w:rFonts w:ascii="Book Antiqua" w:eastAsia="Book Antiqua" w:hAnsi="Book Antiqua" w:cs="Book Antiqua"/>
          <w:color w:val="000000"/>
          <w:sz w:val="20"/>
          <w:szCs w:val="20"/>
        </w:rPr>
        <w:t>La GAMAG fue lanzada en 2013 por la UNESCO. Es una coalición de más de 500 organizaciones en el mundo, que tienen como misión impulsar la igualdad de género en y a través de los medios de comunicación y el ecosistema digital. Contacto: aimeevegamx@yahoo.com.mx</w:t>
      </w:r>
    </w:p>
  </w:footnote>
  <w:footnote w:id="3">
    <w:p w14:paraId="56A61413"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Arial" w:eastAsia="Arial" w:hAnsi="Arial" w:cs="Arial"/>
          <w:color w:val="000000"/>
          <w:sz w:val="20"/>
          <w:szCs w:val="20"/>
        </w:rPr>
        <w:t xml:space="preserve"> </w:t>
      </w:r>
      <w:r>
        <w:rPr>
          <w:rFonts w:ascii="Book Antiqua" w:eastAsia="Book Antiqua" w:hAnsi="Book Antiqua" w:cs="Book Antiqua"/>
          <w:color w:val="000000"/>
          <w:sz w:val="20"/>
          <w:szCs w:val="20"/>
        </w:rPr>
        <w:t>De acuerdo con la investigación “La representación social de la violencia contra las mujeres y las niñas en la agenda mediática en México” (Vega Montiel, 2011), en una semana son representados alrededor de 10 mil tipos y modalidades de violencia contra las mujeres en los contenidos de radio y televisión, así como de la prensa escrita y las revistas de mayor cobertura y consumo a nivel nacional – los tipos y modalidades, incluyen violencia física, sexual, psicológica, económica y feminicida, en los ámbitos familiar, laboral, educativo, institucional y comunitario-.</w:t>
      </w:r>
    </w:p>
  </w:footnote>
  <w:footnote w:id="4">
    <w:p w14:paraId="3C5CEF8C"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eastAsia="Cambria"/>
          <w:color w:val="000000"/>
          <w:sz w:val="20"/>
          <w:szCs w:val="20"/>
        </w:rPr>
        <w:t xml:space="preserve"> </w:t>
      </w:r>
      <w:r>
        <w:rPr>
          <w:rFonts w:ascii="Book Antiqua" w:eastAsia="Book Antiqua" w:hAnsi="Book Antiqua" w:cs="Book Antiqua"/>
          <w:color w:val="000000"/>
          <w:sz w:val="20"/>
          <w:szCs w:val="20"/>
        </w:rPr>
        <w:t>La cobertura informativa sobre violencia contra las mujeres y feminicidio en México se basa en: culpar a la víctima, estigmatizarla, revictimizarla y deshumanizarla; en ocultar o justificar a los agresores; en descontextualizar los casos, sin vincularlos con causas estructurales; en la falta de orientación sobre medidas de prevención y protección de las víctimas; y en descripciones escritas y visuales que constituyen pedagogía de la violencia machista. A ello se añade la filtración de información de las investigaciones judiciales a medios de comunicación por parte de funcionarios de la Fiscalía, lo cual obstaculiza el acceso a la justicia para la víctima (Vega Montiel, 2023).</w:t>
      </w:r>
    </w:p>
  </w:footnote>
  <w:footnote w:id="5">
    <w:p w14:paraId="545EB51C" w14:textId="77777777" w:rsidR="00443CD6" w:rsidRDefault="00000000">
      <w:pPr>
        <w:spacing w:after="0" w:line="240" w:lineRule="auto"/>
        <w:rPr>
          <w:sz w:val="20"/>
          <w:szCs w:val="20"/>
        </w:rPr>
      </w:pPr>
      <w:r>
        <w:rPr>
          <w:vertAlign w:val="superscript"/>
        </w:rPr>
        <w:footnoteRef/>
      </w:r>
      <w:r>
        <w:rPr>
          <w:sz w:val="20"/>
          <w:szCs w:val="20"/>
        </w:rPr>
        <w:t xml:space="preserve"> </w:t>
      </w:r>
      <w:r>
        <w:t>https://cimac.org.mx/2021/07/14/quien-figura-en-las-noticias/</w:t>
      </w:r>
    </w:p>
  </w:footnote>
  <w:footnote w:id="6">
    <w:p w14:paraId="5056D88D" w14:textId="77777777" w:rsidR="00443CD6" w:rsidRDefault="00000000">
      <w:p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vertAlign w:val="superscript"/>
        </w:rPr>
        <w:footnoteRef/>
      </w:r>
      <w:r>
        <w:rPr>
          <w:rFonts w:eastAsia="Cambria"/>
          <w:color w:val="000000"/>
          <w:sz w:val="20"/>
          <w:szCs w:val="20"/>
        </w:rPr>
        <w:t xml:space="preserve"> </w:t>
      </w:r>
      <w:r>
        <w:rPr>
          <w:rFonts w:ascii="Book Antiqua" w:eastAsia="Book Antiqua" w:hAnsi="Book Antiqua" w:cs="Book Antiqua"/>
          <w:color w:val="000000"/>
          <w:sz w:val="20"/>
          <w:szCs w:val="20"/>
        </w:rPr>
        <w:t>Ver: https://www.unesco.org/es/articles/medios-de-comunicacion-y-plataformas-digitales-firman-el-pacto-por-la-eliminacion-de-la-violencia?TSPD_101_R0=080713870fab2000fb8e7c347edfd1c499f58c60da72a41d37a1e03313429dbd5080dc4d1054472608f28fc7bb14300096d5460904ffd00b27bfefc64594254da0d8991c1367205db63457ddd2459e7d5fff97a21f2f6b6856dd6ba76c6024b3</w:t>
      </w:r>
    </w:p>
  </w:footnote>
  <w:footnote w:id="7">
    <w:p w14:paraId="2EBE69D9" w14:textId="77777777" w:rsidR="00443CD6" w:rsidRDefault="00000000">
      <w:pPr>
        <w:pBdr>
          <w:top w:val="nil"/>
          <w:left w:val="nil"/>
          <w:bottom w:val="nil"/>
          <w:right w:val="nil"/>
          <w:between w:val="nil"/>
        </w:pBdr>
        <w:spacing w:after="0" w:line="240" w:lineRule="auto"/>
        <w:rPr>
          <w:rFonts w:eastAsia="Cambria"/>
          <w:color w:val="000000"/>
          <w:sz w:val="20"/>
          <w:szCs w:val="20"/>
        </w:rPr>
      </w:pPr>
      <w:r>
        <w:rPr>
          <w:vertAlign w:val="superscript"/>
        </w:rPr>
        <w:footnoteRef/>
      </w:r>
      <w:r>
        <w:rPr>
          <w:rFonts w:eastAsia="Cambria"/>
          <w:color w:val="000000"/>
          <w:sz w:val="20"/>
          <w:szCs w:val="20"/>
        </w:rPr>
        <w:t xml:space="preserve"> Ver: </w:t>
      </w:r>
      <w:r>
        <w:rPr>
          <w:rFonts w:ascii="Book Antiqua" w:eastAsia="Book Antiqua" w:hAnsi="Book Antiqua" w:cs="Book Antiqua"/>
          <w:color w:val="000000"/>
          <w:sz w:val="20"/>
          <w:szCs w:val="20"/>
        </w:rPr>
        <w:t xml:space="preserve">Vega, Aimée; Esquivel, Daniela; Pacheco, Carolina y Barrera, Adina (2023). </w:t>
      </w:r>
      <w:r>
        <w:rPr>
          <w:rFonts w:ascii="Book Antiqua" w:eastAsia="Book Antiqua" w:hAnsi="Book Antiqua" w:cs="Book Antiqua"/>
          <w:i/>
          <w:color w:val="000000"/>
          <w:sz w:val="20"/>
          <w:szCs w:val="20"/>
        </w:rPr>
        <w:t>Seguridad digital de mujeres, adolescentes y niñas</w:t>
      </w:r>
      <w:r>
        <w:rPr>
          <w:rFonts w:ascii="Book Antiqua" w:eastAsia="Book Antiqua" w:hAnsi="Book Antiqua" w:cs="Book Antiqua"/>
          <w:color w:val="000000"/>
          <w:sz w:val="20"/>
          <w:szCs w:val="20"/>
        </w:rPr>
        <w:t>. En Historias de igualdad. Derechos de mujeres y niñas en el ecosistema digital, Aimée Vega Montiel (Coord). Ciudad de México: Fundación Telefónica, Telefónica, UNESCO, Conectadas, Taurus.</w:t>
      </w:r>
    </w:p>
  </w:footnote>
  <w:footnote w:id="8">
    <w:p w14:paraId="59EF6E64" w14:textId="77777777" w:rsidR="00443CD6" w:rsidRDefault="00000000">
      <w:pPr>
        <w:spacing w:after="0" w:line="240" w:lineRule="auto"/>
        <w:rPr>
          <w:sz w:val="20"/>
          <w:szCs w:val="20"/>
        </w:rPr>
      </w:pPr>
      <w:r>
        <w:rPr>
          <w:vertAlign w:val="superscript"/>
        </w:rPr>
        <w:footnoteRef/>
      </w:r>
      <w:r>
        <w:rPr>
          <w:sz w:val="20"/>
          <w:szCs w:val="20"/>
        </w:rPr>
        <w:t xml:space="preserve"> </w:t>
      </w:r>
      <w:r>
        <w:rPr>
          <w:rFonts w:ascii="Calibri" w:eastAsia="Calibri" w:hAnsi="Calibri" w:cs="Calibri"/>
        </w:rPr>
        <w:t>CIMA- Geografías de la violencia contra las periodistas:</w:t>
      </w:r>
      <w:hyperlink r:id="rId1">
        <w:r w:rsidR="00443CD6">
          <w:rPr>
            <w:rFonts w:ascii="Calibri" w:eastAsia="Calibri" w:hAnsi="Calibri" w:cs="Calibri"/>
          </w:rPr>
          <w:t xml:space="preserve"> </w:t>
        </w:r>
      </w:hyperlink>
      <w:hyperlink r:id="rId2">
        <w:r w:rsidR="00443CD6">
          <w:rPr>
            <w:rFonts w:ascii="Calibri" w:eastAsia="Calibri" w:hAnsi="Calibri" w:cs="Calibri"/>
            <w:color w:val="1155CC"/>
            <w:u w:val="single"/>
          </w:rPr>
          <w:t>https://cartografia-cimac.uwazi.io/</w:t>
        </w:r>
      </w:hyperlink>
    </w:p>
  </w:footnote>
  <w:footnote w:id="9">
    <w:p w14:paraId="516AD3E2"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Book Antiqua" w:eastAsia="Book Antiqua" w:hAnsi="Book Antiqua" w:cs="Book Antiqua"/>
          <w:color w:val="000000"/>
          <w:sz w:val="20"/>
          <w:szCs w:val="20"/>
        </w:rPr>
        <w:t xml:space="preserve"> GAMAG (2021), </w:t>
      </w:r>
      <w:r>
        <w:rPr>
          <w:rFonts w:ascii="Book Antiqua" w:eastAsia="Book Antiqua" w:hAnsi="Book Antiqua" w:cs="Book Antiqua"/>
          <w:i/>
          <w:color w:val="000000"/>
          <w:sz w:val="20"/>
          <w:szCs w:val="20"/>
        </w:rPr>
        <w:t>Engendering National Mechanisms for the Safety of Journalists in Mexico, Iraq and Afghanistan Report</w:t>
      </w:r>
      <w:r>
        <w:rPr>
          <w:rFonts w:ascii="Book Antiqua" w:eastAsia="Book Antiqua" w:hAnsi="Book Antiqua" w:cs="Book Antiqua"/>
          <w:color w:val="000000"/>
          <w:sz w:val="20"/>
          <w:szCs w:val="20"/>
        </w:rPr>
        <w:t>.</w:t>
      </w:r>
    </w:p>
  </w:footnote>
  <w:footnote w:id="10">
    <w:p w14:paraId="0A4F71FA"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Book Antiqua" w:eastAsia="Book Antiqua" w:hAnsi="Book Antiqua" w:cs="Book Antiqua"/>
          <w:color w:val="000000"/>
          <w:sz w:val="20"/>
          <w:szCs w:val="20"/>
        </w:rPr>
        <w:t xml:space="preserve"> De acuerdo con el estudio de GAMAG (2021), las mujeres periodistas encuestadas mencionaron haber sido víctimas de los siguientes tipos de violencia digital: acoso a través de mensajes privados, discurso de odio sexista, amenazas de afectar su reputación y su posición profesional, abuso de imágenes e información personal, hackeo, vigilancia, amenazas de violencia física, sexual y feminicidio; y robo de identidad</w:t>
      </w:r>
      <w:r>
        <w:rPr>
          <w:rFonts w:ascii="Book Antiqua" w:eastAsia="Book Antiqua" w:hAnsi="Book Antiqua" w:cs="Book Antiqua"/>
          <w:color w:val="374151"/>
          <w:sz w:val="20"/>
          <w:szCs w:val="20"/>
          <w:shd w:val="clear" w:color="auto" w:fill="F7F7F8"/>
        </w:rPr>
        <w:t>.</w:t>
      </w:r>
    </w:p>
  </w:footnote>
  <w:footnote w:id="11">
    <w:p w14:paraId="7BEA1552" w14:textId="1B7177BB" w:rsidR="00443CD6" w:rsidRPr="00AD2548" w:rsidRDefault="00000000">
      <w:pPr>
        <w:spacing w:after="0" w:line="240" w:lineRule="auto"/>
        <w:rPr>
          <w:color w:val="1155CC"/>
          <w:sz w:val="20"/>
          <w:szCs w:val="20"/>
          <w:u w:val="single"/>
        </w:rPr>
      </w:pPr>
      <w:r>
        <w:rPr>
          <w:vertAlign w:val="superscript"/>
        </w:rPr>
        <w:footnoteRef/>
      </w:r>
      <w:r>
        <w:rPr>
          <w:sz w:val="20"/>
          <w:szCs w:val="20"/>
        </w:rPr>
        <w:t xml:space="preserve"> Informe Estadístico Mensual del Mecanismo de Protección para Personas Defensoras de Derechos Humanos y Periodistas:</w:t>
      </w:r>
      <w:hyperlink r:id="rId3">
        <w:r w:rsidR="00443CD6">
          <w:rPr>
            <w:sz w:val="20"/>
            <w:szCs w:val="20"/>
          </w:rPr>
          <w:t xml:space="preserve"> </w:t>
        </w:r>
      </w:hyperlink>
      <w:hyperlink r:id="rId4">
        <w:r w:rsidR="00443CD6">
          <w:rPr>
            <w:color w:val="1155CC"/>
            <w:sz w:val="20"/>
            <w:szCs w:val="20"/>
            <w:u w:val="single"/>
          </w:rPr>
          <w:t>https://www.gob.mx/cms/uploads/attachment/file/992931/03_2025_Informe_estadistico_marzo.pdf</w:t>
        </w:r>
      </w:hyperlink>
    </w:p>
  </w:footnote>
  <w:footnote w:id="12">
    <w:p w14:paraId="5E40F1CF" w14:textId="77777777" w:rsidR="00443CD6" w:rsidRDefault="00000000">
      <w:pPr>
        <w:spacing w:after="0" w:line="240" w:lineRule="auto"/>
        <w:rPr>
          <w:sz w:val="20"/>
          <w:szCs w:val="20"/>
        </w:rPr>
      </w:pPr>
      <w:r>
        <w:rPr>
          <w:vertAlign w:val="superscript"/>
        </w:rPr>
        <w:footnoteRef/>
      </w:r>
      <w:r>
        <w:rPr>
          <w:sz w:val="20"/>
          <w:szCs w:val="20"/>
        </w:rPr>
        <w:t xml:space="preserve"> </w:t>
      </w:r>
      <w:r>
        <w:rPr>
          <w:rFonts w:ascii="Calibri" w:eastAsia="Calibri" w:hAnsi="Calibri" w:cs="Calibri"/>
        </w:rPr>
        <w:t>Cifras calculadas a partir de los datos del Informe Estadístico Mensual del Mecanismo de Protección para Personas Defensoras de Derechos Humanos y Periodistas:</w:t>
      </w:r>
      <w:hyperlink r:id="rId5">
        <w:r w:rsidR="00443CD6">
          <w:rPr>
            <w:rFonts w:ascii="Calibri" w:eastAsia="Calibri" w:hAnsi="Calibri" w:cs="Calibri"/>
          </w:rPr>
          <w:t xml:space="preserve"> </w:t>
        </w:r>
      </w:hyperlink>
      <w:hyperlink r:id="rId6">
        <w:r w:rsidR="00443CD6">
          <w:rPr>
            <w:rFonts w:ascii="Calibri" w:eastAsia="Calibri" w:hAnsi="Calibri" w:cs="Calibri"/>
            <w:color w:val="1155CC"/>
            <w:u w:val="single"/>
          </w:rPr>
          <w:t>https://www.gob.mx/cms/uploads/attachment/file/992931/03_2025_Informe_estadistico_marzo.pdf</w:t>
        </w:r>
      </w:hyperlink>
    </w:p>
  </w:footnote>
  <w:footnote w:id="13">
    <w:p w14:paraId="7C897853" w14:textId="77777777" w:rsidR="00443CD6" w:rsidRDefault="00000000">
      <w:pPr>
        <w:pBdr>
          <w:top w:val="nil"/>
          <w:left w:val="nil"/>
          <w:bottom w:val="nil"/>
          <w:right w:val="nil"/>
          <w:between w:val="nil"/>
        </w:pBdr>
        <w:spacing w:after="0" w:line="240" w:lineRule="auto"/>
        <w:jc w:val="both"/>
        <w:rPr>
          <w:rFonts w:eastAsia="Cambria"/>
          <w:color w:val="000000"/>
          <w:sz w:val="20"/>
          <w:szCs w:val="20"/>
        </w:rPr>
      </w:pPr>
      <w:r>
        <w:rPr>
          <w:vertAlign w:val="superscript"/>
        </w:rPr>
        <w:footnoteRef/>
      </w:r>
      <w:r>
        <w:rPr>
          <w:rFonts w:eastAsia="Cambria"/>
          <w:color w:val="000000"/>
          <w:sz w:val="20"/>
          <w:szCs w:val="20"/>
        </w:rPr>
        <w:t xml:space="preserve"> </w:t>
      </w:r>
      <w:r>
        <w:rPr>
          <w:rFonts w:ascii="Book Antiqua" w:eastAsia="Book Antiqua" w:hAnsi="Book Antiqua" w:cs="Book Antiqua"/>
          <w:color w:val="000000"/>
          <w:sz w:val="20"/>
          <w:szCs w:val="20"/>
        </w:rPr>
        <w:t>Relatoría Especial para la Libertad de Expresión, «Mujeres Periodistas y Libertad de Expresión. Discriminación y violencia basada en el género contra las mujeres periodistas por el ejercicio de su profesión» (OEA, 31 de octubre de 2018), https://www.oas.org/es/cidh/expresion/docs/informes/MujeresPeriodistas.pdf, accedido 10 de junio de 2019, párr. 167.</w:t>
      </w:r>
    </w:p>
  </w:footnote>
  <w:footnote w:id="14">
    <w:p w14:paraId="40D9F818" w14:textId="77777777" w:rsidR="00443CD6" w:rsidRDefault="00000000">
      <w:pPr>
        <w:pBdr>
          <w:top w:val="nil"/>
          <w:left w:val="nil"/>
          <w:bottom w:val="nil"/>
          <w:right w:val="nil"/>
          <w:between w:val="nil"/>
        </w:pBdr>
        <w:spacing w:after="0" w:line="240" w:lineRule="auto"/>
        <w:jc w:val="both"/>
        <w:rPr>
          <w:rFonts w:eastAsia="Cambria"/>
          <w:color w:val="000000"/>
          <w:sz w:val="20"/>
          <w:szCs w:val="20"/>
        </w:rPr>
      </w:pPr>
      <w:r>
        <w:rPr>
          <w:vertAlign w:val="superscript"/>
        </w:rPr>
        <w:footnoteRef/>
      </w:r>
      <w:r>
        <w:rPr>
          <w:rFonts w:eastAsia="Cambria"/>
          <w:color w:val="000000"/>
          <w:sz w:val="20"/>
          <w:szCs w:val="20"/>
        </w:rPr>
        <w:t xml:space="preserve"> </w:t>
      </w:r>
      <w:r>
        <w:rPr>
          <w:rFonts w:ascii="Book Antiqua" w:eastAsia="Book Antiqua" w:hAnsi="Book Antiqua" w:cs="Book Antiqua"/>
          <w:color w:val="000000"/>
          <w:sz w:val="20"/>
          <w:szCs w:val="20"/>
        </w:rPr>
        <w:t xml:space="preserve">Esta incluye: 1) la protección de datos personales recopilados y procesados por las instituciones y entidades privadas en la </w:t>
      </w:r>
      <w:r>
        <w:rPr>
          <w:rFonts w:ascii="Book Antiqua" w:eastAsia="Book Antiqua" w:hAnsi="Book Antiqua" w:cs="Book Antiqua"/>
          <w:i/>
          <w:color w:val="000000"/>
          <w:sz w:val="20"/>
          <w:szCs w:val="20"/>
        </w:rPr>
        <w:t>Ley Federal de Protección de Datos Personales en Posesión de Particulares</w:t>
      </w:r>
      <w:r>
        <w:rPr>
          <w:rFonts w:ascii="Book Antiqua" w:eastAsia="Book Antiqua" w:hAnsi="Book Antiqua" w:cs="Book Antiqua"/>
          <w:color w:val="000000"/>
          <w:sz w:val="20"/>
          <w:szCs w:val="20"/>
        </w:rPr>
        <w:t xml:space="preserve"> (2010); 2) la </w:t>
      </w:r>
      <w:r>
        <w:rPr>
          <w:rFonts w:ascii="Book Antiqua" w:eastAsia="Book Antiqua" w:hAnsi="Book Antiqua" w:cs="Book Antiqua"/>
          <w:i/>
          <w:color w:val="000000"/>
          <w:sz w:val="20"/>
          <w:szCs w:val="20"/>
        </w:rPr>
        <w:t>Ley General de Protección de Datos Personales en Posesión de Sujetos Obligados</w:t>
      </w:r>
      <w:r>
        <w:rPr>
          <w:rFonts w:ascii="Book Antiqua" w:eastAsia="Book Antiqua" w:hAnsi="Book Antiqua" w:cs="Book Antiqua"/>
          <w:color w:val="000000"/>
          <w:sz w:val="20"/>
          <w:szCs w:val="20"/>
        </w:rPr>
        <w:t xml:space="preserve"> (2017), aplicable a cualquier autoridad, entidad, órgano y organismo de los Poderes Ejecutivo, Legislativo y Judicial, órganos autónomos, partidos políticos, fideicomisos y fondos públicos; y 3) la </w:t>
      </w:r>
      <w:r>
        <w:rPr>
          <w:rFonts w:ascii="Book Antiqua" w:eastAsia="Book Antiqua" w:hAnsi="Book Antiqua" w:cs="Book Antiqua"/>
          <w:i/>
          <w:color w:val="000000"/>
          <w:sz w:val="20"/>
          <w:szCs w:val="20"/>
        </w:rPr>
        <w:t>Ley Federal de Ciberseguridad</w:t>
      </w:r>
      <w:r>
        <w:rPr>
          <w:rFonts w:ascii="Book Antiqua" w:eastAsia="Book Antiqua" w:hAnsi="Book Antiqua" w:cs="Book Antiqua"/>
          <w:color w:val="000000"/>
          <w:sz w:val="20"/>
          <w:szCs w:val="20"/>
        </w:rPr>
        <w:t xml:space="preserve"> (2022) que fue diseñada para establecer un marco legal para prevenir, detectar y responder a amenazas cibernéticas, así como garantizar la seguridad de la información en el ámbito público y privado.</w:t>
      </w:r>
    </w:p>
  </w:footnote>
  <w:footnote w:id="15">
    <w:p w14:paraId="050F98F3"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Arial" w:eastAsia="Arial" w:hAnsi="Arial" w:cs="Arial"/>
          <w:color w:val="000000"/>
          <w:sz w:val="20"/>
          <w:szCs w:val="20"/>
        </w:rPr>
        <w:t xml:space="preserve"> </w:t>
      </w:r>
      <w:r>
        <w:rPr>
          <w:rFonts w:ascii="Book Antiqua" w:eastAsia="Book Antiqua" w:hAnsi="Book Antiqua" w:cs="Book Antiqua"/>
          <w:color w:val="000000"/>
          <w:sz w:val="20"/>
          <w:szCs w:val="20"/>
        </w:rPr>
        <w:t>En México, el derecho a la información se encuentra reconocido en el Art. 6° constitucional y regulado por la Ley Federal (2002); Ley General (2015) y 32 leyes correspondientes a las entidades federativas. También se cuenta con una Ley General de Archivos, publicada en 2018. Estas leyes (general, federal y estatales), reconocen que: a) la información en poder del Estado sobre violaciones graves a derechos humanos es pública; b) la interpretación para garantizar el derecho a la información es de acuerdo al principio de máxima publicidad y tratados internacionales (CEDAW, Convención Belem Do Pará); c) exige a los sujetos obligados documentar todo acto que derive de sus facultades, competencias y funciones (incluso las derivadas de tratados internacionales de derechos humanos de las mujeres); d) la transparencia debe generar conocimiento público útil, para disminuir asimetrías de información y para fijar objetivos de acuerdo a las necesidades de sectores de la sociedad; e) la transparencia debe ser con perspectiva de género, de discapacidad y multicultural.</w:t>
      </w:r>
    </w:p>
  </w:footnote>
  <w:footnote w:id="16">
    <w:p w14:paraId="426B48CA" w14:textId="77777777" w:rsidR="00443CD6" w:rsidRDefault="00000000">
      <w:pPr>
        <w:pBdr>
          <w:top w:val="nil"/>
          <w:left w:val="nil"/>
          <w:bottom w:val="nil"/>
          <w:right w:val="nil"/>
          <w:between w:val="nil"/>
        </w:pBdr>
        <w:spacing w:after="0" w:line="240" w:lineRule="auto"/>
        <w:jc w:val="both"/>
        <w:rPr>
          <w:rFonts w:ascii="Arial" w:eastAsia="Arial" w:hAnsi="Arial" w:cs="Arial"/>
          <w:color w:val="000000"/>
          <w:sz w:val="18"/>
          <w:szCs w:val="18"/>
        </w:rPr>
      </w:pPr>
      <w:r>
        <w:rPr>
          <w:vertAlign w:val="superscript"/>
        </w:rPr>
        <w:footnoteRef/>
      </w:r>
      <w:r>
        <w:rPr>
          <w:rFonts w:ascii="Arial" w:eastAsia="Arial" w:hAnsi="Arial" w:cs="Arial"/>
          <w:color w:val="000000"/>
          <w:sz w:val="18"/>
          <w:szCs w:val="18"/>
        </w:rPr>
        <w:t xml:space="preserve"> Otros mecanismos que se han visto afectados durante este periodo son: </w:t>
      </w:r>
    </w:p>
    <w:p w14:paraId="28D45529" w14:textId="77777777"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Sistema de monitoreo del comportamiento violento de los individuos y de la sociedad contra las mujeres. No se cuenta con información al respecto.</w:t>
      </w:r>
    </w:p>
    <w:p w14:paraId="74D3CF52" w14:textId="77777777"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El Banco Nacional de Datos e Información sobre Casos de Violencia contra las Mujeres (BANAVIM) no proporciona toda la información que le ordena la ley. En su versión pública sólo facilita datos generales por entidad federativa (Tipo y Modalidad de violencia, sexo de los victimarios, número de órdenes de protección y número de servicios otorgados).</w:t>
      </w:r>
    </w:p>
    <w:p w14:paraId="7CC57D4A" w14:textId="77777777"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Diagnósticos sobre las causas y las consecuencias de la violencia contra las mujeres. No existe un diagnóstico que se realice de manera sistemática; cada entidad federativa realiza el suyo y responde no a una medida preventiva sino a una obligación dentro de los marcos de las Alertas de Violencia de Género. En 2022, esta actividad fue asignada a los Centro de Justicia para las Mujeres.</w:t>
      </w:r>
    </w:p>
    <w:p w14:paraId="3F646D81" w14:textId="77777777"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Página de internet con datos generales de las mujeres y niñas que sean reportadas como desaparecidas. Se cuenta con el Registro Nacional de Personas Desaparecidas y No Localizadas (RNPDNO), pero de acuerdo al Movimiento por Nuestros Desaparecidos en México, no una medición certera de la desaparición forzada y la desaparición cometida por particulares, así como sus patrones y causas.</w:t>
      </w:r>
    </w:p>
    <w:p w14:paraId="0AC9BDD1" w14:textId="77777777"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Registro público sistemático de los delitos cometidos en contra de mujeres. En 2022, esta actividad fue asignada a los Centro de Justicia para las Mujeres.</w:t>
      </w:r>
    </w:p>
    <w:p w14:paraId="7883A721" w14:textId="77777777"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Base nacional de información genética. Existe el Banco Nacional de Datos Forenses y del Registro Nacional de Personas Fallecidas No Identificadas y No Reclamadas, pero no se cuenta con una versión pública.</w:t>
      </w:r>
    </w:p>
    <w:p w14:paraId="6DAFA3A2" w14:textId="77777777" w:rsidR="00443CD6" w:rsidRDefault="00000000">
      <w:pPr>
        <w:numPr>
          <w:ilvl w:val="0"/>
          <w:numId w:val="8"/>
        </w:num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Diagnóstico de la incidencia, modalidades, causas y consecuencias y su comportamiento delictivo, así como los grupos afectados o en mayor grado de vulnerabilidad, en materia de trata. No existe un diagnóstico que se realice de manera sistemática.</w:t>
      </w:r>
    </w:p>
    <w:p w14:paraId="12B8D0C2" w14:textId="483CDEBF" w:rsidR="00443CD6" w:rsidRPr="005319AD" w:rsidRDefault="00000000" w:rsidP="005319AD">
      <w:pPr>
        <w:numPr>
          <w:ilvl w:val="0"/>
          <w:numId w:val="8"/>
        </w:numPr>
        <w:pBdr>
          <w:top w:val="nil"/>
          <w:left w:val="nil"/>
          <w:bottom w:val="nil"/>
          <w:right w:val="nil"/>
          <w:between w:val="nil"/>
        </w:pBdr>
        <w:spacing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Registro nacional de dependencias, instituciones y organizaciones de la sociedad civil que realicen acciones en el combate a los delitos previstos la ley de trata y la asistencia y protección a las víctimas. No se cuenta con dicho directorio.</w:t>
      </w:r>
    </w:p>
  </w:footnote>
  <w:footnote w:id="17">
    <w:p w14:paraId="572D6E87" w14:textId="77777777" w:rsidR="00443CD6"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Arial" w:eastAsia="Arial" w:hAnsi="Arial" w:cs="Arial"/>
          <w:color w:val="000000"/>
          <w:sz w:val="18"/>
          <w:szCs w:val="18"/>
        </w:rPr>
        <w:t xml:space="preserve"> </w:t>
      </w:r>
      <w:r>
        <w:rPr>
          <w:rFonts w:ascii="Book Antiqua" w:eastAsia="Book Antiqua" w:hAnsi="Book Antiqua" w:cs="Book Antiqua"/>
          <w:color w:val="000000"/>
          <w:sz w:val="20"/>
          <w:szCs w:val="20"/>
        </w:rPr>
        <w:t>Sus obligaciones incluyen:</w:t>
      </w:r>
    </w:p>
    <w:p w14:paraId="04F618E6" w14:textId="77777777" w:rsidR="00443CD6" w:rsidRDefault="00000000">
      <w:pPr>
        <w:pBdr>
          <w:top w:val="nil"/>
          <w:left w:val="nil"/>
          <w:bottom w:val="nil"/>
          <w:right w:val="nil"/>
          <w:between w:val="nil"/>
        </w:pBdr>
        <w:spacing w:after="0" w:line="240" w:lineRule="auto"/>
        <w:ind w:firstLine="288"/>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a)</w:t>
      </w:r>
      <w:r>
        <w:rPr>
          <w:rFonts w:ascii="Book Antiqua" w:eastAsia="Book Antiqua" w:hAnsi="Book Antiqua" w:cs="Book Antiqua"/>
          <w:color w:val="000000"/>
          <w:sz w:val="20"/>
          <w:szCs w:val="20"/>
        </w:rPr>
        <w:tab/>
        <w:t>recurrir de manera sistemática al marco internacional de derechos humanos de las mujeres para la interpretación del derecho con perspectiva de género.</w:t>
      </w:r>
    </w:p>
    <w:p w14:paraId="7025D996" w14:textId="77777777" w:rsidR="00443CD6" w:rsidRDefault="00000000">
      <w:pPr>
        <w:pBdr>
          <w:top w:val="nil"/>
          <w:left w:val="nil"/>
          <w:bottom w:val="nil"/>
          <w:right w:val="nil"/>
          <w:between w:val="nil"/>
        </w:pBdr>
        <w:spacing w:after="0" w:line="240" w:lineRule="auto"/>
        <w:ind w:firstLine="288"/>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b)</w:t>
      </w:r>
      <w:r>
        <w:rPr>
          <w:rFonts w:ascii="Book Antiqua" w:eastAsia="Book Antiqua" w:hAnsi="Book Antiqua" w:cs="Book Antiqua"/>
          <w:color w:val="000000"/>
          <w:sz w:val="20"/>
          <w:szCs w:val="20"/>
        </w:rPr>
        <w:tab/>
        <w:t>institucionalizar la perspectiva de género para que los datos que generen, las evaluaciones que realice de otros sujetos obligados, las resoluciones de casos, las capacitaciones, entre otras actividades, tengan esta perspectiva.</w:t>
      </w:r>
    </w:p>
    <w:p w14:paraId="77194BDF" w14:textId="77777777" w:rsidR="00443CD6" w:rsidRDefault="00000000">
      <w:pPr>
        <w:pBdr>
          <w:top w:val="nil"/>
          <w:left w:val="nil"/>
          <w:bottom w:val="nil"/>
          <w:right w:val="nil"/>
          <w:between w:val="nil"/>
        </w:pBdr>
        <w:spacing w:after="0" w:line="240" w:lineRule="auto"/>
        <w:ind w:firstLine="288"/>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c)</w:t>
      </w:r>
      <w:r>
        <w:rPr>
          <w:rFonts w:ascii="Book Antiqua" w:eastAsia="Book Antiqua" w:hAnsi="Book Antiqua" w:cs="Book Antiqua"/>
          <w:color w:val="000000"/>
          <w:sz w:val="20"/>
          <w:szCs w:val="20"/>
        </w:rPr>
        <w:tab/>
        <w:t>pronunciarse de manera urgente y explícita sobre la obligación de los sujetos obligados a documentar todo acto que derive de sus facultades, competencias y funciones, en especial las que tengan que ver con los derivados de los tratados internacionales de derechos humanos de las mujeres.</w:t>
      </w:r>
    </w:p>
    <w:p w14:paraId="208097EF" w14:textId="77777777" w:rsidR="00443CD6" w:rsidRDefault="00000000">
      <w:pPr>
        <w:pBdr>
          <w:top w:val="nil"/>
          <w:left w:val="nil"/>
          <w:bottom w:val="nil"/>
          <w:right w:val="nil"/>
          <w:between w:val="nil"/>
        </w:pBdr>
        <w:spacing w:after="0" w:line="240" w:lineRule="auto"/>
        <w:ind w:firstLine="288"/>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d)</w:t>
      </w:r>
      <w:r>
        <w:rPr>
          <w:rFonts w:ascii="Book Antiqua" w:eastAsia="Book Antiqua" w:hAnsi="Book Antiqua" w:cs="Book Antiqua"/>
          <w:color w:val="000000"/>
          <w:sz w:val="20"/>
          <w:szCs w:val="20"/>
        </w:rPr>
        <w:tab/>
        <w:t>elaborar indicadores con perspectiva de género que les permitan evaluar el cumplimiento de las obligaciones de transparencia que marcan las leyes.</w:t>
      </w:r>
    </w:p>
    <w:p w14:paraId="00517149" w14:textId="77777777" w:rsidR="00443CD6" w:rsidRDefault="00443CD6">
      <w:pPr>
        <w:pBdr>
          <w:top w:val="nil"/>
          <w:left w:val="nil"/>
          <w:bottom w:val="nil"/>
          <w:right w:val="nil"/>
          <w:between w:val="nil"/>
        </w:pBdr>
        <w:spacing w:after="0" w:line="240" w:lineRule="auto"/>
        <w:rPr>
          <w:rFonts w:eastAsia="Cambria"/>
          <w:color w:val="000000"/>
          <w:sz w:val="20"/>
          <w:szCs w:val="20"/>
        </w:rPr>
      </w:pPr>
    </w:p>
  </w:footnote>
  <w:footnote w:id="18">
    <w:p w14:paraId="4F73BF9B" w14:textId="77777777" w:rsidR="00443CD6" w:rsidRDefault="00000000">
      <w:pPr>
        <w:spacing w:after="0" w:line="240" w:lineRule="auto"/>
        <w:rPr>
          <w:sz w:val="20"/>
          <w:szCs w:val="20"/>
        </w:rPr>
      </w:pPr>
      <w:r>
        <w:rPr>
          <w:vertAlign w:val="superscript"/>
        </w:rPr>
        <w:footnoteRef/>
      </w:r>
      <w:r>
        <w:rPr>
          <w:sz w:val="20"/>
          <w:szCs w:val="20"/>
        </w:rPr>
        <w:t xml:space="preserve"> Informe que presenta la Secretaría Ejecutiva del Consejo General del INE en cumplimiento al artículo 47 del Reglamento de Quejas y Denuncias en Materia de Violencia Política contra las Mujeres en Razón de Género (VPMRG), consultable en la liga CGor202311-22-ip-8.pdf (ine.mx)</w:t>
      </w:r>
    </w:p>
  </w:footnote>
  <w:footnote w:id="19">
    <w:p w14:paraId="268A7F18" w14:textId="77777777" w:rsidR="00443CD6" w:rsidRDefault="00000000">
      <w:pPr>
        <w:spacing w:after="0" w:line="240" w:lineRule="auto"/>
        <w:rPr>
          <w:sz w:val="20"/>
          <w:szCs w:val="20"/>
        </w:rPr>
      </w:pPr>
      <w:r>
        <w:rPr>
          <w:vertAlign w:val="superscript"/>
        </w:rPr>
        <w:footnoteRef/>
      </w:r>
      <w:r>
        <w:rPr>
          <w:sz w:val="20"/>
          <w:szCs w:val="20"/>
        </w:rPr>
        <w:t xml:space="preserve"> Instituto Nacional Electoral, Violencia política contra las mujeres en la esfera digital y mediática disponible en </w:t>
      </w:r>
      <w:hyperlink r:id="rId7">
        <w:r w:rsidR="00443CD6">
          <w:rPr>
            <w:color w:val="1155CC"/>
            <w:sz w:val="20"/>
            <w:szCs w:val="20"/>
            <w:u w:val="single"/>
          </w:rPr>
          <w:t>https://igualdad.ine.mx/violencia-digital-y-mediatica/</w:t>
        </w:r>
      </w:hyperlink>
      <w:r>
        <w:rPr>
          <w:sz w:val="20"/>
          <w:szCs w:val="20"/>
        </w:rPr>
        <w:t xml:space="preserve"> </w:t>
      </w:r>
    </w:p>
  </w:footnote>
  <w:footnote w:id="20">
    <w:p w14:paraId="2A3A7F28" w14:textId="77777777" w:rsidR="00443CD6" w:rsidRDefault="00000000">
      <w:pPr>
        <w:spacing w:after="0" w:line="240" w:lineRule="auto"/>
        <w:rPr>
          <w:rFonts w:ascii="Book Antiqua" w:eastAsia="Book Antiqua" w:hAnsi="Book Antiqua" w:cs="Book Antiqua"/>
          <w:sz w:val="14"/>
          <w:szCs w:val="14"/>
        </w:rPr>
      </w:pPr>
      <w:r>
        <w:rPr>
          <w:vertAlign w:val="superscript"/>
        </w:rPr>
        <w:footnoteRef/>
      </w:r>
      <w:r>
        <w:rPr>
          <w:sz w:val="20"/>
          <w:szCs w:val="20"/>
        </w:rPr>
        <w:t xml:space="preserve"> </w:t>
      </w:r>
      <w:r>
        <w:rPr>
          <w:rFonts w:ascii="Book Antiqua" w:eastAsia="Book Antiqua" w:hAnsi="Book Antiqua" w:cs="Book Antiqua"/>
          <w:sz w:val="18"/>
          <w:szCs w:val="18"/>
        </w:rPr>
        <w:t>Tribunal Electoral del Poder Judicial de la Federación. (2023). SUP-JDC-427/2023 y acumulados. Sala Superior.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1F52" w14:textId="000CBCAB" w:rsidR="00443CD6" w:rsidRDefault="00443CD6">
    <w:pPr>
      <w:pBdr>
        <w:top w:val="nil"/>
        <w:left w:val="nil"/>
        <w:bottom w:val="nil"/>
        <w:right w:val="nil"/>
        <w:between w:val="nil"/>
      </w:pBdr>
      <w:tabs>
        <w:tab w:val="center" w:pos="4419"/>
        <w:tab w:val="right" w:pos="8838"/>
      </w:tabs>
      <w:spacing w:after="0" w:line="240" w:lineRule="auto"/>
      <w:jc w:val="center"/>
      <w:rPr>
        <w:rFonts w:eastAsia="Cambri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44D37"/>
    <w:multiLevelType w:val="multilevel"/>
    <w:tmpl w:val="15B07B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46500BF"/>
    <w:multiLevelType w:val="multilevel"/>
    <w:tmpl w:val="BA8AF4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53C2EE2"/>
    <w:multiLevelType w:val="hybridMultilevel"/>
    <w:tmpl w:val="95602A2A"/>
    <w:lvl w:ilvl="0" w:tplc="04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32017C9A"/>
    <w:multiLevelType w:val="multilevel"/>
    <w:tmpl w:val="CEDECC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32BC227F"/>
    <w:multiLevelType w:val="hybridMultilevel"/>
    <w:tmpl w:val="383245B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 w15:restartNumberingAfterBreak="0">
    <w:nsid w:val="37614B7C"/>
    <w:multiLevelType w:val="multilevel"/>
    <w:tmpl w:val="3F4224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ADD754C"/>
    <w:multiLevelType w:val="multilevel"/>
    <w:tmpl w:val="8E62AB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4B5118CD"/>
    <w:multiLevelType w:val="multilevel"/>
    <w:tmpl w:val="3DA685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114392A"/>
    <w:multiLevelType w:val="multilevel"/>
    <w:tmpl w:val="62E41CB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51E35E1"/>
    <w:multiLevelType w:val="multilevel"/>
    <w:tmpl w:val="8E76E8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31D2D97"/>
    <w:multiLevelType w:val="multilevel"/>
    <w:tmpl w:val="8FEA8C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68362886"/>
    <w:multiLevelType w:val="multilevel"/>
    <w:tmpl w:val="D3FE6B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6F7A5DAD"/>
    <w:multiLevelType w:val="multilevel"/>
    <w:tmpl w:val="25E2B9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7B315608"/>
    <w:multiLevelType w:val="multilevel"/>
    <w:tmpl w:val="7E4A835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7B42760A"/>
    <w:multiLevelType w:val="hybridMultilevel"/>
    <w:tmpl w:val="6F209C7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num w:numId="1" w16cid:durableId="348526349">
    <w:abstractNumId w:val="9"/>
  </w:num>
  <w:num w:numId="2" w16cid:durableId="872422090">
    <w:abstractNumId w:val="10"/>
  </w:num>
  <w:num w:numId="3" w16cid:durableId="630481918">
    <w:abstractNumId w:val="12"/>
  </w:num>
  <w:num w:numId="4" w16cid:durableId="525682326">
    <w:abstractNumId w:val="1"/>
  </w:num>
  <w:num w:numId="5" w16cid:durableId="386222618">
    <w:abstractNumId w:val="13"/>
  </w:num>
  <w:num w:numId="6" w16cid:durableId="16079379">
    <w:abstractNumId w:val="0"/>
  </w:num>
  <w:num w:numId="7" w16cid:durableId="351498719">
    <w:abstractNumId w:val="6"/>
  </w:num>
  <w:num w:numId="8" w16cid:durableId="254553420">
    <w:abstractNumId w:val="3"/>
  </w:num>
  <w:num w:numId="9" w16cid:durableId="1751384894">
    <w:abstractNumId w:val="11"/>
  </w:num>
  <w:num w:numId="10" w16cid:durableId="2112893874">
    <w:abstractNumId w:val="5"/>
  </w:num>
  <w:num w:numId="11" w16cid:durableId="1629122628">
    <w:abstractNumId w:val="8"/>
  </w:num>
  <w:num w:numId="12" w16cid:durableId="371030988">
    <w:abstractNumId w:val="7"/>
  </w:num>
  <w:num w:numId="13" w16cid:durableId="518589190">
    <w:abstractNumId w:val="2"/>
  </w:num>
  <w:num w:numId="14" w16cid:durableId="1389643693">
    <w:abstractNumId w:val="14"/>
  </w:num>
  <w:num w:numId="15" w16cid:durableId="16975831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CD6"/>
    <w:rsid w:val="00036654"/>
    <w:rsid w:val="0004758A"/>
    <w:rsid w:val="000E4938"/>
    <w:rsid w:val="003660EF"/>
    <w:rsid w:val="00443CD6"/>
    <w:rsid w:val="004634BC"/>
    <w:rsid w:val="004B2F2F"/>
    <w:rsid w:val="004C4F0A"/>
    <w:rsid w:val="005179EE"/>
    <w:rsid w:val="005319AD"/>
    <w:rsid w:val="0055051C"/>
    <w:rsid w:val="00632C91"/>
    <w:rsid w:val="00663303"/>
    <w:rsid w:val="007238BD"/>
    <w:rsid w:val="00872222"/>
    <w:rsid w:val="009C42BF"/>
    <w:rsid w:val="00A02462"/>
    <w:rsid w:val="00AD2548"/>
    <w:rsid w:val="00B83677"/>
    <w:rsid w:val="00BE6D12"/>
    <w:rsid w:val="00C213F7"/>
    <w:rsid w:val="00D4126C"/>
    <w:rsid w:val="00E240C3"/>
    <w:rsid w:val="00EE2557"/>
    <w:rsid w:val="00F46F8E"/>
    <w:rsid w:val="00FD45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0CE532C5"/>
  <w15:docId w15:val="{1C7DE12C-858A-484D-9DD1-D5B324E9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E05"/>
    <w:rPr>
      <w:rFonts w:eastAsiaTheme="minorHAnsi"/>
      <w:lang w:eastAsia="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next w:val="Normal"/>
    <w:link w:val="TtuloCar"/>
    <w:uiPriority w:val="10"/>
    <w:qFormat/>
    <w:rsid w:val="00D158AB"/>
    <w:pPr>
      <w:pBdr>
        <w:top w:val="nil"/>
        <w:left w:val="nil"/>
        <w:bottom w:val="nil"/>
        <w:right w:val="nil"/>
        <w:between w:val="nil"/>
        <w:bar w:val="nil"/>
      </w:pBdr>
      <w:ind w:firstLine="15"/>
    </w:pPr>
    <w:rPr>
      <w:rFonts w:ascii="Economica" w:eastAsia="Economica" w:hAnsi="Economica" w:cs="Economica"/>
      <w:color w:val="000000"/>
      <w:sz w:val="60"/>
      <w:szCs w:val="60"/>
      <w:u w:color="000000"/>
      <w:bdr w:val="nil"/>
      <w:lang w:val="en-US" w:eastAsia="es-ES_tradnl"/>
      <w14:textOutline w14:w="0" w14:cap="flat" w14:cmpd="sng" w14:algn="ctr">
        <w14:noFill/>
        <w14:prstDash w14:val="solid"/>
        <w14:bevel/>
      </w14:textOutline>
    </w:rPr>
  </w:style>
  <w:style w:type="paragraph" w:styleId="Encabezado">
    <w:name w:val="header"/>
    <w:basedOn w:val="Normal"/>
    <w:link w:val="EncabezadoCar"/>
    <w:uiPriority w:val="99"/>
    <w:unhideWhenUsed/>
    <w:rsid w:val="00076E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76E05"/>
    <w:rPr>
      <w:rFonts w:eastAsiaTheme="minorHAnsi"/>
      <w:sz w:val="22"/>
      <w:szCs w:val="22"/>
      <w:lang w:val="es-MX" w:eastAsia="en-US"/>
    </w:rPr>
  </w:style>
  <w:style w:type="paragraph" w:styleId="Textonotapie">
    <w:name w:val="footnote text"/>
    <w:basedOn w:val="Normal"/>
    <w:link w:val="TextonotapieCar"/>
    <w:uiPriority w:val="99"/>
    <w:unhideWhenUsed/>
    <w:rsid w:val="00076E05"/>
    <w:pPr>
      <w:spacing w:after="0" w:line="240" w:lineRule="auto"/>
    </w:pPr>
    <w:rPr>
      <w:sz w:val="20"/>
      <w:szCs w:val="20"/>
    </w:rPr>
  </w:style>
  <w:style w:type="character" w:customStyle="1" w:styleId="TextonotapieCar">
    <w:name w:val="Texto nota pie Car"/>
    <w:basedOn w:val="Fuentedeprrafopredeter"/>
    <w:link w:val="Textonotapie"/>
    <w:uiPriority w:val="99"/>
    <w:rsid w:val="00076E05"/>
    <w:rPr>
      <w:rFonts w:eastAsiaTheme="minorHAnsi"/>
      <w:sz w:val="20"/>
      <w:szCs w:val="20"/>
      <w:lang w:val="es-MX" w:eastAsia="en-US"/>
    </w:rPr>
  </w:style>
  <w:style w:type="character" w:styleId="Refdenotaalpie">
    <w:name w:val="footnote reference"/>
    <w:basedOn w:val="Fuentedeprrafopredeter"/>
    <w:uiPriority w:val="99"/>
    <w:unhideWhenUsed/>
    <w:rsid w:val="00076E05"/>
    <w:rPr>
      <w:vertAlign w:val="superscript"/>
    </w:rPr>
  </w:style>
  <w:style w:type="paragraph" w:styleId="Prrafodelista">
    <w:name w:val="List Paragraph"/>
    <w:basedOn w:val="Normal"/>
    <w:uiPriority w:val="34"/>
    <w:qFormat/>
    <w:rsid w:val="00076E05"/>
    <w:pPr>
      <w:ind w:left="720"/>
      <w:contextualSpacing/>
    </w:pPr>
  </w:style>
  <w:style w:type="paragraph" w:customStyle="1" w:styleId="Texto">
    <w:name w:val="Texto"/>
    <w:basedOn w:val="Normal"/>
    <w:rsid w:val="00076E05"/>
    <w:pPr>
      <w:spacing w:after="101" w:line="216" w:lineRule="exact"/>
      <w:ind w:firstLine="288"/>
      <w:jc w:val="both"/>
    </w:pPr>
    <w:rPr>
      <w:rFonts w:ascii="Arial" w:eastAsia="Times New Roman" w:hAnsi="Arial" w:cs="Arial"/>
      <w:noProof/>
      <w:sz w:val="18"/>
      <w:szCs w:val="18"/>
      <w:lang w:eastAsia="es-ES"/>
    </w:rPr>
  </w:style>
  <w:style w:type="paragraph" w:customStyle="1" w:styleId="Normal1">
    <w:name w:val="Normal1"/>
    <w:rsid w:val="00076E05"/>
    <w:pPr>
      <w:pBdr>
        <w:top w:val="nil"/>
        <w:left w:val="nil"/>
        <w:bottom w:val="nil"/>
        <w:right w:val="nil"/>
        <w:between w:val="nil"/>
      </w:pBdr>
    </w:pPr>
    <w:rPr>
      <w:rFonts w:ascii="Arial" w:eastAsia="Arial" w:hAnsi="Arial" w:cs="Arial"/>
      <w:color w:val="000000"/>
      <w:lang w:val="es"/>
    </w:rPr>
  </w:style>
  <w:style w:type="paragraph" w:styleId="Textoindependiente2">
    <w:name w:val="Body Text 2"/>
    <w:basedOn w:val="Normal"/>
    <w:link w:val="Textoindependiente2Car"/>
    <w:uiPriority w:val="99"/>
    <w:unhideWhenUsed/>
    <w:rsid w:val="00076E05"/>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076E05"/>
    <w:rPr>
      <w:rFonts w:ascii="Calibri" w:eastAsia="Calibri" w:hAnsi="Calibri" w:cs="Times New Roman"/>
      <w:sz w:val="22"/>
      <w:szCs w:val="22"/>
      <w:lang w:val="es-MX" w:eastAsia="en-US"/>
    </w:rPr>
  </w:style>
  <w:style w:type="character" w:styleId="Refdenotaalfinal">
    <w:name w:val="endnote reference"/>
    <w:uiPriority w:val="99"/>
    <w:unhideWhenUsed/>
    <w:rsid w:val="00076E05"/>
    <w:rPr>
      <w:vertAlign w:val="superscript"/>
    </w:rPr>
  </w:style>
  <w:style w:type="paragraph" w:styleId="Textonotaalfinal">
    <w:name w:val="endnote text"/>
    <w:link w:val="TextonotaalfinalCar"/>
    <w:autoRedefine/>
    <w:uiPriority w:val="99"/>
    <w:unhideWhenUsed/>
    <w:qFormat/>
    <w:rsid w:val="00076E05"/>
    <w:pPr>
      <w:spacing w:line="360" w:lineRule="auto"/>
      <w:ind w:firstLine="709"/>
      <w:jc w:val="both"/>
    </w:pPr>
    <w:rPr>
      <w:rFonts w:ascii="Times New Roman" w:eastAsia="Calibri" w:hAnsi="Times New Roman" w:cs="Mangal"/>
      <w:lang w:eastAsia="en-US"/>
    </w:rPr>
  </w:style>
  <w:style w:type="character" w:customStyle="1" w:styleId="TextonotaalfinalCar">
    <w:name w:val="Texto nota al final Car"/>
    <w:basedOn w:val="Fuentedeprrafopredeter"/>
    <w:link w:val="Textonotaalfinal"/>
    <w:uiPriority w:val="99"/>
    <w:rsid w:val="00076E05"/>
    <w:rPr>
      <w:rFonts w:ascii="Times New Roman" w:eastAsia="Calibri" w:hAnsi="Times New Roman" w:cs="Mangal"/>
      <w:sz w:val="22"/>
      <w:lang w:val="es-MX" w:eastAsia="en-US"/>
    </w:rPr>
  </w:style>
  <w:style w:type="paragraph" w:styleId="Piedepgina">
    <w:name w:val="footer"/>
    <w:basedOn w:val="Normal"/>
    <w:link w:val="PiedepginaCar"/>
    <w:uiPriority w:val="99"/>
    <w:unhideWhenUsed/>
    <w:rsid w:val="00076E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76E05"/>
    <w:rPr>
      <w:rFonts w:eastAsiaTheme="minorHAnsi"/>
      <w:sz w:val="22"/>
      <w:szCs w:val="22"/>
      <w:lang w:val="es-MX" w:eastAsia="en-US"/>
    </w:rPr>
  </w:style>
  <w:style w:type="paragraph" w:customStyle="1" w:styleId="TextoCar">
    <w:name w:val="Texto Car"/>
    <w:basedOn w:val="Normal"/>
    <w:rsid w:val="00171BF2"/>
    <w:pPr>
      <w:spacing w:after="101" w:line="216" w:lineRule="exact"/>
      <w:ind w:firstLine="288"/>
      <w:jc w:val="both"/>
    </w:pPr>
    <w:rPr>
      <w:rFonts w:ascii="Arial" w:eastAsia="Times New Roman" w:hAnsi="Arial" w:cs="Arial"/>
      <w:noProof/>
      <w:sz w:val="18"/>
      <w:szCs w:val="18"/>
      <w:lang w:eastAsia="es-ES"/>
    </w:rPr>
  </w:style>
  <w:style w:type="paragraph" w:customStyle="1" w:styleId="ROMANOS">
    <w:name w:val="ROMANOS"/>
    <w:basedOn w:val="Normal"/>
    <w:rsid w:val="00171BF2"/>
    <w:pPr>
      <w:tabs>
        <w:tab w:val="left" w:pos="720"/>
      </w:tabs>
      <w:spacing w:after="101" w:line="216" w:lineRule="atLeast"/>
      <w:ind w:left="720" w:hanging="432"/>
      <w:jc w:val="both"/>
    </w:pPr>
    <w:rPr>
      <w:rFonts w:ascii="Arial" w:eastAsia="Times New Roman" w:hAnsi="Arial" w:cs="Times New Roman"/>
      <w:noProof/>
      <w:sz w:val="18"/>
      <w:szCs w:val="20"/>
      <w:lang w:val="es-ES_tradnl" w:eastAsia="es-ES"/>
    </w:rPr>
  </w:style>
  <w:style w:type="paragraph" w:customStyle="1" w:styleId="texto0">
    <w:name w:val="texto"/>
    <w:basedOn w:val="Normal"/>
    <w:rsid w:val="00171BF2"/>
    <w:pPr>
      <w:spacing w:after="101" w:line="216" w:lineRule="atLeast"/>
      <w:ind w:firstLine="288"/>
      <w:jc w:val="both"/>
    </w:pPr>
    <w:rPr>
      <w:rFonts w:ascii="Arial" w:eastAsia="Times New Roman" w:hAnsi="Arial" w:cs="Times New Roman"/>
      <w:noProof/>
      <w:sz w:val="18"/>
      <w:szCs w:val="20"/>
      <w:lang w:val="es-ES_tradnl" w:eastAsia="es-ES"/>
    </w:rPr>
  </w:style>
  <w:style w:type="paragraph" w:customStyle="1" w:styleId="Default">
    <w:name w:val="Default"/>
    <w:rsid w:val="00171BF2"/>
    <w:pPr>
      <w:widowControl w:val="0"/>
      <w:autoSpaceDE w:val="0"/>
      <w:autoSpaceDN w:val="0"/>
      <w:adjustRightInd w:val="0"/>
    </w:pPr>
    <w:rPr>
      <w:rFonts w:ascii="Arial" w:hAnsi="Arial" w:cs="Arial"/>
      <w:color w:val="000000"/>
      <w:lang w:val="es-ES"/>
    </w:rPr>
  </w:style>
  <w:style w:type="paragraph" w:styleId="HTMLconformatoprevio">
    <w:name w:val="HTML Preformatted"/>
    <w:basedOn w:val="Normal"/>
    <w:link w:val="HTMLconformatoprevioCar"/>
    <w:uiPriority w:val="99"/>
    <w:unhideWhenUsed/>
    <w:rsid w:val="008A1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lang w:eastAsia="es-ES"/>
    </w:rPr>
  </w:style>
  <w:style w:type="character" w:customStyle="1" w:styleId="HTMLconformatoprevioCar">
    <w:name w:val="HTML con formato previo Car"/>
    <w:basedOn w:val="Fuentedeprrafopredeter"/>
    <w:link w:val="HTMLconformatoprevio"/>
    <w:uiPriority w:val="99"/>
    <w:rsid w:val="008A1AFA"/>
    <w:rPr>
      <w:rFonts w:ascii="Courier" w:hAnsi="Courier" w:cs="Courier"/>
      <w:sz w:val="20"/>
      <w:szCs w:val="20"/>
      <w:lang w:val="es-MX"/>
    </w:rPr>
  </w:style>
  <w:style w:type="paragraph" w:styleId="NormalWeb">
    <w:name w:val="Normal (Web)"/>
    <w:basedOn w:val="Normal"/>
    <w:uiPriority w:val="99"/>
    <w:unhideWhenUsed/>
    <w:rsid w:val="001D5A89"/>
    <w:pPr>
      <w:spacing w:before="100" w:beforeAutospacing="1" w:after="100" w:afterAutospacing="1" w:line="240" w:lineRule="auto"/>
    </w:pPr>
    <w:rPr>
      <w:rFonts w:ascii="Times New Roman" w:eastAsiaTheme="minorEastAsia" w:hAnsi="Times New Roman" w:cs="Times New Roman"/>
      <w:sz w:val="20"/>
      <w:szCs w:val="20"/>
      <w:lang w:eastAsia="es-ES"/>
    </w:rPr>
  </w:style>
  <w:style w:type="paragraph" w:styleId="Textodeglobo">
    <w:name w:val="Balloon Text"/>
    <w:basedOn w:val="Normal"/>
    <w:link w:val="TextodegloboCar"/>
    <w:uiPriority w:val="99"/>
    <w:semiHidden/>
    <w:unhideWhenUsed/>
    <w:rsid w:val="006A4021"/>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A4021"/>
    <w:rPr>
      <w:rFonts w:ascii="Lucida Grande" w:eastAsiaTheme="minorHAnsi" w:hAnsi="Lucida Grande" w:cs="Lucida Grande"/>
      <w:sz w:val="18"/>
      <w:szCs w:val="18"/>
      <w:lang w:val="es-MX" w:eastAsia="en-US"/>
    </w:rPr>
  </w:style>
  <w:style w:type="character" w:customStyle="1" w:styleId="TtuloCar">
    <w:name w:val="Título Car"/>
    <w:basedOn w:val="Fuentedeprrafopredeter"/>
    <w:link w:val="Ttulo"/>
    <w:uiPriority w:val="10"/>
    <w:rsid w:val="00D158AB"/>
    <w:rPr>
      <w:rFonts w:ascii="Economica" w:eastAsia="Economica" w:hAnsi="Economica" w:cs="Economica"/>
      <w:color w:val="000000"/>
      <w:sz w:val="60"/>
      <w:szCs w:val="60"/>
      <w:u w:color="000000"/>
      <w:bdr w:val="nil"/>
      <w:lang w:val="en-US" w:eastAsia="es-ES_tradnl"/>
      <w14:textOutline w14:w="0" w14:cap="flat" w14:cmpd="sng" w14:algn="ctr">
        <w14:noFill/>
        <w14:prstDash w14:val="solid"/>
        <w14:bevel/>
      </w14:textOutli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Nmerodepgina">
    <w:name w:val="page number"/>
    <w:basedOn w:val="Fuentedeprrafopredeter"/>
    <w:uiPriority w:val="99"/>
    <w:semiHidden/>
    <w:unhideWhenUsed/>
    <w:rsid w:val="00D4126C"/>
  </w:style>
  <w:style w:type="character" w:styleId="Hipervnculo">
    <w:name w:val="Hyperlink"/>
    <w:basedOn w:val="Fuentedeprrafopredeter"/>
    <w:uiPriority w:val="99"/>
    <w:unhideWhenUsed/>
    <w:rsid w:val="004C4F0A"/>
    <w:rPr>
      <w:color w:val="0000FF" w:themeColor="hyperlink"/>
      <w:u w:val="single"/>
    </w:rPr>
  </w:style>
  <w:style w:type="character" w:styleId="Mencinsinresolver">
    <w:name w:val="Unresolved Mention"/>
    <w:basedOn w:val="Fuentedeprrafopredeter"/>
    <w:uiPriority w:val="99"/>
    <w:semiHidden/>
    <w:unhideWhenUsed/>
    <w:rsid w:val="004C4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universal.com.mx/metropoli/la-union-tepito-y-cartel-de-tlahuac-detras-de-la-trat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https://www.gob.mx/cms/uploads/attachment/file/992931/03_2025_Informe_estadistico_marzo.pdf" TargetMode="External"/><Relationship Id="rId7" Type="http://schemas.openxmlformats.org/officeDocument/2006/relationships/hyperlink" Target="https://igualdad.ine.mx/violencia-digital-y-mediatica/" TargetMode="External"/><Relationship Id="rId2" Type="http://schemas.openxmlformats.org/officeDocument/2006/relationships/hyperlink" Target="https://cartografia-cimac.uwazi.io/" TargetMode="External"/><Relationship Id="rId1" Type="http://schemas.openxmlformats.org/officeDocument/2006/relationships/hyperlink" Target="https://cartografia-cimac.uwazi.io/" TargetMode="External"/><Relationship Id="rId6" Type="http://schemas.openxmlformats.org/officeDocument/2006/relationships/hyperlink" Target="https://www.gob.mx/cms/uploads/attachment/file/992931/03_2025_Informe_estadistico_marzo.pdf" TargetMode="External"/><Relationship Id="rId5" Type="http://schemas.openxmlformats.org/officeDocument/2006/relationships/hyperlink" Target="https://www.gob.mx/cms/uploads/attachment/file/992931/03_2025_Informe_estadistico_marzo.pdf" TargetMode="External"/><Relationship Id="rId4" Type="http://schemas.openxmlformats.org/officeDocument/2006/relationships/hyperlink" Target="https://www.gob.mx/cms/uploads/attachment/file/992931/03_2025_Informe_estadistico_marzo.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5I1UuFzMwAI6wgFhvW47r5HvdA==">CgMxLjA4AHIhMVVhamZLcUJ6Yi1teHBMdXlnaFFBSUJ1VWoyLWhXWnJK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4829</Words>
  <Characters>26029</Characters>
  <Application>Microsoft Office Word</Application>
  <DocSecurity>0</DocSecurity>
  <Lines>605</Lines>
  <Paragraphs>133</Paragraphs>
  <ScaleCrop>false</ScaleCrop>
  <Company/>
  <LinksUpToDate>false</LinksUpToDate>
  <CharactersWithSpaces>30725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Aimée Vega Montiel</dc:creator>
  <cp:lastModifiedBy>aimeevm</cp:lastModifiedBy>
  <cp:revision>2</cp:revision>
  <dcterms:created xsi:type="dcterms:W3CDTF">2025-05-19T06:00:00Z</dcterms:created>
  <dcterms:modified xsi:type="dcterms:W3CDTF">2025-05-19T06:00:00Z</dcterms:modified>
</cp:coreProperties>
</file>