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0D2D3A" w:rsidRDefault="000D2D3A">
      <w:bookmarkStart w:id="0" w:name="_GoBack"/>
      <w:bookmarkEnd w:id="0"/>
    </w:p>
    <w:p w14:paraId="00000002" w14:textId="77777777" w:rsidR="000D2D3A" w:rsidRDefault="000D2D3A"/>
    <w:p w14:paraId="00000003" w14:textId="77777777" w:rsidR="000D2D3A" w:rsidRDefault="00DB4C93">
      <w:pPr>
        <w:jc w:val="center"/>
        <w:rPr>
          <w:b/>
          <w:sz w:val="24"/>
          <w:szCs w:val="24"/>
          <w:u w:val="single"/>
        </w:rPr>
      </w:pPr>
      <w:r>
        <w:rPr>
          <w:b/>
          <w:sz w:val="24"/>
          <w:szCs w:val="24"/>
          <w:u w:val="single"/>
        </w:rPr>
        <w:t>The Netherlands’ Responsibility for the Impacts of Cross-Border Tax Abuse on the Realisation of Children’s Rights Abroad</w:t>
      </w:r>
    </w:p>
    <w:p w14:paraId="00000004" w14:textId="77777777" w:rsidR="000D2D3A" w:rsidRDefault="000D2D3A">
      <w:pPr>
        <w:jc w:val="center"/>
        <w:rPr>
          <w:b/>
          <w:sz w:val="24"/>
          <w:szCs w:val="24"/>
          <w:u w:val="single"/>
        </w:rPr>
      </w:pPr>
    </w:p>
    <w:p w14:paraId="00000005" w14:textId="77777777" w:rsidR="000D2D3A" w:rsidRDefault="00DB4C93">
      <w:pPr>
        <w:jc w:val="center"/>
        <w:rPr>
          <w:sz w:val="24"/>
          <w:szCs w:val="24"/>
        </w:rPr>
      </w:pPr>
      <w:r>
        <w:rPr>
          <w:sz w:val="24"/>
          <w:szCs w:val="24"/>
        </w:rPr>
        <w:t xml:space="preserve">Submission to the Commission on the Rights of the Child, in preparation for Session 89, concerning the 5th Periodic Review of the Netherlands </w:t>
      </w:r>
    </w:p>
    <w:p w14:paraId="00000006" w14:textId="77777777" w:rsidR="000D2D3A" w:rsidRDefault="000D2D3A">
      <w:pPr>
        <w:jc w:val="center"/>
        <w:rPr>
          <w:sz w:val="24"/>
          <w:szCs w:val="24"/>
        </w:rPr>
      </w:pPr>
    </w:p>
    <w:p w14:paraId="00000007" w14:textId="77777777" w:rsidR="000D2D3A" w:rsidRDefault="00DB4C93">
      <w:pPr>
        <w:jc w:val="center"/>
        <w:rPr>
          <w:sz w:val="24"/>
          <w:szCs w:val="24"/>
        </w:rPr>
      </w:pPr>
      <w:r>
        <w:rPr>
          <w:sz w:val="24"/>
          <w:szCs w:val="24"/>
        </w:rPr>
        <w:t>Submitted on December 14, 2021 by</w:t>
      </w:r>
    </w:p>
    <w:p w14:paraId="00000008" w14:textId="77777777" w:rsidR="000D2D3A" w:rsidRDefault="000D2D3A">
      <w:pPr>
        <w:jc w:val="center"/>
        <w:rPr>
          <w:sz w:val="24"/>
          <w:szCs w:val="24"/>
        </w:rPr>
      </w:pPr>
    </w:p>
    <w:p w14:paraId="00000009" w14:textId="77777777" w:rsidR="000D2D3A" w:rsidRDefault="00DB4C93">
      <w:pPr>
        <w:jc w:val="center"/>
        <w:rPr>
          <w:sz w:val="24"/>
          <w:szCs w:val="24"/>
        </w:rPr>
      </w:pPr>
      <w:r>
        <w:rPr>
          <w:sz w:val="24"/>
          <w:szCs w:val="24"/>
        </w:rPr>
        <w:t>Tax Justice Network</w:t>
      </w:r>
    </w:p>
    <w:p w14:paraId="0000000A" w14:textId="77777777" w:rsidR="000D2D3A" w:rsidRDefault="000D2D3A">
      <w:pPr>
        <w:jc w:val="center"/>
        <w:rPr>
          <w:sz w:val="24"/>
          <w:szCs w:val="24"/>
        </w:rPr>
      </w:pPr>
    </w:p>
    <w:p w14:paraId="0000000B" w14:textId="77777777" w:rsidR="000D2D3A" w:rsidRDefault="00DB4C93">
      <w:pPr>
        <w:jc w:val="center"/>
        <w:rPr>
          <w:sz w:val="24"/>
          <w:szCs w:val="24"/>
        </w:rPr>
      </w:pPr>
      <w:r>
        <w:rPr>
          <w:sz w:val="24"/>
          <w:szCs w:val="24"/>
        </w:rPr>
        <w:t>International NGO Law and Policy Project, Zurich Univers</w:t>
      </w:r>
      <w:r>
        <w:rPr>
          <w:sz w:val="24"/>
          <w:szCs w:val="24"/>
        </w:rPr>
        <w:t>ity of Applied Sciences (ZHAW)</w:t>
      </w:r>
    </w:p>
    <w:p w14:paraId="0000000C" w14:textId="77777777" w:rsidR="000D2D3A" w:rsidRDefault="000D2D3A">
      <w:pPr>
        <w:jc w:val="center"/>
        <w:rPr>
          <w:sz w:val="24"/>
          <w:szCs w:val="24"/>
        </w:rPr>
      </w:pPr>
    </w:p>
    <w:p w14:paraId="0000000D" w14:textId="77777777" w:rsidR="000D2D3A" w:rsidRDefault="00DB4C93">
      <w:pPr>
        <w:jc w:val="center"/>
        <w:rPr>
          <w:sz w:val="24"/>
          <w:szCs w:val="24"/>
        </w:rPr>
      </w:pPr>
      <w:r>
        <w:rPr>
          <w:sz w:val="24"/>
          <w:szCs w:val="24"/>
        </w:rPr>
        <w:t>Supported by</w:t>
      </w:r>
    </w:p>
    <w:p w14:paraId="0000000E" w14:textId="77777777" w:rsidR="000D2D3A" w:rsidRDefault="000D2D3A">
      <w:pPr>
        <w:jc w:val="center"/>
        <w:rPr>
          <w:sz w:val="24"/>
          <w:szCs w:val="24"/>
        </w:rPr>
      </w:pPr>
    </w:p>
    <w:p w14:paraId="0000000F" w14:textId="77777777" w:rsidR="000D2D3A" w:rsidRDefault="00DB4C93">
      <w:pPr>
        <w:jc w:val="center"/>
        <w:rPr>
          <w:sz w:val="24"/>
          <w:szCs w:val="24"/>
        </w:rPr>
      </w:pPr>
      <w:r>
        <w:rPr>
          <w:sz w:val="24"/>
          <w:szCs w:val="24"/>
        </w:rPr>
        <w:t>Professor Dr. Ton Liefaard, Professor of Children’s Rights, Leiden Law School, Leiden University</w:t>
      </w:r>
    </w:p>
    <w:p w14:paraId="00000010" w14:textId="77777777" w:rsidR="000D2D3A" w:rsidRDefault="000D2D3A">
      <w:pPr>
        <w:jc w:val="center"/>
        <w:rPr>
          <w:sz w:val="24"/>
          <w:szCs w:val="24"/>
        </w:rPr>
      </w:pPr>
    </w:p>
    <w:p w14:paraId="00000011" w14:textId="77777777" w:rsidR="000D2D3A" w:rsidRDefault="000D2D3A">
      <w:pPr>
        <w:jc w:val="center"/>
        <w:rPr>
          <w:sz w:val="24"/>
          <w:szCs w:val="24"/>
        </w:rPr>
      </w:pPr>
    </w:p>
    <w:p w14:paraId="00000012" w14:textId="77777777" w:rsidR="000D2D3A" w:rsidRDefault="000D2D3A">
      <w:pPr>
        <w:rPr>
          <w:sz w:val="24"/>
          <w:szCs w:val="24"/>
        </w:rPr>
      </w:pPr>
    </w:p>
    <w:p w14:paraId="00000013" w14:textId="77777777" w:rsidR="000D2D3A" w:rsidRDefault="00DB4C93">
      <w:pPr>
        <w:jc w:val="center"/>
        <w:rPr>
          <w:b/>
          <w:sz w:val="24"/>
          <w:szCs w:val="24"/>
          <w:u w:val="single"/>
        </w:rPr>
      </w:pPr>
      <w:r>
        <w:rPr>
          <w:b/>
          <w:sz w:val="24"/>
          <w:szCs w:val="24"/>
          <w:u w:val="single"/>
        </w:rPr>
        <w:t>Introduction</w:t>
      </w:r>
    </w:p>
    <w:p w14:paraId="00000014" w14:textId="77777777" w:rsidR="000D2D3A" w:rsidRDefault="000D2D3A">
      <w:pPr>
        <w:jc w:val="center"/>
        <w:rPr>
          <w:sz w:val="24"/>
          <w:szCs w:val="24"/>
        </w:rPr>
      </w:pPr>
    </w:p>
    <w:p w14:paraId="00000015" w14:textId="77777777" w:rsidR="000D2D3A" w:rsidRDefault="00DB4C93">
      <w:pPr>
        <w:ind w:firstLine="720"/>
        <w:rPr>
          <w:sz w:val="24"/>
          <w:szCs w:val="24"/>
        </w:rPr>
      </w:pPr>
      <w:r>
        <w:rPr>
          <w:sz w:val="24"/>
          <w:szCs w:val="24"/>
        </w:rPr>
        <w:t xml:space="preserve">We write to respectfully request that the UN Committee on the Rights of the Child (CRC) ask the </w:t>
      </w:r>
      <w:r>
        <w:rPr>
          <w:sz w:val="24"/>
          <w:szCs w:val="24"/>
        </w:rPr>
        <w:t xml:space="preserve">Netherlands to report on the extraterritorial impact of its tax policies on the realisation of children’s rights abroad in light of the Netherlands’ leading role as a tax haven and conduit for tax avoidance. </w:t>
      </w:r>
    </w:p>
    <w:p w14:paraId="00000016" w14:textId="77777777" w:rsidR="000D2D3A" w:rsidRDefault="00DB4C93">
      <w:pPr>
        <w:rPr>
          <w:sz w:val="24"/>
          <w:szCs w:val="24"/>
        </w:rPr>
      </w:pPr>
      <w:r>
        <w:rPr>
          <w:i/>
          <w:sz w:val="24"/>
          <w:szCs w:val="24"/>
        </w:rPr>
        <w:t xml:space="preserve"> </w:t>
      </w:r>
    </w:p>
    <w:p w14:paraId="00000017" w14:textId="77777777" w:rsidR="000D2D3A" w:rsidRDefault="00DB4C93">
      <w:pPr>
        <w:pBdr>
          <w:top w:val="none" w:sz="0" w:space="0" w:color="000000"/>
          <w:left w:val="none" w:sz="0" w:space="0" w:color="000000"/>
          <w:bottom w:val="none" w:sz="0" w:space="0" w:color="000000"/>
          <w:right w:val="none" w:sz="0" w:space="0" w:color="000000"/>
          <w:between w:val="none" w:sz="0" w:space="0" w:color="000000"/>
        </w:pBdr>
        <w:spacing w:after="280"/>
        <w:ind w:firstLine="720"/>
        <w:rPr>
          <w:sz w:val="24"/>
          <w:szCs w:val="24"/>
        </w:rPr>
      </w:pPr>
      <w:r>
        <w:rPr>
          <w:sz w:val="24"/>
          <w:szCs w:val="24"/>
        </w:rPr>
        <w:t>In 2020, the CRC set an important precedent when it asked Ireland</w:t>
      </w:r>
      <w:hyperlink r:id="rId6">
        <w:r>
          <w:rPr>
            <w:color w:val="1155CC"/>
            <w:sz w:val="24"/>
            <w:szCs w:val="24"/>
            <w:u w:val="single"/>
          </w:rPr>
          <w:t xml:space="preserve"> </w:t>
        </w:r>
      </w:hyperlink>
      <w:r>
        <w:rPr>
          <w:sz w:val="24"/>
          <w:szCs w:val="24"/>
        </w:rPr>
        <w:t>to describe measures taken to “[e]nsure that tax polic</w:t>
      </w:r>
      <w:r>
        <w:rPr>
          <w:sz w:val="24"/>
          <w:szCs w:val="24"/>
        </w:rPr>
        <w:t xml:space="preserve">ies do not contribute to tax abuse by companies operating in other countries, leading to a negative impact on the availability of resources for the realisation of children’s rights in those countries.” </w:t>
      </w:r>
      <w:r>
        <w:rPr>
          <w:sz w:val="24"/>
          <w:szCs w:val="24"/>
          <w:vertAlign w:val="superscript"/>
        </w:rPr>
        <w:footnoteReference w:id="1"/>
      </w:r>
      <w:r>
        <w:rPr>
          <w:rFonts w:ascii="Times New Roman" w:eastAsia="Times New Roman" w:hAnsi="Times New Roman" w:cs="Times New Roman"/>
          <w:sz w:val="24"/>
          <w:szCs w:val="24"/>
        </w:rPr>
        <w:t xml:space="preserve"> </w:t>
      </w:r>
      <w:r>
        <w:rPr>
          <w:sz w:val="24"/>
          <w:szCs w:val="24"/>
        </w:rPr>
        <w:t>This call built on the growing jurisprudence of UN h</w:t>
      </w:r>
      <w:r>
        <w:rPr>
          <w:sz w:val="24"/>
          <w:szCs w:val="24"/>
        </w:rPr>
        <w:t xml:space="preserve">uman rights bodies and others recognising the pernicious impact of international tax and financial secrecy laws, policy, and practice –  </w:t>
      </w:r>
      <w:r>
        <w:rPr>
          <w:sz w:val="24"/>
          <w:szCs w:val="24"/>
        </w:rPr>
        <w:lastRenderedPageBreak/>
        <w:t>and the enabling of such abuse by a small number of tax haven countries – on the realisation of the full spectrum of hu</w:t>
      </w:r>
      <w:r>
        <w:rPr>
          <w:sz w:val="24"/>
          <w:szCs w:val="24"/>
        </w:rPr>
        <w:t>man rights.</w:t>
      </w:r>
      <w:r>
        <w:rPr>
          <w:sz w:val="24"/>
          <w:szCs w:val="24"/>
          <w:vertAlign w:val="superscript"/>
        </w:rPr>
        <w:footnoteReference w:id="2"/>
      </w:r>
    </w:p>
    <w:p w14:paraId="00000018" w14:textId="77777777" w:rsidR="000D2D3A" w:rsidRDefault="00DB4C93">
      <w:pPr>
        <w:pBdr>
          <w:top w:val="none" w:sz="0" w:space="0" w:color="000000"/>
          <w:left w:val="none" w:sz="0" w:space="0" w:color="000000"/>
          <w:bottom w:val="none" w:sz="0" w:space="0" w:color="000000"/>
          <w:right w:val="none" w:sz="0" w:space="0" w:color="000000"/>
          <w:between w:val="none" w:sz="0" w:space="0" w:color="000000"/>
        </w:pBdr>
        <w:spacing w:after="280"/>
        <w:ind w:firstLine="720"/>
        <w:rPr>
          <w:b/>
          <w:sz w:val="24"/>
          <w:szCs w:val="24"/>
          <w:u w:val="single"/>
        </w:rPr>
      </w:pPr>
      <w:r>
        <w:rPr>
          <w:sz w:val="24"/>
          <w:szCs w:val="24"/>
        </w:rPr>
        <w:t>The Netherlands scores poorly on both the Corporate Tax Haven Index (CTHI) and the Financial Secrecy Index (FSI) produced by Tax Justice Network, in both cases ranking significantly worse than Ireland.</w:t>
      </w:r>
      <w:r>
        <w:rPr>
          <w:sz w:val="24"/>
          <w:szCs w:val="24"/>
          <w:vertAlign w:val="superscript"/>
        </w:rPr>
        <w:footnoteReference w:id="3"/>
      </w:r>
      <w:r>
        <w:rPr>
          <w:sz w:val="24"/>
          <w:szCs w:val="24"/>
        </w:rPr>
        <w:t xml:space="preserve"> Its poor performance in these indices in</w:t>
      </w:r>
      <w:r>
        <w:rPr>
          <w:sz w:val="24"/>
          <w:szCs w:val="24"/>
        </w:rPr>
        <w:t xml:space="preserve">dicate that it acts both as a significant haven for revenue that should have been subject to taxation in other countries, and that it provides financial secrecy services and thereby acts as a conduit to channel revenue that might otherwise have been taxed </w:t>
      </w:r>
      <w:r>
        <w:rPr>
          <w:sz w:val="24"/>
          <w:szCs w:val="24"/>
        </w:rPr>
        <w:t>to third party countries.</w:t>
      </w:r>
    </w:p>
    <w:p w14:paraId="00000019" w14:textId="77777777" w:rsidR="000D2D3A" w:rsidRDefault="00DB4C93">
      <w:pPr>
        <w:pBdr>
          <w:top w:val="none" w:sz="0" w:space="0" w:color="000000"/>
          <w:left w:val="none" w:sz="0" w:space="0" w:color="000000"/>
          <w:bottom w:val="none" w:sz="0" w:space="0" w:color="000000"/>
          <w:right w:val="none" w:sz="0" w:space="0" w:color="000000"/>
          <w:between w:val="none" w:sz="0" w:space="0" w:color="000000"/>
        </w:pBdr>
        <w:spacing w:after="280"/>
        <w:ind w:firstLine="720"/>
        <w:rPr>
          <w:sz w:val="24"/>
          <w:szCs w:val="24"/>
        </w:rPr>
      </w:pPr>
      <w:r>
        <w:rPr>
          <w:sz w:val="24"/>
          <w:szCs w:val="24"/>
        </w:rPr>
        <w:t>This update comes after the pre-sessional working group in June 2021.   However, this update is necessary in light of the Pandora Papers affair, first reported in October 2021, which implicated tax policies and practices in the Ne</w:t>
      </w:r>
      <w:r>
        <w:rPr>
          <w:sz w:val="24"/>
          <w:szCs w:val="24"/>
        </w:rPr>
        <w:t>therlands.</w:t>
      </w:r>
      <w:r>
        <w:rPr>
          <w:sz w:val="24"/>
          <w:szCs w:val="24"/>
          <w:vertAlign w:val="superscript"/>
        </w:rPr>
        <w:footnoteReference w:id="4"/>
      </w:r>
      <w:r>
        <w:rPr>
          <w:sz w:val="24"/>
          <w:szCs w:val="24"/>
        </w:rPr>
        <w:t xml:space="preserve">  An update is also necessary given the inadequacy of the OECD’s recent (August 2021)  agreements in this area.</w:t>
      </w:r>
      <w:r>
        <w:rPr>
          <w:sz w:val="24"/>
          <w:szCs w:val="24"/>
          <w:vertAlign w:val="superscript"/>
        </w:rPr>
        <w:footnoteReference w:id="5"/>
      </w:r>
      <w:r>
        <w:rPr>
          <w:sz w:val="24"/>
          <w:szCs w:val="24"/>
        </w:rPr>
        <w:t xml:space="preserve"> The Dutch government has experience conducting “spillover” studies on the extraterritorial effects of its </w:t>
      </w:r>
      <w:r>
        <w:rPr>
          <w:color w:val="1D1C1D"/>
          <w:sz w:val="24"/>
          <w:szCs w:val="24"/>
          <w:shd w:val="clear" w:color="auto" w:fill="F8F8F8"/>
        </w:rPr>
        <w:t>tax and financial transpar</w:t>
      </w:r>
      <w:r>
        <w:rPr>
          <w:color w:val="1D1C1D"/>
          <w:sz w:val="24"/>
          <w:szCs w:val="24"/>
          <w:shd w:val="clear" w:color="auto" w:fill="F8F8F8"/>
        </w:rPr>
        <w:t xml:space="preserve">ency policies and </w:t>
      </w:r>
      <w:r>
        <w:rPr>
          <w:color w:val="1D1C1D"/>
          <w:sz w:val="24"/>
          <w:szCs w:val="24"/>
          <w:shd w:val="clear" w:color="auto" w:fill="F8F8F8"/>
        </w:rPr>
        <w:lastRenderedPageBreak/>
        <w:t>laws</w:t>
      </w:r>
      <w:r>
        <w:rPr>
          <w:sz w:val="24"/>
          <w:szCs w:val="24"/>
        </w:rPr>
        <w:t xml:space="preserve"> on human rights abroad</w:t>
      </w:r>
      <w:r>
        <w:rPr>
          <w:sz w:val="24"/>
          <w:szCs w:val="24"/>
          <w:vertAlign w:val="superscript"/>
        </w:rPr>
        <w:footnoteReference w:id="6"/>
      </w:r>
      <w:r>
        <w:rPr>
          <w:sz w:val="24"/>
          <w:szCs w:val="24"/>
        </w:rPr>
        <w:t xml:space="preserve"> and will not be unduly prejudiced by the timing of this update.</w:t>
      </w:r>
    </w:p>
    <w:p w14:paraId="0000001A" w14:textId="77777777" w:rsidR="000D2D3A" w:rsidRDefault="00DB4C93">
      <w:pPr>
        <w:pBdr>
          <w:top w:val="none" w:sz="0" w:space="0" w:color="000000"/>
          <w:left w:val="none" w:sz="0" w:space="0" w:color="000000"/>
          <w:bottom w:val="none" w:sz="0" w:space="0" w:color="000000"/>
          <w:right w:val="none" w:sz="0" w:space="0" w:color="000000"/>
          <w:between w:val="none" w:sz="0" w:space="0" w:color="000000"/>
        </w:pBdr>
        <w:spacing w:after="280"/>
        <w:jc w:val="center"/>
        <w:rPr>
          <w:i/>
          <w:sz w:val="24"/>
          <w:szCs w:val="24"/>
        </w:rPr>
      </w:pPr>
      <w:r>
        <w:rPr>
          <w:b/>
          <w:sz w:val="24"/>
          <w:szCs w:val="24"/>
          <w:u w:val="single"/>
        </w:rPr>
        <w:t>The Impact of Dutch Tax Policy on Children’s Rights Abroad</w:t>
      </w:r>
      <w:r>
        <w:rPr>
          <w:i/>
          <w:sz w:val="24"/>
          <w:szCs w:val="24"/>
        </w:rPr>
        <w:t xml:space="preserve"> </w:t>
      </w:r>
    </w:p>
    <w:p w14:paraId="0000001B" w14:textId="77777777" w:rsidR="000D2D3A" w:rsidRDefault="00DB4C93">
      <w:pPr>
        <w:ind w:firstLine="720"/>
        <w:rPr>
          <w:sz w:val="24"/>
          <w:szCs w:val="24"/>
        </w:rPr>
      </w:pPr>
      <w:r>
        <w:rPr>
          <w:sz w:val="24"/>
          <w:szCs w:val="24"/>
        </w:rPr>
        <w:t>Tax avoidance is a children’s rights issue.</w:t>
      </w:r>
      <w:r>
        <w:rPr>
          <w:sz w:val="24"/>
          <w:szCs w:val="24"/>
          <w:vertAlign w:val="superscript"/>
        </w:rPr>
        <w:footnoteReference w:id="7"/>
      </w:r>
      <w:r>
        <w:rPr>
          <w:sz w:val="24"/>
          <w:szCs w:val="24"/>
        </w:rPr>
        <w:t xml:space="preserve">  Children are disproportionately harmed </w:t>
      </w:r>
      <w:r>
        <w:rPr>
          <w:sz w:val="24"/>
          <w:szCs w:val="24"/>
        </w:rPr>
        <w:t>by tax avoidance facilitated by jurisdictions with weak tax and financial transparency policies and laws, as the realisation of their fundamental  rights -- the right to education, health, food, shelter, freedom from violence, and a sustainable environment</w:t>
      </w:r>
      <w:r>
        <w:rPr>
          <w:sz w:val="24"/>
          <w:szCs w:val="24"/>
        </w:rPr>
        <w:t xml:space="preserve"> -- hinges on their home state’s ability to raise sufficient tax revenue.</w:t>
      </w:r>
      <w:r>
        <w:rPr>
          <w:sz w:val="24"/>
          <w:szCs w:val="24"/>
          <w:vertAlign w:val="superscript"/>
        </w:rPr>
        <w:footnoteReference w:id="8"/>
      </w:r>
      <w:r>
        <w:rPr>
          <w:sz w:val="24"/>
          <w:szCs w:val="24"/>
        </w:rPr>
        <w:t xml:space="preserve">  This issue falls squarely within the “General Measures of Implementation.” </w:t>
      </w:r>
    </w:p>
    <w:p w14:paraId="0000001C" w14:textId="77777777" w:rsidR="000D2D3A" w:rsidRDefault="000D2D3A">
      <w:pPr>
        <w:ind w:firstLine="720"/>
        <w:rPr>
          <w:sz w:val="24"/>
          <w:szCs w:val="24"/>
        </w:rPr>
      </w:pPr>
    </w:p>
    <w:p w14:paraId="0000001D" w14:textId="77777777" w:rsidR="000D2D3A" w:rsidRDefault="00DB4C93">
      <w:pPr>
        <w:ind w:firstLine="720"/>
        <w:rPr>
          <w:sz w:val="24"/>
          <w:szCs w:val="24"/>
        </w:rPr>
      </w:pPr>
      <w:r>
        <w:rPr>
          <w:sz w:val="24"/>
          <w:szCs w:val="24"/>
        </w:rPr>
        <w:t xml:space="preserve">Tax havens are estimated to hold about 10 percent of the world’s GDP. </w:t>
      </w:r>
      <w:r>
        <w:rPr>
          <w:sz w:val="24"/>
          <w:szCs w:val="24"/>
          <w:vertAlign w:val="superscript"/>
        </w:rPr>
        <w:footnoteReference w:id="9"/>
      </w:r>
      <w:r>
        <w:rPr>
          <w:sz w:val="24"/>
          <w:szCs w:val="24"/>
        </w:rPr>
        <w:t xml:space="preserve"> Only four states — the Netherlands, Switzerland, Luxembourg and the UK and its territories – enable more than half of global tax abuses.</w:t>
      </w:r>
      <w:r>
        <w:rPr>
          <w:sz w:val="24"/>
          <w:szCs w:val="24"/>
          <w:vertAlign w:val="superscript"/>
        </w:rPr>
        <w:footnoteReference w:id="10"/>
      </w:r>
      <w:r>
        <w:rPr>
          <w:sz w:val="24"/>
          <w:szCs w:val="24"/>
        </w:rPr>
        <w:t xml:space="preserve"> The Netherlands ranks #4 in Tax Justice Network’s Corporate Tax Haven Index 2021 (CTHI) and #8 in the Financial Secre</w:t>
      </w:r>
      <w:r>
        <w:rPr>
          <w:sz w:val="24"/>
          <w:szCs w:val="24"/>
        </w:rPr>
        <w:t xml:space="preserve">cy Index 2020 (FSI). </w:t>
      </w:r>
      <w:r>
        <w:rPr>
          <w:sz w:val="24"/>
          <w:szCs w:val="24"/>
          <w:vertAlign w:val="superscript"/>
        </w:rPr>
        <w:footnoteReference w:id="11"/>
      </w:r>
      <w:r>
        <w:rPr>
          <w:sz w:val="24"/>
          <w:szCs w:val="24"/>
        </w:rPr>
        <w:t xml:space="preserve"> In both cases, it scores worse than Ireland.</w:t>
      </w:r>
      <w:r>
        <w:rPr>
          <w:sz w:val="24"/>
          <w:szCs w:val="24"/>
          <w:vertAlign w:val="superscript"/>
        </w:rPr>
        <w:footnoteReference w:id="12"/>
      </w:r>
      <w:r>
        <w:rPr>
          <w:sz w:val="24"/>
          <w:szCs w:val="24"/>
        </w:rPr>
        <w:t xml:space="preserve"> The Netherlands’ poor performance in these indices indicate that it acts both as a significant haven for revenue that should have been subject to taxation in other countries, and that it </w:t>
      </w:r>
      <w:r>
        <w:rPr>
          <w:sz w:val="24"/>
          <w:szCs w:val="24"/>
        </w:rPr>
        <w:t xml:space="preserve">provides financial secrecy services and thereby acts as a conduit to channel revenue that might </w:t>
      </w:r>
      <w:r>
        <w:rPr>
          <w:sz w:val="24"/>
          <w:szCs w:val="24"/>
        </w:rPr>
        <w:lastRenderedPageBreak/>
        <w:t>otherwise have been taxed elsewhere to third party countries. The State of Tax Justice report - which uses econometric modeling to estimate both the revenue los</w:t>
      </w:r>
      <w:r>
        <w:rPr>
          <w:sz w:val="24"/>
          <w:szCs w:val="24"/>
        </w:rPr>
        <w:t>ses suffered by all countries to international tax abuse, and the volume of such losses each country inflicts on others through the provision of financial services enabling crossborder tax abuse. - shows that the Netherlands inflicts $27,606,443,555 in los</w:t>
      </w:r>
      <w:r>
        <w:rPr>
          <w:sz w:val="24"/>
          <w:szCs w:val="24"/>
        </w:rPr>
        <w:t>t revenue on other countries each year.</w:t>
      </w:r>
      <w:r>
        <w:rPr>
          <w:sz w:val="24"/>
          <w:szCs w:val="24"/>
          <w:vertAlign w:val="superscript"/>
        </w:rPr>
        <w:footnoteReference w:id="13"/>
      </w:r>
      <w:r>
        <w:rPr>
          <w:sz w:val="24"/>
          <w:szCs w:val="24"/>
        </w:rPr>
        <w:t xml:space="preserve"> The Netherlands’ central role in facilitating tax abuse has also been recognized by the European Parliament,</w:t>
      </w:r>
      <w:r>
        <w:rPr>
          <w:sz w:val="24"/>
          <w:szCs w:val="24"/>
          <w:vertAlign w:val="superscript"/>
        </w:rPr>
        <w:footnoteReference w:id="14"/>
      </w:r>
      <w:r>
        <w:rPr>
          <w:sz w:val="24"/>
          <w:szCs w:val="24"/>
        </w:rPr>
        <w:t xml:space="preserve"> academic commentators,</w:t>
      </w:r>
      <w:r>
        <w:rPr>
          <w:sz w:val="24"/>
          <w:szCs w:val="24"/>
          <w:vertAlign w:val="superscript"/>
        </w:rPr>
        <w:footnoteReference w:id="15"/>
      </w:r>
      <w:r>
        <w:rPr>
          <w:sz w:val="24"/>
          <w:szCs w:val="24"/>
        </w:rPr>
        <w:t xml:space="preserve"> and NGOs.</w:t>
      </w:r>
      <w:r>
        <w:rPr>
          <w:sz w:val="24"/>
          <w:szCs w:val="24"/>
          <w:vertAlign w:val="superscript"/>
        </w:rPr>
        <w:footnoteReference w:id="16"/>
      </w:r>
      <w:r>
        <w:rPr>
          <w:sz w:val="24"/>
          <w:szCs w:val="24"/>
        </w:rPr>
        <w:t xml:space="preserve"> </w:t>
      </w:r>
    </w:p>
    <w:p w14:paraId="0000001E" w14:textId="77777777" w:rsidR="000D2D3A" w:rsidRDefault="000D2D3A">
      <w:pPr>
        <w:rPr>
          <w:sz w:val="24"/>
          <w:szCs w:val="24"/>
        </w:rPr>
      </w:pPr>
    </w:p>
    <w:p w14:paraId="0000001F" w14:textId="77777777" w:rsidR="000D2D3A" w:rsidRDefault="00DB4C93">
      <w:pPr>
        <w:ind w:firstLine="720"/>
        <w:rPr>
          <w:sz w:val="24"/>
          <w:szCs w:val="24"/>
        </w:rPr>
      </w:pPr>
      <w:r>
        <w:rPr>
          <w:sz w:val="24"/>
          <w:szCs w:val="24"/>
        </w:rPr>
        <w:t>The impact of tax policies that facilitate tax abuse is felt disprop</w:t>
      </w:r>
      <w:r>
        <w:rPr>
          <w:sz w:val="24"/>
          <w:szCs w:val="24"/>
        </w:rPr>
        <w:t>ortionately by people in the Global South.</w:t>
      </w:r>
      <w:r>
        <w:rPr>
          <w:sz w:val="24"/>
          <w:szCs w:val="24"/>
          <w:vertAlign w:val="superscript"/>
        </w:rPr>
        <w:footnoteReference w:id="17"/>
      </w:r>
      <w:r>
        <w:rPr>
          <w:sz w:val="24"/>
          <w:szCs w:val="24"/>
        </w:rPr>
        <w:t xml:space="preserve"> For example, thirty percent of the wealth of the continent of Africa is hidden in tax havens.</w:t>
      </w:r>
      <w:r>
        <w:rPr>
          <w:sz w:val="24"/>
          <w:szCs w:val="24"/>
          <w:vertAlign w:val="superscript"/>
        </w:rPr>
        <w:footnoteReference w:id="18"/>
      </w:r>
      <w:r>
        <w:rPr>
          <w:sz w:val="24"/>
          <w:szCs w:val="24"/>
        </w:rPr>
        <w:t xml:space="preserve">  </w:t>
      </w:r>
    </w:p>
    <w:p w14:paraId="00000020" w14:textId="77777777" w:rsidR="000D2D3A" w:rsidRDefault="000D2D3A">
      <w:pPr>
        <w:ind w:firstLine="720"/>
        <w:rPr>
          <w:sz w:val="24"/>
          <w:szCs w:val="24"/>
        </w:rPr>
      </w:pPr>
    </w:p>
    <w:p w14:paraId="00000021" w14:textId="77777777" w:rsidR="000D2D3A" w:rsidRDefault="00DB4C93">
      <w:pPr>
        <w:ind w:firstLine="720"/>
        <w:rPr>
          <w:sz w:val="24"/>
          <w:szCs w:val="24"/>
        </w:rPr>
      </w:pPr>
      <w:r>
        <w:rPr>
          <w:sz w:val="24"/>
          <w:szCs w:val="24"/>
        </w:rPr>
        <w:t>This missing tax revenue has particularly acute consequences for the realisation of children’s human rights.  A 20</w:t>
      </w:r>
      <w:r>
        <w:rPr>
          <w:sz w:val="24"/>
          <w:szCs w:val="24"/>
        </w:rPr>
        <w:t xml:space="preserve">21 study finds that if tax abuse were curtailed, the equivalent increase in government revenue would result in </w:t>
      </w:r>
      <w:r>
        <w:rPr>
          <w:b/>
          <w:sz w:val="24"/>
          <w:szCs w:val="24"/>
        </w:rPr>
        <w:t>an extra year of schooling for more than 3.3 million children and more than half a million child deaths averted.</w:t>
      </w:r>
      <w:r>
        <w:rPr>
          <w:sz w:val="24"/>
          <w:szCs w:val="24"/>
          <w:vertAlign w:val="superscript"/>
        </w:rPr>
        <w:footnoteReference w:id="19"/>
      </w:r>
    </w:p>
    <w:p w14:paraId="00000022" w14:textId="77777777" w:rsidR="000D2D3A" w:rsidRDefault="000D2D3A">
      <w:pPr>
        <w:ind w:firstLine="720"/>
        <w:rPr>
          <w:sz w:val="24"/>
          <w:szCs w:val="24"/>
        </w:rPr>
      </w:pPr>
    </w:p>
    <w:p w14:paraId="00000023" w14:textId="77777777" w:rsidR="000D2D3A" w:rsidRDefault="00DB4C93">
      <w:pPr>
        <w:ind w:firstLine="720"/>
        <w:rPr>
          <w:sz w:val="24"/>
          <w:szCs w:val="24"/>
        </w:rPr>
      </w:pPr>
      <w:r>
        <w:rPr>
          <w:sz w:val="24"/>
          <w:szCs w:val="24"/>
        </w:rPr>
        <w:lastRenderedPageBreak/>
        <w:t>As Sri Mulyani Idrwati, former</w:t>
      </w:r>
      <w:r>
        <w:rPr>
          <w:sz w:val="24"/>
          <w:szCs w:val="24"/>
        </w:rPr>
        <w:t xml:space="preserve"> Managing Director of the World Bank and current Minister of Finance of Indonesia,  has noted, loss of tax revenue for developing countries, “bleeds them of essential resources”:</w:t>
      </w:r>
    </w:p>
    <w:p w14:paraId="00000024" w14:textId="77777777" w:rsidR="000D2D3A" w:rsidRDefault="000D2D3A">
      <w:pPr>
        <w:ind w:firstLine="720"/>
        <w:rPr>
          <w:sz w:val="24"/>
          <w:szCs w:val="24"/>
        </w:rPr>
      </w:pPr>
    </w:p>
    <w:p w14:paraId="00000025" w14:textId="77777777" w:rsidR="000D2D3A" w:rsidRDefault="00DB4C93">
      <w:pPr>
        <w:ind w:left="720" w:right="1440"/>
        <w:rPr>
          <w:sz w:val="24"/>
          <w:szCs w:val="24"/>
        </w:rPr>
      </w:pPr>
      <w:r>
        <w:rPr>
          <w:sz w:val="24"/>
          <w:szCs w:val="24"/>
        </w:rPr>
        <w:t>For the schoolchild in Haiti, the new mother in Malawi, or the farmer in Ban</w:t>
      </w:r>
      <w:r>
        <w:rPr>
          <w:sz w:val="24"/>
          <w:szCs w:val="24"/>
        </w:rPr>
        <w:t xml:space="preserve">gladesh, these losses have a real impact: they result in classrooms that are overcrowded, health clinics that are never built, and water that is never delivered. People’s opportunities are stolen from them – because tax revenues are not collected. “ </w:t>
      </w:r>
      <w:r>
        <w:rPr>
          <w:sz w:val="24"/>
          <w:szCs w:val="24"/>
          <w:vertAlign w:val="superscript"/>
        </w:rPr>
        <w:footnoteReference w:id="20"/>
      </w:r>
      <w:r>
        <w:rPr>
          <w:sz w:val="24"/>
          <w:szCs w:val="24"/>
        </w:rPr>
        <w:t xml:space="preserve"> </w:t>
      </w:r>
    </w:p>
    <w:p w14:paraId="00000026" w14:textId="77777777" w:rsidR="000D2D3A" w:rsidRDefault="00DB4C93">
      <w:pPr>
        <w:rPr>
          <w:sz w:val="24"/>
          <w:szCs w:val="24"/>
        </w:rPr>
      </w:pPr>
      <w:r>
        <w:rPr>
          <w:sz w:val="24"/>
          <w:szCs w:val="24"/>
        </w:rPr>
        <w:t xml:space="preserve"> </w:t>
      </w:r>
    </w:p>
    <w:p w14:paraId="00000027" w14:textId="77777777" w:rsidR="000D2D3A" w:rsidRDefault="00DB4C93">
      <w:pPr>
        <w:pBdr>
          <w:top w:val="none" w:sz="0" w:space="0" w:color="000000"/>
          <w:left w:val="none" w:sz="0" w:space="0" w:color="000000"/>
          <w:bottom w:val="none" w:sz="0" w:space="0" w:color="000000"/>
          <w:right w:val="none" w:sz="0" w:space="0" w:color="000000"/>
          <w:between w:val="none" w:sz="0" w:space="0" w:color="000000"/>
        </w:pBdr>
        <w:spacing w:after="280"/>
        <w:rPr>
          <w:sz w:val="24"/>
          <w:szCs w:val="24"/>
        </w:rPr>
      </w:pPr>
      <w:r>
        <w:rPr>
          <w:sz w:val="24"/>
          <w:szCs w:val="24"/>
        </w:rPr>
        <w:tab/>
      </w:r>
      <w:r>
        <w:rPr>
          <w:sz w:val="24"/>
          <w:szCs w:val="24"/>
        </w:rPr>
        <w:t>Even a small percentage increase in tax revenue can have an enormous effect on children’s rights. Incremental improvements, such as one year of additional schooling for girls, can  have enormous positive ripple effects.</w:t>
      </w:r>
      <w:r>
        <w:rPr>
          <w:sz w:val="24"/>
          <w:szCs w:val="24"/>
          <w:vertAlign w:val="superscript"/>
        </w:rPr>
        <w:footnoteReference w:id="21"/>
      </w:r>
      <w:r>
        <w:rPr>
          <w:sz w:val="24"/>
          <w:szCs w:val="24"/>
        </w:rPr>
        <w:t xml:space="preserve">   </w:t>
      </w:r>
    </w:p>
    <w:p w14:paraId="00000028" w14:textId="77777777" w:rsidR="000D2D3A" w:rsidRDefault="00DB4C93">
      <w:pPr>
        <w:pBdr>
          <w:top w:val="none" w:sz="0" w:space="0" w:color="000000"/>
          <w:left w:val="none" w:sz="0" w:space="0" w:color="000000"/>
          <w:bottom w:val="none" w:sz="0" w:space="0" w:color="000000"/>
          <w:right w:val="none" w:sz="0" w:space="0" w:color="000000"/>
          <w:between w:val="none" w:sz="0" w:space="0" w:color="000000"/>
        </w:pBdr>
        <w:spacing w:after="280"/>
        <w:ind w:firstLine="720"/>
        <w:rPr>
          <w:sz w:val="24"/>
          <w:szCs w:val="24"/>
        </w:rPr>
      </w:pPr>
      <w:r>
        <w:rPr>
          <w:sz w:val="24"/>
          <w:szCs w:val="24"/>
        </w:rPr>
        <w:t>A state like the Netherlands, wi</w:t>
      </w:r>
      <w:r>
        <w:rPr>
          <w:sz w:val="24"/>
          <w:szCs w:val="24"/>
        </w:rPr>
        <w:t xml:space="preserve">th weak </w:t>
      </w:r>
      <w:r>
        <w:rPr>
          <w:color w:val="1D1C1D"/>
          <w:sz w:val="24"/>
          <w:szCs w:val="24"/>
          <w:shd w:val="clear" w:color="auto" w:fill="F8F8F8"/>
        </w:rPr>
        <w:t>tax and financial transparency policies and</w:t>
      </w:r>
      <w:r>
        <w:rPr>
          <w:sz w:val="24"/>
          <w:szCs w:val="24"/>
        </w:rPr>
        <w:t xml:space="preserve"> laws, facilitates the hiding of money that would have been spent on schools, health clinics, roads, law enforcement, sanitation, housing, electricity,  internet and community development.  It externalizes</w:t>
      </w:r>
      <w:r>
        <w:rPr>
          <w:sz w:val="24"/>
          <w:szCs w:val="24"/>
        </w:rPr>
        <w:t xml:space="preserve"> the costs of its tax policy choices onto children abroad –  children who have no voice in its decision-making processes and whose parents and communities also have no voice in these processes.  This externalization violates international human rights law,</w:t>
      </w:r>
      <w:r>
        <w:rPr>
          <w:sz w:val="24"/>
          <w:szCs w:val="24"/>
        </w:rPr>
        <w:t xml:space="preserve"> </w:t>
      </w:r>
      <w:r>
        <w:rPr>
          <w:sz w:val="24"/>
          <w:szCs w:val="24"/>
          <w:vertAlign w:val="superscript"/>
        </w:rPr>
        <w:footnoteReference w:id="22"/>
      </w:r>
      <w:r>
        <w:rPr>
          <w:sz w:val="24"/>
          <w:szCs w:val="24"/>
        </w:rPr>
        <w:t xml:space="preserve"> including the Convention on the Rights of the Child.</w:t>
      </w:r>
      <w:r>
        <w:rPr>
          <w:sz w:val="24"/>
          <w:szCs w:val="24"/>
          <w:vertAlign w:val="superscript"/>
        </w:rPr>
        <w:footnoteReference w:id="23"/>
      </w:r>
      <w:r>
        <w:rPr>
          <w:sz w:val="24"/>
          <w:szCs w:val="24"/>
        </w:rPr>
        <w:t xml:space="preserve">  </w:t>
      </w:r>
    </w:p>
    <w:p w14:paraId="00000029" w14:textId="77777777" w:rsidR="000D2D3A" w:rsidRDefault="000D2D3A">
      <w:pPr>
        <w:pBdr>
          <w:top w:val="none" w:sz="0" w:space="0" w:color="000000"/>
          <w:left w:val="none" w:sz="0" w:space="0" w:color="000000"/>
          <w:bottom w:val="none" w:sz="0" w:space="0" w:color="000000"/>
          <w:right w:val="none" w:sz="0" w:space="0" w:color="000000"/>
          <w:between w:val="none" w:sz="0" w:space="0" w:color="000000"/>
        </w:pBdr>
        <w:spacing w:after="280"/>
        <w:ind w:firstLine="720"/>
        <w:rPr>
          <w:sz w:val="24"/>
          <w:szCs w:val="24"/>
        </w:rPr>
      </w:pPr>
    </w:p>
    <w:p w14:paraId="0000002A" w14:textId="77777777" w:rsidR="000D2D3A" w:rsidRDefault="00DB4C93">
      <w:pPr>
        <w:ind w:firstLine="720"/>
        <w:rPr>
          <w:i/>
          <w:u w:val="single"/>
        </w:rPr>
      </w:pPr>
      <w:r>
        <w:t xml:space="preserve"> </w:t>
      </w:r>
    </w:p>
    <w:p w14:paraId="0000002B" w14:textId="77777777" w:rsidR="000D2D3A" w:rsidRDefault="00DB4C93">
      <w:pPr>
        <w:jc w:val="center"/>
        <w:rPr>
          <w:b/>
          <w:sz w:val="24"/>
          <w:szCs w:val="24"/>
          <w:u w:val="single"/>
        </w:rPr>
      </w:pPr>
      <w:r>
        <w:rPr>
          <w:b/>
          <w:sz w:val="24"/>
          <w:szCs w:val="24"/>
          <w:u w:val="single"/>
        </w:rPr>
        <w:t>Precedent for recognizing tax avoidance as a human rights issue</w:t>
      </w:r>
    </w:p>
    <w:p w14:paraId="0000002C" w14:textId="77777777" w:rsidR="000D2D3A" w:rsidRDefault="000D2D3A">
      <w:pPr>
        <w:rPr>
          <w:sz w:val="24"/>
          <w:szCs w:val="24"/>
        </w:rPr>
      </w:pPr>
    </w:p>
    <w:p w14:paraId="0000002D" w14:textId="77777777" w:rsidR="000D2D3A" w:rsidRDefault="00DB4C93">
      <w:pPr>
        <w:ind w:firstLine="720"/>
        <w:rPr>
          <w:sz w:val="24"/>
          <w:szCs w:val="24"/>
        </w:rPr>
      </w:pPr>
      <w:r>
        <w:rPr>
          <w:sz w:val="24"/>
          <w:szCs w:val="24"/>
        </w:rPr>
        <w:lastRenderedPageBreak/>
        <w:t>The CRC has acknowledged the importance of tax policy on the rights of children, including on children outside the state’s territ</w:t>
      </w:r>
      <w:r>
        <w:rPr>
          <w:sz w:val="24"/>
          <w:szCs w:val="24"/>
        </w:rPr>
        <w:t xml:space="preserve">ory. </w:t>
      </w:r>
      <w:r>
        <w:rPr>
          <w:b/>
          <w:sz w:val="24"/>
          <w:szCs w:val="24"/>
        </w:rPr>
        <w:t xml:space="preserve"> </w:t>
      </w:r>
      <w:r>
        <w:rPr>
          <w:sz w:val="24"/>
          <w:szCs w:val="24"/>
        </w:rPr>
        <w:t>In its July 20, 2016  General comment No. 19 on public budgeting, the CRC noted the impact of tax policy and transparency on the realisation of children’s rights and highlighted the need for “international and regional” cooperation in this area, reco</w:t>
      </w:r>
      <w:r>
        <w:rPr>
          <w:sz w:val="24"/>
          <w:szCs w:val="24"/>
        </w:rPr>
        <w:t xml:space="preserve">mmending that states, “review[] and strengthen[] their capacity to formulate and manage tax legislation, policies and systems, including the signing of agreements between countries to avoid tax evasion.” </w:t>
      </w:r>
      <w:r>
        <w:rPr>
          <w:sz w:val="24"/>
          <w:szCs w:val="24"/>
          <w:vertAlign w:val="superscript"/>
        </w:rPr>
        <w:footnoteReference w:id="24"/>
      </w:r>
      <w:r>
        <w:rPr>
          <w:sz w:val="24"/>
          <w:szCs w:val="24"/>
        </w:rPr>
        <w:t xml:space="preserve"> </w:t>
      </w:r>
    </w:p>
    <w:p w14:paraId="0000002E" w14:textId="77777777" w:rsidR="000D2D3A" w:rsidRDefault="000D2D3A">
      <w:pPr>
        <w:ind w:firstLine="720"/>
        <w:rPr>
          <w:sz w:val="24"/>
          <w:szCs w:val="24"/>
        </w:rPr>
      </w:pPr>
    </w:p>
    <w:p w14:paraId="0000002F" w14:textId="77777777" w:rsidR="000D2D3A" w:rsidRDefault="00DB4C93">
      <w:pPr>
        <w:ind w:firstLine="720"/>
        <w:rPr>
          <w:sz w:val="24"/>
          <w:szCs w:val="24"/>
        </w:rPr>
      </w:pPr>
      <w:r>
        <w:rPr>
          <w:sz w:val="24"/>
          <w:szCs w:val="24"/>
        </w:rPr>
        <w:t>In its November 18, 2020 List of Issues, the CRC</w:t>
      </w:r>
      <w:r>
        <w:rPr>
          <w:sz w:val="24"/>
          <w:szCs w:val="24"/>
        </w:rPr>
        <w:t xml:space="preserve"> asked Ireland to “please describe the measures taken to . . . ensure that tax policies do not contribute to tax abuse by companies operating in other countries, leading to a negative impact on the availability of resources for the realisation of children’</w:t>
      </w:r>
      <w:r>
        <w:rPr>
          <w:sz w:val="24"/>
          <w:szCs w:val="24"/>
        </w:rPr>
        <w:t xml:space="preserve">s rights in those countries.” </w:t>
      </w:r>
      <w:r>
        <w:rPr>
          <w:sz w:val="24"/>
          <w:szCs w:val="24"/>
          <w:vertAlign w:val="superscript"/>
        </w:rPr>
        <w:footnoteReference w:id="25"/>
      </w:r>
      <w:r>
        <w:rPr>
          <w:sz w:val="24"/>
          <w:szCs w:val="24"/>
        </w:rPr>
        <w:t xml:space="preserve"> </w:t>
      </w:r>
    </w:p>
    <w:p w14:paraId="00000030" w14:textId="77777777" w:rsidR="000D2D3A" w:rsidRDefault="000D2D3A">
      <w:pPr>
        <w:ind w:firstLine="720"/>
        <w:rPr>
          <w:sz w:val="24"/>
          <w:szCs w:val="24"/>
        </w:rPr>
      </w:pPr>
    </w:p>
    <w:p w14:paraId="00000031" w14:textId="77777777" w:rsidR="000D2D3A" w:rsidRDefault="00DB4C93">
      <w:pPr>
        <w:ind w:firstLine="720"/>
        <w:rPr>
          <w:sz w:val="24"/>
          <w:szCs w:val="24"/>
        </w:rPr>
      </w:pPr>
      <w:r>
        <w:rPr>
          <w:sz w:val="24"/>
          <w:szCs w:val="24"/>
        </w:rPr>
        <w:t>Other UN actors have urged national and international actors to take into account the human rights impact of tax policy decisions on the rights of people abroad, including children.  In 2016, Alfred-Maurice de Zayas, the I</w:t>
      </w:r>
      <w:r>
        <w:rPr>
          <w:sz w:val="24"/>
          <w:szCs w:val="24"/>
        </w:rPr>
        <w:t>ndependent Expert on the promotion of a democratic and equitable world order, submitted a comprehensive report detailing the impact of tax abuse in a handful of countries including the Netherlands, on other states’ abilities to fulfill their human rights t</w:t>
      </w:r>
      <w:r>
        <w:rPr>
          <w:sz w:val="24"/>
          <w:szCs w:val="24"/>
        </w:rPr>
        <w:t>reaty obligations, including basic obligations to children such a the provision of quality health services and free education.</w:t>
      </w:r>
      <w:r>
        <w:rPr>
          <w:sz w:val="24"/>
          <w:szCs w:val="24"/>
          <w:vertAlign w:val="superscript"/>
        </w:rPr>
        <w:footnoteReference w:id="26"/>
      </w:r>
      <w:r>
        <w:rPr>
          <w:sz w:val="24"/>
          <w:szCs w:val="24"/>
        </w:rPr>
        <w:t xml:space="preserve"> In 2014, Magdalena </w:t>
      </w:r>
      <w:r>
        <w:rPr>
          <w:color w:val="333333"/>
          <w:sz w:val="24"/>
          <w:szCs w:val="24"/>
          <w:highlight w:val="white"/>
        </w:rPr>
        <w:t xml:space="preserve">Sepúlveda </w:t>
      </w:r>
      <w:r>
        <w:rPr>
          <w:sz w:val="24"/>
          <w:szCs w:val="24"/>
        </w:rPr>
        <w:t>Carmona, then Special Rapporteur on extreme poverty and human rights, urged states to assess the extraterritorial effects of their tax policies.</w:t>
      </w:r>
      <w:r>
        <w:rPr>
          <w:sz w:val="24"/>
          <w:szCs w:val="24"/>
          <w:vertAlign w:val="superscript"/>
        </w:rPr>
        <w:footnoteReference w:id="27"/>
      </w:r>
    </w:p>
    <w:p w14:paraId="00000032" w14:textId="77777777" w:rsidR="000D2D3A" w:rsidRDefault="00DB4C93">
      <w:pPr>
        <w:rPr>
          <w:i/>
          <w:sz w:val="24"/>
          <w:szCs w:val="24"/>
        </w:rPr>
      </w:pPr>
      <w:r>
        <w:rPr>
          <w:sz w:val="24"/>
          <w:szCs w:val="24"/>
        </w:rPr>
        <w:t xml:space="preserve"> </w:t>
      </w:r>
    </w:p>
    <w:p w14:paraId="00000033" w14:textId="77777777" w:rsidR="000D2D3A" w:rsidRDefault="00DB4C93">
      <w:pPr>
        <w:ind w:firstLine="720"/>
        <w:rPr>
          <w:sz w:val="24"/>
          <w:szCs w:val="24"/>
        </w:rPr>
      </w:pPr>
      <w:r>
        <w:rPr>
          <w:sz w:val="24"/>
          <w:szCs w:val="24"/>
        </w:rPr>
        <w:t>Finally, an analogy can be made to the impact on women.  The UN Committee on the Elimination of All Forms of</w:t>
      </w:r>
      <w:r>
        <w:rPr>
          <w:sz w:val="24"/>
          <w:szCs w:val="24"/>
        </w:rPr>
        <w:t xml:space="preserve"> Discrimination against Women (CEDAW) also set a bold precedent when it asked Switzerland to make public periodic, independent, impartial and participatory assessments of the extraterritorial effects of its corporate tax and financial secrecy policies on w</w:t>
      </w:r>
      <w:r>
        <w:rPr>
          <w:sz w:val="24"/>
          <w:szCs w:val="24"/>
        </w:rPr>
        <w:t>omen’s rights.</w:t>
      </w:r>
      <w:r>
        <w:rPr>
          <w:sz w:val="24"/>
          <w:szCs w:val="24"/>
          <w:vertAlign w:val="superscript"/>
        </w:rPr>
        <w:footnoteReference w:id="28"/>
      </w:r>
      <w:r>
        <w:rPr>
          <w:sz w:val="24"/>
          <w:szCs w:val="24"/>
          <w:vertAlign w:val="superscript"/>
        </w:rPr>
        <w:t xml:space="preserve"> </w:t>
      </w:r>
      <w:r>
        <w:rPr>
          <w:sz w:val="24"/>
          <w:szCs w:val="24"/>
        </w:rPr>
        <w:t>This request came in the wake of a devastating report by a coalition of advocates documenting the ways in which Swiss policy harms women’s rights abroad.</w:t>
      </w:r>
      <w:r>
        <w:rPr>
          <w:sz w:val="24"/>
          <w:szCs w:val="24"/>
          <w:vertAlign w:val="superscript"/>
        </w:rPr>
        <w:footnoteReference w:id="29"/>
      </w:r>
      <w:r>
        <w:rPr>
          <w:sz w:val="24"/>
          <w:szCs w:val="24"/>
        </w:rPr>
        <w:t xml:space="preserve">  </w:t>
      </w:r>
    </w:p>
    <w:p w14:paraId="00000034" w14:textId="77777777" w:rsidR="000D2D3A" w:rsidRDefault="000D2D3A">
      <w:pPr>
        <w:rPr>
          <w:sz w:val="24"/>
          <w:szCs w:val="24"/>
        </w:rPr>
      </w:pPr>
    </w:p>
    <w:p w14:paraId="00000035" w14:textId="77777777" w:rsidR="000D2D3A" w:rsidRDefault="000D2D3A">
      <w:pPr>
        <w:ind w:firstLine="720"/>
        <w:rPr>
          <w:sz w:val="24"/>
          <w:szCs w:val="24"/>
        </w:rPr>
      </w:pPr>
    </w:p>
    <w:p w14:paraId="00000036" w14:textId="77777777" w:rsidR="000D2D3A" w:rsidRDefault="00DB4C93">
      <w:pPr>
        <w:jc w:val="center"/>
        <w:rPr>
          <w:b/>
          <w:sz w:val="24"/>
          <w:szCs w:val="24"/>
          <w:u w:val="single"/>
        </w:rPr>
      </w:pPr>
      <w:r>
        <w:rPr>
          <w:b/>
          <w:sz w:val="24"/>
          <w:szCs w:val="24"/>
          <w:u w:val="single"/>
        </w:rPr>
        <w:t xml:space="preserve">Request </w:t>
      </w:r>
    </w:p>
    <w:p w14:paraId="00000037" w14:textId="77777777" w:rsidR="000D2D3A" w:rsidRDefault="000D2D3A">
      <w:pPr>
        <w:ind w:firstLine="720"/>
        <w:rPr>
          <w:sz w:val="24"/>
          <w:szCs w:val="24"/>
        </w:rPr>
      </w:pPr>
    </w:p>
    <w:p w14:paraId="00000038" w14:textId="77777777" w:rsidR="000D2D3A" w:rsidRDefault="00DB4C93">
      <w:pPr>
        <w:ind w:firstLine="720"/>
        <w:rPr>
          <w:sz w:val="24"/>
          <w:szCs w:val="24"/>
        </w:rPr>
      </w:pPr>
      <w:r>
        <w:rPr>
          <w:sz w:val="24"/>
          <w:szCs w:val="24"/>
        </w:rPr>
        <w:t>In light of the above, we respectfully request that the CRC ask the Netherlands, as one of the handful of jurisdictions most responsible for enabling international tax abuse, explain to the Committee what measures it is taking to monitor and remedy the ext</w:t>
      </w:r>
      <w:r>
        <w:rPr>
          <w:sz w:val="24"/>
          <w:szCs w:val="24"/>
        </w:rPr>
        <w:t xml:space="preserve">raterritorial human rights impacts of its tax and financial policies on children’s rights in other countries.   </w:t>
      </w:r>
    </w:p>
    <w:p w14:paraId="00000039" w14:textId="77777777" w:rsidR="000D2D3A" w:rsidRDefault="000D2D3A">
      <w:pPr>
        <w:ind w:firstLine="720"/>
        <w:rPr>
          <w:sz w:val="24"/>
          <w:szCs w:val="24"/>
        </w:rPr>
      </w:pPr>
    </w:p>
    <w:p w14:paraId="0000003A" w14:textId="77777777" w:rsidR="000D2D3A" w:rsidRDefault="00DB4C93">
      <w:pPr>
        <w:ind w:firstLine="720"/>
        <w:rPr>
          <w:sz w:val="24"/>
          <w:szCs w:val="24"/>
        </w:rPr>
      </w:pPr>
      <w:r>
        <w:rPr>
          <w:sz w:val="24"/>
          <w:szCs w:val="24"/>
        </w:rPr>
        <w:t>Further to the above, we also request the CRC call on the Netherlands to commit to conducting public, participatory, independent, and impartia</w:t>
      </w:r>
      <w:r>
        <w:rPr>
          <w:sz w:val="24"/>
          <w:szCs w:val="24"/>
        </w:rPr>
        <w:t>l  “spillover” analyses of the impacts of its financial secrecy and tax policies. These reports should be conducted in line with best practices in the field and include a strong focus on the impacts imposed on revenue mobilisation for the realisation of ch</w:t>
      </w:r>
      <w:r>
        <w:rPr>
          <w:sz w:val="24"/>
          <w:szCs w:val="24"/>
        </w:rPr>
        <w:t xml:space="preserve">ildren's rights in other countries.   </w:t>
      </w:r>
    </w:p>
    <w:p w14:paraId="0000003B" w14:textId="77777777" w:rsidR="000D2D3A" w:rsidRDefault="000D2D3A">
      <w:pPr>
        <w:ind w:firstLine="720"/>
        <w:rPr>
          <w:sz w:val="24"/>
          <w:szCs w:val="24"/>
        </w:rPr>
      </w:pPr>
    </w:p>
    <w:p w14:paraId="0000003C" w14:textId="77777777" w:rsidR="000D2D3A" w:rsidRDefault="000D2D3A">
      <w:pPr>
        <w:ind w:firstLine="720"/>
      </w:pPr>
    </w:p>
    <w:p w14:paraId="0000003D" w14:textId="77777777" w:rsidR="000D2D3A" w:rsidRDefault="000D2D3A">
      <w:pPr>
        <w:rPr>
          <w:i/>
          <w:sz w:val="24"/>
          <w:szCs w:val="24"/>
        </w:rPr>
      </w:pPr>
    </w:p>
    <w:p w14:paraId="0000003E" w14:textId="77777777" w:rsidR="000D2D3A" w:rsidRDefault="000D2D3A">
      <w:pPr>
        <w:jc w:val="center"/>
        <w:rPr>
          <w:i/>
          <w:sz w:val="24"/>
          <w:szCs w:val="24"/>
        </w:rPr>
      </w:pPr>
    </w:p>
    <w:p w14:paraId="0000003F" w14:textId="77777777" w:rsidR="000D2D3A" w:rsidRDefault="00DB4C93">
      <w:pPr>
        <w:ind w:firstLine="720"/>
        <w:rPr>
          <w:sz w:val="24"/>
          <w:szCs w:val="24"/>
        </w:rPr>
      </w:pPr>
      <w:r>
        <w:rPr>
          <w:i/>
          <w:sz w:val="24"/>
          <w:szCs w:val="24"/>
        </w:rPr>
        <w:t xml:space="preserve"> </w:t>
      </w:r>
    </w:p>
    <w:p w14:paraId="00000040" w14:textId="77777777" w:rsidR="000D2D3A" w:rsidRDefault="00DB4C93">
      <w:pPr>
        <w:rPr>
          <w:sz w:val="24"/>
          <w:szCs w:val="24"/>
        </w:rPr>
      </w:pPr>
      <w:r>
        <w:rPr>
          <w:sz w:val="24"/>
          <w:szCs w:val="24"/>
        </w:rPr>
        <w:t xml:space="preserve"> </w:t>
      </w:r>
    </w:p>
    <w:p w14:paraId="00000041" w14:textId="77777777" w:rsidR="000D2D3A" w:rsidRDefault="000D2D3A">
      <w:pPr>
        <w:rPr>
          <w:sz w:val="24"/>
          <w:szCs w:val="24"/>
        </w:rPr>
      </w:pPr>
    </w:p>
    <w:p w14:paraId="00000042" w14:textId="77777777" w:rsidR="000D2D3A" w:rsidRDefault="000D2D3A">
      <w:pPr>
        <w:ind w:firstLine="720"/>
        <w:rPr>
          <w:rFonts w:ascii="Times New Roman" w:eastAsia="Times New Roman" w:hAnsi="Times New Roman" w:cs="Times New Roman"/>
          <w:i/>
          <w:sz w:val="27"/>
          <w:szCs w:val="27"/>
          <w:highlight w:val="white"/>
        </w:rPr>
      </w:pPr>
    </w:p>
    <w:sectPr w:rsidR="000D2D3A">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E13854" w14:textId="77777777" w:rsidR="00000000" w:rsidRDefault="00DB4C93">
      <w:pPr>
        <w:spacing w:line="240" w:lineRule="auto"/>
      </w:pPr>
      <w:r>
        <w:separator/>
      </w:r>
    </w:p>
  </w:endnote>
  <w:endnote w:type="continuationSeparator" w:id="0">
    <w:p w14:paraId="57863C4C" w14:textId="77777777" w:rsidR="00000000" w:rsidRDefault="00DB4C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60" w14:textId="2036DDD4" w:rsidR="000D2D3A" w:rsidRDefault="00DB4C93">
    <w:pPr>
      <w:jc w:val="right"/>
    </w:pPr>
    <w:r>
      <w:fldChar w:fldCharType="begin"/>
    </w:r>
    <w:r>
      <w:instrText>PAGE</w:instrText>
    </w:r>
    <w:r w:rsidR="001D3672">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6310F1" w14:textId="77777777" w:rsidR="00000000" w:rsidRDefault="00DB4C93">
      <w:pPr>
        <w:spacing w:line="240" w:lineRule="auto"/>
      </w:pPr>
      <w:r>
        <w:separator/>
      </w:r>
    </w:p>
  </w:footnote>
  <w:footnote w:type="continuationSeparator" w:id="0">
    <w:p w14:paraId="6F7987B4" w14:textId="77777777" w:rsidR="00000000" w:rsidRDefault="00DB4C93">
      <w:pPr>
        <w:spacing w:line="240" w:lineRule="auto"/>
      </w:pPr>
      <w:r>
        <w:continuationSeparator/>
      </w:r>
    </w:p>
  </w:footnote>
  <w:footnote w:id="1">
    <w:p w14:paraId="00000043" w14:textId="77777777" w:rsidR="000D2D3A" w:rsidRDefault="00DB4C93">
      <w:pPr>
        <w:spacing w:line="240" w:lineRule="auto"/>
        <w:rPr>
          <w:sz w:val="20"/>
          <w:szCs w:val="20"/>
        </w:rPr>
      </w:pPr>
      <w:r>
        <w:rPr>
          <w:vertAlign w:val="superscript"/>
        </w:rPr>
        <w:footnoteRef/>
      </w:r>
      <w:r>
        <w:rPr>
          <w:rFonts w:ascii="Times New Roman" w:eastAsia="Times New Roman" w:hAnsi="Times New Roman" w:cs="Times New Roman"/>
          <w:sz w:val="20"/>
          <w:szCs w:val="20"/>
          <w:highlight w:val="white"/>
        </w:rPr>
        <w:t>CRC/C/IRL/QPR</w:t>
      </w:r>
      <w:r>
        <w:rPr>
          <w:rFonts w:ascii="Times New Roman" w:eastAsia="Times New Roman" w:hAnsi="Times New Roman" w:cs="Times New Roman"/>
          <w:i/>
          <w:sz w:val="20"/>
          <w:szCs w:val="20"/>
          <w:highlight w:val="white"/>
        </w:rPr>
        <w:t>/</w:t>
      </w:r>
      <w:r>
        <w:rPr>
          <w:rFonts w:ascii="Times New Roman" w:eastAsia="Times New Roman" w:hAnsi="Times New Roman" w:cs="Times New Roman"/>
          <w:sz w:val="20"/>
          <w:szCs w:val="20"/>
          <w:highlight w:val="white"/>
        </w:rPr>
        <w:t>5-6</w:t>
      </w:r>
      <w:r>
        <w:rPr>
          <w:rFonts w:ascii="Times New Roman" w:eastAsia="Times New Roman" w:hAnsi="Times New Roman" w:cs="Times New Roman"/>
          <w:i/>
          <w:sz w:val="20"/>
          <w:szCs w:val="20"/>
          <w:highlight w:val="white"/>
        </w:rPr>
        <w:t xml:space="preserve">, </w:t>
      </w:r>
      <w:r>
        <w:rPr>
          <w:rFonts w:ascii="Times New Roman" w:eastAsia="Times New Roman" w:hAnsi="Times New Roman" w:cs="Times New Roman"/>
          <w:sz w:val="20"/>
          <w:szCs w:val="20"/>
          <w:highlight w:val="white"/>
        </w:rPr>
        <w:t>18 November 2020 Committee on the Rights of the Child, List of issues prior to submission of the combined fift</w:t>
      </w:r>
      <w:r>
        <w:rPr>
          <w:rFonts w:ascii="Times New Roman" w:eastAsia="Times New Roman" w:hAnsi="Times New Roman" w:cs="Times New Roman"/>
          <w:sz w:val="20"/>
          <w:szCs w:val="20"/>
          <w:highlight w:val="white"/>
        </w:rPr>
        <w:t xml:space="preserve">h and sixth reports of Ireland, available at: </w:t>
      </w:r>
      <w:hyperlink r:id="rId1">
        <w:r>
          <w:rPr>
            <w:color w:val="1155CC"/>
            <w:sz w:val="20"/>
            <w:szCs w:val="20"/>
            <w:u w:val="single"/>
          </w:rPr>
          <w:t>https://tbinternet.ohchr.org/_layouts/15/treatybodyexternal/Download.aspx?symbolno=CRC%2fC%2fIRL%2fQPR%2f5-6&amp;Lang=en</w:t>
        </w:r>
      </w:hyperlink>
    </w:p>
    <w:p w14:paraId="00000044" w14:textId="77777777" w:rsidR="000D2D3A" w:rsidRDefault="000D2D3A">
      <w:pPr>
        <w:spacing w:line="240" w:lineRule="auto"/>
        <w:rPr>
          <w:sz w:val="20"/>
          <w:szCs w:val="20"/>
        </w:rPr>
      </w:pPr>
    </w:p>
  </w:footnote>
  <w:footnote w:id="2">
    <w:p w14:paraId="00000061" w14:textId="77777777" w:rsidR="000D2D3A" w:rsidRDefault="00DB4C93">
      <w:pPr>
        <w:spacing w:line="240" w:lineRule="auto"/>
        <w:rPr>
          <w:sz w:val="20"/>
          <w:szCs w:val="20"/>
        </w:rPr>
      </w:pPr>
      <w:r>
        <w:rPr>
          <w:vertAlign w:val="superscript"/>
        </w:rPr>
        <w:footnoteRef/>
      </w:r>
      <w:r>
        <w:rPr>
          <w:sz w:val="20"/>
          <w:szCs w:val="20"/>
        </w:rPr>
        <w:t xml:space="preserve"> </w:t>
      </w:r>
      <w:r>
        <w:rPr>
          <w:i/>
          <w:sz w:val="20"/>
          <w:szCs w:val="20"/>
        </w:rPr>
        <w:t xml:space="preserve">See, e.g., </w:t>
      </w:r>
      <w:r>
        <w:rPr>
          <w:sz w:val="20"/>
          <w:szCs w:val="20"/>
        </w:rPr>
        <w:t>Special Rapporteur on Extreme Poverty and Human Rights, ‘Report of the Special Rapporteur on extreme poverty and human rights’, UN Doc A/HRC/26/28 (22 May 2014) (by Magdalena Se</w:t>
      </w:r>
      <w:r>
        <w:rPr>
          <w:sz w:val="20"/>
          <w:szCs w:val="20"/>
        </w:rPr>
        <w:t>púlveda Carmona) para 24; Philip Alston, ‘Tax Policy is Human Rights Policy: The Irish Debate’, Keynote Address at Christian Aid conference on The Human Rights Impact of Tax and Fiscal Policy, Dublin (12 February 2015) &lt;https://nanopdf.com/downloadFile/als</w:t>
      </w:r>
      <w:r>
        <w:rPr>
          <w:sz w:val="20"/>
          <w:szCs w:val="20"/>
        </w:rPr>
        <w:t>ton-tax-policy-in-word-office-of-the-high-commissioner- on_pdf&gt; (last accessed 30 June 2020); Independent Expert on the effects of foreign debt and other related international financial obligations of States on the full enjoyment of all human rights, parti</w:t>
      </w:r>
      <w:r>
        <w:rPr>
          <w:sz w:val="20"/>
          <w:szCs w:val="20"/>
        </w:rPr>
        <w:t>cularly economic, social and cultural rights, ‘Impact of economic reforms and austerity measures on women’s human rights’ UN Doc A/73/179 (18 July 2018) para 23; Independent Expert on the effects of foreign debt and other related international financial ob</w:t>
      </w:r>
      <w:r>
        <w:rPr>
          <w:sz w:val="20"/>
          <w:szCs w:val="20"/>
        </w:rPr>
        <w:t>ligations of States on the full enjoyment of human rights, particularly economic, social and cultural rights, ‘Guiding principles on human rights impact assessments of economic reforms’ UN Doc A/HRC/40/57 (19 December 2018) para 11.5; Alfred-Maurice de Zay</w:t>
      </w:r>
      <w:r>
        <w:rPr>
          <w:sz w:val="20"/>
          <w:szCs w:val="20"/>
        </w:rPr>
        <w:t>as, Independent Expert on the promotion of a democratic and equitable international order, Statement at the 71st session of the General Assembly (20 October 2016).</w:t>
      </w:r>
    </w:p>
  </w:footnote>
  <w:footnote w:id="3">
    <w:p w14:paraId="00000048" w14:textId="77777777" w:rsidR="000D2D3A" w:rsidRDefault="00DB4C93">
      <w:pPr>
        <w:spacing w:line="240" w:lineRule="auto"/>
        <w:rPr>
          <w:sz w:val="20"/>
          <w:szCs w:val="20"/>
        </w:rPr>
      </w:pPr>
      <w:r>
        <w:rPr>
          <w:vertAlign w:val="superscript"/>
        </w:rPr>
        <w:footnoteRef/>
      </w:r>
      <w:r>
        <w:rPr>
          <w:sz w:val="20"/>
          <w:szCs w:val="20"/>
        </w:rPr>
        <w:t xml:space="preserve">  Compare </w:t>
      </w:r>
      <w:hyperlink r:id="rId2">
        <w:r>
          <w:rPr>
            <w:color w:val="1155CC"/>
            <w:sz w:val="20"/>
            <w:szCs w:val="20"/>
            <w:u w:val="single"/>
          </w:rPr>
          <w:t>https://taxjustice.net/country-profiles/netherlands/</w:t>
        </w:r>
      </w:hyperlink>
      <w:r>
        <w:rPr>
          <w:sz w:val="20"/>
          <w:szCs w:val="20"/>
        </w:rPr>
        <w:t xml:space="preserve">  to </w:t>
      </w:r>
      <w:hyperlink r:id="rId3">
        <w:r>
          <w:rPr>
            <w:color w:val="1155CC"/>
            <w:sz w:val="20"/>
            <w:szCs w:val="20"/>
            <w:u w:val="single"/>
          </w:rPr>
          <w:t>https://ta</w:t>
        </w:r>
        <w:r>
          <w:rPr>
            <w:color w:val="1155CC"/>
            <w:sz w:val="20"/>
            <w:szCs w:val="20"/>
            <w:u w:val="single"/>
          </w:rPr>
          <w:t>xjustice.net/country-profiles/ireland/</w:t>
        </w:r>
      </w:hyperlink>
      <w:r>
        <w:rPr>
          <w:sz w:val="20"/>
          <w:szCs w:val="20"/>
        </w:rPr>
        <w:t xml:space="preserve">  (The Netherlands is ranked 4th and 8th on 2021 tax haven and financial secrecy indexes, while Ireland is ranked 11th and 29th respectively). </w:t>
      </w:r>
    </w:p>
  </w:footnote>
  <w:footnote w:id="4">
    <w:p w14:paraId="0000004F" w14:textId="77777777" w:rsidR="000D2D3A" w:rsidRDefault="00DB4C93">
      <w:pPr>
        <w:spacing w:line="240" w:lineRule="auto"/>
        <w:rPr>
          <w:sz w:val="20"/>
          <w:szCs w:val="20"/>
        </w:rPr>
      </w:pPr>
      <w:r>
        <w:rPr>
          <w:vertAlign w:val="superscript"/>
        </w:rPr>
        <w:footnoteRef/>
      </w:r>
      <w:r>
        <w:rPr>
          <w:sz w:val="20"/>
          <w:szCs w:val="20"/>
        </w:rPr>
        <w:t xml:space="preserve"> </w:t>
      </w:r>
      <w:r>
        <w:rPr>
          <w:i/>
          <w:sz w:val="20"/>
          <w:szCs w:val="20"/>
        </w:rPr>
        <w:t xml:space="preserve">See, e.g., </w:t>
      </w:r>
      <w:r>
        <w:rPr>
          <w:sz w:val="20"/>
          <w:szCs w:val="20"/>
        </w:rPr>
        <w:t xml:space="preserve">‘Almost 1,000 Dutch nationals are named in the Pandora Papers,’ </w:t>
      </w:r>
      <w:r>
        <w:rPr>
          <w:i/>
          <w:sz w:val="20"/>
          <w:szCs w:val="20"/>
        </w:rPr>
        <w:t>DutchNews.nl</w:t>
      </w:r>
      <w:r>
        <w:rPr>
          <w:sz w:val="20"/>
          <w:szCs w:val="20"/>
        </w:rPr>
        <w:t xml:space="preserve">, 7 October, 2021, available at </w:t>
      </w:r>
      <w:hyperlink r:id="rId4">
        <w:r>
          <w:rPr>
            <w:color w:val="1155CC"/>
            <w:sz w:val="20"/>
            <w:szCs w:val="20"/>
            <w:u w:val="single"/>
          </w:rPr>
          <w:t>https://www.dutchnews.nl/news/2021/10/almost-1000-dutch-nationals-are-named-in-the-pandora-papers/</w:t>
        </w:r>
      </w:hyperlink>
    </w:p>
  </w:footnote>
  <w:footnote w:id="5">
    <w:p w14:paraId="0000004D" w14:textId="77777777" w:rsidR="000D2D3A" w:rsidRDefault="00DB4C93">
      <w:pPr>
        <w:spacing w:line="240" w:lineRule="auto"/>
        <w:rPr>
          <w:sz w:val="20"/>
          <w:szCs w:val="20"/>
        </w:rPr>
      </w:pPr>
      <w:r>
        <w:rPr>
          <w:vertAlign w:val="superscript"/>
        </w:rPr>
        <w:footnoteRef/>
      </w:r>
      <w:r>
        <w:rPr>
          <w:sz w:val="20"/>
          <w:szCs w:val="20"/>
        </w:rPr>
        <w:t xml:space="preserve"> </w:t>
      </w:r>
      <w:r>
        <w:rPr>
          <w:i/>
          <w:sz w:val="20"/>
          <w:szCs w:val="20"/>
        </w:rPr>
        <w:t xml:space="preserve">See </w:t>
      </w:r>
      <w:r>
        <w:rPr>
          <w:sz w:val="20"/>
          <w:szCs w:val="20"/>
        </w:rPr>
        <w:t xml:space="preserve">‘OECD tax deal fails to deliver’ 8 October 2021, Tax Justice Network, available at </w:t>
      </w:r>
      <w:hyperlink r:id="rId5">
        <w:r>
          <w:rPr>
            <w:color w:val="1155CC"/>
            <w:sz w:val="20"/>
            <w:szCs w:val="20"/>
            <w:u w:val="single"/>
          </w:rPr>
          <w:t>https://taxjustice.net/press/oecd-tax-deal-fails-to-deliver/</w:t>
        </w:r>
      </w:hyperlink>
      <w:r>
        <w:rPr>
          <w:sz w:val="20"/>
          <w:szCs w:val="20"/>
        </w:rPr>
        <w:t xml:space="preserve"> and “‘Power concedes nothing without a demand:’the OECD, the G77 and a UN framework convention on tax proposal,” 25 November 2021, Tax Justice Network, available at </w:t>
      </w:r>
      <w:hyperlink r:id="rId6">
        <w:r>
          <w:rPr>
            <w:color w:val="1155CC"/>
            <w:sz w:val="20"/>
            <w:szCs w:val="20"/>
            <w:u w:val="single"/>
          </w:rPr>
          <w:t>https://taxjustice.net/2021/11/25/power-concedes-nothing-without-a-demand-the-oecd-the-g77-and-a-un-framework-convention</w:t>
        </w:r>
        <w:r>
          <w:rPr>
            <w:color w:val="1155CC"/>
            <w:sz w:val="20"/>
            <w:szCs w:val="20"/>
            <w:u w:val="single"/>
          </w:rPr>
          <w:t>-on-tax-proposal/</w:t>
        </w:r>
      </w:hyperlink>
    </w:p>
    <w:p w14:paraId="0000004E" w14:textId="77777777" w:rsidR="000D2D3A" w:rsidRDefault="000D2D3A">
      <w:pPr>
        <w:spacing w:line="240" w:lineRule="auto"/>
        <w:rPr>
          <w:sz w:val="20"/>
          <w:szCs w:val="20"/>
        </w:rPr>
      </w:pPr>
    </w:p>
  </w:footnote>
  <w:footnote w:id="6">
    <w:p w14:paraId="00000046" w14:textId="77777777" w:rsidR="000D2D3A" w:rsidRDefault="00DB4C93">
      <w:pPr>
        <w:spacing w:line="240" w:lineRule="auto"/>
        <w:rPr>
          <w:sz w:val="20"/>
          <w:szCs w:val="20"/>
        </w:rPr>
      </w:pPr>
      <w:r>
        <w:rPr>
          <w:vertAlign w:val="superscript"/>
        </w:rPr>
        <w:footnoteRef/>
      </w:r>
      <w:r>
        <w:rPr>
          <w:sz w:val="20"/>
          <w:szCs w:val="20"/>
        </w:rPr>
        <w:t xml:space="preserve">  </w:t>
      </w:r>
      <w:r>
        <w:rPr>
          <w:i/>
          <w:sz w:val="20"/>
          <w:szCs w:val="20"/>
        </w:rPr>
        <w:t>See, e.g., “</w:t>
      </w:r>
      <w:r>
        <w:rPr>
          <w:sz w:val="20"/>
          <w:szCs w:val="20"/>
        </w:rPr>
        <w:t xml:space="preserve">IOB Study–Evaluation issues in financing for development, Analysing effects of Dutch corporate tax policy on developing countries,” 14 November 2013, available at </w:t>
      </w:r>
      <w:hyperlink r:id="rId7">
        <w:r>
          <w:rPr>
            <w:color w:val="1155CC"/>
            <w:sz w:val="20"/>
            <w:szCs w:val="20"/>
            <w:u w:val="single"/>
          </w:rPr>
          <w:t>https://www.government.nl/documents/reports/2013/11/14/iob-study-evaluation-issues-in-finan</w:t>
        </w:r>
        <w:r>
          <w:rPr>
            <w:color w:val="1155CC"/>
            <w:sz w:val="20"/>
            <w:szCs w:val="20"/>
            <w:u w:val="single"/>
          </w:rPr>
          <w:t>cing-for-development-analysing-effects-of-dutch-corporate-tax-policy-on-developing-countries</w:t>
        </w:r>
      </w:hyperlink>
    </w:p>
  </w:footnote>
  <w:footnote w:id="7">
    <w:p w14:paraId="00000047" w14:textId="77777777" w:rsidR="000D2D3A" w:rsidRDefault="00DB4C93">
      <w:pPr>
        <w:spacing w:line="240" w:lineRule="auto"/>
        <w:rPr>
          <w:sz w:val="20"/>
          <w:szCs w:val="20"/>
        </w:rPr>
      </w:pPr>
      <w:r>
        <w:rPr>
          <w:vertAlign w:val="superscript"/>
        </w:rPr>
        <w:footnoteRef/>
      </w:r>
      <w:r>
        <w:rPr>
          <w:sz w:val="20"/>
          <w:szCs w:val="20"/>
        </w:rPr>
        <w:t xml:space="preserve"> Passages quoted with permission from previous writings from ZHAW International NGO Law and Policy Project Director Alexandra Dufresne.  </w:t>
      </w:r>
      <w:r>
        <w:rPr>
          <w:i/>
          <w:sz w:val="20"/>
          <w:szCs w:val="20"/>
        </w:rPr>
        <w:t>See e.g.,</w:t>
      </w:r>
      <w:r>
        <w:rPr>
          <w:sz w:val="20"/>
          <w:szCs w:val="20"/>
        </w:rPr>
        <w:t xml:space="preserve"> Alexandra Dufre</w:t>
      </w:r>
      <w:r>
        <w:rPr>
          <w:sz w:val="20"/>
          <w:szCs w:val="20"/>
        </w:rPr>
        <w:t xml:space="preserve">sne, “Tax Avoidance is a Children’s Rights Issue,” </w:t>
      </w:r>
      <w:r>
        <w:rPr>
          <w:i/>
          <w:sz w:val="20"/>
          <w:szCs w:val="20"/>
        </w:rPr>
        <w:t>Swissinfo</w:t>
      </w:r>
      <w:r>
        <w:rPr>
          <w:sz w:val="20"/>
          <w:szCs w:val="20"/>
        </w:rPr>
        <w:t xml:space="preserve">, 6 November 2021, available at: </w:t>
      </w:r>
      <w:hyperlink r:id="rId8" w:anchor=":~:text=Alexandra%20Dufresne%20teaches%20U.S.%20law,Africa%20and%20the%20United%20States">
        <w:r>
          <w:rPr>
            <w:color w:val="1155CC"/>
            <w:sz w:val="20"/>
            <w:szCs w:val="20"/>
            <w:u w:val="single"/>
          </w:rPr>
          <w:t>https://www.swissinfo.ch/eng/tax-avoidance-is-a-children-s-rights-issue/47080018#:~:text=Alexandra%20Dufresne%20teaches%20U.S.%20law,Africa%20and%20the%20United%20States</w:t>
        </w:r>
      </w:hyperlink>
      <w:r>
        <w:rPr>
          <w:sz w:val="20"/>
          <w:szCs w:val="20"/>
        </w:rPr>
        <w:t xml:space="preserve"> and Alexandra Dufresne, “How Irish, Swiss and Dutch Tax</w:t>
      </w:r>
      <w:r>
        <w:rPr>
          <w:sz w:val="20"/>
          <w:szCs w:val="20"/>
        </w:rPr>
        <w:t xml:space="preserve"> Policy Harms Children Abroad,” </w:t>
      </w:r>
      <w:r>
        <w:rPr>
          <w:i/>
          <w:sz w:val="20"/>
          <w:szCs w:val="20"/>
        </w:rPr>
        <w:t xml:space="preserve">Euronews, </w:t>
      </w:r>
      <w:r>
        <w:rPr>
          <w:sz w:val="20"/>
          <w:szCs w:val="20"/>
        </w:rPr>
        <w:t xml:space="preserve">20 November 2021, available at </w:t>
      </w:r>
      <w:hyperlink r:id="rId9">
        <w:r>
          <w:rPr>
            <w:color w:val="1155CC"/>
            <w:sz w:val="20"/>
            <w:szCs w:val="20"/>
            <w:u w:val="single"/>
          </w:rPr>
          <w:t>https://www.euronews.com/2021/11/20/how-irish-swiss-and-dutch-ta</w:t>
        </w:r>
        <w:r>
          <w:rPr>
            <w:color w:val="1155CC"/>
            <w:sz w:val="20"/>
            <w:szCs w:val="20"/>
            <w:u w:val="single"/>
          </w:rPr>
          <w:t>x-policy-harms-children-abroad-view</w:t>
        </w:r>
      </w:hyperlink>
      <w:r>
        <w:rPr>
          <w:sz w:val="20"/>
          <w:szCs w:val="20"/>
        </w:rPr>
        <w:t xml:space="preserve">. </w:t>
      </w:r>
    </w:p>
  </w:footnote>
  <w:footnote w:id="8">
    <w:p w14:paraId="00000056" w14:textId="77777777" w:rsidR="000D2D3A" w:rsidRDefault="00DB4C93">
      <w:pPr>
        <w:spacing w:line="240" w:lineRule="auto"/>
        <w:rPr>
          <w:sz w:val="20"/>
          <w:szCs w:val="20"/>
        </w:rPr>
      </w:pPr>
      <w:r>
        <w:rPr>
          <w:vertAlign w:val="superscript"/>
        </w:rPr>
        <w:footnoteRef/>
      </w:r>
      <w:r>
        <w:rPr>
          <w:sz w:val="20"/>
          <w:szCs w:val="20"/>
        </w:rPr>
        <w:t xml:space="preserve"> </w:t>
      </w:r>
      <w:r>
        <w:rPr>
          <w:i/>
          <w:sz w:val="20"/>
          <w:szCs w:val="20"/>
        </w:rPr>
        <w:t>See generally</w:t>
      </w:r>
      <w:r>
        <w:rPr>
          <w:sz w:val="20"/>
          <w:szCs w:val="20"/>
        </w:rPr>
        <w:t xml:space="preserve">, Save the Children, “Tax &amp; Child Rights Guide,” (2017), available at </w:t>
      </w:r>
      <w:hyperlink r:id="rId10">
        <w:r>
          <w:rPr>
            <w:color w:val="1155CC"/>
            <w:sz w:val="20"/>
            <w:szCs w:val="20"/>
            <w:u w:val="single"/>
          </w:rPr>
          <w:t>https://resourcecentre.savethechildren.net/document/tax-child-rights-guide/</w:t>
        </w:r>
      </w:hyperlink>
    </w:p>
  </w:footnote>
  <w:footnote w:id="9">
    <w:p w14:paraId="0000004C" w14:textId="77777777" w:rsidR="000D2D3A" w:rsidRDefault="00DB4C93">
      <w:pPr>
        <w:spacing w:line="240" w:lineRule="auto"/>
        <w:rPr>
          <w:sz w:val="20"/>
          <w:szCs w:val="20"/>
        </w:rPr>
      </w:pPr>
      <w:r>
        <w:rPr>
          <w:vertAlign w:val="superscript"/>
        </w:rPr>
        <w:footnoteRef/>
      </w:r>
      <w:r>
        <w:rPr>
          <w:sz w:val="20"/>
          <w:szCs w:val="20"/>
        </w:rPr>
        <w:t xml:space="preserve"> National Bureau of Economic Research, “How Much Wealth Is Stashed in Tax Havens?”  The Digest No. 11, November 2017, available at </w:t>
      </w:r>
      <w:hyperlink r:id="rId11">
        <w:r>
          <w:rPr>
            <w:color w:val="1155CC"/>
            <w:sz w:val="20"/>
            <w:szCs w:val="20"/>
            <w:u w:val="single"/>
          </w:rPr>
          <w:t>https://www.nber.org/digest/nov17/how-much-wealth-stashed-tax-havens</w:t>
        </w:r>
      </w:hyperlink>
    </w:p>
  </w:footnote>
  <w:footnote w:id="10">
    <w:p w14:paraId="00000055" w14:textId="77777777" w:rsidR="000D2D3A" w:rsidRDefault="00DB4C93">
      <w:pPr>
        <w:spacing w:line="240" w:lineRule="auto"/>
        <w:rPr>
          <w:sz w:val="20"/>
          <w:szCs w:val="20"/>
        </w:rPr>
      </w:pPr>
      <w:r>
        <w:rPr>
          <w:vertAlign w:val="superscript"/>
        </w:rPr>
        <w:footnoteRef/>
      </w:r>
      <w:r>
        <w:rPr>
          <w:sz w:val="20"/>
          <w:szCs w:val="20"/>
        </w:rPr>
        <w:t xml:space="preserve"> Hall, S., Lopez, M.J., Murray, S., O’Hare, B.A.-M., Spencer, N., and Torrie, C., “Lost government revenues due to tax abuse – the impact on the determinants of health and mortality rates”, Government Revenue and Development Estimat</w:t>
      </w:r>
      <w:r>
        <w:rPr>
          <w:sz w:val="20"/>
          <w:szCs w:val="20"/>
        </w:rPr>
        <w:t xml:space="preserve">ion, University of Leicester, University of St. Andrews, 5 April 2021, available at  </w:t>
      </w:r>
      <w:hyperlink r:id="rId12">
        <w:r>
          <w:rPr>
            <w:color w:val="1155CC"/>
            <w:sz w:val="20"/>
            <w:szCs w:val="20"/>
            <w:u w:val="single"/>
          </w:rPr>
          <w:t>https://med.st-andrews.</w:t>
        </w:r>
        <w:r>
          <w:rPr>
            <w:color w:val="1155CC"/>
            <w:sz w:val="20"/>
            <w:szCs w:val="20"/>
            <w:u w:val="single"/>
          </w:rPr>
          <w:t>ac.uk/grade/wp-content/uploads/sites/13/2021/04/Lost-government-revenues-due-to-tax-abuses-5.4.2021-1.pdf</w:t>
        </w:r>
      </w:hyperlink>
    </w:p>
  </w:footnote>
  <w:footnote w:id="11">
    <w:p w14:paraId="00000050" w14:textId="77777777" w:rsidR="000D2D3A" w:rsidRDefault="00DB4C93">
      <w:pPr>
        <w:spacing w:line="240" w:lineRule="auto"/>
        <w:rPr>
          <w:sz w:val="20"/>
          <w:szCs w:val="20"/>
        </w:rPr>
      </w:pPr>
      <w:r>
        <w:rPr>
          <w:vertAlign w:val="superscript"/>
        </w:rPr>
        <w:footnoteRef/>
      </w:r>
      <w:r>
        <w:rPr>
          <w:sz w:val="20"/>
          <w:szCs w:val="20"/>
        </w:rPr>
        <w:t xml:space="preserve"> </w:t>
      </w:r>
      <w:hyperlink r:id="rId13">
        <w:r>
          <w:rPr>
            <w:color w:val="1155CC"/>
            <w:sz w:val="20"/>
            <w:szCs w:val="20"/>
            <w:u w:val="single"/>
          </w:rPr>
          <w:t>https://taxjustice.net/country-profiles/netherlands/</w:t>
        </w:r>
      </w:hyperlink>
    </w:p>
  </w:footnote>
  <w:footnote w:id="12">
    <w:p w14:paraId="00000062" w14:textId="77777777" w:rsidR="000D2D3A" w:rsidRDefault="00DB4C93">
      <w:pPr>
        <w:spacing w:line="240" w:lineRule="auto"/>
        <w:rPr>
          <w:sz w:val="20"/>
          <w:szCs w:val="20"/>
        </w:rPr>
      </w:pPr>
      <w:r>
        <w:rPr>
          <w:vertAlign w:val="superscript"/>
        </w:rPr>
        <w:footnoteRef/>
      </w:r>
      <w:r>
        <w:rPr>
          <w:sz w:val="20"/>
          <w:szCs w:val="20"/>
        </w:rPr>
        <w:t xml:space="preserve">  Compare </w:t>
      </w:r>
      <w:hyperlink r:id="rId14">
        <w:r>
          <w:rPr>
            <w:color w:val="1155CC"/>
            <w:sz w:val="20"/>
            <w:szCs w:val="20"/>
            <w:u w:val="single"/>
          </w:rPr>
          <w:t>https://t</w:t>
        </w:r>
        <w:r>
          <w:rPr>
            <w:color w:val="1155CC"/>
            <w:sz w:val="20"/>
            <w:szCs w:val="20"/>
            <w:u w:val="single"/>
          </w:rPr>
          <w:t>axjustice.net/country-profiles/netherlands/</w:t>
        </w:r>
      </w:hyperlink>
      <w:r>
        <w:rPr>
          <w:sz w:val="20"/>
          <w:szCs w:val="20"/>
        </w:rPr>
        <w:t xml:space="preserve">  to </w:t>
      </w:r>
      <w:hyperlink r:id="rId15">
        <w:r>
          <w:rPr>
            <w:color w:val="1155CC"/>
            <w:sz w:val="20"/>
            <w:szCs w:val="20"/>
            <w:u w:val="single"/>
          </w:rPr>
          <w:t>https://taxjustice.net/country-profiles/ireland/</w:t>
        </w:r>
      </w:hyperlink>
      <w:r>
        <w:rPr>
          <w:sz w:val="20"/>
          <w:szCs w:val="20"/>
        </w:rPr>
        <w:t xml:space="preserve">  (The Netherlands is ranked 4th and 8th on 2021 tax haven and financial secrecy indexes, wh</w:t>
      </w:r>
      <w:r>
        <w:rPr>
          <w:sz w:val="20"/>
          <w:szCs w:val="20"/>
        </w:rPr>
        <w:t xml:space="preserve">ile Ireland is ranked 11th and 29th respectively). </w:t>
      </w:r>
    </w:p>
  </w:footnote>
  <w:footnote w:id="13">
    <w:p w14:paraId="00000051" w14:textId="77777777" w:rsidR="000D2D3A" w:rsidRDefault="00DB4C93">
      <w:pPr>
        <w:spacing w:line="240" w:lineRule="auto"/>
        <w:rPr>
          <w:sz w:val="20"/>
          <w:szCs w:val="20"/>
        </w:rPr>
      </w:pPr>
      <w:r>
        <w:rPr>
          <w:vertAlign w:val="superscript"/>
        </w:rPr>
        <w:footnoteRef/>
      </w:r>
      <w:r>
        <w:rPr>
          <w:sz w:val="20"/>
          <w:szCs w:val="20"/>
        </w:rPr>
        <w:t xml:space="preserve"> Tax Justice Network, The G</w:t>
      </w:r>
      <w:r>
        <w:rPr>
          <w:sz w:val="20"/>
          <w:szCs w:val="20"/>
        </w:rPr>
        <w:t>local Alliance for Tax Justice &amp; Public Services International, The State of Tax Justice 2021. Available at:</w:t>
      </w:r>
      <w:hyperlink r:id="rId16">
        <w:r>
          <w:rPr>
            <w:color w:val="1155CC"/>
            <w:sz w:val="20"/>
            <w:szCs w:val="20"/>
            <w:u w:val="single"/>
          </w:rPr>
          <w:t xml:space="preserve"> https://taxjustice.net/reports/the-state-of-tax-justice-2021/</w:t>
        </w:r>
      </w:hyperlink>
      <w:hyperlink r:id="rId17">
        <w:r>
          <w:rPr>
            <w:i/>
            <w:color w:val="1155CC"/>
            <w:sz w:val="20"/>
            <w:szCs w:val="20"/>
            <w:u w:val="single"/>
          </w:rPr>
          <w:t xml:space="preserve"> </w:t>
        </w:r>
      </w:hyperlink>
    </w:p>
  </w:footnote>
  <w:footnote w:id="14">
    <w:p w14:paraId="00000052" w14:textId="77777777" w:rsidR="000D2D3A" w:rsidRDefault="00DB4C93">
      <w:pPr>
        <w:spacing w:line="240" w:lineRule="auto"/>
        <w:rPr>
          <w:sz w:val="20"/>
          <w:szCs w:val="20"/>
        </w:rPr>
      </w:pPr>
      <w:r>
        <w:rPr>
          <w:vertAlign w:val="superscript"/>
        </w:rPr>
        <w:footnoteRef/>
      </w:r>
      <w:hyperlink r:id="rId18">
        <w:r>
          <w:rPr>
            <w:color w:val="1155CC"/>
            <w:sz w:val="20"/>
            <w:szCs w:val="20"/>
            <w:u w:val="single"/>
          </w:rPr>
          <w:t xml:space="preserve"> </w:t>
        </w:r>
      </w:hyperlink>
      <w:r>
        <w:rPr>
          <w:i/>
          <w:sz w:val="20"/>
          <w:szCs w:val="20"/>
        </w:rPr>
        <w:t xml:space="preserve">See </w:t>
      </w:r>
      <w:r>
        <w:rPr>
          <w:sz w:val="20"/>
          <w:szCs w:val="20"/>
        </w:rPr>
        <w:t xml:space="preserve">European Parliament Resolution of 26 March 2019 on financial crimes, tax evasion and tax avoidance, available at </w:t>
      </w:r>
      <w:hyperlink r:id="rId19">
        <w:r>
          <w:rPr>
            <w:i/>
            <w:color w:val="1155CC"/>
            <w:sz w:val="20"/>
            <w:szCs w:val="20"/>
          </w:rPr>
          <w:t xml:space="preserve"> </w:t>
        </w:r>
      </w:hyperlink>
      <w:hyperlink r:id="rId20">
        <w:r>
          <w:rPr>
            <w:color w:val="1155CC"/>
            <w:sz w:val="20"/>
            <w:szCs w:val="20"/>
            <w:u w:val="single"/>
          </w:rPr>
          <w:t>https://www.europarl.europa.eu/doceo/document/TA-8-2019-0240_EN.html</w:t>
        </w:r>
      </w:hyperlink>
    </w:p>
  </w:footnote>
  <w:footnote w:id="15">
    <w:p w14:paraId="00000053" w14:textId="77777777" w:rsidR="000D2D3A" w:rsidRDefault="00DB4C93">
      <w:pPr>
        <w:spacing w:line="240" w:lineRule="auto"/>
        <w:rPr>
          <w:sz w:val="20"/>
          <w:szCs w:val="20"/>
        </w:rPr>
      </w:pPr>
      <w:r>
        <w:rPr>
          <w:vertAlign w:val="superscript"/>
        </w:rPr>
        <w:footnoteRef/>
      </w:r>
      <w:r>
        <w:rPr>
          <w:sz w:val="20"/>
          <w:szCs w:val="20"/>
        </w:rPr>
        <w:t xml:space="preserve"> </w:t>
      </w:r>
      <w:r>
        <w:rPr>
          <w:i/>
          <w:sz w:val="20"/>
          <w:szCs w:val="20"/>
        </w:rPr>
        <w:t xml:space="preserve">See generally </w:t>
      </w:r>
      <w:r>
        <w:rPr>
          <w:sz w:val="20"/>
          <w:szCs w:val="20"/>
        </w:rPr>
        <w:t xml:space="preserve">Gabriel Zucman, </w:t>
      </w:r>
      <w:r>
        <w:rPr>
          <w:sz w:val="20"/>
          <w:szCs w:val="20"/>
          <w:u w:val="single"/>
        </w:rPr>
        <w:t>The Hidden Wealth of Nations: The Scourge of Tax Havens</w:t>
      </w:r>
      <w:r>
        <w:rPr>
          <w:sz w:val="20"/>
          <w:szCs w:val="20"/>
        </w:rPr>
        <w:t xml:space="preserve">, University of Chicago Press, 2015.; </w:t>
      </w:r>
      <w:r>
        <w:rPr>
          <w:i/>
          <w:sz w:val="20"/>
          <w:szCs w:val="20"/>
        </w:rPr>
        <w:t xml:space="preserve">see also </w:t>
      </w:r>
      <w:r>
        <w:rPr>
          <w:sz w:val="20"/>
          <w:szCs w:val="20"/>
        </w:rPr>
        <w:t xml:space="preserve">Petr Janksy, Marek </w:t>
      </w:r>
      <w:r>
        <w:rPr>
          <w:sz w:val="20"/>
          <w:szCs w:val="20"/>
        </w:rPr>
        <w:t xml:space="preserve">Sedivy, “Estimating the revenue costs of tax treaties in developing countries,” </w:t>
      </w:r>
      <w:r>
        <w:rPr>
          <w:i/>
          <w:sz w:val="20"/>
          <w:szCs w:val="20"/>
        </w:rPr>
        <w:t xml:space="preserve">The World Economy, </w:t>
      </w:r>
      <w:r>
        <w:rPr>
          <w:sz w:val="20"/>
          <w:szCs w:val="20"/>
        </w:rPr>
        <w:t xml:space="preserve">December 7, 2018, available at </w:t>
      </w:r>
      <w:hyperlink r:id="rId21">
        <w:r>
          <w:rPr>
            <w:color w:val="1155CC"/>
            <w:sz w:val="20"/>
            <w:szCs w:val="20"/>
            <w:u w:val="single"/>
          </w:rPr>
          <w:t>https://onlinelibrary.wiley.com/doi/abs/10.1111/</w:t>
        </w:r>
        <w:r>
          <w:rPr>
            <w:color w:val="1155CC"/>
            <w:sz w:val="20"/>
            <w:szCs w:val="20"/>
            <w:u w:val="single"/>
          </w:rPr>
          <w:t>twec.12764</w:t>
        </w:r>
      </w:hyperlink>
      <w:r>
        <w:rPr>
          <w:sz w:val="20"/>
          <w:szCs w:val="20"/>
        </w:rPr>
        <w:t xml:space="preserve"> (noting that the Netherlands is one of four countries responsible for more than half of tax revenue losses). </w:t>
      </w:r>
    </w:p>
  </w:footnote>
  <w:footnote w:id="16">
    <w:p w14:paraId="00000054" w14:textId="77777777" w:rsidR="000D2D3A" w:rsidRDefault="00DB4C93">
      <w:pPr>
        <w:spacing w:line="240" w:lineRule="auto"/>
        <w:rPr>
          <w:sz w:val="20"/>
          <w:szCs w:val="20"/>
        </w:rPr>
      </w:pPr>
      <w:r>
        <w:rPr>
          <w:vertAlign w:val="superscript"/>
        </w:rPr>
        <w:footnoteRef/>
      </w:r>
      <w:r>
        <w:rPr>
          <w:sz w:val="20"/>
          <w:szCs w:val="20"/>
        </w:rPr>
        <w:t xml:space="preserve"> Tax Justice Network, “Tax Justice &amp; Human Rights: The 4 Rs and the realisation of human rights,” p. 35, July 2021, available at </w:t>
      </w:r>
      <w:hyperlink r:id="rId22">
        <w:r>
          <w:rPr>
            <w:color w:val="1155CC"/>
            <w:sz w:val="20"/>
            <w:szCs w:val="20"/>
            <w:u w:val="single"/>
          </w:rPr>
          <w:t>https://taxjustice.net/wp-content/uploads/2021/07/Tax-Justice-Human-Rights_Report_July_2021.pdf</w:t>
        </w:r>
      </w:hyperlink>
      <w:r>
        <w:rPr>
          <w:sz w:val="20"/>
          <w:szCs w:val="20"/>
        </w:rPr>
        <w:t>; Oxfam, “EU Tax Haven Blacklist Review” February 1</w:t>
      </w:r>
      <w:r>
        <w:rPr>
          <w:sz w:val="20"/>
          <w:szCs w:val="20"/>
        </w:rPr>
        <w:t xml:space="preserve">5, 2021, pp. 1, 3, 6, 13, </w:t>
      </w:r>
      <w:hyperlink r:id="rId23">
        <w:r>
          <w:rPr>
            <w:color w:val="1155CC"/>
            <w:sz w:val="20"/>
            <w:szCs w:val="20"/>
            <w:u w:val="single"/>
          </w:rPr>
          <w:t>https://www.oxfamnovib.nl/Files/rapporten/2021/20210215%20Oxfam%20Media%20briefing%20-%20tax%20</w:t>
        </w:r>
        <w:r>
          <w:rPr>
            <w:color w:val="1155CC"/>
            <w:sz w:val="20"/>
            <w:szCs w:val="20"/>
            <w:u w:val="single"/>
          </w:rPr>
          <w:t>havens%20review_.pdf</w:t>
        </w:r>
      </w:hyperlink>
      <w:r>
        <w:rPr>
          <w:sz w:val="20"/>
          <w:szCs w:val="20"/>
        </w:rPr>
        <w:t xml:space="preserve">; </w:t>
      </w:r>
    </w:p>
  </w:footnote>
  <w:footnote w:id="17">
    <w:p w14:paraId="0000004A" w14:textId="77777777" w:rsidR="000D2D3A" w:rsidRDefault="00DB4C93">
      <w:pPr>
        <w:spacing w:line="240" w:lineRule="auto"/>
        <w:rPr>
          <w:i/>
          <w:sz w:val="20"/>
          <w:szCs w:val="20"/>
        </w:rPr>
      </w:pPr>
      <w:r>
        <w:rPr>
          <w:vertAlign w:val="superscript"/>
        </w:rPr>
        <w:footnoteRef/>
      </w:r>
      <w:r>
        <w:rPr>
          <w:sz w:val="20"/>
          <w:szCs w:val="20"/>
        </w:rPr>
        <w:t xml:space="preserve"> See</w:t>
      </w:r>
      <w:r>
        <w:rPr>
          <w:i/>
          <w:sz w:val="20"/>
          <w:szCs w:val="20"/>
        </w:rPr>
        <w:t xml:space="preserve"> </w:t>
      </w:r>
      <w:r>
        <w:rPr>
          <w:sz w:val="20"/>
          <w:szCs w:val="20"/>
        </w:rPr>
        <w:t xml:space="preserve">Nicholas Shaxson, ‘Tackling Tax Havens,’ International Monetary Fund, Finance &amp; Development, September 2019, Vol. 56, No. 3, available at </w:t>
      </w:r>
      <w:hyperlink r:id="rId24">
        <w:r>
          <w:rPr>
            <w:color w:val="1155CC"/>
            <w:sz w:val="20"/>
            <w:szCs w:val="20"/>
            <w:u w:val="single"/>
          </w:rPr>
          <w:t>https://www.imf.org/external/pubs/ft/fandd/2019/09/tackling-global-tax-havens-shaxon.htm</w:t>
        </w:r>
      </w:hyperlink>
      <w:r>
        <w:rPr>
          <w:sz w:val="20"/>
          <w:szCs w:val="20"/>
        </w:rPr>
        <w:t xml:space="preserve">, </w:t>
      </w:r>
      <w:r>
        <w:rPr>
          <w:i/>
          <w:sz w:val="20"/>
          <w:szCs w:val="20"/>
        </w:rPr>
        <w:t xml:space="preserve">see also </w:t>
      </w:r>
      <w:r>
        <w:rPr>
          <w:sz w:val="20"/>
          <w:szCs w:val="20"/>
        </w:rPr>
        <w:t xml:space="preserve">Alex Cobham, Petr Jansky, “Global distribution of revenue loss from corporate tax avoidance: re-estimation and country results,” </w:t>
      </w:r>
      <w:r>
        <w:rPr>
          <w:i/>
          <w:sz w:val="20"/>
          <w:szCs w:val="20"/>
        </w:rPr>
        <w:t xml:space="preserve">Journal of International Development, </w:t>
      </w:r>
      <w:r>
        <w:rPr>
          <w:sz w:val="20"/>
          <w:szCs w:val="20"/>
        </w:rPr>
        <w:t xml:space="preserve">(March 13, 2018), available at </w:t>
      </w:r>
      <w:hyperlink r:id="rId25">
        <w:r>
          <w:rPr>
            <w:i/>
            <w:color w:val="1155CC"/>
            <w:sz w:val="20"/>
            <w:szCs w:val="20"/>
            <w:u w:val="single"/>
          </w:rPr>
          <w:t>https://onlinelibrary.wiley.com/doi/full/10.1002/jid.3348</w:t>
        </w:r>
      </w:hyperlink>
      <w:r>
        <w:rPr>
          <w:i/>
          <w:sz w:val="20"/>
          <w:szCs w:val="20"/>
        </w:rPr>
        <w:t xml:space="preserve"> </w:t>
      </w:r>
    </w:p>
  </w:footnote>
  <w:footnote w:id="18">
    <w:p w14:paraId="0000004B" w14:textId="77777777" w:rsidR="000D2D3A" w:rsidRDefault="00DB4C93">
      <w:pPr>
        <w:spacing w:line="240" w:lineRule="auto"/>
        <w:rPr>
          <w:sz w:val="20"/>
          <w:szCs w:val="20"/>
        </w:rPr>
      </w:pPr>
      <w:r>
        <w:rPr>
          <w:vertAlign w:val="superscript"/>
        </w:rPr>
        <w:footnoteRef/>
      </w:r>
      <w:r>
        <w:rPr>
          <w:i/>
          <w:sz w:val="20"/>
          <w:szCs w:val="20"/>
        </w:rPr>
        <w:t xml:space="preserve">See generally </w:t>
      </w:r>
      <w:r>
        <w:rPr>
          <w:sz w:val="20"/>
          <w:szCs w:val="20"/>
        </w:rPr>
        <w:t xml:space="preserve">Gabriel Zucman, </w:t>
      </w:r>
      <w:r>
        <w:rPr>
          <w:sz w:val="20"/>
          <w:szCs w:val="20"/>
          <w:u w:val="single"/>
        </w:rPr>
        <w:t>The Hidden Wealth of Nations: The Scourge of Tax Havens</w:t>
      </w:r>
      <w:r>
        <w:rPr>
          <w:sz w:val="20"/>
          <w:szCs w:val="20"/>
        </w:rPr>
        <w:t>, University of Chicago Press, 2015 (30 percent figure mentioned in this London School of Ec</w:t>
      </w:r>
      <w:r>
        <w:rPr>
          <w:sz w:val="20"/>
          <w:szCs w:val="20"/>
        </w:rPr>
        <w:t xml:space="preserve">onomics book review: </w:t>
      </w:r>
      <w:hyperlink r:id="rId26">
        <w:r>
          <w:rPr>
            <w:color w:val="1155CC"/>
            <w:sz w:val="20"/>
            <w:szCs w:val="20"/>
            <w:u w:val="single"/>
          </w:rPr>
          <w:t>https://blogs.lse.ac.uk/lsereviewofbooks/2016/11/08/book-review-the-hidden-weal</w:t>
        </w:r>
        <w:r>
          <w:rPr>
            <w:color w:val="1155CC"/>
            <w:sz w:val="20"/>
            <w:szCs w:val="20"/>
            <w:u w:val="single"/>
          </w:rPr>
          <w:t>th-of-nations-the-scourge-of-tax-havens-by-gabriel-zucman</w:t>
        </w:r>
      </w:hyperlink>
      <w:r>
        <w:rPr>
          <w:sz w:val="20"/>
          <w:szCs w:val="20"/>
        </w:rPr>
        <w:t xml:space="preserve">/) . </w:t>
      </w:r>
    </w:p>
  </w:footnote>
  <w:footnote w:id="19">
    <w:p w14:paraId="00000057" w14:textId="77777777" w:rsidR="000D2D3A" w:rsidRDefault="00DB4C93">
      <w:pPr>
        <w:spacing w:line="240" w:lineRule="auto"/>
        <w:rPr>
          <w:sz w:val="20"/>
          <w:szCs w:val="20"/>
        </w:rPr>
      </w:pPr>
      <w:r>
        <w:rPr>
          <w:vertAlign w:val="superscript"/>
        </w:rPr>
        <w:footnoteRef/>
      </w:r>
      <w:r>
        <w:rPr>
          <w:sz w:val="20"/>
          <w:szCs w:val="20"/>
        </w:rPr>
        <w:t xml:space="preserve"> Hall, S., Lopez, M.J., Murray, S., O’Hare, B.A.-M., Spencer, N., and Torrie, C., “Lost government revenues due to tax abuse – the impact on the dete</w:t>
      </w:r>
      <w:r>
        <w:rPr>
          <w:sz w:val="20"/>
          <w:szCs w:val="20"/>
        </w:rPr>
        <w:t xml:space="preserve">rminants of health and mortality rates”, Government Revenue and Development Estimation, University of Leicester, University of St. Andrews, April 5, 2021, available at  </w:t>
      </w:r>
      <w:hyperlink r:id="rId27">
        <w:r>
          <w:rPr>
            <w:color w:val="1155CC"/>
            <w:sz w:val="20"/>
            <w:szCs w:val="20"/>
            <w:u w:val="single"/>
          </w:rPr>
          <w:t>https://med.st-andrews.ac.uk/grade/wp-content/uploads/sites/13/2021/04/Lost-government-revenues-due-to-tax-abuses-5.4.2021-1.pdf</w:t>
        </w:r>
      </w:hyperlink>
    </w:p>
  </w:footnote>
  <w:footnote w:id="20">
    <w:p w14:paraId="00000058" w14:textId="77777777" w:rsidR="000D2D3A" w:rsidRDefault="00DB4C93">
      <w:pPr>
        <w:spacing w:line="240" w:lineRule="auto"/>
        <w:rPr>
          <w:sz w:val="20"/>
          <w:szCs w:val="20"/>
        </w:rPr>
      </w:pPr>
      <w:r>
        <w:rPr>
          <w:vertAlign w:val="superscript"/>
        </w:rPr>
        <w:footnoteRef/>
      </w:r>
      <w:r>
        <w:rPr>
          <w:sz w:val="20"/>
          <w:szCs w:val="20"/>
        </w:rPr>
        <w:t xml:space="preserve"> Cited in Shane Darcy, “The Elephant in the Room: Corporate Tax A</w:t>
      </w:r>
      <w:r>
        <w:rPr>
          <w:sz w:val="20"/>
          <w:szCs w:val="20"/>
        </w:rPr>
        <w:t xml:space="preserve">voidance &amp; Business and Human Rights,” </w:t>
      </w:r>
      <w:r>
        <w:rPr>
          <w:i/>
          <w:sz w:val="20"/>
          <w:szCs w:val="20"/>
        </w:rPr>
        <w:t>Business and Human Rights Journal</w:t>
      </w:r>
      <w:r>
        <w:rPr>
          <w:sz w:val="20"/>
          <w:szCs w:val="20"/>
        </w:rPr>
        <w:t xml:space="preserve">, 2 (2017), pp. 1-30m available at </w:t>
      </w:r>
      <w:hyperlink r:id="rId28">
        <w:r>
          <w:rPr>
            <w:color w:val="1155CC"/>
            <w:sz w:val="20"/>
            <w:szCs w:val="20"/>
            <w:u w:val="single"/>
          </w:rPr>
          <w:t>https://papers.ssrn.com/sol3/papers.cfm?abstract_id=2797219</w:t>
        </w:r>
      </w:hyperlink>
    </w:p>
  </w:footnote>
  <w:footnote w:id="21">
    <w:p w14:paraId="0000005A" w14:textId="77777777" w:rsidR="000D2D3A" w:rsidRDefault="00DB4C93">
      <w:pPr>
        <w:spacing w:line="240" w:lineRule="auto"/>
        <w:rPr>
          <w:i/>
          <w:sz w:val="20"/>
          <w:szCs w:val="20"/>
        </w:rPr>
      </w:pPr>
      <w:r>
        <w:rPr>
          <w:vertAlign w:val="superscript"/>
        </w:rPr>
        <w:footnoteRef/>
      </w:r>
      <w:r>
        <w:rPr>
          <w:sz w:val="20"/>
          <w:szCs w:val="20"/>
        </w:rPr>
        <w:t xml:space="preserve"> </w:t>
      </w:r>
      <w:r>
        <w:rPr>
          <w:i/>
          <w:sz w:val="20"/>
          <w:szCs w:val="20"/>
        </w:rPr>
        <w:t xml:space="preserve">See </w:t>
      </w:r>
      <w:r>
        <w:rPr>
          <w:sz w:val="20"/>
          <w:szCs w:val="20"/>
        </w:rPr>
        <w:t>Tax Justice Network, “Tax Justice &amp; Human</w:t>
      </w:r>
      <w:r>
        <w:rPr>
          <w:sz w:val="20"/>
          <w:szCs w:val="20"/>
        </w:rPr>
        <w:t xml:space="preserve"> Rights: The 4 Rs and the realisation of human rights,” p. 35, July 2021, pp. 24-25, available at </w:t>
      </w:r>
      <w:hyperlink r:id="rId29">
        <w:r>
          <w:rPr>
            <w:color w:val="1155CC"/>
            <w:sz w:val="20"/>
            <w:szCs w:val="20"/>
            <w:u w:val="single"/>
          </w:rPr>
          <w:t>https://taxjustice.net/wp-content/uploads/2</w:t>
        </w:r>
        <w:r>
          <w:rPr>
            <w:color w:val="1155CC"/>
            <w:sz w:val="20"/>
            <w:szCs w:val="20"/>
            <w:u w:val="single"/>
          </w:rPr>
          <w:t>021/07/Tax-Justice-Human-Rights_Report_July_2021.pdf</w:t>
        </w:r>
      </w:hyperlink>
      <w:r>
        <w:rPr>
          <w:sz w:val="20"/>
          <w:szCs w:val="20"/>
        </w:rPr>
        <w:t xml:space="preserve">; </w:t>
      </w:r>
    </w:p>
  </w:footnote>
  <w:footnote w:id="22">
    <w:p w14:paraId="00000059" w14:textId="77777777" w:rsidR="000D2D3A" w:rsidRDefault="00DB4C93">
      <w:pPr>
        <w:spacing w:line="240" w:lineRule="auto"/>
        <w:rPr>
          <w:sz w:val="20"/>
          <w:szCs w:val="20"/>
        </w:rPr>
      </w:pPr>
      <w:r>
        <w:rPr>
          <w:vertAlign w:val="superscript"/>
        </w:rPr>
        <w:footnoteRef/>
      </w:r>
      <w:r>
        <w:rPr>
          <w:sz w:val="20"/>
          <w:szCs w:val="20"/>
        </w:rPr>
        <w:t xml:space="preserve"> </w:t>
      </w:r>
      <w:r>
        <w:rPr>
          <w:i/>
          <w:sz w:val="20"/>
          <w:szCs w:val="20"/>
        </w:rPr>
        <w:t>See gene</w:t>
      </w:r>
      <w:r>
        <w:rPr>
          <w:i/>
          <w:sz w:val="20"/>
          <w:szCs w:val="20"/>
        </w:rPr>
        <w:t xml:space="preserve">rally </w:t>
      </w:r>
      <w:r>
        <w:rPr>
          <w:sz w:val="20"/>
          <w:szCs w:val="20"/>
        </w:rPr>
        <w:t xml:space="preserve">Philip Alston and Nikki Reisch, Eds., </w:t>
      </w:r>
      <w:r>
        <w:rPr>
          <w:sz w:val="20"/>
          <w:szCs w:val="20"/>
          <w:u w:val="single"/>
        </w:rPr>
        <w:t>Tax, Inequality and Human Rights</w:t>
      </w:r>
      <w:r>
        <w:rPr>
          <w:sz w:val="20"/>
          <w:szCs w:val="20"/>
        </w:rPr>
        <w:t xml:space="preserve">, Oxford University Press, 2019: </w:t>
      </w:r>
      <w:r>
        <w:rPr>
          <w:i/>
          <w:sz w:val="20"/>
          <w:szCs w:val="20"/>
        </w:rPr>
        <w:t xml:space="preserve">see also </w:t>
      </w:r>
      <w:r>
        <w:rPr>
          <w:sz w:val="20"/>
          <w:szCs w:val="20"/>
        </w:rPr>
        <w:t xml:space="preserve">Tax Justice Network, “Tax Justice &amp; Human Rights: The 4 Rs and the realisation of human rights,” pp. 8-9, July 2021, available at </w:t>
      </w:r>
      <w:hyperlink r:id="rId30">
        <w:r>
          <w:rPr>
            <w:color w:val="1155CC"/>
            <w:sz w:val="20"/>
            <w:szCs w:val="20"/>
            <w:u w:val="single"/>
          </w:rPr>
          <w:t>https://taxjustice.net/wp-content/uploads/2021/07/Tax-Justice-Human-Rights_Report_July_2021.pdf</w:t>
        </w:r>
      </w:hyperlink>
    </w:p>
  </w:footnote>
  <w:footnote w:id="23">
    <w:p w14:paraId="0000005B" w14:textId="77777777" w:rsidR="000D2D3A" w:rsidRDefault="00DB4C93">
      <w:pPr>
        <w:spacing w:line="240" w:lineRule="auto"/>
        <w:rPr>
          <w:sz w:val="20"/>
          <w:szCs w:val="20"/>
        </w:rPr>
      </w:pPr>
      <w:r>
        <w:rPr>
          <w:vertAlign w:val="superscript"/>
        </w:rPr>
        <w:footnoteRef/>
      </w:r>
      <w:r>
        <w:rPr>
          <w:sz w:val="20"/>
          <w:szCs w:val="20"/>
        </w:rPr>
        <w:t xml:space="preserve"> Cf. ActionAid Ireland, Christian Aid Ireland, Global Legal Action Network, Integrated Social Development Centre (Ghana), Mary Cosgrove, Cairnes School of Business &amp; Economics, National University of </w:t>
      </w:r>
      <w:r>
        <w:rPr>
          <w:sz w:val="20"/>
          <w:szCs w:val="20"/>
        </w:rPr>
        <w:t>Ireland, Galaway, Oxfam Ireland, TaxJustice Coalition Ghana, Tax Justice Network, “Ireland’s Responsibility for the Impacts of Cross-border Tax Abuse on the Realisation of Children’s Economic, Social and Cultural Rights,” Submission to the Committee on the</w:t>
      </w:r>
      <w:r>
        <w:rPr>
          <w:sz w:val="20"/>
          <w:szCs w:val="20"/>
        </w:rPr>
        <w:t xml:space="preserve"> Rights of the Child, July 1, 2020. </w:t>
      </w:r>
    </w:p>
  </w:footnote>
  <w:footnote w:id="24">
    <w:p w14:paraId="00000049" w14:textId="77777777" w:rsidR="000D2D3A" w:rsidRDefault="00DB4C93">
      <w:pPr>
        <w:spacing w:line="240" w:lineRule="auto"/>
        <w:rPr>
          <w:sz w:val="20"/>
          <w:szCs w:val="20"/>
        </w:rPr>
      </w:pPr>
      <w:r>
        <w:rPr>
          <w:vertAlign w:val="superscript"/>
        </w:rPr>
        <w:footnoteRef/>
      </w:r>
      <w:hyperlink r:id="rId31">
        <w:r>
          <w:rPr>
            <w:color w:val="1155CC"/>
            <w:sz w:val="20"/>
            <w:szCs w:val="20"/>
            <w:u w:val="single"/>
          </w:rPr>
          <w:t>https://resourcecentre.savethechildren.net/document/uncrc-general-comment-no-19-2016-public-budgeting</w:t>
        </w:r>
        <w:r>
          <w:rPr>
            <w:color w:val="1155CC"/>
            <w:sz w:val="20"/>
            <w:szCs w:val="20"/>
            <w:u w:val="single"/>
          </w:rPr>
          <w:t>-realization-childrens-rights-art-4/</w:t>
        </w:r>
      </w:hyperlink>
      <w:r>
        <w:rPr>
          <w:sz w:val="20"/>
          <w:szCs w:val="20"/>
        </w:rPr>
        <w:t xml:space="preserve"> at 18.</w:t>
      </w:r>
    </w:p>
  </w:footnote>
  <w:footnote w:id="25">
    <w:p w14:paraId="0000005C" w14:textId="77777777" w:rsidR="000D2D3A" w:rsidRDefault="00DB4C93">
      <w:pPr>
        <w:spacing w:line="240" w:lineRule="auto"/>
        <w:rPr>
          <w:sz w:val="20"/>
          <w:szCs w:val="20"/>
        </w:rPr>
      </w:pPr>
      <w:r>
        <w:rPr>
          <w:vertAlign w:val="superscript"/>
        </w:rPr>
        <w:footnoteRef/>
      </w:r>
      <w:hyperlink r:id="rId32">
        <w:r>
          <w:rPr>
            <w:color w:val="1155CC"/>
            <w:sz w:val="20"/>
            <w:szCs w:val="20"/>
            <w:u w:val="single"/>
          </w:rPr>
          <w:t>https://tbinternet.ohchr.org/_layouts/15/treatybodyexternal/Download.aspx?symbolno</w:t>
        </w:r>
        <w:r>
          <w:rPr>
            <w:color w:val="1155CC"/>
            <w:sz w:val="20"/>
            <w:szCs w:val="20"/>
            <w:u w:val="single"/>
          </w:rPr>
          <w:t>=CRC%2fC%2fIRL%2fQPR%2f5-6&amp;Lang=en</w:t>
        </w:r>
      </w:hyperlink>
    </w:p>
  </w:footnote>
  <w:footnote w:id="26">
    <w:p w14:paraId="0000005E" w14:textId="77777777" w:rsidR="000D2D3A" w:rsidRDefault="00DB4C93">
      <w:pPr>
        <w:spacing w:line="240" w:lineRule="auto"/>
        <w:rPr>
          <w:sz w:val="20"/>
          <w:szCs w:val="20"/>
        </w:rPr>
      </w:pPr>
      <w:r>
        <w:rPr>
          <w:vertAlign w:val="superscript"/>
        </w:rPr>
        <w:footnoteRef/>
      </w:r>
      <w:r>
        <w:rPr>
          <w:sz w:val="20"/>
          <w:szCs w:val="20"/>
        </w:rPr>
        <w:t xml:space="preserve"> A/71/286, 2</w:t>
      </w:r>
      <w:r>
        <w:rPr>
          <w:sz w:val="20"/>
          <w:szCs w:val="20"/>
        </w:rPr>
        <w:t xml:space="preserve">016 Report of the Independent Expert on the promotion of a democratic and equitable international order, Alfred-Maurice de Zayas, submitted in accordance with Assembly resolution 70/149, August 4, 2016, p. 23. </w:t>
      </w:r>
    </w:p>
  </w:footnote>
  <w:footnote w:id="27">
    <w:p w14:paraId="0000005F" w14:textId="77777777" w:rsidR="000D2D3A" w:rsidRDefault="00DB4C93">
      <w:pPr>
        <w:spacing w:line="240" w:lineRule="auto"/>
        <w:rPr>
          <w:sz w:val="20"/>
          <w:szCs w:val="20"/>
        </w:rPr>
      </w:pPr>
      <w:r>
        <w:rPr>
          <w:vertAlign w:val="superscript"/>
        </w:rPr>
        <w:footnoteRef/>
      </w:r>
      <w:r>
        <w:rPr>
          <w:sz w:val="20"/>
          <w:szCs w:val="20"/>
        </w:rPr>
        <w:t xml:space="preserve"> A/HRC/26/28, 2014 Report of the Special Rap</w:t>
      </w:r>
      <w:r>
        <w:rPr>
          <w:sz w:val="20"/>
          <w:szCs w:val="20"/>
        </w:rPr>
        <w:t xml:space="preserve">porteur on extreme poverty and human rights, May 22, 2014, p. 9. </w:t>
      </w:r>
    </w:p>
  </w:footnote>
  <w:footnote w:id="28">
    <w:p w14:paraId="00000045" w14:textId="77777777" w:rsidR="000D2D3A" w:rsidRDefault="00DB4C93">
      <w:pPr>
        <w:spacing w:line="240" w:lineRule="auto"/>
        <w:rPr>
          <w:sz w:val="16"/>
          <w:szCs w:val="16"/>
        </w:rPr>
      </w:pPr>
      <w:r>
        <w:rPr>
          <w:vertAlign w:val="superscript"/>
        </w:rPr>
        <w:footnoteRef/>
      </w:r>
      <w:r>
        <w:rPr>
          <w:sz w:val="20"/>
          <w:szCs w:val="20"/>
        </w:rPr>
        <w:t xml:space="preserve"> In 2016 the Committee on the Elimination of All Discrimination against Women (CEDAW) </w:t>
      </w:r>
      <w:hyperlink r:id="rId33">
        <w:r>
          <w:rPr>
            <w:color w:val="1155CC"/>
            <w:sz w:val="20"/>
            <w:szCs w:val="20"/>
            <w:u w:val="single"/>
          </w:rPr>
          <w:t>asked Switzerland to report on the human rights effects of its tax policies</w:t>
        </w:r>
      </w:hyperlink>
      <w:r>
        <w:rPr>
          <w:sz w:val="20"/>
          <w:szCs w:val="20"/>
        </w:rPr>
        <w:t>, expressing:  “concern about . . . (c) The State party’s financial secrecy policies and rules on corporate reporting and taxat</w:t>
      </w:r>
      <w:r>
        <w:rPr>
          <w:sz w:val="20"/>
          <w:szCs w:val="20"/>
        </w:rPr>
        <w:t>ion having a potentially negative impact on the ability of other States, in particular those already short of revenue, to mobilize the maximum available resources for the fulfilment of women’s rights.” CEDAW recommended that Switzerland “[u]ndertake indepe</w:t>
      </w:r>
      <w:r>
        <w:rPr>
          <w:sz w:val="20"/>
          <w:szCs w:val="20"/>
        </w:rPr>
        <w:t>ndent, participatory and periodic impact assessments of the extraterritorial effects of its financial secrecy and corporate tax policies on women’s rights and substantive equality, ensuring that such assessments are conducted impartially, with public discl</w:t>
      </w:r>
      <w:r>
        <w:rPr>
          <w:sz w:val="20"/>
          <w:szCs w:val="20"/>
        </w:rPr>
        <w:t>osure of the methodology and findings.*</w:t>
      </w:r>
    </w:p>
  </w:footnote>
  <w:footnote w:id="29">
    <w:p w14:paraId="0000005D" w14:textId="77777777" w:rsidR="000D2D3A" w:rsidRDefault="00DB4C93">
      <w:pPr>
        <w:spacing w:line="240" w:lineRule="auto"/>
        <w:rPr>
          <w:sz w:val="20"/>
          <w:szCs w:val="20"/>
        </w:rPr>
      </w:pPr>
      <w:r>
        <w:rPr>
          <w:vertAlign w:val="superscript"/>
        </w:rPr>
        <w:footnoteRef/>
      </w:r>
      <w:r>
        <w:rPr>
          <w:sz w:val="20"/>
          <w:szCs w:val="20"/>
        </w:rPr>
        <w:t xml:space="preserve"> Alliance Sud, Center for Economic and Social Rights, Global Justice Clinic, NYU University School of Law, Public Eye, Tax Justice Network, ‘Swiss Responsibility for the Extraterritorial Impacts of Tax Abuse on Women’s R</w:t>
      </w:r>
      <w:r>
        <w:rPr>
          <w:sz w:val="20"/>
          <w:szCs w:val="20"/>
        </w:rPr>
        <w:t xml:space="preserve">ights,’ 2 November 2016, available at </w:t>
      </w:r>
      <w:hyperlink r:id="rId34">
        <w:r>
          <w:rPr>
            <w:color w:val="1155CC"/>
            <w:sz w:val="20"/>
            <w:szCs w:val="20"/>
            <w:u w:val="single"/>
          </w:rPr>
          <w:t>https://www.cesr.org/sites/default/files/downloads/switzerland_cedaw_submission_2nov2016.pdf</w:t>
        </w:r>
      </w:hyperlink>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D3A"/>
    <w:rsid w:val="000D2D3A"/>
    <w:rsid w:val="001D3672"/>
    <w:rsid w:val="00DB4C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9D32CDF-71A2-4C72-BC7F-C4A0893F4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binternet.ohchr.org/_layouts/15/treatybodyexternal/Download.aspx?symbolno=CRC%2fC%2fIRL%2fQPR%2f5-6&amp;Lang=en" TargetMode="Externa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swissinfo.ch/eng/tax-avoidance-is-a-children-s-rights-issue/47080018" TargetMode="External"/><Relationship Id="rId13" Type="http://schemas.openxmlformats.org/officeDocument/2006/relationships/hyperlink" Target="https://taxjustice.net/country-profiles/netherlands/" TargetMode="External"/><Relationship Id="rId18" Type="http://schemas.openxmlformats.org/officeDocument/2006/relationships/hyperlink" Target="https://www.europarl.europa.eu/doceo/document/TA-8-2019-0240_EN.html" TargetMode="External"/><Relationship Id="rId26" Type="http://schemas.openxmlformats.org/officeDocument/2006/relationships/hyperlink" Target="https://blogs.lse.ac.uk/lsereviewofbooks/2016/11/08/book-review-the-hidden-wealth-of-nations-the-scourge-of-tax-havens-by-gabriel-zucman" TargetMode="External"/><Relationship Id="rId3" Type="http://schemas.openxmlformats.org/officeDocument/2006/relationships/hyperlink" Target="https://taxjustice.net/country-profiles/ireland/" TargetMode="External"/><Relationship Id="rId21" Type="http://schemas.openxmlformats.org/officeDocument/2006/relationships/hyperlink" Target="https://onlinelibrary.wiley.com/doi/abs/10.1111/twec.12764" TargetMode="External"/><Relationship Id="rId34" Type="http://schemas.openxmlformats.org/officeDocument/2006/relationships/hyperlink" Target="https://www.cesr.org/sites/default/files/downloads/switzerland_cedaw_submission_2nov2016.pdf" TargetMode="External"/><Relationship Id="rId7" Type="http://schemas.openxmlformats.org/officeDocument/2006/relationships/hyperlink" Target="https://www.government.nl/documents/reports/2013/11/14/iob-study-evaluation-issues-in-financing-for-development-analysing-effects-of-dutch-corporate-tax-policy-on-developing-countries" TargetMode="External"/><Relationship Id="rId12" Type="http://schemas.openxmlformats.org/officeDocument/2006/relationships/hyperlink" Target="https://med.st-andrews.ac.uk/grade/wp-content/uploads/sites/13/2021/04/Lost-government-revenues-due-to-tax-abuses-5.4.2021-1.pdf" TargetMode="External"/><Relationship Id="rId17" Type="http://schemas.openxmlformats.org/officeDocument/2006/relationships/hyperlink" Target="https://taxjustice.net/reports/the-state-of-tax-justice-2021/" TargetMode="External"/><Relationship Id="rId25" Type="http://schemas.openxmlformats.org/officeDocument/2006/relationships/hyperlink" Target="https://onlinelibrary.wiley.com/doi/full/10.1002/jid.3348" TargetMode="External"/><Relationship Id="rId33" Type="http://schemas.openxmlformats.org/officeDocument/2006/relationships/hyperlink" Target="https://documents-dds-ny.un.org/doc/UNDOC/GEN/N16/402/99/PDF/N1640299.pdf?OpenElement" TargetMode="External"/><Relationship Id="rId2" Type="http://schemas.openxmlformats.org/officeDocument/2006/relationships/hyperlink" Target="https://taxjustice.net/country-profiles/netherlands/" TargetMode="External"/><Relationship Id="rId16" Type="http://schemas.openxmlformats.org/officeDocument/2006/relationships/hyperlink" Target="https://taxjustice.net/reports/the-state-of-tax-justice-2021/" TargetMode="External"/><Relationship Id="rId20" Type="http://schemas.openxmlformats.org/officeDocument/2006/relationships/hyperlink" Target="https://www.europarl.europa.eu/doceo/document/TA-8-2019-0240_EN.html" TargetMode="External"/><Relationship Id="rId29" Type="http://schemas.openxmlformats.org/officeDocument/2006/relationships/hyperlink" Target="https://taxjustice.net/wp-content/uploads/2021/07/Tax-Justice-Human-Rights_Report_July_2021.pdf" TargetMode="External"/><Relationship Id="rId1" Type="http://schemas.openxmlformats.org/officeDocument/2006/relationships/hyperlink" Target="https://tbinternet.ohchr.org/_layouts/15/treatybodyexternal/Download.aspx?symbolno=CRC%2fC%2fIRL%2fQPR%2f5-6&amp;Lang=en" TargetMode="External"/><Relationship Id="rId6" Type="http://schemas.openxmlformats.org/officeDocument/2006/relationships/hyperlink" Target="https://taxjustice.net/2021/11/25/power-concedes-nothing-without-a-demand-the-oecd-the-g77-and-a-un-framework-convention-on-tax-proposal/" TargetMode="External"/><Relationship Id="rId11" Type="http://schemas.openxmlformats.org/officeDocument/2006/relationships/hyperlink" Target="https://www.nber.org/digest/nov17/how-much-wealth-stashed-tax-havens" TargetMode="External"/><Relationship Id="rId24" Type="http://schemas.openxmlformats.org/officeDocument/2006/relationships/hyperlink" Target="https://www.imf.org/external/pubs/ft/fandd/2019/09/tackling-global-tax-havens-shaxon.htm" TargetMode="External"/><Relationship Id="rId32" Type="http://schemas.openxmlformats.org/officeDocument/2006/relationships/hyperlink" Target="https://tbinternet.ohchr.org/_layouts/15/treatybodyexternal/Download.aspx?symbolno=CRC%2fC%2fIRL%2fQPR%2f5-6&amp;Lang=en" TargetMode="External"/><Relationship Id="rId5" Type="http://schemas.openxmlformats.org/officeDocument/2006/relationships/hyperlink" Target="https://taxjustice.net/press/oecd-tax-deal-fails-to-deliver/" TargetMode="External"/><Relationship Id="rId15" Type="http://schemas.openxmlformats.org/officeDocument/2006/relationships/hyperlink" Target="https://taxjustice.net/country-profiles/ireland/" TargetMode="External"/><Relationship Id="rId23" Type="http://schemas.openxmlformats.org/officeDocument/2006/relationships/hyperlink" Target="https://www.oxfamnovib.nl/Files/rapporten/2021/20210215%20Oxfam%20Media%20briefing%20-%20tax%20havens%20review_.pdf" TargetMode="External"/><Relationship Id="rId28" Type="http://schemas.openxmlformats.org/officeDocument/2006/relationships/hyperlink" Target="https://papers.ssrn.com/sol3/papers.cfm?abstract_id=2797219" TargetMode="External"/><Relationship Id="rId10" Type="http://schemas.openxmlformats.org/officeDocument/2006/relationships/hyperlink" Target="https://resourcecentre.savethechildren.net/document/tax-child-rights-guide/" TargetMode="External"/><Relationship Id="rId19" Type="http://schemas.openxmlformats.org/officeDocument/2006/relationships/hyperlink" Target="https://www.europarl.europa.eu/doceo/document/TA-8-2019-0240_EN.html" TargetMode="External"/><Relationship Id="rId31" Type="http://schemas.openxmlformats.org/officeDocument/2006/relationships/hyperlink" Target="https://resourcecentre.savethechildren.net/document/uncrc-general-comment-no-19-2016-public-budgeting-realization-childrens-rights-art-4/" TargetMode="External"/><Relationship Id="rId4" Type="http://schemas.openxmlformats.org/officeDocument/2006/relationships/hyperlink" Target="https://www.dutchnews.nl/news/2021/10/almost-1000-dutch-nationals-are-named-in-the-pandora-papers/" TargetMode="External"/><Relationship Id="rId9" Type="http://schemas.openxmlformats.org/officeDocument/2006/relationships/hyperlink" Target="https://www.euronews.com/2021/11/20/how-irish-swiss-and-dutch-tax-policy-harms-children-abroad-view" TargetMode="External"/><Relationship Id="rId14" Type="http://schemas.openxmlformats.org/officeDocument/2006/relationships/hyperlink" Target="https://taxjustice.net/country-profiles/netherlands/" TargetMode="External"/><Relationship Id="rId22" Type="http://schemas.openxmlformats.org/officeDocument/2006/relationships/hyperlink" Target="https://taxjustice.net/wp-content/uploads/2021/07/Tax-Justice-Human-Rights_Report_July_2021.pdf" TargetMode="External"/><Relationship Id="rId27" Type="http://schemas.openxmlformats.org/officeDocument/2006/relationships/hyperlink" Target="https://med.st-andrews.ac.uk/grade/wp-content/uploads/sites/13/2021/04/Lost-government-revenues-due-to-tax-abuses-5.4.2021-1.pdf" TargetMode="External"/><Relationship Id="rId30" Type="http://schemas.openxmlformats.org/officeDocument/2006/relationships/hyperlink" Target="https://taxjustice.net/wp-content/uploads/2021/07/Tax-Justice-Human-Rights_Report_July_202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982898-B976-443F-9793-F1A209D04A03}"/>
</file>

<file path=customXml/itemProps2.xml><?xml version="1.0" encoding="utf-8"?>
<ds:datastoreItem xmlns:ds="http://schemas.openxmlformats.org/officeDocument/2006/customXml" ds:itemID="{7109A1D8-7563-4521-B7FE-ACDA680399C0}"/>
</file>

<file path=customXml/itemProps3.xml><?xml version="1.0" encoding="utf-8"?>
<ds:datastoreItem xmlns:ds="http://schemas.openxmlformats.org/officeDocument/2006/customXml" ds:itemID="{7C71C5BA-32CF-4343-95F4-5D65F16804E2}"/>
</file>

<file path=docProps/app.xml><?xml version="1.0" encoding="utf-8"?>
<Properties xmlns="http://schemas.openxmlformats.org/officeDocument/2006/extended-properties" xmlns:vt="http://schemas.openxmlformats.org/officeDocument/2006/docPropsVTypes">
  <Template>Normal.dotm</Template>
  <TotalTime>1</TotalTime>
  <Pages>7</Pages>
  <Words>1440</Words>
  <Characters>8214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9635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BOIT James</cp:lastModifiedBy>
  <cp:revision>2</cp:revision>
  <dcterms:created xsi:type="dcterms:W3CDTF">2022-01-20T15:37:00Z</dcterms:created>
  <dcterms:modified xsi:type="dcterms:W3CDTF">2022-01-20T15:37:00Z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