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350"/>
      </w:tblGrid>
      <w:tr w:rsidR="00FF2444" w14:paraId="429A701A" w14:textId="77777777" w:rsidTr="00FF2444">
        <w:tc>
          <w:tcPr>
            <w:tcW w:w="9350" w:type="dxa"/>
          </w:tcPr>
          <w:p w14:paraId="4C900946" w14:textId="77777777" w:rsidR="00FF2444" w:rsidRPr="00222125" w:rsidRDefault="00FF2444" w:rsidP="00FF2444">
            <w:pPr>
              <w:jc w:val="center"/>
              <w:rPr>
                <w:rFonts w:asciiTheme="majorBidi" w:hAnsiTheme="majorBidi" w:cstheme="majorBidi"/>
                <w:b/>
                <w:bCs/>
                <w:sz w:val="32"/>
                <w:szCs w:val="32"/>
                <w:rtl/>
              </w:rPr>
            </w:pPr>
            <w:r w:rsidRPr="00222125">
              <w:rPr>
                <w:rFonts w:asciiTheme="majorBidi" w:hAnsiTheme="majorBidi" w:cstheme="majorBidi"/>
                <w:b/>
                <w:bCs/>
                <w:sz w:val="32"/>
                <w:szCs w:val="32"/>
              </w:rPr>
              <w:t xml:space="preserve">Submission to the Committee on the Rights of the Child (CRC) </w:t>
            </w:r>
          </w:p>
          <w:p w14:paraId="4CC09021" w14:textId="77777777" w:rsidR="00FF2444" w:rsidRPr="00222125" w:rsidRDefault="00FF2444" w:rsidP="00FF2444">
            <w:pPr>
              <w:jc w:val="center"/>
              <w:rPr>
                <w:rFonts w:asciiTheme="majorBidi" w:hAnsiTheme="majorBidi" w:cstheme="majorBidi"/>
                <w:b/>
                <w:bCs/>
                <w:sz w:val="32"/>
                <w:szCs w:val="32"/>
                <w:rtl/>
              </w:rPr>
            </w:pPr>
            <w:r w:rsidRPr="00222125">
              <w:rPr>
                <w:rFonts w:asciiTheme="majorBidi" w:hAnsiTheme="majorBidi" w:cstheme="majorBidi"/>
                <w:b/>
                <w:bCs/>
                <w:sz w:val="32"/>
                <w:szCs w:val="32"/>
              </w:rPr>
              <w:t>Violation of children's right to life in occupied Palestine</w:t>
            </w:r>
          </w:p>
          <w:p w14:paraId="126629B1" w14:textId="77777777" w:rsidR="00FF2444" w:rsidRPr="00222125" w:rsidRDefault="00FF2444" w:rsidP="00FF2444">
            <w:pPr>
              <w:jc w:val="center"/>
              <w:rPr>
                <w:rFonts w:asciiTheme="majorBidi" w:hAnsiTheme="majorBidi" w:cstheme="majorBidi"/>
                <w:sz w:val="32"/>
                <w:szCs w:val="32"/>
              </w:rPr>
            </w:pPr>
            <w:r w:rsidRPr="00222125">
              <w:rPr>
                <w:rFonts w:asciiTheme="majorBidi" w:hAnsiTheme="majorBidi" w:cstheme="majorBidi"/>
                <w:sz w:val="32"/>
                <w:szCs w:val="32"/>
              </w:rPr>
              <w:t>97th Session (26 Aug 2024 - 13 Sep 2024)</w:t>
            </w:r>
          </w:p>
          <w:p w14:paraId="745A2DC2" w14:textId="77777777" w:rsidR="00FF2444" w:rsidRDefault="00FF2444" w:rsidP="009C413F">
            <w:pPr>
              <w:jc w:val="center"/>
              <w:rPr>
                <w:rFonts w:asciiTheme="majorBidi" w:hAnsiTheme="majorBidi" w:cstheme="majorBidi"/>
                <w:b/>
                <w:bCs/>
                <w:sz w:val="32"/>
                <w:szCs w:val="32"/>
              </w:rPr>
            </w:pPr>
            <w:r w:rsidRPr="00222125">
              <w:rPr>
                <w:rFonts w:asciiTheme="majorBidi" w:hAnsiTheme="majorBidi" w:cstheme="majorBidi"/>
                <w:b/>
                <w:bCs/>
                <w:sz w:val="32"/>
                <w:szCs w:val="32"/>
              </w:rPr>
              <w:t>Presented by: Banu Amin's Center</w:t>
            </w:r>
          </w:p>
        </w:tc>
      </w:tr>
    </w:tbl>
    <w:p w14:paraId="39CB5C67" w14:textId="77777777" w:rsidR="00F23023" w:rsidRPr="00222125" w:rsidRDefault="00F23023">
      <w:pPr>
        <w:spacing w:after="160" w:line="259" w:lineRule="auto"/>
        <w:rPr>
          <w:rFonts w:asciiTheme="majorBidi" w:hAnsiTheme="majorBidi" w:cstheme="majorBidi"/>
          <w:b/>
          <w:bCs/>
          <w:sz w:val="32"/>
          <w:szCs w:val="32"/>
          <w:rtl/>
        </w:rPr>
      </w:pPr>
    </w:p>
    <w:tbl>
      <w:tblPr>
        <w:tblStyle w:val="TableGrid"/>
        <w:tblW w:w="0" w:type="auto"/>
        <w:tblLook w:val="04A0" w:firstRow="1" w:lastRow="0" w:firstColumn="1" w:lastColumn="0" w:noHBand="0" w:noVBand="1"/>
      </w:tblPr>
      <w:tblGrid>
        <w:gridCol w:w="9350"/>
      </w:tblGrid>
      <w:tr w:rsidR="008E20EF" w14:paraId="7D71F9FE" w14:textId="77777777" w:rsidTr="008E20EF">
        <w:tc>
          <w:tcPr>
            <w:tcW w:w="9350" w:type="dxa"/>
          </w:tcPr>
          <w:p w14:paraId="49A4B5C8" w14:textId="77777777" w:rsidR="008E20EF" w:rsidRPr="008E20EF" w:rsidRDefault="008E20EF" w:rsidP="00DC581A">
            <w:pPr>
              <w:spacing w:after="0"/>
              <w:rPr>
                <w:rFonts w:asciiTheme="majorBidi" w:hAnsiTheme="majorBidi" w:cstheme="majorBidi"/>
                <w:b/>
                <w:bCs/>
                <w:sz w:val="28"/>
                <w:szCs w:val="28"/>
              </w:rPr>
            </w:pPr>
            <w:r w:rsidRPr="008E20EF">
              <w:rPr>
                <w:rFonts w:asciiTheme="majorBidi" w:hAnsiTheme="majorBidi" w:cstheme="majorBidi"/>
                <w:b/>
                <w:bCs/>
                <w:sz w:val="28"/>
                <w:szCs w:val="28"/>
              </w:rPr>
              <w:t>Int</w:t>
            </w:r>
            <w:r w:rsidR="00DC581A">
              <w:rPr>
                <w:rFonts w:asciiTheme="majorBidi" w:hAnsiTheme="majorBidi" w:cstheme="majorBidi"/>
                <w:b/>
                <w:bCs/>
                <w:sz w:val="28"/>
                <w:szCs w:val="28"/>
              </w:rPr>
              <w:t>roduction</w:t>
            </w:r>
          </w:p>
          <w:p w14:paraId="4EDE95BE" w14:textId="77777777" w:rsidR="008E20EF" w:rsidRDefault="008E20EF" w:rsidP="008E20EF">
            <w:pPr>
              <w:spacing w:after="0"/>
              <w:rPr>
                <w:rFonts w:asciiTheme="majorBidi" w:hAnsiTheme="majorBidi" w:cstheme="majorBidi"/>
                <w:sz w:val="28"/>
                <w:szCs w:val="28"/>
                <w:rtl/>
              </w:rPr>
            </w:pPr>
            <w:r w:rsidRPr="008E20EF">
              <w:rPr>
                <w:rFonts w:asciiTheme="majorBidi" w:hAnsiTheme="majorBidi" w:cstheme="majorBidi"/>
                <w:sz w:val="28"/>
                <w:szCs w:val="28"/>
              </w:rPr>
              <w:t>The occupying power has violated the most basic right of Palestinian children in life, i.e., their right to live in the occupied lands, in the framework of illegal occupation, excessive use of force, structural violence, racial discrimination, etc., in an inhumane and anti-human way. Israeli forces use lethal force against Palestinian children and commit illegal or intentional killings. Data on some violations of Palestinian children's right to life in 2022 have been published, the most important of which are listed below:</w:t>
            </w:r>
          </w:p>
          <w:p w14:paraId="4C237CEE" w14:textId="77777777" w:rsidR="00D04335" w:rsidRPr="008E20EF" w:rsidRDefault="00D04335" w:rsidP="008E20EF">
            <w:pPr>
              <w:spacing w:after="0"/>
              <w:rPr>
                <w:rFonts w:asciiTheme="majorBidi" w:hAnsiTheme="majorBidi" w:cstheme="majorBidi"/>
                <w:sz w:val="28"/>
                <w:szCs w:val="28"/>
              </w:rPr>
            </w:pPr>
          </w:p>
          <w:p w14:paraId="087C8750" w14:textId="77777777" w:rsidR="008E20EF" w:rsidRPr="008E20EF" w:rsidRDefault="008E20EF" w:rsidP="008E20EF">
            <w:pPr>
              <w:pStyle w:val="ListParagraph"/>
              <w:numPr>
                <w:ilvl w:val="0"/>
                <w:numId w:val="18"/>
              </w:numPr>
              <w:spacing w:after="0"/>
              <w:ind w:left="332"/>
              <w:rPr>
                <w:rFonts w:asciiTheme="majorBidi" w:hAnsiTheme="majorBidi" w:cstheme="majorBidi"/>
                <w:sz w:val="28"/>
                <w:szCs w:val="28"/>
              </w:rPr>
            </w:pPr>
            <w:r w:rsidRPr="008E20EF">
              <w:rPr>
                <w:rFonts w:asciiTheme="majorBidi" w:hAnsiTheme="majorBidi" w:cstheme="majorBidi"/>
                <w:sz w:val="28"/>
                <w:szCs w:val="28"/>
              </w:rPr>
              <w:t>Between 2014 and 2022, Israeli forces and settlers killed at least 845 Palestinian children in the occupied West Bank, including East Jerusalem and the Gaza Strip.</w:t>
            </w:r>
          </w:p>
          <w:p w14:paraId="2C5FBB2A" w14:textId="77777777" w:rsidR="008E20EF" w:rsidRPr="008E20EF" w:rsidRDefault="00EE1E51" w:rsidP="00EE1E51">
            <w:pPr>
              <w:pStyle w:val="ListParagraph"/>
              <w:numPr>
                <w:ilvl w:val="0"/>
                <w:numId w:val="18"/>
              </w:numPr>
              <w:spacing w:after="0"/>
              <w:ind w:left="332"/>
              <w:rPr>
                <w:rFonts w:asciiTheme="majorBidi" w:hAnsiTheme="majorBidi" w:cstheme="majorBidi"/>
                <w:sz w:val="28"/>
                <w:szCs w:val="28"/>
              </w:rPr>
            </w:pPr>
            <w:r>
              <w:rPr>
                <w:rFonts w:asciiTheme="majorBidi" w:hAnsiTheme="majorBidi" w:cstheme="majorBidi"/>
                <w:sz w:val="28"/>
                <w:szCs w:val="28"/>
              </w:rPr>
              <w:t xml:space="preserve">The </w:t>
            </w:r>
            <w:r w:rsidR="008E20EF" w:rsidRPr="008E20EF">
              <w:rPr>
                <w:rFonts w:asciiTheme="majorBidi" w:hAnsiTheme="majorBidi" w:cstheme="majorBidi"/>
                <w:sz w:val="28"/>
                <w:szCs w:val="28"/>
              </w:rPr>
              <w:t xml:space="preserve">Israeli army and police forces stationed throughout the occupied West Bank, including East Jerusalem, regularly subject Palestinian children to physical and psychological violence with lethal and non-lethal ammunition and resort to unjustified use of </w:t>
            </w:r>
            <w:r>
              <w:rPr>
                <w:rFonts w:asciiTheme="majorBidi" w:hAnsiTheme="majorBidi" w:cstheme="majorBidi"/>
                <w:sz w:val="28"/>
                <w:szCs w:val="28"/>
              </w:rPr>
              <w:t>deadly</w:t>
            </w:r>
            <w:r w:rsidR="008E20EF" w:rsidRPr="008E20EF">
              <w:rPr>
                <w:rFonts w:asciiTheme="majorBidi" w:hAnsiTheme="majorBidi" w:cstheme="majorBidi"/>
                <w:sz w:val="28"/>
                <w:szCs w:val="28"/>
              </w:rPr>
              <w:t xml:space="preserve"> force against them, leading to martyrdom. they </w:t>
            </w:r>
            <w:proofErr w:type="gramStart"/>
            <w:r w:rsidR="008E20EF" w:rsidRPr="008E20EF">
              <w:rPr>
                <w:rFonts w:asciiTheme="majorBidi" w:hAnsiTheme="majorBidi" w:cstheme="majorBidi"/>
                <w:sz w:val="28"/>
                <w:szCs w:val="28"/>
              </w:rPr>
              <w:t>deliver</w:t>
            </w:r>
            <w:proofErr w:type="gramEnd"/>
          </w:p>
          <w:p w14:paraId="6F9C0F73" w14:textId="77777777" w:rsidR="008E20EF" w:rsidRPr="008E20EF" w:rsidRDefault="008E20EF" w:rsidP="008E20EF">
            <w:pPr>
              <w:pStyle w:val="ListParagraph"/>
              <w:numPr>
                <w:ilvl w:val="0"/>
                <w:numId w:val="18"/>
              </w:numPr>
              <w:spacing w:after="0"/>
              <w:ind w:left="332"/>
              <w:rPr>
                <w:rFonts w:asciiTheme="majorBidi" w:hAnsiTheme="majorBidi" w:cstheme="majorBidi"/>
                <w:sz w:val="28"/>
                <w:szCs w:val="28"/>
              </w:rPr>
            </w:pPr>
            <w:r w:rsidRPr="008E20EF">
              <w:rPr>
                <w:rFonts w:asciiTheme="majorBidi" w:hAnsiTheme="majorBidi" w:cstheme="majorBidi"/>
                <w:sz w:val="28"/>
                <w:szCs w:val="28"/>
              </w:rPr>
              <w:t>Soldiers injure children during protests in which Israeli forces use crowd control weapons such as rubber-coated metal bullets and tear gas to disperse protesters.</w:t>
            </w:r>
          </w:p>
          <w:p w14:paraId="51099CC5" w14:textId="77777777" w:rsidR="008E20EF" w:rsidRPr="008E20EF" w:rsidRDefault="008E20EF" w:rsidP="008E20EF">
            <w:pPr>
              <w:pStyle w:val="ListParagraph"/>
              <w:numPr>
                <w:ilvl w:val="0"/>
                <w:numId w:val="18"/>
              </w:numPr>
              <w:spacing w:after="0"/>
              <w:ind w:left="332"/>
              <w:rPr>
                <w:rFonts w:asciiTheme="majorBidi" w:hAnsiTheme="majorBidi" w:cstheme="majorBidi"/>
                <w:sz w:val="28"/>
                <w:szCs w:val="28"/>
              </w:rPr>
            </w:pPr>
            <w:r w:rsidRPr="008E20EF">
              <w:rPr>
                <w:rFonts w:asciiTheme="majorBidi" w:hAnsiTheme="majorBidi" w:cstheme="majorBidi"/>
                <w:sz w:val="28"/>
                <w:szCs w:val="28"/>
              </w:rPr>
              <w:t>Israeli forces targeted Palestinian children with live ammunition to quell protests that began in 2014.</w:t>
            </w:r>
          </w:p>
          <w:p w14:paraId="78D02447" w14:textId="77777777" w:rsidR="008E20EF" w:rsidRDefault="008E20EF" w:rsidP="008E20EF">
            <w:pPr>
              <w:pStyle w:val="ListParagraph"/>
              <w:numPr>
                <w:ilvl w:val="0"/>
                <w:numId w:val="18"/>
              </w:numPr>
              <w:spacing w:after="0"/>
              <w:ind w:left="332"/>
              <w:rPr>
                <w:rFonts w:asciiTheme="majorBidi" w:hAnsiTheme="majorBidi" w:cstheme="majorBidi"/>
                <w:sz w:val="28"/>
                <w:szCs w:val="28"/>
              </w:rPr>
            </w:pPr>
            <w:r w:rsidRPr="008E20EF">
              <w:rPr>
                <w:rFonts w:asciiTheme="majorBidi" w:hAnsiTheme="majorBidi" w:cstheme="majorBidi"/>
                <w:sz w:val="28"/>
                <w:szCs w:val="28"/>
              </w:rPr>
              <w:t>According to the obtained documents, 46 Palestinian children were martyred in 2022, including 29 Palestinian children who were shot and martyred by Israeli forces or settlers in the occupied West Bank.</w:t>
            </w:r>
          </w:p>
          <w:p w14:paraId="640CBB84" w14:textId="77777777" w:rsidR="00D04335" w:rsidRDefault="00D04335" w:rsidP="00D04335">
            <w:pPr>
              <w:spacing w:after="0"/>
              <w:rPr>
                <w:rFonts w:asciiTheme="majorBidi" w:hAnsiTheme="majorBidi" w:cstheme="majorBidi"/>
                <w:sz w:val="28"/>
                <w:szCs w:val="28"/>
                <w:rtl/>
              </w:rPr>
            </w:pPr>
          </w:p>
          <w:p w14:paraId="57829D61" w14:textId="77777777" w:rsidR="00D04335" w:rsidRDefault="00D04335" w:rsidP="00D04335">
            <w:pPr>
              <w:spacing w:after="0"/>
              <w:rPr>
                <w:rFonts w:asciiTheme="majorBidi" w:hAnsiTheme="majorBidi" w:cstheme="majorBidi"/>
                <w:sz w:val="28"/>
                <w:szCs w:val="28"/>
                <w:rtl/>
              </w:rPr>
            </w:pPr>
          </w:p>
          <w:p w14:paraId="48DC77B1" w14:textId="77777777" w:rsidR="00D04335" w:rsidRDefault="00D04335" w:rsidP="00D04335">
            <w:pPr>
              <w:spacing w:after="0"/>
              <w:rPr>
                <w:rFonts w:asciiTheme="majorBidi" w:hAnsiTheme="majorBidi" w:cstheme="majorBidi"/>
                <w:sz w:val="28"/>
                <w:szCs w:val="28"/>
                <w:rtl/>
              </w:rPr>
            </w:pPr>
          </w:p>
          <w:p w14:paraId="4CE898E4" w14:textId="77777777" w:rsidR="00D04335" w:rsidRPr="00D04335" w:rsidRDefault="00D04335" w:rsidP="00D04335">
            <w:pPr>
              <w:spacing w:after="0"/>
              <w:rPr>
                <w:rFonts w:asciiTheme="majorBidi" w:hAnsiTheme="majorBidi" w:cstheme="majorBidi"/>
                <w:sz w:val="28"/>
                <w:szCs w:val="28"/>
              </w:rPr>
            </w:pPr>
          </w:p>
          <w:p w14:paraId="123E49A2" w14:textId="77777777" w:rsidR="008E20EF" w:rsidRPr="008E20EF" w:rsidRDefault="008E20EF" w:rsidP="008E20EF">
            <w:pPr>
              <w:spacing w:after="0"/>
              <w:rPr>
                <w:rFonts w:asciiTheme="majorBidi" w:hAnsiTheme="majorBidi" w:cstheme="majorBidi"/>
                <w:b/>
                <w:bCs/>
                <w:sz w:val="28"/>
                <w:szCs w:val="28"/>
              </w:rPr>
            </w:pPr>
            <w:r w:rsidRPr="008E20EF">
              <w:rPr>
                <w:rFonts w:asciiTheme="majorBidi" w:hAnsiTheme="majorBidi" w:cstheme="majorBidi"/>
                <w:b/>
                <w:bCs/>
                <w:sz w:val="28"/>
                <w:szCs w:val="28"/>
              </w:rPr>
              <w:t>Targeted military attacks on Palestinian children</w:t>
            </w:r>
          </w:p>
          <w:p w14:paraId="7A9B876B" w14:textId="77777777" w:rsidR="008E20EF" w:rsidRDefault="008E20EF" w:rsidP="008E20EF">
            <w:pPr>
              <w:spacing w:after="0"/>
              <w:rPr>
                <w:rFonts w:asciiTheme="majorBidi" w:hAnsiTheme="majorBidi" w:cstheme="majorBidi"/>
                <w:sz w:val="28"/>
                <w:szCs w:val="28"/>
                <w:rtl/>
              </w:rPr>
            </w:pPr>
            <w:r w:rsidRPr="008E20EF">
              <w:rPr>
                <w:rFonts w:asciiTheme="majorBidi" w:hAnsiTheme="majorBidi" w:cstheme="majorBidi"/>
                <w:sz w:val="28"/>
                <w:szCs w:val="28"/>
              </w:rPr>
              <w:t>The occupying power always includes Palestinians among its legitimate military targets, regardless of their age and status, and threatens their right to life. Palestinians have often paid the brunt of Israel's repeated military attacks on the Gaza Strip while suffering a humanitarian crisis stemming from Israel's 15-year blockade of Gaza. Israel's anti-human policies and actions in the military attacks against Palestinians, especially Palestinian children, have created a human catastrophe and resulted in heavy consequences, including the deprivation of fundamental life rights, especially the right to life for Palestinians who live in one of the most populated regions of the world. Since 2006, the Israeli regime has carried out several large-scale military attacks against the Palestinians in the Gaza Strip. In each of these operations, civilians have been targeted by ground and air attacks, and among them, children are the most vulnerable sections of every society. They have participated in the targeted killing of the occupying forces. According to the research, the occupying power since 2006 has targeted Palestinian children in various attacks as follows:</w:t>
            </w:r>
          </w:p>
          <w:p w14:paraId="3BA6FD39" w14:textId="77777777" w:rsidR="009D0775" w:rsidRPr="008E20EF" w:rsidRDefault="009D0775" w:rsidP="008E20EF">
            <w:pPr>
              <w:spacing w:after="0"/>
              <w:rPr>
                <w:rFonts w:asciiTheme="majorBidi" w:hAnsiTheme="majorBidi" w:cstheme="majorBidi"/>
                <w:sz w:val="28"/>
                <w:szCs w:val="28"/>
              </w:rPr>
            </w:pPr>
          </w:p>
          <w:p w14:paraId="104D362C" w14:textId="77777777" w:rsidR="008E20EF" w:rsidRPr="00925484" w:rsidRDefault="008E20EF" w:rsidP="00925484">
            <w:pPr>
              <w:pStyle w:val="ListParagraph"/>
              <w:numPr>
                <w:ilvl w:val="0"/>
                <w:numId w:val="19"/>
              </w:numPr>
              <w:spacing w:after="0"/>
              <w:ind w:left="242"/>
              <w:rPr>
                <w:rFonts w:asciiTheme="majorBidi" w:hAnsiTheme="majorBidi" w:cstheme="majorBidi"/>
                <w:sz w:val="28"/>
                <w:szCs w:val="28"/>
              </w:rPr>
            </w:pPr>
            <w:r w:rsidRPr="00925484">
              <w:rPr>
                <w:rFonts w:asciiTheme="majorBidi" w:hAnsiTheme="majorBidi" w:cstheme="majorBidi"/>
                <w:sz w:val="28"/>
                <w:szCs w:val="28"/>
              </w:rPr>
              <w:t>Since the beginning of the occupation power's attacks on Gaza from October 7 to December 19, 8 thousand Palestinian children have been martyred.</w:t>
            </w:r>
          </w:p>
          <w:p w14:paraId="7D23EDE1" w14:textId="77777777" w:rsidR="008E20EF" w:rsidRPr="00925484" w:rsidRDefault="008E20EF" w:rsidP="00925484">
            <w:pPr>
              <w:pStyle w:val="ListParagraph"/>
              <w:numPr>
                <w:ilvl w:val="0"/>
                <w:numId w:val="19"/>
              </w:numPr>
              <w:spacing w:after="0"/>
              <w:ind w:left="242"/>
              <w:rPr>
                <w:rFonts w:asciiTheme="majorBidi" w:hAnsiTheme="majorBidi" w:cstheme="majorBidi"/>
                <w:sz w:val="28"/>
                <w:szCs w:val="28"/>
              </w:rPr>
            </w:pPr>
            <w:r w:rsidRPr="00925484">
              <w:rPr>
                <w:rFonts w:asciiTheme="majorBidi" w:hAnsiTheme="majorBidi" w:cstheme="majorBidi"/>
                <w:sz w:val="28"/>
                <w:szCs w:val="28"/>
              </w:rPr>
              <w:t>Since the beginning of 2023, nearly 100 Palestinian children have been killed by the Israeli occupation forces in the West Bank. This is even though, according to statistics, from 2005 until the new round of attacks by the occupying power on Gaza, more than a thousand children were martyred during the six attacks of this regime on Gaza.</w:t>
            </w:r>
          </w:p>
          <w:p w14:paraId="6669BDE8" w14:textId="77777777" w:rsidR="008E20EF" w:rsidRPr="00925484" w:rsidRDefault="008E20EF" w:rsidP="00925484">
            <w:pPr>
              <w:pStyle w:val="ListParagraph"/>
              <w:numPr>
                <w:ilvl w:val="0"/>
                <w:numId w:val="19"/>
              </w:numPr>
              <w:spacing w:after="0"/>
              <w:ind w:left="242"/>
              <w:rPr>
                <w:rFonts w:asciiTheme="majorBidi" w:hAnsiTheme="majorBidi" w:cstheme="majorBidi"/>
                <w:sz w:val="28"/>
                <w:szCs w:val="28"/>
              </w:rPr>
            </w:pPr>
            <w:r w:rsidRPr="00925484">
              <w:rPr>
                <w:rFonts w:asciiTheme="majorBidi" w:hAnsiTheme="majorBidi" w:cstheme="majorBidi"/>
                <w:sz w:val="28"/>
                <w:szCs w:val="28"/>
              </w:rPr>
              <w:t>In 2023, Jenin was attacked seven times, killing 40 Palestinians, including nine children.</w:t>
            </w:r>
          </w:p>
          <w:p w14:paraId="01A76027" w14:textId="77777777" w:rsidR="008E20EF" w:rsidRPr="00925484" w:rsidRDefault="008E20EF" w:rsidP="00925484">
            <w:pPr>
              <w:pStyle w:val="ListParagraph"/>
              <w:numPr>
                <w:ilvl w:val="0"/>
                <w:numId w:val="19"/>
              </w:numPr>
              <w:spacing w:after="0"/>
              <w:ind w:left="242"/>
              <w:rPr>
                <w:rFonts w:asciiTheme="majorBidi" w:hAnsiTheme="majorBidi" w:cstheme="majorBidi"/>
                <w:sz w:val="28"/>
                <w:szCs w:val="28"/>
              </w:rPr>
            </w:pPr>
            <w:r w:rsidRPr="00925484">
              <w:rPr>
                <w:rFonts w:asciiTheme="majorBidi" w:hAnsiTheme="majorBidi" w:cstheme="majorBidi"/>
                <w:sz w:val="28"/>
                <w:szCs w:val="28"/>
              </w:rPr>
              <w:t>Between September 2000 and October 6, 2023, Israeli forces and settlers killed 2,187 Palestinian children across the occupied West Bank, including East Jerusalem and the Gaza Strip.</w:t>
            </w:r>
          </w:p>
          <w:p w14:paraId="0D2056BE" w14:textId="77777777" w:rsidR="008E20EF" w:rsidRPr="00925484" w:rsidRDefault="008E20EF" w:rsidP="00925484">
            <w:pPr>
              <w:pStyle w:val="ListParagraph"/>
              <w:numPr>
                <w:ilvl w:val="0"/>
                <w:numId w:val="19"/>
              </w:numPr>
              <w:spacing w:after="0"/>
              <w:ind w:left="242"/>
              <w:rPr>
                <w:rFonts w:asciiTheme="majorBidi" w:hAnsiTheme="majorBidi" w:cstheme="majorBidi"/>
                <w:sz w:val="28"/>
                <w:szCs w:val="28"/>
              </w:rPr>
            </w:pPr>
            <w:r w:rsidRPr="00925484">
              <w:rPr>
                <w:rFonts w:asciiTheme="majorBidi" w:hAnsiTheme="majorBidi" w:cstheme="majorBidi"/>
                <w:sz w:val="28"/>
                <w:szCs w:val="28"/>
              </w:rPr>
              <w:t>From December 9, 1987, to September 28, 2000, Israeli forces killed at least 281 Palestinian children.</w:t>
            </w:r>
          </w:p>
          <w:p w14:paraId="2CAC6EB3" w14:textId="77777777" w:rsidR="008E20EF" w:rsidRPr="00925484" w:rsidRDefault="008E20EF" w:rsidP="00925484">
            <w:pPr>
              <w:pStyle w:val="ListParagraph"/>
              <w:numPr>
                <w:ilvl w:val="0"/>
                <w:numId w:val="19"/>
              </w:numPr>
              <w:spacing w:after="0"/>
              <w:ind w:left="242"/>
              <w:rPr>
                <w:rFonts w:asciiTheme="majorBidi" w:hAnsiTheme="majorBidi" w:cstheme="majorBidi"/>
                <w:sz w:val="28"/>
                <w:szCs w:val="28"/>
              </w:rPr>
            </w:pPr>
            <w:r w:rsidRPr="00925484">
              <w:rPr>
                <w:rFonts w:asciiTheme="majorBidi" w:hAnsiTheme="majorBidi" w:cstheme="majorBidi"/>
                <w:sz w:val="28"/>
                <w:szCs w:val="28"/>
              </w:rPr>
              <w:t>Israeli forces killed more than 100 Palestinian children from June 1967, when Israeli forces occupied the West Bank, including East Jerusalem and the Gaza Strip, to December 1987.</w:t>
            </w:r>
          </w:p>
          <w:p w14:paraId="6E1F866E" w14:textId="77777777" w:rsidR="008E20EF" w:rsidRPr="00925484" w:rsidRDefault="008E20EF" w:rsidP="00925484">
            <w:pPr>
              <w:pStyle w:val="ListParagraph"/>
              <w:numPr>
                <w:ilvl w:val="0"/>
                <w:numId w:val="19"/>
              </w:numPr>
              <w:spacing w:after="0"/>
              <w:ind w:left="242"/>
              <w:rPr>
                <w:rFonts w:asciiTheme="majorBidi" w:hAnsiTheme="majorBidi" w:cstheme="majorBidi"/>
                <w:sz w:val="28"/>
                <w:szCs w:val="28"/>
              </w:rPr>
            </w:pPr>
            <w:r w:rsidRPr="00925484">
              <w:rPr>
                <w:rFonts w:asciiTheme="majorBidi" w:hAnsiTheme="majorBidi" w:cstheme="majorBidi"/>
                <w:sz w:val="28"/>
                <w:szCs w:val="28"/>
              </w:rPr>
              <w:lastRenderedPageBreak/>
              <w:t xml:space="preserve">As of September 30, 2022, Israeli occupation forces have killed 144 Palestinians, including 33 children. Of these, 24 children were martyred in the occupied West Bank, </w:t>
            </w:r>
            <w:r w:rsidR="00277AAE" w:rsidRPr="00925484">
              <w:rPr>
                <w:rFonts w:asciiTheme="majorBidi" w:hAnsiTheme="majorBidi" w:cstheme="majorBidi"/>
                <w:sz w:val="28"/>
                <w:szCs w:val="28"/>
              </w:rPr>
              <w:t>while</w:t>
            </w:r>
            <w:r w:rsidRPr="00925484">
              <w:rPr>
                <w:rFonts w:asciiTheme="majorBidi" w:hAnsiTheme="majorBidi" w:cstheme="majorBidi"/>
                <w:sz w:val="28"/>
                <w:szCs w:val="28"/>
              </w:rPr>
              <w:t xml:space="preserve"> 49 Palestinians, including nine children, were martyred during the last Israeli military aggression against the Gaza Strip in August 2022.</w:t>
            </w:r>
          </w:p>
          <w:p w14:paraId="4A751166" w14:textId="77777777" w:rsidR="008E20EF" w:rsidRPr="00925484" w:rsidRDefault="008E20EF" w:rsidP="00925484">
            <w:pPr>
              <w:pStyle w:val="ListParagraph"/>
              <w:numPr>
                <w:ilvl w:val="0"/>
                <w:numId w:val="19"/>
              </w:numPr>
              <w:spacing w:after="0"/>
              <w:ind w:left="242"/>
              <w:rPr>
                <w:rFonts w:asciiTheme="majorBidi" w:hAnsiTheme="majorBidi" w:cstheme="majorBidi"/>
                <w:sz w:val="28"/>
                <w:szCs w:val="28"/>
              </w:rPr>
            </w:pPr>
            <w:r w:rsidRPr="00925484">
              <w:rPr>
                <w:rFonts w:asciiTheme="majorBidi" w:hAnsiTheme="majorBidi" w:cstheme="majorBidi"/>
                <w:sz w:val="28"/>
                <w:szCs w:val="28"/>
              </w:rPr>
              <w:t>Since 1967, Israel has implemented the policy of keeping the bodies of hundreds of Palestinians, including children, as a bargaining tool and the policy of "prisoner exchange." Following this inhumane policy, since August 2022, Israel has kept 102 Palestinian bodies, including the bodies of ten Palestinian children, in the refrigerator. It is noteworthy that, in 2018, the Israeli Parliament approved a new amendment to Israel's Anti-Terrorism Law and gave Israel the authority to keep the bodies of Palestinians.</w:t>
            </w:r>
          </w:p>
          <w:p w14:paraId="082959CA" w14:textId="77777777" w:rsidR="00925484" w:rsidRDefault="008E20EF" w:rsidP="00925484">
            <w:pPr>
              <w:pStyle w:val="ListParagraph"/>
              <w:numPr>
                <w:ilvl w:val="0"/>
                <w:numId w:val="19"/>
              </w:numPr>
              <w:spacing w:after="0"/>
              <w:ind w:left="242"/>
              <w:rPr>
                <w:rFonts w:asciiTheme="majorBidi" w:hAnsiTheme="majorBidi" w:cstheme="majorBidi"/>
                <w:sz w:val="28"/>
                <w:szCs w:val="28"/>
              </w:rPr>
            </w:pPr>
            <w:r w:rsidRPr="00925484">
              <w:rPr>
                <w:rFonts w:asciiTheme="majorBidi" w:hAnsiTheme="majorBidi" w:cstheme="majorBidi"/>
                <w:sz w:val="28"/>
                <w:szCs w:val="28"/>
              </w:rPr>
              <w:t>Children were directly targeted in the weekly demonstrations in the Gaza Strip during the 2018-2019 Great March of Return; the attacks resulted in the martyrdom of 223 Palestinians, including 46 children, and the injury of 8,800 children.</w:t>
            </w:r>
          </w:p>
          <w:p w14:paraId="356644CB" w14:textId="77777777" w:rsidR="00277AAE" w:rsidRPr="00A30521" w:rsidRDefault="008E20EF" w:rsidP="00A30521">
            <w:pPr>
              <w:pStyle w:val="ListParagraph"/>
              <w:numPr>
                <w:ilvl w:val="0"/>
                <w:numId w:val="19"/>
              </w:numPr>
              <w:spacing w:after="0"/>
              <w:ind w:left="240"/>
              <w:rPr>
                <w:rFonts w:asciiTheme="majorBidi" w:hAnsiTheme="majorBidi" w:cstheme="majorBidi"/>
                <w:sz w:val="28"/>
                <w:szCs w:val="28"/>
                <w:rtl/>
              </w:rPr>
            </w:pPr>
            <w:r w:rsidRPr="00925484">
              <w:rPr>
                <w:rFonts w:asciiTheme="majorBidi" w:hAnsiTheme="majorBidi" w:cstheme="majorBidi"/>
                <w:sz w:val="28"/>
                <w:szCs w:val="28"/>
              </w:rPr>
              <w:t>Since October 7, a child has been killed in Gaza every 15 minutes. The European Human Rights Watch estimated the number of daily deaths of children in Gaza to be more than 200; The Palestinian Ministry of Health also says that 40% of Palestinian martyrs are children.</w:t>
            </w:r>
          </w:p>
          <w:p w14:paraId="2F69F23E" w14:textId="77777777" w:rsidR="009B37AC" w:rsidRPr="009B37AC" w:rsidRDefault="009B37AC" w:rsidP="00A30521">
            <w:pPr>
              <w:spacing w:before="240" w:after="0"/>
              <w:rPr>
                <w:rFonts w:asciiTheme="majorBidi" w:hAnsiTheme="majorBidi" w:cstheme="majorBidi"/>
                <w:b/>
                <w:bCs/>
                <w:sz w:val="28"/>
                <w:szCs w:val="28"/>
              </w:rPr>
            </w:pPr>
            <w:r w:rsidRPr="009B37AC">
              <w:rPr>
                <w:rFonts w:asciiTheme="majorBidi" w:hAnsiTheme="majorBidi" w:cstheme="majorBidi"/>
                <w:b/>
                <w:bCs/>
                <w:sz w:val="28"/>
                <w:szCs w:val="28"/>
              </w:rPr>
              <w:t>Conclusion and recommendations:</w:t>
            </w:r>
          </w:p>
          <w:p w14:paraId="0E7F0DD7" w14:textId="77777777" w:rsidR="009B37AC" w:rsidRPr="009B37AC" w:rsidRDefault="009B37AC" w:rsidP="009B37AC">
            <w:pPr>
              <w:pStyle w:val="ListParagraph"/>
              <w:numPr>
                <w:ilvl w:val="0"/>
                <w:numId w:val="19"/>
              </w:numPr>
              <w:spacing w:after="0"/>
              <w:ind w:left="330"/>
              <w:rPr>
                <w:rFonts w:asciiTheme="majorBidi" w:hAnsiTheme="majorBidi" w:cstheme="majorBidi"/>
                <w:sz w:val="28"/>
                <w:szCs w:val="28"/>
              </w:rPr>
            </w:pPr>
            <w:r w:rsidRPr="009B37AC">
              <w:rPr>
                <w:rFonts w:asciiTheme="majorBidi" w:hAnsiTheme="majorBidi" w:cstheme="majorBidi"/>
                <w:sz w:val="28"/>
                <w:szCs w:val="28"/>
              </w:rPr>
              <w:t>The above are just a few examples of violations of children's rights in the occupied territories. This is a matter of utmost gravity. The continued disregard for the CRC Convention by the occupying power is a clear indication that immediate and effective measures are needed to respect human rights provisions and children's rights.</w:t>
            </w:r>
          </w:p>
          <w:p w14:paraId="3B42B85D" w14:textId="77777777" w:rsidR="009B37AC" w:rsidRPr="009B37AC" w:rsidRDefault="009B37AC" w:rsidP="009B37AC">
            <w:pPr>
              <w:pStyle w:val="ListParagraph"/>
              <w:numPr>
                <w:ilvl w:val="0"/>
                <w:numId w:val="19"/>
              </w:numPr>
              <w:spacing w:after="0"/>
              <w:ind w:left="240"/>
              <w:rPr>
                <w:rFonts w:asciiTheme="majorBidi" w:hAnsiTheme="majorBidi" w:cstheme="majorBidi"/>
                <w:sz w:val="28"/>
                <w:szCs w:val="28"/>
              </w:rPr>
            </w:pPr>
            <w:r w:rsidRPr="009B37AC">
              <w:rPr>
                <w:rFonts w:asciiTheme="majorBidi" w:hAnsiTheme="majorBidi" w:cstheme="majorBidi"/>
                <w:sz w:val="28"/>
                <w:szCs w:val="28"/>
              </w:rPr>
              <w:t>Despite being a signatory to international treaties on children, the occupying power, which is duty-bound to uphold these agreements, has consistently failed to implement them properly, leading to a systematic and widespread violation of children's rights.</w:t>
            </w:r>
          </w:p>
          <w:p w14:paraId="09A797AA" w14:textId="77777777" w:rsidR="00277AAE" w:rsidRPr="007D5E2A" w:rsidRDefault="009B37AC" w:rsidP="007D5E2A">
            <w:pPr>
              <w:pStyle w:val="ListParagraph"/>
              <w:numPr>
                <w:ilvl w:val="0"/>
                <w:numId w:val="19"/>
              </w:numPr>
              <w:spacing w:after="0"/>
              <w:ind w:left="240"/>
              <w:rPr>
                <w:rFonts w:asciiTheme="majorBidi" w:hAnsiTheme="majorBidi" w:cstheme="majorBidi"/>
                <w:sz w:val="28"/>
                <w:szCs w:val="28"/>
              </w:rPr>
            </w:pPr>
            <w:r w:rsidRPr="009B37AC">
              <w:rPr>
                <w:rFonts w:asciiTheme="majorBidi" w:hAnsiTheme="majorBidi" w:cstheme="majorBidi"/>
                <w:sz w:val="28"/>
                <w:szCs w:val="28"/>
              </w:rPr>
              <w:t>We urgently call on the relevant authorities and international organizations to actively monitor the proper functioning of these human rights provisions. Your involvement is crucial in ensuring the rights of Palestinian children living in the occupied territories are guaranteed.</w:t>
            </w:r>
          </w:p>
        </w:tc>
      </w:tr>
    </w:tbl>
    <w:p w14:paraId="1890900B" w14:textId="77777777" w:rsidR="000253D6" w:rsidRPr="00F23023" w:rsidRDefault="000253D6" w:rsidP="007D5E2A">
      <w:pPr>
        <w:bidi/>
        <w:spacing w:after="0"/>
        <w:rPr>
          <w:rFonts w:asciiTheme="majorBidi" w:hAnsiTheme="majorBidi" w:cstheme="majorBidi"/>
          <w:sz w:val="28"/>
          <w:szCs w:val="28"/>
        </w:rPr>
      </w:pPr>
    </w:p>
    <w:sectPr w:rsidR="000253D6" w:rsidRPr="00F230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832C5" w14:textId="77777777" w:rsidR="000E098E" w:rsidRDefault="000E098E" w:rsidP="00E1220B">
      <w:pPr>
        <w:spacing w:after="0" w:line="240" w:lineRule="auto"/>
      </w:pPr>
      <w:r>
        <w:separator/>
      </w:r>
    </w:p>
  </w:endnote>
  <w:endnote w:type="continuationSeparator" w:id="0">
    <w:p w14:paraId="0F57423D" w14:textId="77777777" w:rsidR="000E098E" w:rsidRDefault="000E098E" w:rsidP="00E12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 Titr">
    <w:altName w:val="Arial"/>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Mitra">
    <w:altName w:val="Arial"/>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40F4F" w14:textId="77777777" w:rsidR="000E098E" w:rsidRDefault="000E098E" w:rsidP="00E1220B">
      <w:pPr>
        <w:spacing w:after="0" w:line="240" w:lineRule="auto"/>
      </w:pPr>
      <w:r>
        <w:separator/>
      </w:r>
    </w:p>
  </w:footnote>
  <w:footnote w:type="continuationSeparator" w:id="0">
    <w:p w14:paraId="6819D350" w14:textId="77777777" w:rsidR="000E098E" w:rsidRDefault="000E098E" w:rsidP="00E12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174B"/>
    <w:multiLevelType w:val="hybridMultilevel"/>
    <w:tmpl w:val="97FE7B52"/>
    <w:lvl w:ilvl="0" w:tplc="6980BCE8">
      <w:start w:val="1"/>
      <w:numFmt w:val="bullet"/>
      <w:lvlText w:val="o"/>
      <w:lvlJc w:val="left"/>
      <w:pPr>
        <w:ind w:left="720" w:hanging="360"/>
      </w:pPr>
      <w:rPr>
        <w:rFonts w:ascii="Courier New" w:hAnsi="Courier New" w:cs="Courier New" w:hint="default"/>
        <w:lang w:bidi="fa-IR"/>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60139"/>
    <w:multiLevelType w:val="hybridMultilevel"/>
    <w:tmpl w:val="20F23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8740F"/>
    <w:multiLevelType w:val="hybridMultilevel"/>
    <w:tmpl w:val="9ADC84D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1A3CD4"/>
    <w:multiLevelType w:val="hybridMultilevel"/>
    <w:tmpl w:val="83246F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941D2F"/>
    <w:multiLevelType w:val="hybridMultilevel"/>
    <w:tmpl w:val="48FAFA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D66F31"/>
    <w:multiLevelType w:val="hybridMultilevel"/>
    <w:tmpl w:val="0A3281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AA5D9C"/>
    <w:multiLevelType w:val="hybridMultilevel"/>
    <w:tmpl w:val="F6A257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4A0914"/>
    <w:multiLevelType w:val="hybridMultilevel"/>
    <w:tmpl w:val="C0CCC5D0"/>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83508DF"/>
    <w:multiLevelType w:val="hybridMultilevel"/>
    <w:tmpl w:val="0BE6EBA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BD21F9A"/>
    <w:multiLevelType w:val="hybridMultilevel"/>
    <w:tmpl w:val="76D090DE"/>
    <w:lvl w:ilvl="0" w:tplc="6980BCE8">
      <w:start w:val="1"/>
      <w:numFmt w:val="bullet"/>
      <w:lvlText w:val="o"/>
      <w:lvlJc w:val="left"/>
      <w:pPr>
        <w:ind w:left="720" w:hanging="360"/>
      </w:pPr>
      <w:rPr>
        <w:rFonts w:ascii="Courier New" w:hAnsi="Courier New" w:cs="Courier New" w:hint="default"/>
        <w:lang w:bidi="fa-IR"/>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855BE1"/>
    <w:multiLevelType w:val="hybridMultilevel"/>
    <w:tmpl w:val="251AA1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9024F1"/>
    <w:multiLevelType w:val="hybridMultilevel"/>
    <w:tmpl w:val="E4A89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5A0DC9"/>
    <w:multiLevelType w:val="hybridMultilevel"/>
    <w:tmpl w:val="D8082D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6A6697"/>
    <w:multiLevelType w:val="hybridMultilevel"/>
    <w:tmpl w:val="ED36F0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BA4474"/>
    <w:multiLevelType w:val="hybridMultilevel"/>
    <w:tmpl w:val="ABF8C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B81DF4"/>
    <w:multiLevelType w:val="hybridMultilevel"/>
    <w:tmpl w:val="BE1A6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4B581D"/>
    <w:multiLevelType w:val="hybridMultilevel"/>
    <w:tmpl w:val="03181F3A"/>
    <w:lvl w:ilvl="0" w:tplc="04090001">
      <w:start w:val="1"/>
      <w:numFmt w:val="bullet"/>
      <w:lvlText w:val=""/>
      <w:lvlJc w:val="left"/>
      <w:pPr>
        <w:ind w:left="720" w:hanging="360"/>
      </w:pPr>
      <w:rPr>
        <w:rFonts w:ascii="Symbol" w:hAnsi="Symbol" w:hint="default"/>
      </w:rPr>
    </w:lvl>
    <w:lvl w:ilvl="1" w:tplc="6F06C1C6">
      <w:numFmt w:val="bullet"/>
      <w:lvlText w:val="-"/>
      <w:lvlJc w:val="left"/>
      <w:pPr>
        <w:ind w:left="1440" w:hanging="360"/>
      </w:pPr>
      <w:rPr>
        <w:rFonts w:asciiTheme="majorHAnsi" w:eastAsiaTheme="majorEastAsia" w:hAnsiTheme="majorHAnsi" w:cs="B Tit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496196"/>
    <w:multiLevelType w:val="hybridMultilevel"/>
    <w:tmpl w:val="2AFEC8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5A0E3A"/>
    <w:multiLevelType w:val="hybridMultilevel"/>
    <w:tmpl w:val="D39823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A21EE4"/>
    <w:multiLevelType w:val="hybridMultilevel"/>
    <w:tmpl w:val="96163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4823514">
    <w:abstractNumId w:val="15"/>
  </w:num>
  <w:num w:numId="2" w16cid:durableId="1919822489">
    <w:abstractNumId w:val="12"/>
  </w:num>
  <w:num w:numId="3" w16cid:durableId="193082031">
    <w:abstractNumId w:val="4"/>
  </w:num>
  <w:num w:numId="4" w16cid:durableId="1954893916">
    <w:abstractNumId w:val="17"/>
  </w:num>
  <w:num w:numId="5" w16cid:durableId="761681534">
    <w:abstractNumId w:val="9"/>
  </w:num>
  <w:num w:numId="6" w16cid:durableId="494954700">
    <w:abstractNumId w:val="14"/>
  </w:num>
  <w:num w:numId="7" w16cid:durableId="596791597">
    <w:abstractNumId w:val="13"/>
  </w:num>
  <w:num w:numId="8" w16cid:durableId="1755518099">
    <w:abstractNumId w:val="7"/>
  </w:num>
  <w:num w:numId="9" w16cid:durableId="1180895190">
    <w:abstractNumId w:val="18"/>
  </w:num>
  <w:num w:numId="10" w16cid:durableId="1189829165">
    <w:abstractNumId w:val="2"/>
  </w:num>
  <w:num w:numId="11" w16cid:durableId="190725256">
    <w:abstractNumId w:val="10"/>
  </w:num>
  <w:num w:numId="12" w16cid:durableId="1123228773">
    <w:abstractNumId w:val="6"/>
  </w:num>
  <w:num w:numId="13" w16cid:durableId="813912956">
    <w:abstractNumId w:val="8"/>
  </w:num>
  <w:num w:numId="14" w16cid:durableId="686758997">
    <w:abstractNumId w:val="5"/>
  </w:num>
  <w:num w:numId="15" w16cid:durableId="1893153225">
    <w:abstractNumId w:val="0"/>
  </w:num>
  <w:num w:numId="16" w16cid:durableId="1633897279">
    <w:abstractNumId w:val="3"/>
  </w:num>
  <w:num w:numId="17" w16cid:durableId="1016269086">
    <w:abstractNumId w:val="16"/>
  </w:num>
  <w:num w:numId="18" w16cid:durableId="765081088">
    <w:abstractNumId w:val="11"/>
  </w:num>
  <w:num w:numId="19" w16cid:durableId="810562590">
    <w:abstractNumId w:val="1"/>
  </w:num>
  <w:num w:numId="20" w16cid:durableId="100231340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20B"/>
    <w:rsid w:val="00014D74"/>
    <w:rsid w:val="000253D6"/>
    <w:rsid w:val="00075C26"/>
    <w:rsid w:val="000E098E"/>
    <w:rsid w:val="0012161D"/>
    <w:rsid w:val="00222125"/>
    <w:rsid w:val="00277AAE"/>
    <w:rsid w:val="003749F9"/>
    <w:rsid w:val="003D737B"/>
    <w:rsid w:val="004A4A8D"/>
    <w:rsid w:val="00673EF6"/>
    <w:rsid w:val="007D5E2A"/>
    <w:rsid w:val="008E20EF"/>
    <w:rsid w:val="00925484"/>
    <w:rsid w:val="009B37AC"/>
    <w:rsid w:val="009C413F"/>
    <w:rsid w:val="009D0775"/>
    <w:rsid w:val="00A30521"/>
    <w:rsid w:val="00A75376"/>
    <w:rsid w:val="00A95918"/>
    <w:rsid w:val="00D04335"/>
    <w:rsid w:val="00D0545F"/>
    <w:rsid w:val="00DC581A"/>
    <w:rsid w:val="00E1220B"/>
    <w:rsid w:val="00E56EC2"/>
    <w:rsid w:val="00EE1E51"/>
    <w:rsid w:val="00F23023"/>
    <w:rsid w:val="00FF24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88412E"/>
  <w15:chartTrackingRefBased/>
  <w15:docId w15:val="{11FB70B9-D4DF-4571-9E73-CFCB864F6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20B"/>
    <w:pPr>
      <w:spacing w:after="120" w:line="264" w:lineRule="auto"/>
    </w:pPr>
    <w:rPr>
      <w:rFonts w:eastAsiaTheme="minorEastAsia"/>
      <w:sz w:val="20"/>
      <w:szCs w:val="20"/>
    </w:rPr>
  </w:style>
  <w:style w:type="paragraph" w:styleId="Heading1">
    <w:name w:val="heading 1"/>
    <w:basedOn w:val="Normal"/>
    <w:next w:val="Normal"/>
    <w:link w:val="Heading1Char"/>
    <w:uiPriority w:val="9"/>
    <w:qFormat/>
    <w:rsid w:val="00E1220B"/>
    <w:pPr>
      <w:keepNext/>
      <w:keepLines/>
      <w:spacing w:before="320" w:after="0" w:line="240" w:lineRule="auto"/>
      <w:outlineLvl w:val="0"/>
    </w:pPr>
    <w:rPr>
      <w:rFonts w:asciiTheme="majorHAnsi" w:eastAsiaTheme="majorEastAsia" w:hAnsiTheme="majorHAnsi" w:cs="B Titr"/>
      <w:color w:val="000000" w:themeColor="text1"/>
      <w:sz w:val="32"/>
      <w:szCs w:val="32"/>
    </w:rPr>
  </w:style>
  <w:style w:type="paragraph" w:styleId="Heading2">
    <w:name w:val="heading 2"/>
    <w:basedOn w:val="Normal"/>
    <w:next w:val="Normal"/>
    <w:link w:val="Heading2Char"/>
    <w:uiPriority w:val="9"/>
    <w:unhideWhenUsed/>
    <w:qFormat/>
    <w:rsid w:val="00E1220B"/>
    <w:pPr>
      <w:keepNext/>
      <w:keepLines/>
      <w:spacing w:before="80" w:after="0" w:line="240" w:lineRule="auto"/>
      <w:outlineLvl w:val="1"/>
    </w:pPr>
    <w:rPr>
      <w:rFonts w:asciiTheme="majorHAnsi" w:eastAsiaTheme="majorEastAsia" w:hAnsiTheme="majorHAnsi" w:cs="B Titr"/>
      <w:color w:val="FF0000"/>
      <w:sz w:val="28"/>
      <w:szCs w:val="28"/>
    </w:rPr>
  </w:style>
  <w:style w:type="paragraph" w:styleId="Heading3">
    <w:name w:val="heading 3"/>
    <w:basedOn w:val="Normal"/>
    <w:next w:val="Normal"/>
    <w:link w:val="Heading3Char"/>
    <w:uiPriority w:val="9"/>
    <w:unhideWhenUsed/>
    <w:qFormat/>
    <w:rsid w:val="00E1220B"/>
    <w:pPr>
      <w:keepNext/>
      <w:keepLines/>
      <w:spacing w:before="40" w:after="0" w:line="240" w:lineRule="auto"/>
      <w:outlineLvl w:val="2"/>
    </w:pPr>
    <w:rPr>
      <w:rFonts w:asciiTheme="majorHAnsi" w:eastAsiaTheme="majorEastAsia" w:hAnsiTheme="majorHAnsi" w:cs="B Mitra"/>
      <w:bCs/>
      <w:color w:val="323E4F" w:themeColor="text2" w:themeShade="BF"/>
      <w:sz w:val="24"/>
      <w:szCs w:val="26"/>
    </w:rPr>
  </w:style>
  <w:style w:type="paragraph" w:styleId="Heading4">
    <w:name w:val="heading 4"/>
    <w:basedOn w:val="Normal"/>
    <w:next w:val="Normal"/>
    <w:link w:val="Heading4Char"/>
    <w:uiPriority w:val="9"/>
    <w:unhideWhenUsed/>
    <w:qFormat/>
    <w:rsid w:val="00E1220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1220B"/>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E1220B"/>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E1220B"/>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E1220B"/>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E1220B"/>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20B"/>
    <w:rPr>
      <w:rFonts w:asciiTheme="majorHAnsi" w:eastAsiaTheme="majorEastAsia" w:hAnsiTheme="majorHAnsi" w:cs="B Titr"/>
      <w:color w:val="000000" w:themeColor="text1"/>
      <w:sz w:val="32"/>
      <w:szCs w:val="32"/>
    </w:rPr>
  </w:style>
  <w:style w:type="character" w:customStyle="1" w:styleId="Heading2Char">
    <w:name w:val="Heading 2 Char"/>
    <w:basedOn w:val="DefaultParagraphFont"/>
    <w:link w:val="Heading2"/>
    <w:uiPriority w:val="9"/>
    <w:rsid w:val="00E1220B"/>
    <w:rPr>
      <w:rFonts w:asciiTheme="majorHAnsi" w:eastAsiaTheme="majorEastAsia" w:hAnsiTheme="majorHAnsi" w:cs="B Titr"/>
      <w:color w:val="FF0000"/>
      <w:sz w:val="28"/>
      <w:szCs w:val="28"/>
    </w:rPr>
  </w:style>
  <w:style w:type="character" w:customStyle="1" w:styleId="Heading3Char">
    <w:name w:val="Heading 3 Char"/>
    <w:basedOn w:val="DefaultParagraphFont"/>
    <w:link w:val="Heading3"/>
    <w:uiPriority w:val="9"/>
    <w:rsid w:val="00E1220B"/>
    <w:rPr>
      <w:rFonts w:asciiTheme="majorHAnsi" w:eastAsiaTheme="majorEastAsia" w:hAnsiTheme="majorHAnsi" w:cs="B Mitra"/>
      <w:bCs/>
      <w:color w:val="323E4F" w:themeColor="text2" w:themeShade="BF"/>
      <w:sz w:val="24"/>
      <w:szCs w:val="26"/>
    </w:rPr>
  </w:style>
  <w:style w:type="character" w:customStyle="1" w:styleId="Heading4Char">
    <w:name w:val="Heading 4 Char"/>
    <w:basedOn w:val="DefaultParagraphFont"/>
    <w:link w:val="Heading4"/>
    <w:uiPriority w:val="9"/>
    <w:rsid w:val="00E1220B"/>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sid w:val="00E1220B"/>
    <w:rPr>
      <w:rFonts w:asciiTheme="majorHAnsi" w:eastAsiaTheme="majorEastAsia" w:hAnsiTheme="majorHAnsi" w:cstheme="majorBidi"/>
      <w:color w:val="44546A" w:themeColor="text2"/>
    </w:rPr>
  </w:style>
  <w:style w:type="character" w:customStyle="1" w:styleId="Heading6Char">
    <w:name w:val="Heading 6 Char"/>
    <w:basedOn w:val="DefaultParagraphFont"/>
    <w:link w:val="Heading6"/>
    <w:uiPriority w:val="9"/>
    <w:semiHidden/>
    <w:rsid w:val="00E1220B"/>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E1220B"/>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E1220B"/>
    <w:rPr>
      <w:rFonts w:asciiTheme="majorHAnsi" w:eastAsiaTheme="majorEastAsia" w:hAnsiTheme="majorHAnsi" w:cstheme="majorBidi"/>
      <w:b/>
      <w:bCs/>
      <w:color w:val="44546A" w:themeColor="text2"/>
      <w:sz w:val="20"/>
      <w:szCs w:val="20"/>
    </w:rPr>
  </w:style>
  <w:style w:type="character" w:customStyle="1" w:styleId="Heading9Char">
    <w:name w:val="Heading 9 Char"/>
    <w:basedOn w:val="DefaultParagraphFont"/>
    <w:link w:val="Heading9"/>
    <w:uiPriority w:val="9"/>
    <w:semiHidden/>
    <w:rsid w:val="00E1220B"/>
    <w:rPr>
      <w:rFonts w:asciiTheme="majorHAnsi" w:eastAsiaTheme="majorEastAsia" w:hAnsiTheme="majorHAnsi" w:cstheme="majorBidi"/>
      <w:b/>
      <w:bCs/>
      <w:i/>
      <w:iCs/>
      <w:color w:val="44546A" w:themeColor="text2"/>
      <w:sz w:val="20"/>
      <w:szCs w:val="20"/>
    </w:rPr>
  </w:style>
  <w:style w:type="paragraph" w:styleId="NormalWeb">
    <w:name w:val="Normal (Web)"/>
    <w:basedOn w:val="Normal"/>
    <w:uiPriority w:val="99"/>
    <w:unhideWhenUsed/>
    <w:rsid w:val="00E1220B"/>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E1220B"/>
    <w:pPr>
      <w:spacing w:after="0" w:line="240" w:lineRule="auto"/>
    </w:pPr>
  </w:style>
  <w:style w:type="character" w:customStyle="1" w:styleId="FootnoteTextChar">
    <w:name w:val="Footnote Text Char"/>
    <w:basedOn w:val="DefaultParagraphFont"/>
    <w:link w:val="FootnoteText"/>
    <w:uiPriority w:val="99"/>
    <w:rsid w:val="00E1220B"/>
    <w:rPr>
      <w:rFonts w:eastAsiaTheme="minorEastAsia"/>
      <w:sz w:val="20"/>
      <w:szCs w:val="20"/>
    </w:rPr>
  </w:style>
  <w:style w:type="character" w:styleId="FootnoteReference">
    <w:name w:val="footnote reference"/>
    <w:basedOn w:val="DefaultParagraphFont"/>
    <w:uiPriority w:val="99"/>
    <w:semiHidden/>
    <w:unhideWhenUsed/>
    <w:rsid w:val="00E1220B"/>
    <w:rPr>
      <w:vertAlign w:val="superscript"/>
    </w:rPr>
  </w:style>
  <w:style w:type="paragraph" w:styleId="NoSpacing">
    <w:name w:val="No Spacing"/>
    <w:link w:val="NoSpacingChar"/>
    <w:uiPriority w:val="1"/>
    <w:qFormat/>
    <w:rsid w:val="00E1220B"/>
    <w:pPr>
      <w:spacing w:after="0" w:line="240" w:lineRule="auto"/>
    </w:pPr>
    <w:rPr>
      <w:rFonts w:eastAsiaTheme="minorEastAsia"/>
      <w:sz w:val="20"/>
      <w:szCs w:val="20"/>
    </w:rPr>
  </w:style>
  <w:style w:type="paragraph" w:styleId="ListParagraph">
    <w:name w:val="List Paragraph"/>
    <w:basedOn w:val="Normal"/>
    <w:uiPriority w:val="34"/>
    <w:qFormat/>
    <w:rsid w:val="00E1220B"/>
    <w:pPr>
      <w:ind w:left="720"/>
      <w:contextualSpacing/>
    </w:pPr>
  </w:style>
  <w:style w:type="character" w:styleId="Hyperlink">
    <w:name w:val="Hyperlink"/>
    <w:basedOn w:val="DefaultParagraphFont"/>
    <w:uiPriority w:val="99"/>
    <w:unhideWhenUsed/>
    <w:rsid w:val="00E1220B"/>
    <w:rPr>
      <w:color w:val="0563C1" w:themeColor="hyperlink"/>
      <w:u w:val="single"/>
    </w:rPr>
  </w:style>
  <w:style w:type="paragraph" w:styleId="Header">
    <w:name w:val="header"/>
    <w:basedOn w:val="Normal"/>
    <w:link w:val="HeaderChar"/>
    <w:uiPriority w:val="99"/>
    <w:unhideWhenUsed/>
    <w:rsid w:val="00E122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220B"/>
    <w:rPr>
      <w:rFonts w:eastAsiaTheme="minorEastAsia"/>
      <w:sz w:val="20"/>
      <w:szCs w:val="20"/>
    </w:rPr>
  </w:style>
  <w:style w:type="paragraph" w:styleId="Footer">
    <w:name w:val="footer"/>
    <w:basedOn w:val="Normal"/>
    <w:link w:val="FooterChar"/>
    <w:uiPriority w:val="99"/>
    <w:unhideWhenUsed/>
    <w:rsid w:val="00E122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220B"/>
    <w:rPr>
      <w:rFonts w:eastAsiaTheme="minorEastAsia"/>
      <w:sz w:val="20"/>
      <w:szCs w:val="20"/>
    </w:rPr>
  </w:style>
  <w:style w:type="paragraph" w:styleId="EndnoteText">
    <w:name w:val="endnote text"/>
    <w:basedOn w:val="Normal"/>
    <w:link w:val="EndnoteTextChar"/>
    <w:uiPriority w:val="99"/>
    <w:semiHidden/>
    <w:unhideWhenUsed/>
    <w:rsid w:val="00E1220B"/>
    <w:pPr>
      <w:spacing w:after="0" w:line="240" w:lineRule="auto"/>
    </w:pPr>
  </w:style>
  <w:style w:type="character" w:customStyle="1" w:styleId="EndnoteTextChar">
    <w:name w:val="Endnote Text Char"/>
    <w:basedOn w:val="DefaultParagraphFont"/>
    <w:link w:val="EndnoteText"/>
    <w:uiPriority w:val="99"/>
    <w:semiHidden/>
    <w:rsid w:val="00E1220B"/>
    <w:rPr>
      <w:rFonts w:eastAsiaTheme="minorEastAsia"/>
      <w:sz w:val="20"/>
      <w:szCs w:val="20"/>
    </w:rPr>
  </w:style>
  <w:style w:type="character" w:styleId="EndnoteReference">
    <w:name w:val="endnote reference"/>
    <w:basedOn w:val="DefaultParagraphFont"/>
    <w:uiPriority w:val="99"/>
    <w:semiHidden/>
    <w:unhideWhenUsed/>
    <w:rsid w:val="00E1220B"/>
    <w:rPr>
      <w:vertAlign w:val="superscript"/>
    </w:rPr>
  </w:style>
  <w:style w:type="paragraph" w:styleId="TOCHeading">
    <w:name w:val="TOC Heading"/>
    <w:basedOn w:val="Heading1"/>
    <w:next w:val="Normal"/>
    <w:uiPriority w:val="39"/>
    <w:unhideWhenUsed/>
    <w:qFormat/>
    <w:rsid w:val="00E1220B"/>
    <w:pPr>
      <w:outlineLvl w:val="9"/>
    </w:pPr>
  </w:style>
  <w:style w:type="paragraph" w:styleId="TOC2">
    <w:name w:val="toc 2"/>
    <w:basedOn w:val="Normal"/>
    <w:next w:val="Normal"/>
    <w:autoRedefine/>
    <w:uiPriority w:val="39"/>
    <w:unhideWhenUsed/>
    <w:rsid w:val="00E1220B"/>
    <w:pPr>
      <w:tabs>
        <w:tab w:val="right" w:leader="dot" w:pos="9350"/>
      </w:tabs>
      <w:bidi/>
      <w:spacing w:after="100"/>
      <w:ind w:left="220"/>
    </w:pPr>
  </w:style>
  <w:style w:type="paragraph" w:styleId="TOC3">
    <w:name w:val="toc 3"/>
    <w:basedOn w:val="Normal"/>
    <w:next w:val="Normal"/>
    <w:autoRedefine/>
    <w:uiPriority w:val="39"/>
    <w:unhideWhenUsed/>
    <w:rsid w:val="00E1220B"/>
    <w:pPr>
      <w:spacing w:after="100"/>
      <w:ind w:left="440"/>
    </w:pPr>
  </w:style>
  <w:style w:type="paragraph" w:styleId="BalloonText">
    <w:name w:val="Balloon Text"/>
    <w:basedOn w:val="Normal"/>
    <w:link w:val="BalloonTextChar"/>
    <w:uiPriority w:val="99"/>
    <w:semiHidden/>
    <w:unhideWhenUsed/>
    <w:rsid w:val="00E122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20B"/>
    <w:rPr>
      <w:rFonts w:ascii="Segoe UI" w:eastAsiaTheme="minorEastAsia" w:hAnsi="Segoe UI" w:cs="Segoe UI"/>
      <w:sz w:val="18"/>
      <w:szCs w:val="18"/>
    </w:rPr>
  </w:style>
  <w:style w:type="paragraph" w:styleId="Caption">
    <w:name w:val="caption"/>
    <w:basedOn w:val="Normal"/>
    <w:next w:val="Normal"/>
    <w:uiPriority w:val="35"/>
    <w:unhideWhenUsed/>
    <w:qFormat/>
    <w:rsid w:val="00E1220B"/>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E1220B"/>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E1220B"/>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E1220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1220B"/>
    <w:rPr>
      <w:rFonts w:asciiTheme="majorHAnsi" w:eastAsiaTheme="majorEastAsia" w:hAnsiTheme="majorHAnsi" w:cstheme="majorBidi"/>
      <w:sz w:val="24"/>
      <w:szCs w:val="24"/>
    </w:rPr>
  </w:style>
  <w:style w:type="character" w:styleId="Strong">
    <w:name w:val="Strong"/>
    <w:basedOn w:val="DefaultParagraphFont"/>
    <w:uiPriority w:val="22"/>
    <w:qFormat/>
    <w:rsid w:val="00E1220B"/>
    <w:rPr>
      <w:b/>
      <w:bCs/>
    </w:rPr>
  </w:style>
  <w:style w:type="character" w:styleId="Emphasis">
    <w:name w:val="Emphasis"/>
    <w:basedOn w:val="DefaultParagraphFont"/>
    <w:uiPriority w:val="20"/>
    <w:qFormat/>
    <w:rsid w:val="00E1220B"/>
    <w:rPr>
      <w:i/>
      <w:iCs/>
    </w:rPr>
  </w:style>
  <w:style w:type="paragraph" w:styleId="Quote">
    <w:name w:val="Quote"/>
    <w:basedOn w:val="Normal"/>
    <w:next w:val="Normal"/>
    <w:link w:val="QuoteChar"/>
    <w:uiPriority w:val="29"/>
    <w:qFormat/>
    <w:rsid w:val="00E1220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1220B"/>
    <w:rPr>
      <w:rFonts w:eastAsiaTheme="minorEastAsia"/>
      <w:i/>
      <w:iCs/>
      <w:color w:val="404040" w:themeColor="text1" w:themeTint="BF"/>
      <w:sz w:val="20"/>
      <w:szCs w:val="20"/>
    </w:rPr>
  </w:style>
  <w:style w:type="paragraph" w:styleId="IntenseQuote">
    <w:name w:val="Intense Quote"/>
    <w:basedOn w:val="Normal"/>
    <w:next w:val="Normal"/>
    <w:link w:val="IntenseQuoteChar"/>
    <w:uiPriority w:val="30"/>
    <w:qFormat/>
    <w:rsid w:val="00E1220B"/>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E1220B"/>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E1220B"/>
    <w:rPr>
      <w:i/>
      <w:iCs/>
      <w:color w:val="404040" w:themeColor="text1" w:themeTint="BF"/>
    </w:rPr>
  </w:style>
  <w:style w:type="character" w:styleId="IntenseEmphasis">
    <w:name w:val="Intense Emphasis"/>
    <w:basedOn w:val="DefaultParagraphFont"/>
    <w:uiPriority w:val="21"/>
    <w:qFormat/>
    <w:rsid w:val="00E1220B"/>
    <w:rPr>
      <w:b/>
      <w:bCs/>
      <w:i/>
      <w:iCs/>
    </w:rPr>
  </w:style>
  <w:style w:type="character" w:styleId="SubtleReference">
    <w:name w:val="Subtle Reference"/>
    <w:basedOn w:val="DefaultParagraphFont"/>
    <w:uiPriority w:val="31"/>
    <w:qFormat/>
    <w:rsid w:val="00E1220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1220B"/>
    <w:rPr>
      <w:b/>
      <w:bCs/>
      <w:smallCaps/>
      <w:spacing w:val="5"/>
      <w:u w:val="single"/>
    </w:rPr>
  </w:style>
  <w:style w:type="character" w:styleId="BookTitle">
    <w:name w:val="Book Title"/>
    <w:basedOn w:val="DefaultParagraphFont"/>
    <w:uiPriority w:val="33"/>
    <w:qFormat/>
    <w:rsid w:val="00E1220B"/>
    <w:rPr>
      <w:b/>
      <w:bCs/>
      <w:smallCaps/>
    </w:rPr>
  </w:style>
  <w:style w:type="paragraph" w:styleId="TOC1">
    <w:name w:val="toc 1"/>
    <w:basedOn w:val="Normal"/>
    <w:next w:val="Normal"/>
    <w:autoRedefine/>
    <w:uiPriority w:val="39"/>
    <w:unhideWhenUsed/>
    <w:rsid w:val="00E1220B"/>
    <w:pPr>
      <w:tabs>
        <w:tab w:val="right" w:leader="dot" w:pos="8805"/>
      </w:tabs>
      <w:bidi/>
      <w:spacing w:after="100"/>
    </w:pPr>
    <w:rPr>
      <w:rFonts w:cs="B Titr"/>
      <w:noProof/>
      <w:sz w:val="28"/>
      <w:szCs w:val="28"/>
      <w:lang w:bidi="fa-IR"/>
    </w:rPr>
  </w:style>
  <w:style w:type="table" w:styleId="TableGrid">
    <w:name w:val="Table Grid"/>
    <w:basedOn w:val="TableNormal"/>
    <w:uiPriority w:val="39"/>
    <w:rsid w:val="00E1220B"/>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E1220B"/>
    <w:rPr>
      <w:rFonts w:eastAsiaTheme="minorEastAsia"/>
      <w:sz w:val="20"/>
      <w:szCs w:val="20"/>
    </w:rPr>
  </w:style>
  <w:style w:type="character" w:customStyle="1" w:styleId="UnresolvedMention1">
    <w:name w:val="Unresolved Mention1"/>
    <w:basedOn w:val="DefaultParagraphFont"/>
    <w:uiPriority w:val="99"/>
    <w:semiHidden/>
    <w:unhideWhenUsed/>
    <w:rsid w:val="00E1220B"/>
    <w:rPr>
      <w:color w:val="605E5C"/>
      <w:shd w:val="clear" w:color="auto" w:fill="E1DFDD"/>
    </w:rPr>
  </w:style>
  <w:style w:type="table" w:styleId="PlainTable1">
    <w:name w:val="Plain Table 1"/>
    <w:basedOn w:val="TableNormal"/>
    <w:uiPriority w:val="41"/>
    <w:rsid w:val="00E1220B"/>
    <w:pPr>
      <w:spacing w:after="0" w:line="240" w:lineRule="auto"/>
    </w:pPr>
    <w:rPr>
      <w:rFonts w:eastAsiaTheme="minorEastAsia"/>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E122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925</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James Boit</cp:lastModifiedBy>
  <cp:revision>2</cp:revision>
  <dcterms:created xsi:type="dcterms:W3CDTF">2024-08-19T17:21:00Z</dcterms:created>
  <dcterms:modified xsi:type="dcterms:W3CDTF">2024-08-19T17:21:00Z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dc8c0236-e17a-498d-8d1d-7b494b68c43c</vt:lpwstr>
  </property>
</Properties>
</file>