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27A52" w14:textId="4D33462A" w:rsidR="000869D5" w:rsidRPr="000A0968" w:rsidRDefault="007E1FB5" w:rsidP="000869D5">
      <w:pPr>
        <w:spacing w:line="276" w:lineRule="auto"/>
        <w:jc w:val="both"/>
        <w:rPr>
          <w:rFonts w:ascii="Times New Roman" w:hAnsi="Times New Roman" w:cs="Times New Roman"/>
          <w:b/>
          <w:bCs/>
        </w:rPr>
      </w:pPr>
      <w:r w:rsidRPr="000A0968">
        <w:rPr>
          <w:rFonts w:ascii="Times New Roman" w:hAnsi="Times New Roman" w:cs="Times New Roman"/>
          <w:b/>
          <w:bCs/>
        </w:rPr>
        <w:t xml:space="preserve">Human Rights </w:t>
      </w:r>
      <w:r w:rsidR="007A0512">
        <w:rPr>
          <w:rFonts w:ascii="Times New Roman" w:hAnsi="Times New Roman" w:cs="Times New Roman"/>
          <w:b/>
          <w:bCs/>
        </w:rPr>
        <w:t xml:space="preserve">in </w:t>
      </w:r>
      <w:r w:rsidRPr="000A0968">
        <w:rPr>
          <w:rFonts w:ascii="Times New Roman" w:hAnsi="Times New Roman" w:cs="Times New Roman"/>
          <w:b/>
          <w:bCs/>
        </w:rPr>
        <w:t>Democracy Center (</w:t>
      </w:r>
      <w:r w:rsidR="00A36871" w:rsidRPr="000A0968">
        <w:rPr>
          <w:rFonts w:ascii="Times New Roman" w:hAnsi="Times New Roman" w:cs="Times New Roman"/>
          <w:b/>
          <w:bCs/>
        </w:rPr>
        <w:t>HRDC) submission</w:t>
      </w:r>
      <w:r w:rsidRPr="000A0968">
        <w:rPr>
          <w:rFonts w:ascii="Times New Roman" w:hAnsi="Times New Roman" w:cs="Times New Roman"/>
          <w:b/>
          <w:bCs/>
        </w:rPr>
        <w:t xml:space="preserve"> to CEDAW committee follow-up on Albania (co/5)</w:t>
      </w:r>
    </w:p>
    <w:p w14:paraId="25C0A225" w14:textId="4C7D6828" w:rsidR="007A0512" w:rsidRPr="00A36871" w:rsidRDefault="007A0512" w:rsidP="001F55A3">
      <w:pPr>
        <w:spacing w:line="276" w:lineRule="auto"/>
        <w:jc w:val="both"/>
        <w:rPr>
          <w:rFonts w:ascii="Times New Roman" w:hAnsi="Times New Roman" w:cs="Times New Roman"/>
          <w:lang w:val="pt-BR"/>
        </w:rPr>
      </w:pPr>
      <w:r w:rsidRPr="00A36871">
        <w:rPr>
          <w:rFonts w:ascii="Times New Roman" w:hAnsi="Times New Roman" w:cs="Times New Roman"/>
          <w:lang w:val="pt-BR"/>
        </w:rPr>
        <w:t>Focus: Paragraphs 12(a), 24(b), 28(b), 36(d)</w:t>
      </w:r>
    </w:p>
    <w:p w14:paraId="098500CD" w14:textId="596F814F" w:rsidR="001F55A3" w:rsidRPr="001F55A3" w:rsidRDefault="001F55A3" w:rsidP="001F55A3">
      <w:pPr>
        <w:spacing w:line="276" w:lineRule="auto"/>
        <w:jc w:val="both"/>
        <w:rPr>
          <w:rFonts w:ascii="Times New Roman" w:hAnsi="Times New Roman" w:cs="Times New Roman"/>
        </w:rPr>
      </w:pPr>
      <w:r w:rsidRPr="001F55A3">
        <w:rPr>
          <w:rFonts w:ascii="Times New Roman" w:hAnsi="Times New Roman" w:cs="Times New Roman"/>
        </w:rPr>
        <w:t>Human Rights in Democracy Center (HRDC) is a non-profit and non-religious organization whose mission is to work towards the protection and promotion of fundamental human rights and freedoms in Albania, as well as to raise awareness within Albanian society regarding the rule of law and human rights, with a particular focus on the most vulnerable groups of society, such as women and girls, minors, minorities, etc.</w:t>
      </w:r>
    </w:p>
    <w:p w14:paraId="4E7C75D7" w14:textId="77777777" w:rsidR="001F55A3" w:rsidRPr="001F55A3" w:rsidRDefault="001F55A3" w:rsidP="001F55A3">
      <w:pPr>
        <w:spacing w:line="276" w:lineRule="auto"/>
        <w:jc w:val="both"/>
        <w:rPr>
          <w:rFonts w:ascii="Times New Roman" w:hAnsi="Times New Roman" w:cs="Times New Roman"/>
        </w:rPr>
      </w:pPr>
      <w:r w:rsidRPr="001F55A3">
        <w:rPr>
          <w:rFonts w:ascii="Times New Roman" w:hAnsi="Times New Roman" w:cs="Times New Roman"/>
        </w:rPr>
        <w:t>HRDC is an organization that works directly in the field through the organization of awareness-raising campaigns and activities, capacity-building initiatives for service providers (through training sessions with police officers, doctors, teachers, local government employees, bailiffs, etc.), as well as through the provision of support services.</w:t>
      </w:r>
    </w:p>
    <w:p w14:paraId="17C189E2" w14:textId="122069A3" w:rsidR="001F55A3" w:rsidRPr="001F55A3" w:rsidRDefault="001F55A3" w:rsidP="001F55A3">
      <w:pPr>
        <w:spacing w:line="276" w:lineRule="auto"/>
        <w:jc w:val="both"/>
        <w:rPr>
          <w:rFonts w:ascii="Times New Roman" w:hAnsi="Times New Roman" w:cs="Times New Roman"/>
        </w:rPr>
      </w:pPr>
      <w:r w:rsidRPr="001F55A3">
        <w:rPr>
          <w:rFonts w:ascii="Times New Roman" w:hAnsi="Times New Roman" w:cs="Times New Roman"/>
        </w:rPr>
        <w:t xml:space="preserve">Since 2015, the Center has monitored the decisions of the Tirana Court of First </w:t>
      </w:r>
      <w:r w:rsidR="00BD4E33" w:rsidRPr="001F55A3">
        <w:rPr>
          <w:rFonts w:ascii="Times New Roman" w:hAnsi="Times New Roman" w:cs="Times New Roman"/>
        </w:rPr>
        <w:t>Instance concerning</w:t>
      </w:r>
      <w:r w:rsidRPr="001F55A3">
        <w:rPr>
          <w:rFonts w:ascii="Times New Roman" w:hAnsi="Times New Roman" w:cs="Times New Roman"/>
        </w:rPr>
        <w:t xml:space="preserve"> the rights of victims of domestic violence in civil and criminal court proceedings, and has prepared four Monitoring Reports covering the years 2012, 2015, 2017, 2020, 2021</w:t>
      </w:r>
      <w:r w:rsidR="00BD4E33">
        <w:rPr>
          <w:rFonts w:ascii="Times New Roman" w:hAnsi="Times New Roman" w:cs="Times New Roman"/>
        </w:rPr>
        <w:t xml:space="preserve">, </w:t>
      </w:r>
      <w:r w:rsidR="00BD4E33" w:rsidRPr="00BD4E33">
        <w:rPr>
          <w:rFonts w:ascii="Times New Roman" w:hAnsi="Times New Roman" w:cs="Times New Roman"/>
          <w:highlight w:val="yellow"/>
        </w:rPr>
        <w:t>2024 -2025 (Monitoring of Femicide cases to Court if serious crimes)</w:t>
      </w:r>
      <w:r w:rsidRPr="00BD4E33">
        <w:rPr>
          <w:rFonts w:ascii="Times New Roman" w:hAnsi="Times New Roman" w:cs="Times New Roman"/>
          <w:highlight w:val="yellow"/>
        </w:rPr>
        <w:t>.</w:t>
      </w:r>
    </w:p>
    <w:p w14:paraId="76D34F3B" w14:textId="77777777" w:rsidR="001F55A3" w:rsidRPr="001F55A3" w:rsidRDefault="001F55A3" w:rsidP="001F55A3">
      <w:pPr>
        <w:spacing w:line="276" w:lineRule="auto"/>
        <w:jc w:val="both"/>
        <w:rPr>
          <w:rFonts w:ascii="Times New Roman" w:hAnsi="Times New Roman" w:cs="Times New Roman"/>
        </w:rPr>
      </w:pPr>
      <w:r w:rsidRPr="001F55A3">
        <w:rPr>
          <w:rFonts w:ascii="Times New Roman" w:hAnsi="Times New Roman" w:cs="Times New Roman"/>
        </w:rPr>
        <w:t>The Center monitors the implementation of laws in practice and undertakes initiatives aimed at improving legislation in the field of human rights protection, with a particular focus on gender equality, gender-based violence, and domestic violence.</w:t>
      </w:r>
    </w:p>
    <w:p w14:paraId="23938A1D" w14:textId="712B3B17" w:rsidR="001F55A3" w:rsidRPr="00BD4E33" w:rsidRDefault="001F55A3" w:rsidP="001F55A3">
      <w:pPr>
        <w:spacing w:line="276" w:lineRule="auto"/>
        <w:jc w:val="both"/>
        <w:rPr>
          <w:rFonts w:ascii="Times New Roman" w:hAnsi="Times New Roman" w:cs="Times New Roman"/>
          <w:i/>
          <w:iCs/>
        </w:rPr>
      </w:pPr>
      <w:r w:rsidRPr="001F55A3">
        <w:rPr>
          <w:rFonts w:ascii="Times New Roman" w:hAnsi="Times New Roman" w:cs="Times New Roman"/>
        </w:rPr>
        <w:t xml:space="preserve">HRDC has been an accredited lobbying organization with the Assembly of the Republic of Albania since 2019 and has continuously contributed to the amendment of legislation against domestic violence and gender-based violence, including Law No. 9669, dated 18.12.2006 </w:t>
      </w:r>
      <w:r w:rsidRPr="00BD4E33">
        <w:rPr>
          <w:rFonts w:ascii="Times New Roman" w:hAnsi="Times New Roman" w:cs="Times New Roman"/>
          <w:i/>
          <w:iCs/>
        </w:rPr>
        <w:t>“On Measures Against Violence in Family Relations,” as amended, and its</w:t>
      </w:r>
      <w:r w:rsidR="00BD4E33">
        <w:rPr>
          <w:rFonts w:ascii="Times New Roman" w:hAnsi="Times New Roman" w:cs="Times New Roman"/>
          <w:i/>
          <w:iCs/>
        </w:rPr>
        <w:t xml:space="preserve"> secondary legislation</w:t>
      </w:r>
      <w:r w:rsidRPr="00BD4E33">
        <w:rPr>
          <w:rFonts w:ascii="Times New Roman" w:hAnsi="Times New Roman" w:cs="Times New Roman"/>
          <w:i/>
          <w:iCs/>
        </w:rPr>
        <w:t>.</w:t>
      </w:r>
    </w:p>
    <w:p w14:paraId="6E2641CA" w14:textId="481A0093" w:rsidR="001F55A3" w:rsidRPr="001F55A3" w:rsidRDefault="00BD4E33" w:rsidP="001F55A3">
      <w:pPr>
        <w:spacing w:line="276" w:lineRule="auto"/>
        <w:jc w:val="both"/>
        <w:rPr>
          <w:rFonts w:ascii="Times New Roman" w:hAnsi="Times New Roman" w:cs="Times New Roman"/>
        </w:rPr>
      </w:pPr>
      <w:r>
        <w:rPr>
          <w:rFonts w:ascii="Times New Roman" w:hAnsi="Times New Roman" w:cs="Times New Roman"/>
          <w:i/>
          <w:iCs/>
        </w:rPr>
        <w:t>On 20</w:t>
      </w:r>
      <w:r w:rsidR="001F55A3" w:rsidRPr="00BD4E33">
        <w:rPr>
          <w:rFonts w:ascii="Times New Roman" w:hAnsi="Times New Roman" w:cs="Times New Roman"/>
          <w:i/>
          <w:iCs/>
        </w:rPr>
        <w:t>25, HRDC made a highly significant contribution to the drafting of Law No. 64/2025 “On Gender Equality” and the new Law No. 11/2026 “On the Prevention of and Protection from Violence Against Women and Domestic Violence</w:t>
      </w:r>
      <w:r w:rsidR="001F55A3" w:rsidRPr="001F55A3">
        <w:rPr>
          <w:rFonts w:ascii="Times New Roman" w:hAnsi="Times New Roman" w:cs="Times New Roman"/>
        </w:rPr>
        <w:t xml:space="preserve">.” HRDC has also contributed to the amendment of several other laws, including Law No. 10221/2010 </w:t>
      </w:r>
      <w:r w:rsidR="001F55A3" w:rsidRPr="00BD4E33">
        <w:rPr>
          <w:rFonts w:ascii="Times New Roman" w:hAnsi="Times New Roman" w:cs="Times New Roman"/>
          <w:i/>
          <w:iCs/>
        </w:rPr>
        <w:t>“On Protection from Discrimination</w:t>
      </w:r>
      <w:r w:rsidR="001F55A3" w:rsidRPr="001F55A3">
        <w:rPr>
          <w:rFonts w:ascii="Times New Roman" w:hAnsi="Times New Roman" w:cs="Times New Roman"/>
        </w:rPr>
        <w:t>,” Law No. 111/2017 “On State Guaranteed Legal Aid,” and Law No. 22/2018 “On Social Housing.”</w:t>
      </w:r>
    </w:p>
    <w:p w14:paraId="4CB6D89F" w14:textId="77777777" w:rsidR="001F55A3" w:rsidRPr="001F55A3" w:rsidRDefault="001F55A3" w:rsidP="001F55A3">
      <w:pPr>
        <w:spacing w:line="276" w:lineRule="auto"/>
        <w:jc w:val="both"/>
        <w:rPr>
          <w:rFonts w:ascii="Times New Roman" w:hAnsi="Times New Roman" w:cs="Times New Roman"/>
        </w:rPr>
      </w:pPr>
      <w:r w:rsidRPr="001F55A3">
        <w:rPr>
          <w:rFonts w:ascii="Times New Roman" w:hAnsi="Times New Roman" w:cs="Times New Roman"/>
        </w:rPr>
        <w:t>Furthermore, HRDC has contributed to the drafting of Strategies, Action Plans, Protocols, and Standard Operating Procedures (SOPs) related to issues of gender-based violence and domestic violence.</w:t>
      </w:r>
    </w:p>
    <w:p w14:paraId="3A580E17" w14:textId="7CD7DA49" w:rsidR="001F55A3" w:rsidRDefault="001F55A3" w:rsidP="000869D5">
      <w:pPr>
        <w:spacing w:line="276" w:lineRule="auto"/>
        <w:jc w:val="both"/>
        <w:rPr>
          <w:rFonts w:ascii="Times New Roman" w:hAnsi="Times New Roman" w:cs="Times New Roman"/>
        </w:rPr>
      </w:pPr>
      <w:r w:rsidRPr="001F55A3">
        <w:rPr>
          <w:rFonts w:ascii="Times New Roman" w:hAnsi="Times New Roman" w:cs="Times New Roman"/>
        </w:rPr>
        <w:t>HRDC has also made an important contribution to the drafting of a number of shadow/alternative reports for GREVIO, CEDAW, UPR, CERD, and other international human rights mechanisms.</w:t>
      </w:r>
    </w:p>
    <w:p w14:paraId="0C70EAA5" w14:textId="77777777" w:rsidR="000869D5" w:rsidRPr="000869D5" w:rsidRDefault="000869D5" w:rsidP="000869D5">
      <w:pPr>
        <w:spacing w:line="276" w:lineRule="auto"/>
        <w:jc w:val="both"/>
        <w:rPr>
          <w:rFonts w:ascii="Times New Roman" w:hAnsi="Times New Roman" w:cs="Times New Roman"/>
        </w:rPr>
      </w:pPr>
      <w:r w:rsidRPr="000869D5">
        <w:rPr>
          <w:rFonts w:ascii="Times New Roman" w:hAnsi="Times New Roman" w:cs="Times New Roman"/>
        </w:rPr>
        <w:t xml:space="preserve">This submission provides an assessment of developments in Albania relevant to the follow-up recommendations issued by the Committee on the Elimination of Discrimination against Women </w:t>
      </w:r>
      <w:r w:rsidRPr="000869D5">
        <w:rPr>
          <w:rFonts w:ascii="Times New Roman" w:hAnsi="Times New Roman" w:cs="Times New Roman"/>
        </w:rPr>
        <w:lastRenderedPageBreak/>
        <w:t>(CEDAW) in its Concluding Observations on the fifth periodic report of Albania (CEDAW/C/ALB/CO/5). It focuses on four priority areas: the legal framework on gender equality, criminal law reform on sexual violence, women’s political participation and representation, and access to healthcare services, including measures addressing sex-selective abortion. The analysis reflects recent legislative reforms, particularly Law No. 64/2025 on Gender Equality, ongoing reform of the Criminal Code, and persistent gaps between normative advances and effective implementation.</w:t>
      </w:r>
    </w:p>
    <w:p w14:paraId="41388CB6" w14:textId="10A7F55B" w:rsidR="000869D5" w:rsidRPr="00F3048D" w:rsidRDefault="000869D5" w:rsidP="000869D5">
      <w:pPr>
        <w:spacing w:line="276" w:lineRule="auto"/>
        <w:jc w:val="both"/>
        <w:rPr>
          <w:rFonts w:ascii="Times New Roman" w:hAnsi="Times New Roman" w:cs="Times New Roman"/>
          <w:b/>
          <w:bCs/>
        </w:rPr>
      </w:pPr>
      <w:r w:rsidRPr="00F3048D">
        <w:rPr>
          <w:rFonts w:ascii="Times New Roman" w:hAnsi="Times New Roman" w:cs="Times New Roman"/>
          <w:b/>
          <w:bCs/>
        </w:rPr>
        <w:t>Paragraph 12(a): Legal and institutional framework on gender equality</w:t>
      </w:r>
    </w:p>
    <w:p w14:paraId="5F3C40A7" w14:textId="333150A0" w:rsidR="007252AB" w:rsidRPr="007252AB" w:rsidRDefault="007252AB" w:rsidP="000869D5">
      <w:pPr>
        <w:spacing w:line="276" w:lineRule="auto"/>
        <w:jc w:val="both"/>
        <w:rPr>
          <w:rFonts w:ascii="Times New Roman" w:hAnsi="Times New Roman" w:cs="Times New Roman"/>
          <w:b/>
          <w:bCs/>
        </w:rPr>
      </w:pPr>
      <w:r w:rsidRPr="007252AB">
        <w:rPr>
          <w:rFonts w:ascii="Times New Roman" w:hAnsi="Times New Roman" w:cs="Times New Roman"/>
          <w:b/>
          <w:bCs/>
        </w:rPr>
        <w:t>The Committee recommends that the State party: (a) Consider revising Law No. 9970/2008 on gender equality in society, in accordance with the commitment made in the National Strategy on Gender Equality, 2021–2030, to accelerate the realization of de jure (legal) and de facto (substantive) gender equality;</w:t>
      </w:r>
    </w:p>
    <w:p w14:paraId="335E12FD" w14:textId="3DEF5632" w:rsidR="00BC158A" w:rsidRPr="00BC158A" w:rsidRDefault="00BC158A" w:rsidP="00BC158A">
      <w:pPr>
        <w:spacing w:line="276" w:lineRule="auto"/>
        <w:jc w:val="both"/>
        <w:rPr>
          <w:rFonts w:ascii="Times New Roman" w:hAnsi="Times New Roman" w:cs="Times New Roman"/>
        </w:rPr>
      </w:pPr>
      <w:r w:rsidRPr="00BC158A">
        <w:rPr>
          <w:rFonts w:ascii="Times New Roman" w:hAnsi="Times New Roman" w:cs="Times New Roman"/>
        </w:rPr>
        <w:t>Albania has undertaken a significant reform of its gender equality framework through the adoption of Law No. 64/2025 on Gender Equality, which replaces the previous 2008 legislation. The new law represents an important legislative milestone aimed at strengthening alignment with CEDAW obligations, EU gender equality standards, and the National Strategy on Gender Equality 2021–2030. It reinforces institutional mechanisms for gender equality, expands obligations for gender mainstreaming across public policies, and strengthens accountability mechanisms at both central and local levels. Importantly, the law moves beyond formal equality and explicitly establishes the objective of achieving substantive equality in practice across all sectors of public and institutional life.</w:t>
      </w:r>
    </w:p>
    <w:p w14:paraId="3A3FC11B" w14:textId="21CA81D9" w:rsidR="00BC158A" w:rsidRPr="00BC158A" w:rsidRDefault="00BC158A" w:rsidP="00BC158A">
      <w:pPr>
        <w:spacing w:line="276" w:lineRule="auto"/>
        <w:jc w:val="both"/>
        <w:rPr>
          <w:rFonts w:ascii="Times New Roman" w:hAnsi="Times New Roman" w:cs="Times New Roman"/>
        </w:rPr>
      </w:pPr>
      <w:r w:rsidRPr="00BC158A">
        <w:rPr>
          <w:rFonts w:ascii="Times New Roman" w:hAnsi="Times New Roman" w:cs="Times New Roman"/>
        </w:rPr>
        <w:t>A key feature of the new legal framework is its expansion of gender equality obligations beyond traditional public administration structures, including stronger requirements for integration of gender perspectives in decision-making processes and policy development. The law also reflects a broader policy shift toward recognizing structural barriers to equality and addressing them through systemic and institutional measures, consistent with international human rights standards.</w:t>
      </w:r>
    </w:p>
    <w:p w14:paraId="619B9449" w14:textId="3ADFFCBB" w:rsidR="000869D5" w:rsidRDefault="00BC158A" w:rsidP="00BC158A">
      <w:pPr>
        <w:spacing w:line="276" w:lineRule="auto"/>
        <w:jc w:val="both"/>
        <w:rPr>
          <w:rFonts w:ascii="Times New Roman" w:hAnsi="Times New Roman" w:cs="Times New Roman"/>
        </w:rPr>
      </w:pPr>
      <w:r w:rsidRPr="00BC158A">
        <w:rPr>
          <w:rFonts w:ascii="Times New Roman" w:hAnsi="Times New Roman" w:cs="Times New Roman"/>
        </w:rPr>
        <w:t>Despite these developments, implementation remains at an early and uneven stage. Key challenges include limited institutional capacity at central and local levels, inconsistent application of gender mainstreaming tools, insufficient integration of gender-responsive budgeting, and underdeveloped monitoring and evaluation systems. Recent assessments and public debate surrounding the implementation of the law also highlight concerns regarding the complexity of translating the new legal framework into practice within existing administrative structures, particularly given the need for extensive institutional adjustments and coordination across sectors. As a result, while Law No. 64/2025 represents a significant modernization of the legal framework, the gap between legislative reform and effective implementation continues to hinder the full realization of de facto gender equality in Albania.</w:t>
      </w:r>
    </w:p>
    <w:p w14:paraId="5B20DB0A" w14:textId="77777777" w:rsidR="00F3048D" w:rsidRPr="000869D5" w:rsidRDefault="00F3048D" w:rsidP="00BC158A">
      <w:pPr>
        <w:spacing w:line="276" w:lineRule="auto"/>
        <w:jc w:val="both"/>
        <w:rPr>
          <w:rFonts w:ascii="Times New Roman" w:hAnsi="Times New Roman" w:cs="Times New Roman"/>
        </w:rPr>
      </w:pPr>
    </w:p>
    <w:p w14:paraId="2894B1E0" w14:textId="77777777" w:rsidR="000869D5" w:rsidRPr="00F3048D" w:rsidRDefault="000869D5" w:rsidP="000869D5">
      <w:pPr>
        <w:spacing w:line="276" w:lineRule="auto"/>
        <w:jc w:val="both"/>
        <w:rPr>
          <w:rFonts w:ascii="Times New Roman" w:hAnsi="Times New Roman" w:cs="Times New Roman"/>
          <w:b/>
          <w:bCs/>
        </w:rPr>
      </w:pPr>
      <w:r w:rsidRPr="00F3048D">
        <w:rPr>
          <w:rFonts w:ascii="Times New Roman" w:hAnsi="Times New Roman" w:cs="Times New Roman"/>
          <w:b/>
          <w:bCs/>
        </w:rPr>
        <w:lastRenderedPageBreak/>
        <w:t>Paragraph 24(b): Criminal law reform and definition of rape</w:t>
      </w:r>
    </w:p>
    <w:p w14:paraId="6B78B3CA" w14:textId="22CB49B5" w:rsidR="000869D5" w:rsidRPr="00D710DC" w:rsidRDefault="00D710DC" w:rsidP="000869D5">
      <w:pPr>
        <w:spacing w:line="276" w:lineRule="auto"/>
        <w:jc w:val="both"/>
        <w:rPr>
          <w:rFonts w:ascii="Times New Roman" w:hAnsi="Times New Roman" w:cs="Times New Roman"/>
          <w:b/>
          <w:bCs/>
        </w:rPr>
      </w:pPr>
      <w:r w:rsidRPr="00D710DC">
        <w:rPr>
          <w:rFonts w:ascii="Times New Roman" w:hAnsi="Times New Roman" w:cs="Times New Roman"/>
          <w:b/>
          <w:bCs/>
        </w:rPr>
        <w:t>24. In line with its general recommendation No. 35 (2017) on gender-based violence against women, updating general recommendation No. 19, and with Sustainable Development Goal 5.2 on the elimination of all forms of violence against all women and girls in the public and private spheres, the Committee recommends that the State party strictly enforce legislation criminalizing gender-based violence against women, including in sports. It also recommends that the State party: (b) Amend the Criminal Code to incorporate a definition of rape based on lack of consent that covers any non-consensual sexual act and takes into account all coercive circumstances, in line with international human rights standards;</w:t>
      </w:r>
    </w:p>
    <w:p w14:paraId="5C22A912" w14:textId="4570CF88" w:rsidR="006B68C5" w:rsidRPr="006B68C5" w:rsidRDefault="006B68C5" w:rsidP="006B68C5">
      <w:pPr>
        <w:spacing w:line="276" w:lineRule="auto"/>
        <w:jc w:val="both"/>
        <w:rPr>
          <w:rFonts w:ascii="Times New Roman" w:hAnsi="Times New Roman" w:cs="Times New Roman"/>
        </w:rPr>
      </w:pPr>
      <w:r w:rsidRPr="006B68C5">
        <w:rPr>
          <w:rFonts w:ascii="Times New Roman" w:hAnsi="Times New Roman" w:cs="Times New Roman"/>
        </w:rPr>
        <w:t>In relation to paragraph 24(b), Albania is currently engaged in a comprehensive reform of its Criminal Code, a process that has been ongoing for approximately two years and is expected to be finalized by the end of 2026. This reform is intended to strengthen the legal framework on sexual violence and to improve alignment with international human rights standards, including CEDAW General Recommendation No. 35 and the Council of Europe Istanbul Convention.</w:t>
      </w:r>
    </w:p>
    <w:p w14:paraId="434B6A7F" w14:textId="13D66A80" w:rsidR="006B68C5" w:rsidRPr="006B68C5" w:rsidRDefault="006B68C5" w:rsidP="006B68C5">
      <w:pPr>
        <w:spacing w:line="276" w:lineRule="auto"/>
        <w:jc w:val="both"/>
        <w:rPr>
          <w:rFonts w:ascii="Times New Roman" w:hAnsi="Times New Roman" w:cs="Times New Roman"/>
        </w:rPr>
      </w:pPr>
      <w:r w:rsidRPr="006B68C5">
        <w:rPr>
          <w:rFonts w:ascii="Times New Roman" w:hAnsi="Times New Roman" w:cs="Times New Roman"/>
        </w:rPr>
        <w:t>However, despite the ongoing reform process and its extended duration over time, the current legal framework still does not fully incorporate a consent-based definition of rape. The reform has been characterized by a notably prolonged legislative and technical process, which has extended over multiple years before reaching its current advanced stage, contributing to delays in achieving full harmonization with international standards on sexual violence.</w:t>
      </w:r>
    </w:p>
    <w:p w14:paraId="4B6E7670" w14:textId="23C07F07" w:rsidR="006B68C5" w:rsidRPr="006B68C5" w:rsidRDefault="006B68C5" w:rsidP="006B68C5">
      <w:pPr>
        <w:spacing w:line="276" w:lineRule="auto"/>
        <w:jc w:val="both"/>
        <w:rPr>
          <w:rFonts w:ascii="Times New Roman" w:hAnsi="Times New Roman" w:cs="Times New Roman"/>
        </w:rPr>
      </w:pPr>
      <w:r w:rsidRPr="006B68C5">
        <w:rPr>
          <w:rFonts w:ascii="Times New Roman" w:hAnsi="Times New Roman" w:cs="Times New Roman"/>
        </w:rPr>
        <w:t>In practice, sexual violence offences continue to be interpreted through evidentiary requirements linked to force, threat, or coercion, rather than the absence of free, voluntary, and informed consent. This results in inconsistent judicial practice, underreporting of cases, and significant barriers to access to justice for survivors of sexual violence. The length of the reform process has also meant that these gaps have persisted for an extended period, prolonging the period in which survivors remain insufficiently protected under a consent-based legal standard.</w:t>
      </w:r>
    </w:p>
    <w:p w14:paraId="67C29282" w14:textId="77777777" w:rsidR="006B68C5" w:rsidRPr="006B68C5" w:rsidRDefault="006B68C5" w:rsidP="006B68C5">
      <w:pPr>
        <w:spacing w:line="276" w:lineRule="auto"/>
        <w:jc w:val="both"/>
        <w:rPr>
          <w:rFonts w:ascii="Times New Roman" w:hAnsi="Times New Roman" w:cs="Times New Roman"/>
        </w:rPr>
      </w:pPr>
      <w:r w:rsidRPr="006B68C5">
        <w:rPr>
          <w:rFonts w:ascii="Times New Roman" w:hAnsi="Times New Roman" w:cs="Times New Roman"/>
        </w:rPr>
        <w:t>Low prosecution and conviction rates further reflect structural weaknesses in the criminal justice response to sexual violence. It is therefore essential that the forthcoming reform explicitly adopts a consent-based definition of rape, removes ambiguity linked to force-based interpretations, and ensures consistent application across all justice institutions, in full alignment with CEDAW standards and international best practice.</w:t>
      </w:r>
    </w:p>
    <w:p w14:paraId="4E4217A7" w14:textId="650CC484" w:rsidR="000869D5" w:rsidRPr="00F3048D" w:rsidRDefault="000869D5" w:rsidP="000869D5">
      <w:pPr>
        <w:spacing w:line="276" w:lineRule="auto"/>
        <w:jc w:val="both"/>
        <w:rPr>
          <w:rFonts w:ascii="Times New Roman" w:hAnsi="Times New Roman" w:cs="Times New Roman"/>
          <w:b/>
          <w:bCs/>
        </w:rPr>
      </w:pPr>
      <w:r w:rsidRPr="00F3048D">
        <w:rPr>
          <w:rFonts w:ascii="Times New Roman" w:hAnsi="Times New Roman" w:cs="Times New Roman"/>
          <w:b/>
          <w:bCs/>
        </w:rPr>
        <w:t>Paragraph 28(b): Women’s political participation and decision-making</w:t>
      </w:r>
    </w:p>
    <w:p w14:paraId="6610FF92" w14:textId="301E251A" w:rsidR="00855A8B" w:rsidRPr="00855A8B" w:rsidRDefault="00855A8B" w:rsidP="000869D5">
      <w:pPr>
        <w:spacing w:line="276" w:lineRule="auto"/>
        <w:jc w:val="both"/>
        <w:rPr>
          <w:rFonts w:ascii="Times New Roman" w:hAnsi="Times New Roman" w:cs="Times New Roman"/>
          <w:b/>
          <w:bCs/>
        </w:rPr>
      </w:pPr>
      <w:r w:rsidRPr="00855A8B">
        <w:rPr>
          <w:rFonts w:ascii="Times New Roman" w:hAnsi="Times New Roman" w:cs="Times New Roman"/>
          <w:b/>
          <w:bCs/>
        </w:rPr>
        <w:t xml:space="preserve">Recalling its general recommendation No. 23 (1997) on women in political and public life, as well as target 5.5 of the Sustainable Development Goals, the Committee recommends that the State party: (b) Adopt temporary special measures, such as statutory quotas and a gender parity system, in line with article 4 (1) of the Convention and the Committee’s general recommendation No. 25, to ensure the equal representation of women, including rural women, women with disabilities, women belonging to ethnic minorities and lesbian, bisexual, </w:t>
      </w:r>
      <w:r w:rsidRPr="00855A8B">
        <w:rPr>
          <w:rFonts w:ascii="Times New Roman" w:hAnsi="Times New Roman" w:cs="Times New Roman"/>
          <w:b/>
          <w:bCs/>
        </w:rPr>
        <w:lastRenderedPageBreak/>
        <w:t>transgender and intersex women, in Parliament and municipal legislative bodies, the Government, the civil service and the foreign service, in particular at decision-making levels;</w:t>
      </w:r>
    </w:p>
    <w:p w14:paraId="7F717FD5" w14:textId="35DBF783" w:rsidR="000869D5" w:rsidRPr="000869D5" w:rsidRDefault="000869D5" w:rsidP="000869D5">
      <w:pPr>
        <w:spacing w:line="276" w:lineRule="auto"/>
        <w:jc w:val="both"/>
        <w:rPr>
          <w:rFonts w:ascii="Times New Roman" w:hAnsi="Times New Roman" w:cs="Times New Roman"/>
        </w:rPr>
      </w:pPr>
      <w:r w:rsidRPr="000869D5">
        <w:rPr>
          <w:rFonts w:ascii="Times New Roman" w:hAnsi="Times New Roman" w:cs="Times New Roman"/>
        </w:rPr>
        <w:t>Albania has maintained statutory gender quotas in electoral legislation, which have contributed to increased numerical representation of women in Parliament and municipal councils. These measures are now reinforced by Law No. 64/2025 on Gender Equality, which introduces a comprehensive legal framework for gender parity in decision-making systems.</w:t>
      </w:r>
    </w:p>
    <w:p w14:paraId="3F5BF14A" w14:textId="32C347BA" w:rsidR="000869D5" w:rsidRPr="000869D5" w:rsidRDefault="000869D5" w:rsidP="000869D5">
      <w:pPr>
        <w:spacing w:line="276" w:lineRule="auto"/>
        <w:jc w:val="both"/>
        <w:rPr>
          <w:rFonts w:ascii="Times New Roman" w:hAnsi="Times New Roman" w:cs="Times New Roman"/>
        </w:rPr>
      </w:pPr>
      <w:r w:rsidRPr="000869D5">
        <w:rPr>
          <w:rFonts w:ascii="Times New Roman" w:hAnsi="Times New Roman" w:cs="Times New Roman"/>
        </w:rPr>
        <w:t>Article 24 of the law establishes that inclusive and equal gender representation is achieved through parity at 50 per cent for each gender, while ensuring that representation does not fall below 30 per cent for any gender in any decision-making structure. This provision applies across the legislative, executive, and judicial branches, local and central public administration, the diplomatic and consular service, electoral administration bodies, and governance structures within the private sector, including boards and supervisory councils. The law further provides for a progressive transition toward full parity over a 10-year period, requiring the integration of gender diversity criteria into all recruitment and appointment procedures. Importantly, representation below 30 per cent for any gender is explicitly defined as gender discrimination, transforming parity from a policy objective into a legally enforceable standard.</w:t>
      </w:r>
    </w:p>
    <w:p w14:paraId="70080ED5" w14:textId="0EAB3A47" w:rsidR="000869D5" w:rsidRPr="000869D5" w:rsidRDefault="000869D5" w:rsidP="000869D5">
      <w:pPr>
        <w:spacing w:line="276" w:lineRule="auto"/>
        <w:jc w:val="both"/>
        <w:rPr>
          <w:rFonts w:ascii="Times New Roman" w:hAnsi="Times New Roman" w:cs="Times New Roman"/>
        </w:rPr>
      </w:pPr>
      <w:r w:rsidRPr="000869D5">
        <w:rPr>
          <w:rFonts w:ascii="Times New Roman" w:hAnsi="Times New Roman" w:cs="Times New Roman"/>
        </w:rPr>
        <w:t>At the same time, concern is raised regarding the prolonged and slow-moving nature of reforms leading up to this legislative framework. The process of strengthening gender parity provisions has extended over a considerable period, delaying the full establishment of binding parity standards and contributing to a persistent gap between formal commitments and actual representation outcomes. This delayed reform trajectory has limited the speed at which structural inequalities in political representation are being addressed.</w:t>
      </w:r>
    </w:p>
    <w:p w14:paraId="002DF9DE" w14:textId="77777777" w:rsidR="000869D5" w:rsidRPr="000869D5" w:rsidRDefault="000869D5" w:rsidP="000869D5">
      <w:pPr>
        <w:spacing w:line="276" w:lineRule="auto"/>
        <w:jc w:val="both"/>
        <w:rPr>
          <w:rFonts w:ascii="Times New Roman" w:hAnsi="Times New Roman" w:cs="Times New Roman"/>
        </w:rPr>
      </w:pPr>
      <w:r w:rsidRPr="000869D5">
        <w:rPr>
          <w:rFonts w:ascii="Times New Roman" w:hAnsi="Times New Roman" w:cs="Times New Roman"/>
        </w:rPr>
        <w:t>Despite these legal advancements, women continue to face structural barriers to meaningful participation in political and public life. These include unequal access to party nomination processes, limited access to financial and organizational resources, and persistent informal networks of influence that disadvantage women candidates. Intersectional inequalities remain particularly pronounced for rural women, Roma and Egyptian women, women with disabilities, and LBTI women, who remain underrepresented in decision-making positions. The effectiveness of the new parity framework will depend on robust enforcement mechanisms and consistent implementation across all governance levels.</w:t>
      </w:r>
    </w:p>
    <w:p w14:paraId="29F53120" w14:textId="77777777" w:rsidR="000869D5" w:rsidRPr="00F3048D" w:rsidRDefault="000869D5" w:rsidP="000869D5">
      <w:pPr>
        <w:spacing w:line="276" w:lineRule="auto"/>
        <w:jc w:val="both"/>
        <w:rPr>
          <w:rFonts w:ascii="Times New Roman" w:hAnsi="Times New Roman" w:cs="Times New Roman"/>
          <w:b/>
          <w:bCs/>
        </w:rPr>
      </w:pPr>
      <w:r w:rsidRPr="00F3048D">
        <w:rPr>
          <w:rFonts w:ascii="Times New Roman" w:hAnsi="Times New Roman" w:cs="Times New Roman"/>
          <w:b/>
          <w:bCs/>
        </w:rPr>
        <w:t>Paragraph 36(d): Health, reproductive rights, and sex-selective abortion</w:t>
      </w:r>
    </w:p>
    <w:p w14:paraId="3E6A7503" w14:textId="255F8DF4" w:rsidR="000869D5" w:rsidRPr="00D33CDF" w:rsidRDefault="00D33CDF" w:rsidP="000869D5">
      <w:pPr>
        <w:spacing w:line="276" w:lineRule="auto"/>
        <w:jc w:val="both"/>
        <w:rPr>
          <w:rFonts w:ascii="Times New Roman" w:hAnsi="Times New Roman" w:cs="Times New Roman"/>
          <w:b/>
          <w:bCs/>
        </w:rPr>
      </w:pPr>
      <w:r w:rsidRPr="00D33CDF">
        <w:rPr>
          <w:rFonts w:ascii="Times New Roman" w:hAnsi="Times New Roman" w:cs="Times New Roman"/>
          <w:b/>
          <w:bCs/>
        </w:rPr>
        <w:t xml:space="preserve">In line with its general recommendation No. 24 (1999) on women and health and targets 3.1 and 3.7 of the Sustainable Development Goals, to reduce global maternal mortality and ensure universal access to sexual and reproductive health-care services, the Committee recommends that the State party, including through its Primary Health-care Strategy, 2020–2025 and National Action Plan on Sexual and Reproductive Health, 2022–2030, strengthen the access of women to quality health-care services, in particular for rural and older women, </w:t>
      </w:r>
      <w:r w:rsidRPr="00D33CDF">
        <w:rPr>
          <w:rFonts w:ascii="Times New Roman" w:hAnsi="Times New Roman" w:cs="Times New Roman"/>
          <w:b/>
          <w:bCs/>
        </w:rPr>
        <w:lastRenderedPageBreak/>
        <w:t>including by improving the health-care infrastructure, increasing budgetary allocations for the health sector and conducting informational campaigns on women’s health. In particular, it recommends that the State party: (d) Strictly enforce the prohibition of sex-selective abortions and establish services, including helplines, for women who are pressured into undergoing sex - selective abortion.</w:t>
      </w:r>
    </w:p>
    <w:p w14:paraId="4D0D5797" w14:textId="02F88244" w:rsidR="000869D5" w:rsidRPr="000869D5" w:rsidRDefault="000869D5" w:rsidP="000869D5">
      <w:pPr>
        <w:spacing w:line="276" w:lineRule="auto"/>
        <w:jc w:val="both"/>
        <w:rPr>
          <w:rFonts w:ascii="Times New Roman" w:hAnsi="Times New Roman" w:cs="Times New Roman"/>
        </w:rPr>
      </w:pPr>
      <w:r w:rsidRPr="000869D5">
        <w:rPr>
          <w:rFonts w:ascii="Times New Roman" w:hAnsi="Times New Roman" w:cs="Times New Roman"/>
        </w:rPr>
        <w:t>Albania maintains a legal prohibition on sex-selective abortion and has implemented policies aimed at strengthening maternal and reproductive healthcare services, including through national health strategies and public health</w:t>
      </w:r>
      <w:r w:rsidR="00981AA4">
        <w:rPr>
          <w:rFonts w:ascii="Times New Roman" w:hAnsi="Times New Roman" w:cs="Times New Roman"/>
        </w:rPr>
        <w:t xml:space="preserve"> </w:t>
      </w:r>
      <w:r w:rsidRPr="000869D5">
        <w:rPr>
          <w:rFonts w:ascii="Times New Roman" w:hAnsi="Times New Roman" w:cs="Times New Roman"/>
        </w:rPr>
        <w:t>progra</w:t>
      </w:r>
      <w:r w:rsidR="003D50BB">
        <w:rPr>
          <w:rFonts w:ascii="Times New Roman" w:hAnsi="Times New Roman" w:cs="Times New Roman"/>
        </w:rPr>
        <w:t>ms</w:t>
      </w:r>
      <w:r w:rsidRPr="000869D5">
        <w:rPr>
          <w:rFonts w:ascii="Times New Roman" w:hAnsi="Times New Roman" w:cs="Times New Roman"/>
        </w:rPr>
        <w:t>. Efforts have been made to improve access to healthcare, particularly in rural and underserved areas, through investments in primary healthcare infrastructure and service delivery.</w:t>
      </w:r>
    </w:p>
    <w:p w14:paraId="7D063D65" w14:textId="59E75FFA" w:rsidR="000869D5" w:rsidRPr="007D4DC0" w:rsidRDefault="000869D5" w:rsidP="000869D5">
      <w:pPr>
        <w:spacing w:line="276" w:lineRule="auto"/>
        <w:jc w:val="both"/>
        <w:rPr>
          <w:rFonts w:ascii="Times New Roman" w:hAnsi="Times New Roman" w:cs="Times New Roman"/>
          <w:b/>
          <w:bCs/>
          <w:i/>
          <w:iCs/>
        </w:rPr>
      </w:pPr>
      <w:r w:rsidRPr="007D4DC0">
        <w:rPr>
          <w:rFonts w:ascii="Times New Roman" w:hAnsi="Times New Roman" w:cs="Times New Roman"/>
          <w:b/>
          <w:bCs/>
          <w:i/>
          <w:iCs/>
        </w:rPr>
        <w:t>However, concerns remain regarding enforcement of the prohibition on sex-selective abortion, as well as the persistence of social and cultural norms that may influence reproductive decision-making in certain contexts. Monitoring systems and data collection mechanisms in this area remain limited, reducing the ability to assess prevalence and enforcement effectiveness. In addition, support services for women facing coercion or pressure to undergo sex-selective abortion, including confidential helplines and specialized psychosocial counselling, remain insufficiently developed. Persistent disparities in access to quality reproductive healthcare between urban and rural areas further contribute to inequality in health outcomes.</w:t>
      </w:r>
    </w:p>
    <w:p w14:paraId="65CD6B1E" w14:textId="0EEBFF3B" w:rsidR="000869D5" w:rsidRPr="00141FBB" w:rsidRDefault="000869D5" w:rsidP="000869D5">
      <w:pPr>
        <w:spacing w:line="276" w:lineRule="auto"/>
        <w:jc w:val="both"/>
        <w:rPr>
          <w:rFonts w:ascii="Times New Roman" w:hAnsi="Times New Roman" w:cs="Times New Roman"/>
          <w:b/>
          <w:bCs/>
        </w:rPr>
      </w:pPr>
      <w:r w:rsidRPr="00724E14">
        <w:rPr>
          <w:rFonts w:ascii="Times New Roman" w:hAnsi="Times New Roman" w:cs="Times New Roman"/>
          <w:b/>
          <w:bCs/>
        </w:rPr>
        <w:t>Conclusion</w:t>
      </w:r>
    </w:p>
    <w:p w14:paraId="44FDC944" w14:textId="6E25ED4A" w:rsidR="00EB456D" w:rsidRPr="00EB456D" w:rsidRDefault="00EB456D" w:rsidP="00EB456D">
      <w:pPr>
        <w:spacing w:line="276" w:lineRule="auto"/>
        <w:jc w:val="both"/>
        <w:rPr>
          <w:rFonts w:ascii="Times New Roman" w:hAnsi="Times New Roman" w:cs="Times New Roman"/>
        </w:rPr>
      </w:pPr>
      <w:r w:rsidRPr="00EB456D">
        <w:rPr>
          <w:rFonts w:ascii="Times New Roman" w:hAnsi="Times New Roman" w:cs="Times New Roman"/>
        </w:rPr>
        <w:t xml:space="preserve">Albania has undertaken a series of important legislative and policy developments in response to the CEDAW Committee’s follow-up recommendations in paragraphs 12(a), 24(b), 28(b), and 36(d), most notably through the adoption of </w:t>
      </w:r>
      <w:r w:rsidR="007D4DC0">
        <w:rPr>
          <w:rFonts w:ascii="Times New Roman" w:hAnsi="Times New Roman" w:cs="Times New Roman"/>
        </w:rPr>
        <w:t>‘</w:t>
      </w:r>
      <w:r w:rsidRPr="007D4DC0">
        <w:rPr>
          <w:rFonts w:ascii="Times New Roman" w:hAnsi="Times New Roman" w:cs="Times New Roman"/>
          <w:b/>
          <w:bCs/>
          <w:i/>
          <w:iCs/>
        </w:rPr>
        <w:t>Law No. 64/2025 on Gender Equality</w:t>
      </w:r>
      <w:r w:rsidR="007D4DC0">
        <w:rPr>
          <w:rFonts w:ascii="Times New Roman" w:hAnsi="Times New Roman" w:cs="Times New Roman"/>
          <w:b/>
          <w:bCs/>
          <w:i/>
          <w:iCs/>
        </w:rPr>
        <w:t>’</w:t>
      </w:r>
      <w:r w:rsidRPr="00EB456D">
        <w:rPr>
          <w:rFonts w:ascii="Times New Roman" w:hAnsi="Times New Roman" w:cs="Times New Roman"/>
        </w:rPr>
        <w:t xml:space="preserve"> and the ongoing reform of the Criminal Code. These reforms indicate a clear normative shift toward strengthening the legal </w:t>
      </w:r>
      <w:r w:rsidR="00D56C3F">
        <w:rPr>
          <w:rFonts w:ascii="Times New Roman" w:hAnsi="Times New Roman" w:cs="Times New Roman"/>
        </w:rPr>
        <w:t xml:space="preserve">landscape </w:t>
      </w:r>
      <w:r w:rsidRPr="00EB456D">
        <w:rPr>
          <w:rFonts w:ascii="Times New Roman" w:hAnsi="Times New Roman" w:cs="Times New Roman"/>
        </w:rPr>
        <w:t>for gender equality, aligning national legislation with international human rights obligations under CEDAW, the Istanbul Convention, and relevant EU gender equality standards. In particular, the introduction of a parity-based framework in Article 24 of the Gender Equality Law represents a significant advancement in establishing legally binding standards for balanced representation in decision-making across public and private institutions.</w:t>
      </w:r>
    </w:p>
    <w:p w14:paraId="5C4568F2" w14:textId="4484BFEF" w:rsidR="00EB456D" w:rsidRPr="00EB456D" w:rsidRDefault="00EB456D" w:rsidP="00EB456D">
      <w:pPr>
        <w:spacing w:line="276" w:lineRule="auto"/>
        <w:jc w:val="both"/>
        <w:rPr>
          <w:rFonts w:ascii="Times New Roman" w:hAnsi="Times New Roman" w:cs="Times New Roman"/>
        </w:rPr>
      </w:pPr>
      <w:r w:rsidRPr="00EB456D">
        <w:rPr>
          <w:rFonts w:ascii="Times New Roman" w:hAnsi="Times New Roman" w:cs="Times New Roman"/>
        </w:rPr>
        <w:t xml:space="preserve">At the same time, the analysis </w:t>
      </w:r>
      <w:r w:rsidR="0071322F">
        <w:rPr>
          <w:rFonts w:ascii="Times New Roman" w:hAnsi="Times New Roman" w:cs="Times New Roman"/>
        </w:rPr>
        <w:t xml:space="preserve">note that </w:t>
      </w:r>
      <w:r w:rsidRPr="00EB456D">
        <w:rPr>
          <w:rFonts w:ascii="Times New Roman" w:hAnsi="Times New Roman" w:cs="Times New Roman"/>
        </w:rPr>
        <w:t xml:space="preserve">these reforms remain in an early stage of implementation and that a persistent gap exists between legislative ambition and practical outcomes. Across all four thematic areas, structural and institutional constraints continue to limit the effective realization of women’s rights in practice. These include limited administrative and technical capacity within responsible institutions, uneven application of gender mainstreaming and equality tools, and underdeveloped systems for monitoring, evaluation, and accountability. </w:t>
      </w:r>
      <w:r w:rsidRPr="00466CD2">
        <w:rPr>
          <w:rFonts w:ascii="Times New Roman" w:hAnsi="Times New Roman" w:cs="Times New Roman"/>
          <w:i/>
          <w:iCs/>
        </w:rPr>
        <w:t>As a result, the transition from formal legal compliance to substantive equality remains incomplete.</w:t>
      </w:r>
    </w:p>
    <w:p w14:paraId="0F1FE895" w14:textId="7954CC94" w:rsidR="00EB456D" w:rsidRPr="00EB456D" w:rsidRDefault="00EB456D" w:rsidP="00EB456D">
      <w:pPr>
        <w:spacing w:line="276" w:lineRule="auto"/>
        <w:jc w:val="both"/>
        <w:rPr>
          <w:rFonts w:ascii="Times New Roman" w:hAnsi="Times New Roman" w:cs="Times New Roman"/>
        </w:rPr>
      </w:pPr>
      <w:r w:rsidRPr="00EB456D">
        <w:rPr>
          <w:rFonts w:ascii="Times New Roman" w:hAnsi="Times New Roman" w:cs="Times New Roman"/>
        </w:rPr>
        <w:t xml:space="preserve">In the area of violence against women, particularly under paragraph 24(b), </w:t>
      </w:r>
      <w:r w:rsidRPr="00466CD2">
        <w:rPr>
          <w:rFonts w:ascii="Times New Roman" w:hAnsi="Times New Roman" w:cs="Times New Roman"/>
          <w:b/>
          <w:bCs/>
        </w:rPr>
        <w:t>the ongoing and prolonged reform of the Criminal Code underscores both progress and delay</w:t>
      </w:r>
      <w:r w:rsidRPr="00EB456D">
        <w:rPr>
          <w:rFonts w:ascii="Times New Roman" w:hAnsi="Times New Roman" w:cs="Times New Roman"/>
        </w:rPr>
        <w:t xml:space="preserve">. While the </w:t>
      </w:r>
      <w:r w:rsidRPr="00EB456D">
        <w:rPr>
          <w:rFonts w:ascii="Times New Roman" w:hAnsi="Times New Roman" w:cs="Times New Roman"/>
        </w:rPr>
        <w:lastRenderedPageBreak/>
        <w:t>reform process reflects political recognition of the need for alignment with international standards, its extended duration has contributed to the persistence of a force-based legal framework for rape, which does not fully meet the requirements of a consent-based approach under CEDAW General Recommendation No. 35. This continued gap has practical consequences, including inconsistent judicial interpretation, underreporting, and barriers to justice for survivors of sexual violence.</w:t>
      </w:r>
    </w:p>
    <w:p w14:paraId="2F4B49D8" w14:textId="453935E3" w:rsidR="00EB456D" w:rsidRPr="00EB456D" w:rsidRDefault="00EB456D" w:rsidP="00EB456D">
      <w:pPr>
        <w:spacing w:line="276" w:lineRule="auto"/>
        <w:jc w:val="both"/>
        <w:rPr>
          <w:rFonts w:ascii="Times New Roman" w:hAnsi="Times New Roman" w:cs="Times New Roman"/>
        </w:rPr>
      </w:pPr>
      <w:r w:rsidRPr="00EB456D">
        <w:rPr>
          <w:rFonts w:ascii="Times New Roman" w:hAnsi="Times New Roman" w:cs="Times New Roman"/>
        </w:rPr>
        <w:t>Regarding women’s political participation under paragraph 28(b), the introduction of a comprehensive parity framework through Article 24 of Law No. 64/2025 marks a substantial normative development. However, the prolonged and gradual nature of reforms leading to this point has slowed the achievement of binding parity standards in practice. Structural barriers within political institutions, including party nomination processes, unequal access to resources, and entrenched informal power networks, continue to limit women’s meaningful participation, particularly for women facing intersecting forms of discrimination.</w:t>
      </w:r>
    </w:p>
    <w:p w14:paraId="5EE89098" w14:textId="6925BA51" w:rsidR="00EB456D" w:rsidRPr="00EB456D" w:rsidRDefault="00EB456D" w:rsidP="00EB456D">
      <w:pPr>
        <w:spacing w:line="276" w:lineRule="auto"/>
        <w:jc w:val="both"/>
        <w:rPr>
          <w:rFonts w:ascii="Times New Roman" w:hAnsi="Times New Roman" w:cs="Times New Roman"/>
        </w:rPr>
      </w:pPr>
      <w:r w:rsidRPr="00EB456D">
        <w:rPr>
          <w:rFonts w:ascii="Times New Roman" w:hAnsi="Times New Roman" w:cs="Times New Roman"/>
        </w:rPr>
        <w:t>In the area of health and reproductive rights under paragraph 36(d), Albania maintains a legal prohibition on sex-selective abortion and has taken steps to strengthen access to healthcare services, including in rural areas. Nevertheless, enforcement challenges, limited data collection systems, and insufficient support services for women facing coercion or pressure remain significant concerns. Persistent inequalities in access to quality reproductive healthcare further contribute to unequal health outcomes for women across different regions and social groups.</w:t>
      </w:r>
    </w:p>
    <w:p w14:paraId="1B2D5206" w14:textId="1AFFFE3F" w:rsidR="000869D5" w:rsidRPr="00F61886" w:rsidRDefault="00EB456D" w:rsidP="00EB456D">
      <w:pPr>
        <w:spacing w:line="276" w:lineRule="auto"/>
        <w:jc w:val="both"/>
        <w:rPr>
          <w:rFonts w:ascii="Times New Roman" w:hAnsi="Times New Roman" w:cs="Times New Roman"/>
        </w:rPr>
      </w:pPr>
      <w:r w:rsidRPr="00EB456D">
        <w:rPr>
          <w:rFonts w:ascii="Times New Roman" w:hAnsi="Times New Roman" w:cs="Times New Roman"/>
        </w:rPr>
        <w:t>Overall, while Albania has made measurable progress in strengthening its legal and policy framework on gender equality, the effectiveness of these reforms is contingent upon their implementation. Strengthening institutional capacity, ensuring consistent enforcement of legal standards, accelerating the operationalization of parity provisions, and fully aligning criminal legislation with consent-based standards are essential to closing the gap between law and practice. Sustained efforts in these areas are necessary to ensure the full realization of substantive gender equality and compliance with Albania’s obligations under CEDAW.</w:t>
      </w:r>
    </w:p>
    <w:sectPr w:rsidR="000869D5" w:rsidRPr="00F61886">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A22A3" w14:textId="77777777" w:rsidR="00C32749" w:rsidRDefault="00C32749" w:rsidP="00DB700E">
      <w:pPr>
        <w:spacing w:after="0" w:line="240" w:lineRule="auto"/>
      </w:pPr>
      <w:r>
        <w:separator/>
      </w:r>
    </w:p>
  </w:endnote>
  <w:endnote w:type="continuationSeparator" w:id="0">
    <w:p w14:paraId="7659D8B2" w14:textId="77777777" w:rsidR="00C32749" w:rsidRDefault="00C32749" w:rsidP="00DB7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172414"/>
      <w:docPartObj>
        <w:docPartGallery w:val="Page Numbers (Bottom of Page)"/>
        <w:docPartUnique/>
      </w:docPartObj>
    </w:sdtPr>
    <w:sdtEndPr>
      <w:rPr>
        <w:noProof/>
      </w:rPr>
    </w:sdtEndPr>
    <w:sdtContent>
      <w:p w14:paraId="50F500C2" w14:textId="24EC4343" w:rsidR="00DB700E" w:rsidRDefault="00DB70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9D1EB5" w14:textId="77777777" w:rsidR="00DB700E" w:rsidRDefault="00DB7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7DA80" w14:textId="77777777" w:rsidR="00C32749" w:rsidRDefault="00C32749" w:rsidP="00DB700E">
      <w:pPr>
        <w:spacing w:after="0" w:line="240" w:lineRule="auto"/>
      </w:pPr>
      <w:r>
        <w:separator/>
      </w:r>
    </w:p>
  </w:footnote>
  <w:footnote w:type="continuationSeparator" w:id="0">
    <w:p w14:paraId="6226D040" w14:textId="77777777" w:rsidR="00C32749" w:rsidRDefault="00C32749" w:rsidP="00DB70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886"/>
    <w:rsid w:val="000869D5"/>
    <w:rsid w:val="000A0968"/>
    <w:rsid w:val="000A5CF1"/>
    <w:rsid w:val="001344D7"/>
    <w:rsid w:val="00141FBB"/>
    <w:rsid w:val="0014602F"/>
    <w:rsid w:val="001D5681"/>
    <w:rsid w:val="001F55A3"/>
    <w:rsid w:val="003D50BB"/>
    <w:rsid w:val="00466CD2"/>
    <w:rsid w:val="00616264"/>
    <w:rsid w:val="00667EE5"/>
    <w:rsid w:val="006B68C5"/>
    <w:rsid w:val="0071322F"/>
    <w:rsid w:val="00724E14"/>
    <w:rsid w:val="007252AB"/>
    <w:rsid w:val="007A0512"/>
    <w:rsid w:val="007D4DC0"/>
    <w:rsid w:val="007E1FB5"/>
    <w:rsid w:val="008169F9"/>
    <w:rsid w:val="00855A8B"/>
    <w:rsid w:val="00891AD5"/>
    <w:rsid w:val="00891FCF"/>
    <w:rsid w:val="008D0095"/>
    <w:rsid w:val="00981AA4"/>
    <w:rsid w:val="00A36871"/>
    <w:rsid w:val="00BC158A"/>
    <w:rsid w:val="00BD4E33"/>
    <w:rsid w:val="00C269F2"/>
    <w:rsid w:val="00C32749"/>
    <w:rsid w:val="00D33CDF"/>
    <w:rsid w:val="00D56C3F"/>
    <w:rsid w:val="00D710DC"/>
    <w:rsid w:val="00DB700E"/>
    <w:rsid w:val="00EB456D"/>
    <w:rsid w:val="00EB71F4"/>
    <w:rsid w:val="00F3048D"/>
    <w:rsid w:val="00F61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2605A"/>
  <w15:chartTrackingRefBased/>
  <w15:docId w15:val="{9D2A105C-59CB-4D75-8A1F-80C1F6874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8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18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18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18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18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18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18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18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18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8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18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18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18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18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18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18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18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1886"/>
    <w:rPr>
      <w:rFonts w:eastAsiaTheme="majorEastAsia" w:cstheme="majorBidi"/>
      <w:color w:val="272727" w:themeColor="text1" w:themeTint="D8"/>
    </w:rPr>
  </w:style>
  <w:style w:type="paragraph" w:styleId="Title">
    <w:name w:val="Title"/>
    <w:basedOn w:val="Normal"/>
    <w:next w:val="Normal"/>
    <w:link w:val="TitleChar"/>
    <w:uiPriority w:val="10"/>
    <w:qFormat/>
    <w:rsid w:val="00F618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8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18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18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1886"/>
    <w:pPr>
      <w:spacing w:before="160"/>
      <w:jc w:val="center"/>
    </w:pPr>
    <w:rPr>
      <w:i/>
      <w:iCs/>
      <w:color w:val="404040" w:themeColor="text1" w:themeTint="BF"/>
    </w:rPr>
  </w:style>
  <w:style w:type="character" w:customStyle="1" w:styleId="QuoteChar">
    <w:name w:val="Quote Char"/>
    <w:basedOn w:val="DefaultParagraphFont"/>
    <w:link w:val="Quote"/>
    <w:uiPriority w:val="29"/>
    <w:rsid w:val="00F61886"/>
    <w:rPr>
      <w:i/>
      <w:iCs/>
      <w:color w:val="404040" w:themeColor="text1" w:themeTint="BF"/>
    </w:rPr>
  </w:style>
  <w:style w:type="paragraph" w:styleId="ListParagraph">
    <w:name w:val="List Paragraph"/>
    <w:basedOn w:val="Normal"/>
    <w:uiPriority w:val="34"/>
    <w:qFormat/>
    <w:rsid w:val="00F61886"/>
    <w:pPr>
      <w:ind w:left="720"/>
      <w:contextualSpacing/>
    </w:pPr>
  </w:style>
  <w:style w:type="character" w:styleId="IntenseEmphasis">
    <w:name w:val="Intense Emphasis"/>
    <w:basedOn w:val="DefaultParagraphFont"/>
    <w:uiPriority w:val="21"/>
    <w:qFormat/>
    <w:rsid w:val="00F61886"/>
    <w:rPr>
      <w:i/>
      <w:iCs/>
      <w:color w:val="0F4761" w:themeColor="accent1" w:themeShade="BF"/>
    </w:rPr>
  </w:style>
  <w:style w:type="paragraph" w:styleId="IntenseQuote">
    <w:name w:val="Intense Quote"/>
    <w:basedOn w:val="Normal"/>
    <w:next w:val="Normal"/>
    <w:link w:val="IntenseQuoteChar"/>
    <w:uiPriority w:val="30"/>
    <w:qFormat/>
    <w:rsid w:val="00F618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1886"/>
    <w:rPr>
      <w:i/>
      <w:iCs/>
      <w:color w:val="0F4761" w:themeColor="accent1" w:themeShade="BF"/>
    </w:rPr>
  </w:style>
  <w:style w:type="character" w:styleId="IntenseReference">
    <w:name w:val="Intense Reference"/>
    <w:basedOn w:val="DefaultParagraphFont"/>
    <w:uiPriority w:val="32"/>
    <w:qFormat/>
    <w:rsid w:val="00F61886"/>
    <w:rPr>
      <w:b/>
      <w:bCs/>
      <w:smallCaps/>
      <w:color w:val="0F4761" w:themeColor="accent1" w:themeShade="BF"/>
      <w:spacing w:val="5"/>
    </w:rPr>
  </w:style>
  <w:style w:type="paragraph" w:styleId="Header">
    <w:name w:val="header"/>
    <w:basedOn w:val="Normal"/>
    <w:link w:val="HeaderChar"/>
    <w:uiPriority w:val="99"/>
    <w:unhideWhenUsed/>
    <w:rsid w:val="00DB70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700E"/>
  </w:style>
  <w:style w:type="paragraph" w:styleId="Footer">
    <w:name w:val="footer"/>
    <w:basedOn w:val="Normal"/>
    <w:link w:val="FooterChar"/>
    <w:uiPriority w:val="99"/>
    <w:unhideWhenUsed/>
    <w:rsid w:val="00DB70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7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2700</Words>
  <Characters>15391</Characters>
  <Application>Microsoft Office Word</Application>
  <DocSecurity>0</DocSecurity>
  <Lines>128</Lines>
  <Paragraphs>36</Paragraphs>
  <ScaleCrop>false</ScaleCrop>
  <Company/>
  <LinksUpToDate>false</LinksUpToDate>
  <CharactersWithSpaces>18055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Oltiana Andrea</dc:creator>
  <cp:keywords/>
  <dc:description/>
  <cp:lastModifiedBy>Aferdita Prroni</cp:lastModifiedBy>
  <cp:revision>8</cp:revision>
  <dcterms:created xsi:type="dcterms:W3CDTF">2026-05-28T13:55:00Z</dcterms:created>
  <dcterms:modified xsi:type="dcterms:W3CDTF">2026-05-28T14:02:00Z</dcterms:modified>
</cp:coreProperties>
</file>