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2E5B72" w:rsidRPr="00E65AA3" w:rsidRDefault="00261A88">
      <w:pPr>
        <w:shd w:val="clear" w:color="auto" w:fill="FFFFFF"/>
        <w:ind w:firstLine="720"/>
        <w:jc w:val="center"/>
      </w:pPr>
      <w:r w:rsidRPr="00E65AA3">
        <w:rPr>
          <w:rFonts w:ascii="Calibri" w:eastAsia="Calibri" w:hAnsi="Calibri" w:cs="Calibri"/>
          <w:b/>
          <w:color w:val="000000"/>
          <w:sz w:val="22"/>
          <w:szCs w:val="22"/>
        </w:rPr>
        <w:t>JOINT STAKEHOLDER SUBMISSION TO THE UNITED NATIONS COMMITTEE AGAINST TORTURE REGARDING THE PERIODIC REVIEW OF KENYA</w:t>
      </w:r>
    </w:p>
    <w:p w14:paraId="00000002" w14:textId="77777777" w:rsidR="002E5B72" w:rsidRPr="00E65AA3" w:rsidRDefault="00261A88">
      <w:pPr>
        <w:shd w:val="clear" w:color="auto" w:fill="FFFFFF"/>
        <w:ind w:left="540"/>
        <w:jc w:val="center"/>
      </w:pPr>
      <w:r w:rsidRPr="00E65AA3">
        <w:rPr>
          <w:rFonts w:ascii="Calibri" w:eastAsia="Calibri" w:hAnsi="Calibri" w:cs="Calibri"/>
          <w:b/>
          <w:color w:val="000000"/>
          <w:sz w:val="22"/>
          <w:szCs w:val="22"/>
        </w:rPr>
        <w:t>List of Issues Prior to Reporting (LOIPR) </w:t>
      </w:r>
    </w:p>
    <w:p w14:paraId="00000003" w14:textId="77777777" w:rsidR="002E5B72" w:rsidRPr="00E65AA3" w:rsidRDefault="00261A88">
      <w:pPr>
        <w:shd w:val="clear" w:color="auto" w:fill="FFFFFF"/>
        <w:ind w:left="540"/>
        <w:jc w:val="center"/>
      </w:pPr>
      <w:r w:rsidRPr="00E65AA3">
        <w:rPr>
          <w:rFonts w:ascii="Calibri" w:eastAsia="Calibri" w:hAnsi="Calibri" w:cs="Calibri"/>
          <w:b/>
          <w:color w:val="000000"/>
          <w:sz w:val="22"/>
          <w:szCs w:val="22"/>
        </w:rPr>
        <w:t>(82</w:t>
      </w:r>
      <w:r w:rsidRPr="00E65AA3">
        <w:rPr>
          <w:rFonts w:ascii="Calibri" w:eastAsia="Calibri" w:hAnsi="Calibri" w:cs="Calibri"/>
          <w:b/>
          <w:color w:val="000000"/>
          <w:sz w:val="17"/>
          <w:szCs w:val="17"/>
          <w:vertAlign w:val="superscript"/>
        </w:rPr>
        <w:t>nd</w:t>
      </w:r>
      <w:r w:rsidRPr="00E65AA3">
        <w:rPr>
          <w:rFonts w:ascii="Calibri" w:eastAsia="Calibri" w:hAnsi="Calibri" w:cs="Calibri"/>
          <w:b/>
          <w:color w:val="000000"/>
          <w:sz w:val="22"/>
          <w:szCs w:val="22"/>
        </w:rPr>
        <w:t xml:space="preserve"> Session – April-May 2025)</w:t>
      </w:r>
      <w:r w:rsidRPr="00E65AA3">
        <w:rPr>
          <w:rFonts w:ascii="Calibri" w:eastAsia="Calibri" w:hAnsi="Calibri" w:cs="Calibri"/>
          <w:color w:val="000000"/>
          <w:sz w:val="22"/>
          <w:szCs w:val="22"/>
        </w:rPr>
        <w:t> </w:t>
      </w:r>
    </w:p>
    <w:p w14:paraId="00000004" w14:textId="77777777" w:rsidR="002E5B72" w:rsidRPr="00E65AA3" w:rsidRDefault="00261A88">
      <w:pPr>
        <w:shd w:val="clear" w:color="auto" w:fill="FFFFFF"/>
        <w:spacing w:after="120"/>
        <w:ind w:left="540"/>
        <w:jc w:val="center"/>
      </w:pPr>
      <w:r w:rsidRPr="00E65AA3">
        <w:rPr>
          <w:rFonts w:ascii="Calibri" w:eastAsia="Calibri" w:hAnsi="Calibri" w:cs="Calibri"/>
          <w:sz w:val="22"/>
          <w:szCs w:val="22"/>
        </w:rPr>
        <w:t>13</w:t>
      </w:r>
      <w:r w:rsidRPr="00E65AA3">
        <w:rPr>
          <w:rFonts w:ascii="Calibri" w:eastAsia="Calibri" w:hAnsi="Calibri" w:cs="Calibri"/>
          <w:color w:val="000000"/>
          <w:sz w:val="22"/>
          <w:szCs w:val="22"/>
        </w:rPr>
        <w:t xml:space="preserve"> January 2025</w:t>
      </w:r>
    </w:p>
    <w:p w14:paraId="00000005" w14:textId="77777777" w:rsidR="002E5B72" w:rsidRPr="00E65AA3" w:rsidRDefault="00261A88" w:rsidP="00137E7C">
      <w:pPr>
        <w:pBdr>
          <w:top w:val="nil"/>
          <w:left w:val="nil"/>
          <w:bottom w:val="nil"/>
          <w:right w:val="nil"/>
          <w:between w:val="nil"/>
        </w:pBdr>
        <w:spacing w:after="120"/>
        <w:ind w:left="540"/>
        <w:jc w:val="both"/>
        <w:rPr>
          <w:rFonts w:ascii="Calibri" w:eastAsia="Calibri" w:hAnsi="Calibri" w:cs="Calibri"/>
          <w:color w:val="000000"/>
          <w:sz w:val="22"/>
          <w:szCs w:val="22"/>
        </w:rPr>
      </w:pPr>
      <w:r w:rsidRPr="00E65AA3">
        <w:rPr>
          <w:rFonts w:ascii="Calibri" w:eastAsia="Calibri" w:hAnsi="Calibri" w:cs="Calibri"/>
          <w:color w:val="000000"/>
          <w:sz w:val="22"/>
          <w:szCs w:val="22"/>
        </w:rPr>
        <w:t>The United against Torture Consortium (UATC)</w:t>
      </w:r>
      <w:r w:rsidRPr="00E65AA3">
        <w:rPr>
          <w:rFonts w:ascii="Calibri" w:eastAsia="Calibri" w:hAnsi="Calibri" w:cs="Calibri"/>
          <w:sz w:val="22"/>
          <w:szCs w:val="22"/>
        </w:rPr>
        <w:t xml:space="preserve"> and</w:t>
      </w:r>
      <w:r w:rsidRPr="00E65AA3">
        <w:rPr>
          <w:rFonts w:ascii="Calibri" w:eastAsia="Calibri" w:hAnsi="Calibri" w:cs="Calibri"/>
          <w:color w:val="000000"/>
          <w:sz w:val="22"/>
          <w:szCs w:val="22"/>
        </w:rPr>
        <w:t xml:space="preserve">  the Independent Medico-Legal Unit (IMLU)</w:t>
      </w:r>
      <w:r w:rsidRPr="00E65AA3">
        <w:rPr>
          <w:rFonts w:ascii="Calibri" w:eastAsia="Calibri" w:hAnsi="Calibri" w:cs="Calibri"/>
          <w:sz w:val="22"/>
          <w:szCs w:val="22"/>
        </w:rPr>
        <w:t xml:space="preserve"> </w:t>
      </w:r>
      <w:r w:rsidRPr="00E65AA3">
        <w:rPr>
          <w:rFonts w:ascii="Calibri" w:eastAsia="Calibri" w:hAnsi="Calibri" w:cs="Calibri"/>
          <w:color w:val="000000"/>
          <w:sz w:val="22"/>
          <w:szCs w:val="22"/>
        </w:rPr>
        <w:t xml:space="preserve">write to bring to the UN Committee against Torture’s attention a number of key concerns in relation to torture in Kenya, </w:t>
      </w:r>
      <w:r w:rsidRPr="00E65AA3">
        <w:rPr>
          <w:rFonts w:ascii="Calibri" w:eastAsia="Calibri" w:hAnsi="Calibri" w:cs="Calibri"/>
          <w:sz w:val="22"/>
          <w:szCs w:val="22"/>
        </w:rPr>
        <w:t xml:space="preserve">particularly in </w:t>
      </w:r>
      <w:r w:rsidRPr="00E65AA3">
        <w:rPr>
          <w:rFonts w:ascii="Calibri" w:eastAsia="Calibri" w:hAnsi="Calibri" w:cs="Calibri"/>
          <w:color w:val="000000"/>
          <w:sz w:val="22"/>
          <w:szCs w:val="22"/>
        </w:rPr>
        <w:t xml:space="preserve">the context of protests, </w:t>
      </w:r>
      <w:r w:rsidRPr="00E65AA3">
        <w:rPr>
          <w:rFonts w:ascii="Calibri" w:eastAsia="Calibri" w:hAnsi="Calibri" w:cs="Calibri"/>
          <w:sz w:val="22"/>
          <w:szCs w:val="22"/>
        </w:rPr>
        <w:t>in places of detention</w:t>
      </w:r>
      <w:r w:rsidRPr="00E65AA3">
        <w:rPr>
          <w:rFonts w:ascii="Calibri" w:eastAsia="Calibri" w:hAnsi="Calibri" w:cs="Calibri"/>
          <w:color w:val="000000"/>
          <w:sz w:val="22"/>
          <w:szCs w:val="22"/>
        </w:rPr>
        <w:t>, against LGBTIQ+ persons, and in the</w:t>
      </w:r>
      <w:r w:rsidRPr="00E65AA3">
        <w:rPr>
          <w:rFonts w:ascii="Calibri" w:eastAsia="Calibri" w:hAnsi="Calibri" w:cs="Calibri"/>
          <w:sz w:val="22"/>
          <w:szCs w:val="22"/>
        </w:rPr>
        <w:t xml:space="preserve"> context of domestic violence and trafficking in persons. This submission aims to inform </w:t>
      </w:r>
      <w:r w:rsidRPr="00E65AA3">
        <w:rPr>
          <w:rFonts w:ascii="Calibri" w:eastAsia="Calibri" w:hAnsi="Calibri" w:cs="Calibri"/>
          <w:color w:val="000000"/>
          <w:sz w:val="22"/>
          <w:szCs w:val="22"/>
        </w:rPr>
        <w:t>the adoption of the List of Issues Prior to Reporting (LOIPR) at the 82</w:t>
      </w:r>
      <w:r w:rsidRPr="00E65AA3">
        <w:rPr>
          <w:rFonts w:ascii="Calibri" w:eastAsia="Calibri" w:hAnsi="Calibri" w:cs="Calibri"/>
          <w:color w:val="000000"/>
          <w:sz w:val="22"/>
          <w:szCs w:val="22"/>
          <w:vertAlign w:val="superscript"/>
        </w:rPr>
        <w:t>nd</w:t>
      </w:r>
      <w:r w:rsidRPr="00E65AA3">
        <w:rPr>
          <w:rFonts w:ascii="Calibri" w:eastAsia="Calibri" w:hAnsi="Calibri" w:cs="Calibri"/>
          <w:color w:val="000000"/>
          <w:sz w:val="22"/>
          <w:szCs w:val="22"/>
        </w:rPr>
        <w:t xml:space="preserve"> Session of the Committee to be held from April to May 2025. </w:t>
      </w:r>
    </w:p>
    <w:p w14:paraId="00000006" w14:textId="77777777" w:rsidR="002E5B72" w:rsidRPr="00E65AA3" w:rsidRDefault="00261A88" w:rsidP="00137E7C">
      <w:pPr>
        <w:pBdr>
          <w:top w:val="nil"/>
          <w:left w:val="nil"/>
          <w:bottom w:val="nil"/>
          <w:right w:val="nil"/>
          <w:between w:val="nil"/>
        </w:pBdr>
        <w:shd w:val="clear" w:color="auto" w:fill="F9DD47"/>
        <w:spacing w:after="120"/>
        <w:ind w:left="539"/>
        <w:jc w:val="both"/>
        <w:rPr>
          <w:rFonts w:ascii="Calibri" w:eastAsia="Calibri" w:hAnsi="Calibri" w:cs="Calibri"/>
          <w:b/>
          <w:smallCaps/>
          <w:color w:val="000000"/>
          <w:sz w:val="22"/>
          <w:szCs w:val="22"/>
        </w:rPr>
      </w:pPr>
      <w:r w:rsidRPr="00E65AA3">
        <w:rPr>
          <w:rFonts w:ascii="Calibri" w:eastAsia="Calibri" w:hAnsi="Calibri" w:cs="Calibri"/>
          <w:b/>
          <w:smallCaps/>
          <w:color w:val="000000"/>
          <w:sz w:val="22"/>
          <w:szCs w:val="22"/>
        </w:rPr>
        <w:t>TORTURE IN THE CONTEXT OF PROTESTS IN KENYA</w:t>
      </w:r>
    </w:p>
    <w:p w14:paraId="00000007" w14:textId="77777777" w:rsidR="002E5B72" w:rsidRPr="00E65AA3" w:rsidRDefault="00261A88" w:rsidP="00137E7C">
      <w:pPr>
        <w:pStyle w:val="RHeadingLevelTwo"/>
        <w:jc w:val="both"/>
      </w:pPr>
      <w:r w:rsidRPr="00E65AA3">
        <w:rPr>
          <w:rFonts w:eastAsia="Calibri"/>
        </w:rPr>
        <w:t>Patterns of violations during protests</w:t>
      </w:r>
    </w:p>
    <w:p w14:paraId="00000008" w14:textId="77777777" w:rsidR="002E5B72" w:rsidRPr="00E65AA3" w:rsidRDefault="00261A88" w:rsidP="00137E7C">
      <w:pPr>
        <w:numPr>
          <w:ilvl w:val="0"/>
          <w:numId w:val="5"/>
        </w:numPr>
        <w:pBdr>
          <w:top w:val="nil"/>
          <w:left w:val="nil"/>
          <w:bottom w:val="nil"/>
          <w:right w:val="nil"/>
          <w:between w:val="nil"/>
        </w:pBdr>
        <w:spacing w:after="120"/>
        <w:jc w:val="both"/>
        <w:rPr>
          <w:rFonts w:ascii="Calibri" w:eastAsia="Calibri" w:hAnsi="Calibri" w:cs="Calibri"/>
          <w:color w:val="000000"/>
          <w:sz w:val="22"/>
          <w:szCs w:val="22"/>
        </w:rPr>
      </w:pPr>
      <w:r w:rsidRPr="00E65AA3">
        <w:rPr>
          <w:rFonts w:ascii="Calibri" w:eastAsia="Calibri" w:hAnsi="Calibri" w:cs="Calibri"/>
          <w:color w:val="000000"/>
          <w:sz w:val="22"/>
          <w:szCs w:val="22"/>
        </w:rPr>
        <w:t>In its May 2022 Concluding Observations on the third periodic report of Kenya, the UN Committee against Torture (the Committee) stated that it was “seriously concerned at the allegations received of extrajudicial killings, enforced disappearances and excessive use of force by law enforcement officers”,</w:t>
      </w:r>
      <w:r w:rsidRPr="00E65AA3">
        <w:rPr>
          <w:rFonts w:ascii="Calibri" w:eastAsia="Calibri" w:hAnsi="Calibri" w:cs="Calibri"/>
          <w:color w:val="000000"/>
          <w:sz w:val="22"/>
          <w:szCs w:val="22"/>
          <w:vertAlign w:val="superscript"/>
        </w:rPr>
        <w:footnoteReference w:id="1"/>
      </w:r>
      <w:r w:rsidRPr="00E65AA3">
        <w:rPr>
          <w:rFonts w:ascii="Calibri" w:eastAsia="Calibri" w:hAnsi="Calibri" w:cs="Calibri"/>
          <w:color w:val="000000"/>
          <w:sz w:val="22"/>
          <w:szCs w:val="22"/>
        </w:rPr>
        <w:t xml:space="preserve"> including lethal force by shooting during the policing of demonstrations. </w:t>
      </w:r>
    </w:p>
    <w:p w14:paraId="00000009" w14:textId="77777777" w:rsidR="002E5B72" w:rsidRPr="00E65AA3" w:rsidRDefault="00261A88" w:rsidP="00137E7C">
      <w:pPr>
        <w:numPr>
          <w:ilvl w:val="0"/>
          <w:numId w:val="5"/>
        </w:numPr>
        <w:pBdr>
          <w:top w:val="nil"/>
          <w:left w:val="nil"/>
          <w:bottom w:val="nil"/>
          <w:right w:val="nil"/>
          <w:between w:val="nil"/>
        </w:pBdr>
        <w:spacing w:after="120"/>
        <w:jc w:val="both"/>
        <w:rPr>
          <w:rFonts w:ascii="Calibri" w:eastAsia="Calibri" w:hAnsi="Calibri" w:cs="Calibri"/>
          <w:color w:val="000000"/>
          <w:sz w:val="22"/>
          <w:szCs w:val="22"/>
        </w:rPr>
      </w:pPr>
      <w:r w:rsidRPr="00E65AA3">
        <w:rPr>
          <w:rFonts w:ascii="Calibri" w:eastAsia="Calibri" w:hAnsi="Calibri" w:cs="Calibri"/>
          <w:color w:val="000000"/>
          <w:sz w:val="22"/>
          <w:szCs w:val="22"/>
        </w:rPr>
        <w:t>In August 2022, the announcement of the general election results led to nationwide protests during which police used excessive and unnecessary force against protesters.</w:t>
      </w:r>
      <w:r w:rsidRPr="00E65AA3">
        <w:rPr>
          <w:rFonts w:ascii="Calibri" w:eastAsia="Calibri" w:hAnsi="Calibri" w:cs="Calibri"/>
          <w:color w:val="000000"/>
          <w:sz w:val="22"/>
          <w:szCs w:val="22"/>
          <w:vertAlign w:val="superscript"/>
        </w:rPr>
        <w:footnoteReference w:id="2"/>
      </w:r>
      <w:r w:rsidRPr="00E65AA3">
        <w:rPr>
          <w:rFonts w:ascii="Calibri" w:eastAsia="Calibri" w:hAnsi="Calibri" w:cs="Calibri"/>
          <w:color w:val="000000"/>
          <w:sz w:val="22"/>
          <w:szCs w:val="22"/>
        </w:rPr>
        <w:t xml:space="preserve"> Election-related violence has been a recurring problem in Kenya, with police killings of protesters and other human rights violations previously documented in 2007-2008, 2013, 2016, and 2017.</w:t>
      </w:r>
      <w:r w:rsidRPr="00E65AA3">
        <w:rPr>
          <w:rFonts w:ascii="Calibri" w:eastAsia="Calibri" w:hAnsi="Calibri" w:cs="Calibri"/>
          <w:color w:val="000000"/>
          <w:sz w:val="22"/>
          <w:szCs w:val="22"/>
          <w:vertAlign w:val="superscript"/>
        </w:rPr>
        <w:footnoteReference w:id="3"/>
      </w:r>
      <w:r w:rsidRPr="00E65AA3">
        <w:rPr>
          <w:rFonts w:ascii="Calibri" w:eastAsia="Calibri" w:hAnsi="Calibri" w:cs="Calibri"/>
          <w:color w:val="000000"/>
          <w:sz w:val="22"/>
          <w:szCs w:val="22"/>
        </w:rPr>
        <w:t xml:space="preserve"> </w:t>
      </w:r>
    </w:p>
    <w:p w14:paraId="0000000A" w14:textId="77777777" w:rsidR="002E5B72" w:rsidRPr="00E65AA3" w:rsidRDefault="00261A88" w:rsidP="00137E7C">
      <w:pPr>
        <w:numPr>
          <w:ilvl w:val="0"/>
          <w:numId w:val="5"/>
        </w:numPr>
        <w:pBdr>
          <w:top w:val="nil"/>
          <w:left w:val="nil"/>
          <w:bottom w:val="nil"/>
          <w:right w:val="nil"/>
          <w:between w:val="nil"/>
        </w:pBdr>
        <w:spacing w:after="120"/>
        <w:jc w:val="both"/>
        <w:rPr>
          <w:rFonts w:ascii="Calibri" w:eastAsia="Calibri" w:hAnsi="Calibri" w:cs="Calibri"/>
          <w:color w:val="000000"/>
          <w:sz w:val="22"/>
          <w:szCs w:val="22"/>
        </w:rPr>
      </w:pPr>
      <w:r w:rsidRPr="00E65AA3">
        <w:rPr>
          <w:rFonts w:ascii="Calibri" w:eastAsia="Calibri" w:hAnsi="Calibri" w:cs="Calibri"/>
          <w:color w:val="000000"/>
          <w:sz w:val="22"/>
          <w:szCs w:val="22"/>
        </w:rPr>
        <w:t xml:space="preserve">In 2023, demonstrations were held throughout Kenya as political formations and members of civil society and the public sought to express grievances with the government. Though Kenya’s Constitution provides for the right to assemble and protest, security services failed to respect this right, routinely issuing statements banning political demonstrations once they were announced and increasing police </w:t>
      </w:r>
      <w:r w:rsidRPr="00E65AA3">
        <w:rPr>
          <w:rFonts w:ascii="Calibri" w:eastAsia="Calibri" w:hAnsi="Calibri" w:cs="Calibri"/>
          <w:sz w:val="22"/>
          <w:szCs w:val="22"/>
        </w:rPr>
        <w:lastRenderedPageBreak/>
        <w:t>deploym</w:t>
      </w:r>
      <w:r w:rsidRPr="00E65AA3">
        <w:rPr>
          <w:rFonts w:ascii="Calibri" w:eastAsia="Calibri" w:hAnsi="Calibri" w:cs="Calibri"/>
          <w:color w:val="000000"/>
          <w:sz w:val="22"/>
          <w:szCs w:val="22"/>
        </w:rPr>
        <w:t>ent in areas known to broadly support the opposition.</w:t>
      </w:r>
      <w:r w:rsidRPr="00E65AA3">
        <w:rPr>
          <w:rFonts w:ascii="Calibri" w:eastAsia="Calibri" w:hAnsi="Calibri" w:cs="Calibri"/>
          <w:color w:val="000000"/>
          <w:sz w:val="22"/>
          <w:szCs w:val="22"/>
          <w:vertAlign w:val="superscript"/>
        </w:rPr>
        <w:footnoteReference w:id="4"/>
      </w:r>
      <w:r w:rsidRPr="00E65AA3">
        <w:rPr>
          <w:rFonts w:ascii="Calibri" w:eastAsia="Calibri" w:hAnsi="Calibri" w:cs="Calibri"/>
          <w:color w:val="000000"/>
          <w:sz w:val="22"/>
          <w:szCs w:val="22"/>
        </w:rPr>
        <w:t xml:space="preserve"> Police abused their authority, employing excessive force through the disproportionate use of live ammunition, rubber bullets, and tear gas.</w:t>
      </w:r>
      <w:r w:rsidRPr="00E65AA3">
        <w:rPr>
          <w:rFonts w:ascii="Calibri" w:eastAsia="Calibri" w:hAnsi="Calibri" w:cs="Calibri"/>
          <w:color w:val="000000"/>
          <w:sz w:val="22"/>
          <w:szCs w:val="22"/>
          <w:vertAlign w:val="superscript"/>
        </w:rPr>
        <w:footnoteReference w:id="5"/>
      </w:r>
      <w:r w:rsidRPr="00E65AA3">
        <w:rPr>
          <w:rFonts w:ascii="Calibri" w:eastAsia="Calibri" w:hAnsi="Calibri" w:cs="Calibri"/>
          <w:color w:val="000000"/>
          <w:sz w:val="22"/>
          <w:szCs w:val="22"/>
        </w:rPr>
        <w:t xml:space="preserve"> </w:t>
      </w:r>
    </w:p>
    <w:p w14:paraId="0000000B" w14:textId="77777777" w:rsidR="002E5B72" w:rsidRPr="00E65AA3" w:rsidRDefault="00261A88" w:rsidP="00137E7C">
      <w:pPr>
        <w:numPr>
          <w:ilvl w:val="0"/>
          <w:numId w:val="5"/>
        </w:numPr>
        <w:pBdr>
          <w:top w:val="nil"/>
          <w:left w:val="nil"/>
          <w:bottom w:val="nil"/>
          <w:right w:val="nil"/>
          <w:between w:val="nil"/>
        </w:pBdr>
        <w:spacing w:after="120"/>
        <w:jc w:val="both"/>
        <w:rPr>
          <w:rFonts w:ascii="Calibri" w:eastAsia="Calibri" w:hAnsi="Calibri" w:cs="Calibri"/>
          <w:color w:val="000000"/>
          <w:sz w:val="22"/>
          <w:szCs w:val="22"/>
        </w:rPr>
      </w:pPr>
      <w:r w:rsidRPr="00E65AA3">
        <w:rPr>
          <w:rFonts w:ascii="Calibri" w:eastAsia="Calibri" w:hAnsi="Calibri" w:cs="Calibri"/>
          <w:sz w:val="22"/>
          <w:szCs w:val="22"/>
        </w:rPr>
        <w:t>It has been documented that b</w:t>
      </w:r>
      <w:r w:rsidRPr="00E65AA3">
        <w:rPr>
          <w:rFonts w:ascii="Calibri" w:eastAsia="Calibri" w:hAnsi="Calibri" w:cs="Calibri"/>
          <w:color w:val="000000"/>
          <w:sz w:val="22"/>
          <w:szCs w:val="22"/>
        </w:rPr>
        <w:t>etween January and September 2023, a total of 67 persons were killed by police in public order policing, with 51 of them killed in just five days of demonstrations in July.</w:t>
      </w:r>
      <w:r w:rsidRPr="00E65AA3">
        <w:rPr>
          <w:rFonts w:ascii="Calibri" w:eastAsia="Calibri" w:hAnsi="Calibri" w:cs="Calibri"/>
          <w:color w:val="000000"/>
          <w:sz w:val="22"/>
          <w:szCs w:val="22"/>
          <w:vertAlign w:val="superscript"/>
        </w:rPr>
        <w:footnoteReference w:id="6"/>
      </w:r>
      <w:r w:rsidRPr="00E65AA3">
        <w:rPr>
          <w:rFonts w:ascii="Calibri" w:eastAsia="Calibri" w:hAnsi="Calibri" w:cs="Calibri"/>
          <w:color w:val="000000"/>
          <w:sz w:val="22"/>
          <w:szCs w:val="22"/>
        </w:rPr>
        <w:t xml:space="preserve"> An additional 228 incidents of torture, cruel, inhuman or degrading treatment in this period have been documented, as well as one case of enforced disappearance.</w:t>
      </w:r>
      <w:r w:rsidRPr="00E65AA3">
        <w:rPr>
          <w:rFonts w:ascii="Calibri" w:eastAsia="Calibri" w:hAnsi="Calibri" w:cs="Calibri"/>
          <w:color w:val="000000"/>
          <w:sz w:val="22"/>
          <w:szCs w:val="22"/>
          <w:vertAlign w:val="superscript"/>
        </w:rPr>
        <w:footnoteReference w:id="7"/>
      </w:r>
      <w:r w:rsidRPr="00E65AA3">
        <w:rPr>
          <w:rFonts w:ascii="Calibri" w:eastAsia="Calibri" w:hAnsi="Calibri" w:cs="Calibri"/>
          <w:color w:val="000000"/>
          <w:sz w:val="22"/>
          <w:szCs w:val="22"/>
        </w:rPr>
        <w:t xml:space="preserve"> There were numerous reports of police arriving at people’s homes in the days before demonstrations and threatening and assaulting them with clubs and truncheons as a method to silence them and discourage their participation in protests.</w:t>
      </w:r>
      <w:r w:rsidRPr="00E65AA3">
        <w:rPr>
          <w:rFonts w:ascii="Calibri" w:eastAsia="Calibri" w:hAnsi="Calibri" w:cs="Calibri"/>
          <w:color w:val="000000"/>
          <w:sz w:val="22"/>
          <w:szCs w:val="22"/>
          <w:vertAlign w:val="superscript"/>
        </w:rPr>
        <w:footnoteReference w:id="8"/>
      </w:r>
    </w:p>
    <w:p w14:paraId="0000000C" w14:textId="77777777" w:rsidR="002E5B72" w:rsidRPr="00E65AA3" w:rsidRDefault="00261A88" w:rsidP="00137E7C">
      <w:pPr>
        <w:numPr>
          <w:ilvl w:val="0"/>
          <w:numId w:val="5"/>
        </w:numPr>
        <w:pBdr>
          <w:top w:val="nil"/>
          <w:left w:val="nil"/>
          <w:bottom w:val="nil"/>
          <w:right w:val="nil"/>
          <w:between w:val="nil"/>
        </w:pBdr>
        <w:spacing w:after="120"/>
        <w:jc w:val="both"/>
        <w:rPr>
          <w:rFonts w:ascii="Calibri" w:eastAsia="Calibri" w:hAnsi="Calibri" w:cs="Calibri"/>
          <w:color w:val="000000"/>
          <w:sz w:val="22"/>
          <w:szCs w:val="22"/>
        </w:rPr>
      </w:pPr>
      <w:r w:rsidRPr="00E65AA3">
        <w:rPr>
          <w:rFonts w:ascii="Calibri" w:eastAsia="Calibri" w:hAnsi="Calibri" w:cs="Calibri"/>
          <w:color w:val="000000"/>
          <w:sz w:val="22"/>
          <w:szCs w:val="22"/>
        </w:rPr>
        <w:t>In the context of demonstrations in 2023, the use of “</w:t>
      </w:r>
      <w:r w:rsidRPr="00E65AA3">
        <w:rPr>
          <w:rFonts w:ascii="Calibri" w:eastAsia="Calibri" w:hAnsi="Calibri" w:cs="Calibri"/>
          <w:sz w:val="22"/>
          <w:szCs w:val="22"/>
        </w:rPr>
        <w:t>less</w:t>
      </w:r>
      <w:r w:rsidRPr="00E65AA3">
        <w:rPr>
          <w:rFonts w:ascii="Calibri" w:eastAsia="Calibri" w:hAnsi="Calibri" w:cs="Calibri"/>
          <w:color w:val="000000"/>
          <w:sz w:val="22"/>
          <w:szCs w:val="22"/>
        </w:rPr>
        <w:t xml:space="preserve">-lethal” weapons including tear gas, </w:t>
      </w:r>
      <w:r w:rsidRPr="00E65AA3">
        <w:rPr>
          <w:rFonts w:ascii="Calibri" w:eastAsia="Calibri" w:hAnsi="Calibri" w:cs="Calibri"/>
          <w:sz w:val="22"/>
          <w:szCs w:val="22"/>
        </w:rPr>
        <w:t xml:space="preserve">water cannon, rubber bullets, </w:t>
      </w:r>
      <w:r w:rsidRPr="00E65AA3">
        <w:rPr>
          <w:rFonts w:ascii="Calibri" w:eastAsia="Calibri" w:hAnsi="Calibri" w:cs="Calibri"/>
          <w:color w:val="000000"/>
          <w:sz w:val="22"/>
          <w:szCs w:val="22"/>
        </w:rPr>
        <w:t xml:space="preserve">and </w:t>
      </w:r>
      <w:r w:rsidRPr="00E65AA3">
        <w:rPr>
          <w:rFonts w:ascii="Calibri" w:eastAsia="Calibri" w:hAnsi="Calibri" w:cs="Calibri"/>
          <w:sz w:val="22"/>
          <w:szCs w:val="22"/>
        </w:rPr>
        <w:t xml:space="preserve">batons </w:t>
      </w:r>
      <w:r w:rsidRPr="00E65AA3">
        <w:rPr>
          <w:rFonts w:ascii="Calibri" w:eastAsia="Calibri" w:hAnsi="Calibri" w:cs="Calibri"/>
          <w:color w:val="000000"/>
          <w:sz w:val="22"/>
          <w:szCs w:val="22"/>
        </w:rPr>
        <w:t>by law enforcement officers resulted in at least three deaths, as well as life-changing injuries for many victims.</w:t>
      </w:r>
      <w:r w:rsidRPr="00E65AA3">
        <w:rPr>
          <w:rFonts w:ascii="Calibri" w:eastAsia="Calibri" w:hAnsi="Calibri" w:cs="Calibri"/>
          <w:color w:val="000000"/>
          <w:sz w:val="22"/>
          <w:szCs w:val="22"/>
          <w:vertAlign w:val="superscript"/>
        </w:rPr>
        <w:footnoteReference w:id="9"/>
      </w:r>
      <w:r w:rsidRPr="00E65AA3">
        <w:rPr>
          <w:rFonts w:ascii="Calibri" w:eastAsia="Calibri" w:hAnsi="Calibri" w:cs="Calibri"/>
          <w:color w:val="000000"/>
          <w:sz w:val="22"/>
          <w:szCs w:val="22"/>
        </w:rPr>
        <w:t xml:space="preserve"> This is a stark examp</w:t>
      </w:r>
      <w:r w:rsidRPr="00E65AA3">
        <w:rPr>
          <w:rFonts w:ascii="Calibri" w:eastAsia="Calibri" w:hAnsi="Calibri" w:cs="Calibri"/>
          <w:sz w:val="22"/>
          <w:szCs w:val="22"/>
        </w:rPr>
        <w:t>le of the lethal potential of these weapons and the need for them to be used in accordance with the UN Guidance on Less-Lethal Weapons.</w:t>
      </w:r>
      <w:r w:rsidRPr="00E65AA3">
        <w:rPr>
          <w:rFonts w:ascii="Calibri" w:eastAsia="Calibri" w:hAnsi="Calibri" w:cs="Calibri"/>
          <w:sz w:val="22"/>
          <w:szCs w:val="22"/>
          <w:vertAlign w:val="superscript"/>
        </w:rPr>
        <w:footnoteReference w:id="10"/>
      </w:r>
      <w:r w:rsidRPr="00E65AA3">
        <w:rPr>
          <w:rFonts w:ascii="Calibri" w:eastAsia="Calibri" w:hAnsi="Calibri" w:cs="Calibri"/>
          <w:sz w:val="22"/>
          <w:szCs w:val="22"/>
        </w:rPr>
        <w:t xml:space="preserve"> </w:t>
      </w:r>
    </w:p>
    <w:p w14:paraId="2BEC19E7" w14:textId="77777777" w:rsidR="00AB7D75" w:rsidRDefault="00261A88" w:rsidP="00137E7C">
      <w:pPr>
        <w:numPr>
          <w:ilvl w:val="0"/>
          <w:numId w:val="5"/>
        </w:numPr>
        <w:pBdr>
          <w:top w:val="nil"/>
          <w:left w:val="nil"/>
          <w:bottom w:val="nil"/>
          <w:right w:val="nil"/>
          <w:between w:val="nil"/>
        </w:pBdr>
        <w:spacing w:after="120"/>
        <w:jc w:val="both"/>
        <w:rPr>
          <w:rFonts w:ascii="Calibri" w:eastAsia="Calibri" w:hAnsi="Calibri" w:cs="Calibri"/>
          <w:color w:val="000000"/>
          <w:sz w:val="22"/>
          <w:szCs w:val="22"/>
        </w:rPr>
      </w:pPr>
      <w:r w:rsidRPr="00E65AA3">
        <w:rPr>
          <w:rFonts w:ascii="Calibri" w:eastAsia="Calibri" w:hAnsi="Calibri" w:cs="Calibri"/>
          <w:color w:val="000000"/>
          <w:sz w:val="22"/>
          <w:szCs w:val="22"/>
        </w:rPr>
        <w:t>In 2024, the Kenyan police continued to use unnecessary and excessive force to disrupt peaceful protests.</w:t>
      </w:r>
      <w:r w:rsidRPr="00E65AA3">
        <w:rPr>
          <w:rFonts w:ascii="Calibri" w:eastAsia="Calibri" w:hAnsi="Calibri" w:cs="Calibri"/>
          <w:color w:val="000000"/>
          <w:sz w:val="22"/>
          <w:szCs w:val="22"/>
          <w:vertAlign w:val="superscript"/>
        </w:rPr>
        <w:footnoteReference w:id="11"/>
      </w:r>
      <w:r w:rsidRPr="00E65AA3">
        <w:rPr>
          <w:rFonts w:ascii="Calibri" w:eastAsia="Calibri" w:hAnsi="Calibri" w:cs="Calibri"/>
          <w:color w:val="000000"/>
          <w:sz w:val="22"/>
          <w:szCs w:val="22"/>
        </w:rPr>
        <w:t xml:space="preserve"> In this period protest </w:t>
      </w:r>
      <w:r w:rsidRPr="00E65AA3">
        <w:rPr>
          <w:rFonts w:ascii="Calibri" w:eastAsia="Calibri" w:hAnsi="Calibri" w:cs="Calibri"/>
          <w:sz w:val="22"/>
          <w:szCs w:val="22"/>
        </w:rPr>
        <w:t xml:space="preserve">monitors </w:t>
      </w:r>
      <w:r w:rsidRPr="00E65AA3">
        <w:rPr>
          <w:rFonts w:ascii="Calibri" w:eastAsia="Calibri" w:hAnsi="Calibri" w:cs="Calibri"/>
          <w:color w:val="000000"/>
          <w:sz w:val="22"/>
          <w:szCs w:val="22"/>
        </w:rPr>
        <w:t>documented the continued use of less-lethal weapons incl</w:t>
      </w:r>
      <w:r w:rsidRPr="00E65AA3">
        <w:rPr>
          <w:rFonts w:ascii="Calibri" w:eastAsia="Calibri" w:hAnsi="Calibri" w:cs="Calibri"/>
          <w:sz w:val="22"/>
          <w:szCs w:val="22"/>
        </w:rPr>
        <w:t>uding ammunition probably containing multiple non-metallic projectiles (rubber bullets).</w:t>
      </w:r>
      <w:r w:rsidRPr="00E65AA3">
        <w:rPr>
          <w:rFonts w:ascii="Calibri" w:eastAsia="Calibri" w:hAnsi="Calibri" w:cs="Calibri"/>
          <w:sz w:val="22"/>
          <w:szCs w:val="22"/>
          <w:vertAlign w:val="superscript"/>
        </w:rPr>
        <w:footnoteReference w:id="12"/>
      </w:r>
      <w:r w:rsidRPr="00E65AA3">
        <w:rPr>
          <w:rFonts w:ascii="Calibri" w:eastAsia="Calibri" w:hAnsi="Calibri" w:cs="Calibri"/>
          <w:sz w:val="22"/>
          <w:szCs w:val="22"/>
        </w:rPr>
        <w:t xml:space="preserve"> </w:t>
      </w:r>
      <w:r w:rsidRPr="00E65AA3">
        <w:rPr>
          <w:rFonts w:ascii="Calibri" w:eastAsia="Calibri" w:hAnsi="Calibri" w:cs="Calibri"/>
          <w:color w:val="000000"/>
          <w:sz w:val="22"/>
          <w:szCs w:val="22"/>
        </w:rPr>
        <w:t>The Kenya National Commission on Human Rights has documented 61 cases of extrajudicial killings, 73 cases of abductions and enforced disappearances, and 1,765 cases of arbitrary arrest between June and November 2024, expressing alarm at the stifling of civic space and the lack of accountability for these violations.</w:t>
      </w:r>
      <w:r w:rsidRPr="00E65AA3">
        <w:rPr>
          <w:rFonts w:ascii="Calibri" w:eastAsia="Calibri" w:hAnsi="Calibri" w:cs="Calibri"/>
          <w:color w:val="000000"/>
          <w:sz w:val="22"/>
          <w:szCs w:val="22"/>
          <w:vertAlign w:val="superscript"/>
        </w:rPr>
        <w:footnoteReference w:id="13"/>
      </w:r>
      <w:r w:rsidRPr="00E65AA3">
        <w:rPr>
          <w:rFonts w:ascii="Calibri" w:eastAsia="Calibri" w:hAnsi="Calibri" w:cs="Calibri"/>
          <w:color w:val="000000"/>
          <w:sz w:val="22"/>
          <w:szCs w:val="22"/>
        </w:rPr>
        <w:t xml:space="preserve"> </w:t>
      </w:r>
    </w:p>
    <w:p w14:paraId="0000000D" w14:textId="441EC877" w:rsidR="002E5B72" w:rsidRPr="00E65AA3" w:rsidRDefault="00261A88" w:rsidP="00137E7C">
      <w:pPr>
        <w:numPr>
          <w:ilvl w:val="0"/>
          <w:numId w:val="5"/>
        </w:numPr>
        <w:pBdr>
          <w:top w:val="nil"/>
          <w:left w:val="nil"/>
          <w:bottom w:val="nil"/>
          <w:right w:val="nil"/>
          <w:between w:val="nil"/>
        </w:pBdr>
        <w:spacing w:after="120"/>
        <w:jc w:val="both"/>
        <w:rPr>
          <w:rFonts w:ascii="Calibri" w:eastAsia="Calibri" w:hAnsi="Calibri" w:cs="Calibri"/>
          <w:color w:val="000000"/>
          <w:sz w:val="22"/>
          <w:szCs w:val="22"/>
        </w:rPr>
      </w:pPr>
      <w:r w:rsidRPr="00E65AA3">
        <w:rPr>
          <w:rFonts w:ascii="Calibri" w:eastAsia="Calibri" w:hAnsi="Calibri" w:cs="Calibri"/>
          <w:color w:val="000000"/>
          <w:sz w:val="22"/>
          <w:szCs w:val="22"/>
        </w:rPr>
        <w:t xml:space="preserve">IMLU has also documented </w:t>
      </w:r>
      <w:r w:rsidRPr="00E65AA3">
        <w:rPr>
          <w:rFonts w:ascii="Calibri" w:eastAsia="Calibri" w:hAnsi="Calibri" w:cs="Calibri"/>
          <w:sz w:val="22"/>
          <w:szCs w:val="22"/>
        </w:rPr>
        <w:t>61 cases of extrajudicial killings, mostly carried out in the months of June and July 2024 at the peak of the protests. Further, autopsy reports by IMLU indicate that the deaths resulted mainly from gunshot wounds and blunt force trauma. One of the first cases of extrajudicial killings was that of 29-year-old Rex Kanyike Masai, shot in Nairobi on Thursday 20 June 2024.</w:t>
      </w:r>
      <w:r w:rsidRPr="00E65AA3">
        <w:rPr>
          <w:rFonts w:ascii="Calibri" w:eastAsia="Calibri" w:hAnsi="Calibri" w:cs="Calibri"/>
          <w:sz w:val="22"/>
          <w:szCs w:val="22"/>
          <w:vertAlign w:val="superscript"/>
        </w:rPr>
        <w:footnoteReference w:id="14"/>
      </w:r>
      <w:r w:rsidR="00AB7D75">
        <w:rPr>
          <w:rFonts w:ascii="Calibri" w:eastAsia="Calibri" w:hAnsi="Calibri" w:cs="Calibri"/>
          <w:sz w:val="22"/>
          <w:szCs w:val="22"/>
        </w:rPr>
        <w:t xml:space="preserve"> </w:t>
      </w:r>
    </w:p>
    <w:p w14:paraId="0000000E" w14:textId="74C4FABF" w:rsidR="002E5B72" w:rsidRPr="00E65AA3" w:rsidRDefault="00261A88" w:rsidP="00137E7C">
      <w:pPr>
        <w:numPr>
          <w:ilvl w:val="0"/>
          <w:numId w:val="5"/>
        </w:numPr>
        <w:spacing w:before="240" w:after="240"/>
        <w:jc w:val="both"/>
        <w:rPr>
          <w:rFonts w:ascii="Calibri" w:eastAsia="Calibri" w:hAnsi="Calibri" w:cs="Calibri"/>
          <w:sz w:val="22"/>
          <w:szCs w:val="22"/>
        </w:rPr>
      </w:pPr>
      <w:r w:rsidRPr="00E65AA3">
        <w:rPr>
          <w:rFonts w:ascii="Calibri" w:eastAsia="Calibri" w:hAnsi="Calibri" w:cs="Calibri"/>
          <w:sz w:val="22"/>
          <w:szCs w:val="22"/>
        </w:rPr>
        <w:lastRenderedPageBreak/>
        <w:t>IMLU also recorded the widespread abduction of protesters. A total of 63 protesters, 55 male (87%) and 8 female (13%) were abducted. The abductions were largely geared towards causing fear among the protesters to abandon their right to protest. Many abductees reported being tortured. One of the widely publicised cases of abduction was that of the “Kitengela three” – a political activist and two brothers. The three became the subject of a standoff between the judiciary and the National Police Service (NPS), and were finally released on 20 September</w:t>
      </w:r>
      <w:r w:rsidR="00AB7D75">
        <w:rPr>
          <w:rFonts w:ascii="Calibri" w:eastAsia="Calibri" w:hAnsi="Calibri" w:cs="Calibri"/>
          <w:sz w:val="22"/>
          <w:szCs w:val="22"/>
        </w:rPr>
        <w:t xml:space="preserve"> 2024</w:t>
      </w:r>
      <w:r w:rsidRPr="00E65AA3">
        <w:rPr>
          <w:rFonts w:ascii="Calibri" w:eastAsia="Calibri" w:hAnsi="Calibri" w:cs="Calibri"/>
          <w:sz w:val="22"/>
          <w:szCs w:val="22"/>
        </w:rPr>
        <w:t>, after a whole month in illegal custody.</w:t>
      </w:r>
      <w:r w:rsidRPr="00E65AA3">
        <w:rPr>
          <w:rFonts w:ascii="Calibri" w:eastAsia="Calibri" w:hAnsi="Calibri" w:cs="Calibri"/>
          <w:sz w:val="22"/>
          <w:szCs w:val="22"/>
          <w:vertAlign w:val="superscript"/>
        </w:rPr>
        <w:footnoteReference w:id="15"/>
      </w:r>
    </w:p>
    <w:p w14:paraId="0000000F" w14:textId="77777777" w:rsidR="002E5B72" w:rsidRPr="00E65AA3" w:rsidRDefault="00261A88" w:rsidP="00137E7C">
      <w:pPr>
        <w:numPr>
          <w:ilvl w:val="0"/>
          <w:numId w:val="5"/>
        </w:numPr>
        <w:jc w:val="both"/>
        <w:rPr>
          <w:rFonts w:ascii="Calibri" w:eastAsia="Calibri" w:hAnsi="Calibri" w:cs="Calibri"/>
          <w:sz w:val="22"/>
          <w:szCs w:val="22"/>
        </w:rPr>
      </w:pPr>
      <w:r w:rsidRPr="00E65AA3">
        <w:rPr>
          <w:rFonts w:ascii="Calibri" w:eastAsia="Calibri" w:hAnsi="Calibri" w:cs="Calibri"/>
          <w:sz w:val="22"/>
          <w:szCs w:val="22"/>
        </w:rPr>
        <w:t>Moreover, on 10 December 2024, a peaceful march organised to denounce the rise in femicide cases across Kenya was disrupted by uniformed and non-uniformed officers of the NPS who used tear gas, rubber bullets, and excessive force resulting in unwarranted injuries. Five protesters including human rights defenders were arrested without any charges and released six days later.</w:t>
      </w:r>
      <w:r w:rsidRPr="00E65AA3">
        <w:rPr>
          <w:rFonts w:ascii="Calibri" w:eastAsia="Calibri" w:hAnsi="Calibri" w:cs="Calibri"/>
          <w:sz w:val="22"/>
          <w:szCs w:val="22"/>
          <w:vertAlign w:val="superscript"/>
        </w:rPr>
        <w:footnoteReference w:id="16"/>
      </w:r>
      <w:r w:rsidRPr="00E65AA3">
        <w:rPr>
          <w:rFonts w:ascii="Calibri" w:eastAsia="Calibri" w:hAnsi="Calibri" w:cs="Calibri"/>
          <w:sz w:val="22"/>
          <w:szCs w:val="22"/>
        </w:rPr>
        <w:t xml:space="preserve"> </w:t>
      </w:r>
    </w:p>
    <w:p w14:paraId="00000010" w14:textId="77777777" w:rsidR="002E5B72" w:rsidRPr="00E65AA3" w:rsidRDefault="002E5B72" w:rsidP="00137E7C">
      <w:pPr>
        <w:pBdr>
          <w:top w:val="nil"/>
          <w:left w:val="nil"/>
          <w:bottom w:val="nil"/>
          <w:right w:val="nil"/>
          <w:between w:val="nil"/>
        </w:pBdr>
        <w:spacing w:after="120"/>
        <w:ind w:left="547"/>
        <w:jc w:val="both"/>
        <w:rPr>
          <w:rFonts w:ascii="Calibri" w:eastAsia="Calibri" w:hAnsi="Calibri" w:cs="Calibri"/>
          <w:color w:val="000000"/>
          <w:sz w:val="22"/>
          <w:szCs w:val="22"/>
        </w:rPr>
      </w:pPr>
    </w:p>
    <w:p w14:paraId="00000011" w14:textId="77777777" w:rsidR="002E5B72" w:rsidRPr="00E65AA3" w:rsidRDefault="00261A88" w:rsidP="00137E7C">
      <w:pPr>
        <w:pStyle w:val="RHeadingLevelTwo"/>
        <w:jc w:val="both"/>
        <w:rPr>
          <w:rFonts w:eastAsia="Calibri"/>
          <w:color w:val="000000"/>
        </w:rPr>
      </w:pPr>
      <w:r w:rsidRPr="00E65AA3">
        <w:rPr>
          <w:rFonts w:eastAsia="Calibri"/>
          <w:color w:val="000000"/>
        </w:rPr>
        <w:t xml:space="preserve">Legal Framework </w:t>
      </w:r>
      <w:r w:rsidRPr="00E65AA3">
        <w:rPr>
          <w:rFonts w:eastAsia="Calibri"/>
        </w:rPr>
        <w:t>on Freedom of Assembly</w:t>
      </w:r>
      <w:sdt>
        <w:sdtPr>
          <w:tag w:val="goog_rdk_0"/>
          <w:id w:val="1714236599"/>
        </w:sdtPr>
        <w:sdtEndPr/>
        <w:sdtContent/>
      </w:sdt>
      <w:sdt>
        <w:sdtPr>
          <w:tag w:val="goog_rdk_1"/>
          <w:id w:val="-1130400089"/>
        </w:sdtPr>
        <w:sdtEndPr/>
        <w:sdtContent/>
      </w:sdt>
      <w:sdt>
        <w:sdtPr>
          <w:tag w:val="goog_rdk_2"/>
          <w:id w:val="1315679693"/>
        </w:sdtPr>
        <w:sdtEndPr/>
        <w:sdtContent/>
      </w:sdt>
      <w:sdt>
        <w:sdtPr>
          <w:tag w:val="goog_rdk_3"/>
          <w:id w:val="-304082087"/>
        </w:sdtPr>
        <w:sdtEndPr/>
        <w:sdtContent/>
      </w:sdt>
      <w:sdt>
        <w:sdtPr>
          <w:tag w:val="goog_rdk_4"/>
          <w:id w:val="-1680797337"/>
        </w:sdtPr>
        <w:sdtEndPr/>
        <w:sdtContent/>
      </w:sdt>
      <w:r w:rsidRPr="00E65AA3">
        <w:rPr>
          <w:rFonts w:eastAsia="Calibri"/>
          <w:color w:val="000000"/>
        </w:rPr>
        <w:t xml:space="preserve"> </w:t>
      </w:r>
    </w:p>
    <w:p w14:paraId="00000012" w14:textId="5249BCD0" w:rsidR="002E5B72" w:rsidRPr="00E65AA3" w:rsidRDefault="00261A88" w:rsidP="00137E7C">
      <w:pPr>
        <w:numPr>
          <w:ilvl w:val="0"/>
          <w:numId w:val="5"/>
        </w:numPr>
        <w:pBdr>
          <w:top w:val="nil"/>
          <w:left w:val="nil"/>
          <w:bottom w:val="nil"/>
          <w:right w:val="nil"/>
          <w:between w:val="nil"/>
        </w:pBdr>
        <w:spacing w:after="120"/>
        <w:jc w:val="both"/>
        <w:rPr>
          <w:rFonts w:ascii="Calibri" w:eastAsia="Calibri" w:hAnsi="Calibri" w:cs="Calibri"/>
          <w:color w:val="000000"/>
          <w:sz w:val="22"/>
          <w:szCs w:val="22"/>
        </w:rPr>
      </w:pPr>
      <w:r w:rsidRPr="00E65AA3">
        <w:rPr>
          <w:rFonts w:ascii="Calibri" w:eastAsia="Calibri" w:hAnsi="Calibri" w:cs="Calibri"/>
          <w:sz w:val="22"/>
          <w:szCs w:val="22"/>
        </w:rPr>
        <w:t>As demonstrated in the previous section, in Kenya it is common for torture and other human rights violations to occur in the context of peaceful assemblies and protests. This takes place in a broader context of shrinking civic space, where the legal framework is increasingly being used to restrict the right to peaceful assembly, and target protesters, human rights defenders, and activists.</w:t>
      </w:r>
      <w:r w:rsidR="00D474EC">
        <w:rPr>
          <w:rStyle w:val="FootnoteReference"/>
          <w:rFonts w:ascii="Calibri" w:eastAsia="Calibri" w:hAnsi="Calibri" w:cs="Calibri"/>
          <w:sz w:val="22"/>
          <w:szCs w:val="22"/>
        </w:rPr>
        <w:footnoteReference w:id="17"/>
      </w:r>
      <w:r w:rsidRPr="00E65AA3">
        <w:rPr>
          <w:rFonts w:ascii="Calibri" w:eastAsia="Calibri" w:hAnsi="Calibri" w:cs="Calibri"/>
          <w:sz w:val="22"/>
          <w:szCs w:val="22"/>
        </w:rPr>
        <w:t xml:space="preserve"> This section raises concerns about some of these laws and practices falling short of international standards and contributing to this hostile context in which torture takes place.</w:t>
      </w:r>
    </w:p>
    <w:p w14:paraId="00000013" w14:textId="77777777" w:rsidR="002E5B72" w:rsidRPr="00E65AA3" w:rsidRDefault="00261A88" w:rsidP="00137E7C">
      <w:pPr>
        <w:numPr>
          <w:ilvl w:val="0"/>
          <w:numId w:val="5"/>
        </w:numPr>
        <w:pBdr>
          <w:top w:val="nil"/>
          <w:left w:val="nil"/>
          <w:bottom w:val="nil"/>
          <w:right w:val="nil"/>
          <w:between w:val="nil"/>
        </w:pBdr>
        <w:spacing w:after="120"/>
        <w:jc w:val="both"/>
        <w:rPr>
          <w:rFonts w:ascii="Calibri" w:eastAsia="Calibri" w:hAnsi="Calibri" w:cs="Calibri"/>
          <w:color w:val="000000"/>
          <w:sz w:val="22"/>
          <w:szCs w:val="22"/>
        </w:rPr>
      </w:pPr>
      <w:r w:rsidRPr="00E65AA3">
        <w:rPr>
          <w:rFonts w:ascii="Calibri" w:eastAsia="Calibri" w:hAnsi="Calibri" w:cs="Calibri"/>
          <w:color w:val="000000"/>
          <w:sz w:val="22"/>
          <w:szCs w:val="22"/>
        </w:rPr>
        <w:t>Kenya’s 2010 Constitution guarantees a broad range of rights around protests and requires policing to be consistent with upholding the Bill of Rights.</w:t>
      </w:r>
      <w:r w:rsidRPr="00E65AA3">
        <w:rPr>
          <w:rFonts w:ascii="Calibri" w:eastAsia="Calibri" w:hAnsi="Calibri" w:cs="Calibri"/>
          <w:color w:val="000000"/>
          <w:sz w:val="22"/>
          <w:szCs w:val="22"/>
          <w:vertAlign w:val="superscript"/>
        </w:rPr>
        <w:footnoteReference w:id="18"/>
      </w:r>
      <w:r w:rsidRPr="00E65AA3">
        <w:rPr>
          <w:rFonts w:ascii="Calibri" w:eastAsia="Calibri" w:hAnsi="Calibri" w:cs="Calibri"/>
          <w:color w:val="000000"/>
          <w:sz w:val="22"/>
          <w:szCs w:val="22"/>
        </w:rPr>
        <w:t xml:space="preserve"> The Public Order Act, however, does not fully comply with international human rights standards, retaining many retrogressive provisions that are a legacy of the colonial era. The Public Order Act restricts the right to assembly by requiring advance notification of protests and criminalising participation in protests organised without notification.</w:t>
      </w:r>
      <w:r w:rsidRPr="00E65AA3">
        <w:rPr>
          <w:rFonts w:ascii="Calibri" w:eastAsia="Calibri" w:hAnsi="Calibri" w:cs="Calibri"/>
          <w:color w:val="000000"/>
          <w:sz w:val="22"/>
          <w:szCs w:val="22"/>
          <w:vertAlign w:val="superscript"/>
        </w:rPr>
        <w:footnoteReference w:id="19"/>
      </w:r>
      <w:r w:rsidRPr="00E65AA3">
        <w:rPr>
          <w:rFonts w:ascii="Calibri" w:eastAsia="Calibri" w:hAnsi="Calibri" w:cs="Calibri"/>
          <w:color w:val="000000"/>
          <w:sz w:val="22"/>
          <w:szCs w:val="22"/>
        </w:rPr>
        <w:t xml:space="preserve"> The Kenyan National Assembly is debating a new Assembly and Demonstration Bill which was introduced in April 2024 and which would amend the Public Order Act. However, the proposed bill contains various provisions falling short of international standards</w:t>
      </w:r>
      <w:r w:rsidRPr="00E65AA3">
        <w:rPr>
          <w:rFonts w:ascii="Calibri" w:eastAsia="Calibri" w:hAnsi="Calibri" w:cs="Calibri"/>
          <w:color w:val="000000"/>
          <w:sz w:val="22"/>
          <w:szCs w:val="22"/>
          <w:vertAlign w:val="superscript"/>
        </w:rPr>
        <w:footnoteReference w:id="20"/>
      </w:r>
      <w:r w:rsidRPr="00E65AA3">
        <w:rPr>
          <w:rFonts w:ascii="Calibri" w:eastAsia="Calibri" w:hAnsi="Calibri" w:cs="Calibri"/>
          <w:color w:val="000000"/>
          <w:sz w:val="22"/>
          <w:szCs w:val="22"/>
        </w:rPr>
        <w:t xml:space="preserve"> and </w:t>
      </w:r>
      <w:r w:rsidRPr="00E65AA3">
        <w:rPr>
          <w:rFonts w:ascii="Calibri" w:eastAsia="Calibri" w:hAnsi="Calibri" w:cs="Calibri"/>
          <w:color w:val="000000"/>
          <w:sz w:val="22"/>
          <w:szCs w:val="22"/>
        </w:rPr>
        <w:lastRenderedPageBreak/>
        <w:t>“introduces administrative hurdles and broad criminal provisions to deter people from exercising their right to protest.”</w:t>
      </w:r>
      <w:r w:rsidRPr="00E65AA3">
        <w:rPr>
          <w:rFonts w:ascii="Calibri" w:eastAsia="Calibri" w:hAnsi="Calibri" w:cs="Calibri"/>
          <w:color w:val="000000"/>
          <w:sz w:val="22"/>
          <w:szCs w:val="22"/>
          <w:vertAlign w:val="superscript"/>
        </w:rPr>
        <w:footnoteReference w:id="21"/>
      </w:r>
      <w:r w:rsidRPr="00E65AA3">
        <w:rPr>
          <w:rFonts w:ascii="Calibri" w:eastAsia="Calibri" w:hAnsi="Calibri" w:cs="Calibri"/>
          <w:color w:val="000000"/>
          <w:sz w:val="22"/>
          <w:szCs w:val="22"/>
          <w:vertAlign w:val="superscript"/>
        </w:rPr>
        <w:t xml:space="preserve"> </w:t>
      </w:r>
    </w:p>
    <w:p w14:paraId="00000014" w14:textId="77777777" w:rsidR="002E5B72" w:rsidRPr="00E65AA3" w:rsidRDefault="00261A88" w:rsidP="00137E7C">
      <w:pPr>
        <w:numPr>
          <w:ilvl w:val="0"/>
          <w:numId w:val="5"/>
        </w:numPr>
        <w:pBdr>
          <w:top w:val="nil"/>
          <w:left w:val="nil"/>
          <w:bottom w:val="nil"/>
          <w:right w:val="nil"/>
          <w:between w:val="nil"/>
        </w:pBdr>
        <w:spacing w:after="120"/>
        <w:jc w:val="both"/>
        <w:rPr>
          <w:rFonts w:ascii="Calibri" w:eastAsia="Calibri" w:hAnsi="Calibri" w:cs="Calibri"/>
          <w:color w:val="000000"/>
          <w:sz w:val="22"/>
          <w:szCs w:val="22"/>
          <w:vertAlign w:val="superscript"/>
        </w:rPr>
      </w:pPr>
      <w:r w:rsidRPr="00E65AA3">
        <w:rPr>
          <w:rFonts w:ascii="Calibri" w:eastAsia="Calibri" w:hAnsi="Calibri" w:cs="Calibri"/>
          <w:color w:val="000000"/>
          <w:sz w:val="22"/>
          <w:szCs w:val="22"/>
        </w:rPr>
        <w:t>In the context of recent protests in 2024, even when organisers of demonstrations complied with the Public Order Act by notifying the police, the police disallowed the demonstrations and acted violently to suppress protesters, as described above.</w:t>
      </w:r>
      <w:r w:rsidRPr="00E65AA3">
        <w:rPr>
          <w:rFonts w:ascii="Calibri" w:eastAsia="Calibri" w:hAnsi="Calibri" w:cs="Calibri"/>
          <w:color w:val="000000"/>
          <w:sz w:val="22"/>
          <w:szCs w:val="22"/>
          <w:vertAlign w:val="superscript"/>
        </w:rPr>
        <w:footnoteReference w:id="22"/>
      </w:r>
      <w:r w:rsidRPr="00E65AA3">
        <w:rPr>
          <w:rFonts w:ascii="Calibri" w:eastAsia="Calibri" w:hAnsi="Calibri" w:cs="Calibri"/>
          <w:color w:val="000000"/>
          <w:sz w:val="22"/>
          <w:szCs w:val="22"/>
        </w:rPr>
        <w:t xml:space="preserve"> Despite the existence of a legal framework that is meant to protect the right to assembly, there has been a clear pattern of police crackdowns on dissent and civil society through excessive use of force in protests – often amounting to torture – and other forms of harassment and intimidation.</w:t>
      </w:r>
      <w:r w:rsidRPr="00E65AA3">
        <w:rPr>
          <w:rFonts w:ascii="Calibri" w:eastAsia="Calibri" w:hAnsi="Calibri" w:cs="Calibri"/>
          <w:color w:val="000000"/>
          <w:sz w:val="22"/>
          <w:szCs w:val="22"/>
          <w:vertAlign w:val="superscript"/>
        </w:rPr>
        <w:footnoteReference w:id="23"/>
      </w:r>
    </w:p>
    <w:p w14:paraId="00000015" w14:textId="6F12D67F" w:rsidR="002E5B72" w:rsidRPr="00E65AA3" w:rsidRDefault="00261A88" w:rsidP="00137E7C">
      <w:pPr>
        <w:numPr>
          <w:ilvl w:val="0"/>
          <w:numId w:val="5"/>
        </w:numPr>
        <w:pBdr>
          <w:top w:val="nil"/>
          <w:left w:val="nil"/>
          <w:bottom w:val="nil"/>
          <w:right w:val="nil"/>
          <w:between w:val="nil"/>
        </w:pBdr>
        <w:spacing w:after="120"/>
        <w:jc w:val="both"/>
        <w:rPr>
          <w:rFonts w:ascii="Calibri" w:eastAsia="Calibri" w:hAnsi="Calibri" w:cs="Calibri"/>
          <w:color w:val="000000"/>
          <w:sz w:val="22"/>
          <w:szCs w:val="22"/>
        </w:rPr>
      </w:pPr>
      <w:r w:rsidRPr="00E65AA3">
        <w:rPr>
          <w:rFonts w:ascii="Calibri" w:eastAsia="Calibri" w:hAnsi="Calibri" w:cs="Calibri"/>
          <w:color w:val="000000"/>
          <w:sz w:val="22"/>
          <w:szCs w:val="22"/>
        </w:rPr>
        <w:t>Kenya’s Prevention of Torture Act of 2017 criminalises torture and cruel, inhuman or degrading treatment or punishment, and provides that victims have an enforceable right to redress.</w:t>
      </w:r>
      <w:r w:rsidRPr="00E65AA3">
        <w:rPr>
          <w:rFonts w:ascii="Calibri" w:eastAsia="Calibri" w:hAnsi="Calibri" w:cs="Calibri"/>
          <w:color w:val="000000"/>
          <w:sz w:val="22"/>
          <w:szCs w:val="22"/>
          <w:vertAlign w:val="superscript"/>
        </w:rPr>
        <w:footnoteReference w:id="24"/>
      </w:r>
      <w:r w:rsidRPr="00E65AA3">
        <w:rPr>
          <w:rFonts w:ascii="Calibri" w:eastAsia="Calibri" w:hAnsi="Calibri" w:cs="Calibri"/>
          <w:color w:val="000000"/>
          <w:sz w:val="22"/>
          <w:szCs w:val="22"/>
        </w:rPr>
        <w:t xml:space="preserve"> The State must ensure compliance with and enforcement of the Act to prevent torture, including in the context of protests. </w:t>
      </w:r>
      <w:r w:rsidR="00AA1235">
        <w:rPr>
          <w:rFonts w:ascii="Calibri" w:eastAsia="Calibri" w:hAnsi="Calibri" w:cs="Calibri"/>
          <w:sz w:val="22"/>
          <w:szCs w:val="22"/>
        </w:rPr>
        <w:t xml:space="preserve">It is concerning that </w:t>
      </w:r>
      <w:r w:rsidRPr="00E65AA3">
        <w:rPr>
          <w:rFonts w:ascii="Calibri" w:eastAsia="Calibri" w:hAnsi="Calibri" w:cs="Calibri"/>
          <w:sz w:val="22"/>
          <w:szCs w:val="22"/>
        </w:rPr>
        <w:t xml:space="preserve">the mandate of the Independent Policing Oversight Authority (IPOA) is limited to investigating acts committed by NPS officers, </w:t>
      </w:r>
      <w:r w:rsidR="00AA1235">
        <w:rPr>
          <w:rFonts w:ascii="Calibri" w:eastAsia="Calibri" w:hAnsi="Calibri" w:cs="Calibri"/>
          <w:sz w:val="22"/>
          <w:szCs w:val="22"/>
        </w:rPr>
        <w:t xml:space="preserve">and </w:t>
      </w:r>
      <w:r w:rsidRPr="00E65AA3">
        <w:rPr>
          <w:rFonts w:ascii="Calibri" w:eastAsia="Calibri" w:hAnsi="Calibri" w:cs="Calibri"/>
          <w:sz w:val="22"/>
          <w:szCs w:val="22"/>
        </w:rPr>
        <w:t>exclud</w:t>
      </w:r>
      <w:r w:rsidR="00AA1235">
        <w:rPr>
          <w:rFonts w:ascii="Calibri" w:eastAsia="Calibri" w:hAnsi="Calibri" w:cs="Calibri"/>
          <w:sz w:val="22"/>
          <w:szCs w:val="22"/>
        </w:rPr>
        <w:t>es</w:t>
      </w:r>
      <w:r w:rsidRPr="00E65AA3">
        <w:rPr>
          <w:rFonts w:ascii="Calibri" w:eastAsia="Calibri" w:hAnsi="Calibri" w:cs="Calibri"/>
          <w:sz w:val="22"/>
          <w:szCs w:val="22"/>
        </w:rPr>
        <w:t xml:space="preserve"> other State security personnel</w:t>
      </w:r>
      <w:r w:rsidR="00AA1235">
        <w:rPr>
          <w:rFonts w:ascii="Calibri" w:eastAsia="Calibri" w:hAnsi="Calibri" w:cs="Calibri"/>
          <w:sz w:val="22"/>
          <w:szCs w:val="22"/>
        </w:rPr>
        <w:t xml:space="preserve">. This creates </w:t>
      </w:r>
      <w:r w:rsidRPr="00E65AA3">
        <w:rPr>
          <w:rFonts w:ascii="Calibri" w:eastAsia="Calibri" w:hAnsi="Calibri" w:cs="Calibri"/>
          <w:sz w:val="22"/>
          <w:szCs w:val="22"/>
        </w:rPr>
        <w:t>a gap that needs to be addressed to ensure impartial and independent investigations are carried out in all cases</w:t>
      </w:r>
      <w:r w:rsidR="00AA1235">
        <w:rPr>
          <w:rFonts w:ascii="Calibri" w:eastAsia="Calibri" w:hAnsi="Calibri" w:cs="Calibri"/>
          <w:sz w:val="22"/>
          <w:szCs w:val="22"/>
        </w:rPr>
        <w:t xml:space="preserve"> of torture</w:t>
      </w:r>
      <w:r w:rsidRPr="00E65AA3">
        <w:rPr>
          <w:rFonts w:ascii="Calibri" w:eastAsia="Calibri" w:hAnsi="Calibri" w:cs="Calibri"/>
          <w:sz w:val="22"/>
          <w:szCs w:val="22"/>
        </w:rPr>
        <w:t xml:space="preserve">. </w:t>
      </w:r>
    </w:p>
    <w:p w14:paraId="00000016" w14:textId="743991E6" w:rsidR="002E5B72" w:rsidRPr="00E65AA3" w:rsidRDefault="000264F6" w:rsidP="00137E7C">
      <w:pPr>
        <w:numPr>
          <w:ilvl w:val="0"/>
          <w:numId w:val="5"/>
        </w:numPr>
        <w:pBdr>
          <w:top w:val="nil"/>
          <w:left w:val="nil"/>
          <w:bottom w:val="nil"/>
          <w:right w:val="nil"/>
          <w:between w:val="nil"/>
        </w:pBdr>
        <w:spacing w:after="120"/>
        <w:jc w:val="both"/>
        <w:rPr>
          <w:rFonts w:ascii="Calibri" w:eastAsia="Calibri" w:hAnsi="Calibri" w:cs="Calibri"/>
          <w:color w:val="000000"/>
          <w:sz w:val="22"/>
          <w:szCs w:val="22"/>
        </w:rPr>
      </w:pPr>
      <w:sdt>
        <w:sdtPr>
          <w:tag w:val="goog_rdk_5"/>
          <w:id w:val="799655526"/>
        </w:sdtPr>
        <w:sdtEndPr/>
        <w:sdtContent/>
      </w:sdt>
      <w:r w:rsidR="00261A88" w:rsidRPr="00E65AA3">
        <w:rPr>
          <w:rFonts w:ascii="Calibri" w:eastAsia="Calibri" w:hAnsi="Calibri" w:cs="Calibri"/>
          <w:sz w:val="22"/>
          <w:szCs w:val="22"/>
        </w:rPr>
        <w:t>A separate concern regards the lack of an adequate framework on the use of weapons to disperse protests and mass gatherings. The use of ammunition containing multiple non-metallic projectiles have been classed as prohibited equipment by the UN Special Rapporteur on Torture and as such should not be manufactured, traded, or used by law enforcement officials. These weapons are inaccurate, indiscriminate, arbitrary and pose a significant risk to bystanders. The use of this ammunition carries a significant risk of injuries to sensitive and vulnerable  parts of the body such as the head or eyes.</w:t>
      </w:r>
      <w:r w:rsidR="00261A88" w:rsidRPr="00E65AA3">
        <w:rPr>
          <w:rFonts w:ascii="Calibri" w:eastAsia="Calibri" w:hAnsi="Calibri" w:cs="Calibri"/>
          <w:sz w:val="22"/>
          <w:szCs w:val="22"/>
          <w:vertAlign w:val="superscript"/>
        </w:rPr>
        <w:footnoteReference w:id="25"/>
      </w:r>
      <w:r w:rsidR="00261A88" w:rsidRPr="00E65AA3">
        <w:rPr>
          <w:rFonts w:ascii="Calibri" w:eastAsia="Calibri" w:hAnsi="Calibri" w:cs="Calibri"/>
          <w:sz w:val="22"/>
          <w:szCs w:val="22"/>
        </w:rPr>
        <w:t xml:space="preserve"> Nonetheless, </w:t>
      </w:r>
      <w:r w:rsidR="00AA1235">
        <w:rPr>
          <w:rFonts w:ascii="Calibri" w:eastAsia="Calibri" w:hAnsi="Calibri" w:cs="Calibri"/>
          <w:sz w:val="22"/>
          <w:szCs w:val="22"/>
        </w:rPr>
        <w:t xml:space="preserve">IMLU has documented instances of injuries suffered by protesters compatible with the use of such ammunition. </w:t>
      </w:r>
    </w:p>
    <w:p w14:paraId="00000017" w14:textId="1DAC4894" w:rsidR="002E5B72" w:rsidRPr="00E65AA3" w:rsidRDefault="00261A88" w:rsidP="00137E7C">
      <w:pPr>
        <w:numPr>
          <w:ilvl w:val="0"/>
          <w:numId w:val="5"/>
        </w:numPr>
        <w:pBdr>
          <w:top w:val="nil"/>
          <w:left w:val="nil"/>
          <w:bottom w:val="nil"/>
          <w:right w:val="nil"/>
          <w:between w:val="nil"/>
        </w:pBdr>
        <w:spacing w:after="120"/>
        <w:jc w:val="both"/>
        <w:rPr>
          <w:rFonts w:ascii="Calibri" w:eastAsia="Calibri" w:hAnsi="Calibri" w:cs="Calibri"/>
          <w:color w:val="000000"/>
          <w:sz w:val="22"/>
          <w:szCs w:val="22"/>
        </w:rPr>
      </w:pPr>
      <w:r w:rsidRPr="00E65AA3">
        <w:rPr>
          <w:rFonts w:ascii="Calibri" w:eastAsia="Calibri" w:hAnsi="Calibri" w:cs="Calibri"/>
          <w:sz w:val="22"/>
          <w:szCs w:val="22"/>
        </w:rPr>
        <w:t>Finally, i</w:t>
      </w:r>
      <w:r w:rsidRPr="00E65AA3">
        <w:rPr>
          <w:rFonts w:ascii="Calibri" w:eastAsia="Calibri" w:hAnsi="Calibri" w:cs="Calibri"/>
          <w:color w:val="000000"/>
          <w:sz w:val="22"/>
          <w:szCs w:val="22"/>
        </w:rPr>
        <w:t>n its May 2022 Concluding Observations on the third periodic report of Kenya, the Committee had noted with regret the lack of training for members of the police on the Convention against Torture or the contents of the Istanbul Protocol.</w:t>
      </w:r>
      <w:r w:rsidRPr="00E65AA3">
        <w:rPr>
          <w:rFonts w:ascii="Calibri" w:eastAsia="Calibri" w:hAnsi="Calibri" w:cs="Calibri"/>
          <w:color w:val="000000"/>
          <w:sz w:val="22"/>
          <w:szCs w:val="22"/>
          <w:vertAlign w:val="superscript"/>
        </w:rPr>
        <w:footnoteReference w:id="26"/>
      </w:r>
      <w:r w:rsidRPr="00E65AA3">
        <w:rPr>
          <w:rFonts w:ascii="Calibri" w:eastAsia="Calibri" w:hAnsi="Calibri" w:cs="Calibri"/>
          <w:color w:val="000000"/>
          <w:sz w:val="22"/>
          <w:szCs w:val="22"/>
        </w:rPr>
        <w:t xml:space="preserve"> </w:t>
      </w:r>
      <w:sdt>
        <w:sdtPr>
          <w:tag w:val="goog_rdk_9"/>
          <w:id w:val="-561410540"/>
        </w:sdtPr>
        <w:sdtEndPr/>
        <w:sdtContent/>
      </w:sdt>
      <w:r w:rsidRPr="00E65AA3">
        <w:rPr>
          <w:rFonts w:ascii="Calibri" w:eastAsia="Calibri" w:hAnsi="Calibri" w:cs="Calibri"/>
          <w:sz w:val="22"/>
          <w:szCs w:val="22"/>
        </w:rPr>
        <w:t>This issue remains a significant concern, as inadequate documentation and investigations hinder a comprehensive understanding of the scope and severity of the violations and contribute to a climate of impunity</w:t>
      </w:r>
      <w:r w:rsidR="005A0F5A">
        <w:rPr>
          <w:rFonts w:ascii="Calibri" w:eastAsia="Calibri" w:hAnsi="Calibri" w:cs="Calibri"/>
          <w:sz w:val="22"/>
          <w:szCs w:val="22"/>
        </w:rPr>
        <w:t xml:space="preserve"> (see next section)</w:t>
      </w:r>
      <w:r w:rsidRPr="00E65AA3">
        <w:rPr>
          <w:rFonts w:ascii="Calibri" w:eastAsia="Calibri" w:hAnsi="Calibri" w:cs="Calibri"/>
          <w:sz w:val="22"/>
          <w:szCs w:val="22"/>
        </w:rPr>
        <w:t>.</w:t>
      </w:r>
    </w:p>
    <w:p w14:paraId="00000018" w14:textId="77777777" w:rsidR="002E5B72" w:rsidRPr="00E65AA3" w:rsidRDefault="00261A88" w:rsidP="00137E7C">
      <w:pPr>
        <w:numPr>
          <w:ilvl w:val="0"/>
          <w:numId w:val="5"/>
        </w:numPr>
        <w:pBdr>
          <w:top w:val="nil"/>
          <w:left w:val="nil"/>
          <w:bottom w:val="nil"/>
          <w:right w:val="nil"/>
          <w:between w:val="nil"/>
        </w:pBdr>
        <w:spacing w:after="120" w:line="259" w:lineRule="auto"/>
        <w:jc w:val="both"/>
        <w:rPr>
          <w:rFonts w:ascii="Calibri" w:eastAsia="Calibri" w:hAnsi="Calibri" w:cs="Calibri"/>
          <w:color w:val="000000"/>
          <w:sz w:val="22"/>
          <w:szCs w:val="22"/>
        </w:rPr>
      </w:pPr>
      <w:r w:rsidRPr="00E65AA3">
        <w:rPr>
          <w:rFonts w:ascii="Calibri" w:eastAsia="Calibri" w:hAnsi="Calibri" w:cs="Calibri"/>
          <w:b/>
          <w:color w:val="000000"/>
          <w:sz w:val="22"/>
          <w:szCs w:val="22"/>
        </w:rPr>
        <w:lastRenderedPageBreak/>
        <w:t>Recalling its recommendations at paragraphs 12 and 46 of its 2022 Concluding Observations, we urge the Committee against Torture in its LOIPR to request the State Party to provide information regarding the measures it has taken to improve the legal framework to safeguard the right to assembly</w:t>
      </w:r>
      <w:r w:rsidRPr="00E65AA3">
        <w:rPr>
          <w:rFonts w:ascii="Calibri" w:eastAsia="Calibri" w:hAnsi="Calibri" w:cs="Calibri"/>
          <w:b/>
          <w:sz w:val="22"/>
          <w:szCs w:val="22"/>
        </w:rPr>
        <w:t xml:space="preserve">, </w:t>
      </w:r>
      <w:r w:rsidRPr="00E65AA3">
        <w:rPr>
          <w:rFonts w:ascii="Calibri" w:eastAsia="Calibri" w:hAnsi="Calibri" w:cs="Calibri"/>
          <w:b/>
          <w:color w:val="000000"/>
          <w:sz w:val="22"/>
          <w:szCs w:val="22"/>
        </w:rPr>
        <w:t xml:space="preserve">and the right </w:t>
      </w:r>
      <w:r w:rsidRPr="00E65AA3">
        <w:rPr>
          <w:rFonts w:ascii="Calibri" w:eastAsia="Calibri" w:hAnsi="Calibri" w:cs="Calibri"/>
          <w:b/>
          <w:sz w:val="22"/>
          <w:szCs w:val="22"/>
        </w:rPr>
        <w:t xml:space="preserve">to be free from torture, and prevent and address </w:t>
      </w:r>
      <w:r w:rsidRPr="00E65AA3">
        <w:rPr>
          <w:rFonts w:ascii="Calibri" w:eastAsia="Calibri" w:hAnsi="Calibri" w:cs="Calibri"/>
          <w:b/>
          <w:color w:val="000000"/>
          <w:sz w:val="22"/>
          <w:szCs w:val="22"/>
        </w:rPr>
        <w:t xml:space="preserve">future violations by State agents in the context of protests. Specifically, we suggest that the Committee seek information regarding: </w:t>
      </w:r>
    </w:p>
    <w:p w14:paraId="00000019" w14:textId="77777777" w:rsidR="002E5B72" w:rsidRPr="00E65AA3" w:rsidRDefault="00261A88" w:rsidP="00137E7C">
      <w:pPr>
        <w:numPr>
          <w:ilvl w:val="0"/>
          <w:numId w:val="4"/>
        </w:numPr>
        <w:pBdr>
          <w:top w:val="nil"/>
          <w:left w:val="nil"/>
          <w:bottom w:val="nil"/>
          <w:right w:val="nil"/>
          <w:between w:val="nil"/>
        </w:pBdr>
        <w:spacing w:line="259" w:lineRule="auto"/>
        <w:ind w:left="1276"/>
        <w:jc w:val="both"/>
        <w:rPr>
          <w:rFonts w:ascii="Calibri" w:eastAsia="Calibri" w:hAnsi="Calibri" w:cs="Calibri"/>
          <w:b/>
          <w:i/>
          <w:color w:val="000000"/>
          <w:sz w:val="22"/>
          <w:szCs w:val="22"/>
        </w:rPr>
      </w:pPr>
      <w:r w:rsidRPr="00E65AA3">
        <w:rPr>
          <w:rFonts w:ascii="Calibri" w:eastAsia="Calibri" w:hAnsi="Calibri" w:cs="Calibri"/>
          <w:b/>
          <w:i/>
          <w:color w:val="000000"/>
          <w:sz w:val="22"/>
          <w:szCs w:val="22"/>
        </w:rPr>
        <w:t>what steps have been taken to review the Assembly and Demonstration Bill and to bring the Public Order Act in line with the Constitution and with international human rights standards, with a view to ensuring that unjustified restrictions on the right to assembly are removed and not added;</w:t>
      </w:r>
    </w:p>
    <w:p w14:paraId="0000001A" w14:textId="77777777" w:rsidR="002E5B72" w:rsidRPr="00E65AA3" w:rsidRDefault="00261A88" w:rsidP="00137E7C">
      <w:pPr>
        <w:numPr>
          <w:ilvl w:val="0"/>
          <w:numId w:val="4"/>
        </w:numPr>
        <w:pBdr>
          <w:top w:val="nil"/>
          <w:left w:val="nil"/>
          <w:bottom w:val="nil"/>
          <w:right w:val="nil"/>
          <w:between w:val="nil"/>
        </w:pBdr>
        <w:spacing w:line="259" w:lineRule="auto"/>
        <w:ind w:left="1276"/>
        <w:jc w:val="both"/>
        <w:rPr>
          <w:rFonts w:ascii="Calibri" w:eastAsia="Calibri" w:hAnsi="Calibri" w:cs="Calibri"/>
          <w:b/>
          <w:i/>
          <w:color w:val="000000"/>
          <w:sz w:val="22"/>
          <w:szCs w:val="22"/>
        </w:rPr>
      </w:pPr>
      <w:r w:rsidRPr="00E65AA3">
        <w:rPr>
          <w:rFonts w:ascii="Calibri" w:eastAsia="Calibri" w:hAnsi="Calibri" w:cs="Calibri"/>
          <w:b/>
          <w:i/>
          <w:color w:val="000000"/>
          <w:sz w:val="22"/>
          <w:szCs w:val="22"/>
        </w:rPr>
        <w:t>what steps have been taken to ensure that law enforcement officials do not use weapons classed as prohibited equipment by th</w:t>
      </w:r>
      <w:r w:rsidRPr="00E65AA3">
        <w:rPr>
          <w:rFonts w:ascii="Calibri" w:eastAsia="Calibri" w:hAnsi="Calibri" w:cs="Calibri"/>
          <w:b/>
          <w:i/>
          <w:sz w:val="22"/>
          <w:szCs w:val="22"/>
        </w:rPr>
        <w:t>e UN Special Rapporteur on Torture and that</w:t>
      </w:r>
      <w:r w:rsidRPr="00E65AA3">
        <w:rPr>
          <w:rFonts w:ascii="Calibri" w:eastAsia="Calibri" w:hAnsi="Calibri" w:cs="Calibri"/>
          <w:b/>
          <w:i/>
          <w:color w:val="000000"/>
          <w:sz w:val="22"/>
          <w:szCs w:val="22"/>
        </w:rPr>
        <w:t xml:space="preserve"> </w:t>
      </w:r>
      <w:r w:rsidRPr="00E65AA3">
        <w:rPr>
          <w:rFonts w:ascii="Calibri" w:eastAsia="Calibri" w:hAnsi="Calibri" w:cs="Calibri"/>
          <w:b/>
          <w:i/>
          <w:sz w:val="22"/>
          <w:szCs w:val="22"/>
        </w:rPr>
        <w:t xml:space="preserve">the less-lethal weapons used by law enforcement officials comply with the UN Guidance on Less-Lethal Weapons; </w:t>
      </w:r>
    </w:p>
    <w:p w14:paraId="0000001B" w14:textId="77777777" w:rsidR="002E5B72" w:rsidRPr="00E65AA3" w:rsidRDefault="00261A88" w:rsidP="00137E7C">
      <w:pPr>
        <w:numPr>
          <w:ilvl w:val="0"/>
          <w:numId w:val="4"/>
        </w:numPr>
        <w:pBdr>
          <w:top w:val="nil"/>
          <w:left w:val="nil"/>
          <w:bottom w:val="nil"/>
          <w:right w:val="nil"/>
          <w:between w:val="nil"/>
        </w:pBdr>
        <w:spacing w:line="259" w:lineRule="auto"/>
        <w:ind w:left="1276"/>
        <w:jc w:val="both"/>
        <w:rPr>
          <w:rFonts w:ascii="Calibri" w:eastAsia="Calibri" w:hAnsi="Calibri" w:cs="Calibri"/>
          <w:b/>
          <w:i/>
          <w:color w:val="000000"/>
          <w:sz w:val="22"/>
          <w:szCs w:val="22"/>
        </w:rPr>
      </w:pPr>
      <w:r w:rsidRPr="00E65AA3">
        <w:rPr>
          <w:rFonts w:ascii="Calibri" w:eastAsia="Calibri" w:hAnsi="Calibri" w:cs="Calibri"/>
          <w:b/>
          <w:i/>
          <w:color w:val="000000"/>
          <w:sz w:val="22"/>
          <w:szCs w:val="22"/>
        </w:rPr>
        <w:t>what steps have been t</w:t>
      </w:r>
      <w:r w:rsidRPr="00E65AA3">
        <w:rPr>
          <w:rFonts w:ascii="Calibri" w:eastAsia="Calibri" w:hAnsi="Calibri" w:cs="Calibri"/>
          <w:b/>
          <w:i/>
          <w:sz w:val="22"/>
          <w:szCs w:val="22"/>
        </w:rPr>
        <w:t xml:space="preserve">aken to ensure law enforcement officials do not use less-lethal weapons including water cannons, rubber bullets, and tear gas, to commit acts of torture or other ill-treatment;  </w:t>
      </w:r>
    </w:p>
    <w:p w14:paraId="0000001C" w14:textId="77777777" w:rsidR="002E5B72" w:rsidRPr="00E65AA3" w:rsidRDefault="00261A88" w:rsidP="00137E7C">
      <w:pPr>
        <w:numPr>
          <w:ilvl w:val="0"/>
          <w:numId w:val="4"/>
        </w:numPr>
        <w:pBdr>
          <w:top w:val="nil"/>
          <w:left w:val="nil"/>
          <w:bottom w:val="nil"/>
          <w:right w:val="nil"/>
          <w:between w:val="nil"/>
        </w:pBdr>
        <w:spacing w:line="259" w:lineRule="auto"/>
        <w:ind w:left="1276"/>
        <w:jc w:val="both"/>
        <w:rPr>
          <w:rFonts w:ascii="Calibri" w:eastAsia="Calibri" w:hAnsi="Calibri" w:cs="Calibri"/>
          <w:b/>
          <w:i/>
          <w:color w:val="000000"/>
          <w:sz w:val="22"/>
          <w:szCs w:val="22"/>
        </w:rPr>
      </w:pPr>
      <w:r w:rsidRPr="00E65AA3">
        <w:rPr>
          <w:rFonts w:ascii="Calibri" w:eastAsia="Calibri" w:hAnsi="Calibri" w:cs="Calibri"/>
          <w:b/>
          <w:i/>
          <w:color w:val="000000"/>
          <w:sz w:val="22"/>
          <w:szCs w:val="22"/>
        </w:rPr>
        <w:t>what progress has been made towards criminalising enforced disappearances under domestic law and ratifying the International Convention for the Protection of All Persons from Enforced Disappearance;</w:t>
      </w:r>
    </w:p>
    <w:p w14:paraId="0000001D" w14:textId="15547EF1" w:rsidR="002E5B72" w:rsidRPr="00E65AA3" w:rsidRDefault="00261A88" w:rsidP="00137E7C">
      <w:pPr>
        <w:numPr>
          <w:ilvl w:val="0"/>
          <w:numId w:val="4"/>
        </w:numPr>
        <w:pBdr>
          <w:top w:val="nil"/>
          <w:left w:val="nil"/>
          <w:bottom w:val="nil"/>
          <w:right w:val="nil"/>
          <w:between w:val="nil"/>
        </w:pBdr>
        <w:spacing w:line="259" w:lineRule="auto"/>
        <w:ind w:left="1276"/>
        <w:jc w:val="both"/>
        <w:rPr>
          <w:rFonts w:ascii="Calibri" w:eastAsia="Calibri" w:hAnsi="Calibri" w:cs="Calibri"/>
          <w:b/>
          <w:i/>
          <w:color w:val="000000"/>
          <w:sz w:val="22"/>
          <w:szCs w:val="22"/>
        </w:rPr>
      </w:pPr>
      <w:r w:rsidRPr="00E65AA3">
        <w:rPr>
          <w:rFonts w:ascii="Calibri" w:eastAsia="Calibri" w:hAnsi="Calibri" w:cs="Calibri"/>
          <w:b/>
          <w:i/>
          <w:color w:val="000000"/>
          <w:sz w:val="22"/>
          <w:szCs w:val="22"/>
        </w:rPr>
        <w:t>what training has been provided to police and security forces and other actors in the administration of justice s</w:t>
      </w:r>
      <w:r w:rsidRPr="00E65AA3">
        <w:rPr>
          <w:rFonts w:ascii="Calibri" w:eastAsia="Calibri" w:hAnsi="Calibri" w:cs="Calibri"/>
          <w:b/>
          <w:i/>
          <w:sz w:val="22"/>
          <w:szCs w:val="22"/>
        </w:rPr>
        <w:t xml:space="preserve">ector </w:t>
      </w:r>
      <w:r w:rsidRPr="00E65AA3">
        <w:rPr>
          <w:rFonts w:ascii="Calibri" w:eastAsia="Calibri" w:hAnsi="Calibri" w:cs="Calibri"/>
          <w:b/>
          <w:i/>
          <w:color w:val="000000"/>
          <w:sz w:val="22"/>
          <w:szCs w:val="22"/>
        </w:rPr>
        <w:t>on the Prevention of Torture Act, the Convention against Torture, the Istanbul Protocol, the Basic Principles on the Use of Force and Firearms by Law Enforcement Officials, and the ACHPR Guidelines for the Policing of Assemblies by Law Enforcement Officials in Africa, with a view to preventing</w:t>
      </w:r>
      <w:r w:rsidR="00137E7C">
        <w:rPr>
          <w:rFonts w:ascii="Calibri" w:eastAsia="Calibri" w:hAnsi="Calibri" w:cs="Calibri"/>
          <w:b/>
          <w:i/>
          <w:color w:val="000000"/>
          <w:sz w:val="22"/>
          <w:szCs w:val="22"/>
        </w:rPr>
        <w:t xml:space="preserve"> and responding to</w:t>
      </w:r>
      <w:r w:rsidRPr="00E65AA3">
        <w:rPr>
          <w:rFonts w:ascii="Calibri" w:eastAsia="Calibri" w:hAnsi="Calibri" w:cs="Calibri"/>
          <w:b/>
          <w:i/>
          <w:color w:val="000000"/>
          <w:sz w:val="22"/>
          <w:szCs w:val="22"/>
        </w:rPr>
        <w:t xml:space="preserve"> torture or other ill-treatment in the context of protests;</w:t>
      </w:r>
    </w:p>
    <w:p w14:paraId="0000001E" w14:textId="77777777" w:rsidR="002E5B72" w:rsidRPr="00E65AA3" w:rsidRDefault="00261A88" w:rsidP="00137E7C">
      <w:pPr>
        <w:numPr>
          <w:ilvl w:val="0"/>
          <w:numId w:val="4"/>
        </w:numPr>
        <w:pBdr>
          <w:top w:val="nil"/>
          <w:left w:val="nil"/>
          <w:bottom w:val="nil"/>
          <w:right w:val="nil"/>
          <w:between w:val="nil"/>
        </w:pBdr>
        <w:spacing w:line="259" w:lineRule="auto"/>
        <w:ind w:left="1276"/>
        <w:jc w:val="both"/>
        <w:rPr>
          <w:rFonts w:ascii="Calibri" w:eastAsia="Calibri" w:hAnsi="Calibri" w:cs="Calibri"/>
          <w:b/>
          <w:i/>
          <w:color w:val="000000"/>
          <w:sz w:val="22"/>
          <w:szCs w:val="22"/>
        </w:rPr>
      </w:pPr>
      <w:r w:rsidRPr="00E65AA3">
        <w:rPr>
          <w:rFonts w:ascii="Calibri" w:eastAsia="Calibri" w:hAnsi="Calibri" w:cs="Calibri"/>
          <w:b/>
          <w:i/>
          <w:color w:val="000000"/>
          <w:sz w:val="22"/>
          <w:szCs w:val="22"/>
        </w:rPr>
        <w:t>what steps have been taken and what training has been provided to law enforcement with a view to implementing the Model Protocol for Law Enforcement Officials to Promote and Protect Human Rights in the Context of Peaceful Protests.</w:t>
      </w:r>
    </w:p>
    <w:p w14:paraId="0000001F" w14:textId="77777777" w:rsidR="002E5B72" w:rsidRDefault="00261A88" w:rsidP="00137E7C">
      <w:pPr>
        <w:numPr>
          <w:ilvl w:val="0"/>
          <w:numId w:val="4"/>
        </w:numPr>
        <w:pBdr>
          <w:top w:val="nil"/>
          <w:left w:val="nil"/>
          <w:bottom w:val="nil"/>
          <w:right w:val="nil"/>
          <w:between w:val="nil"/>
        </w:pBdr>
        <w:spacing w:after="120" w:line="259" w:lineRule="auto"/>
        <w:ind w:left="1276"/>
        <w:jc w:val="both"/>
        <w:rPr>
          <w:rFonts w:ascii="Calibri" w:eastAsia="Calibri" w:hAnsi="Calibri" w:cs="Calibri"/>
          <w:b/>
          <w:i/>
          <w:color w:val="000000"/>
          <w:sz w:val="22"/>
          <w:szCs w:val="22"/>
        </w:rPr>
      </w:pPr>
      <w:r w:rsidRPr="00E65AA3">
        <w:rPr>
          <w:rFonts w:ascii="Calibri" w:eastAsia="Calibri" w:hAnsi="Calibri" w:cs="Calibri"/>
          <w:b/>
          <w:i/>
          <w:color w:val="000000"/>
          <w:sz w:val="22"/>
          <w:szCs w:val="22"/>
        </w:rPr>
        <w:t xml:space="preserve">any other steps taken to ensure that, in practice, State agents will not use torture or other ill-treatment in the context of protests (or any other context). </w:t>
      </w:r>
    </w:p>
    <w:p w14:paraId="0424036B" w14:textId="77777777" w:rsidR="00137E7C" w:rsidRPr="00E65AA3" w:rsidRDefault="00137E7C" w:rsidP="00B3143A">
      <w:pPr>
        <w:pBdr>
          <w:top w:val="nil"/>
          <w:left w:val="nil"/>
          <w:bottom w:val="nil"/>
          <w:right w:val="nil"/>
          <w:between w:val="nil"/>
        </w:pBdr>
        <w:spacing w:after="120" w:line="259" w:lineRule="auto"/>
        <w:jc w:val="both"/>
        <w:rPr>
          <w:rFonts w:ascii="Calibri" w:eastAsia="Calibri" w:hAnsi="Calibri" w:cs="Calibri"/>
          <w:b/>
          <w:i/>
          <w:color w:val="000000"/>
          <w:sz w:val="22"/>
          <w:szCs w:val="22"/>
        </w:rPr>
      </w:pPr>
    </w:p>
    <w:p w14:paraId="00000020" w14:textId="4358074B" w:rsidR="002E5B72" w:rsidRPr="00E65AA3" w:rsidRDefault="00261A88" w:rsidP="00137E7C">
      <w:pPr>
        <w:pStyle w:val="RHeadingLevelTwo"/>
        <w:jc w:val="both"/>
        <w:rPr>
          <w:rFonts w:eastAsia="Calibri"/>
        </w:rPr>
      </w:pPr>
      <w:r w:rsidRPr="00E65AA3">
        <w:rPr>
          <w:rFonts w:eastAsia="Calibri"/>
        </w:rPr>
        <w:t xml:space="preserve">Investigations and Prosecutions </w:t>
      </w:r>
    </w:p>
    <w:p w14:paraId="00000021" w14:textId="77777777" w:rsidR="002E5B72" w:rsidRPr="00E65AA3" w:rsidRDefault="00261A88" w:rsidP="00137E7C">
      <w:pPr>
        <w:numPr>
          <w:ilvl w:val="0"/>
          <w:numId w:val="5"/>
        </w:numPr>
        <w:pBdr>
          <w:top w:val="nil"/>
          <w:left w:val="nil"/>
          <w:bottom w:val="nil"/>
          <w:right w:val="nil"/>
          <w:between w:val="nil"/>
        </w:pBdr>
        <w:spacing w:after="120"/>
        <w:jc w:val="both"/>
        <w:rPr>
          <w:rFonts w:ascii="Calibri" w:eastAsia="Calibri" w:hAnsi="Calibri" w:cs="Calibri"/>
          <w:color w:val="000000"/>
          <w:sz w:val="22"/>
          <w:szCs w:val="22"/>
        </w:rPr>
      </w:pPr>
      <w:r w:rsidRPr="00E65AA3">
        <w:rPr>
          <w:rFonts w:ascii="Calibri" w:eastAsia="Calibri" w:hAnsi="Calibri" w:cs="Calibri"/>
          <w:color w:val="000000"/>
          <w:sz w:val="22"/>
          <w:szCs w:val="22"/>
        </w:rPr>
        <w:t>In its May 2022 Concluding Observations on the third periodic report of Kenya, the Committee stated that “in view of the numerous allegations and complaints of torture and ill-treatment by State officials, especially by police officers, in places of deprivation of liberty and during policing activities, and the reports that the police oversight mechanisms remain ineffective, the Committee is deeply concerned at the lack of accountability, which contributes to an environment of impunity.”</w:t>
      </w:r>
      <w:r w:rsidRPr="00E65AA3">
        <w:rPr>
          <w:rFonts w:ascii="Calibri" w:eastAsia="Calibri" w:hAnsi="Calibri" w:cs="Calibri"/>
          <w:color w:val="000000"/>
          <w:sz w:val="22"/>
          <w:szCs w:val="22"/>
          <w:vertAlign w:val="superscript"/>
        </w:rPr>
        <w:footnoteReference w:id="27"/>
      </w:r>
      <w:r w:rsidRPr="00E65AA3">
        <w:rPr>
          <w:rFonts w:ascii="Calibri" w:eastAsia="Calibri" w:hAnsi="Calibri" w:cs="Calibri"/>
          <w:color w:val="000000"/>
          <w:sz w:val="22"/>
          <w:szCs w:val="22"/>
        </w:rPr>
        <w:t xml:space="preserve"> The Committee </w:t>
      </w:r>
      <w:r w:rsidRPr="00E65AA3">
        <w:rPr>
          <w:rFonts w:ascii="Calibri" w:eastAsia="Calibri" w:hAnsi="Calibri" w:cs="Calibri"/>
          <w:color w:val="000000"/>
          <w:sz w:val="22"/>
          <w:szCs w:val="22"/>
        </w:rPr>
        <w:lastRenderedPageBreak/>
        <w:t>further “note[d] with concern that there are no documented cases of persons prosecuted for and convicted of torture under the Prevention of Torture Act.”</w:t>
      </w:r>
      <w:r w:rsidRPr="00E65AA3">
        <w:rPr>
          <w:rFonts w:ascii="Calibri" w:eastAsia="Calibri" w:hAnsi="Calibri" w:cs="Calibri"/>
          <w:color w:val="000000"/>
          <w:sz w:val="22"/>
          <w:szCs w:val="22"/>
          <w:vertAlign w:val="superscript"/>
        </w:rPr>
        <w:footnoteReference w:id="28"/>
      </w:r>
      <w:r w:rsidRPr="00E65AA3">
        <w:rPr>
          <w:rFonts w:ascii="Calibri" w:eastAsia="Calibri" w:hAnsi="Calibri" w:cs="Calibri"/>
          <w:color w:val="000000"/>
          <w:sz w:val="22"/>
          <w:szCs w:val="22"/>
        </w:rPr>
        <w:t xml:space="preserve"> </w:t>
      </w:r>
    </w:p>
    <w:p w14:paraId="00000022" w14:textId="7FF99A72" w:rsidR="002E5B72" w:rsidRPr="00E65AA3" w:rsidRDefault="00261A88" w:rsidP="00137E7C">
      <w:pPr>
        <w:numPr>
          <w:ilvl w:val="0"/>
          <w:numId w:val="5"/>
        </w:numPr>
        <w:pBdr>
          <w:top w:val="nil"/>
          <w:left w:val="nil"/>
          <w:bottom w:val="nil"/>
          <w:right w:val="nil"/>
          <w:between w:val="nil"/>
        </w:pBdr>
        <w:spacing w:after="120"/>
        <w:jc w:val="both"/>
        <w:rPr>
          <w:rFonts w:ascii="Calibri" w:eastAsia="Calibri" w:hAnsi="Calibri" w:cs="Calibri"/>
          <w:color w:val="000000"/>
          <w:sz w:val="22"/>
          <w:szCs w:val="22"/>
        </w:rPr>
      </w:pPr>
      <w:r w:rsidRPr="00E65AA3">
        <w:rPr>
          <w:rFonts w:ascii="Calibri" w:eastAsia="Calibri" w:hAnsi="Calibri" w:cs="Calibri"/>
          <w:color w:val="000000"/>
          <w:sz w:val="22"/>
          <w:szCs w:val="22"/>
        </w:rPr>
        <w:t>The police continue to enjoy impunity despite extensive credible documentation of their abuses against protesters. Barriers to accountability include the State’s lack of acknowledgement of the repeated violations,</w:t>
      </w:r>
      <w:r w:rsidRPr="00E65AA3">
        <w:rPr>
          <w:rFonts w:ascii="Calibri" w:eastAsia="Calibri" w:hAnsi="Calibri" w:cs="Calibri"/>
          <w:color w:val="000000"/>
          <w:sz w:val="22"/>
          <w:szCs w:val="22"/>
          <w:vertAlign w:val="superscript"/>
        </w:rPr>
        <w:footnoteReference w:id="29"/>
      </w:r>
      <w:r w:rsidRPr="00E65AA3">
        <w:rPr>
          <w:rFonts w:ascii="Calibri" w:eastAsia="Calibri" w:hAnsi="Calibri" w:cs="Calibri"/>
          <w:color w:val="000000"/>
          <w:sz w:val="22"/>
          <w:szCs w:val="22"/>
        </w:rPr>
        <w:t xml:space="preserve"> police officers operating in plainclothes without ide</w:t>
      </w:r>
      <w:r w:rsidRPr="00E65AA3">
        <w:rPr>
          <w:rFonts w:ascii="Calibri" w:eastAsia="Calibri" w:hAnsi="Calibri" w:cs="Calibri"/>
          <w:sz w:val="22"/>
          <w:szCs w:val="22"/>
        </w:rPr>
        <w:t>ntification,</w:t>
      </w:r>
      <w:r w:rsidRPr="00E65AA3">
        <w:rPr>
          <w:rFonts w:ascii="Calibri" w:eastAsia="Calibri" w:hAnsi="Calibri" w:cs="Calibri"/>
          <w:sz w:val="22"/>
          <w:szCs w:val="22"/>
          <w:vertAlign w:val="superscript"/>
        </w:rPr>
        <w:footnoteReference w:id="30"/>
      </w:r>
      <w:r w:rsidRPr="00E65AA3">
        <w:rPr>
          <w:rFonts w:ascii="Calibri" w:eastAsia="Calibri" w:hAnsi="Calibri" w:cs="Calibri"/>
          <w:sz w:val="22"/>
          <w:szCs w:val="22"/>
        </w:rPr>
        <w:t xml:space="preserve"> </w:t>
      </w:r>
      <w:r w:rsidRPr="00E65AA3">
        <w:rPr>
          <w:rFonts w:ascii="Calibri" w:eastAsia="Calibri" w:hAnsi="Calibri" w:cs="Calibri"/>
          <w:color w:val="000000"/>
          <w:sz w:val="22"/>
          <w:szCs w:val="22"/>
        </w:rPr>
        <w:t>and challenges with reporting and investigations. Many victims fear reprisals if they were to file complaints with the police, making them reluctant to report police abuses.</w:t>
      </w:r>
      <w:r w:rsidRPr="00E65AA3">
        <w:rPr>
          <w:rFonts w:ascii="Calibri" w:eastAsia="Calibri" w:hAnsi="Calibri" w:cs="Calibri"/>
          <w:color w:val="000000"/>
          <w:sz w:val="22"/>
          <w:szCs w:val="22"/>
          <w:vertAlign w:val="superscript"/>
        </w:rPr>
        <w:footnoteReference w:id="31"/>
      </w:r>
      <w:r w:rsidRPr="00E65AA3">
        <w:rPr>
          <w:rFonts w:ascii="Calibri" w:eastAsia="Calibri" w:hAnsi="Calibri" w:cs="Calibri"/>
          <w:color w:val="000000"/>
          <w:sz w:val="22"/>
          <w:szCs w:val="22"/>
        </w:rPr>
        <w:t xml:space="preserve"> </w:t>
      </w:r>
      <w:r w:rsidRPr="00E65AA3">
        <w:rPr>
          <w:rFonts w:ascii="Calibri" w:eastAsia="Calibri" w:hAnsi="Calibri" w:cs="Calibri"/>
          <w:sz w:val="22"/>
          <w:szCs w:val="22"/>
        </w:rPr>
        <w:t>Other challenges include ineffective protection of witnesses. While Kenya enacted</w:t>
      </w:r>
      <w:r w:rsidRPr="00E65AA3">
        <w:rPr>
          <w:rFonts w:ascii="Calibri" w:eastAsia="Calibri" w:hAnsi="Calibri" w:cs="Calibri"/>
          <w:color w:val="000000"/>
          <w:sz w:val="22"/>
          <w:szCs w:val="22"/>
        </w:rPr>
        <w:t xml:space="preserve"> the Witness Protection Act</w:t>
      </w:r>
      <w:r w:rsidRPr="00E65AA3">
        <w:rPr>
          <w:rFonts w:ascii="Calibri" w:eastAsia="Calibri" w:hAnsi="Calibri" w:cs="Calibri"/>
          <w:sz w:val="22"/>
          <w:szCs w:val="22"/>
        </w:rPr>
        <w:t xml:space="preserve"> establishing the Witness Protection Agency (WPA) mandated to provide special protection to threatened or intimidated witnesses to guarantee their security and welfare when testifying in court, the scope of the protection remains limited as witnesses are not protected at all stages. This </w:t>
      </w:r>
      <w:r w:rsidR="00137E7C">
        <w:rPr>
          <w:rFonts w:ascii="Calibri" w:eastAsia="Calibri" w:hAnsi="Calibri" w:cs="Calibri"/>
          <w:sz w:val="22"/>
          <w:szCs w:val="22"/>
        </w:rPr>
        <w:t xml:space="preserve">also </w:t>
      </w:r>
      <w:r w:rsidRPr="00E65AA3">
        <w:rPr>
          <w:rFonts w:ascii="Calibri" w:eastAsia="Calibri" w:hAnsi="Calibri" w:cs="Calibri"/>
          <w:sz w:val="22"/>
          <w:szCs w:val="22"/>
        </w:rPr>
        <w:t xml:space="preserve">excludes whistleblowers from protection. </w:t>
      </w:r>
      <w:r w:rsidR="00137E7C">
        <w:rPr>
          <w:rFonts w:ascii="Calibri" w:eastAsia="Calibri" w:hAnsi="Calibri" w:cs="Calibri"/>
          <w:sz w:val="22"/>
          <w:szCs w:val="22"/>
        </w:rPr>
        <w:t>Finally</w:t>
      </w:r>
      <w:r w:rsidRPr="00E65AA3">
        <w:rPr>
          <w:rFonts w:ascii="Calibri" w:eastAsia="Calibri" w:hAnsi="Calibri" w:cs="Calibri"/>
          <w:sz w:val="22"/>
          <w:szCs w:val="22"/>
        </w:rPr>
        <w:t>, the decentralisation of the WPA has not been achieved in the 47 counties of Kenya, which limits access by the most vulnerable</w:t>
      </w:r>
      <w:r w:rsidR="00137E7C">
        <w:rPr>
          <w:rFonts w:ascii="Calibri" w:eastAsia="Calibri" w:hAnsi="Calibri" w:cs="Calibri"/>
          <w:sz w:val="22"/>
          <w:szCs w:val="22"/>
        </w:rPr>
        <w:t xml:space="preserve">, and the </w:t>
      </w:r>
      <w:r w:rsidRPr="00E65AA3">
        <w:rPr>
          <w:rFonts w:ascii="Calibri" w:eastAsia="Calibri" w:hAnsi="Calibri" w:cs="Calibri"/>
          <w:sz w:val="22"/>
          <w:szCs w:val="22"/>
        </w:rPr>
        <w:t>WPA</w:t>
      </w:r>
      <w:r w:rsidRPr="00E65AA3">
        <w:rPr>
          <w:rFonts w:ascii="Calibri" w:eastAsia="Calibri" w:hAnsi="Calibri" w:cs="Calibri"/>
          <w:color w:val="000000"/>
          <w:sz w:val="22"/>
          <w:szCs w:val="22"/>
        </w:rPr>
        <w:t xml:space="preserve"> remains underfunde</w:t>
      </w:r>
      <w:r w:rsidRPr="00E65AA3">
        <w:rPr>
          <w:rFonts w:ascii="Calibri" w:eastAsia="Calibri" w:hAnsi="Calibri" w:cs="Calibri"/>
          <w:sz w:val="22"/>
          <w:szCs w:val="22"/>
        </w:rPr>
        <w:t>d.</w:t>
      </w:r>
    </w:p>
    <w:p w14:paraId="00000023" w14:textId="34F22CD0" w:rsidR="002E5B72" w:rsidRPr="00E65AA3" w:rsidRDefault="00261A88" w:rsidP="00137E7C">
      <w:pPr>
        <w:numPr>
          <w:ilvl w:val="0"/>
          <w:numId w:val="5"/>
        </w:numPr>
        <w:pBdr>
          <w:top w:val="nil"/>
          <w:left w:val="nil"/>
          <w:bottom w:val="nil"/>
          <w:right w:val="nil"/>
          <w:between w:val="nil"/>
        </w:pBdr>
        <w:spacing w:after="120"/>
        <w:jc w:val="both"/>
        <w:rPr>
          <w:rFonts w:ascii="Calibri" w:eastAsia="Calibri" w:hAnsi="Calibri" w:cs="Calibri"/>
          <w:color w:val="000000"/>
          <w:sz w:val="22"/>
          <w:szCs w:val="22"/>
        </w:rPr>
      </w:pPr>
      <w:r w:rsidRPr="00E65AA3">
        <w:rPr>
          <w:rFonts w:ascii="Calibri" w:eastAsia="Calibri" w:hAnsi="Calibri" w:cs="Calibri"/>
          <w:color w:val="000000"/>
          <w:sz w:val="22"/>
          <w:szCs w:val="22"/>
        </w:rPr>
        <w:t>In the context of the 2023 protests, the police reportedly failed to secure crime scenes, collect evidence, fill out “P23” forms to identify victims and describe the crime scene, and attend post-mortem examinations.</w:t>
      </w:r>
      <w:r w:rsidRPr="00E65AA3">
        <w:rPr>
          <w:rFonts w:ascii="Calibri" w:eastAsia="Calibri" w:hAnsi="Calibri" w:cs="Calibri"/>
          <w:color w:val="000000"/>
          <w:sz w:val="22"/>
          <w:szCs w:val="22"/>
          <w:vertAlign w:val="superscript"/>
        </w:rPr>
        <w:footnoteReference w:id="32"/>
      </w:r>
      <w:r w:rsidRPr="00E65AA3">
        <w:rPr>
          <w:rFonts w:ascii="Calibri" w:eastAsia="Calibri" w:hAnsi="Calibri" w:cs="Calibri"/>
          <w:color w:val="000000"/>
          <w:sz w:val="22"/>
          <w:szCs w:val="22"/>
        </w:rPr>
        <w:t xml:space="preserve"> IPOA has also reported that police agencies have frustrated its investigations, denying or </w:t>
      </w:r>
      <w:r w:rsidRPr="00E65AA3">
        <w:rPr>
          <w:rFonts w:ascii="Calibri" w:eastAsia="Calibri" w:hAnsi="Calibri" w:cs="Calibri"/>
          <w:sz w:val="22"/>
          <w:szCs w:val="22"/>
        </w:rPr>
        <w:t>altering evidence.</w:t>
      </w:r>
      <w:r w:rsidRPr="00E65AA3">
        <w:rPr>
          <w:rFonts w:ascii="Calibri" w:eastAsia="Calibri" w:hAnsi="Calibri" w:cs="Calibri"/>
          <w:color w:val="000000"/>
          <w:sz w:val="22"/>
          <w:szCs w:val="22"/>
          <w:vertAlign w:val="superscript"/>
        </w:rPr>
        <w:footnoteReference w:id="33"/>
      </w:r>
    </w:p>
    <w:p w14:paraId="00000024" w14:textId="77777777" w:rsidR="002E5B72" w:rsidRPr="00E65AA3" w:rsidRDefault="00261A88" w:rsidP="00137E7C">
      <w:pPr>
        <w:numPr>
          <w:ilvl w:val="0"/>
          <w:numId w:val="5"/>
        </w:numPr>
        <w:pBdr>
          <w:top w:val="nil"/>
          <w:left w:val="nil"/>
          <w:bottom w:val="nil"/>
          <w:right w:val="nil"/>
          <w:between w:val="nil"/>
        </w:pBdr>
        <w:spacing w:after="120"/>
        <w:jc w:val="both"/>
        <w:rPr>
          <w:rFonts w:ascii="Calibri" w:eastAsia="Calibri" w:hAnsi="Calibri" w:cs="Calibri"/>
          <w:color w:val="000000"/>
          <w:sz w:val="22"/>
          <w:szCs w:val="22"/>
        </w:rPr>
      </w:pPr>
      <w:r w:rsidRPr="00E65AA3">
        <w:rPr>
          <w:rFonts w:ascii="Calibri" w:eastAsia="Calibri" w:hAnsi="Calibri" w:cs="Calibri"/>
          <w:color w:val="000000"/>
          <w:sz w:val="22"/>
          <w:szCs w:val="22"/>
        </w:rPr>
        <w:t>Thus far, there have been no prosecutions of police officers for the</w:t>
      </w:r>
      <w:r w:rsidRPr="00E65AA3">
        <w:rPr>
          <w:rFonts w:ascii="Calibri" w:eastAsia="Calibri" w:hAnsi="Calibri" w:cs="Calibri"/>
          <w:sz w:val="22"/>
          <w:szCs w:val="22"/>
        </w:rPr>
        <w:t xml:space="preserve"> torture,</w:t>
      </w:r>
      <w:r w:rsidRPr="00E65AA3">
        <w:rPr>
          <w:rFonts w:ascii="Calibri" w:eastAsia="Calibri" w:hAnsi="Calibri" w:cs="Calibri"/>
          <w:color w:val="000000"/>
          <w:sz w:val="22"/>
          <w:szCs w:val="22"/>
        </w:rPr>
        <w:t xml:space="preserve"> killings and other violations in the context of protests in 2023 and 2024. The relevant Kenyan authorities – including the IPOA, the Internal Affairs Unit of the police, and the Office of the Director of Public Prosecutions – have failed to provide the public or families of victims with updates on the progress of investigations launched into police abuses during the protests.</w:t>
      </w:r>
      <w:r w:rsidRPr="00E65AA3">
        <w:rPr>
          <w:rFonts w:ascii="Calibri" w:eastAsia="Calibri" w:hAnsi="Calibri" w:cs="Calibri"/>
          <w:color w:val="000000"/>
          <w:sz w:val="22"/>
          <w:szCs w:val="22"/>
          <w:vertAlign w:val="superscript"/>
        </w:rPr>
        <w:footnoteReference w:id="34"/>
      </w:r>
      <w:r w:rsidRPr="00E65AA3">
        <w:rPr>
          <w:rFonts w:ascii="Calibri" w:eastAsia="Calibri" w:hAnsi="Calibri" w:cs="Calibri"/>
          <w:color w:val="000000"/>
          <w:sz w:val="22"/>
          <w:szCs w:val="22"/>
        </w:rPr>
        <w:t xml:space="preserve"> Moreover, the Kenya National Commission on Human Rights lack</w:t>
      </w:r>
      <w:r w:rsidRPr="00E65AA3">
        <w:rPr>
          <w:rFonts w:ascii="Calibri" w:eastAsia="Calibri" w:hAnsi="Calibri" w:cs="Calibri"/>
          <w:sz w:val="22"/>
          <w:szCs w:val="22"/>
        </w:rPr>
        <w:t xml:space="preserve">s adequate funding to carry out investigations on human rights violations. </w:t>
      </w:r>
    </w:p>
    <w:p w14:paraId="00000025" w14:textId="77777777" w:rsidR="002E5B72" w:rsidRPr="00E65AA3" w:rsidRDefault="00261A88" w:rsidP="00137E7C">
      <w:pPr>
        <w:numPr>
          <w:ilvl w:val="0"/>
          <w:numId w:val="5"/>
        </w:numPr>
        <w:pBdr>
          <w:top w:val="nil"/>
          <w:left w:val="nil"/>
          <w:bottom w:val="nil"/>
          <w:right w:val="nil"/>
          <w:between w:val="nil"/>
        </w:pBdr>
        <w:spacing w:after="120"/>
        <w:jc w:val="both"/>
        <w:rPr>
          <w:rFonts w:ascii="Calibri" w:eastAsia="Calibri" w:hAnsi="Calibri" w:cs="Calibri"/>
          <w:color w:val="000000"/>
          <w:sz w:val="22"/>
          <w:szCs w:val="22"/>
        </w:rPr>
      </w:pPr>
      <w:r w:rsidRPr="00E65AA3">
        <w:rPr>
          <w:rFonts w:ascii="Calibri" w:eastAsia="Calibri" w:hAnsi="Calibri" w:cs="Calibri"/>
          <w:b/>
          <w:color w:val="000000"/>
          <w:sz w:val="22"/>
          <w:szCs w:val="22"/>
        </w:rPr>
        <w:t xml:space="preserve">Recalling its recommendations at paragraphs 12 and 30 of its 2022 Concluding Observations, we urge the Committee against Torture in its LOIPR to request the State Party to: </w:t>
      </w:r>
    </w:p>
    <w:p w14:paraId="00000026" w14:textId="77777777" w:rsidR="002E5B72" w:rsidRPr="00E65AA3" w:rsidRDefault="00261A88" w:rsidP="00137E7C">
      <w:pPr>
        <w:numPr>
          <w:ilvl w:val="0"/>
          <w:numId w:val="3"/>
        </w:numPr>
        <w:pBdr>
          <w:top w:val="nil"/>
          <w:left w:val="nil"/>
          <w:bottom w:val="nil"/>
          <w:right w:val="nil"/>
          <w:between w:val="nil"/>
        </w:pBdr>
        <w:ind w:left="1276"/>
        <w:jc w:val="both"/>
        <w:rPr>
          <w:rFonts w:ascii="Calibri" w:eastAsia="Calibri" w:hAnsi="Calibri" w:cs="Calibri"/>
          <w:b/>
          <w:i/>
          <w:color w:val="000000"/>
          <w:sz w:val="22"/>
          <w:szCs w:val="22"/>
        </w:rPr>
      </w:pPr>
      <w:r w:rsidRPr="00E65AA3">
        <w:rPr>
          <w:rFonts w:ascii="Calibri" w:eastAsia="Calibri" w:hAnsi="Calibri" w:cs="Calibri"/>
          <w:b/>
          <w:i/>
          <w:color w:val="000000"/>
          <w:sz w:val="22"/>
          <w:szCs w:val="22"/>
        </w:rPr>
        <w:t xml:space="preserve">Provide detailed information on the steps that it has taken since the Committee’s 2022 Concluding Observations were adopted, and its plans for future measures, to adequately investigate and prosecute violence in the context of protests – including allegations of torture and ill-treatment, as well as deaths and enforced disappearances – promptly,  impartially and effectively, and hold all perpetrators, in particular </w:t>
      </w:r>
      <w:r w:rsidRPr="00E65AA3">
        <w:rPr>
          <w:rFonts w:ascii="Calibri" w:eastAsia="Calibri" w:hAnsi="Calibri" w:cs="Calibri"/>
          <w:b/>
          <w:i/>
          <w:sz w:val="22"/>
          <w:szCs w:val="22"/>
        </w:rPr>
        <w:t>S</w:t>
      </w:r>
      <w:r w:rsidRPr="00E65AA3">
        <w:rPr>
          <w:rFonts w:ascii="Calibri" w:eastAsia="Calibri" w:hAnsi="Calibri" w:cs="Calibri"/>
          <w:b/>
          <w:i/>
          <w:color w:val="000000"/>
          <w:sz w:val="22"/>
          <w:szCs w:val="22"/>
        </w:rPr>
        <w:t>tate agents, accountable;</w:t>
      </w:r>
    </w:p>
    <w:p w14:paraId="00000027" w14:textId="17EDC92D" w:rsidR="002E5B72" w:rsidRPr="00E65AA3" w:rsidRDefault="00261A88" w:rsidP="00137E7C">
      <w:pPr>
        <w:numPr>
          <w:ilvl w:val="0"/>
          <w:numId w:val="3"/>
        </w:numPr>
        <w:pBdr>
          <w:top w:val="nil"/>
          <w:left w:val="nil"/>
          <w:bottom w:val="nil"/>
          <w:right w:val="nil"/>
          <w:between w:val="nil"/>
        </w:pBdr>
        <w:ind w:left="1276"/>
        <w:jc w:val="both"/>
        <w:rPr>
          <w:rFonts w:ascii="Calibri" w:eastAsia="Calibri" w:hAnsi="Calibri" w:cs="Calibri"/>
          <w:b/>
          <w:i/>
          <w:sz w:val="22"/>
          <w:szCs w:val="22"/>
        </w:rPr>
      </w:pPr>
      <w:r w:rsidRPr="00E65AA3">
        <w:rPr>
          <w:rFonts w:ascii="Calibri" w:eastAsia="Calibri" w:hAnsi="Calibri" w:cs="Calibri"/>
          <w:b/>
          <w:i/>
          <w:sz w:val="22"/>
          <w:szCs w:val="22"/>
        </w:rPr>
        <w:t xml:space="preserve">Provide information on the measures taken to enable </w:t>
      </w:r>
      <w:r w:rsidR="00137E7C">
        <w:rPr>
          <w:rFonts w:ascii="Calibri" w:eastAsia="Calibri" w:hAnsi="Calibri" w:cs="Calibri"/>
          <w:b/>
          <w:i/>
          <w:sz w:val="22"/>
          <w:szCs w:val="22"/>
        </w:rPr>
        <w:t xml:space="preserve">the </w:t>
      </w:r>
      <w:r w:rsidRPr="00E65AA3">
        <w:rPr>
          <w:rFonts w:ascii="Calibri" w:eastAsia="Calibri" w:hAnsi="Calibri" w:cs="Calibri"/>
          <w:b/>
          <w:i/>
          <w:sz w:val="22"/>
          <w:szCs w:val="22"/>
        </w:rPr>
        <w:t>identification of police officers during the performance of work and duties;</w:t>
      </w:r>
    </w:p>
    <w:p w14:paraId="00000028" w14:textId="77777777" w:rsidR="002E5B72" w:rsidRPr="00E65AA3" w:rsidRDefault="00261A88" w:rsidP="00137E7C">
      <w:pPr>
        <w:numPr>
          <w:ilvl w:val="0"/>
          <w:numId w:val="3"/>
        </w:numPr>
        <w:pBdr>
          <w:top w:val="nil"/>
          <w:left w:val="nil"/>
          <w:bottom w:val="nil"/>
          <w:right w:val="nil"/>
          <w:between w:val="nil"/>
        </w:pBdr>
        <w:ind w:left="1276"/>
        <w:jc w:val="both"/>
        <w:rPr>
          <w:rFonts w:ascii="Calibri" w:eastAsia="Calibri" w:hAnsi="Calibri" w:cs="Calibri"/>
          <w:b/>
          <w:i/>
          <w:color w:val="000000"/>
          <w:sz w:val="22"/>
          <w:szCs w:val="22"/>
        </w:rPr>
      </w:pPr>
      <w:r w:rsidRPr="00E65AA3">
        <w:rPr>
          <w:rFonts w:ascii="Calibri" w:eastAsia="Calibri" w:hAnsi="Calibri" w:cs="Calibri"/>
          <w:b/>
          <w:i/>
          <w:color w:val="000000"/>
          <w:sz w:val="22"/>
          <w:szCs w:val="22"/>
        </w:rPr>
        <w:lastRenderedPageBreak/>
        <w:t>Provide specific information on the measures it has adopted to ensure that police report cases of injury and death to the Independent Policing Oversight Authority to facilitate independent investigations;</w:t>
      </w:r>
    </w:p>
    <w:p w14:paraId="00000029" w14:textId="77777777" w:rsidR="002E5B72" w:rsidRPr="00E65AA3" w:rsidRDefault="00261A88" w:rsidP="00137E7C">
      <w:pPr>
        <w:numPr>
          <w:ilvl w:val="0"/>
          <w:numId w:val="3"/>
        </w:numPr>
        <w:pBdr>
          <w:top w:val="nil"/>
          <w:left w:val="nil"/>
          <w:bottom w:val="nil"/>
          <w:right w:val="nil"/>
          <w:between w:val="nil"/>
        </w:pBdr>
        <w:ind w:left="1276"/>
        <w:jc w:val="both"/>
        <w:rPr>
          <w:rFonts w:ascii="Calibri" w:eastAsia="Calibri" w:hAnsi="Calibri" w:cs="Calibri"/>
          <w:b/>
          <w:i/>
          <w:color w:val="000000"/>
          <w:sz w:val="22"/>
          <w:szCs w:val="22"/>
        </w:rPr>
      </w:pPr>
      <w:r w:rsidRPr="00E65AA3">
        <w:rPr>
          <w:rFonts w:ascii="Calibri" w:eastAsia="Calibri" w:hAnsi="Calibri" w:cs="Calibri"/>
          <w:b/>
          <w:i/>
          <w:color w:val="000000"/>
          <w:sz w:val="22"/>
          <w:szCs w:val="22"/>
        </w:rPr>
        <w:t>Provide information on the measures it has taken to ensure that the Independent Policing Oversight Authority – and other relevant complaints mechanisms and investigative bodies – make public the findings of their investigations, including the number of unlawful killings by police and the police units and formations responsible;</w:t>
      </w:r>
    </w:p>
    <w:p w14:paraId="0000002A" w14:textId="77777777" w:rsidR="002E5B72" w:rsidRPr="00E65AA3" w:rsidRDefault="00261A88" w:rsidP="00137E7C">
      <w:pPr>
        <w:numPr>
          <w:ilvl w:val="0"/>
          <w:numId w:val="3"/>
        </w:numPr>
        <w:pBdr>
          <w:top w:val="nil"/>
          <w:left w:val="nil"/>
          <w:bottom w:val="nil"/>
          <w:right w:val="nil"/>
          <w:between w:val="nil"/>
        </w:pBdr>
        <w:ind w:left="1276"/>
        <w:jc w:val="both"/>
        <w:rPr>
          <w:rFonts w:ascii="Calibri" w:eastAsia="Calibri" w:hAnsi="Calibri" w:cs="Calibri"/>
          <w:b/>
          <w:i/>
          <w:color w:val="000000"/>
          <w:sz w:val="22"/>
          <w:szCs w:val="22"/>
        </w:rPr>
      </w:pPr>
      <w:r w:rsidRPr="00E65AA3">
        <w:rPr>
          <w:rFonts w:ascii="Calibri" w:eastAsia="Calibri" w:hAnsi="Calibri" w:cs="Calibri"/>
          <w:b/>
          <w:i/>
          <w:color w:val="000000"/>
          <w:sz w:val="22"/>
          <w:szCs w:val="22"/>
        </w:rPr>
        <w:t>Provide specific information on the number of cases of violence, including torture, extrajudicial killings and enforced disappearances in the context of protests reported, documented, and investigated, and the outcomes of these investigations;</w:t>
      </w:r>
    </w:p>
    <w:p w14:paraId="0000002B" w14:textId="77777777" w:rsidR="002E5B72" w:rsidRPr="00E65AA3" w:rsidRDefault="00261A88" w:rsidP="00137E7C">
      <w:pPr>
        <w:numPr>
          <w:ilvl w:val="0"/>
          <w:numId w:val="3"/>
        </w:numPr>
        <w:pBdr>
          <w:top w:val="nil"/>
          <w:left w:val="nil"/>
          <w:bottom w:val="nil"/>
          <w:right w:val="nil"/>
          <w:between w:val="nil"/>
        </w:pBdr>
        <w:ind w:left="1276"/>
        <w:jc w:val="both"/>
        <w:rPr>
          <w:rFonts w:ascii="Calibri" w:eastAsia="Calibri" w:hAnsi="Calibri" w:cs="Calibri"/>
          <w:b/>
          <w:i/>
          <w:color w:val="000000"/>
          <w:sz w:val="22"/>
          <w:szCs w:val="22"/>
        </w:rPr>
      </w:pPr>
      <w:r w:rsidRPr="00E65AA3">
        <w:rPr>
          <w:rFonts w:ascii="Calibri" w:eastAsia="Calibri" w:hAnsi="Calibri" w:cs="Calibri"/>
          <w:b/>
          <w:i/>
          <w:color w:val="000000"/>
          <w:sz w:val="22"/>
          <w:szCs w:val="22"/>
        </w:rPr>
        <w:t>Provide specific information on the measures adopted to ensure victims and witnesses are adequately protected from reprisals upon reporting violations;</w:t>
      </w:r>
    </w:p>
    <w:p w14:paraId="0000002C" w14:textId="77777777" w:rsidR="002E5B72" w:rsidRDefault="00261A88" w:rsidP="00137E7C">
      <w:pPr>
        <w:numPr>
          <w:ilvl w:val="0"/>
          <w:numId w:val="3"/>
        </w:numPr>
        <w:pBdr>
          <w:top w:val="nil"/>
          <w:left w:val="nil"/>
          <w:bottom w:val="nil"/>
          <w:right w:val="nil"/>
          <w:between w:val="nil"/>
        </w:pBdr>
        <w:spacing w:after="120"/>
        <w:ind w:left="1276"/>
        <w:jc w:val="both"/>
        <w:rPr>
          <w:rFonts w:ascii="Calibri" w:eastAsia="Calibri" w:hAnsi="Calibri" w:cs="Calibri"/>
          <w:b/>
          <w:i/>
          <w:sz w:val="22"/>
          <w:szCs w:val="22"/>
        </w:rPr>
      </w:pPr>
      <w:r w:rsidRPr="00E65AA3">
        <w:rPr>
          <w:rFonts w:ascii="Calibri" w:eastAsia="Calibri" w:hAnsi="Calibri" w:cs="Calibri"/>
          <w:b/>
          <w:i/>
          <w:sz w:val="22"/>
          <w:szCs w:val="22"/>
        </w:rPr>
        <w:t>Provide information on the steps taken to sustain the decentralisation of the Witness Protection Agency offices in the 47 counties to enhance effective access by all including the most vulnerable.</w:t>
      </w:r>
    </w:p>
    <w:p w14:paraId="40501BF9" w14:textId="77777777" w:rsidR="00137E7C" w:rsidRPr="00E65AA3" w:rsidRDefault="00137E7C" w:rsidP="00137E7C">
      <w:pPr>
        <w:pBdr>
          <w:top w:val="nil"/>
          <w:left w:val="nil"/>
          <w:bottom w:val="nil"/>
          <w:right w:val="nil"/>
          <w:between w:val="nil"/>
        </w:pBdr>
        <w:spacing w:after="120"/>
        <w:ind w:left="1276"/>
        <w:jc w:val="both"/>
        <w:rPr>
          <w:rFonts w:ascii="Calibri" w:eastAsia="Calibri" w:hAnsi="Calibri" w:cs="Calibri"/>
          <w:b/>
          <w:i/>
          <w:sz w:val="22"/>
          <w:szCs w:val="22"/>
        </w:rPr>
      </w:pPr>
    </w:p>
    <w:p w14:paraId="0000002D" w14:textId="77777777" w:rsidR="002E5B72" w:rsidRPr="00E65AA3" w:rsidRDefault="00261A88" w:rsidP="00137E7C">
      <w:pPr>
        <w:pStyle w:val="RHeadingLevelTwo"/>
        <w:jc w:val="both"/>
        <w:rPr>
          <w:rFonts w:eastAsia="Calibri"/>
          <w:color w:val="000000"/>
        </w:rPr>
      </w:pPr>
      <w:r w:rsidRPr="00E65AA3">
        <w:rPr>
          <w:rFonts w:eastAsia="Calibri"/>
        </w:rPr>
        <w:t>Reparation</w:t>
      </w:r>
    </w:p>
    <w:p w14:paraId="0000002E" w14:textId="77777777" w:rsidR="002E5B72" w:rsidRPr="00E65AA3" w:rsidRDefault="00261A88" w:rsidP="00137E7C">
      <w:pPr>
        <w:numPr>
          <w:ilvl w:val="0"/>
          <w:numId w:val="5"/>
        </w:numPr>
        <w:spacing w:after="120"/>
        <w:jc w:val="both"/>
        <w:rPr>
          <w:rFonts w:ascii="Calibri" w:eastAsia="Calibri" w:hAnsi="Calibri" w:cs="Calibri"/>
          <w:sz w:val="22"/>
          <w:szCs w:val="22"/>
        </w:rPr>
      </w:pPr>
      <w:r w:rsidRPr="00E65AA3">
        <w:rPr>
          <w:rFonts w:ascii="Calibri" w:eastAsia="Calibri" w:hAnsi="Calibri" w:cs="Calibri"/>
          <w:color w:val="000000"/>
          <w:sz w:val="22"/>
          <w:szCs w:val="22"/>
        </w:rPr>
        <w:t>In its May 2022 Concluding Observations on the third periodic report of Kenya, the Committee expressed concern as to the lack of information on any kind of redress, such as medical or psychosocial rehabilitation and compensation, received by victims of torture and ill-treatment.</w:t>
      </w:r>
      <w:r w:rsidRPr="00E65AA3">
        <w:rPr>
          <w:rFonts w:ascii="Calibri" w:eastAsia="Calibri" w:hAnsi="Calibri" w:cs="Calibri"/>
          <w:color w:val="000000"/>
          <w:sz w:val="22"/>
          <w:szCs w:val="22"/>
          <w:vertAlign w:val="superscript"/>
        </w:rPr>
        <w:footnoteReference w:id="35"/>
      </w:r>
      <w:r w:rsidRPr="00E65AA3">
        <w:rPr>
          <w:rFonts w:ascii="Calibri" w:eastAsia="Calibri" w:hAnsi="Calibri" w:cs="Calibri"/>
          <w:color w:val="000000"/>
          <w:sz w:val="22"/>
          <w:szCs w:val="22"/>
        </w:rPr>
        <w:t xml:space="preserve"> The Committee also recommended that the State Party accelerate the process of operationalising the Victim Protection Fund, “which is necessary before victims can gain access to reparations.”</w:t>
      </w:r>
      <w:r w:rsidRPr="00E65AA3">
        <w:rPr>
          <w:rFonts w:ascii="Calibri" w:eastAsia="Calibri" w:hAnsi="Calibri" w:cs="Calibri"/>
          <w:color w:val="000000"/>
          <w:sz w:val="22"/>
          <w:szCs w:val="22"/>
          <w:vertAlign w:val="superscript"/>
        </w:rPr>
        <w:footnoteReference w:id="36"/>
      </w:r>
      <w:r w:rsidRPr="00E65AA3">
        <w:rPr>
          <w:rFonts w:ascii="Calibri" w:eastAsia="Calibri" w:hAnsi="Calibri" w:cs="Calibri"/>
          <w:color w:val="000000"/>
          <w:sz w:val="22"/>
          <w:szCs w:val="22"/>
        </w:rPr>
        <w:t xml:space="preserve"> </w:t>
      </w:r>
    </w:p>
    <w:p w14:paraId="0000002F" w14:textId="6C175E46" w:rsidR="002E5B72" w:rsidRPr="00E65AA3" w:rsidRDefault="00261A88" w:rsidP="00137E7C">
      <w:pPr>
        <w:numPr>
          <w:ilvl w:val="0"/>
          <w:numId w:val="5"/>
        </w:numPr>
        <w:spacing w:after="120"/>
        <w:jc w:val="both"/>
        <w:rPr>
          <w:rFonts w:ascii="Calibri" w:eastAsia="Calibri" w:hAnsi="Calibri" w:cs="Calibri"/>
          <w:sz w:val="22"/>
          <w:szCs w:val="22"/>
        </w:rPr>
      </w:pPr>
      <w:r w:rsidRPr="00E65AA3">
        <w:rPr>
          <w:rFonts w:ascii="Calibri" w:eastAsia="Calibri" w:hAnsi="Calibri" w:cs="Calibri"/>
          <w:sz w:val="22"/>
          <w:szCs w:val="22"/>
        </w:rPr>
        <w:t>The persistent lack of comprehensive, adequate, and survivor-centred reparations for victims of torture and other human rights violations — including those occurring during protests — remains a significant concern in Kenya. A notable example is the aftermath of the 2007-2008 post-election violence, during which numerous individuals suffered sexual and gender-based violence (SGBV). In a landmark judgment, the High Court in Nairobi found the Kenyan government responsible for failing to protect, investigate, and prosecute these violations, awarding reparations of 4 million KSH (approximately 40,000 USD) to four petitioners</w:t>
      </w:r>
      <w:r w:rsidR="00137E7C">
        <w:rPr>
          <w:rFonts w:ascii="Calibri" w:eastAsia="Calibri" w:hAnsi="Calibri" w:cs="Calibri"/>
          <w:sz w:val="22"/>
          <w:szCs w:val="22"/>
        </w:rPr>
        <w:t xml:space="preserve">  (the other petitioners have appealed the decision)</w:t>
      </w:r>
      <w:r w:rsidRPr="00E65AA3">
        <w:rPr>
          <w:rFonts w:ascii="Calibri" w:eastAsia="Calibri" w:hAnsi="Calibri" w:cs="Calibri"/>
          <w:sz w:val="22"/>
          <w:szCs w:val="22"/>
        </w:rPr>
        <w:t>.</w:t>
      </w:r>
      <w:r w:rsidRPr="00E65AA3">
        <w:rPr>
          <w:rFonts w:ascii="Calibri" w:eastAsia="Calibri" w:hAnsi="Calibri" w:cs="Calibri"/>
          <w:sz w:val="22"/>
          <w:szCs w:val="22"/>
          <w:vertAlign w:val="superscript"/>
        </w:rPr>
        <w:footnoteReference w:id="37"/>
      </w:r>
      <w:r w:rsidRPr="00E65AA3">
        <w:rPr>
          <w:rFonts w:ascii="Calibri" w:eastAsia="Calibri" w:hAnsi="Calibri" w:cs="Calibri"/>
          <w:sz w:val="22"/>
          <w:szCs w:val="22"/>
        </w:rPr>
        <w:t xml:space="preserve"> Despite this ruling, the government has yet to deliver the awarded reparations, leaving survivors without the justice and support they </w:t>
      </w:r>
      <w:r w:rsidR="00137E7C">
        <w:rPr>
          <w:rFonts w:ascii="Calibri" w:eastAsia="Calibri" w:hAnsi="Calibri" w:cs="Calibri"/>
          <w:sz w:val="22"/>
          <w:szCs w:val="22"/>
        </w:rPr>
        <w:t>are entitled to</w:t>
      </w:r>
      <w:r w:rsidRPr="00E65AA3">
        <w:rPr>
          <w:rFonts w:ascii="Calibri" w:eastAsia="Calibri" w:hAnsi="Calibri" w:cs="Calibri"/>
          <w:sz w:val="22"/>
          <w:szCs w:val="22"/>
        </w:rPr>
        <w:t xml:space="preserve">. </w:t>
      </w:r>
    </w:p>
    <w:p w14:paraId="00000030" w14:textId="77777777" w:rsidR="002E5B72" w:rsidRPr="00E65AA3" w:rsidRDefault="00261A88" w:rsidP="00137E7C">
      <w:pPr>
        <w:numPr>
          <w:ilvl w:val="0"/>
          <w:numId w:val="5"/>
        </w:numPr>
        <w:pBdr>
          <w:top w:val="nil"/>
          <w:left w:val="nil"/>
          <w:bottom w:val="nil"/>
          <w:right w:val="nil"/>
          <w:between w:val="nil"/>
        </w:pBdr>
        <w:spacing w:after="120"/>
        <w:jc w:val="both"/>
        <w:rPr>
          <w:rFonts w:ascii="Calibri" w:eastAsia="Calibri" w:hAnsi="Calibri" w:cs="Calibri"/>
          <w:color w:val="000000"/>
          <w:sz w:val="22"/>
          <w:szCs w:val="22"/>
        </w:rPr>
      </w:pPr>
      <w:r w:rsidRPr="00E65AA3">
        <w:rPr>
          <w:rFonts w:ascii="Calibri" w:eastAsia="Calibri" w:hAnsi="Calibri" w:cs="Calibri"/>
          <w:b/>
          <w:color w:val="000000"/>
          <w:sz w:val="22"/>
          <w:szCs w:val="22"/>
        </w:rPr>
        <w:t>Recalling its recommendations at paragraphs 12, 24, 30 and 48 of its 2022 Concluding Observations, we urge the Committee against Torture in its LOIPR to request the State Party to:</w:t>
      </w:r>
    </w:p>
    <w:p w14:paraId="00000031" w14:textId="77777777" w:rsidR="002E5B72" w:rsidRPr="00E65AA3" w:rsidRDefault="00261A88" w:rsidP="00137E7C">
      <w:pPr>
        <w:numPr>
          <w:ilvl w:val="0"/>
          <w:numId w:val="2"/>
        </w:numPr>
        <w:pBdr>
          <w:top w:val="nil"/>
          <w:left w:val="nil"/>
          <w:bottom w:val="nil"/>
          <w:right w:val="nil"/>
          <w:between w:val="nil"/>
        </w:pBdr>
        <w:ind w:left="1276"/>
        <w:jc w:val="both"/>
        <w:rPr>
          <w:rFonts w:ascii="Calibri" w:eastAsia="Calibri" w:hAnsi="Calibri" w:cs="Calibri"/>
          <w:b/>
          <w:i/>
          <w:color w:val="000000"/>
          <w:sz w:val="22"/>
          <w:szCs w:val="22"/>
        </w:rPr>
      </w:pPr>
      <w:r w:rsidRPr="00E65AA3">
        <w:rPr>
          <w:rFonts w:ascii="Calibri" w:eastAsia="Calibri" w:hAnsi="Calibri" w:cs="Calibri"/>
          <w:b/>
          <w:i/>
          <w:color w:val="000000"/>
          <w:sz w:val="22"/>
          <w:szCs w:val="22"/>
        </w:rPr>
        <w:t>Identify measures in place to ensure that violations in the context of protests are understood and treated as torture when they meet the definition under the Convention against Torture or the Prevention of Torture Act, with a view to ensuring adequate reparation for the violations;</w:t>
      </w:r>
    </w:p>
    <w:p w14:paraId="6A17BB47" w14:textId="77777777" w:rsidR="008A5936" w:rsidRDefault="00261A88" w:rsidP="00137E7C">
      <w:pPr>
        <w:numPr>
          <w:ilvl w:val="0"/>
          <w:numId w:val="2"/>
        </w:numPr>
        <w:pBdr>
          <w:top w:val="nil"/>
          <w:left w:val="nil"/>
          <w:bottom w:val="nil"/>
          <w:right w:val="nil"/>
          <w:between w:val="nil"/>
        </w:pBdr>
        <w:ind w:left="1276"/>
        <w:jc w:val="both"/>
        <w:rPr>
          <w:rFonts w:ascii="Calibri" w:eastAsia="Calibri" w:hAnsi="Calibri" w:cs="Calibri"/>
          <w:b/>
          <w:i/>
          <w:color w:val="000000"/>
          <w:sz w:val="22"/>
          <w:szCs w:val="22"/>
        </w:rPr>
      </w:pPr>
      <w:r w:rsidRPr="00E65AA3">
        <w:rPr>
          <w:rFonts w:ascii="Calibri" w:eastAsia="Calibri" w:hAnsi="Calibri" w:cs="Calibri"/>
          <w:b/>
          <w:i/>
          <w:color w:val="000000"/>
          <w:sz w:val="22"/>
          <w:szCs w:val="22"/>
        </w:rPr>
        <w:lastRenderedPageBreak/>
        <w:t>Identify any reparation awarded or practically and fully delivered for victims of torture and other ill-treatment</w:t>
      </w:r>
      <w:r w:rsidR="008A5936">
        <w:rPr>
          <w:rFonts w:ascii="Calibri" w:eastAsia="Calibri" w:hAnsi="Calibri" w:cs="Calibri"/>
          <w:b/>
          <w:i/>
          <w:color w:val="000000"/>
          <w:sz w:val="22"/>
          <w:szCs w:val="22"/>
        </w:rPr>
        <w:t>;</w:t>
      </w:r>
    </w:p>
    <w:p w14:paraId="00000032" w14:textId="4605A03A" w:rsidR="002E5B72" w:rsidRPr="00E65AA3" w:rsidRDefault="008A5936" w:rsidP="00137E7C">
      <w:pPr>
        <w:numPr>
          <w:ilvl w:val="0"/>
          <w:numId w:val="2"/>
        </w:numPr>
        <w:pBdr>
          <w:top w:val="nil"/>
          <w:left w:val="nil"/>
          <w:bottom w:val="nil"/>
          <w:right w:val="nil"/>
          <w:between w:val="nil"/>
        </w:pBdr>
        <w:ind w:left="1276"/>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Indicate </w:t>
      </w:r>
      <w:r w:rsidR="00261A88" w:rsidRPr="00E65AA3">
        <w:rPr>
          <w:rFonts w:ascii="Calibri" w:eastAsia="Calibri" w:hAnsi="Calibri" w:cs="Calibri"/>
          <w:b/>
          <w:i/>
          <w:color w:val="000000"/>
          <w:sz w:val="22"/>
          <w:szCs w:val="22"/>
        </w:rPr>
        <w:t xml:space="preserve">the steps taken to establish the necessary infrastructure and framework for the provision of </w:t>
      </w:r>
      <w:r w:rsidR="00261A88" w:rsidRPr="00E65AA3">
        <w:rPr>
          <w:rFonts w:ascii="Calibri" w:eastAsia="Calibri" w:hAnsi="Calibri" w:cs="Calibri"/>
          <w:b/>
          <w:i/>
          <w:sz w:val="22"/>
          <w:szCs w:val="22"/>
        </w:rPr>
        <w:t>redress including full rehabilitation</w:t>
      </w:r>
      <w:r w:rsidR="00261A88" w:rsidRPr="00E65AA3">
        <w:rPr>
          <w:rFonts w:ascii="Calibri" w:eastAsia="Calibri" w:hAnsi="Calibri" w:cs="Calibri"/>
          <w:b/>
          <w:i/>
          <w:color w:val="000000"/>
          <w:sz w:val="22"/>
          <w:szCs w:val="22"/>
        </w:rPr>
        <w:t xml:space="preserve"> to victims of torture more broadly;</w:t>
      </w:r>
    </w:p>
    <w:p w14:paraId="00000033" w14:textId="77777777" w:rsidR="002E5B72" w:rsidRPr="00E65AA3" w:rsidRDefault="00261A88" w:rsidP="00137E7C">
      <w:pPr>
        <w:numPr>
          <w:ilvl w:val="0"/>
          <w:numId w:val="2"/>
        </w:numPr>
        <w:pBdr>
          <w:top w:val="nil"/>
          <w:left w:val="nil"/>
          <w:bottom w:val="nil"/>
          <w:right w:val="nil"/>
          <w:between w:val="nil"/>
        </w:pBdr>
        <w:ind w:left="1276"/>
        <w:jc w:val="both"/>
        <w:rPr>
          <w:rFonts w:ascii="Calibri" w:eastAsia="Calibri" w:hAnsi="Calibri" w:cs="Calibri"/>
          <w:b/>
          <w:i/>
          <w:color w:val="000000"/>
          <w:sz w:val="22"/>
          <w:szCs w:val="22"/>
        </w:rPr>
      </w:pPr>
      <w:r w:rsidRPr="00E65AA3">
        <w:rPr>
          <w:rFonts w:ascii="Calibri" w:eastAsia="Calibri" w:hAnsi="Calibri" w:cs="Calibri"/>
          <w:b/>
          <w:i/>
          <w:color w:val="000000"/>
          <w:sz w:val="22"/>
          <w:szCs w:val="22"/>
        </w:rPr>
        <w:t xml:space="preserve">Provide detailed information on the steps taken to </w:t>
      </w:r>
      <w:r w:rsidRPr="00E65AA3">
        <w:rPr>
          <w:rFonts w:ascii="Calibri" w:eastAsia="Calibri" w:hAnsi="Calibri" w:cs="Calibri"/>
          <w:b/>
          <w:i/>
          <w:sz w:val="22"/>
          <w:szCs w:val="22"/>
        </w:rPr>
        <w:t>provide</w:t>
      </w:r>
      <w:r w:rsidRPr="00E65AA3">
        <w:rPr>
          <w:rFonts w:ascii="Calibri" w:eastAsia="Calibri" w:hAnsi="Calibri" w:cs="Calibri"/>
          <w:b/>
          <w:i/>
          <w:color w:val="000000"/>
          <w:sz w:val="22"/>
          <w:szCs w:val="22"/>
        </w:rPr>
        <w:t xml:space="preserve"> resources and fully operationalise the Victim Protection Fund, including a clear timeline for its implementation and functioning;</w:t>
      </w:r>
    </w:p>
    <w:p w14:paraId="00000034" w14:textId="77777777" w:rsidR="002E5B72" w:rsidRPr="00E65AA3" w:rsidRDefault="00261A88" w:rsidP="00137E7C">
      <w:pPr>
        <w:numPr>
          <w:ilvl w:val="0"/>
          <w:numId w:val="2"/>
        </w:numPr>
        <w:pBdr>
          <w:top w:val="nil"/>
          <w:left w:val="nil"/>
          <w:bottom w:val="nil"/>
          <w:right w:val="nil"/>
          <w:between w:val="nil"/>
        </w:pBdr>
        <w:spacing w:after="120"/>
        <w:ind w:left="1276"/>
        <w:jc w:val="both"/>
        <w:rPr>
          <w:rFonts w:ascii="Calibri" w:eastAsia="Calibri" w:hAnsi="Calibri" w:cs="Calibri"/>
          <w:b/>
          <w:i/>
          <w:color w:val="000000"/>
          <w:sz w:val="22"/>
          <w:szCs w:val="22"/>
        </w:rPr>
      </w:pPr>
      <w:r w:rsidRPr="00E65AA3">
        <w:rPr>
          <w:rFonts w:ascii="Calibri" w:eastAsia="Calibri" w:hAnsi="Calibri" w:cs="Calibri"/>
          <w:b/>
          <w:i/>
          <w:color w:val="000000"/>
          <w:sz w:val="22"/>
          <w:szCs w:val="22"/>
        </w:rPr>
        <w:t>Provide information on the steps taken to conduct a needs assessment to identify the number of victims of torture and ill-treatment and their rehabilitation needs.</w:t>
      </w:r>
    </w:p>
    <w:p w14:paraId="00000035" w14:textId="0F993DF4" w:rsidR="00137E7C" w:rsidRDefault="00137E7C">
      <w:pPr>
        <w:rPr>
          <w:rFonts w:ascii="Calibri" w:eastAsia="Calibri" w:hAnsi="Calibri" w:cs="Calibri"/>
          <w:b/>
          <w:i/>
          <w:sz w:val="22"/>
          <w:szCs w:val="22"/>
        </w:rPr>
      </w:pPr>
      <w:r>
        <w:rPr>
          <w:rFonts w:ascii="Calibri" w:eastAsia="Calibri" w:hAnsi="Calibri" w:cs="Calibri"/>
          <w:b/>
          <w:i/>
          <w:sz w:val="22"/>
          <w:szCs w:val="22"/>
        </w:rPr>
        <w:br w:type="page"/>
      </w:r>
    </w:p>
    <w:p w14:paraId="04EA6088" w14:textId="77777777" w:rsidR="002E5B72" w:rsidRPr="00E65AA3" w:rsidRDefault="002E5B72" w:rsidP="00137E7C">
      <w:pPr>
        <w:pBdr>
          <w:top w:val="nil"/>
          <w:left w:val="nil"/>
          <w:bottom w:val="nil"/>
          <w:right w:val="nil"/>
          <w:between w:val="nil"/>
        </w:pBdr>
        <w:spacing w:after="120"/>
        <w:ind w:left="720"/>
        <w:jc w:val="both"/>
        <w:rPr>
          <w:rFonts w:ascii="Calibri" w:eastAsia="Calibri" w:hAnsi="Calibri" w:cs="Calibri"/>
          <w:b/>
          <w:i/>
          <w:sz w:val="22"/>
          <w:szCs w:val="22"/>
        </w:rPr>
      </w:pPr>
    </w:p>
    <w:p w14:paraId="00000036" w14:textId="77777777" w:rsidR="002E5B72" w:rsidRPr="00E65AA3" w:rsidRDefault="00261A88" w:rsidP="00137E7C">
      <w:pPr>
        <w:shd w:val="clear" w:color="auto" w:fill="F9DD47"/>
        <w:spacing w:after="120"/>
        <w:ind w:left="540"/>
        <w:jc w:val="both"/>
        <w:rPr>
          <w:rFonts w:ascii="Calibri" w:eastAsia="Calibri" w:hAnsi="Calibri" w:cs="Calibri"/>
          <w:b/>
          <w:i/>
          <w:sz w:val="22"/>
          <w:szCs w:val="22"/>
        </w:rPr>
      </w:pPr>
      <w:r w:rsidRPr="00E65AA3">
        <w:rPr>
          <w:rFonts w:ascii="Calibri" w:eastAsia="Calibri" w:hAnsi="Calibri" w:cs="Calibri"/>
          <w:b/>
          <w:smallCaps/>
          <w:sz w:val="22"/>
          <w:szCs w:val="22"/>
        </w:rPr>
        <w:t>PERSONS DEPRIVED OF LIBERTY AND TORTURE PREVENTION</w:t>
      </w:r>
    </w:p>
    <w:p w14:paraId="00000037" w14:textId="2541271C" w:rsidR="002E5B72" w:rsidRPr="00E65AA3" w:rsidRDefault="00261A88" w:rsidP="00137E7C">
      <w:pPr>
        <w:numPr>
          <w:ilvl w:val="0"/>
          <w:numId w:val="5"/>
        </w:numPr>
        <w:spacing w:after="120"/>
        <w:jc w:val="both"/>
        <w:rPr>
          <w:rFonts w:ascii="Calibri" w:eastAsia="Calibri" w:hAnsi="Calibri" w:cs="Calibri"/>
          <w:sz w:val="22"/>
          <w:szCs w:val="22"/>
        </w:rPr>
      </w:pPr>
      <w:r w:rsidRPr="00E65AA3">
        <w:rPr>
          <w:rFonts w:ascii="Calibri" w:eastAsia="Calibri" w:hAnsi="Calibri" w:cs="Calibri"/>
          <w:sz w:val="22"/>
          <w:szCs w:val="22"/>
        </w:rPr>
        <w:t>In Kenya, persons arrested face poor conditions of detention, with human rights organisations reporting overcrowding, lack of medical care, inhumane sanitary conditions, and food and water shortages in prison.</w:t>
      </w:r>
      <w:r w:rsidRPr="00E65AA3">
        <w:rPr>
          <w:rFonts w:ascii="Calibri" w:eastAsia="Calibri" w:hAnsi="Calibri" w:cs="Calibri"/>
          <w:sz w:val="22"/>
          <w:szCs w:val="22"/>
          <w:vertAlign w:val="superscript"/>
        </w:rPr>
        <w:footnoteReference w:id="38"/>
      </w:r>
      <w:r w:rsidRPr="00E65AA3">
        <w:rPr>
          <w:rFonts w:ascii="Calibri" w:eastAsia="Calibri" w:hAnsi="Calibri" w:cs="Calibri"/>
          <w:sz w:val="22"/>
          <w:szCs w:val="22"/>
        </w:rPr>
        <w:t xml:space="preserve"> People with disabilities in detention are not provided with appropriate accommodation and equipment. Police reportedly use torture and </w:t>
      </w:r>
      <w:r w:rsidR="00AB3E3A">
        <w:rPr>
          <w:rFonts w:ascii="Calibri" w:eastAsia="Calibri" w:hAnsi="Calibri" w:cs="Calibri"/>
          <w:sz w:val="22"/>
          <w:szCs w:val="22"/>
        </w:rPr>
        <w:t xml:space="preserve">other forms of </w:t>
      </w:r>
      <w:r w:rsidRPr="00E65AA3">
        <w:rPr>
          <w:rFonts w:ascii="Calibri" w:eastAsia="Calibri" w:hAnsi="Calibri" w:cs="Calibri"/>
          <w:sz w:val="22"/>
          <w:szCs w:val="22"/>
        </w:rPr>
        <w:t>violence during interrogations and against people in prison and pre-trial detention.</w:t>
      </w:r>
      <w:r w:rsidRPr="00E65AA3">
        <w:rPr>
          <w:rFonts w:ascii="Calibri" w:eastAsia="Calibri" w:hAnsi="Calibri" w:cs="Calibri"/>
          <w:sz w:val="22"/>
          <w:szCs w:val="22"/>
          <w:vertAlign w:val="superscript"/>
        </w:rPr>
        <w:footnoteReference w:id="39"/>
      </w:r>
      <w:r w:rsidRPr="00E65AA3">
        <w:rPr>
          <w:rFonts w:ascii="Calibri" w:eastAsia="Calibri" w:hAnsi="Calibri" w:cs="Calibri"/>
          <w:sz w:val="22"/>
          <w:szCs w:val="22"/>
          <w:vertAlign w:val="superscript"/>
        </w:rPr>
        <w:t xml:space="preserve"> </w:t>
      </w:r>
      <w:r w:rsidRPr="00E65AA3">
        <w:rPr>
          <w:rFonts w:ascii="Calibri" w:eastAsia="Calibri" w:hAnsi="Calibri" w:cs="Calibri"/>
          <w:sz w:val="22"/>
          <w:szCs w:val="22"/>
        </w:rPr>
        <w:t>Recent reports indicate that there was a 296% increase in the number of cases of torture over the years 2021-2023.</w:t>
      </w:r>
      <w:r w:rsidRPr="00E65AA3">
        <w:rPr>
          <w:rFonts w:ascii="Calibri" w:eastAsia="Calibri" w:hAnsi="Calibri" w:cs="Calibri"/>
          <w:sz w:val="22"/>
          <w:szCs w:val="22"/>
          <w:vertAlign w:val="superscript"/>
        </w:rPr>
        <w:footnoteReference w:id="40"/>
      </w:r>
      <w:r w:rsidRPr="00E65AA3">
        <w:rPr>
          <w:rFonts w:ascii="Calibri" w:eastAsia="Calibri" w:hAnsi="Calibri" w:cs="Calibri"/>
          <w:sz w:val="22"/>
          <w:szCs w:val="22"/>
          <w:vertAlign w:val="superscript"/>
        </w:rPr>
        <w:t xml:space="preserve"> </w:t>
      </w:r>
    </w:p>
    <w:p w14:paraId="00000038" w14:textId="54AB3BCC" w:rsidR="002E5B72" w:rsidRPr="00E65AA3" w:rsidRDefault="00261A88" w:rsidP="00137E7C">
      <w:pPr>
        <w:numPr>
          <w:ilvl w:val="0"/>
          <w:numId w:val="5"/>
        </w:numPr>
        <w:spacing w:after="120"/>
        <w:jc w:val="both"/>
        <w:rPr>
          <w:rFonts w:ascii="Calibri" w:eastAsia="Calibri" w:hAnsi="Calibri" w:cs="Calibri"/>
          <w:sz w:val="22"/>
          <w:szCs w:val="22"/>
        </w:rPr>
      </w:pPr>
      <w:r w:rsidRPr="00E65AA3">
        <w:rPr>
          <w:rFonts w:ascii="Calibri" w:eastAsia="Calibri" w:hAnsi="Calibri" w:cs="Calibri"/>
          <w:sz w:val="22"/>
          <w:szCs w:val="22"/>
        </w:rPr>
        <w:t>There is a lack of implementation of the 2014 Persons Deprived of Liberty Act with regards to the complaints and redress mechanisms for persons deprived of liberty by independent and investigative bodies</w:t>
      </w:r>
      <w:r w:rsidR="00AB3E3A">
        <w:rPr>
          <w:rFonts w:ascii="Calibri" w:eastAsia="Calibri" w:hAnsi="Calibri" w:cs="Calibri"/>
          <w:sz w:val="22"/>
          <w:szCs w:val="22"/>
        </w:rPr>
        <w:t>,</w:t>
      </w:r>
      <w:r w:rsidRPr="00E65AA3">
        <w:rPr>
          <w:rFonts w:ascii="Calibri" w:eastAsia="Calibri" w:hAnsi="Calibri" w:cs="Calibri"/>
          <w:sz w:val="22"/>
          <w:szCs w:val="22"/>
        </w:rPr>
        <w:t xml:space="preserve"> including IPOA, </w:t>
      </w:r>
      <w:r w:rsidR="00AB3E3A">
        <w:rPr>
          <w:rFonts w:ascii="Calibri" w:eastAsia="Calibri" w:hAnsi="Calibri" w:cs="Calibri"/>
          <w:sz w:val="22"/>
          <w:szCs w:val="22"/>
        </w:rPr>
        <w:t xml:space="preserve">the </w:t>
      </w:r>
      <w:r w:rsidRPr="00E65AA3">
        <w:rPr>
          <w:rFonts w:ascii="Calibri" w:eastAsia="Calibri" w:hAnsi="Calibri" w:cs="Calibri"/>
          <w:sz w:val="22"/>
          <w:szCs w:val="22"/>
        </w:rPr>
        <w:t xml:space="preserve">Kenya National Commission on Human Rights and the National Gender and Equality Commission. This is due to lack of full and unlimited access to the detention centres by these legally mandated oversight bodies. </w:t>
      </w:r>
    </w:p>
    <w:p w14:paraId="00000039" w14:textId="77777777" w:rsidR="002E5B72" w:rsidRPr="00E65AA3" w:rsidRDefault="00261A88" w:rsidP="00137E7C">
      <w:pPr>
        <w:numPr>
          <w:ilvl w:val="0"/>
          <w:numId w:val="5"/>
        </w:numPr>
        <w:spacing w:after="120"/>
        <w:jc w:val="both"/>
        <w:rPr>
          <w:rFonts w:ascii="Calibri" w:eastAsia="Calibri" w:hAnsi="Calibri" w:cs="Calibri"/>
          <w:sz w:val="22"/>
          <w:szCs w:val="22"/>
        </w:rPr>
      </w:pPr>
      <w:r w:rsidRPr="00E65AA3">
        <w:rPr>
          <w:rFonts w:ascii="Calibri" w:eastAsia="Calibri" w:hAnsi="Calibri" w:cs="Calibri"/>
          <w:sz w:val="22"/>
          <w:szCs w:val="22"/>
        </w:rPr>
        <w:t>Moreover, Kenya has not ratified the Optional Protocol to the Convention against Torture (OPCAT), which leaves Kenya without an independent National Preventive Mechanism to undertake regular visits to places of detention and formulate recommendations to the authorities for the prevention of torture in detention facilities.</w:t>
      </w:r>
    </w:p>
    <w:p w14:paraId="0000003A" w14:textId="77777777" w:rsidR="002E5B72" w:rsidRPr="00E65AA3" w:rsidRDefault="00261A88" w:rsidP="00137E7C">
      <w:pPr>
        <w:numPr>
          <w:ilvl w:val="0"/>
          <w:numId w:val="5"/>
        </w:numPr>
        <w:pBdr>
          <w:top w:val="nil"/>
          <w:left w:val="nil"/>
          <w:bottom w:val="nil"/>
          <w:right w:val="nil"/>
          <w:between w:val="nil"/>
        </w:pBdr>
        <w:spacing w:after="120"/>
        <w:jc w:val="both"/>
        <w:rPr>
          <w:rFonts w:ascii="Calibri" w:eastAsia="Calibri" w:hAnsi="Calibri" w:cs="Calibri"/>
          <w:sz w:val="22"/>
          <w:szCs w:val="22"/>
        </w:rPr>
      </w:pPr>
      <w:r w:rsidRPr="00E65AA3">
        <w:rPr>
          <w:rFonts w:ascii="Calibri" w:eastAsia="Calibri" w:hAnsi="Calibri" w:cs="Calibri"/>
          <w:b/>
          <w:sz w:val="22"/>
          <w:szCs w:val="22"/>
        </w:rPr>
        <w:t>Recalling its recommendations at paragraphs 17 and 22 of its 2022 Concluding Observations, we urge the Committee against Torture in its LOIPR to request the State Party to:</w:t>
      </w:r>
    </w:p>
    <w:p w14:paraId="0000003B" w14:textId="77777777" w:rsidR="002E5B72" w:rsidRPr="00E65AA3" w:rsidRDefault="00261A88" w:rsidP="00AB3E3A">
      <w:pPr>
        <w:numPr>
          <w:ilvl w:val="0"/>
          <w:numId w:val="2"/>
        </w:numPr>
        <w:pBdr>
          <w:top w:val="nil"/>
          <w:left w:val="nil"/>
          <w:bottom w:val="nil"/>
          <w:right w:val="nil"/>
          <w:between w:val="nil"/>
        </w:pBdr>
        <w:ind w:left="1276"/>
        <w:jc w:val="both"/>
        <w:rPr>
          <w:rFonts w:ascii="Calibri" w:eastAsia="Calibri" w:hAnsi="Calibri" w:cs="Calibri"/>
          <w:b/>
          <w:i/>
          <w:sz w:val="22"/>
          <w:szCs w:val="22"/>
        </w:rPr>
      </w:pPr>
      <w:r w:rsidRPr="00E65AA3">
        <w:rPr>
          <w:rFonts w:ascii="Calibri" w:eastAsia="Calibri" w:hAnsi="Calibri" w:cs="Calibri"/>
          <w:b/>
          <w:i/>
          <w:sz w:val="22"/>
          <w:szCs w:val="22"/>
        </w:rPr>
        <w:t>Provide information on the steps taken to improve conditions in places of detention so they comply with international standards, including through access to adequate food, water and medical care, and ensuring appropriate accommodation and equipment for persons with disabilities;</w:t>
      </w:r>
    </w:p>
    <w:p w14:paraId="0000003C" w14:textId="77777777" w:rsidR="002E5B72" w:rsidRPr="00E65AA3" w:rsidRDefault="00261A88" w:rsidP="00AB3E3A">
      <w:pPr>
        <w:numPr>
          <w:ilvl w:val="0"/>
          <w:numId w:val="2"/>
        </w:numPr>
        <w:pBdr>
          <w:top w:val="nil"/>
          <w:left w:val="nil"/>
          <w:bottom w:val="nil"/>
          <w:right w:val="nil"/>
          <w:between w:val="nil"/>
        </w:pBdr>
        <w:ind w:left="1276"/>
        <w:jc w:val="both"/>
        <w:rPr>
          <w:rFonts w:ascii="Calibri" w:eastAsia="Calibri" w:hAnsi="Calibri" w:cs="Calibri"/>
          <w:b/>
          <w:i/>
          <w:sz w:val="22"/>
          <w:szCs w:val="22"/>
        </w:rPr>
      </w:pPr>
      <w:r w:rsidRPr="00E65AA3">
        <w:rPr>
          <w:rFonts w:ascii="Calibri" w:eastAsia="Calibri" w:hAnsi="Calibri" w:cs="Calibri"/>
          <w:b/>
          <w:i/>
          <w:sz w:val="22"/>
          <w:szCs w:val="22"/>
        </w:rPr>
        <w:t>Indicate the steps taken to strengthen complaint mechanisms for persons deprived of liberty by oversight bodies such as the Independent Police Oversight Authority, National Gender Equality Commission and Kenya National Commission on Human Rights;</w:t>
      </w:r>
    </w:p>
    <w:p w14:paraId="0000003D" w14:textId="77777777" w:rsidR="002E5B72" w:rsidRPr="00E65AA3" w:rsidRDefault="00261A88" w:rsidP="00AB3E3A">
      <w:pPr>
        <w:numPr>
          <w:ilvl w:val="0"/>
          <w:numId w:val="2"/>
        </w:numPr>
        <w:pBdr>
          <w:top w:val="nil"/>
          <w:left w:val="nil"/>
          <w:bottom w:val="nil"/>
          <w:right w:val="nil"/>
          <w:between w:val="nil"/>
        </w:pBdr>
        <w:spacing w:after="120"/>
        <w:ind w:left="1276"/>
        <w:jc w:val="both"/>
        <w:rPr>
          <w:rFonts w:ascii="Calibri" w:eastAsia="Calibri" w:hAnsi="Calibri" w:cs="Calibri"/>
          <w:b/>
          <w:i/>
          <w:sz w:val="22"/>
          <w:szCs w:val="22"/>
        </w:rPr>
      </w:pPr>
      <w:r w:rsidRPr="00E65AA3">
        <w:rPr>
          <w:rFonts w:ascii="Calibri" w:eastAsia="Calibri" w:hAnsi="Calibri" w:cs="Calibri"/>
          <w:b/>
          <w:i/>
          <w:sz w:val="22"/>
          <w:szCs w:val="22"/>
        </w:rPr>
        <w:t>Indicate what progress has been made towards ratifying the Optional Protocol to the Convention against Torture (OPCAT) and establishing an independent National Preventive Mechanism.</w:t>
      </w:r>
    </w:p>
    <w:p w14:paraId="0000003E" w14:textId="60E0AC2E" w:rsidR="008A5936" w:rsidRDefault="008A5936">
      <w:pPr>
        <w:rPr>
          <w:rFonts w:ascii="Calibri" w:eastAsia="Calibri" w:hAnsi="Calibri" w:cs="Calibri"/>
          <w:b/>
          <w:i/>
          <w:sz w:val="22"/>
          <w:szCs w:val="22"/>
        </w:rPr>
      </w:pPr>
      <w:r>
        <w:rPr>
          <w:rFonts w:ascii="Calibri" w:eastAsia="Calibri" w:hAnsi="Calibri" w:cs="Calibri"/>
          <w:b/>
          <w:i/>
          <w:sz w:val="22"/>
          <w:szCs w:val="22"/>
        </w:rPr>
        <w:br w:type="page"/>
      </w:r>
    </w:p>
    <w:p w14:paraId="0000003F" w14:textId="77777777" w:rsidR="002E5B72" w:rsidRPr="00E65AA3" w:rsidRDefault="00261A88" w:rsidP="00137E7C">
      <w:pPr>
        <w:pBdr>
          <w:top w:val="nil"/>
          <w:left w:val="nil"/>
          <w:bottom w:val="nil"/>
          <w:right w:val="nil"/>
          <w:between w:val="nil"/>
        </w:pBdr>
        <w:shd w:val="clear" w:color="auto" w:fill="F9DD47"/>
        <w:spacing w:after="120"/>
        <w:ind w:left="540"/>
        <w:jc w:val="both"/>
        <w:rPr>
          <w:rFonts w:ascii="Calibri" w:eastAsia="Calibri" w:hAnsi="Calibri" w:cs="Calibri"/>
          <w:b/>
          <w:smallCaps/>
          <w:color w:val="000000"/>
          <w:sz w:val="22"/>
          <w:szCs w:val="22"/>
        </w:rPr>
      </w:pPr>
      <w:r w:rsidRPr="00E65AA3">
        <w:rPr>
          <w:rFonts w:ascii="Calibri" w:eastAsia="Calibri" w:hAnsi="Calibri" w:cs="Calibri"/>
          <w:b/>
          <w:smallCaps/>
          <w:color w:val="000000"/>
          <w:sz w:val="22"/>
          <w:szCs w:val="22"/>
        </w:rPr>
        <w:lastRenderedPageBreak/>
        <w:t>TORTURE AGAINST LGBTIQ+ PERSONS IN KENYA</w:t>
      </w:r>
    </w:p>
    <w:p w14:paraId="00000040" w14:textId="77777777" w:rsidR="002E5B72" w:rsidRPr="00E65AA3" w:rsidRDefault="00261A88" w:rsidP="00137E7C">
      <w:pPr>
        <w:shd w:val="clear" w:color="auto" w:fill="FFFFFF"/>
        <w:spacing w:after="120"/>
        <w:ind w:firstLine="540"/>
        <w:jc w:val="both"/>
        <w:rPr>
          <w:rFonts w:ascii="Calibri" w:eastAsia="Calibri" w:hAnsi="Calibri" w:cs="Calibri"/>
          <w:b/>
          <w:color w:val="000000"/>
          <w:sz w:val="22"/>
          <w:szCs w:val="22"/>
        </w:rPr>
      </w:pPr>
      <w:r w:rsidRPr="00E65AA3">
        <w:rPr>
          <w:rFonts w:ascii="Calibri" w:eastAsia="Calibri" w:hAnsi="Calibri" w:cs="Calibri"/>
          <w:b/>
          <w:color w:val="000000"/>
          <w:sz w:val="22"/>
          <w:szCs w:val="22"/>
        </w:rPr>
        <w:t>Violence based on Sex, Gender, Sexual Orientation and Gender Identity </w:t>
      </w:r>
    </w:p>
    <w:p w14:paraId="00000041" w14:textId="77777777" w:rsidR="002E5B72" w:rsidRPr="00E65AA3" w:rsidRDefault="00261A88" w:rsidP="00137E7C">
      <w:pPr>
        <w:numPr>
          <w:ilvl w:val="0"/>
          <w:numId w:val="5"/>
        </w:numPr>
        <w:pBdr>
          <w:top w:val="nil"/>
          <w:left w:val="nil"/>
          <w:bottom w:val="nil"/>
          <w:right w:val="nil"/>
          <w:between w:val="nil"/>
        </w:pBdr>
        <w:spacing w:after="120"/>
        <w:jc w:val="both"/>
        <w:rPr>
          <w:rFonts w:ascii="Calibri" w:eastAsia="Calibri" w:hAnsi="Calibri" w:cs="Calibri"/>
          <w:color w:val="000000"/>
          <w:sz w:val="22"/>
          <w:szCs w:val="22"/>
        </w:rPr>
      </w:pPr>
      <w:r w:rsidRPr="00E65AA3">
        <w:rPr>
          <w:rFonts w:ascii="Calibri" w:eastAsia="Calibri" w:hAnsi="Calibri" w:cs="Calibri"/>
          <w:color w:val="000000"/>
          <w:sz w:val="22"/>
          <w:szCs w:val="22"/>
        </w:rPr>
        <w:t>In its May 2022 Concluding Observations on the third periodic report of Kenya, the Committee expressed concern about “[r]eports of lesbian, gay, bisexual, transgender and intersex individuals experiencing harassment, discrimination and violence, including violations perpetrated by law enforcement officers and vigilante groups, and facing barriers to access to justice and remedies.”</w:t>
      </w:r>
      <w:r w:rsidRPr="00E65AA3">
        <w:rPr>
          <w:rFonts w:ascii="Calibri" w:eastAsia="Calibri" w:hAnsi="Calibri" w:cs="Calibri"/>
          <w:color w:val="000000"/>
          <w:sz w:val="22"/>
          <w:szCs w:val="22"/>
          <w:vertAlign w:val="superscript"/>
        </w:rPr>
        <w:footnoteReference w:id="41"/>
      </w:r>
      <w:r w:rsidRPr="00E65AA3">
        <w:rPr>
          <w:rFonts w:ascii="Calibri" w:eastAsia="Calibri" w:hAnsi="Calibri" w:cs="Calibri"/>
          <w:color w:val="000000"/>
          <w:sz w:val="22"/>
          <w:szCs w:val="22"/>
        </w:rPr>
        <w:t xml:space="preserve"> </w:t>
      </w:r>
    </w:p>
    <w:p w14:paraId="00000042" w14:textId="78BFC2E1" w:rsidR="002E5B72" w:rsidRPr="00E65AA3" w:rsidRDefault="00261A88" w:rsidP="008A5936">
      <w:pPr>
        <w:numPr>
          <w:ilvl w:val="0"/>
          <w:numId w:val="5"/>
        </w:numPr>
        <w:pBdr>
          <w:top w:val="nil"/>
          <w:left w:val="nil"/>
          <w:bottom w:val="nil"/>
          <w:right w:val="nil"/>
          <w:between w:val="nil"/>
        </w:pBdr>
        <w:spacing w:after="120"/>
        <w:jc w:val="both"/>
        <w:rPr>
          <w:rFonts w:ascii="Calibri" w:eastAsia="Calibri" w:hAnsi="Calibri" w:cs="Calibri"/>
          <w:color w:val="000000"/>
          <w:sz w:val="22"/>
          <w:szCs w:val="22"/>
        </w:rPr>
      </w:pPr>
      <w:r w:rsidRPr="00E65AA3">
        <w:rPr>
          <w:rFonts w:ascii="Calibri" w:eastAsia="Calibri" w:hAnsi="Calibri" w:cs="Calibri"/>
          <w:sz w:val="22"/>
          <w:szCs w:val="22"/>
        </w:rPr>
        <w:t>There is a lack of adequate legislative framework to prevent discrimination and combat violence against l</w:t>
      </w:r>
      <w:r w:rsidRPr="00E65AA3">
        <w:rPr>
          <w:rFonts w:ascii="Calibri" w:eastAsia="Calibri" w:hAnsi="Calibri" w:cs="Calibri"/>
          <w:color w:val="000000"/>
          <w:sz w:val="22"/>
          <w:szCs w:val="22"/>
        </w:rPr>
        <w:t xml:space="preserve">esbian, gay, bisexual, transgender, intersex, queer, and other sexual and gender minority (LGBTIQ+) persons in Kenya. </w:t>
      </w:r>
      <w:r w:rsidRPr="00E65AA3">
        <w:rPr>
          <w:rFonts w:ascii="Calibri" w:eastAsia="Calibri" w:hAnsi="Calibri" w:cs="Calibri"/>
          <w:sz w:val="22"/>
          <w:szCs w:val="22"/>
        </w:rPr>
        <w:t>They</w:t>
      </w:r>
      <w:r w:rsidRPr="00E65AA3">
        <w:rPr>
          <w:rFonts w:ascii="Calibri" w:eastAsia="Calibri" w:hAnsi="Calibri" w:cs="Calibri"/>
          <w:color w:val="000000"/>
          <w:sz w:val="22"/>
          <w:szCs w:val="22"/>
        </w:rPr>
        <w:t xml:space="preserve"> remain at heightened risk of violence and systematic exclusion in light of stigma, the criminalisation of private consensual same-sex sexual activity between adults,</w:t>
      </w:r>
      <w:r w:rsidRPr="00E65AA3">
        <w:rPr>
          <w:rFonts w:ascii="Calibri" w:eastAsia="Calibri" w:hAnsi="Calibri" w:cs="Calibri"/>
          <w:color w:val="000000"/>
          <w:sz w:val="22"/>
          <w:szCs w:val="22"/>
          <w:vertAlign w:val="superscript"/>
        </w:rPr>
        <w:footnoteReference w:id="42"/>
      </w:r>
      <w:r w:rsidRPr="00E65AA3">
        <w:rPr>
          <w:rFonts w:ascii="Calibri" w:eastAsia="Calibri" w:hAnsi="Calibri" w:cs="Calibri"/>
          <w:color w:val="000000"/>
          <w:sz w:val="22"/>
          <w:szCs w:val="22"/>
        </w:rPr>
        <w:t xml:space="preserve"> and other legislation targeted against LGBTIQ+ persons.</w:t>
      </w:r>
      <w:r w:rsidRPr="00E65AA3">
        <w:rPr>
          <w:rFonts w:ascii="Calibri" w:eastAsia="Calibri" w:hAnsi="Calibri" w:cs="Calibri"/>
          <w:color w:val="000000"/>
          <w:sz w:val="22"/>
          <w:szCs w:val="22"/>
          <w:vertAlign w:val="superscript"/>
        </w:rPr>
        <w:footnoteReference w:id="43"/>
      </w:r>
      <w:r w:rsidRPr="00E65AA3">
        <w:rPr>
          <w:rFonts w:ascii="Calibri" w:eastAsia="Calibri" w:hAnsi="Calibri" w:cs="Calibri"/>
          <w:color w:val="000000"/>
          <w:sz w:val="22"/>
          <w:szCs w:val="22"/>
        </w:rPr>
        <w:t xml:space="preserve"> LGBTIQ+ persons continue to report discrimination, torture and other forms of violence, blackmail and extortion, hate crimes, harassment, arrests, prosecution, and lack of protection by law enforcement and government officials.</w:t>
      </w:r>
      <w:r w:rsidRPr="00E65AA3">
        <w:rPr>
          <w:rFonts w:ascii="Calibri" w:eastAsia="Calibri" w:hAnsi="Calibri" w:cs="Calibri"/>
          <w:color w:val="000000"/>
          <w:sz w:val="22"/>
          <w:szCs w:val="22"/>
          <w:vertAlign w:val="superscript"/>
        </w:rPr>
        <w:footnoteReference w:id="44"/>
      </w:r>
      <w:r w:rsidRPr="00E65AA3">
        <w:rPr>
          <w:rFonts w:ascii="Calibri" w:eastAsia="Calibri" w:hAnsi="Calibri" w:cs="Calibri"/>
          <w:color w:val="000000"/>
          <w:sz w:val="22"/>
          <w:szCs w:val="22"/>
        </w:rPr>
        <w:t xml:space="preserve"> In particular, LGBTIQ+ asylum seekers and refugees in the Kakuma refugee camp complex have suffered hate crimes, physical and sexual violence and torture because of discrimination based on </w:t>
      </w:r>
      <w:r w:rsidR="008A5936">
        <w:rPr>
          <w:rFonts w:ascii="Calibri" w:eastAsia="Calibri" w:hAnsi="Calibri" w:cs="Calibri"/>
          <w:color w:val="000000"/>
          <w:sz w:val="22"/>
          <w:szCs w:val="22"/>
        </w:rPr>
        <w:t xml:space="preserve">discrimination against </w:t>
      </w:r>
      <w:r w:rsidRPr="00E65AA3">
        <w:rPr>
          <w:rFonts w:ascii="Calibri" w:eastAsia="Calibri" w:hAnsi="Calibri" w:cs="Calibri"/>
          <w:color w:val="000000"/>
          <w:sz w:val="22"/>
          <w:szCs w:val="22"/>
        </w:rPr>
        <w:t>their sexual orientation, gender identity and/or expression, or sexual characteristics.</w:t>
      </w:r>
      <w:r w:rsidRPr="00E65AA3">
        <w:rPr>
          <w:rFonts w:ascii="Calibri" w:eastAsia="Calibri" w:hAnsi="Calibri" w:cs="Calibri"/>
          <w:color w:val="000000"/>
          <w:sz w:val="22"/>
          <w:szCs w:val="22"/>
          <w:vertAlign w:val="superscript"/>
        </w:rPr>
        <w:footnoteReference w:id="45"/>
      </w:r>
      <w:r w:rsidRPr="00E65AA3">
        <w:rPr>
          <w:rFonts w:ascii="Calibri" w:eastAsia="Calibri" w:hAnsi="Calibri" w:cs="Calibri"/>
          <w:color w:val="000000"/>
          <w:sz w:val="22"/>
          <w:szCs w:val="22"/>
        </w:rPr>
        <w:t xml:space="preserve"> The perpetrators of crimes against LGBTIQ+ persons enjoy generalised impunity as authorities fail to respond.</w:t>
      </w:r>
      <w:r w:rsidRPr="00E65AA3">
        <w:rPr>
          <w:rFonts w:ascii="Calibri" w:eastAsia="Calibri" w:hAnsi="Calibri" w:cs="Calibri"/>
          <w:color w:val="000000"/>
          <w:sz w:val="22"/>
          <w:szCs w:val="22"/>
          <w:vertAlign w:val="superscript"/>
        </w:rPr>
        <w:footnoteReference w:id="46"/>
      </w:r>
      <w:r w:rsidRPr="00E65AA3">
        <w:rPr>
          <w:rFonts w:ascii="Calibri" w:eastAsia="Calibri" w:hAnsi="Calibri" w:cs="Calibri"/>
          <w:color w:val="000000"/>
          <w:sz w:val="22"/>
          <w:szCs w:val="22"/>
        </w:rPr>
        <w:t xml:space="preserve"> </w:t>
      </w:r>
    </w:p>
    <w:p w14:paraId="00000043" w14:textId="77777777" w:rsidR="002E5B72" w:rsidRPr="00E65AA3" w:rsidRDefault="00261A88" w:rsidP="00137E7C">
      <w:pPr>
        <w:numPr>
          <w:ilvl w:val="0"/>
          <w:numId w:val="5"/>
        </w:numPr>
        <w:pBdr>
          <w:top w:val="nil"/>
          <w:left w:val="nil"/>
          <w:bottom w:val="nil"/>
          <w:right w:val="nil"/>
          <w:between w:val="nil"/>
        </w:pBdr>
        <w:spacing w:after="120"/>
        <w:jc w:val="both"/>
        <w:rPr>
          <w:rFonts w:ascii="Calibri" w:eastAsia="Calibri" w:hAnsi="Calibri" w:cs="Calibri"/>
          <w:color w:val="000000"/>
          <w:sz w:val="22"/>
          <w:szCs w:val="22"/>
        </w:rPr>
      </w:pPr>
      <w:r w:rsidRPr="00E65AA3">
        <w:rPr>
          <w:rFonts w:ascii="Calibri" w:eastAsia="Calibri" w:hAnsi="Calibri" w:cs="Calibri"/>
          <w:b/>
          <w:color w:val="000000"/>
          <w:sz w:val="22"/>
          <w:szCs w:val="22"/>
        </w:rPr>
        <w:t>Recalling its recommendations at paragraphs 26, 30, 38 and 44 of its 2022 Concluding Observations, we urge the Committee against Torture in its LOIPR to request the State Party to:</w:t>
      </w:r>
    </w:p>
    <w:p w14:paraId="00000044" w14:textId="77777777" w:rsidR="002E5B72" w:rsidRPr="00E65AA3" w:rsidRDefault="00261A88" w:rsidP="008A5936">
      <w:pPr>
        <w:numPr>
          <w:ilvl w:val="0"/>
          <w:numId w:val="1"/>
        </w:numPr>
        <w:pBdr>
          <w:top w:val="nil"/>
          <w:left w:val="nil"/>
          <w:bottom w:val="nil"/>
          <w:right w:val="nil"/>
          <w:between w:val="nil"/>
        </w:pBdr>
        <w:ind w:left="1276"/>
        <w:jc w:val="both"/>
        <w:rPr>
          <w:rFonts w:ascii="Calibri" w:eastAsia="Calibri" w:hAnsi="Calibri" w:cs="Calibri"/>
          <w:b/>
          <w:i/>
          <w:color w:val="000000"/>
          <w:sz w:val="22"/>
          <w:szCs w:val="22"/>
        </w:rPr>
      </w:pPr>
      <w:r w:rsidRPr="00E65AA3">
        <w:rPr>
          <w:rFonts w:ascii="Calibri" w:eastAsia="Calibri" w:hAnsi="Calibri" w:cs="Calibri"/>
          <w:b/>
          <w:i/>
          <w:color w:val="000000"/>
          <w:sz w:val="22"/>
          <w:szCs w:val="22"/>
        </w:rPr>
        <w:t xml:space="preserve">Provide information on its legislative efforts to fully protect LGBTIQ+ persons from torture, ill-treatment, other forms of violence, and discrimination more broadly; </w:t>
      </w:r>
    </w:p>
    <w:p w14:paraId="00000045" w14:textId="77777777" w:rsidR="002E5B72" w:rsidRPr="00E65AA3" w:rsidRDefault="00261A88" w:rsidP="008A5936">
      <w:pPr>
        <w:numPr>
          <w:ilvl w:val="0"/>
          <w:numId w:val="1"/>
        </w:numPr>
        <w:pBdr>
          <w:top w:val="nil"/>
          <w:left w:val="nil"/>
          <w:bottom w:val="nil"/>
          <w:right w:val="nil"/>
          <w:between w:val="nil"/>
        </w:pBdr>
        <w:ind w:left="1276"/>
        <w:jc w:val="both"/>
        <w:rPr>
          <w:rFonts w:ascii="Calibri" w:eastAsia="Calibri" w:hAnsi="Calibri" w:cs="Calibri"/>
          <w:b/>
          <w:i/>
          <w:color w:val="000000"/>
          <w:sz w:val="22"/>
          <w:szCs w:val="22"/>
        </w:rPr>
      </w:pPr>
      <w:r w:rsidRPr="00E65AA3">
        <w:rPr>
          <w:rFonts w:ascii="Calibri" w:eastAsia="Calibri" w:hAnsi="Calibri" w:cs="Calibri"/>
          <w:b/>
          <w:i/>
          <w:color w:val="000000"/>
          <w:sz w:val="22"/>
          <w:szCs w:val="22"/>
        </w:rPr>
        <w:t xml:space="preserve">Provide information on steps taken to educate and sensitise government officials, law enforcement personnel, and the public to combat discrimination, violence and stigma against LGBTIQ+ persons, including LGBTIQ+ asylum seekers and refugees. </w:t>
      </w:r>
    </w:p>
    <w:p w14:paraId="00000046" w14:textId="77777777" w:rsidR="002E5B72" w:rsidRPr="00E65AA3" w:rsidRDefault="00261A88" w:rsidP="008A5936">
      <w:pPr>
        <w:numPr>
          <w:ilvl w:val="0"/>
          <w:numId w:val="1"/>
        </w:numPr>
        <w:pBdr>
          <w:top w:val="nil"/>
          <w:left w:val="nil"/>
          <w:bottom w:val="nil"/>
          <w:right w:val="nil"/>
          <w:between w:val="nil"/>
        </w:pBdr>
        <w:ind w:left="1276"/>
        <w:jc w:val="both"/>
        <w:rPr>
          <w:rFonts w:ascii="Calibri" w:eastAsia="Calibri" w:hAnsi="Calibri" w:cs="Calibri"/>
          <w:b/>
          <w:i/>
          <w:color w:val="000000"/>
          <w:sz w:val="22"/>
          <w:szCs w:val="22"/>
        </w:rPr>
      </w:pPr>
      <w:r w:rsidRPr="00E65AA3">
        <w:rPr>
          <w:rFonts w:ascii="Calibri" w:eastAsia="Calibri" w:hAnsi="Calibri" w:cs="Calibri"/>
          <w:b/>
          <w:i/>
          <w:color w:val="000000"/>
          <w:sz w:val="22"/>
          <w:szCs w:val="22"/>
        </w:rPr>
        <w:lastRenderedPageBreak/>
        <w:t xml:space="preserve">Provide detailed information on the steps that it has taken since the Committee’s 2022 Concluding Observations were adopted, and its plans for future measures, to investigate violence against LGBTIQ+ persons – including allegations of torture and ill-treatment – promptly, impartially and effectively, and hold perpetrators, in particular </w:t>
      </w:r>
      <w:r w:rsidRPr="00E65AA3">
        <w:rPr>
          <w:rFonts w:ascii="Calibri" w:eastAsia="Calibri" w:hAnsi="Calibri" w:cs="Calibri"/>
          <w:b/>
          <w:i/>
          <w:sz w:val="22"/>
          <w:szCs w:val="22"/>
        </w:rPr>
        <w:t>S</w:t>
      </w:r>
      <w:r w:rsidRPr="00E65AA3">
        <w:rPr>
          <w:rFonts w:ascii="Calibri" w:eastAsia="Calibri" w:hAnsi="Calibri" w:cs="Calibri"/>
          <w:b/>
          <w:i/>
          <w:color w:val="000000"/>
          <w:sz w:val="22"/>
          <w:szCs w:val="22"/>
        </w:rPr>
        <w:t>tate agents, accountable;</w:t>
      </w:r>
    </w:p>
    <w:p w14:paraId="00000047" w14:textId="77777777" w:rsidR="002E5B72" w:rsidRPr="00E65AA3" w:rsidRDefault="00261A88" w:rsidP="008A5936">
      <w:pPr>
        <w:numPr>
          <w:ilvl w:val="0"/>
          <w:numId w:val="1"/>
        </w:numPr>
        <w:pBdr>
          <w:top w:val="nil"/>
          <w:left w:val="nil"/>
          <w:bottom w:val="nil"/>
          <w:right w:val="nil"/>
          <w:between w:val="nil"/>
        </w:pBdr>
        <w:spacing w:after="120"/>
        <w:ind w:left="1276"/>
        <w:jc w:val="both"/>
        <w:rPr>
          <w:rFonts w:ascii="Calibri" w:eastAsia="Calibri" w:hAnsi="Calibri" w:cs="Calibri"/>
          <w:b/>
          <w:i/>
          <w:color w:val="000000"/>
          <w:sz w:val="22"/>
          <w:szCs w:val="22"/>
        </w:rPr>
      </w:pPr>
      <w:r w:rsidRPr="00E65AA3">
        <w:rPr>
          <w:rFonts w:ascii="Calibri" w:eastAsia="Calibri" w:hAnsi="Calibri" w:cs="Calibri"/>
          <w:b/>
          <w:i/>
          <w:color w:val="000000"/>
          <w:sz w:val="22"/>
          <w:szCs w:val="22"/>
        </w:rPr>
        <w:t>Identify measures in place to ensure that violations against LGBTIQ+ persons are understood and treated as torture when they meet the definitions under the Convention against Torture or the Prevention of Torture Act, with a view to ensuring adequate reparation for the violations.</w:t>
      </w:r>
    </w:p>
    <w:p w14:paraId="00000048" w14:textId="74A6D75F" w:rsidR="008A5936" w:rsidRDefault="008A5936">
      <w:pPr>
        <w:rPr>
          <w:rFonts w:ascii="Calibri" w:eastAsia="Calibri" w:hAnsi="Calibri" w:cs="Calibri"/>
          <w:b/>
          <w:i/>
          <w:sz w:val="22"/>
          <w:szCs w:val="22"/>
        </w:rPr>
      </w:pPr>
      <w:r>
        <w:rPr>
          <w:rFonts w:ascii="Calibri" w:eastAsia="Calibri" w:hAnsi="Calibri" w:cs="Calibri"/>
          <w:b/>
          <w:i/>
          <w:sz w:val="22"/>
          <w:szCs w:val="22"/>
        </w:rPr>
        <w:br w:type="page"/>
      </w:r>
    </w:p>
    <w:p w14:paraId="00000049" w14:textId="5628C62D" w:rsidR="002E5B72" w:rsidRPr="00E65AA3" w:rsidRDefault="000264F6" w:rsidP="00137E7C">
      <w:pPr>
        <w:shd w:val="clear" w:color="auto" w:fill="F9DD47"/>
        <w:ind w:left="540"/>
        <w:jc w:val="both"/>
        <w:rPr>
          <w:rFonts w:ascii="Calibri" w:eastAsia="Calibri" w:hAnsi="Calibri" w:cs="Calibri"/>
          <w:b/>
          <w:i/>
          <w:sz w:val="22"/>
          <w:szCs w:val="22"/>
        </w:rPr>
      </w:pPr>
      <w:sdt>
        <w:sdtPr>
          <w:tag w:val="goog_rdk_10"/>
          <w:id w:val="1562284536"/>
        </w:sdtPr>
        <w:sdtEndPr/>
        <w:sdtContent/>
      </w:sdt>
      <w:sdt>
        <w:sdtPr>
          <w:tag w:val="goog_rdk_11"/>
          <w:id w:val="1156570776"/>
        </w:sdtPr>
        <w:sdtEndPr/>
        <w:sdtContent/>
      </w:sdt>
      <w:r w:rsidR="00261A88" w:rsidRPr="00E65AA3">
        <w:rPr>
          <w:rFonts w:ascii="Calibri" w:eastAsia="Calibri" w:hAnsi="Calibri" w:cs="Calibri"/>
          <w:b/>
          <w:smallCaps/>
          <w:sz w:val="22"/>
          <w:szCs w:val="22"/>
        </w:rPr>
        <w:t>PROTECTING VICTIMS OF DOMESTIC VIOLENCE AND TRAFFICKING IN PERSONS</w:t>
      </w:r>
    </w:p>
    <w:p w14:paraId="0000004A" w14:textId="77777777" w:rsidR="002E5B72" w:rsidRPr="00E65AA3" w:rsidRDefault="002E5B72" w:rsidP="00137E7C">
      <w:pPr>
        <w:pBdr>
          <w:top w:val="nil"/>
          <w:left w:val="nil"/>
          <w:bottom w:val="nil"/>
          <w:right w:val="nil"/>
          <w:between w:val="nil"/>
        </w:pBdr>
        <w:spacing w:after="120"/>
        <w:jc w:val="both"/>
        <w:rPr>
          <w:rFonts w:ascii="Calibri" w:eastAsia="Calibri" w:hAnsi="Calibri" w:cs="Calibri"/>
          <w:b/>
          <w:i/>
          <w:sz w:val="22"/>
          <w:szCs w:val="22"/>
        </w:rPr>
      </w:pPr>
    </w:p>
    <w:p w14:paraId="0000004B" w14:textId="699C21F8" w:rsidR="002E5B72" w:rsidRPr="00E65AA3" w:rsidRDefault="00261A88" w:rsidP="008A5936">
      <w:pPr>
        <w:numPr>
          <w:ilvl w:val="0"/>
          <w:numId w:val="5"/>
        </w:numPr>
        <w:spacing w:after="120"/>
        <w:jc w:val="both"/>
        <w:rPr>
          <w:rFonts w:ascii="Calibri" w:eastAsia="Calibri" w:hAnsi="Calibri" w:cs="Calibri"/>
          <w:sz w:val="22"/>
          <w:szCs w:val="22"/>
        </w:rPr>
      </w:pPr>
      <w:r w:rsidRPr="00E65AA3">
        <w:rPr>
          <w:rFonts w:ascii="Calibri" w:eastAsia="Calibri" w:hAnsi="Calibri" w:cs="Calibri"/>
          <w:sz w:val="22"/>
          <w:szCs w:val="22"/>
        </w:rPr>
        <w:t>In its May 2022 Concluding Observations on the third periodic report of Kenya, the Committee expressed concern about “[h]igh levels of domestic violence [...] and the persistence of sexual violence, including rape, in the private and public spheres” as well as “[w]eaknesses in the legal and institutional response, including poor enforcement of the Protection against Domestic Violence Act [...].”</w:t>
      </w:r>
      <w:r w:rsidRPr="00E65AA3">
        <w:rPr>
          <w:rFonts w:ascii="Calibri" w:eastAsia="Calibri" w:hAnsi="Calibri" w:cs="Calibri"/>
          <w:sz w:val="22"/>
          <w:szCs w:val="22"/>
          <w:vertAlign w:val="superscript"/>
        </w:rPr>
        <w:footnoteReference w:id="47"/>
      </w:r>
      <w:r w:rsidR="008A5936">
        <w:rPr>
          <w:rFonts w:ascii="Calibri" w:eastAsia="Calibri" w:hAnsi="Calibri" w:cs="Calibri"/>
          <w:sz w:val="22"/>
          <w:szCs w:val="22"/>
        </w:rPr>
        <w:t xml:space="preserve"> </w:t>
      </w:r>
    </w:p>
    <w:p w14:paraId="0000004C" w14:textId="77777777" w:rsidR="002E5B72" w:rsidRPr="00E65AA3" w:rsidRDefault="00261A88" w:rsidP="00137E7C">
      <w:pPr>
        <w:numPr>
          <w:ilvl w:val="0"/>
          <w:numId w:val="5"/>
        </w:numPr>
        <w:spacing w:after="120"/>
        <w:jc w:val="both"/>
        <w:rPr>
          <w:rFonts w:ascii="Calibri" w:eastAsia="Calibri" w:hAnsi="Calibri" w:cs="Calibri"/>
          <w:sz w:val="22"/>
          <w:szCs w:val="22"/>
        </w:rPr>
      </w:pPr>
      <w:r w:rsidRPr="00E65AA3">
        <w:rPr>
          <w:rFonts w:ascii="Calibri" w:eastAsia="Calibri" w:hAnsi="Calibri" w:cs="Calibri"/>
          <w:sz w:val="22"/>
          <w:szCs w:val="22"/>
        </w:rPr>
        <w:t>Though Kenya has enacted the Protection against Domestic Violence Act – which provides for the protection and relief of victims of domestic violence and the protection of spouses and children from domestic violence – there is still a lack of awareness by the public of this legislation and limited implementation capacities by relevant officials. There is also a lack of data on cases taken to court under the Act which raises concern that the legislation has not been operationalised.</w:t>
      </w:r>
    </w:p>
    <w:p w14:paraId="0000004D" w14:textId="77777777" w:rsidR="002E5B72" w:rsidRPr="00E65AA3" w:rsidRDefault="00261A88" w:rsidP="00137E7C">
      <w:pPr>
        <w:numPr>
          <w:ilvl w:val="0"/>
          <w:numId w:val="5"/>
        </w:numPr>
        <w:pBdr>
          <w:top w:val="nil"/>
          <w:left w:val="nil"/>
          <w:bottom w:val="nil"/>
          <w:right w:val="nil"/>
          <w:between w:val="nil"/>
        </w:pBdr>
        <w:spacing w:after="120"/>
        <w:jc w:val="both"/>
        <w:rPr>
          <w:rFonts w:ascii="Calibri" w:eastAsia="Calibri" w:hAnsi="Calibri" w:cs="Calibri"/>
          <w:sz w:val="22"/>
          <w:szCs w:val="22"/>
        </w:rPr>
      </w:pPr>
      <w:r w:rsidRPr="00E65AA3">
        <w:rPr>
          <w:rFonts w:ascii="Calibri" w:eastAsia="Calibri" w:hAnsi="Calibri" w:cs="Calibri"/>
          <w:sz w:val="22"/>
          <w:szCs w:val="22"/>
        </w:rPr>
        <w:t>Moreover, while prevention of human trafficking is effected under the terms of the Counter Trafficking in Persons Act (CiiP) (No 8 of 2010) and the establishment of the Counter-Trafficking in Persons Advisory Committee in 2014, the plan for return to and from Kenya, resettlement, re-integration, appropriate shelter and other basic needs, psychosocial support, appropriate medical assistance, legal assistance or legal information, including information on the relevant judicial and administrative proceedings; or any other necessary assistance that a victim may require, has not been developed as commanded by Section 15 of the Counter Trafficking in Persons Act.</w:t>
      </w:r>
      <w:r w:rsidRPr="00E65AA3">
        <w:rPr>
          <w:rFonts w:ascii="Calibri" w:eastAsia="Calibri" w:hAnsi="Calibri" w:cs="Calibri"/>
          <w:sz w:val="22"/>
          <w:szCs w:val="22"/>
          <w:vertAlign w:val="superscript"/>
        </w:rPr>
        <w:footnoteReference w:id="48"/>
      </w:r>
    </w:p>
    <w:p w14:paraId="0000004E" w14:textId="77777777" w:rsidR="002E5B72" w:rsidRPr="00E65AA3" w:rsidRDefault="00261A88" w:rsidP="00137E7C">
      <w:pPr>
        <w:numPr>
          <w:ilvl w:val="0"/>
          <w:numId w:val="5"/>
        </w:numPr>
        <w:spacing w:after="120"/>
        <w:jc w:val="both"/>
        <w:rPr>
          <w:rFonts w:ascii="Calibri" w:eastAsia="Calibri" w:hAnsi="Calibri" w:cs="Calibri"/>
          <w:sz w:val="22"/>
          <w:szCs w:val="22"/>
        </w:rPr>
      </w:pPr>
      <w:r w:rsidRPr="00E65AA3">
        <w:rPr>
          <w:rFonts w:ascii="Calibri" w:eastAsia="Calibri" w:hAnsi="Calibri" w:cs="Calibri"/>
          <w:b/>
          <w:sz w:val="22"/>
          <w:szCs w:val="22"/>
        </w:rPr>
        <w:t xml:space="preserve"> Recalling its recommendation at paragraph 38 of its 2022 Concluding Observations, we urge the Committee against Torture in its LOIPR to request the State Party to:</w:t>
      </w:r>
    </w:p>
    <w:p w14:paraId="0000004F" w14:textId="77777777" w:rsidR="002E5B72" w:rsidRPr="00E65AA3" w:rsidRDefault="00261A88" w:rsidP="007B67E8">
      <w:pPr>
        <w:numPr>
          <w:ilvl w:val="0"/>
          <w:numId w:val="1"/>
        </w:numPr>
        <w:pBdr>
          <w:top w:val="nil"/>
          <w:left w:val="nil"/>
          <w:bottom w:val="nil"/>
          <w:right w:val="nil"/>
          <w:between w:val="nil"/>
        </w:pBdr>
        <w:ind w:left="1276"/>
        <w:jc w:val="both"/>
        <w:rPr>
          <w:rFonts w:ascii="Calibri" w:eastAsia="Calibri" w:hAnsi="Calibri" w:cs="Calibri"/>
          <w:b/>
          <w:i/>
          <w:sz w:val="22"/>
          <w:szCs w:val="22"/>
        </w:rPr>
      </w:pPr>
      <w:r w:rsidRPr="00E65AA3">
        <w:rPr>
          <w:rFonts w:ascii="Calibri" w:eastAsia="Calibri" w:hAnsi="Calibri" w:cs="Calibri"/>
          <w:b/>
          <w:i/>
          <w:sz w:val="22"/>
          <w:szCs w:val="22"/>
        </w:rPr>
        <w:t>Provide information on the measures taken towards full implementation of the Protection against Domestic Violence Act (No 2 of 2015) including public awareness raising  as well as capacity building of public officials and relevant actors of the justice sector;</w:t>
      </w:r>
    </w:p>
    <w:p w14:paraId="00000050" w14:textId="77777777" w:rsidR="002E5B72" w:rsidRPr="00E65AA3" w:rsidRDefault="00261A88" w:rsidP="007B67E8">
      <w:pPr>
        <w:numPr>
          <w:ilvl w:val="0"/>
          <w:numId w:val="1"/>
        </w:numPr>
        <w:spacing w:after="120"/>
        <w:ind w:left="1276"/>
        <w:jc w:val="both"/>
        <w:rPr>
          <w:rFonts w:ascii="Calibri" w:eastAsia="Calibri" w:hAnsi="Calibri" w:cs="Calibri"/>
          <w:b/>
          <w:i/>
          <w:sz w:val="22"/>
          <w:szCs w:val="22"/>
        </w:rPr>
      </w:pPr>
      <w:r w:rsidRPr="00E65AA3">
        <w:rPr>
          <w:rFonts w:ascii="Calibri" w:eastAsia="Calibri" w:hAnsi="Calibri" w:cs="Calibri"/>
          <w:b/>
          <w:i/>
          <w:sz w:val="22"/>
          <w:szCs w:val="22"/>
        </w:rPr>
        <w:t xml:space="preserve">Provide information on the steps taken to fully implement the Counter Trafficking in Persons Act, including towards the development of the plan provided in Section 15 of this Act. </w:t>
      </w:r>
    </w:p>
    <w:p w14:paraId="00000051" w14:textId="4612711F" w:rsidR="007B67E8" w:rsidRDefault="007B67E8">
      <w:pPr>
        <w:rPr>
          <w:rFonts w:ascii="Calibri" w:eastAsia="Calibri" w:hAnsi="Calibri" w:cs="Calibri"/>
          <w:b/>
          <w:i/>
          <w:sz w:val="22"/>
          <w:szCs w:val="22"/>
        </w:rPr>
      </w:pPr>
      <w:r>
        <w:rPr>
          <w:rFonts w:ascii="Calibri" w:eastAsia="Calibri" w:hAnsi="Calibri" w:cs="Calibri"/>
          <w:b/>
          <w:i/>
          <w:sz w:val="22"/>
          <w:szCs w:val="22"/>
        </w:rPr>
        <w:br w:type="page"/>
      </w:r>
    </w:p>
    <w:p w14:paraId="4C8A844F" w14:textId="77777777" w:rsidR="002E5B72" w:rsidRPr="00E65AA3" w:rsidRDefault="002E5B72" w:rsidP="00137E7C">
      <w:pPr>
        <w:spacing w:after="120"/>
        <w:ind w:left="720"/>
        <w:jc w:val="both"/>
        <w:rPr>
          <w:rFonts w:ascii="Calibri" w:eastAsia="Calibri" w:hAnsi="Calibri" w:cs="Calibri"/>
          <w:b/>
          <w:i/>
          <w:sz w:val="22"/>
          <w:szCs w:val="22"/>
        </w:rPr>
      </w:pPr>
    </w:p>
    <w:p w14:paraId="00000052" w14:textId="77777777" w:rsidR="002E5B72" w:rsidRPr="00E65AA3" w:rsidRDefault="00261A88" w:rsidP="00137E7C">
      <w:pPr>
        <w:pBdr>
          <w:top w:val="nil"/>
          <w:left w:val="nil"/>
          <w:bottom w:val="nil"/>
          <w:right w:val="nil"/>
          <w:between w:val="nil"/>
        </w:pBdr>
        <w:shd w:val="clear" w:color="auto" w:fill="F9DD47"/>
        <w:ind w:left="540"/>
        <w:jc w:val="both"/>
        <w:rPr>
          <w:rFonts w:ascii="Quattrocento Sans" w:eastAsia="Quattrocento Sans" w:hAnsi="Quattrocento Sans" w:cs="Quattrocento Sans"/>
          <w:b/>
          <w:smallCaps/>
          <w:color w:val="000000"/>
          <w:sz w:val="18"/>
          <w:szCs w:val="18"/>
        </w:rPr>
      </w:pPr>
      <w:r w:rsidRPr="00E65AA3">
        <w:rPr>
          <w:rFonts w:ascii="Calibri" w:eastAsia="Calibri" w:hAnsi="Calibri" w:cs="Calibri"/>
          <w:b/>
          <w:smallCaps/>
          <w:color w:val="000000"/>
          <w:sz w:val="22"/>
          <w:szCs w:val="22"/>
        </w:rPr>
        <w:t>WHO WE ARE </w:t>
      </w:r>
    </w:p>
    <w:p w14:paraId="00000053" w14:textId="77777777" w:rsidR="002E5B72" w:rsidRPr="00E65AA3" w:rsidRDefault="002E5B72" w:rsidP="00137E7C">
      <w:pPr>
        <w:ind w:left="540"/>
        <w:jc w:val="both"/>
        <w:rPr>
          <w:rFonts w:ascii="Calibri" w:eastAsia="Calibri" w:hAnsi="Calibri" w:cs="Calibri"/>
          <w:sz w:val="22"/>
          <w:szCs w:val="22"/>
        </w:rPr>
      </w:pPr>
    </w:p>
    <w:p w14:paraId="00000054" w14:textId="77777777" w:rsidR="002E5B72" w:rsidRPr="00E65AA3" w:rsidRDefault="00261A88" w:rsidP="00137E7C">
      <w:pPr>
        <w:ind w:left="540"/>
        <w:jc w:val="both"/>
        <w:rPr>
          <w:rFonts w:ascii="Calibri" w:eastAsia="Calibri" w:hAnsi="Calibri" w:cs="Calibri"/>
          <w:b/>
          <w:color w:val="000000"/>
          <w:sz w:val="22"/>
          <w:szCs w:val="22"/>
        </w:rPr>
      </w:pPr>
      <w:r w:rsidRPr="00E65AA3">
        <w:rPr>
          <w:rFonts w:ascii="Calibri" w:eastAsia="Calibri" w:hAnsi="Calibri" w:cs="Calibri"/>
          <w:color w:val="000000"/>
          <w:sz w:val="22"/>
          <w:szCs w:val="22"/>
        </w:rPr>
        <w:t>The</w:t>
      </w:r>
      <w:r w:rsidRPr="00E65AA3">
        <w:rPr>
          <w:rFonts w:ascii="Calibri" w:eastAsia="Calibri" w:hAnsi="Calibri" w:cs="Calibri"/>
          <w:b/>
          <w:color w:val="000000"/>
          <w:sz w:val="22"/>
          <w:szCs w:val="22"/>
        </w:rPr>
        <w:t xml:space="preserve"> United against Torture Consortium (UATC) </w:t>
      </w:r>
      <w:r w:rsidRPr="00E65AA3">
        <w:rPr>
          <w:rFonts w:ascii="Calibri" w:eastAsia="Calibri" w:hAnsi="Calibri" w:cs="Calibri"/>
          <w:sz w:val="22"/>
          <w:szCs w:val="22"/>
        </w:rPr>
        <w:t>brings together six of the world’s leading anti-torture organisations with the aim to strengthen and expand the anti-torture movement by pooling their expertise in torture prevention, protection, survivor rehabilitation and strategic litigation against torture. Funded by the European Union, the Consortium works in partnership with over 200 civil society organisations and other partners in more than 100 countries.</w:t>
      </w:r>
    </w:p>
    <w:p w14:paraId="00000055" w14:textId="77777777" w:rsidR="002E5B72" w:rsidRPr="00E65AA3" w:rsidRDefault="002E5B72" w:rsidP="00137E7C">
      <w:pPr>
        <w:pBdr>
          <w:top w:val="nil"/>
          <w:left w:val="nil"/>
          <w:bottom w:val="nil"/>
          <w:right w:val="nil"/>
          <w:between w:val="nil"/>
        </w:pBdr>
        <w:spacing w:line="259" w:lineRule="auto"/>
        <w:ind w:left="540"/>
        <w:jc w:val="both"/>
        <w:rPr>
          <w:rFonts w:ascii="Calibri" w:eastAsia="Calibri" w:hAnsi="Calibri" w:cs="Calibri"/>
          <w:color w:val="000000"/>
          <w:sz w:val="22"/>
          <w:szCs w:val="22"/>
        </w:rPr>
      </w:pPr>
    </w:p>
    <w:p w14:paraId="00000056" w14:textId="77777777" w:rsidR="002E5B72" w:rsidRPr="00E65AA3" w:rsidRDefault="00261A88" w:rsidP="00137E7C">
      <w:pPr>
        <w:pBdr>
          <w:top w:val="nil"/>
          <w:left w:val="nil"/>
          <w:bottom w:val="nil"/>
          <w:right w:val="nil"/>
          <w:between w:val="nil"/>
        </w:pBdr>
        <w:spacing w:line="259" w:lineRule="auto"/>
        <w:ind w:left="540"/>
        <w:jc w:val="both"/>
        <w:rPr>
          <w:rFonts w:ascii="Calibri" w:eastAsia="Calibri" w:hAnsi="Calibri" w:cs="Calibri"/>
          <w:color w:val="000000"/>
          <w:sz w:val="22"/>
          <w:szCs w:val="22"/>
        </w:rPr>
      </w:pPr>
      <w:r w:rsidRPr="00E65AA3">
        <w:rPr>
          <w:rFonts w:ascii="Calibri" w:eastAsia="Calibri" w:hAnsi="Calibri" w:cs="Calibri"/>
          <w:color w:val="000000"/>
          <w:sz w:val="22"/>
          <w:szCs w:val="22"/>
        </w:rPr>
        <w:t>This submission was prepared by several members of the UATC: REDRESS, the International Rehabilitation Council for Torture Victims (IRCT), the World Organisation Against Torture (OMCT) and the Omega Research Foundation, together with the Independent Medico-Legal Unit (IMLU).</w:t>
      </w:r>
    </w:p>
    <w:p w14:paraId="00000057" w14:textId="77777777" w:rsidR="002E5B72" w:rsidRPr="00E65AA3" w:rsidRDefault="002E5B72" w:rsidP="00137E7C">
      <w:pPr>
        <w:pBdr>
          <w:top w:val="nil"/>
          <w:left w:val="nil"/>
          <w:bottom w:val="nil"/>
          <w:right w:val="nil"/>
          <w:between w:val="nil"/>
        </w:pBdr>
        <w:spacing w:line="259" w:lineRule="auto"/>
        <w:ind w:left="540"/>
        <w:jc w:val="both"/>
        <w:rPr>
          <w:rFonts w:ascii="Calibri" w:eastAsia="Calibri" w:hAnsi="Calibri" w:cs="Calibri"/>
          <w:color w:val="000000"/>
          <w:sz w:val="22"/>
          <w:szCs w:val="22"/>
        </w:rPr>
      </w:pPr>
    </w:p>
    <w:p w14:paraId="00000058" w14:textId="77777777" w:rsidR="002E5B72" w:rsidRPr="00E65AA3" w:rsidRDefault="00261A88" w:rsidP="00137E7C">
      <w:pPr>
        <w:pBdr>
          <w:top w:val="nil"/>
          <w:left w:val="nil"/>
          <w:bottom w:val="nil"/>
          <w:right w:val="nil"/>
          <w:between w:val="nil"/>
        </w:pBdr>
        <w:spacing w:line="259" w:lineRule="auto"/>
        <w:ind w:left="540"/>
        <w:jc w:val="both"/>
        <w:rPr>
          <w:rFonts w:ascii="Calibri" w:eastAsia="Calibri" w:hAnsi="Calibri" w:cs="Calibri"/>
          <w:color w:val="000000"/>
          <w:sz w:val="22"/>
          <w:szCs w:val="22"/>
        </w:rPr>
      </w:pPr>
      <w:r w:rsidRPr="00E65AA3">
        <w:rPr>
          <w:rFonts w:ascii="Calibri" w:eastAsia="Calibri" w:hAnsi="Calibri" w:cs="Calibri"/>
          <w:b/>
          <w:color w:val="000000"/>
          <w:sz w:val="22"/>
          <w:szCs w:val="22"/>
        </w:rPr>
        <w:t xml:space="preserve">REDRESS </w:t>
      </w:r>
      <w:r w:rsidRPr="00E65AA3">
        <w:rPr>
          <w:rFonts w:ascii="Calibri" w:eastAsia="Calibri" w:hAnsi="Calibri" w:cs="Calibri"/>
          <w:color w:val="000000"/>
          <w:sz w:val="22"/>
          <w:szCs w:val="22"/>
        </w:rPr>
        <w:t>is an international human rights organisation that delivers justice and reparation for survivors of torture, challenges impunity for perpetrators and advocates for legal and policy reforms to combat torture and provide effective reparations. As part of our Dissent and Discrimination programmes, we work to increase accountability for torture perpetrated in the context of protests and discriminatory torture perpetrated against LGBTIQ+ people in African jurisdictions.</w:t>
      </w:r>
    </w:p>
    <w:p w14:paraId="00000059" w14:textId="77777777" w:rsidR="002E5B72" w:rsidRPr="00E65AA3" w:rsidRDefault="002E5B72" w:rsidP="00137E7C">
      <w:pPr>
        <w:pBdr>
          <w:top w:val="nil"/>
          <w:left w:val="nil"/>
          <w:bottom w:val="nil"/>
          <w:right w:val="nil"/>
          <w:between w:val="nil"/>
        </w:pBdr>
        <w:spacing w:line="259" w:lineRule="auto"/>
        <w:ind w:left="540"/>
        <w:jc w:val="both"/>
        <w:rPr>
          <w:rFonts w:ascii="Calibri" w:eastAsia="Calibri" w:hAnsi="Calibri" w:cs="Calibri"/>
          <w:color w:val="000000"/>
          <w:sz w:val="22"/>
          <w:szCs w:val="22"/>
        </w:rPr>
      </w:pPr>
    </w:p>
    <w:p w14:paraId="0000005A" w14:textId="50ECDCA4" w:rsidR="002E5B72" w:rsidRPr="00E65AA3" w:rsidRDefault="000264F6" w:rsidP="00137E7C">
      <w:pPr>
        <w:pBdr>
          <w:top w:val="nil"/>
          <w:left w:val="nil"/>
          <w:bottom w:val="nil"/>
          <w:right w:val="nil"/>
          <w:between w:val="nil"/>
        </w:pBdr>
        <w:spacing w:line="259" w:lineRule="auto"/>
        <w:ind w:left="540"/>
        <w:jc w:val="both"/>
        <w:rPr>
          <w:rFonts w:ascii="Calibri" w:eastAsia="Calibri" w:hAnsi="Calibri" w:cs="Calibri"/>
          <w:color w:val="000000"/>
          <w:sz w:val="22"/>
          <w:szCs w:val="22"/>
        </w:rPr>
      </w:pPr>
      <w:sdt>
        <w:sdtPr>
          <w:tag w:val="goog_rdk_12"/>
          <w:id w:val="1850670560"/>
        </w:sdtPr>
        <w:sdtEndPr/>
        <w:sdtContent/>
      </w:sdt>
      <w:sdt>
        <w:sdtPr>
          <w:tag w:val="goog_rdk_13"/>
          <w:id w:val="-296217951"/>
        </w:sdtPr>
        <w:sdtEndPr/>
        <w:sdtContent/>
      </w:sdt>
      <w:r w:rsidR="00261A88" w:rsidRPr="00E65AA3">
        <w:rPr>
          <w:rFonts w:ascii="Calibri" w:eastAsia="Calibri" w:hAnsi="Calibri" w:cs="Calibri"/>
          <w:color w:val="000000"/>
          <w:sz w:val="22"/>
          <w:szCs w:val="22"/>
        </w:rPr>
        <w:t xml:space="preserve">The </w:t>
      </w:r>
      <w:r w:rsidR="00261A88" w:rsidRPr="00E65AA3">
        <w:rPr>
          <w:rFonts w:ascii="Calibri" w:eastAsia="Calibri" w:hAnsi="Calibri" w:cs="Calibri"/>
          <w:b/>
          <w:color w:val="000000"/>
          <w:sz w:val="22"/>
          <w:szCs w:val="22"/>
        </w:rPr>
        <w:t xml:space="preserve">International Rehabilitation Council for Torture Victims (IRCT) </w:t>
      </w:r>
      <w:r w:rsidR="00261A88" w:rsidRPr="00E65AA3">
        <w:rPr>
          <w:rFonts w:ascii="Calibri" w:eastAsia="Calibri" w:hAnsi="Calibri" w:cs="Calibri"/>
          <w:color w:val="000000"/>
          <w:sz w:val="22"/>
          <w:szCs w:val="22"/>
        </w:rPr>
        <w:t xml:space="preserve">is </w:t>
      </w:r>
      <w:r w:rsidR="00261A88" w:rsidRPr="00E65AA3">
        <w:rPr>
          <w:rFonts w:ascii="Calibri" w:eastAsia="Calibri" w:hAnsi="Calibri" w:cs="Calibri"/>
          <w:sz w:val="22"/>
          <w:szCs w:val="22"/>
        </w:rPr>
        <w:t>a global network of civil society organisations and independent experts who support survivors of torture to heal and rebuild their lives through rehabilitation, including medical, psychological, legal and social support. We also produce forensic evidence, publish academic research, and fight for justice. The IRCT has 156 member centres in 76 countries worldwide.</w:t>
      </w:r>
    </w:p>
    <w:p w14:paraId="0000005B" w14:textId="77777777" w:rsidR="002E5B72" w:rsidRPr="00E65AA3" w:rsidRDefault="002E5B72" w:rsidP="00137E7C">
      <w:pPr>
        <w:pBdr>
          <w:top w:val="nil"/>
          <w:left w:val="nil"/>
          <w:bottom w:val="nil"/>
          <w:right w:val="nil"/>
          <w:between w:val="nil"/>
        </w:pBdr>
        <w:spacing w:line="259" w:lineRule="auto"/>
        <w:ind w:left="540"/>
        <w:jc w:val="both"/>
        <w:rPr>
          <w:rFonts w:ascii="Calibri" w:eastAsia="Calibri" w:hAnsi="Calibri" w:cs="Calibri"/>
          <w:b/>
          <w:color w:val="000000"/>
          <w:sz w:val="22"/>
          <w:szCs w:val="22"/>
        </w:rPr>
      </w:pPr>
    </w:p>
    <w:p w14:paraId="0000005C" w14:textId="77777777" w:rsidR="002E5B72" w:rsidRPr="00E65AA3" w:rsidRDefault="00261A88" w:rsidP="00137E7C">
      <w:pPr>
        <w:pBdr>
          <w:top w:val="nil"/>
          <w:left w:val="nil"/>
          <w:bottom w:val="nil"/>
          <w:right w:val="nil"/>
          <w:between w:val="nil"/>
        </w:pBdr>
        <w:spacing w:line="259" w:lineRule="auto"/>
        <w:ind w:left="540"/>
        <w:jc w:val="both"/>
        <w:rPr>
          <w:rFonts w:ascii="Calibri" w:eastAsia="Calibri" w:hAnsi="Calibri" w:cs="Calibri"/>
          <w:sz w:val="22"/>
          <w:szCs w:val="22"/>
        </w:rPr>
      </w:pPr>
      <w:r w:rsidRPr="00E65AA3">
        <w:rPr>
          <w:rFonts w:ascii="Calibri" w:eastAsia="Calibri" w:hAnsi="Calibri" w:cs="Calibri"/>
          <w:color w:val="000000"/>
          <w:sz w:val="22"/>
          <w:szCs w:val="22"/>
        </w:rPr>
        <w:t xml:space="preserve">The </w:t>
      </w:r>
      <w:r w:rsidRPr="00E65AA3">
        <w:rPr>
          <w:rFonts w:ascii="Calibri" w:eastAsia="Calibri" w:hAnsi="Calibri" w:cs="Calibri"/>
          <w:b/>
          <w:color w:val="000000"/>
          <w:sz w:val="22"/>
          <w:szCs w:val="22"/>
        </w:rPr>
        <w:t xml:space="preserve">World Organisation Against Torture (OMCT) </w:t>
      </w:r>
      <w:r w:rsidRPr="00E65AA3">
        <w:rPr>
          <w:rFonts w:ascii="Calibri" w:eastAsia="Calibri" w:hAnsi="Calibri" w:cs="Calibri"/>
          <w:sz w:val="22"/>
          <w:szCs w:val="22"/>
        </w:rPr>
        <w:t xml:space="preserve">works with around 200 member organisations which constitute its SOS-Torture Network, to end torture, fight impunity and protect human rights defenders worldwide. Together, we are the largest global group actively standing up to torture in more than 90 countries. Helping local voices be heard, we support our vital partners in the field and provide direct assistance to victims. </w:t>
      </w:r>
    </w:p>
    <w:p w14:paraId="0000005D" w14:textId="77777777" w:rsidR="002E5B72" w:rsidRPr="00E65AA3" w:rsidRDefault="002E5B72" w:rsidP="00137E7C">
      <w:pPr>
        <w:pBdr>
          <w:top w:val="nil"/>
          <w:left w:val="nil"/>
          <w:bottom w:val="nil"/>
          <w:right w:val="nil"/>
          <w:between w:val="nil"/>
        </w:pBdr>
        <w:spacing w:line="259" w:lineRule="auto"/>
        <w:ind w:left="540"/>
        <w:jc w:val="both"/>
        <w:rPr>
          <w:rFonts w:ascii="Calibri" w:eastAsia="Calibri" w:hAnsi="Calibri" w:cs="Calibri"/>
          <w:b/>
          <w:color w:val="000000"/>
          <w:sz w:val="22"/>
          <w:szCs w:val="22"/>
        </w:rPr>
      </w:pPr>
    </w:p>
    <w:p w14:paraId="0000005E" w14:textId="77777777" w:rsidR="002E5B72" w:rsidRPr="00E65AA3" w:rsidRDefault="00261A88" w:rsidP="00137E7C">
      <w:pPr>
        <w:pBdr>
          <w:top w:val="nil"/>
          <w:left w:val="nil"/>
          <w:bottom w:val="nil"/>
          <w:right w:val="nil"/>
          <w:between w:val="nil"/>
        </w:pBdr>
        <w:spacing w:line="259" w:lineRule="auto"/>
        <w:ind w:left="540"/>
        <w:jc w:val="both"/>
        <w:rPr>
          <w:rFonts w:ascii="Calibri" w:eastAsia="Calibri" w:hAnsi="Calibri" w:cs="Calibri"/>
          <w:color w:val="000000"/>
          <w:sz w:val="22"/>
          <w:szCs w:val="22"/>
        </w:rPr>
      </w:pPr>
      <w:r w:rsidRPr="00E65AA3">
        <w:rPr>
          <w:rFonts w:ascii="Calibri" w:eastAsia="Calibri" w:hAnsi="Calibri" w:cs="Calibri"/>
          <w:color w:val="000000"/>
          <w:sz w:val="22"/>
          <w:szCs w:val="22"/>
        </w:rPr>
        <w:t xml:space="preserve">The </w:t>
      </w:r>
      <w:r w:rsidRPr="00E65AA3">
        <w:rPr>
          <w:rFonts w:ascii="Calibri" w:eastAsia="Calibri" w:hAnsi="Calibri" w:cs="Calibri"/>
          <w:b/>
          <w:color w:val="000000"/>
          <w:sz w:val="22"/>
          <w:szCs w:val="22"/>
        </w:rPr>
        <w:t>Omega Research Foundation</w:t>
      </w:r>
      <w:r w:rsidRPr="00E65AA3">
        <w:rPr>
          <w:rFonts w:ascii="Calibri" w:eastAsia="Calibri" w:hAnsi="Calibri" w:cs="Calibri"/>
          <w:b/>
          <w:sz w:val="22"/>
          <w:szCs w:val="22"/>
        </w:rPr>
        <w:t xml:space="preserve">, </w:t>
      </w:r>
      <w:r w:rsidRPr="00E65AA3">
        <w:rPr>
          <w:rFonts w:ascii="Calibri" w:eastAsia="Calibri" w:hAnsi="Calibri" w:cs="Calibri"/>
          <w:sz w:val="22"/>
          <w:szCs w:val="22"/>
        </w:rPr>
        <w:t>established in 1990, i</w:t>
      </w:r>
      <w:r w:rsidRPr="00E65AA3">
        <w:rPr>
          <w:rFonts w:ascii="Calibri" w:eastAsia="Calibri" w:hAnsi="Calibri" w:cs="Calibri"/>
          <w:color w:val="000000"/>
          <w:sz w:val="22"/>
          <w:szCs w:val="22"/>
        </w:rPr>
        <w:t>dentif</w:t>
      </w:r>
      <w:r w:rsidRPr="00E65AA3">
        <w:rPr>
          <w:rFonts w:ascii="Calibri" w:eastAsia="Calibri" w:hAnsi="Calibri" w:cs="Calibri"/>
          <w:sz w:val="22"/>
          <w:szCs w:val="22"/>
        </w:rPr>
        <w:t xml:space="preserve">ies and exposes human rights abuses committed across the world by people using police, security, and military equipment. Such technologies range from small arms and light weapons to large weapons systems; from standard policing technologies and prison equipment to equipment designed for torture. We track the development, procurement, and use of weapons, and push for stronger controls at each </w:t>
      </w:r>
      <w:sdt>
        <w:sdtPr>
          <w:tag w:val="goog_rdk_14"/>
          <w:id w:val="-114065370"/>
        </w:sdtPr>
        <w:sdtEndPr/>
        <w:sdtContent/>
      </w:sdt>
      <w:sdt>
        <w:sdtPr>
          <w:tag w:val="goog_rdk_15"/>
          <w:id w:val="2146076963"/>
        </w:sdtPr>
        <w:sdtEndPr/>
        <w:sdtContent/>
      </w:sdt>
      <w:r w:rsidRPr="00E65AA3">
        <w:rPr>
          <w:rFonts w:ascii="Calibri" w:eastAsia="Calibri" w:hAnsi="Calibri" w:cs="Calibri"/>
          <w:sz w:val="22"/>
          <w:szCs w:val="22"/>
        </w:rPr>
        <w:t xml:space="preserve">stage. </w:t>
      </w:r>
      <w:r w:rsidRPr="00E65AA3">
        <w:rPr>
          <w:rFonts w:ascii="Calibri" w:eastAsia="Calibri" w:hAnsi="Calibri" w:cs="Calibri"/>
          <w:color w:val="000000"/>
          <w:sz w:val="22"/>
          <w:szCs w:val="22"/>
        </w:rPr>
        <w:t xml:space="preserve"> </w:t>
      </w:r>
    </w:p>
    <w:p w14:paraId="0000005F" w14:textId="77777777" w:rsidR="002E5B72" w:rsidRPr="00E65AA3" w:rsidRDefault="002E5B72" w:rsidP="00137E7C">
      <w:pPr>
        <w:pBdr>
          <w:top w:val="nil"/>
          <w:left w:val="nil"/>
          <w:bottom w:val="nil"/>
          <w:right w:val="nil"/>
          <w:between w:val="nil"/>
        </w:pBdr>
        <w:ind w:left="540"/>
        <w:jc w:val="both"/>
        <w:rPr>
          <w:rFonts w:ascii="Calibri" w:eastAsia="Calibri" w:hAnsi="Calibri" w:cs="Calibri"/>
          <w:b/>
          <w:color w:val="000000"/>
          <w:sz w:val="22"/>
          <w:szCs w:val="22"/>
        </w:rPr>
      </w:pPr>
    </w:p>
    <w:p w14:paraId="00000060" w14:textId="77777777" w:rsidR="002E5B72" w:rsidRDefault="00261A88" w:rsidP="00137E7C">
      <w:pPr>
        <w:pBdr>
          <w:top w:val="nil"/>
          <w:left w:val="nil"/>
          <w:bottom w:val="nil"/>
          <w:right w:val="nil"/>
          <w:between w:val="nil"/>
        </w:pBdr>
        <w:ind w:left="540"/>
        <w:jc w:val="both"/>
        <w:rPr>
          <w:rFonts w:ascii="Calibri" w:eastAsia="Calibri" w:hAnsi="Calibri" w:cs="Calibri"/>
          <w:color w:val="000000"/>
          <w:sz w:val="22"/>
          <w:szCs w:val="22"/>
        </w:rPr>
      </w:pPr>
      <w:r w:rsidRPr="00E65AA3">
        <w:rPr>
          <w:rFonts w:ascii="Calibri" w:eastAsia="Calibri" w:hAnsi="Calibri" w:cs="Calibri"/>
          <w:color w:val="000000"/>
          <w:sz w:val="22"/>
          <w:szCs w:val="22"/>
        </w:rPr>
        <w:t xml:space="preserve">The </w:t>
      </w:r>
      <w:r w:rsidRPr="00E65AA3">
        <w:rPr>
          <w:rFonts w:ascii="Calibri" w:eastAsia="Calibri" w:hAnsi="Calibri" w:cs="Calibri"/>
          <w:b/>
          <w:color w:val="000000"/>
          <w:sz w:val="22"/>
          <w:szCs w:val="22"/>
        </w:rPr>
        <w:t xml:space="preserve">Independent Medico-Legal Unit (IMLU) </w:t>
      </w:r>
      <w:r w:rsidRPr="00E65AA3">
        <w:rPr>
          <w:rFonts w:ascii="Calibri" w:eastAsia="Calibri" w:hAnsi="Calibri" w:cs="Calibri"/>
          <w:color w:val="000000"/>
          <w:sz w:val="22"/>
          <w:szCs w:val="22"/>
        </w:rPr>
        <w:t xml:space="preserve">is </w:t>
      </w:r>
      <w:r w:rsidRPr="00E65AA3">
        <w:rPr>
          <w:rFonts w:ascii="Calibri" w:eastAsia="Calibri" w:hAnsi="Calibri" w:cs="Calibri"/>
          <w:sz w:val="22"/>
          <w:szCs w:val="22"/>
        </w:rPr>
        <w:t>a governance, health and human rights nonprofit organization, whose vision is A World Free from Torture, Violence and discrimination. Our work is underpinned by a holistic approach involving litigation, medical and psychosocial rehabilitation of survivors of torture, monitoring government adherence to its human rights obligations and advocacy for policy, legal and institutional reforms</w:t>
      </w:r>
      <w:r w:rsidRPr="00E65AA3">
        <w:rPr>
          <w:rFonts w:ascii="Calibri" w:eastAsia="Calibri" w:hAnsi="Calibri" w:cs="Calibri"/>
          <w:color w:val="000000"/>
          <w:sz w:val="22"/>
          <w:szCs w:val="22"/>
        </w:rPr>
        <w:t>.</w:t>
      </w:r>
      <w:r w:rsidRPr="00E65AA3">
        <w:rPr>
          <w:rFonts w:ascii="Calibri" w:eastAsia="Calibri" w:hAnsi="Calibri" w:cs="Calibri"/>
          <w:sz w:val="22"/>
          <w:szCs w:val="22"/>
        </w:rPr>
        <w:t xml:space="preserve"> We use forensic evidence to document cases of torture.</w:t>
      </w:r>
    </w:p>
    <w:sectPr w:rsidR="002E5B72">
      <w:headerReference w:type="default" r:id="rId12"/>
      <w:footerReference w:type="even" r:id="rId13"/>
      <w:footerReference w:type="default" r:id="rId14"/>
      <w:headerReference w:type="first" r:id="rId15"/>
      <w:footerReference w:type="first" r:id="rId16"/>
      <w:pgSz w:w="11906" w:h="16838"/>
      <w:pgMar w:top="1872" w:right="1800" w:bottom="1440" w:left="1800" w:header="720" w:footer="51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DDFC6C" w14:textId="77777777" w:rsidR="00CB6308" w:rsidRPr="00E65AA3" w:rsidRDefault="00CB6308">
      <w:r w:rsidRPr="00E65AA3">
        <w:separator/>
      </w:r>
    </w:p>
  </w:endnote>
  <w:endnote w:type="continuationSeparator" w:id="0">
    <w:p w14:paraId="2D2C8F66" w14:textId="77777777" w:rsidR="00CB6308" w:rsidRPr="00E65AA3" w:rsidRDefault="00CB6308">
      <w:r w:rsidRPr="00E65AA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CE9266EA-68C2-45DD-8FE2-55D3694C15CF}"/>
    <w:embedBold r:id="rId2" w:fontKey="{15573C5B-18CE-495E-8AE9-F16232A3264C}"/>
    <w:embedItalic r:id="rId3" w:fontKey="{20831E33-667A-4957-9E23-937BA2AF78FB}"/>
    <w:embedBoldItalic r:id="rId4" w:fontKey="{02D57216-5680-4AFF-894D-F2FCB4A900AD}"/>
  </w:font>
  <w:font w:name="Tahoma">
    <w:panose1 w:val="020B0604030504040204"/>
    <w:charset w:val="00"/>
    <w:family w:val="swiss"/>
    <w:pitch w:val="variable"/>
    <w:sig w:usb0="E1002EFF" w:usb1="C000605B" w:usb2="00000029" w:usb3="00000000" w:csb0="000101FF" w:csb1="00000000"/>
    <w:embedRegular r:id="rId5" w:fontKey="{A526A7A1-C24D-4837-BB8D-7299600E7C1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6" w:fontKey="{867470C8-18FC-4B14-A866-D5462B96D7EC}"/>
    <w:embedItalic r:id="rId7" w:fontKey="{F7614F8F-14DF-4FEE-B2E0-5338EF60EFF7}"/>
  </w:font>
  <w:font w:name="Quattrocento Sans">
    <w:charset w:val="00"/>
    <w:family w:val="swiss"/>
    <w:pitch w:val="variable"/>
    <w:sig w:usb0="800000BF" w:usb1="4000005B" w:usb2="00000000" w:usb3="00000000" w:csb0="00000001" w:csb1="00000000"/>
    <w:embedRegular r:id="rId8" w:fontKey="{7094C83D-E823-4CF0-8655-E68D8540450A}"/>
    <w:embedBold r:id="rId9" w:fontKey="{A3ED9CF7-C966-4955-95A3-D5AE54FA59B6}"/>
  </w:font>
  <w:font w:name="Cambria">
    <w:panose1 w:val="02040503050406030204"/>
    <w:charset w:val="00"/>
    <w:family w:val="roman"/>
    <w:pitch w:val="variable"/>
    <w:sig w:usb0="E00006FF" w:usb1="420024FF" w:usb2="02000000" w:usb3="00000000" w:csb0="0000019F" w:csb1="00000000"/>
    <w:embedRegular r:id="rId10" w:fontKey="{999FA408-B857-4693-AD7C-BAECEAF6942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88" w14:textId="77777777" w:rsidR="002E5B72" w:rsidRPr="00E65AA3" w:rsidRDefault="00261A88">
    <w:pPr>
      <w:pBdr>
        <w:top w:val="nil"/>
        <w:left w:val="nil"/>
        <w:bottom w:val="nil"/>
        <w:right w:val="nil"/>
        <w:between w:val="nil"/>
      </w:pBdr>
      <w:tabs>
        <w:tab w:val="center" w:pos="4320"/>
        <w:tab w:val="right" w:pos="8640"/>
      </w:tabs>
      <w:jc w:val="right"/>
      <w:rPr>
        <w:rFonts w:ascii="Calibri" w:eastAsia="Calibri" w:hAnsi="Calibri" w:cs="Calibri"/>
        <w:color w:val="000000"/>
        <w:sz w:val="20"/>
        <w:szCs w:val="20"/>
      </w:rPr>
    </w:pPr>
    <w:r w:rsidRPr="00E65AA3">
      <w:rPr>
        <w:rFonts w:ascii="Calibri" w:eastAsia="Calibri" w:hAnsi="Calibri" w:cs="Calibri"/>
        <w:color w:val="000000"/>
        <w:sz w:val="20"/>
        <w:szCs w:val="20"/>
      </w:rPr>
      <w:fldChar w:fldCharType="begin"/>
    </w:r>
    <w:r w:rsidRPr="00E65AA3">
      <w:rPr>
        <w:rFonts w:ascii="Calibri" w:eastAsia="Calibri" w:hAnsi="Calibri" w:cs="Calibri"/>
        <w:color w:val="000000"/>
        <w:sz w:val="20"/>
        <w:szCs w:val="20"/>
      </w:rPr>
      <w:instrText>PAGE</w:instrText>
    </w:r>
    <w:r w:rsidR="000264F6">
      <w:rPr>
        <w:rFonts w:ascii="Calibri" w:eastAsia="Calibri" w:hAnsi="Calibri" w:cs="Calibri"/>
        <w:color w:val="000000"/>
        <w:sz w:val="20"/>
        <w:szCs w:val="20"/>
      </w:rPr>
      <w:fldChar w:fldCharType="separate"/>
    </w:r>
    <w:r w:rsidRPr="00E65AA3">
      <w:rPr>
        <w:rFonts w:ascii="Calibri" w:eastAsia="Calibri" w:hAnsi="Calibri" w:cs="Calibri"/>
        <w:color w:val="000000"/>
        <w:sz w:val="20"/>
        <w:szCs w:val="20"/>
      </w:rPr>
      <w:fldChar w:fldCharType="end"/>
    </w:r>
  </w:p>
  <w:p w14:paraId="00000089" w14:textId="77777777" w:rsidR="002E5B72" w:rsidRPr="00E65AA3" w:rsidRDefault="002E5B72">
    <w:pPr>
      <w:pBdr>
        <w:top w:val="nil"/>
        <w:left w:val="nil"/>
        <w:bottom w:val="nil"/>
        <w:right w:val="nil"/>
        <w:between w:val="nil"/>
      </w:pBdr>
      <w:tabs>
        <w:tab w:val="center" w:pos="4320"/>
        <w:tab w:val="right" w:pos="8640"/>
      </w:tabs>
      <w:ind w:right="360"/>
      <w:rPr>
        <w:rFonts w:ascii="Calibri" w:eastAsia="Calibri" w:hAnsi="Calibri" w:cs="Calibri"/>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8A" w14:textId="6C4C1011" w:rsidR="002E5B72" w:rsidRPr="00E65AA3" w:rsidRDefault="00261A88">
    <w:pPr>
      <w:pBdr>
        <w:top w:val="nil"/>
        <w:left w:val="nil"/>
        <w:bottom w:val="nil"/>
        <w:right w:val="nil"/>
        <w:between w:val="nil"/>
      </w:pBdr>
      <w:shd w:val="clear" w:color="auto" w:fill="F9DD47"/>
      <w:tabs>
        <w:tab w:val="center" w:pos="4320"/>
        <w:tab w:val="right" w:pos="8640"/>
      </w:tabs>
      <w:jc w:val="center"/>
      <w:rPr>
        <w:rFonts w:ascii="Calibri" w:eastAsia="Calibri" w:hAnsi="Calibri" w:cs="Calibri"/>
        <w:b/>
        <w:color w:val="000000"/>
      </w:rPr>
    </w:pPr>
    <w:r w:rsidRPr="00E65AA3">
      <w:rPr>
        <w:rFonts w:ascii="Calibri" w:eastAsia="Calibri" w:hAnsi="Calibri" w:cs="Calibri"/>
        <w:b/>
        <w:color w:val="000000"/>
      </w:rPr>
      <w:fldChar w:fldCharType="begin"/>
    </w:r>
    <w:r w:rsidRPr="00E65AA3">
      <w:rPr>
        <w:rFonts w:ascii="Calibri" w:eastAsia="Calibri" w:hAnsi="Calibri" w:cs="Calibri"/>
        <w:b/>
        <w:color w:val="000000"/>
      </w:rPr>
      <w:instrText>PAGE</w:instrText>
    </w:r>
    <w:r w:rsidRPr="00E65AA3">
      <w:rPr>
        <w:rFonts w:ascii="Calibri" w:eastAsia="Calibri" w:hAnsi="Calibri" w:cs="Calibri"/>
        <w:b/>
        <w:color w:val="000000"/>
      </w:rPr>
      <w:fldChar w:fldCharType="separate"/>
    </w:r>
    <w:r w:rsidR="00E65AA3" w:rsidRPr="00E65AA3">
      <w:rPr>
        <w:rFonts w:ascii="Calibri" w:eastAsia="Calibri" w:hAnsi="Calibri" w:cs="Calibri"/>
        <w:b/>
        <w:color w:val="000000"/>
      </w:rPr>
      <w:t>2</w:t>
    </w:r>
    <w:r w:rsidRPr="00E65AA3">
      <w:rPr>
        <w:rFonts w:ascii="Calibri" w:eastAsia="Calibri" w:hAnsi="Calibri" w:cs="Calibri"/>
        <w:b/>
        <w:color w:val="000000"/>
      </w:rPr>
      <w:fldChar w:fldCharType="end"/>
    </w:r>
  </w:p>
  <w:p w14:paraId="0000008B" w14:textId="77777777" w:rsidR="002E5B72" w:rsidRPr="00E65AA3" w:rsidRDefault="002E5B72">
    <w:pPr>
      <w:pBdr>
        <w:top w:val="nil"/>
        <w:left w:val="nil"/>
        <w:bottom w:val="nil"/>
        <w:right w:val="nil"/>
        <w:between w:val="nil"/>
      </w:pBdr>
      <w:tabs>
        <w:tab w:val="center" w:pos="4320"/>
        <w:tab w:val="right" w:pos="8640"/>
      </w:tabs>
      <w:ind w:right="360"/>
      <w:rPr>
        <w:rFonts w:ascii="Calibri" w:eastAsia="Calibri" w:hAnsi="Calibri" w:cs="Calibri"/>
        <w:color w:val="000000"/>
        <w:sz w:val="20"/>
        <w:szCs w:val="20"/>
        <w:highlight w:val="yellow"/>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8C" w14:textId="77777777" w:rsidR="002E5B72" w:rsidRPr="00E65AA3" w:rsidRDefault="00261A88">
    <w:pPr>
      <w:spacing w:after="40"/>
      <w:ind w:right="-482"/>
      <w:jc w:val="right"/>
      <w:rPr>
        <w:rFonts w:ascii="Calibri" w:eastAsia="Calibri" w:hAnsi="Calibri" w:cs="Calibri"/>
        <w:b/>
        <w:color w:val="808080"/>
        <w:sz w:val="18"/>
        <w:szCs w:val="18"/>
      </w:rPr>
    </w:pPr>
    <w:r w:rsidRPr="00E65AA3">
      <w:rPr>
        <w:noProof/>
      </w:rPr>
      <mc:AlternateContent>
        <mc:Choice Requires="wps">
          <w:drawing>
            <wp:anchor distT="0" distB="0" distL="0" distR="0" simplePos="0" relativeHeight="251662336" behindDoc="1" locked="0" layoutInCell="1" hidden="0" allowOverlap="1" wp14:anchorId="254B37B0" wp14:editId="51A42D48">
              <wp:simplePos x="0" y="0"/>
              <wp:positionH relativeFrom="column">
                <wp:posOffset>-1155699</wp:posOffset>
              </wp:positionH>
              <wp:positionV relativeFrom="paragraph">
                <wp:posOffset>10439400</wp:posOffset>
              </wp:positionV>
              <wp:extent cx="7578090" cy="235585"/>
              <wp:effectExtent l="0" t="0" r="0" b="0"/>
              <wp:wrapNone/>
              <wp:docPr id="14" name="Rectangle 14"/>
              <wp:cNvGraphicFramePr/>
              <a:graphic xmlns:a="http://schemas.openxmlformats.org/drawingml/2006/main">
                <a:graphicData uri="http://schemas.microsoft.com/office/word/2010/wordprocessingShape">
                  <wps:wsp>
                    <wps:cNvSpPr/>
                    <wps:spPr>
                      <a:xfrm>
                        <a:off x="1561718" y="3666970"/>
                        <a:ext cx="7568565" cy="226060"/>
                      </a:xfrm>
                      <a:prstGeom prst="rect">
                        <a:avLst/>
                      </a:prstGeom>
                      <a:solidFill>
                        <a:srgbClr val="F9DD47"/>
                      </a:solidFill>
                      <a:ln>
                        <a:noFill/>
                      </a:ln>
                    </wps:spPr>
                    <wps:txbx>
                      <w:txbxContent>
                        <w:p w14:paraId="18631F2A" w14:textId="77777777" w:rsidR="002E5B72" w:rsidRPr="00E65AA3" w:rsidRDefault="002E5B72">
                          <w:pPr>
                            <w:textDirection w:val="btLr"/>
                          </w:pPr>
                        </w:p>
                      </w:txbxContent>
                    </wps:txbx>
                    <wps:bodyPr spcFirstLastPara="1" wrap="square" lIns="91425" tIns="91425" rIns="91425" bIns="91425" anchor="ctr" anchorCtr="0">
                      <a:noAutofit/>
                    </wps:bodyPr>
                  </wps:wsp>
                </a:graphicData>
              </a:graphic>
            </wp:anchor>
          </w:drawing>
        </mc:Choice>
        <mc:Fallback>
          <w:pict>
            <v:rect w14:anchorId="254B37B0" id="Rectangle 14" o:spid="_x0000_s1026" style="position:absolute;left:0;text-align:left;margin-left:-91pt;margin-top:822pt;width:596.7pt;height:18.55pt;z-index:-251654144;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lxLzwEAAIUDAAAOAAAAZHJzL2Uyb0RvYy54bWysU9uO2yAQfa/Uf0C8N75042ysOKtqo1SV&#10;Vm2k7X4AxjhGwkAHEjt/3wF7N2n3rerLmIHD4ZyZ8eZh7BU5C3DS6Ipmi5QSoblppD5W9OXn/tM9&#10;Jc4z3TBltKjoRTj6sP34YTPYUuSmM6oRQJBEu3KwFe28t2WSON6JnrmFsULjYWugZx5TOCYNsAHZ&#10;e5XkaVokg4HGguHCOdzdTYd0G/nbVnD/o22d8ERVFLX5GCHGOsRku2HlEZjtJJ9lsH9Q0TOp8dE3&#10;qh3zjJxAvqPqJQfjTOsX3PSJaVvJRfSAbrL0LzfPHbMiesHiOPtWJvf/aPn387M9AJZhsK50uAwu&#10;xhb68EV9ZMS2LotslWEnLxX9XBTFejUXToyecASslsX9slhSwhGR50VaREByZbLg/FdhehIWFQVs&#10;TKwXOz85j68j9BUSHnZGyWYvlYoJHOtHBeTMsIn79W53twp9wyt/wJQOYG3Ctek47CRXX2Hlx3qc&#10;zdamuRyAOMv3EkU9MecPDLD7GSUDTkRF3a8TA0GJ+qax5OvsLkeL/jaB26S+TZjmncFB4x4omZJH&#10;HwdvUvnl5E0ro/WgaxIzy8VeR3vzXIZhus0j6vr3bH8DAAD//wMAUEsDBBQABgAIAAAAIQAAv02N&#10;3gAAAA8BAAAPAAAAZHJzL2Rvd25yZXYueG1sTI/BboMwEETvlfoP1lbqLTGOIEIUE1Wp8gFNe8jR&#10;4A2g4jXFDqF/3+XU3nZ3RrNvysPiBjHjFHpPGtQ2AYHUeNtTq+Hz47TJQYRoyJrBE2r4wQCH6vGh&#10;NIX1d3rH+RxbwSEUCqOhi3EspAxNh86ErR+RWLv6yZnI69RKO5k7h7tB7pJkL53piT90ZsRjh83X&#10;+eY0+PqCSzZ/Xyh39vhGp2wY20zr56fl9QVExCX+mWHFZ3SomKn2N7JBDBo2Kt9xmcjKPk15Wj2J&#10;UimIer3lSoGsSvm/R/ULAAD//wMAUEsBAi0AFAAGAAgAAAAhALaDOJL+AAAA4QEAABMAAAAAAAAA&#10;AAAAAAAAAAAAAFtDb250ZW50X1R5cGVzXS54bWxQSwECLQAUAAYACAAAACEAOP0h/9YAAACUAQAA&#10;CwAAAAAAAAAAAAAAAAAvAQAAX3JlbHMvLnJlbHNQSwECLQAUAAYACAAAACEACzZcS88BAACFAwAA&#10;DgAAAAAAAAAAAAAAAAAuAgAAZHJzL2Uyb0RvYy54bWxQSwECLQAUAAYACAAAACEAAL9Njd4AAAAP&#10;AQAADwAAAAAAAAAAAAAAAAApBAAAZHJzL2Rvd25yZXYueG1sUEsFBgAAAAAEAAQA8wAAADQFAAAA&#10;AA==&#10;" fillcolor="#f9dd47" stroked="f">
              <v:textbox inset="2.53958mm,2.53958mm,2.53958mm,2.53958mm">
                <w:txbxContent>
                  <w:p w14:paraId="18631F2A" w14:textId="77777777" w:rsidR="002E5B72" w:rsidRPr="00E65AA3" w:rsidRDefault="002E5B72">
                    <w:pPr>
                      <w:textDirection w:val="btLr"/>
                    </w:pP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0F4A44" w14:textId="77777777" w:rsidR="00CB6308" w:rsidRPr="00E65AA3" w:rsidRDefault="00CB6308">
      <w:r w:rsidRPr="00E65AA3">
        <w:separator/>
      </w:r>
    </w:p>
  </w:footnote>
  <w:footnote w:type="continuationSeparator" w:id="0">
    <w:p w14:paraId="73BD7CF4" w14:textId="77777777" w:rsidR="00CB6308" w:rsidRPr="00E65AA3" w:rsidRDefault="00CB6308">
      <w:r w:rsidRPr="00E65AA3">
        <w:continuationSeparator/>
      </w:r>
    </w:p>
  </w:footnote>
  <w:footnote w:id="1">
    <w:p w14:paraId="00000061" w14:textId="01D57D24" w:rsidR="002E5B72" w:rsidRPr="005223C1" w:rsidRDefault="00261A88" w:rsidP="005223C1">
      <w:pPr>
        <w:pBdr>
          <w:top w:val="nil"/>
          <w:left w:val="nil"/>
          <w:bottom w:val="nil"/>
          <w:right w:val="nil"/>
          <w:between w:val="nil"/>
        </w:pBdr>
        <w:ind w:left="113" w:hanging="113"/>
        <w:rPr>
          <w:rFonts w:asciiTheme="minorHAnsi" w:eastAsia="Calibri" w:hAnsiTheme="minorHAnsi" w:cstheme="minorHAnsi"/>
          <w:color w:val="000000"/>
          <w:sz w:val="20"/>
          <w:szCs w:val="20"/>
        </w:rPr>
      </w:pPr>
      <w:r w:rsidRPr="005223C1">
        <w:rPr>
          <w:rStyle w:val="FootnoteReference"/>
          <w:rFonts w:asciiTheme="minorHAnsi" w:hAnsiTheme="minorHAnsi" w:cstheme="minorHAnsi"/>
          <w:sz w:val="20"/>
          <w:szCs w:val="20"/>
        </w:rPr>
        <w:footnoteRef/>
      </w:r>
      <w:r w:rsidRPr="005223C1">
        <w:rPr>
          <w:rFonts w:asciiTheme="minorHAnsi" w:eastAsia="Calibri" w:hAnsiTheme="minorHAnsi" w:cstheme="minorHAnsi"/>
          <w:color w:val="000000"/>
          <w:sz w:val="20"/>
          <w:szCs w:val="20"/>
        </w:rPr>
        <w:t xml:space="preserve"> CAT, Concluding observations on the third periodic report of Kenya, UN Doc. CAT/C/KEN/CO/3, 30 May 2022</w:t>
      </w:r>
      <w:r w:rsidR="00B3143A" w:rsidRPr="005223C1">
        <w:rPr>
          <w:rFonts w:asciiTheme="minorHAnsi" w:eastAsia="Calibri" w:hAnsiTheme="minorHAnsi" w:cstheme="minorHAnsi"/>
          <w:color w:val="000000"/>
          <w:sz w:val="20"/>
          <w:szCs w:val="20"/>
        </w:rPr>
        <w:t xml:space="preserve"> (</w:t>
      </w:r>
      <w:r w:rsidR="00B3143A" w:rsidRPr="005223C1">
        <w:rPr>
          <w:rFonts w:asciiTheme="minorHAnsi" w:eastAsia="Calibri" w:hAnsiTheme="minorHAnsi" w:cstheme="minorHAnsi"/>
          <w:b/>
          <w:bCs/>
          <w:color w:val="000000"/>
          <w:sz w:val="20"/>
          <w:szCs w:val="20"/>
        </w:rPr>
        <w:t>CAT Concluding observations May 2022</w:t>
      </w:r>
      <w:r w:rsidR="00B3143A" w:rsidRPr="005223C1">
        <w:rPr>
          <w:rFonts w:asciiTheme="minorHAnsi" w:eastAsia="Calibri" w:hAnsiTheme="minorHAnsi" w:cstheme="minorHAnsi"/>
          <w:color w:val="000000"/>
          <w:sz w:val="20"/>
          <w:szCs w:val="20"/>
        </w:rPr>
        <w:t>)</w:t>
      </w:r>
      <w:r w:rsidRPr="005223C1">
        <w:rPr>
          <w:rFonts w:asciiTheme="minorHAnsi" w:eastAsia="Calibri" w:hAnsiTheme="minorHAnsi" w:cstheme="minorHAnsi"/>
          <w:color w:val="000000"/>
          <w:sz w:val="20"/>
          <w:szCs w:val="20"/>
        </w:rPr>
        <w:t xml:space="preserve">, </w:t>
      </w:r>
      <w:hyperlink r:id="rId1">
        <w:r w:rsidRPr="005223C1">
          <w:rPr>
            <w:rFonts w:asciiTheme="minorHAnsi" w:eastAsia="Calibri" w:hAnsiTheme="minorHAnsi" w:cstheme="minorHAnsi"/>
            <w:color w:val="0000FF"/>
            <w:sz w:val="20"/>
            <w:szCs w:val="20"/>
            <w:u w:val="single"/>
          </w:rPr>
          <w:t>https://digitallibrary.un.org/record/3980977?v=pdf</w:t>
        </w:r>
      </w:hyperlink>
      <w:r w:rsidRPr="005223C1">
        <w:rPr>
          <w:rFonts w:asciiTheme="minorHAnsi" w:eastAsia="Calibri" w:hAnsiTheme="minorHAnsi" w:cstheme="minorHAnsi"/>
          <w:color w:val="000000"/>
          <w:sz w:val="20"/>
          <w:szCs w:val="20"/>
        </w:rPr>
        <w:t xml:space="preserve">, para. 11. </w:t>
      </w:r>
    </w:p>
  </w:footnote>
  <w:footnote w:id="2">
    <w:p w14:paraId="00000062" w14:textId="06755F6B" w:rsidR="002E5B72" w:rsidRPr="005223C1" w:rsidRDefault="00261A88" w:rsidP="005223C1">
      <w:pPr>
        <w:pBdr>
          <w:top w:val="nil"/>
          <w:left w:val="nil"/>
          <w:bottom w:val="nil"/>
          <w:right w:val="nil"/>
          <w:between w:val="nil"/>
        </w:pBdr>
        <w:ind w:left="113" w:hanging="113"/>
        <w:rPr>
          <w:rFonts w:asciiTheme="minorHAnsi" w:eastAsia="Calibri" w:hAnsiTheme="minorHAnsi" w:cstheme="minorHAnsi"/>
          <w:color w:val="000000"/>
          <w:sz w:val="20"/>
          <w:szCs w:val="20"/>
        </w:rPr>
      </w:pPr>
      <w:r w:rsidRPr="005223C1">
        <w:rPr>
          <w:rStyle w:val="FootnoteReference"/>
          <w:rFonts w:asciiTheme="minorHAnsi" w:hAnsiTheme="minorHAnsi" w:cstheme="minorHAnsi"/>
          <w:sz w:val="20"/>
          <w:szCs w:val="20"/>
        </w:rPr>
        <w:footnoteRef/>
      </w:r>
      <w:r w:rsidRPr="005223C1">
        <w:rPr>
          <w:rFonts w:asciiTheme="minorHAnsi" w:eastAsia="Calibri" w:hAnsiTheme="minorHAnsi" w:cstheme="minorHAnsi"/>
          <w:color w:val="000000"/>
          <w:sz w:val="20"/>
          <w:szCs w:val="20"/>
        </w:rPr>
        <w:t xml:space="preserve"> Human Rights Watch (HRW), ‘”Unchecked Injustice” – Kenya’s Suppression of the 2023 Anti-Government Protests’</w:t>
      </w:r>
      <w:r w:rsidR="00B3143A" w:rsidRPr="005223C1">
        <w:rPr>
          <w:rFonts w:asciiTheme="minorHAnsi" w:eastAsia="Calibri" w:hAnsiTheme="minorHAnsi" w:cstheme="minorHAnsi"/>
          <w:color w:val="000000"/>
          <w:sz w:val="20"/>
          <w:szCs w:val="20"/>
        </w:rPr>
        <w:t xml:space="preserve"> (</w:t>
      </w:r>
      <w:r w:rsidR="00B3143A" w:rsidRPr="005223C1">
        <w:rPr>
          <w:rFonts w:asciiTheme="minorHAnsi" w:eastAsia="Calibri" w:hAnsiTheme="minorHAnsi" w:cstheme="minorHAnsi"/>
          <w:b/>
          <w:bCs/>
          <w:color w:val="000000"/>
          <w:sz w:val="20"/>
          <w:szCs w:val="20"/>
        </w:rPr>
        <w:t>Unchecked Justice</w:t>
      </w:r>
      <w:r w:rsidR="00B3143A" w:rsidRPr="005223C1">
        <w:rPr>
          <w:rFonts w:asciiTheme="minorHAnsi" w:eastAsia="Calibri" w:hAnsiTheme="minorHAnsi" w:cstheme="minorHAnsi"/>
          <w:color w:val="000000"/>
          <w:sz w:val="20"/>
          <w:szCs w:val="20"/>
        </w:rPr>
        <w:t>)</w:t>
      </w:r>
      <w:r w:rsidRPr="005223C1">
        <w:rPr>
          <w:rFonts w:asciiTheme="minorHAnsi" w:eastAsia="Calibri" w:hAnsiTheme="minorHAnsi" w:cstheme="minorHAnsi"/>
          <w:color w:val="000000"/>
          <w:sz w:val="20"/>
          <w:szCs w:val="20"/>
        </w:rPr>
        <w:t xml:space="preserve">, November 2024, </w:t>
      </w:r>
      <w:hyperlink r:id="rId2">
        <w:r w:rsidRPr="005223C1">
          <w:rPr>
            <w:rFonts w:asciiTheme="minorHAnsi" w:eastAsia="Calibri" w:hAnsiTheme="minorHAnsi" w:cstheme="minorHAnsi"/>
            <w:color w:val="0000FF"/>
            <w:sz w:val="20"/>
            <w:szCs w:val="20"/>
            <w:u w:val="single"/>
          </w:rPr>
          <w:t>https://www.hrw.org/sites/default/files/media_2024/11/kenya1124web_0.pdf</w:t>
        </w:r>
      </w:hyperlink>
      <w:r w:rsidRPr="005223C1">
        <w:rPr>
          <w:rFonts w:asciiTheme="minorHAnsi" w:eastAsia="Calibri" w:hAnsiTheme="minorHAnsi" w:cstheme="minorHAnsi"/>
          <w:color w:val="000000"/>
          <w:sz w:val="20"/>
          <w:szCs w:val="20"/>
        </w:rPr>
        <w:t xml:space="preserve">, p. 19. </w:t>
      </w:r>
    </w:p>
  </w:footnote>
  <w:footnote w:id="3">
    <w:p w14:paraId="00000063" w14:textId="77777777" w:rsidR="002E5B72" w:rsidRPr="005223C1" w:rsidRDefault="00261A88" w:rsidP="005223C1">
      <w:pPr>
        <w:pBdr>
          <w:top w:val="nil"/>
          <w:left w:val="nil"/>
          <w:bottom w:val="nil"/>
          <w:right w:val="nil"/>
          <w:between w:val="nil"/>
        </w:pBdr>
        <w:ind w:left="113" w:hanging="113"/>
        <w:rPr>
          <w:rFonts w:asciiTheme="minorHAnsi" w:eastAsia="Calibri" w:hAnsiTheme="minorHAnsi" w:cstheme="minorHAnsi"/>
          <w:color w:val="000000"/>
          <w:sz w:val="20"/>
          <w:szCs w:val="20"/>
        </w:rPr>
      </w:pPr>
      <w:r w:rsidRPr="005223C1">
        <w:rPr>
          <w:rStyle w:val="FootnoteReference"/>
          <w:rFonts w:asciiTheme="minorHAnsi" w:hAnsiTheme="minorHAnsi" w:cstheme="minorHAnsi"/>
          <w:sz w:val="20"/>
          <w:szCs w:val="20"/>
        </w:rPr>
        <w:footnoteRef/>
      </w:r>
      <w:r w:rsidRPr="005223C1">
        <w:rPr>
          <w:rFonts w:asciiTheme="minorHAnsi" w:eastAsia="Calibri" w:hAnsiTheme="minorHAnsi" w:cstheme="minorHAnsi"/>
          <w:color w:val="000000"/>
          <w:sz w:val="20"/>
          <w:szCs w:val="20"/>
        </w:rPr>
        <w:t xml:space="preserve"> HRW, ‘Kenya: Post-Election Killings, Abuse’ 27 August 2017, </w:t>
      </w:r>
      <w:hyperlink r:id="rId3">
        <w:r w:rsidRPr="005223C1">
          <w:rPr>
            <w:rFonts w:asciiTheme="minorHAnsi" w:eastAsia="Calibri" w:hAnsiTheme="minorHAnsi" w:cstheme="minorHAnsi"/>
            <w:color w:val="0000FF"/>
            <w:sz w:val="20"/>
            <w:szCs w:val="20"/>
            <w:u w:val="single"/>
          </w:rPr>
          <w:t>https://www.hrw.org/news/2017/08/27/kenya-post-election-killings-abuse</w:t>
        </w:r>
      </w:hyperlink>
      <w:r w:rsidRPr="005223C1">
        <w:rPr>
          <w:rFonts w:asciiTheme="minorHAnsi" w:eastAsia="Calibri" w:hAnsiTheme="minorHAnsi" w:cstheme="minorHAnsi"/>
          <w:color w:val="000000"/>
          <w:sz w:val="20"/>
          <w:szCs w:val="20"/>
        </w:rPr>
        <w:t xml:space="preserve">. </w:t>
      </w:r>
    </w:p>
  </w:footnote>
  <w:footnote w:id="4">
    <w:p w14:paraId="00000064" w14:textId="77777777" w:rsidR="002E5B72" w:rsidRPr="005223C1" w:rsidRDefault="00261A88" w:rsidP="005223C1">
      <w:pPr>
        <w:pBdr>
          <w:top w:val="nil"/>
          <w:left w:val="nil"/>
          <w:bottom w:val="nil"/>
          <w:right w:val="nil"/>
          <w:between w:val="nil"/>
        </w:pBdr>
        <w:ind w:left="113" w:hanging="113"/>
        <w:rPr>
          <w:rFonts w:asciiTheme="minorHAnsi" w:eastAsia="Calibri" w:hAnsiTheme="minorHAnsi" w:cstheme="minorHAnsi"/>
          <w:color w:val="000000"/>
          <w:sz w:val="20"/>
          <w:szCs w:val="20"/>
        </w:rPr>
      </w:pPr>
      <w:r w:rsidRPr="005223C1">
        <w:rPr>
          <w:rStyle w:val="FootnoteReference"/>
          <w:rFonts w:asciiTheme="minorHAnsi" w:hAnsiTheme="minorHAnsi" w:cstheme="minorHAnsi"/>
          <w:sz w:val="20"/>
          <w:szCs w:val="20"/>
        </w:rPr>
        <w:footnoteRef/>
      </w:r>
      <w:r w:rsidRPr="005223C1">
        <w:rPr>
          <w:rFonts w:asciiTheme="minorHAnsi" w:eastAsia="Calibri" w:hAnsiTheme="minorHAnsi" w:cstheme="minorHAnsi"/>
          <w:color w:val="000000"/>
          <w:sz w:val="20"/>
          <w:szCs w:val="20"/>
        </w:rPr>
        <w:t xml:space="preserve"> Independent Medico-Legal Unit (IMLU), ‘Death, Blood &amp; Tears’, February 2024, </w:t>
      </w:r>
      <w:hyperlink r:id="rId4">
        <w:r w:rsidRPr="005223C1">
          <w:rPr>
            <w:rFonts w:asciiTheme="minorHAnsi" w:eastAsia="Calibri" w:hAnsiTheme="minorHAnsi" w:cstheme="minorHAnsi"/>
            <w:color w:val="0000FF"/>
            <w:sz w:val="20"/>
            <w:szCs w:val="20"/>
            <w:u w:val="single"/>
          </w:rPr>
          <w:t>https://imlu.org/</w:t>
        </w:r>
      </w:hyperlink>
      <w:r w:rsidRPr="005223C1">
        <w:rPr>
          <w:rFonts w:asciiTheme="minorHAnsi" w:eastAsia="Calibri" w:hAnsiTheme="minorHAnsi" w:cstheme="minorHAnsi"/>
          <w:color w:val="000000"/>
          <w:sz w:val="20"/>
          <w:szCs w:val="20"/>
        </w:rPr>
        <w:t>, p. 9.</w:t>
      </w:r>
    </w:p>
  </w:footnote>
  <w:footnote w:id="5">
    <w:p w14:paraId="00000065" w14:textId="7C688049" w:rsidR="002E5B72" w:rsidRPr="005223C1" w:rsidRDefault="00261A88" w:rsidP="005223C1">
      <w:pPr>
        <w:pBdr>
          <w:top w:val="nil"/>
          <w:left w:val="nil"/>
          <w:bottom w:val="nil"/>
          <w:right w:val="nil"/>
          <w:between w:val="nil"/>
        </w:pBdr>
        <w:ind w:left="113" w:hanging="113"/>
        <w:rPr>
          <w:rFonts w:asciiTheme="minorHAnsi" w:eastAsia="Calibri" w:hAnsiTheme="minorHAnsi" w:cstheme="minorHAnsi"/>
          <w:color w:val="000000"/>
          <w:sz w:val="20"/>
          <w:szCs w:val="20"/>
        </w:rPr>
      </w:pPr>
      <w:r w:rsidRPr="005223C1">
        <w:rPr>
          <w:rStyle w:val="FootnoteReference"/>
          <w:rFonts w:asciiTheme="minorHAnsi" w:hAnsiTheme="minorHAnsi" w:cstheme="minorHAnsi"/>
          <w:sz w:val="20"/>
          <w:szCs w:val="20"/>
        </w:rPr>
        <w:footnoteRef/>
      </w:r>
      <w:r w:rsidRPr="005223C1">
        <w:rPr>
          <w:rFonts w:asciiTheme="minorHAnsi" w:eastAsia="Calibri" w:hAnsiTheme="minorHAnsi" w:cstheme="minorHAnsi"/>
          <w:color w:val="000000"/>
          <w:sz w:val="20"/>
          <w:szCs w:val="20"/>
        </w:rPr>
        <w:t xml:space="preserve"> </w:t>
      </w:r>
      <w:r w:rsidR="00B3143A" w:rsidRPr="005223C1">
        <w:rPr>
          <w:rFonts w:asciiTheme="minorHAnsi" w:eastAsia="Calibri" w:hAnsiTheme="minorHAnsi" w:cstheme="minorHAnsi"/>
          <w:color w:val="000000"/>
          <w:sz w:val="20"/>
          <w:szCs w:val="20"/>
        </w:rPr>
        <w:t>Id. at</w:t>
      </w:r>
      <w:r w:rsidRPr="005223C1">
        <w:rPr>
          <w:rFonts w:asciiTheme="minorHAnsi" w:eastAsia="Calibri" w:hAnsiTheme="minorHAnsi" w:cstheme="minorHAnsi"/>
          <w:color w:val="000000"/>
          <w:sz w:val="20"/>
          <w:szCs w:val="20"/>
        </w:rPr>
        <w:t xml:space="preserve"> 9.</w:t>
      </w:r>
    </w:p>
  </w:footnote>
  <w:footnote w:id="6">
    <w:p w14:paraId="00000066" w14:textId="77777777" w:rsidR="002E5B72" w:rsidRPr="005223C1" w:rsidRDefault="00261A88" w:rsidP="005223C1">
      <w:pPr>
        <w:pBdr>
          <w:top w:val="nil"/>
          <w:left w:val="nil"/>
          <w:bottom w:val="nil"/>
          <w:right w:val="nil"/>
          <w:between w:val="nil"/>
        </w:pBdr>
        <w:ind w:left="113" w:hanging="113"/>
        <w:rPr>
          <w:rFonts w:asciiTheme="minorHAnsi" w:eastAsia="Calibri" w:hAnsiTheme="minorHAnsi" w:cstheme="minorHAnsi"/>
          <w:color w:val="000000"/>
          <w:sz w:val="20"/>
          <w:szCs w:val="20"/>
        </w:rPr>
      </w:pPr>
      <w:r w:rsidRPr="005223C1">
        <w:rPr>
          <w:rStyle w:val="FootnoteReference"/>
          <w:rFonts w:asciiTheme="minorHAnsi" w:hAnsiTheme="minorHAnsi" w:cstheme="minorHAnsi"/>
          <w:sz w:val="20"/>
          <w:szCs w:val="20"/>
        </w:rPr>
        <w:footnoteRef/>
      </w:r>
      <w:r w:rsidRPr="005223C1">
        <w:rPr>
          <w:rFonts w:asciiTheme="minorHAnsi" w:eastAsia="Calibri" w:hAnsiTheme="minorHAnsi" w:cstheme="minorHAnsi"/>
          <w:color w:val="000000"/>
          <w:sz w:val="20"/>
          <w:szCs w:val="20"/>
        </w:rPr>
        <w:t xml:space="preserve"> </w:t>
      </w:r>
      <w:r w:rsidRPr="005223C1">
        <w:rPr>
          <w:rFonts w:asciiTheme="minorHAnsi" w:eastAsia="Calibri" w:hAnsiTheme="minorHAnsi" w:cstheme="minorHAnsi"/>
          <w:sz w:val="20"/>
          <w:szCs w:val="20"/>
        </w:rPr>
        <w:t>Id.</w:t>
      </w:r>
      <w:r w:rsidRPr="005223C1">
        <w:rPr>
          <w:rFonts w:asciiTheme="minorHAnsi" w:eastAsia="Calibri" w:hAnsiTheme="minorHAnsi" w:cstheme="minorHAnsi"/>
          <w:color w:val="000000"/>
          <w:sz w:val="20"/>
          <w:szCs w:val="20"/>
        </w:rPr>
        <w:t xml:space="preserve"> </w:t>
      </w:r>
      <w:r w:rsidRPr="005223C1">
        <w:rPr>
          <w:rFonts w:asciiTheme="minorHAnsi" w:eastAsia="Calibri" w:hAnsiTheme="minorHAnsi" w:cstheme="minorHAnsi"/>
          <w:sz w:val="20"/>
          <w:szCs w:val="20"/>
        </w:rPr>
        <w:t>at</w:t>
      </w:r>
      <w:r w:rsidRPr="005223C1">
        <w:rPr>
          <w:rFonts w:asciiTheme="minorHAnsi" w:eastAsia="Calibri" w:hAnsiTheme="minorHAnsi" w:cstheme="minorHAnsi"/>
          <w:color w:val="000000"/>
          <w:sz w:val="20"/>
          <w:szCs w:val="20"/>
        </w:rPr>
        <w:t xml:space="preserve"> 25. </w:t>
      </w:r>
    </w:p>
  </w:footnote>
  <w:footnote w:id="7">
    <w:p w14:paraId="00000067" w14:textId="77777777" w:rsidR="002E5B72" w:rsidRPr="005223C1" w:rsidRDefault="00261A88" w:rsidP="005223C1">
      <w:pPr>
        <w:pBdr>
          <w:top w:val="nil"/>
          <w:left w:val="nil"/>
          <w:bottom w:val="nil"/>
          <w:right w:val="nil"/>
          <w:between w:val="nil"/>
        </w:pBdr>
        <w:ind w:left="113" w:hanging="113"/>
        <w:rPr>
          <w:rFonts w:asciiTheme="minorHAnsi" w:eastAsia="Calibri" w:hAnsiTheme="minorHAnsi" w:cstheme="minorHAnsi"/>
          <w:color w:val="000000"/>
          <w:sz w:val="20"/>
          <w:szCs w:val="20"/>
        </w:rPr>
      </w:pPr>
      <w:r w:rsidRPr="005223C1">
        <w:rPr>
          <w:rStyle w:val="FootnoteReference"/>
          <w:rFonts w:asciiTheme="minorHAnsi" w:hAnsiTheme="minorHAnsi" w:cstheme="minorHAnsi"/>
          <w:sz w:val="20"/>
          <w:szCs w:val="20"/>
        </w:rPr>
        <w:footnoteRef/>
      </w:r>
      <w:r w:rsidRPr="005223C1">
        <w:rPr>
          <w:rFonts w:asciiTheme="minorHAnsi" w:eastAsia="Calibri" w:hAnsiTheme="minorHAnsi" w:cstheme="minorHAnsi"/>
          <w:color w:val="000000"/>
          <w:sz w:val="20"/>
          <w:szCs w:val="20"/>
        </w:rPr>
        <w:t xml:space="preserve"> I</w:t>
      </w:r>
      <w:r w:rsidRPr="005223C1">
        <w:rPr>
          <w:rFonts w:asciiTheme="minorHAnsi" w:eastAsia="Calibri" w:hAnsiTheme="minorHAnsi" w:cstheme="minorHAnsi"/>
          <w:sz w:val="20"/>
          <w:szCs w:val="20"/>
        </w:rPr>
        <w:t>d. at</w:t>
      </w:r>
      <w:r w:rsidRPr="005223C1">
        <w:rPr>
          <w:rFonts w:asciiTheme="minorHAnsi" w:eastAsia="Calibri" w:hAnsiTheme="minorHAnsi" w:cstheme="minorHAnsi"/>
          <w:color w:val="000000"/>
          <w:sz w:val="20"/>
          <w:szCs w:val="20"/>
        </w:rPr>
        <w:t xml:space="preserve"> 9. </w:t>
      </w:r>
    </w:p>
  </w:footnote>
  <w:footnote w:id="8">
    <w:p w14:paraId="00000068" w14:textId="77777777" w:rsidR="002E5B72" w:rsidRPr="005223C1" w:rsidRDefault="00261A88" w:rsidP="005223C1">
      <w:pPr>
        <w:pBdr>
          <w:top w:val="nil"/>
          <w:left w:val="nil"/>
          <w:bottom w:val="nil"/>
          <w:right w:val="nil"/>
          <w:between w:val="nil"/>
        </w:pBdr>
        <w:ind w:left="113" w:hanging="113"/>
        <w:rPr>
          <w:rFonts w:asciiTheme="minorHAnsi" w:eastAsia="Calibri" w:hAnsiTheme="minorHAnsi" w:cstheme="minorHAnsi"/>
          <w:color w:val="000000"/>
          <w:sz w:val="20"/>
          <w:szCs w:val="20"/>
        </w:rPr>
      </w:pPr>
      <w:r w:rsidRPr="005223C1">
        <w:rPr>
          <w:rStyle w:val="FootnoteReference"/>
          <w:rFonts w:asciiTheme="minorHAnsi" w:hAnsiTheme="minorHAnsi" w:cstheme="minorHAnsi"/>
          <w:sz w:val="20"/>
          <w:szCs w:val="20"/>
        </w:rPr>
        <w:footnoteRef/>
      </w:r>
      <w:r w:rsidRPr="005223C1">
        <w:rPr>
          <w:rFonts w:asciiTheme="minorHAnsi" w:eastAsia="Calibri" w:hAnsiTheme="minorHAnsi" w:cstheme="minorHAnsi"/>
          <w:color w:val="000000"/>
          <w:sz w:val="20"/>
          <w:szCs w:val="20"/>
        </w:rPr>
        <w:t xml:space="preserve"> </w:t>
      </w:r>
      <w:r w:rsidRPr="005223C1">
        <w:rPr>
          <w:rFonts w:asciiTheme="minorHAnsi" w:eastAsia="Calibri" w:hAnsiTheme="minorHAnsi" w:cstheme="minorHAnsi"/>
          <w:sz w:val="20"/>
          <w:szCs w:val="20"/>
        </w:rPr>
        <w:t>Id. at</w:t>
      </w:r>
      <w:r w:rsidRPr="005223C1">
        <w:rPr>
          <w:rFonts w:asciiTheme="minorHAnsi" w:eastAsia="Calibri" w:hAnsiTheme="minorHAnsi" w:cstheme="minorHAnsi"/>
          <w:color w:val="000000"/>
          <w:sz w:val="20"/>
          <w:szCs w:val="20"/>
        </w:rPr>
        <w:t xml:space="preserve"> 43. </w:t>
      </w:r>
    </w:p>
  </w:footnote>
  <w:footnote w:id="9">
    <w:p w14:paraId="00000069" w14:textId="77777777" w:rsidR="002E5B72" w:rsidRPr="005223C1" w:rsidRDefault="00261A88" w:rsidP="005223C1">
      <w:pPr>
        <w:pBdr>
          <w:top w:val="nil"/>
          <w:left w:val="nil"/>
          <w:bottom w:val="nil"/>
          <w:right w:val="nil"/>
          <w:between w:val="nil"/>
        </w:pBdr>
        <w:ind w:left="113" w:hanging="113"/>
        <w:rPr>
          <w:rFonts w:asciiTheme="minorHAnsi" w:eastAsia="Calibri" w:hAnsiTheme="minorHAnsi" w:cstheme="minorHAnsi"/>
          <w:color w:val="000000"/>
          <w:sz w:val="20"/>
          <w:szCs w:val="20"/>
        </w:rPr>
      </w:pPr>
      <w:r w:rsidRPr="005223C1">
        <w:rPr>
          <w:rStyle w:val="FootnoteReference"/>
          <w:rFonts w:asciiTheme="minorHAnsi" w:hAnsiTheme="minorHAnsi" w:cstheme="minorHAnsi"/>
          <w:sz w:val="20"/>
          <w:szCs w:val="20"/>
        </w:rPr>
        <w:footnoteRef/>
      </w:r>
      <w:r w:rsidRPr="005223C1">
        <w:rPr>
          <w:rFonts w:asciiTheme="minorHAnsi" w:eastAsia="Calibri" w:hAnsiTheme="minorHAnsi" w:cstheme="minorHAnsi"/>
          <w:color w:val="000000"/>
          <w:sz w:val="20"/>
          <w:szCs w:val="20"/>
        </w:rPr>
        <w:t xml:space="preserve"> I</w:t>
      </w:r>
      <w:r w:rsidRPr="005223C1">
        <w:rPr>
          <w:rFonts w:asciiTheme="minorHAnsi" w:eastAsia="Calibri" w:hAnsiTheme="minorHAnsi" w:cstheme="minorHAnsi"/>
          <w:sz w:val="20"/>
          <w:szCs w:val="20"/>
        </w:rPr>
        <w:t>d. at</w:t>
      </w:r>
      <w:r w:rsidRPr="005223C1">
        <w:rPr>
          <w:rFonts w:asciiTheme="minorHAnsi" w:eastAsia="Calibri" w:hAnsiTheme="minorHAnsi" w:cstheme="minorHAnsi"/>
          <w:color w:val="000000"/>
          <w:sz w:val="20"/>
          <w:szCs w:val="20"/>
        </w:rPr>
        <w:t xml:space="preserve"> 29. </w:t>
      </w:r>
    </w:p>
  </w:footnote>
  <w:footnote w:id="10">
    <w:p w14:paraId="00000091" w14:textId="77777777" w:rsidR="002E5B72" w:rsidRPr="005223C1" w:rsidRDefault="00261A88" w:rsidP="005223C1">
      <w:pPr>
        <w:ind w:left="113"/>
        <w:rPr>
          <w:rFonts w:asciiTheme="minorHAnsi" w:eastAsia="Calibri" w:hAnsiTheme="minorHAnsi" w:cstheme="minorHAnsi"/>
          <w:sz w:val="20"/>
          <w:szCs w:val="20"/>
        </w:rPr>
      </w:pPr>
      <w:r w:rsidRPr="005223C1">
        <w:rPr>
          <w:rStyle w:val="FootnoteReference"/>
          <w:rFonts w:asciiTheme="minorHAnsi" w:hAnsiTheme="minorHAnsi" w:cstheme="minorHAnsi"/>
          <w:sz w:val="20"/>
          <w:szCs w:val="20"/>
        </w:rPr>
        <w:footnoteRef/>
      </w:r>
      <w:r w:rsidRPr="005223C1">
        <w:rPr>
          <w:rFonts w:asciiTheme="minorHAnsi" w:eastAsia="Calibri" w:hAnsiTheme="minorHAnsi" w:cstheme="minorHAnsi"/>
          <w:sz w:val="20"/>
          <w:szCs w:val="20"/>
        </w:rPr>
        <w:t xml:space="preserve"> OHCHR, United Nations Human Rights Guidance on Less-Lethal Weapons in Law Enforcement, September 2020, </w:t>
      </w:r>
      <w:hyperlink r:id="rId5">
        <w:r w:rsidRPr="005223C1">
          <w:rPr>
            <w:rFonts w:asciiTheme="minorHAnsi" w:eastAsia="Calibri" w:hAnsiTheme="minorHAnsi" w:cstheme="minorHAnsi"/>
            <w:color w:val="1155CC"/>
            <w:sz w:val="20"/>
            <w:szCs w:val="20"/>
            <w:u w:val="single"/>
          </w:rPr>
          <w:t>https://doi.org/10.18356/5c14b275-en</w:t>
        </w:r>
      </w:hyperlink>
      <w:r w:rsidRPr="005223C1">
        <w:rPr>
          <w:rFonts w:asciiTheme="minorHAnsi" w:eastAsia="Calibri" w:hAnsiTheme="minorHAnsi" w:cstheme="minorHAnsi"/>
          <w:sz w:val="20"/>
          <w:szCs w:val="20"/>
        </w:rPr>
        <w:t xml:space="preserve">. </w:t>
      </w:r>
    </w:p>
  </w:footnote>
  <w:footnote w:id="11">
    <w:p w14:paraId="0000006A" w14:textId="46849F07" w:rsidR="002E5B72" w:rsidRPr="005223C1" w:rsidRDefault="00261A88" w:rsidP="005223C1">
      <w:pPr>
        <w:pBdr>
          <w:top w:val="nil"/>
          <w:left w:val="nil"/>
          <w:bottom w:val="nil"/>
          <w:right w:val="nil"/>
          <w:between w:val="nil"/>
        </w:pBdr>
        <w:ind w:left="113" w:hanging="113"/>
        <w:rPr>
          <w:rFonts w:asciiTheme="minorHAnsi" w:eastAsia="Calibri" w:hAnsiTheme="minorHAnsi" w:cstheme="minorHAnsi"/>
          <w:color w:val="000000"/>
          <w:sz w:val="20"/>
          <w:szCs w:val="20"/>
        </w:rPr>
      </w:pPr>
      <w:r w:rsidRPr="005223C1">
        <w:rPr>
          <w:rStyle w:val="FootnoteReference"/>
          <w:rFonts w:asciiTheme="minorHAnsi" w:hAnsiTheme="minorHAnsi" w:cstheme="minorHAnsi"/>
          <w:sz w:val="20"/>
          <w:szCs w:val="20"/>
        </w:rPr>
        <w:footnoteRef/>
      </w:r>
      <w:r w:rsidRPr="005223C1">
        <w:rPr>
          <w:rFonts w:asciiTheme="minorHAnsi" w:eastAsia="Calibri" w:hAnsiTheme="minorHAnsi" w:cstheme="minorHAnsi"/>
          <w:color w:val="000000"/>
          <w:sz w:val="20"/>
          <w:szCs w:val="20"/>
        </w:rPr>
        <w:t xml:space="preserve"> HRW, </w:t>
      </w:r>
      <w:r w:rsidR="00B3143A" w:rsidRPr="005223C1">
        <w:rPr>
          <w:rFonts w:asciiTheme="minorHAnsi" w:eastAsia="Calibri" w:hAnsiTheme="minorHAnsi" w:cstheme="minorHAnsi"/>
          <w:color w:val="000000"/>
          <w:sz w:val="20"/>
          <w:szCs w:val="20"/>
        </w:rPr>
        <w:t xml:space="preserve">‘Unchecked Injustice’, </w:t>
      </w:r>
      <w:r w:rsidRPr="005223C1">
        <w:rPr>
          <w:rFonts w:asciiTheme="minorHAnsi" w:eastAsia="Calibri" w:hAnsiTheme="minorHAnsi" w:cstheme="minorHAnsi"/>
          <w:color w:val="000000"/>
          <w:sz w:val="20"/>
          <w:szCs w:val="20"/>
        </w:rPr>
        <w:t xml:space="preserve">p. 9. </w:t>
      </w:r>
    </w:p>
  </w:footnote>
  <w:footnote w:id="12">
    <w:p w14:paraId="00000090" w14:textId="77777777" w:rsidR="002E5B72" w:rsidRPr="005223C1" w:rsidRDefault="00261A88" w:rsidP="005223C1">
      <w:pPr>
        <w:ind w:left="113"/>
        <w:rPr>
          <w:rFonts w:asciiTheme="minorHAnsi" w:eastAsia="Calibri" w:hAnsiTheme="minorHAnsi" w:cstheme="minorHAnsi"/>
          <w:sz w:val="20"/>
          <w:szCs w:val="20"/>
        </w:rPr>
      </w:pPr>
      <w:r w:rsidRPr="005223C1">
        <w:rPr>
          <w:rStyle w:val="FootnoteReference"/>
          <w:rFonts w:asciiTheme="minorHAnsi" w:hAnsiTheme="minorHAnsi" w:cstheme="minorHAnsi"/>
          <w:sz w:val="20"/>
          <w:szCs w:val="20"/>
        </w:rPr>
        <w:footnoteRef/>
      </w:r>
      <w:r w:rsidRPr="005223C1">
        <w:rPr>
          <w:rFonts w:asciiTheme="minorHAnsi" w:eastAsia="Calibri" w:hAnsiTheme="minorHAnsi" w:cstheme="minorHAnsi"/>
          <w:sz w:val="20"/>
          <w:szCs w:val="20"/>
        </w:rPr>
        <w:t xml:space="preserve"> Richard Ngamita, ‘Israeli Gas, Kenyan Tears: Investigating Israel-Supplied Riot Control Agents Used in the Kenya Demonstrations’, 8 August 2024, </w:t>
      </w:r>
      <w:hyperlink r:id="rId6">
        <w:r w:rsidRPr="005223C1">
          <w:rPr>
            <w:rFonts w:asciiTheme="minorHAnsi" w:eastAsia="Calibri" w:hAnsiTheme="minorHAnsi" w:cstheme="minorHAnsi"/>
            <w:color w:val="1155CC"/>
            <w:sz w:val="20"/>
            <w:szCs w:val="20"/>
            <w:u w:val="single"/>
          </w:rPr>
          <w:t>https://thraets.org/israeli-gas-kenyan-tears-investigating-israel-supplied-riot-control-agents-used-in-the-kenya-demonstrations/</w:t>
        </w:r>
      </w:hyperlink>
      <w:r w:rsidRPr="005223C1">
        <w:rPr>
          <w:rFonts w:asciiTheme="minorHAnsi" w:eastAsia="Calibri" w:hAnsiTheme="minorHAnsi" w:cstheme="minorHAnsi"/>
          <w:sz w:val="20"/>
          <w:szCs w:val="20"/>
        </w:rPr>
        <w:t xml:space="preserve">. </w:t>
      </w:r>
    </w:p>
  </w:footnote>
  <w:footnote w:id="13">
    <w:p w14:paraId="0000006B" w14:textId="1B6032D1" w:rsidR="002E5B72" w:rsidRPr="005223C1" w:rsidRDefault="00261A88" w:rsidP="005223C1">
      <w:pPr>
        <w:pBdr>
          <w:top w:val="nil"/>
          <w:left w:val="nil"/>
          <w:bottom w:val="nil"/>
          <w:right w:val="nil"/>
          <w:between w:val="nil"/>
        </w:pBdr>
        <w:ind w:left="113" w:hanging="113"/>
        <w:rPr>
          <w:rFonts w:asciiTheme="minorHAnsi" w:eastAsia="Calibri" w:hAnsiTheme="minorHAnsi" w:cstheme="minorHAnsi"/>
          <w:color w:val="000000"/>
          <w:sz w:val="20"/>
          <w:szCs w:val="20"/>
        </w:rPr>
      </w:pPr>
      <w:r w:rsidRPr="005223C1">
        <w:rPr>
          <w:rStyle w:val="FootnoteReference"/>
          <w:rFonts w:asciiTheme="minorHAnsi" w:hAnsiTheme="minorHAnsi" w:cstheme="minorHAnsi"/>
          <w:sz w:val="20"/>
          <w:szCs w:val="20"/>
        </w:rPr>
        <w:footnoteRef/>
      </w:r>
      <w:r w:rsidRPr="005223C1">
        <w:rPr>
          <w:rFonts w:asciiTheme="minorHAnsi" w:eastAsia="Calibri" w:hAnsiTheme="minorHAnsi" w:cstheme="minorHAnsi"/>
          <w:color w:val="000000"/>
          <w:sz w:val="20"/>
          <w:szCs w:val="20"/>
        </w:rPr>
        <w:t xml:space="preserve"> HRW, </w:t>
      </w:r>
      <w:r w:rsidR="00B3143A" w:rsidRPr="005223C1">
        <w:rPr>
          <w:rFonts w:asciiTheme="minorHAnsi" w:eastAsia="Calibri" w:hAnsiTheme="minorHAnsi" w:cstheme="minorHAnsi"/>
          <w:color w:val="000000"/>
          <w:sz w:val="20"/>
          <w:szCs w:val="20"/>
        </w:rPr>
        <w:t>‘</w:t>
      </w:r>
      <w:r w:rsidRPr="005223C1">
        <w:rPr>
          <w:rFonts w:asciiTheme="minorHAnsi" w:eastAsia="Calibri" w:hAnsiTheme="minorHAnsi" w:cstheme="minorHAnsi"/>
          <w:color w:val="000000"/>
          <w:sz w:val="20"/>
          <w:szCs w:val="20"/>
        </w:rPr>
        <w:t>Unchecked Injustice</w:t>
      </w:r>
      <w:r w:rsidR="00B3143A" w:rsidRPr="005223C1">
        <w:rPr>
          <w:rFonts w:asciiTheme="minorHAnsi" w:eastAsia="Calibri" w:hAnsiTheme="minorHAnsi" w:cstheme="minorHAnsi"/>
          <w:color w:val="000000"/>
          <w:sz w:val="20"/>
          <w:szCs w:val="20"/>
        </w:rPr>
        <w:t xml:space="preserve">’, </w:t>
      </w:r>
      <w:r w:rsidRPr="005223C1">
        <w:rPr>
          <w:rFonts w:asciiTheme="minorHAnsi" w:eastAsia="Calibri" w:hAnsiTheme="minorHAnsi" w:cstheme="minorHAnsi"/>
          <w:color w:val="000000"/>
          <w:sz w:val="20"/>
          <w:szCs w:val="20"/>
        </w:rPr>
        <w:t xml:space="preserve">p. 10; Kenya National Commission on Human Rights, ‘Surge of Abductions and Killings in Kenya: A Call for Immediate Action and Accountability’, 31 October 2024, </w:t>
      </w:r>
      <w:hyperlink r:id="rId7">
        <w:r w:rsidRPr="005223C1">
          <w:rPr>
            <w:rFonts w:asciiTheme="minorHAnsi" w:eastAsia="Calibri" w:hAnsiTheme="minorHAnsi" w:cstheme="minorHAnsi"/>
            <w:color w:val="0000FF"/>
            <w:sz w:val="20"/>
            <w:szCs w:val="20"/>
            <w:u w:val="single"/>
          </w:rPr>
          <w:t>https://www.knchr.org/Articles/ArtMID/2432/ArticleID/1206/Surge-of-Abductions-and-Killings-in-Kenya-A-Call-for-Immediate-Action-and-Accountability</w:t>
        </w:r>
      </w:hyperlink>
      <w:r w:rsidRPr="005223C1">
        <w:rPr>
          <w:rFonts w:asciiTheme="minorHAnsi" w:eastAsia="Calibri" w:hAnsiTheme="minorHAnsi" w:cstheme="minorHAnsi"/>
          <w:color w:val="000000"/>
          <w:sz w:val="20"/>
          <w:szCs w:val="20"/>
        </w:rPr>
        <w:t xml:space="preserve">. </w:t>
      </w:r>
    </w:p>
  </w:footnote>
  <w:footnote w:id="14">
    <w:p w14:paraId="00000097" w14:textId="77777777" w:rsidR="002E5B72" w:rsidRPr="005223C1" w:rsidRDefault="00261A88" w:rsidP="005223C1">
      <w:pPr>
        <w:ind w:left="113"/>
        <w:rPr>
          <w:rFonts w:asciiTheme="minorHAnsi" w:eastAsia="Calibri" w:hAnsiTheme="minorHAnsi" w:cstheme="minorHAnsi"/>
          <w:sz w:val="20"/>
          <w:szCs w:val="20"/>
        </w:rPr>
      </w:pPr>
      <w:r w:rsidRPr="005223C1">
        <w:rPr>
          <w:rStyle w:val="FootnoteReference"/>
          <w:rFonts w:asciiTheme="minorHAnsi" w:hAnsiTheme="minorHAnsi" w:cstheme="minorHAnsi"/>
          <w:sz w:val="20"/>
          <w:szCs w:val="20"/>
        </w:rPr>
        <w:footnoteRef/>
      </w:r>
      <w:r w:rsidRPr="005223C1">
        <w:rPr>
          <w:rFonts w:asciiTheme="minorHAnsi" w:eastAsia="Calibri" w:hAnsiTheme="minorHAnsi" w:cstheme="minorHAnsi"/>
          <w:sz w:val="20"/>
          <w:szCs w:val="20"/>
        </w:rPr>
        <w:t xml:space="preserve"> Wycliffe Muia, ‘Anger after protester shot dead at Kenya anti-tax demos’, 21 June 2024, </w:t>
      </w:r>
      <w:hyperlink r:id="rId8">
        <w:r w:rsidRPr="005223C1">
          <w:rPr>
            <w:rFonts w:asciiTheme="minorHAnsi" w:eastAsia="Calibri" w:hAnsiTheme="minorHAnsi" w:cstheme="minorHAnsi"/>
            <w:color w:val="1155CC"/>
            <w:sz w:val="20"/>
            <w:szCs w:val="20"/>
            <w:u w:val="single"/>
          </w:rPr>
          <w:t>https://www.bbc.com/news/articles/cnkk53097leo</w:t>
        </w:r>
      </w:hyperlink>
      <w:r w:rsidRPr="005223C1">
        <w:rPr>
          <w:rFonts w:asciiTheme="minorHAnsi" w:eastAsia="Calibri" w:hAnsiTheme="minorHAnsi" w:cstheme="minorHAnsi"/>
          <w:sz w:val="20"/>
          <w:szCs w:val="20"/>
        </w:rPr>
        <w:t xml:space="preserve">. </w:t>
      </w:r>
    </w:p>
  </w:footnote>
  <w:footnote w:id="15">
    <w:p w14:paraId="00000098" w14:textId="77777777" w:rsidR="002E5B72" w:rsidRPr="005223C1" w:rsidRDefault="00261A88" w:rsidP="00D474EC">
      <w:pPr>
        <w:ind w:left="113" w:hanging="113"/>
        <w:rPr>
          <w:rFonts w:asciiTheme="minorHAnsi" w:hAnsiTheme="minorHAnsi" w:cstheme="minorHAnsi"/>
          <w:sz w:val="20"/>
          <w:szCs w:val="20"/>
        </w:rPr>
      </w:pPr>
      <w:r w:rsidRPr="005223C1">
        <w:rPr>
          <w:rStyle w:val="FootnoteReference"/>
          <w:rFonts w:asciiTheme="minorHAnsi" w:hAnsiTheme="minorHAnsi" w:cstheme="minorHAnsi"/>
          <w:sz w:val="20"/>
          <w:szCs w:val="20"/>
        </w:rPr>
        <w:footnoteRef/>
      </w:r>
      <w:r w:rsidRPr="005223C1">
        <w:rPr>
          <w:rFonts w:asciiTheme="minorHAnsi" w:eastAsia="Calibri" w:hAnsiTheme="minorHAnsi" w:cstheme="minorHAnsi"/>
          <w:sz w:val="20"/>
          <w:szCs w:val="20"/>
        </w:rPr>
        <w:t xml:space="preserve"> Nyaboga Kiage and Ibrahim Karanja, ‘Kitengela Three: Our 32 days of horror in secret torture cells’, 21 September 2024, </w:t>
      </w:r>
      <w:hyperlink r:id="rId9" w:anchor="story">
        <w:r w:rsidRPr="005223C1">
          <w:rPr>
            <w:rFonts w:asciiTheme="minorHAnsi" w:eastAsia="Calibri" w:hAnsiTheme="minorHAnsi" w:cstheme="minorHAnsi"/>
            <w:color w:val="1155CC"/>
            <w:sz w:val="20"/>
            <w:szCs w:val="20"/>
            <w:u w:val="single"/>
          </w:rPr>
          <w:t>https://nation.africa/kenya/news/kitengela-three-our-32-days-of-horror-in-secret-torture-cells--4769894#story</w:t>
        </w:r>
      </w:hyperlink>
      <w:r w:rsidRPr="005223C1">
        <w:rPr>
          <w:rFonts w:asciiTheme="minorHAnsi" w:eastAsia="Calibri" w:hAnsiTheme="minorHAnsi" w:cstheme="minorHAnsi"/>
          <w:sz w:val="20"/>
          <w:szCs w:val="20"/>
        </w:rPr>
        <w:t xml:space="preserve">. </w:t>
      </w:r>
    </w:p>
  </w:footnote>
  <w:footnote w:id="16">
    <w:p w14:paraId="0000008D" w14:textId="77777777" w:rsidR="002E5B72" w:rsidRPr="005223C1" w:rsidRDefault="00261A88" w:rsidP="00D474EC">
      <w:pPr>
        <w:ind w:left="113" w:hanging="113"/>
        <w:rPr>
          <w:rFonts w:asciiTheme="minorHAnsi" w:hAnsiTheme="minorHAnsi" w:cstheme="minorHAnsi"/>
          <w:sz w:val="20"/>
          <w:szCs w:val="20"/>
        </w:rPr>
      </w:pPr>
      <w:r w:rsidRPr="005223C1">
        <w:rPr>
          <w:rStyle w:val="FootnoteReference"/>
          <w:rFonts w:asciiTheme="minorHAnsi" w:hAnsiTheme="minorHAnsi" w:cstheme="minorHAnsi"/>
          <w:sz w:val="20"/>
          <w:szCs w:val="20"/>
        </w:rPr>
        <w:footnoteRef/>
      </w:r>
      <w:r w:rsidRPr="005223C1">
        <w:rPr>
          <w:rFonts w:asciiTheme="minorHAnsi" w:eastAsia="Calibri" w:hAnsiTheme="minorHAnsi" w:cstheme="minorHAnsi"/>
          <w:sz w:val="20"/>
          <w:szCs w:val="20"/>
        </w:rPr>
        <w:t xml:space="preserve"> Joint Statement Condemning the Arbitrary Detention without charge of Human Rights Defenders, following The End Femicide March held on 10 December 2024, 16 December 2024, </w:t>
      </w:r>
      <w:hyperlink r:id="rId10">
        <w:r w:rsidRPr="005223C1">
          <w:rPr>
            <w:rFonts w:asciiTheme="minorHAnsi" w:eastAsia="Calibri" w:hAnsiTheme="minorHAnsi" w:cstheme="minorHAnsi"/>
            <w:color w:val="1155CC"/>
            <w:sz w:val="20"/>
            <w:szCs w:val="20"/>
            <w:u w:val="single"/>
          </w:rPr>
          <w:t>https://www.amnestykenya.org/statement-condemning-the-arbitrary-detention-without-charge-of-human-rights-defenders-following-the-end-femicide-march-held-on-10-december-2024/</w:t>
        </w:r>
      </w:hyperlink>
      <w:r w:rsidRPr="005223C1">
        <w:rPr>
          <w:rFonts w:asciiTheme="minorHAnsi" w:eastAsia="Calibri" w:hAnsiTheme="minorHAnsi" w:cstheme="minorHAnsi"/>
          <w:sz w:val="20"/>
          <w:szCs w:val="20"/>
        </w:rPr>
        <w:t>;</w:t>
      </w:r>
    </w:p>
    <w:p w14:paraId="0000008E" w14:textId="77777777" w:rsidR="002E5B72" w:rsidRPr="005223C1" w:rsidRDefault="00261A88" w:rsidP="00D474EC">
      <w:pPr>
        <w:spacing w:line="276" w:lineRule="auto"/>
        <w:ind w:left="113" w:hanging="113"/>
        <w:rPr>
          <w:rFonts w:asciiTheme="minorHAnsi" w:hAnsiTheme="minorHAnsi" w:cstheme="minorHAnsi"/>
          <w:sz w:val="20"/>
          <w:szCs w:val="20"/>
        </w:rPr>
      </w:pPr>
      <w:r w:rsidRPr="005223C1">
        <w:rPr>
          <w:rFonts w:asciiTheme="minorHAnsi" w:eastAsia="Calibri" w:hAnsiTheme="minorHAnsi" w:cstheme="minorHAnsi"/>
          <w:sz w:val="20"/>
          <w:szCs w:val="20"/>
        </w:rPr>
        <w:t xml:space="preserve">Kenya Human Rights Commission, ‘2024: A year of blatant state repression through regime policing’, 2 January 2025, </w:t>
      </w:r>
      <w:hyperlink r:id="rId11">
        <w:r w:rsidRPr="005223C1">
          <w:rPr>
            <w:rFonts w:asciiTheme="minorHAnsi" w:eastAsia="Calibri" w:hAnsiTheme="minorHAnsi" w:cstheme="minorHAnsi"/>
            <w:color w:val="1155CC"/>
            <w:sz w:val="20"/>
            <w:szCs w:val="20"/>
            <w:u w:val="single"/>
          </w:rPr>
          <w:t>https://khrc.or.ke/press-release/2024-a-year-of-blatant-state-repression-through-regime-policing/</w:t>
        </w:r>
      </w:hyperlink>
      <w:r w:rsidRPr="005223C1">
        <w:rPr>
          <w:rFonts w:asciiTheme="minorHAnsi" w:eastAsia="Calibri" w:hAnsiTheme="minorHAnsi" w:cstheme="minorHAnsi"/>
          <w:sz w:val="20"/>
          <w:szCs w:val="20"/>
        </w:rPr>
        <w:t xml:space="preserve">. </w:t>
      </w:r>
    </w:p>
  </w:footnote>
  <w:footnote w:id="17">
    <w:p w14:paraId="71DD5CDD" w14:textId="54E6FECD" w:rsidR="00D474EC" w:rsidRDefault="00D474EC" w:rsidP="00D474EC">
      <w:pPr>
        <w:pStyle w:val="FootnoteText"/>
      </w:pPr>
      <w:r w:rsidRPr="00D474EC">
        <w:rPr>
          <w:rStyle w:val="FootnoteReference"/>
          <w:rFonts w:asciiTheme="minorHAnsi" w:hAnsiTheme="minorHAnsi" w:cstheme="minorHAnsi"/>
        </w:rPr>
        <w:footnoteRef/>
      </w:r>
      <w:r>
        <w:rPr>
          <w:rStyle w:val="FootnoteReference"/>
          <w:rFonts w:asciiTheme="minorHAnsi" w:hAnsiTheme="minorHAnsi" w:cstheme="minorHAnsi"/>
        </w:rPr>
        <w:t xml:space="preserve"> </w:t>
      </w:r>
      <w:r w:rsidRPr="00D474EC">
        <w:rPr>
          <w:rFonts w:asciiTheme="minorHAnsi" w:hAnsiTheme="minorHAnsi" w:cstheme="minorHAnsi"/>
        </w:rPr>
        <w:t>Most recently, IMLU has also recorded the targeting of social media influencers to silence them.</w:t>
      </w:r>
      <w:r w:rsidRPr="00D474EC">
        <w:rPr>
          <w:rStyle w:val="FootnoteReference"/>
          <w:rFonts w:asciiTheme="minorHAnsi" w:hAnsiTheme="minorHAnsi" w:cstheme="minorHAnsi"/>
        </w:rPr>
        <w:t xml:space="preserve"> </w:t>
      </w:r>
    </w:p>
  </w:footnote>
  <w:footnote w:id="18">
    <w:p w14:paraId="0000006C" w14:textId="745695A1" w:rsidR="002E5B72" w:rsidRPr="005223C1" w:rsidRDefault="00261A88" w:rsidP="00D474EC">
      <w:pPr>
        <w:ind w:left="113" w:hanging="113"/>
        <w:rPr>
          <w:rFonts w:asciiTheme="minorHAnsi" w:eastAsia="Calibri" w:hAnsiTheme="minorHAnsi" w:cstheme="minorHAnsi"/>
          <w:sz w:val="20"/>
          <w:szCs w:val="20"/>
        </w:rPr>
      </w:pPr>
      <w:r w:rsidRPr="005223C1">
        <w:rPr>
          <w:rStyle w:val="FootnoteReference"/>
          <w:rFonts w:asciiTheme="minorHAnsi" w:hAnsiTheme="minorHAnsi" w:cstheme="minorHAnsi"/>
          <w:sz w:val="20"/>
          <w:szCs w:val="20"/>
        </w:rPr>
        <w:footnoteRef/>
      </w:r>
      <w:r w:rsidRPr="005223C1">
        <w:rPr>
          <w:rFonts w:asciiTheme="minorHAnsi" w:eastAsia="Calibri" w:hAnsiTheme="minorHAnsi" w:cstheme="minorHAnsi"/>
          <w:sz w:val="20"/>
          <w:szCs w:val="20"/>
        </w:rPr>
        <w:t xml:space="preserve"> IMLU, ‘Death, Blood &amp; Tears’, p. 11. </w:t>
      </w:r>
    </w:p>
  </w:footnote>
  <w:footnote w:id="19">
    <w:p w14:paraId="0000006D" w14:textId="77777777" w:rsidR="002E5B72" w:rsidRPr="005223C1" w:rsidRDefault="00261A88" w:rsidP="00D474EC">
      <w:pPr>
        <w:ind w:left="113" w:hanging="113"/>
        <w:rPr>
          <w:rFonts w:asciiTheme="minorHAnsi" w:eastAsia="Calibri" w:hAnsiTheme="minorHAnsi" w:cstheme="minorHAnsi"/>
          <w:sz w:val="20"/>
          <w:szCs w:val="20"/>
        </w:rPr>
      </w:pPr>
      <w:r w:rsidRPr="005223C1">
        <w:rPr>
          <w:rStyle w:val="FootnoteReference"/>
          <w:rFonts w:asciiTheme="minorHAnsi" w:hAnsiTheme="minorHAnsi" w:cstheme="minorHAnsi"/>
          <w:sz w:val="20"/>
          <w:szCs w:val="20"/>
        </w:rPr>
        <w:footnoteRef/>
      </w:r>
      <w:r w:rsidRPr="005223C1">
        <w:rPr>
          <w:rFonts w:asciiTheme="minorHAnsi" w:eastAsia="Calibri" w:hAnsiTheme="minorHAnsi" w:cstheme="minorHAnsi"/>
          <w:sz w:val="20"/>
          <w:szCs w:val="20"/>
        </w:rPr>
        <w:t xml:space="preserve"> Id.</w:t>
      </w:r>
    </w:p>
  </w:footnote>
  <w:footnote w:id="20">
    <w:p w14:paraId="0000006E" w14:textId="77777777" w:rsidR="002E5B72" w:rsidRPr="005223C1" w:rsidRDefault="00261A88" w:rsidP="00D474EC">
      <w:pPr>
        <w:ind w:left="113" w:hanging="113"/>
        <w:rPr>
          <w:rFonts w:asciiTheme="minorHAnsi" w:eastAsia="Calibri" w:hAnsiTheme="minorHAnsi" w:cstheme="minorHAnsi"/>
          <w:sz w:val="20"/>
          <w:szCs w:val="20"/>
        </w:rPr>
      </w:pPr>
      <w:r w:rsidRPr="005223C1">
        <w:rPr>
          <w:rStyle w:val="FootnoteReference"/>
          <w:rFonts w:asciiTheme="minorHAnsi" w:hAnsiTheme="minorHAnsi" w:cstheme="minorHAnsi"/>
          <w:sz w:val="20"/>
          <w:szCs w:val="20"/>
        </w:rPr>
        <w:footnoteRef/>
      </w:r>
      <w:r w:rsidRPr="005223C1">
        <w:rPr>
          <w:rFonts w:asciiTheme="minorHAnsi" w:eastAsia="Calibri" w:hAnsiTheme="minorHAnsi" w:cstheme="minorHAnsi"/>
          <w:sz w:val="20"/>
          <w:szCs w:val="20"/>
        </w:rPr>
        <w:t xml:space="preserve"> </w:t>
      </w:r>
      <w:r w:rsidRPr="005223C1">
        <w:rPr>
          <w:rFonts w:asciiTheme="minorHAnsi" w:eastAsia="Calibri" w:hAnsiTheme="minorHAnsi" w:cstheme="minorHAnsi"/>
          <w:i/>
          <w:sz w:val="20"/>
          <w:szCs w:val="20"/>
        </w:rPr>
        <w:t xml:space="preserve">See </w:t>
      </w:r>
      <w:r w:rsidRPr="005223C1">
        <w:rPr>
          <w:rFonts w:asciiTheme="minorHAnsi" w:eastAsia="Calibri" w:hAnsiTheme="minorHAnsi" w:cstheme="minorHAnsi"/>
          <w:sz w:val="20"/>
          <w:szCs w:val="20"/>
        </w:rPr>
        <w:t xml:space="preserve">International Center for Not-for-Profit Law, ’Comments: Kenya – On The Assembly and Demonstration Bill, 2024’, 4 June 2024, </w:t>
      </w:r>
      <w:hyperlink r:id="rId12">
        <w:r w:rsidRPr="005223C1">
          <w:rPr>
            <w:rFonts w:asciiTheme="minorHAnsi" w:eastAsia="Calibri" w:hAnsiTheme="minorHAnsi" w:cstheme="minorHAnsi"/>
            <w:color w:val="0000FF"/>
            <w:sz w:val="20"/>
            <w:szCs w:val="20"/>
            <w:u w:val="single"/>
          </w:rPr>
          <w:t>https://cff.or.ke/wp-content/uploads/2024/06/ICNL-comments-Kenya-Assembly-and-Demonstration-Bill-2024.pdf</w:t>
        </w:r>
      </w:hyperlink>
      <w:r w:rsidRPr="005223C1">
        <w:rPr>
          <w:rFonts w:asciiTheme="minorHAnsi" w:eastAsia="Calibri" w:hAnsiTheme="minorHAnsi" w:cstheme="minorHAnsi"/>
          <w:sz w:val="20"/>
          <w:szCs w:val="20"/>
        </w:rPr>
        <w:t xml:space="preserve">. </w:t>
      </w:r>
    </w:p>
  </w:footnote>
  <w:footnote w:id="21">
    <w:p w14:paraId="0000006F" w14:textId="77777777" w:rsidR="002E5B72" w:rsidRPr="005223C1" w:rsidRDefault="00261A88" w:rsidP="00D474EC">
      <w:pPr>
        <w:ind w:left="113" w:hanging="113"/>
        <w:rPr>
          <w:rFonts w:asciiTheme="minorHAnsi" w:hAnsiTheme="minorHAnsi" w:cstheme="minorHAnsi"/>
          <w:sz w:val="20"/>
          <w:szCs w:val="20"/>
        </w:rPr>
      </w:pPr>
      <w:r w:rsidRPr="005223C1">
        <w:rPr>
          <w:rStyle w:val="FootnoteReference"/>
          <w:rFonts w:asciiTheme="minorHAnsi" w:hAnsiTheme="minorHAnsi" w:cstheme="minorHAnsi"/>
          <w:sz w:val="20"/>
          <w:szCs w:val="20"/>
        </w:rPr>
        <w:footnoteRef/>
      </w:r>
      <w:r w:rsidRPr="005223C1">
        <w:rPr>
          <w:rFonts w:asciiTheme="minorHAnsi" w:hAnsiTheme="minorHAnsi" w:cstheme="minorHAnsi"/>
          <w:sz w:val="20"/>
          <w:szCs w:val="20"/>
        </w:rPr>
        <w:t xml:space="preserve"> </w:t>
      </w:r>
      <w:r w:rsidRPr="005223C1">
        <w:rPr>
          <w:rFonts w:asciiTheme="minorHAnsi" w:eastAsia="Calibri" w:hAnsiTheme="minorHAnsi" w:cstheme="minorHAnsi"/>
          <w:sz w:val="20"/>
          <w:szCs w:val="20"/>
        </w:rPr>
        <w:t xml:space="preserve">CIVICUS, ’This new bill allows police to impose harsh conditions on protesters in the name of public order’, 12 September 2024, </w:t>
      </w:r>
      <w:hyperlink r:id="rId13">
        <w:r w:rsidRPr="005223C1">
          <w:rPr>
            <w:rFonts w:asciiTheme="minorHAnsi" w:eastAsia="Calibri" w:hAnsiTheme="minorHAnsi" w:cstheme="minorHAnsi"/>
            <w:color w:val="0000FF"/>
            <w:sz w:val="20"/>
            <w:szCs w:val="20"/>
            <w:u w:val="single"/>
          </w:rPr>
          <w:t>https://lens.civicus.org/interview/this-new-bill-allows-police-to-impose-harsh-conditions-on-protesters-in-the-name-of-public-order/</w:t>
        </w:r>
      </w:hyperlink>
      <w:r w:rsidRPr="005223C1">
        <w:rPr>
          <w:rFonts w:asciiTheme="minorHAnsi" w:eastAsia="Calibri" w:hAnsiTheme="minorHAnsi" w:cstheme="minorHAnsi"/>
          <w:sz w:val="20"/>
          <w:szCs w:val="20"/>
        </w:rPr>
        <w:t xml:space="preserve">. </w:t>
      </w:r>
    </w:p>
  </w:footnote>
  <w:footnote w:id="22">
    <w:p w14:paraId="00000070" w14:textId="68D5A423" w:rsidR="002E5B72" w:rsidRPr="005223C1" w:rsidRDefault="00261A88" w:rsidP="00D474EC">
      <w:pPr>
        <w:ind w:left="113" w:hanging="113"/>
        <w:rPr>
          <w:rFonts w:asciiTheme="minorHAnsi" w:eastAsia="Calibri" w:hAnsiTheme="minorHAnsi" w:cstheme="minorHAnsi"/>
          <w:sz w:val="20"/>
          <w:szCs w:val="20"/>
        </w:rPr>
      </w:pPr>
      <w:r w:rsidRPr="005223C1">
        <w:rPr>
          <w:rStyle w:val="FootnoteReference"/>
          <w:rFonts w:asciiTheme="minorHAnsi" w:hAnsiTheme="minorHAnsi" w:cstheme="minorHAnsi"/>
          <w:sz w:val="20"/>
          <w:szCs w:val="20"/>
        </w:rPr>
        <w:footnoteRef/>
      </w:r>
      <w:r w:rsidRPr="005223C1">
        <w:rPr>
          <w:rFonts w:asciiTheme="minorHAnsi" w:hAnsiTheme="minorHAnsi" w:cstheme="minorHAnsi"/>
          <w:sz w:val="20"/>
          <w:szCs w:val="20"/>
        </w:rPr>
        <w:t xml:space="preserve"> </w:t>
      </w:r>
      <w:r w:rsidRPr="005223C1">
        <w:rPr>
          <w:rFonts w:asciiTheme="minorHAnsi" w:eastAsia="Calibri" w:hAnsiTheme="minorHAnsi" w:cstheme="minorHAnsi"/>
          <w:sz w:val="20"/>
          <w:szCs w:val="20"/>
        </w:rPr>
        <w:t>IMLU, ‘Death, Blood &amp; Tears’, pp. 9-10.</w:t>
      </w:r>
    </w:p>
  </w:footnote>
  <w:footnote w:id="23">
    <w:p w14:paraId="00000071" w14:textId="728DA800" w:rsidR="002E5B72" w:rsidRPr="005223C1" w:rsidRDefault="00261A88" w:rsidP="00D474EC">
      <w:pPr>
        <w:ind w:left="113" w:hanging="113"/>
        <w:rPr>
          <w:rFonts w:asciiTheme="minorHAnsi" w:eastAsia="Calibri" w:hAnsiTheme="minorHAnsi" w:cstheme="minorHAnsi"/>
          <w:sz w:val="20"/>
          <w:szCs w:val="20"/>
        </w:rPr>
      </w:pPr>
      <w:r w:rsidRPr="005223C1">
        <w:rPr>
          <w:rStyle w:val="FootnoteReference"/>
          <w:rFonts w:asciiTheme="minorHAnsi" w:hAnsiTheme="minorHAnsi" w:cstheme="minorHAnsi"/>
          <w:sz w:val="20"/>
          <w:szCs w:val="20"/>
        </w:rPr>
        <w:footnoteRef/>
      </w:r>
      <w:r w:rsidRPr="005223C1">
        <w:rPr>
          <w:rFonts w:asciiTheme="minorHAnsi" w:eastAsia="Calibri" w:hAnsiTheme="minorHAnsi" w:cstheme="minorHAnsi"/>
          <w:sz w:val="20"/>
          <w:szCs w:val="20"/>
        </w:rPr>
        <w:t xml:space="preserve"> HRW, ‘Unchecked Injustice</w:t>
      </w:r>
      <w:r w:rsidR="00B3143A" w:rsidRPr="005223C1">
        <w:rPr>
          <w:rFonts w:asciiTheme="minorHAnsi" w:eastAsia="Calibri" w:hAnsiTheme="minorHAnsi" w:cstheme="minorHAnsi"/>
          <w:sz w:val="20"/>
          <w:szCs w:val="20"/>
        </w:rPr>
        <w:t>’</w:t>
      </w:r>
      <w:r w:rsidRPr="005223C1">
        <w:rPr>
          <w:rFonts w:asciiTheme="minorHAnsi" w:eastAsia="Calibri" w:hAnsiTheme="minorHAnsi" w:cstheme="minorHAnsi"/>
          <w:sz w:val="20"/>
          <w:szCs w:val="20"/>
        </w:rPr>
        <w:t xml:space="preserve"> pp. 9-10; IMLU, ‘Death, Blood &amp; Tears’, p. 9; OHCHR, ‘Kenya: Civic space and respect of fundamental freedoms key to peaceful elections – UN experts’, 21 July 2022, </w:t>
      </w:r>
      <w:hyperlink r:id="rId14">
        <w:r w:rsidRPr="005223C1">
          <w:rPr>
            <w:rFonts w:asciiTheme="minorHAnsi" w:eastAsia="Calibri" w:hAnsiTheme="minorHAnsi" w:cstheme="minorHAnsi"/>
            <w:color w:val="1155CC"/>
            <w:sz w:val="20"/>
            <w:szCs w:val="20"/>
            <w:u w:val="single"/>
          </w:rPr>
          <w:t>https://www.ohchr.org/en/press-releases/2022/07/kenya-civic-space-and-respect-fundamental-freedoms-key-peaceful-elections-un</w:t>
        </w:r>
      </w:hyperlink>
      <w:r w:rsidRPr="005223C1">
        <w:rPr>
          <w:rFonts w:asciiTheme="minorHAnsi" w:eastAsia="Calibri" w:hAnsiTheme="minorHAnsi" w:cstheme="minorHAnsi"/>
          <w:sz w:val="20"/>
          <w:szCs w:val="20"/>
        </w:rPr>
        <w:t>.</w:t>
      </w:r>
    </w:p>
  </w:footnote>
  <w:footnote w:id="24">
    <w:p w14:paraId="00000072" w14:textId="77777777" w:rsidR="002E5B72" w:rsidRPr="005223C1" w:rsidRDefault="00261A88" w:rsidP="00D474EC">
      <w:pPr>
        <w:ind w:left="113" w:hanging="113"/>
        <w:rPr>
          <w:rFonts w:asciiTheme="minorHAnsi" w:eastAsia="Calibri" w:hAnsiTheme="minorHAnsi" w:cstheme="minorHAnsi"/>
          <w:sz w:val="20"/>
          <w:szCs w:val="20"/>
        </w:rPr>
      </w:pPr>
      <w:r w:rsidRPr="005223C1">
        <w:rPr>
          <w:rStyle w:val="FootnoteReference"/>
          <w:rFonts w:asciiTheme="minorHAnsi" w:hAnsiTheme="minorHAnsi" w:cstheme="minorHAnsi"/>
          <w:sz w:val="20"/>
          <w:szCs w:val="20"/>
        </w:rPr>
        <w:footnoteRef/>
      </w:r>
      <w:r w:rsidRPr="005223C1">
        <w:rPr>
          <w:rFonts w:asciiTheme="minorHAnsi" w:eastAsia="Calibri" w:hAnsiTheme="minorHAnsi" w:cstheme="minorHAnsi"/>
          <w:sz w:val="20"/>
          <w:szCs w:val="20"/>
        </w:rPr>
        <w:t xml:space="preserve"> </w:t>
      </w:r>
      <w:r w:rsidRPr="005223C1">
        <w:rPr>
          <w:rFonts w:asciiTheme="minorHAnsi" w:eastAsia="Calibri" w:hAnsiTheme="minorHAnsi" w:cstheme="minorHAnsi"/>
          <w:i/>
          <w:sz w:val="20"/>
          <w:szCs w:val="20"/>
        </w:rPr>
        <w:t xml:space="preserve">See </w:t>
      </w:r>
      <w:r w:rsidRPr="005223C1">
        <w:rPr>
          <w:rFonts w:asciiTheme="minorHAnsi" w:eastAsia="Calibri" w:hAnsiTheme="minorHAnsi" w:cstheme="minorHAnsi"/>
          <w:sz w:val="20"/>
          <w:szCs w:val="20"/>
        </w:rPr>
        <w:t xml:space="preserve">Prevention of Torture Act of 2017, </w:t>
      </w:r>
      <w:hyperlink r:id="rId15" w:anchor="part_I">
        <w:r w:rsidRPr="005223C1">
          <w:rPr>
            <w:rFonts w:asciiTheme="minorHAnsi" w:eastAsia="Calibri" w:hAnsiTheme="minorHAnsi" w:cstheme="minorHAnsi"/>
            <w:color w:val="0000FF"/>
            <w:sz w:val="20"/>
            <w:szCs w:val="20"/>
            <w:u w:val="single"/>
          </w:rPr>
          <w:t>https://new.kenyalaw.org/akn/ke/act/2017/12/eng@2022-12-31#part_I</w:t>
        </w:r>
      </w:hyperlink>
      <w:r w:rsidRPr="005223C1">
        <w:rPr>
          <w:rFonts w:asciiTheme="minorHAnsi" w:eastAsia="Calibri" w:hAnsiTheme="minorHAnsi" w:cstheme="minorHAnsi"/>
          <w:sz w:val="20"/>
          <w:szCs w:val="20"/>
        </w:rPr>
        <w:t xml:space="preserve">. </w:t>
      </w:r>
    </w:p>
  </w:footnote>
  <w:footnote w:id="25">
    <w:p w14:paraId="0000008F" w14:textId="77777777" w:rsidR="002E5B72" w:rsidRPr="005223C1" w:rsidRDefault="00261A88" w:rsidP="00D474EC">
      <w:pPr>
        <w:ind w:left="113" w:hanging="113"/>
        <w:rPr>
          <w:rFonts w:asciiTheme="minorHAnsi" w:eastAsia="Calibri" w:hAnsiTheme="minorHAnsi" w:cstheme="minorHAnsi"/>
          <w:sz w:val="20"/>
          <w:szCs w:val="20"/>
        </w:rPr>
      </w:pPr>
      <w:r w:rsidRPr="005223C1">
        <w:rPr>
          <w:rStyle w:val="FootnoteReference"/>
          <w:rFonts w:asciiTheme="minorHAnsi" w:hAnsiTheme="minorHAnsi" w:cstheme="minorHAnsi"/>
          <w:sz w:val="20"/>
          <w:szCs w:val="20"/>
        </w:rPr>
        <w:footnoteRef/>
      </w:r>
      <w:r w:rsidRPr="005223C1">
        <w:rPr>
          <w:rFonts w:asciiTheme="minorHAnsi" w:eastAsia="Calibri" w:hAnsiTheme="minorHAnsi" w:cstheme="minorHAnsi"/>
          <w:sz w:val="20"/>
          <w:szCs w:val="20"/>
        </w:rPr>
        <w:t xml:space="preserve"> UN Special Rapporteur on Torture, Thematic study on the global trade in weapons, equipment and devices used by law enforcement and other public authorities that are capable of inflicting torture and other cruel, inhuman or degrading treatment or punishment, Annex 1, UN Doc A/78/324, 24 August 2023, </w:t>
      </w:r>
      <w:hyperlink r:id="rId16">
        <w:r w:rsidRPr="005223C1">
          <w:rPr>
            <w:rFonts w:asciiTheme="minorHAnsi" w:eastAsia="Calibri" w:hAnsiTheme="minorHAnsi" w:cstheme="minorHAnsi"/>
            <w:color w:val="1155CC"/>
            <w:sz w:val="20"/>
            <w:szCs w:val="20"/>
            <w:u w:val="single"/>
          </w:rPr>
          <w:t>https://www.ohchr.org/en/documents/thematic-reports/a78324-thematic-study-global-trade-weapons-equipment-and-devices-used</w:t>
        </w:r>
      </w:hyperlink>
      <w:r w:rsidRPr="005223C1">
        <w:rPr>
          <w:rFonts w:asciiTheme="minorHAnsi" w:eastAsia="Calibri" w:hAnsiTheme="minorHAnsi" w:cstheme="minorHAnsi"/>
          <w:sz w:val="20"/>
          <w:szCs w:val="20"/>
        </w:rPr>
        <w:t xml:space="preserve">, p. 11. </w:t>
      </w:r>
    </w:p>
  </w:footnote>
  <w:footnote w:id="26">
    <w:p w14:paraId="00000073" w14:textId="6EFF4F59" w:rsidR="002E5B72" w:rsidRPr="005223C1" w:rsidRDefault="00261A88" w:rsidP="00D474EC">
      <w:pPr>
        <w:pBdr>
          <w:top w:val="nil"/>
          <w:left w:val="nil"/>
          <w:bottom w:val="nil"/>
          <w:right w:val="nil"/>
          <w:between w:val="nil"/>
        </w:pBdr>
        <w:ind w:left="113" w:hanging="113"/>
        <w:rPr>
          <w:rFonts w:asciiTheme="minorHAnsi" w:eastAsia="Calibri" w:hAnsiTheme="minorHAnsi" w:cstheme="minorHAnsi"/>
          <w:color w:val="000000"/>
          <w:sz w:val="20"/>
          <w:szCs w:val="20"/>
        </w:rPr>
      </w:pPr>
      <w:r w:rsidRPr="005223C1">
        <w:rPr>
          <w:rStyle w:val="FootnoteReference"/>
          <w:rFonts w:asciiTheme="minorHAnsi" w:hAnsiTheme="minorHAnsi" w:cstheme="minorHAnsi"/>
          <w:sz w:val="20"/>
          <w:szCs w:val="20"/>
        </w:rPr>
        <w:footnoteRef/>
      </w:r>
      <w:r w:rsidRPr="005223C1">
        <w:rPr>
          <w:rFonts w:asciiTheme="minorHAnsi" w:eastAsia="Calibri" w:hAnsiTheme="minorHAnsi" w:cstheme="minorHAnsi"/>
          <w:color w:val="000000"/>
          <w:sz w:val="20"/>
          <w:szCs w:val="20"/>
        </w:rPr>
        <w:t xml:space="preserve"> CAT, Concluding observations May 2022, para. 45. </w:t>
      </w:r>
    </w:p>
  </w:footnote>
  <w:footnote w:id="27">
    <w:p w14:paraId="00000074" w14:textId="24FD0B37" w:rsidR="002E5B72" w:rsidRPr="005223C1" w:rsidRDefault="00261A88" w:rsidP="00D474EC">
      <w:pPr>
        <w:pBdr>
          <w:top w:val="nil"/>
          <w:left w:val="nil"/>
          <w:bottom w:val="nil"/>
          <w:right w:val="nil"/>
          <w:between w:val="nil"/>
        </w:pBdr>
        <w:ind w:left="113" w:hanging="113"/>
        <w:rPr>
          <w:rFonts w:asciiTheme="minorHAnsi" w:eastAsia="Calibri" w:hAnsiTheme="minorHAnsi" w:cstheme="minorHAnsi"/>
          <w:color w:val="000000"/>
          <w:sz w:val="20"/>
          <w:szCs w:val="20"/>
        </w:rPr>
      </w:pPr>
      <w:r w:rsidRPr="005223C1">
        <w:rPr>
          <w:rStyle w:val="FootnoteReference"/>
          <w:rFonts w:asciiTheme="minorHAnsi" w:hAnsiTheme="minorHAnsi" w:cstheme="minorHAnsi"/>
          <w:sz w:val="20"/>
          <w:szCs w:val="20"/>
        </w:rPr>
        <w:footnoteRef/>
      </w:r>
      <w:r w:rsidRPr="005223C1">
        <w:rPr>
          <w:rFonts w:asciiTheme="minorHAnsi" w:eastAsia="Calibri" w:hAnsiTheme="minorHAnsi" w:cstheme="minorHAnsi"/>
          <w:color w:val="000000"/>
          <w:sz w:val="20"/>
          <w:szCs w:val="20"/>
        </w:rPr>
        <w:t xml:space="preserve"> </w:t>
      </w:r>
      <w:r w:rsidR="00B3143A" w:rsidRPr="005223C1">
        <w:rPr>
          <w:rFonts w:asciiTheme="minorHAnsi" w:eastAsia="Calibri" w:hAnsiTheme="minorHAnsi" w:cstheme="minorHAnsi"/>
          <w:color w:val="000000"/>
          <w:sz w:val="20"/>
          <w:szCs w:val="20"/>
        </w:rPr>
        <w:t>Id.</w:t>
      </w:r>
      <w:r w:rsidRPr="005223C1">
        <w:rPr>
          <w:rFonts w:asciiTheme="minorHAnsi" w:eastAsia="Calibri" w:hAnsiTheme="minorHAnsi" w:cstheme="minorHAnsi"/>
          <w:color w:val="000000"/>
          <w:sz w:val="20"/>
          <w:szCs w:val="20"/>
        </w:rPr>
        <w:t xml:space="preserve"> </w:t>
      </w:r>
      <w:r w:rsidR="00B3143A" w:rsidRPr="005223C1">
        <w:rPr>
          <w:rFonts w:asciiTheme="minorHAnsi" w:eastAsia="Calibri" w:hAnsiTheme="minorHAnsi" w:cstheme="minorHAnsi"/>
          <w:color w:val="000000"/>
          <w:sz w:val="20"/>
          <w:szCs w:val="20"/>
        </w:rPr>
        <w:t xml:space="preserve">at </w:t>
      </w:r>
      <w:r w:rsidRPr="005223C1">
        <w:rPr>
          <w:rFonts w:asciiTheme="minorHAnsi" w:eastAsia="Calibri" w:hAnsiTheme="minorHAnsi" w:cstheme="minorHAnsi"/>
          <w:color w:val="000000"/>
          <w:sz w:val="20"/>
          <w:szCs w:val="20"/>
        </w:rPr>
        <w:t xml:space="preserve">29. </w:t>
      </w:r>
    </w:p>
  </w:footnote>
  <w:footnote w:id="28">
    <w:p w14:paraId="00000075" w14:textId="77777777" w:rsidR="002E5B72" w:rsidRPr="005223C1" w:rsidRDefault="00261A88" w:rsidP="00D474EC">
      <w:pPr>
        <w:pBdr>
          <w:top w:val="nil"/>
          <w:left w:val="nil"/>
          <w:bottom w:val="nil"/>
          <w:right w:val="nil"/>
          <w:between w:val="nil"/>
        </w:pBdr>
        <w:ind w:left="113" w:hanging="113"/>
        <w:rPr>
          <w:rFonts w:asciiTheme="minorHAnsi" w:eastAsia="Calibri" w:hAnsiTheme="minorHAnsi" w:cstheme="minorHAnsi"/>
          <w:color w:val="000000"/>
          <w:sz w:val="20"/>
          <w:szCs w:val="20"/>
        </w:rPr>
      </w:pPr>
      <w:r w:rsidRPr="005223C1">
        <w:rPr>
          <w:rStyle w:val="FootnoteReference"/>
          <w:rFonts w:asciiTheme="minorHAnsi" w:hAnsiTheme="minorHAnsi" w:cstheme="minorHAnsi"/>
          <w:sz w:val="20"/>
          <w:szCs w:val="20"/>
        </w:rPr>
        <w:footnoteRef/>
      </w:r>
      <w:r w:rsidRPr="005223C1">
        <w:rPr>
          <w:rFonts w:asciiTheme="minorHAnsi" w:eastAsia="Calibri" w:hAnsiTheme="minorHAnsi" w:cstheme="minorHAnsi"/>
          <w:color w:val="000000"/>
          <w:sz w:val="20"/>
          <w:szCs w:val="20"/>
        </w:rPr>
        <w:t xml:space="preserve"> </w:t>
      </w:r>
      <w:r w:rsidRPr="005223C1">
        <w:rPr>
          <w:rFonts w:asciiTheme="minorHAnsi" w:eastAsia="Calibri" w:hAnsiTheme="minorHAnsi" w:cstheme="minorHAnsi"/>
          <w:sz w:val="20"/>
          <w:szCs w:val="20"/>
        </w:rPr>
        <w:t>Id.</w:t>
      </w:r>
    </w:p>
  </w:footnote>
  <w:footnote w:id="29">
    <w:p w14:paraId="00000076" w14:textId="0404A4F7" w:rsidR="002E5B72" w:rsidRPr="005223C1" w:rsidRDefault="00261A88" w:rsidP="00D474EC">
      <w:pPr>
        <w:ind w:left="113" w:hanging="113"/>
        <w:rPr>
          <w:rFonts w:asciiTheme="minorHAnsi" w:eastAsia="Calibri" w:hAnsiTheme="minorHAnsi" w:cstheme="minorHAnsi"/>
          <w:sz w:val="20"/>
          <w:szCs w:val="20"/>
        </w:rPr>
      </w:pPr>
      <w:r w:rsidRPr="005223C1">
        <w:rPr>
          <w:rStyle w:val="FootnoteReference"/>
          <w:rFonts w:asciiTheme="minorHAnsi" w:hAnsiTheme="minorHAnsi" w:cstheme="minorHAnsi"/>
          <w:sz w:val="20"/>
          <w:szCs w:val="20"/>
        </w:rPr>
        <w:footnoteRef/>
      </w:r>
      <w:r w:rsidRPr="005223C1">
        <w:rPr>
          <w:rFonts w:asciiTheme="minorHAnsi" w:eastAsia="Calibri" w:hAnsiTheme="minorHAnsi" w:cstheme="minorHAnsi"/>
          <w:sz w:val="20"/>
          <w:szCs w:val="20"/>
          <w:vertAlign w:val="superscript"/>
        </w:rPr>
        <w:t xml:space="preserve"> </w:t>
      </w:r>
      <w:r w:rsidRPr="005223C1">
        <w:rPr>
          <w:rFonts w:asciiTheme="minorHAnsi" w:eastAsia="Calibri" w:hAnsiTheme="minorHAnsi" w:cstheme="minorHAnsi"/>
          <w:sz w:val="20"/>
          <w:szCs w:val="20"/>
        </w:rPr>
        <w:t>HRW, ‘Unchecked Injustice</w:t>
      </w:r>
      <w:r w:rsidR="00B3143A" w:rsidRPr="005223C1">
        <w:rPr>
          <w:rFonts w:asciiTheme="minorHAnsi" w:eastAsia="Calibri" w:hAnsiTheme="minorHAnsi" w:cstheme="minorHAnsi"/>
          <w:sz w:val="20"/>
          <w:szCs w:val="20"/>
        </w:rPr>
        <w:t>’,</w:t>
      </w:r>
      <w:r w:rsidRPr="005223C1">
        <w:rPr>
          <w:rFonts w:asciiTheme="minorHAnsi" w:eastAsia="Calibri" w:hAnsiTheme="minorHAnsi" w:cstheme="minorHAnsi"/>
          <w:sz w:val="20"/>
          <w:szCs w:val="20"/>
        </w:rPr>
        <w:t xml:space="preserve"> pp. 61-62.</w:t>
      </w:r>
    </w:p>
  </w:footnote>
  <w:footnote w:id="30">
    <w:p w14:paraId="00000092" w14:textId="77777777" w:rsidR="002E5B72" w:rsidRPr="005223C1" w:rsidRDefault="00261A88" w:rsidP="00D474EC">
      <w:pPr>
        <w:ind w:left="113" w:hanging="113"/>
        <w:rPr>
          <w:rFonts w:asciiTheme="minorHAnsi" w:eastAsia="Calibri" w:hAnsiTheme="minorHAnsi" w:cstheme="minorHAnsi"/>
          <w:sz w:val="20"/>
          <w:szCs w:val="20"/>
        </w:rPr>
      </w:pPr>
      <w:r w:rsidRPr="005223C1">
        <w:rPr>
          <w:rStyle w:val="FootnoteReference"/>
          <w:rFonts w:asciiTheme="minorHAnsi" w:hAnsiTheme="minorHAnsi" w:cstheme="minorHAnsi"/>
          <w:sz w:val="20"/>
          <w:szCs w:val="20"/>
        </w:rPr>
        <w:footnoteRef/>
      </w:r>
      <w:r w:rsidRPr="005223C1">
        <w:rPr>
          <w:rFonts w:asciiTheme="minorHAnsi" w:eastAsia="Calibri" w:hAnsiTheme="minorHAnsi" w:cstheme="minorHAnsi"/>
          <w:sz w:val="20"/>
          <w:szCs w:val="20"/>
        </w:rPr>
        <w:t xml:space="preserve"> Joint Statement Condemning the Arbitrary Detention without charge of Human Rights Defenders, following The End Femicide March held on 10 December 2024, 16 December 2024, </w:t>
      </w:r>
      <w:hyperlink r:id="rId17">
        <w:r w:rsidRPr="005223C1">
          <w:rPr>
            <w:rFonts w:asciiTheme="minorHAnsi" w:eastAsia="Calibri" w:hAnsiTheme="minorHAnsi" w:cstheme="minorHAnsi"/>
            <w:color w:val="1155CC"/>
            <w:sz w:val="20"/>
            <w:szCs w:val="20"/>
            <w:u w:val="single"/>
          </w:rPr>
          <w:t>https://www.amnestykenya.org/statement-condemning-the-arbitrary-detention-without-charge-of-human-rights-defenders-following-the-end-femicide-march-held-on-10-december-2024/</w:t>
        </w:r>
      </w:hyperlink>
      <w:r w:rsidRPr="005223C1">
        <w:rPr>
          <w:rFonts w:asciiTheme="minorHAnsi" w:eastAsia="Calibri" w:hAnsiTheme="minorHAnsi" w:cstheme="minorHAnsi"/>
          <w:sz w:val="20"/>
          <w:szCs w:val="20"/>
        </w:rPr>
        <w:t xml:space="preserve">. </w:t>
      </w:r>
    </w:p>
  </w:footnote>
  <w:footnote w:id="31">
    <w:p w14:paraId="00000077" w14:textId="667D807C" w:rsidR="002E5B72" w:rsidRPr="005223C1" w:rsidRDefault="00261A88" w:rsidP="00D474EC">
      <w:pPr>
        <w:ind w:left="113" w:hanging="113"/>
        <w:rPr>
          <w:rFonts w:asciiTheme="minorHAnsi" w:eastAsia="Calibri" w:hAnsiTheme="minorHAnsi" w:cstheme="minorHAnsi"/>
          <w:sz w:val="20"/>
          <w:szCs w:val="20"/>
        </w:rPr>
      </w:pPr>
      <w:r w:rsidRPr="005223C1">
        <w:rPr>
          <w:rStyle w:val="FootnoteReference"/>
          <w:rFonts w:asciiTheme="minorHAnsi" w:hAnsiTheme="minorHAnsi" w:cstheme="minorHAnsi"/>
          <w:sz w:val="20"/>
          <w:szCs w:val="20"/>
        </w:rPr>
        <w:footnoteRef/>
      </w:r>
      <w:r w:rsidRPr="005223C1">
        <w:rPr>
          <w:rFonts w:asciiTheme="minorHAnsi" w:hAnsiTheme="minorHAnsi" w:cstheme="minorHAnsi"/>
          <w:sz w:val="20"/>
          <w:szCs w:val="20"/>
          <w:vertAlign w:val="superscript"/>
        </w:rPr>
        <w:t xml:space="preserve"> </w:t>
      </w:r>
      <w:r w:rsidRPr="005223C1">
        <w:rPr>
          <w:rFonts w:asciiTheme="minorHAnsi" w:eastAsia="Calibri" w:hAnsiTheme="minorHAnsi" w:cstheme="minorHAnsi"/>
          <w:sz w:val="20"/>
          <w:szCs w:val="20"/>
        </w:rPr>
        <w:t>HRW, ‘Unchecked Injustice</w:t>
      </w:r>
      <w:r w:rsidR="00B3143A" w:rsidRPr="005223C1">
        <w:rPr>
          <w:rFonts w:asciiTheme="minorHAnsi" w:eastAsia="Calibri" w:hAnsiTheme="minorHAnsi" w:cstheme="minorHAnsi"/>
          <w:sz w:val="20"/>
          <w:szCs w:val="20"/>
        </w:rPr>
        <w:t>’,</w:t>
      </w:r>
      <w:r w:rsidRPr="005223C1">
        <w:rPr>
          <w:rFonts w:asciiTheme="minorHAnsi" w:eastAsia="Calibri" w:hAnsiTheme="minorHAnsi" w:cstheme="minorHAnsi"/>
          <w:sz w:val="20"/>
          <w:szCs w:val="20"/>
        </w:rPr>
        <w:t xml:space="preserve"> p. 63</w:t>
      </w:r>
    </w:p>
  </w:footnote>
  <w:footnote w:id="32">
    <w:p w14:paraId="00000078" w14:textId="77B6F3C1" w:rsidR="002E5B72" w:rsidRPr="005223C1" w:rsidRDefault="00261A88" w:rsidP="00D474EC">
      <w:pPr>
        <w:pBdr>
          <w:top w:val="nil"/>
          <w:left w:val="nil"/>
          <w:bottom w:val="nil"/>
          <w:right w:val="nil"/>
          <w:between w:val="nil"/>
        </w:pBdr>
        <w:ind w:left="113" w:hanging="113"/>
        <w:rPr>
          <w:rFonts w:asciiTheme="minorHAnsi" w:eastAsia="Calibri" w:hAnsiTheme="minorHAnsi" w:cstheme="minorHAnsi"/>
          <w:color w:val="000000"/>
          <w:sz w:val="20"/>
          <w:szCs w:val="20"/>
        </w:rPr>
      </w:pPr>
      <w:r w:rsidRPr="005223C1">
        <w:rPr>
          <w:rStyle w:val="FootnoteReference"/>
          <w:rFonts w:asciiTheme="minorHAnsi" w:hAnsiTheme="minorHAnsi" w:cstheme="minorHAnsi"/>
          <w:sz w:val="20"/>
          <w:szCs w:val="20"/>
        </w:rPr>
        <w:footnoteRef/>
      </w:r>
      <w:r w:rsidRPr="005223C1">
        <w:rPr>
          <w:rFonts w:asciiTheme="minorHAnsi" w:eastAsia="Calibri" w:hAnsiTheme="minorHAnsi" w:cstheme="minorHAnsi"/>
          <w:color w:val="000000"/>
          <w:sz w:val="20"/>
          <w:szCs w:val="20"/>
          <w:vertAlign w:val="superscript"/>
        </w:rPr>
        <w:t xml:space="preserve"> </w:t>
      </w:r>
      <w:r w:rsidRPr="005223C1">
        <w:rPr>
          <w:rFonts w:asciiTheme="minorHAnsi" w:eastAsia="Calibri" w:hAnsiTheme="minorHAnsi" w:cstheme="minorHAnsi"/>
          <w:color w:val="000000"/>
          <w:sz w:val="20"/>
          <w:szCs w:val="20"/>
        </w:rPr>
        <w:t>IMLU, ‘Death, Blood &amp; Tears’, pp. 44-46.</w:t>
      </w:r>
    </w:p>
  </w:footnote>
  <w:footnote w:id="33">
    <w:p w14:paraId="00000079" w14:textId="25C830B6" w:rsidR="002E5B72" w:rsidRPr="005223C1" w:rsidRDefault="00261A88" w:rsidP="00D474EC">
      <w:pPr>
        <w:ind w:left="113" w:hanging="113"/>
        <w:rPr>
          <w:rFonts w:asciiTheme="minorHAnsi" w:eastAsia="Calibri" w:hAnsiTheme="minorHAnsi" w:cstheme="minorHAnsi"/>
          <w:sz w:val="20"/>
          <w:szCs w:val="20"/>
        </w:rPr>
      </w:pPr>
      <w:r w:rsidRPr="005223C1">
        <w:rPr>
          <w:rStyle w:val="FootnoteReference"/>
          <w:rFonts w:asciiTheme="minorHAnsi" w:hAnsiTheme="minorHAnsi" w:cstheme="minorHAnsi"/>
          <w:sz w:val="20"/>
          <w:szCs w:val="20"/>
        </w:rPr>
        <w:footnoteRef/>
      </w:r>
      <w:r w:rsidRPr="005223C1">
        <w:rPr>
          <w:rFonts w:asciiTheme="minorHAnsi" w:hAnsiTheme="minorHAnsi" w:cstheme="minorHAnsi"/>
          <w:sz w:val="20"/>
          <w:szCs w:val="20"/>
        </w:rPr>
        <w:t xml:space="preserve"> </w:t>
      </w:r>
      <w:r w:rsidRPr="005223C1">
        <w:rPr>
          <w:rFonts w:asciiTheme="minorHAnsi" w:eastAsia="Calibri" w:hAnsiTheme="minorHAnsi" w:cstheme="minorHAnsi"/>
          <w:sz w:val="20"/>
          <w:szCs w:val="20"/>
        </w:rPr>
        <w:t>HRW, ‘Unchecked Injustice</w:t>
      </w:r>
      <w:r w:rsidR="00B3143A" w:rsidRPr="005223C1">
        <w:rPr>
          <w:rFonts w:asciiTheme="minorHAnsi" w:eastAsia="Calibri" w:hAnsiTheme="minorHAnsi" w:cstheme="minorHAnsi"/>
          <w:sz w:val="20"/>
          <w:szCs w:val="20"/>
        </w:rPr>
        <w:t xml:space="preserve">’, </w:t>
      </w:r>
      <w:r w:rsidRPr="005223C1">
        <w:rPr>
          <w:rFonts w:asciiTheme="minorHAnsi" w:eastAsia="Calibri" w:hAnsiTheme="minorHAnsi" w:cstheme="minorHAnsi"/>
          <w:sz w:val="20"/>
          <w:szCs w:val="20"/>
        </w:rPr>
        <w:t>p. 62.</w:t>
      </w:r>
    </w:p>
  </w:footnote>
  <w:footnote w:id="34">
    <w:p w14:paraId="0000007A" w14:textId="77777777" w:rsidR="002E5B72" w:rsidRPr="005223C1" w:rsidRDefault="00261A88" w:rsidP="00D474EC">
      <w:pPr>
        <w:pBdr>
          <w:top w:val="nil"/>
          <w:left w:val="nil"/>
          <w:bottom w:val="nil"/>
          <w:right w:val="nil"/>
          <w:between w:val="nil"/>
        </w:pBdr>
        <w:ind w:left="113" w:hanging="113"/>
        <w:rPr>
          <w:rFonts w:asciiTheme="minorHAnsi" w:eastAsia="Calibri" w:hAnsiTheme="minorHAnsi" w:cstheme="minorHAnsi"/>
          <w:color w:val="000000"/>
          <w:sz w:val="20"/>
          <w:szCs w:val="20"/>
        </w:rPr>
      </w:pPr>
      <w:r w:rsidRPr="005223C1">
        <w:rPr>
          <w:rStyle w:val="FootnoteReference"/>
          <w:rFonts w:asciiTheme="minorHAnsi" w:hAnsiTheme="minorHAnsi" w:cstheme="minorHAnsi"/>
          <w:sz w:val="20"/>
          <w:szCs w:val="20"/>
        </w:rPr>
        <w:footnoteRef/>
      </w:r>
      <w:r w:rsidRPr="005223C1">
        <w:rPr>
          <w:rFonts w:asciiTheme="minorHAnsi" w:eastAsia="Calibri" w:hAnsiTheme="minorHAnsi" w:cstheme="minorHAnsi"/>
          <w:color w:val="000000"/>
          <w:sz w:val="20"/>
          <w:szCs w:val="20"/>
        </w:rPr>
        <w:t xml:space="preserve"> </w:t>
      </w:r>
      <w:r w:rsidRPr="005223C1">
        <w:rPr>
          <w:rFonts w:asciiTheme="minorHAnsi" w:eastAsia="Calibri" w:hAnsiTheme="minorHAnsi" w:cstheme="minorHAnsi"/>
          <w:sz w:val="20"/>
          <w:szCs w:val="20"/>
        </w:rPr>
        <w:t>Id. at 7.</w:t>
      </w:r>
    </w:p>
  </w:footnote>
  <w:footnote w:id="35">
    <w:p w14:paraId="0000007B" w14:textId="6DF74447" w:rsidR="002E5B72" w:rsidRPr="005223C1" w:rsidRDefault="00261A88" w:rsidP="00D474EC">
      <w:pPr>
        <w:pBdr>
          <w:top w:val="nil"/>
          <w:left w:val="nil"/>
          <w:bottom w:val="nil"/>
          <w:right w:val="nil"/>
          <w:between w:val="nil"/>
        </w:pBdr>
        <w:ind w:left="113" w:hanging="113"/>
        <w:rPr>
          <w:rFonts w:asciiTheme="minorHAnsi" w:eastAsia="Calibri" w:hAnsiTheme="minorHAnsi" w:cstheme="minorHAnsi"/>
          <w:color w:val="000000"/>
          <w:sz w:val="20"/>
          <w:szCs w:val="20"/>
        </w:rPr>
      </w:pPr>
      <w:r w:rsidRPr="005223C1">
        <w:rPr>
          <w:rStyle w:val="FootnoteReference"/>
          <w:rFonts w:asciiTheme="minorHAnsi" w:hAnsiTheme="minorHAnsi" w:cstheme="minorHAnsi"/>
          <w:sz w:val="20"/>
          <w:szCs w:val="20"/>
        </w:rPr>
        <w:footnoteRef/>
      </w:r>
      <w:r w:rsidRPr="005223C1">
        <w:rPr>
          <w:rFonts w:asciiTheme="minorHAnsi" w:eastAsia="Calibri" w:hAnsiTheme="minorHAnsi" w:cstheme="minorHAnsi"/>
          <w:color w:val="000000"/>
          <w:sz w:val="20"/>
          <w:szCs w:val="20"/>
        </w:rPr>
        <w:t xml:space="preserve"> CAT, Concluding observations May 2022, para. 47. </w:t>
      </w:r>
    </w:p>
  </w:footnote>
  <w:footnote w:id="36">
    <w:p w14:paraId="0000007C" w14:textId="0C01810D" w:rsidR="002E5B72" w:rsidRPr="005223C1" w:rsidRDefault="00261A88" w:rsidP="00D474EC">
      <w:pPr>
        <w:pBdr>
          <w:top w:val="nil"/>
          <w:left w:val="nil"/>
          <w:bottom w:val="nil"/>
          <w:right w:val="nil"/>
          <w:between w:val="nil"/>
        </w:pBdr>
        <w:ind w:left="113" w:hanging="113"/>
        <w:rPr>
          <w:rFonts w:asciiTheme="minorHAnsi" w:eastAsia="Calibri" w:hAnsiTheme="minorHAnsi" w:cstheme="minorHAnsi"/>
          <w:color w:val="000000"/>
          <w:sz w:val="20"/>
          <w:szCs w:val="20"/>
        </w:rPr>
      </w:pPr>
      <w:r w:rsidRPr="005223C1">
        <w:rPr>
          <w:rStyle w:val="FootnoteReference"/>
          <w:rFonts w:asciiTheme="minorHAnsi" w:hAnsiTheme="minorHAnsi" w:cstheme="minorHAnsi"/>
          <w:sz w:val="20"/>
          <w:szCs w:val="20"/>
        </w:rPr>
        <w:footnoteRef/>
      </w:r>
      <w:r w:rsidRPr="005223C1">
        <w:rPr>
          <w:rFonts w:asciiTheme="minorHAnsi" w:eastAsia="Calibri" w:hAnsiTheme="minorHAnsi" w:cstheme="minorHAnsi"/>
          <w:color w:val="000000"/>
          <w:sz w:val="20"/>
          <w:szCs w:val="20"/>
        </w:rPr>
        <w:t xml:space="preserve"> </w:t>
      </w:r>
      <w:r w:rsidRPr="005223C1">
        <w:rPr>
          <w:rFonts w:asciiTheme="minorHAnsi" w:eastAsia="Calibri" w:hAnsiTheme="minorHAnsi" w:cstheme="minorHAnsi"/>
          <w:sz w:val="20"/>
          <w:szCs w:val="20"/>
        </w:rPr>
        <w:t>Id. at</w:t>
      </w:r>
      <w:r w:rsidRPr="005223C1">
        <w:rPr>
          <w:rFonts w:asciiTheme="minorHAnsi" w:eastAsia="Calibri" w:hAnsiTheme="minorHAnsi" w:cstheme="minorHAnsi"/>
          <w:color w:val="000000"/>
          <w:sz w:val="20"/>
          <w:szCs w:val="20"/>
        </w:rPr>
        <w:t xml:space="preserve"> 23. </w:t>
      </w:r>
    </w:p>
  </w:footnote>
  <w:footnote w:id="37">
    <w:p w14:paraId="00000099" w14:textId="77777777" w:rsidR="002E5B72" w:rsidRPr="005223C1" w:rsidRDefault="00261A88" w:rsidP="00D474EC">
      <w:pPr>
        <w:ind w:left="113" w:hanging="113"/>
        <w:rPr>
          <w:rFonts w:asciiTheme="minorHAnsi" w:eastAsia="Calibri" w:hAnsiTheme="minorHAnsi" w:cstheme="minorHAnsi"/>
          <w:sz w:val="20"/>
          <w:szCs w:val="20"/>
        </w:rPr>
      </w:pPr>
      <w:r w:rsidRPr="005223C1">
        <w:rPr>
          <w:rStyle w:val="FootnoteReference"/>
          <w:rFonts w:asciiTheme="minorHAnsi" w:hAnsiTheme="minorHAnsi" w:cstheme="minorHAnsi"/>
          <w:sz w:val="20"/>
          <w:szCs w:val="20"/>
        </w:rPr>
        <w:footnoteRef/>
      </w:r>
      <w:r w:rsidRPr="005223C1">
        <w:rPr>
          <w:rFonts w:asciiTheme="minorHAnsi" w:eastAsia="Calibri" w:hAnsiTheme="minorHAnsi" w:cstheme="minorHAnsi"/>
          <w:sz w:val="20"/>
          <w:szCs w:val="20"/>
        </w:rPr>
        <w:t xml:space="preserve"> REDRESS, ‘Kenyan Government Found Responsible for Post-Election Sexual Violence’, 10 December 2020, </w:t>
      </w:r>
      <w:hyperlink r:id="rId18">
        <w:r w:rsidRPr="005223C1">
          <w:rPr>
            <w:rFonts w:asciiTheme="minorHAnsi" w:eastAsia="Calibri" w:hAnsiTheme="minorHAnsi" w:cstheme="minorHAnsi"/>
            <w:color w:val="1155CC"/>
            <w:sz w:val="20"/>
            <w:szCs w:val="20"/>
            <w:u w:val="single"/>
          </w:rPr>
          <w:t>https://redress.org/news/kenyan-government-found-responsible-for-post-election-sexual-violence/</w:t>
        </w:r>
      </w:hyperlink>
      <w:r w:rsidRPr="005223C1">
        <w:rPr>
          <w:rFonts w:asciiTheme="minorHAnsi" w:eastAsia="Calibri" w:hAnsiTheme="minorHAnsi" w:cstheme="minorHAnsi"/>
          <w:sz w:val="20"/>
          <w:szCs w:val="20"/>
        </w:rPr>
        <w:t xml:space="preserve">. </w:t>
      </w:r>
    </w:p>
  </w:footnote>
  <w:footnote w:id="38">
    <w:p w14:paraId="00000093" w14:textId="77777777" w:rsidR="002E5B72" w:rsidRPr="005223C1" w:rsidRDefault="00261A88" w:rsidP="00D474EC">
      <w:pPr>
        <w:ind w:left="113" w:hanging="113"/>
        <w:rPr>
          <w:rFonts w:asciiTheme="minorHAnsi" w:eastAsia="Calibri" w:hAnsiTheme="minorHAnsi" w:cstheme="minorHAnsi"/>
          <w:sz w:val="20"/>
          <w:szCs w:val="20"/>
        </w:rPr>
      </w:pPr>
      <w:r w:rsidRPr="005223C1">
        <w:rPr>
          <w:rStyle w:val="FootnoteReference"/>
          <w:rFonts w:asciiTheme="minorHAnsi" w:hAnsiTheme="minorHAnsi" w:cstheme="minorHAnsi"/>
          <w:sz w:val="20"/>
          <w:szCs w:val="20"/>
        </w:rPr>
        <w:footnoteRef/>
      </w:r>
      <w:r w:rsidRPr="005223C1">
        <w:rPr>
          <w:rFonts w:asciiTheme="minorHAnsi" w:eastAsia="Calibri" w:hAnsiTheme="minorHAnsi" w:cstheme="minorHAnsi"/>
          <w:sz w:val="20"/>
          <w:szCs w:val="20"/>
        </w:rPr>
        <w:t xml:space="preserve"> The Advocates for Human Rights, ‘The Republic of Kenya: Joint Stakeholder Report for the United Nations Universal Periodic Review: The Death Penalty’, 11 October 2024, </w:t>
      </w:r>
      <w:hyperlink r:id="rId19">
        <w:r w:rsidRPr="005223C1">
          <w:rPr>
            <w:rFonts w:asciiTheme="minorHAnsi" w:eastAsia="Calibri" w:hAnsiTheme="minorHAnsi" w:cstheme="minorHAnsi"/>
            <w:color w:val="0000FF"/>
            <w:sz w:val="20"/>
            <w:szCs w:val="20"/>
            <w:u w:val="single"/>
          </w:rPr>
          <w:t>https://www.theadvocatesforhumanrights.org/International_Submissions/A/Index?id=520</w:t>
        </w:r>
      </w:hyperlink>
      <w:r w:rsidRPr="005223C1">
        <w:rPr>
          <w:rFonts w:asciiTheme="minorHAnsi" w:eastAsia="Calibri" w:hAnsiTheme="minorHAnsi" w:cstheme="minorHAnsi"/>
          <w:sz w:val="20"/>
          <w:szCs w:val="20"/>
        </w:rPr>
        <w:t xml:space="preserve">, para. 28. </w:t>
      </w:r>
    </w:p>
  </w:footnote>
  <w:footnote w:id="39">
    <w:p w14:paraId="00000094" w14:textId="77777777" w:rsidR="002E5B72" w:rsidRPr="005223C1" w:rsidRDefault="00261A88" w:rsidP="00D474EC">
      <w:pPr>
        <w:ind w:left="113" w:hanging="113"/>
        <w:rPr>
          <w:rFonts w:asciiTheme="minorHAnsi" w:eastAsia="Calibri" w:hAnsiTheme="minorHAnsi" w:cstheme="minorHAnsi"/>
          <w:sz w:val="20"/>
          <w:szCs w:val="20"/>
        </w:rPr>
      </w:pPr>
      <w:r w:rsidRPr="005223C1">
        <w:rPr>
          <w:rStyle w:val="FootnoteReference"/>
          <w:rFonts w:asciiTheme="minorHAnsi" w:hAnsiTheme="minorHAnsi" w:cstheme="minorHAnsi"/>
          <w:sz w:val="20"/>
          <w:szCs w:val="20"/>
        </w:rPr>
        <w:footnoteRef/>
      </w:r>
      <w:r w:rsidRPr="005223C1">
        <w:rPr>
          <w:rFonts w:asciiTheme="minorHAnsi" w:eastAsia="Calibri" w:hAnsiTheme="minorHAnsi" w:cstheme="minorHAnsi"/>
          <w:sz w:val="20"/>
          <w:szCs w:val="20"/>
        </w:rPr>
        <w:t xml:space="preserve"> Id. at para. 21. </w:t>
      </w:r>
    </w:p>
  </w:footnote>
  <w:footnote w:id="40">
    <w:p w14:paraId="00000095" w14:textId="77777777" w:rsidR="002E5B72" w:rsidRPr="005223C1" w:rsidRDefault="00261A88" w:rsidP="00D474EC">
      <w:pPr>
        <w:ind w:left="113" w:hanging="113"/>
        <w:rPr>
          <w:rFonts w:asciiTheme="minorHAnsi" w:hAnsiTheme="minorHAnsi" w:cstheme="minorHAnsi"/>
          <w:sz w:val="20"/>
          <w:szCs w:val="20"/>
        </w:rPr>
      </w:pPr>
      <w:r w:rsidRPr="005223C1">
        <w:rPr>
          <w:rStyle w:val="FootnoteReference"/>
          <w:rFonts w:asciiTheme="minorHAnsi" w:hAnsiTheme="minorHAnsi" w:cstheme="minorHAnsi"/>
          <w:sz w:val="20"/>
          <w:szCs w:val="20"/>
        </w:rPr>
        <w:footnoteRef/>
      </w:r>
      <w:r w:rsidRPr="005223C1">
        <w:rPr>
          <w:rFonts w:asciiTheme="minorHAnsi" w:eastAsia="Calibri" w:hAnsiTheme="minorHAnsi" w:cstheme="minorHAnsi"/>
          <w:sz w:val="20"/>
          <w:szCs w:val="20"/>
        </w:rPr>
        <w:t xml:space="preserve"> Id. at para. 22. </w:t>
      </w:r>
    </w:p>
  </w:footnote>
  <w:footnote w:id="41">
    <w:p w14:paraId="0000007D" w14:textId="626524FE" w:rsidR="002E5B72" w:rsidRPr="005223C1" w:rsidRDefault="00261A88" w:rsidP="005223C1">
      <w:pPr>
        <w:pBdr>
          <w:top w:val="nil"/>
          <w:left w:val="nil"/>
          <w:bottom w:val="nil"/>
          <w:right w:val="nil"/>
          <w:between w:val="nil"/>
        </w:pBdr>
        <w:ind w:left="113" w:hanging="113"/>
        <w:rPr>
          <w:rFonts w:asciiTheme="minorHAnsi" w:eastAsia="Calibri" w:hAnsiTheme="minorHAnsi" w:cstheme="minorHAnsi"/>
          <w:color w:val="000000"/>
          <w:sz w:val="20"/>
          <w:szCs w:val="20"/>
        </w:rPr>
      </w:pPr>
      <w:r w:rsidRPr="005223C1">
        <w:rPr>
          <w:rStyle w:val="FootnoteReference"/>
          <w:rFonts w:asciiTheme="minorHAnsi" w:hAnsiTheme="minorHAnsi" w:cstheme="minorHAnsi"/>
          <w:sz w:val="20"/>
          <w:szCs w:val="20"/>
        </w:rPr>
        <w:footnoteRef/>
      </w:r>
      <w:r w:rsidRPr="005223C1">
        <w:rPr>
          <w:rFonts w:asciiTheme="minorHAnsi" w:eastAsia="Calibri" w:hAnsiTheme="minorHAnsi" w:cstheme="minorHAnsi"/>
          <w:color w:val="000000"/>
          <w:sz w:val="20"/>
          <w:szCs w:val="20"/>
        </w:rPr>
        <w:t xml:space="preserve"> CAT, Concluding observations May 2022, para. 43. </w:t>
      </w:r>
    </w:p>
  </w:footnote>
  <w:footnote w:id="42">
    <w:p w14:paraId="0000007E" w14:textId="0C3FD68B" w:rsidR="002E5B72" w:rsidRPr="005223C1" w:rsidRDefault="00261A88" w:rsidP="005223C1">
      <w:pPr>
        <w:pBdr>
          <w:top w:val="nil"/>
          <w:left w:val="nil"/>
          <w:bottom w:val="nil"/>
          <w:right w:val="nil"/>
          <w:between w:val="nil"/>
        </w:pBdr>
        <w:ind w:left="113" w:hanging="113"/>
        <w:rPr>
          <w:rFonts w:asciiTheme="minorHAnsi" w:eastAsia="Calibri" w:hAnsiTheme="minorHAnsi" w:cstheme="minorHAnsi"/>
          <w:color w:val="000000"/>
          <w:sz w:val="20"/>
          <w:szCs w:val="20"/>
        </w:rPr>
      </w:pPr>
      <w:r w:rsidRPr="005223C1">
        <w:rPr>
          <w:rStyle w:val="FootnoteReference"/>
          <w:rFonts w:asciiTheme="minorHAnsi" w:hAnsiTheme="minorHAnsi" w:cstheme="minorHAnsi"/>
          <w:sz w:val="20"/>
          <w:szCs w:val="20"/>
        </w:rPr>
        <w:footnoteRef/>
      </w:r>
      <w:r w:rsidRPr="005223C1">
        <w:rPr>
          <w:rFonts w:asciiTheme="minorHAnsi" w:eastAsia="Calibri" w:hAnsiTheme="minorHAnsi" w:cstheme="minorHAnsi"/>
          <w:color w:val="000000"/>
          <w:sz w:val="20"/>
          <w:szCs w:val="20"/>
        </w:rPr>
        <w:t xml:space="preserve"> Sections 162, 163 and 165</w:t>
      </w:r>
      <w:r w:rsidRPr="005223C1">
        <w:rPr>
          <w:rFonts w:asciiTheme="minorHAnsi" w:eastAsia="Calibri" w:hAnsiTheme="minorHAnsi" w:cstheme="minorHAnsi"/>
          <w:sz w:val="20"/>
          <w:szCs w:val="20"/>
        </w:rPr>
        <w:t xml:space="preserve"> of the Penal Code of Kenya. </w:t>
      </w:r>
      <w:r w:rsidRPr="005223C1">
        <w:rPr>
          <w:rFonts w:asciiTheme="minorHAnsi" w:eastAsia="Calibri" w:hAnsiTheme="minorHAnsi" w:cstheme="minorHAnsi"/>
          <w:color w:val="000000"/>
          <w:sz w:val="20"/>
          <w:szCs w:val="20"/>
        </w:rPr>
        <w:t>The Advocates for Human Rights, ‘Kenya: Joint Stakeholder Report for the United Nations Universal Periodic Review: LGBTIQ+ Rights’</w:t>
      </w:r>
      <w:r w:rsidR="00B3143A" w:rsidRPr="005223C1">
        <w:rPr>
          <w:rFonts w:asciiTheme="minorHAnsi" w:eastAsia="Calibri" w:hAnsiTheme="minorHAnsi" w:cstheme="minorHAnsi"/>
          <w:color w:val="000000"/>
          <w:sz w:val="20"/>
          <w:szCs w:val="20"/>
        </w:rPr>
        <w:t xml:space="preserve"> (</w:t>
      </w:r>
      <w:r w:rsidR="00B3143A" w:rsidRPr="005223C1">
        <w:rPr>
          <w:rFonts w:asciiTheme="minorHAnsi" w:eastAsia="Calibri" w:hAnsiTheme="minorHAnsi" w:cstheme="minorHAnsi"/>
          <w:b/>
          <w:bCs/>
          <w:color w:val="000000"/>
          <w:sz w:val="20"/>
          <w:szCs w:val="20"/>
        </w:rPr>
        <w:t>UPR shadow report 2024</w:t>
      </w:r>
      <w:r w:rsidR="00B3143A" w:rsidRPr="005223C1">
        <w:rPr>
          <w:rFonts w:asciiTheme="minorHAnsi" w:eastAsia="Calibri" w:hAnsiTheme="minorHAnsi" w:cstheme="minorHAnsi"/>
          <w:color w:val="000000"/>
          <w:sz w:val="20"/>
          <w:szCs w:val="20"/>
        </w:rPr>
        <w:t>)</w:t>
      </w:r>
      <w:r w:rsidRPr="005223C1">
        <w:rPr>
          <w:rFonts w:asciiTheme="minorHAnsi" w:eastAsia="Calibri" w:hAnsiTheme="minorHAnsi" w:cstheme="minorHAnsi"/>
          <w:color w:val="000000"/>
          <w:sz w:val="20"/>
          <w:szCs w:val="20"/>
        </w:rPr>
        <w:t xml:space="preserve">, 11 October 2024, </w:t>
      </w:r>
      <w:hyperlink r:id="rId20">
        <w:r w:rsidRPr="005223C1">
          <w:rPr>
            <w:rFonts w:asciiTheme="minorHAnsi" w:eastAsia="Calibri" w:hAnsiTheme="minorHAnsi" w:cstheme="minorHAnsi"/>
            <w:color w:val="0000FF"/>
            <w:sz w:val="20"/>
            <w:szCs w:val="20"/>
            <w:u w:val="single"/>
          </w:rPr>
          <w:t>https://www.theadvocatesforhumanrights.org/Res/TAHR%20TEFLK%20Kenya%20UPR%20LGBTIQ%20final%20(1).pdf</w:t>
        </w:r>
      </w:hyperlink>
      <w:r w:rsidRPr="005223C1">
        <w:rPr>
          <w:rFonts w:asciiTheme="minorHAnsi" w:eastAsia="Calibri" w:hAnsiTheme="minorHAnsi" w:cstheme="minorHAnsi"/>
          <w:color w:val="000000"/>
          <w:sz w:val="20"/>
          <w:szCs w:val="20"/>
        </w:rPr>
        <w:t xml:space="preserve">, p. 3. </w:t>
      </w:r>
    </w:p>
  </w:footnote>
  <w:footnote w:id="43">
    <w:p w14:paraId="0000007F" w14:textId="77777777" w:rsidR="002E5B72" w:rsidRPr="005223C1" w:rsidRDefault="00261A88" w:rsidP="005223C1">
      <w:pPr>
        <w:pBdr>
          <w:top w:val="nil"/>
          <w:left w:val="nil"/>
          <w:bottom w:val="nil"/>
          <w:right w:val="nil"/>
          <w:between w:val="nil"/>
        </w:pBdr>
        <w:ind w:left="113" w:hanging="113"/>
        <w:rPr>
          <w:rFonts w:asciiTheme="minorHAnsi" w:eastAsia="Calibri" w:hAnsiTheme="minorHAnsi" w:cstheme="minorHAnsi"/>
          <w:color w:val="000000"/>
          <w:sz w:val="20"/>
          <w:szCs w:val="20"/>
        </w:rPr>
      </w:pPr>
      <w:r w:rsidRPr="005223C1">
        <w:rPr>
          <w:rStyle w:val="FootnoteReference"/>
          <w:rFonts w:asciiTheme="minorHAnsi" w:hAnsiTheme="minorHAnsi" w:cstheme="minorHAnsi"/>
          <w:sz w:val="20"/>
          <w:szCs w:val="20"/>
        </w:rPr>
        <w:footnoteRef/>
      </w:r>
      <w:r w:rsidRPr="005223C1">
        <w:rPr>
          <w:rFonts w:asciiTheme="minorHAnsi" w:eastAsia="Calibri" w:hAnsiTheme="minorHAnsi" w:cstheme="minorHAnsi"/>
          <w:color w:val="000000"/>
          <w:sz w:val="20"/>
          <w:szCs w:val="20"/>
        </w:rPr>
        <w:t xml:space="preserve"> Kenya Human Rights Platform, Kenya SOGIESC Minorities 4</w:t>
      </w:r>
      <w:r w:rsidRPr="005223C1">
        <w:rPr>
          <w:rFonts w:asciiTheme="minorHAnsi" w:eastAsia="Calibri" w:hAnsiTheme="minorHAnsi" w:cstheme="minorHAnsi"/>
          <w:color w:val="000000"/>
          <w:sz w:val="20"/>
          <w:szCs w:val="20"/>
          <w:vertAlign w:val="superscript"/>
        </w:rPr>
        <w:t>th</w:t>
      </w:r>
      <w:r w:rsidRPr="005223C1">
        <w:rPr>
          <w:rFonts w:asciiTheme="minorHAnsi" w:eastAsia="Calibri" w:hAnsiTheme="minorHAnsi" w:cstheme="minorHAnsi"/>
          <w:color w:val="000000"/>
          <w:sz w:val="20"/>
          <w:szCs w:val="20"/>
        </w:rPr>
        <w:t xml:space="preserve"> Cycle Universal Periodic Review (UPR) Shadow Report 2024, </w:t>
      </w:r>
      <w:hyperlink r:id="rId21">
        <w:r w:rsidRPr="005223C1">
          <w:rPr>
            <w:rFonts w:asciiTheme="minorHAnsi" w:eastAsia="Calibri" w:hAnsiTheme="minorHAnsi" w:cstheme="minorHAnsi"/>
            <w:color w:val="0000FF"/>
            <w:sz w:val="20"/>
            <w:szCs w:val="20"/>
            <w:u w:val="single"/>
          </w:rPr>
          <w:t>https://static1.squarespace.com/static/5a1d2df4f6576eb8bfad8b0e/t/672b3571503d297e9de8181d/1730884997865/KENYA+SOGIESC+4TH+CYCLE+UNIVERSAL+PERIODIC+REVIEW+%28UPR%29+SHADOW+REPORT.+FA.pdf</w:t>
        </w:r>
      </w:hyperlink>
      <w:r w:rsidRPr="005223C1">
        <w:rPr>
          <w:rFonts w:asciiTheme="minorHAnsi" w:eastAsia="Calibri" w:hAnsiTheme="minorHAnsi" w:cstheme="minorHAnsi"/>
          <w:color w:val="000000"/>
          <w:sz w:val="20"/>
          <w:szCs w:val="20"/>
        </w:rPr>
        <w:t>, pp. 24-31. Among other legislation, an attempt to introduce a family protection bill that targets gender identity and expression has increased concerns and further fomented violence against this community (p. 17).</w:t>
      </w:r>
    </w:p>
  </w:footnote>
  <w:footnote w:id="44">
    <w:p w14:paraId="00000080" w14:textId="50099AF9" w:rsidR="002E5B72" w:rsidRPr="005223C1" w:rsidRDefault="00261A88" w:rsidP="005223C1">
      <w:pPr>
        <w:pBdr>
          <w:top w:val="nil"/>
          <w:left w:val="nil"/>
          <w:bottom w:val="nil"/>
          <w:right w:val="nil"/>
          <w:between w:val="nil"/>
        </w:pBdr>
        <w:ind w:left="113" w:hanging="113"/>
        <w:rPr>
          <w:rFonts w:asciiTheme="minorHAnsi" w:eastAsia="Calibri" w:hAnsiTheme="minorHAnsi" w:cstheme="minorHAnsi"/>
          <w:color w:val="000000"/>
          <w:sz w:val="20"/>
          <w:szCs w:val="20"/>
        </w:rPr>
      </w:pPr>
      <w:r w:rsidRPr="005223C1">
        <w:rPr>
          <w:rStyle w:val="FootnoteReference"/>
          <w:rFonts w:asciiTheme="minorHAnsi" w:hAnsiTheme="minorHAnsi" w:cstheme="minorHAnsi"/>
          <w:sz w:val="20"/>
          <w:szCs w:val="20"/>
        </w:rPr>
        <w:footnoteRef/>
      </w:r>
      <w:r w:rsidRPr="005223C1">
        <w:rPr>
          <w:rFonts w:asciiTheme="minorHAnsi" w:eastAsia="Calibri" w:hAnsiTheme="minorHAnsi" w:cstheme="minorHAnsi"/>
          <w:color w:val="000000"/>
          <w:sz w:val="20"/>
          <w:szCs w:val="20"/>
        </w:rPr>
        <w:t xml:space="preserve"> The Advocates for Human Rights, ‘</w:t>
      </w:r>
      <w:r w:rsidR="00B3143A" w:rsidRPr="005223C1">
        <w:rPr>
          <w:rFonts w:asciiTheme="minorHAnsi" w:eastAsia="Calibri" w:hAnsiTheme="minorHAnsi" w:cstheme="minorHAnsi"/>
          <w:color w:val="000000"/>
          <w:sz w:val="20"/>
          <w:szCs w:val="20"/>
        </w:rPr>
        <w:t>UPR shadow report 2024</w:t>
      </w:r>
      <w:r w:rsidRPr="005223C1">
        <w:rPr>
          <w:rFonts w:asciiTheme="minorHAnsi" w:eastAsia="Calibri" w:hAnsiTheme="minorHAnsi" w:cstheme="minorHAnsi"/>
          <w:color w:val="000000"/>
          <w:sz w:val="20"/>
          <w:szCs w:val="20"/>
        </w:rPr>
        <w:t>, p. 3.</w:t>
      </w:r>
    </w:p>
  </w:footnote>
  <w:footnote w:id="45">
    <w:p w14:paraId="00000081" w14:textId="77777777" w:rsidR="002E5B72" w:rsidRPr="005223C1" w:rsidRDefault="00261A88" w:rsidP="005223C1">
      <w:pPr>
        <w:pBdr>
          <w:top w:val="nil"/>
          <w:left w:val="nil"/>
          <w:bottom w:val="nil"/>
          <w:right w:val="nil"/>
          <w:between w:val="nil"/>
        </w:pBdr>
        <w:ind w:left="113" w:hanging="113"/>
        <w:rPr>
          <w:rFonts w:asciiTheme="minorHAnsi" w:eastAsia="Calibri" w:hAnsiTheme="minorHAnsi" w:cstheme="minorHAnsi"/>
          <w:color w:val="000000"/>
          <w:sz w:val="20"/>
          <w:szCs w:val="20"/>
        </w:rPr>
      </w:pPr>
      <w:r w:rsidRPr="005223C1">
        <w:rPr>
          <w:rStyle w:val="FootnoteReference"/>
          <w:rFonts w:asciiTheme="minorHAnsi" w:hAnsiTheme="minorHAnsi" w:cstheme="minorHAnsi"/>
          <w:sz w:val="20"/>
          <w:szCs w:val="20"/>
        </w:rPr>
        <w:footnoteRef/>
      </w:r>
      <w:r w:rsidRPr="005223C1">
        <w:rPr>
          <w:rFonts w:asciiTheme="minorHAnsi" w:eastAsia="Calibri" w:hAnsiTheme="minorHAnsi" w:cstheme="minorHAnsi"/>
          <w:color w:val="000000"/>
          <w:sz w:val="20"/>
          <w:szCs w:val="20"/>
        </w:rPr>
        <w:t xml:space="preserve"> National Gay &amp; Lesbian Human Rights Commission and Amnesty International, ‘Kenya: “Justice Like Any Other Person”: Hate Crimes and Discrimination against LGBTI Refugees’, 19 May 2023, </w:t>
      </w:r>
      <w:hyperlink r:id="rId22">
        <w:r w:rsidRPr="005223C1">
          <w:rPr>
            <w:rFonts w:asciiTheme="minorHAnsi" w:eastAsia="Calibri" w:hAnsiTheme="minorHAnsi" w:cstheme="minorHAnsi"/>
            <w:color w:val="0000FF"/>
            <w:sz w:val="20"/>
            <w:szCs w:val="20"/>
            <w:u w:val="single"/>
          </w:rPr>
          <w:t>https://www.amnesty.org/en/documents/afr32/6578/2023/en/</w:t>
        </w:r>
      </w:hyperlink>
      <w:r w:rsidRPr="005223C1">
        <w:rPr>
          <w:rFonts w:asciiTheme="minorHAnsi" w:eastAsia="Calibri" w:hAnsiTheme="minorHAnsi" w:cstheme="minorHAnsi"/>
          <w:color w:val="000000"/>
          <w:sz w:val="20"/>
          <w:szCs w:val="20"/>
        </w:rPr>
        <w:t xml:space="preserve">, pp. 7-8. </w:t>
      </w:r>
    </w:p>
  </w:footnote>
  <w:footnote w:id="46">
    <w:p w14:paraId="00000082" w14:textId="77777777" w:rsidR="002E5B72" w:rsidRPr="005223C1" w:rsidRDefault="00261A88" w:rsidP="005223C1">
      <w:pPr>
        <w:pBdr>
          <w:top w:val="nil"/>
          <w:left w:val="nil"/>
          <w:bottom w:val="nil"/>
          <w:right w:val="nil"/>
          <w:between w:val="nil"/>
        </w:pBdr>
        <w:ind w:left="113" w:hanging="113"/>
        <w:rPr>
          <w:rFonts w:asciiTheme="minorHAnsi" w:eastAsia="Calibri" w:hAnsiTheme="minorHAnsi" w:cstheme="minorHAnsi"/>
          <w:color w:val="000000"/>
          <w:sz w:val="20"/>
          <w:szCs w:val="20"/>
        </w:rPr>
      </w:pPr>
      <w:r w:rsidRPr="005223C1">
        <w:rPr>
          <w:rStyle w:val="FootnoteReference"/>
          <w:rFonts w:asciiTheme="minorHAnsi" w:hAnsiTheme="minorHAnsi" w:cstheme="minorHAnsi"/>
          <w:sz w:val="20"/>
          <w:szCs w:val="20"/>
        </w:rPr>
        <w:footnoteRef/>
      </w:r>
      <w:r w:rsidRPr="005223C1">
        <w:rPr>
          <w:rFonts w:asciiTheme="minorHAnsi" w:eastAsia="Calibri" w:hAnsiTheme="minorHAnsi" w:cstheme="minorHAnsi"/>
          <w:color w:val="000000"/>
          <w:sz w:val="20"/>
          <w:szCs w:val="20"/>
        </w:rPr>
        <w:t xml:space="preserve"> </w:t>
      </w:r>
      <w:r w:rsidRPr="005223C1">
        <w:rPr>
          <w:rFonts w:asciiTheme="minorHAnsi" w:eastAsia="Calibri" w:hAnsiTheme="minorHAnsi" w:cstheme="minorHAnsi"/>
          <w:sz w:val="20"/>
          <w:szCs w:val="20"/>
        </w:rPr>
        <w:t>Id. at</w:t>
      </w:r>
      <w:r w:rsidRPr="005223C1">
        <w:rPr>
          <w:rFonts w:asciiTheme="minorHAnsi" w:eastAsia="Calibri" w:hAnsiTheme="minorHAnsi" w:cstheme="minorHAnsi"/>
          <w:color w:val="000000"/>
          <w:sz w:val="20"/>
          <w:szCs w:val="20"/>
        </w:rPr>
        <w:t xml:space="preserve"> 8. </w:t>
      </w:r>
    </w:p>
  </w:footnote>
  <w:footnote w:id="47">
    <w:p w14:paraId="0000009A" w14:textId="466F9740" w:rsidR="002E5B72" w:rsidRPr="005223C1" w:rsidRDefault="00261A88" w:rsidP="00D474EC">
      <w:pPr>
        <w:ind w:left="113" w:hanging="113"/>
        <w:rPr>
          <w:rFonts w:asciiTheme="minorHAnsi" w:hAnsiTheme="minorHAnsi" w:cstheme="minorHAnsi"/>
          <w:sz w:val="20"/>
          <w:szCs w:val="20"/>
        </w:rPr>
      </w:pPr>
      <w:r w:rsidRPr="005223C1">
        <w:rPr>
          <w:rStyle w:val="FootnoteReference"/>
          <w:rFonts w:asciiTheme="minorHAnsi" w:hAnsiTheme="minorHAnsi" w:cstheme="minorHAnsi"/>
          <w:sz w:val="20"/>
          <w:szCs w:val="20"/>
        </w:rPr>
        <w:footnoteRef/>
      </w:r>
      <w:r w:rsidRPr="005223C1">
        <w:rPr>
          <w:rFonts w:asciiTheme="minorHAnsi" w:hAnsiTheme="minorHAnsi" w:cstheme="minorHAnsi"/>
          <w:sz w:val="20"/>
          <w:szCs w:val="20"/>
        </w:rPr>
        <w:t xml:space="preserve"> </w:t>
      </w:r>
      <w:r w:rsidRPr="005223C1">
        <w:rPr>
          <w:rFonts w:asciiTheme="minorHAnsi" w:eastAsia="Calibri" w:hAnsiTheme="minorHAnsi" w:cstheme="minorHAnsi"/>
          <w:sz w:val="20"/>
          <w:szCs w:val="20"/>
        </w:rPr>
        <w:t xml:space="preserve">CAT, Concluding observations May 2022,  para. 37. </w:t>
      </w:r>
    </w:p>
  </w:footnote>
  <w:footnote w:id="48">
    <w:p w14:paraId="00000096" w14:textId="77777777" w:rsidR="002E5B72" w:rsidRDefault="00261A88" w:rsidP="00D474EC">
      <w:pPr>
        <w:ind w:left="113" w:hanging="113"/>
        <w:rPr>
          <w:rFonts w:ascii="Calibri" w:eastAsia="Calibri" w:hAnsi="Calibri" w:cs="Calibri"/>
          <w:sz w:val="20"/>
          <w:szCs w:val="20"/>
        </w:rPr>
      </w:pPr>
      <w:r w:rsidRPr="005223C1">
        <w:rPr>
          <w:rStyle w:val="FootnoteReference"/>
          <w:rFonts w:asciiTheme="minorHAnsi" w:hAnsiTheme="minorHAnsi" w:cstheme="minorHAnsi"/>
          <w:sz w:val="20"/>
          <w:szCs w:val="20"/>
        </w:rPr>
        <w:footnoteRef/>
      </w:r>
      <w:r w:rsidRPr="005223C1">
        <w:rPr>
          <w:rFonts w:asciiTheme="minorHAnsi" w:hAnsiTheme="minorHAnsi" w:cstheme="minorHAnsi"/>
          <w:sz w:val="20"/>
          <w:szCs w:val="20"/>
        </w:rPr>
        <w:t xml:space="preserve"> </w:t>
      </w:r>
      <w:r w:rsidRPr="005223C1">
        <w:rPr>
          <w:rFonts w:asciiTheme="minorHAnsi" w:eastAsia="Calibri" w:hAnsiTheme="minorHAnsi" w:cstheme="minorHAnsi"/>
          <w:sz w:val="20"/>
          <w:szCs w:val="20"/>
        </w:rPr>
        <w:t xml:space="preserve">Counter Trafficking in Persons Act 2010: </w:t>
      </w:r>
      <w:hyperlink r:id="rId23">
        <w:r w:rsidRPr="005223C1">
          <w:rPr>
            <w:rFonts w:asciiTheme="minorHAnsi" w:eastAsia="Calibri" w:hAnsiTheme="minorHAnsi" w:cstheme="minorHAnsi"/>
            <w:color w:val="1155CC"/>
            <w:sz w:val="20"/>
            <w:szCs w:val="20"/>
            <w:u w:val="single"/>
          </w:rPr>
          <w:t>https://www.kenyalaw.org/kl/fileadmin/pdfdownloads/Acts/Counter-TraffickinginPersonsAct_No8of2010.pdf</w:t>
        </w:r>
      </w:hyperlink>
      <w:r w:rsidRPr="00E65AA3">
        <w:rPr>
          <w:rFonts w:ascii="Calibri" w:eastAsia="Calibri" w:hAnsi="Calibri" w:cs="Calibri"/>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83" w14:textId="77777777" w:rsidR="002E5B72" w:rsidRPr="00E65AA3" w:rsidRDefault="002E5B72">
    <w:pPr>
      <w:pBdr>
        <w:top w:val="nil"/>
        <w:left w:val="nil"/>
        <w:bottom w:val="nil"/>
        <w:right w:val="nil"/>
        <w:between w:val="nil"/>
      </w:pBdr>
      <w:tabs>
        <w:tab w:val="center" w:pos="4320"/>
        <w:tab w:val="right" w:pos="8640"/>
      </w:tabs>
      <w:jc w:val="right"/>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84" w14:textId="77777777" w:rsidR="002E5B72" w:rsidRPr="00E65AA3" w:rsidRDefault="00261A88">
    <w:pPr>
      <w:spacing w:after="120"/>
      <w:ind w:left="-709"/>
      <w:rPr>
        <w:rFonts w:ascii="Calibri" w:eastAsia="Calibri" w:hAnsi="Calibri" w:cs="Calibri"/>
        <w:b/>
        <w:sz w:val="22"/>
        <w:szCs w:val="22"/>
      </w:rPr>
    </w:pPr>
    <w:r w:rsidRPr="00E65AA3">
      <w:rPr>
        <w:rFonts w:ascii="Calibri" w:eastAsia="Calibri" w:hAnsi="Calibri" w:cs="Calibri"/>
        <w:b/>
        <w:sz w:val="22"/>
        <w:szCs w:val="22"/>
      </w:rPr>
      <w:t xml:space="preserve">     </w:t>
    </w:r>
    <w:r w:rsidRPr="00E65AA3">
      <w:rPr>
        <w:rFonts w:ascii="Calibri" w:eastAsia="Calibri" w:hAnsi="Calibri" w:cs="Calibri"/>
        <w:b/>
        <w:noProof/>
        <w:sz w:val="22"/>
        <w:szCs w:val="22"/>
      </w:rPr>
      <w:drawing>
        <wp:inline distT="114300" distB="114300" distL="114300" distR="114300" wp14:anchorId="7EF81ADA" wp14:editId="0F2B11A3">
          <wp:extent cx="2227142" cy="775849"/>
          <wp:effectExtent l="0" t="0" r="0" b="0"/>
          <wp:docPr id="1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2227142" cy="775849"/>
                  </a:xfrm>
                  <a:prstGeom prst="rect">
                    <a:avLst/>
                  </a:prstGeom>
                  <a:ln/>
                </pic:spPr>
              </pic:pic>
            </a:graphicData>
          </a:graphic>
        </wp:inline>
      </w:drawing>
    </w:r>
    <w:r w:rsidRPr="00E65AA3">
      <w:rPr>
        <w:rFonts w:ascii="Calibri" w:eastAsia="Calibri" w:hAnsi="Calibri" w:cs="Calibri"/>
        <w:b/>
        <w:sz w:val="22"/>
        <w:szCs w:val="22"/>
      </w:rPr>
      <w:t xml:space="preserve">                               </w:t>
    </w:r>
    <w:r w:rsidRPr="00E65AA3">
      <w:rPr>
        <w:noProof/>
      </w:rPr>
      <w:drawing>
        <wp:anchor distT="114300" distB="114300" distL="114300" distR="114300" simplePos="0" relativeHeight="251658240" behindDoc="1" locked="0" layoutInCell="1" hidden="0" allowOverlap="1" wp14:anchorId="0250582F" wp14:editId="5F53BEDE">
          <wp:simplePos x="0" y="0"/>
          <wp:positionH relativeFrom="column">
            <wp:posOffset>3576638</wp:posOffset>
          </wp:positionH>
          <wp:positionV relativeFrom="paragraph">
            <wp:posOffset>142875</wp:posOffset>
          </wp:positionV>
          <wp:extent cx="2453676" cy="585788"/>
          <wp:effectExtent l="0" t="0" r="0" b="0"/>
          <wp:wrapNone/>
          <wp:docPr id="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2453676" cy="585788"/>
                  </a:xfrm>
                  <a:prstGeom prst="rect">
                    <a:avLst/>
                  </a:prstGeom>
                  <a:ln/>
                </pic:spPr>
              </pic:pic>
            </a:graphicData>
          </a:graphic>
        </wp:anchor>
      </w:drawing>
    </w:r>
    <w:r w:rsidRPr="00E65AA3">
      <w:rPr>
        <w:noProof/>
      </w:rPr>
      <w:drawing>
        <wp:anchor distT="114300" distB="114300" distL="114300" distR="114300" simplePos="0" relativeHeight="251659264" behindDoc="1" locked="0" layoutInCell="1" hidden="0" allowOverlap="1" wp14:anchorId="2ACE228B" wp14:editId="410FFB73">
          <wp:simplePos x="0" y="0"/>
          <wp:positionH relativeFrom="column">
            <wp:posOffset>2247900</wp:posOffset>
          </wp:positionH>
          <wp:positionV relativeFrom="paragraph">
            <wp:posOffset>-171449</wp:posOffset>
          </wp:positionV>
          <wp:extent cx="1017323" cy="1220788"/>
          <wp:effectExtent l="0" t="0" r="0" b="0"/>
          <wp:wrapNone/>
          <wp:docPr id="1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
                  <a:srcRect/>
                  <a:stretch>
                    <a:fillRect/>
                  </a:stretch>
                </pic:blipFill>
                <pic:spPr>
                  <a:xfrm>
                    <a:off x="0" y="0"/>
                    <a:ext cx="1017323" cy="1220788"/>
                  </a:xfrm>
                  <a:prstGeom prst="rect">
                    <a:avLst/>
                  </a:prstGeom>
                  <a:ln/>
                </pic:spPr>
              </pic:pic>
            </a:graphicData>
          </a:graphic>
        </wp:anchor>
      </w:drawing>
    </w:r>
  </w:p>
  <w:p w14:paraId="00000085" w14:textId="77777777" w:rsidR="002E5B72" w:rsidRPr="00E65AA3" w:rsidRDefault="00261A88">
    <w:pPr>
      <w:spacing w:after="120"/>
      <w:ind w:left="-709"/>
      <w:jc w:val="center"/>
      <w:rPr>
        <w:rFonts w:ascii="Calibri" w:eastAsia="Calibri" w:hAnsi="Calibri" w:cs="Calibri"/>
        <w:b/>
        <w:sz w:val="22"/>
        <w:szCs w:val="22"/>
      </w:rPr>
    </w:pPr>
    <w:r w:rsidRPr="00E65AA3">
      <w:rPr>
        <w:noProof/>
      </w:rPr>
      <w:drawing>
        <wp:anchor distT="114300" distB="114300" distL="114300" distR="114300" simplePos="0" relativeHeight="251660288" behindDoc="1" locked="0" layoutInCell="1" hidden="0" allowOverlap="1" wp14:anchorId="1D2E3329" wp14:editId="106D7135">
          <wp:simplePos x="0" y="0"/>
          <wp:positionH relativeFrom="column">
            <wp:posOffset>1995488</wp:posOffset>
          </wp:positionH>
          <wp:positionV relativeFrom="paragraph">
            <wp:posOffset>265782</wp:posOffset>
          </wp:positionV>
          <wp:extent cx="1523380" cy="924595"/>
          <wp:effectExtent l="0" t="0" r="0" b="0"/>
          <wp:wrapNone/>
          <wp:docPr id="20"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4"/>
                  <a:srcRect/>
                  <a:stretch>
                    <a:fillRect/>
                  </a:stretch>
                </pic:blipFill>
                <pic:spPr>
                  <a:xfrm>
                    <a:off x="0" y="0"/>
                    <a:ext cx="1523380" cy="924595"/>
                  </a:xfrm>
                  <a:prstGeom prst="rect">
                    <a:avLst/>
                  </a:prstGeom>
                  <a:ln/>
                </pic:spPr>
              </pic:pic>
            </a:graphicData>
          </a:graphic>
        </wp:anchor>
      </w:drawing>
    </w:r>
  </w:p>
  <w:p w14:paraId="00000086" w14:textId="77777777" w:rsidR="002E5B72" w:rsidRPr="00E65AA3" w:rsidRDefault="00261A88">
    <w:pPr>
      <w:spacing w:after="120"/>
      <w:ind w:left="-709"/>
      <w:rPr>
        <w:rFonts w:ascii="Calibri" w:eastAsia="Calibri" w:hAnsi="Calibri" w:cs="Calibri"/>
        <w:b/>
        <w:sz w:val="22"/>
        <w:szCs w:val="22"/>
      </w:rPr>
    </w:pPr>
    <w:r w:rsidRPr="00E65AA3">
      <w:rPr>
        <w:rFonts w:ascii="Calibri" w:eastAsia="Calibri" w:hAnsi="Calibri" w:cs="Calibri"/>
        <w:b/>
        <w:noProof/>
        <w:sz w:val="22"/>
        <w:szCs w:val="22"/>
      </w:rPr>
      <w:drawing>
        <wp:inline distT="114300" distB="114300" distL="114300" distR="114300" wp14:anchorId="519CB267" wp14:editId="03750372">
          <wp:extent cx="2233613" cy="872505"/>
          <wp:effectExtent l="0" t="0" r="0" b="0"/>
          <wp:docPr id="1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5"/>
                  <a:srcRect t="8864" r="2291" b="16056"/>
                  <a:stretch>
                    <a:fillRect/>
                  </a:stretch>
                </pic:blipFill>
                <pic:spPr>
                  <a:xfrm>
                    <a:off x="0" y="0"/>
                    <a:ext cx="2233613" cy="872505"/>
                  </a:xfrm>
                  <a:prstGeom prst="rect">
                    <a:avLst/>
                  </a:prstGeom>
                  <a:ln/>
                </pic:spPr>
              </pic:pic>
            </a:graphicData>
          </a:graphic>
        </wp:inline>
      </w:drawing>
    </w:r>
    <w:r w:rsidRPr="00E65AA3">
      <w:rPr>
        <w:noProof/>
      </w:rPr>
      <w:drawing>
        <wp:anchor distT="114300" distB="114300" distL="114300" distR="114300" simplePos="0" relativeHeight="251661312" behindDoc="1" locked="0" layoutInCell="1" hidden="0" allowOverlap="1" wp14:anchorId="3B11E0B7" wp14:editId="37E69E14">
          <wp:simplePos x="0" y="0"/>
          <wp:positionH relativeFrom="column">
            <wp:posOffset>3790950</wp:posOffset>
          </wp:positionH>
          <wp:positionV relativeFrom="paragraph">
            <wp:posOffset>219075</wp:posOffset>
          </wp:positionV>
          <wp:extent cx="2026183" cy="524545"/>
          <wp:effectExtent l="0" t="0" r="0" b="0"/>
          <wp:wrapNone/>
          <wp:docPr id="1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2026183" cy="524545"/>
                  </a:xfrm>
                  <a:prstGeom prst="rect">
                    <a:avLst/>
                  </a:prstGeom>
                  <a:ln/>
                </pic:spPr>
              </pic:pic>
            </a:graphicData>
          </a:graphic>
        </wp:anchor>
      </w:drawing>
    </w:r>
  </w:p>
  <w:p w14:paraId="00000087" w14:textId="77777777" w:rsidR="002E5B72" w:rsidRPr="00E65AA3" w:rsidRDefault="00261A88">
    <w:pPr>
      <w:spacing w:after="120"/>
      <w:ind w:left="-709"/>
      <w:jc w:val="center"/>
      <w:rPr>
        <w:i/>
        <w:sz w:val="22"/>
        <w:szCs w:val="22"/>
      </w:rPr>
    </w:pPr>
    <w:r w:rsidRPr="00E65AA3">
      <w:rPr>
        <w:rFonts w:ascii="Calibri" w:eastAsia="Calibri" w:hAnsi="Calibri" w:cs="Calibri"/>
        <w:b/>
        <w:sz w:val="22"/>
        <w:szCs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86C1D"/>
    <w:multiLevelType w:val="multilevel"/>
    <w:tmpl w:val="BBD6A622"/>
    <w:lvl w:ilvl="0">
      <w:start w:val="1"/>
      <w:numFmt w:val="decimal"/>
      <w:pStyle w:val="RBasicText"/>
      <w:lvlText w:val="%1."/>
      <w:lvlJc w:val="left"/>
      <w:pPr>
        <w:ind w:left="547" w:hanging="547"/>
      </w:pPr>
      <w:rPr>
        <w:b w:val="0"/>
        <w:i w:val="0"/>
      </w:rPr>
    </w:lvl>
    <w:lvl w:ilvl="1">
      <w:start w:val="1"/>
      <w:numFmt w:val="lowerRoman"/>
      <w:lvlText w:val="%2."/>
      <w:lvlJc w:val="right"/>
      <w:pPr>
        <w:ind w:left="907"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25E27E20"/>
    <w:multiLevelType w:val="multilevel"/>
    <w:tmpl w:val="E22C5CC2"/>
    <w:lvl w:ilvl="0">
      <w:start w:val="1"/>
      <w:numFmt w:val="decimal"/>
      <w:pStyle w:val="RBulletLis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29E74870"/>
    <w:multiLevelType w:val="multilevel"/>
    <w:tmpl w:val="54081B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4206607"/>
    <w:multiLevelType w:val="multilevel"/>
    <w:tmpl w:val="ED6269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7D3273C"/>
    <w:multiLevelType w:val="multilevel"/>
    <w:tmpl w:val="BE72D4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703078B"/>
    <w:multiLevelType w:val="multilevel"/>
    <w:tmpl w:val="11E83F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90803244">
    <w:abstractNumId w:val="5"/>
  </w:num>
  <w:num w:numId="2" w16cid:durableId="1002899068">
    <w:abstractNumId w:val="3"/>
  </w:num>
  <w:num w:numId="3" w16cid:durableId="681274941">
    <w:abstractNumId w:val="4"/>
  </w:num>
  <w:num w:numId="4" w16cid:durableId="429857096">
    <w:abstractNumId w:val="2"/>
  </w:num>
  <w:num w:numId="5" w16cid:durableId="16934431">
    <w:abstractNumId w:val="0"/>
  </w:num>
  <w:num w:numId="6" w16cid:durableId="176777326">
    <w:abstractNumId w:val="1"/>
  </w:num>
  <w:num w:numId="7" w16cid:durableId="2461600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TrueTypeFonts/>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B72"/>
    <w:rsid w:val="000264F6"/>
    <w:rsid w:val="00137E7C"/>
    <w:rsid w:val="00261A88"/>
    <w:rsid w:val="002C5B96"/>
    <w:rsid w:val="002E5B72"/>
    <w:rsid w:val="005223C1"/>
    <w:rsid w:val="005A0F5A"/>
    <w:rsid w:val="00680FEC"/>
    <w:rsid w:val="006F179C"/>
    <w:rsid w:val="00755571"/>
    <w:rsid w:val="00772A98"/>
    <w:rsid w:val="007B67E8"/>
    <w:rsid w:val="008A2C56"/>
    <w:rsid w:val="008A5936"/>
    <w:rsid w:val="00AA1235"/>
    <w:rsid w:val="00AA3752"/>
    <w:rsid w:val="00AB3E3A"/>
    <w:rsid w:val="00AB7D75"/>
    <w:rsid w:val="00B3143A"/>
    <w:rsid w:val="00CB6308"/>
    <w:rsid w:val="00D474EC"/>
    <w:rsid w:val="00E65AA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A6286"/>
  <w15:docId w15:val="{167337F6-F589-4AFD-8C3B-E8714EA95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rsid w:val="00D353A4"/>
    <w:pPr>
      <w:tabs>
        <w:tab w:val="center" w:pos="4320"/>
        <w:tab w:val="right" w:pos="8640"/>
      </w:tabs>
    </w:pPr>
  </w:style>
  <w:style w:type="paragraph" w:styleId="Footer">
    <w:name w:val="footer"/>
    <w:basedOn w:val="Normal"/>
    <w:link w:val="FooterChar"/>
    <w:uiPriority w:val="99"/>
    <w:rsid w:val="00F10C35"/>
    <w:pPr>
      <w:tabs>
        <w:tab w:val="center" w:pos="4320"/>
        <w:tab w:val="right" w:pos="8640"/>
      </w:tabs>
    </w:pPr>
    <w:rPr>
      <w:rFonts w:asciiTheme="minorHAnsi" w:hAnsiTheme="minorHAnsi"/>
      <w:sz w:val="20"/>
    </w:rPr>
  </w:style>
  <w:style w:type="character" w:styleId="PageNumber">
    <w:name w:val="page number"/>
    <w:basedOn w:val="DefaultParagraphFont"/>
    <w:rsid w:val="00D353A4"/>
  </w:style>
  <w:style w:type="table" w:styleId="TableGrid">
    <w:name w:val="Table Grid"/>
    <w:basedOn w:val="TableNormal"/>
    <w:rsid w:val="005A40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HeadingLevelOne">
    <w:name w:val="R Heading Level One"/>
    <w:basedOn w:val="Normal"/>
    <w:next w:val="RBasicText"/>
    <w:qFormat/>
    <w:rsid w:val="00F10C35"/>
    <w:pPr>
      <w:spacing w:after="120"/>
      <w:ind w:left="540"/>
      <w:outlineLvl w:val="0"/>
    </w:pPr>
    <w:rPr>
      <w:rFonts w:asciiTheme="minorHAnsi" w:hAnsiTheme="minorHAnsi"/>
      <w:b/>
      <w:bCs/>
      <w:caps/>
      <w:sz w:val="22"/>
      <w:szCs w:val="20"/>
    </w:rPr>
  </w:style>
  <w:style w:type="paragraph" w:customStyle="1" w:styleId="RHeadingLevelTwo">
    <w:name w:val="R Heading Level Two"/>
    <w:next w:val="RBasicText"/>
    <w:qFormat/>
    <w:rsid w:val="00F10C35"/>
    <w:pPr>
      <w:spacing w:after="120"/>
      <w:ind w:left="540"/>
      <w:outlineLvl w:val="1"/>
    </w:pPr>
    <w:rPr>
      <w:rFonts w:asciiTheme="minorHAnsi" w:hAnsiTheme="minorHAnsi"/>
      <w:b/>
      <w:bCs/>
      <w:sz w:val="22"/>
    </w:rPr>
  </w:style>
  <w:style w:type="paragraph" w:customStyle="1" w:styleId="RHeadingLevelThree">
    <w:name w:val="R Heading Level Three"/>
    <w:basedOn w:val="Normal"/>
    <w:next w:val="RBasicText"/>
    <w:qFormat/>
    <w:rsid w:val="00F10C35"/>
    <w:pPr>
      <w:spacing w:after="120"/>
      <w:ind w:left="540"/>
      <w:outlineLvl w:val="2"/>
    </w:pPr>
    <w:rPr>
      <w:rFonts w:asciiTheme="minorHAnsi" w:hAnsiTheme="minorHAnsi"/>
      <w:sz w:val="22"/>
      <w:szCs w:val="22"/>
      <w:u w:val="single"/>
    </w:rPr>
  </w:style>
  <w:style w:type="paragraph" w:customStyle="1" w:styleId="RHeadingLevelFour">
    <w:name w:val="R Heading Level Four"/>
    <w:basedOn w:val="Normal"/>
    <w:next w:val="RBasicText"/>
    <w:qFormat/>
    <w:rsid w:val="00F10C35"/>
    <w:pPr>
      <w:spacing w:after="120"/>
      <w:ind w:left="540"/>
      <w:outlineLvl w:val="3"/>
    </w:pPr>
    <w:rPr>
      <w:rFonts w:asciiTheme="minorHAnsi" w:hAnsiTheme="minorHAnsi"/>
      <w:i/>
      <w:sz w:val="22"/>
      <w:szCs w:val="22"/>
    </w:rPr>
  </w:style>
  <w:style w:type="paragraph" w:customStyle="1" w:styleId="RBasicText">
    <w:name w:val="R Basic Text"/>
    <w:basedOn w:val="Normal"/>
    <w:link w:val="RBasicTextChar"/>
    <w:qFormat/>
    <w:rsid w:val="00F10C35"/>
    <w:pPr>
      <w:numPr>
        <w:numId w:val="5"/>
      </w:numPr>
      <w:spacing w:after="120"/>
    </w:pPr>
    <w:rPr>
      <w:rFonts w:asciiTheme="minorHAnsi" w:hAnsiTheme="minorHAnsi"/>
      <w:sz w:val="22"/>
      <w:szCs w:val="22"/>
    </w:rPr>
  </w:style>
  <w:style w:type="paragraph" w:customStyle="1" w:styleId="RQuotation">
    <w:name w:val="R Quotation"/>
    <w:basedOn w:val="RBasicText"/>
    <w:next w:val="RBasicText"/>
    <w:qFormat/>
    <w:rsid w:val="00F10C35"/>
    <w:pPr>
      <w:numPr>
        <w:numId w:val="0"/>
      </w:numPr>
      <w:ind w:left="900"/>
    </w:pPr>
  </w:style>
  <w:style w:type="character" w:styleId="FootnoteReference">
    <w:name w:val="footnote reference"/>
    <w:aliases w:val="Footnotes refss,Style 10"/>
    <w:semiHidden/>
    <w:rsid w:val="006372D6"/>
    <w:rPr>
      <w:vertAlign w:val="superscript"/>
    </w:rPr>
  </w:style>
  <w:style w:type="character" w:customStyle="1" w:styleId="RBasicTextChar">
    <w:name w:val="R Basic Text Char"/>
    <w:link w:val="RBasicText"/>
    <w:rsid w:val="00F10C35"/>
    <w:rPr>
      <w:rFonts w:asciiTheme="minorHAnsi" w:hAnsiTheme="minorHAnsi"/>
      <w:sz w:val="22"/>
      <w:szCs w:val="22"/>
      <w:lang w:val="fr-FR"/>
    </w:rPr>
  </w:style>
  <w:style w:type="paragraph" w:styleId="FootnoteText">
    <w:name w:val="footnote text"/>
    <w:aliases w:val="5_G,Voetnoottekst1,Char1,FA Fu1,Footnote Text Char Char Char1,Footnote Text Char Char Char Char1,Footnote Text Char Char1,Footnote Text Char Char Char Char Char1,5_GR,Fodnotetekst Tegn1,Fodnotetekst Tegn Tegn,Char,Sharp - Footnote Text,fn"/>
    <w:basedOn w:val="Normal"/>
    <w:link w:val="FootnoteTextChar"/>
    <w:uiPriority w:val="99"/>
    <w:qFormat/>
    <w:rsid w:val="00D05F0F"/>
    <w:pPr>
      <w:ind w:left="113" w:hanging="113"/>
    </w:pPr>
    <w:rPr>
      <w:rFonts w:ascii="Calibri" w:hAnsi="Calibri"/>
      <w:sz w:val="20"/>
      <w:szCs w:val="20"/>
    </w:rPr>
  </w:style>
  <w:style w:type="paragraph" w:styleId="TOC2">
    <w:name w:val="toc 2"/>
    <w:basedOn w:val="Normal"/>
    <w:next w:val="Normal"/>
    <w:autoRedefine/>
    <w:semiHidden/>
    <w:rsid w:val="00027AC4"/>
    <w:pPr>
      <w:ind w:left="240"/>
    </w:pPr>
    <w:rPr>
      <w:smallCaps/>
      <w:sz w:val="20"/>
      <w:szCs w:val="20"/>
    </w:rPr>
  </w:style>
  <w:style w:type="paragraph" w:styleId="TOC1">
    <w:name w:val="toc 1"/>
    <w:basedOn w:val="Normal"/>
    <w:next w:val="Normal"/>
    <w:autoRedefine/>
    <w:semiHidden/>
    <w:rsid w:val="00027AC4"/>
    <w:pPr>
      <w:spacing w:before="120" w:after="120"/>
    </w:pPr>
    <w:rPr>
      <w:b/>
      <w:bCs/>
      <w:caps/>
      <w:sz w:val="20"/>
      <w:szCs w:val="20"/>
    </w:rPr>
  </w:style>
  <w:style w:type="paragraph" w:styleId="TOC3">
    <w:name w:val="toc 3"/>
    <w:basedOn w:val="Normal"/>
    <w:next w:val="Normal"/>
    <w:autoRedefine/>
    <w:semiHidden/>
    <w:rsid w:val="00027AC4"/>
    <w:pPr>
      <w:ind w:left="480"/>
    </w:pPr>
    <w:rPr>
      <w:i/>
      <w:iCs/>
      <w:sz w:val="20"/>
      <w:szCs w:val="20"/>
    </w:rPr>
  </w:style>
  <w:style w:type="character" w:styleId="Hyperlink">
    <w:name w:val="Hyperlink"/>
    <w:uiPriority w:val="99"/>
    <w:rsid w:val="00027AC4"/>
    <w:rPr>
      <w:color w:val="0000FF"/>
      <w:u w:val="single"/>
    </w:rPr>
  </w:style>
  <w:style w:type="paragraph" w:styleId="TOC4">
    <w:name w:val="toc 4"/>
    <w:basedOn w:val="Normal"/>
    <w:next w:val="Normal"/>
    <w:autoRedefine/>
    <w:semiHidden/>
    <w:rsid w:val="00027AC4"/>
    <w:pPr>
      <w:ind w:left="720"/>
    </w:pPr>
    <w:rPr>
      <w:sz w:val="18"/>
      <w:szCs w:val="18"/>
    </w:rPr>
  </w:style>
  <w:style w:type="paragraph" w:styleId="BalloonText">
    <w:name w:val="Balloon Text"/>
    <w:basedOn w:val="Normal"/>
    <w:semiHidden/>
    <w:rsid w:val="005C3FE9"/>
    <w:rPr>
      <w:rFonts w:ascii="Tahoma" w:hAnsi="Tahoma" w:cs="Tahoma"/>
      <w:sz w:val="16"/>
      <w:szCs w:val="16"/>
    </w:rPr>
  </w:style>
  <w:style w:type="paragraph" w:customStyle="1" w:styleId="RBulletList">
    <w:name w:val="R Bullet List"/>
    <w:basedOn w:val="RBasicText"/>
    <w:next w:val="RBasicText"/>
    <w:qFormat/>
    <w:rsid w:val="00031472"/>
    <w:pPr>
      <w:numPr>
        <w:numId w:val="6"/>
      </w:numPr>
      <w:tabs>
        <w:tab w:val="num" w:pos="900"/>
      </w:tabs>
      <w:ind w:left="900"/>
    </w:pPr>
  </w:style>
  <w:style w:type="paragraph" w:styleId="TOC5">
    <w:name w:val="toc 5"/>
    <w:basedOn w:val="Normal"/>
    <w:next w:val="Normal"/>
    <w:autoRedefine/>
    <w:semiHidden/>
    <w:rsid w:val="00132864"/>
    <w:pPr>
      <w:ind w:left="960"/>
    </w:pPr>
    <w:rPr>
      <w:sz w:val="18"/>
      <w:szCs w:val="18"/>
    </w:rPr>
  </w:style>
  <w:style w:type="paragraph" w:styleId="TOC6">
    <w:name w:val="toc 6"/>
    <w:basedOn w:val="Normal"/>
    <w:next w:val="Normal"/>
    <w:autoRedefine/>
    <w:semiHidden/>
    <w:rsid w:val="00132864"/>
    <w:pPr>
      <w:ind w:left="1200"/>
    </w:pPr>
    <w:rPr>
      <w:sz w:val="18"/>
      <w:szCs w:val="18"/>
    </w:rPr>
  </w:style>
  <w:style w:type="paragraph" w:styleId="TOC7">
    <w:name w:val="toc 7"/>
    <w:basedOn w:val="Normal"/>
    <w:next w:val="Normal"/>
    <w:autoRedefine/>
    <w:semiHidden/>
    <w:rsid w:val="00132864"/>
    <w:pPr>
      <w:ind w:left="1440"/>
    </w:pPr>
    <w:rPr>
      <w:sz w:val="18"/>
      <w:szCs w:val="18"/>
    </w:rPr>
  </w:style>
  <w:style w:type="paragraph" w:styleId="TOC8">
    <w:name w:val="toc 8"/>
    <w:basedOn w:val="Normal"/>
    <w:next w:val="Normal"/>
    <w:autoRedefine/>
    <w:semiHidden/>
    <w:rsid w:val="00132864"/>
    <w:pPr>
      <w:ind w:left="1680"/>
    </w:pPr>
    <w:rPr>
      <w:sz w:val="18"/>
      <w:szCs w:val="18"/>
    </w:rPr>
  </w:style>
  <w:style w:type="paragraph" w:styleId="TOC9">
    <w:name w:val="toc 9"/>
    <w:basedOn w:val="Normal"/>
    <w:next w:val="Normal"/>
    <w:autoRedefine/>
    <w:semiHidden/>
    <w:rsid w:val="00132864"/>
    <w:pPr>
      <w:ind w:left="1920"/>
    </w:pPr>
    <w:rPr>
      <w:sz w:val="18"/>
      <w:szCs w:val="18"/>
    </w:rPr>
  </w:style>
  <w:style w:type="paragraph" w:styleId="ListParagraph">
    <w:name w:val="List Paragraph"/>
    <w:basedOn w:val="Normal"/>
    <w:uiPriority w:val="34"/>
    <w:qFormat/>
    <w:rsid w:val="00A5290C"/>
    <w:pPr>
      <w:spacing w:after="200" w:line="276" w:lineRule="auto"/>
      <w:ind w:left="720"/>
      <w:contextualSpacing/>
    </w:pPr>
    <w:rPr>
      <w:rFonts w:asciiTheme="minorHAnsi" w:eastAsiaTheme="minorEastAsia" w:hAnsiTheme="minorHAnsi" w:cstheme="minorBidi"/>
      <w:sz w:val="22"/>
      <w:szCs w:val="22"/>
    </w:rPr>
  </w:style>
  <w:style w:type="character" w:styleId="UnresolvedMention">
    <w:name w:val="Unresolved Mention"/>
    <w:basedOn w:val="DefaultParagraphFont"/>
    <w:uiPriority w:val="99"/>
    <w:semiHidden/>
    <w:unhideWhenUsed/>
    <w:rsid w:val="00E02CDF"/>
    <w:rPr>
      <w:color w:val="605E5C"/>
      <w:shd w:val="clear" w:color="auto" w:fill="E1DFDD"/>
    </w:rPr>
  </w:style>
  <w:style w:type="character" w:styleId="FollowedHyperlink">
    <w:name w:val="FollowedHyperlink"/>
    <w:basedOn w:val="DefaultParagraphFont"/>
    <w:semiHidden/>
    <w:unhideWhenUsed/>
    <w:rsid w:val="00E02CDF"/>
    <w:rPr>
      <w:color w:val="800080" w:themeColor="followedHyperlink"/>
      <w:u w:val="single"/>
    </w:rPr>
  </w:style>
  <w:style w:type="character" w:customStyle="1" w:styleId="FooterChar">
    <w:name w:val="Footer Char"/>
    <w:basedOn w:val="DefaultParagraphFont"/>
    <w:link w:val="Footer"/>
    <w:uiPriority w:val="99"/>
    <w:rsid w:val="003F7675"/>
    <w:rPr>
      <w:rFonts w:asciiTheme="minorHAnsi" w:hAnsiTheme="minorHAnsi"/>
      <w:szCs w:val="24"/>
    </w:rPr>
  </w:style>
  <w:style w:type="character" w:styleId="EndnoteReference">
    <w:name w:val="endnote reference"/>
    <w:aliases w:val="1_G"/>
    <w:basedOn w:val="FootnoteReference"/>
    <w:qFormat/>
    <w:rsid w:val="0082220D"/>
    <w:rPr>
      <w:rFonts w:ascii="Times New Roman" w:hAnsi="Times New Roman"/>
      <w:sz w:val="18"/>
      <w:vertAlign w:val="superscript"/>
    </w:rPr>
  </w:style>
  <w:style w:type="character" w:customStyle="1" w:styleId="FootnoteTextChar">
    <w:name w:val="Footnote Text Char"/>
    <w:aliases w:val="5_G Char,Voetnoottekst1 Char,Char1 Char,FA Fu1 Char,Footnote Text Char Char Char1 Char,Footnote Text Char Char Char Char1 Char,Footnote Text Char Char1 Char,Footnote Text Char Char Char Char Char1 Char,5_GR Char,Char Char,fn Char"/>
    <w:basedOn w:val="DefaultParagraphFont"/>
    <w:link w:val="FootnoteText"/>
    <w:uiPriority w:val="99"/>
    <w:rsid w:val="0082220D"/>
    <w:rPr>
      <w:rFonts w:ascii="Calibri" w:hAnsi="Calibri"/>
      <w:lang w:val="fr-FR"/>
    </w:rPr>
  </w:style>
  <w:style w:type="character" w:styleId="CommentReference">
    <w:name w:val="annotation reference"/>
    <w:basedOn w:val="DefaultParagraphFont"/>
    <w:semiHidden/>
    <w:unhideWhenUsed/>
    <w:rsid w:val="004B4811"/>
    <w:rPr>
      <w:sz w:val="16"/>
      <w:szCs w:val="16"/>
    </w:rPr>
  </w:style>
  <w:style w:type="paragraph" w:styleId="CommentText">
    <w:name w:val="annotation text"/>
    <w:basedOn w:val="Normal"/>
    <w:link w:val="CommentTextChar"/>
    <w:unhideWhenUsed/>
    <w:rsid w:val="004B4811"/>
    <w:rPr>
      <w:sz w:val="20"/>
      <w:szCs w:val="20"/>
    </w:rPr>
  </w:style>
  <w:style w:type="character" w:customStyle="1" w:styleId="CommentTextChar">
    <w:name w:val="Comment Text Char"/>
    <w:basedOn w:val="DefaultParagraphFont"/>
    <w:link w:val="CommentText"/>
    <w:rsid w:val="004B4811"/>
    <w:rPr>
      <w:lang w:val="fr-FR"/>
    </w:rPr>
  </w:style>
  <w:style w:type="paragraph" w:styleId="CommentSubject">
    <w:name w:val="annotation subject"/>
    <w:basedOn w:val="CommentText"/>
    <w:next w:val="CommentText"/>
    <w:link w:val="CommentSubjectChar"/>
    <w:semiHidden/>
    <w:unhideWhenUsed/>
    <w:rsid w:val="004B4811"/>
    <w:rPr>
      <w:b/>
      <w:bCs/>
    </w:rPr>
  </w:style>
  <w:style w:type="character" w:customStyle="1" w:styleId="CommentSubjectChar">
    <w:name w:val="Comment Subject Char"/>
    <w:basedOn w:val="CommentTextChar"/>
    <w:link w:val="CommentSubject"/>
    <w:semiHidden/>
    <w:rsid w:val="004B4811"/>
    <w:rPr>
      <w:b/>
      <w:bCs/>
      <w:lang w:val="fr-FR"/>
    </w:rPr>
  </w:style>
  <w:style w:type="numbering" w:customStyle="1" w:styleId="CurrentList1">
    <w:name w:val="Current List1"/>
    <w:uiPriority w:val="99"/>
    <w:rsid w:val="00EE3D94"/>
  </w:style>
  <w:style w:type="paragraph" w:styleId="NormalWeb">
    <w:name w:val="Normal (Web)"/>
    <w:basedOn w:val="Normal"/>
    <w:uiPriority w:val="99"/>
    <w:unhideWhenUsed/>
    <w:rsid w:val="00D80ED9"/>
    <w:pPr>
      <w:spacing w:before="100" w:beforeAutospacing="1" w:after="100" w:afterAutospacing="1"/>
    </w:pPr>
  </w:style>
  <w:style w:type="paragraph" w:customStyle="1" w:styleId="paragraph">
    <w:name w:val="paragraph"/>
    <w:basedOn w:val="Normal"/>
    <w:rsid w:val="00376535"/>
    <w:pPr>
      <w:spacing w:before="100" w:beforeAutospacing="1" w:after="100" w:afterAutospacing="1"/>
    </w:pPr>
  </w:style>
  <w:style w:type="character" w:customStyle="1" w:styleId="normaltextrun">
    <w:name w:val="normaltextrun"/>
    <w:basedOn w:val="DefaultParagraphFont"/>
    <w:rsid w:val="00376535"/>
  </w:style>
  <w:style w:type="character" w:customStyle="1" w:styleId="eop">
    <w:name w:val="eop"/>
    <w:basedOn w:val="DefaultParagraphFont"/>
    <w:rsid w:val="00376535"/>
  </w:style>
  <w:style w:type="paragraph" w:styleId="Revision">
    <w:name w:val="Revision"/>
    <w:hidden/>
    <w:uiPriority w:val="99"/>
    <w:semiHidden/>
    <w:rsid w:val="00A20984"/>
    <w:rPr>
      <w:lang w:val="fr-FR"/>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8" Type="http://schemas.openxmlformats.org/officeDocument/2006/relationships/hyperlink" Target="https://www.bbc.com/news/articles/cnkk53097leo" TargetMode="External"/><Relationship Id="rId13" Type="http://schemas.openxmlformats.org/officeDocument/2006/relationships/hyperlink" Target="https://lens.civicus.org/interview/this-new-bill-allows-police-to-impose-harsh-conditions-on-protesters-in-the-name-of-public-order/" TargetMode="External"/><Relationship Id="rId18" Type="http://schemas.openxmlformats.org/officeDocument/2006/relationships/hyperlink" Target="https://redress.org/news/kenyan-government-found-responsible-for-post-election-sexual-violence/" TargetMode="External"/><Relationship Id="rId3" Type="http://schemas.openxmlformats.org/officeDocument/2006/relationships/hyperlink" Target="https://www.hrw.org/news/2017/08/27/kenya-post-election-killings-abuse" TargetMode="External"/><Relationship Id="rId21" Type="http://schemas.openxmlformats.org/officeDocument/2006/relationships/hyperlink" Target="https://static1.squarespace.com/static/5a1d2df4f6576eb8bfad8b0e/t/672b3571503d297e9de8181d/1730884997865/KENYA+SOGIESC+4TH+CYCLE+UNIVERSAL+PERIODIC+REVIEW+%28UPR%29+SHADOW+REPORT.+FA.pdf" TargetMode="External"/><Relationship Id="rId7" Type="http://schemas.openxmlformats.org/officeDocument/2006/relationships/hyperlink" Target="https://www.knchr.org/Articles/ArtMID/2432/ArticleID/1206/Surge-of-Abductions-and-Killings-in-Kenya-A-Call-for-Immediate-Action-and-Accountability" TargetMode="External"/><Relationship Id="rId12" Type="http://schemas.openxmlformats.org/officeDocument/2006/relationships/hyperlink" Target="https://cff.or.ke/wp-content/uploads/2024/06/ICNL-comments-Kenya-Assembly-and-Demonstration-Bill-2024.pdf" TargetMode="External"/><Relationship Id="rId17" Type="http://schemas.openxmlformats.org/officeDocument/2006/relationships/hyperlink" Target="https://www.amnestykenya.org/statement-condemning-the-arbitrary-detention-without-charge-of-human-rights-defenders-following-the-end-femicide-march-held-on-10-december-2024/" TargetMode="External"/><Relationship Id="rId2" Type="http://schemas.openxmlformats.org/officeDocument/2006/relationships/hyperlink" Target="https://www.hrw.org/sites/default/files/media_2024/11/kenya1124web_0.pdf" TargetMode="External"/><Relationship Id="rId16" Type="http://schemas.openxmlformats.org/officeDocument/2006/relationships/hyperlink" Target="https://www.ohchr.org/en/documents/thematic-reports/a78324-thematic-study-global-trade-weapons-equipment-and-devices-used" TargetMode="External"/><Relationship Id="rId20" Type="http://schemas.openxmlformats.org/officeDocument/2006/relationships/hyperlink" Target="https://www.theadvocatesforhumanrights.org/Res/TAHR%20TEFLK%20Kenya%20UPR%20LGBTIQ%20final%20(1).pdf" TargetMode="External"/><Relationship Id="rId1" Type="http://schemas.openxmlformats.org/officeDocument/2006/relationships/hyperlink" Target="https://digitallibrary.un.org/record/3980977?v=pdf" TargetMode="External"/><Relationship Id="rId6" Type="http://schemas.openxmlformats.org/officeDocument/2006/relationships/hyperlink" Target="https://thraets.org/israeli-gas-kenyan-tears-investigating-israel-supplied-riot-control-agents-used-in-the-kenya-demonstrations/" TargetMode="External"/><Relationship Id="rId11" Type="http://schemas.openxmlformats.org/officeDocument/2006/relationships/hyperlink" Target="https://khrc.or.ke/press-release/2024-a-year-of-blatant-state-repression-through-regime-policing/" TargetMode="External"/><Relationship Id="rId5" Type="http://schemas.openxmlformats.org/officeDocument/2006/relationships/hyperlink" Target="https://doi.org/10.18356/5c14b275-en" TargetMode="External"/><Relationship Id="rId15" Type="http://schemas.openxmlformats.org/officeDocument/2006/relationships/hyperlink" Target="https://new.kenyalaw.org/akn/ke/act/2017/12/eng@2022-12-31" TargetMode="External"/><Relationship Id="rId23" Type="http://schemas.openxmlformats.org/officeDocument/2006/relationships/hyperlink" Target="https://www.kenyalaw.org/kl/fileadmin/pdfdownloads/Acts/Counter-TraffickinginPersonsAct_No8of2010.pdf" TargetMode="External"/><Relationship Id="rId10" Type="http://schemas.openxmlformats.org/officeDocument/2006/relationships/hyperlink" Target="https://www.amnestykenya.org/statement-condemning-the-arbitrary-detention-without-charge-of-human-rights-defenders-following-the-end-femicide-march-held-on-10-december-2024/" TargetMode="External"/><Relationship Id="rId19" Type="http://schemas.openxmlformats.org/officeDocument/2006/relationships/hyperlink" Target="https://www.theadvocatesforhumanrights.org/International_Submissions/A/Index?id=520" TargetMode="External"/><Relationship Id="rId4" Type="http://schemas.openxmlformats.org/officeDocument/2006/relationships/hyperlink" Target="https://imlu.org/" TargetMode="External"/><Relationship Id="rId9" Type="http://schemas.openxmlformats.org/officeDocument/2006/relationships/hyperlink" Target="https://nation.africa/kenya/news/kitengela-three-our-32-days-of-horror-in-secret-torture-cells--4769894" TargetMode="External"/><Relationship Id="rId14" Type="http://schemas.openxmlformats.org/officeDocument/2006/relationships/hyperlink" Target="https://www.ohchr.org/en/press-releases/2022/07/kenya-civic-space-and-respect-fundamental-freedoms-key-peaceful-elections-un" TargetMode="External"/><Relationship Id="rId22" Type="http://schemas.openxmlformats.org/officeDocument/2006/relationships/hyperlink" Target="https://www.amnesty.org/en/documents/afr32/6578/2023/en/"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CEA96FA34994A45837B50443DC11742" ma:contentTypeVersion="15" ma:contentTypeDescription="Create a new document." ma:contentTypeScope="" ma:versionID="619d65181e93c886d13cf9deaa27e271">
  <xsd:schema xmlns:xsd="http://www.w3.org/2001/XMLSchema" xmlns:xs="http://www.w3.org/2001/XMLSchema" xmlns:p="http://schemas.microsoft.com/office/2006/metadata/properties" xmlns:ns2="8a5c8ab8-d951-4787-ae8a-0925f0e8ce13" xmlns:ns3="a4c5467f-96d8-46b3-8aa5-0ff159ba0ce9" targetNamespace="http://schemas.microsoft.com/office/2006/metadata/properties" ma:root="true" ma:fieldsID="8b69ba05b6efab9d6a41d62eb77f3025" ns2:_="" ns3:_="">
    <xsd:import namespace="8a5c8ab8-d951-4787-ae8a-0925f0e8ce13"/>
    <xsd:import namespace="a4c5467f-96d8-46b3-8aa5-0ff159ba0ce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LengthInSecond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c8ab8-d951-4787-ae8a-0925f0e8ce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ce7d263-4b44-46c4-a2a8-8b982b8603b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4c5467f-96d8-46b3-8aa5-0ff159ba0ce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ede425aa-4991-44e6-bde2-826693966cbe}" ma:internalName="TaxCatchAll" ma:showField="CatchAllData" ma:web="a4c5467f-96d8-46b3-8aa5-0ff159ba0ce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a5c8ab8-d951-4787-ae8a-0925f0e8ce13">
      <Terms xmlns="http://schemas.microsoft.com/office/infopath/2007/PartnerControls"/>
    </lcf76f155ced4ddcb4097134ff3c332f>
    <TaxCatchAll xmlns="a4c5467f-96d8-46b3-8aa5-0ff159ba0ce9"/>
  </documentManagement>
</p:properties>
</file>

<file path=customXml/item4.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Bemur07UgcynyCiR8O2AG++tLQ==">CgMxLjAaJwoBMBIiCiAIBCocCgtBQUFCYmRKT3lIbxAIGgtBQUFCYmRKT3lIbxonCgExEiIKIAgEKhwKC0FBQUJiZEpPeUhvEAgaC0FBQUJiaUM4cVZVGicKATISIgogCAQqHAoLQUFBQmJkSk95SG8QCBoLQUFBQmJpQzhxZjAaJwoBMxIiCiAIBCocCgtBQUFCYmRKT3lIbxAIGgtBQUFCYmlDOHJKWRonCgE0EiIKIAgEKhwKC0FBQUJiZEpPeUhvEAgaC0FBQUJiaUM4clNRGicKATUSIgogCAQqHAoLQUFBQmJpQzhxaUkQCBoLQUFBQmJpQzhxaUkaGgoBNhIVChMIBCoPCgtBQUFCYmlDOHJITRABGicKATcSIgogCAQqHAoLQUFBQmJpQzhySE0QCBoLQUFBQmJpQzhySjQaJwoBOBIiCiAIBCocCgtBQUFCYmlDOHJITRAIGgtBQUFCYmlDOHJTVRonCgE5EiIKIAgEKhwKC0FBQUJiaUM4cWlREAgaC0FBQUJiaUM4cWlRGigKAjEwEiIKIAgEKhwKC0FBQUJiZEpPeVdrEAgaC0FBQUJiZEpPeVdrGigKAjExEiIKIAgEKhwKC0FBQUJiZEpPeVdrEAgaC0FBQUJiaUM4cWtZGigKAjEyEiIKIAgEKhwKC0FBQUJiaUM4cW1FEAgaC0FBQUJiaUM4cW1FGigKAjEzEiIKIAgEKhwKC0FBQUJiaUM4cW1FEAgaC0FBQUJiaUM4ckc0GigKAjE0EiIKIAgEKhwKC0FBQUJiaUM4cW1REAgaC0FBQUJiaUM4cW1RGigKAjE1EiIKIAgEKhwKC0FBQUJiaUM4cW1REAgaC0FBQUJiaUM4ckhnIr0LCgtBQUFCYmlDOHJITRKJCwoLQUFBQmJpQzhySE0SC0FBQUJiaUM4ckhNGg0KCXRleHQvaHRtbBIAIg4KCnRleHQvcGxhaW4SACobIhUxMDA4MDgxNTA1NjQ4NjkxNDIwNDgoADgAMPXW34PGMjjCwOmFxjJC/wIKC0FBQUJiaUM4cko0EgtBQUFCYmlDOHJITRpgCgl0ZXh0L2h0bWwSU2NvbmZpcm1pbmcgdGhhdCB0aGlzIGhhcyBiZWVuIHVzZWQgaW4gS2VueWEgd2l0aCBkb2N1bWVudGVkIGV2aWRlbmNlIG9mIGluanVyaWVzLiAuImEKCnRleHQvcGxhaW4SU2NvbmZpcm1pbmcgdGhhdCB0aGlzIGhhcyBiZWVuIHVzZWQgaW4gS2VueWEgd2l0aCBkb2N1bWVudGVkIGV2aWRlbmNlIG9mIGluanVyaWVzLiAuKhsiFTExNTI2NDEzMjc0ODMwMDk2NDIzOCgAOAAwxIychMYyOMSMnITGMloMdzBrc2xzdjlpNGdhcgIgAHgAmgEGCAAQABgAqgFVElNjb25maXJtaW5nIHRoYXQgdGhpcyBoYXMgYmVlbiB1c2VkIGluIEtlbnlhIHdpdGggZG9jdW1lbnRlZCBldmlkZW5jZSBvZiBpbmp1cmllcy4gLkKoBgoLQUFBQmJpQzhyU1USC0FBQUJiaUM4ckhNGvEBCgl0ZXh0L2h0bWwS4wFUaGFuayB5b3UsIFdhZ2VuY2hpIC0gd291bGQgaXQgYmUgb2sgdG8gYW1lbmQgdGhpcyBzZW50ZW5jZSB0aGVuIHRvIHRoZSBmb2xsb3dpbmc/Ojxicj4mcXVvdDtOb25ldGhlbGVzcywgSU1MVSBoYXMgZG9jdW1lbnRlZCBpbmp1cmllcyBzdWZmZXJlZCBieSBwcm90ZXN0ZXJzIGluIEtlbnlhIHdoaWNoIHNlZW0gY29uc2lzdGVudCB3aXRoIHRoZSB1c2Ugb2YgdGhpcyBhbW11bml0aW9uJnF1b3Q7LiLlAQoKdGV4dC9wbGFpbhLWAVRoYW5rIHlvdSwgV2FnZW5jaGkgLSB3b3VsZCBpdCBiZSBvayB0byBhbWVuZCB0aGlzIHNlbnRlbmNlIHRoZW4gdG8gdGhlIGZvbGxvd2luZz86CiJOb25ldGhlbGVzcywgSU1MVSBoYXMgZG9jdW1lbnRlZCBpbmp1cmllcyBzdWZmZXJlZCBieSBwcm90ZXN0ZXJzIGluIEtlbnlhIHdoaWNoIHNlZW0gY29uc2lzdGVudCB3aXRoIHRoZSB1c2Ugb2YgdGhpcyBhbW11bml0aW9uIi4qGyIVMTA1MDUxNzkyMjQ0MDU1MzEwMDcwKAA4ADDCwOmFxjI4wsDphcYyWgxvazY2Z2ExazZ5MWxyAiAAeACaAQYIABAAGACqAeYBEuMBVGhhbmsgeW91LCBXYWdlbmNoaSAtIHdvdWxkIGl0IGJlIG9rIHRvIGFtZW5kIHRoaXMgc2VudGVuY2UgdGhlbiB0byB0aGUgZm9sbG93aW5nPzo8YnI+JnF1b3Q7Tm9uZXRoZWxlc3MsIElNTFUgaGFzIGRvY3VtZW50ZWQgaW5qdXJpZXMgc3VmZmVyZWQgYnkgcHJvdGVzdGVycyBpbiBLZW55YSB3aGljaCBzZWVtIGNvbnNpc3RlbnQgd2l0aCB0aGUgdXNlIG9mIHRoaXMgYW1tdW5pdGlvbiZxdW90Oy5KQgokYXBwbGljYXRpb24vdm5kLmdvb2dsZS1hcHBzLmRvY3MubWRzGhrC19rkARQaEgoOCghwcm9iYWJseRABGAAQAVoMeGllNDlvbHd6MmN6cgIgAHgAggEUc3VnZ2VzdC5rZzBlM3VrNG9jOHiaAQYIABAAGAAY9dbfg8YyIMLA6YXGMkIUc3VnZ2VzdC5rZzBlM3VrNG9jOHgijgwKC0FBQUJiZEpPeVdrEtwLCgtBQUFCYmRKT3lXaxILQUFBQmJkSk95V2salAEKCXRleHQvaHRtbBKGAVRoaXMgc2VjdGlvbiBoYXMgYmVlbiBhZGRlZCB3aXRoIGlucHV0IGZyb20gSU1MVSBjb2xsZWFndWVzLiBJdCB3b3VsZCBiZSBnb29kIHRvIGFkZCBtb3JlIGluZm9ybWF0aW9uIGlmIGF2YWlsYWJsZSB0byBtYWtlIGl0IHN0cm9uZ2VyIpUBCgp0ZXh0L3BsYWluEoYBVGhpcyBzZWN0aW9uIGhhcyBiZWVuIGFkZGVkIHdpdGggaW5wdXQgZnJvbSBJTUxVIGNvbGxlYWd1ZXMuIEl0IHdvdWxkIGJlIGdvb2QgdG8gYWRkIG1vcmUgaW5mb3JtYXRpb24gaWYgYXZhaWxhYmxlIHRvIG1ha2UgaXQgc3Ryb25nZXIqGyIVMTA0NTUxOTYxNzA2MzY0NjQ5NTY1KAA4ADC1k5GHxTI4xu3N+sUyQrQGCgtBQUFCYmlDOHFrWRILQUFBQmJkSk95V2sa8AEKCXRleHQvaHRtbBLiAVRoYW5rcywgQ2hhcmxvdHRlIC0gSSBhZ3JlZSB0aGF0IHdlIG5lZWQgbW9yZSBpbmZvcm1hdGlvbiB0byBtYWtlIHRoaXMgc2VjdGlvbiBzdHJvbmdlciwgYW5kIGV4cGxhaW4gdGhlIGxpbmsgd2l0aCB0b3J0dXJlLiBXZSBoYXZlIG5vdCBkb25lIHdvcmsgaW4gdGhpcyBjb250ZXh0IGluIEtlbnlhIHRob3VnaC4gV2UmIzM5O2xsIHNlZSBpZiBwb3NzaWJsZSB0byBhZGQgYW55dGhpbmcgZWxzZS4i7QEKCnRleHQvcGxhaW4S3gFUaGFua3MsIENoYXJsb3R0ZSAtIEkgYWdyZWUgdGhhdCB3ZSBuZWVkIG1vcmUgaW5mb3JtYXRpb24gdG8gbWFrZSB0aGlzIHNlY3Rpb24gc3Ryb25nZXIsIGFuZCBleHBsYWluIHRoZSBsaW5rIHdpdGggdG9ydHVyZS4gV2UgaGF2ZSBub3QgZG9uZSB3b3JrIGluIHRoaXMgY29udGV4dCBpbiBLZW55YSB0aG91Z2guIFdlJ2xsIHNlZSBpZiBwb3NzaWJsZSB0byBhZGQgYW55dGhpbmcgZWxzZS4qGyIVMTA1MDUxNzkyMjQ0MDU1MzEwMDcwKAA4ADDG7c36xTI4xu3N+sUyWgxkb2lqNndnZXRrb3RyAiAAeACaAQYIABAAGACqAeUBEuIBVGhhbmtzLCBDaGFybG90dGUgLSBJIGFncmVlIHRoYXQgd2UgbmVlZCBtb3JlIGluZm9ybWF0aW9uIHRvIG1ha2UgdGhpcyBzZWN0aW9uIHN0cm9uZ2VyLCBhbmQgZXhwbGFpbiB0aGUgbGluayB3aXRoIHRvcnR1cmUuIFdlIGhhdmUgbm90IGRvbmUgd29yayBpbiB0aGlzIGNvbnRleHQgaW4gS2VueWEgdGhvdWdoLiBXZSYjMzk7bGwgc2VlIGlmIHBvc3NpYmxlIHRvIGFkZCBhbnl0aGluZyBlbHNlLrABALgBAEp/Cgp0ZXh0L3BsYWluEnFMQUNLIE9GIElNUExFTUVOVEFUSU9OIE9GIFNQRUNJRklDIExFR0lTTEFUSU9OIFBST1RFQ1RJTkcgVklDVElNUyBPRiBUUkFGRklDS0lORyBJTiBQRVJTT05TIEFORCBET01FU1RJQyBWSU9MRU5DRVoMa3lteHNkZDRueTc3cgIgAHgAmgEGCAAQABgAqgGJARKGAVRoaXMgc2VjdGlvbiBoYXMgYmVlbiBhZGRlZCB3aXRoIGlucHV0IGZyb20gSU1MVSBjb2xsZWFndWVzLiBJdCB3b3VsZCBiZSBnb29kIHRvIGFkZCBtb3JlIGluZm9ybWF0aW9uIGlmIGF2YWlsYWJsZSB0byBtYWtlIGl0IHN0cm9uZ2VysAEAuAEAGLWTkYfFMiDG7c36xTIwAEIQa2l4LndrcXpzOG5zN255biLHBAoLQUFBQmJpQzhxaVESlQQKC0FBQUJiaUM4cWlREgtBQUFCYmlDOHFpURpUCgl0ZXh0L2h0bWwSR2xpa2V3aXNlLCBJJiMzOTt2ZSBhZGQgdGhpcyB0byBleHBsYWluIHdoeSB3ZSYjMzk7cmUgaW5jbHVkaW5nIGl0IGhlcmUuIk0KCnRleHQvcGxhaW4SP2xpa2V3aXNlLCBJJ3ZlIGFkZCB0aGlzIHRvIGV4cGxhaW4gd2h5IHdlJ3JlIGluY2x1ZGluZyBpdCBoZXJlLiobIhUxMDUwNTE3OTIyNDQwNTUzMTAwNzAoADgAMOaAivrFMjjmgIr6xTJKuQEKCnRleHQvcGxhaW4SqgFUaGlzIGlzc3VlIHJlbWFpbnMgYSBzaWduaWZpY2FudCBjb25jZXJuLCBhcyBpbmFkZXF1YXRlIGRvY3VtZW50YXRpb24gYW5kIGludmVzdGlnYXRpb25zIGhpbmRlciBhIGNvbXByZWhlbnNpdmUgdW5kZXJzdGFuZGluZyBvZiB0aGUgc2NvcGUgYW5kIHNldmVyaXR5IG9mIHRoZSB2aW9sYXRpb25zLloMcXMxZDlpMThmYno1cgIgAHgAmgEGCAAQABgAqgFJEkdsaWtld2lzZSwgSSYjMzk7dmUgYWRkIHRoaXMgdG8gZXhwbGFpbiB3aHkgd2UmIzM5O3JlIGluY2x1ZGluZyBpdCBoZXJlLrABALgBABjmgIr6xTIg5oCK+sUyMABCEGtpeC50aDRhcmlobzlrZDUi/wQKC0FBQUJiaUM4cWlJEs0ECgtBQUFCYmlDOHFpSRILQUFBQmJpQzhxaUkadQoJdGV4dC9odG1sEmhIaSBBbGwsIEkmIzM5O3ZlIGFkZGVkIGludHJvZHVjdG9yeSBhbmQgY29uY2x1c2l2ZSBzZW50ZW5jZXMgdG8gdGhpcyBwYXJhZ3JhcGggdG8gZW5zdXJlIGl0IGZsb3dzIGJldHRlciJyCgp0ZXh0L3BsYWluEmRIaSBBbGwsIEkndmUgYWRkZWQgaW50cm9kdWN0b3J5IGFuZCBjb25jbHVzaXZlIHNlbnRlbmNlcyB0byB0aGlzIHBhcmFncmFwaCB0byBlbnN1cmUgaXQgZmxvd3MgYmV0dGVyKhsiFTEwNTA1MTc5MjI0NDA1NTMxMDA3MCgAOAAwkLD++cUyOLiygPrFMkqKAQoKdGV4dC9wbGFpbhJ8QSBzZXBhcmF0ZSBjb25jZXJuIHJlZ2FyZHMgdGhlIGxhY2sgb2YgYW4gYWRlcXVhdGUgZnJhbWV3b3JrIG9uIHRoZSB1c2Ugb2Ygd2VhcG9ucyB0byBkaXNwZXJzZSBwcm90ZXN0cyBhbmQgbWFzcyBnYXRoZXJpbmdzLloMc3NkMmw4bGg1a2hvcgIgAHgAmgEGCAAQABgAqgFqEmhIaSBBbGwsIEkmIzM5O3ZlIGFkZGVkIGludHJvZHVjdG9yeSBhbmQgY29uY2x1c2l2ZSBzZW50ZW5jZXMgdG8gdGhpcyBwYXJhZ3JhcGggdG8gZW5zdXJlIGl0IGZsb3dzIGJldHRlcrABALgBABiQsP75xTIguLKA+sUyMABCEGtpeC40aDA5dndpNWN6Z2MitgIKC0FBQUJiQWZ1WV9jEoACCgtBQUFCYkFmdVlfYxILQUFBQmJBZnVZX2MaDQoJdGV4dC9odG1sEgAiDgoKdGV4dC9wbGFpbhIAKhsiFTEwMDgwODE1MDU2NDg2OTE0MjA0OCgAOAAw/8nStcQyOPTj8LXEMkpgCiRhcHBsaWNhdGlvbi92bmQuZ29vZ2xlLWFwcHMuZG9jcy5tZHMaOMLX2uQBMgowCh0KF2h1bWFuLSByaWdodHMgY29tcGxpYW50EAEYABINCgdzcGVjaWFsEAEYABgBWgwxZmJmZzRqM2ozajByAiAAeACCARRzdWdnZXN0LmQxeGZxNzl0MXFoeJoBBggAEAAYALABALgBABj/ydK1xDIg9OPwtcQyMABCFHN1Z2dlc3QuZDF4ZnE3OXQxcWh4IpcUCgtBQUFCYmRKT3lIbxLlEwoLQUFBQmJkSk95SG8SC0FBQUJiZEpPeUhvGm8KCXRleHQvaHRtbBJidGhpcyBzZWN0aW9uIHNlZW1zIHRvIGJlIG1vcmUgYWJvdXQgcHJvdGVjdGluZyB0aGUgcmlnaHQgdG8gcHJvdGVzdCB0aGFuIGFib3V0IHRvcnR1cmUgcHJldmVudGlvbi4icAoKdGV4dC9wbGFpbhJidGhpcyBzZWN0aW9uIHNlZW1zIHRvIGJlIG1vcmUgYWJvdXQgcHJvdGVjdGluZyB0aGUgcmlnaHQgdG8gcHJvdGVzdCB0aGFuIGFib3V0IHRvcnR1cmUgcHJldmVudGlvbi4qGyIVMTEyMDcwODk3MzAzNTU2MjkwNzAyKAA4ADDRqvmAxTI48snkhcYyQu8FCgtBQUFCYmlDOHFWVRILQUFBQmJkSk95SG8a2wEKCXRleHQvaHRtbBLNAVRvcnR1cmUgaW4gS2VueWEgaXMgbGFyZ2VseSB3aXRuZXNzZWQgd2l0aGluIHRoZSBzcGFjZSBvZiBmcmVlZG9tIG9mIGFzc2VtYmx5IGFuZCByaWdodCB0byBwcm90ZXN0LiBvbiB0aGlzIG5vdGUgSSB3aWxsIHByb3Bvc2Ugd2XCoCBhZGQuLi4mcXVvdDtMZWdhbCBGcmFtZXdvcmsgb24gRnJlZWRvbSBvZiBBc3NlbWJseSBhbmQgVG9vbHMuLi4uLi4mcXVvdDsi0gEKCnRleHQvcGxhaW4SwwFUb3J0dXJlIGluIEtlbnlhIGlzIGxhcmdlbHkgd2l0bmVzc2VkIHdpdGhpbiB0aGUgc3BhY2Ugb2YgZnJlZWRvbSBvZiBhc3NlbWJseSBhbmQgcmlnaHQgdG8gcHJvdGVzdC4gb24gdGhpcyBub3RlIEkgd2lsbCBwcm9wb3NlIHdlwqAgYWRkLi4uIkxlZ2FsIEZyYW1ld29yayBvbiBGcmVlZG9tIG9mIEFzc2VtYmx5IGFuZCBUb29scy4uLi4uLiIqGyIVMTA0OTYxMjY0Mjg3MDQxMDcyMzI0KAA4ADCc6c34xTI4nOnN+MUyWgxxdXEwd3E3MWV1MXRyAiAAeACaAQYIABAAGACqAdABEs0BVG9ydHVyZSBpbiBLZW55YSBpcyBsYXJnZWx5IHdpdG5lc3NlZCB3aXRoaW4gdGhlIHNwYWNlIG9mIGZyZWVkb20gb2YgYXNzZW1ibHkgYW5kIHJpZ2h0IHRvIHByb3Rlc3QuIG9uIHRoaXMgbm90ZSBJIHdpbGwgcHJvcG9zZSB3ZcKgIGFkZC4uLiZxdW90O0xlZ2FsIEZyYW1ld29yayBvbiBGcmVlZG9tIG9mIEFzc2VtYmx5IGFuZCBUb29scy4uLi4uLiZxdW90O7ABALgBAEKiBAoLQUFBQmJpQzhxZjASC0FBQUJiZEpPeUhvGpYBCgl0ZXh0L2h0bWwSiAFJIHRoaW5rIFNpbW9uJiMzOTtzIHN1Z2dlc3Rpb24gd29ya3MsIGFuZCBJJiMzOTt2ZSBhZGRlZCBhbiBpbnRybyBwYXJhZ3JhcGggdG8gZXhwbGFpbiB0aGUgbGluayB0byB0b3J0dXJlIHRvIGVuc3VyZSBpdCByZW1haW5zIGZvY3VzZWQuIo8BCgp0ZXh0L3BsYWluEoABSSB0aGluayBTaW1vbidzIHN1Z2dlc3Rpb24gd29ya3MsIGFuZCBJJ3ZlIGFkZGVkIGFuIGludHJvIHBhcmFncmFwaCB0byBleHBsYWluIHRoZSBsaW5rIHRvIHRvcnR1cmUgdG8gZW5zdXJlIGl0IHJlbWFpbnMgZm9jdXNlZC4qGyIVMTA1MDUxNzkyMjQ0MDU1MzEwMDcwKAA4ADDCjaX5xTI44eW/+cUyWgxoYTN4ZHNkamF3a25yAiAAeACaAQYIABAAGACqAYsBEogBSSB0aGluayBTaW1vbiYjMzk7cyBzdWdnZXN0aW9uIHdvcmtzLCBhbmQgSSYjMzk7dmUgYWRkZWQgYW4gaW50cm8gcGFyYWdyYXBoIHRvIGV4cGxhaW4gdGhlIGxpbmsgdG8gdG9ydHVyZSB0byBlbnN1cmUgaXQgcmVtYWlucyBmb2N1c2VkLrABALgBAEK7AwoLQUFBQmJpQzhySlkSC0FBQUJiZEpPeUhvGnQKCXRleHQvaHRtbBJnTW9zdCByZWNlbnRseSB0b3J0dXJlIGhhcyBiZWVuIHVzZWQgdG8gc2lsZW5jZSB0aGUgaW5jcmVhc2luZyB2b2ljZSBvZiBzb2NpYWwgbWVkaWEgaW5mbHVlbmNlcnMgYXMgd2VsbCJ1Cgp0ZXh0L3BsYWluEmdNb3N0IHJlY2VudGx5IHRvcnR1cmUgaGFzIGJlZW4gdXNlZCB0byBzaWxlbmNlIHRoZSBpbmNyZWFzaW5nIHZvaWNlIG9mIHNvY2lhbCBtZWRpYSBpbmZsdWVuY2VycyBhcyB3ZWxsKhsiFTExNTI2NDEzMjc0ODMwMDk2NDIzOCgAOAAw+ouRhMYyOPqLkYTGMloMYjVrcGo5NHVobzhtcgIgAHgAmgEGCAAQABgAqgFpEmdNb3N0IHJlY2VudGx5IHRvcnR1cmUgaGFzIGJlZW4gdXNlZCB0byBzaWxlbmNlIHRoZSBpbmNyZWFzaW5nIHZvaWNlIG9mIHNvY2lhbCBtZWRpYSBpbmZsdWVuY2VycyBhcyB3ZWxsQroCCgtBQUFCYmlDOHJTURILQUFBQmJkSk95SG8aSQoJdGV4dC9odG1sEjxUaGFuayB5b3UgV2FuZ2VuY2hpIC0gSSB3aWxsIGFkZCBhIG5vdGUgb24gdGhpcyBpbiBmb290bm90ZS4iSgoKdGV4dC9wbGFpbhI8VGhhbmsgeW91IFdhbmdlbmNoaSAtIEkgd2lsbCBhZGQgYSBub3RlIG9uIHRoaXMgaW4gZm9vdG5vdGUuKhsiFTEwNTA1MTc5MjI0NDA1NTMxMDA3MCgAOAAw8snkhcYyOPLJ5IXGMloMdHAxenA0cHk2ejFqcgIgAHgAmgEGCAAQABgAqgE+EjxUaGFuayB5b3UgV2FuZ2VuY2hpIC0gSSB3aWxsIGFkZCBhIG5vdGUgb24gdGhpcyBpbiBmb290bm90ZS5KIAoKdGV4dC9wbGFpbhISVG9ydHVyZSBQcmV2ZW50aW9uWgt6aG45cXpheDVybnICIAB4AJoBBggAEAAYAKoBZBJidGhpcyBzZWN0aW9uIHNlZW1zIHRvIGJlIG1vcmUgYWJvdXQgcHJvdGVjdGluZyB0aGUgcmlnaHQgdG8gcHJvdGVzdCB0aGFuIGFib3V0IHRvcnR1cmUgcHJldmVudGlvbi6wAQC4AQAY0ar5gMUyIPLJ5IXGMjAAQhBraXgubXh2MnFoMno4ZnI0Ip4ECgtBQUFCYmlDOHFtURLsAwoLQUFBQmJpQzhxbVESC0FBQUJiaUM4cW1RGkoKCXRleHQvaHRtbBI9SSYjMzk7dmUgYWRkZWQgT21lZ2EmIzM5O3MgZGVzY3JpcHRpb24gYmFzZWQgb24gdGhlaXIgd2Vic2l0ZSJDCgp0ZXh0L3BsYWluEjVJJ3ZlIGFkZGVkIE9tZWdhJ3MgZGVzY3JpcHRpb24gYmFzZWQgb24gdGhlaXIgd2Vic2l0ZSobIhUxMDUwNTE3OTIyNDQwNTUzMTAwNzAoADgAMP6UgfvFMjiS3eSDxjJCmAEKC0FBQUJiaUM4ckhnEgtBQUFCYmlDOHFtURoTCgl0ZXh0L2h0bWwSBnRoYW5rcyIUCgp0ZXh0L3BsYWluEgZ0aGFua3MqGyIVMTAwODA4MTUwNTY0ODY5MTQyMDQ4KAA4ADCS3eSDxjI4kt3kg8YyWgx2NjRjdm9pc3VnZWZyAiAAeACaAQYIABAAGACqAQgSBnRoYW5rc0oUCgp0ZXh0L3BsYWluEgZzdGFnZS5aDGRkNzZkM3NycnFzb3ICIAB4AJoBBggAEAAYAKoBPxI9SSYjMzk7dmUgYWRkZWQgT21lZ2EmIzM5O3MgZGVzY3JpcHRpb24gYmFzZWQgb24gdGhlaXIgd2Vic2l0ZbABALgBABj+lIH7xTIgkt3kg8YyMABCEGtpeC5xeWtuYnpxM3VsdjgikAIKC0FBQUJiWWFnbTJJEtoBCgtBQUFCYllhZ20ySRILQUFBQmJZYWdtMkkaDQoJdGV4dC9odG1sEgAiDgoKdGV4dC9wbGFpbhIAKhsiFTExMDQ0NDI1OTEwMjA0MTkwMzYxMSgAOAAw7Mvl38MyONTQ5d/DMko6CiRhcHBsaWNhdGlvbi92bmQuZ29vZ2xlLWFwcHMuZG9jcy5tZHMaEsLX2uQBDBoKCgYKABAUGAAQAVoMdWJhNHo2dTJnMWR6cgIgAHgAggEUc3VnZ2VzdC50cGlsendzMGJqbXOaAQYIABAAGACwAQC4AQAY7Mvl38MyINTQ5d/DMjAAQhRzdWdnZXN0LnRwaWx6d3MwYmptcyKRAgoLQUFBQmJZYWdtMWMS2wEKC0FBQUJiWWFnbTFjEgtBQUFCYllhZ20xYxoNCgl0ZXh0L2h0bWwSACIOCgp0ZXh0L3BsYWluEgAqGyIVMTEwNDQ0MjU5MTAyMDQxOTAzNjExKAA4ADDjmNjfwzI4ip7Y38MySjwKJGFwcGxpY2F0aW9uL3ZuZC5nb29nbGUtYXBwcy5kb2NzLm1kcxoUwtfa5AEOGgwKCAoCdG8QARgAEAFaCzZ6M2k1cTd4YXY1cgIgAHgAggEUc3VnZ2VzdC5xZndkZXlwN3Vqd2uaAQYIABAAGACwAQC4AQAY45jY38MyIIqe2N/DMjAAQhRzdWdnZXN0LnFmd2RleXA3dWp3ayL+BwoLQUFBQmJpQzhxbUUSzAcKC0FBQUJiaUM4cW1FEgtBQUFCYmlDOHFtRRo3Cgl0ZXh0L2h0bWwSKkFzZ2VyLCBkbyB5b3Ugc3RpbGwgd2FudCB0byBhZGQgdGhpcyBoZXJlPyI4Cgp0ZXh0L3BsYWluEipBc2dlciwgZG8geW91IHN0aWxsIHdhbnQgdG8gYWRkIHRoaXMgaGVyZT8qGyIVMTA1MDUxNzkyMjQ0MDU1MzEwMDcwKAA4ADDrmvj6xTI46MzEg8YyQoECCgtBQUFCYmlDOHJHNBILQUFBQmJpQzhxbUUaNgoJdGV4dC9odG1sEilJIGFkZGVkIHRoZSBmaWd1cmVzIGZyb20gdGhlIElSQ1Qgd2Vic2l0ZSI3Cgp0ZXh0L3BsYWluEilJIGFkZGVkIHRoZSBmaWd1cmVzIGZyb20gdGhlIElSQ1Qgd2Vic2l0ZSobIhUxMTM3MzIyMjI5NjExMzg2OTEyNzkoADgAMOjMxIPGMjjozMSDxjJaDGZkcDVyend5ZHl3NnICIAB4AJoBBggAEAAYAKoBKxIpSSBhZGRlZCB0aGUgZmlndXJlcyBmcm9tIHRoZSBJUkNUIHdlYnNpdGVKuwMKCnRleHQvcGxhaW4SrANUaGUgSW50ZXJuYXRpb25hbCBSZWhhYmlsaXRhdGlvbiBDb3VuY2lsIGZvciBUb3J0dXJlIFZpY3RpbXMgKElSQ1QpIGlzIGEgZ2xvYmFsIG5ldHdvcmsgb2YgY2l2aWwgc29jaWV0eSBvcmdhbmlzYXRpb25zIGFuZCBpbmRlcGVuZGVudCBleHBlcnRzIHdobyBzdXBwb3J0IHN1cnZpdm9ycyBvZiB0b3J0dXJlIHRvIGhlYWwgYW5kIHJlYnVpbGQgdGhlaXIgbGl2ZXMgdGhyb3VnaCByZWhhYmlsaXRhdGlvbiwgaW5jbHVkaW5nIG1lZGljYWwsIHBzeWNob2xvZ2ljYWwsIGxlZ2FsIGFuZCBzb2NpYWwgc3VwcG9ydC4gV2UgYWxzbyBwcm9kdWNlIGZvcmVuc2ljIGV2aWRlbmNlLCBwdWJsaXNoIGFjYWRlbWljIHJlc2VhcmNoLCBhbmQgZmlnaHQgZm9yIGp1c3RpY2UuIFRoZSBJUkNUIGhhcyB4eCBtZW1iZXJzIGluIHl5IGNvdW50cmllcyB3b3JsZCB3aWRlLloMMnNicmV0NGg4M3M4cgIgAHgAmgEGCAAQABgAqgEsEipBc2dlciwgZG8geW91IHN0aWxsIHdhbnQgdG8gYWRkIHRoaXMgaGVyZT+wAQC4AQAY65r4+sUyIOjMxIPGMjAAQhBraXguemc0MDdyMXNyMHdkIpECCgtBQUFCYllhZ20yQRLcAQoLQUFBQmJZYWdtMkESC0FBQUJiWWFnbTJBGg0KCXRleHQvaHRtbBIAIg4KCnRleHQvcGxhaW4SACobIhUxMTA0NDQyNTkxMDIwNDE5MDM2MTEoADgAMK2c5d/DMjiHoeXfwzJKPQokYXBwbGljYXRpb24vdm5kLmdvb2dsZS1hcHBzLmRvY3MubWRzGhXC19rkAQ8aDQoJCgN0b3IQARgAEAFaDGxzdW5ybG84cDh1M3ICIAB4AIIBE3N1Z2dlc3QuNXh2dmU4NmZueXaaAQYIABAAGACwAQC4AQAYrZzl38MyIIeh5d/DMjAAQhNzdWdnZXN0LjV4dnZlODZmbnl2OABqJgoUc3VnZ2VzdC4xYXNxaHZhZDhlYjcSDlNhbmRyYSBWaWNlbnRlaiMKFHN1Z2dlc3Qua2cwZTN1azRvYzh4EgtIZWxlbiBDbG9zZWopChRzdWdnZXN0LmwwZG8zaWludnY4eBIRQ2hhcmxvdHRlIE1hbmNpbmlqKQoUc3VnZ2VzdC43ZGJuM2JvNzNzYTQSEUNoYXJsb3R0ZSBNYW5jaW5paikKFHN1Z2dlc3QuZDA4amZ4cncwbDUyEhFDaGFybG90dGUgTWFuY2luaWojChRzdWdnZXN0LnBvMmYyajlsOXE4ehILSGVsZW4gQ2xvc2VqJgoUc3VnZ2VzdC5sdXByYXZyNTE0Y2gSDlNhbmRyYSBWaWNlbnRlaiMKFHN1Z2dlc3QucXFhcHgwNnlndWYwEgtIZWxlbiBDbG9zZWopChRzdWdnZXN0LjYzdG05Z3MwNW9lNRIRQ2hhcmxvdHRlIE1hbmNpbmlqJgoUc3VnZ2VzdC5oaWs3dHdncmw4amISDlNhbmRyYSBWaWNlbnRlaiMKFHN1Z2dlc3QuazZxZ2JmMXFsZmoxEgtIZWxlbiBDbG9zZWomChRzdWdnZXN0Lmx4czZub3l6ejBsYxIOU2FuZHJhIFZpY2VudGVqIwoUc3VnZ2VzdC5heWx0bW53aTlzMWQSC0hlbGVuIENsb3NlaioKE3N1Z2dlc3QubGk4ZGFtdHo1ZjUSE0FuYSBDdXR0cyBEb3VnaGVydHlqJgoUc3VnZ2VzdC45NDB1MHBpdHR0MTkSDlNhbmRyYSBWaWNlbnRlaiMKFHN1Z2dlc3QuOWZnZDJtdmd3YzA0EgtIZWxlbiBDbG9zZWojChRzdWdnZXN0LjRhMjM2Ync3MXdnYhILSGVsZW4gQ2xvc2VqKQoUc3VnZ2VzdC5iaXlqNzM0dDRqY2MSEUNoYXJsb3R0ZSBNYW5jaW5paikKFHN1Z2dlc3QuN2lyMHAzYmM0bzNiEhFDaGFybG90dGUgTWFuY2luaWopChRzdWdnZXN0LjhlZHQ2MzN2cndoahIRQ2hhcmxvdHRlIE1hbmNpbmlqKQoUc3VnZ2VzdC5ubGZlNHlzdjQ4MjcSEUNoYXJsb3R0ZSBNYW5jaW5paiMKFHN1Z2dlc3QueXA1ZGtqbHpqdnlqEgtIZWxlbiBDbG9zZWopChRzdWdnZXN0LmNqdnB5bnF5dzJsZRIRQ2hhcmxvdHRlIE1hbmNpbmlqJgoUc3VnZ2VzdC5vbXRiN3A5cGgzaDcSDlNhbmRyYSBWaWNlbnRlaikKFHN1Z2dlc3QudXhlN21rN2ZrOHRvEhFDaGFybG90dGUgTWFuY2luaWomChRzdWdnZXN0Lmlsd2Jpd3NpYWhxaxIOU2FuZHJhIFZpY2VudGVqKQoUc3VnZ2VzdC52dDk2Y3F2eGsyM3oSEUNoYXJsb3R0ZSBNYW5jaW5paiYKFHN1Z2dlc3QudGltd3h5dnh0NXBtEg5TYW5kcmEgVmljZW50ZWomChRzdWdnZXN0LmJxNWNjbTNodTVyMhIOU2FuZHJhIFZpY2VudGVqRgo1c3VnZ2VzdElkSW1wb3J0YjkzZWUyYjAtMDA5OS00YWQ5LTk5NmItOTRmY2ZmNDI1NzIzXzESDVJlbmF0YSBQb2xpdGlqJgoUc3VnZ2VzdC5kcDNyODRoODl3aHkSDlNhbmRyYSBWaWNlbnRlaiYKFHN1Z2dlc3QuaW1uMjczYm5zeHlkEg5TYW5kcmEgVmljZW50ZWomChRzdWdnZXN0Lmk3ZXVmYms4dWNkbRIOU2FuZHJhIFZpY2VudGVqKQoUc3VnZ2VzdC5maWcyeGYydTdvZWESEUNoYXJsb3R0ZSBNYW5jaW5paiYKFHN1Z2dlc3QubnFmODFwcWl4NW51Eg5TYW5kcmEgVmljZW50ZWo5CjVzdWdnZXN0SWRJbXBvcnRiOTNlZTJiMC0wMDk5LTRhZDktOTk2Yi05NGZjZmY0MjU3MjNfMhIAaiYKFHN1Z2dlc3QuN21xcjFjMjJvdGUwEg5TYW5kcmEgVmljZW50ZWomChRzdWdnZXN0Lng0ZWlkbWY5ZjR6cRIOU2FuZHJhIFZpY2VudGVqJgoUc3VnZ2VzdC4yM3p0OGRwYWhoZ3MSDlNhbmRyYSBWaWNlbnRlaikKFHN1Z2dlc3QuM3ZsYnhoN2R1YzR1EhFDaGFybG90dGUgTWFuY2luaWopChRzdWdnZXN0Lm5lcG51cmVzeHF6cRIRQ2hhcmxvdHRlIE1hbmNpbmlqKwoUc3VnZ2VzdC5oYzV0eHI1dHplOWcSE0FuYSBDdXR0cyBEb3VnaGVydHlqKQoUc3VnZ2VzdC41c3Bhb2gxY3cybXESEUNoYXJsb3R0ZSBNYW5jaW5paikKFHN1Z2dlc3QuNG56ZDN3dm51cGh6EhFDaGFybG90dGUgTWFuY2luaWopChRzdWdnZXN0LnU3OWNodHEwMTNvYhIRQ2hhcmxvdHRlIE1hbmNpbmlqIwoUc3VnZ2VzdC5kMXhmcTc5dDFxaHgSC0hlbGVuIENsb3NlaigKE3N1Z2dlc3QuaDljYWRxNWo5YXUSEUNoYXJsb3R0ZSBNYW5jaW5paigKE3N1Z2dlc3Qubmk4YTBpem85ejQSEUNoYXJsb3R0ZSBNYW5jaW5paikKFHN1Z2dlc3QuN2FkdXYyYmM2NncwEhFDaGFybG90dGUgTWFuY2luaWopChRzdWdnZXN0LjdrNnN3NHFhajV0NRIRQ2hhcmxvdHRlIE1hbmNpbmlqJgoUc3VnZ2VzdC53bHhkMHd4d3hxM3gSDlNhbmRyYSBWaWNlbnRlaiYKFHN1Z2dlc3QudHBpbHp3czBiam1zEg5TYW5kcmEgVmljZW50ZWojChRzdWdnZXN0LjlqZHhrcnNkdTdobBILSGVsZW4gQ2xvc2VqJgoUc3VnZ2VzdC5vcGVjeTJiNmlwMjASDlNhbmRyYSBWaWNlbnRlaiYKFHN1Z2dlc3QuemFiNGt2azc2MTR1Eg5TYW5kcmEgVmljZW50ZWomChRzdWdnZXN0LnFmd2RleXA3dWp3axIOU2FuZHJhIFZpY2VudGVqIwoUc3VnZ2VzdC5wcWx5M2gyc2VjdGMSC0hlbGVuIENsb3NlaiYKFHN1Z2dlc3QubWhhdG1mZmI3bnNuEg5TYW5kcmEgVmljZW50ZWopChRzdWdnZXN0LnI1YnRoZ2sxbHhobRIRQ2hhcmxvdHRlIE1hbmNpbmlqJgoUc3VnZ2VzdC50eXJ0M2h0c3ZhNzcSDlNhbmRyYSBWaWNlbnRlaiMKFHN1Z2dlc3QuZjBuZmdjbWVlMmd4EgtIZWxlbiBDbG9zZWomChRzdWdnZXN0LnJtOGR2bGhqaGM4bxIOU2FuZHJhIFZpY2VudGVqIwoUc3VnZ2VzdC54Z3h6bDR5bW5ybzQSC0hlbGVuIENsb3NlaisKFHN1Z2dlc3Quc3VldXF1dnNuOGltEhNBbmEgQ3V0dHMgRG91Z2hlcnR5aiMKFHN1Z2dlc3QueDF6ZDBtOGwwYWh5EgtIZWxlbiBDbG9zZWorChRzdWdnZXN0LmpiN3JpbWNhNWRweBITQW5hIEN1dHRzIERvdWdoZXJ0eWojChRzdWdnZXN0LnEyOXA4MTM3aDZ0NBILSGVsZW4gQ2xvc2VqJQoTc3VnZ2VzdC41eHZ2ZTg2Zm55dhIOU2FuZHJhIFZpY2VudGVqIwoUc3VnZ2VzdC5qcW5pbmI4aDQ3bjkSC0hlbGVuIENsb3NlciExeXpkN1NMM3dvVlJtX3F5TDJETlp1Snp4dVdXVVNFbEY=</go:docsCustomData>
</go:gDocsCustomXmlDataStorag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4350A1-E1ED-40AD-AB5E-2823FBBBD0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c8ab8-d951-4787-ae8a-0925f0e8ce13"/>
    <ds:schemaRef ds:uri="a4c5467f-96d8-46b3-8aa5-0ff159ba0c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42B8B5-5779-4F78-923F-4F12CC89D23A}">
  <ds:schemaRefs>
    <ds:schemaRef ds:uri="http://schemas.microsoft.com/sharepoint/v3/contenttype/forms"/>
  </ds:schemaRefs>
</ds:datastoreItem>
</file>

<file path=customXml/itemProps3.xml><?xml version="1.0" encoding="utf-8"?>
<ds:datastoreItem xmlns:ds="http://schemas.openxmlformats.org/officeDocument/2006/customXml" ds:itemID="{23F6098C-2D14-48DA-BE27-704206CDE6D3}">
  <ds:schemaRefs>
    <ds:schemaRef ds:uri="http://schemas.microsoft.com/office/2006/metadata/properties"/>
    <ds:schemaRef ds:uri="http://schemas.microsoft.com/office/infopath/2007/PartnerControls"/>
    <ds:schemaRef ds:uri="8a5c8ab8-d951-4787-ae8a-0925f0e8ce13"/>
    <ds:schemaRef ds:uri="a4c5467f-96d8-46b3-8aa5-0ff159ba0ce9"/>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98CBE454-3995-4E41-B4C6-D1B770E64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4299</Words>
  <Characters>24509</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Cutts Dougherty</dc:creator>
  <cp:lastModifiedBy>Javier Leoz Invernon</cp:lastModifiedBy>
  <cp:revision>2</cp:revision>
  <dcterms:created xsi:type="dcterms:W3CDTF">2025-01-14T11:36:00Z</dcterms:created>
  <dcterms:modified xsi:type="dcterms:W3CDTF">2025-01-14T11:36:00Z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0x010100BCEA96FA34994A45837B50443DC11742</vt:lpwstr>
  </property>
  <property fmtid="{D5CDD505-2E9C-101B-9397-08002B2CF9AE}" pid="3" name="MediaServiceImageTags">
    <vt:lpwstr/>
  </property>
</Properties>
</file>