
<file path=[Content_Types].xml><?xml version="1.0" encoding="utf-8"?>
<Types xmlns="http://schemas.openxmlformats.org/package/2006/content-types">
  <Default Extension="png" ContentType="image/png"/>
  <Default Extension="rels" ContentType="application/vnd.openxmlformats-package.relationships+xml"/>
  <Default Extension="ttf" ContentType="application/x-font-ttf"/>
  <Default Extension="xml" ContentType="application/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ustom.xml" ContentType="application/vnd.openxmlformats-officedocument.custom-properties+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color="000000" w:space="0" w:sz="0" w:val="none"/>
          <w:left w:color="000000" w:space="0" w:sz="0" w:val="none"/>
          <w:bottom w:color="000000" w:space="0" w:sz="0" w:val="none"/>
          <w:right w:color="000000" w:space="0" w:sz="0" w:val="none"/>
          <w:between w:color="000000" w:space="0" w:sz="0" w:val="none"/>
        </w:pBdr>
        <w:spacing w:after="1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Joint Contribution for the 89th Session of the Convention on the Elimination of All Forms of Discrimination Against Women (CEDAW)</w:t>
      </w:r>
    </w:p>
    <w:p w:rsidR="00000000" w:rsidDel="00000000" w:rsidP="00000000" w:rsidRDefault="00000000" w:rsidRPr="00000000" w14:paraId="00000002">
      <w:pPr>
        <w:pBdr>
          <w:top w:color="000000" w:space="0" w:sz="0" w:val="none"/>
          <w:left w:color="000000" w:space="0" w:sz="0" w:val="none"/>
          <w:bottom w:color="000000" w:space="0" w:sz="0" w:val="none"/>
          <w:right w:color="000000" w:space="0" w:sz="0" w:val="none"/>
          <w:between w:color="000000" w:space="0" w:sz="0" w:val="none"/>
        </w:pBdr>
        <w:spacing w:after="1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3">
      <w:pPr>
        <w:pBdr>
          <w:top w:color="000000" w:space="0" w:sz="0" w:val="none"/>
          <w:left w:color="000000" w:space="0" w:sz="0" w:val="none"/>
          <w:bottom w:color="000000" w:space="0" w:sz="0" w:val="none"/>
          <w:right w:color="000000" w:space="0" w:sz="0" w:val="none"/>
          <w:between w:color="000000" w:space="0" w:sz="0" w:val="none"/>
        </w:pBdr>
        <w:spacing w:after="1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Deficiencies in Legal Redress Mechanisms and Resources for Women Victims of Gender-Based Violence in Cuba</w:t>
      </w:r>
    </w:p>
    <w:p w:rsidR="00000000" w:rsidDel="00000000" w:rsidP="00000000" w:rsidRDefault="00000000" w:rsidRPr="00000000" w14:paraId="00000004">
      <w:pPr>
        <w:pBdr>
          <w:top w:color="000000" w:space="0" w:sz="0" w:val="none"/>
          <w:left w:color="000000" w:space="0" w:sz="0" w:val="none"/>
          <w:bottom w:color="000000" w:space="0" w:sz="0" w:val="none"/>
          <w:right w:color="000000" w:space="0" w:sz="0" w:val="none"/>
          <w:between w:color="000000" w:space="0" w:sz="0" w:val="none"/>
        </w:pBdr>
        <w:spacing w:after="1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5">
      <w:pPr>
        <w:pBdr>
          <w:top w:color="000000" w:space="0" w:sz="0" w:val="none"/>
          <w:left w:color="000000" w:space="0" w:sz="0" w:val="none"/>
          <w:bottom w:color="000000" w:space="0" w:sz="0" w:val="none"/>
          <w:right w:color="000000" w:space="0" w:sz="0" w:val="none"/>
          <w:between w:color="000000" w:space="0" w:sz="0" w:val="none"/>
        </w:pBdr>
        <w:spacing w:after="1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Report led by: Observatorio Legislativo de Cuba</w:t>
      </w:r>
    </w:p>
    <w:p w:rsidR="00000000" w:rsidDel="00000000" w:rsidP="00000000" w:rsidRDefault="00000000" w:rsidRPr="00000000" w14:paraId="00000006">
      <w:pPr>
        <w:pBdr>
          <w:top w:color="000000" w:space="0" w:sz="0" w:val="none"/>
          <w:left w:color="000000" w:space="0" w:sz="0" w:val="none"/>
          <w:bottom w:color="000000" w:space="0" w:sz="0" w:val="none"/>
          <w:right w:color="000000" w:space="0" w:sz="0" w:val="none"/>
          <w:between w:color="000000" w:space="0" w:sz="0" w:val="none"/>
        </w:pBdr>
        <w:spacing w:after="160" w:lineRule="auto"/>
        <w:jc w:val="center"/>
        <w:rPr>
          <w:rFonts w:ascii="Times New Roman" w:cs="Times New Roman" w:eastAsia="Times New Roman" w:hAnsi="Times New Roman"/>
          <w:b w:val="1"/>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4250531</wp:posOffset>
            </wp:positionH>
            <wp:positionV relativeFrom="paragraph">
              <wp:posOffset>248920</wp:posOffset>
            </wp:positionV>
            <wp:extent cx="1005726" cy="1005726"/>
            <wp:effectExtent b="0" l="0" r="0" t="0"/>
            <wp:wrapNone/>
            <wp:docPr id="1784432566"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1005726" cy="1005726"/>
                    </a:xfrm>
                    <a:prstGeom prst="rect"/>
                    <a:ln/>
                  </pic:spPr>
                </pic:pic>
              </a:graphicData>
            </a:graphic>
          </wp:anchor>
        </w:drawing>
      </w:r>
    </w:p>
    <w:p w:rsidR="00000000" w:rsidDel="00000000" w:rsidP="00000000" w:rsidRDefault="00000000" w:rsidRPr="00000000" w14:paraId="00000007">
      <w:pPr>
        <w:pBdr>
          <w:top w:color="000000" w:space="0" w:sz="0" w:val="none"/>
          <w:left w:color="000000" w:space="0" w:sz="0" w:val="none"/>
          <w:bottom w:color="000000" w:space="0" w:sz="0" w:val="none"/>
          <w:right w:color="000000" w:space="0" w:sz="0" w:val="none"/>
          <w:between w:color="000000" w:space="0" w:sz="0" w:val="none"/>
        </w:pBdr>
        <w:spacing w:after="160" w:lineRule="auto"/>
        <w:jc w:val="center"/>
        <w:rPr>
          <w:rFonts w:ascii="Times New Roman" w:cs="Times New Roman" w:eastAsia="Times New Roman" w:hAnsi="Times New Roman"/>
          <w:b w:val="1"/>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763905</wp:posOffset>
            </wp:positionH>
            <wp:positionV relativeFrom="paragraph">
              <wp:posOffset>114511</wp:posOffset>
            </wp:positionV>
            <wp:extent cx="1232297" cy="657225"/>
            <wp:effectExtent b="0" l="0" r="0" t="0"/>
            <wp:wrapNone/>
            <wp:docPr id="1784432564" name="image6.png"/>
            <a:graphic>
              <a:graphicData uri="http://schemas.openxmlformats.org/drawingml/2006/picture">
                <pic:pic>
                  <pic:nvPicPr>
                    <pic:cNvPr id="0" name="image6.png"/>
                    <pic:cNvPicPr preferRelativeResize="0"/>
                  </pic:nvPicPr>
                  <pic:blipFill>
                    <a:blip r:embed="rId9"/>
                    <a:srcRect b="0" l="0" r="0" t="0"/>
                    <a:stretch>
                      <a:fillRect/>
                    </a:stretch>
                  </pic:blipFill>
                  <pic:spPr>
                    <a:xfrm>
                      <a:off x="0" y="0"/>
                      <a:ext cx="1232297" cy="65722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2106930</wp:posOffset>
            </wp:positionH>
            <wp:positionV relativeFrom="paragraph">
              <wp:posOffset>109855</wp:posOffset>
            </wp:positionV>
            <wp:extent cx="809625" cy="658376"/>
            <wp:effectExtent b="0" l="0" r="0" t="0"/>
            <wp:wrapNone/>
            <wp:docPr id="1784432570" name="image1.png"/>
            <a:graphic>
              <a:graphicData uri="http://schemas.openxmlformats.org/drawingml/2006/picture">
                <pic:pic>
                  <pic:nvPicPr>
                    <pic:cNvPr id="0" name="image1.png"/>
                    <pic:cNvPicPr preferRelativeResize="0"/>
                  </pic:nvPicPr>
                  <pic:blipFill>
                    <a:blip r:embed="rId10"/>
                    <a:srcRect b="0" l="0" r="0" t="0"/>
                    <a:stretch>
                      <a:fillRect/>
                    </a:stretch>
                  </pic:blipFill>
                  <pic:spPr>
                    <a:xfrm>
                      <a:off x="0" y="0"/>
                      <a:ext cx="809625" cy="658376"/>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2990056</wp:posOffset>
            </wp:positionH>
            <wp:positionV relativeFrom="paragraph">
              <wp:posOffset>145414</wp:posOffset>
            </wp:positionV>
            <wp:extent cx="1423593" cy="567576"/>
            <wp:effectExtent b="0" l="0" r="0" t="0"/>
            <wp:wrapNone/>
            <wp:docPr id="1784432569"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1423593" cy="567576"/>
                    </a:xfrm>
                    <a:prstGeom prst="rect"/>
                    <a:ln/>
                  </pic:spPr>
                </pic:pic>
              </a:graphicData>
            </a:graphic>
          </wp:anchor>
        </w:drawing>
      </w:r>
    </w:p>
    <w:p w:rsidR="00000000" w:rsidDel="00000000" w:rsidP="00000000" w:rsidRDefault="00000000" w:rsidRPr="00000000" w14:paraId="00000008">
      <w:pPr>
        <w:pBdr>
          <w:top w:color="000000" w:space="0" w:sz="0" w:val="none"/>
          <w:left w:color="000000" w:space="0" w:sz="0" w:val="none"/>
          <w:bottom w:color="000000" w:space="0" w:sz="0" w:val="none"/>
          <w:right w:color="000000" w:space="0" w:sz="0" w:val="none"/>
          <w:between w:color="000000" w:space="0" w:sz="0" w:val="none"/>
        </w:pBdr>
        <w:spacing w:after="1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9">
      <w:pPr>
        <w:pBdr>
          <w:top w:color="000000" w:space="0" w:sz="0" w:val="none"/>
          <w:left w:color="000000" w:space="0" w:sz="0" w:val="none"/>
          <w:bottom w:color="000000" w:space="0" w:sz="0" w:val="none"/>
          <w:right w:color="000000" w:space="0" w:sz="0" w:val="none"/>
          <w:between w:color="000000" w:space="0" w:sz="0" w:val="none"/>
        </w:pBdr>
        <w:spacing w:after="160" w:lineRule="auto"/>
        <w:rPr>
          <w:rFonts w:ascii="Times New Roman" w:cs="Times New Roman" w:eastAsia="Times New Roman" w:hAnsi="Times New Roman"/>
          <w:b w:val="1"/>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4340701</wp:posOffset>
            </wp:positionH>
            <wp:positionV relativeFrom="paragraph">
              <wp:posOffset>186213</wp:posOffset>
            </wp:positionV>
            <wp:extent cx="828675" cy="557323"/>
            <wp:effectExtent b="0" l="0" r="0" t="0"/>
            <wp:wrapNone/>
            <wp:docPr id="1784432565" name="image5.png"/>
            <a:graphic>
              <a:graphicData uri="http://schemas.openxmlformats.org/drawingml/2006/picture">
                <pic:pic>
                  <pic:nvPicPr>
                    <pic:cNvPr id="0" name="image5.png"/>
                    <pic:cNvPicPr preferRelativeResize="0"/>
                  </pic:nvPicPr>
                  <pic:blipFill>
                    <a:blip r:embed="rId12"/>
                    <a:srcRect b="0" l="0" r="0" t="0"/>
                    <a:stretch>
                      <a:fillRect/>
                    </a:stretch>
                  </pic:blipFill>
                  <pic:spPr>
                    <a:xfrm>
                      <a:off x="0" y="0"/>
                      <a:ext cx="828675" cy="557323"/>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2693194</wp:posOffset>
            </wp:positionH>
            <wp:positionV relativeFrom="paragraph">
              <wp:posOffset>281780</wp:posOffset>
            </wp:positionV>
            <wp:extent cx="1607343" cy="459241"/>
            <wp:effectExtent b="0" l="0" r="0" t="0"/>
            <wp:wrapNone/>
            <wp:docPr id="1784432568" name="image7.png"/>
            <a:graphic>
              <a:graphicData uri="http://schemas.openxmlformats.org/drawingml/2006/picture">
                <pic:pic>
                  <pic:nvPicPr>
                    <pic:cNvPr id="0" name="image7.png"/>
                    <pic:cNvPicPr preferRelativeResize="0"/>
                  </pic:nvPicPr>
                  <pic:blipFill>
                    <a:blip r:embed="rId13"/>
                    <a:srcRect b="0" l="0" r="0" t="0"/>
                    <a:stretch>
                      <a:fillRect/>
                    </a:stretch>
                  </pic:blipFill>
                  <pic:spPr>
                    <a:xfrm>
                      <a:off x="0" y="0"/>
                      <a:ext cx="1607343" cy="459241"/>
                    </a:xfrm>
                    <a:prstGeom prst="rect"/>
                    <a:ln/>
                  </pic:spPr>
                </pic:pic>
              </a:graphicData>
            </a:graphic>
          </wp:anchor>
        </w:drawing>
      </w:r>
    </w:p>
    <w:p w:rsidR="00000000" w:rsidDel="00000000" w:rsidP="00000000" w:rsidRDefault="00000000" w:rsidRPr="00000000" w14:paraId="0000000A">
      <w:pPr>
        <w:pBdr>
          <w:top w:color="000000" w:space="0" w:sz="0" w:val="none"/>
          <w:left w:color="000000" w:space="0" w:sz="0" w:val="none"/>
          <w:bottom w:color="000000" w:space="0" w:sz="0" w:val="none"/>
          <w:right w:color="000000" w:space="0" w:sz="0" w:val="none"/>
          <w:between w:color="000000" w:space="0" w:sz="0" w:val="none"/>
        </w:pBdr>
        <w:spacing w:after="160" w:lineRule="auto"/>
        <w:jc w:val="both"/>
        <w:rPr>
          <w:rFonts w:ascii="Times New Roman" w:cs="Times New Roman" w:eastAsia="Times New Roman" w:hAnsi="Times New Roman"/>
          <w:b w:val="1"/>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499586</wp:posOffset>
            </wp:positionH>
            <wp:positionV relativeFrom="paragraph">
              <wp:posOffset>3176</wp:posOffset>
            </wp:positionV>
            <wp:extent cx="2190750" cy="438150"/>
            <wp:effectExtent b="0" l="0" r="0" t="0"/>
            <wp:wrapNone/>
            <wp:docPr id="1784432567" name="image3.png"/>
            <a:graphic>
              <a:graphicData uri="http://schemas.openxmlformats.org/drawingml/2006/picture">
                <pic:pic>
                  <pic:nvPicPr>
                    <pic:cNvPr id="0" name="image3.png"/>
                    <pic:cNvPicPr preferRelativeResize="0"/>
                  </pic:nvPicPr>
                  <pic:blipFill>
                    <a:blip r:embed="rId14"/>
                    <a:srcRect b="0" l="0" r="0" t="0"/>
                    <a:stretch>
                      <a:fillRect/>
                    </a:stretch>
                  </pic:blipFill>
                  <pic:spPr>
                    <a:xfrm>
                      <a:off x="0" y="0"/>
                      <a:ext cx="2190750" cy="438150"/>
                    </a:xfrm>
                    <a:prstGeom prst="rect"/>
                    <a:ln/>
                  </pic:spPr>
                </pic:pic>
              </a:graphicData>
            </a:graphic>
          </wp:anchor>
        </w:drawing>
      </w:r>
    </w:p>
    <w:p w:rsidR="00000000" w:rsidDel="00000000" w:rsidP="00000000" w:rsidRDefault="00000000" w:rsidRPr="00000000" w14:paraId="0000000B">
      <w:pPr>
        <w:pBdr>
          <w:top w:color="000000" w:space="0" w:sz="0" w:val="none"/>
          <w:left w:color="000000" w:space="0" w:sz="0" w:val="none"/>
          <w:bottom w:color="000000" w:space="0" w:sz="0" w:val="none"/>
          <w:right w:color="000000" w:space="0" w:sz="0" w:val="none"/>
          <w:between w:color="000000" w:space="0" w:sz="0" w:val="none"/>
        </w:pBdr>
        <w:spacing w:after="1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C">
      <w:pPr>
        <w:pBdr>
          <w:top w:color="000000" w:space="0" w:sz="0" w:val="none"/>
          <w:left w:color="000000" w:space="0" w:sz="0" w:val="none"/>
          <w:bottom w:color="000000" w:space="0" w:sz="0" w:val="none"/>
          <w:right w:color="000000" w:space="0" w:sz="0" w:val="none"/>
          <w:between w:color="000000" w:space="0" w:sz="0" w:val="none"/>
        </w:pBdr>
        <w:spacing w:after="1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D">
      <w:pPr>
        <w:pBdr>
          <w:top w:color="000000" w:space="0" w:sz="0" w:val="none"/>
          <w:left w:color="000000" w:space="0" w:sz="0" w:val="none"/>
          <w:bottom w:color="000000" w:space="0" w:sz="0" w:val="none"/>
          <w:right w:color="000000" w:space="0" w:sz="0" w:val="none"/>
          <w:between w:color="000000" w:space="0" w:sz="0" w:val="none"/>
        </w:pBdr>
        <w:spacing w:after="1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E">
      <w:pPr>
        <w:pBdr>
          <w:top w:color="000000" w:space="0" w:sz="0" w:val="none"/>
          <w:left w:color="000000" w:space="0" w:sz="0" w:val="none"/>
          <w:bottom w:color="000000" w:space="0" w:sz="0" w:val="none"/>
          <w:right w:color="000000" w:space="0" w:sz="0" w:val="none"/>
          <w:between w:color="000000" w:space="0" w:sz="0" w:val="none"/>
        </w:pBdr>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Autores: </w:t>
      </w:r>
      <w:r w:rsidDel="00000000" w:rsidR="00000000" w:rsidRPr="00000000">
        <w:rPr>
          <w:rFonts w:ascii="Times New Roman" w:cs="Times New Roman" w:eastAsia="Times New Roman" w:hAnsi="Times New Roman"/>
          <w:sz w:val="24"/>
          <w:szCs w:val="24"/>
          <w:rtl w:val="0"/>
        </w:rPr>
        <w:t xml:space="preserve">This report was written by Observatorio Legislativo de Cuba</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Fonts w:ascii="Times New Roman" w:cs="Times New Roman" w:eastAsia="Times New Roman" w:hAnsi="Times New Roman"/>
          <w:sz w:val="24"/>
          <w:szCs w:val="24"/>
          <w:rtl w:val="0"/>
        </w:rPr>
        <w:t xml:space="preserve"> in collaboration with 4Métrica</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Fonts w:ascii="Times New Roman" w:cs="Times New Roman" w:eastAsia="Times New Roman" w:hAnsi="Times New Roman"/>
          <w:sz w:val="24"/>
          <w:szCs w:val="24"/>
          <w:rtl w:val="0"/>
        </w:rPr>
        <w:t xml:space="preserve">, Civil Rights Defenders</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Fonts w:ascii="Times New Roman" w:cs="Times New Roman" w:eastAsia="Times New Roman" w:hAnsi="Times New Roman"/>
          <w:sz w:val="24"/>
          <w:szCs w:val="24"/>
          <w:rtl w:val="0"/>
        </w:rPr>
        <w:t xml:space="preserve">, ConEnfoque</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Fonts w:ascii="Times New Roman" w:cs="Times New Roman" w:eastAsia="Times New Roman" w:hAnsi="Times New Roman"/>
          <w:sz w:val="24"/>
          <w:szCs w:val="24"/>
          <w:rtl w:val="0"/>
        </w:rPr>
        <w:t xml:space="preserve">, Observatorio Cubano de Derechos Humanos</w:t>
      </w:r>
      <w:r w:rsidDel="00000000" w:rsidR="00000000" w:rsidRPr="00000000">
        <w:rPr>
          <w:rFonts w:ascii="Times New Roman" w:cs="Times New Roman" w:eastAsia="Times New Roman" w:hAnsi="Times New Roman"/>
          <w:sz w:val="24"/>
          <w:szCs w:val="24"/>
          <w:vertAlign w:val="superscript"/>
        </w:rPr>
        <w:footnoteReference w:customMarkFollows="0" w:id="4"/>
      </w:r>
      <w:r w:rsidDel="00000000" w:rsidR="00000000" w:rsidRPr="00000000">
        <w:rPr>
          <w:rFonts w:ascii="Times New Roman" w:cs="Times New Roman" w:eastAsia="Times New Roman" w:hAnsi="Times New Roman"/>
          <w:sz w:val="24"/>
          <w:szCs w:val="24"/>
          <w:rtl w:val="0"/>
        </w:rPr>
        <w:t xml:space="preserve">, Observatorio Cubano de Conflictos</w:t>
      </w:r>
      <w:r w:rsidDel="00000000" w:rsidR="00000000" w:rsidRPr="00000000">
        <w:rPr>
          <w:rFonts w:ascii="Times New Roman" w:cs="Times New Roman" w:eastAsia="Times New Roman" w:hAnsi="Times New Roman"/>
          <w:sz w:val="24"/>
          <w:szCs w:val="24"/>
          <w:vertAlign w:val="superscript"/>
        </w:rPr>
        <w:footnoteReference w:customMarkFollows="0" w:id="5"/>
      </w:r>
      <w:r w:rsidDel="00000000" w:rsidR="00000000" w:rsidRPr="00000000">
        <w:rPr>
          <w:rFonts w:ascii="Times New Roman" w:cs="Times New Roman" w:eastAsia="Times New Roman" w:hAnsi="Times New Roman"/>
          <w:sz w:val="24"/>
          <w:szCs w:val="24"/>
          <w:rtl w:val="0"/>
        </w:rPr>
        <w:t xml:space="preserve"> and Observatorio de Derechos Electorales</w:t>
      </w:r>
      <w:r w:rsidDel="00000000" w:rsidR="00000000" w:rsidRPr="00000000">
        <w:rPr>
          <w:rFonts w:ascii="Times New Roman" w:cs="Times New Roman" w:eastAsia="Times New Roman" w:hAnsi="Times New Roman"/>
          <w:sz w:val="24"/>
          <w:szCs w:val="24"/>
          <w:vertAlign w:val="superscript"/>
        </w:rPr>
        <w:footnoteReference w:customMarkFollows="0" w:id="6"/>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F">
      <w:pPr>
        <w:pBdr>
          <w:top w:color="000000" w:space="0" w:sz="0" w:val="none"/>
          <w:left w:color="000000" w:space="0" w:sz="0" w:val="none"/>
          <w:bottom w:color="000000" w:space="0" w:sz="0" w:val="none"/>
          <w:right w:color="000000" w:space="0" w:sz="0" w:val="none"/>
          <w:between w:color="000000" w:space="0" w:sz="0" w:val="none"/>
        </w:pBdr>
        <w:spacing w:after="1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0">
      <w:pPr>
        <w:pBdr>
          <w:top w:color="000000" w:space="0" w:sz="0" w:val="none"/>
          <w:left w:color="000000" w:space="0" w:sz="0" w:val="none"/>
          <w:bottom w:color="000000" w:space="0" w:sz="0" w:val="none"/>
          <w:right w:color="000000" w:space="0" w:sz="0" w:val="none"/>
          <w:between w:color="000000" w:space="0" w:sz="0" w:val="none"/>
        </w:pBdr>
        <w:spacing w:after="1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Mechanisms and Resources for Compensation</w:t>
      </w:r>
    </w:p>
    <w:p w:rsidR="00000000" w:rsidDel="00000000" w:rsidP="00000000" w:rsidRDefault="00000000" w:rsidRPr="00000000" w14:paraId="00000011">
      <w:pPr>
        <w:numPr>
          <w:ilvl w:val="0"/>
          <w:numId w:val="1"/>
        </w:numPr>
        <w:pBdr>
          <w:top w:color="000000" w:space="0" w:sz="0" w:val="none"/>
          <w:bottom w:color="000000" w:space="0" w:sz="0" w:val="none"/>
          <w:right w:color="000000" w:space="0" w:sz="0" w:val="none"/>
          <w:between w:color="000000" w:space="0" w:sz="0" w:val="none"/>
        </w:pBdr>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mechanism for redressing victims of crimes in Cuba is based on various legal provisions. These detail specific procedures, but their application continues to face significant challenges. Among them are: the 2019 Constitution, which guarantees the right to claim restitution and obtain compensation for damages suffered; the Civil Code and the Family Code, which address the reparation of material and moral damages; the Penal Code (Law 151/22), which establishes civil liability derived from crimes and ensures compensation to victims through the Ministry of Justice’s Compensation Fund; the Criminal Procedure Law (Law 143/21), which introduces restorative justice by allocating seized assets to compensate victims; Resolutions such as 236 of the Ministry of Justice and Instruction No. 246/2019 of the Supreme People's Court, which detail the procedures for collecting civil liabilities. Additionally, Law 152/2022 and Decree-Laws 74/2023 and 81/2023 reinforce compensation mechanisms, including salary withholdings from inmates. Despite the provisions in these constitutional, criminal, and procedural laws, they lack an explicit gender-based approach and guarantees of non-repetition. Moreover, they present bureaucratic challenges that limit the effectiveness of compensation</w:t>
      </w:r>
      <w:r w:rsidDel="00000000" w:rsidR="00000000" w:rsidRPr="00000000">
        <w:rPr>
          <w:rFonts w:ascii="Times New Roman" w:cs="Times New Roman" w:eastAsia="Times New Roman" w:hAnsi="Times New Roman"/>
          <w:sz w:val="24"/>
          <w:szCs w:val="24"/>
          <w:vertAlign w:val="superscript"/>
        </w:rPr>
        <w:footnoteReference w:customMarkFollows="0" w:id="7"/>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2">
      <w:pPr>
        <w:pBdr>
          <w:top w:color="000000" w:space="0" w:sz="0" w:val="none"/>
          <w:bottom w:color="000000" w:space="0" w:sz="0" w:val="none"/>
          <w:right w:color="000000" w:space="0" w:sz="0" w:val="none"/>
          <w:between w:color="000000" w:space="0" w:sz="0" w:val="none"/>
        </w:pBdr>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pBdr>
          <w:top w:color="000000" w:space="0" w:sz="0" w:val="none"/>
          <w:bottom w:color="000000" w:space="0" w:sz="0" w:val="none"/>
          <w:right w:color="000000" w:space="0" w:sz="0" w:val="none"/>
          <w:between w:color="000000" w:space="0" w:sz="0" w:val="none"/>
        </w:pBdr>
        <w:jc w:val="both"/>
        <w:rPr>
          <w:rFonts w:ascii="Times New Roman" w:cs="Times New Roman" w:eastAsia="Times New Roman" w:hAnsi="Times New Roman"/>
          <w:sz w:val="24"/>
          <w:szCs w:val="24"/>
        </w:rPr>
      </w:pPr>
      <w:bookmarkStart w:colFirst="0" w:colLast="0" w:name="_heading=h.2a3m6mlgjrbb" w:id="0"/>
      <w:bookmarkEnd w:id="0"/>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Deficiencies in the Compensation System</w:t>
      </w:r>
      <w:r w:rsidDel="00000000" w:rsidR="00000000" w:rsidRPr="00000000">
        <w:rPr>
          <w:rtl w:val="0"/>
        </w:rPr>
      </w:r>
    </w:p>
    <w:p w:rsidR="00000000" w:rsidDel="00000000" w:rsidP="00000000" w:rsidRDefault="00000000" w:rsidRPr="00000000" w14:paraId="00000014">
      <w:pPr>
        <w:pBdr>
          <w:top w:color="000000" w:space="0" w:sz="0" w:val="none"/>
          <w:bottom w:color="000000" w:space="0" w:sz="0" w:val="none"/>
          <w:right w:color="000000" w:space="0" w:sz="0" w:val="none"/>
          <w:between w:color="000000" w:space="0" w:sz="0" w:val="none"/>
        </w:pBd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Beyond the legal resources previously mentioned, victims of gender-based violence in Cuba face numerous barriers for accessing justice and obtaining reparations. The current legal protection has several deficiencies that prevent comprehensive reparation in accordance with international standards set forth by UN Resolution 60/147. Although the Penal Code and the Criminal Procedure Law include provisions for protection, they do not fully address the necessary components. Additionally, the availability and accessibility of resources and support for victims are limited, affecting the effectiveness of the justice system.</w:t>
      </w:r>
      <w:r w:rsidDel="00000000" w:rsidR="00000000" w:rsidRPr="00000000">
        <w:rPr>
          <w:rtl w:val="0"/>
        </w:rPr>
      </w:r>
    </w:p>
    <w:p w:rsidR="00000000" w:rsidDel="00000000" w:rsidP="00000000" w:rsidRDefault="00000000" w:rsidRPr="00000000" w14:paraId="000000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government has attempted, in a disjointed manner, to address and create regulations that guarantee women's rights. However, the implementation of these measures remains insufficient. One of the main challenges is the fragmentation of regulations, with multiple interrelated laws creating a confusing and complicated environment. This fragmentation hinders the understanding and application of the laws, adding additional obstacles for victims seeking reparation. The lack of a coherent and unified legal framework significantly contributes to the inefficacy of legal protection, limiting the ability of victims to obtain adequate and complete reparation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8"/>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 mentioned in the first section, the current regulations in Cuba do not explicitly include a gender-based approach, which implies a lack of attention to the specific needs of women and girls who are victims of crimes. The Family Code, for example, defines violence within the family sphere and recognizes the primary victims, aligning itself with UN Resolution 60/147. Article 13 establishes the definition of family violence, while Article 15 holds accountable those who use discrimination or violence in this context and states that compensation for damages, including moral damages, must be proportional to the severity of the act. However, the Code focuses on family violence, excluding other contexts of gender-based violence, which may hinder access to redress mechanisms for victims in the workplace, public spaces, or institutional settings.</w:t>
      </w:r>
      <w:r w:rsidDel="00000000" w:rsidR="00000000" w:rsidRPr="00000000">
        <w:rPr>
          <w:rtl w:val="0"/>
        </w:rPr>
      </w:r>
    </w:p>
    <w:p w:rsidR="00000000" w:rsidDel="00000000" w:rsidP="00000000" w:rsidRDefault="00000000" w:rsidRPr="00000000" w14:paraId="0000001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Family Code also exemplifies the lack of differential attention to women, as it focuses on direct perpetrators making reparations, excluding cases where the aggressor cannot assume responsibility, such as in situations of post-crime suicide or when the perpetrator is unknown. Clear mechanisms are not established for the State to assume responsibility for providing reparation in the absence of the aggressor, leaving victims and their dependent relatives unprotected. For example, if a woman is murdered by her husband, who then commits suicide, her dependent relatives would remain unprotected if reparation responsibility is limited solely to the aggressor. UN Resolution 60/147 states that victims have the right to adequate, effective, and prompt reparation, implying that the State must guarantee this right even if the aggressor cannot be held accountable. In the absence of the aggressor, the State must provide alternative reparation mechanisms, including compensation, rehabilitation, and satisfaction measures.</w:t>
      </w:r>
      <w:r w:rsidDel="00000000" w:rsidR="00000000" w:rsidRPr="00000000">
        <w:rPr>
          <w:rtl w:val="0"/>
        </w:rPr>
      </w:r>
    </w:p>
    <w:p w:rsidR="00000000" w:rsidDel="00000000" w:rsidP="00000000" w:rsidRDefault="00000000" w:rsidRPr="00000000" w14:paraId="000000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absence of these state mechanisms creates inequality in the protection of victims' rights compared to constitutional guarantees. The State must provide restitution and rehabilitation, ensuring that victims have access to services to restore their lives. Additionally, it must implement satisfaction measures and guarantees of non-repetition through reforms and preventive measures. However, as evidenced, the Family Code does not fully include all forms of comprehensive reparation established in UN Resolution 60/147, creating inconsistencies with the Cuban Constitution, which guarantees equal rights and wide-ranging protection against gender-based violence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9"/>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A">
      <w:pPr>
        <w:numPr>
          <w:ilvl w:val="0"/>
          <w:numId w:val="1"/>
        </w:numPr>
        <w:pBdr>
          <w:top w:color="000000" w:space="0" w:sz="0" w:val="none"/>
          <w:bottom w:color="000000" w:space="0" w:sz="0" w:val="none"/>
          <w:right w:color="000000" w:space="0" w:sz="0" w:val="none"/>
          <w:between w:color="000000" w:space="0" w:sz="0" w:val="none"/>
        </w:pBdr>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omission is a serious deficiency, as the general provisions for restitution and compensation do not adequately address the needs of these victims. The lack of a gender-based approach means that crucial forms of reparation, such as rehabilitation and satisfaction, are not addressed. Additionally, the gender perspective in the provision of resources and support is insufficient. Current regulations and policies do not always consider the specific needs of women and girls who are victims of gender-based violence, and this shortfall in staff training, service provision, and policy development limits the effectiveness of the available reparation and support measures</w:t>
      </w:r>
      <w:r w:rsidDel="00000000" w:rsidR="00000000" w:rsidRPr="00000000">
        <w:rPr>
          <w:rFonts w:ascii="Times New Roman" w:cs="Times New Roman" w:eastAsia="Times New Roman" w:hAnsi="Times New Roman"/>
          <w:sz w:val="24"/>
          <w:szCs w:val="24"/>
          <w:vertAlign w:val="superscript"/>
        </w:rPr>
        <w:footnoteReference w:customMarkFollows="0" w:id="10"/>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B">
      <w:pPr>
        <w:numPr>
          <w:ilvl w:val="0"/>
          <w:numId w:val="1"/>
        </w:numPr>
        <w:pBdr>
          <w:top w:color="000000" w:space="0" w:sz="0" w:val="none"/>
          <w:bottom w:color="000000" w:space="0" w:sz="0" w:val="none"/>
          <w:right w:color="000000" w:space="0" w:sz="0" w:val="none"/>
          <w:between w:color="000000" w:space="0" w:sz="0" w:val="none"/>
        </w:pBdr>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Cuban system includes economic compensation and some aspects of restitution. However, it lacks explicit provisions for rehabilitation and satisfaction, such as medical and psychological services, public apologies, and restoration of dignity</w:t>
      </w:r>
      <w:r w:rsidDel="00000000" w:rsidR="00000000" w:rsidRPr="00000000">
        <w:rPr>
          <w:rFonts w:ascii="Times New Roman" w:cs="Times New Roman" w:eastAsia="Times New Roman" w:hAnsi="Times New Roman"/>
          <w:sz w:val="24"/>
          <w:szCs w:val="24"/>
          <w:vertAlign w:val="superscript"/>
        </w:rPr>
        <w:footnoteReference w:customMarkFollows="0" w:id="11"/>
      </w:r>
      <w:r w:rsidDel="00000000" w:rsidR="00000000" w:rsidRPr="00000000">
        <w:rPr>
          <w:rFonts w:ascii="Times New Roman" w:cs="Times New Roman" w:eastAsia="Times New Roman" w:hAnsi="Times New Roman"/>
          <w:sz w:val="24"/>
          <w:szCs w:val="24"/>
          <w:rtl w:val="0"/>
        </w:rPr>
        <w:t xml:space="preserve">. For example, a victim of gender-based violence who suffers psychological trauma does not have the guaranteed right to receive medical or psychological services as part of their reparation. Additionally, although the Criminal Procedure Law partially addresses the compensation for moral damages, it does not include satisfaction measures such as public apologies, which are necessary to restore the victim's dignity.</w:t>
      </w:r>
    </w:p>
    <w:p w:rsidR="00000000" w:rsidDel="00000000" w:rsidP="00000000" w:rsidRDefault="00000000" w:rsidRPr="00000000" w14:paraId="0000001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Another significant limitation is the lack of explicit provisions ensuring that the perpetrator does not commit similar acts again, such as in cases of domestic violence, where restraining orders or re-education programs are not guaranteed. The access to reparation for indirect victims, such as the family members of a murdered victim, is also not explicitly mentioned, leaving them without a guaranteed right to compensation for emotional and economic damage suffered. Furthermore, there are no clear mechanisms to ensure that victims have access to relevant information about the violations and the reparation procedures, hindering their ability to seek justice.</w:t>
      </w:r>
      <w:r w:rsidDel="00000000" w:rsidR="00000000" w:rsidRPr="00000000">
        <w:rPr>
          <w:rtl w:val="0"/>
        </w:rPr>
      </w:r>
    </w:p>
    <w:p w:rsidR="00000000" w:rsidDel="00000000" w:rsidP="00000000" w:rsidRDefault="00000000" w:rsidRPr="00000000"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Although Cuban laws establish the basis for restitution and compensation, they need to include explicit mechanisms for rehabilitation, satisfaction, and guarantees of non-repetition, as well as ensure the inclusion of indirect victims and their access to relevant information to fully comply with UN standards. This shortfall is significant, as these mechanisms are essential for comprehensive reparation according to international standards. The regulations also do not include guarantees of non-repetition, which are crucial for preventing future violations and ensuring complete reparation.</w:t>
      </w:r>
      <w:r w:rsidDel="00000000" w:rsidR="00000000" w:rsidRPr="00000000">
        <w:rPr>
          <w:rtl w:val="0"/>
        </w:rPr>
      </w:r>
    </w:p>
    <w:p w:rsidR="00000000" w:rsidDel="00000000" w:rsidP="00000000" w:rsidRDefault="00000000" w:rsidRPr="00000000" w14:paraId="0000001E">
      <w:pPr>
        <w:numPr>
          <w:ilvl w:val="0"/>
          <w:numId w:val="1"/>
        </w:numPr>
        <w:pBdr>
          <w:top w:color="000000" w:space="0" w:sz="0" w:val="none"/>
          <w:bottom w:color="000000" w:space="0" w:sz="0" w:val="none"/>
          <w:right w:color="000000" w:space="0" w:sz="0" w:val="none"/>
          <w:between w:color="000000" w:space="0" w:sz="0" w:val="none"/>
        </w:pBdr>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lack of specific measures to ensure that violations do not recur in the future, such as institutional and legislative reforms, limits the effectiveness of legal protection. These reforms are crucial to prevent future violations and ensure proper enforcement. Although provisions for rehabilitation exist in theory, these services are not always available or accessible in practice. The lack of economic and logistical resources, especially in rural areas, restricts victims' access to these essential services. Additionally, the absence of clear mechanisms to coordinate these services and ensure their effective provision results in inadequate protection for victims</w:t>
      </w:r>
      <w:r w:rsidDel="00000000" w:rsidR="00000000" w:rsidRPr="00000000">
        <w:rPr>
          <w:rFonts w:ascii="Times New Roman" w:cs="Times New Roman" w:eastAsia="Times New Roman" w:hAnsi="Times New Roman"/>
          <w:sz w:val="24"/>
          <w:szCs w:val="24"/>
          <w:vertAlign w:val="superscript"/>
        </w:rPr>
        <w:footnoteReference w:customMarkFollows="0" w:id="12"/>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F">
      <w:pPr>
        <w:numPr>
          <w:ilvl w:val="0"/>
          <w:numId w:val="1"/>
        </w:numPr>
        <w:pBdr>
          <w:top w:color="000000" w:space="0" w:sz="0" w:val="none"/>
          <w:bottom w:color="000000" w:space="0" w:sz="0" w:val="none"/>
          <w:right w:color="000000" w:space="0" w:sz="0" w:val="none"/>
          <w:between w:color="000000" w:space="0" w:sz="0" w:val="none"/>
        </w:pBdr>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bureaucratic and complicated process that victims of crimes face in Cuba prolongs their suffering and may discourage them from continuing with their claims. Information and guidance about their rights and the reparation mechanisms are inadequate, preventing victims from making informed decisions. It is necessary to improve the dissemination of information and education about victims' rights to facilitate access to and use of available resources. The Compensation Fund, responsible for compensating victims of crimes, has been criticized for its ineffectiveness, as it only pays victims when the responsible party has paid, undermining its purpose of ensuring effective compensation. The lack of a proactive system worsens the situation for victims, who face lengthy and complicated administrative procedures, resulting in re-victimization</w:t>
      </w:r>
      <w:r w:rsidDel="00000000" w:rsidR="00000000" w:rsidRPr="00000000">
        <w:rPr>
          <w:rFonts w:ascii="Times New Roman" w:cs="Times New Roman" w:eastAsia="Times New Roman" w:hAnsi="Times New Roman"/>
          <w:sz w:val="24"/>
          <w:szCs w:val="24"/>
          <w:vertAlign w:val="superscript"/>
        </w:rPr>
        <w:footnoteReference w:customMarkFollows="0" w:id="13"/>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0">
      <w:pPr>
        <w:numPr>
          <w:ilvl w:val="0"/>
          <w:numId w:val="1"/>
        </w:numPr>
        <w:pBdr>
          <w:top w:color="000000" w:space="0" w:sz="0" w:val="none"/>
          <w:bottom w:color="000000" w:space="0" w:sz="0" w:val="none"/>
          <w:right w:color="000000" w:space="0" w:sz="0" w:val="none"/>
          <w:between w:color="000000" w:space="0" w:sz="0" w:val="none"/>
        </w:pBdr>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Institutional disorganization among the entities involved in the reparation process contributes to the ineffectiveness of the system and delays in compensating victims, further complicating their situation. Additionally, the lack of trained and specialized personnel in victim support, particularly for gender-based violence, is a significant challenge. Justice system professionals, such as judges, prosecutors, and lawyers, often lack sufficient training in gender issues and violence, limiting their ability to handle these cases with the necessary sensitivity and knowledge.</w:t>
      </w:r>
    </w:p>
    <w:p w:rsidR="00000000" w:rsidDel="00000000" w:rsidP="00000000" w:rsidRDefault="00000000" w:rsidRPr="00000000" w14:paraId="00000021">
      <w:pPr>
        <w:pBdr>
          <w:top w:color="000000" w:space="0" w:sz="0" w:val="none"/>
          <w:bottom w:color="000000" w:space="0" w:sz="0" w:val="none"/>
          <w:right w:color="000000" w:space="0" w:sz="0" w:val="none"/>
          <w:between w:color="000000" w:space="0" w:sz="0" w:val="none"/>
        </w:pBdr>
        <w:ind w:left="36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2">
      <w:pPr>
        <w:pBdr>
          <w:top w:color="000000" w:space="0" w:sz="0" w:val="none"/>
          <w:bottom w:color="000000" w:space="0" w:sz="0" w:val="none"/>
          <w:right w:color="000000" w:space="0" w:sz="0" w:val="none"/>
          <w:between w:color="000000" w:space="0" w:sz="0" w:val="none"/>
        </w:pBd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Assistance and Rehabilitation for Victims</w:t>
      </w:r>
    </w:p>
    <w:p w:rsidR="00000000" w:rsidDel="00000000" w:rsidP="00000000" w:rsidRDefault="00000000" w:rsidRPr="00000000" w14:paraId="00000023">
      <w:pPr>
        <w:pBdr>
          <w:top w:color="000000" w:space="0" w:sz="0" w:val="none"/>
          <w:bottom w:color="000000" w:space="0" w:sz="0" w:val="none"/>
          <w:right w:color="000000" w:space="0" w:sz="0" w:val="none"/>
          <w:between w:color="000000" w:space="0" w:sz="0" w:val="none"/>
        </w:pBd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4">
      <w:pPr>
        <w:numPr>
          <w:ilvl w:val="0"/>
          <w:numId w:val="1"/>
        </w:numPr>
        <w:pBdr>
          <w:top w:color="000000" w:space="0" w:sz="0" w:val="none"/>
          <w:bottom w:color="000000" w:space="0" w:sz="0" w:val="none"/>
          <w:right w:color="000000" w:space="0" w:sz="0" w:val="none"/>
          <w:between w:color="000000" w:space="0" w:sz="0" w:val="none"/>
        </w:pBdr>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Victims of gender-based violence face serious obstacles in accessing effective reparation. Although the legal system mentions the right to rehabilitation</w:t>
      </w:r>
      <w:r w:rsidDel="00000000" w:rsidR="00000000" w:rsidRPr="00000000">
        <w:rPr>
          <w:rFonts w:ascii="Times New Roman" w:cs="Times New Roman" w:eastAsia="Times New Roman" w:hAnsi="Times New Roman"/>
          <w:sz w:val="24"/>
          <w:szCs w:val="24"/>
          <w:vertAlign w:val="superscript"/>
        </w:rPr>
        <w:footnoteReference w:customMarkFollows="0" w:id="14"/>
      </w:r>
      <w:r w:rsidDel="00000000" w:rsidR="00000000" w:rsidRPr="00000000">
        <w:rPr>
          <w:rFonts w:ascii="Times New Roman" w:cs="Times New Roman" w:eastAsia="Times New Roman" w:hAnsi="Times New Roman"/>
          <w:sz w:val="24"/>
          <w:szCs w:val="24"/>
          <w:rtl w:val="0"/>
        </w:rPr>
        <w:t xml:space="preserve">, in practice, it becomes non-existent or highly deficient. Authorities often underestimate the severity of gender-based violence crimes and inadequately classify them, do not implement effective precautionary measures, and many complaints are unjustifiably archived, even in high-risk cases, leaving victims unprotected and perpetuating impunity. An example is the case of Leidy Bacallo</w:t>
      </w:r>
      <w:r w:rsidDel="00000000" w:rsidR="00000000" w:rsidRPr="00000000">
        <w:rPr>
          <w:rFonts w:ascii="Times New Roman" w:cs="Times New Roman" w:eastAsia="Times New Roman" w:hAnsi="Times New Roman"/>
          <w:color w:val="000000"/>
          <w:sz w:val="24"/>
          <w:szCs w:val="24"/>
          <w:vertAlign w:val="superscript"/>
        </w:rPr>
        <w:footnoteReference w:customMarkFollows="0" w:id="15"/>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who, despite having reported her ex-partner and showing psychological and physical harm, sought refuge at a police station expecting protection from her attacker. However, the authorities failed severely in their duty to protect her, resulting in her feminicide. This case illustrates a series of failures: the police did not provide adequate assistance and allowed her murderer to act within an institution that should have been a safe place. Cuban regulations assert that the State must offer rehabilitation and protection to victims, but in this case, the authorities' negligence highlighted a systemic failure in the implementation of these regulations.</w:t>
      </w:r>
    </w:p>
    <w:p w:rsidR="00000000" w:rsidDel="00000000" w:rsidP="00000000" w:rsidRDefault="00000000" w:rsidRPr="00000000" w14:paraId="00000025">
      <w:pPr>
        <w:numPr>
          <w:ilvl w:val="0"/>
          <w:numId w:val="1"/>
        </w:numPr>
        <w:pBdr>
          <w:top w:color="000000" w:space="0" w:sz="0" w:val="none"/>
          <w:bottom w:color="000000" w:space="0" w:sz="0" w:val="none"/>
          <w:right w:color="000000" w:space="0" w:sz="0" w:val="none"/>
          <w:between w:color="000000" w:space="0" w:sz="0" w:val="none"/>
        </w:pBdr>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During interrogations, victims, including minors, are often revictimized and blamed. The prosecution, by not prioritizing human rights, leaves victims uninformed about their rights and without access to essential services such as medical or psychological care, thus impeding the recovery from physical and psychological trauma. The case of Amanda Fernández Tamayo, a minor with limited intellectual abilities, exemplifies these shortcomings. Authorities not only failed to provide her with adequate protection during proceedings but also neglected essential rehabilitation measures, such as psychological and medical support. The prosecution and judicial authorities underestimated the severity of the sexual assault Amanda suffered, inadequately reclassifying the crime. Additionally, unnecessary repetition of interviews and lack of psychological support highlight the failure to comply with standards that should ensure the protection and rehabilitation of minor victims. To this day, neither Amanda nor her mother, Evis Tamayo Reyes, have received access to specialized mental health services with therapists trained in handling victims of sexual abuse and minors with limited intellectual abilities, which is crucial for Amanda's emotional recovery and reintegration into her social and educational environment.</w:t>
      </w:r>
    </w:p>
    <w:p w:rsidR="00000000" w:rsidDel="00000000" w:rsidP="00000000" w:rsidRDefault="00000000" w:rsidRPr="00000000" w14:paraId="00000026">
      <w:pPr>
        <w:numPr>
          <w:ilvl w:val="0"/>
          <w:numId w:val="1"/>
        </w:numPr>
        <w:pBdr>
          <w:top w:color="000000" w:space="0" w:sz="0" w:val="none"/>
          <w:bottom w:color="000000" w:space="0" w:sz="0" w:val="none"/>
          <w:right w:color="000000" w:space="0" w:sz="0" w:val="none"/>
          <w:between w:color="000000" w:space="0" w:sz="0" w:val="none"/>
        </w:pBdr>
        <w:ind w:left="720"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The access of victims of gender-based violence to reparation initially depends on the prosecution</w:t>
      </w:r>
      <w:r w:rsidDel="00000000" w:rsidR="00000000" w:rsidRPr="00000000">
        <w:rPr>
          <w:rFonts w:ascii="Times New Roman" w:cs="Times New Roman" w:eastAsia="Times New Roman" w:hAnsi="Times New Roman"/>
          <w:sz w:val="24"/>
          <w:szCs w:val="24"/>
          <w:vertAlign w:val="superscript"/>
        </w:rPr>
        <w:footnoteReference w:customMarkFollows="0" w:id="16"/>
      </w:r>
      <w:r w:rsidDel="00000000" w:rsidR="00000000" w:rsidRPr="00000000">
        <w:rPr>
          <w:rFonts w:ascii="Times New Roman" w:cs="Times New Roman" w:eastAsia="Times New Roman" w:hAnsi="Times New Roman"/>
          <w:sz w:val="24"/>
          <w:szCs w:val="24"/>
          <w:rtl w:val="0"/>
        </w:rPr>
        <w:t xml:space="preserve">, which in many cases does not include all the damages suffered in the reparation claim, forcing the victim to incur costs that they may not be able to afford, thereby preventing them from accessing comprehensive compensation. The existing legal protection</w:t>
      </w:r>
      <w:r w:rsidDel="00000000" w:rsidR="00000000" w:rsidRPr="00000000">
        <w:rPr>
          <w:rFonts w:ascii="Times New Roman" w:cs="Times New Roman" w:eastAsia="Times New Roman" w:hAnsi="Times New Roman"/>
          <w:sz w:val="24"/>
          <w:szCs w:val="24"/>
          <w:vertAlign w:val="superscript"/>
        </w:rPr>
        <w:footnoteReference w:customMarkFollows="0" w:id="17"/>
      </w:r>
      <w:r w:rsidDel="00000000" w:rsidR="00000000" w:rsidRPr="00000000">
        <w:rPr>
          <w:rFonts w:ascii="Times New Roman" w:cs="Times New Roman" w:eastAsia="Times New Roman" w:hAnsi="Times New Roman"/>
          <w:sz w:val="24"/>
          <w:szCs w:val="24"/>
          <w:rtl w:val="0"/>
        </w:rPr>
        <w:t xml:space="preserve"> is insufficient to guarantee full reparation for victims. Current legislation allows courts to adopt practices that prioritize the perpetrator's ability to pay over the damages suffered by the victim, shift the burden of reparation to third parties, and implement measures that undermine the effective fulfillment of reparation. Furthermore, measures to ensure compliance with obligations are insufficient, and there are no resources available to claim in cases of non-compliance.</w:t>
      </w:r>
      <w:r w:rsidDel="00000000" w:rsidR="00000000" w:rsidRPr="00000000">
        <w:rPr>
          <w:rtl w:val="0"/>
        </w:rPr>
      </w:r>
    </w:p>
    <w:p w:rsidR="00000000" w:rsidDel="00000000" w:rsidP="00000000" w:rsidRDefault="00000000" w:rsidRPr="00000000" w14:paraId="00000027">
      <w:pPr>
        <w:pBdr>
          <w:top w:color="000000" w:space="0" w:sz="0" w:val="none"/>
          <w:bottom w:color="000000" w:space="0" w:sz="0" w:val="none"/>
          <w:right w:color="000000" w:space="0" w:sz="0" w:val="none"/>
          <w:between w:color="000000" w:space="0" w:sz="0" w:val="none"/>
        </w:pBd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Problems with Compensation and the Compensation Fund</w:t>
      </w:r>
    </w:p>
    <w:p w:rsidR="00000000" w:rsidDel="00000000" w:rsidP="00000000" w:rsidRDefault="00000000" w:rsidRPr="00000000" w14:paraId="00000028">
      <w:pPr>
        <w:pBdr>
          <w:top w:color="000000" w:space="0" w:sz="0" w:val="none"/>
          <w:bottom w:color="000000" w:space="0" w:sz="0" w:val="none"/>
          <w:right w:color="000000" w:space="0" w:sz="0" w:val="none"/>
          <w:between w:color="000000" w:space="0" w:sz="0" w:val="none"/>
        </w:pBd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29">
      <w:pPr>
        <w:numPr>
          <w:ilvl w:val="0"/>
          <w:numId w:val="1"/>
        </w:numPr>
        <w:pBdr>
          <w:top w:color="000000" w:space="0" w:sz="0" w:val="none"/>
          <w:bottom w:color="000000" w:space="0" w:sz="0" w:val="none"/>
          <w:right w:color="000000" w:space="0" w:sz="0" w:val="none"/>
          <w:between w:color="000000" w:space="0" w:sz="0" w:val="none"/>
        </w:pBdr>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effectiveness of the Compensation Fund has been questioned due to the obstacles victims face in collecting compensation for civil liability resulting from crimes</w:t>
      </w:r>
      <w:r w:rsidDel="00000000" w:rsidR="00000000" w:rsidRPr="00000000">
        <w:rPr>
          <w:rFonts w:ascii="Times New Roman" w:cs="Times New Roman" w:eastAsia="Times New Roman" w:hAnsi="Times New Roman"/>
          <w:sz w:val="24"/>
          <w:szCs w:val="24"/>
          <w:vertAlign w:val="superscript"/>
        </w:rPr>
        <w:footnoteReference w:customMarkFollows="0" w:id="18"/>
      </w:r>
      <w:r w:rsidDel="00000000" w:rsidR="00000000" w:rsidRPr="00000000">
        <w:rPr>
          <w:rFonts w:ascii="Times New Roman" w:cs="Times New Roman" w:eastAsia="Times New Roman" w:hAnsi="Times New Roman"/>
          <w:sz w:val="24"/>
          <w:szCs w:val="24"/>
          <w:rtl w:val="0"/>
        </w:rPr>
        <w:t xml:space="preserve">. This suggests that the compensation mechanism is not functioning properly</w:t>
      </w:r>
      <w:r w:rsidDel="00000000" w:rsidR="00000000" w:rsidRPr="00000000">
        <w:rPr>
          <w:rFonts w:ascii="Times New Roman" w:cs="Times New Roman" w:eastAsia="Times New Roman" w:hAnsi="Times New Roman"/>
          <w:sz w:val="24"/>
          <w:szCs w:val="24"/>
          <w:vertAlign w:val="superscript"/>
        </w:rPr>
        <w:footnoteReference w:customMarkFollows="0" w:id="19"/>
      </w:r>
      <w:r w:rsidDel="00000000" w:rsidR="00000000" w:rsidRPr="00000000">
        <w:rPr>
          <w:rFonts w:ascii="Times New Roman" w:cs="Times New Roman" w:eastAsia="Times New Roman" w:hAnsi="Times New Roman"/>
          <w:sz w:val="24"/>
          <w:szCs w:val="24"/>
          <w:rtl w:val="0"/>
        </w:rPr>
        <w:t xml:space="preserve">. Additionally, in cases where the perpetrator is considered a high social risk or has a disability preventing them from working, there is an additional problem for victims to access compensation. For example, in the former case, the perpetrator cannot obtain employment and, therefore, will not have income to pay the compensation</w:t>
      </w:r>
      <w:r w:rsidDel="00000000" w:rsidR="00000000" w:rsidRPr="00000000">
        <w:rPr>
          <w:rFonts w:ascii="Times New Roman" w:cs="Times New Roman" w:eastAsia="Times New Roman" w:hAnsi="Times New Roman"/>
          <w:sz w:val="24"/>
          <w:szCs w:val="24"/>
          <w:vertAlign w:val="superscript"/>
        </w:rPr>
        <w:footnoteReference w:customMarkFollows="0" w:id="20"/>
      </w:r>
      <w:r w:rsidDel="00000000" w:rsidR="00000000" w:rsidRPr="00000000">
        <w:rPr>
          <w:rFonts w:ascii="Times New Roman" w:cs="Times New Roman" w:eastAsia="Times New Roman" w:hAnsi="Times New Roman"/>
          <w:sz w:val="24"/>
          <w:szCs w:val="24"/>
          <w:rtl w:val="0"/>
        </w:rPr>
        <w:t xml:space="preserve">. The situation becomes more complex if the perpetrator has or acquires a disability that prevents them from working formally</w:t>
      </w:r>
      <w:r w:rsidDel="00000000" w:rsidR="00000000" w:rsidRPr="00000000">
        <w:rPr>
          <w:rFonts w:ascii="Times New Roman" w:cs="Times New Roman" w:eastAsia="Times New Roman" w:hAnsi="Times New Roman"/>
          <w:sz w:val="24"/>
          <w:szCs w:val="24"/>
          <w:vertAlign w:val="superscript"/>
        </w:rPr>
        <w:footnoteReference w:customMarkFollows="0" w:id="21"/>
      </w:r>
      <w:r w:rsidDel="00000000" w:rsidR="00000000" w:rsidRPr="00000000">
        <w:rPr>
          <w:rFonts w:ascii="Times New Roman" w:cs="Times New Roman" w:eastAsia="Times New Roman" w:hAnsi="Times New Roman"/>
          <w:sz w:val="24"/>
          <w:szCs w:val="24"/>
          <w:rtl w:val="0"/>
        </w:rPr>
        <w:t xml:space="preserve">. This issue affects minor children and any individuals economically dependent on the victim of gender-based violence, leaving them in a state of helplessness and vulnerability</w:t>
      </w:r>
      <w:r w:rsidDel="00000000" w:rsidR="00000000" w:rsidRPr="00000000">
        <w:rPr>
          <w:rFonts w:ascii="Times New Roman" w:cs="Times New Roman" w:eastAsia="Times New Roman" w:hAnsi="Times New Roman"/>
          <w:sz w:val="24"/>
          <w:szCs w:val="24"/>
          <w:vertAlign w:val="superscript"/>
        </w:rPr>
        <w:footnoteReference w:customMarkFollows="0" w:id="22"/>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2A">
      <w:pPr>
        <w:pBdr>
          <w:top w:color="000000" w:space="0" w:sz="0" w:val="none"/>
          <w:bottom w:color="000000" w:space="0" w:sz="0" w:val="none"/>
          <w:right w:color="000000" w:space="0" w:sz="0" w:val="none"/>
          <w:between w:color="000000" w:space="0" w:sz="0" w:val="none"/>
        </w:pBd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B">
      <w:pPr>
        <w:pBdr>
          <w:top w:color="000000" w:space="0" w:sz="0" w:val="none"/>
          <w:bottom w:color="000000" w:space="0" w:sz="0" w:val="none"/>
          <w:right w:color="000000" w:space="0" w:sz="0" w:val="none"/>
          <w:between w:color="000000" w:space="0" w:sz="0" w:val="none"/>
        </w:pBd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C">
      <w:pPr>
        <w:pBdr>
          <w:top w:color="000000" w:space="0" w:sz="0" w:val="none"/>
          <w:bottom w:color="000000" w:space="0" w:sz="0" w:val="none"/>
          <w:right w:color="000000" w:space="0" w:sz="0" w:val="none"/>
          <w:between w:color="000000" w:space="0" w:sz="0" w:val="none"/>
        </w:pBd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D">
      <w:pPr>
        <w:pBdr>
          <w:top w:color="000000" w:space="0" w:sz="0" w:val="none"/>
          <w:bottom w:color="000000" w:space="0" w:sz="0" w:val="none"/>
          <w:right w:color="000000" w:space="0" w:sz="0" w:val="none"/>
          <w:between w:color="000000" w:space="0" w:sz="0" w:val="none"/>
        </w:pBd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E">
      <w:pPr>
        <w:pBdr>
          <w:top w:color="000000" w:space="0" w:sz="0" w:val="none"/>
          <w:bottom w:color="000000" w:space="0" w:sz="0" w:val="none"/>
          <w:right w:color="000000" w:space="0" w:sz="0" w:val="none"/>
          <w:between w:color="000000" w:space="0" w:sz="0" w:val="none"/>
        </w:pBd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State Responsibility and Access to Resources for Indirect Victims</w:t>
      </w:r>
    </w:p>
    <w:p w:rsidR="00000000" w:rsidDel="00000000" w:rsidP="00000000" w:rsidRDefault="00000000" w:rsidRPr="00000000" w14:paraId="0000002F">
      <w:pPr>
        <w:pBdr>
          <w:top w:color="000000" w:space="0" w:sz="0" w:val="none"/>
          <w:bottom w:color="000000" w:space="0" w:sz="0" w:val="none"/>
          <w:right w:color="000000" w:space="0" w:sz="0" w:val="none"/>
          <w:between w:color="000000" w:space="0" w:sz="0" w:val="none"/>
        </w:pBd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0">
      <w:pPr>
        <w:numPr>
          <w:ilvl w:val="0"/>
          <w:numId w:val="1"/>
        </w:numPr>
        <w:pBdr>
          <w:top w:color="000000" w:space="0" w:sz="0" w:val="none"/>
          <w:bottom w:color="000000" w:space="0" w:sz="0" w:val="none"/>
          <w:right w:color="000000" w:space="0" w:sz="0" w:val="none"/>
          <w:between w:color="000000" w:space="0" w:sz="0" w:val="none"/>
        </w:pBdr>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specific cases where the perpetrator commits suicide after committing femicide</w:t>
      </w:r>
      <w:r w:rsidDel="00000000" w:rsidR="00000000" w:rsidRPr="00000000">
        <w:rPr>
          <w:rFonts w:ascii="Times New Roman" w:cs="Times New Roman" w:eastAsia="Times New Roman" w:hAnsi="Times New Roman"/>
          <w:sz w:val="24"/>
          <w:szCs w:val="24"/>
          <w:vertAlign w:val="superscript"/>
        </w:rPr>
        <w:footnoteReference w:customMarkFollows="0" w:id="23"/>
      </w:r>
      <w:r w:rsidDel="00000000" w:rsidR="00000000" w:rsidRPr="00000000">
        <w:rPr>
          <w:rFonts w:ascii="Times New Roman" w:cs="Times New Roman" w:eastAsia="Times New Roman" w:hAnsi="Times New Roman"/>
          <w:sz w:val="24"/>
          <w:szCs w:val="24"/>
          <w:rtl w:val="0"/>
        </w:rPr>
        <w:t xml:space="preserve"> or is not captured</w:t>
      </w:r>
      <w:r w:rsidDel="00000000" w:rsidR="00000000" w:rsidRPr="00000000">
        <w:rPr>
          <w:rFonts w:ascii="Times New Roman" w:cs="Times New Roman" w:eastAsia="Times New Roman" w:hAnsi="Times New Roman"/>
          <w:sz w:val="24"/>
          <w:szCs w:val="24"/>
          <w:vertAlign w:val="superscript"/>
        </w:rPr>
        <w:footnoteReference w:customMarkFollows="0" w:id="24"/>
      </w:r>
      <w:r w:rsidDel="00000000" w:rsidR="00000000" w:rsidRPr="00000000">
        <w:rPr>
          <w:rFonts w:ascii="Times New Roman" w:cs="Times New Roman" w:eastAsia="Times New Roman" w:hAnsi="Times New Roman"/>
          <w:sz w:val="24"/>
          <w:szCs w:val="24"/>
          <w:rtl w:val="0"/>
        </w:rPr>
        <w:t xml:space="preserve">, there are no clear provisions that require the state to intervene and ensure that indirect victims, such as dependent family members, receive adequate compensation</w:t>
      </w:r>
      <w:r w:rsidDel="00000000" w:rsidR="00000000" w:rsidRPr="00000000">
        <w:rPr>
          <w:rFonts w:ascii="Times New Roman" w:cs="Times New Roman" w:eastAsia="Times New Roman" w:hAnsi="Times New Roman"/>
          <w:sz w:val="24"/>
          <w:szCs w:val="24"/>
          <w:vertAlign w:val="superscript"/>
        </w:rPr>
        <w:footnoteReference w:customMarkFollows="0" w:id="25"/>
      </w:r>
      <w:r w:rsidDel="00000000" w:rsidR="00000000" w:rsidRPr="00000000">
        <w:rPr>
          <w:rFonts w:ascii="Times New Roman" w:cs="Times New Roman" w:eastAsia="Times New Roman" w:hAnsi="Times New Roman"/>
          <w:sz w:val="24"/>
          <w:szCs w:val="24"/>
          <w:rtl w:val="0"/>
        </w:rPr>
        <w:t xml:space="preserve">. While the Civil Code establishes that "a person who unlawfully causes damage or harm to another is obligated to make amends"</w:t>
      </w:r>
      <w:r w:rsidDel="00000000" w:rsidR="00000000" w:rsidRPr="00000000">
        <w:rPr>
          <w:rFonts w:ascii="Times New Roman" w:cs="Times New Roman" w:eastAsia="Times New Roman" w:hAnsi="Times New Roman"/>
          <w:sz w:val="24"/>
          <w:szCs w:val="24"/>
          <w:vertAlign w:val="superscript"/>
        </w:rPr>
        <w:footnoteReference w:customMarkFollows="0" w:id="26"/>
      </w:r>
      <w:r w:rsidDel="00000000" w:rsidR="00000000" w:rsidRPr="00000000">
        <w:rPr>
          <w:rFonts w:ascii="Times New Roman" w:cs="Times New Roman" w:eastAsia="Times New Roman" w:hAnsi="Times New Roman"/>
          <w:sz w:val="24"/>
          <w:szCs w:val="24"/>
          <w:rtl w:val="0"/>
        </w:rPr>
        <w:t xml:space="preserve">, this right is not clearly recognized for indirect victims</w:t>
      </w:r>
      <w:r w:rsidDel="00000000" w:rsidR="00000000" w:rsidRPr="00000000">
        <w:rPr>
          <w:rFonts w:ascii="Times New Roman" w:cs="Times New Roman" w:eastAsia="Times New Roman" w:hAnsi="Times New Roman"/>
          <w:sz w:val="24"/>
          <w:szCs w:val="24"/>
          <w:vertAlign w:val="superscript"/>
        </w:rPr>
        <w:footnoteReference w:customMarkFollows="0" w:id="27"/>
      </w:r>
      <w:r w:rsidDel="00000000" w:rsidR="00000000" w:rsidRPr="00000000">
        <w:rPr>
          <w:rFonts w:ascii="Times New Roman" w:cs="Times New Roman" w:eastAsia="Times New Roman" w:hAnsi="Times New Roman"/>
          <w:sz w:val="24"/>
          <w:szCs w:val="24"/>
          <w:rtl w:val="0"/>
        </w:rPr>
        <w:t xml:space="preserve">. The legislation also lacks guidance on how to proceed when the perpetrator or their heirs</w:t>
      </w:r>
      <w:r w:rsidDel="00000000" w:rsidR="00000000" w:rsidRPr="00000000">
        <w:rPr>
          <w:rFonts w:ascii="Times New Roman" w:cs="Times New Roman" w:eastAsia="Times New Roman" w:hAnsi="Times New Roman"/>
          <w:sz w:val="24"/>
          <w:szCs w:val="24"/>
          <w:vertAlign w:val="superscript"/>
        </w:rPr>
        <w:footnoteReference w:customMarkFollows="0" w:id="28"/>
      </w:r>
      <w:r w:rsidDel="00000000" w:rsidR="00000000" w:rsidRPr="00000000">
        <w:rPr>
          <w:rFonts w:ascii="Times New Roman" w:cs="Times New Roman" w:eastAsia="Times New Roman" w:hAnsi="Times New Roman"/>
          <w:sz w:val="24"/>
          <w:szCs w:val="24"/>
          <w:rtl w:val="0"/>
        </w:rPr>
        <w:t xml:space="preserve"> lack sufficient assets to cover the compensation.  Cuban legislation does not adequately address these situations, and its focus on the direct perpetrator fails when they cannot be held accountable. The lack of state protection mechanisms exacerbates the vulnerability and lack of protection for indirect victims of gender-based violence</w:t>
      </w:r>
      <w:r w:rsidDel="00000000" w:rsidR="00000000" w:rsidRPr="00000000">
        <w:rPr>
          <w:rFonts w:ascii="Times New Roman" w:cs="Times New Roman" w:eastAsia="Times New Roman" w:hAnsi="Times New Roman"/>
          <w:sz w:val="24"/>
          <w:szCs w:val="24"/>
          <w:vertAlign w:val="superscript"/>
        </w:rPr>
        <w:footnoteReference w:customMarkFollows="0" w:id="29"/>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1">
      <w:pPr>
        <w:numPr>
          <w:ilvl w:val="0"/>
          <w:numId w:val="1"/>
        </w:numPr>
        <w:pBdr>
          <w:top w:color="000000" w:space="0" w:sz="0" w:val="none"/>
          <w:bottom w:color="000000" w:space="0" w:sz="0" w:val="none"/>
          <w:right w:color="000000" w:space="0" w:sz="0" w:val="none"/>
          <w:between w:color="000000" w:space="0" w:sz="0" w:val="none"/>
        </w:pBdr>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Cuba, as a State Party to CEDAW, must ensure comprehensive protection and reparations for victims of gender-based violence. In practice, these victims do not receive adequate assistance and rehabilitation, which violates several articles of the Convention. Article 2(c) is violated by failing to guarantee effective legal protection, underestimating the severity of crimes. Article 2(d) is breached when authorities do not act in accordance with the obligation to refrain from discriminatory acts, as evidenced by police inaction and inappropriate requalification of crimes. Additionally, Article 2(e) is also violated by not taking sufficient measures to eliminate discrimination, and Article 2(f) is breached by not modifying discriminatory practices, hindering women's access to adequate rehabilitation and justice. Finally, Article 12(1) is violated by not ensuring equal access to health services, including physical and psychological rehabilitation for victims.</w:t>
      </w:r>
    </w:p>
    <w:p w:rsidR="00000000" w:rsidDel="00000000" w:rsidP="00000000" w:rsidRDefault="00000000" w:rsidRPr="00000000" w14:paraId="00000032">
      <w:pPr>
        <w:numPr>
          <w:ilvl w:val="0"/>
          <w:numId w:val="1"/>
        </w:numPr>
        <w:pBdr>
          <w:top w:color="000000" w:space="0" w:sz="0" w:val="none"/>
          <w:bottom w:color="000000" w:space="0" w:sz="0" w:val="none"/>
          <w:right w:color="000000" w:space="0" w:sz="0" w:val="none"/>
          <w:between w:color="000000" w:space="0" w:sz="0" w:val="none"/>
        </w:pBdr>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way in which reparations are regulated under Cuban legislation fails to meet the State's obligations under CEDAW. The procedure for determining civil liability impedes the legal protection of victims of gender-based violence and their children, making access to comprehensive reparations a violation of CEDAW's Article 2(c) and (f). Prioritizing the perpetrator's ability to pay over the victim's damages and shifting the burden of reparations to third parties prevent the elimination of gender discrimination, stereotypes, and prejudices, violating Article 5(a) and Articles 15(1) and (2) of CEDAW. Therefore, the Cuban State must reform its criminal legislation to ensure gender equality, full access to reparations for victims, and prevent discrimination.</w:t>
      </w:r>
    </w:p>
    <w:p w:rsidR="00000000" w:rsidDel="00000000" w:rsidP="00000000" w:rsidRDefault="00000000" w:rsidRPr="00000000" w14:paraId="00000033">
      <w:pPr>
        <w:numPr>
          <w:ilvl w:val="0"/>
          <w:numId w:val="1"/>
        </w:numPr>
        <w:pBdr>
          <w:top w:color="000000" w:space="0" w:sz="0" w:val="none"/>
          <w:bottom w:color="000000" w:space="0" w:sz="0" w:val="none"/>
          <w:right w:color="000000" w:space="0" w:sz="0" w:val="none"/>
          <w:between w:color="000000" w:space="0" w:sz="0" w:val="none"/>
        </w:pBdr>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poor management of the Caja de Resarcimientos also highlights ineffective state management and compliance. The lack of legal protection for victims of gender-based violence, their children, and other relatives does not ensure adequate reparations. This breaches CEDAW's Article 2(c) and (f). Furthermore, operational issues with the Caja de Resarcimientos and the lack of funds for compensating victims affect access to justice. The lack of reparations reinforces gender prejudices by creating inequalities in law enforcement and legal protection for women. Both situations violate CEDAW’s Articles 5(a) and 15(1) and (2). Therefore, the State must reform the Caja de Resarcimientos to protect victims and ensure the realization of principles of equality and non-discrimination.</w:t>
      </w:r>
    </w:p>
    <w:p w:rsidR="00000000" w:rsidDel="00000000" w:rsidP="00000000" w:rsidRDefault="00000000" w:rsidRPr="00000000" w14:paraId="00000034">
      <w:pPr>
        <w:numPr>
          <w:ilvl w:val="0"/>
          <w:numId w:val="1"/>
        </w:numPr>
        <w:pBdr>
          <w:top w:color="000000" w:space="0" w:sz="0" w:val="none"/>
          <w:bottom w:color="000000" w:space="0" w:sz="0" w:val="none"/>
          <w:right w:color="000000" w:space="0" w:sz="0" w:val="none"/>
          <w:between w:color="000000" w:space="0" w:sz="0" w:val="none"/>
        </w:pBdr>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Cuban State's lack of responsibility towards indirect victims of gender-based violence violates several articles of CEDAW. The absence of effective legal protection for these victims, such as children and dependents, fails to ensure adequate reparations and access to justice, breaching Article 2(c) and (f). Legislative insufficiencies and lack of state funds for compensation demonstrate non-compliance with eliminating discrimination and providing necessary support. Moreover, the failure to provide reparations perpetuates gender stereotypes and prejudices, reinforcing the notion that women and their families must face the consequences of violence alone, thus violating Article 5(a). To comply with CEDAW, the Cuban State must implement legislative reforms to ensure adequate funds and support for indirect victims, eliminate discrimination, and guarantee gender equality in access to justice and reparations.</w:t>
      </w:r>
    </w:p>
    <w:sectPr>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Play">
    <w:embedRegular w:fontKey="{00000000-0000-0000-0000-000000000000}" r:id="rId1" w:subsetted="0"/>
    <w:embedBold w:fontKey="{00000000-0000-0000-0000-000000000000}" r:id="rId2"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35">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DemoAmlat initiative that aims to monitor the legislative and institutional activity of the National Assembly of People's Power (ANPP) and the Council of State of Cuba.</w:t>
      </w:r>
    </w:p>
    <w:p w:rsidR="00000000" w:rsidDel="00000000" w:rsidP="00000000" w:rsidRDefault="00000000" w:rsidRPr="00000000" w14:paraId="00000036">
      <w:pPr>
        <w:spacing w:line="24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Website: </w:t>
      </w:r>
      <w:hyperlink r:id="rId1">
        <w:r w:rsidDel="00000000" w:rsidR="00000000" w:rsidRPr="00000000">
          <w:rPr>
            <w:rFonts w:ascii="Times New Roman" w:cs="Times New Roman" w:eastAsia="Times New Roman" w:hAnsi="Times New Roman"/>
            <w:color w:val="1155cc"/>
            <w:sz w:val="20"/>
            <w:szCs w:val="20"/>
            <w:u w:val="single"/>
            <w:rtl w:val="0"/>
          </w:rPr>
          <w:t xml:space="preserve">https://observatoriolegislativodecuba.org/</w:t>
        </w:r>
      </w:hyperlink>
      <w:r w:rsidDel="00000000" w:rsidR="00000000" w:rsidRPr="00000000">
        <w:rPr>
          <w:rFonts w:ascii="Times New Roman" w:cs="Times New Roman" w:eastAsia="Times New Roman" w:hAnsi="Times New Roman"/>
          <w:sz w:val="20"/>
          <w:szCs w:val="20"/>
          <w:rtl w:val="0"/>
        </w:rPr>
        <w:t xml:space="preserve">  Contact: </w:t>
      </w:r>
      <w:hyperlink r:id="rId2">
        <w:r w:rsidDel="00000000" w:rsidR="00000000" w:rsidRPr="00000000">
          <w:rPr>
            <w:rFonts w:ascii="Times New Roman" w:cs="Times New Roman" w:eastAsia="Times New Roman" w:hAnsi="Times New Roman"/>
            <w:color w:val="1155cc"/>
            <w:sz w:val="20"/>
            <w:szCs w:val="20"/>
            <w:u w:val="single"/>
            <w:rtl w:val="0"/>
          </w:rPr>
          <w:t xml:space="preserve">jesus.delgado@transparenciaelectoral.org</w:t>
        </w:r>
      </w:hyperlink>
      <w:r w:rsidDel="00000000" w:rsidR="00000000" w:rsidRPr="00000000">
        <w:rPr>
          <w:rtl w:val="0"/>
        </w:rPr>
      </w:r>
    </w:p>
    <w:p w:rsidR="00000000" w:rsidDel="00000000" w:rsidP="00000000" w:rsidRDefault="00000000" w:rsidRPr="00000000" w14:paraId="00000037">
      <w:pPr>
        <w:spacing w:line="240" w:lineRule="auto"/>
        <w:jc w:val="both"/>
        <w:rPr>
          <w:rFonts w:ascii="Times New Roman" w:cs="Times New Roman" w:eastAsia="Times New Roman" w:hAnsi="Times New Roman"/>
          <w:sz w:val="20"/>
          <w:szCs w:val="20"/>
        </w:rPr>
      </w:pPr>
      <w:r w:rsidDel="00000000" w:rsidR="00000000" w:rsidRPr="00000000">
        <w:rPr>
          <w:rtl w:val="0"/>
        </w:rPr>
      </w:r>
    </w:p>
  </w:footnote>
  <w:footnote w:id="1">
    <w:p w:rsidR="00000000" w:rsidDel="00000000" w:rsidP="00000000" w:rsidRDefault="00000000" w:rsidRPr="00000000" w14:paraId="00000038">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Non-Profit Entity (ESAL) formed by researchers from different countries, working on cooperation and consulting projects. They monitor and denounce human rights violations in Cuba. </w:t>
      </w:r>
    </w:p>
    <w:p w:rsidR="00000000" w:rsidDel="00000000" w:rsidP="00000000" w:rsidRDefault="00000000" w:rsidRPr="00000000" w14:paraId="00000039">
      <w:pPr>
        <w:spacing w:line="24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Website: </w:t>
      </w:r>
      <w:hyperlink r:id="rId3">
        <w:r w:rsidDel="00000000" w:rsidR="00000000" w:rsidRPr="00000000">
          <w:rPr>
            <w:rFonts w:ascii="Times New Roman" w:cs="Times New Roman" w:eastAsia="Times New Roman" w:hAnsi="Times New Roman"/>
            <w:color w:val="1155cc"/>
            <w:sz w:val="20"/>
            <w:szCs w:val="20"/>
            <w:u w:val="single"/>
            <w:rtl w:val="0"/>
          </w:rPr>
          <w:t xml:space="preserve">https://www.4metrica.org</w:t>
        </w:r>
      </w:hyperlink>
      <w:r w:rsidDel="00000000" w:rsidR="00000000" w:rsidRPr="00000000">
        <w:rPr>
          <w:rFonts w:ascii="Times New Roman" w:cs="Times New Roman" w:eastAsia="Times New Roman" w:hAnsi="Times New Roman"/>
          <w:sz w:val="20"/>
          <w:szCs w:val="20"/>
          <w:rtl w:val="0"/>
        </w:rPr>
        <w:t xml:space="preserve"> Contact: </w:t>
      </w:r>
      <w:hyperlink r:id="rId4">
        <w:r w:rsidDel="00000000" w:rsidR="00000000" w:rsidRPr="00000000">
          <w:rPr>
            <w:rFonts w:ascii="Times New Roman" w:cs="Times New Roman" w:eastAsia="Times New Roman" w:hAnsi="Times New Roman"/>
            <w:color w:val="1155cc"/>
            <w:sz w:val="20"/>
            <w:szCs w:val="20"/>
            <w:u w:val="single"/>
            <w:rtl w:val="0"/>
          </w:rPr>
          <w:t xml:space="preserve">contacto@4metrica.org</w:t>
        </w:r>
      </w:hyperlink>
      <w:r w:rsidDel="00000000" w:rsidR="00000000" w:rsidRPr="00000000">
        <w:rPr>
          <w:rFonts w:ascii="Times New Roman" w:cs="Times New Roman" w:eastAsia="Times New Roman" w:hAnsi="Times New Roman"/>
          <w:sz w:val="20"/>
          <w:szCs w:val="20"/>
          <w:rtl w:val="0"/>
        </w:rPr>
        <w:t xml:space="preserve"> </w:t>
      </w:r>
    </w:p>
    <w:p w:rsidR="00000000" w:rsidDel="00000000" w:rsidP="00000000" w:rsidRDefault="00000000" w:rsidRPr="00000000" w14:paraId="0000003A">
      <w:pPr>
        <w:spacing w:line="240" w:lineRule="auto"/>
        <w:jc w:val="both"/>
        <w:rPr>
          <w:rFonts w:ascii="Times New Roman" w:cs="Times New Roman" w:eastAsia="Times New Roman" w:hAnsi="Times New Roman"/>
          <w:sz w:val="20"/>
          <w:szCs w:val="20"/>
        </w:rPr>
      </w:pPr>
      <w:r w:rsidDel="00000000" w:rsidR="00000000" w:rsidRPr="00000000">
        <w:rPr>
          <w:rtl w:val="0"/>
        </w:rPr>
      </w:r>
    </w:p>
  </w:footnote>
  <w:footnote w:id="2">
    <w:p w:rsidR="00000000" w:rsidDel="00000000" w:rsidP="00000000" w:rsidRDefault="00000000" w:rsidRPr="00000000" w14:paraId="0000003B">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Fonts w:ascii="Times New Roman" w:cs="Times New Roman" w:eastAsia="Times New Roman" w:hAnsi="Times New Roman"/>
          <w:sz w:val="20"/>
          <w:szCs w:val="20"/>
          <w:rtl w:val="0"/>
        </w:rPr>
        <w:t xml:space="preserve">Swedish non-governmental organization with international presence that supports actions and organizations in the defense of civil and political rights on 4 continents.</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Website: </w:t>
      </w:r>
      <w:hyperlink r:id="rId5">
        <w:r w:rsidDel="00000000" w:rsidR="00000000" w:rsidRPr="00000000">
          <w:rPr>
            <w:rFonts w:ascii="Times New Roman" w:cs="Times New Roman" w:eastAsia="Times New Roman" w:hAnsi="Times New Roman"/>
            <w:b w:val="0"/>
            <w:i w:val="0"/>
            <w:smallCaps w:val="0"/>
            <w:strike w:val="0"/>
            <w:color w:val="1155cc"/>
            <w:sz w:val="20"/>
            <w:szCs w:val="20"/>
            <w:u w:val="single"/>
            <w:shd w:fill="auto" w:val="clear"/>
            <w:vertAlign w:val="baseline"/>
            <w:rtl w:val="0"/>
          </w:rPr>
          <w:t xml:space="preserve">www.crd.org</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Contact: </w:t>
      </w:r>
      <w:hyperlink r:id="rId6">
        <w:r w:rsidDel="00000000" w:rsidR="00000000" w:rsidRPr="00000000">
          <w:rPr>
            <w:rFonts w:ascii="Times New Roman" w:cs="Times New Roman" w:eastAsia="Times New Roman" w:hAnsi="Times New Roman"/>
            <w:b w:val="0"/>
            <w:i w:val="0"/>
            <w:smallCaps w:val="0"/>
            <w:strike w:val="0"/>
            <w:color w:val="1155cc"/>
            <w:sz w:val="20"/>
            <w:szCs w:val="20"/>
            <w:u w:val="single"/>
            <w:shd w:fill="auto" w:val="clear"/>
            <w:vertAlign w:val="baseline"/>
            <w:rtl w:val="0"/>
          </w:rPr>
          <w:t xml:space="preserve">erik.jennische@crd.org</w:t>
        </w:r>
      </w:hyperlink>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0"/>
          <w:szCs w:val="20"/>
        </w:rPr>
      </w:pPr>
      <w:r w:rsidDel="00000000" w:rsidR="00000000" w:rsidRPr="00000000">
        <w:rPr>
          <w:rtl w:val="0"/>
        </w:rPr>
      </w:r>
    </w:p>
  </w:footnote>
  <w:footnote w:id="3">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Laboratory of social ideas aimed at the promotion of Human Rights and the generation of capacities for research-action with a human rights and gender perspective. Website: https://conenfoque.org/ Contact: </w:t>
      </w:r>
      <w:hyperlink r:id="rId7">
        <w:r w:rsidDel="00000000" w:rsidR="00000000" w:rsidRPr="00000000">
          <w:rPr>
            <w:rFonts w:ascii="Times New Roman" w:cs="Times New Roman" w:eastAsia="Times New Roman" w:hAnsi="Times New Roman"/>
            <w:b w:val="0"/>
            <w:i w:val="0"/>
            <w:smallCaps w:val="0"/>
            <w:strike w:val="0"/>
            <w:color w:val="1155cc"/>
            <w:sz w:val="20"/>
            <w:szCs w:val="20"/>
            <w:u w:val="single"/>
            <w:shd w:fill="auto" w:val="clear"/>
            <w:vertAlign w:val="baseline"/>
            <w:rtl w:val="0"/>
          </w:rPr>
          <w:t xml:space="preserve">nastassjarojas@gmail.com</w:t>
        </w:r>
      </w:hyperlink>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0"/>
          <w:szCs w:val="20"/>
        </w:rPr>
      </w:pPr>
      <w:r w:rsidDel="00000000" w:rsidR="00000000" w:rsidRPr="00000000">
        <w:rPr>
          <w:rtl w:val="0"/>
        </w:rPr>
      </w:r>
    </w:p>
  </w:footnote>
  <w:footnote w:id="4">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Organization founded by former political prisoners, Damas de Blanco and Cuban civic activists. Its mission is to defend human rights and promote a democratic state in Cuba. It documents and denounces human rights violations in areas such as civil, political, social and labor rights before public opinion and international institutions. </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Website: </w:t>
      </w:r>
      <w:hyperlink r:id="rId8">
        <w:r w:rsidDel="00000000" w:rsidR="00000000" w:rsidRPr="00000000">
          <w:rPr>
            <w:rFonts w:ascii="Times New Roman" w:cs="Times New Roman" w:eastAsia="Times New Roman" w:hAnsi="Times New Roman"/>
            <w:b w:val="0"/>
            <w:i w:val="0"/>
            <w:smallCaps w:val="0"/>
            <w:strike w:val="0"/>
            <w:color w:val="1155cc"/>
            <w:sz w:val="20"/>
            <w:szCs w:val="20"/>
            <w:u w:val="single"/>
            <w:shd w:fill="auto" w:val="clear"/>
            <w:vertAlign w:val="baseline"/>
            <w:rtl w:val="0"/>
          </w:rPr>
          <w:t xml:space="preserve">https://observacuba.org</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Contact: </w:t>
      </w:r>
      <w:hyperlink r:id="rId9">
        <w:r w:rsidDel="00000000" w:rsidR="00000000" w:rsidRPr="00000000">
          <w:rPr>
            <w:rFonts w:ascii="Times New Roman" w:cs="Times New Roman" w:eastAsia="Times New Roman" w:hAnsi="Times New Roman"/>
            <w:b w:val="0"/>
            <w:i w:val="0"/>
            <w:smallCaps w:val="0"/>
            <w:strike w:val="0"/>
            <w:color w:val="1155cc"/>
            <w:sz w:val="20"/>
            <w:szCs w:val="20"/>
            <w:u w:val="single"/>
            <w:shd w:fill="auto" w:val="clear"/>
            <w:vertAlign w:val="baseline"/>
            <w:rtl w:val="0"/>
          </w:rPr>
          <w:t xml:space="preserve">info@observacuba.org</w:t>
        </w:r>
      </w:hyperlink>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0"/>
          <w:szCs w:val="20"/>
        </w:rPr>
      </w:pPr>
      <w:r w:rsidDel="00000000" w:rsidR="00000000" w:rsidRPr="00000000">
        <w:rPr>
          <w:rtl w:val="0"/>
        </w:rPr>
      </w:r>
    </w:p>
  </w:footnote>
  <w:footnote w:id="5">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Autonomous project of Cuban civil society supported by the Foundation for Human Rights in Cuba. It aims to expose, educate, and empower citizens willing to take initiatives to promote the resolution of problems affecting Cuban society. </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0"/>
          <w:szCs w:val="20"/>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Website: </w:t>
      </w:r>
      <w:hyperlink r:id="rId10">
        <w:r w:rsidDel="00000000" w:rsidR="00000000" w:rsidRPr="00000000">
          <w:rPr>
            <w:rFonts w:ascii="Times New Roman" w:cs="Times New Roman" w:eastAsia="Times New Roman" w:hAnsi="Times New Roman"/>
            <w:color w:val="1155cc"/>
            <w:sz w:val="20"/>
            <w:szCs w:val="20"/>
            <w:u w:val="single"/>
            <w:rtl w:val="0"/>
          </w:rPr>
          <w:t xml:space="preserve">https://observatoriocubano.com/cubano-conflictos</w:t>
        </w:r>
      </w:hyperlink>
      <w:r w:rsidDel="00000000" w:rsidR="00000000" w:rsidRPr="00000000">
        <w:rPr>
          <w:rFonts w:ascii="Times New Roman" w:cs="Times New Roman" w:eastAsia="Times New Roman" w:hAnsi="Times New Roman"/>
          <w:color w:val="1155cc"/>
          <w:sz w:val="20"/>
          <w:szCs w:val="20"/>
          <w:u w:val="single"/>
          <w:rtl w:val="0"/>
        </w:rPr>
        <w:t xml:space="preserve">/</w:t>
      </w:r>
      <w:r w:rsidDel="00000000" w:rsidR="00000000" w:rsidRPr="00000000">
        <w:rPr>
          <w:sz w:val="20"/>
          <w:szCs w:val="20"/>
          <w:rtl w:val="0"/>
        </w:rPr>
        <w:t xml:space="preserve"> </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0"/>
          <w:szCs w:val="20"/>
        </w:rPr>
      </w:pPr>
      <w:r w:rsidDel="00000000" w:rsidR="00000000" w:rsidRPr="00000000">
        <w:rPr>
          <w:rtl w:val="0"/>
        </w:rPr>
      </w:r>
    </w:p>
  </w:footnote>
  <w:footnote w:id="6">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Times New Roman" w:cs="Times New Roman" w:eastAsia="Times New Roman" w:hAnsi="Times New Roman"/>
          <w:b w:val="0"/>
          <w:i w:val="0"/>
          <w:smallCaps w:val="0"/>
          <w:strike w:val="0"/>
          <w:color w:val="0000ff"/>
          <w:sz w:val="20"/>
          <w:szCs w:val="20"/>
          <w:u w:val="singl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Chapter within the Citizens' Committee for Racial Integration (CIR), created in 2017 with the aim of monitoring the electoral process from the perspective of citizens as active agents of change, defending the electoral rights of Cuban civil society.</w:t>
        <w:br w:type="textWrapping"/>
        <w:t xml:space="preserve">Website: </w:t>
      </w:r>
      <w:hyperlink r:id="rId11">
        <w:r w:rsidDel="00000000" w:rsidR="00000000" w:rsidRPr="00000000">
          <w:rPr>
            <w:rFonts w:ascii="Times New Roman" w:cs="Times New Roman" w:eastAsia="Times New Roman" w:hAnsi="Times New Roman"/>
            <w:color w:val="1155cc"/>
            <w:sz w:val="20"/>
            <w:szCs w:val="20"/>
            <w:u w:val="single"/>
            <w:rtl w:val="0"/>
          </w:rPr>
          <w:t xml:space="preserve">https://cir-integracion-racial-cuba.org</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Contact: </w:t>
      </w:r>
      <w:hyperlink r:id="rId12">
        <w:r w:rsidDel="00000000" w:rsidR="00000000" w:rsidRPr="00000000">
          <w:rPr>
            <w:rFonts w:ascii="Times New Roman" w:cs="Times New Roman" w:eastAsia="Times New Roman" w:hAnsi="Times New Roman"/>
            <w:b w:val="0"/>
            <w:i w:val="0"/>
            <w:smallCaps w:val="0"/>
            <w:strike w:val="0"/>
            <w:color w:val="1155cc"/>
            <w:sz w:val="20"/>
            <w:szCs w:val="20"/>
            <w:u w:val="single"/>
            <w:shd w:fill="auto" w:val="clear"/>
            <w:vertAlign w:val="baseline"/>
            <w:rtl w:val="0"/>
          </w:rPr>
          <w:t xml:space="preserve">integr</w:t>
        </w:r>
      </w:hyperlink>
      <w:hyperlink r:id="rId13">
        <w:r w:rsidDel="00000000" w:rsidR="00000000" w:rsidRPr="00000000">
          <w:rPr>
            <w:rFonts w:ascii="Times New Roman" w:cs="Times New Roman" w:eastAsia="Times New Roman" w:hAnsi="Times New Roman"/>
            <w:color w:val="1155cc"/>
            <w:sz w:val="20"/>
            <w:szCs w:val="20"/>
            <w:u w:val="single"/>
            <w:rtl w:val="0"/>
          </w:rPr>
          <w:t xml:space="preserve">acioncir@gmail.com</w:t>
        </w:r>
      </w:hyperlink>
      <w:r w:rsidDel="00000000" w:rsidR="00000000" w:rsidRPr="00000000">
        <w:rPr>
          <w:rFonts w:ascii="Times New Roman" w:cs="Times New Roman" w:eastAsia="Times New Roman" w:hAnsi="Times New Roman"/>
          <w:color w:val="000000"/>
          <w:sz w:val="20"/>
          <w:szCs w:val="20"/>
          <w:u w:val="none"/>
          <w:rtl w:val="0"/>
        </w:rPr>
        <w:t xml:space="preserve"> </w:t>
      </w:r>
      <w:r w:rsidDel="00000000" w:rsidR="00000000" w:rsidRPr="00000000">
        <w:rPr>
          <w:rtl w:val="0"/>
        </w:rPr>
      </w:r>
    </w:p>
  </w:footnote>
  <w:footnote w:id="7">
    <w:p w:rsidR="00000000" w:rsidDel="00000000" w:rsidP="00000000" w:rsidRDefault="00000000" w:rsidRPr="00000000" w14:paraId="00000047">
      <w:pPr>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Law 152/2022 "Penal Enforcement Law" and Decree-Laws 74/2023 and 81/2023 address the redress for victims of crimes in Cuba, establishing civil liabilities and mechanisms to ensure adequate compensation. Law 152/2022 emphasizes the civil responsibility of the convicted individual in granting benefits such as early release (Article 142) and requires proof of compliance with this responsibility (Article 143). Decree-Law 74/2023 regulates the transfer of seized funds to the Ministry of Justice's Compensation Fund and the fulfillment of civil obligations imposed by court rulings (Articles 82.3 and 117.1). Additionally, Decree-Law 81/2023 ensures that incarcerated individuals pay their civil liability with their income and outlines procedures for wage garnishments (Articles 9.g, 36.b, and 43). The lack of an explicit gender-based approach and guarantees of non-repetition, along with bureaucratic complexity, pose significant challenges. Although current regulations are detailed, they lack accessibility and effective coordination, limiting the comprehensive protection and redress for victims.</w:t>
      </w:r>
    </w:p>
    <w:p w:rsidR="00000000" w:rsidDel="00000000" w:rsidP="00000000" w:rsidRDefault="00000000" w:rsidRPr="00000000" w14:paraId="00000048">
      <w:pPr>
        <w:spacing w:line="24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National Assembly of People's Power. (2022). Law 152/2022 "Penal Enforcement Law". Official Gazette of the Republic of Cuba, No. 94 Ordinary, September 1, 2022. PDF</w:t>
      </w:r>
    </w:p>
    <w:p w:rsidR="00000000" w:rsidDel="00000000" w:rsidP="00000000" w:rsidRDefault="00000000" w:rsidRPr="00000000" w14:paraId="00000049">
      <w:pPr>
        <w:spacing w:line="24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Council of State. (2023). Decree-Law 74/2023 Regulations of Law 152, of May 15, 2022, "Penal Enforcement Law" (GOC-2023-848-O95). Official Gazette No. 95 Ordinary, October 9, 2023. PDF</w:t>
      </w:r>
    </w:p>
    <w:p w:rsidR="00000000" w:rsidDel="00000000" w:rsidP="00000000" w:rsidRDefault="00000000" w:rsidRPr="00000000" w14:paraId="0000004A">
      <w:pPr>
        <w:spacing w:line="24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Council of State. (2024). Decree-Law 81/2023 On the Special Labor Regime for Persons Deprived of Liberty Who Work Inside or Outside Penitentiary Establishments. Official Gazette of the Republic of Cuba, Ordinary Edition, No. 6, January 17, 2024, pp. 85-98. PDF</w:t>
      </w:r>
    </w:p>
  </w:footnote>
  <w:footnote w:id="8">
    <w:p w:rsidR="00000000" w:rsidDel="00000000" w:rsidP="00000000" w:rsidRDefault="00000000" w:rsidRPr="00000000" w14:paraId="0000004B">
      <w:pPr>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The Cuban Penal Code, in its Third Special Provision, instructs the Council of Ministers to propose a draft decree-law to regulate the Compensation Fund, responsible for enforcing civil liability arising from crimes. Although this regulation has been approved, it has not yet been officially published, negatively affecting victims of crimes, especially gender-based violence, by preventing them from accessing adequate and timely reparation. The absence of this entity creates a void in the justice system and undermines trust in institutions. It is essential for the Cuban state to implement alternative reparation mechanisms to meet its international and national obligations, ensuring that victims receive fair and effective reparation according to UN Resolution 60/147. Antón Rodríguez, S. (2024, June 5). A regulation to strengthen and improve the criminal justice system. Granma. </w:t>
      </w:r>
      <w:hyperlink r:id="rId14">
        <w:r w:rsidDel="00000000" w:rsidR="00000000" w:rsidRPr="00000000">
          <w:rPr>
            <w:rFonts w:ascii="Times New Roman" w:cs="Times New Roman" w:eastAsia="Times New Roman" w:hAnsi="Times New Roman"/>
            <w:color w:val="467886"/>
            <w:sz w:val="20"/>
            <w:szCs w:val="20"/>
            <w:u w:val="single"/>
            <w:rtl w:val="0"/>
          </w:rPr>
          <w:t xml:space="preserve">https://www.granma.cu</w:t>
        </w:r>
      </w:hyperlink>
      <w:r w:rsidDel="00000000" w:rsidR="00000000" w:rsidRPr="00000000">
        <w:rPr>
          <w:rFonts w:ascii="Times New Roman" w:cs="Times New Roman" w:eastAsia="Times New Roman" w:hAnsi="Times New Roman"/>
          <w:sz w:val="20"/>
          <w:szCs w:val="20"/>
          <w:rtl w:val="0"/>
        </w:rPr>
        <w:t xml:space="preserve">. This article from Granma reported on the Decree-Law of the Ministry of Justice's Compensation Fund in Cuba, approved by the Council of State but not yet officially published. This Decree-Law reinforces the sub rogatory nature of the Fund, acting on behalf of the victims, arranging installment payment agreements, and prioritizing payments to victims without direct interaction with the convicted individual. It introduces electronic mechanisms such as QR codes and bank transfers to streamline procedures and assumes compensation in cases of insolvency of the obligated party. Additionally, it reduces the retention amount for victims and maintains a 10% late payment surcharge for the obligated party. The Decree-Law was consulted between October and November 2023, partially accepting some of the 48 criteria submitted. The goal is to improve the effectiveness of collections and payments and to foster coordination among institutions involved in the enforcement of civil liability.</w:t>
      </w:r>
    </w:p>
    <w:p w:rsidR="00000000" w:rsidDel="00000000" w:rsidP="00000000" w:rsidRDefault="00000000" w:rsidRPr="00000000" w14:paraId="0000004C">
      <w:pPr>
        <w:spacing w:line="24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Although the Decree-Law for the Compensation Fund was drafted and approved by the Council of State, the consultation was limited to institutions and did not include the affected victims, indicating a lack of consideration for the real needs of the victims. This new provision does not resolve the existing regulatory fragmentation, as multiple laws refer to other regulations, creating difficulties in interpretation and application.</w:t>
      </w:r>
    </w:p>
    <w:p w:rsidR="00000000" w:rsidDel="00000000" w:rsidP="00000000" w:rsidRDefault="00000000" w:rsidRPr="00000000" w14:paraId="0000004D">
      <w:pPr>
        <w:spacing w:line="240" w:lineRule="auto"/>
        <w:jc w:val="both"/>
        <w:rPr>
          <w:rFonts w:ascii="Times New Roman" w:cs="Times New Roman" w:eastAsia="Times New Roman" w:hAnsi="Times New Roman"/>
          <w:sz w:val="20"/>
          <w:szCs w:val="20"/>
        </w:rPr>
      </w:pPr>
      <w:r w:rsidDel="00000000" w:rsidR="00000000" w:rsidRPr="00000000">
        <w:rPr>
          <w:rtl w:val="0"/>
        </w:rPr>
      </w:r>
    </w:p>
  </w:footnote>
  <w:footnote w:id="9">
    <w:p w:rsidR="00000000" w:rsidDel="00000000" w:rsidP="00000000" w:rsidRDefault="00000000" w:rsidRPr="00000000" w14:paraId="0000004E">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See National Assembly of People's Power of the Republic of Cuba. (2022). Family Code. Official Gazette of the Republic of Cuba, No. 99, Ordinary Edition, September 27, 2022. Law No. 156.</w:t>
      </w:r>
    </w:p>
  </w:footnote>
  <w:footnote w:id="10">
    <w:p w:rsidR="00000000" w:rsidDel="00000000" w:rsidP="00000000" w:rsidRDefault="00000000" w:rsidRPr="00000000" w14:paraId="0000004F">
      <w:pPr>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The Social Security Law (Law No. 105) of Cuba provides protection to workers and their families in cases of disability, illness, old age, and death, but does not specifically address protection and reparation for victims of gender-based violence. UN Resolution 60/147 establishes that victims have the right to adequate, effective, and prompt forms of reparation, including restitution, compensation, rehabilitation, satisfaction, and guarantees of non-repetition. Law No. 105 focuses on general social protection and does not incorporate specific reparation mechanisms for these victims, leaving a significant gap in their protection and support.</w:t>
      </w:r>
    </w:p>
    <w:p w:rsidR="00000000" w:rsidDel="00000000" w:rsidP="00000000" w:rsidRDefault="00000000" w:rsidRPr="00000000" w14:paraId="00000050">
      <w:pPr>
        <w:spacing w:line="24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National Assembly of People's Power. (2008). Law No. 105 on Social Security. Official Gazette of the Republic of Cuba, No. 004 Extraordinary, January 22, 2009, pp. 15-26. ISSN 1682-7511.</w:t>
      </w:r>
    </w:p>
  </w:footnote>
  <w:footnote w:id="11">
    <w:p w:rsidR="00000000" w:rsidDel="00000000" w:rsidP="00000000" w:rsidRDefault="00000000" w:rsidRPr="00000000" w14:paraId="00000051">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The Cuban Penal Code (Law 151/22) and the Criminal Procedure Law (Law 143/21) address several key aspects of victims' rights, ensuring restitution and compensation through the Ministry of Justice's Compensation Fund, partially aligning with UN Resolution 60/147. However, both laws have significant limitations. They do not explicitly include rehabilitation, satisfaction, and guarantees of non-repetition, which are essential for comprehensive reparation.</w:t>
      </w:r>
    </w:p>
  </w:footnote>
  <w:footnote w:id="12">
    <w:p w:rsidR="00000000" w:rsidDel="00000000" w:rsidP="00000000" w:rsidRDefault="00000000" w:rsidRPr="00000000" w14:paraId="00000052">
      <w:pPr>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Forms of reparation include restitution, which aims to restore the victim to the situation prior to the violation as much as possible, including the restoration of freedom, identity, family life, and the return of property (A/RES/60/147, para. 19). Compensation refers to economic compensation for quantifiable damages, including physical or mental harm, loss of opportunities, material damages, moral damages, and legal and medical expenses (A/RES/60/147, para. 20). Rehabilitation encompasses medical and psychological care, as well as legal and social services (A/RES/60/147, para. 21). Satisfaction includes measures such as verification of facts, official statements that restore the victim's dignity, public apologies, and commemorations (A/RES/60/147, para. 22). Finally, guarantees of non-repetition are measures to prevent future violations, such as strengthening judicial independence and human rights education (A/RES/60/147, para. 23). See United Nations General Assembly. (2005). Basic Principles and Guidelines on the Right to a Remedy and Reparation for Victims of Gross Violations of International Human Rights Law and Serious Violations of International Humanitarian Law (Resolution 60/147). United Nations.</w:t>
      </w:r>
      <w:r w:rsidDel="00000000" w:rsidR="00000000" w:rsidRPr="00000000">
        <w:rPr>
          <w:rtl w:val="0"/>
        </w:rPr>
      </w:r>
    </w:p>
  </w:footnote>
  <w:footnote w:id="13">
    <w:p w:rsidR="00000000" w:rsidDel="00000000" w:rsidP="00000000" w:rsidRDefault="00000000" w:rsidRPr="00000000" w14:paraId="00000053">
      <w:pPr>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The Compensation Fund in Cuba functions only as an intermediary, compensating victims only when the responsible party has paid, which undermines its purpose of ensuring effective compensation. Victims must wait for the responsible party to pay, which may take a long time or never occur, especially if the responsible party is insolvent. Additionally, penitentiary centers cannot remit salary deductions to the Fund, leaving the funds in common accounts and not allocated to the victims. The lack of adequate procedures unnecessarily prolongs compensation. Victims face lengthy and complicated processes to obtain compensation, resulting in secondary victimization. This cumbersome process delays reparation and increases victims' suffering, discouraging them from continuing with their claims. The lack of a clear mechanism for deducting and transferring salaries from responsible inmates complicates the collection and distribution of funds, negatively affecting victims' ability to receive adequate and timely reparations. The inefficacy of the system contributes to re-victimization, countering the principles of justice and reparation established by international human rights standards. See Goite Pierre, M., &amp; Méndez López, M. (2019). Civil Responsibility Derived from Crime in Cuba: An Institution Between Two Norms. Cuban Law Review, 294-376.</w:t>
      </w:r>
      <w:r w:rsidDel="00000000" w:rsidR="00000000" w:rsidRPr="00000000">
        <w:rPr>
          <w:rtl w:val="0"/>
        </w:rPr>
      </w:r>
    </w:p>
    <w:p w:rsidR="00000000" w:rsidDel="00000000" w:rsidP="00000000" w:rsidRDefault="00000000" w:rsidRPr="00000000" w14:paraId="00000054">
      <w:pPr>
        <w:spacing w:line="240" w:lineRule="auto"/>
        <w:jc w:val="both"/>
        <w:rPr>
          <w:rFonts w:ascii="Times New Roman" w:cs="Times New Roman" w:eastAsia="Times New Roman" w:hAnsi="Times New Roman"/>
          <w:sz w:val="20"/>
          <w:szCs w:val="20"/>
        </w:rPr>
      </w:pPr>
      <w:r w:rsidDel="00000000" w:rsidR="00000000" w:rsidRPr="00000000">
        <w:rPr>
          <w:rtl w:val="0"/>
        </w:rPr>
      </w:r>
    </w:p>
  </w:footnote>
  <w:footnote w:id="14">
    <w:p w:rsidR="00000000" w:rsidDel="00000000" w:rsidP="00000000" w:rsidRDefault="00000000" w:rsidRPr="00000000" w14:paraId="00000055">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In Cuban legislation, there is no explicit and direct recognition of the right to comprehensive rehabilitation as established by international human rights protection standards. However, certain aspects related to reparation and the responsibility to aid victims are implied in various laws. For example, the Civil Code establishes the obligation to repair moral and material damage caused to a victim, which could include providing the necessary resources to access rehabilitation services. The Family Code recognizes the need to protect victims of violence within the family context and establishes the responsibility to repair damages, including moral damage, which could imply assistance and rehabilitation. The Criminal Procedure Law establishes certain rights for victims in the criminal process, although it focuses more on restitution and compensation, leaving the concept of rehabilitation less developed. None of these laws provide a clear and specific framework for rehabilitation as some international norms do. This indicates a gap in Cuban legislation regarding comprehensive protection and support for victims of violence, including both physical and psychological rehabilitation.</w:t>
      </w:r>
    </w:p>
  </w:footnote>
  <w:footnote w:id="15">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See: </w:t>
      </w:r>
      <w:hyperlink r:id="rId15">
        <w:r w:rsidDel="00000000" w:rsidR="00000000" w:rsidRPr="00000000">
          <w:rPr>
            <w:rFonts w:ascii="Times New Roman" w:cs="Times New Roman" w:eastAsia="Times New Roman" w:hAnsi="Times New Roman"/>
            <w:b w:val="0"/>
            <w:i w:val="0"/>
            <w:smallCaps w:val="0"/>
            <w:strike w:val="0"/>
            <w:color w:val="0a3041"/>
            <w:sz w:val="20"/>
            <w:szCs w:val="20"/>
            <w:u w:val="single"/>
            <w:shd w:fill="auto" w:val="clear"/>
            <w:vertAlign w:val="baseline"/>
            <w:rtl w:val="0"/>
          </w:rPr>
          <w:t xml:space="preserve">https://alastensas.com/observatorio/feminicidio-joven-de-17-anos-es-asesinada-por-su-expareja-en-camaguey/</w:t>
        </w:r>
      </w:hyperlink>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ootnote>
  <w:footnote w:id="16">
    <w:p w:rsidR="00000000" w:rsidDel="00000000" w:rsidP="00000000" w:rsidRDefault="00000000" w:rsidRPr="00000000" w14:paraId="00000058">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highlight w:val="white"/>
          <w:rtl w:val="0"/>
        </w:rPr>
        <w:t xml:space="preserve">The Criminal Procedure Law does not establish the obligation for the prosecutor to consult the victim when formulating their provisional conclusions. These conclusions must precisely specify the property to be restored, the number of damages and harm caused by the crime. In cases where there is a discrepancy between the prosecutor and the victim regarding the amounts or scope of the reparation, the victim must pursue civil action personally as an independent civil actor or preserve it for later in a civil process. In both cases, the victim is required to appoint a lawyer to represent them, which represents an additional cost for accessing reparation that in many cases they cannot afford. See Article 438 and 448 of the Criminal Procedure Law on reparation.</w:t>
      </w:r>
      <w:r w:rsidDel="00000000" w:rsidR="00000000" w:rsidRPr="00000000">
        <w:rPr>
          <w:rtl w:val="0"/>
        </w:rPr>
      </w:r>
    </w:p>
  </w:footnote>
  <w:footnote w:id="17">
    <w:p w:rsidR="00000000" w:rsidDel="00000000" w:rsidP="00000000" w:rsidRDefault="00000000" w:rsidRPr="00000000" w14:paraId="00000059">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highlight w:val="white"/>
          <w:rtl w:val="0"/>
        </w:rPr>
        <w:t xml:space="preserve">When the offender demonstrates an inability to pay, the court can only seize 20% of their periodic income for a term of 10 years, which can exceptionally be extended to 15 years. The procedure is not defined for cases where, after this period, the victim has not been compensated for the total damages suffered. In cases where the victim has insured assets, the responsibility for reparation is transferred to the insurance company, with the limit being the amount insured by the contract. The regulation does not specify what to do if this amount does not cover the full extent of the damage. To ensure compliance with the obligation, only the prohibition of the offender from selling, mortgaging, or disposing of their assets is regulated; this measure does not guarantee fulfillment in cases of insolvency. Although the debt acquired as civil liability is non-prescriptive, the norm allows the court to declare it extinguished under certain unspecified circumstances, providing a wide margin of discretion and potentially undermining the victim's effective access to reparation. See Section 6, subsections a) and b); and Sections 7 and 8 of Article 102, Compensation Fund Penal Code</w:t>
      </w:r>
      <w:r w:rsidDel="00000000" w:rsidR="00000000" w:rsidRPr="00000000">
        <w:rPr>
          <w:rFonts w:ascii="Times New Roman" w:cs="Times New Roman" w:eastAsia="Times New Roman" w:hAnsi="Times New Roman"/>
          <w:sz w:val="20"/>
          <w:szCs w:val="20"/>
          <w:rtl w:val="0"/>
        </w:rPr>
        <w:t xml:space="preserve">. </w:t>
      </w:r>
    </w:p>
  </w:footnote>
  <w:footnote w:id="18">
    <w:p w:rsidR="00000000" w:rsidDel="00000000" w:rsidP="00000000" w:rsidRDefault="00000000" w:rsidRPr="00000000" w14:paraId="0000005A">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May 29, 2024: What are the legal mechanisms in Cuba for compensation for criminal acts? Diario Granma; and Article 104.1 of the Penal Code of the Republic of Cuba. The Compensation Fund of the Ministry of Justice is the entity responsible for enforcing the civil liability declared in the sentence concerning the repair of damages or compensation for economic losses, or both, in accordance with the law. Penal Code of the Republic of Cuba. Official Gazette No. 93 Ordinary of September 1, 2022.</w:t>
      </w:r>
    </w:p>
  </w:footnote>
  <w:footnote w:id="19">
    <w:p w:rsidR="00000000" w:rsidDel="00000000" w:rsidP="00000000" w:rsidRDefault="00000000" w:rsidRPr="00000000" w14:paraId="0000005B">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April 22, 2024: What are the work projections of the Compensation Fund for 2024? Cubadebate.</w:t>
      </w:r>
    </w:p>
  </w:footnote>
  <w:footnote w:id="20">
    <w:p w:rsidR="00000000" w:rsidDel="00000000" w:rsidP="00000000" w:rsidRDefault="00000000" w:rsidRPr="00000000" w14:paraId="0000005C">
      <w:pPr>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The compliance regime is one of the requirements considered by the authorities for the employment of inmates. Those classified as high social danger and held in maximum-security prisons may not be permitted to work to ensure their maximum security. According to Article 111 of the Penitentiary Execution Law, an inmate's access to employment is based on factors such as voluntariness, accredited skill in the trade, aptitude for the work, compliance regime, and behavior. Additionally, Article 112 of the Penitentiary Execution Law establishes the priority order for assigning work to inmates. It specifies that employment for incarcerated individuals is prioritized for women, young people, those with civil obligations arising from their crimes or other debts, those fulfilling personal obligations, those with children or other dependents, and those receiving social assistance. Source: Ley de Ejecución Penal de la República de Cuba, Gaceta Oficial No. 94 Ordinaria, September 1, 2022.</w:t>
      </w:r>
    </w:p>
  </w:footnote>
  <w:footnote w:id="21">
    <w:p w:rsidR="00000000" w:rsidDel="00000000" w:rsidP="00000000" w:rsidRDefault="00000000" w:rsidRPr="00000000" w14:paraId="0000005D">
      <w:pPr>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According to Article 96 of the Penitentiary Execution Law, the disability of a convicted person cannot affect their promotion to a minimum-security regime, and, where possible, tasks are assigned in accordance with their capabilities. This grants maximum discretion to the authorities to assess whether or not to include an inmate with a disability in employment. In fact, the regulations of this law provide a procedure for the courts to decide on the appropriateness of employment for a disabled inmate in cases involving the substitution of correctional labor sentences without internment and community service. See Articles 159 to 161 of Decree-Law 74/2023, Regulations of Law 152, May 15, 2022, "Penitentiary Execution Law." Gaceta Oficial No. 95 Ordinaria, October 9, 2023.</w:t>
      </w:r>
    </w:p>
  </w:footnote>
  <w:footnote w:id="22">
    <w:p w:rsidR="00000000" w:rsidDel="00000000" w:rsidP="00000000" w:rsidRDefault="00000000" w:rsidRPr="00000000" w14:paraId="0000005E">
      <w:pPr>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Abril de 2021, Violencia de género en la Cuba posCovid: la experiencia de Yo Sí Te Creo en Cuba, Yo Sí Te Creo-Cuba. April 2021, Gender Violence in Post-Covid Cuba: The Experience of Yo Sí Te Creo in Cuba, Yo Sí Te Creo-Cuba.  </w:t>
      </w:r>
    </w:p>
  </w:footnote>
  <w:footnote w:id="23">
    <w:p w:rsidR="00000000" w:rsidDel="00000000" w:rsidP="00000000" w:rsidRDefault="00000000" w:rsidRPr="00000000" w14:paraId="0000005F">
      <w:pPr>
        <w:spacing w:line="240" w:lineRule="auto"/>
        <w:jc w:val="both"/>
        <w:rPr>
          <w:rFonts w:ascii="Times New Roman" w:cs="Times New Roman" w:eastAsia="Times New Roman" w:hAnsi="Times New Roman"/>
          <w:color w:val="0e2841"/>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In 2022, independent feminist platforms reported the case of Cuban artist Jesús Rodríguez Vázquez, known as Jesusito Rodríguez, who committed suicide after killing his ex-wife in Havana. CiberCuba. (2022, October 19). Possible femicide: Cuban mother, 19, murdered in Santiago de Cuba.</w:t>
      </w:r>
      <w:r w:rsidDel="00000000" w:rsidR="00000000" w:rsidRPr="00000000">
        <w:rPr>
          <w:rtl w:val="0"/>
        </w:rPr>
      </w:r>
    </w:p>
  </w:footnote>
  <w:footnote w:id="24">
    <w:p w:rsidR="00000000" w:rsidDel="00000000" w:rsidP="00000000" w:rsidRDefault="00000000" w:rsidRPr="00000000" w14:paraId="00000060">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In 2022, the case of Eudelvis Leyva Rivera, a 19-year-old mother of a nine-month-old baby, was reported. She was raped, stabbed seven times, and slashed after leaving in the morning to look for sugar on her bicycle near her home, close to the Hermanos Díaz oil refinery in Santiago de Cuba. Idem.</w:t>
      </w:r>
    </w:p>
  </w:footnote>
  <w:footnote w:id="25">
    <w:p w:rsidR="00000000" w:rsidDel="00000000" w:rsidP="00000000" w:rsidRDefault="00000000" w:rsidRPr="00000000" w14:paraId="00000061">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In 2021, the Gender Observatory of Alas Tensas reported that of the 36 recorded femicide victims, at least 19 left behind dependents. These mainly included children, totaling 30 individuals who lost their economic and emotional support. Alas Tensas. (March 2022). Annual Report on Femicides in Cuba 2021.</w:t>
      </w:r>
    </w:p>
  </w:footnote>
  <w:footnote w:id="26">
    <w:p w:rsidR="00000000" w:rsidDel="00000000" w:rsidP="00000000" w:rsidRDefault="00000000" w:rsidRPr="00000000" w14:paraId="00000062">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In this context, the responsibility for making reparations falls directly on the person who caused the harm or damage illicitly. This obligation includes compensating for physical, material, moral damages, and economic losses. Article 83 of the Civil Code specifies that compensation includes the restitution of the property, repair of material and moral damages, and indemnification for losses. Article 88 establishes that moral damage repair includes satisfaction through public retraction by the offender. In conclusion, the responsible party must provide restitution, repair material and moral damages, indemnify for losses, and offer public satisfaction where applicable.</w:t>
      </w:r>
    </w:p>
  </w:footnote>
  <w:footnote w:id="27">
    <w:p w:rsidR="00000000" w:rsidDel="00000000" w:rsidP="00000000" w:rsidRDefault="00000000" w:rsidRPr="00000000" w14:paraId="00000063">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The rights of direct victims are explicitly recognized in the Cuban Civil Code, including claims for restitution, repair of material and moral damages, and compensation for losses. The Code mentions "causahabientes" (successors) in Article 38, extending certain rights to the direct family members of the victim. However, it does not exhaustively detail the scope and specific procedures for indirect victims, such as economically dependent family members, to claim reparations. It also does not specify mechanisms to ensure that indirect victims, such as minor children or dependents with disabilities, receive economic support and compensation in the absence of the perpetrator.</w:t>
      </w:r>
    </w:p>
  </w:footnote>
  <w:footnote w:id="28">
    <w:p w:rsidR="00000000" w:rsidDel="00000000" w:rsidP="00000000" w:rsidRDefault="00000000" w:rsidRPr="00000000" w14:paraId="00000064">
      <w:pPr>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According to the Cuban Civil Code, civil liability does not extinguish with the death of the responsible party. Article 305 of the Civil Code states that death only extinguishes obligations requiring the personal participation of the deceased. However, obligations related to civil liability can be transmitted to the heirs, except in cases requiring personal performance. This principle is supported by Cuban jurisprudence and doctrine, which establishes that obligations to repair damages and losses, both material and moral, are enforceable against the heirs of the perpetrator, who inherit not only assets and rights but also debts and obligations. Thus, while the death of the responsible party may affect the execution of the reparation, it does not extinguish civil liability. The heirs assume the deceased's civil responsibilities in accordance with the principle of continuity of legal relations in succession law.</w:t>
      </w:r>
      <w:r w:rsidDel="00000000" w:rsidR="00000000" w:rsidRPr="00000000">
        <w:rPr>
          <w:rtl w:val="0"/>
        </w:rPr>
      </w:r>
    </w:p>
  </w:footnote>
  <w:footnote w:id="29">
    <w:p w:rsidR="00000000" w:rsidDel="00000000" w:rsidP="00000000" w:rsidRDefault="00000000" w:rsidRPr="00000000" w14:paraId="00000065">
      <w:pPr>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The implementation of provisions that assign state responsibility to provide reparations in the absence of the perpetrator, the creation of a victim compensation fund, and the guarantee of access to rehabilitation and psychosocial support services are necessary recommendations to align Cuban legislation with the obligations established in Resolution 60/147.</w:t>
      </w:r>
      <w:r w:rsidDel="00000000" w:rsidR="00000000" w:rsidRPr="00000000">
        <w:rPr>
          <w:rtl w:val="0"/>
        </w:rPr>
      </w:r>
    </w:p>
    <w:p w:rsidR="00000000" w:rsidDel="00000000" w:rsidP="00000000" w:rsidRDefault="00000000" w:rsidRPr="00000000" w14:paraId="00000066">
      <w:pPr>
        <w:spacing w:line="240" w:lineRule="auto"/>
        <w:jc w:val="both"/>
        <w:rPr>
          <w:rFonts w:ascii="Times New Roman" w:cs="Times New Roman" w:eastAsia="Times New Roman" w:hAnsi="Times New Roman"/>
          <w:sz w:val="20"/>
          <w:szCs w:val="20"/>
        </w:rPr>
      </w:pP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Normal" w:default="1">
    <w:name w:val="Normal"/>
    <w:qFormat w:val="1"/>
    <w:rsid w:val="00E218F4"/>
    <w:pPr>
      <w:spacing w:after="0" w:line="276" w:lineRule="auto"/>
    </w:pPr>
    <w:rPr>
      <w:rFonts w:ascii="Arial" w:cs="Arial" w:eastAsia="Arial" w:hAnsi="Arial"/>
      <w:kern w:val="0"/>
      <w:sz w:val="22"/>
      <w:szCs w:val="22"/>
      <w:lang w:eastAsia="es-CO" w:val="en"/>
    </w:rPr>
  </w:style>
  <w:style w:type="paragraph" w:styleId="Ttulo1">
    <w:name w:val="heading 1"/>
    <w:basedOn w:val="Normal"/>
    <w:next w:val="Normal"/>
    <w:link w:val="Ttulo1Car"/>
    <w:uiPriority w:val="9"/>
    <w:qFormat w:val="1"/>
    <w:rsid w:val="009B1A5F"/>
    <w:pPr>
      <w:keepNext w:val="1"/>
      <w:keepLines w:val="1"/>
      <w:spacing w:after="80" w:before="360"/>
      <w:outlineLvl w:val="0"/>
    </w:pPr>
    <w:rPr>
      <w:rFonts w:asciiTheme="majorHAnsi" w:cstheme="majorBidi" w:eastAsiaTheme="majorEastAsia" w:hAnsiTheme="majorHAnsi"/>
      <w:color w:val="0f4761" w:themeColor="accent1" w:themeShade="0000BF"/>
      <w:sz w:val="40"/>
      <w:szCs w:val="40"/>
    </w:rPr>
  </w:style>
  <w:style w:type="paragraph" w:styleId="Ttulo2">
    <w:name w:val="heading 2"/>
    <w:basedOn w:val="Normal"/>
    <w:next w:val="Normal"/>
    <w:link w:val="Ttulo2Car"/>
    <w:uiPriority w:val="9"/>
    <w:semiHidden w:val="1"/>
    <w:unhideWhenUsed w:val="1"/>
    <w:qFormat w:val="1"/>
    <w:rsid w:val="009B1A5F"/>
    <w:pPr>
      <w:keepNext w:val="1"/>
      <w:keepLines w:val="1"/>
      <w:spacing w:after="80" w:before="160"/>
      <w:outlineLvl w:val="1"/>
    </w:pPr>
    <w:rPr>
      <w:rFonts w:asciiTheme="majorHAnsi" w:cstheme="majorBidi" w:eastAsiaTheme="majorEastAsia" w:hAnsiTheme="majorHAnsi"/>
      <w:color w:val="0f4761" w:themeColor="accent1" w:themeShade="0000BF"/>
      <w:sz w:val="32"/>
      <w:szCs w:val="32"/>
    </w:rPr>
  </w:style>
  <w:style w:type="paragraph" w:styleId="Ttulo3">
    <w:name w:val="heading 3"/>
    <w:basedOn w:val="Normal"/>
    <w:next w:val="Normal"/>
    <w:link w:val="Ttulo3Car"/>
    <w:uiPriority w:val="9"/>
    <w:semiHidden w:val="1"/>
    <w:unhideWhenUsed w:val="1"/>
    <w:qFormat w:val="1"/>
    <w:rsid w:val="009B1A5F"/>
    <w:pPr>
      <w:keepNext w:val="1"/>
      <w:keepLines w:val="1"/>
      <w:spacing w:after="80" w:before="160"/>
      <w:outlineLvl w:val="2"/>
    </w:pPr>
    <w:rPr>
      <w:rFonts w:cstheme="majorBidi" w:eastAsiaTheme="majorEastAsia"/>
      <w:color w:val="0f4761" w:themeColor="accent1" w:themeShade="0000BF"/>
      <w:sz w:val="28"/>
      <w:szCs w:val="28"/>
    </w:rPr>
  </w:style>
  <w:style w:type="paragraph" w:styleId="Ttulo4">
    <w:name w:val="heading 4"/>
    <w:basedOn w:val="Normal"/>
    <w:next w:val="Normal"/>
    <w:link w:val="Ttulo4Car"/>
    <w:uiPriority w:val="9"/>
    <w:semiHidden w:val="1"/>
    <w:unhideWhenUsed w:val="1"/>
    <w:qFormat w:val="1"/>
    <w:rsid w:val="009B1A5F"/>
    <w:pPr>
      <w:keepNext w:val="1"/>
      <w:keepLines w:val="1"/>
      <w:spacing w:after="40" w:before="80"/>
      <w:outlineLvl w:val="3"/>
    </w:pPr>
    <w:rPr>
      <w:rFonts w:cstheme="majorBidi" w:eastAsiaTheme="majorEastAsia"/>
      <w:i w:val="1"/>
      <w:iCs w:val="1"/>
      <w:color w:val="0f4761" w:themeColor="accent1" w:themeShade="0000BF"/>
    </w:rPr>
  </w:style>
  <w:style w:type="paragraph" w:styleId="Ttulo5">
    <w:name w:val="heading 5"/>
    <w:basedOn w:val="Normal"/>
    <w:next w:val="Normal"/>
    <w:link w:val="Ttulo5Car"/>
    <w:uiPriority w:val="9"/>
    <w:semiHidden w:val="1"/>
    <w:unhideWhenUsed w:val="1"/>
    <w:qFormat w:val="1"/>
    <w:rsid w:val="009B1A5F"/>
    <w:pPr>
      <w:keepNext w:val="1"/>
      <w:keepLines w:val="1"/>
      <w:spacing w:after="40" w:before="80"/>
      <w:outlineLvl w:val="4"/>
    </w:pPr>
    <w:rPr>
      <w:rFonts w:cstheme="majorBidi" w:eastAsiaTheme="majorEastAsia"/>
      <w:color w:val="0f4761" w:themeColor="accent1" w:themeShade="0000BF"/>
    </w:rPr>
  </w:style>
  <w:style w:type="paragraph" w:styleId="Ttulo6">
    <w:name w:val="heading 6"/>
    <w:basedOn w:val="Normal"/>
    <w:next w:val="Normal"/>
    <w:link w:val="Ttulo6Car"/>
    <w:uiPriority w:val="9"/>
    <w:semiHidden w:val="1"/>
    <w:unhideWhenUsed w:val="1"/>
    <w:qFormat w:val="1"/>
    <w:rsid w:val="009B1A5F"/>
    <w:pPr>
      <w:keepNext w:val="1"/>
      <w:keepLines w:val="1"/>
      <w:spacing w:before="40"/>
      <w:outlineLvl w:val="5"/>
    </w:pPr>
    <w:rPr>
      <w:rFonts w:cstheme="majorBidi" w:eastAsiaTheme="majorEastAsia"/>
      <w:i w:val="1"/>
      <w:iCs w:val="1"/>
      <w:color w:val="595959" w:themeColor="text1" w:themeTint="0000A6"/>
    </w:rPr>
  </w:style>
  <w:style w:type="paragraph" w:styleId="Ttulo7">
    <w:name w:val="heading 7"/>
    <w:basedOn w:val="Normal"/>
    <w:next w:val="Normal"/>
    <w:link w:val="Ttulo7Car"/>
    <w:uiPriority w:val="9"/>
    <w:semiHidden w:val="1"/>
    <w:unhideWhenUsed w:val="1"/>
    <w:qFormat w:val="1"/>
    <w:rsid w:val="009B1A5F"/>
    <w:pPr>
      <w:keepNext w:val="1"/>
      <w:keepLines w:val="1"/>
      <w:spacing w:before="40"/>
      <w:outlineLvl w:val="6"/>
    </w:pPr>
    <w:rPr>
      <w:rFonts w:cstheme="majorBidi" w:eastAsiaTheme="majorEastAsia"/>
      <w:color w:val="595959" w:themeColor="text1" w:themeTint="0000A6"/>
    </w:rPr>
  </w:style>
  <w:style w:type="paragraph" w:styleId="Ttulo8">
    <w:name w:val="heading 8"/>
    <w:basedOn w:val="Normal"/>
    <w:next w:val="Normal"/>
    <w:link w:val="Ttulo8Car"/>
    <w:uiPriority w:val="9"/>
    <w:semiHidden w:val="1"/>
    <w:unhideWhenUsed w:val="1"/>
    <w:qFormat w:val="1"/>
    <w:rsid w:val="009B1A5F"/>
    <w:pPr>
      <w:keepNext w:val="1"/>
      <w:keepLines w:val="1"/>
      <w:outlineLvl w:val="7"/>
    </w:pPr>
    <w:rPr>
      <w:rFonts w:cstheme="majorBidi" w:eastAsiaTheme="majorEastAsia"/>
      <w:i w:val="1"/>
      <w:iCs w:val="1"/>
      <w:color w:val="272727" w:themeColor="text1" w:themeTint="0000D8"/>
    </w:rPr>
  </w:style>
  <w:style w:type="paragraph" w:styleId="Ttulo9">
    <w:name w:val="heading 9"/>
    <w:basedOn w:val="Normal"/>
    <w:next w:val="Normal"/>
    <w:link w:val="Ttulo9Car"/>
    <w:uiPriority w:val="9"/>
    <w:semiHidden w:val="1"/>
    <w:unhideWhenUsed w:val="1"/>
    <w:qFormat w:val="1"/>
    <w:rsid w:val="009B1A5F"/>
    <w:pPr>
      <w:keepNext w:val="1"/>
      <w:keepLines w:val="1"/>
      <w:outlineLvl w:val="8"/>
    </w:pPr>
    <w:rPr>
      <w:rFonts w:cstheme="majorBidi" w:eastAsiaTheme="majorEastAsia"/>
      <w:color w:val="272727" w:themeColor="text1" w:themeTint="0000D8"/>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character" w:styleId="Ttulo1Car" w:customStyle="1">
    <w:name w:val="Título 1 Car"/>
    <w:basedOn w:val="Fuentedeprrafopredeter"/>
    <w:link w:val="Ttulo1"/>
    <w:uiPriority w:val="9"/>
    <w:rsid w:val="009B1A5F"/>
    <w:rPr>
      <w:rFonts w:asciiTheme="majorHAnsi" w:cstheme="majorBidi" w:eastAsiaTheme="majorEastAsia" w:hAnsiTheme="majorHAnsi"/>
      <w:color w:val="0f4761" w:themeColor="accent1" w:themeShade="0000BF"/>
      <w:sz w:val="40"/>
      <w:szCs w:val="40"/>
      <w:lang w:val="es-ES_tradnl"/>
    </w:rPr>
  </w:style>
  <w:style w:type="character" w:styleId="Ttulo2Car" w:customStyle="1">
    <w:name w:val="Título 2 Car"/>
    <w:basedOn w:val="Fuentedeprrafopredeter"/>
    <w:link w:val="Ttulo2"/>
    <w:uiPriority w:val="9"/>
    <w:semiHidden w:val="1"/>
    <w:rsid w:val="009B1A5F"/>
    <w:rPr>
      <w:rFonts w:asciiTheme="majorHAnsi" w:cstheme="majorBidi" w:eastAsiaTheme="majorEastAsia" w:hAnsiTheme="majorHAnsi"/>
      <w:color w:val="0f4761" w:themeColor="accent1" w:themeShade="0000BF"/>
      <w:sz w:val="32"/>
      <w:szCs w:val="32"/>
      <w:lang w:val="es-ES_tradnl"/>
    </w:rPr>
  </w:style>
  <w:style w:type="character" w:styleId="Ttulo3Car" w:customStyle="1">
    <w:name w:val="Título 3 Car"/>
    <w:basedOn w:val="Fuentedeprrafopredeter"/>
    <w:link w:val="Ttulo3"/>
    <w:uiPriority w:val="9"/>
    <w:semiHidden w:val="1"/>
    <w:rsid w:val="009B1A5F"/>
    <w:rPr>
      <w:rFonts w:cstheme="majorBidi" w:eastAsiaTheme="majorEastAsia"/>
      <w:color w:val="0f4761" w:themeColor="accent1" w:themeShade="0000BF"/>
      <w:sz w:val="28"/>
      <w:szCs w:val="28"/>
      <w:lang w:val="es-ES_tradnl"/>
    </w:rPr>
  </w:style>
  <w:style w:type="character" w:styleId="Ttulo4Car" w:customStyle="1">
    <w:name w:val="Título 4 Car"/>
    <w:basedOn w:val="Fuentedeprrafopredeter"/>
    <w:link w:val="Ttulo4"/>
    <w:uiPriority w:val="9"/>
    <w:semiHidden w:val="1"/>
    <w:rsid w:val="009B1A5F"/>
    <w:rPr>
      <w:rFonts w:cstheme="majorBidi" w:eastAsiaTheme="majorEastAsia"/>
      <w:i w:val="1"/>
      <w:iCs w:val="1"/>
      <w:color w:val="0f4761" w:themeColor="accent1" w:themeShade="0000BF"/>
      <w:lang w:val="es-ES_tradnl"/>
    </w:rPr>
  </w:style>
  <w:style w:type="character" w:styleId="Ttulo5Car" w:customStyle="1">
    <w:name w:val="Título 5 Car"/>
    <w:basedOn w:val="Fuentedeprrafopredeter"/>
    <w:link w:val="Ttulo5"/>
    <w:uiPriority w:val="9"/>
    <w:semiHidden w:val="1"/>
    <w:rsid w:val="009B1A5F"/>
    <w:rPr>
      <w:rFonts w:cstheme="majorBidi" w:eastAsiaTheme="majorEastAsia"/>
      <w:color w:val="0f4761" w:themeColor="accent1" w:themeShade="0000BF"/>
      <w:lang w:val="es-ES_tradnl"/>
    </w:rPr>
  </w:style>
  <w:style w:type="character" w:styleId="Ttulo6Car" w:customStyle="1">
    <w:name w:val="Título 6 Car"/>
    <w:basedOn w:val="Fuentedeprrafopredeter"/>
    <w:link w:val="Ttulo6"/>
    <w:uiPriority w:val="9"/>
    <w:semiHidden w:val="1"/>
    <w:rsid w:val="009B1A5F"/>
    <w:rPr>
      <w:rFonts w:cstheme="majorBidi" w:eastAsiaTheme="majorEastAsia"/>
      <w:i w:val="1"/>
      <w:iCs w:val="1"/>
      <w:color w:val="595959" w:themeColor="text1" w:themeTint="0000A6"/>
      <w:lang w:val="es-ES_tradnl"/>
    </w:rPr>
  </w:style>
  <w:style w:type="character" w:styleId="Ttulo7Car" w:customStyle="1">
    <w:name w:val="Título 7 Car"/>
    <w:basedOn w:val="Fuentedeprrafopredeter"/>
    <w:link w:val="Ttulo7"/>
    <w:uiPriority w:val="9"/>
    <w:semiHidden w:val="1"/>
    <w:rsid w:val="009B1A5F"/>
    <w:rPr>
      <w:rFonts w:cstheme="majorBidi" w:eastAsiaTheme="majorEastAsia"/>
      <w:color w:val="595959" w:themeColor="text1" w:themeTint="0000A6"/>
      <w:lang w:val="es-ES_tradnl"/>
    </w:rPr>
  </w:style>
  <w:style w:type="character" w:styleId="Ttulo8Car" w:customStyle="1">
    <w:name w:val="Título 8 Car"/>
    <w:basedOn w:val="Fuentedeprrafopredeter"/>
    <w:link w:val="Ttulo8"/>
    <w:uiPriority w:val="9"/>
    <w:semiHidden w:val="1"/>
    <w:rsid w:val="009B1A5F"/>
    <w:rPr>
      <w:rFonts w:cstheme="majorBidi" w:eastAsiaTheme="majorEastAsia"/>
      <w:i w:val="1"/>
      <w:iCs w:val="1"/>
      <w:color w:val="272727" w:themeColor="text1" w:themeTint="0000D8"/>
      <w:lang w:val="es-ES_tradnl"/>
    </w:rPr>
  </w:style>
  <w:style w:type="character" w:styleId="Ttulo9Car" w:customStyle="1">
    <w:name w:val="Título 9 Car"/>
    <w:basedOn w:val="Fuentedeprrafopredeter"/>
    <w:link w:val="Ttulo9"/>
    <w:uiPriority w:val="9"/>
    <w:semiHidden w:val="1"/>
    <w:rsid w:val="009B1A5F"/>
    <w:rPr>
      <w:rFonts w:cstheme="majorBidi" w:eastAsiaTheme="majorEastAsia"/>
      <w:color w:val="272727" w:themeColor="text1" w:themeTint="0000D8"/>
      <w:lang w:val="es-ES_tradnl"/>
    </w:rPr>
  </w:style>
  <w:style w:type="paragraph" w:styleId="Ttulo">
    <w:name w:val="Title"/>
    <w:basedOn w:val="Normal"/>
    <w:next w:val="Normal"/>
    <w:link w:val="TtuloCar"/>
    <w:uiPriority w:val="10"/>
    <w:qFormat w:val="1"/>
    <w:rsid w:val="009B1A5F"/>
    <w:pPr>
      <w:spacing w:after="80" w:line="240" w:lineRule="auto"/>
      <w:contextualSpacing w:val="1"/>
    </w:pPr>
    <w:rPr>
      <w:rFonts w:asciiTheme="majorHAnsi" w:cstheme="majorBidi" w:eastAsiaTheme="majorEastAsia" w:hAnsiTheme="majorHAnsi"/>
      <w:spacing w:val="-10"/>
      <w:kern w:val="28"/>
      <w:sz w:val="56"/>
      <w:szCs w:val="56"/>
    </w:rPr>
  </w:style>
  <w:style w:type="character" w:styleId="TtuloCar" w:customStyle="1">
    <w:name w:val="Título Car"/>
    <w:basedOn w:val="Fuentedeprrafopredeter"/>
    <w:link w:val="Ttulo"/>
    <w:uiPriority w:val="10"/>
    <w:rsid w:val="009B1A5F"/>
    <w:rPr>
      <w:rFonts w:asciiTheme="majorHAnsi" w:cstheme="majorBidi" w:eastAsiaTheme="majorEastAsia" w:hAnsiTheme="majorHAnsi"/>
      <w:spacing w:val="-10"/>
      <w:kern w:val="28"/>
      <w:sz w:val="56"/>
      <w:szCs w:val="56"/>
      <w:lang w:val="es-ES_tradnl"/>
    </w:rPr>
  </w:style>
  <w:style w:type="paragraph" w:styleId="Subttulo">
    <w:name w:val="Subtitle"/>
    <w:basedOn w:val="Normal"/>
    <w:next w:val="Normal"/>
    <w:link w:val="SubttuloCar"/>
    <w:uiPriority w:val="11"/>
    <w:qFormat w:val="1"/>
    <w:rsid w:val="009B1A5F"/>
    <w:pPr>
      <w:numPr>
        <w:ilvl w:val="1"/>
      </w:numPr>
    </w:pPr>
    <w:rPr>
      <w:rFonts w:cstheme="majorBidi" w:eastAsiaTheme="majorEastAsia"/>
      <w:color w:val="595959" w:themeColor="text1" w:themeTint="0000A6"/>
      <w:spacing w:val="15"/>
      <w:sz w:val="28"/>
      <w:szCs w:val="28"/>
    </w:rPr>
  </w:style>
  <w:style w:type="character" w:styleId="SubttuloCar" w:customStyle="1">
    <w:name w:val="Subtítulo Car"/>
    <w:basedOn w:val="Fuentedeprrafopredeter"/>
    <w:link w:val="Subttulo"/>
    <w:uiPriority w:val="11"/>
    <w:rsid w:val="009B1A5F"/>
    <w:rPr>
      <w:rFonts w:cstheme="majorBidi" w:eastAsiaTheme="majorEastAsia"/>
      <w:color w:val="595959" w:themeColor="text1" w:themeTint="0000A6"/>
      <w:spacing w:val="15"/>
      <w:sz w:val="28"/>
      <w:szCs w:val="28"/>
      <w:lang w:val="es-ES_tradnl"/>
    </w:rPr>
  </w:style>
  <w:style w:type="paragraph" w:styleId="Cita">
    <w:name w:val="Quote"/>
    <w:basedOn w:val="Normal"/>
    <w:next w:val="Normal"/>
    <w:link w:val="CitaCar"/>
    <w:uiPriority w:val="29"/>
    <w:qFormat w:val="1"/>
    <w:rsid w:val="009B1A5F"/>
    <w:pPr>
      <w:spacing w:before="160"/>
      <w:jc w:val="center"/>
    </w:pPr>
    <w:rPr>
      <w:i w:val="1"/>
      <w:iCs w:val="1"/>
      <w:color w:val="404040" w:themeColor="text1" w:themeTint="0000BF"/>
    </w:rPr>
  </w:style>
  <w:style w:type="character" w:styleId="CitaCar" w:customStyle="1">
    <w:name w:val="Cita Car"/>
    <w:basedOn w:val="Fuentedeprrafopredeter"/>
    <w:link w:val="Cita"/>
    <w:uiPriority w:val="29"/>
    <w:rsid w:val="009B1A5F"/>
    <w:rPr>
      <w:i w:val="1"/>
      <w:iCs w:val="1"/>
      <w:color w:val="404040" w:themeColor="text1" w:themeTint="0000BF"/>
      <w:lang w:val="es-ES_tradnl"/>
    </w:rPr>
  </w:style>
  <w:style w:type="paragraph" w:styleId="Prrafodelista">
    <w:name w:val="List Paragraph"/>
    <w:basedOn w:val="Normal"/>
    <w:uiPriority w:val="34"/>
    <w:qFormat w:val="1"/>
    <w:rsid w:val="009B1A5F"/>
    <w:pPr>
      <w:ind w:left="720"/>
      <w:contextualSpacing w:val="1"/>
    </w:pPr>
  </w:style>
  <w:style w:type="character" w:styleId="nfasisintenso">
    <w:name w:val="Intense Emphasis"/>
    <w:basedOn w:val="Fuentedeprrafopredeter"/>
    <w:uiPriority w:val="21"/>
    <w:qFormat w:val="1"/>
    <w:rsid w:val="009B1A5F"/>
    <w:rPr>
      <w:i w:val="1"/>
      <w:iCs w:val="1"/>
      <w:color w:val="0f4761" w:themeColor="accent1" w:themeShade="0000BF"/>
    </w:rPr>
  </w:style>
  <w:style w:type="paragraph" w:styleId="Citadestacada">
    <w:name w:val="Intense Quote"/>
    <w:basedOn w:val="Normal"/>
    <w:next w:val="Normal"/>
    <w:link w:val="CitadestacadaCar"/>
    <w:uiPriority w:val="30"/>
    <w:qFormat w:val="1"/>
    <w:rsid w:val="009B1A5F"/>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CitadestacadaCar" w:customStyle="1">
    <w:name w:val="Cita destacada Car"/>
    <w:basedOn w:val="Fuentedeprrafopredeter"/>
    <w:link w:val="Citadestacada"/>
    <w:uiPriority w:val="30"/>
    <w:rsid w:val="009B1A5F"/>
    <w:rPr>
      <w:i w:val="1"/>
      <w:iCs w:val="1"/>
      <w:color w:val="0f4761" w:themeColor="accent1" w:themeShade="0000BF"/>
      <w:lang w:val="es-ES_tradnl"/>
    </w:rPr>
  </w:style>
  <w:style w:type="character" w:styleId="Referenciaintensa">
    <w:name w:val="Intense Reference"/>
    <w:basedOn w:val="Fuentedeprrafopredeter"/>
    <w:uiPriority w:val="32"/>
    <w:qFormat w:val="1"/>
    <w:rsid w:val="009B1A5F"/>
    <w:rPr>
      <w:b w:val="1"/>
      <w:bCs w:val="1"/>
      <w:smallCaps w:val="1"/>
      <w:color w:val="0f4761" w:themeColor="accent1" w:themeShade="0000BF"/>
      <w:spacing w:val="5"/>
    </w:rPr>
  </w:style>
  <w:style w:type="character" w:styleId="Hipervnculo">
    <w:name w:val="Hyperlink"/>
    <w:basedOn w:val="Fuentedeprrafopredeter"/>
    <w:uiPriority w:val="99"/>
    <w:unhideWhenUsed w:val="1"/>
    <w:rsid w:val="0034462B"/>
    <w:rPr>
      <w:color w:val="467886" w:themeColor="hyperlink"/>
      <w:u w:val="single"/>
    </w:rPr>
  </w:style>
  <w:style w:type="character" w:styleId="Mencinsinresolver">
    <w:name w:val="Unresolved Mention"/>
    <w:basedOn w:val="Fuentedeprrafopredeter"/>
    <w:uiPriority w:val="99"/>
    <w:semiHidden w:val="1"/>
    <w:unhideWhenUsed w:val="1"/>
    <w:rsid w:val="0034462B"/>
    <w:rPr>
      <w:color w:val="605e5c"/>
      <w:shd w:color="auto" w:fill="e1dfdd" w:val="clear"/>
    </w:rPr>
  </w:style>
  <w:style w:type="paragraph" w:styleId="Textonotapie">
    <w:name w:val="footnote text"/>
    <w:basedOn w:val="Normal"/>
    <w:link w:val="TextonotapieCar"/>
    <w:uiPriority w:val="99"/>
    <w:unhideWhenUsed w:val="1"/>
    <w:rsid w:val="00671C4F"/>
    <w:pPr>
      <w:spacing w:line="240" w:lineRule="auto"/>
    </w:pPr>
    <w:rPr>
      <w:sz w:val="20"/>
      <w:szCs w:val="20"/>
    </w:rPr>
  </w:style>
  <w:style w:type="character" w:styleId="TextonotapieCar" w:customStyle="1">
    <w:name w:val="Texto nota pie Car"/>
    <w:basedOn w:val="Fuentedeprrafopredeter"/>
    <w:link w:val="Textonotapie"/>
    <w:uiPriority w:val="99"/>
    <w:rsid w:val="00671C4F"/>
    <w:rPr>
      <w:rFonts w:ascii="Arial" w:cs="Arial" w:eastAsia="Arial" w:hAnsi="Arial"/>
      <w:kern w:val="0"/>
      <w:sz w:val="20"/>
      <w:szCs w:val="20"/>
      <w:lang w:eastAsia="es-CO" w:val="en"/>
    </w:rPr>
  </w:style>
  <w:style w:type="character" w:styleId="Refdenotaalpie">
    <w:name w:val="footnote reference"/>
    <w:basedOn w:val="Fuentedeprrafopredeter"/>
    <w:uiPriority w:val="99"/>
    <w:semiHidden w:val="1"/>
    <w:unhideWhenUsed w:val="1"/>
    <w:rsid w:val="00671C4F"/>
    <w:rPr>
      <w:vertAlign w:val="superscript"/>
    </w:rPr>
  </w:style>
  <w:style w:type="paragraph" w:styleId="NormalWeb">
    <w:name w:val="Normal (Web)"/>
    <w:basedOn w:val="Normal"/>
    <w:uiPriority w:val="99"/>
    <w:unhideWhenUsed w:val="1"/>
    <w:rsid w:val="00FE1AD7"/>
    <w:pPr>
      <w:spacing w:after="100" w:afterAutospacing="1" w:before="100" w:beforeAutospacing="1" w:line="240" w:lineRule="auto"/>
    </w:pPr>
    <w:rPr>
      <w:rFonts w:ascii="Times New Roman" w:cs="Times New Roman" w:eastAsia="Times New Roman" w:hAnsi="Times New Roman"/>
      <w:sz w:val="24"/>
      <w:szCs w:val="24"/>
      <w:lang w:val="es-CO"/>
    </w:rPr>
  </w:style>
  <w:style w:type="character" w:styleId="Hipervnculovisitado">
    <w:name w:val="FollowedHyperlink"/>
    <w:basedOn w:val="Fuentedeprrafopredeter"/>
    <w:uiPriority w:val="99"/>
    <w:semiHidden w:val="1"/>
    <w:unhideWhenUsed w:val="1"/>
    <w:rsid w:val="00FE1AD7"/>
    <w:rPr>
      <w:color w:val="96607d" w:themeColor="followedHyperlink"/>
      <w:u w:val="single"/>
    </w:rPr>
  </w:style>
  <w:style w:type="character" w:styleId="Textoennegrita">
    <w:name w:val="Strong"/>
    <w:basedOn w:val="Fuentedeprrafopredeter"/>
    <w:uiPriority w:val="22"/>
    <w:qFormat w:val="1"/>
    <w:rsid w:val="00222EAE"/>
    <w:rPr>
      <w:b w:val="1"/>
      <w:bCs w:val="1"/>
    </w:rPr>
  </w:style>
  <w:style w:type="paragraph" w:styleId="Revisin">
    <w:name w:val="Revision"/>
    <w:hidden w:val="1"/>
    <w:uiPriority w:val="99"/>
    <w:semiHidden w:val="1"/>
    <w:rsid w:val="009E0CA7"/>
    <w:pPr>
      <w:spacing w:after="0" w:line="240" w:lineRule="auto"/>
    </w:pPr>
    <w:rPr>
      <w:rFonts w:ascii="Arial" w:cs="Arial" w:eastAsia="Arial" w:hAnsi="Arial"/>
      <w:kern w:val="0"/>
      <w:sz w:val="22"/>
      <w:szCs w:val="22"/>
      <w:lang w:eastAsia="es-CO" w:val="en"/>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8" Type="http://schemas.openxmlformats.org/officeDocument/2006/relationships/image" Target="media/image4.png"/><Relationship Id="rId3" Type="http://schemas.openxmlformats.org/officeDocument/2006/relationships/fontTable" Target="fontTable.xml"/><Relationship Id="rId12" Type="http://schemas.openxmlformats.org/officeDocument/2006/relationships/image" Target="media/image5.png"/><Relationship Id="rId7" Type="http://schemas.openxmlformats.org/officeDocument/2006/relationships/customXml" Target="../customXML/item1.xml"/><Relationship Id="rId2" Type="http://schemas.openxmlformats.org/officeDocument/2006/relationships/settings" Target="settings.xml"/><Relationship Id="rId16" Type="http://schemas.openxmlformats.org/officeDocument/2006/relationships/customXml" Target="../customXML/item3.xml"/><Relationship Id="rId11" Type="http://schemas.openxmlformats.org/officeDocument/2006/relationships/image" Target="media/image2.png"/><Relationship Id="rId1" Type="http://schemas.openxmlformats.org/officeDocument/2006/relationships/theme" Target="theme/theme1.xml"/><Relationship Id="rId6" Type="http://schemas.openxmlformats.org/officeDocument/2006/relationships/styles" Target="styles.xml"/><Relationship Id="rId5" Type="http://schemas.openxmlformats.org/officeDocument/2006/relationships/numbering" Target="numbering.xml"/><Relationship Id="rId15" Type="http://schemas.openxmlformats.org/officeDocument/2006/relationships/customXml" Target="../customXML/item2.xml"/><Relationship Id="rId10" Type="http://schemas.openxmlformats.org/officeDocument/2006/relationships/image" Target="media/image1.png"/><Relationship Id="rId4" Type="http://schemas.openxmlformats.org/officeDocument/2006/relationships/footnotes" Target="footnotes.xml"/><Relationship Id="rId9" Type="http://schemas.openxmlformats.org/officeDocument/2006/relationships/image" Target="media/image6.png"/><Relationship Id="rId14"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_rels/footnotes.xml.rels><?xml version="1.0" encoding="UTF-8" standalone="yes"?><Relationships xmlns="http://schemas.openxmlformats.org/package/2006/relationships"><Relationship Id="rId11" Type="http://schemas.openxmlformats.org/officeDocument/2006/relationships/hyperlink" Target="https://cir-integracion-racial-cuba.org/" TargetMode="External"/><Relationship Id="rId10" Type="http://schemas.openxmlformats.org/officeDocument/2006/relationships/hyperlink" Target="https://observatoriocubano.com/cubano-conflictos/" TargetMode="External"/><Relationship Id="rId13" Type="http://schemas.openxmlformats.org/officeDocument/2006/relationships/hyperlink" Target="mailto:integracioncir@gmail.com" TargetMode="External"/><Relationship Id="rId12" Type="http://schemas.openxmlformats.org/officeDocument/2006/relationships/hyperlink" Target="mailto:integracioncir@gmail.com" TargetMode="External"/><Relationship Id="rId1" Type="http://schemas.openxmlformats.org/officeDocument/2006/relationships/hyperlink" Target="https://observatoriolegislativodecuba.org/" TargetMode="External"/><Relationship Id="rId2" Type="http://schemas.openxmlformats.org/officeDocument/2006/relationships/hyperlink" Target="mailto:jesus.delgado@transparenciaelectoral.org" TargetMode="External"/><Relationship Id="rId3" Type="http://schemas.openxmlformats.org/officeDocument/2006/relationships/hyperlink" Target="https://www.4metrica.org" TargetMode="External"/><Relationship Id="rId4" Type="http://schemas.openxmlformats.org/officeDocument/2006/relationships/hyperlink" Target="mailto:contacto@4metrica.org" TargetMode="External"/><Relationship Id="rId9" Type="http://schemas.openxmlformats.org/officeDocument/2006/relationships/hyperlink" Target="mailto:info@observacuba.org" TargetMode="External"/><Relationship Id="rId15" Type="http://schemas.openxmlformats.org/officeDocument/2006/relationships/hyperlink" Target="https://alastensas.com/observatorio/feminicidio-joven-de-17-anos-es-asesinada-por-su-expareja-en-camaguey/" TargetMode="External"/><Relationship Id="rId14" Type="http://schemas.openxmlformats.org/officeDocument/2006/relationships/hyperlink" Target="https://www.granma.cu/" TargetMode="External"/><Relationship Id="rId5" Type="http://schemas.openxmlformats.org/officeDocument/2006/relationships/hyperlink" Target="http://www.crd.org" TargetMode="External"/><Relationship Id="rId6" Type="http://schemas.openxmlformats.org/officeDocument/2006/relationships/hyperlink" Target="mailto:erik.jennische@crd.org" TargetMode="External"/><Relationship Id="rId7" Type="http://schemas.openxmlformats.org/officeDocument/2006/relationships/hyperlink" Target="mailto:nastassjarojas@gmail.com" TargetMode="External"/><Relationship Id="rId8" Type="http://schemas.openxmlformats.org/officeDocument/2006/relationships/hyperlink" Target="https://observacuba.org"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DCPwnmoUEx/bmELkdckNVKfo5w==">CgMxLjAyDmguMmEzbTZtbGdqcmJiOAByITFSckNnY1k2dzFPOHVRUnQ5b0dtU0VfSGxlc05VeTBFUQ==</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84908A1B-418A-47B3-ACA8-ABDE8F8E438D}"/>
</file>

<file path=customXML/itemProps3.xml><?xml version="1.0" encoding="utf-8"?>
<ds:datastoreItem xmlns:ds="http://schemas.openxmlformats.org/officeDocument/2006/customXml" ds:itemID="{D86855E7-6F38-4C8B-BE10-DE78F967AD8F}"/>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2024-09-05T17:08:00Z</dcterms:created>
  <dc:creator>Lina María Muñoz Rodríguez</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56f07ae-913b-4a01-ae3c-1706bd539b1a_Enabled">
    <vt:lpwstr>true</vt:lpwstr>
  </property>
  <property fmtid="{D5CDD505-2E9C-101B-9397-08002B2CF9AE}" pid="3" name="MSIP_Label_956f07ae-913b-4a01-ae3c-1706bd539b1a_SetDate">
    <vt:lpwstr>2024-09-06T03:39:09Z</vt:lpwstr>
  </property>
  <property fmtid="{D5CDD505-2E9C-101B-9397-08002B2CF9AE}" pid="4" name="MSIP_Label_956f07ae-913b-4a01-ae3c-1706bd539b1a_Method">
    <vt:lpwstr>Privileged</vt:lpwstr>
  </property>
  <property fmtid="{D5CDD505-2E9C-101B-9397-08002B2CF9AE}" pid="5" name="MSIP_Label_956f07ae-913b-4a01-ae3c-1706bd539b1a_Name">
    <vt:lpwstr>Internal - Without header</vt:lpwstr>
  </property>
  <property fmtid="{D5CDD505-2E9C-101B-9397-08002B2CF9AE}" pid="6" name="MSIP_Label_956f07ae-913b-4a01-ae3c-1706bd539b1a_SiteId">
    <vt:lpwstr>468d0fae-ea77-4285-ad8d-c7e04a090c24</vt:lpwstr>
  </property>
  <property fmtid="{D5CDD505-2E9C-101B-9397-08002B2CF9AE}" pid="7" name="MSIP_Label_956f07ae-913b-4a01-ae3c-1706bd539b1a_ActionId">
    <vt:lpwstr>a52e6e96-15f4-4f09-b448-b00309402beb</vt:lpwstr>
  </property>
  <property fmtid="{D5CDD505-2E9C-101B-9397-08002B2CF9AE}" pid="8" name="MSIP_Label_956f07ae-913b-4a01-ae3c-1706bd539b1a_ContentBits">
    <vt:lpwstr>0</vt:lpwstr>
  </property>
</Properties>
</file>